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F0181" w14:textId="4D06CE55" w:rsidR="00C71122" w:rsidRPr="003F658E" w:rsidRDefault="538429F5" w:rsidP="003F658E">
      <w:pPr>
        <w:spacing w:line="360" w:lineRule="auto"/>
        <w:jc w:val="both"/>
        <w:rPr>
          <w:rFonts w:cs="Arial"/>
          <w:b/>
          <w:bCs/>
          <w:lang w:val="en-GB"/>
        </w:rPr>
      </w:pPr>
      <w:r w:rsidRPr="003F658E">
        <w:rPr>
          <w:rFonts w:cs="Arial"/>
          <w:b/>
          <w:bCs/>
          <w:lang w:val="en-GB"/>
        </w:rPr>
        <w:t xml:space="preserve">The Nearest Relative in the Mental Health Act </w:t>
      </w:r>
      <w:r w:rsidR="00A96D49">
        <w:rPr>
          <w:rFonts w:cs="Arial"/>
          <w:b/>
          <w:bCs/>
          <w:lang w:val="en-GB"/>
        </w:rPr>
        <w:t>2007</w:t>
      </w:r>
      <w:r w:rsidRPr="003F658E">
        <w:rPr>
          <w:rFonts w:cs="Arial"/>
          <w:b/>
          <w:bCs/>
          <w:lang w:val="en-GB"/>
        </w:rPr>
        <w:t xml:space="preserve">: </w:t>
      </w:r>
      <w:r w:rsidR="00C71122" w:rsidRPr="003F658E">
        <w:rPr>
          <w:rFonts w:cs="Arial"/>
          <w:b/>
          <w:bCs/>
          <w:lang w:val="en-GB"/>
        </w:rPr>
        <w:t xml:space="preserve">Still an illusionary and </w:t>
      </w:r>
      <w:r w:rsidR="0017721C" w:rsidRPr="003F658E">
        <w:rPr>
          <w:rFonts w:cs="Arial"/>
          <w:b/>
          <w:bCs/>
          <w:lang w:val="en-GB"/>
        </w:rPr>
        <w:t xml:space="preserve">inconsistent </w:t>
      </w:r>
      <w:r w:rsidR="00C71122" w:rsidRPr="003F658E">
        <w:rPr>
          <w:rFonts w:cs="Arial"/>
          <w:b/>
          <w:bCs/>
          <w:lang w:val="en-GB"/>
        </w:rPr>
        <w:t xml:space="preserve">safeguard?  </w:t>
      </w:r>
    </w:p>
    <w:p w14:paraId="4EB3F996" w14:textId="7A094286" w:rsidR="001C4B2D" w:rsidRPr="003F658E" w:rsidRDefault="00F502D4" w:rsidP="003F658E">
      <w:pPr>
        <w:spacing w:line="360" w:lineRule="auto"/>
        <w:jc w:val="both"/>
        <w:outlineLvl w:val="0"/>
        <w:rPr>
          <w:rFonts w:cs="Arial"/>
          <w:b/>
          <w:bCs/>
          <w:lang w:val="en-GB"/>
        </w:rPr>
      </w:pPr>
      <w:r w:rsidRPr="003F658E">
        <w:rPr>
          <w:rFonts w:cs="Arial"/>
          <w:b/>
          <w:bCs/>
          <w:lang w:val="en-GB"/>
        </w:rPr>
        <w:t xml:space="preserve"> </w:t>
      </w:r>
    </w:p>
    <w:p w14:paraId="5415C66B" w14:textId="0595D4AA" w:rsidR="003960FB" w:rsidRPr="003F658E" w:rsidRDefault="538429F5" w:rsidP="003F658E">
      <w:pPr>
        <w:spacing w:line="360" w:lineRule="auto"/>
        <w:jc w:val="both"/>
        <w:rPr>
          <w:rFonts w:cs="Arial"/>
          <w:lang w:val="en-GB"/>
        </w:rPr>
      </w:pPr>
      <w:r w:rsidRPr="003F658E">
        <w:rPr>
          <w:rFonts w:cs="Arial"/>
          <w:lang w:val="en-GB"/>
        </w:rPr>
        <w:t>Corresponding author: Dr Judy Laing, School of Law, University of Bristol, BS8 1RJ</w:t>
      </w:r>
      <w:r w:rsidR="009B13B4">
        <w:rPr>
          <w:rFonts w:cs="Arial"/>
          <w:lang w:val="en-GB"/>
        </w:rPr>
        <w:t>.</w:t>
      </w:r>
      <w:r w:rsidRPr="003F658E">
        <w:rPr>
          <w:rFonts w:cs="Arial"/>
          <w:lang w:val="en-GB"/>
        </w:rPr>
        <w:t xml:space="preserve"> Email: </w:t>
      </w:r>
      <w:hyperlink r:id="rId8">
        <w:r w:rsidRPr="003F658E">
          <w:rPr>
            <w:rStyle w:val="Hyperlink"/>
            <w:rFonts w:cs="Arial"/>
            <w:lang w:val="en-GB"/>
          </w:rPr>
          <w:t>J.M.Laing@bristol.ac.uk</w:t>
        </w:r>
      </w:hyperlink>
    </w:p>
    <w:p w14:paraId="6215B5DB" w14:textId="73FEEC6C" w:rsidR="003960FB" w:rsidRPr="003F658E" w:rsidRDefault="538429F5" w:rsidP="003F658E">
      <w:pPr>
        <w:spacing w:line="360" w:lineRule="auto"/>
        <w:jc w:val="both"/>
        <w:rPr>
          <w:rFonts w:cs="Arial"/>
          <w:lang w:val="en-GB"/>
        </w:rPr>
      </w:pPr>
      <w:r w:rsidRPr="003F658E">
        <w:rPr>
          <w:rFonts w:cs="Arial"/>
          <w:lang w:val="en-GB"/>
        </w:rPr>
        <w:t xml:space="preserve">Dr Jeremy Dixon, Department of Social and Policy Sciences, University of Bath. </w:t>
      </w:r>
    </w:p>
    <w:p w14:paraId="1566A2DA" w14:textId="5BB59F5A" w:rsidR="003960FB" w:rsidRPr="003F658E" w:rsidRDefault="538429F5" w:rsidP="003F658E">
      <w:pPr>
        <w:spacing w:line="360" w:lineRule="auto"/>
        <w:jc w:val="both"/>
        <w:rPr>
          <w:rFonts w:cs="Arial"/>
          <w:lang w:val="en-GB"/>
        </w:rPr>
      </w:pPr>
      <w:r w:rsidRPr="003F658E">
        <w:rPr>
          <w:rFonts w:cs="Arial"/>
          <w:lang w:val="en-GB"/>
        </w:rPr>
        <w:t>Dr Kevin Stone, Department of Health and Social Sciences, University of the West of England.</w:t>
      </w:r>
    </w:p>
    <w:p w14:paraId="289C8675" w14:textId="0A9A5D2F" w:rsidR="003960FB" w:rsidRPr="003F658E" w:rsidRDefault="538429F5" w:rsidP="003F658E">
      <w:pPr>
        <w:spacing w:line="360" w:lineRule="auto"/>
        <w:jc w:val="both"/>
        <w:rPr>
          <w:rFonts w:cs="Arial"/>
          <w:lang w:val="en-GB"/>
        </w:rPr>
      </w:pPr>
      <w:r w:rsidRPr="003F658E">
        <w:rPr>
          <w:rFonts w:cs="Arial"/>
          <w:lang w:val="en-GB"/>
        </w:rPr>
        <w:t>Dr Megan Wilkinson-Tough, Department of Psychology, University of Bath.</w:t>
      </w:r>
    </w:p>
    <w:p w14:paraId="3D88BEE8" w14:textId="77777777" w:rsidR="003960FB" w:rsidRPr="003F658E" w:rsidRDefault="003960FB" w:rsidP="003F658E">
      <w:pPr>
        <w:spacing w:line="360" w:lineRule="auto"/>
        <w:jc w:val="both"/>
        <w:rPr>
          <w:rFonts w:cs="Arial"/>
          <w:b/>
          <w:lang w:val="en-GB"/>
        </w:rPr>
      </w:pPr>
    </w:p>
    <w:p w14:paraId="2F50FBC7" w14:textId="64CD9796" w:rsidR="001E38D3" w:rsidRPr="003F658E" w:rsidRDefault="538429F5" w:rsidP="003F658E">
      <w:pPr>
        <w:spacing w:line="360" w:lineRule="auto"/>
        <w:jc w:val="both"/>
        <w:outlineLvl w:val="0"/>
        <w:rPr>
          <w:rFonts w:cs="Arial"/>
          <w:b/>
          <w:bCs/>
          <w:lang w:val="en-GB"/>
        </w:rPr>
      </w:pPr>
      <w:r w:rsidRPr="003F658E">
        <w:rPr>
          <w:rFonts w:cs="Arial"/>
          <w:b/>
          <w:bCs/>
          <w:lang w:val="en-GB"/>
        </w:rPr>
        <w:t xml:space="preserve">Abstract </w:t>
      </w:r>
    </w:p>
    <w:p w14:paraId="07064E8D" w14:textId="72B4B05B" w:rsidR="00CC6C01" w:rsidRPr="003F658E" w:rsidRDefault="00CC6C01" w:rsidP="003F658E">
      <w:pPr>
        <w:spacing w:line="360" w:lineRule="auto"/>
        <w:jc w:val="both"/>
        <w:rPr>
          <w:rFonts w:cs="Arial"/>
          <w:lang w:val="en-GB"/>
        </w:rPr>
      </w:pPr>
    </w:p>
    <w:p w14:paraId="7F472F56" w14:textId="275C248F" w:rsidR="001E38D3" w:rsidRPr="003F658E" w:rsidRDefault="538429F5" w:rsidP="003F658E">
      <w:pPr>
        <w:spacing w:line="360" w:lineRule="auto"/>
        <w:jc w:val="both"/>
        <w:rPr>
          <w:rFonts w:cs="Arial"/>
          <w:i/>
          <w:iCs/>
          <w:lang w:val="en-GB"/>
        </w:rPr>
      </w:pPr>
      <w:r w:rsidRPr="003F658E">
        <w:rPr>
          <w:rFonts w:cs="Arial"/>
          <w:i/>
          <w:iCs/>
          <w:lang w:val="en-GB"/>
        </w:rPr>
        <w:t xml:space="preserve">The role of Nearest Relative is intended as a safeguard in the </w:t>
      </w:r>
      <w:r w:rsidR="00E245F8" w:rsidRPr="003F658E">
        <w:rPr>
          <w:rFonts w:cs="Arial"/>
          <w:i/>
          <w:iCs/>
          <w:lang w:val="en-GB"/>
        </w:rPr>
        <w:t xml:space="preserve">Mental Health Act 1983 (as amended in 2007) </w:t>
      </w:r>
      <w:r w:rsidRPr="003F658E">
        <w:rPr>
          <w:rFonts w:cs="Arial"/>
          <w:i/>
          <w:iCs/>
          <w:lang w:val="en-GB"/>
        </w:rPr>
        <w:t>to curb the excesses of professional discretion and protect patients from unwarranted compulsory hospitalisation. It is unique to the mental health compulsory detention process in England and Wales. There are, however, evident tensions in the role and a lack of clarity surrounding the precise functions of the nearest relative. There is also some uncertainty and confusion among practitioners about the scope of the nearest relative involvement. Despite longstanding concerns about the role, there is remarkably little published research available to date on its use and effectiveness, in so far as evaluating the extent to which it provides an adequate safeguard for patients, as intended by the legislation.  This article will briefly explore the background to the role, highlight some of the difficulties and tensions within it and conclude with some observations about where further research and reform may be needed to provide greater protection and clarity for patients, relatives and health and social care practitioners.</w:t>
      </w:r>
    </w:p>
    <w:p w14:paraId="50B86B95" w14:textId="77777777" w:rsidR="0007307F" w:rsidRPr="003F658E" w:rsidRDefault="0007307F" w:rsidP="003F658E">
      <w:pPr>
        <w:spacing w:line="360" w:lineRule="auto"/>
        <w:jc w:val="both"/>
        <w:rPr>
          <w:rFonts w:cs="Arial"/>
          <w:b/>
          <w:bCs/>
          <w:lang w:val="en-GB"/>
        </w:rPr>
      </w:pPr>
    </w:p>
    <w:p w14:paraId="7352F61B" w14:textId="53AE2D3D" w:rsidR="0007307F" w:rsidRPr="003F658E" w:rsidRDefault="0007307F" w:rsidP="003F658E">
      <w:pPr>
        <w:spacing w:line="360" w:lineRule="auto"/>
        <w:jc w:val="both"/>
        <w:rPr>
          <w:rFonts w:cs="Arial"/>
          <w:i/>
          <w:iCs/>
          <w:lang w:val="en-GB"/>
        </w:rPr>
      </w:pPr>
      <w:r w:rsidRPr="003F658E">
        <w:rPr>
          <w:rFonts w:cs="Arial"/>
          <w:b/>
          <w:bCs/>
          <w:lang w:val="en-GB"/>
        </w:rPr>
        <w:t>Key words:</w:t>
      </w:r>
      <w:r w:rsidR="00E245F8" w:rsidRPr="003F658E">
        <w:rPr>
          <w:rFonts w:cs="Arial"/>
          <w:b/>
          <w:bCs/>
          <w:lang w:val="en-GB"/>
        </w:rPr>
        <w:t xml:space="preserve"> </w:t>
      </w:r>
      <w:r w:rsidR="00E245F8" w:rsidRPr="003F658E">
        <w:rPr>
          <w:rFonts w:cs="Arial"/>
          <w:i/>
          <w:iCs/>
          <w:lang w:val="en-GB"/>
        </w:rPr>
        <w:t>Mental Health Act</w:t>
      </w:r>
      <w:r w:rsidR="00E245F8" w:rsidRPr="003F658E">
        <w:rPr>
          <w:rFonts w:cs="Arial"/>
          <w:b/>
          <w:bCs/>
          <w:lang w:val="en-GB"/>
        </w:rPr>
        <w:t xml:space="preserve"> </w:t>
      </w:r>
      <w:r w:rsidRPr="003F658E">
        <w:rPr>
          <w:rFonts w:cs="Arial"/>
          <w:i/>
          <w:iCs/>
          <w:lang w:val="en-GB"/>
        </w:rPr>
        <w:t>– nearest relative – patient rights - safeguard – Approved Mental Health Professional – families and carers</w:t>
      </w:r>
    </w:p>
    <w:p w14:paraId="1471F865" w14:textId="77777777" w:rsidR="0007307F" w:rsidRPr="003F658E" w:rsidRDefault="0007307F" w:rsidP="003F658E">
      <w:pPr>
        <w:spacing w:line="360" w:lineRule="auto"/>
        <w:jc w:val="both"/>
        <w:rPr>
          <w:rFonts w:cs="Arial"/>
        </w:rPr>
      </w:pPr>
    </w:p>
    <w:p w14:paraId="59697E2D" w14:textId="5D9A76E0" w:rsidR="001E38D3" w:rsidRPr="003F658E" w:rsidRDefault="538429F5" w:rsidP="003F658E">
      <w:pPr>
        <w:spacing w:line="360" w:lineRule="auto"/>
        <w:jc w:val="both"/>
        <w:outlineLvl w:val="0"/>
        <w:rPr>
          <w:rFonts w:cs="Arial"/>
          <w:b/>
          <w:bCs/>
          <w:lang w:val="en-GB"/>
        </w:rPr>
      </w:pPr>
      <w:r w:rsidRPr="003F658E">
        <w:rPr>
          <w:rFonts w:cs="Arial"/>
          <w:b/>
          <w:bCs/>
          <w:lang w:val="en-GB"/>
        </w:rPr>
        <w:t xml:space="preserve">Introduction and background to the Nearest Relative role </w:t>
      </w:r>
    </w:p>
    <w:p w14:paraId="3F1A6C59" w14:textId="77777777" w:rsidR="001E38D3" w:rsidRPr="003F658E" w:rsidRDefault="001E38D3" w:rsidP="003F658E">
      <w:pPr>
        <w:spacing w:line="360" w:lineRule="auto"/>
        <w:jc w:val="both"/>
        <w:rPr>
          <w:rFonts w:cs="Arial"/>
          <w:b/>
          <w:lang w:val="en-GB"/>
        </w:rPr>
      </w:pPr>
    </w:p>
    <w:p w14:paraId="4FFA6AC7" w14:textId="7703BCF1" w:rsidR="00A96D49" w:rsidRDefault="003101B8" w:rsidP="003F658E">
      <w:pPr>
        <w:spacing w:line="360" w:lineRule="auto"/>
        <w:jc w:val="both"/>
        <w:rPr>
          <w:rFonts w:cs="Arial"/>
          <w:lang w:val="en-GB"/>
        </w:rPr>
      </w:pPr>
      <w:r w:rsidRPr="003F658E">
        <w:rPr>
          <w:rFonts w:cs="Arial"/>
          <w:lang w:val="en-GB"/>
        </w:rPr>
        <w:t xml:space="preserve">The World Health Organisation’s ‘Resource Book on Mental Health, Human Rights and Legislation’ recognises that the involvement of relatives and carers with persons with mental </w:t>
      </w:r>
      <w:r w:rsidRPr="003F658E">
        <w:rPr>
          <w:rFonts w:cs="Arial"/>
          <w:lang w:val="en-GB"/>
        </w:rPr>
        <w:lastRenderedPageBreak/>
        <w:t xml:space="preserve">disorders varies significantly among different countries and cultures. Nevertheless, it is common for families and carers to assume major responsibilities for looking after persons with mental disorders and </w:t>
      </w:r>
      <w:r w:rsidR="00593965" w:rsidRPr="003F658E">
        <w:rPr>
          <w:rFonts w:cs="Arial"/>
          <w:lang w:val="en-GB"/>
        </w:rPr>
        <w:t>the W</w:t>
      </w:r>
      <w:r w:rsidR="0030470F" w:rsidRPr="003F658E">
        <w:rPr>
          <w:rFonts w:cs="Arial"/>
          <w:lang w:val="en-GB"/>
        </w:rPr>
        <w:t xml:space="preserve">orld </w:t>
      </w:r>
      <w:r w:rsidR="00593965" w:rsidRPr="003F658E">
        <w:rPr>
          <w:rFonts w:cs="Arial"/>
          <w:lang w:val="en-GB"/>
        </w:rPr>
        <w:t>H</w:t>
      </w:r>
      <w:r w:rsidR="0030470F" w:rsidRPr="003F658E">
        <w:rPr>
          <w:rFonts w:cs="Arial"/>
          <w:lang w:val="en-GB"/>
        </w:rPr>
        <w:t xml:space="preserve">ealth </w:t>
      </w:r>
      <w:r w:rsidR="00593965" w:rsidRPr="003F658E">
        <w:rPr>
          <w:rFonts w:cs="Arial"/>
          <w:lang w:val="en-GB"/>
        </w:rPr>
        <w:t>O</w:t>
      </w:r>
      <w:r w:rsidR="0030470F" w:rsidRPr="003F658E">
        <w:rPr>
          <w:rFonts w:cs="Arial"/>
          <w:lang w:val="en-GB"/>
        </w:rPr>
        <w:t>rganisation</w:t>
      </w:r>
      <w:r w:rsidR="00593965" w:rsidRPr="003F658E">
        <w:rPr>
          <w:rFonts w:cs="Arial"/>
          <w:lang w:val="en-GB"/>
        </w:rPr>
        <w:t xml:space="preserve"> advises that </w:t>
      </w:r>
      <w:r w:rsidR="00B91FD2" w:rsidRPr="003F658E">
        <w:rPr>
          <w:rFonts w:cs="Arial"/>
          <w:lang w:val="en-GB"/>
        </w:rPr>
        <w:t xml:space="preserve">national </w:t>
      </w:r>
      <w:r w:rsidRPr="003F658E">
        <w:rPr>
          <w:rFonts w:cs="Arial"/>
          <w:lang w:val="en-GB"/>
        </w:rPr>
        <w:t xml:space="preserve">legislation needs to reflect this (WHO, 2005: 39). </w:t>
      </w:r>
      <w:r w:rsidR="006D2C5F" w:rsidRPr="003F658E">
        <w:rPr>
          <w:rFonts w:cs="Arial"/>
          <w:lang w:val="en-GB"/>
        </w:rPr>
        <w:t xml:space="preserve">The Mental Health Act (MHA) </w:t>
      </w:r>
      <w:r w:rsidRPr="003F658E">
        <w:rPr>
          <w:rFonts w:cs="Arial"/>
          <w:lang w:val="en-GB"/>
        </w:rPr>
        <w:t xml:space="preserve">in England and Wales </w:t>
      </w:r>
      <w:r w:rsidR="0040601E" w:rsidRPr="003F658E">
        <w:rPr>
          <w:rFonts w:cs="Arial"/>
          <w:lang w:val="en-GB"/>
        </w:rPr>
        <w:t xml:space="preserve">does </w:t>
      </w:r>
      <w:r w:rsidRPr="003F658E">
        <w:rPr>
          <w:rFonts w:cs="Arial"/>
          <w:lang w:val="en-GB"/>
        </w:rPr>
        <w:t>re</w:t>
      </w:r>
      <w:r w:rsidR="00541E9A" w:rsidRPr="003F658E">
        <w:rPr>
          <w:rFonts w:cs="Arial"/>
          <w:lang w:val="en-GB"/>
        </w:rPr>
        <w:t>cognise</w:t>
      </w:r>
      <w:r w:rsidRPr="003F658E">
        <w:rPr>
          <w:rFonts w:cs="Arial"/>
          <w:lang w:val="en-GB"/>
        </w:rPr>
        <w:t xml:space="preserve"> this by giving </w:t>
      </w:r>
      <w:r w:rsidR="00512EF2" w:rsidRPr="003F658E">
        <w:rPr>
          <w:rFonts w:cs="Arial"/>
          <w:lang w:val="en-GB"/>
        </w:rPr>
        <w:t xml:space="preserve">certain </w:t>
      </w:r>
      <w:r w:rsidRPr="003F658E">
        <w:rPr>
          <w:rFonts w:cs="Arial"/>
          <w:lang w:val="en-GB"/>
        </w:rPr>
        <w:t>relatives legal right</w:t>
      </w:r>
      <w:r w:rsidR="00DE63A3" w:rsidRPr="003F658E">
        <w:rPr>
          <w:rFonts w:cs="Arial"/>
          <w:lang w:val="en-GB"/>
        </w:rPr>
        <w:t>s</w:t>
      </w:r>
      <w:r w:rsidRPr="003F658E">
        <w:rPr>
          <w:rFonts w:cs="Arial"/>
          <w:lang w:val="en-GB"/>
        </w:rPr>
        <w:t xml:space="preserve"> to be directly involved </w:t>
      </w:r>
      <w:r w:rsidR="00541E9A" w:rsidRPr="003F658E">
        <w:rPr>
          <w:rFonts w:cs="Arial"/>
          <w:lang w:val="en-GB"/>
        </w:rPr>
        <w:t>and play an active role</w:t>
      </w:r>
      <w:r w:rsidR="00DE63A3" w:rsidRPr="003F658E">
        <w:rPr>
          <w:rFonts w:cs="Arial"/>
          <w:lang w:val="en-GB"/>
        </w:rPr>
        <w:t xml:space="preserve"> (as a </w:t>
      </w:r>
      <w:r w:rsidR="00BF487B" w:rsidRPr="003F658E">
        <w:rPr>
          <w:rFonts w:cs="Arial"/>
          <w:lang w:val="en-GB"/>
        </w:rPr>
        <w:t xml:space="preserve">designated </w:t>
      </w:r>
      <w:r w:rsidR="00DE63A3" w:rsidRPr="003F658E">
        <w:rPr>
          <w:rFonts w:cs="Arial"/>
          <w:lang w:val="en-GB"/>
        </w:rPr>
        <w:t>Nearest Relative (NR))</w:t>
      </w:r>
      <w:r w:rsidR="00541E9A" w:rsidRPr="003F658E">
        <w:rPr>
          <w:rFonts w:cs="Arial"/>
          <w:lang w:val="en-GB"/>
        </w:rPr>
        <w:t xml:space="preserve"> </w:t>
      </w:r>
      <w:r w:rsidRPr="003F658E">
        <w:rPr>
          <w:rFonts w:cs="Arial"/>
          <w:lang w:val="en-GB"/>
        </w:rPr>
        <w:t xml:space="preserve">in the compulsory admission process. </w:t>
      </w:r>
      <w:r w:rsidR="00A96D49">
        <w:rPr>
          <w:rFonts w:cs="Arial"/>
          <w:lang w:val="en-GB"/>
        </w:rPr>
        <w:t xml:space="preserve">The MHA regulates the legal framework for providing compulsory mental health treatment to persons with a mental disorder in England and Wales. The MHA sets out the criteria and procedures for compulsory admission to, </w:t>
      </w:r>
      <w:r w:rsidR="00231D89">
        <w:rPr>
          <w:rFonts w:cs="Arial"/>
          <w:lang w:val="en-GB"/>
        </w:rPr>
        <w:t>and treatment</w:t>
      </w:r>
      <w:r w:rsidR="00A96D49">
        <w:rPr>
          <w:rFonts w:cs="Arial"/>
          <w:lang w:val="en-GB"/>
        </w:rPr>
        <w:t xml:space="preserve"> in</w:t>
      </w:r>
      <w:r w:rsidR="00231D89">
        <w:rPr>
          <w:rFonts w:cs="Arial"/>
          <w:lang w:val="en-GB"/>
        </w:rPr>
        <w:t>,</w:t>
      </w:r>
      <w:r w:rsidR="00A96D49">
        <w:rPr>
          <w:rFonts w:cs="Arial"/>
          <w:lang w:val="en-GB"/>
        </w:rPr>
        <w:t xml:space="preserve"> hospital, as well as outlining the various duties an</w:t>
      </w:r>
      <w:r w:rsidR="00231D89">
        <w:rPr>
          <w:rFonts w:cs="Arial"/>
          <w:lang w:val="en-GB"/>
        </w:rPr>
        <w:t>d responsibilities of relatives</w:t>
      </w:r>
      <w:r w:rsidR="00A96D49">
        <w:rPr>
          <w:rFonts w:cs="Arial"/>
          <w:lang w:val="en-GB"/>
        </w:rPr>
        <w:t xml:space="preserve"> and key professionals, such as social workers and psychiatrists, in those processes.  </w:t>
      </w:r>
    </w:p>
    <w:p w14:paraId="146C1853" w14:textId="77777777" w:rsidR="00A96D49" w:rsidRDefault="00A96D49" w:rsidP="003F658E">
      <w:pPr>
        <w:spacing w:line="360" w:lineRule="auto"/>
        <w:jc w:val="both"/>
        <w:rPr>
          <w:rFonts w:cs="Arial"/>
          <w:lang w:val="en-GB"/>
        </w:rPr>
      </w:pPr>
    </w:p>
    <w:p w14:paraId="5A232915" w14:textId="067F7E54" w:rsidR="003101B8" w:rsidRPr="003F658E" w:rsidRDefault="003101B8" w:rsidP="003F658E">
      <w:pPr>
        <w:spacing w:line="360" w:lineRule="auto"/>
        <w:jc w:val="both"/>
        <w:rPr>
          <w:rFonts w:cs="Arial"/>
          <w:lang w:val="en-GB"/>
        </w:rPr>
      </w:pPr>
      <w:r w:rsidRPr="003F658E">
        <w:rPr>
          <w:rFonts w:cs="Arial"/>
          <w:lang w:val="en-GB"/>
        </w:rPr>
        <w:t xml:space="preserve">This </w:t>
      </w:r>
      <w:r w:rsidR="00512EF2" w:rsidRPr="003F658E">
        <w:rPr>
          <w:rFonts w:cs="Arial"/>
          <w:lang w:val="en-GB"/>
        </w:rPr>
        <w:t xml:space="preserve">imperative for </w:t>
      </w:r>
      <w:r w:rsidRPr="003F658E">
        <w:rPr>
          <w:rFonts w:cs="Arial"/>
          <w:lang w:val="en-GB"/>
        </w:rPr>
        <w:t>active involvement of relatives</w:t>
      </w:r>
      <w:r w:rsidR="00231D89">
        <w:rPr>
          <w:rFonts w:cs="Arial"/>
          <w:lang w:val="en-GB"/>
        </w:rPr>
        <w:t>/</w:t>
      </w:r>
      <w:r w:rsidRPr="003F658E">
        <w:rPr>
          <w:rFonts w:cs="Arial"/>
          <w:lang w:val="en-GB"/>
        </w:rPr>
        <w:t>carers sits well with recent government policy</w:t>
      </w:r>
      <w:r w:rsidR="004C57EB" w:rsidRPr="003F658E">
        <w:rPr>
          <w:rFonts w:cs="Arial"/>
          <w:lang w:val="en-GB"/>
        </w:rPr>
        <w:t xml:space="preserve"> in the UK</w:t>
      </w:r>
      <w:r w:rsidRPr="003F658E">
        <w:rPr>
          <w:rFonts w:cs="Arial"/>
          <w:lang w:val="en-GB"/>
        </w:rPr>
        <w:t>, which has reaffirmed the important role that carers and family members play in patient</w:t>
      </w:r>
      <w:r w:rsidR="004553F8" w:rsidRPr="003F658E">
        <w:rPr>
          <w:rStyle w:val="FootnoteReference"/>
          <w:rFonts w:cs="Arial"/>
          <w:lang w:val="en-GB"/>
        </w:rPr>
        <w:footnoteReference w:id="1"/>
      </w:r>
      <w:r w:rsidRPr="003F658E">
        <w:rPr>
          <w:rFonts w:cs="Arial"/>
          <w:lang w:val="en-GB"/>
        </w:rPr>
        <w:t xml:space="preserve"> care (Department of Health, </w:t>
      </w:r>
      <w:r w:rsidRPr="003F658E">
        <w:rPr>
          <w:rFonts w:cs="Arial"/>
          <w:i/>
          <w:iCs/>
          <w:lang w:val="en-GB"/>
        </w:rPr>
        <w:t>Recognised, Valued and Supported: next steps for the carers strategy</w:t>
      </w:r>
      <w:r w:rsidRPr="003F658E">
        <w:rPr>
          <w:rFonts w:cs="Arial"/>
          <w:lang w:val="en-GB"/>
        </w:rPr>
        <w:t xml:space="preserve"> (2010)</w:t>
      </w:r>
      <w:r w:rsidR="00A96D49">
        <w:rPr>
          <w:rFonts w:cs="Arial"/>
          <w:lang w:val="en-GB"/>
        </w:rPr>
        <w:t>)</w:t>
      </w:r>
      <w:r w:rsidRPr="003F658E">
        <w:rPr>
          <w:rFonts w:cs="Arial"/>
          <w:lang w:val="en-GB"/>
        </w:rPr>
        <w:t xml:space="preserve">. The advent of the Care Act in 2014 reinforced the key role filled by carers and created entitlements for carers to </w:t>
      </w:r>
      <w:r w:rsidR="00231D89">
        <w:rPr>
          <w:rFonts w:cs="Arial"/>
          <w:lang w:val="en-GB"/>
        </w:rPr>
        <w:t xml:space="preserve">receive </w:t>
      </w:r>
      <w:r w:rsidRPr="003F658E">
        <w:rPr>
          <w:rFonts w:cs="Arial"/>
          <w:lang w:val="en-GB"/>
        </w:rPr>
        <w:t>support</w:t>
      </w:r>
      <w:r w:rsidR="00231D89">
        <w:rPr>
          <w:rFonts w:cs="Arial"/>
          <w:lang w:val="en-GB"/>
        </w:rPr>
        <w:t>. Furthermore, i</w:t>
      </w:r>
      <w:r w:rsidRPr="003F658E">
        <w:rPr>
          <w:rFonts w:cs="Arial"/>
          <w:lang w:val="en-GB"/>
        </w:rPr>
        <w:t>n recognition of the tremendous contribution of unpaid carers, the current Conservative government has recently consulted on a new strategy to improve the support provided to informal carers.</w:t>
      </w:r>
      <w:r w:rsidRPr="003F658E">
        <w:rPr>
          <w:rStyle w:val="FootnoteReference"/>
          <w:rFonts w:cs="Arial"/>
          <w:lang w:val="en-GB"/>
        </w:rPr>
        <w:footnoteReference w:id="2"/>
      </w:r>
      <w:r w:rsidRPr="003F658E">
        <w:rPr>
          <w:rFonts w:cs="Arial"/>
          <w:lang w:val="en-GB"/>
        </w:rPr>
        <w:t xml:space="preserve"> It is therefore timely to take a closer look at the involvement of relatives</w:t>
      </w:r>
      <w:r w:rsidR="00574339" w:rsidRPr="003F658E">
        <w:rPr>
          <w:rFonts w:cs="Arial"/>
          <w:lang w:val="en-GB"/>
        </w:rPr>
        <w:t xml:space="preserve"> (who may or may not be carers)</w:t>
      </w:r>
      <w:r w:rsidRPr="003F658E">
        <w:rPr>
          <w:rFonts w:cs="Arial"/>
          <w:lang w:val="en-GB"/>
        </w:rPr>
        <w:t xml:space="preserve"> in the compulsory mental health care process in the light of the government’s commitment to strengthen the support and involvement of carers in the provision of health and social care more generally.</w:t>
      </w:r>
      <w:r w:rsidR="00ED6AF9" w:rsidRPr="003F658E">
        <w:rPr>
          <w:rFonts w:cs="Arial"/>
          <w:lang w:val="en-GB"/>
        </w:rPr>
        <w:t xml:space="preserve"> Th</w:t>
      </w:r>
      <w:r w:rsidR="00156BB5" w:rsidRPr="003F658E">
        <w:rPr>
          <w:rFonts w:cs="Arial"/>
          <w:lang w:val="en-GB"/>
        </w:rPr>
        <w:t xml:space="preserve">is need </w:t>
      </w:r>
      <w:r w:rsidR="00ED6AF9" w:rsidRPr="003F658E">
        <w:rPr>
          <w:rFonts w:cs="Arial"/>
          <w:lang w:val="en-GB"/>
        </w:rPr>
        <w:t xml:space="preserve">is reinforced by the government’s recent announcement </w:t>
      </w:r>
      <w:r w:rsidR="00443925" w:rsidRPr="003F658E">
        <w:rPr>
          <w:rFonts w:cs="Arial"/>
          <w:lang w:val="en-GB"/>
        </w:rPr>
        <w:t xml:space="preserve">in the Queen’s Speech </w:t>
      </w:r>
      <w:r w:rsidR="00ED6AF9" w:rsidRPr="003F658E">
        <w:rPr>
          <w:rFonts w:cs="Arial"/>
          <w:lang w:val="en-GB"/>
        </w:rPr>
        <w:t xml:space="preserve">that it intends to review the current </w:t>
      </w:r>
      <w:r w:rsidR="00E245F8" w:rsidRPr="003F658E">
        <w:rPr>
          <w:rFonts w:cs="Arial"/>
          <w:lang w:val="en-GB"/>
        </w:rPr>
        <w:t xml:space="preserve">MHA </w:t>
      </w:r>
      <w:r w:rsidR="00ED6AF9" w:rsidRPr="003F658E">
        <w:rPr>
          <w:rFonts w:cs="Arial"/>
          <w:lang w:val="en-GB"/>
        </w:rPr>
        <w:t>with a view to introducing a new Mental Health Treatment Act.</w:t>
      </w:r>
      <w:r w:rsidR="00ED6AF9" w:rsidRPr="003F658E">
        <w:rPr>
          <w:rStyle w:val="FootnoteReference"/>
          <w:rFonts w:cs="Arial"/>
          <w:lang w:val="en-GB"/>
        </w:rPr>
        <w:footnoteReference w:id="3"/>
      </w:r>
      <w:r w:rsidR="00ED6AF9" w:rsidRPr="003F658E">
        <w:rPr>
          <w:rFonts w:cs="Arial"/>
          <w:lang w:val="en-GB"/>
        </w:rPr>
        <w:t xml:space="preserve"> </w:t>
      </w:r>
      <w:r w:rsidR="00F66F23" w:rsidRPr="003F658E">
        <w:rPr>
          <w:rFonts w:cs="Arial"/>
          <w:lang w:val="en-GB"/>
        </w:rPr>
        <w:t xml:space="preserve">It is also apposite </w:t>
      </w:r>
      <w:r w:rsidR="00ED6AF9" w:rsidRPr="003F658E">
        <w:rPr>
          <w:rFonts w:cs="Arial"/>
          <w:lang w:val="en-GB"/>
        </w:rPr>
        <w:t xml:space="preserve">to re-appraise the role </w:t>
      </w:r>
      <w:r w:rsidR="00541E9A" w:rsidRPr="003F658E">
        <w:rPr>
          <w:rFonts w:cs="Arial"/>
          <w:lang w:val="en-GB"/>
        </w:rPr>
        <w:t xml:space="preserve">if we consider the context of </w:t>
      </w:r>
      <w:r w:rsidR="006D2C5F" w:rsidRPr="003F658E">
        <w:rPr>
          <w:rFonts w:cs="Arial"/>
          <w:lang w:val="en-GB"/>
        </w:rPr>
        <w:t xml:space="preserve">MHA </w:t>
      </w:r>
      <w:r w:rsidR="00F66F23" w:rsidRPr="003F658E">
        <w:rPr>
          <w:rFonts w:cs="Arial"/>
          <w:lang w:val="en-GB"/>
        </w:rPr>
        <w:t>detentions and the growing number of compulsory admissions in England and Wales during the last decade</w:t>
      </w:r>
      <w:r w:rsidR="004F49F3" w:rsidRPr="003F658E">
        <w:rPr>
          <w:rFonts w:cs="Arial"/>
          <w:lang w:val="en-GB"/>
        </w:rPr>
        <w:t xml:space="preserve"> (NHS Digital, 2016)</w:t>
      </w:r>
      <w:r w:rsidR="00B22AE6" w:rsidRPr="003F658E">
        <w:rPr>
          <w:rFonts w:cs="Arial"/>
          <w:lang w:val="en-GB"/>
        </w:rPr>
        <w:t>, which raise</w:t>
      </w:r>
      <w:r w:rsidR="00845E77" w:rsidRPr="003F658E">
        <w:rPr>
          <w:rFonts w:cs="Arial"/>
          <w:lang w:val="en-GB"/>
        </w:rPr>
        <w:t xml:space="preserve"> </w:t>
      </w:r>
      <w:r w:rsidR="00845E77" w:rsidRPr="003F658E">
        <w:rPr>
          <w:rFonts w:cs="Arial"/>
          <w:lang w:val="en-GB"/>
        </w:rPr>
        <w:lastRenderedPageBreak/>
        <w:t xml:space="preserve">further questions about the </w:t>
      </w:r>
      <w:r w:rsidR="00B22AE6" w:rsidRPr="003F658E">
        <w:rPr>
          <w:rFonts w:cs="Arial"/>
          <w:lang w:val="en-GB"/>
        </w:rPr>
        <w:t xml:space="preserve">use of compulsory admission powers and the </w:t>
      </w:r>
      <w:r w:rsidR="00845E77" w:rsidRPr="003F658E">
        <w:rPr>
          <w:rFonts w:cs="Arial"/>
          <w:lang w:val="en-GB"/>
        </w:rPr>
        <w:t>involvement of relatives in that process</w:t>
      </w:r>
      <w:r w:rsidR="004F49F3" w:rsidRPr="003F658E">
        <w:rPr>
          <w:rFonts w:cs="Arial"/>
          <w:lang w:val="en-GB"/>
        </w:rPr>
        <w:t>.</w:t>
      </w:r>
      <w:r w:rsidR="00F66F23" w:rsidRPr="003F658E">
        <w:rPr>
          <w:rFonts w:cs="Arial"/>
          <w:lang w:val="en-GB"/>
        </w:rPr>
        <w:t xml:space="preserve"> </w:t>
      </w:r>
    </w:p>
    <w:p w14:paraId="398E20A9" w14:textId="77777777" w:rsidR="003101B8" w:rsidRPr="003F658E" w:rsidRDefault="003101B8" w:rsidP="003F658E">
      <w:pPr>
        <w:spacing w:line="360" w:lineRule="auto"/>
        <w:jc w:val="both"/>
        <w:rPr>
          <w:rFonts w:cs="Arial"/>
          <w:lang w:val="en-GB"/>
        </w:rPr>
      </w:pPr>
    </w:p>
    <w:p w14:paraId="1803AEDB" w14:textId="50362572" w:rsidR="00422893" w:rsidRPr="003F658E" w:rsidRDefault="1051A058" w:rsidP="003F658E">
      <w:pPr>
        <w:spacing w:line="360" w:lineRule="auto"/>
        <w:jc w:val="both"/>
        <w:rPr>
          <w:rFonts w:cs="Arial"/>
          <w:lang w:val="en-GB"/>
        </w:rPr>
      </w:pPr>
      <w:r w:rsidRPr="003F658E">
        <w:rPr>
          <w:rFonts w:cs="Arial"/>
          <w:lang w:val="en-GB"/>
        </w:rPr>
        <w:t>Th</w:t>
      </w:r>
      <w:r w:rsidR="00231D89">
        <w:rPr>
          <w:rFonts w:cs="Arial"/>
          <w:lang w:val="en-GB"/>
        </w:rPr>
        <w:t>e</w:t>
      </w:r>
      <w:r w:rsidRPr="003F658E">
        <w:rPr>
          <w:rFonts w:cs="Arial"/>
          <w:lang w:val="en-GB"/>
        </w:rPr>
        <w:t xml:space="preserve"> NR involvement in the mental health compulsory admission process has its roots in the recommendations of the Percy Commission (</w:t>
      </w:r>
      <w:r w:rsidRPr="003F658E">
        <w:rPr>
          <w:rFonts w:cs="Arial"/>
          <w:i/>
          <w:iCs/>
          <w:lang w:val="en-GB"/>
        </w:rPr>
        <w:t>Royal Commission on Law relating to Mental Illness and Mental Deficiency</w:t>
      </w:r>
      <w:r w:rsidRPr="003F658E">
        <w:rPr>
          <w:rFonts w:cs="Arial"/>
          <w:lang w:val="en-GB"/>
        </w:rPr>
        <w:t xml:space="preserve"> 1957 Cm 690). </w:t>
      </w:r>
      <w:r w:rsidRPr="003F658E">
        <w:rPr>
          <w:rFonts w:eastAsiaTheme="minorEastAsia" w:cs="Arial"/>
          <w:lang w:val="en-GB"/>
        </w:rPr>
        <w:t xml:space="preserve">The Percy Commission recognised that </w:t>
      </w:r>
      <w:r w:rsidRPr="003F658E">
        <w:rPr>
          <w:rFonts w:eastAsiaTheme="minorEastAsia" w:cs="Arial"/>
          <w:color w:val="1A1A1A"/>
        </w:rPr>
        <w:t>relatives are often the first to identify symptoms as well as the need for contact with mental health services.</w:t>
      </w:r>
      <w:r w:rsidRPr="003F658E">
        <w:rPr>
          <w:rFonts w:cs="Arial"/>
          <w:lang w:val="en-GB"/>
        </w:rPr>
        <w:t xml:space="preserve"> The Percy Commission report led to the introduction of the Mental Health Act in 1959, which placed the NR on a statutory footing.  The government at the time clearly felt that it was an important safeguard against unwarranted hospitalization, thus, formal powers were accorded to relatives to detain and discharge patients which remain intact in the current mental health statutory framework. </w:t>
      </w:r>
    </w:p>
    <w:p w14:paraId="3C43CB6F" w14:textId="68E193A1" w:rsidR="00422893" w:rsidRPr="003F658E" w:rsidRDefault="00422893" w:rsidP="003F658E">
      <w:pPr>
        <w:spacing w:line="360" w:lineRule="auto"/>
        <w:jc w:val="both"/>
        <w:rPr>
          <w:rFonts w:cs="Arial"/>
          <w:lang w:val="en-GB"/>
        </w:rPr>
      </w:pPr>
    </w:p>
    <w:p w14:paraId="53349FB4" w14:textId="357AE64F" w:rsidR="00422893" w:rsidRPr="003F658E" w:rsidRDefault="1051A058" w:rsidP="003F658E">
      <w:pPr>
        <w:spacing w:line="360" w:lineRule="auto"/>
        <w:jc w:val="both"/>
        <w:rPr>
          <w:rFonts w:cs="Arial"/>
          <w:lang w:val="en-GB"/>
        </w:rPr>
      </w:pPr>
      <w:r w:rsidRPr="003F658E">
        <w:rPr>
          <w:rFonts w:cs="Arial"/>
          <w:lang w:val="en-GB"/>
        </w:rPr>
        <w:t xml:space="preserve">The NR role has survived various attempts at reform since the MHA 1959. It was retained in the </w:t>
      </w:r>
      <w:r w:rsidR="006D2C5F" w:rsidRPr="003F658E">
        <w:rPr>
          <w:rFonts w:cs="Arial"/>
          <w:lang w:val="en-GB"/>
        </w:rPr>
        <w:t xml:space="preserve">MHA </w:t>
      </w:r>
      <w:r w:rsidRPr="003F658E">
        <w:rPr>
          <w:rFonts w:cs="Arial"/>
          <w:lang w:val="en-GB"/>
        </w:rPr>
        <w:t>1983; however, it did come under considerable scrutiny during the reform process in the late 1990s/early 2000s, which culminated in the passing of the MHA 2007. Key concerns focused on</w:t>
      </w:r>
      <w:r w:rsidR="007F4886">
        <w:rPr>
          <w:rFonts w:cs="Arial"/>
          <w:lang w:val="en-GB"/>
        </w:rPr>
        <w:t>:</w:t>
      </w:r>
      <w:r w:rsidRPr="003F658E">
        <w:rPr>
          <w:rFonts w:cs="Arial"/>
          <w:lang w:val="en-GB"/>
        </w:rPr>
        <w:t xml:space="preserve"> the extent to which patients could exercise autonomy over the choice of relative for the role; the out-dated hierarchical list of relatives suitable to act as such; </w:t>
      </w:r>
      <w:r w:rsidR="005C7D4F">
        <w:rPr>
          <w:rFonts w:cs="Arial"/>
          <w:lang w:val="en-GB"/>
        </w:rPr>
        <w:t xml:space="preserve">as well as </w:t>
      </w:r>
      <w:r w:rsidRPr="003F658E">
        <w:rPr>
          <w:rFonts w:cs="Arial"/>
          <w:lang w:val="en-GB"/>
        </w:rPr>
        <w:t xml:space="preserve">issues around public and professional awareness, tensions and (mis)understanding about the role (Spencer-Lane, 2011; Andoh &amp; Gogo, 2004; Yeates, 2005). Despite the concerns, some proponents felt strongly that the presence of the NR can act as a strong counterbalance to professional opinion in the compulsory admission process. It can also help to promote the least restrictive alternative principle in the </w:t>
      </w:r>
      <w:r w:rsidR="00E245F8" w:rsidRPr="003F658E">
        <w:rPr>
          <w:rFonts w:cs="Arial"/>
          <w:lang w:val="en-GB"/>
        </w:rPr>
        <w:t xml:space="preserve">MHA, </w:t>
      </w:r>
      <w:r w:rsidRPr="003F658E">
        <w:rPr>
          <w:rFonts w:cs="Arial"/>
          <w:lang w:val="en-GB"/>
        </w:rPr>
        <w:t>as this quote from Yeates (2005: 125) demonstrates:</w:t>
      </w:r>
    </w:p>
    <w:p w14:paraId="0F5E6D22" w14:textId="77777777" w:rsidR="00CC296C" w:rsidRPr="003F658E" w:rsidRDefault="00CC296C" w:rsidP="003F658E">
      <w:pPr>
        <w:spacing w:line="360" w:lineRule="auto"/>
        <w:jc w:val="both"/>
        <w:rPr>
          <w:rFonts w:cs="Arial"/>
          <w:lang w:val="en-GB"/>
        </w:rPr>
      </w:pPr>
    </w:p>
    <w:p w14:paraId="48CF972D" w14:textId="604204A3" w:rsidR="00422893" w:rsidRPr="003F658E" w:rsidRDefault="538429F5" w:rsidP="003F658E">
      <w:pPr>
        <w:spacing w:line="360" w:lineRule="auto"/>
        <w:ind w:left="720"/>
        <w:jc w:val="both"/>
        <w:rPr>
          <w:rFonts w:cs="Arial"/>
          <w:lang w:val="en-GB"/>
        </w:rPr>
      </w:pPr>
      <w:r w:rsidRPr="003F658E">
        <w:rPr>
          <w:rFonts w:cs="Arial"/>
          <w:lang w:val="en-GB"/>
        </w:rPr>
        <w:t>‘</w:t>
      </w:r>
      <w:r w:rsidRPr="003F658E">
        <w:rPr>
          <w:rFonts w:cs="Arial"/>
          <w:i/>
          <w:iCs/>
          <w:lang w:val="en-GB"/>
        </w:rPr>
        <w:t>At a time when a person’s mental health is in crisis, they will benefit from someone who has a close connection and who can support the case for care in the least restrictive setting, in short, the case against compulsory hospitalisation. The nearest relative concept provides this’</w:t>
      </w:r>
      <w:r w:rsidRPr="003F658E">
        <w:rPr>
          <w:rFonts w:cs="Arial"/>
          <w:lang w:val="en-GB"/>
        </w:rPr>
        <w:t xml:space="preserve">. </w:t>
      </w:r>
    </w:p>
    <w:p w14:paraId="226E160E" w14:textId="77777777" w:rsidR="00422893" w:rsidRPr="003F658E" w:rsidRDefault="00422893" w:rsidP="003F658E">
      <w:pPr>
        <w:spacing w:line="360" w:lineRule="auto"/>
        <w:jc w:val="both"/>
        <w:rPr>
          <w:rFonts w:cs="Arial"/>
          <w:lang w:val="en-GB"/>
        </w:rPr>
      </w:pPr>
    </w:p>
    <w:p w14:paraId="4C2B9440" w14:textId="726ECE6E" w:rsidR="00F82674" w:rsidRPr="003F658E" w:rsidRDefault="538429F5" w:rsidP="003F658E">
      <w:pPr>
        <w:spacing w:line="360" w:lineRule="auto"/>
        <w:jc w:val="both"/>
        <w:rPr>
          <w:rFonts w:cs="Arial"/>
          <w:lang w:val="en-GB"/>
        </w:rPr>
      </w:pPr>
      <w:r w:rsidRPr="003F658E">
        <w:rPr>
          <w:rFonts w:cs="Arial"/>
          <w:lang w:val="en-GB"/>
        </w:rPr>
        <w:t xml:space="preserve">The reform process was protracted and, in the light of responses from key stakeholders, various suggestions for amendments to the role were made. The government ultimately did </w:t>
      </w:r>
      <w:r w:rsidRPr="003F658E">
        <w:rPr>
          <w:rFonts w:cs="Arial"/>
          <w:lang w:val="en-GB"/>
        </w:rPr>
        <w:lastRenderedPageBreak/>
        <w:t>not agree with the need for wholescale reform and the NR remained essentially intact, albeit with some modifications, primarily because of human rights concerns expressed during the reform process. The precise functions and duties of the NR, as well as these recent modifications to the role, are considered in more detail below.</w:t>
      </w:r>
    </w:p>
    <w:p w14:paraId="62836EAE" w14:textId="77777777" w:rsidR="00362EE7" w:rsidRPr="003F658E" w:rsidRDefault="00362EE7" w:rsidP="003F658E">
      <w:pPr>
        <w:spacing w:line="360" w:lineRule="auto"/>
        <w:jc w:val="both"/>
        <w:rPr>
          <w:rFonts w:cs="Arial"/>
          <w:b/>
          <w:lang w:val="en-GB"/>
        </w:rPr>
      </w:pPr>
    </w:p>
    <w:p w14:paraId="45222134" w14:textId="4EF6E2E6" w:rsidR="4ECBE03C" w:rsidRPr="003F658E" w:rsidRDefault="538429F5" w:rsidP="003F658E">
      <w:pPr>
        <w:spacing w:line="360" w:lineRule="auto"/>
        <w:jc w:val="both"/>
        <w:outlineLvl w:val="0"/>
        <w:rPr>
          <w:rFonts w:cs="Arial"/>
          <w:b/>
          <w:bCs/>
          <w:lang w:val="en-GB"/>
        </w:rPr>
      </w:pPr>
      <w:r w:rsidRPr="003F658E">
        <w:rPr>
          <w:rFonts w:cs="Arial"/>
          <w:b/>
          <w:bCs/>
          <w:lang w:val="en-GB"/>
        </w:rPr>
        <w:t xml:space="preserve">The Nearest Relative’s Duties and Powers </w:t>
      </w:r>
    </w:p>
    <w:p w14:paraId="3FC46C23" w14:textId="77777777" w:rsidR="007122F8" w:rsidRPr="003F658E" w:rsidRDefault="007122F8" w:rsidP="003F658E">
      <w:pPr>
        <w:spacing w:line="360" w:lineRule="auto"/>
        <w:jc w:val="both"/>
        <w:rPr>
          <w:rFonts w:cs="Arial"/>
        </w:rPr>
      </w:pPr>
    </w:p>
    <w:p w14:paraId="50D2CFD6" w14:textId="1A91E954" w:rsidR="007F33CF" w:rsidRPr="003F658E" w:rsidRDefault="00F15D94" w:rsidP="15ABA772">
      <w:pPr>
        <w:spacing w:line="360" w:lineRule="auto"/>
        <w:jc w:val="both"/>
        <w:rPr>
          <w:rFonts w:eastAsia="Calibri" w:cs="Arial"/>
          <w:lang w:val="en-GB"/>
        </w:rPr>
      </w:pPr>
      <w:r w:rsidRPr="003F658E">
        <w:rPr>
          <w:rFonts w:eastAsia="Calibri" w:cs="Arial"/>
          <w:lang w:val="en-GB"/>
        </w:rPr>
        <w:t>This section</w:t>
      </w:r>
      <w:r w:rsidR="00F719B3" w:rsidRPr="003F658E">
        <w:rPr>
          <w:rFonts w:eastAsia="Calibri" w:cs="Arial"/>
          <w:lang w:val="en-GB"/>
        </w:rPr>
        <w:t xml:space="preserve"> </w:t>
      </w:r>
      <w:r w:rsidR="00067EA8" w:rsidRPr="003F658E">
        <w:rPr>
          <w:rFonts w:eastAsia="Calibri" w:cs="Arial"/>
          <w:lang w:val="en-GB"/>
        </w:rPr>
        <w:t xml:space="preserve">seeks to highlight and thoughtfully consider key aspects of the NR </w:t>
      </w:r>
      <w:r w:rsidRPr="003F658E">
        <w:rPr>
          <w:rFonts w:eastAsia="Calibri" w:cs="Arial"/>
          <w:lang w:val="en-GB"/>
        </w:rPr>
        <w:t>role</w:t>
      </w:r>
      <w:r w:rsidR="00002471" w:rsidRPr="003F658E">
        <w:rPr>
          <w:rFonts w:eastAsia="Calibri" w:cs="Arial"/>
          <w:lang w:val="en-GB"/>
        </w:rPr>
        <w:t xml:space="preserve"> </w:t>
      </w:r>
      <w:r w:rsidR="00002471" w:rsidRPr="008409AB">
        <w:rPr>
          <w:rFonts w:eastAsia="Calibri" w:cs="Arial"/>
          <w:lang w:val="en-GB"/>
        </w:rPr>
        <w:t>in the compulsory admission process</w:t>
      </w:r>
      <w:r w:rsidRPr="008409AB">
        <w:rPr>
          <w:rFonts w:eastAsia="Calibri" w:cs="Arial"/>
          <w:lang w:val="en-GB"/>
        </w:rPr>
        <w:t>. Ordinarily an Approved Mental Health Professional</w:t>
      </w:r>
      <w:r w:rsidRPr="008409AB">
        <w:rPr>
          <w:rStyle w:val="FootnoteReference"/>
          <w:rFonts w:eastAsia="Calibri" w:cs="Arial"/>
          <w:lang w:val="en-GB"/>
        </w:rPr>
        <w:footnoteReference w:id="4"/>
      </w:r>
      <w:r w:rsidRPr="008409AB">
        <w:rPr>
          <w:rFonts w:eastAsia="Calibri" w:cs="Arial"/>
          <w:lang w:val="en-GB"/>
        </w:rPr>
        <w:t xml:space="preserve"> (AMHP) is the person who makes the decision </w:t>
      </w:r>
      <w:r w:rsidR="007F4886">
        <w:rPr>
          <w:rFonts w:eastAsia="Calibri" w:cs="Arial"/>
          <w:lang w:val="en-GB"/>
        </w:rPr>
        <w:t xml:space="preserve">as to </w:t>
      </w:r>
      <w:r w:rsidR="008409AB" w:rsidRPr="008409AB">
        <w:rPr>
          <w:rFonts w:eastAsia="Calibri" w:cs="Arial"/>
          <w:lang w:val="en-GB"/>
        </w:rPr>
        <w:t xml:space="preserve">whether </w:t>
      </w:r>
      <w:r w:rsidR="007F4886">
        <w:rPr>
          <w:rFonts w:eastAsia="Calibri" w:cs="Arial"/>
          <w:lang w:val="en-GB"/>
        </w:rPr>
        <w:t>a person is</w:t>
      </w:r>
      <w:r w:rsidRPr="008409AB">
        <w:rPr>
          <w:rFonts w:eastAsia="Calibri" w:cs="Arial"/>
          <w:lang w:val="en-GB"/>
        </w:rPr>
        <w:t xml:space="preserve"> detain</w:t>
      </w:r>
      <w:r w:rsidR="007F4886">
        <w:rPr>
          <w:rFonts w:eastAsia="Calibri" w:cs="Arial"/>
          <w:lang w:val="en-GB"/>
        </w:rPr>
        <w:t>ed</w:t>
      </w:r>
      <w:r w:rsidRPr="008409AB">
        <w:rPr>
          <w:rFonts w:eastAsia="Calibri" w:cs="Arial"/>
          <w:lang w:val="en-GB"/>
        </w:rPr>
        <w:t xml:space="preserve"> or not, but the NR can also make this decision by completing the relevant paperwork </w:t>
      </w:r>
      <w:r w:rsidR="15ABA772" w:rsidRPr="008409AB">
        <w:rPr>
          <w:rFonts w:eastAsia="Calibri" w:cs="Arial"/>
          <w:lang w:val="en-GB"/>
        </w:rPr>
        <w:t>if the AMHP will not</w:t>
      </w:r>
      <w:r w:rsidRPr="008409AB">
        <w:rPr>
          <w:rFonts w:eastAsia="Calibri" w:cs="Arial"/>
          <w:lang w:val="en-GB"/>
        </w:rPr>
        <w:t>. As such</w:t>
      </w:r>
      <w:r w:rsidR="008409AB" w:rsidRPr="008409AB">
        <w:rPr>
          <w:rFonts w:eastAsia="Calibri" w:cs="Arial"/>
          <w:lang w:val="en-GB"/>
        </w:rPr>
        <w:t>,</w:t>
      </w:r>
      <w:r w:rsidRPr="008409AB">
        <w:rPr>
          <w:rFonts w:eastAsia="Calibri" w:cs="Arial"/>
          <w:lang w:val="en-GB"/>
        </w:rPr>
        <w:t xml:space="preserve"> the </w:t>
      </w:r>
      <w:r w:rsidR="007F33CF" w:rsidRPr="008409AB">
        <w:rPr>
          <w:rFonts w:eastAsia="Calibri" w:cs="Arial"/>
          <w:lang w:val="en-GB"/>
        </w:rPr>
        <w:t xml:space="preserve">NR is one of several key roles </w:t>
      </w:r>
      <w:r w:rsidR="00E96143" w:rsidRPr="008409AB">
        <w:rPr>
          <w:rFonts w:eastAsia="Calibri" w:cs="Arial"/>
          <w:lang w:val="en-GB"/>
        </w:rPr>
        <w:t>found in the MHA 1983 (as amended in 2007)</w:t>
      </w:r>
      <w:r w:rsidR="0017721C" w:rsidRPr="008409AB">
        <w:rPr>
          <w:rFonts w:eastAsia="Calibri" w:cs="Arial"/>
          <w:lang w:val="en-GB"/>
        </w:rPr>
        <w:t>,</w:t>
      </w:r>
      <w:r w:rsidR="00E96143" w:rsidRPr="008409AB">
        <w:rPr>
          <w:rStyle w:val="FootnoteReference"/>
          <w:rFonts w:eastAsia="Calibri" w:cs="Arial"/>
          <w:lang w:val="en-GB"/>
        </w:rPr>
        <w:footnoteReference w:id="5"/>
      </w:r>
      <w:r w:rsidR="00E96143" w:rsidRPr="008409AB">
        <w:rPr>
          <w:rFonts w:eastAsia="Calibri" w:cs="Arial"/>
          <w:lang w:val="en-GB"/>
        </w:rPr>
        <w:t xml:space="preserve"> </w:t>
      </w:r>
      <w:r w:rsidR="0017721C" w:rsidRPr="008409AB">
        <w:rPr>
          <w:rFonts w:eastAsia="Calibri" w:cs="Arial"/>
          <w:lang w:val="en-GB"/>
        </w:rPr>
        <w:t xml:space="preserve">all of </w:t>
      </w:r>
      <w:r w:rsidR="007F33CF" w:rsidRPr="008409AB">
        <w:rPr>
          <w:rFonts w:eastAsia="Calibri" w:cs="Arial"/>
          <w:lang w:val="en-GB"/>
        </w:rPr>
        <w:t xml:space="preserve">which </w:t>
      </w:r>
      <w:r w:rsidR="006D2C5F" w:rsidRPr="008409AB">
        <w:rPr>
          <w:rFonts w:eastAsia="Calibri" w:cs="Arial"/>
          <w:lang w:val="en-GB"/>
        </w:rPr>
        <w:t xml:space="preserve">have </w:t>
      </w:r>
      <w:r w:rsidR="007F33CF" w:rsidRPr="008409AB">
        <w:rPr>
          <w:rFonts w:eastAsia="Calibri" w:cs="Arial"/>
          <w:lang w:val="en-GB"/>
        </w:rPr>
        <w:t xml:space="preserve">specific duties and powers </w:t>
      </w:r>
      <w:r w:rsidR="00E96143" w:rsidRPr="008409AB">
        <w:rPr>
          <w:rFonts w:eastAsia="Calibri" w:cs="Arial"/>
          <w:lang w:val="en-GB"/>
        </w:rPr>
        <w:t xml:space="preserve">to influence </w:t>
      </w:r>
      <w:r w:rsidR="006D2C5F" w:rsidRPr="008409AB">
        <w:rPr>
          <w:rFonts w:eastAsia="Calibri" w:cs="Arial"/>
          <w:lang w:val="en-GB"/>
        </w:rPr>
        <w:t xml:space="preserve">where and </w:t>
      </w:r>
      <w:r w:rsidR="00E96143" w:rsidRPr="008409AB">
        <w:rPr>
          <w:rFonts w:eastAsia="Calibri" w:cs="Arial"/>
          <w:lang w:val="en-GB"/>
        </w:rPr>
        <w:t xml:space="preserve">how a person’s </w:t>
      </w:r>
      <w:r w:rsidR="0017721C" w:rsidRPr="008409AB">
        <w:rPr>
          <w:rFonts w:eastAsia="Calibri" w:cs="Arial"/>
          <w:lang w:val="en-GB"/>
        </w:rPr>
        <w:t>compulsory</w:t>
      </w:r>
      <w:r w:rsidR="0017721C" w:rsidRPr="003F658E">
        <w:rPr>
          <w:rFonts w:eastAsia="Calibri" w:cs="Arial"/>
          <w:lang w:val="en-GB"/>
        </w:rPr>
        <w:t xml:space="preserve"> </w:t>
      </w:r>
      <w:r w:rsidR="00E96143" w:rsidRPr="003F658E">
        <w:rPr>
          <w:rFonts w:eastAsia="Calibri" w:cs="Arial"/>
          <w:lang w:val="en-GB"/>
        </w:rPr>
        <w:t>mental health treatment is</w:t>
      </w:r>
      <w:r w:rsidR="008409AB">
        <w:rPr>
          <w:rFonts w:eastAsia="Calibri" w:cs="Arial"/>
          <w:lang w:val="en-GB"/>
        </w:rPr>
        <w:t xml:space="preserve"> provided.</w:t>
      </w:r>
      <w:r w:rsidR="006D2C5F" w:rsidRPr="003F658E">
        <w:rPr>
          <w:rFonts w:eastAsia="Calibri" w:cs="Arial"/>
          <w:lang w:val="en-GB"/>
        </w:rPr>
        <w:t xml:space="preserve"> </w:t>
      </w:r>
      <w:r w:rsidR="007F33CF" w:rsidRPr="003F658E">
        <w:rPr>
          <w:rFonts w:eastAsia="Calibri" w:cs="Arial"/>
          <w:lang w:val="en-GB"/>
        </w:rPr>
        <w:t xml:space="preserve"> </w:t>
      </w:r>
      <w:r w:rsidR="00DB2D25" w:rsidRPr="003F658E">
        <w:rPr>
          <w:rFonts w:eastAsia="Calibri" w:cs="Arial"/>
          <w:lang w:val="en-GB"/>
        </w:rPr>
        <w:t>The</w:t>
      </w:r>
      <w:r w:rsidR="007F33CF" w:rsidRPr="003F658E">
        <w:rPr>
          <w:rFonts w:eastAsia="Calibri" w:cs="Arial"/>
          <w:lang w:val="en-GB"/>
        </w:rPr>
        <w:t xml:space="preserve"> NR is typically a </w:t>
      </w:r>
      <w:r w:rsidR="00E96143" w:rsidRPr="003F658E">
        <w:rPr>
          <w:rFonts w:eastAsia="Calibri" w:cs="Arial"/>
          <w:lang w:val="en-GB"/>
        </w:rPr>
        <w:t xml:space="preserve">family </w:t>
      </w:r>
      <w:r w:rsidR="0017721C" w:rsidRPr="003F658E">
        <w:rPr>
          <w:rFonts w:eastAsia="Calibri" w:cs="Arial"/>
          <w:lang w:val="en-GB"/>
        </w:rPr>
        <w:t xml:space="preserve">member, as </w:t>
      </w:r>
      <w:r w:rsidR="00CF79F5">
        <w:rPr>
          <w:rFonts w:eastAsia="Calibri" w:cs="Arial"/>
          <w:lang w:val="en-GB"/>
        </w:rPr>
        <w:t>listed in</w:t>
      </w:r>
      <w:r w:rsidR="007F33CF" w:rsidRPr="003F658E">
        <w:rPr>
          <w:rFonts w:eastAsia="Calibri" w:cs="Arial"/>
          <w:lang w:val="en-GB"/>
        </w:rPr>
        <w:t xml:space="preserve"> </w:t>
      </w:r>
      <w:r w:rsidR="00CF79F5">
        <w:rPr>
          <w:rFonts w:eastAsia="Calibri" w:cs="Arial"/>
          <w:lang w:val="en-GB"/>
        </w:rPr>
        <w:t xml:space="preserve">a hierarchy set out in </w:t>
      </w:r>
      <w:r w:rsidR="007F33CF" w:rsidRPr="003F658E">
        <w:rPr>
          <w:rFonts w:eastAsia="Calibri" w:cs="Arial"/>
          <w:lang w:val="en-GB"/>
        </w:rPr>
        <w:t>section 26 MHA</w:t>
      </w:r>
      <w:r w:rsidR="00E96143" w:rsidRPr="003F658E">
        <w:rPr>
          <w:rStyle w:val="FootnoteReference"/>
          <w:rFonts w:eastAsia="Calibri" w:cs="Arial"/>
          <w:lang w:val="en-GB"/>
        </w:rPr>
        <w:footnoteReference w:id="6"/>
      </w:r>
      <w:r w:rsidR="0017721C" w:rsidRPr="003F658E">
        <w:rPr>
          <w:rFonts w:eastAsia="Calibri" w:cs="Arial"/>
          <w:lang w:val="en-GB"/>
        </w:rPr>
        <w:t>,</w:t>
      </w:r>
      <w:r w:rsidR="00B47CD1" w:rsidRPr="003F658E">
        <w:rPr>
          <w:rFonts w:eastAsia="Calibri" w:cs="Arial"/>
          <w:lang w:val="en-GB"/>
        </w:rPr>
        <w:t xml:space="preserve"> and not a </w:t>
      </w:r>
      <w:r w:rsidR="0017721C" w:rsidRPr="003F658E">
        <w:rPr>
          <w:rFonts w:eastAsia="Calibri" w:cs="Arial"/>
          <w:lang w:val="en-GB"/>
        </w:rPr>
        <w:t xml:space="preserve">qualified </w:t>
      </w:r>
      <w:r w:rsidR="00B47CD1" w:rsidRPr="003F658E">
        <w:rPr>
          <w:rFonts w:eastAsia="Calibri" w:cs="Arial"/>
          <w:lang w:val="en-GB"/>
        </w:rPr>
        <w:t>professional</w:t>
      </w:r>
      <w:r w:rsidR="008409AB">
        <w:rPr>
          <w:rFonts w:eastAsia="Calibri" w:cs="Arial"/>
          <w:lang w:val="en-GB"/>
        </w:rPr>
        <w:t xml:space="preserve"> or expert</w:t>
      </w:r>
      <w:r w:rsidR="00B47CD1" w:rsidRPr="003F658E">
        <w:rPr>
          <w:rFonts w:eastAsia="Calibri" w:cs="Arial"/>
          <w:lang w:val="en-GB"/>
        </w:rPr>
        <w:t>. In some circumstances</w:t>
      </w:r>
      <w:r w:rsidR="0017721C" w:rsidRPr="003F658E">
        <w:rPr>
          <w:rFonts w:eastAsia="Calibri" w:cs="Arial"/>
          <w:lang w:val="en-GB"/>
        </w:rPr>
        <w:t>,</w:t>
      </w:r>
      <w:r w:rsidR="007F33CF" w:rsidRPr="003F658E">
        <w:rPr>
          <w:rFonts w:eastAsia="Calibri" w:cs="Arial"/>
          <w:lang w:val="en-GB"/>
        </w:rPr>
        <w:t xml:space="preserve"> </w:t>
      </w:r>
      <w:r w:rsidR="00B47CD1" w:rsidRPr="003F658E">
        <w:rPr>
          <w:rFonts w:eastAsia="Calibri" w:cs="Arial"/>
          <w:lang w:val="en-GB"/>
        </w:rPr>
        <w:t>a</w:t>
      </w:r>
      <w:r w:rsidR="007F33CF" w:rsidRPr="003F658E">
        <w:rPr>
          <w:rFonts w:eastAsia="Calibri" w:cs="Arial"/>
          <w:lang w:val="en-GB"/>
        </w:rPr>
        <w:t xml:space="preserve"> non-relative </w:t>
      </w:r>
      <w:r w:rsidR="00574339" w:rsidRPr="003F658E">
        <w:rPr>
          <w:rFonts w:eastAsia="Calibri" w:cs="Arial"/>
          <w:lang w:val="en-GB"/>
        </w:rPr>
        <w:t xml:space="preserve">can be </w:t>
      </w:r>
      <w:r w:rsidR="007F33CF" w:rsidRPr="003F658E">
        <w:rPr>
          <w:rFonts w:eastAsia="Calibri" w:cs="Arial"/>
          <w:lang w:val="en-GB"/>
        </w:rPr>
        <w:t xml:space="preserve">appointed by the County Court to act as </w:t>
      </w:r>
      <w:r w:rsidR="0017721C" w:rsidRPr="003F658E">
        <w:rPr>
          <w:rFonts w:eastAsia="Calibri" w:cs="Arial"/>
          <w:lang w:val="en-GB"/>
        </w:rPr>
        <w:t xml:space="preserve">a </w:t>
      </w:r>
      <w:r w:rsidR="007F33CF" w:rsidRPr="003F658E">
        <w:rPr>
          <w:rFonts w:eastAsia="Calibri" w:cs="Arial"/>
          <w:lang w:val="en-GB"/>
        </w:rPr>
        <w:t>NR</w:t>
      </w:r>
      <w:r w:rsidR="00DB2D25" w:rsidRPr="003F658E">
        <w:rPr>
          <w:rFonts w:eastAsia="Calibri" w:cs="Arial"/>
          <w:lang w:val="en-GB"/>
        </w:rPr>
        <w:t xml:space="preserve"> </w:t>
      </w:r>
      <w:r w:rsidR="00B47CD1" w:rsidRPr="003F658E">
        <w:rPr>
          <w:rFonts w:eastAsia="Calibri" w:cs="Arial"/>
          <w:lang w:val="en-GB"/>
        </w:rPr>
        <w:t>and this will be discussed</w:t>
      </w:r>
      <w:r w:rsidR="0017721C" w:rsidRPr="003F658E">
        <w:rPr>
          <w:rFonts w:eastAsia="Calibri" w:cs="Arial"/>
          <w:lang w:val="en-GB"/>
        </w:rPr>
        <w:t xml:space="preserve"> further below</w:t>
      </w:r>
      <w:r w:rsidR="00B47CD1" w:rsidRPr="003F658E">
        <w:rPr>
          <w:rFonts w:eastAsia="Calibri" w:cs="Arial"/>
          <w:lang w:val="en-GB"/>
        </w:rPr>
        <w:t xml:space="preserve">. </w:t>
      </w:r>
      <w:r w:rsidR="00574339" w:rsidRPr="003F658E">
        <w:rPr>
          <w:rFonts w:eastAsia="Calibri" w:cs="Arial"/>
          <w:lang w:val="en-GB"/>
        </w:rPr>
        <w:t xml:space="preserve">However, as the title </w:t>
      </w:r>
      <w:r w:rsidR="0017721C" w:rsidRPr="003F658E">
        <w:rPr>
          <w:rFonts w:eastAsia="Calibri" w:cs="Arial"/>
          <w:lang w:val="en-GB"/>
        </w:rPr>
        <w:t>‘</w:t>
      </w:r>
      <w:r w:rsidR="00574339" w:rsidRPr="003F658E">
        <w:rPr>
          <w:rFonts w:eastAsia="Calibri" w:cs="Arial"/>
          <w:lang w:val="en-GB"/>
        </w:rPr>
        <w:t>NR</w:t>
      </w:r>
      <w:r w:rsidR="0017721C" w:rsidRPr="003F658E">
        <w:rPr>
          <w:rFonts w:eastAsia="Calibri" w:cs="Arial"/>
          <w:lang w:val="en-GB"/>
        </w:rPr>
        <w:t>’</w:t>
      </w:r>
      <w:r w:rsidR="00574339" w:rsidRPr="003F658E">
        <w:rPr>
          <w:rFonts w:eastAsia="Calibri" w:cs="Arial"/>
          <w:lang w:val="en-GB"/>
        </w:rPr>
        <w:t xml:space="preserve"> suggests</w:t>
      </w:r>
      <w:r w:rsidR="0017721C" w:rsidRPr="003F658E">
        <w:rPr>
          <w:rFonts w:eastAsia="Calibri" w:cs="Arial"/>
          <w:lang w:val="en-GB"/>
        </w:rPr>
        <w:t>,</w:t>
      </w:r>
      <w:r w:rsidR="00574339" w:rsidRPr="003F658E">
        <w:rPr>
          <w:rFonts w:eastAsia="Calibri" w:cs="Arial"/>
          <w:lang w:val="en-GB"/>
        </w:rPr>
        <w:t xml:space="preserve"> </w:t>
      </w:r>
      <w:r w:rsidR="006D2C5F" w:rsidRPr="003F658E">
        <w:rPr>
          <w:rFonts w:eastAsia="Calibri" w:cs="Arial"/>
          <w:lang w:val="en-GB"/>
        </w:rPr>
        <w:t>the MHA</w:t>
      </w:r>
      <w:r w:rsidR="00574339" w:rsidRPr="003F658E">
        <w:rPr>
          <w:rFonts w:eastAsia="Calibri" w:cs="Arial"/>
          <w:lang w:val="en-GB"/>
        </w:rPr>
        <w:t xml:space="preserve"> inten</w:t>
      </w:r>
      <w:r w:rsidR="006D2C5F" w:rsidRPr="003F658E">
        <w:rPr>
          <w:rFonts w:eastAsia="Calibri" w:cs="Arial"/>
          <w:lang w:val="en-GB"/>
        </w:rPr>
        <w:t xml:space="preserve">ds </w:t>
      </w:r>
      <w:r w:rsidR="0017721C" w:rsidRPr="003F658E">
        <w:rPr>
          <w:rFonts w:eastAsia="Calibri" w:cs="Arial"/>
          <w:lang w:val="en-GB"/>
        </w:rPr>
        <w:t>that the functions are fulfilled by</w:t>
      </w:r>
      <w:r w:rsidR="00574339" w:rsidRPr="003F658E">
        <w:rPr>
          <w:rFonts w:eastAsia="Calibri" w:cs="Arial"/>
          <w:lang w:val="en-GB"/>
        </w:rPr>
        <w:t xml:space="preserve"> a family member. </w:t>
      </w:r>
    </w:p>
    <w:p w14:paraId="0F104C2B" w14:textId="77777777" w:rsidR="007F33CF" w:rsidRPr="003F658E" w:rsidRDefault="007F33CF" w:rsidP="003F658E">
      <w:pPr>
        <w:spacing w:line="360" w:lineRule="auto"/>
        <w:jc w:val="both"/>
        <w:rPr>
          <w:rFonts w:eastAsia="Calibri" w:cs="Arial"/>
          <w:lang w:val="en-GB"/>
        </w:rPr>
      </w:pPr>
    </w:p>
    <w:p w14:paraId="6B1112C2" w14:textId="20CD62B1" w:rsidR="4ECBE03C" w:rsidRPr="003F658E" w:rsidRDefault="00F15D94" w:rsidP="003F658E">
      <w:pPr>
        <w:spacing w:line="360" w:lineRule="auto"/>
        <w:jc w:val="both"/>
        <w:rPr>
          <w:rFonts w:eastAsiaTheme="minorEastAsia" w:cs="Arial"/>
        </w:rPr>
      </w:pPr>
      <w:r w:rsidRPr="003F658E">
        <w:rPr>
          <w:rFonts w:eastAsia="Calibri" w:cs="Arial"/>
          <w:lang w:val="en-GB"/>
        </w:rPr>
        <w:t>The</w:t>
      </w:r>
      <w:r w:rsidR="4ECBE03C" w:rsidRPr="003F658E">
        <w:rPr>
          <w:rFonts w:eastAsia="Calibri" w:cs="Arial"/>
          <w:lang w:val="en-GB"/>
        </w:rPr>
        <w:t xml:space="preserve"> </w:t>
      </w:r>
      <w:r w:rsidR="00B47CD1" w:rsidRPr="003F658E">
        <w:rPr>
          <w:rFonts w:eastAsia="Calibri" w:cs="Arial"/>
          <w:lang w:val="en-GB"/>
        </w:rPr>
        <w:t xml:space="preserve">functions of the NR </w:t>
      </w:r>
      <w:r w:rsidR="4ECBE03C" w:rsidRPr="003F658E">
        <w:rPr>
          <w:rFonts w:eastAsia="Calibri" w:cs="Arial"/>
          <w:lang w:val="en-GB"/>
        </w:rPr>
        <w:t xml:space="preserve">can be broadly categorised into three </w:t>
      </w:r>
      <w:r w:rsidR="006D2C5F" w:rsidRPr="003F658E">
        <w:rPr>
          <w:rFonts w:eastAsia="Calibri" w:cs="Arial"/>
          <w:lang w:val="en-GB"/>
        </w:rPr>
        <w:t xml:space="preserve">key </w:t>
      </w:r>
      <w:r w:rsidR="4ECBE03C" w:rsidRPr="003F658E">
        <w:rPr>
          <w:rFonts w:eastAsia="Calibri" w:cs="Arial"/>
          <w:lang w:val="en-GB"/>
        </w:rPr>
        <w:t>areas</w:t>
      </w:r>
      <w:r w:rsidR="00547715" w:rsidRPr="003F658E">
        <w:rPr>
          <w:rFonts w:eastAsia="Calibri" w:cs="Arial"/>
          <w:lang w:val="en-GB"/>
        </w:rPr>
        <w:t xml:space="preserve">. First, </w:t>
      </w:r>
      <w:r w:rsidR="00002471" w:rsidRPr="003F658E">
        <w:rPr>
          <w:rFonts w:eastAsia="Calibri" w:cs="Arial"/>
          <w:lang w:val="en-GB"/>
        </w:rPr>
        <w:t>under</w:t>
      </w:r>
      <w:r w:rsidR="007122F8" w:rsidRPr="003F658E">
        <w:rPr>
          <w:rFonts w:eastAsia="Calibri" w:cs="Arial"/>
          <w:lang w:val="en-GB"/>
        </w:rPr>
        <w:t xml:space="preserve"> </w:t>
      </w:r>
      <w:r w:rsidR="00002471" w:rsidRPr="003F658E">
        <w:rPr>
          <w:rFonts w:eastAsia="Calibri" w:cs="Arial"/>
          <w:lang w:val="en-GB"/>
        </w:rPr>
        <w:t>section</w:t>
      </w:r>
      <w:r w:rsidR="4ECBE03C" w:rsidRPr="003F658E">
        <w:rPr>
          <w:rFonts w:eastAsia="Calibri" w:cs="Arial"/>
          <w:lang w:val="en-GB"/>
        </w:rPr>
        <w:t xml:space="preserve"> 11(4)</w:t>
      </w:r>
      <w:r w:rsidR="00310241">
        <w:rPr>
          <w:rFonts w:eastAsia="Calibri" w:cs="Arial"/>
          <w:lang w:val="en-GB"/>
        </w:rPr>
        <w:t>, the NR can</w:t>
      </w:r>
      <w:r w:rsidR="4ECBE03C" w:rsidRPr="003F658E">
        <w:rPr>
          <w:rFonts w:eastAsia="Calibri" w:cs="Arial"/>
          <w:lang w:val="en-GB"/>
        </w:rPr>
        <w:t xml:space="preserve"> prevent detention by stating they ‘object’ to an </w:t>
      </w:r>
      <w:r w:rsidR="005B3800" w:rsidRPr="003F658E">
        <w:rPr>
          <w:rFonts w:eastAsia="Calibri" w:cs="Arial"/>
          <w:lang w:val="en-GB"/>
        </w:rPr>
        <w:t xml:space="preserve">AMHP completing the </w:t>
      </w:r>
      <w:r w:rsidR="4ECBE03C" w:rsidRPr="003F658E">
        <w:rPr>
          <w:rFonts w:eastAsia="Calibri" w:cs="Arial"/>
          <w:lang w:val="en-GB"/>
        </w:rPr>
        <w:t>application</w:t>
      </w:r>
      <w:r w:rsidR="00574339" w:rsidRPr="003F658E">
        <w:rPr>
          <w:rFonts w:eastAsia="Calibri" w:cs="Arial"/>
          <w:lang w:val="en-GB"/>
        </w:rPr>
        <w:t xml:space="preserve"> </w:t>
      </w:r>
      <w:r w:rsidR="00310241">
        <w:rPr>
          <w:rFonts w:eastAsia="Calibri" w:cs="Arial"/>
          <w:lang w:val="en-GB"/>
        </w:rPr>
        <w:t>for compulsory admission</w:t>
      </w:r>
      <w:r w:rsidR="4ECBE03C" w:rsidRPr="003F658E">
        <w:rPr>
          <w:rFonts w:eastAsia="Calibri" w:cs="Arial"/>
          <w:lang w:val="en-GB"/>
        </w:rPr>
        <w:t xml:space="preserve"> under section 3</w:t>
      </w:r>
      <w:r w:rsidR="00745CD4" w:rsidRPr="003F658E">
        <w:rPr>
          <w:rStyle w:val="FootnoteReference"/>
          <w:rFonts w:eastAsia="Calibri" w:cs="Arial"/>
          <w:lang w:val="en-GB"/>
        </w:rPr>
        <w:footnoteReference w:id="7"/>
      </w:r>
      <w:r w:rsidR="4ECBE03C" w:rsidRPr="003F658E">
        <w:rPr>
          <w:rFonts w:eastAsia="Calibri" w:cs="Arial"/>
          <w:lang w:val="en-GB"/>
        </w:rPr>
        <w:t xml:space="preserve"> </w:t>
      </w:r>
      <w:r w:rsidR="005B3800" w:rsidRPr="003F658E">
        <w:rPr>
          <w:rFonts w:eastAsia="Calibri" w:cs="Arial"/>
          <w:lang w:val="en-GB"/>
        </w:rPr>
        <w:t xml:space="preserve">MHA to detain the person </w:t>
      </w:r>
      <w:r w:rsidR="0017721C" w:rsidRPr="003F658E">
        <w:rPr>
          <w:rFonts w:eastAsia="Calibri" w:cs="Arial"/>
          <w:lang w:val="en-GB"/>
        </w:rPr>
        <w:t>in</w:t>
      </w:r>
      <w:r w:rsidR="005B3800" w:rsidRPr="003F658E">
        <w:rPr>
          <w:rFonts w:eastAsia="Calibri" w:cs="Arial"/>
          <w:lang w:val="en-GB"/>
        </w:rPr>
        <w:t xml:space="preserve"> hospital </w:t>
      </w:r>
      <w:r w:rsidR="00310241">
        <w:rPr>
          <w:rFonts w:eastAsia="Calibri" w:cs="Arial"/>
          <w:lang w:val="en-GB"/>
        </w:rPr>
        <w:t>(</w:t>
      </w:r>
      <w:r w:rsidR="4ECBE03C" w:rsidRPr="003F658E">
        <w:rPr>
          <w:rFonts w:eastAsia="Calibri" w:cs="Arial"/>
          <w:lang w:val="en-GB"/>
        </w:rPr>
        <w:t xml:space="preserve">or </w:t>
      </w:r>
      <w:r w:rsidR="00310241">
        <w:rPr>
          <w:rFonts w:eastAsia="Calibri" w:cs="Arial"/>
          <w:lang w:val="en-GB"/>
        </w:rPr>
        <w:t xml:space="preserve">under </w:t>
      </w:r>
      <w:r w:rsidR="4ECBE03C" w:rsidRPr="003F658E">
        <w:rPr>
          <w:rFonts w:eastAsia="Calibri" w:cs="Arial"/>
          <w:lang w:val="en-GB"/>
        </w:rPr>
        <w:t>section 7</w:t>
      </w:r>
      <w:r w:rsidR="00745CD4" w:rsidRPr="003F658E">
        <w:rPr>
          <w:rStyle w:val="FootnoteReference"/>
          <w:rFonts w:eastAsia="Calibri" w:cs="Arial"/>
          <w:lang w:val="en-GB"/>
        </w:rPr>
        <w:footnoteReference w:id="8"/>
      </w:r>
      <w:r w:rsidR="00002471" w:rsidRPr="003F658E">
        <w:rPr>
          <w:rFonts w:eastAsia="Calibri" w:cs="Arial"/>
          <w:lang w:val="en-GB"/>
        </w:rPr>
        <w:t xml:space="preserve"> MHA</w:t>
      </w:r>
      <w:r w:rsidR="005B3800" w:rsidRPr="003F658E">
        <w:rPr>
          <w:rFonts w:eastAsia="Calibri" w:cs="Arial"/>
          <w:lang w:val="en-GB"/>
        </w:rPr>
        <w:t xml:space="preserve"> to receive them into </w:t>
      </w:r>
      <w:r w:rsidR="0017721C" w:rsidRPr="003F658E">
        <w:rPr>
          <w:rFonts w:eastAsia="Calibri" w:cs="Arial"/>
          <w:lang w:val="en-GB"/>
        </w:rPr>
        <w:t>g</w:t>
      </w:r>
      <w:r w:rsidR="005B3800" w:rsidRPr="003F658E">
        <w:rPr>
          <w:rFonts w:eastAsia="Calibri" w:cs="Arial"/>
          <w:lang w:val="en-GB"/>
        </w:rPr>
        <w:t xml:space="preserve">uardianship </w:t>
      </w:r>
      <w:r w:rsidR="0017721C" w:rsidRPr="003F658E">
        <w:rPr>
          <w:rFonts w:eastAsia="Calibri" w:cs="Arial"/>
          <w:lang w:val="en-GB"/>
        </w:rPr>
        <w:t>(i.e. care</w:t>
      </w:r>
      <w:r w:rsidR="006D2C5F" w:rsidRPr="003F658E">
        <w:rPr>
          <w:rFonts w:eastAsia="Calibri" w:cs="Arial"/>
          <w:lang w:val="en-GB"/>
        </w:rPr>
        <w:t xml:space="preserve"> &amp; treatment</w:t>
      </w:r>
      <w:r w:rsidR="0017721C" w:rsidRPr="003F658E">
        <w:rPr>
          <w:rFonts w:eastAsia="Calibri" w:cs="Arial"/>
          <w:lang w:val="en-GB"/>
        </w:rPr>
        <w:t xml:space="preserve">) </w:t>
      </w:r>
      <w:r w:rsidR="005B3800" w:rsidRPr="003F658E">
        <w:rPr>
          <w:rFonts w:eastAsia="Calibri" w:cs="Arial"/>
          <w:lang w:val="en-GB"/>
        </w:rPr>
        <w:t>in the community</w:t>
      </w:r>
      <w:r w:rsidR="00310241">
        <w:rPr>
          <w:rFonts w:eastAsia="Calibri" w:cs="Arial"/>
          <w:lang w:val="en-GB"/>
        </w:rPr>
        <w:t>)</w:t>
      </w:r>
      <w:r w:rsidR="4ECBE03C" w:rsidRPr="003F658E">
        <w:rPr>
          <w:rFonts w:eastAsia="Calibri" w:cs="Arial"/>
          <w:lang w:val="en-GB"/>
        </w:rPr>
        <w:t xml:space="preserve">. The MHA draws the distinction between seeking </w:t>
      </w:r>
      <w:r w:rsidR="005B3800" w:rsidRPr="003F658E">
        <w:rPr>
          <w:rFonts w:eastAsia="Calibri" w:cs="Arial"/>
          <w:lang w:val="en-GB"/>
        </w:rPr>
        <w:t>the NR</w:t>
      </w:r>
      <w:r w:rsidR="00F678DD" w:rsidRPr="003F658E">
        <w:rPr>
          <w:rFonts w:eastAsia="Calibri" w:cs="Arial"/>
          <w:lang w:val="en-GB"/>
        </w:rPr>
        <w:t>’s</w:t>
      </w:r>
      <w:r w:rsidR="005B3800" w:rsidRPr="003F658E">
        <w:rPr>
          <w:rFonts w:eastAsia="Calibri" w:cs="Arial"/>
          <w:lang w:val="en-GB"/>
        </w:rPr>
        <w:t xml:space="preserve"> </w:t>
      </w:r>
      <w:r w:rsidR="4ECBE03C" w:rsidRPr="003F658E">
        <w:rPr>
          <w:rFonts w:eastAsia="Calibri" w:cs="Arial"/>
          <w:lang w:val="en-GB"/>
        </w:rPr>
        <w:t xml:space="preserve">permission </w:t>
      </w:r>
      <w:r w:rsidR="005B3800" w:rsidRPr="003F658E">
        <w:rPr>
          <w:rFonts w:eastAsia="Calibri" w:cs="Arial"/>
          <w:lang w:val="en-GB"/>
        </w:rPr>
        <w:t xml:space="preserve">to detain </w:t>
      </w:r>
      <w:r w:rsidR="4ECBE03C" w:rsidRPr="003F658E">
        <w:rPr>
          <w:rFonts w:eastAsia="Calibri" w:cs="Arial"/>
          <w:lang w:val="en-GB"/>
        </w:rPr>
        <w:t xml:space="preserve">and establishing </w:t>
      </w:r>
      <w:r w:rsidR="005B3800" w:rsidRPr="003F658E">
        <w:rPr>
          <w:rFonts w:eastAsia="Calibri" w:cs="Arial"/>
          <w:lang w:val="en-GB"/>
        </w:rPr>
        <w:t>that they do not object</w:t>
      </w:r>
      <w:r w:rsidR="4ECBE03C" w:rsidRPr="003F658E">
        <w:rPr>
          <w:rFonts w:eastAsia="Calibri" w:cs="Arial"/>
          <w:lang w:val="en-GB"/>
        </w:rPr>
        <w:t xml:space="preserve">. A subtle difference perhaps but nonetheless empowering to the NR to act </w:t>
      </w:r>
      <w:r w:rsidR="0030470F" w:rsidRPr="003F658E">
        <w:rPr>
          <w:rFonts w:eastAsia="Calibri" w:cs="Arial"/>
          <w:lang w:val="en-GB"/>
        </w:rPr>
        <w:t xml:space="preserve">in this way, </w:t>
      </w:r>
      <w:r w:rsidR="002A70C2" w:rsidRPr="003F658E">
        <w:rPr>
          <w:rFonts w:eastAsia="Calibri" w:cs="Arial"/>
          <w:lang w:val="en-GB"/>
        </w:rPr>
        <w:t>if</w:t>
      </w:r>
      <w:r w:rsidR="4ECBE03C" w:rsidRPr="003F658E">
        <w:rPr>
          <w:rFonts w:eastAsia="Calibri" w:cs="Arial"/>
          <w:lang w:val="en-GB"/>
        </w:rPr>
        <w:t xml:space="preserve"> they were no</w:t>
      </w:r>
      <w:r w:rsidR="00002471" w:rsidRPr="003F658E">
        <w:rPr>
          <w:rFonts w:eastAsia="Calibri" w:cs="Arial"/>
          <w:lang w:val="en-GB"/>
        </w:rPr>
        <w:t>t</w:t>
      </w:r>
      <w:r w:rsidR="4ECBE03C" w:rsidRPr="003F658E">
        <w:rPr>
          <w:rFonts w:eastAsia="Calibri" w:cs="Arial"/>
          <w:lang w:val="en-GB"/>
        </w:rPr>
        <w:t xml:space="preserve"> requesting the MHA assessment in </w:t>
      </w:r>
      <w:r w:rsidR="4ECBE03C" w:rsidRPr="003F658E">
        <w:rPr>
          <w:rFonts w:eastAsia="Calibri" w:cs="Arial"/>
          <w:lang w:val="en-GB"/>
        </w:rPr>
        <w:lastRenderedPageBreak/>
        <w:t>the first place.</w:t>
      </w:r>
      <w:r w:rsidR="005B3800" w:rsidRPr="003F658E">
        <w:rPr>
          <w:rFonts w:eastAsia="Calibri" w:cs="Arial"/>
          <w:lang w:val="en-GB"/>
        </w:rPr>
        <w:t xml:space="preserve"> The </w:t>
      </w:r>
      <w:r w:rsidR="00574339" w:rsidRPr="003F658E">
        <w:rPr>
          <w:rFonts w:eastAsia="Calibri" w:cs="Arial"/>
          <w:lang w:val="en-GB"/>
        </w:rPr>
        <w:t xml:space="preserve">objecting NR </w:t>
      </w:r>
      <w:r w:rsidR="005B3800" w:rsidRPr="003F658E">
        <w:rPr>
          <w:rFonts w:eastAsia="Calibri" w:cs="Arial"/>
          <w:lang w:val="en-GB"/>
        </w:rPr>
        <w:t xml:space="preserve">can be </w:t>
      </w:r>
      <w:r w:rsidR="00574339" w:rsidRPr="003F658E">
        <w:rPr>
          <w:rFonts w:eastAsia="Calibri" w:cs="Arial"/>
          <w:lang w:val="en-GB"/>
        </w:rPr>
        <w:t xml:space="preserve">removed through </w:t>
      </w:r>
      <w:r w:rsidR="0017721C" w:rsidRPr="003F658E">
        <w:rPr>
          <w:rFonts w:eastAsia="Calibri" w:cs="Arial"/>
          <w:lang w:val="en-GB"/>
        </w:rPr>
        <w:t xml:space="preserve">a </w:t>
      </w:r>
      <w:r w:rsidR="00574339" w:rsidRPr="003F658E">
        <w:rPr>
          <w:rFonts w:eastAsia="Calibri" w:cs="Arial"/>
          <w:lang w:val="en-GB"/>
        </w:rPr>
        <w:t>displacement</w:t>
      </w:r>
      <w:r w:rsidR="0017721C" w:rsidRPr="003F658E">
        <w:rPr>
          <w:rFonts w:eastAsia="Calibri" w:cs="Arial"/>
          <w:lang w:val="en-GB"/>
        </w:rPr>
        <w:t xml:space="preserve"> process</w:t>
      </w:r>
      <w:r w:rsidR="006D2C5F" w:rsidRPr="003F658E">
        <w:rPr>
          <w:rFonts w:eastAsia="Calibri" w:cs="Arial"/>
          <w:lang w:val="en-GB"/>
        </w:rPr>
        <w:t xml:space="preserve"> (</w:t>
      </w:r>
      <w:r w:rsidR="00574339" w:rsidRPr="003F658E">
        <w:rPr>
          <w:rFonts w:eastAsia="Calibri" w:cs="Arial"/>
          <w:lang w:val="en-GB"/>
        </w:rPr>
        <w:t xml:space="preserve">and </w:t>
      </w:r>
      <w:r w:rsidR="006D2C5F" w:rsidRPr="003F658E">
        <w:rPr>
          <w:rFonts w:eastAsia="Calibri" w:cs="Arial"/>
          <w:lang w:val="en-GB"/>
        </w:rPr>
        <w:t xml:space="preserve">the functions given to </w:t>
      </w:r>
      <w:r w:rsidR="00574339" w:rsidRPr="003F658E">
        <w:rPr>
          <w:rFonts w:eastAsia="Calibri" w:cs="Arial"/>
          <w:lang w:val="en-GB"/>
        </w:rPr>
        <w:t>a non-objecting NR by the County Court</w:t>
      </w:r>
      <w:r w:rsidR="006D2C5F" w:rsidRPr="003F658E">
        <w:rPr>
          <w:rFonts w:eastAsia="Calibri" w:cs="Arial"/>
          <w:lang w:val="en-GB"/>
        </w:rPr>
        <w:t xml:space="preserve"> instead)</w:t>
      </w:r>
      <w:r w:rsidR="00574339" w:rsidRPr="003F658E">
        <w:rPr>
          <w:rFonts w:eastAsia="Calibri" w:cs="Arial"/>
          <w:lang w:val="en-GB"/>
        </w:rPr>
        <w:t>, but only</w:t>
      </w:r>
      <w:r w:rsidR="006D2C5F" w:rsidRPr="003F658E">
        <w:rPr>
          <w:rFonts w:eastAsia="Calibri" w:cs="Arial"/>
          <w:lang w:val="en-GB"/>
        </w:rPr>
        <w:t xml:space="preserve"> if</w:t>
      </w:r>
      <w:r w:rsidR="00574339" w:rsidRPr="003F658E">
        <w:rPr>
          <w:rFonts w:eastAsia="Calibri" w:cs="Arial"/>
          <w:lang w:val="en-GB"/>
        </w:rPr>
        <w:t xml:space="preserve"> the</w:t>
      </w:r>
      <w:r w:rsidR="005B3800" w:rsidRPr="003F658E">
        <w:rPr>
          <w:rFonts w:eastAsia="Calibri" w:cs="Arial"/>
          <w:lang w:val="en-GB"/>
        </w:rPr>
        <w:t xml:space="preserve"> object</w:t>
      </w:r>
      <w:r w:rsidR="00574339" w:rsidRPr="003F658E">
        <w:rPr>
          <w:rFonts w:eastAsia="Calibri" w:cs="Arial"/>
          <w:lang w:val="en-GB"/>
        </w:rPr>
        <w:t xml:space="preserve">ion is deemed </w:t>
      </w:r>
      <w:r w:rsidR="006D2C5F" w:rsidRPr="003F658E">
        <w:rPr>
          <w:rFonts w:eastAsia="Calibri" w:cs="Arial"/>
          <w:lang w:val="en-GB"/>
        </w:rPr>
        <w:t xml:space="preserve">by the court </w:t>
      </w:r>
      <w:r w:rsidR="00574339" w:rsidRPr="003F658E">
        <w:rPr>
          <w:rFonts w:eastAsia="Calibri" w:cs="Arial"/>
          <w:lang w:val="en-GB"/>
        </w:rPr>
        <w:t>to be unreasonable</w:t>
      </w:r>
      <w:r w:rsidR="00F678DD" w:rsidRPr="003F658E">
        <w:rPr>
          <w:rFonts w:eastAsia="Calibri" w:cs="Arial"/>
          <w:lang w:val="en-GB"/>
        </w:rPr>
        <w:t>.</w:t>
      </w:r>
      <w:r w:rsidR="005B3800" w:rsidRPr="003F658E">
        <w:rPr>
          <w:rFonts w:eastAsia="Calibri" w:cs="Arial"/>
          <w:lang w:val="en-GB"/>
        </w:rPr>
        <w:t xml:space="preserve"> </w:t>
      </w:r>
      <w:r w:rsidR="00547715" w:rsidRPr="003F658E">
        <w:rPr>
          <w:rFonts w:eastAsia="Calibri" w:cs="Arial"/>
          <w:lang w:val="en-GB"/>
        </w:rPr>
        <w:t>In this sense, the</w:t>
      </w:r>
      <w:r w:rsidR="0030017B" w:rsidRPr="003F658E">
        <w:rPr>
          <w:rFonts w:eastAsia="Calibri" w:cs="Arial"/>
          <w:lang w:val="en-GB"/>
        </w:rPr>
        <w:t xml:space="preserve"> </w:t>
      </w:r>
      <w:r w:rsidR="00F678DD" w:rsidRPr="003F658E">
        <w:rPr>
          <w:rFonts w:eastAsia="Calibri" w:cs="Arial"/>
          <w:lang w:val="en-GB"/>
        </w:rPr>
        <w:t>power to object</w:t>
      </w:r>
      <w:r w:rsidR="005B3800" w:rsidRPr="003F658E">
        <w:rPr>
          <w:rFonts w:eastAsia="Calibri" w:cs="Arial"/>
          <w:lang w:val="en-GB"/>
        </w:rPr>
        <w:t xml:space="preserve"> c</w:t>
      </w:r>
      <w:r w:rsidR="0030017B" w:rsidRPr="003F658E">
        <w:rPr>
          <w:rFonts w:eastAsia="Calibri" w:cs="Arial"/>
          <w:lang w:val="en-GB"/>
        </w:rPr>
        <w:t>ould</w:t>
      </w:r>
      <w:r w:rsidR="005B3800" w:rsidRPr="003F658E">
        <w:rPr>
          <w:rFonts w:eastAsia="Calibri" w:cs="Arial"/>
          <w:lang w:val="en-GB"/>
        </w:rPr>
        <w:t xml:space="preserve"> b</w:t>
      </w:r>
      <w:r w:rsidR="00574339" w:rsidRPr="003F658E">
        <w:rPr>
          <w:rFonts w:eastAsia="Calibri" w:cs="Arial"/>
          <w:lang w:val="en-GB"/>
        </w:rPr>
        <w:t xml:space="preserve">e </w:t>
      </w:r>
      <w:r w:rsidR="0030017B" w:rsidRPr="003F658E">
        <w:rPr>
          <w:rFonts w:eastAsia="Calibri" w:cs="Arial"/>
          <w:lang w:val="en-GB"/>
        </w:rPr>
        <w:t xml:space="preserve">viewed as an essentially procedural safeguard, </w:t>
      </w:r>
      <w:r w:rsidR="00574339" w:rsidRPr="003F658E">
        <w:rPr>
          <w:rFonts w:eastAsia="Calibri" w:cs="Arial"/>
          <w:lang w:val="en-GB"/>
        </w:rPr>
        <w:t xml:space="preserve">as it can be </w:t>
      </w:r>
      <w:r w:rsidR="00D22D07" w:rsidRPr="003F658E">
        <w:rPr>
          <w:rFonts w:eastAsia="Calibri" w:cs="Arial"/>
          <w:lang w:val="en-GB"/>
        </w:rPr>
        <w:t>side-stepped</w:t>
      </w:r>
      <w:r w:rsidR="0030017B" w:rsidRPr="003F658E">
        <w:rPr>
          <w:rFonts w:eastAsia="Calibri" w:cs="Arial"/>
          <w:lang w:val="en-GB"/>
        </w:rPr>
        <w:t xml:space="preserve"> in such circumstances</w:t>
      </w:r>
      <w:r w:rsidR="00D22D07" w:rsidRPr="003F658E">
        <w:rPr>
          <w:rFonts w:eastAsia="Calibri" w:cs="Arial"/>
          <w:lang w:val="en-GB"/>
        </w:rPr>
        <w:t xml:space="preserve">. </w:t>
      </w:r>
    </w:p>
    <w:p w14:paraId="13FE9C9A" w14:textId="77777777" w:rsidR="00F15D94" w:rsidRPr="003F658E" w:rsidRDefault="00F15D94" w:rsidP="003F658E">
      <w:pPr>
        <w:pStyle w:val="ListParagraph"/>
        <w:spacing w:line="360" w:lineRule="auto"/>
        <w:jc w:val="both"/>
        <w:rPr>
          <w:rFonts w:eastAsiaTheme="minorEastAsia" w:cs="Arial"/>
        </w:rPr>
      </w:pPr>
    </w:p>
    <w:p w14:paraId="1ADF1834" w14:textId="0BFA3EC7" w:rsidR="004405D0" w:rsidRDefault="00CF79F5" w:rsidP="003F658E">
      <w:pPr>
        <w:spacing w:line="360" w:lineRule="auto"/>
        <w:jc w:val="both"/>
        <w:rPr>
          <w:rFonts w:eastAsia="Calibri" w:cs="Arial"/>
          <w:lang w:val="en-GB"/>
        </w:rPr>
      </w:pPr>
      <w:r>
        <w:rPr>
          <w:rFonts w:eastAsia="Calibri" w:cs="Arial"/>
          <w:lang w:val="en-GB"/>
        </w:rPr>
        <w:t>Secondly, under section 13(4) MHA, t</w:t>
      </w:r>
      <w:r w:rsidR="0030017B" w:rsidRPr="003F658E">
        <w:rPr>
          <w:rFonts w:eastAsia="Calibri" w:cs="Arial"/>
          <w:lang w:val="en-GB"/>
        </w:rPr>
        <w:t>he NR can</w:t>
      </w:r>
      <w:r w:rsidR="0046267A" w:rsidRPr="003F658E">
        <w:rPr>
          <w:rFonts w:eastAsia="Calibri" w:cs="Arial"/>
          <w:lang w:val="en-GB"/>
        </w:rPr>
        <w:t xml:space="preserve"> </w:t>
      </w:r>
      <w:r w:rsidR="00D22D07" w:rsidRPr="003F658E">
        <w:rPr>
          <w:rFonts w:eastAsia="Calibri" w:cs="Arial"/>
          <w:lang w:val="en-GB"/>
        </w:rPr>
        <w:t>challenge</w:t>
      </w:r>
      <w:r w:rsidRPr="15ABA772">
        <w:rPr>
          <w:rStyle w:val="FootnoteReference"/>
          <w:rFonts w:eastAsia="Calibri" w:cs="Arial"/>
          <w:lang w:val="en-GB"/>
        </w:rPr>
        <w:footnoteReference w:id="9"/>
      </w:r>
      <w:r w:rsidR="00D22D07" w:rsidRPr="00CF79F5">
        <w:rPr>
          <w:rFonts w:eastAsia="Calibri" w:cs="Arial"/>
          <w:lang w:val="en-GB"/>
        </w:rPr>
        <w:t xml:space="preserve"> </w:t>
      </w:r>
      <w:r w:rsidR="007F4886">
        <w:rPr>
          <w:rFonts w:eastAsia="Calibri" w:cs="Arial"/>
          <w:lang w:val="en-GB"/>
        </w:rPr>
        <w:t>the lack of initiation of a</w:t>
      </w:r>
      <w:r w:rsidR="0017721C" w:rsidRPr="003F658E">
        <w:rPr>
          <w:rFonts w:eastAsia="Calibri" w:cs="Arial"/>
          <w:lang w:val="en-GB"/>
        </w:rPr>
        <w:t xml:space="preserve"> formal application under the MHA</w:t>
      </w:r>
      <w:r w:rsidR="00D22D07" w:rsidRPr="003F658E">
        <w:rPr>
          <w:rFonts w:eastAsia="Calibri" w:cs="Arial"/>
          <w:lang w:val="en-GB"/>
        </w:rPr>
        <w:t xml:space="preserve"> by </w:t>
      </w:r>
      <w:r w:rsidR="0046267A" w:rsidRPr="003F658E">
        <w:rPr>
          <w:rFonts w:eastAsia="Calibri" w:cs="Arial"/>
          <w:lang w:val="en-GB"/>
        </w:rPr>
        <w:t>request</w:t>
      </w:r>
      <w:r w:rsidR="00D22D07" w:rsidRPr="003F658E">
        <w:rPr>
          <w:rFonts w:eastAsia="Calibri" w:cs="Arial"/>
          <w:lang w:val="en-GB"/>
        </w:rPr>
        <w:t>ing</w:t>
      </w:r>
      <w:r w:rsidR="0046267A" w:rsidRPr="003F658E">
        <w:rPr>
          <w:rFonts w:eastAsia="Calibri" w:cs="Arial"/>
          <w:lang w:val="en-GB"/>
        </w:rPr>
        <w:t xml:space="preserve"> a MHA assessment</w:t>
      </w:r>
      <w:r w:rsidR="00D22D07" w:rsidRPr="003F658E">
        <w:rPr>
          <w:rFonts w:eastAsia="Calibri" w:cs="Arial"/>
          <w:lang w:val="en-GB"/>
        </w:rPr>
        <w:t xml:space="preserve">. Typically this may be </w:t>
      </w:r>
      <w:r w:rsidR="0030017B" w:rsidRPr="003F658E">
        <w:rPr>
          <w:rFonts w:eastAsia="Calibri" w:cs="Arial"/>
          <w:lang w:val="en-GB"/>
        </w:rPr>
        <w:t>when</w:t>
      </w:r>
      <w:r w:rsidR="00D22D07" w:rsidRPr="003F658E">
        <w:rPr>
          <w:rFonts w:eastAsia="Calibri" w:cs="Arial"/>
          <w:lang w:val="en-GB"/>
        </w:rPr>
        <w:t xml:space="preserve"> the</w:t>
      </w:r>
      <w:r w:rsidR="0017721C" w:rsidRPr="003F658E">
        <w:rPr>
          <w:rFonts w:eastAsia="Calibri" w:cs="Arial"/>
          <w:lang w:val="en-GB"/>
        </w:rPr>
        <w:t xml:space="preserve"> NR</w:t>
      </w:r>
      <w:r w:rsidR="00D22D07" w:rsidRPr="003F658E">
        <w:rPr>
          <w:rFonts w:eastAsia="Calibri" w:cs="Arial"/>
          <w:lang w:val="en-GB"/>
        </w:rPr>
        <w:t xml:space="preserve"> feel</w:t>
      </w:r>
      <w:r w:rsidR="0017721C" w:rsidRPr="003F658E">
        <w:rPr>
          <w:rFonts w:eastAsia="Calibri" w:cs="Arial"/>
          <w:lang w:val="en-GB"/>
        </w:rPr>
        <w:t>s that</w:t>
      </w:r>
      <w:r w:rsidR="00D22D07" w:rsidRPr="003F658E">
        <w:rPr>
          <w:rFonts w:eastAsia="Calibri" w:cs="Arial"/>
          <w:lang w:val="en-GB"/>
        </w:rPr>
        <w:t xml:space="preserve"> community mental health services are not being </w:t>
      </w:r>
      <w:r w:rsidR="0017721C" w:rsidRPr="003F658E">
        <w:rPr>
          <w:rFonts w:eastAsia="Calibri" w:cs="Arial"/>
          <w:lang w:val="en-GB"/>
        </w:rPr>
        <w:t xml:space="preserve">responsive or </w:t>
      </w:r>
      <w:r w:rsidR="00D22D07" w:rsidRPr="003F658E">
        <w:rPr>
          <w:rFonts w:eastAsia="Calibri" w:cs="Arial"/>
          <w:lang w:val="en-GB"/>
        </w:rPr>
        <w:t>effective. If a MHA is declined by the</w:t>
      </w:r>
      <w:r w:rsidR="0046267A" w:rsidRPr="003F658E">
        <w:rPr>
          <w:rFonts w:eastAsia="Calibri" w:cs="Arial"/>
          <w:lang w:val="en-GB"/>
        </w:rPr>
        <w:t xml:space="preserve"> local authority</w:t>
      </w:r>
      <w:r w:rsidR="0017721C" w:rsidRPr="003F658E">
        <w:rPr>
          <w:rFonts w:eastAsia="Calibri" w:cs="Arial"/>
          <w:lang w:val="en-GB"/>
        </w:rPr>
        <w:t>,</w:t>
      </w:r>
      <w:r w:rsidR="00D22D07" w:rsidRPr="003F658E">
        <w:rPr>
          <w:rFonts w:eastAsia="Calibri" w:cs="Arial"/>
          <w:lang w:val="en-GB"/>
        </w:rPr>
        <w:t xml:space="preserve"> a response in writing must be given</w:t>
      </w:r>
      <w:r w:rsidR="00547715" w:rsidRPr="003F658E">
        <w:rPr>
          <w:rFonts w:eastAsia="Calibri" w:cs="Arial"/>
          <w:lang w:val="en-GB"/>
        </w:rPr>
        <w:t xml:space="preserve"> to the NR</w:t>
      </w:r>
      <w:r w:rsidR="0046267A" w:rsidRPr="003F658E">
        <w:rPr>
          <w:rFonts w:eastAsia="Calibri" w:cs="Arial"/>
          <w:lang w:val="en-GB"/>
        </w:rPr>
        <w:t xml:space="preserve">. </w:t>
      </w:r>
      <w:r w:rsidR="00D22D07" w:rsidRPr="003F658E">
        <w:rPr>
          <w:rFonts w:eastAsia="Calibri" w:cs="Arial"/>
          <w:lang w:val="en-GB"/>
        </w:rPr>
        <w:t>The NR</w:t>
      </w:r>
      <w:r w:rsidR="007F4886">
        <w:rPr>
          <w:rFonts w:eastAsia="Calibri" w:cs="Arial"/>
          <w:lang w:val="en-GB"/>
        </w:rPr>
        <w:t>’s</w:t>
      </w:r>
      <w:r w:rsidR="00DD1F40" w:rsidRPr="003F658E">
        <w:rPr>
          <w:rFonts w:eastAsia="Calibri" w:cs="Arial"/>
          <w:lang w:val="en-GB"/>
        </w:rPr>
        <w:t xml:space="preserve"> request for an assessment can be driven by a variety of reasons</w:t>
      </w:r>
      <w:r w:rsidR="00547715" w:rsidRPr="003F658E">
        <w:rPr>
          <w:rFonts w:eastAsia="Calibri" w:cs="Arial"/>
          <w:lang w:val="en-GB"/>
        </w:rPr>
        <w:t>, ranging</w:t>
      </w:r>
      <w:r w:rsidR="00DD1F40" w:rsidRPr="003F658E">
        <w:rPr>
          <w:rFonts w:eastAsia="Calibri" w:cs="Arial"/>
          <w:lang w:val="en-GB"/>
        </w:rPr>
        <w:t xml:space="preserve"> from beneficence</w:t>
      </w:r>
      <w:r w:rsidR="00DB2D25" w:rsidRPr="003F658E">
        <w:rPr>
          <w:rFonts w:eastAsia="Calibri" w:cs="Arial"/>
          <w:lang w:val="en-GB"/>
        </w:rPr>
        <w:t xml:space="preserve"> to malice, and the AMHP</w:t>
      </w:r>
      <w:r w:rsidR="0017721C" w:rsidRPr="003F658E">
        <w:rPr>
          <w:rFonts w:eastAsia="Calibri" w:cs="Arial"/>
          <w:lang w:val="en-GB"/>
        </w:rPr>
        <w:t xml:space="preserve"> should seek to</w:t>
      </w:r>
      <w:r w:rsidR="00DB2D25" w:rsidRPr="003F658E">
        <w:rPr>
          <w:rFonts w:eastAsia="Calibri" w:cs="Arial"/>
          <w:lang w:val="en-GB"/>
        </w:rPr>
        <w:t xml:space="preserve"> explore this</w:t>
      </w:r>
      <w:r w:rsidR="00B47CD1" w:rsidRPr="003F658E">
        <w:rPr>
          <w:rFonts w:eastAsia="Calibri" w:cs="Arial"/>
          <w:lang w:val="en-GB"/>
        </w:rPr>
        <w:t xml:space="preserve"> when a referral </w:t>
      </w:r>
      <w:r w:rsidR="0017721C" w:rsidRPr="003F658E">
        <w:rPr>
          <w:rFonts w:eastAsia="Calibri" w:cs="Arial"/>
          <w:lang w:val="en-GB"/>
        </w:rPr>
        <w:t xml:space="preserve">by the NR </w:t>
      </w:r>
      <w:r w:rsidR="00B47CD1" w:rsidRPr="003F658E">
        <w:rPr>
          <w:rFonts w:eastAsia="Calibri" w:cs="Arial"/>
          <w:lang w:val="en-GB"/>
        </w:rPr>
        <w:t>is made</w:t>
      </w:r>
      <w:r w:rsidR="00DB2D25" w:rsidRPr="003F658E">
        <w:rPr>
          <w:rFonts w:eastAsia="Calibri" w:cs="Arial"/>
          <w:lang w:val="en-GB"/>
        </w:rPr>
        <w:t>.</w:t>
      </w:r>
      <w:r w:rsidR="00DD1F40" w:rsidRPr="003F658E">
        <w:rPr>
          <w:rFonts w:eastAsia="Calibri" w:cs="Arial"/>
          <w:lang w:val="en-GB"/>
        </w:rPr>
        <w:t xml:space="preserve"> </w:t>
      </w:r>
      <w:r w:rsidR="0046267A" w:rsidRPr="003F658E">
        <w:rPr>
          <w:rFonts w:eastAsia="Calibri" w:cs="Arial"/>
          <w:lang w:val="en-GB"/>
        </w:rPr>
        <w:t xml:space="preserve">Doctors are advised that they should inform the NR of their right to request an assessment and should direct them accordingly.  Equally, the </w:t>
      </w:r>
      <w:r w:rsidR="0017721C" w:rsidRPr="003F658E">
        <w:rPr>
          <w:rFonts w:eastAsia="Calibri" w:cs="Arial"/>
          <w:lang w:val="en-GB"/>
        </w:rPr>
        <w:t xml:space="preserve">NR </w:t>
      </w:r>
      <w:r w:rsidR="0046267A" w:rsidRPr="003F658E">
        <w:rPr>
          <w:rFonts w:eastAsia="Calibri" w:cs="Arial"/>
          <w:lang w:val="en-GB"/>
        </w:rPr>
        <w:t xml:space="preserve">can (as part of an assessment) also challenge whether all the ‘least restrictive’ options </w:t>
      </w:r>
      <w:r w:rsidR="0017721C" w:rsidRPr="003F658E">
        <w:rPr>
          <w:rFonts w:eastAsia="Calibri" w:cs="Arial"/>
          <w:lang w:val="en-GB"/>
        </w:rPr>
        <w:t xml:space="preserve">(e.g. </w:t>
      </w:r>
      <w:r w:rsidR="00547715" w:rsidRPr="003F658E">
        <w:rPr>
          <w:rFonts w:eastAsia="Calibri" w:cs="Arial"/>
          <w:lang w:val="en-GB"/>
        </w:rPr>
        <w:t xml:space="preserve">voluntary or </w:t>
      </w:r>
      <w:r w:rsidR="0017721C" w:rsidRPr="003F658E">
        <w:rPr>
          <w:rFonts w:eastAsia="Calibri" w:cs="Arial"/>
          <w:lang w:val="en-GB"/>
        </w:rPr>
        <w:t xml:space="preserve">home treatment) </w:t>
      </w:r>
      <w:r w:rsidR="0046267A" w:rsidRPr="003F658E">
        <w:rPr>
          <w:rFonts w:eastAsia="Calibri" w:cs="Arial"/>
          <w:lang w:val="en-GB"/>
        </w:rPr>
        <w:t xml:space="preserve">have not </w:t>
      </w:r>
      <w:r w:rsidR="0017721C" w:rsidRPr="003F658E">
        <w:rPr>
          <w:rFonts w:eastAsia="Calibri" w:cs="Arial"/>
          <w:lang w:val="en-GB"/>
        </w:rPr>
        <w:t xml:space="preserve">already </w:t>
      </w:r>
      <w:r w:rsidR="0046267A" w:rsidRPr="003F658E">
        <w:rPr>
          <w:rFonts w:eastAsia="Calibri" w:cs="Arial"/>
          <w:lang w:val="en-GB"/>
        </w:rPr>
        <w:t>been considered</w:t>
      </w:r>
      <w:r w:rsidR="00547715" w:rsidRPr="003F658E">
        <w:rPr>
          <w:rFonts w:eastAsia="Calibri" w:cs="Arial"/>
          <w:lang w:val="en-GB"/>
        </w:rPr>
        <w:t>,</w:t>
      </w:r>
      <w:r w:rsidR="0046267A" w:rsidRPr="003F658E">
        <w:rPr>
          <w:rFonts w:eastAsia="Calibri" w:cs="Arial"/>
          <w:lang w:val="en-GB"/>
        </w:rPr>
        <w:t xml:space="preserve"> when </w:t>
      </w:r>
      <w:r w:rsidR="0017721C" w:rsidRPr="003F658E">
        <w:rPr>
          <w:rFonts w:eastAsia="Calibri" w:cs="Arial"/>
          <w:lang w:val="en-GB"/>
        </w:rPr>
        <w:t>compulsory admission</w:t>
      </w:r>
      <w:r w:rsidR="0046267A" w:rsidRPr="003F658E">
        <w:rPr>
          <w:rFonts w:eastAsia="Calibri" w:cs="Arial"/>
          <w:lang w:val="en-GB"/>
        </w:rPr>
        <w:t xml:space="preserve"> is being discussed</w:t>
      </w:r>
      <w:r w:rsidR="00D22D07" w:rsidRPr="003F658E">
        <w:rPr>
          <w:rFonts w:eastAsia="Calibri" w:cs="Arial"/>
          <w:lang w:val="en-GB"/>
        </w:rPr>
        <w:t xml:space="preserve"> </w:t>
      </w:r>
      <w:r w:rsidR="0046267A" w:rsidRPr="003F658E">
        <w:rPr>
          <w:rFonts w:eastAsia="Calibri" w:cs="Arial"/>
          <w:lang w:val="en-GB"/>
        </w:rPr>
        <w:t xml:space="preserve">(DH 2015:14.7). </w:t>
      </w:r>
      <w:r w:rsidR="00DB2D25" w:rsidRPr="003F658E">
        <w:rPr>
          <w:rFonts w:eastAsia="Calibri" w:cs="Arial"/>
          <w:lang w:val="en-GB"/>
        </w:rPr>
        <w:t xml:space="preserve">As referrals can </w:t>
      </w:r>
      <w:r w:rsidR="0017721C" w:rsidRPr="003F658E">
        <w:rPr>
          <w:rFonts w:eastAsia="Calibri" w:cs="Arial"/>
          <w:lang w:val="en-GB"/>
        </w:rPr>
        <w:t>often come</w:t>
      </w:r>
      <w:r w:rsidR="00DB2D25" w:rsidRPr="003F658E">
        <w:rPr>
          <w:rFonts w:eastAsia="Calibri" w:cs="Arial"/>
          <w:lang w:val="en-GB"/>
        </w:rPr>
        <w:t xml:space="preserve"> from c</w:t>
      </w:r>
      <w:r w:rsidR="0014127D" w:rsidRPr="003F658E">
        <w:rPr>
          <w:rFonts w:eastAsia="Calibri" w:cs="Arial"/>
          <w:lang w:val="en-GB"/>
        </w:rPr>
        <w:t>oncerned</w:t>
      </w:r>
      <w:r w:rsidR="00DB2D25" w:rsidRPr="003F658E">
        <w:rPr>
          <w:rFonts w:eastAsia="Calibri" w:cs="Arial"/>
          <w:lang w:val="en-GB"/>
        </w:rPr>
        <w:t xml:space="preserve"> and exhausted </w:t>
      </w:r>
      <w:r w:rsidR="00A15490" w:rsidRPr="003F658E">
        <w:rPr>
          <w:rFonts w:eastAsia="Calibri" w:cs="Arial"/>
          <w:lang w:val="en-GB"/>
        </w:rPr>
        <w:t>family members, it is likely that these</w:t>
      </w:r>
      <w:r w:rsidR="00D22D07" w:rsidRPr="003F658E">
        <w:rPr>
          <w:rFonts w:eastAsia="Calibri" w:cs="Arial"/>
          <w:lang w:val="en-GB"/>
        </w:rPr>
        <w:t xml:space="preserve"> </w:t>
      </w:r>
      <w:r w:rsidR="0017721C" w:rsidRPr="003F658E">
        <w:rPr>
          <w:rFonts w:eastAsia="Calibri" w:cs="Arial"/>
          <w:lang w:val="en-GB"/>
        </w:rPr>
        <w:t xml:space="preserve">alternatives </w:t>
      </w:r>
      <w:r w:rsidR="00D22D07" w:rsidRPr="003F658E">
        <w:rPr>
          <w:rFonts w:eastAsia="Calibri" w:cs="Arial"/>
          <w:lang w:val="en-GB"/>
        </w:rPr>
        <w:t>will</w:t>
      </w:r>
      <w:r w:rsidR="00A15490" w:rsidRPr="003F658E">
        <w:rPr>
          <w:rFonts w:eastAsia="Calibri" w:cs="Arial"/>
          <w:lang w:val="en-GB"/>
        </w:rPr>
        <w:t xml:space="preserve"> have been explored</w:t>
      </w:r>
      <w:r w:rsidR="0017721C" w:rsidRPr="003F658E">
        <w:rPr>
          <w:rFonts w:eastAsia="Calibri" w:cs="Arial"/>
          <w:lang w:val="en-GB"/>
        </w:rPr>
        <w:t xml:space="preserve"> already</w:t>
      </w:r>
      <w:r w:rsidR="007F4886">
        <w:rPr>
          <w:rFonts w:eastAsia="Calibri" w:cs="Arial"/>
          <w:lang w:val="en-GB"/>
        </w:rPr>
        <w:t>, a</w:t>
      </w:r>
      <w:r w:rsidR="001A62C1" w:rsidRPr="003F658E">
        <w:rPr>
          <w:rFonts w:eastAsia="Calibri" w:cs="Arial"/>
          <w:lang w:val="en-GB"/>
        </w:rPr>
        <w:t>lthough</w:t>
      </w:r>
      <w:r w:rsidR="00A15490" w:rsidRPr="003F658E">
        <w:rPr>
          <w:rFonts w:eastAsia="Calibri" w:cs="Arial"/>
          <w:lang w:val="en-GB"/>
        </w:rPr>
        <w:t xml:space="preserve"> </w:t>
      </w:r>
      <w:r w:rsidR="0017721C" w:rsidRPr="003F658E">
        <w:rPr>
          <w:rFonts w:eastAsia="Calibri" w:cs="Arial"/>
          <w:lang w:val="en-GB"/>
        </w:rPr>
        <w:t xml:space="preserve">issues </w:t>
      </w:r>
      <w:r w:rsidR="00A15490" w:rsidRPr="003F658E">
        <w:rPr>
          <w:rFonts w:eastAsia="Calibri" w:cs="Arial"/>
          <w:lang w:val="en-GB"/>
        </w:rPr>
        <w:t xml:space="preserve">may </w:t>
      </w:r>
      <w:r w:rsidR="001A62C1" w:rsidRPr="003F658E">
        <w:rPr>
          <w:rFonts w:eastAsia="Calibri" w:cs="Arial"/>
          <w:lang w:val="en-GB"/>
        </w:rPr>
        <w:t xml:space="preserve">have </w:t>
      </w:r>
      <w:r w:rsidR="00A15490" w:rsidRPr="003F658E">
        <w:rPr>
          <w:rFonts w:eastAsia="Calibri" w:cs="Arial"/>
          <w:lang w:val="en-GB"/>
        </w:rPr>
        <w:t>arise</w:t>
      </w:r>
      <w:r w:rsidR="001A62C1" w:rsidRPr="003F658E">
        <w:rPr>
          <w:rFonts w:eastAsia="Calibri" w:cs="Arial"/>
          <w:lang w:val="en-GB"/>
        </w:rPr>
        <w:t>n</w:t>
      </w:r>
      <w:r w:rsidR="00A15490" w:rsidRPr="003F658E">
        <w:rPr>
          <w:rFonts w:eastAsia="Calibri" w:cs="Arial"/>
          <w:lang w:val="en-GB"/>
        </w:rPr>
        <w:t xml:space="preserve"> where an identified psychiatric bed is </w:t>
      </w:r>
      <w:r w:rsidR="00547715" w:rsidRPr="003F658E">
        <w:rPr>
          <w:rFonts w:eastAsia="Calibri" w:cs="Arial"/>
          <w:lang w:val="en-GB"/>
        </w:rPr>
        <w:t xml:space="preserve">out of area and </w:t>
      </w:r>
      <w:r w:rsidR="00A15490" w:rsidRPr="003F658E">
        <w:rPr>
          <w:rFonts w:eastAsia="Calibri" w:cs="Arial"/>
          <w:lang w:val="en-GB"/>
        </w:rPr>
        <w:t xml:space="preserve">some distance away. </w:t>
      </w:r>
      <w:r w:rsidR="0014127D" w:rsidRPr="003F658E">
        <w:rPr>
          <w:rFonts w:eastAsia="Calibri" w:cs="Arial"/>
          <w:lang w:val="en-GB"/>
        </w:rPr>
        <w:t xml:space="preserve"> The NR does not need to be the person who is caring</w:t>
      </w:r>
      <w:r w:rsidR="00D22D07" w:rsidRPr="003F658E">
        <w:rPr>
          <w:rFonts w:eastAsia="Calibri" w:cs="Arial"/>
          <w:lang w:val="en-GB"/>
        </w:rPr>
        <w:t xml:space="preserve"> for the</w:t>
      </w:r>
      <w:r w:rsidR="001A62C1" w:rsidRPr="003F658E">
        <w:rPr>
          <w:rFonts w:eastAsia="Calibri" w:cs="Arial"/>
          <w:lang w:val="en-GB"/>
        </w:rPr>
        <w:t xml:space="preserve"> patient</w:t>
      </w:r>
      <w:r w:rsidR="00D22D07" w:rsidRPr="003F658E">
        <w:rPr>
          <w:rFonts w:eastAsia="Calibri" w:cs="Arial"/>
          <w:lang w:val="en-GB"/>
        </w:rPr>
        <w:t xml:space="preserve"> in the community</w:t>
      </w:r>
      <w:r w:rsidR="0014127D" w:rsidRPr="003F658E">
        <w:rPr>
          <w:rFonts w:eastAsia="Calibri" w:cs="Arial"/>
          <w:lang w:val="en-GB"/>
        </w:rPr>
        <w:t xml:space="preserve"> or even had recent involvement in their care.  In fact, the person who is </w:t>
      </w:r>
      <w:r w:rsidR="001A62C1" w:rsidRPr="003F658E">
        <w:rPr>
          <w:rFonts w:eastAsia="Calibri" w:cs="Arial"/>
          <w:lang w:val="en-GB"/>
        </w:rPr>
        <w:t xml:space="preserve">identified as </w:t>
      </w:r>
      <w:r w:rsidR="0014127D" w:rsidRPr="003F658E">
        <w:rPr>
          <w:rFonts w:eastAsia="Calibri" w:cs="Arial"/>
          <w:lang w:val="en-GB"/>
        </w:rPr>
        <w:t>the NR may</w:t>
      </w:r>
      <w:r w:rsidR="001A62C1" w:rsidRPr="003F658E">
        <w:rPr>
          <w:rFonts w:eastAsia="Calibri" w:cs="Arial"/>
          <w:lang w:val="en-GB"/>
        </w:rPr>
        <w:t xml:space="preserve"> </w:t>
      </w:r>
      <w:r w:rsidR="00027919" w:rsidRPr="003F658E">
        <w:rPr>
          <w:rFonts w:eastAsia="Calibri" w:cs="Arial"/>
          <w:lang w:val="en-GB"/>
        </w:rPr>
        <w:t>be</w:t>
      </w:r>
      <w:r w:rsidR="0014127D" w:rsidRPr="003F658E">
        <w:rPr>
          <w:rFonts w:eastAsia="Calibri" w:cs="Arial"/>
          <w:lang w:val="en-GB"/>
        </w:rPr>
        <w:t xml:space="preserve"> someone who has not had any contact </w:t>
      </w:r>
      <w:r w:rsidR="001A62C1" w:rsidRPr="003F658E">
        <w:rPr>
          <w:rFonts w:eastAsia="Calibri" w:cs="Arial"/>
          <w:lang w:val="en-GB"/>
        </w:rPr>
        <w:t xml:space="preserve">with the patient </w:t>
      </w:r>
      <w:r w:rsidR="0014127D" w:rsidRPr="003F658E">
        <w:rPr>
          <w:rFonts w:eastAsia="Calibri" w:cs="Arial"/>
          <w:lang w:val="en-GB"/>
        </w:rPr>
        <w:t>for some time</w:t>
      </w:r>
      <w:r w:rsidR="001A62C1" w:rsidRPr="003F658E">
        <w:rPr>
          <w:rFonts w:eastAsia="Calibri" w:cs="Arial"/>
          <w:lang w:val="en-GB"/>
        </w:rPr>
        <w:t>,</w:t>
      </w:r>
      <w:r w:rsidR="00027919" w:rsidRPr="003F658E">
        <w:rPr>
          <w:rFonts w:eastAsia="Calibri" w:cs="Arial"/>
          <w:lang w:val="en-GB"/>
        </w:rPr>
        <w:t xml:space="preserve"> or </w:t>
      </w:r>
      <w:r w:rsidR="001A62C1" w:rsidRPr="003F658E">
        <w:rPr>
          <w:rFonts w:eastAsia="Calibri" w:cs="Arial"/>
          <w:lang w:val="en-GB"/>
        </w:rPr>
        <w:t xml:space="preserve">someone who does not wish to </w:t>
      </w:r>
      <w:r w:rsidR="00027919" w:rsidRPr="003F658E">
        <w:rPr>
          <w:rFonts w:eastAsia="Calibri" w:cs="Arial"/>
          <w:lang w:val="en-GB"/>
        </w:rPr>
        <w:t>be the NR</w:t>
      </w:r>
      <w:r w:rsidR="00D22D07" w:rsidRPr="003F658E">
        <w:rPr>
          <w:rFonts w:eastAsia="Calibri" w:cs="Arial"/>
          <w:lang w:val="en-GB"/>
        </w:rPr>
        <w:t xml:space="preserve"> at all</w:t>
      </w:r>
      <w:r w:rsidR="001A62C1" w:rsidRPr="003F658E">
        <w:rPr>
          <w:rFonts w:eastAsia="Calibri" w:cs="Arial"/>
          <w:lang w:val="en-GB"/>
        </w:rPr>
        <w:t>. However, s</w:t>
      </w:r>
      <w:r w:rsidR="00A15490" w:rsidRPr="003F658E">
        <w:rPr>
          <w:rFonts w:eastAsia="Calibri" w:cs="Arial"/>
          <w:lang w:val="en-GB"/>
        </w:rPr>
        <w:t>ection 26(4) does make an assumption that those who ‘care for’ or ‘reside with’ the person being assessed may</w:t>
      </w:r>
      <w:r w:rsidR="001A62C1" w:rsidRPr="003F658E">
        <w:rPr>
          <w:rFonts w:eastAsia="Calibri" w:cs="Arial"/>
          <w:lang w:val="en-GB"/>
        </w:rPr>
        <w:t xml:space="preserve"> </w:t>
      </w:r>
      <w:r w:rsidR="00027919" w:rsidRPr="003F658E">
        <w:rPr>
          <w:rFonts w:eastAsia="Calibri" w:cs="Arial"/>
          <w:lang w:val="en-GB"/>
        </w:rPr>
        <w:t>be more likely to</w:t>
      </w:r>
      <w:r w:rsidR="00A15490" w:rsidRPr="003F658E">
        <w:rPr>
          <w:rFonts w:eastAsia="Calibri" w:cs="Arial"/>
          <w:lang w:val="en-GB"/>
        </w:rPr>
        <w:t xml:space="preserve"> act in the persons best interest</w:t>
      </w:r>
      <w:r w:rsidR="001A62C1" w:rsidRPr="003F658E">
        <w:rPr>
          <w:rFonts w:eastAsia="Calibri" w:cs="Arial"/>
          <w:lang w:val="en-GB"/>
        </w:rPr>
        <w:t>s,</w:t>
      </w:r>
      <w:r w:rsidR="00A15490" w:rsidRPr="003F658E">
        <w:rPr>
          <w:rFonts w:eastAsia="Calibri" w:cs="Arial"/>
          <w:lang w:val="en-GB"/>
        </w:rPr>
        <w:t xml:space="preserve"> </w:t>
      </w:r>
      <w:r w:rsidR="00027919" w:rsidRPr="003F658E">
        <w:rPr>
          <w:rFonts w:eastAsia="Calibri" w:cs="Arial"/>
          <w:lang w:val="en-GB"/>
        </w:rPr>
        <w:t xml:space="preserve">compared with </w:t>
      </w:r>
      <w:r w:rsidR="00A15490" w:rsidRPr="003F658E">
        <w:rPr>
          <w:rFonts w:eastAsia="Calibri" w:cs="Arial"/>
          <w:lang w:val="en-GB"/>
        </w:rPr>
        <w:t>those who do not</w:t>
      </w:r>
      <w:r w:rsidR="00547715" w:rsidRPr="003F658E">
        <w:rPr>
          <w:rFonts w:eastAsia="Calibri" w:cs="Arial"/>
          <w:lang w:val="en-GB"/>
        </w:rPr>
        <w:t>. Moreover, the MHA</w:t>
      </w:r>
      <w:r w:rsidR="001A62C1" w:rsidRPr="003F658E">
        <w:rPr>
          <w:rFonts w:eastAsia="Calibri" w:cs="Arial"/>
          <w:lang w:val="en-GB"/>
        </w:rPr>
        <w:t xml:space="preserve"> </w:t>
      </w:r>
      <w:r w:rsidR="00027919" w:rsidRPr="003F658E">
        <w:rPr>
          <w:rFonts w:eastAsia="Calibri" w:cs="Arial"/>
          <w:lang w:val="en-GB"/>
        </w:rPr>
        <w:t xml:space="preserve">aids this class of relative </w:t>
      </w:r>
      <w:r w:rsidR="001A62C1" w:rsidRPr="003F658E">
        <w:rPr>
          <w:rFonts w:eastAsia="Calibri" w:cs="Arial"/>
          <w:lang w:val="en-GB"/>
        </w:rPr>
        <w:t xml:space="preserve">(carer or relative in residence) </w:t>
      </w:r>
      <w:r w:rsidR="00027919" w:rsidRPr="003F658E">
        <w:rPr>
          <w:rFonts w:eastAsia="Calibri" w:cs="Arial"/>
          <w:lang w:val="en-GB"/>
        </w:rPr>
        <w:t>by promoting</w:t>
      </w:r>
      <w:r w:rsidR="00A15490" w:rsidRPr="003F658E">
        <w:rPr>
          <w:rFonts w:eastAsia="Calibri" w:cs="Arial"/>
          <w:lang w:val="en-GB"/>
        </w:rPr>
        <w:t xml:space="preserve"> their ability to be a </w:t>
      </w:r>
      <w:r w:rsidR="001A62C1" w:rsidRPr="003F658E">
        <w:rPr>
          <w:rFonts w:eastAsia="Calibri" w:cs="Arial"/>
          <w:lang w:val="en-GB"/>
        </w:rPr>
        <w:t xml:space="preserve">NR </w:t>
      </w:r>
      <w:r w:rsidR="00A15490" w:rsidRPr="003F658E">
        <w:rPr>
          <w:rFonts w:eastAsia="Calibri" w:cs="Arial"/>
          <w:lang w:val="en-GB"/>
        </w:rPr>
        <w:t xml:space="preserve">over other </w:t>
      </w:r>
      <w:r w:rsidR="00CB4D71" w:rsidRPr="003F658E">
        <w:rPr>
          <w:rFonts w:eastAsia="Calibri" w:cs="Arial"/>
          <w:lang w:val="en-GB"/>
        </w:rPr>
        <w:t>relatives</w:t>
      </w:r>
      <w:r w:rsidR="00A15490" w:rsidRPr="003F658E">
        <w:rPr>
          <w:rFonts w:eastAsia="Calibri" w:cs="Arial"/>
          <w:lang w:val="en-GB"/>
        </w:rPr>
        <w:t xml:space="preserve">.   </w:t>
      </w:r>
    </w:p>
    <w:p w14:paraId="1157B62C" w14:textId="77777777" w:rsidR="004405D0" w:rsidRDefault="004405D0" w:rsidP="003F658E">
      <w:pPr>
        <w:spacing w:line="360" w:lineRule="auto"/>
        <w:jc w:val="both"/>
        <w:rPr>
          <w:rFonts w:eastAsia="Calibri" w:cs="Arial"/>
          <w:lang w:val="en-GB"/>
        </w:rPr>
      </w:pPr>
    </w:p>
    <w:p w14:paraId="2E5ECAAA" w14:textId="250D7BEB" w:rsidR="002A72A7" w:rsidRPr="005C7D4F" w:rsidRDefault="001A62C1" w:rsidP="003F658E">
      <w:pPr>
        <w:spacing w:line="360" w:lineRule="auto"/>
        <w:jc w:val="both"/>
        <w:rPr>
          <w:rFonts w:eastAsia="Calibri" w:cs="Arial"/>
          <w:lang w:val="en-GB"/>
        </w:rPr>
      </w:pPr>
      <w:r w:rsidRPr="003F658E">
        <w:rPr>
          <w:rFonts w:eastAsia="Calibri" w:cs="Arial"/>
          <w:lang w:val="en-GB"/>
        </w:rPr>
        <w:t xml:space="preserve">There is clear potential for a </w:t>
      </w:r>
      <w:r w:rsidR="00A15490" w:rsidRPr="003F658E">
        <w:rPr>
          <w:rFonts w:eastAsia="Calibri" w:cs="Arial"/>
          <w:lang w:val="en-GB"/>
        </w:rPr>
        <w:t>conflict of interest</w:t>
      </w:r>
      <w:r w:rsidRPr="003F658E">
        <w:rPr>
          <w:rFonts w:eastAsia="Calibri" w:cs="Arial"/>
          <w:lang w:val="en-GB"/>
        </w:rPr>
        <w:t xml:space="preserve"> </w:t>
      </w:r>
      <w:r w:rsidR="00A15490" w:rsidRPr="003F658E">
        <w:rPr>
          <w:rFonts w:eastAsia="Calibri" w:cs="Arial"/>
          <w:lang w:val="en-GB"/>
        </w:rPr>
        <w:t xml:space="preserve">where the NR wants their relative </w:t>
      </w:r>
      <w:r w:rsidRPr="003F658E">
        <w:rPr>
          <w:rFonts w:eastAsia="Calibri" w:cs="Arial"/>
          <w:lang w:val="en-GB"/>
        </w:rPr>
        <w:t xml:space="preserve">to be </w:t>
      </w:r>
      <w:r w:rsidR="00A15490" w:rsidRPr="003F658E">
        <w:rPr>
          <w:rFonts w:eastAsia="Calibri" w:cs="Arial"/>
          <w:lang w:val="en-GB"/>
        </w:rPr>
        <w:t>in hospital</w:t>
      </w:r>
      <w:r w:rsidRPr="003F658E">
        <w:rPr>
          <w:rFonts w:eastAsia="Calibri" w:cs="Arial"/>
          <w:lang w:val="en-GB"/>
        </w:rPr>
        <w:t xml:space="preserve">, </w:t>
      </w:r>
      <w:r w:rsidR="00A15490" w:rsidRPr="003F658E">
        <w:rPr>
          <w:rFonts w:eastAsia="Calibri" w:cs="Arial"/>
          <w:lang w:val="en-GB"/>
        </w:rPr>
        <w:t xml:space="preserve">as </w:t>
      </w:r>
      <w:r w:rsidR="00027919" w:rsidRPr="003F658E">
        <w:rPr>
          <w:rFonts w:eastAsia="Calibri" w:cs="Arial"/>
          <w:lang w:val="en-GB"/>
        </w:rPr>
        <w:t xml:space="preserve">they are unlikely to offer a challenge to </w:t>
      </w:r>
      <w:r w:rsidRPr="003F658E">
        <w:rPr>
          <w:rFonts w:eastAsia="Calibri" w:cs="Arial"/>
          <w:lang w:val="en-GB"/>
        </w:rPr>
        <w:t xml:space="preserve">the </w:t>
      </w:r>
      <w:r w:rsidR="00027919" w:rsidRPr="003F658E">
        <w:rPr>
          <w:rFonts w:eastAsia="Calibri" w:cs="Arial"/>
          <w:lang w:val="en-GB"/>
        </w:rPr>
        <w:t>professional</w:t>
      </w:r>
      <w:r w:rsidR="00CB4D71" w:rsidRPr="003F658E">
        <w:rPr>
          <w:rFonts w:eastAsia="Calibri" w:cs="Arial"/>
          <w:lang w:val="en-GB"/>
        </w:rPr>
        <w:t xml:space="preserve"> decision</w:t>
      </w:r>
      <w:r w:rsidRPr="003F658E">
        <w:rPr>
          <w:rFonts w:eastAsia="Calibri" w:cs="Arial"/>
          <w:lang w:val="en-GB"/>
        </w:rPr>
        <w:t xml:space="preserve"> makers</w:t>
      </w:r>
      <w:r w:rsidR="00512EF2" w:rsidRPr="003F658E">
        <w:rPr>
          <w:rFonts w:eastAsia="Calibri" w:cs="Arial"/>
          <w:lang w:val="en-GB"/>
        </w:rPr>
        <w:t xml:space="preserve">. </w:t>
      </w:r>
      <w:r w:rsidR="00CB4D71" w:rsidRPr="003F658E">
        <w:rPr>
          <w:rFonts w:eastAsia="Calibri" w:cs="Arial"/>
          <w:lang w:val="en-GB"/>
        </w:rPr>
        <w:t>Therefore, the</w:t>
      </w:r>
      <w:r w:rsidR="00A15490" w:rsidRPr="003F658E">
        <w:rPr>
          <w:rFonts w:eastAsia="Calibri" w:cs="Arial"/>
          <w:lang w:val="en-GB"/>
        </w:rPr>
        <w:t xml:space="preserve"> importance of the dialogue between the AMHP, doctors and NR </w:t>
      </w:r>
      <w:r w:rsidR="0046267A" w:rsidRPr="003F658E">
        <w:rPr>
          <w:rFonts w:eastAsia="Calibri" w:cs="Arial"/>
          <w:lang w:val="en-GB"/>
        </w:rPr>
        <w:t xml:space="preserve">extends </w:t>
      </w:r>
      <w:r w:rsidR="0046267A" w:rsidRPr="003F658E">
        <w:rPr>
          <w:rFonts w:eastAsia="Calibri" w:cs="Arial"/>
          <w:lang w:val="en-GB"/>
        </w:rPr>
        <w:lastRenderedPageBreak/>
        <w:t xml:space="preserve">beyond the </w:t>
      </w:r>
      <w:r w:rsidRPr="003F658E">
        <w:rPr>
          <w:rFonts w:eastAsia="Calibri" w:cs="Arial"/>
          <w:lang w:val="en-GB"/>
        </w:rPr>
        <w:t xml:space="preserve">simple </w:t>
      </w:r>
      <w:r w:rsidR="0046267A" w:rsidRPr="003F658E">
        <w:rPr>
          <w:rFonts w:eastAsia="Calibri" w:cs="Arial"/>
          <w:lang w:val="en-GB"/>
        </w:rPr>
        <w:t xml:space="preserve">need for the AMHP to ‘inform’ the NR that </w:t>
      </w:r>
      <w:r w:rsidR="00512EF2" w:rsidRPr="003F658E">
        <w:rPr>
          <w:rFonts w:eastAsia="Calibri" w:cs="Arial"/>
          <w:lang w:val="en-GB"/>
        </w:rPr>
        <w:t>s/he intend</w:t>
      </w:r>
      <w:r w:rsidRPr="003F658E">
        <w:rPr>
          <w:rFonts w:eastAsia="Calibri" w:cs="Arial"/>
          <w:lang w:val="en-GB"/>
        </w:rPr>
        <w:t>s</w:t>
      </w:r>
      <w:r w:rsidR="00512EF2" w:rsidRPr="003F658E">
        <w:rPr>
          <w:rFonts w:eastAsia="Calibri" w:cs="Arial"/>
          <w:lang w:val="en-GB"/>
        </w:rPr>
        <w:t xml:space="preserve"> to use powers under the MHA</w:t>
      </w:r>
      <w:r w:rsidRPr="003F658E">
        <w:rPr>
          <w:rFonts w:eastAsia="Calibri" w:cs="Arial"/>
          <w:lang w:val="en-GB"/>
        </w:rPr>
        <w:t xml:space="preserve">, but also to conduct an assessment. The MHA seeks to ensure </w:t>
      </w:r>
      <w:r w:rsidR="00A15490" w:rsidRPr="15ABA772">
        <w:rPr>
          <w:rFonts w:eastAsia="Calibri" w:cs="Arial"/>
          <w:i/>
          <w:iCs/>
          <w:lang w:val="en-GB"/>
        </w:rPr>
        <w:t>that all the circumstances of the situation are understood and all views are heard and w</w:t>
      </w:r>
      <w:r w:rsidR="00E04511" w:rsidRPr="15ABA772">
        <w:rPr>
          <w:rFonts w:eastAsia="Calibri" w:cs="Arial"/>
          <w:i/>
          <w:iCs/>
          <w:lang w:val="en-GB"/>
        </w:rPr>
        <w:t xml:space="preserve">eighed up </w:t>
      </w:r>
      <w:r w:rsidR="00AA3C2F" w:rsidRPr="15ABA772">
        <w:rPr>
          <w:rFonts w:eastAsia="Calibri" w:cs="Arial"/>
          <w:i/>
          <w:iCs/>
          <w:lang w:val="en-GB"/>
        </w:rPr>
        <w:t xml:space="preserve">proportionally </w:t>
      </w:r>
      <w:r w:rsidR="00E04511" w:rsidRPr="15ABA772">
        <w:rPr>
          <w:rFonts w:eastAsia="Calibri" w:cs="Arial"/>
          <w:i/>
          <w:iCs/>
          <w:lang w:val="en-GB"/>
        </w:rPr>
        <w:t>by the AMHP.</w:t>
      </w:r>
      <w:r w:rsidRPr="003F658E">
        <w:rPr>
          <w:rFonts w:eastAsia="Calibri" w:cs="Arial"/>
          <w:lang w:val="en-GB"/>
        </w:rPr>
        <w:t xml:space="preserve"> </w:t>
      </w:r>
      <w:r w:rsidR="002A72A7" w:rsidRPr="003F658E">
        <w:rPr>
          <w:lang w:val="en-GB"/>
        </w:rPr>
        <w:t>The</w:t>
      </w:r>
      <w:r w:rsidRPr="003F658E">
        <w:rPr>
          <w:lang w:val="en-GB"/>
        </w:rPr>
        <w:t xml:space="preserve"> </w:t>
      </w:r>
      <w:r w:rsidR="002A72A7" w:rsidRPr="003F658E">
        <w:rPr>
          <w:lang w:val="en-GB"/>
        </w:rPr>
        <w:t xml:space="preserve">ability </w:t>
      </w:r>
      <w:r w:rsidRPr="003F658E">
        <w:rPr>
          <w:lang w:val="en-GB"/>
        </w:rPr>
        <w:t xml:space="preserve">of the NR </w:t>
      </w:r>
      <w:r w:rsidR="002A72A7" w:rsidRPr="003F658E">
        <w:rPr>
          <w:lang w:val="en-GB"/>
        </w:rPr>
        <w:t xml:space="preserve">to challenge is further bolstered by the fact that, should detention occur, the </w:t>
      </w:r>
      <w:r w:rsidR="002A72A7" w:rsidRPr="003F658E">
        <w:rPr>
          <w:color w:val="222222"/>
          <w:lang w:val="en-GB"/>
        </w:rPr>
        <w:t xml:space="preserve">NR can apply to the first-tier tribunal to have the detention reviewed. </w:t>
      </w:r>
      <w:r w:rsidR="002A72A7" w:rsidRPr="003F658E">
        <w:rPr>
          <w:lang w:val="en-GB"/>
        </w:rPr>
        <w:t xml:space="preserve">The NR </w:t>
      </w:r>
      <w:r w:rsidRPr="003F658E">
        <w:rPr>
          <w:lang w:val="en-GB"/>
        </w:rPr>
        <w:t xml:space="preserve">has also the power to </w:t>
      </w:r>
      <w:r w:rsidR="002A72A7" w:rsidRPr="003F658E">
        <w:rPr>
          <w:lang w:val="en-GB"/>
        </w:rPr>
        <w:t xml:space="preserve">order </w:t>
      </w:r>
      <w:r w:rsidRPr="003F658E">
        <w:rPr>
          <w:lang w:val="en-GB"/>
        </w:rPr>
        <w:t xml:space="preserve">the </w:t>
      </w:r>
      <w:r w:rsidR="002A72A7" w:rsidRPr="003F658E">
        <w:rPr>
          <w:lang w:val="en-GB"/>
        </w:rPr>
        <w:t>patient</w:t>
      </w:r>
      <w:r w:rsidRPr="003F658E">
        <w:rPr>
          <w:lang w:val="en-GB"/>
        </w:rPr>
        <w:t xml:space="preserve">’s discharge from </w:t>
      </w:r>
      <w:r w:rsidR="002A72A7" w:rsidRPr="003F658E">
        <w:rPr>
          <w:lang w:val="en-GB"/>
        </w:rPr>
        <w:t>detention</w:t>
      </w:r>
      <w:r w:rsidR="002A72A7" w:rsidRPr="003F658E">
        <w:rPr>
          <w:rStyle w:val="FootnoteReference"/>
          <w:rFonts w:eastAsia="Calibri" w:cs="Arial"/>
          <w:lang w:val="en-GB"/>
        </w:rPr>
        <w:footnoteReference w:id="10"/>
      </w:r>
      <w:r w:rsidR="002A72A7" w:rsidRPr="003F658E">
        <w:rPr>
          <w:lang w:val="en-GB"/>
        </w:rPr>
        <w:t xml:space="preserve"> in hospital under Section 2</w:t>
      </w:r>
      <w:r w:rsidR="002A72A7" w:rsidRPr="003F658E">
        <w:rPr>
          <w:rStyle w:val="FootnoteReference"/>
          <w:rFonts w:eastAsia="Calibri" w:cs="Arial"/>
          <w:lang w:val="en-GB"/>
        </w:rPr>
        <w:footnoteReference w:id="11"/>
      </w:r>
      <w:r w:rsidR="002A72A7" w:rsidRPr="003F658E">
        <w:rPr>
          <w:lang w:val="en-GB"/>
        </w:rPr>
        <w:t xml:space="preserve"> or 3</w:t>
      </w:r>
      <w:r w:rsidR="002A72A7" w:rsidRPr="003F658E">
        <w:rPr>
          <w:rStyle w:val="FootnoteReference"/>
          <w:rFonts w:eastAsia="Calibri" w:cs="Arial"/>
          <w:lang w:val="en-GB"/>
        </w:rPr>
        <w:footnoteReference w:id="12"/>
      </w:r>
      <w:r w:rsidR="002A72A7" w:rsidRPr="003F658E">
        <w:rPr>
          <w:lang w:val="en-GB"/>
        </w:rPr>
        <w:t>, or on a Community Treatment Order under Section 17A, by giving 72 hours’ notice in writing to the hospital managers. Although this order can be similarly blocked</w:t>
      </w:r>
      <w:r w:rsidR="002A72A7" w:rsidRPr="003F658E">
        <w:rPr>
          <w:rStyle w:val="FootnoteReference"/>
          <w:rFonts w:eastAsia="Calibri" w:cs="Arial"/>
          <w:lang w:val="en-GB"/>
        </w:rPr>
        <w:footnoteReference w:id="13"/>
      </w:r>
      <w:r w:rsidR="002A72A7" w:rsidRPr="003F658E">
        <w:rPr>
          <w:lang w:val="en-GB"/>
        </w:rPr>
        <w:t>, it can only be blocked if the detained person is assessed to be ‘dangerous’</w:t>
      </w:r>
      <w:r w:rsidR="002A72A7" w:rsidRPr="003F658E">
        <w:rPr>
          <w:color w:val="222222"/>
          <w:lang w:val="en-GB"/>
        </w:rPr>
        <w:t xml:space="preserve">. If </w:t>
      </w:r>
      <w:r w:rsidRPr="003F658E">
        <w:rPr>
          <w:color w:val="222222"/>
          <w:lang w:val="en-GB"/>
        </w:rPr>
        <w:t xml:space="preserve">s/he is </w:t>
      </w:r>
      <w:r w:rsidR="002A72A7" w:rsidRPr="003F658E">
        <w:rPr>
          <w:color w:val="222222"/>
          <w:lang w:val="en-GB"/>
        </w:rPr>
        <w:t xml:space="preserve">not </w:t>
      </w:r>
      <w:r w:rsidRPr="003F658E">
        <w:rPr>
          <w:color w:val="222222"/>
          <w:lang w:val="en-GB"/>
        </w:rPr>
        <w:t xml:space="preserve">deemed to be </w:t>
      </w:r>
      <w:r w:rsidR="002A72A7" w:rsidRPr="003F658E">
        <w:rPr>
          <w:color w:val="222222"/>
          <w:lang w:val="en-GB"/>
        </w:rPr>
        <w:t>dangerous</w:t>
      </w:r>
      <w:r w:rsidRPr="003F658E">
        <w:rPr>
          <w:color w:val="222222"/>
          <w:lang w:val="en-GB"/>
        </w:rPr>
        <w:t>,</w:t>
      </w:r>
      <w:r w:rsidR="002A72A7" w:rsidRPr="003F658E">
        <w:rPr>
          <w:color w:val="222222"/>
          <w:lang w:val="en-GB"/>
        </w:rPr>
        <w:t xml:space="preserve"> the tribunal must discharge the person</w:t>
      </w:r>
      <w:r w:rsidRPr="003F658E">
        <w:rPr>
          <w:color w:val="222222"/>
          <w:lang w:val="en-GB"/>
        </w:rPr>
        <w:t>,</w:t>
      </w:r>
      <w:r w:rsidR="002A72A7" w:rsidRPr="003F658E">
        <w:rPr>
          <w:color w:val="222222"/>
          <w:lang w:val="en-GB"/>
        </w:rPr>
        <w:t xml:space="preserve"> as th</w:t>
      </w:r>
      <w:r w:rsidRPr="003F658E">
        <w:rPr>
          <w:color w:val="222222"/>
          <w:lang w:val="en-GB"/>
        </w:rPr>
        <w:t>e</w:t>
      </w:r>
      <w:r w:rsidR="002A72A7" w:rsidRPr="003F658E">
        <w:rPr>
          <w:color w:val="222222"/>
          <w:lang w:val="en-GB"/>
        </w:rPr>
        <w:t xml:space="preserve"> threshold</w:t>
      </w:r>
      <w:r w:rsidRPr="003F658E">
        <w:rPr>
          <w:color w:val="222222"/>
          <w:lang w:val="en-GB"/>
        </w:rPr>
        <w:t xml:space="preserve"> for detention would </w:t>
      </w:r>
      <w:r w:rsidR="002A72A7" w:rsidRPr="003F658E">
        <w:rPr>
          <w:color w:val="222222"/>
          <w:lang w:val="en-GB"/>
        </w:rPr>
        <w:t xml:space="preserve">not </w:t>
      </w:r>
      <w:r w:rsidRPr="003F658E">
        <w:rPr>
          <w:color w:val="222222"/>
          <w:lang w:val="en-GB"/>
        </w:rPr>
        <w:t xml:space="preserve">be </w:t>
      </w:r>
      <w:r w:rsidR="002A72A7" w:rsidRPr="003F658E">
        <w:rPr>
          <w:color w:val="222222"/>
          <w:lang w:val="en-GB"/>
        </w:rPr>
        <w:t>met.</w:t>
      </w:r>
      <w:r w:rsidR="002A72A7" w:rsidRPr="003F658E">
        <w:rPr>
          <w:rStyle w:val="FootnoteReference"/>
          <w:rFonts w:eastAsia="Calibri" w:cs="Arial"/>
          <w:color w:val="222222"/>
          <w:lang w:val="en-GB"/>
        </w:rPr>
        <w:footnoteReference w:id="14"/>
      </w:r>
      <w:r w:rsidR="002A72A7" w:rsidRPr="003F658E">
        <w:rPr>
          <w:color w:val="222222"/>
          <w:lang w:val="en-GB"/>
        </w:rPr>
        <w:t xml:space="preserve"> </w:t>
      </w:r>
      <w:r w:rsidRPr="003F658E">
        <w:rPr>
          <w:color w:val="222222"/>
          <w:lang w:val="en-GB"/>
        </w:rPr>
        <w:t xml:space="preserve">A </w:t>
      </w:r>
      <w:r w:rsidR="002A72A7" w:rsidRPr="003F658E">
        <w:rPr>
          <w:color w:val="222222"/>
          <w:lang w:val="en-GB"/>
        </w:rPr>
        <w:t>relative who has been displaced by the court can also periodically apply to the tribunal</w:t>
      </w:r>
      <w:r w:rsidRPr="003F658E">
        <w:rPr>
          <w:color w:val="222222"/>
          <w:lang w:val="en-GB"/>
        </w:rPr>
        <w:t>,</w:t>
      </w:r>
      <w:r w:rsidR="002A72A7" w:rsidRPr="003F658E">
        <w:rPr>
          <w:color w:val="222222"/>
          <w:lang w:val="en-GB"/>
        </w:rPr>
        <w:t xml:space="preserve"> even though they are no</w:t>
      </w:r>
      <w:r w:rsidRPr="003F658E">
        <w:rPr>
          <w:color w:val="222222"/>
          <w:lang w:val="en-GB"/>
        </w:rPr>
        <w:t xml:space="preserve"> longer</w:t>
      </w:r>
      <w:r w:rsidR="002A72A7" w:rsidRPr="003F658E">
        <w:rPr>
          <w:color w:val="222222"/>
          <w:lang w:val="en-GB"/>
        </w:rPr>
        <w:t xml:space="preserve"> undertaking the functions of the NR role. No such medical power to block a NR discharge order exists for guardianship, and no NR power of discharge exists for </w:t>
      </w:r>
      <w:r w:rsidR="002A72A7" w:rsidRPr="003F658E">
        <w:t xml:space="preserve">patients who are mentally disordered offenders and detained under section 37 </w:t>
      </w:r>
      <w:r w:rsidR="002A72A7" w:rsidRPr="003F658E">
        <w:rPr>
          <w:color w:val="222222"/>
          <w:lang w:val="en-GB"/>
        </w:rPr>
        <w:t>of the MHA.</w:t>
      </w:r>
    </w:p>
    <w:p w14:paraId="3E6981D1" w14:textId="77777777" w:rsidR="0017721C" w:rsidRPr="003F658E" w:rsidRDefault="0017721C" w:rsidP="003F658E">
      <w:pPr>
        <w:pStyle w:val="ListParagraph"/>
        <w:spacing w:line="360" w:lineRule="auto"/>
        <w:jc w:val="both"/>
        <w:rPr>
          <w:rFonts w:eastAsiaTheme="minorEastAsia"/>
        </w:rPr>
      </w:pPr>
    </w:p>
    <w:p w14:paraId="0B6D208B" w14:textId="32EBD29E" w:rsidR="4ECBE03C" w:rsidRPr="003F658E" w:rsidRDefault="00310241" w:rsidP="003F658E">
      <w:pPr>
        <w:spacing w:line="360" w:lineRule="auto"/>
        <w:jc w:val="both"/>
        <w:rPr>
          <w:lang w:val="en-GB"/>
        </w:rPr>
      </w:pPr>
      <w:r>
        <w:rPr>
          <w:rFonts w:eastAsia="Calibri" w:cs="Arial"/>
          <w:lang w:val="en-GB"/>
        </w:rPr>
        <w:t>Finally, the NR can make an</w:t>
      </w:r>
      <w:r w:rsidR="349838CE" w:rsidRPr="15ABA772">
        <w:rPr>
          <w:lang w:val="en-GB"/>
        </w:rPr>
        <w:t xml:space="preserve"> </w:t>
      </w:r>
      <w:r w:rsidRPr="15ABA772">
        <w:rPr>
          <w:lang w:val="en-GB"/>
        </w:rPr>
        <w:t>applicati</w:t>
      </w:r>
      <w:r>
        <w:rPr>
          <w:lang w:val="en-GB"/>
        </w:rPr>
        <w:t>on</w:t>
      </w:r>
      <w:r w:rsidR="349838CE" w:rsidRPr="003F658E">
        <w:rPr>
          <w:lang w:val="en-GB"/>
        </w:rPr>
        <w:t xml:space="preserve"> under section 11(1) for </w:t>
      </w:r>
      <w:r w:rsidR="00025F17" w:rsidRPr="003F658E">
        <w:rPr>
          <w:lang w:val="en-GB"/>
        </w:rPr>
        <w:t xml:space="preserve">compulsory </w:t>
      </w:r>
      <w:r w:rsidR="349838CE" w:rsidRPr="003F658E">
        <w:rPr>
          <w:lang w:val="en-GB"/>
        </w:rPr>
        <w:t>detention under Section 2,</w:t>
      </w:r>
      <w:r w:rsidR="00745CD4" w:rsidRPr="003F658E">
        <w:rPr>
          <w:rStyle w:val="FootnoteReference"/>
          <w:rFonts w:eastAsia="Calibri" w:cs="Arial"/>
          <w:lang w:val="en-GB"/>
        </w:rPr>
        <w:footnoteReference w:id="15"/>
      </w:r>
      <w:r w:rsidR="00745CD4" w:rsidRPr="003F658E">
        <w:rPr>
          <w:lang w:val="en-GB"/>
        </w:rPr>
        <w:t xml:space="preserve"> </w:t>
      </w:r>
      <w:r w:rsidR="349838CE" w:rsidRPr="003F658E">
        <w:rPr>
          <w:lang w:val="en-GB"/>
        </w:rPr>
        <w:t>3 or 4</w:t>
      </w:r>
      <w:r w:rsidR="00745CD4" w:rsidRPr="003F658E">
        <w:rPr>
          <w:rStyle w:val="FootnoteReference"/>
          <w:rFonts w:eastAsia="Calibri" w:cs="Arial"/>
          <w:lang w:val="en-GB"/>
        </w:rPr>
        <w:footnoteReference w:id="16"/>
      </w:r>
      <w:r>
        <w:rPr>
          <w:lang w:val="en-GB"/>
        </w:rPr>
        <w:t xml:space="preserve"> or</w:t>
      </w:r>
      <w:r w:rsidR="349838CE" w:rsidRPr="003F658E">
        <w:rPr>
          <w:lang w:val="en-GB"/>
        </w:rPr>
        <w:t xml:space="preserve"> apply to receive a person into Section 7 </w:t>
      </w:r>
      <w:r w:rsidR="00304D49" w:rsidRPr="003F658E">
        <w:rPr>
          <w:lang w:val="en-GB"/>
        </w:rPr>
        <w:t>for g</w:t>
      </w:r>
      <w:r w:rsidR="349838CE" w:rsidRPr="003F658E">
        <w:rPr>
          <w:lang w:val="en-GB"/>
        </w:rPr>
        <w:t>uardianship.  The MHA does not demand much from</w:t>
      </w:r>
      <w:r w:rsidR="00E04511" w:rsidRPr="003F658E">
        <w:rPr>
          <w:lang w:val="en-GB"/>
        </w:rPr>
        <w:t xml:space="preserve"> the</w:t>
      </w:r>
      <w:r w:rsidR="349838CE" w:rsidRPr="003F658E">
        <w:rPr>
          <w:lang w:val="en-GB"/>
        </w:rPr>
        <w:t xml:space="preserve"> NR as </w:t>
      </w:r>
      <w:r>
        <w:rPr>
          <w:lang w:val="en-GB"/>
        </w:rPr>
        <w:t xml:space="preserve">an </w:t>
      </w:r>
      <w:r w:rsidR="349838CE" w:rsidRPr="003F658E">
        <w:rPr>
          <w:lang w:val="en-GB"/>
        </w:rPr>
        <w:t>applicant</w:t>
      </w:r>
      <w:r>
        <w:rPr>
          <w:lang w:val="en-GB"/>
        </w:rPr>
        <w:t>,</w:t>
      </w:r>
      <w:r w:rsidR="349838CE" w:rsidRPr="003F658E">
        <w:rPr>
          <w:lang w:val="en-GB"/>
        </w:rPr>
        <w:t xml:space="preserve"> as it does not require any special skills or training on </w:t>
      </w:r>
      <w:r w:rsidR="00002471" w:rsidRPr="003F658E">
        <w:rPr>
          <w:lang w:val="en-GB"/>
        </w:rPr>
        <w:t xml:space="preserve">the </w:t>
      </w:r>
      <w:r w:rsidR="349838CE" w:rsidRPr="003F658E">
        <w:rPr>
          <w:lang w:val="en-GB"/>
        </w:rPr>
        <w:t>part of the NR</w:t>
      </w:r>
      <w:r w:rsidR="00304D49" w:rsidRPr="003F658E">
        <w:rPr>
          <w:lang w:val="en-GB"/>
        </w:rPr>
        <w:t>.</w:t>
      </w:r>
      <w:r w:rsidR="00304D49" w:rsidRPr="003F658E">
        <w:rPr>
          <w:rStyle w:val="FootnoteReference"/>
          <w:rFonts w:eastAsia="Calibri" w:cs="Arial"/>
          <w:lang w:val="en-GB"/>
        </w:rPr>
        <w:footnoteReference w:id="17"/>
      </w:r>
      <w:r w:rsidR="349838CE" w:rsidRPr="003F658E">
        <w:rPr>
          <w:lang w:val="en-GB"/>
        </w:rPr>
        <w:t xml:space="preserve"> Altho</w:t>
      </w:r>
      <w:r w:rsidR="00002471" w:rsidRPr="003F658E">
        <w:rPr>
          <w:lang w:val="en-GB"/>
        </w:rPr>
        <w:t>ugh the NR has this power, the Code of P</w:t>
      </w:r>
      <w:r w:rsidR="349838CE" w:rsidRPr="003F658E">
        <w:rPr>
          <w:lang w:val="en-GB"/>
        </w:rPr>
        <w:t>ractice (DoH 2015) recommends that the AMHP should usually be the right applicant (DH 2015:14.3</w:t>
      </w:r>
      <w:r>
        <w:rPr>
          <w:lang w:val="en-GB"/>
        </w:rPr>
        <w:t xml:space="preserve">0). Given what has been stated </w:t>
      </w:r>
      <w:r w:rsidR="349838CE" w:rsidRPr="003F658E">
        <w:rPr>
          <w:lang w:val="en-GB"/>
        </w:rPr>
        <w:t>above</w:t>
      </w:r>
      <w:r w:rsidR="00002471" w:rsidRPr="003F658E">
        <w:rPr>
          <w:lang w:val="en-GB"/>
        </w:rPr>
        <w:t>,</w:t>
      </w:r>
      <w:r w:rsidR="349838CE" w:rsidRPr="003F658E">
        <w:rPr>
          <w:lang w:val="en-GB"/>
        </w:rPr>
        <w:t xml:space="preserve"> the </w:t>
      </w:r>
      <w:r w:rsidR="00067EA8" w:rsidRPr="003F658E">
        <w:rPr>
          <w:lang w:val="en-GB"/>
        </w:rPr>
        <w:t xml:space="preserve">NR </w:t>
      </w:r>
      <w:r w:rsidR="349838CE" w:rsidRPr="003F658E">
        <w:rPr>
          <w:lang w:val="en-GB"/>
        </w:rPr>
        <w:t>as applicant is potentially seen as the e</w:t>
      </w:r>
      <w:r w:rsidR="0055112A" w:rsidRPr="003F658E">
        <w:rPr>
          <w:lang w:val="en-GB"/>
        </w:rPr>
        <w:t>xception.  Although within the Code of P</w:t>
      </w:r>
      <w:r w:rsidR="349838CE" w:rsidRPr="003F658E">
        <w:rPr>
          <w:lang w:val="en-GB"/>
        </w:rPr>
        <w:t>ractice (DH 2015:14:50) there is a challenge to the AMHP</w:t>
      </w:r>
      <w:r w:rsidR="00002471" w:rsidRPr="003F658E">
        <w:rPr>
          <w:lang w:val="en-GB"/>
        </w:rPr>
        <w:t xml:space="preserve"> in that s/he must</w:t>
      </w:r>
      <w:r w:rsidR="349838CE" w:rsidRPr="003F658E">
        <w:rPr>
          <w:lang w:val="en-GB"/>
        </w:rPr>
        <w:t xml:space="preserve"> consider if they are the correct applicant, and not the </w:t>
      </w:r>
      <w:r w:rsidR="00984223">
        <w:rPr>
          <w:lang w:val="en-GB"/>
        </w:rPr>
        <w:t>NR</w:t>
      </w:r>
      <w:r w:rsidR="349838CE" w:rsidRPr="003F658E">
        <w:rPr>
          <w:lang w:val="en-GB"/>
        </w:rPr>
        <w:t xml:space="preserve">. </w:t>
      </w:r>
      <w:r w:rsidR="00067EA8" w:rsidRPr="003F658E">
        <w:rPr>
          <w:lang w:val="en-GB"/>
        </w:rPr>
        <w:t xml:space="preserve">This aspect of the role does potentially </w:t>
      </w:r>
      <w:r w:rsidR="00025F17" w:rsidRPr="003F658E">
        <w:rPr>
          <w:lang w:val="en-GB"/>
        </w:rPr>
        <w:t>cause</w:t>
      </w:r>
      <w:r w:rsidR="00067EA8" w:rsidRPr="003F658E">
        <w:rPr>
          <w:lang w:val="en-GB"/>
        </w:rPr>
        <w:t xml:space="preserve"> tension </w:t>
      </w:r>
      <w:r w:rsidR="00025F17" w:rsidRPr="003F658E">
        <w:rPr>
          <w:lang w:val="en-GB"/>
        </w:rPr>
        <w:t xml:space="preserve">as it </w:t>
      </w:r>
      <w:r w:rsidR="00F813C1" w:rsidRPr="003F658E">
        <w:rPr>
          <w:lang w:val="en-GB"/>
        </w:rPr>
        <w:t xml:space="preserve">could be viewed as adversarial in nature, and </w:t>
      </w:r>
      <w:r w:rsidR="00025F17" w:rsidRPr="003F658E">
        <w:rPr>
          <w:lang w:val="en-GB"/>
        </w:rPr>
        <w:t xml:space="preserve">stands </w:t>
      </w:r>
      <w:r w:rsidR="00025F17" w:rsidRPr="003F658E">
        <w:rPr>
          <w:lang w:val="en-GB"/>
        </w:rPr>
        <w:lastRenderedPageBreak/>
        <w:t xml:space="preserve">in contrast to </w:t>
      </w:r>
      <w:r w:rsidR="00067EA8" w:rsidRPr="003F658E">
        <w:rPr>
          <w:lang w:val="en-GB"/>
        </w:rPr>
        <w:t xml:space="preserve">the </w:t>
      </w:r>
      <w:r w:rsidR="00025F17" w:rsidRPr="003F658E">
        <w:rPr>
          <w:lang w:val="en-GB"/>
        </w:rPr>
        <w:t xml:space="preserve">other </w:t>
      </w:r>
      <w:r w:rsidR="00E04511" w:rsidRPr="003F658E">
        <w:rPr>
          <w:lang w:val="en-GB"/>
        </w:rPr>
        <w:t>NR</w:t>
      </w:r>
      <w:r w:rsidR="00025F17" w:rsidRPr="003F658E">
        <w:rPr>
          <w:lang w:val="en-GB"/>
        </w:rPr>
        <w:t xml:space="preserve"> </w:t>
      </w:r>
      <w:r w:rsidR="00067EA8" w:rsidRPr="003F658E">
        <w:rPr>
          <w:lang w:val="en-GB"/>
        </w:rPr>
        <w:t>functions</w:t>
      </w:r>
      <w:r w:rsidR="00F813C1" w:rsidRPr="003F658E">
        <w:rPr>
          <w:lang w:val="en-GB"/>
        </w:rPr>
        <w:t>, which are intended to be more supportive of the patient</w:t>
      </w:r>
      <w:r w:rsidR="00067EA8" w:rsidRPr="003F658E">
        <w:rPr>
          <w:lang w:val="en-GB"/>
        </w:rPr>
        <w:t xml:space="preserve">. </w:t>
      </w:r>
    </w:p>
    <w:p w14:paraId="3E6CC141" w14:textId="08E80846" w:rsidR="00930519" w:rsidRPr="003F658E" w:rsidRDefault="00930519" w:rsidP="003F658E">
      <w:pPr>
        <w:spacing w:line="360" w:lineRule="auto"/>
        <w:jc w:val="both"/>
        <w:rPr>
          <w:rFonts w:eastAsiaTheme="minorEastAsia" w:cs="Arial"/>
        </w:rPr>
      </w:pPr>
    </w:p>
    <w:p w14:paraId="3E161DC4" w14:textId="6F0488DB" w:rsidR="4ECBE03C" w:rsidRPr="00310241" w:rsidRDefault="00EC291F" w:rsidP="003F658E">
      <w:pPr>
        <w:spacing w:line="360" w:lineRule="auto"/>
        <w:jc w:val="both"/>
        <w:rPr>
          <w:rFonts w:eastAsiaTheme="minorEastAsia" w:cs="Arial"/>
        </w:rPr>
      </w:pPr>
      <w:r w:rsidRPr="15ABA772">
        <w:rPr>
          <w:rFonts w:eastAsiaTheme="minorEastAsia" w:cs="Arial"/>
        </w:rPr>
        <w:t>These three broad functions of the NR should</w:t>
      </w:r>
      <w:r w:rsidR="00E245F8" w:rsidRPr="15ABA772">
        <w:rPr>
          <w:rFonts w:eastAsiaTheme="minorEastAsia" w:cs="Arial"/>
        </w:rPr>
        <w:t>,</w:t>
      </w:r>
      <w:r w:rsidRPr="15ABA772">
        <w:rPr>
          <w:rFonts w:eastAsiaTheme="minorEastAsia" w:cs="Arial"/>
        </w:rPr>
        <w:t xml:space="preserve"> in any event place</w:t>
      </w:r>
      <w:r w:rsidR="00E245F8" w:rsidRPr="15ABA772">
        <w:rPr>
          <w:rFonts w:eastAsiaTheme="minorEastAsia" w:cs="Arial"/>
        </w:rPr>
        <w:t>,</w:t>
      </w:r>
      <w:r w:rsidRPr="15ABA772">
        <w:rPr>
          <w:rFonts w:eastAsiaTheme="minorEastAsia" w:cs="Arial"/>
        </w:rPr>
        <w:t xml:space="preserve"> the </w:t>
      </w:r>
      <w:r w:rsidR="00E245F8" w:rsidRPr="15ABA772">
        <w:rPr>
          <w:rFonts w:eastAsiaTheme="minorEastAsia" w:cs="Arial"/>
        </w:rPr>
        <w:t xml:space="preserve">NR </w:t>
      </w:r>
      <w:r w:rsidRPr="15ABA772">
        <w:rPr>
          <w:rFonts w:eastAsiaTheme="minorEastAsia" w:cs="Arial"/>
        </w:rPr>
        <w:t>more centrally in the decision</w:t>
      </w:r>
      <w:r w:rsidR="00E245F8" w:rsidRPr="15ABA772">
        <w:rPr>
          <w:rFonts w:eastAsiaTheme="minorEastAsia" w:cs="Arial"/>
        </w:rPr>
        <w:t>-</w:t>
      </w:r>
      <w:r w:rsidRPr="15ABA772">
        <w:rPr>
          <w:rFonts w:eastAsiaTheme="minorEastAsia" w:cs="Arial"/>
        </w:rPr>
        <w:t xml:space="preserve">making process, unless the AMHP has reason to believe that to do so would be harmful to the person they are assessing. </w:t>
      </w:r>
      <w:r w:rsidR="00310241" w:rsidRPr="15ABA772">
        <w:rPr>
          <w:rFonts w:eastAsiaTheme="minorEastAsia" w:cs="Arial"/>
        </w:rPr>
        <w:t xml:space="preserve"> </w:t>
      </w:r>
      <w:r w:rsidR="00304D49" w:rsidRPr="003F658E">
        <w:rPr>
          <w:rFonts w:eastAsia="Calibri" w:cs="Arial"/>
          <w:lang w:val="en-GB"/>
        </w:rPr>
        <w:t>On the face of it</w:t>
      </w:r>
      <w:r w:rsidR="00310241">
        <w:rPr>
          <w:rFonts w:eastAsia="Calibri" w:cs="Arial"/>
          <w:lang w:val="en-GB"/>
        </w:rPr>
        <w:t xml:space="preserve"> therefore</w:t>
      </w:r>
      <w:r w:rsidR="00304D49" w:rsidRPr="003F658E">
        <w:rPr>
          <w:rFonts w:eastAsia="Calibri" w:cs="Arial"/>
          <w:lang w:val="en-GB"/>
        </w:rPr>
        <w:t>, t</w:t>
      </w:r>
      <w:r w:rsidR="4ECBE03C" w:rsidRPr="003F658E">
        <w:rPr>
          <w:rFonts w:eastAsia="Calibri" w:cs="Arial"/>
          <w:lang w:val="en-GB"/>
        </w:rPr>
        <w:t xml:space="preserve">he role of NR is a powerful one, but </w:t>
      </w:r>
      <w:r w:rsidR="00304D49" w:rsidRPr="003F658E">
        <w:rPr>
          <w:rFonts w:eastAsia="Calibri" w:cs="Arial"/>
          <w:lang w:val="en-GB"/>
        </w:rPr>
        <w:t xml:space="preserve">it can only be effective </w:t>
      </w:r>
      <w:r w:rsidR="4ECBE03C" w:rsidRPr="003F658E">
        <w:rPr>
          <w:rFonts w:eastAsia="Calibri" w:cs="Arial"/>
          <w:lang w:val="en-GB"/>
        </w:rPr>
        <w:t>w</w:t>
      </w:r>
      <w:r w:rsidR="00067EA8" w:rsidRPr="003F658E">
        <w:rPr>
          <w:rFonts w:eastAsia="Calibri" w:cs="Arial"/>
          <w:lang w:val="en-GB"/>
        </w:rPr>
        <w:t>hen the holder is fully aware of the</w:t>
      </w:r>
      <w:r w:rsidR="4ECBE03C" w:rsidRPr="003F658E">
        <w:rPr>
          <w:rFonts w:eastAsia="Calibri" w:cs="Arial"/>
          <w:lang w:val="en-GB"/>
        </w:rPr>
        <w:t xml:space="preserve"> duties, powers and rights and how to use them. In this respect</w:t>
      </w:r>
      <w:r w:rsidR="00067EA8" w:rsidRPr="003F658E">
        <w:rPr>
          <w:rFonts w:eastAsia="Calibri" w:cs="Arial"/>
          <w:lang w:val="en-GB"/>
        </w:rPr>
        <w:t>,</w:t>
      </w:r>
      <w:r w:rsidR="4ECBE03C" w:rsidRPr="003F658E">
        <w:rPr>
          <w:rFonts w:eastAsia="Calibri" w:cs="Arial"/>
          <w:lang w:val="en-GB"/>
        </w:rPr>
        <w:t xml:space="preserve"> the NR role is </w:t>
      </w:r>
      <w:r w:rsidR="008409AB">
        <w:rPr>
          <w:rFonts w:eastAsia="Calibri" w:cs="Arial"/>
          <w:lang w:val="en-GB"/>
        </w:rPr>
        <w:t xml:space="preserve">very </w:t>
      </w:r>
      <w:r w:rsidR="4ECBE03C" w:rsidRPr="003F658E">
        <w:rPr>
          <w:rFonts w:eastAsia="Calibri" w:cs="Arial"/>
          <w:lang w:val="en-GB"/>
        </w:rPr>
        <w:t xml:space="preserve">different to </w:t>
      </w:r>
      <w:r w:rsidR="00585FF2" w:rsidRPr="003F658E">
        <w:rPr>
          <w:rFonts w:eastAsia="Calibri" w:cs="Arial"/>
          <w:lang w:val="en-GB"/>
        </w:rPr>
        <w:t xml:space="preserve">the </w:t>
      </w:r>
      <w:r w:rsidR="4ECBE03C" w:rsidRPr="003F658E">
        <w:rPr>
          <w:rFonts w:eastAsia="Calibri" w:cs="Arial"/>
          <w:lang w:val="en-GB"/>
        </w:rPr>
        <w:t>‘next-of-kin</w:t>
      </w:r>
      <w:r w:rsidR="00F15D94" w:rsidRPr="003F658E">
        <w:rPr>
          <w:rFonts w:eastAsia="Calibri" w:cs="Arial"/>
          <w:lang w:val="en-GB"/>
        </w:rPr>
        <w:t>,</w:t>
      </w:r>
      <w:r w:rsidR="4ECBE03C" w:rsidRPr="003F658E">
        <w:rPr>
          <w:rFonts w:eastAsia="Calibri" w:cs="Arial"/>
          <w:lang w:val="en-GB"/>
        </w:rPr>
        <w:t>’ as the latter offers no legal authority within the MHA, even though</w:t>
      </w:r>
      <w:r w:rsidR="00067EA8" w:rsidRPr="003F658E">
        <w:rPr>
          <w:rFonts w:eastAsia="Calibri" w:cs="Arial"/>
          <w:lang w:val="en-GB"/>
        </w:rPr>
        <w:t>,</w:t>
      </w:r>
      <w:r w:rsidR="4ECBE03C" w:rsidRPr="003F658E">
        <w:rPr>
          <w:rFonts w:eastAsia="Calibri" w:cs="Arial"/>
          <w:lang w:val="en-GB"/>
        </w:rPr>
        <w:t xml:space="preserve"> as a concept</w:t>
      </w:r>
      <w:r w:rsidR="00067EA8" w:rsidRPr="003F658E">
        <w:rPr>
          <w:rFonts w:eastAsia="Calibri" w:cs="Arial"/>
          <w:lang w:val="en-GB"/>
        </w:rPr>
        <w:t>,</w:t>
      </w:r>
      <w:r w:rsidR="4ECBE03C" w:rsidRPr="003F658E">
        <w:rPr>
          <w:rFonts w:eastAsia="Calibri" w:cs="Arial"/>
          <w:lang w:val="en-GB"/>
        </w:rPr>
        <w:t xml:space="preserve"> it is more readily in the contemplation of the public. </w:t>
      </w:r>
      <w:r w:rsidR="00067EA8" w:rsidRPr="003F658E">
        <w:rPr>
          <w:rFonts w:eastAsia="Calibri" w:cs="Arial"/>
          <w:lang w:val="en-GB"/>
        </w:rPr>
        <w:t>Identifying w</w:t>
      </w:r>
      <w:r w:rsidR="4ECBE03C" w:rsidRPr="003F658E">
        <w:rPr>
          <w:rFonts w:eastAsia="Calibri" w:cs="Arial"/>
          <w:lang w:val="en-GB"/>
        </w:rPr>
        <w:t xml:space="preserve">ho the nearest relative is relies initially on the duty of the AMHP to </w:t>
      </w:r>
      <w:r w:rsidR="4ECBE03C" w:rsidRPr="15ABA772">
        <w:rPr>
          <w:rFonts w:eastAsia="Calibri" w:cs="Arial"/>
          <w:i/>
          <w:iCs/>
          <w:lang w:val="en-GB"/>
        </w:rPr>
        <w:t>reasonably</w:t>
      </w:r>
      <w:r w:rsidR="4ECBE03C" w:rsidRPr="003F658E">
        <w:rPr>
          <w:rFonts w:eastAsia="Calibri" w:cs="Arial"/>
          <w:lang w:val="en-GB"/>
        </w:rPr>
        <w:t xml:space="preserve"> identify who the NR </w:t>
      </w:r>
      <w:r w:rsidR="4ECBE03C" w:rsidRPr="15ABA772">
        <w:rPr>
          <w:rFonts w:eastAsia="Calibri" w:cs="Arial"/>
          <w:i/>
          <w:iCs/>
          <w:lang w:val="en-GB"/>
        </w:rPr>
        <w:t>appears to be</w:t>
      </w:r>
      <w:r w:rsidR="4ECBE03C" w:rsidRPr="003F658E">
        <w:rPr>
          <w:rFonts w:eastAsia="Calibri" w:cs="Arial"/>
          <w:lang w:val="en-GB"/>
        </w:rPr>
        <w:t>. This imperative can be problematic and complex, as there are opportunities for errors</w:t>
      </w:r>
      <w:r w:rsidR="00585FF2" w:rsidRPr="003F658E">
        <w:rPr>
          <w:rFonts w:eastAsia="Calibri" w:cs="Arial"/>
          <w:lang w:val="en-GB"/>
        </w:rPr>
        <w:t>,</w:t>
      </w:r>
      <w:r w:rsidR="4ECBE03C" w:rsidRPr="003F658E">
        <w:rPr>
          <w:rFonts w:eastAsia="Calibri" w:cs="Arial"/>
          <w:lang w:val="en-GB"/>
        </w:rPr>
        <w:t xml:space="preserve"> primarily </w:t>
      </w:r>
      <w:r w:rsidR="00F15D94" w:rsidRPr="003F658E">
        <w:rPr>
          <w:rFonts w:eastAsia="Calibri" w:cs="Arial"/>
          <w:lang w:val="en-GB"/>
        </w:rPr>
        <w:t>a</w:t>
      </w:r>
      <w:r w:rsidR="4ECBE03C" w:rsidRPr="003F658E">
        <w:rPr>
          <w:rFonts w:eastAsia="Calibri" w:cs="Arial"/>
          <w:lang w:val="en-GB"/>
        </w:rPr>
        <w:t xml:space="preserve">rising from the complexity of human </w:t>
      </w:r>
      <w:r w:rsidR="000619B8" w:rsidRPr="003F658E">
        <w:rPr>
          <w:rFonts w:eastAsia="Calibri" w:cs="Arial"/>
          <w:lang w:val="en-GB"/>
        </w:rPr>
        <w:t>relationships and their current legal status at the time of the assessment</w:t>
      </w:r>
      <w:r w:rsidR="008409AB">
        <w:rPr>
          <w:rFonts w:eastAsia="Calibri" w:cs="Arial"/>
          <w:lang w:val="en-GB"/>
        </w:rPr>
        <w:t>, as well as potential confusion among relatives about the legal differences between the rights of NR, carers, and the next of kin</w:t>
      </w:r>
      <w:r w:rsidR="4ECBE03C" w:rsidRPr="003F658E">
        <w:rPr>
          <w:rFonts w:eastAsia="Calibri" w:cs="Arial"/>
          <w:lang w:val="en-GB"/>
        </w:rPr>
        <w:t>.</w:t>
      </w:r>
      <w:r w:rsidR="008409AB">
        <w:rPr>
          <w:rFonts w:eastAsia="Calibri" w:cs="Arial"/>
          <w:lang w:val="en-GB"/>
        </w:rPr>
        <w:t xml:space="preserve"> </w:t>
      </w:r>
      <w:r w:rsidR="00E530A8" w:rsidRPr="003F658E">
        <w:rPr>
          <w:rFonts w:eastAsia="Calibri" w:cs="Arial"/>
          <w:lang w:val="en-GB"/>
        </w:rPr>
        <w:t>This issue is further explored below.</w:t>
      </w:r>
      <w:r w:rsidR="4ECBE03C" w:rsidRPr="003F658E">
        <w:rPr>
          <w:rFonts w:eastAsia="Calibri" w:cs="Arial"/>
          <w:lang w:val="en-GB"/>
        </w:rPr>
        <w:t xml:space="preserve"> Nonetheless, the express wishes of family (with the NR) need to be heard by the AMHP</w:t>
      </w:r>
      <w:r w:rsidR="00C766AB" w:rsidRPr="003F658E">
        <w:rPr>
          <w:rStyle w:val="FootnoteReference"/>
          <w:rFonts w:eastAsia="Calibri" w:cs="Arial"/>
          <w:lang w:val="en-GB"/>
        </w:rPr>
        <w:footnoteReference w:id="18"/>
      </w:r>
      <w:r w:rsidR="00C766AB" w:rsidRPr="003F658E">
        <w:rPr>
          <w:rFonts w:eastAsia="Calibri" w:cs="Arial"/>
          <w:lang w:val="en-GB"/>
        </w:rPr>
        <w:t xml:space="preserve"> </w:t>
      </w:r>
      <w:r w:rsidR="4ECBE03C" w:rsidRPr="003F658E">
        <w:rPr>
          <w:rFonts w:eastAsia="Calibri" w:cs="Arial"/>
          <w:lang w:val="en-GB"/>
        </w:rPr>
        <w:t>through consultation and information sharing</w:t>
      </w:r>
      <w:r w:rsidR="00C766AB" w:rsidRPr="003F658E">
        <w:rPr>
          <w:rFonts w:eastAsia="Calibri" w:cs="Arial"/>
          <w:lang w:val="en-GB"/>
        </w:rPr>
        <w:t>,</w:t>
      </w:r>
      <w:r w:rsidR="00C766AB" w:rsidRPr="003F658E">
        <w:rPr>
          <w:rStyle w:val="FootnoteReference"/>
          <w:rFonts w:eastAsia="Calibri" w:cs="Arial"/>
          <w:lang w:val="en-GB"/>
        </w:rPr>
        <w:footnoteReference w:id="19"/>
      </w:r>
      <w:r w:rsidR="00C766AB" w:rsidRPr="003F658E">
        <w:rPr>
          <w:rFonts w:eastAsia="Calibri" w:cs="Arial"/>
          <w:lang w:val="en-GB"/>
        </w:rPr>
        <w:t xml:space="preserve"> </w:t>
      </w:r>
      <w:r w:rsidR="4ECBE03C" w:rsidRPr="003F658E">
        <w:rPr>
          <w:rFonts w:eastAsia="Calibri" w:cs="Arial"/>
          <w:lang w:val="en-GB"/>
        </w:rPr>
        <w:t>and</w:t>
      </w:r>
      <w:r w:rsidR="00585FF2" w:rsidRPr="003F658E">
        <w:rPr>
          <w:rFonts w:eastAsia="Calibri" w:cs="Arial"/>
          <w:lang w:val="en-GB"/>
        </w:rPr>
        <w:t>,</w:t>
      </w:r>
      <w:r w:rsidR="4ECBE03C" w:rsidRPr="003F658E">
        <w:rPr>
          <w:rFonts w:eastAsia="Calibri" w:cs="Arial"/>
          <w:lang w:val="en-GB"/>
        </w:rPr>
        <w:t xml:space="preserve"> reciprocally</w:t>
      </w:r>
      <w:r w:rsidR="00585FF2" w:rsidRPr="003F658E">
        <w:rPr>
          <w:rFonts w:eastAsia="Calibri" w:cs="Arial"/>
          <w:lang w:val="en-GB"/>
        </w:rPr>
        <w:t>,</w:t>
      </w:r>
      <w:r w:rsidR="4ECBE03C" w:rsidRPr="003F658E">
        <w:rPr>
          <w:rFonts w:eastAsia="Calibri" w:cs="Arial"/>
          <w:lang w:val="en-GB"/>
        </w:rPr>
        <w:t xml:space="preserve"> the NR needs to be informed </w:t>
      </w:r>
      <w:r w:rsidR="002A70C2" w:rsidRPr="003F658E">
        <w:rPr>
          <w:rFonts w:eastAsia="Calibri" w:cs="Arial"/>
          <w:lang w:val="en-GB"/>
        </w:rPr>
        <w:t>of his</w:t>
      </w:r>
      <w:r w:rsidR="00585FF2" w:rsidRPr="003F658E">
        <w:rPr>
          <w:rFonts w:eastAsia="Calibri" w:cs="Arial"/>
          <w:lang w:val="en-GB"/>
        </w:rPr>
        <w:t xml:space="preserve">/her </w:t>
      </w:r>
      <w:r w:rsidR="4ECBE03C" w:rsidRPr="003F658E">
        <w:rPr>
          <w:rFonts w:eastAsia="Calibri" w:cs="Arial"/>
          <w:lang w:val="en-GB"/>
        </w:rPr>
        <w:t>powers and duties. This is important</w:t>
      </w:r>
      <w:r w:rsidR="00304D49" w:rsidRPr="003F658E">
        <w:rPr>
          <w:rFonts w:eastAsia="Calibri" w:cs="Arial"/>
          <w:lang w:val="en-GB"/>
        </w:rPr>
        <w:t>,</w:t>
      </w:r>
      <w:r w:rsidR="4ECBE03C" w:rsidRPr="003F658E">
        <w:rPr>
          <w:rFonts w:eastAsia="Calibri" w:cs="Arial"/>
          <w:lang w:val="en-GB"/>
        </w:rPr>
        <w:t xml:space="preserve"> as it is likely that </w:t>
      </w:r>
      <w:r w:rsidR="002A70C2" w:rsidRPr="003F658E">
        <w:rPr>
          <w:rFonts w:eastAsia="Calibri" w:cs="Arial"/>
          <w:lang w:val="en-GB"/>
        </w:rPr>
        <w:t>most</w:t>
      </w:r>
      <w:r w:rsidR="4ECBE03C" w:rsidRPr="003F658E">
        <w:rPr>
          <w:rFonts w:eastAsia="Calibri" w:cs="Arial"/>
          <w:lang w:val="en-GB"/>
        </w:rPr>
        <w:t xml:space="preserve"> the population do not know </w:t>
      </w:r>
      <w:r w:rsidR="00067EA8" w:rsidRPr="003F658E">
        <w:rPr>
          <w:rFonts w:eastAsia="Calibri" w:cs="Arial"/>
          <w:lang w:val="en-GB"/>
        </w:rPr>
        <w:t xml:space="preserve">that </w:t>
      </w:r>
      <w:r w:rsidR="4ECBE03C" w:rsidRPr="003F658E">
        <w:rPr>
          <w:rFonts w:eastAsia="Calibri" w:cs="Arial"/>
          <w:lang w:val="en-GB"/>
        </w:rPr>
        <w:t>they could be a NR, or have a NR for the purposes of the MHA. F</w:t>
      </w:r>
      <w:r w:rsidR="00F15D94" w:rsidRPr="003F658E">
        <w:rPr>
          <w:rFonts w:eastAsia="Calibri" w:cs="Arial"/>
          <w:lang w:val="en-GB"/>
        </w:rPr>
        <w:t>or this reason alone</w:t>
      </w:r>
      <w:r w:rsidR="00C766AB" w:rsidRPr="003F658E">
        <w:rPr>
          <w:rFonts w:eastAsia="Calibri" w:cs="Arial"/>
          <w:lang w:val="en-GB"/>
        </w:rPr>
        <w:t>,</w:t>
      </w:r>
      <w:r w:rsidR="00F15D94" w:rsidRPr="003F658E">
        <w:rPr>
          <w:rFonts w:eastAsia="Calibri" w:cs="Arial"/>
          <w:lang w:val="en-GB"/>
        </w:rPr>
        <w:t xml:space="preserve"> the AMHPs central </w:t>
      </w:r>
      <w:r w:rsidR="4ECBE03C" w:rsidRPr="003F658E">
        <w:rPr>
          <w:rFonts w:eastAsia="Calibri" w:cs="Arial"/>
          <w:lang w:val="en-GB"/>
        </w:rPr>
        <w:t xml:space="preserve">position to enable and empower the NR with this knowledge should not be underestimated.  </w:t>
      </w:r>
    </w:p>
    <w:p w14:paraId="249D67B6" w14:textId="781EFC8E" w:rsidR="4ECBE03C" w:rsidRPr="003F658E" w:rsidRDefault="4ECBE03C" w:rsidP="003F658E">
      <w:pPr>
        <w:spacing w:line="360" w:lineRule="auto"/>
        <w:jc w:val="both"/>
        <w:rPr>
          <w:rFonts w:cs="Arial"/>
        </w:rPr>
      </w:pPr>
      <w:r w:rsidRPr="003F658E">
        <w:rPr>
          <w:rFonts w:eastAsia="Calibri" w:cs="Arial"/>
          <w:lang w:val="en-GB"/>
        </w:rPr>
        <w:t xml:space="preserve"> </w:t>
      </w:r>
    </w:p>
    <w:p w14:paraId="46A831E6" w14:textId="267A2421" w:rsidR="004405D0" w:rsidRDefault="538429F5" w:rsidP="003F658E">
      <w:pPr>
        <w:spacing w:line="360" w:lineRule="auto"/>
        <w:jc w:val="both"/>
        <w:rPr>
          <w:rFonts w:eastAsia="Calibri" w:cs="Arial"/>
          <w:lang w:val="en-GB"/>
        </w:rPr>
      </w:pPr>
      <w:r w:rsidRPr="003F658E">
        <w:rPr>
          <w:rFonts w:eastAsia="Calibri" w:cs="Arial"/>
          <w:lang w:val="en-GB"/>
        </w:rPr>
        <w:t>The duty of the AMHP to identify the NR involves negotiating the complexity of sections 26, 27 and 28 of the MHA (DH 2015:14.57). This comes at a time when the AMHP is in the process of undertaking a MHA assessment, which has been likened in one study to walking a ‘tightrope’ (Dwyer, 2012). The list of eligible family members who can fulfil the role is contained within section 26(1)</w:t>
      </w:r>
      <w:r w:rsidR="004405D0">
        <w:rPr>
          <w:rFonts w:eastAsia="Calibri" w:cs="Arial"/>
          <w:lang w:val="en-GB"/>
        </w:rPr>
        <w:t xml:space="preserve"> and</w:t>
      </w:r>
      <w:r w:rsidRPr="003F658E">
        <w:rPr>
          <w:rFonts w:eastAsia="Calibri" w:cs="Arial"/>
          <w:lang w:val="en-GB"/>
        </w:rPr>
        <w:t xml:space="preserve"> can seem somewhat arbitrary. It reflects parliament’s views of who should be a relative, which curiously excludes relations such as cousins, but includes unrelated individuals who have lived with the patient for more than 5 years. The </w:t>
      </w:r>
      <w:r w:rsidRPr="003F658E">
        <w:rPr>
          <w:rFonts w:eastAsia="Calibri" w:cs="Arial"/>
          <w:lang w:val="en-GB"/>
        </w:rPr>
        <w:lastRenderedPageBreak/>
        <w:t xml:space="preserve">application of section 26 could also result in an appreciation that the meaning arising from these sections is prescriptive but not necessarily intuitive for the circumstances in which the relevant person may find themselves. Prioritisation is given to enable the AMHP to decide which relatives should take precedence and the practicability of consulting.  Due consideration is given to their position in section 26(1), including factors such as their relationship, age, residence, blood-line, and whether they offer care. Also, AMHPs must consider the impact of whether a lack of ‘parental responsibility’ invalidates a father from being a NR to their children.   </w:t>
      </w:r>
    </w:p>
    <w:p w14:paraId="6DDFC657" w14:textId="77777777" w:rsidR="004405D0" w:rsidRDefault="004405D0" w:rsidP="003F658E">
      <w:pPr>
        <w:spacing w:line="360" w:lineRule="auto"/>
        <w:jc w:val="both"/>
        <w:rPr>
          <w:rFonts w:eastAsia="Calibri" w:cs="Arial"/>
          <w:lang w:val="en-GB"/>
        </w:rPr>
      </w:pPr>
    </w:p>
    <w:p w14:paraId="0CDF00D6" w14:textId="139CD96A" w:rsidR="4ECBE03C" w:rsidRPr="003F658E" w:rsidRDefault="538429F5" w:rsidP="003F658E">
      <w:pPr>
        <w:spacing w:line="360" w:lineRule="auto"/>
        <w:jc w:val="both"/>
        <w:rPr>
          <w:rFonts w:eastAsia="Calibri" w:cs="Arial"/>
          <w:lang w:val="en-GB"/>
        </w:rPr>
      </w:pPr>
      <w:r w:rsidRPr="003F658E">
        <w:rPr>
          <w:rFonts w:eastAsia="Calibri" w:cs="Arial"/>
          <w:lang w:val="en-GB"/>
        </w:rPr>
        <w:t>In addition to th</w:t>
      </w:r>
      <w:r w:rsidR="002E4594">
        <w:rPr>
          <w:rFonts w:eastAsia="Calibri" w:cs="Arial"/>
          <w:lang w:val="en-GB"/>
        </w:rPr>
        <w:t>e</w:t>
      </w:r>
      <w:r w:rsidRPr="003F658E">
        <w:rPr>
          <w:rFonts w:eastAsia="Calibri" w:cs="Arial"/>
          <w:lang w:val="en-GB"/>
        </w:rPr>
        <w:t xml:space="preserve"> complexity</w:t>
      </w:r>
      <w:r w:rsidR="002E4594">
        <w:rPr>
          <w:rFonts w:eastAsia="Calibri" w:cs="Arial"/>
          <w:lang w:val="en-GB"/>
        </w:rPr>
        <w:t xml:space="preserve"> of the AMHP’s task</w:t>
      </w:r>
      <w:r w:rsidRPr="003F658E">
        <w:rPr>
          <w:rFonts w:eastAsia="Calibri" w:cs="Arial"/>
          <w:lang w:val="en-GB"/>
        </w:rPr>
        <w:t>, there are other fundamental challenges</w:t>
      </w:r>
      <w:r w:rsidR="002E4594">
        <w:rPr>
          <w:rFonts w:eastAsia="Calibri" w:cs="Arial"/>
          <w:lang w:val="en-GB"/>
        </w:rPr>
        <w:t xml:space="preserve"> to appointing the NR</w:t>
      </w:r>
      <w:r w:rsidRPr="003F658E">
        <w:rPr>
          <w:rFonts w:eastAsia="Calibri" w:cs="Arial"/>
          <w:lang w:val="en-GB"/>
        </w:rPr>
        <w:t>. First, the MHA assumes that the person who appears to be NR would be content to act as such when there is no legal obligation to do so. Secondly, there is also an implicit assumption that the NR will act in the relevant person’s best interests, but as considered below, this is not always the case. Thirdly, the Act assumes that the NR is readily available for the AMHP to communicate with or has the mental capacity to reach a decision within their powers and duties. Finally, the provisions assume that each citizen has a NR that can be identified, when the reality can be very different, as will be explored further below. In these circumstances, section 29 can be used to appoint (or displace</w:t>
      </w:r>
      <w:r w:rsidR="000619B8" w:rsidRPr="003F658E">
        <w:rPr>
          <w:rFonts w:eastAsia="Calibri" w:cs="Arial"/>
          <w:lang w:val="en-GB"/>
        </w:rPr>
        <w:t xml:space="preserve"> by removing them</w:t>
      </w:r>
      <w:r w:rsidRPr="003F658E">
        <w:rPr>
          <w:rFonts w:eastAsia="Calibri" w:cs="Arial"/>
          <w:lang w:val="en-GB"/>
        </w:rPr>
        <w:t>) a</w:t>
      </w:r>
      <w:r w:rsidR="000A4DA6" w:rsidRPr="003F658E">
        <w:rPr>
          <w:rFonts w:eastAsia="Calibri" w:cs="Arial"/>
          <w:lang w:val="en-GB"/>
        </w:rPr>
        <w:t>s</w:t>
      </w:r>
      <w:r w:rsidRPr="003F658E">
        <w:rPr>
          <w:rFonts w:eastAsia="Calibri" w:cs="Arial"/>
          <w:lang w:val="en-GB"/>
        </w:rPr>
        <w:t xml:space="preserve"> </w:t>
      </w:r>
      <w:r w:rsidR="000A4DA6" w:rsidRPr="003F658E">
        <w:rPr>
          <w:rFonts w:eastAsia="Calibri" w:cs="Arial"/>
          <w:lang w:val="en-GB"/>
        </w:rPr>
        <w:t xml:space="preserve">a </w:t>
      </w:r>
      <w:r w:rsidRPr="003F658E">
        <w:rPr>
          <w:rFonts w:eastAsia="Calibri" w:cs="Arial"/>
          <w:lang w:val="en-GB"/>
        </w:rPr>
        <w:t xml:space="preserve">NR. This can be achieved by an application from an AMHP, the relevant person (DH 2015:5.6), a relative or a person residing with the relevant person to County Court (DH 2015:5.10). This mechanism may be used whereby a NR unreasonably objects to an application for section 3 admission by an AMHP, or when the relevant person/local authority believe that it is not practicable for the NR to act as such. Here, the County Court would empower an acting </w:t>
      </w:r>
      <w:r w:rsidR="00E245F8" w:rsidRPr="003F658E">
        <w:rPr>
          <w:rFonts w:eastAsia="Calibri" w:cs="Arial"/>
          <w:lang w:val="en-GB"/>
        </w:rPr>
        <w:t xml:space="preserve">NR </w:t>
      </w:r>
      <w:r w:rsidRPr="003F658E">
        <w:rPr>
          <w:rFonts w:eastAsia="Calibri" w:cs="Arial"/>
          <w:lang w:val="en-GB"/>
        </w:rPr>
        <w:t>(DH 2015:5.7). Furthermore, a NR may, in any event, delegate their ‘functions’ as NR to another suitable person if needed (DH 2015:5.5) until further notice, or for a limited time. The relevant person may also take some comfort that they can apply to county court themselves to seek appointment of a different NR (DH 2015:5.6) in line with human rights considerations</w:t>
      </w:r>
      <w:r w:rsidRPr="003F658E">
        <w:rPr>
          <w:rFonts w:eastAsia="Calibri" w:cs="Arial"/>
          <w:i/>
          <w:iCs/>
          <w:lang w:val="en-GB"/>
        </w:rPr>
        <w:t>.</w:t>
      </w:r>
      <w:r w:rsidRPr="003F658E">
        <w:rPr>
          <w:rFonts w:eastAsia="Calibri" w:cs="Arial"/>
          <w:lang w:val="en-GB"/>
        </w:rPr>
        <w:t xml:space="preserve"> </w:t>
      </w:r>
    </w:p>
    <w:p w14:paraId="166F9AAE" w14:textId="485CE18B" w:rsidR="4ECBE03C" w:rsidRPr="003F658E" w:rsidRDefault="4ECBE03C" w:rsidP="003F658E">
      <w:pPr>
        <w:spacing w:line="360" w:lineRule="auto"/>
        <w:jc w:val="both"/>
        <w:rPr>
          <w:rFonts w:cs="Arial"/>
        </w:rPr>
      </w:pPr>
      <w:r w:rsidRPr="003F658E">
        <w:rPr>
          <w:rFonts w:eastAsia="Calibri" w:cs="Arial"/>
          <w:lang w:val="en-GB"/>
        </w:rPr>
        <w:t xml:space="preserve"> </w:t>
      </w:r>
    </w:p>
    <w:p w14:paraId="7FFD43DE" w14:textId="36536D1B" w:rsidR="4ECBE03C" w:rsidRPr="003F658E" w:rsidRDefault="4ECBE03C" w:rsidP="003F658E">
      <w:pPr>
        <w:spacing w:line="360" w:lineRule="auto"/>
        <w:jc w:val="both"/>
        <w:rPr>
          <w:rFonts w:cs="Arial"/>
        </w:rPr>
      </w:pPr>
      <w:r w:rsidRPr="003F658E">
        <w:rPr>
          <w:rFonts w:eastAsia="Calibri" w:cs="Arial"/>
          <w:lang w:val="en-GB"/>
        </w:rPr>
        <w:t>There are also</w:t>
      </w:r>
      <w:r w:rsidR="00067EA8" w:rsidRPr="003F658E">
        <w:rPr>
          <w:rFonts w:eastAsia="Calibri" w:cs="Arial"/>
          <w:lang w:val="en-GB"/>
        </w:rPr>
        <w:t>, curiously,</w:t>
      </w:r>
      <w:r w:rsidRPr="003F658E">
        <w:rPr>
          <w:rFonts w:eastAsia="Calibri" w:cs="Arial"/>
          <w:lang w:val="en-GB"/>
        </w:rPr>
        <w:t xml:space="preserve"> some exclusion</w:t>
      </w:r>
      <w:r w:rsidR="00745CD4" w:rsidRPr="003F658E">
        <w:rPr>
          <w:rFonts w:eastAsia="Calibri" w:cs="Arial"/>
          <w:lang w:val="en-GB"/>
        </w:rPr>
        <w:t>s</w:t>
      </w:r>
      <w:r w:rsidRPr="003F658E">
        <w:rPr>
          <w:rFonts w:eastAsia="Calibri" w:cs="Arial"/>
          <w:lang w:val="en-GB"/>
        </w:rPr>
        <w:t xml:space="preserve"> to the powers of the NR</w:t>
      </w:r>
      <w:r w:rsidR="00745CD4" w:rsidRPr="003F658E">
        <w:rPr>
          <w:rFonts w:eastAsia="Calibri" w:cs="Arial"/>
          <w:lang w:val="en-GB"/>
        </w:rPr>
        <w:t xml:space="preserve"> for some categories of patient.</w:t>
      </w:r>
      <w:r w:rsidR="00745CD4" w:rsidRPr="003F658E">
        <w:rPr>
          <w:rStyle w:val="FootnoteReference"/>
          <w:rFonts w:eastAsia="Calibri" w:cs="Arial"/>
          <w:lang w:val="en-GB"/>
        </w:rPr>
        <w:footnoteReference w:id="20"/>
      </w:r>
      <w:r w:rsidRPr="003F658E">
        <w:rPr>
          <w:rFonts w:eastAsia="Calibri" w:cs="Arial"/>
          <w:lang w:val="en-GB"/>
        </w:rPr>
        <w:t xml:space="preserve"> Similarly for those who are either Section 131 informal or voluntary patients there </w:t>
      </w:r>
      <w:r w:rsidRPr="003F658E">
        <w:rPr>
          <w:rFonts w:eastAsia="Calibri" w:cs="Arial"/>
          <w:lang w:val="en-GB"/>
        </w:rPr>
        <w:lastRenderedPageBreak/>
        <w:t>is no NR</w:t>
      </w:r>
      <w:r w:rsidR="00625729" w:rsidRPr="003F658E">
        <w:rPr>
          <w:rFonts w:eastAsia="Calibri" w:cs="Arial"/>
          <w:lang w:val="en-GB"/>
        </w:rPr>
        <w:t xml:space="preserve"> protection provided</w:t>
      </w:r>
      <w:r w:rsidRPr="003F658E">
        <w:rPr>
          <w:rFonts w:eastAsia="Calibri" w:cs="Arial"/>
          <w:lang w:val="en-GB"/>
        </w:rPr>
        <w:t xml:space="preserve">. This means that although there might be </w:t>
      </w:r>
      <w:r w:rsidR="001110E0" w:rsidRPr="003F658E">
        <w:rPr>
          <w:rFonts w:eastAsia="Calibri" w:cs="Arial"/>
          <w:lang w:val="en-GB"/>
        </w:rPr>
        <w:t xml:space="preserve">a </w:t>
      </w:r>
      <w:r w:rsidRPr="003F658E">
        <w:rPr>
          <w:rFonts w:eastAsia="Calibri" w:cs="Arial"/>
          <w:lang w:val="en-GB"/>
        </w:rPr>
        <w:t>person who would have been eligible to act as NR, they are powerless to act as such.  Also</w:t>
      </w:r>
      <w:r w:rsidR="00745CD4" w:rsidRPr="003F658E">
        <w:rPr>
          <w:rFonts w:eastAsia="Calibri" w:cs="Arial"/>
          <w:lang w:val="en-GB"/>
        </w:rPr>
        <w:t>,</w:t>
      </w:r>
      <w:r w:rsidRPr="003F658E">
        <w:rPr>
          <w:rFonts w:eastAsia="Calibri" w:cs="Arial"/>
          <w:lang w:val="en-GB"/>
        </w:rPr>
        <w:t xml:space="preserve"> to act as a NR a person must have attained the age of 18 years, or 16 years if married or </w:t>
      </w:r>
      <w:r w:rsidR="00745CD4" w:rsidRPr="003F658E">
        <w:rPr>
          <w:rFonts w:eastAsia="Calibri" w:cs="Arial"/>
          <w:lang w:val="en-GB"/>
        </w:rPr>
        <w:t>a civil partner</w:t>
      </w:r>
      <w:r w:rsidRPr="003F658E">
        <w:rPr>
          <w:rFonts w:eastAsia="Calibri" w:cs="Arial"/>
          <w:lang w:val="en-GB"/>
        </w:rPr>
        <w:t xml:space="preserve"> to the relevant person </w:t>
      </w:r>
      <w:r w:rsidR="00745CD4" w:rsidRPr="003F658E">
        <w:rPr>
          <w:rFonts w:eastAsia="Calibri" w:cs="Arial"/>
          <w:lang w:val="en-GB"/>
        </w:rPr>
        <w:t xml:space="preserve">for </w:t>
      </w:r>
      <w:r w:rsidRPr="003F658E">
        <w:rPr>
          <w:rFonts w:eastAsia="Calibri" w:cs="Arial"/>
          <w:lang w:val="en-GB"/>
        </w:rPr>
        <w:t>who</w:t>
      </w:r>
      <w:r w:rsidR="00745CD4" w:rsidRPr="003F658E">
        <w:rPr>
          <w:rFonts w:eastAsia="Calibri" w:cs="Arial"/>
          <w:lang w:val="en-GB"/>
        </w:rPr>
        <w:t>m</w:t>
      </w:r>
      <w:r w:rsidRPr="003F658E">
        <w:rPr>
          <w:rFonts w:eastAsia="Calibri" w:cs="Arial"/>
          <w:lang w:val="en-GB"/>
        </w:rPr>
        <w:t xml:space="preserve"> detention is being discussed. </w:t>
      </w:r>
    </w:p>
    <w:p w14:paraId="2E75FA47" w14:textId="0C2089C8" w:rsidR="4ECBE03C" w:rsidRPr="003F658E" w:rsidRDefault="4ECBE03C" w:rsidP="003F658E">
      <w:pPr>
        <w:spacing w:line="360" w:lineRule="auto"/>
        <w:jc w:val="both"/>
        <w:rPr>
          <w:rFonts w:cs="Arial"/>
        </w:rPr>
      </w:pPr>
      <w:r w:rsidRPr="003F658E">
        <w:rPr>
          <w:rFonts w:eastAsia="Calibri" w:cs="Arial"/>
          <w:lang w:val="en-GB"/>
        </w:rPr>
        <w:t xml:space="preserve"> </w:t>
      </w:r>
    </w:p>
    <w:p w14:paraId="3895779E" w14:textId="77BD3983" w:rsidR="4ECBE03C" w:rsidRPr="003F658E" w:rsidRDefault="538429F5" w:rsidP="003F658E">
      <w:pPr>
        <w:spacing w:line="360" w:lineRule="auto"/>
        <w:jc w:val="both"/>
        <w:rPr>
          <w:rFonts w:cs="Arial"/>
          <w:lang w:val="en-GB"/>
        </w:rPr>
      </w:pPr>
      <w:r w:rsidRPr="003F658E">
        <w:rPr>
          <w:rFonts w:eastAsia="Calibri" w:cs="Arial"/>
          <w:lang w:val="en-GB"/>
        </w:rPr>
        <w:t xml:space="preserve">Overall, the Code of Practice (DH 2015:5.2) reinforces that the AMHP should always re-determine who the NR is in, light of a person’s circumstances, but it equally brings into question </w:t>
      </w:r>
      <w:r w:rsidR="00145A50">
        <w:rPr>
          <w:rFonts w:eastAsia="Calibri" w:cs="Arial"/>
          <w:lang w:val="en-GB"/>
        </w:rPr>
        <w:t>the robustness of the safeguard</w:t>
      </w:r>
      <w:r w:rsidRPr="003F658E">
        <w:rPr>
          <w:rFonts w:eastAsia="Calibri" w:cs="Arial"/>
          <w:lang w:val="en-GB"/>
        </w:rPr>
        <w:t xml:space="preserve"> which the NR role can in fact bring if there is insufficient certainty and choice. The implication is that there are plenty of opportunities for errors in NR identification and involvement. Particularly as the AMHP seeks to strike the appropriate balance between Article 5 (which protects a person’s right not to be arbitrarily deprived of their liberty) and Article 8 (which protects a person’s private and family life) of the European Convention of Human Rights (ECHR)</w:t>
      </w:r>
      <w:r w:rsidR="002E4594">
        <w:rPr>
          <w:rFonts w:eastAsia="Calibri" w:cs="Arial"/>
          <w:lang w:val="en-GB"/>
        </w:rPr>
        <w:t>. I</w:t>
      </w:r>
      <w:r w:rsidRPr="003F658E">
        <w:rPr>
          <w:rFonts w:eastAsia="Calibri" w:cs="Arial"/>
          <w:lang w:val="en-GB"/>
        </w:rPr>
        <w:t xml:space="preserve">t is to the legal and human rights based aspects of the NR provision that we now turn. </w:t>
      </w:r>
    </w:p>
    <w:p w14:paraId="02DB2142" w14:textId="7CC55407" w:rsidR="00B97DDE" w:rsidRPr="003F658E" w:rsidRDefault="00B97DDE" w:rsidP="003F658E">
      <w:pPr>
        <w:spacing w:line="360" w:lineRule="auto"/>
        <w:jc w:val="both"/>
        <w:rPr>
          <w:rFonts w:cs="Arial"/>
        </w:rPr>
      </w:pPr>
    </w:p>
    <w:p w14:paraId="4C6B46AF" w14:textId="42084862" w:rsidR="001E38D3" w:rsidRPr="003F658E" w:rsidRDefault="538429F5" w:rsidP="003F658E">
      <w:pPr>
        <w:spacing w:line="360" w:lineRule="auto"/>
        <w:jc w:val="both"/>
        <w:outlineLvl w:val="0"/>
        <w:rPr>
          <w:rFonts w:cs="Arial"/>
          <w:b/>
          <w:bCs/>
          <w:lang w:val="en-GB"/>
        </w:rPr>
      </w:pPr>
      <w:r w:rsidRPr="003F658E">
        <w:rPr>
          <w:rFonts w:cs="Arial"/>
          <w:b/>
          <w:bCs/>
          <w:lang w:val="en-GB"/>
        </w:rPr>
        <w:t>A</w:t>
      </w:r>
      <w:r w:rsidR="003F658E">
        <w:rPr>
          <w:rFonts w:cs="Arial"/>
          <w:b/>
          <w:bCs/>
          <w:lang w:val="en-GB"/>
        </w:rPr>
        <w:t>n effective</w:t>
      </w:r>
      <w:r w:rsidRPr="003F658E">
        <w:rPr>
          <w:rFonts w:cs="Arial"/>
          <w:b/>
          <w:bCs/>
          <w:lang w:val="en-GB"/>
        </w:rPr>
        <w:t xml:space="preserve"> </w:t>
      </w:r>
      <w:r w:rsidR="008409AB">
        <w:rPr>
          <w:rFonts w:cs="Arial"/>
          <w:b/>
          <w:bCs/>
          <w:lang w:val="en-GB"/>
        </w:rPr>
        <w:t xml:space="preserve">legal </w:t>
      </w:r>
      <w:r w:rsidRPr="003F658E">
        <w:rPr>
          <w:rFonts w:cs="Arial"/>
          <w:b/>
          <w:bCs/>
          <w:lang w:val="en-GB"/>
        </w:rPr>
        <w:t xml:space="preserve">safeguard? </w:t>
      </w:r>
    </w:p>
    <w:p w14:paraId="4A837BCB" w14:textId="77777777" w:rsidR="001E38D3" w:rsidRPr="003F658E" w:rsidRDefault="001E38D3" w:rsidP="003F658E">
      <w:pPr>
        <w:spacing w:line="360" w:lineRule="auto"/>
        <w:jc w:val="both"/>
        <w:rPr>
          <w:rFonts w:cs="Arial"/>
          <w:lang w:val="en-GB"/>
        </w:rPr>
      </w:pPr>
    </w:p>
    <w:p w14:paraId="16135B5D" w14:textId="2D88D9D0" w:rsidR="0014369E" w:rsidRPr="003F658E" w:rsidRDefault="00AF1C9A" w:rsidP="003F658E">
      <w:pPr>
        <w:spacing w:line="360" w:lineRule="auto"/>
        <w:jc w:val="both"/>
        <w:rPr>
          <w:rFonts w:cs="Arial"/>
          <w:lang w:val="en-GB"/>
        </w:rPr>
      </w:pPr>
      <w:r w:rsidRPr="003F658E">
        <w:rPr>
          <w:rFonts w:cs="Arial"/>
          <w:lang w:val="en-GB"/>
        </w:rPr>
        <w:t>As outlined above, t</w:t>
      </w:r>
      <w:r w:rsidR="00745CD4" w:rsidRPr="003F658E">
        <w:rPr>
          <w:rFonts w:cs="Arial"/>
          <w:lang w:val="en-GB"/>
        </w:rPr>
        <w:t xml:space="preserve">he </w:t>
      </w:r>
      <w:r w:rsidR="349838CE" w:rsidRPr="003F658E">
        <w:rPr>
          <w:rFonts w:cs="Arial"/>
          <w:lang w:val="en-GB"/>
        </w:rPr>
        <w:t>NR</w:t>
      </w:r>
      <w:r w:rsidR="00E530A8" w:rsidRPr="003F658E">
        <w:rPr>
          <w:rFonts w:cs="Arial"/>
          <w:lang w:val="en-GB"/>
        </w:rPr>
        <w:t xml:space="preserve"> has </w:t>
      </w:r>
      <w:r w:rsidR="002A70C2" w:rsidRPr="003F658E">
        <w:rPr>
          <w:rFonts w:cs="Arial"/>
          <w:lang w:val="en-GB"/>
        </w:rPr>
        <w:t>several</w:t>
      </w:r>
      <w:r w:rsidR="00E530A8" w:rsidRPr="003F658E">
        <w:rPr>
          <w:rFonts w:cs="Arial"/>
          <w:lang w:val="en-GB"/>
        </w:rPr>
        <w:t xml:space="preserve"> powerful </w:t>
      </w:r>
      <w:r w:rsidRPr="003F658E">
        <w:rPr>
          <w:rFonts w:cs="Arial"/>
          <w:lang w:val="en-GB"/>
        </w:rPr>
        <w:t>duties and</w:t>
      </w:r>
      <w:r w:rsidR="349838CE" w:rsidRPr="003F658E">
        <w:rPr>
          <w:rFonts w:cs="Arial"/>
          <w:lang w:val="en-GB"/>
        </w:rPr>
        <w:t xml:space="preserve"> is intended to be an important</w:t>
      </w:r>
      <w:r w:rsidR="008F2C79" w:rsidRPr="003F658E">
        <w:rPr>
          <w:rFonts w:cs="Arial"/>
          <w:lang w:val="en-GB"/>
        </w:rPr>
        <w:t xml:space="preserve"> and independent</w:t>
      </w:r>
      <w:r w:rsidR="349838CE" w:rsidRPr="003F658E">
        <w:rPr>
          <w:rFonts w:cs="Arial"/>
          <w:lang w:val="en-GB"/>
        </w:rPr>
        <w:t xml:space="preserve"> legal </w:t>
      </w:r>
      <w:r w:rsidR="008F2C79" w:rsidRPr="003F658E">
        <w:rPr>
          <w:rFonts w:cs="Arial"/>
          <w:lang w:val="en-GB"/>
        </w:rPr>
        <w:t xml:space="preserve">protection </w:t>
      </w:r>
      <w:r w:rsidR="349838CE" w:rsidRPr="003F658E">
        <w:rPr>
          <w:rFonts w:cs="Arial"/>
          <w:lang w:val="en-GB"/>
        </w:rPr>
        <w:t>for patients</w:t>
      </w:r>
      <w:r w:rsidR="004A056B" w:rsidRPr="003F658E">
        <w:rPr>
          <w:rFonts w:cs="Arial"/>
          <w:lang w:val="en-GB"/>
        </w:rPr>
        <w:t>. Indeed, t</w:t>
      </w:r>
      <w:r w:rsidR="00C10418" w:rsidRPr="003F658E">
        <w:rPr>
          <w:rFonts w:cs="Arial"/>
          <w:lang w:val="en-GB"/>
        </w:rPr>
        <w:t xml:space="preserve">he government’s White Paper which outlined proposals to reform </w:t>
      </w:r>
      <w:r w:rsidR="00E245F8" w:rsidRPr="003F658E">
        <w:rPr>
          <w:rFonts w:cs="Arial"/>
          <w:lang w:val="en-GB"/>
        </w:rPr>
        <w:t xml:space="preserve">the MHA </w:t>
      </w:r>
      <w:r w:rsidR="00C10418" w:rsidRPr="003F658E">
        <w:rPr>
          <w:rFonts w:cs="Arial"/>
          <w:lang w:val="en-GB"/>
        </w:rPr>
        <w:t xml:space="preserve">in 2000 recognised the key role of carers and family members (DoH, 2000: </w:t>
      </w:r>
      <w:r w:rsidR="00251441" w:rsidRPr="003F658E">
        <w:rPr>
          <w:rFonts w:cs="Arial"/>
          <w:lang w:val="en-GB"/>
        </w:rPr>
        <w:t>47) as a safeguard to protect patients in the compulsory admission process.</w:t>
      </w:r>
      <w:r w:rsidR="0030470F" w:rsidRPr="003F658E">
        <w:rPr>
          <w:rFonts w:cs="Arial"/>
          <w:lang w:val="en-GB"/>
        </w:rPr>
        <w:t xml:space="preserve">  </w:t>
      </w:r>
      <w:r w:rsidR="0014369E" w:rsidRPr="003F658E">
        <w:rPr>
          <w:rFonts w:cs="Arial"/>
          <w:lang w:val="en-GB"/>
        </w:rPr>
        <w:t xml:space="preserve">In this context, the </w:t>
      </w:r>
      <w:r w:rsidR="002E4594">
        <w:rPr>
          <w:rFonts w:cs="Arial"/>
          <w:lang w:val="en-GB"/>
        </w:rPr>
        <w:t>NR</w:t>
      </w:r>
      <w:r w:rsidR="0014369E" w:rsidRPr="003F658E">
        <w:rPr>
          <w:rFonts w:cs="Arial"/>
          <w:lang w:val="en-GB"/>
        </w:rPr>
        <w:t>’s power to object and the procedures that must be followed by the AMHP during the compulsory admission process are signif</w:t>
      </w:r>
      <w:r w:rsidRPr="003F658E">
        <w:rPr>
          <w:rFonts w:cs="Arial"/>
          <w:lang w:val="en-GB"/>
        </w:rPr>
        <w:t xml:space="preserve">icant </w:t>
      </w:r>
      <w:r w:rsidR="00251441" w:rsidRPr="003F658E">
        <w:rPr>
          <w:rFonts w:cs="Arial"/>
          <w:lang w:val="en-GB"/>
        </w:rPr>
        <w:t>to protect</w:t>
      </w:r>
      <w:r w:rsidRPr="003F658E">
        <w:rPr>
          <w:rFonts w:cs="Arial"/>
          <w:lang w:val="en-GB"/>
        </w:rPr>
        <w:t xml:space="preserve"> t</w:t>
      </w:r>
      <w:r w:rsidR="0030470F" w:rsidRPr="003F658E">
        <w:rPr>
          <w:rFonts w:cs="Arial"/>
          <w:lang w:val="en-GB"/>
        </w:rPr>
        <w:t>he</w:t>
      </w:r>
      <w:r w:rsidR="0014369E" w:rsidRPr="003F658E">
        <w:rPr>
          <w:rFonts w:cs="Arial"/>
          <w:lang w:val="en-GB"/>
        </w:rPr>
        <w:t xml:space="preserve"> right</w:t>
      </w:r>
      <w:r w:rsidR="0030470F" w:rsidRPr="003F658E">
        <w:rPr>
          <w:rFonts w:cs="Arial"/>
          <w:lang w:val="en-GB"/>
        </w:rPr>
        <w:t xml:space="preserve"> under Article 5 of the ECHR</w:t>
      </w:r>
      <w:r w:rsidR="0014369E" w:rsidRPr="003F658E">
        <w:rPr>
          <w:rFonts w:cs="Arial"/>
          <w:lang w:val="en-GB"/>
        </w:rPr>
        <w:t xml:space="preserve">, as the case of </w:t>
      </w:r>
      <w:r w:rsidR="0014369E" w:rsidRPr="15ABA772">
        <w:rPr>
          <w:rFonts w:cs="Arial"/>
          <w:i/>
          <w:iCs/>
          <w:lang w:val="en-GB"/>
        </w:rPr>
        <w:t>TTM v London Borough of Hackney</w:t>
      </w:r>
      <w:r w:rsidR="0014369E" w:rsidRPr="15ABA772">
        <w:rPr>
          <w:rStyle w:val="FootnoteReference"/>
          <w:rFonts w:cs="Arial"/>
          <w:i/>
          <w:iCs/>
          <w:lang w:val="en-GB"/>
        </w:rPr>
        <w:footnoteReference w:id="21"/>
      </w:r>
      <w:r w:rsidR="0014369E" w:rsidRPr="003F658E">
        <w:rPr>
          <w:rFonts w:cs="Arial"/>
          <w:lang w:val="en-GB"/>
        </w:rPr>
        <w:t xml:space="preserve"> demonstrates. In this case, </w:t>
      </w:r>
      <w:r w:rsidR="00651202" w:rsidRPr="003F658E">
        <w:rPr>
          <w:rFonts w:cs="Arial"/>
          <w:lang w:val="en-GB"/>
        </w:rPr>
        <w:t>the p</w:t>
      </w:r>
      <w:r w:rsidR="00242EFD" w:rsidRPr="003F658E">
        <w:rPr>
          <w:rFonts w:cs="Arial"/>
          <w:lang w:val="en-GB"/>
        </w:rPr>
        <w:t xml:space="preserve">atient </w:t>
      </w:r>
      <w:r w:rsidR="004B3775" w:rsidRPr="003F658E">
        <w:rPr>
          <w:rFonts w:cs="Arial"/>
          <w:lang w:val="en-GB"/>
        </w:rPr>
        <w:t>had been</w:t>
      </w:r>
      <w:r w:rsidRPr="003F658E">
        <w:rPr>
          <w:rFonts w:cs="Arial"/>
          <w:lang w:val="en-GB"/>
        </w:rPr>
        <w:t xml:space="preserve"> admitted under section 3 to hospital, but challenged the lawfulness of his detention on the basis that there had been a breach of Article 11(3) as the </w:t>
      </w:r>
      <w:r w:rsidR="004B3775" w:rsidRPr="003F658E">
        <w:rPr>
          <w:rFonts w:cs="Arial"/>
          <w:lang w:val="en-GB"/>
        </w:rPr>
        <w:t>NR had objected to the application.</w:t>
      </w:r>
      <w:r w:rsidR="003D5983" w:rsidRPr="003F658E">
        <w:rPr>
          <w:rFonts w:cs="Arial"/>
          <w:lang w:val="en-GB"/>
        </w:rPr>
        <w:t xml:space="preserve"> The court concluded that, on the facts of the case, </w:t>
      </w:r>
      <w:r w:rsidR="004B3775" w:rsidRPr="003F658E">
        <w:rPr>
          <w:rFonts w:cs="Arial"/>
          <w:lang w:val="en-GB"/>
        </w:rPr>
        <w:t>the patient’s right to liberty under Article 5 had been infrin</w:t>
      </w:r>
      <w:r w:rsidR="003D5983" w:rsidRPr="003F658E">
        <w:rPr>
          <w:rFonts w:cs="Arial"/>
          <w:lang w:val="en-GB"/>
        </w:rPr>
        <w:t xml:space="preserve">ged. He had been unlawfully detained and </w:t>
      </w:r>
      <w:r w:rsidR="004B3775" w:rsidRPr="003F658E">
        <w:rPr>
          <w:rFonts w:cs="Arial"/>
          <w:lang w:val="en-GB"/>
        </w:rPr>
        <w:t xml:space="preserve">was entitled to compensation. </w:t>
      </w:r>
    </w:p>
    <w:p w14:paraId="6B073524" w14:textId="77777777" w:rsidR="0014369E" w:rsidRPr="003F658E" w:rsidRDefault="0014369E" w:rsidP="003F658E">
      <w:pPr>
        <w:spacing w:line="360" w:lineRule="auto"/>
        <w:jc w:val="both"/>
        <w:rPr>
          <w:rFonts w:cs="Arial"/>
          <w:lang w:val="en-GB"/>
        </w:rPr>
      </w:pPr>
    </w:p>
    <w:p w14:paraId="5852980D" w14:textId="38DDDE59" w:rsidR="0076446B" w:rsidRPr="003F658E" w:rsidRDefault="004B3775" w:rsidP="003F658E">
      <w:pPr>
        <w:spacing w:line="360" w:lineRule="auto"/>
        <w:jc w:val="both"/>
        <w:rPr>
          <w:rFonts w:eastAsia="Lucida Sans Unicode" w:cs="Arial"/>
        </w:rPr>
      </w:pPr>
      <w:r w:rsidRPr="003F658E">
        <w:rPr>
          <w:rFonts w:cs="Arial"/>
          <w:lang w:val="en-GB"/>
        </w:rPr>
        <w:lastRenderedPageBreak/>
        <w:t>In this</w:t>
      </w:r>
      <w:r w:rsidR="0061307C" w:rsidRPr="003F658E">
        <w:rPr>
          <w:rFonts w:cs="Arial"/>
          <w:lang w:val="en-GB"/>
        </w:rPr>
        <w:t xml:space="preserve"> sense, the NR role </w:t>
      </w:r>
      <w:r w:rsidR="00547715" w:rsidRPr="003F658E">
        <w:rPr>
          <w:rFonts w:cs="Arial"/>
          <w:lang w:val="en-GB"/>
        </w:rPr>
        <w:t xml:space="preserve">to challenge and object </w:t>
      </w:r>
      <w:r w:rsidR="003D5983" w:rsidRPr="003F658E">
        <w:rPr>
          <w:rFonts w:cs="Arial"/>
          <w:lang w:val="en-GB"/>
        </w:rPr>
        <w:t xml:space="preserve">can provide a </w:t>
      </w:r>
      <w:r w:rsidR="0061307C" w:rsidRPr="003F658E">
        <w:rPr>
          <w:rFonts w:cs="Arial"/>
          <w:lang w:val="en-GB"/>
        </w:rPr>
        <w:t xml:space="preserve">key legal protection. </w:t>
      </w:r>
      <w:r w:rsidR="002A70C2" w:rsidRPr="003F658E">
        <w:rPr>
          <w:rFonts w:cs="Arial"/>
          <w:lang w:val="en-GB"/>
        </w:rPr>
        <w:t>However, ECHR rights must be carefully balanced and</w:t>
      </w:r>
      <w:r w:rsidR="008409AB">
        <w:rPr>
          <w:rFonts w:cs="Arial"/>
          <w:lang w:val="en-GB"/>
        </w:rPr>
        <w:t xml:space="preserve"> </w:t>
      </w:r>
      <w:r w:rsidR="002A70C2" w:rsidRPr="003F658E">
        <w:rPr>
          <w:rFonts w:cs="Arial"/>
          <w:lang w:val="en-GB"/>
        </w:rPr>
        <w:t xml:space="preserve">Article 8 has led to some significant challenges to the NR provision, which suggest that the safeguard is, in some respects, still ‘fragile’ (Gostin, 1975: 44). </w:t>
      </w:r>
      <w:r w:rsidR="0061099B" w:rsidRPr="003F658E">
        <w:rPr>
          <w:rFonts w:cs="Arial"/>
          <w:lang w:val="en-GB"/>
        </w:rPr>
        <w:t xml:space="preserve">Indeed, </w:t>
      </w:r>
      <w:r w:rsidR="00422893" w:rsidRPr="003F658E">
        <w:rPr>
          <w:rFonts w:eastAsia="Lucida Sans Unicode" w:cs="Arial"/>
        </w:rPr>
        <w:t xml:space="preserve">the NR provisions have generated some considerable jurisprudence, and </w:t>
      </w:r>
      <w:r w:rsidR="003D5983" w:rsidRPr="003F658E">
        <w:rPr>
          <w:rFonts w:eastAsia="Lucida Sans Unicode" w:cs="Arial"/>
        </w:rPr>
        <w:t xml:space="preserve">cases have </w:t>
      </w:r>
      <w:r w:rsidR="1E7E7750" w:rsidRPr="003F658E">
        <w:rPr>
          <w:rFonts w:eastAsia="Lucida Sans Unicode" w:cs="Arial"/>
        </w:rPr>
        <w:t xml:space="preserve">shown that </w:t>
      </w:r>
      <w:r w:rsidR="00845E77" w:rsidRPr="003F658E">
        <w:rPr>
          <w:rFonts w:eastAsia="Lucida Sans Unicode" w:cs="Arial"/>
        </w:rPr>
        <w:t>the NR role can sometimes be open to abuse</w:t>
      </w:r>
      <w:r w:rsidR="008409AB">
        <w:rPr>
          <w:rFonts w:eastAsia="Lucida Sans Unicode" w:cs="Arial"/>
        </w:rPr>
        <w:t xml:space="preserve"> as</w:t>
      </w:r>
      <w:r w:rsidR="00C913BF" w:rsidRPr="003F658E">
        <w:rPr>
          <w:rFonts w:eastAsia="Lucida Sans Unicode" w:cs="Arial"/>
        </w:rPr>
        <w:t xml:space="preserve"> some relatives are not best placed to </w:t>
      </w:r>
      <w:r w:rsidR="008409AB">
        <w:rPr>
          <w:rFonts w:eastAsia="Lucida Sans Unicode" w:cs="Arial"/>
        </w:rPr>
        <w:t>support the patient in this way.</w:t>
      </w:r>
      <w:r w:rsidR="00C913BF" w:rsidRPr="003F658E">
        <w:rPr>
          <w:rFonts w:eastAsia="Lucida Sans Unicode" w:cs="Arial"/>
        </w:rPr>
        <w:t xml:space="preserve"> S</w:t>
      </w:r>
      <w:r w:rsidR="00F813C1" w:rsidRPr="003F658E">
        <w:rPr>
          <w:rFonts w:eastAsia="Lucida Sans Unicode" w:cs="Arial"/>
        </w:rPr>
        <w:t xml:space="preserve">everal </w:t>
      </w:r>
      <w:r w:rsidR="1E7E7750" w:rsidRPr="003F658E">
        <w:rPr>
          <w:rFonts w:eastAsia="Lucida Sans Unicode" w:cs="Arial"/>
        </w:rPr>
        <w:t xml:space="preserve">cases have highlighted this </w:t>
      </w:r>
      <w:r w:rsidR="003D5983" w:rsidRPr="003F658E">
        <w:rPr>
          <w:rFonts w:eastAsia="Lucida Sans Unicode" w:cs="Arial"/>
        </w:rPr>
        <w:t xml:space="preserve">risk </w:t>
      </w:r>
      <w:r w:rsidR="008409AB">
        <w:rPr>
          <w:rFonts w:eastAsia="Lucida Sans Unicode" w:cs="Arial"/>
        </w:rPr>
        <w:t xml:space="preserve">and reinforced that </w:t>
      </w:r>
      <w:r w:rsidR="1E7E7750" w:rsidRPr="003F658E">
        <w:rPr>
          <w:rFonts w:eastAsia="Lucida Sans Unicode" w:cs="Arial"/>
        </w:rPr>
        <w:t xml:space="preserve">the patient </w:t>
      </w:r>
      <w:r w:rsidR="008409AB">
        <w:rPr>
          <w:rFonts w:eastAsia="Lucida Sans Unicode" w:cs="Arial"/>
        </w:rPr>
        <w:t xml:space="preserve">should </w:t>
      </w:r>
      <w:r w:rsidR="1E7E7750" w:rsidRPr="003F658E">
        <w:rPr>
          <w:rFonts w:eastAsia="Lucida Sans Unicode" w:cs="Arial"/>
        </w:rPr>
        <w:t xml:space="preserve">be </w:t>
      </w:r>
      <w:r w:rsidR="008409AB">
        <w:rPr>
          <w:rFonts w:eastAsia="Lucida Sans Unicode" w:cs="Arial"/>
        </w:rPr>
        <w:t xml:space="preserve">at the </w:t>
      </w:r>
      <w:r w:rsidR="005C7D4F">
        <w:rPr>
          <w:rFonts w:eastAsia="Lucida Sans Unicode" w:cs="Arial"/>
        </w:rPr>
        <w:t>centre</w:t>
      </w:r>
      <w:r w:rsidR="008409AB">
        <w:rPr>
          <w:rFonts w:eastAsia="Lucida Sans Unicode" w:cs="Arial"/>
        </w:rPr>
        <w:t xml:space="preserve"> of </w:t>
      </w:r>
      <w:r w:rsidR="1E7E7750" w:rsidRPr="003F658E">
        <w:rPr>
          <w:rFonts w:eastAsia="Lucida Sans Unicode" w:cs="Arial"/>
        </w:rPr>
        <w:t>decision making about the choice of NR</w:t>
      </w:r>
      <w:r w:rsidR="00F813C1" w:rsidRPr="003F658E">
        <w:rPr>
          <w:rFonts w:eastAsia="Lucida Sans Unicode" w:cs="Arial"/>
        </w:rPr>
        <w:t>,</w:t>
      </w:r>
      <w:r w:rsidR="003D5983" w:rsidRPr="003F658E">
        <w:rPr>
          <w:rFonts w:eastAsia="Lucida Sans Unicode" w:cs="Arial"/>
        </w:rPr>
        <w:t xml:space="preserve"> </w:t>
      </w:r>
      <w:r w:rsidR="002A70C2" w:rsidRPr="003F658E">
        <w:rPr>
          <w:rFonts w:eastAsia="Lucida Sans Unicode" w:cs="Arial"/>
        </w:rPr>
        <w:t>to</w:t>
      </w:r>
      <w:r w:rsidR="003D5983" w:rsidRPr="003F658E">
        <w:rPr>
          <w:rFonts w:eastAsia="Lucida Sans Unicode" w:cs="Arial"/>
        </w:rPr>
        <w:t xml:space="preserve"> promote his</w:t>
      </w:r>
      <w:r w:rsidR="0076446B" w:rsidRPr="003F658E">
        <w:rPr>
          <w:rFonts w:eastAsia="Lucida Sans Unicode" w:cs="Arial"/>
        </w:rPr>
        <w:t>/her Article 8 right to a private and family life</w:t>
      </w:r>
      <w:r w:rsidR="003D5983" w:rsidRPr="003F658E">
        <w:rPr>
          <w:rFonts w:eastAsia="Lucida Sans Unicode" w:cs="Arial"/>
        </w:rPr>
        <w:t xml:space="preserve"> under the ECHR</w:t>
      </w:r>
      <w:r w:rsidR="1E7E7750" w:rsidRPr="003F658E">
        <w:rPr>
          <w:rFonts w:eastAsia="Lucida Sans Unicode" w:cs="Arial"/>
        </w:rPr>
        <w:t xml:space="preserve">. </w:t>
      </w:r>
      <w:r w:rsidR="00F813C1" w:rsidRPr="003F658E">
        <w:rPr>
          <w:rFonts w:eastAsia="Lucida Sans Unicode" w:cs="Arial"/>
        </w:rPr>
        <w:t xml:space="preserve">One such case is </w:t>
      </w:r>
      <w:r w:rsidR="003D5983" w:rsidRPr="15ABA772">
        <w:rPr>
          <w:rFonts w:cs="Arial"/>
          <w:i/>
          <w:iCs/>
          <w:lang w:val="en-GB"/>
        </w:rPr>
        <w:t>R(E) v Bristol City Council</w:t>
      </w:r>
      <w:r w:rsidR="003D5983" w:rsidRPr="15ABA772">
        <w:rPr>
          <w:rStyle w:val="FootnoteReference"/>
          <w:rFonts w:cs="Arial"/>
          <w:i/>
          <w:iCs/>
          <w:lang w:val="en-GB"/>
        </w:rPr>
        <w:footnoteReference w:id="22"/>
      </w:r>
      <w:r w:rsidR="0088621D" w:rsidRPr="003F658E">
        <w:rPr>
          <w:rFonts w:cs="Arial"/>
          <w:lang w:val="en-GB"/>
        </w:rPr>
        <w:t xml:space="preserve"> </w:t>
      </w:r>
      <w:r w:rsidR="00F813C1" w:rsidRPr="003F658E">
        <w:rPr>
          <w:rFonts w:cs="Arial"/>
          <w:lang w:val="en-GB"/>
        </w:rPr>
        <w:t xml:space="preserve">where </w:t>
      </w:r>
      <w:r w:rsidR="0088621D" w:rsidRPr="003F658E">
        <w:rPr>
          <w:rFonts w:cs="Arial"/>
          <w:lang w:val="en-GB"/>
        </w:rPr>
        <w:t>there had been</w:t>
      </w:r>
      <w:r w:rsidR="003D5983" w:rsidRPr="003F658E">
        <w:rPr>
          <w:rFonts w:cs="Arial"/>
          <w:lang w:val="en-GB"/>
        </w:rPr>
        <w:t xml:space="preserve"> </w:t>
      </w:r>
      <w:r w:rsidR="00F813C1" w:rsidRPr="003F658E">
        <w:rPr>
          <w:rFonts w:cs="Arial"/>
          <w:lang w:val="en-GB"/>
        </w:rPr>
        <w:t xml:space="preserve">a </w:t>
      </w:r>
      <w:r w:rsidR="003D5983" w:rsidRPr="003F658E">
        <w:rPr>
          <w:rFonts w:cs="Arial"/>
          <w:lang w:val="en-GB"/>
        </w:rPr>
        <w:t xml:space="preserve">breach of the patient’s rights under Article 8 in relation to the </w:t>
      </w:r>
      <w:r w:rsidR="0076446B" w:rsidRPr="003F658E">
        <w:rPr>
          <w:rFonts w:cs="Arial"/>
          <w:lang w:val="en-GB"/>
        </w:rPr>
        <w:t xml:space="preserve">suitability of the appointed </w:t>
      </w:r>
      <w:r w:rsidR="00E245F8" w:rsidRPr="003F658E">
        <w:rPr>
          <w:rFonts w:cs="Arial"/>
          <w:lang w:val="en-GB"/>
        </w:rPr>
        <w:t xml:space="preserve">NR </w:t>
      </w:r>
      <w:r w:rsidR="0076446B" w:rsidRPr="003F658E">
        <w:rPr>
          <w:rFonts w:cs="Arial"/>
          <w:lang w:val="en-GB"/>
        </w:rPr>
        <w:t xml:space="preserve">to </w:t>
      </w:r>
      <w:r w:rsidR="00F813C1" w:rsidRPr="003F658E">
        <w:rPr>
          <w:rFonts w:cs="Arial"/>
          <w:lang w:val="en-GB"/>
        </w:rPr>
        <w:t xml:space="preserve">act. Briefly, the facts of the case were that </w:t>
      </w:r>
      <w:r w:rsidR="001912D3" w:rsidRPr="15ABA772">
        <w:rPr>
          <w:rStyle w:val="Emphasis"/>
          <w:rFonts w:eastAsia="Times New Roman" w:cs="Arial"/>
          <w:i w:val="0"/>
          <w:iCs w:val="0"/>
          <w:color w:val="333333"/>
        </w:rPr>
        <w:t>E</w:t>
      </w:r>
      <w:r w:rsidR="001912D3" w:rsidRPr="15ABA772">
        <w:rPr>
          <w:rStyle w:val="apple-converted-space"/>
          <w:rFonts w:eastAsia="Times New Roman" w:cs="Arial"/>
          <w:i/>
          <w:iCs/>
          <w:color w:val="333333"/>
        </w:rPr>
        <w:t> </w:t>
      </w:r>
      <w:r w:rsidR="001912D3" w:rsidRPr="003F658E">
        <w:rPr>
          <w:rFonts w:eastAsia="Times New Roman" w:cs="Arial"/>
          <w:color w:val="333333"/>
          <w:shd w:val="clear" w:color="auto" w:fill="FFFFFF"/>
        </w:rPr>
        <w:t>(the patient) did not wish her sister (</w:t>
      </w:r>
      <w:r w:rsidR="002A70C2" w:rsidRPr="003F658E">
        <w:rPr>
          <w:rFonts w:eastAsia="Times New Roman" w:cs="Arial"/>
          <w:color w:val="333333"/>
          <w:shd w:val="clear" w:color="auto" w:fill="FFFFFF"/>
        </w:rPr>
        <w:t>Mrs.</w:t>
      </w:r>
      <w:r w:rsidR="001912D3" w:rsidRPr="003F658E">
        <w:rPr>
          <w:rFonts w:eastAsia="Times New Roman" w:cs="Arial"/>
          <w:color w:val="333333"/>
          <w:shd w:val="clear" w:color="auto" w:fill="FFFFFF"/>
        </w:rPr>
        <w:t xml:space="preserve"> S) to be involved with her care and</w:t>
      </w:r>
      <w:r w:rsidR="001912D3" w:rsidRPr="003F658E">
        <w:rPr>
          <w:rStyle w:val="apple-converted-space"/>
          <w:rFonts w:eastAsia="Times New Roman" w:cs="Arial"/>
          <w:color w:val="333333"/>
          <w:shd w:val="clear" w:color="auto" w:fill="FFFFFF"/>
        </w:rPr>
        <w:t> </w:t>
      </w:r>
      <w:r w:rsidR="001912D3" w:rsidRPr="15ABA772">
        <w:rPr>
          <w:rStyle w:val="Emphasis"/>
          <w:rFonts w:eastAsia="Times New Roman" w:cs="Arial"/>
          <w:i w:val="0"/>
          <w:iCs w:val="0"/>
          <w:color w:val="333333"/>
        </w:rPr>
        <w:t>E</w:t>
      </w:r>
      <w:r w:rsidR="001912D3" w:rsidRPr="15ABA772">
        <w:rPr>
          <w:rFonts w:eastAsia="Times New Roman" w:cs="Arial"/>
          <w:i/>
          <w:iCs/>
          <w:color w:val="333333"/>
          <w:shd w:val="clear" w:color="auto" w:fill="FFFFFF"/>
        </w:rPr>
        <w:t xml:space="preserve">’s </w:t>
      </w:r>
      <w:r w:rsidR="001912D3" w:rsidRPr="003F658E">
        <w:rPr>
          <w:rFonts w:eastAsia="Times New Roman" w:cs="Arial"/>
          <w:color w:val="333333"/>
          <w:shd w:val="clear" w:color="auto" w:fill="FFFFFF"/>
        </w:rPr>
        <w:t>psychiatrist considered that it would be unhelpful to</w:t>
      </w:r>
      <w:r w:rsidR="001912D3" w:rsidRPr="003F658E">
        <w:rPr>
          <w:rStyle w:val="apple-converted-space"/>
          <w:rFonts w:eastAsia="Times New Roman" w:cs="Arial"/>
          <w:color w:val="333333"/>
          <w:shd w:val="clear" w:color="auto" w:fill="FFFFFF"/>
        </w:rPr>
        <w:t> </w:t>
      </w:r>
      <w:r w:rsidR="001912D3" w:rsidRPr="15ABA772">
        <w:rPr>
          <w:rStyle w:val="Emphasis"/>
          <w:rFonts w:eastAsia="Times New Roman" w:cs="Arial"/>
          <w:i w:val="0"/>
          <w:iCs w:val="0"/>
          <w:color w:val="333333"/>
        </w:rPr>
        <w:t>E</w:t>
      </w:r>
      <w:r w:rsidR="001912D3" w:rsidRPr="15ABA772">
        <w:rPr>
          <w:rFonts w:eastAsia="Times New Roman" w:cs="Arial"/>
          <w:i/>
          <w:iCs/>
          <w:color w:val="333333"/>
          <w:shd w:val="clear" w:color="auto" w:fill="FFFFFF"/>
        </w:rPr>
        <w:t xml:space="preserve">’s </w:t>
      </w:r>
      <w:r w:rsidR="001912D3" w:rsidRPr="003F658E">
        <w:rPr>
          <w:rFonts w:eastAsia="Times New Roman" w:cs="Arial"/>
          <w:color w:val="333333"/>
          <w:shd w:val="clear" w:color="auto" w:fill="FFFFFF"/>
        </w:rPr>
        <w:t>mental health for her sister to act as her Nearest Relative. On an application by</w:t>
      </w:r>
      <w:r w:rsidR="001912D3" w:rsidRPr="003F658E">
        <w:rPr>
          <w:rStyle w:val="apple-converted-space"/>
          <w:rFonts w:eastAsia="Times New Roman" w:cs="Arial"/>
          <w:color w:val="333333"/>
          <w:shd w:val="clear" w:color="auto" w:fill="FFFFFF"/>
        </w:rPr>
        <w:t> </w:t>
      </w:r>
      <w:r w:rsidR="001912D3" w:rsidRPr="15ABA772">
        <w:rPr>
          <w:rStyle w:val="Emphasis"/>
          <w:rFonts w:eastAsia="Times New Roman" w:cs="Arial"/>
          <w:i w:val="0"/>
          <w:iCs w:val="0"/>
          <w:color w:val="333333"/>
        </w:rPr>
        <w:t>E</w:t>
      </w:r>
      <w:r w:rsidR="001912D3" w:rsidRPr="003F658E">
        <w:rPr>
          <w:rStyle w:val="apple-converted-space"/>
          <w:rFonts w:eastAsia="Times New Roman" w:cs="Arial"/>
          <w:color w:val="333333"/>
        </w:rPr>
        <w:t> </w:t>
      </w:r>
      <w:r w:rsidR="001912D3" w:rsidRPr="003F658E">
        <w:rPr>
          <w:rFonts w:eastAsia="Times New Roman" w:cs="Arial"/>
          <w:color w:val="333333"/>
          <w:shd w:val="clear" w:color="auto" w:fill="FFFFFF"/>
        </w:rPr>
        <w:t xml:space="preserve">that it was unlawful for the Local Authority or its </w:t>
      </w:r>
      <w:r w:rsidR="6A8E2004" w:rsidRPr="003F658E">
        <w:rPr>
          <w:rFonts w:eastAsia="Times New Roman" w:cs="Arial"/>
          <w:color w:val="333333"/>
        </w:rPr>
        <w:t>A</w:t>
      </w:r>
      <w:r w:rsidR="0030470F" w:rsidRPr="003F658E">
        <w:rPr>
          <w:rFonts w:eastAsia="Times New Roman" w:cs="Arial"/>
          <w:color w:val="333333"/>
        </w:rPr>
        <w:t xml:space="preserve">pproved </w:t>
      </w:r>
      <w:r w:rsidR="6A8E2004" w:rsidRPr="003F658E">
        <w:rPr>
          <w:rFonts w:eastAsia="Times New Roman" w:cs="Arial"/>
          <w:color w:val="333333"/>
        </w:rPr>
        <w:t>S</w:t>
      </w:r>
      <w:r w:rsidR="0030470F" w:rsidRPr="003F658E">
        <w:rPr>
          <w:rFonts w:eastAsia="Times New Roman" w:cs="Arial"/>
          <w:color w:val="333333"/>
        </w:rPr>
        <w:t xml:space="preserve">ocial </w:t>
      </w:r>
      <w:r w:rsidR="001912D3" w:rsidRPr="003F658E">
        <w:rPr>
          <w:rFonts w:eastAsia="Times New Roman" w:cs="Arial"/>
          <w:color w:val="333333"/>
          <w:shd w:val="clear" w:color="auto" w:fill="FFFFFF"/>
        </w:rPr>
        <w:t>W</w:t>
      </w:r>
      <w:r w:rsidR="0030470F" w:rsidRPr="003F658E">
        <w:rPr>
          <w:rFonts w:eastAsia="Times New Roman" w:cs="Arial"/>
          <w:color w:val="333333"/>
          <w:shd w:val="clear" w:color="auto" w:fill="FFFFFF"/>
        </w:rPr>
        <w:t>orker</w:t>
      </w:r>
      <w:r w:rsidR="001912D3" w:rsidRPr="003F658E">
        <w:rPr>
          <w:rFonts w:eastAsia="Times New Roman" w:cs="Arial"/>
          <w:color w:val="333333"/>
          <w:shd w:val="clear" w:color="auto" w:fill="FFFFFF"/>
        </w:rPr>
        <w:t xml:space="preserve"> </w:t>
      </w:r>
      <w:r w:rsidR="0030470F" w:rsidRPr="003F658E">
        <w:rPr>
          <w:rFonts w:eastAsia="Times New Roman" w:cs="Arial"/>
          <w:color w:val="333333"/>
          <w:shd w:val="clear" w:color="auto" w:fill="FFFFFF"/>
        </w:rPr>
        <w:t xml:space="preserve">(which preceded the AMHP role) </w:t>
      </w:r>
      <w:r w:rsidR="001912D3" w:rsidRPr="003F658E">
        <w:rPr>
          <w:rFonts w:eastAsia="Times New Roman" w:cs="Arial"/>
          <w:color w:val="333333"/>
          <w:shd w:val="clear" w:color="auto" w:fill="FFFFFF"/>
        </w:rPr>
        <w:t>to notify or consult</w:t>
      </w:r>
      <w:r w:rsidR="001912D3" w:rsidRPr="003F658E">
        <w:rPr>
          <w:rStyle w:val="apple-converted-space"/>
          <w:rFonts w:eastAsia="Times New Roman" w:cs="Arial"/>
          <w:color w:val="333333"/>
          <w:shd w:val="clear" w:color="auto" w:fill="FFFFFF"/>
        </w:rPr>
        <w:t> </w:t>
      </w:r>
      <w:r w:rsidR="001912D3" w:rsidRPr="15ABA772">
        <w:rPr>
          <w:rStyle w:val="Emphasis"/>
          <w:rFonts w:eastAsia="Times New Roman" w:cs="Arial"/>
          <w:i w:val="0"/>
          <w:iCs w:val="0"/>
          <w:color w:val="333333"/>
        </w:rPr>
        <w:t>E</w:t>
      </w:r>
      <w:r w:rsidR="001912D3" w:rsidRPr="15ABA772">
        <w:rPr>
          <w:rFonts w:eastAsia="Times New Roman" w:cs="Arial"/>
          <w:i/>
          <w:iCs/>
          <w:color w:val="333333"/>
          <w:shd w:val="clear" w:color="auto" w:fill="FFFFFF"/>
        </w:rPr>
        <w:t>’s</w:t>
      </w:r>
      <w:r w:rsidR="001912D3" w:rsidRPr="003F658E">
        <w:rPr>
          <w:rFonts w:eastAsia="Times New Roman" w:cs="Arial"/>
          <w:color w:val="333333"/>
          <w:shd w:val="clear" w:color="auto" w:fill="FFFFFF"/>
        </w:rPr>
        <w:t xml:space="preserve"> sister (as NR), without first obtaining</w:t>
      </w:r>
      <w:r w:rsidR="001912D3" w:rsidRPr="003F658E">
        <w:rPr>
          <w:rStyle w:val="apple-converted-space"/>
          <w:rFonts w:eastAsia="Times New Roman" w:cs="Arial"/>
          <w:color w:val="333333"/>
          <w:shd w:val="clear" w:color="auto" w:fill="FFFFFF"/>
        </w:rPr>
        <w:t> </w:t>
      </w:r>
      <w:r w:rsidR="001912D3" w:rsidRPr="15ABA772">
        <w:rPr>
          <w:rStyle w:val="Emphasis"/>
          <w:rFonts w:eastAsia="Times New Roman" w:cs="Arial"/>
          <w:i w:val="0"/>
          <w:iCs w:val="0"/>
          <w:color w:val="333333"/>
        </w:rPr>
        <w:t>E</w:t>
      </w:r>
      <w:r w:rsidR="001912D3" w:rsidRPr="15ABA772">
        <w:rPr>
          <w:rFonts w:eastAsia="Times New Roman" w:cs="Arial"/>
          <w:i/>
          <w:iCs/>
          <w:color w:val="333333"/>
          <w:shd w:val="clear" w:color="auto" w:fill="FFFFFF"/>
        </w:rPr>
        <w:t>’s</w:t>
      </w:r>
      <w:r w:rsidR="001912D3" w:rsidRPr="003F658E">
        <w:rPr>
          <w:rFonts w:eastAsia="Times New Roman" w:cs="Arial"/>
          <w:color w:val="333333"/>
          <w:shd w:val="clear" w:color="auto" w:fill="FFFFFF"/>
        </w:rPr>
        <w:t xml:space="preserve"> consent</w:t>
      </w:r>
      <w:r w:rsidR="001912D3" w:rsidRPr="003F658E">
        <w:rPr>
          <w:rFonts w:eastAsia="Times New Roman"/>
          <w:lang w:val="en-GB" w:eastAsia="en-GB"/>
        </w:rPr>
        <w:t xml:space="preserve">, </w:t>
      </w:r>
      <w:r w:rsidR="001912D3" w:rsidRPr="003F658E">
        <w:rPr>
          <w:rFonts w:cs="Arial"/>
          <w:lang w:val="en-GB"/>
        </w:rPr>
        <w:t>t</w:t>
      </w:r>
      <w:r w:rsidR="00F813C1" w:rsidRPr="003F658E">
        <w:rPr>
          <w:rFonts w:cs="Arial"/>
          <w:lang w:val="en-GB"/>
        </w:rPr>
        <w:t xml:space="preserve">he </w:t>
      </w:r>
      <w:r w:rsidR="005C75C7" w:rsidRPr="003F658E">
        <w:rPr>
          <w:rFonts w:cs="Arial"/>
          <w:lang w:val="en-GB"/>
        </w:rPr>
        <w:t>court concluded</w:t>
      </w:r>
      <w:r w:rsidR="00F813C1" w:rsidRPr="003F658E">
        <w:rPr>
          <w:rFonts w:cs="Arial"/>
          <w:lang w:val="en-GB"/>
        </w:rPr>
        <w:t xml:space="preserve"> that</w:t>
      </w:r>
      <w:r w:rsidR="0076446B" w:rsidRPr="003F658E">
        <w:rPr>
          <w:rFonts w:cs="Arial"/>
          <w:lang w:val="en-GB"/>
        </w:rPr>
        <w:t>:</w:t>
      </w:r>
    </w:p>
    <w:p w14:paraId="2323D258" w14:textId="77777777" w:rsidR="0076446B" w:rsidRPr="003F658E" w:rsidRDefault="0076446B" w:rsidP="003F658E">
      <w:pPr>
        <w:spacing w:line="360" w:lineRule="auto"/>
        <w:jc w:val="both"/>
        <w:rPr>
          <w:rFonts w:cs="Arial"/>
          <w:lang w:val="en-GB"/>
        </w:rPr>
      </w:pPr>
    </w:p>
    <w:p w14:paraId="5CD76DA6" w14:textId="51FF0CC9" w:rsidR="001E38D3" w:rsidRPr="003F658E" w:rsidRDefault="0076446B" w:rsidP="003F658E">
      <w:pPr>
        <w:spacing w:line="360" w:lineRule="auto"/>
        <w:ind w:left="720"/>
        <w:jc w:val="both"/>
        <w:rPr>
          <w:rFonts w:cs="Arial"/>
          <w:i/>
          <w:iCs/>
          <w:lang w:val="en-GB"/>
        </w:rPr>
      </w:pPr>
      <w:bookmarkStart w:id="0" w:name="para9"/>
      <w:r w:rsidRPr="003F658E">
        <w:rPr>
          <w:rFonts w:cs="Arial"/>
          <w:color w:val="000000"/>
        </w:rPr>
        <w:t>‘</w:t>
      </w:r>
      <w:r w:rsidRPr="15ABA772">
        <w:rPr>
          <w:rFonts w:cs="Arial"/>
          <w:i/>
          <w:iCs/>
          <w:color w:val="000000"/>
        </w:rPr>
        <w:t>It would seem clear to me that this Mrs S is not an appropriate person to carry out the many powers and responsibilities given to her as the claimant's nearest relative under the Mental Health Act 1983. I say that because (i) the claimant does not want her as her nearest relative, (ii) it might be positively harmful to the claimant's mental and emotional well-being for Mrs S so to act, and (iii) Mrs S, it seems, does not wish so to act.</w:t>
      </w:r>
      <w:r w:rsidR="002536AF" w:rsidRPr="15ABA772">
        <w:rPr>
          <w:rStyle w:val="FootnoteReference"/>
          <w:rFonts w:cs="Arial"/>
          <w:i/>
          <w:iCs/>
          <w:color w:val="000000"/>
        </w:rPr>
        <w:footnoteReference w:id="23"/>
      </w:r>
      <w:r w:rsidRPr="15ABA772">
        <w:rPr>
          <w:rFonts w:cs="Arial"/>
          <w:i/>
          <w:iCs/>
          <w:color w:val="000000"/>
        </w:rPr>
        <w:t xml:space="preserve"> </w:t>
      </w:r>
      <w:bookmarkEnd w:id="0"/>
      <w:r w:rsidR="00D36E6F" w:rsidRPr="003F658E">
        <w:rPr>
          <w:rFonts w:cs="Arial"/>
          <w:color w:val="000000"/>
        </w:rPr>
        <w:t>[9]</w:t>
      </w:r>
      <w:r w:rsidR="003D5983" w:rsidRPr="15ABA772">
        <w:rPr>
          <w:rFonts w:cs="Arial"/>
          <w:i/>
          <w:iCs/>
          <w:lang w:val="en-GB"/>
        </w:rPr>
        <w:t>.</w:t>
      </w:r>
    </w:p>
    <w:p w14:paraId="12152DFB" w14:textId="77777777" w:rsidR="0061307C" w:rsidRPr="003F658E" w:rsidRDefault="0061307C" w:rsidP="003F658E">
      <w:pPr>
        <w:spacing w:line="360" w:lineRule="auto"/>
        <w:jc w:val="both"/>
        <w:rPr>
          <w:rFonts w:cs="Arial"/>
          <w:lang w:val="en-GB"/>
        </w:rPr>
      </w:pPr>
    </w:p>
    <w:p w14:paraId="2BA0DEE4" w14:textId="584CD628" w:rsidR="009A2252" w:rsidRPr="003F658E" w:rsidRDefault="00047A06" w:rsidP="003F658E">
      <w:pPr>
        <w:spacing w:line="360" w:lineRule="auto"/>
        <w:jc w:val="both"/>
        <w:rPr>
          <w:rFonts w:cs="Arial"/>
          <w:lang w:val="en-GB"/>
        </w:rPr>
      </w:pPr>
      <w:r w:rsidRPr="003F658E">
        <w:rPr>
          <w:rFonts w:cs="Arial"/>
          <w:lang w:val="en-GB"/>
        </w:rPr>
        <w:t xml:space="preserve">Cases such as this </w:t>
      </w:r>
      <w:r w:rsidR="00DE63A3" w:rsidRPr="003F658E">
        <w:rPr>
          <w:rFonts w:cs="Arial"/>
          <w:lang w:val="en-GB"/>
        </w:rPr>
        <w:t>cast doubt on the adequacy of the safeguard and highlight</w:t>
      </w:r>
      <w:r w:rsidRPr="003F658E">
        <w:rPr>
          <w:rFonts w:cs="Arial"/>
          <w:lang w:val="en-GB"/>
        </w:rPr>
        <w:t xml:space="preserve"> the potential tensions in the role</w:t>
      </w:r>
      <w:r w:rsidR="00DE63A3" w:rsidRPr="003F658E">
        <w:rPr>
          <w:rFonts w:cs="Arial"/>
          <w:lang w:val="en-GB"/>
        </w:rPr>
        <w:t xml:space="preserve"> when NR are given </w:t>
      </w:r>
      <w:r w:rsidR="00C913BF" w:rsidRPr="003F658E">
        <w:rPr>
          <w:rFonts w:cs="Arial"/>
          <w:lang w:val="en-GB"/>
        </w:rPr>
        <w:t xml:space="preserve">potentially conflicting powers to </w:t>
      </w:r>
      <w:r w:rsidR="00547715" w:rsidRPr="003F658E">
        <w:rPr>
          <w:rFonts w:cs="Arial"/>
          <w:lang w:val="en-GB"/>
        </w:rPr>
        <w:t xml:space="preserve">challenge </w:t>
      </w:r>
      <w:r w:rsidR="0044413E" w:rsidRPr="003F658E">
        <w:rPr>
          <w:rFonts w:cs="Arial"/>
          <w:lang w:val="en-GB"/>
        </w:rPr>
        <w:t xml:space="preserve">the use of </w:t>
      </w:r>
      <w:r w:rsidR="00547715" w:rsidRPr="003F658E">
        <w:rPr>
          <w:rFonts w:cs="Arial"/>
          <w:lang w:val="en-GB"/>
        </w:rPr>
        <w:t>compuls</w:t>
      </w:r>
      <w:r w:rsidR="0044413E" w:rsidRPr="003F658E">
        <w:rPr>
          <w:rFonts w:cs="Arial"/>
          <w:lang w:val="en-GB"/>
        </w:rPr>
        <w:t>ion</w:t>
      </w:r>
      <w:r w:rsidR="00C913BF" w:rsidRPr="003F658E">
        <w:rPr>
          <w:rFonts w:cs="Arial"/>
          <w:lang w:val="en-GB"/>
        </w:rPr>
        <w:t>, as well as</w:t>
      </w:r>
      <w:r w:rsidR="00DE63A3" w:rsidRPr="003F658E">
        <w:rPr>
          <w:rFonts w:cs="Arial"/>
          <w:lang w:val="en-GB"/>
        </w:rPr>
        <w:t xml:space="preserve"> </w:t>
      </w:r>
      <w:r w:rsidR="0044413E" w:rsidRPr="003F658E">
        <w:rPr>
          <w:rFonts w:cs="Arial"/>
          <w:lang w:val="en-GB"/>
        </w:rPr>
        <w:t xml:space="preserve">making an </w:t>
      </w:r>
      <w:r w:rsidR="00DE63A3" w:rsidRPr="003F658E">
        <w:rPr>
          <w:rFonts w:cs="Arial"/>
          <w:lang w:val="en-GB"/>
        </w:rPr>
        <w:t>applic</w:t>
      </w:r>
      <w:r w:rsidR="0044413E" w:rsidRPr="003F658E">
        <w:rPr>
          <w:rFonts w:cs="Arial"/>
          <w:lang w:val="en-GB"/>
        </w:rPr>
        <w:t>ation</w:t>
      </w:r>
      <w:r w:rsidR="00DE63A3" w:rsidRPr="003F658E">
        <w:rPr>
          <w:rFonts w:cs="Arial"/>
          <w:lang w:val="en-GB"/>
        </w:rPr>
        <w:t xml:space="preserve"> for </w:t>
      </w:r>
      <w:r w:rsidR="0084442B" w:rsidRPr="003F658E">
        <w:rPr>
          <w:rFonts w:cs="Arial"/>
          <w:lang w:val="en-GB"/>
        </w:rPr>
        <w:t>compu</w:t>
      </w:r>
      <w:r w:rsidR="00DE63A3" w:rsidRPr="003F658E">
        <w:rPr>
          <w:rFonts w:cs="Arial"/>
          <w:lang w:val="en-GB"/>
        </w:rPr>
        <w:t xml:space="preserve">lsory admission. </w:t>
      </w:r>
      <w:r w:rsidR="007A4592" w:rsidRPr="003F658E">
        <w:rPr>
          <w:rFonts w:cs="Arial"/>
          <w:lang w:val="en-GB"/>
        </w:rPr>
        <w:t>A</w:t>
      </w:r>
      <w:r w:rsidR="009E6E00" w:rsidRPr="003F658E">
        <w:rPr>
          <w:rFonts w:cs="Arial"/>
          <w:lang w:val="en-GB"/>
        </w:rPr>
        <w:t xml:space="preserve">s the Court of Appeal recognised in </w:t>
      </w:r>
      <w:r w:rsidR="009E6E00" w:rsidRPr="15ABA772">
        <w:rPr>
          <w:rFonts w:cs="Arial"/>
          <w:i/>
          <w:iCs/>
          <w:lang w:val="en-GB"/>
        </w:rPr>
        <w:t>TW v Enfield Borough Council</w:t>
      </w:r>
      <w:r w:rsidR="002536AF" w:rsidRPr="003F658E">
        <w:rPr>
          <w:rFonts w:cs="Arial"/>
          <w:lang w:val="en-GB"/>
        </w:rPr>
        <w:t xml:space="preserve">, </w:t>
      </w:r>
      <w:r w:rsidR="009E6E00" w:rsidRPr="003F658E">
        <w:rPr>
          <w:rStyle w:val="FootnoteReference"/>
          <w:rFonts w:cs="Arial"/>
          <w:lang w:val="en-GB"/>
        </w:rPr>
        <w:footnoteReference w:id="24"/>
      </w:r>
      <w:r w:rsidR="009E6E00" w:rsidRPr="003F658E">
        <w:rPr>
          <w:rFonts w:cs="Arial"/>
          <w:lang w:val="en-GB"/>
        </w:rPr>
        <w:t xml:space="preserve"> a careful </w:t>
      </w:r>
      <w:r w:rsidRPr="003F658E">
        <w:rPr>
          <w:rFonts w:cs="Arial"/>
          <w:lang w:val="en-GB"/>
        </w:rPr>
        <w:t xml:space="preserve">balance must </w:t>
      </w:r>
      <w:r w:rsidR="007A4592" w:rsidRPr="003F658E">
        <w:rPr>
          <w:rFonts w:cs="Arial"/>
          <w:lang w:val="en-GB"/>
        </w:rPr>
        <w:t xml:space="preserve">also </w:t>
      </w:r>
      <w:r w:rsidRPr="003F658E">
        <w:rPr>
          <w:rFonts w:cs="Arial"/>
          <w:lang w:val="en-GB"/>
        </w:rPr>
        <w:t xml:space="preserve">be struck between the patient’s rights under </w:t>
      </w:r>
      <w:r w:rsidR="009E6E00" w:rsidRPr="003F658E">
        <w:rPr>
          <w:rFonts w:cs="Arial"/>
          <w:lang w:val="en-GB"/>
        </w:rPr>
        <w:t xml:space="preserve">Articles 5 and 8 of </w:t>
      </w:r>
      <w:r w:rsidRPr="003F658E">
        <w:rPr>
          <w:rFonts w:cs="Arial"/>
          <w:lang w:val="en-GB"/>
        </w:rPr>
        <w:t>the ECHR</w:t>
      </w:r>
      <w:r w:rsidR="0084442B" w:rsidRPr="003F658E">
        <w:rPr>
          <w:rFonts w:cs="Arial"/>
          <w:lang w:val="en-GB"/>
        </w:rPr>
        <w:t xml:space="preserve"> </w:t>
      </w:r>
      <w:r w:rsidR="009E6E00" w:rsidRPr="003F658E">
        <w:rPr>
          <w:rFonts w:cs="Arial"/>
          <w:lang w:val="en-GB"/>
        </w:rPr>
        <w:t xml:space="preserve">(as </w:t>
      </w:r>
      <w:r w:rsidR="0070405D" w:rsidRPr="003F658E">
        <w:rPr>
          <w:rFonts w:cs="Arial"/>
          <w:lang w:val="en-GB"/>
        </w:rPr>
        <w:t xml:space="preserve">well </w:t>
      </w:r>
      <w:r w:rsidR="009A2252" w:rsidRPr="003F658E">
        <w:rPr>
          <w:rFonts w:cs="Arial"/>
          <w:lang w:val="en-GB"/>
        </w:rPr>
        <w:t xml:space="preserve">of course, </w:t>
      </w:r>
      <w:r w:rsidR="0070405D" w:rsidRPr="003F658E">
        <w:rPr>
          <w:rFonts w:cs="Arial"/>
          <w:lang w:val="en-GB"/>
        </w:rPr>
        <w:t xml:space="preserve">as </w:t>
      </w:r>
      <w:r w:rsidR="009A2252" w:rsidRPr="003F658E">
        <w:rPr>
          <w:rFonts w:cs="Arial"/>
          <w:lang w:val="en-GB"/>
        </w:rPr>
        <w:t>the</w:t>
      </w:r>
      <w:r w:rsidR="0070405D" w:rsidRPr="003F658E">
        <w:rPr>
          <w:rFonts w:cs="Arial"/>
          <w:lang w:val="en-GB"/>
        </w:rPr>
        <w:t xml:space="preserve"> </w:t>
      </w:r>
      <w:r w:rsidR="007A4592" w:rsidRPr="003F658E">
        <w:rPr>
          <w:rFonts w:cs="Arial"/>
          <w:lang w:val="en-GB"/>
        </w:rPr>
        <w:t xml:space="preserve">Convention </w:t>
      </w:r>
      <w:r w:rsidR="0070405D" w:rsidRPr="003F658E">
        <w:rPr>
          <w:rFonts w:cs="Arial"/>
          <w:lang w:val="en-GB"/>
        </w:rPr>
        <w:t>rights of other family members</w:t>
      </w:r>
      <w:r w:rsidR="009E6E00" w:rsidRPr="003F658E">
        <w:rPr>
          <w:rFonts w:cs="Arial"/>
          <w:lang w:val="en-GB"/>
        </w:rPr>
        <w:t>)</w:t>
      </w:r>
      <w:r w:rsidR="009A2252" w:rsidRPr="003F658E">
        <w:rPr>
          <w:rFonts w:cs="Arial"/>
          <w:lang w:val="en-GB"/>
        </w:rPr>
        <w:t>.</w:t>
      </w:r>
      <w:r w:rsidRPr="003F658E">
        <w:rPr>
          <w:rFonts w:cs="Arial"/>
          <w:lang w:val="en-GB"/>
        </w:rPr>
        <w:t xml:space="preserve"> The NR straddles </w:t>
      </w:r>
      <w:r w:rsidR="009A2252" w:rsidRPr="003F658E">
        <w:rPr>
          <w:rFonts w:cs="Arial"/>
          <w:lang w:val="en-GB"/>
        </w:rPr>
        <w:t xml:space="preserve">many such rights </w:t>
      </w:r>
      <w:r w:rsidRPr="003F658E">
        <w:rPr>
          <w:rFonts w:cs="Arial"/>
          <w:lang w:val="en-GB"/>
        </w:rPr>
        <w:t xml:space="preserve">and this can </w:t>
      </w:r>
      <w:r w:rsidRPr="003F658E">
        <w:rPr>
          <w:rFonts w:cs="Arial"/>
          <w:lang w:val="en-GB"/>
        </w:rPr>
        <w:lastRenderedPageBreak/>
        <w:t xml:space="preserve">present challenges for AMHPs working with the legislation on a daily basis, often in </w:t>
      </w:r>
      <w:r w:rsidR="009857BA" w:rsidRPr="003F658E">
        <w:rPr>
          <w:rFonts w:cs="Arial"/>
          <w:lang w:val="en-GB"/>
        </w:rPr>
        <w:t xml:space="preserve">a </w:t>
      </w:r>
      <w:r w:rsidRPr="003F658E">
        <w:rPr>
          <w:rFonts w:cs="Arial"/>
          <w:lang w:val="en-GB"/>
        </w:rPr>
        <w:t>mental health crisis</w:t>
      </w:r>
      <w:r w:rsidR="009857BA" w:rsidRPr="003F658E">
        <w:rPr>
          <w:rFonts w:cs="Arial"/>
          <w:lang w:val="en-GB"/>
        </w:rPr>
        <w:t>, when</w:t>
      </w:r>
      <w:r w:rsidRPr="003F658E">
        <w:rPr>
          <w:rFonts w:cs="Arial"/>
          <w:lang w:val="en-GB"/>
        </w:rPr>
        <w:t xml:space="preserve"> decisions </w:t>
      </w:r>
      <w:r w:rsidR="002A70C2" w:rsidRPr="003F658E">
        <w:rPr>
          <w:rFonts w:cs="Arial"/>
          <w:lang w:val="en-GB"/>
        </w:rPr>
        <w:t>must</w:t>
      </w:r>
      <w:r w:rsidRPr="003F658E">
        <w:rPr>
          <w:rFonts w:cs="Arial"/>
          <w:lang w:val="en-GB"/>
        </w:rPr>
        <w:t xml:space="preserve"> be made quickly.</w:t>
      </w:r>
      <w:r w:rsidR="009E6E00" w:rsidRPr="003F658E">
        <w:rPr>
          <w:rFonts w:cs="Arial"/>
          <w:lang w:val="en-GB"/>
        </w:rPr>
        <w:t xml:space="preserve"> </w:t>
      </w:r>
      <w:r w:rsidR="0070405D" w:rsidRPr="003F658E">
        <w:rPr>
          <w:rFonts w:cs="Arial"/>
          <w:lang w:val="en-GB"/>
        </w:rPr>
        <w:t>I</w:t>
      </w:r>
      <w:r w:rsidR="009E6E00" w:rsidRPr="003F658E">
        <w:rPr>
          <w:rFonts w:cs="Arial"/>
          <w:lang w:val="en-GB"/>
        </w:rPr>
        <w:t>ndeed, i</w:t>
      </w:r>
      <w:r w:rsidR="0070405D" w:rsidRPr="003F658E">
        <w:rPr>
          <w:rFonts w:cs="Arial"/>
          <w:lang w:val="en-GB"/>
        </w:rPr>
        <w:t xml:space="preserve">t is significant to note that </w:t>
      </w:r>
      <w:r w:rsidR="0061307C" w:rsidRPr="003F658E">
        <w:rPr>
          <w:rFonts w:cs="Arial"/>
          <w:lang w:val="en-GB"/>
        </w:rPr>
        <w:t xml:space="preserve">the first declaration of incompatibility with the </w:t>
      </w:r>
      <w:r w:rsidRPr="003F658E">
        <w:rPr>
          <w:rFonts w:cs="Arial"/>
          <w:lang w:val="en-GB"/>
        </w:rPr>
        <w:t xml:space="preserve">ECHR </w:t>
      </w:r>
      <w:r w:rsidR="0061307C" w:rsidRPr="003F658E">
        <w:rPr>
          <w:rFonts w:cs="Arial"/>
          <w:lang w:val="en-GB"/>
        </w:rPr>
        <w:t xml:space="preserve">under the Human Rights Act 1998 </w:t>
      </w:r>
      <w:r w:rsidR="005C75C7" w:rsidRPr="003F658E">
        <w:rPr>
          <w:rFonts w:cs="Arial"/>
          <w:lang w:val="en-GB"/>
        </w:rPr>
        <w:t xml:space="preserve">made </w:t>
      </w:r>
      <w:r w:rsidR="0061307C" w:rsidRPr="003F658E">
        <w:rPr>
          <w:rFonts w:cs="Arial"/>
          <w:lang w:val="en-GB"/>
        </w:rPr>
        <w:t xml:space="preserve">by the </w:t>
      </w:r>
      <w:r w:rsidR="003D5983" w:rsidRPr="003F658E">
        <w:rPr>
          <w:rFonts w:cs="Arial"/>
          <w:lang w:val="en-GB"/>
        </w:rPr>
        <w:t>domestic court</w:t>
      </w:r>
      <w:r w:rsidR="0061307C" w:rsidRPr="003F658E">
        <w:rPr>
          <w:rFonts w:cs="Arial"/>
          <w:lang w:val="en-GB"/>
        </w:rPr>
        <w:t xml:space="preserve"> </w:t>
      </w:r>
      <w:r w:rsidR="0070405D" w:rsidRPr="003F658E">
        <w:rPr>
          <w:rFonts w:cs="Arial"/>
          <w:lang w:val="en-GB"/>
        </w:rPr>
        <w:t xml:space="preserve">was </w:t>
      </w:r>
      <w:r w:rsidR="0061307C" w:rsidRPr="003F658E">
        <w:rPr>
          <w:rFonts w:cs="Arial"/>
          <w:lang w:val="en-GB"/>
        </w:rPr>
        <w:t xml:space="preserve">in </w:t>
      </w:r>
      <w:r w:rsidR="0084442B" w:rsidRPr="15ABA772">
        <w:rPr>
          <w:rFonts w:cs="Arial"/>
          <w:i/>
          <w:iCs/>
          <w:lang w:val="en-GB"/>
        </w:rPr>
        <w:t>JT v UK,</w:t>
      </w:r>
      <w:r w:rsidR="0084442B" w:rsidRPr="003F658E">
        <w:rPr>
          <w:rStyle w:val="FootnoteReference"/>
          <w:rFonts w:cs="Arial"/>
          <w:lang w:val="en-GB"/>
        </w:rPr>
        <w:footnoteReference w:id="25"/>
      </w:r>
      <w:r w:rsidR="0084442B" w:rsidRPr="003F658E">
        <w:rPr>
          <w:rFonts w:cs="Arial"/>
          <w:lang w:val="en-GB"/>
        </w:rPr>
        <w:t xml:space="preserve"> in </w:t>
      </w:r>
      <w:r w:rsidR="0061307C" w:rsidRPr="003F658E">
        <w:rPr>
          <w:rFonts w:cs="Arial"/>
          <w:lang w:val="en-GB"/>
        </w:rPr>
        <w:t>relation to</w:t>
      </w:r>
      <w:r w:rsidR="005C75C7" w:rsidRPr="003F658E">
        <w:rPr>
          <w:rFonts w:cs="Arial"/>
          <w:lang w:val="en-GB"/>
        </w:rPr>
        <w:t xml:space="preserve"> the </w:t>
      </w:r>
      <w:r w:rsidR="00E245F8" w:rsidRPr="003F658E">
        <w:rPr>
          <w:rFonts w:cs="Arial"/>
          <w:lang w:val="en-GB"/>
        </w:rPr>
        <w:t xml:space="preserve">NR </w:t>
      </w:r>
      <w:r w:rsidR="005C75C7" w:rsidRPr="003F658E">
        <w:rPr>
          <w:rFonts w:cs="Arial"/>
          <w:lang w:val="en-GB"/>
        </w:rPr>
        <w:t>provision</w:t>
      </w:r>
      <w:r w:rsidR="0084442B" w:rsidRPr="003F658E">
        <w:rPr>
          <w:rFonts w:cs="Arial"/>
          <w:lang w:val="en-GB"/>
        </w:rPr>
        <w:t xml:space="preserve">s. </w:t>
      </w:r>
      <w:r w:rsidRPr="003F658E">
        <w:rPr>
          <w:rFonts w:cs="Arial"/>
          <w:lang w:val="en-GB"/>
        </w:rPr>
        <w:t>The</w:t>
      </w:r>
      <w:r w:rsidR="0061307C" w:rsidRPr="003F658E">
        <w:rPr>
          <w:rFonts w:cs="Arial"/>
          <w:lang w:val="en-GB"/>
        </w:rPr>
        <w:t xml:space="preserve"> case involved a patient whose stepfather was said to have sexually abused her and she did not wish her NR, </w:t>
      </w:r>
      <w:r w:rsidR="00371C9C">
        <w:rPr>
          <w:rFonts w:cs="Arial"/>
          <w:lang w:val="en-GB"/>
        </w:rPr>
        <w:t>(</w:t>
      </w:r>
      <w:r w:rsidR="0061307C" w:rsidRPr="003F658E">
        <w:rPr>
          <w:rFonts w:cs="Arial"/>
          <w:lang w:val="en-GB"/>
        </w:rPr>
        <w:t>her mother</w:t>
      </w:r>
      <w:r w:rsidR="005C75C7" w:rsidRPr="003F658E">
        <w:rPr>
          <w:rFonts w:cs="Arial"/>
          <w:lang w:val="en-GB"/>
        </w:rPr>
        <w:t>,</w:t>
      </w:r>
      <w:r w:rsidR="0061307C" w:rsidRPr="003F658E">
        <w:rPr>
          <w:rFonts w:cs="Arial"/>
          <w:lang w:val="en-GB"/>
        </w:rPr>
        <w:t xml:space="preserve"> who still </w:t>
      </w:r>
      <w:r w:rsidR="00371C9C">
        <w:rPr>
          <w:rFonts w:cs="Arial"/>
          <w:lang w:val="en-GB"/>
        </w:rPr>
        <w:t>lived with the father)</w:t>
      </w:r>
      <w:r w:rsidR="0061307C" w:rsidRPr="003F658E">
        <w:rPr>
          <w:rFonts w:cs="Arial"/>
          <w:lang w:val="en-GB"/>
        </w:rPr>
        <w:t xml:space="preserve"> to be involved in decisions about her care. </w:t>
      </w:r>
      <w:r w:rsidR="0076446B" w:rsidRPr="003F658E">
        <w:rPr>
          <w:rFonts w:cs="Arial"/>
          <w:lang w:val="en-GB"/>
        </w:rPr>
        <w:t xml:space="preserve"> The Commission </w:t>
      </w:r>
      <w:r w:rsidR="0076446B" w:rsidRPr="003F658E">
        <w:rPr>
          <w:rFonts w:cs="Arial"/>
          <w:color w:val="000000"/>
        </w:rPr>
        <w:t xml:space="preserve">unanimously concluded that there had been a violation of Article 8 of the </w:t>
      </w:r>
      <w:r w:rsidRPr="003F658E">
        <w:rPr>
          <w:rFonts w:cs="Arial"/>
          <w:color w:val="000000"/>
        </w:rPr>
        <w:t xml:space="preserve">ECHR </w:t>
      </w:r>
      <w:r w:rsidR="0061099B" w:rsidRPr="003F658E">
        <w:rPr>
          <w:rFonts w:cs="Arial"/>
          <w:lang w:val="en-GB"/>
        </w:rPr>
        <w:t xml:space="preserve">and the UK government at the time undertook to amend the law to rectify the incompatibility and enable patients to </w:t>
      </w:r>
      <w:r w:rsidR="005C75C7" w:rsidRPr="003F658E">
        <w:rPr>
          <w:rFonts w:cs="Arial"/>
          <w:lang w:val="en-GB"/>
        </w:rPr>
        <w:t xml:space="preserve">exercise some control over </w:t>
      </w:r>
      <w:r w:rsidR="0061099B" w:rsidRPr="003F658E">
        <w:rPr>
          <w:rFonts w:cs="Arial"/>
          <w:lang w:val="en-GB"/>
        </w:rPr>
        <w:t xml:space="preserve">the choice of nearest relative.  This was undertaken as part of the </w:t>
      </w:r>
      <w:r w:rsidRPr="003F658E">
        <w:rPr>
          <w:rFonts w:cs="Arial"/>
          <w:lang w:val="en-GB"/>
        </w:rPr>
        <w:t xml:space="preserve">reform process in the mid-2000s and patients </w:t>
      </w:r>
      <w:r w:rsidR="008678EC" w:rsidRPr="003F658E">
        <w:rPr>
          <w:rFonts w:cs="Arial"/>
          <w:lang w:val="en-GB"/>
        </w:rPr>
        <w:t xml:space="preserve">can </w:t>
      </w:r>
      <w:r w:rsidR="0070405D" w:rsidRPr="003F658E">
        <w:rPr>
          <w:rFonts w:cs="Arial"/>
          <w:lang w:val="en-GB"/>
        </w:rPr>
        <w:t xml:space="preserve">now </w:t>
      </w:r>
      <w:r w:rsidRPr="003F658E">
        <w:rPr>
          <w:rFonts w:cs="Arial"/>
          <w:lang w:val="en-GB"/>
        </w:rPr>
        <w:t xml:space="preserve">apply to </w:t>
      </w:r>
      <w:r w:rsidR="0070405D" w:rsidRPr="003F658E">
        <w:rPr>
          <w:rFonts w:cs="Arial"/>
          <w:lang w:val="en-GB"/>
        </w:rPr>
        <w:t xml:space="preserve">the court to </w:t>
      </w:r>
      <w:r w:rsidRPr="003F658E">
        <w:rPr>
          <w:rFonts w:cs="Arial"/>
          <w:lang w:val="en-GB"/>
        </w:rPr>
        <w:t>displ</w:t>
      </w:r>
      <w:r w:rsidR="008678EC" w:rsidRPr="003F658E">
        <w:rPr>
          <w:rFonts w:cs="Arial"/>
          <w:lang w:val="en-GB"/>
        </w:rPr>
        <w:t>ace an ‘unsuitable’ NR under s. 29</w:t>
      </w:r>
      <w:r w:rsidRPr="003F658E">
        <w:rPr>
          <w:rFonts w:cs="Arial"/>
          <w:lang w:val="en-GB"/>
        </w:rPr>
        <w:t xml:space="preserve">. However, this falls considerably short of </w:t>
      </w:r>
      <w:r w:rsidR="008678EC" w:rsidRPr="003F658E">
        <w:rPr>
          <w:rFonts w:cs="Arial"/>
          <w:lang w:val="en-GB"/>
        </w:rPr>
        <w:t xml:space="preserve">giving the </w:t>
      </w:r>
      <w:r w:rsidRPr="003F658E">
        <w:rPr>
          <w:rFonts w:cs="Arial"/>
          <w:lang w:val="en-GB"/>
        </w:rPr>
        <w:t xml:space="preserve">patient complete autonomy to </w:t>
      </w:r>
      <w:r w:rsidR="008678EC" w:rsidRPr="003F658E">
        <w:rPr>
          <w:rFonts w:cs="Arial"/>
          <w:lang w:val="en-GB"/>
        </w:rPr>
        <w:t xml:space="preserve">nominate or </w:t>
      </w:r>
      <w:r w:rsidRPr="003F658E">
        <w:rPr>
          <w:rFonts w:cs="Arial"/>
          <w:lang w:val="en-GB"/>
        </w:rPr>
        <w:t>appoint</w:t>
      </w:r>
      <w:r w:rsidR="008678EC" w:rsidRPr="003F658E">
        <w:rPr>
          <w:rFonts w:cs="Arial"/>
          <w:lang w:val="en-GB"/>
        </w:rPr>
        <w:t xml:space="preserve"> </w:t>
      </w:r>
      <w:r w:rsidRPr="003F658E">
        <w:rPr>
          <w:rFonts w:cs="Arial"/>
          <w:lang w:val="en-GB"/>
        </w:rPr>
        <w:t xml:space="preserve">their preferred </w:t>
      </w:r>
      <w:r w:rsidR="008678EC" w:rsidRPr="003F658E">
        <w:rPr>
          <w:rFonts w:cs="Arial"/>
          <w:lang w:val="en-GB"/>
        </w:rPr>
        <w:t>person (relative or</w:t>
      </w:r>
      <w:r w:rsidR="0070405D" w:rsidRPr="003F658E">
        <w:rPr>
          <w:rFonts w:cs="Arial"/>
          <w:lang w:val="en-GB"/>
        </w:rPr>
        <w:t xml:space="preserve"> carer</w:t>
      </w:r>
      <w:r w:rsidR="008678EC" w:rsidRPr="003F658E">
        <w:rPr>
          <w:rFonts w:cs="Arial"/>
          <w:lang w:val="en-GB"/>
        </w:rPr>
        <w:t>)</w:t>
      </w:r>
      <w:r w:rsidRPr="003F658E">
        <w:rPr>
          <w:rFonts w:cs="Arial"/>
          <w:lang w:val="en-GB"/>
        </w:rPr>
        <w:t xml:space="preserve"> to act as the NR in the first place. </w:t>
      </w:r>
      <w:r w:rsidR="009857BA" w:rsidRPr="003F658E">
        <w:rPr>
          <w:rFonts w:cs="Arial"/>
          <w:lang w:val="en-GB"/>
        </w:rPr>
        <w:t xml:space="preserve">There are also criticisms of the displacement process, which can be cumbersome and time consuming. These </w:t>
      </w:r>
      <w:r w:rsidR="000D096A" w:rsidRPr="003F658E">
        <w:rPr>
          <w:rFonts w:cs="Arial"/>
          <w:lang w:val="en-GB"/>
        </w:rPr>
        <w:t xml:space="preserve">displacement </w:t>
      </w:r>
      <w:r w:rsidR="009857BA" w:rsidRPr="003F658E">
        <w:rPr>
          <w:rFonts w:cs="Arial"/>
          <w:lang w:val="en-GB"/>
        </w:rPr>
        <w:t xml:space="preserve">difficulties </w:t>
      </w:r>
      <w:r w:rsidR="000D096A" w:rsidRPr="003F658E">
        <w:rPr>
          <w:rFonts w:cs="Arial"/>
          <w:lang w:val="en-GB"/>
        </w:rPr>
        <w:t xml:space="preserve">and delays </w:t>
      </w:r>
      <w:r w:rsidR="009857BA" w:rsidRPr="003F658E">
        <w:rPr>
          <w:rFonts w:cs="Arial"/>
          <w:lang w:val="en-GB"/>
        </w:rPr>
        <w:t>have been recognised by</w:t>
      </w:r>
      <w:r w:rsidR="000D096A" w:rsidRPr="003F658E">
        <w:rPr>
          <w:rFonts w:cs="Arial"/>
          <w:lang w:val="en-GB"/>
        </w:rPr>
        <w:t xml:space="preserve"> the court on several occasions, and again, potentially compromise the patient’s right under Article 8.</w:t>
      </w:r>
      <w:r w:rsidR="000D096A" w:rsidRPr="003F658E">
        <w:rPr>
          <w:rStyle w:val="FootnoteReference"/>
          <w:rFonts w:cs="Arial"/>
          <w:lang w:val="en-GB"/>
        </w:rPr>
        <w:footnoteReference w:id="26"/>
      </w:r>
      <w:r w:rsidR="000D096A" w:rsidRPr="003F658E">
        <w:rPr>
          <w:rFonts w:cs="Arial"/>
          <w:lang w:val="en-GB"/>
        </w:rPr>
        <w:t xml:space="preserve"> </w:t>
      </w:r>
    </w:p>
    <w:p w14:paraId="360DD15D" w14:textId="77777777" w:rsidR="2BA0DEE4" w:rsidRPr="003F658E" w:rsidRDefault="2BA0DEE4" w:rsidP="003F658E">
      <w:pPr>
        <w:spacing w:line="360" w:lineRule="auto"/>
        <w:jc w:val="both"/>
        <w:rPr>
          <w:rFonts w:cs="Arial"/>
          <w:lang w:val="en-GB"/>
        </w:rPr>
      </w:pPr>
    </w:p>
    <w:p w14:paraId="23AEA715" w14:textId="5E2020ED" w:rsidR="0044413E" w:rsidRPr="003F658E" w:rsidRDefault="0044413E" w:rsidP="003F658E">
      <w:pPr>
        <w:spacing w:line="360" w:lineRule="auto"/>
        <w:jc w:val="both"/>
        <w:rPr>
          <w:rFonts w:cs="Times New Roman"/>
        </w:rPr>
      </w:pPr>
      <w:r w:rsidRPr="003F658E">
        <w:rPr>
          <w:rFonts w:cs="Arial"/>
          <w:lang w:val="en-GB"/>
        </w:rPr>
        <w:t>The fragility of the NR as a</w:t>
      </w:r>
      <w:r w:rsidR="00BA6FB0" w:rsidRPr="003F658E">
        <w:rPr>
          <w:rFonts w:cs="Arial"/>
          <w:lang w:val="en-GB"/>
        </w:rPr>
        <w:t>n effective</w:t>
      </w:r>
      <w:r w:rsidRPr="003F658E">
        <w:rPr>
          <w:rFonts w:cs="Arial"/>
          <w:lang w:val="en-GB"/>
        </w:rPr>
        <w:t xml:space="preserve"> safeguard and human rights protection must also be re-assessed now in the light of the United Nations Convention on the Rights of Persons with Disabilities (CRPD). </w:t>
      </w:r>
      <w:r w:rsidRPr="003F658E">
        <w:rPr>
          <w:rFonts w:cs="Times New Roman"/>
        </w:rPr>
        <w:t>The CRPD is an international treaty passed by the United Nations General Assembly in December 2006, which came into effect on 3</w:t>
      </w:r>
      <w:r w:rsidRPr="003F658E">
        <w:rPr>
          <w:rFonts w:cs="Times New Roman"/>
          <w:vertAlign w:val="superscript"/>
        </w:rPr>
        <w:t>rd</w:t>
      </w:r>
      <w:r w:rsidRPr="003F658E">
        <w:rPr>
          <w:rFonts w:cs="Times New Roman"/>
        </w:rPr>
        <w:t xml:space="preserve"> May 2008. The UK ratified the CRPD in July 2009 and the government has </w:t>
      </w:r>
      <w:r w:rsidR="00371C9C">
        <w:rPr>
          <w:rFonts w:cs="Times New Roman"/>
        </w:rPr>
        <w:t xml:space="preserve">recently </w:t>
      </w:r>
      <w:r w:rsidRPr="003F658E">
        <w:rPr>
          <w:rFonts w:cs="Times New Roman"/>
        </w:rPr>
        <w:t>indicated that it will continue to be a signatory to the CRPD.</w:t>
      </w:r>
      <w:r w:rsidRPr="003F658E">
        <w:rPr>
          <w:rStyle w:val="FootnoteReference"/>
          <w:rFonts w:cs="Times New Roman"/>
        </w:rPr>
        <w:footnoteReference w:id="27"/>
      </w:r>
      <w:r w:rsidRPr="003F658E">
        <w:rPr>
          <w:rFonts w:cs="Times New Roman"/>
        </w:rPr>
        <w:t xml:space="preserve"> The Convention is intended to promote equality for all people living with disabilities as defined in Article 1: ‘persons with disabilities include those who have long term physical, mental, intellectual or sensory impairments’. The </w:t>
      </w:r>
      <w:r w:rsidRPr="003F658E">
        <w:rPr>
          <w:rFonts w:cs="Times New Roman"/>
          <w:lang w:val="en-GB"/>
        </w:rPr>
        <w:t>treat</w:t>
      </w:r>
      <w:r w:rsidRPr="003F658E">
        <w:rPr>
          <w:rFonts w:cs="Times New Roman"/>
        </w:rPr>
        <w:t xml:space="preserve">y adopts a broad conceptualization of disability as an ‘evolving’ concept, to include both long-term physical and mental impairments i.e. people with a mental illness, learning disability and psycho-social disabilities. It adopts a new paradigm for human rights, as it re-conceptualizes rights </w:t>
      </w:r>
      <w:r w:rsidRPr="003F658E">
        <w:rPr>
          <w:rFonts w:cs="Times New Roman"/>
        </w:rPr>
        <w:lastRenderedPageBreak/>
        <w:t>specifically for people with disabilities</w:t>
      </w:r>
      <w:r w:rsidR="003F658E">
        <w:rPr>
          <w:rFonts w:cs="Times New Roman"/>
        </w:rPr>
        <w:t xml:space="preserve"> (Lawson, 2008)</w:t>
      </w:r>
      <w:r w:rsidRPr="003F658E">
        <w:rPr>
          <w:rFonts w:cs="Times New Roman"/>
        </w:rPr>
        <w:t>, by adopting the social model of disability. This model locates the barriers faced by disabled people within society rather than the person him/herself.</w:t>
      </w:r>
      <w:r w:rsidRPr="003F658E">
        <w:rPr>
          <w:rStyle w:val="FootnoteReference"/>
          <w:rFonts w:cs="Times New Roman"/>
        </w:rPr>
        <w:footnoteReference w:id="28"/>
      </w:r>
      <w:r w:rsidRPr="003F658E">
        <w:rPr>
          <w:rFonts w:cs="Times New Roman"/>
        </w:rPr>
        <w:t xml:space="preserve"> Accordingly, the CRPD requires national governments (as convention signatories) to remove barriers to promote equality of treatment for all people with disabilities. The convention is underpinned by an ‘ideology of inclusion’</w:t>
      </w:r>
      <w:r w:rsidR="003F658E" w:rsidRPr="003F658E">
        <w:rPr>
          <w:rFonts w:cs="Times New Roman"/>
        </w:rPr>
        <w:t xml:space="preserve"> (Jones, 2005: 186)</w:t>
      </w:r>
      <w:r w:rsidR="003F658E">
        <w:rPr>
          <w:rFonts w:cs="Times New Roman"/>
        </w:rPr>
        <w:t xml:space="preserve"> </w:t>
      </w:r>
      <w:r w:rsidRPr="003F658E">
        <w:rPr>
          <w:rFonts w:cs="Times New Roman"/>
        </w:rPr>
        <w:t xml:space="preserve">and its core principles promote, </w:t>
      </w:r>
      <w:r w:rsidRPr="15ABA772">
        <w:rPr>
          <w:rFonts w:cs="Times New Roman"/>
          <w:i/>
          <w:iCs/>
        </w:rPr>
        <w:t>inter alia,</w:t>
      </w:r>
      <w:r w:rsidRPr="003F658E">
        <w:rPr>
          <w:rFonts w:cs="Times New Roman"/>
        </w:rPr>
        <w:t xml:space="preserve"> autonomy, dignity, equality, non-discrimination and active participation of people with disabilities in all aspects of life.  A report by the EU Agency for Funda</w:t>
      </w:r>
      <w:r w:rsidR="00371C9C">
        <w:rPr>
          <w:rFonts w:cs="Times New Roman"/>
        </w:rPr>
        <w:t>mental Rights has recognized that</w:t>
      </w:r>
      <w:r w:rsidRPr="003F658E">
        <w:rPr>
          <w:rFonts w:cs="Times New Roman"/>
        </w:rPr>
        <w:t xml:space="preserve"> the rights of people with mental health problems have been significantly enhanced and strengthened internationally </w:t>
      </w:r>
      <w:r w:rsidR="00371C9C">
        <w:rPr>
          <w:rFonts w:cs="Times New Roman"/>
        </w:rPr>
        <w:t xml:space="preserve">by treaties such as the CRPD </w:t>
      </w:r>
      <w:r w:rsidRPr="003F658E">
        <w:rPr>
          <w:rFonts w:cs="Times New Roman"/>
        </w:rPr>
        <w:t xml:space="preserve">over the past decade: </w:t>
      </w:r>
    </w:p>
    <w:p w14:paraId="7E4C9E8D" w14:textId="77777777" w:rsidR="0044413E" w:rsidRPr="003F658E" w:rsidRDefault="0044413E" w:rsidP="003F658E">
      <w:pPr>
        <w:spacing w:line="360" w:lineRule="auto"/>
        <w:jc w:val="both"/>
        <w:rPr>
          <w:rFonts w:cs="Times New Roman"/>
        </w:rPr>
      </w:pPr>
    </w:p>
    <w:p w14:paraId="36FFBFD7" w14:textId="7A55ABA4" w:rsidR="0044413E" w:rsidRPr="003F658E" w:rsidRDefault="0044413E" w:rsidP="003F658E">
      <w:pPr>
        <w:spacing w:line="360" w:lineRule="auto"/>
        <w:ind w:left="720"/>
        <w:jc w:val="both"/>
        <w:rPr>
          <w:rFonts w:cs="Times New Roman"/>
        </w:rPr>
      </w:pPr>
      <w:r w:rsidRPr="003F658E">
        <w:rPr>
          <w:rFonts w:cs="Times New Roman"/>
          <w:color w:val="000000"/>
          <w:lang w:val="en-GB"/>
        </w:rPr>
        <w:t>‘</w:t>
      </w:r>
      <w:r w:rsidRPr="003F658E">
        <w:rPr>
          <w:rFonts w:cs="Times New Roman"/>
          <w:i/>
          <w:iCs/>
          <w:color w:val="000000"/>
          <w:lang w:val="en-GB"/>
        </w:rPr>
        <w:t>At the international level, there has been significant evolution in the approach to persons with mental health problems….. This shifting approach is reflected in the various instruments developed at the level of the UN which address the rights of persons with mental health problems… In this context, the CRPD marks the latest stage in the paradigm shift away from a view of disability centred on medical impairments, to one where the full, and equal, rights of persons with disabilities are accepted’</w:t>
      </w:r>
      <w:r w:rsidR="004B22CD" w:rsidRPr="003F658E">
        <w:rPr>
          <w:rFonts w:cs="Times New Roman"/>
          <w:i/>
          <w:iCs/>
          <w:color w:val="000000"/>
          <w:lang w:val="en-GB"/>
        </w:rPr>
        <w:t xml:space="preserve"> (</w:t>
      </w:r>
      <w:r w:rsidR="004B22CD" w:rsidRPr="003F658E">
        <w:rPr>
          <w:rFonts w:cs="Times New Roman"/>
          <w:iCs/>
          <w:color w:val="000000"/>
          <w:lang w:val="en-GB"/>
        </w:rPr>
        <w:t>2011; 9)</w:t>
      </w:r>
      <w:r w:rsidR="004B22CD" w:rsidRPr="003F658E">
        <w:rPr>
          <w:rFonts w:cs="Times New Roman"/>
          <w:color w:val="000000"/>
          <w:lang w:val="en-GB"/>
        </w:rPr>
        <w:t>.</w:t>
      </w:r>
    </w:p>
    <w:p w14:paraId="6921F724" w14:textId="77777777" w:rsidR="0044413E" w:rsidRPr="003F658E" w:rsidRDefault="0044413E" w:rsidP="003F658E">
      <w:pPr>
        <w:spacing w:line="360" w:lineRule="auto"/>
        <w:jc w:val="both"/>
        <w:rPr>
          <w:rFonts w:cs="Times New Roman"/>
        </w:rPr>
      </w:pPr>
    </w:p>
    <w:p w14:paraId="052B61F1" w14:textId="232FEE22" w:rsidR="00655F83" w:rsidRPr="003F658E" w:rsidRDefault="0044413E" w:rsidP="003F658E">
      <w:pPr>
        <w:spacing w:line="360" w:lineRule="auto"/>
        <w:jc w:val="both"/>
        <w:rPr>
          <w:rFonts w:cs="Times New Roman"/>
        </w:rPr>
      </w:pPr>
      <w:r w:rsidRPr="003F658E">
        <w:rPr>
          <w:rFonts w:cs="Times New Roman"/>
        </w:rPr>
        <w:t>The CRPD enshrines numerous rights for people with disabilities, including civil and political rights, such as the right to liberty and freedom from inhuman/degrading treatment, as is found in the ECHR.  But it goes further than the ECHR, as it also promotes a range of positive social and cultural rights, such as the right to education and to health care. As Kayess and French have argued, ‘</w:t>
      </w:r>
      <w:r w:rsidRPr="003F658E">
        <w:rPr>
          <w:rFonts w:cs="Times New Roman"/>
          <w:i/>
          <w:iCs/>
        </w:rPr>
        <w:t>it seems clear that [the CRPD] has, in fact, modified, transformed and added to traditional human rights concepts in key respects’ and transformed non-interference rights ‘into positive state obligations’</w:t>
      </w:r>
      <w:r w:rsidR="00BF7A70" w:rsidRPr="003F658E">
        <w:rPr>
          <w:rFonts w:cs="Times New Roman"/>
        </w:rPr>
        <w:t xml:space="preserve"> (2008: 1)</w:t>
      </w:r>
    </w:p>
    <w:p w14:paraId="2F0B8383" w14:textId="790295E8" w:rsidR="0044413E" w:rsidRPr="003F658E" w:rsidRDefault="0044413E" w:rsidP="003F658E">
      <w:pPr>
        <w:spacing w:line="360" w:lineRule="auto"/>
        <w:jc w:val="both"/>
        <w:rPr>
          <w:rFonts w:cs="Times New Roman"/>
        </w:rPr>
      </w:pPr>
    </w:p>
    <w:p w14:paraId="13880A52" w14:textId="55D937F2" w:rsidR="011E30CB" w:rsidRPr="003F658E" w:rsidDel="04870FFD" w:rsidRDefault="0023719C" w:rsidP="003F658E">
      <w:pPr>
        <w:spacing w:line="360" w:lineRule="auto"/>
        <w:jc w:val="both"/>
        <w:rPr>
          <w:rFonts w:cs="Times New Roman"/>
          <w:color w:val="000000" w:themeColor="text1"/>
        </w:rPr>
      </w:pPr>
      <w:r>
        <w:rPr>
          <w:rFonts w:cs="Times New Roman"/>
        </w:rPr>
        <w:t>Th</w:t>
      </w:r>
      <w:r w:rsidRPr="003F658E">
        <w:rPr>
          <w:rFonts w:cs="Times New Roman"/>
        </w:rPr>
        <w:t xml:space="preserve">e CRPD's focus on individual autonomy means that governments will be increasingly required to consider </w:t>
      </w:r>
      <w:r w:rsidR="00145A50">
        <w:rPr>
          <w:rFonts w:cs="Times New Roman"/>
        </w:rPr>
        <w:t xml:space="preserve">and respect </w:t>
      </w:r>
      <w:r w:rsidRPr="003F658E">
        <w:rPr>
          <w:rFonts w:cs="Times New Roman"/>
        </w:rPr>
        <w:t xml:space="preserve">the person's own view of their relationships. </w:t>
      </w:r>
      <w:r w:rsidR="00D46D71">
        <w:rPr>
          <w:rFonts w:cs="Times New Roman"/>
        </w:rPr>
        <w:t xml:space="preserve">The ability to </w:t>
      </w:r>
      <w:r w:rsidR="00D46D71">
        <w:rPr>
          <w:rFonts w:cs="Times New Roman"/>
        </w:rPr>
        <w:lastRenderedPageBreak/>
        <w:t xml:space="preserve">exercise individual choice over the appointment of a NR </w:t>
      </w:r>
      <w:r w:rsidR="00D46D71">
        <w:rPr>
          <w:rFonts w:cs="Times New Roman"/>
        </w:rPr>
        <w:t>must be a key factor in any re-appraisal of the NR role</w:t>
      </w:r>
      <w:r w:rsidR="00D46D71" w:rsidRPr="003F658E">
        <w:rPr>
          <w:rFonts w:cs="Times New Roman"/>
        </w:rPr>
        <w:t xml:space="preserve">. </w:t>
      </w:r>
      <w:r w:rsidR="00145A50">
        <w:rPr>
          <w:rFonts w:cs="Times New Roman"/>
        </w:rPr>
        <w:t xml:space="preserve">As Donnelly and Murray have identified, </w:t>
      </w:r>
      <w:r w:rsidRPr="003F658E">
        <w:rPr>
          <w:rFonts w:cs="Times New Roman"/>
        </w:rPr>
        <w:t xml:space="preserve">the concept of 'relational autonomy' is useful </w:t>
      </w:r>
      <w:r w:rsidR="00D46D71">
        <w:rPr>
          <w:rFonts w:cs="Times New Roman"/>
        </w:rPr>
        <w:t xml:space="preserve">to consider </w:t>
      </w:r>
      <w:r w:rsidR="00145A50">
        <w:rPr>
          <w:rFonts w:cs="Times New Roman"/>
        </w:rPr>
        <w:t xml:space="preserve">here </w:t>
      </w:r>
      <w:r w:rsidRPr="003F658E">
        <w:rPr>
          <w:rFonts w:cs="Times New Roman"/>
        </w:rPr>
        <w:t xml:space="preserve">(2005; </w:t>
      </w:r>
      <w:r w:rsidR="00145A50">
        <w:rPr>
          <w:rFonts w:cs="Times New Roman"/>
        </w:rPr>
        <w:t xml:space="preserve">see also </w:t>
      </w:r>
      <w:r w:rsidRPr="003F658E">
        <w:rPr>
          <w:rFonts w:cs="Times New Roman"/>
        </w:rPr>
        <w:t xml:space="preserve">Nedelsky, 2011), as it accepts that relationships are intrinsic to human existence, but that not all relationships are benign. Accordingly, we must also respect an individual's right to, ‘extricate themselves from bad relationships as well as... transform[ing] the structures that shaped those relationships’ (Nedelsky, 2011, p. 32).  </w:t>
      </w:r>
      <w:r>
        <w:rPr>
          <w:rFonts w:cs="Times New Roman"/>
        </w:rPr>
        <w:t xml:space="preserve">Specifically with respect to </w:t>
      </w:r>
      <w:r w:rsidR="00F14C1A">
        <w:rPr>
          <w:rFonts w:cs="Times New Roman"/>
        </w:rPr>
        <w:t>support mechanisms</w:t>
      </w:r>
      <w:r w:rsidR="008409AB">
        <w:rPr>
          <w:rFonts w:cs="Times New Roman"/>
        </w:rPr>
        <w:t xml:space="preserve"> for persons with mental disabilities</w:t>
      </w:r>
      <w:r w:rsidR="00F14C1A">
        <w:rPr>
          <w:rFonts w:cs="Times New Roman"/>
        </w:rPr>
        <w:t xml:space="preserve">, </w:t>
      </w:r>
      <w:r w:rsidR="0B1D0305" w:rsidRPr="003F658E">
        <w:rPr>
          <w:rFonts w:cs="Times New Roman"/>
        </w:rPr>
        <w:t xml:space="preserve">Article 19 </w:t>
      </w:r>
      <w:r w:rsidR="00655F83" w:rsidRPr="003F658E">
        <w:rPr>
          <w:rFonts w:cs="Times New Roman"/>
        </w:rPr>
        <w:t xml:space="preserve">of the CRPD </w:t>
      </w:r>
      <w:r w:rsidR="0B1D0305" w:rsidRPr="003F658E">
        <w:rPr>
          <w:rFonts w:cs="Times New Roman"/>
        </w:rPr>
        <w:t xml:space="preserve">places a positive duty on Governments to provide a range of community supports to </w:t>
      </w:r>
      <w:r w:rsidR="3B7207A2" w:rsidRPr="003F658E">
        <w:rPr>
          <w:rFonts w:cs="Times New Roman"/>
        </w:rPr>
        <w:t xml:space="preserve">live independently and be included </w:t>
      </w:r>
      <w:r w:rsidR="2DEB0093" w:rsidRPr="003F658E">
        <w:rPr>
          <w:rFonts w:cs="Times New Roman"/>
        </w:rPr>
        <w:t>in</w:t>
      </w:r>
      <w:r w:rsidR="3B7207A2" w:rsidRPr="003F658E">
        <w:rPr>
          <w:rFonts w:cs="Times New Roman"/>
        </w:rPr>
        <w:t xml:space="preserve"> the community</w:t>
      </w:r>
      <w:r w:rsidR="45650EEF" w:rsidRPr="003F658E">
        <w:rPr>
          <w:rFonts w:cs="Times New Roman"/>
        </w:rPr>
        <w:t xml:space="preserve">.  </w:t>
      </w:r>
      <w:r w:rsidR="2DEB0093" w:rsidRPr="003F658E">
        <w:rPr>
          <w:rFonts w:cs="Times New Roman"/>
        </w:rPr>
        <w:t xml:space="preserve">This includes </w:t>
      </w:r>
      <w:r w:rsidR="18271763" w:rsidRPr="003F658E">
        <w:rPr>
          <w:rFonts w:cs="Times New Roman"/>
        </w:rPr>
        <w:t>a</w:t>
      </w:r>
      <w:r w:rsidR="2DEB0093" w:rsidRPr="003F658E">
        <w:rPr>
          <w:rFonts w:cs="Times New Roman"/>
        </w:rPr>
        <w:t xml:space="preserve"> right to choose </w:t>
      </w:r>
      <w:r w:rsidR="18271763" w:rsidRPr="003F658E">
        <w:rPr>
          <w:rFonts w:cs="Times New Roman"/>
        </w:rPr>
        <w:t>both place of residence and their particular living arrangements</w:t>
      </w:r>
      <w:r w:rsidR="00655F83" w:rsidRPr="003F658E">
        <w:rPr>
          <w:rFonts w:cs="Times New Roman"/>
        </w:rPr>
        <w:t xml:space="preserve">. This </w:t>
      </w:r>
      <w:r>
        <w:rPr>
          <w:rFonts w:cs="Times New Roman"/>
        </w:rPr>
        <w:t>should enable</w:t>
      </w:r>
      <w:r w:rsidR="0D0896ED" w:rsidRPr="003F658E">
        <w:rPr>
          <w:rFonts w:cs="Times New Roman"/>
        </w:rPr>
        <w:t xml:space="preserve"> people with disabilities to choose </w:t>
      </w:r>
      <w:r w:rsidR="00655F83" w:rsidRPr="003F658E">
        <w:rPr>
          <w:rFonts w:cs="Times New Roman"/>
        </w:rPr>
        <w:t xml:space="preserve">how and with </w:t>
      </w:r>
      <w:r w:rsidR="0D0896ED" w:rsidRPr="003F658E">
        <w:rPr>
          <w:rFonts w:cs="Times New Roman"/>
        </w:rPr>
        <w:t>who</w:t>
      </w:r>
      <w:r w:rsidR="00655F83" w:rsidRPr="003F658E">
        <w:rPr>
          <w:rFonts w:cs="Times New Roman"/>
        </w:rPr>
        <w:t>m</w:t>
      </w:r>
      <w:r w:rsidR="0D0896ED" w:rsidRPr="003F658E">
        <w:rPr>
          <w:rFonts w:cs="Times New Roman"/>
        </w:rPr>
        <w:t xml:space="preserve"> they would like to live, </w:t>
      </w:r>
      <w:r w:rsidR="00655F83" w:rsidRPr="003F658E">
        <w:rPr>
          <w:rFonts w:cs="Times New Roman"/>
        </w:rPr>
        <w:t>and g</w:t>
      </w:r>
      <w:r w:rsidR="0D0896ED" w:rsidRPr="003F658E">
        <w:rPr>
          <w:rFonts w:cs="Times New Roman"/>
        </w:rPr>
        <w:t>overnments will need to e</w:t>
      </w:r>
      <w:r w:rsidR="3E3A6F20" w:rsidRPr="003F658E">
        <w:rPr>
          <w:rFonts w:cs="Times New Roman"/>
        </w:rPr>
        <w:t xml:space="preserve">ngage with families and the community more widely in order to </w:t>
      </w:r>
      <w:r w:rsidR="00655F83" w:rsidRPr="003F658E">
        <w:rPr>
          <w:rFonts w:cs="Times New Roman"/>
        </w:rPr>
        <w:t>protect and promote</w:t>
      </w:r>
      <w:r>
        <w:rPr>
          <w:rFonts w:cs="Times New Roman"/>
        </w:rPr>
        <w:t xml:space="preserve"> this right.</w:t>
      </w:r>
      <w:r w:rsidR="00145A50">
        <w:rPr>
          <w:rFonts w:cs="Times New Roman"/>
        </w:rPr>
        <w:t xml:space="preserve"> This is clearly relevant to the functions of the NR role and their direct involvement in care/treatment decisions. </w:t>
      </w:r>
    </w:p>
    <w:p w14:paraId="182ECA01" w14:textId="09C55222" w:rsidR="0044413E" w:rsidRPr="003F658E" w:rsidRDefault="0044413E" w:rsidP="003F658E">
      <w:pPr>
        <w:spacing w:line="360" w:lineRule="auto"/>
        <w:jc w:val="both"/>
        <w:rPr>
          <w:rFonts w:cs="Times New Roman"/>
        </w:rPr>
      </w:pPr>
    </w:p>
    <w:p w14:paraId="5930068A" w14:textId="094429EA" w:rsidR="0044413E" w:rsidRPr="00145A50" w:rsidRDefault="0044413E" w:rsidP="003F658E">
      <w:pPr>
        <w:spacing w:line="360" w:lineRule="auto"/>
        <w:jc w:val="both"/>
        <w:rPr>
          <w:rFonts w:cs="Times New Roman"/>
        </w:rPr>
      </w:pPr>
      <w:r w:rsidRPr="003F658E">
        <w:rPr>
          <w:rFonts w:cs="Times New Roman"/>
        </w:rPr>
        <w:t xml:space="preserve">The ECHR has often been described as providing a floor for basic rights protection, and other </w:t>
      </w:r>
      <w:r w:rsidR="00145A50">
        <w:rPr>
          <w:rFonts w:cs="Times New Roman"/>
        </w:rPr>
        <w:t>human rights instruments</w:t>
      </w:r>
      <w:r w:rsidRPr="003F658E">
        <w:rPr>
          <w:rFonts w:cs="Times New Roman"/>
        </w:rPr>
        <w:t xml:space="preserve"> have significantly expanded rights-protection, above and beyond the ECHR in many areas.</w:t>
      </w:r>
      <w:r w:rsidRPr="003F658E">
        <w:rPr>
          <w:rStyle w:val="FootnoteReference"/>
          <w:rFonts w:cs="Times New Roman"/>
        </w:rPr>
        <w:footnoteReference w:id="29"/>
      </w:r>
      <w:r w:rsidR="00145A50">
        <w:rPr>
          <w:rFonts w:cs="Times New Roman"/>
        </w:rPr>
        <w:t xml:space="preserve"> </w:t>
      </w:r>
      <w:r w:rsidRPr="003F658E">
        <w:rPr>
          <w:rFonts w:cs="Times New Roman"/>
        </w:rPr>
        <w:t xml:space="preserve"> The CRPD brings with it the promise to further strengthen the rights of persons with mental disabilities in the UK, provided of course that the government is willing to take appropriate action to implement it. Although the doctrine of duality in international law means that the CRPD is not directly enforceable in the same way as the ECHR, there are some positive signs that it is</w:t>
      </w:r>
      <w:r w:rsidRPr="003F658E">
        <w:rPr>
          <w:rStyle w:val="apple-converted-space"/>
          <w:rFonts w:cs="Times New Roman"/>
          <w:color w:val="000000"/>
        </w:rPr>
        <w:t xml:space="preserve"> </w:t>
      </w:r>
      <w:r w:rsidR="009D0639" w:rsidRPr="003F658E">
        <w:rPr>
          <w:rStyle w:val="apple-converted-space"/>
          <w:rFonts w:cs="Times New Roman"/>
          <w:color w:val="000000"/>
        </w:rPr>
        <w:t xml:space="preserve">already </w:t>
      </w:r>
      <w:r w:rsidRPr="003F658E">
        <w:rPr>
          <w:rStyle w:val="apple-converted-space"/>
          <w:rFonts w:cs="Times New Roman"/>
          <w:color w:val="000000"/>
        </w:rPr>
        <w:t>exerting some influence on the development of law and policy</w:t>
      </w:r>
      <w:r w:rsidR="00D46D71">
        <w:rPr>
          <w:rStyle w:val="apple-converted-space"/>
          <w:rFonts w:cs="Times New Roman"/>
          <w:color w:val="000000"/>
        </w:rPr>
        <w:t>,</w:t>
      </w:r>
      <w:r w:rsidRPr="003F658E">
        <w:rPr>
          <w:rStyle w:val="apple-converted-space"/>
          <w:rFonts w:cs="Times New Roman"/>
          <w:color w:val="000000"/>
        </w:rPr>
        <w:t xml:space="preserve"> and featuring in a persuasive manner in the jurisprudence of </w:t>
      </w:r>
      <w:r w:rsidRPr="003F658E">
        <w:rPr>
          <w:rStyle w:val="apple-converted-space"/>
          <w:rFonts w:cs="Times New Roman"/>
          <w:color w:val="000000"/>
        </w:rPr>
        <w:lastRenderedPageBreak/>
        <w:t>national courts.</w:t>
      </w:r>
      <w:r w:rsidRPr="003F658E">
        <w:rPr>
          <w:rStyle w:val="FootnoteReference"/>
          <w:rFonts w:cs="Times New Roman"/>
          <w:color w:val="000000"/>
        </w:rPr>
        <w:footnoteReference w:id="30"/>
      </w:r>
      <w:r w:rsidRPr="003F658E">
        <w:rPr>
          <w:rFonts w:cs="Times New Roman"/>
        </w:rPr>
        <w:t xml:space="preserve"> For example, in </w:t>
      </w:r>
      <w:r w:rsidRPr="15ABA772">
        <w:rPr>
          <w:rFonts w:cs="Times New Roman"/>
          <w:i/>
          <w:iCs/>
        </w:rPr>
        <w:t>London Borough of Haringey v Lush</w:t>
      </w:r>
      <w:r w:rsidRPr="15ABA772">
        <w:rPr>
          <w:rStyle w:val="FootnoteReference"/>
          <w:rFonts w:cs="Times New Roman"/>
          <w:i/>
          <w:iCs/>
        </w:rPr>
        <w:footnoteReference w:id="31"/>
      </w:r>
      <w:r w:rsidRPr="15ABA772">
        <w:rPr>
          <w:rFonts w:cs="Times New Roman"/>
          <w:i/>
          <w:iCs/>
        </w:rPr>
        <w:t xml:space="preserve"> </w:t>
      </w:r>
      <w:r w:rsidRPr="003F658E">
        <w:rPr>
          <w:rFonts w:cs="Times New Roman"/>
        </w:rPr>
        <w:t xml:space="preserve">the </w:t>
      </w:r>
      <w:bookmarkStart w:id="1" w:name="para30"/>
      <w:r w:rsidRPr="003F658E">
        <w:rPr>
          <w:rFonts w:cs="Times New Roman"/>
        </w:rPr>
        <w:t>judge expressed the view that: ‘</w:t>
      </w:r>
      <w:r w:rsidRPr="003F658E">
        <w:rPr>
          <w:rFonts w:cs="Times New Roman"/>
          <w:color w:val="000000"/>
        </w:rPr>
        <w:t>Although it does not form part of our domestic law, it may have an interpretative influence, particularly in cases affecting the rights of a person with a disability’.</w:t>
      </w:r>
      <w:r w:rsidR="2FDE0971" w:rsidRPr="003F658E">
        <w:rPr>
          <w:rFonts w:cs="Times New Roman"/>
          <w:color w:val="000000"/>
        </w:rPr>
        <w:t xml:space="preserve">  </w:t>
      </w:r>
      <w:bookmarkEnd w:id="1"/>
    </w:p>
    <w:p w14:paraId="08B8F7A5" w14:textId="77777777" w:rsidR="0044413E" w:rsidRPr="003F658E" w:rsidRDefault="0044413E" w:rsidP="003F658E">
      <w:pPr>
        <w:spacing w:line="360" w:lineRule="auto"/>
        <w:jc w:val="both"/>
        <w:rPr>
          <w:rFonts w:cs="Arial"/>
          <w:lang w:val="en-GB"/>
        </w:rPr>
      </w:pPr>
    </w:p>
    <w:p w14:paraId="7092CC67" w14:textId="53EBB581" w:rsidR="009E77A8" w:rsidRPr="003F658E" w:rsidRDefault="009E77A8" w:rsidP="003F658E">
      <w:pPr>
        <w:spacing w:line="360" w:lineRule="auto"/>
        <w:jc w:val="both"/>
        <w:rPr>
          <w:rFonts w:cs="Arial"/>
          <w:lang w:val="en-GB"/>
        </w:rPr>
      </w:pPr>
      <w:r w:rsidRPr="003F658E">
        <w:rPr>
          <w:rFonts w:cs="Arial"/>
          <w:lang w:val="en-GB"/>
        </w:rPr>
        <w:t>Related to the rights and entitlements enshrined in the CRPD is the relationship between the NR and other key players in the compulsory detention process. The MHA 2007 introduced new protections for patients through Independent Mental Health Act Advocates (IMHAs)</w:t>
      </w:r>
      <w:r w:rsidRPr="003F658E">
        <w:rPr>
          <w:rStyle w:val="EndnoteReference"/>
          <w:rFonts w:cs="Arial"/>
          <w:lang w:val="en-GB"/>
        </w:rPr>
        <w:endnoteReference w:id="1"/>
      </w:r>
      <w:r w:rsidRPr="003F658E">
        <w:rPr>
          <w:rFonts w:cs="Arial"/>
          <w:lang w:val="en-GB"/>
        </w:rPr>
        <w:t xml:space="preserve"> introduced by the MHA 2007.</w:t>
      </w:r>
      <w:r w:rsidRPr="003F658E">
        <w:rPr>
          <w:rStyle w:val="FootnoteReference"/>
          <w:rFonts w:cs="Arial"/>
          <w:lang w:val="en-GB"/>
        </w:rPr>
        <w:footnoteReference w:id="32"/>
      </w:r>
      <w:r w:rsidRPr="003F658E">
        <w:rPr>
          <w:rFonts w:cs="Arial"/>
          <w:lang w:val="en-GB"/>
        </w:rPr>
        <w:t xml:space="preserve"> Patients are eligible for an IMHA in cases where they are liable to be detained, are subject to a guardianship order or are a community patient.</w:t>
      </w:r>
      <w:r w:rsidRPr="003F658E">
        <w:rPr>
          <w:rStyle w:val="FootnoteReference"/>
          <w:rFonts w:cs="Arial"/>
          <w:lang w:val="en-GB"/>
        </w:rPr>
        <w:footnoteReference w:id="33"/>
      </w:r>
      <w:r w:rsidRPr="003F658E">
        <w:rPr>
          <w:rFonts w:cs="Arial"/>
          <w:lang w:val="en-GB"/>
        </w:rPr>
        <w:t xml:space="preserve">  IMHAs are professional advocates who are commissioned by local and national bodies.  Broadly speaking, the role of the IMHA is to help patients access and understand information about their detention and treatment and to help them exercise their legal rights, such as their right to appeal.</w:t>
      </w:r>
      <w:r w:rsidRPr="003F658E">
        <w:rPr>
          <w:rStyle w:val="FootnoteReference"/>
          <w:rFonts w:cs="Arial"/>
          <w:lang w:val="en-GB"/>
        </w:rPr>
        <w:footnoteReference w:id="34"/>
      </w:r>
      <w:r w:rsidRPr="003F658E">
        <w:rPr>
          <w:rFonts w:cs="Arial"/>
          <w:lang w:val="en-GB"/>
        </w:rPr>
        <w:t xml:space="preserve"> The IMHA’s functions can be seen to overlap with that of the NR or carers more generally, in that each may have a role in </w:t>
      </w:r>
      <w:r w:rsidR="008409AB">
        <w:rPr>
          <w:rFonts w:cs="Arial"/>
          <w:lang w:val="en-GB"/>
        </w:rPr>
        <w:t xml:space="preserve">supporting and </w:t>
      </w:r>
      <w:r w:rsidRPr="003F658E">
        <w:rPr>
          <w:rFonts w:cs="Arial"/>
          <w:lang w:val="en-GB"/>
        </w:rPr>
        <w:t>helping the patient to understand information and make their views known.  This overlap is evident in the sections of the Code of Practice concerned with making the patient's voice heard.  For example, the Code states that:</w:t>
      </w:r>
    </w:p>
    <w:p w14:paraId="1973577F" w14:textId="77777777" w:rsidR="009E77A8" w:rsidRPr="003F658E" w:rsidRDefault="009E77A8" w:rsidP="003F658E">
      <w:pPr>
        <w:spacing w:line="360" w:lineRule="auto"/>
        <w:jc w:val="both"/>
        <w:rPr>
          <w:rFonts w:cs="Arial"/>
          <w:lang w:val="en-GB"/>
        </w:rPr>
      </w:pPr>
    </w:p>
    <w:p w14:paraId="4AB87DAF" w14:textId="21B5BAF5" w:rsidR="009E77A8" w:rsidRPr="003F658E" w:rsidRDefault="009E77A8" w:rsidP="003F658E">
      <w:pPr>
        <w:spacing w:line="360" w:lineRule="auto"/>
        <w:ind w:left="720"/>
        <w:jc w:val="both"/>
        <w:rPr>
          <w:rFonts w:cs="Arial"/>
          <w:lang w:val="en-GB"/>
        </w:rPr>
      </w:pPr>
      <w:r w:rsidRPr="003F658E">
        <w:rPr>
          <w:rFonts w:cs="Arial"/>
          <w:lang w:val="en-GB"/>
        </w:rPr>
        <w:t xml:space="preserve">Often carers or advocates can help with or advise on the best ways </w:t>
      </w:r>
      <w:r w:rsidR="00655F83" w:rsidRPr="003F658E">
        <w:rPr>
          <w:rFonts w:cs="Arial"/>
          <w:lang w:val="en-GB"/>
        </w:rPr>
        <w:t>of communicating with a patient</w:t>
      </w:r>
      <w:r w:rsidRPr="003F658E">
        <w:rPr>
          <w:rFonts w:cs="Arial"/>
          <w:lang w:val="en-GB"/>
        </w:rPr>
        <w:t xml:space="preserve"> (DH, 2015, para 4.5).</w:t>
      </w:r>
      <w:r w:rsidRPr="003F658E">
        <w:rPr>
          <w:rStyle w:val="FootnoteReference"/>
          <w:rFonts w:cs="Arial"/>
          <w:lang w:val="en-GB"/>
        </w:rPr>
        <w:footnoteReference w:id="35"/>
      </w:r>
      <w:r w:rsidRPr="003F658E">
        <w:rPr>
          <w:rFonts w:cs="Arial"/>
          <w:lang w:val="en-GB"/>
        </w:rPr>
        <w:t xml:space="preserve">  </w:t>
      </w:r>
    </w:p>
    <w:p w14:paraId="265ACEE8" w14:textId="77777777" w:rsidR="009E77A8" w:rsidRPr="003F658E" w:rsidRDefault="009E77A8" w:rsidP="003F658E">
      <w:pPr>
        <w:spacing w:line="360" w:lineRule="auto"/>
        <w:jc w:val="both"/>
        <w:rPr>
          <w:rFonts w:cs="Arial"/>
          <w:lang w:val="en-GB"/>
        </w:rPr>
      </w:pPr>
    </w:p>
    <w:p w14:paraId="35A9BB17" w14:textId="4C956E87" w:rsidR="009E77A8" w:rsidRPr="003F658E" w:rsidRDefault="009E77A8" w:rsidP="003F658E">
      <w:pPr>
        <w:spacing w:line="360" w:lineRule="auto"/>
        <w:jc w:val="both"/>
        <w:rPr>
          <w:rFonts w:cs="Arial"/>
          <w:lang w:val="en-GB"/>
        </w:rPr>
      </w:pPr>
      <w:r w:rsidRPr="003F658E">
        <w:rPr>
          <w:rFonts w:cs="Arial"/>
          <w:lang w:val="en-GB"/>
        </w:rPr>
        <w:t xml:space="preserve">However, it should be noted that the MHA 2007 has given IMHAs specific powers that are not afforded to the NR.  Specifically, IMHAs have the power to interview patients in private, to </w:t>
      </w:r>
      <w:r w:rsidRPr="003F658E">
        <w:rPr>
          <w:rFonts w:cs="Arial"/>
          <w:lang w:val="en-GB"/>
        </w:rPr>
        <w:lastRenderedPageBreak/>
        <w:t>interview mental health staff and to request and examine patient records.</w:t>
      </w:r>
      <w:r w:rsidRPr="003F658E">
        <w:rPr>
          <w:rStyle w:val="FootnoteReference"/>
          <w:rFonts w:cs="Arial"/>
          <w:lang w:val="en-GB"/>
        </w:rPr>
        <w:footnoteReference w:id="36"/>
      </w:r>
      <w:r w:rsidRPr="003F658E">
        <w:rPr>
          <w:rFonts w:cs="Arial"/>
          <w:lang w:val="en-GB"/>
        </w:rPr>
        <w:t xml:space="preserve">  The MHA 2007 recognises that NRs may wish to work in conjunction with IMHAs to protect patient rights.  NRs are eligible to receive the same informat</w:t>
      </w:r>
      <w:r w:rsidR="00331E10" w:rsidRPr="003F658E">
        <w:rPr>
          <w:rFonts w:cs="Arial"/>
          <w:lang w:val="en-GB"/>
        </w:rPr>
        <w:t>ion about the IMHA services as</w:t>
      </w:r>
      <w:r w:rsidRPr="003F658E">
        <w:rPr>
          <w:rFonts w:cs="Arial"/>
          <w:lang w:val="en-GB"/>
        </w:rPr>
        <w:t xml:space="preserve"> the pati</w:t>
      </w:r>
      <w:r w:rsidR="00331E10" w:rsidRPr="003F658E">
        <w:rPr>
          <w:rFonts w:cs="Arial"/>
          <w:lang w:val="en-GB"/>
        </w:rPr>
        <w:t xml:space="preserve">ent, </w:t>
      </w:r>
      <w:r w:rsidRPr="003F658E">
        <w:rPr>
          <w:rFonts w:cs="Arial"/>
          <w:lang w:val="en-GB"/>
        </w:rPr>
        <w:t>except where the patient requests otherwise</w:t>
      </w:r>
      <w:r w:rsidR="00331E10" w:rsidRPr="003F658E">
        <w:rPr>
          <w:rFonts w:cs="Arial"/>
          <w:lang w:val="en-GB"/>
        </w:rPr>
        <w:t>.</w:t>
      </w:r>
      <w:r w:rsidR="00331E10" w:rsidRPr="003F658E">
        <w:rPr>
          <w:rStyle w:val="FootnoteReference"/>
          <w:rFonts w:cs="Arial"/>
          <w:lang w:val="en-GB"/>
        </w:rPr>
        <w:footnoteReference w:id="37"/>
      </w:r>
      <w:r w:rsidR="00331E10" w:rsidRPr="003F658E">
        <w:rPr>
          <w:rFonts w:cs="Arial"/>
          <w:lang w:val="en-GB"/>
        </w:rPr>
        <w:t xml:space="preserve"> </w:t>
      </w:r>
      <w:r w:rsidRPr="003F658E">
        <w:rPr>
          <w:rFonts w:cs="Arial"/>
          <w:lang w:val="en-GB"/>
        </w:rPr>
        <w:t>Furthermore, an IMHA should comply with any reasonable request to visit and interview the patient made by the NR</w:t>
      </w:r>
      <w:r w:rsidR="00331E10" w:rsidRPr="003F658E">
        <w:rPr>
          <w:rFonts w:cs="Arial"/>
          <w:lang w:val="en-GB"/>
        </w:rPr>
        <w:t>.</w:t>
      </w:r>
      <w:r w:rsidR="00331E10" w:rsidRPr="003F658E">
        <w:rPr>
          <w:rStyle w:val="FootnoteReference"/>
          <w:rFonts w:cs="Arial"/>
          <w:lang w:val="en-GB"/>
        </w:rPr>
        <w:footnoteReference w:id="38"/>
      </w:r>
      <w:r w:rsidRPr="003F658E">
        <w:rPr>
          <w:rFonts w:cs="Arial"/>
          <w:lang w:val="en-GB"/>
        </w:rPr>
        <w:t xml:space="preserve"> Whilst the recognition that NRs may act to protect patient rights exists, IMHAs may also be utilised in order to limit NR rights.  This is recognised in the Code of Practice when discussing when an AMHP might displace a NR.  AMHP</w:t>
      </w:r>
      <w:r w:rsidR="6B4D6300" w:rsidRPr="003F658E">
        <w:rPr>
          <w:rFonts w:cs="Arial"/>
          <w:lang w:val="en-GB"/>
        </w:rPr>
        <w:t>s</w:t>
      </w:r>
      <w:r w:rsidRPr="003F658E">
        <w:rPr>
          <w:rFonts w:cs="Arial"/>
          <w:lang w:val="en-GB"/>
        </w:rPr>
        <w:t xml:space="preserve"> are encouraged to find alternatives </w:t>
      </w:r>
      <w:r w:rsidR="00331E10" w:rsidRPr="003F658E">
        <w:rPr>
          <w:rFonts w:cs="Arial"/>
          <w:lang w:val="en-GB"/>
        </w:rPr>
        <w:t xml:space="preserve">to </w:t>
      </w:r>
      <w:r w:rsidRPr="003F658E">
        <w:rPr>
          <w:rFonts w:cs="Arial"/>
          <w:lang w:val="en-GB"/>
        </w:rPr>
        <w:t>making an application for displacement where possible</w:t>
      </w:r>
      <w:r w:rsidR="00331E10" w:rsidRPr="003F658E">
        <w:rPr>
          <w:rFonts w:cs="Arial"/>
          <w:lang w:val="en-GB"/>
        </w:rPr>
        <w:t>,</w:t>
      </w:r>
      <w:r w:rsidRPr="003F658E">
        <w:rPr>
          <w:rFonts w:cs="Arial"/>
          <w:lang w:val="en-GB"/>
        </w:rPr>
        <w:t xml:space="preserve"> including the consideration of a referral to an IMHA to enable them to make the application for a displacement themselves (DH, 2015, para. 5.16).</w:t>
      </w:r>
    </w:p>
    <w:p w14:paraId="4B7B2850" w14:textId="77777777" w:rsidR="009E77A8" w:rsidRPr="003F658E" w:rsidRDefault="009E77A8" w:rsidP="003F658E">
      <w:pPr>
        <w:spacing w:line="360" w:lineRule="auto"/>
        <w:jc w:val="both"/>
        <w:rPr>
          <w:rFonts w:cs="Arial"/>
          <w:lang w:val="en-GB"/>
        </w:rPr>
      </w:pPr>
    </w:p>
    <w:p w14:paraId="5191BFB0" w14:textId="366ECCFA" w:rsidR="0061307C" w:rsidRPr="003F658E" w:rsidRDefault="009E77A8" w:rsidP="003F658E">
      <w:pPr>
        <w:spacing w:line="360" w:lineRule="auto"/>
        <w:jc w:val="both"/>
        <w:rPr>
          <w:rFonts w:cs="Arial"/>
          <w:lang w:val="en-GB"/>
        </w:rPr>
      </w:pPr>
      <w:r w:rsidRPr="003F658E">
        <w:rPr>
          <w:rFonts w:cs="Arial"/>
          <w:lang w:val="en-GB"/>
        </w:rPr>
        <w:t>In the light of the above analysis, t</w:t>
      </w:r>
      <w:r w:rsidR="0044413E" w:rsidRPr="003F658E">
        <w:rPr>
          <w:rFonts w:cs="Arial"/>
          <w:lang w:val="en-GB"/>
        </w:rPr>
        <w:t xml:space="preserve">he </w:t>
      </w:r>
      <w:r w:rsidR="00CD1C6F" w:rsidRPr="003F658E">
        <w:rPr>
          <w:rFonts w:cs="Arial"/>
          <w:lang w:val="en-GB"/>
        </w:rPr>
        <w:t>CRPD creates an opportunity</w:t>
      </w:r>
      <w:r w:rsidR="0044413E" w:rsidRPr="003F658E">
        <w:rPr>
          <w:rFonts w:cs="Arial"/>
          <w:lang w:val="en-GB"/>
        </w:rPr>
        <w:t xml:space="preserve"> for the UK government to re-</w:t>
      </w:r>
      <w:r w:rsidR="00CD1C6F" w:rsidRPr="003F658E">
        <w:rPr>
          <w:rFonts w:cs="Arial"/>
          <w:lang w:val="en-GB"/>
        </w:rPr>
        <w:t>evaluate</w:t>
      </w:r>
      <w:r w:rsidR="0044413E" w:rsidRPr="003F658E">
        <w:rPr>
          <w:rFonts w:cs="Arial"/>
          <w:lang w:val="en-GB"/>
        </w:rPr>
        <w:t xml:space="preserve"> and re-focus the </w:t>
      </w:r>
      <w:r w:rsidRPr="003F658E">
        <w:rPr>
          <w:rFonts w:cs="Arial"/>
          <w:lang w:val="en-GB"/>
        </w:rPr>
        <w:t xml:space="preserve">rights of patients and </w:t>
      </w:r>
      <w:r w:rsidR="0044413E" w:rsidRPr="003F658E">
        <w:rPr>
          <w:rFonts w:cs="Arial"/>
          <w:lang w:val="en-GB"/>
        </w:rPr>
        <w:t>role of relatives</w:t>
      </w:r>
      <w:r w:rsidRPr="003F658E">
        <w:rPr>
          <w:rFonts w:cs="Arial"/>
          <w:lang w:val="en-GB"/>
        </w:rPr>
        <w:t>/carers</w:t>
      </w:r>
      <w:r w:rsidR="0044413E" w:rsidRPr="003F658E">
        <w:rPr>
          <w:rFonts w:cs="Arial"/>
          <w:lang w:val="en-GB"/>
        </w:rPr>
        <w:t xml:space="preserve"> </w:t>
      </w:r>
      <w:r w:rsidRPr="003F658E">
        <w:rPr>
          <w:rFonts w:cs="Arial"/>
          <w:lang w:val="en-GB"/>
        </w:rPr>
        <w:t xml:space="preserve">and how they </w:t>
      </w:r>
      <w:r w:rsidR="00331E10" w:rsidRPr="003F658E">
        <w:rPr>
          <w:rFonts w:cs="Arial"/>
          <w:lang w:val="en-GB"/>
        </w:rPr>
        <w:t xml:space="preserve">(and others) can </w:t>
      </w:r>
      <w:r w:rsidRPr="003F658E">
        <w:rPr>
          <w:rFonts w:cs="Arial"/>
          <w:lang w:val="en-GB"/>
        </w:rPr>
        <w:t xml:space="preserve">support patients </w:t>
      </w:r>
      <w:r w:rsidR="00331E10" w:rsidRPr="003F658E">
        <w:rPr>
          <w:rFonts w:cs="Arial"/>
          <w:lang w:val="en-GB"/>
        </w:rPr>
        <w:t xml:space="preserve">more effectively </w:t>
      </w:r>
      <w:r w:rsidR="0044413E" w:rsidRPr="003F658E">
        <w:rPr>
          <w:rFonts w:cs="Arial"/>
          <w:lang w:val="en-GB"/>
        </w:rPr>
        <w:t>in the compulsory admissions process</w:t>
      </w:r>
      <w:r w:rsidR="00CD1C6F" w:rsidRPr="003F658E">
        <w:rPr>
          <w:rFonts w:cs="Arial"/>
          <w:lang w:val="en-GB"/>
        </w:rPr>
        <w:t xml:space="preserve">. </w:t>
      </w:r>
      <w:r w:rsidR="04D0CC49" w:rsidRPr="003F658E">
        <w:rPr>
          <w:rFonts w:cs="Arial"/>
          <w:lang w:val="en-GB"/>
        </w:rPr>
        <w:t>A</w:t>
      </w:r>
      <w:r w:rsidR="62BE4E81" w:rsidRPr="003F658E">
        <w:rPr>
          <w:rFonts w:cs="Arial"/>
          <w:lang w:val="en-GB"/>
        </w:rPr>
        <w:t>s we have argued</w:t>
      </w:r>
      <w:r w:rsidR="04D0CC49" w:rsidRPr="003F658E">
        <w:rPr>
          <w:rFonts w:cs="Arial"/>
          <w:lang w:val="en-GB"/>
        </w:rPr>
        <w:t>, the M</w:t>
      </w:r>
      <w:r w:rsidR="43E491B7" w:rsidRPr="003F658E">
        <w:rPr>
          <w:rFonts w:cs="Arial"/>
          <w:lang w:val="en-GB"/>
        </w:rPr>
        <w:t>HA 1983 drew on assumption</w:t>
      </w:r>
      <w:r w:rsidR="62BE4E81" w:rsidRPr="003F658E">
        <w:rPr>
          <w:rFonts w:cs="Arial"/>
          <w:lang w:val="en-GB"/>
        </w:rPr>
        <w:t>s</w:t>
      </w:r>
      <w:r w:rsidR="43E491B7" w:rsidRPr="003F658E">
        <w:rPr>
          <w:rFonts w:cs="Arial"/>
          <w:lang w:val="en-GB"/>
        </w:rPr>
        <w:t xml:space="preserve"> that NRs might act as advocates to the patient.   However, as we have demonstrated, case law has reco</w:t>
      </w:r>
      <w:r w:rsidR="015DE7CE" w:rsidRPr="003F658E">
        <w:rPr>
          <w:rFonts w:cs="Arial"/>
          <w:lang w:val="en-GB"/>
        </w:rPr>
        <w:t xml:space="preserve">gnised that NRs may not </w:t>
      </w:r>
      <w:r w:rsidR="008409AB">
        <w:rPr>
          <w:rFonts w:cs="Arial"/>
          <w:lang w:val="en-GB"/>
        </w:rPr>
        <w:t xml:space="preserve">always </w:t>
      </w:r>
      <w:r w:rsidR="015DE7CE" w:rsidRPr="003F658E">
        <w:rPr>
          <w:rFonts w:cs="Arial"/>
          <w:lang w:val="en-GB"/>
        </w:rPr>
        <w:t xml:space="preserve">be regarded as helpful by patients.  </w:t>
      </w:r>
      <w:r w:rsidR="5B1596C3" w:rsidRPr="003F658E">
        <w:rPr>
          <w:rFonts w:cs="Arial"/>
          <w:lang w:val="en-GB"/>
        </w:rPr>
        <w:t>I</w:t>
      </w:r>
      <w:r w:rsidR="03B65C8E" w:rsidRPr="003F658E">
        <w:rPr>
          <w:rFonts w:cs="Arial"/>
          <w:lang w:val="en-GB"/>
        </w:rPr>
        <w:t xml:space="preserve">n addition, the CRPD has </w:t>
      </w:r>
      <w:r w:rsidR="00655F83" w:rsidRPr="003F658E">
        <w:rPr>
          <w:rFonts w:cs="Arial"/>
          <w:lang w:val="en-GB"/>
        </w:rPr>
        <w:t xml:space="preserve">reinforced an </w:t>
      </w:r>
      <w:r w:rsidR="03B65C8E" w:rsidRPr="003F658E">
        <w:rPr>
          <w:rFonts w:cs="Arial"/>
          <w:lang w:val="en-GB"/>
        </w:rPr>
        <w:t>individual</w:t>
      </w:r>
      <w:r w:rsidR="00655F83" w:rsidRPr="003F658E">
        <w:rPr>
          <w:rFonts w:cs="Arial"/>
          <w:lang w:val="en-GB"/>
        </w:rPr>
        <w:t>’s</w:t>
      </w:r>
      <w:r w:rsidR="03B65C8E" w:rsidRPr="003F658E">
        <w:rPr>
          <w:rFonts w:cs="Arial"/>
          <w:lang w:val="en-GB"/>
        </w:rPr>
        <w:t xml:space="preserve"> right to make choices about th</w:t>
      </w:r>
      <w:r w:rsidR="62BE4E81" w:rsidRPr="003F658E">
        <w:rPr>
          <w:rFonts w:cs="Arial"/>
          <w:lang w:val="en-GB"/>
        </w:rPr>
        <w:t>e</w:t>
      </w:r>
      <w:r w:rsidR="03B65C8E" w:rsidRPr="003F658E">
        <w:rPr>
          <w:rFonts w:cs="Arial"/>
          <w:lang w:val="en-GB"/>
        </w:rPr>
        <w:t xml:space="preserve">ir </w:t>
      </w:r>
      <w:r w:rsidR="00655F83" w:rsidRPr="003F658E">
        <w:rPr>
          <w:rFonts w:cs="Arial"/>
          <w:lang w:val="en-GB"/>
        </w:rPr>
        <w:t xml:space="preserve">care, treatment and </w:t>
      </w:r>
      <w:r w:rsidR="03B65C8E" w:rsidRPr="003F658E">
        <w:rPr>
          <w:rFonts w:cs="Arial"/>
          <w:lang w:val="en-GB"/>
        </w:rPr>
        <w:t xml:space="preserve">social networks.   </w:t>
      </w:r>
      <w:r w:rsidR="015DE7CE" w:rsidRPr="003F658E">
        <w:rPr>
          <w:rFonts w:cs="Arial"/>
          <w:lang w:val="en-GB"/>
        </w:rPr>
        <w:t>T</w:t>
      </w:r>
      <w:r w:rsidR="043ADFA6" w:rsidRPr="003F658E">
        <w:rPr>
          <w:rFonts w:cs="Arial"/>
          <w:lang w:val="en-GB"/>
        </w:rPr>
        <w:t>h</w:t>
      </w:r>
      <w:r w:rsidR="015DE7CE" w:rsidRPr="003F658E">
        <w:rPr>
          <w:rFonts w:cs="Arial"/>
          <w:lang w:val="en-GB"/>
        </w:rPr>
        <w:t>e revisions made</w:t>
      </w:r>
      <w:r w:rsidR="00655F83" w:rsidRPr="003F658E">
        <w:rPr>
          <w:rFonts w:cs="Arial"/>
          <w:lang w:val="en-GB"/>
        </w:rPr>
        <w:t xml:space="preserve"> to</w:t>
      </w:r>
      <w:r w:rsidR="015DE7CE" w:rsidRPr="003F658E">
        <w:rPr>
          <w:rFonts w:cs="Arial"/>
          <w:lang w:val="en-GB"/>
        </w:rPr>
        <w:t xml:space="preserve"> </w:t>
      </w:r>
      <w:r w:rsidR="008409AB">
        <w:rPr>
          <w:rFonts w:cs="Arial"/>
          <w:lang w:val="en-GB"/>
        </w:rPr>
        <w:t>the MHA 1983 by the MHA 2007</w:t>
      </w:r>
      <w:r w:rsidR="015DE7CE" w:rsidRPr="003F658E">
        <w:rPr>
          <w:rFonts w:cs="Arial"/>
          <w:lang w:val="en-GB"/>
        </w:rPr>
        <w:t xml:space="preserve"> extended t</w:t>
      </w:r>
      <w:r w:rsidR="043ADFA6" w:rsidRPr="003F658E">
        <w:rPr>
          <w:rFonts w:cs="Arial"/>
          <w:lang w:val="en-GB"/>
        </w:rPr>
        <w:t>he scope of patient autonomy in that they have provided a mechanism for displacement of the NR</w:t>
      </w:r>
      <w:r w:rsidR="0CC27AC6" w:rsidRPr="003F658E">
        <w:rPr>
          <w:rFonts w:cs="Arial"/>
          <w:lang w:val="en-GB"/>
        </w:rPr>
        <w:t xml:space="preserve">.  They </w:t>
      </w:r>
      <w:r w:rsidR="043ADFA6" w:rsidRPr="003F658E">
        <w:rPr>
          <w:rFonts w:cs="Arial"/>
          <w:lang w:val="en-GB"/>
        </w:rPr>
        <w:t xml:space="preserve">have </w:t>
      </w:r>
      <w:r w:rsidR="0CC27AC6" w:rsidRPr="003F658E">
        <w:rPr>
          <w:rFonts w:cs="Arial"/>
          <w:lang w:val="en-GB"/>
        </w:rPr>
        <w:t xml:space="preserve">also </w:t>
      </w:r>
      <w:r w:rsidR="043ADFA6" w:rsidRPr="003F658E">
        <w:rPr>
          <w:rFonts w:cs="Arial"/>
          <w:lang w:val="en-GB"/>
        </w:rPr>
        <w:t>increased the range of people who may advocat</w:t>
      </w:r>
      <w:r w:rsidR="275086FA" w:rsidRPr="003F658E">
        <w:rPr>
          <w:rFonts w:cs="Arial"/>
          <w:lang w:val="en-GB"/>
        </w:rPr>
        <w:t xml:space="preserve">e for the patient through the introduction of the IMHA role.  However, </w:t>
      </w:r>
      <w:r w:rsidR="277C0535" w:rsidRPr="003F658E">
        <w:rPr>
          <w:rFonts w:cs="Arial"/>
          <w:lang w:val="en-GB"/>
        </w:rPr>
        <w:t xml:space="preserve">the ability of patients to choose who might advocate on their behalf remains </w:t>
      </w:r>
      <w:r w:rsidR="003F0515">
        <w:rPr>
          <w:rFonts w:cs="Arial"/>
          <w:lang w:val="en-GB"/>
        </w:rPr>
        <w:t xml:space="preserve">severely </w:t>
      </w:r>
      <w:r w:rsidR="277C0535" w:rsidRPr="003F658E">
        <w:rPr>
          <w:rFonts w:cs="Arial"/>
          <w:lang w:val="en-GB"/>
        </w:rPr>
        <w:t xml:space="preserve">limited.  </w:t>
      </w:r>
      <w:r w:rsidR="0CC27AC6" w:rsidRPr="003F658E">
        <w:rPr>
          <w:rFonts w:cs="Arial"/>
          <w:lang w:val="en-GB"/>
        </w:rPr>
        <w:t>T</w:t>
      </w:r>
      <w:r w:rsidR="277C0535" w:rsidRPr="003F658E">
        <w:rPr>
          <w:rFonts w:cs="Arial"/>
          <w:lang w:val="en-GB"/>
        </w:rPr>
        <w:t>he ability to displace remai</w:t>
      </w:r>
      <w:r w:rsidR="004E644B" w:rsidRPr="003F658E">
        <w:rPr>
          <w:rFonts w:cs="Arial"/>
          <w:lang w:val="en-GB"/>
        </w:rPr>
        <w:t xml:space="preserve">ns a weak safeguard in that patients are required to </w:t>
      </w:r>
      <w:r w:rsidR="4CDDBE60" w:rsidRPr="003F658E">
        <w:rPr>
          <w:rFonts w:cs="Arial"/>
          <w:lang w:val="en-GB"/>
        </w:rPr>
        <w:t>do so</w:t>
      </w:r>
      <w:r w:rsidR="004E644B" w:rsidRPr="003F658E">
        <w:rPr>
          <w:rFonts w:cs="Arial"/>
          <w:lang w:val="en-GB"/>
        </w:rPr>
        <w:t xml:space="preserve"> when they are </w:t>
      </w:r>
      <w:r w:rsidR="4CDDBE60" w:rsidRPr="003F658E">
        <w:rPr>
          <w:rFonts w:cs="Arial"/>
          <w:lang w:val="en-GB"/>
        </w:rPr>
        <w:t xml:space="preserve">at their </w:t>
      </w:r>
      <w:r w:rsidR="004E644B" w:rsidRPr="003F658E">
        <w:rPr>
          <w:rFonts w:cs="Arial"/>
          <w:lang w:val="en-GB"/>
        </w:rPr>
        <w:t>most vulnerable</w:t>
      </w:r>
      <w:r w:rsidR="4CDDBE60" w:rsidRPr="003F658E">
        <w:rPr>
          <w:rFonts w:cs="Arial"/>
          <w:lang w:val="en-GB"/>
        </w:rPr>
        <w:t xml:space="preserve">.  Furthermore, </w:t>
      </w:r>
      <w:r w:rsidR="13A55A7D" w:rsidRPr="003F658E">
        <w:rPr>
          <w:rFonts w:cs="Arial"/>
          <w:lang w:val="en-GB"/>
        </w:rPr>
        <w:t xml:space="preserve">the differences between the </w:t>
      </w:r>
      <w:r w:rsidR="00655F83" w:rsidRPr="003F658E">
        <w:rPr>
          <w:rFonts w:cs="Arial"/>
          <w:lang w:val="en-GB"/>
        </w:rPr>
        <w:t>support and ‘</w:t>
      </w:r>
      <w:r w:rsidR="13A55A7D" w:rsidRPr="003F658E">
        <w:rPr>
          <w:rFonts w:cs="Arial"/>
          <w:lang w:val="en-GB"/>
        </w:rPr>
        <w:t>advocacy</w:t>
      </w:r>
      <w:r w:rsidR="00655F83" w:rsidRPr="003F658E">
        <w:rPr>
          <w:rFonts w:cs="Arial"/>
          <w:lang w:val="en-GB"/>
        </w:rPr>
        <w:t>’ that</w:t>
      </w:r>
      <w:r w:rsidR="13A55A7D" w:rsidRPr="003F658E">
        <w:rPr>
          <w:rFonts w:cs="Arial"/>
          <w:lang w:val="en-GB"/>
        </w:rPr>
        <w:t xml:space="preserve"> NRs and IMHAs might be expected to provide are weakly stated in</w:t>
      </w:r>
      <w:r w:rsidR="48CF0D1E" w:rsidRPr="003F658E">
        <w:rPr>
          <w:rFonts w:cs="Arial"/>
          <w:lang w:val="en-GB"/>
        </w:rPr>
        <w:t xml:space="preserve"> law and guidance</w:t>
      </w:r>
      <w:r w:rsidR="13A55A7D" w:rsidRPr="003F658E">
        <w:rPr>
          <w:rFonts w:cs="Arial"/>
          <w:lang w:val="en-GB"/>
        </w:rPr>
        <w:t xml:space="preserve">.  </w:t>
      </w:r>
      <w:r w:rsidR="00CD1C6F" w:rsidRPr="003F658E">
        <w:rPr>
          <w:rFonts w:cs="Arial"/>
          <w:lang w:val="en-GB"/>
        </w:rPr>
        <w:t xml:space="preserve">The need to reconsider the </w:t>
      </w:r>
      <w:r w:rsidR="03311A21" w:rsidRPr="003F658E">
        <w:rPr>
          <w:rFonts w:cs="Arial"/>
          <w:lang w:val="en-GB"/>
        </w:rPr>
        <w:t xml:space="preserve">NR </w:t>
      </w:r>
      <w:r w:rsidR="00CD1C6F" w:rsidRPr="003F658E">
        <w:rPr>
          <w:rFonts w:cs="Arial"/>
          <w:lang w:val="en-GB"/>
        </w:rPr>
        <w:t xml:space="preserve">role is also pressing as, despite, </w:t>
      </w:r>
      <w:r w:rsidR="538429F5" w:rsidRPr="003F658E">
        <w:rPr>
          <w:rFonts w:cs="Arial"/>
          <w:lang w:val="en-GB"/>
        </w:rPr>
        <w:t xml:space="preserve">the modifications in 2007 to the NR role outlined above, there are still concerns </w:t>
      </w:r>
      <w:r w:rsidR="538429F5" w:rsidRPr="003F658E">
        <w:rPr>
          <w:rFonts w:cs="Arial"/>
          <w:lang w:val="en-GB"/>
        </w:rPr>
        <w:lastRenderedPageBreak/>
        <w:t xml:space="preserve">about the extent to which some carers/relatives are suitable and able to provide an objective and effective </w:t>
      </w:r>
      <w:r w:rsidR="00CD1C6F" w:rsidRPr="003F658E">
        <w:rPr>
          <w:rFonts w:cs="Arial"/>
          <w:lang w:val="en-GB"/>
        </w:rPr>
        <w:t xml:space="preserve">NR </w:t>
      </w:r>
      <w:r w:rsidR="538429F5" w:rsidRPr="003F658E">
        <w:rPr>
          <w:rFonts w:cs="Arial"/>
          <w:lang w:val="en-GB"/>
        </w:rPr>
        <w:t xml:space="preserve">protection for patients. It is to this aspect that we now turn and examine the literature relating to the extent to which relatives/carers can provide a meaningful ‘expert’ voice in care and treatment decisions. </w:t>
      </w:r>
    </w:p>
    <w:p w14:paraId="5F73A40B" w14:textId="77777777" w:rsidR="0061307C" w:rsidRPr="003F658E" w:rsidRDefault="0061307C" w:rsidP="003F658E">
      <w:pPr>
        <w:spacing w:line="360" w:lineRule="auto"/>
        <w:jc w:val="both"/>
        <w:rPr>
          <w:rFonts w:cs="Arial"/>
          <w:lang w:val="en-GB"/>
        </w:rPr>
      </w:pPr>
    </w:p>
    <w:p w14:paraId="2B9792BB" w14:textId="670ED050" w:rsidR="00B97DDE" w:rsidRPr="003F658E" w:rsidRDefault="538429F5" w:rsidP="003F658E">
      <w:pPr>
        <w:spacing w:line="360" w:lineRule="auto"/>
        <w:jc w:val="both"/>
        <w:outlineLvl w:val="0"/>
        <w:rPr>
          <w:rFonts w:cs="Arial"/>
          <w:b/>
          <w:bCs/>
          <w:lang w:val="en-GB"/>
        </w:rPr>
      </w:pPr>
      <w:r w:rsidRPr="003F658E">
        <w:rPr>
          <w:rFonts w:cs="Arial"/>
          <w:b/>
          <w:bCs/>
          <w:lang w:val="en-GB"/>
        </w:rPr>
        <w:t xml:space="preserve">Relatives and Carers as Experts? </w:t>
      </w:r>
    </w:p>
    <w:p w14:paraId="40CC1DBF" w14:textId="77777777" w:rsidR="00A7395C" w:rsidRPr="003F658E" w:rsidRDefault="00A7395C" w:rsidP="003F658E">
      <w:pPr>
        <w:spacing w:line="360" w:lineRule="auto"/>
        <w:jc w:val="both"/>
        <w:rPr>
          <w:rFonts w:cs="Arial"/>
          <w:b/>
          <w:bCs/>
          <w:lang w:val="en-GB"/>
        </w:rPr>
      </w:pPr>
    </w:p>
    <w:p w14:paraId="4BAFCCEA" w14:textId="31320218" w:rsidR="6FCAF1B8" w:rsidRPr="003F658E" w:rsidRDefault="538429F5" w:rsidP="003F658E">
      <w:pPr>
        <w:spacing w:line="360" w:lineRule="auto"/>
        <w:jc w:val="both"/>
        <w:rPr>
          <w:rFonts w:cs="Arial"/>
          <w:lang w:val="en-GB"/>
        </w:rPr>
      </w:pPr>
      <w:r w:rsidRPr="003F658E">
        <w:rPr>
          <w:rFonts w:cs="Arial"/>
          <w:lang w:val="en-GB"/>
        </w:rPr>
        <w:t>The 1990s saw a shift in language within adult and mental health care policy in which the use of the term 'carer' increased and references to N</w:t>
      </w:r>
      <w:r w:rsidR="00BE154E">
        <w:rPr>
          <w:rFonts w:cs="Arial"/>
          <w:lang w:val="en-GB"/>
        </w:rPr>
        <w:t>R’s</w:t>
      </w:r>
      <w:r w:rsidRPr="003F658E">
        <w:rPr>
          <w:rFonts w:cs="Arial"/>
          <w:lang w:val="en-GB"/>
        </w:rPr>
        <w:t xml:space="preserve"> decreased (Rappaport, 2004).  For this reason, we focus on the way in which recent policy towards carers impacts on the NR role, focussing specifically on the growing emphasis in policy of treating carers as ‘experts’.    Drawing on research, we explore some of the practical challenges of treating carers as experts; focussing on the degree to which patients and carers agree about compulsory admission and on the way in which admission may affect relationships and family wellbeing, as well as patient recovery.  </w:t>
      </w:r>
    </w:p>
    <w:p w14:paraId="29E78D71" w14:textId="77777777" w:rsidR="00E57866" w:rsidRPr="003F658E" w:rsidRDefault="00E57866" w:rsidP="003F658E">
      <w:pPr>
        <w:spacing w:line="360" w:lineRule="auto"/>
        <w:jc w:val="both"/>
        <w:rPr>
          <w:rFonts w:cs="Arial"/>
          <w:lang w:val="en-GB"/>
        </w:rPr>
      </w:pPr>
    </w:p>
    <w:p w14:paraId="6AF09514" w14:textId="226F1EC2" w:rsidR="0BC7FFDC" w:rsidRPr="003F658E" w:rsidRDefault="008678EC" w:rsidP="003F658E">
      <w:pPr>
        <w:spacing w:line="360" w:lineRule="auto"/>
        <w:jc w:val="both"/>
        <w:rPr>
          <w:rFonts w:cs="Arial"/>
          <w:lang w:val="en-GB"/>
        </w:rPr>
      </w:pPr>
      <w:r w:rsidRPr="003F658E">
        <w:rPr>
          <w:rFonts w:cs="Arial"/>
          <w:lang w:val="en-GB"/>
        </w:rPr>
        <w:t>In recent years, the g</w:t>
      </w:r>
      <w:r w:rsidR="6EDEDD4D" w:rsidRPr="003F658E">
        <w:rPr>
          <w:rFonts w:cs="Arial"/>
          <w:lang w:val="en-GB"/>
        </w:rPr>
        <w:t xml:space="preserve">overnment has signalled its intention to promote the rights of carers within adult </w:t>
      </w:r>
      <w:r w:rsidR="009857BA" w:rsidRPr="003F658E">
        <w:rPr>
          <w:rFonts w:cs="Arial"/>
          <w:lang w:val="en-GB"/>
        </w:rPr>
        <w:t xml:space="preserve">health and social </w:t>
      </w:r>
      <w:r w:rsidR="6EDEDD4D" w:rsidRPr="003F658E">
        <w:rPr>
          <w:rFonts w:cs="Arial"/>
          <w:lang w:val="en-GB"/>
        </w:rPr>
        <w:t xml:space="preserve">care policy.  Policy documents under </w:t>
      </w:r>
      <w:r w:rsidRPr="003F658E">
        <w:rPr>
          <w:rFonts w:cs="Arial"/>
          <w:lang w:val="en-GB"/>
        </w:rPr>
        <w:t>the new Labour (DOH, 2008) and coalition g</w:t>
      </w:r>
      <w:r w:rsidR="6EDEDD4D" w:rsidRPr="003F658E">
        <w:rPr>
          <w:rFonts w:cs="Arial"/>
          <w:lang w:val="en-GB"/>
        </w:rPr>
        <w:t>overnments (DOH, 2010a) noted that carers were often excluded by health and social care professionals, found the process of accessing a carers assessment difficult</w:t>
      </w:r>
      <w:r w:rsidR="00BE154E">
        <w:rPr>
          <w:rFonts w:cs="Arial"/>
          <w:lang w:val="en-GB"/>
        </w:rPr>
        <w:t>,</w:t>
      </w:r>
      <w:r w:rsidR="6EDEDD4D" w:rsidRPr="003F658E">
        <w:rPr>
          <w:rFonts w:cs="Arial"/>
          <w:lang w:val="en-GB"/>
        </w:rPr>
        <w:t xml:space="preserve"> and were often not supported to achieve a life outside of caring.  Whilst previous policy had already sought to address the needs of carers (DOH, 1999), the 2008 document provided a target that carers would be respected as 'expert care partners</w:t>
      </w:r>
      <w:r w:rsidR="005C75C7" w:rsidRPr="003F658E">
        <w:rPr>
          <w:rFonts w:cs="Arial"/>
          <w:lang w:val="en-GB"/>
        </w:rPr>
        <w:t>’</w:t>
      </w:r>
      <w:r w:rsidR="6EDEDD4D" w:rsidRPr="003F658E">
        <w:rPr>
          <w:rFonts w:cs="Arial"/>
          <w:lang w:val="en-GB"/>
        </w:rPr>
        <w:t xml:space="preserve"> by 2018 </w:t>
      </w:r>
      <w:r w:rsidR="005C75C7" w:rsidRPr="003F658E">
        <w:rPr>
          <w:rFonts w:cs="Arial"/>
          <w:lang w:val="en-GB"/>
        </w:rPr>
        <w:t xml:space="preserve">(p. 9) </w:t>
      </w:r>
      <w:r w:rsidR="6EDEDD4D" w:rsidRPr="003F658E">
        <w:rPr>
          <w:rFonts w:cs="Arial"/>
          <w:lang w:val="en-GB"/>
        </w:rPr>
        <w:t>and would be provided with personalised support, reflecting individual need.  Carers policy since 2008 can be seen to draw on k</w:t>
      </w:r>
      <w:r w:rsidR="005C75C7" w:rsidRPr="003F658E">
        <w:rPr>
          <w:rFonts w:cs="Arial"/>
          <w:lang w:val="en-GB"/>
        </w:rPr>
        <w:t>ey policy assumptions around</w:t>
      </w:r>
      <w:r w:rsidR="6EDEDD4D" w:rsidRPr="003F658E">
        <w:rPr>
          <w:rFonts w:cs="Arial"/>
          <w:lang w:val="en-GB"/>
        </w:rPr>
        <w:t xml:space="preserve"> 'personalisation'; mainly that people are expert in their own lives (Needham, 2011).   On a general level, this policy narrative can be viewed as a challenge to professional power, highlighting that professionals should err towards facilitating rather than directing care.  However, these policies also sought to correct an individualised focus on </w:t>
      </w:r>
      <w:r w:rsidR="004553F8" w:rsidRPr="003F658E">
        <w:rPr>
          <w:rFonts w:cs="Arial"/>
          <w:lang w:val="en-GB"/>
        </w:rPr>
        <w:t>patient</w:t>
      </w:r>
      <w:r w:rsidR="6EDEDD4D" w:rsidRPr="003F658E">
        <w:rPr>
          <w:rFonts w:cs="Arial"/>
          <w:lang w:val="en-GB"/>
        </w:rPr>
        <w:t>s.  For example, practice guidelines on carers and personalisation open with a statement by the Chair of the Standing Commission on Carers.  She argues that</w:t>
      </w:r>
      <w:r w:rsidRPr="003F658E">
        <w:rPr>
          <w:rFonts w:cs="Arial"/>
          <w:lang w:val="en-GB"/>
        </w:rPr>
        <w:t>:</w:t>
      </w:r>
      <w:r w:rsidR="005C75C7" w:rsidRPr="003F658E">
        <w:rPr>
          <w:rFonts w:cs="Arial"/>
          <w:lang w:val="en-GB"/>
        </w:rPr>
        <w:t xml:space="preserve"> ‘</w:t>
      </w:r>
      <w:r w:rsidR="6EDEDD4D" w:rsidRPr="003F658E">
        <w:rPr>
          <w:rFonts w:cs="Arial"/>
          <w:lang w:val="en-GB"/>
        </w:rPr>
        <w:t>historically there has often been too much of a divide between the user and the carer, whereas the physical and emotional well-being o</w:t>
      </w:r>
      <w:r w:rsidR="005C75C7" w:rsidRPr="003F658E">
        <w:rPr>
          <w:rFonts w:cs="Arial"/>
          <w:lang w:val="en-GB"/>
        </w:rPr>
        <w:t xml:space="preserve">f both are inextricably linked’. </w:t>
      </w:r>
      <w:r w:rsidR="005C75C7" w:rsidRPr="003F658E">
        <w:rPr>
          <w:rFonts w:cs="Arial"/>
          <w:lang w:val="en-GB"/>
        </w:rPr>
        <w:lastRenderedPageBreak/>
        <w:t>(DOH, 2010b, p. 5)</w:t>
      </w:r>
      <w:r w:rsidRPr="003F658E">
        <w:rPr>
          <w:rFonts w:cs="Arial"/>
          <w:lang w:val="en-GB"/>
        </w:rPr>
        <w:t xml:space="preserve">. </w:t>
      </w:r>
      <w:r w:rsidR="6EDEDD4D" w:rsidRPr="003F658E">
        <w:rPr>
          <w:rFonts w:cs="Arial"/>
          <w:lang w:val="en-GB"/>
        </w:rPr>
        <w:t xml:space="preserve"> Drawing on these documents, mental health policy (HM Government, 2011) argues for mental health carers to be treated as 'equal partners' noting that concerns about confidentiality have been commonly misused as a reason to exclude them.   </w:t>
      </w:r>
      <w:r w:rsidR="349838CE" w:rsidRPr="003F658E">
        <w:rPr>
          <w:rFonts w:cs="Arial"/>
          <w:lang w:val="en-GB"/>
        </w:rPr>
        <w:t xml:space="preserve">Whilst </w:t>
      </w:r>
      <w:r w:rsidR="005C75C7" w:rsidRPr="003F658E">
        <w:rPr>
          <w:rFonts w:cs="Arial"/>
          <w:lang w:val="en-GB"/>
        </w:rPr>
        <w:t xml:space="preserve">mental health </w:t>
      </w:r>
      <w:r w:rsidR="349838CE" w:rsidRPr="003F658E">
        <w:rPr>
          <w:rFonts w:cs="Arial"/>
          <w:lang w:val="en-GB"/>
        </w:rPr>
        <w:t xml:space="preserve">policy has promoted the role of carers as experts, </w:t>
      </w:r>
      <w:r w:rsidR="009857BA" w:rsidRPr="003F658E">
        <w:rPr>
          <w:rFonts w:cs="Arial"/>
          <w:lang w:val="en-GB"/>
        </w:rPr>
        <w:t>the</w:t>
      </w:r>
      <w:r w:rsidR="00666BA7" w:rsidRPr="003F658E">
        <w:rPr>
          <w:rFonts w:cs="Arial"/>
          <w:lang w:val="en-GB"/>
        </w:rPr>
        <w:t xml:space="preserve"> role of carers in the MHA</w:t>
      </w:r>
      <w:r w:rsidR="009857BA" w:rsidRPr="003F658E">
        <w:rPr>
          <w:rFonts w:cs="Arial"/>
          <w:lang w:val="en-GB"/>
        </w:rPr>
        <w:t xml:space="preserve"> assessment process </w:t>
      </w:r>
      <w:r w:rsidR="00FB3E2A" w:rsidRPr="003F658E">
        <w:rPr>
          <w:rFonts w:cs="Arial"/>
          <w:lang w:val="en-GB"/>
        </w:rPr>
        <w:t xml:space="preserve">is </w:t>
      </w:r>
      <w:r w:rsidR="00666BA7" w:rsidRPr="003F658E">
        <w:rPr>
          <w:rFonts w:cs="Arial"/>
          <w:lang w:val="en-GB"/>
        </w:rPr>
        <w:t xml:space="preserve">more confined than it is under </w:t>
      </w:r>
      <w:r w:rsidR="00C913BF" w:rsidRPr="003F658E">
        <w:rPr>
          <w:rFonts w:cs="Arial"/>
          <w:lang w:val="en-GB"/>
        </w:rPr>
        <w:t>the mental capacity legislation</w:t>
      </w:r>
      <w:r w:rsidR="00666BA7" w:rsidRPr="003F658E">
        <w:rPr>
          <w:rFonts w:cs="Arial"/>
          <w:lang w:val="en-GB"/>
        </w:rPr>
        <w:t xml:space="preserve"> </w:t>
      </w:r>
      <w:r w:rsidR="00D2227E">
        <w:rPr>
          <w:rFonts w:cs="Arial"/>
          <w:lang w:val="en-GB"/>
        </w:rPr>
        <w:t xml:space="preserve">and ‘is regarded as being of less significance in the statutory schema than the protection afforded by clinical judgment of those exercising their functions under the Act’ </w:t>
      </w:r>
      <w:r w:rsidR="00D361DB" w:rsidRPr="003F658E">
        <w:rPr>
          <w:rFonts w:cs="Arial"/>
          <w:lang w:val="en-GB"/>
        </w:rPr>
        <w:t>(Keywood, 2003</w:t>
      </w:r>
      <w:r w:rsidR="00BB3A00">
        <w:rPr>
          <w:rFonts w:cs="Arial"/>
          <w:lang w:val="en-GB"/>
        </w:rPr>
        <w:t>; 2010</w:t>
      </w:r>
      <w:r w:rsidR="00D2227E">
        <w:rPr>
          <w:rFonts w:cs="Arial"/>
          <w:lang w:val="en-GB"/>
        </w:rPr>
        <w:t>; 330). Indeed, t</w:t>
      </w:r>
      <w:r w:rsidR="00666BA7" w:rsidRPr="003F658E">
        <w:rPr>
          <w:rFonts w:cs="Arial"/>
          <w:lang w:val="en-GB"/>
        </w:rPr>
        <w:t xml:space="preserve">here </w:t>
      </w:r>
      <w:r w:rsidR="001502E6" w:rsidRPr="003F658E">
        <w:rPr>
          <w:rFonts w:cs="Arial"/>
          <w:lang w:val="en-GB"/>
        </w:rPr>
        <w:t>are cases</w:t>
      </w:r>
      <w:r w:rsidR="003D2958" w:rsidRPr="003F658E">
        <w:rPr>
          <w:rFonts w:cs="Arial"/>
          <w:lang w:val="en-GB"/>
        </w:rPr>
        <w:t xml:space="preserve"> suggest</w:t>
      </w:r>
      <w:r w:rsidR="001502E6" w:rsidRPr="003F658E">
        <w:rPr>
          <w:rFonts w:cs="Arial"/>
          <w:lang w:val="en-GB"/>
        </w:rPr>
        <w:t>ing</w:t>
      </w:r>
      <w:r w:rsidR="005C75C7" w:rsidRPr="003F658E">
        <w:rPr>
          <w:rFonts w:cs="Arial"/>
          <w:lang w:val="en-GB"/>
        </w:rPr>
        <w:t xml:space="preserve"> </w:t>
      </w:r>
      <w:r w:rsidR="003D2958" w:rsidRPr="003F658E">
        <w:rPr>
          <w:rFonts w:cs="Arial"/>
          <w:lang w:val="en-GB"/>
        </w:rPr>
        <w:t>that prof</w:t>
      </w:r>
      <w:r w:rsidR="00D2227E">
        <w:rPr>
          <w:rFonts w:cs="Arial"/>
          <w:lang w:val="en-GB"/>
        </w:rPr>
        <w:t xml:space="preserve">essional/clinical </w:t>
      </w:r>
      <w:r w:rsidR="001502E6" w:rsidRPr="003F658E">
        <w:rPr>
          <w:rFonts w:cs="Arial"/>
          <w:lang w:val="en-GB"/>
        </w:rPr>
        <w:t xml:space="preserve">views may be </w:t>
      </w:r>
      <w:r w:rsidR="00D36E6F" w:rsidRPr="003F658E">
        <w:rPr>
          <w:rFonts w:cs="Arial"/>
          <w:lang w:val="en-GB"/>
        </w:rPr>
        <w:t>elevated above th</w:t>
      </w:r>
      <w:r w:rsidR="005C75C7" w:rsidRPr="003F658E">
        <w:rPr>
          <w:rFonts w:cs="Arial"/>
          <w:lang w:val="en-GB"/>
        </w:rPr>
        <w:t>ose of nearest relatives</w:t>
      </w:r>
      <w:r w:rsidR="001502E6" w:rsidRPr="003F658E">
        <w:rPr>
          <w:rFonts w:cs="Arial"/>
          <w:lang w:val="en-GB"/>
        </w:rPr>
        <w:t xml:space="preserve"> in some circumstances</w:t>
      </w:r>
      <w:r w:rsidR="00D36E6F" w:rsidRPr="003F658E">
        <w:rPr>
          <w:rFonts w:cs="Arial"/>
          <w:lang w:val="en-GB"/>
        </w:rPr>
        <w:t>.</w:t>
      </w:r>
      <w:r w:rsidR="009B30DA" w:rsidRPr="15ABA772">
        <w:rPr>
          <w:rStyle w:val="FootnoteReference"/>
          <w:rFonts w:eastAsiaTheme="minorEastAsia" w:cs="Arial"/>
          <w:color w:val="1A1A1A"/>
        </w:rPr>
        <w:footnoteReference w:id="39"/>
      </w:r>
      <w:r w:rsidR="349838CE" w:rsidRPr="15ABA772">
        <w:rPr>
          <w:rFonts w:eastAsiaTheme="minorEastAsia" w:cs="Arial"/>
          <w:color w:val="1A1A1A"/>
        </w:rPr>
        <w:t xml:space="preserve"> </w:t>
      </w:r>
      <w:r w:rsidR="00845E77" w:rsidRPr="15ABA772">
        <w:rPr>
          <w:rFonts w:eastAsiaTheme="minorEastAsia" w:cs="Arial"/>
          <w:color w:val="1A1A1A"/>
        </w:rPr>
        <w:t xml:space="preserve">This </w:t>
      </w:r>
      <w:r w:rsidR="00F809DF" w:rsidRPr="15ABA772">
        <w:rPr>
          <w:rFonts w:eastAsiaTheme="minorEastAsia" w:cs="Arial"/>
          <w:color w:val="1A1A1A"/>
        </w:rPr>
        <w:t xml:space="preserve">problem </w:t>
      </w:r>
      <w:r w:rsidR="00845E77" w:rsidRPr="15ABA772">
        <w:rPr>
          <w:rFonts w:eastAsiaTheme="minorEastAsia" w:cs="Arial"/>
          <w:color w:val="1A1A1A"/>
        </w:rPr>
        <w:t xml:space="preserve">was </w:t>
      </w:r>
      <w:r w:rsidR="002A70C2" w:rsidRPr="15ABA772">
        <w:rPr>
          <w:rFonts w:eastAsiaTheme="minorEastAsia" w:cs="Arial"/>
          <w:color w:val="1A1A1A"/>
        </w:rPr>
        <w:t>recognized</w:t>
      </w:r>
      <w:r w:rsidR="00845E77" w:rsidRPr="15ABA772">
        <w:rPr>
          <w:rFonts w:eastAsiaTheme="minorEastAsia" w:cs="Arial"/>
          <w:color w:val="1A1A1A"/>
        </w:rPr>
        <w:t xml:space="preserve"> by Lady Justice Hale (as she then was) in </w:t>
      </w:r>
      <w:r w:rsidR="00845E77" w:rsidRPr="15ABA772">
        <w:rPr>
          <w:rFonts w:eastAsiaTheme="minorEastAsia" w:cs="Arial"/>
          <w:i/>
          <w:iCs/>
          <w:color w:val="1A1A1A"/>
        </w:rPr>
        <w:t xml:space="preserve">S v W </w:t>
      </w:r>
      <w:r w:rsidR="00380C1D" w:rsidRPr="15ABA772">
        <w:rPr>
          <w:rFonts w:eastAsiaTheme="minorEastAsia" w:cs="Arial"/>
          <w:color w:val="1A1A1A"/>
        </w:rPr>
        <w:t>(a case involving a NR displacement</w:t>
      </w:r>
      <w:r w:rsidR="004E52C9" w:rsidRPr="15ABA772">
        <w:rPr>
          <w:rFonts w:eastAsiaTheme="minorEastAsia" w:cs="Arial"/>
          <w:color w:val="1A1A1A"/>
        </w:rPr>
        <w:t xml:space="preserve"> application</w:t>
      </w:r>
      <w:r w:rsidR="00380C1D" w:rsidRPr="15ABA772">
        <w:rPr>
          <w:rFonts w:eastAsiaTheme="minorEastAsia" w:cs="Arial"/>
          <w:color w:val="1A1A1A"/>
        </w:rPr>
        <w:t xml:space="preserve">) </w:t>
      </w:r>
      <w:r w:rsidR="00845E77" w:rsidRPr="15ABA772">
        <w:rPr>
          <w:rFonts w:eastAsiaTheme="minorEastAsia" w:cs="Arial"/>
          <w:color w:val="1A1A1A"/>
        </w:rPr>
        <w:t>when she stated that:</w:t>
      </w:r>
    </w:p>
    <w:p w14:paraId="14AC3F83" w14:textId="77777777" w:rsidR="00E57866" w:rsidRPr="003F658E" w:rsidRDefault="00E57866" w:rsidP="003F658E">
      <w:pPr>
        <w:spacing w:line="360" w:lineRule="auto"/>
        <w:jc w:val="both"/>
        <w:rPr>
          <w:rFonts w:eastAsia="Calibri" w:cs="Arial"/>
          <w:lang w:val="en-GB"/>
        </w:rPr>
      </w:pPr>
    </w:p>
    <w:p w14:paraId="771F7BA4" w14:textId="1399BD69" w:rsidR="00845E77" w:rsidRPr="003F658E" w:rsidRDefault="00845E77" w:rsidP="003F658E">
      <w:pPr>
        <w:spacing w:line="360" w:lineRule="auto"/>
        <w:ind w:left="720"/>
        <w:jc w:val="both"/>
        <w:rPr>
          <w:rFonts w:eastAsia="Calibri" w:cs="Arial"/>
          <w:lang w:val="en-GB"/>
        </w:rPr>
      </w:pPr>
      <w:r w:rsidRPr="15ABA772">
        <w:rPr>
          <w:rFonts w:eastAsia="Calibri" w:cs="Arial"/>
          <w:i/>
          <w:iCs/>
          <w:lang w:val="en-GB"/>
        </w:rPr>
        <w:t>‘…this case illustrates several aspects of the mental health law which give rise to the greatest possible sense of injustice on the part of patients and from time to time their families….. it illustrates the over</w:t>
      </w:r>
      <w:r w:rsidR="00380C1D" w:rsidRPr="15ABA772">
        <w:rPr>
          <w:rFonts w:eastAsia="Calibri" w:cs="Arial"/>
          <w:i/>
          <w:iCs/>
          <w:lang w:val="en-GB"/>
        </w:rPr>
        <w:t>rid</w:t>
      </w:r>
      <w:r w:rsidRPr="15ABA772">
        <w:rPr>
          <w:rFonts w:eastAsia="Calibri" w:cs="Arial"/>
          <w:i/>
          <w:iCs/>
          <w:lang w:val="en-GB"/>
        </w:rPr>
        <w:t>ing of the views of the nearest relative</w:t>
      </w:r>
      <w:r w:rsidR="00380C1D" w:rsidRPr="15ABA772">
        <w:rPr>
          <w:rFonts w:eastAsia="Calibri" w:cs="Arial"/>
          <w:i/>
          <w:iCs/>
          <w:lang w:val="en-GB"/>
        </w:rPr>
        <w:t>, and in practice how difficult it is for the nearest relative to avoid being found unreasonable if his views differ from those of the hospital’</w:t>
      </w:r>
      <w:r w:rsidR="004E52C9" w:rsidRPr="003F658E">
        <w:rPr>
          <w:rFonts w:eastAsia="Calibri" w:cs="Arial"/>
          <w:lang w:val="en-GB"/>
        </w:rPr>
        <w:t xml:space="preserve">. </w:t>
      </w:r>
      <w:r w:rsidR="004E52C9" w:rsidRPr="15ABA772">
        <w:rPr>
          <w:rStyle w:val="FootnoteReference"/>
          <w:rFonts w:eastAsiaTheme="minorEastAsia" w:cs="Arial"/>
          <w:color w:val="1A1A1A"/>
        </w:rPr>
        <w:footnoteReference w:id="40"/>
      </w:r>
      <w:r w:rsidR="004E52C9" w:rsidRPr="003F658E">
        <w:rPr>
          <w:rFonts w:eastAsia="Calibri" w:cs="Arial"/>
          <w:lang w:val="en-GB"/>
        </w:rPr>
        <w:t xml:space="preserve"> </w:t>
      </w:r>
    </w:p>
    <w:p w14:paraId="6528E74A" w14:textId="77777777" w:rsidR="00845E77" w:rsidRPr="003F658E" w:rsidRDefault="00845E77" w:rsidP="003F658E">
      <w:pPr>
        <w:spacing w:line="360" w:lineRule="auto"/>
        <w:jc w:val="both"/>
        <w:rPr>
          <w:rFonts w:eastAsia="Calibri" w:cs="Arial"/>
          <w:lang w:val="en-GB"/>
        </w:rPr>
      </w:pPr>
    </w:p>
    <w:p w14:paraId="4F680D8F" w14:textId="458C4182" w:rsidR="004B6676" w:rsidRPr="003F658E" w:rsidRDefault="1051A058" w:rsidP="003F658E">
      <w:pPr>
        <w:spacing w:line="360" w:lineRule="auto"/>
        <w:jc w:val="both"/>
        <w:rPr>
          <w:rFonts w:eastAsia="Calibri" w:cs="Arial"/>
          <w:lang w:val="en-GB"/>
        </w:rPr>
      </w:pPr>
      <w:r w:rsidRPr="003F658E">
        <w:rPr>
          <w:rFonts w:eastAsia="Calibri" w:cs="Arial"/>
          <w:lang w:val="en-GB"/>
        </w:rPr>
        <w:t>Current policies towards carers should be welcomed in so far as they encourage greater thought about how the needs of carers can be met.  However, they tend to gloss over differences of opinion between users and carers that may exist.  Research into the views of patients towards family involvement is limited, but suggests a mixed picture.  For example, a US study by Cohen et al (2013) found that 78% of patients wanted their carers to be involved in their care.  Qualitative research throws some light on potential reasons for differences in view with a study by Aldersey and Whitely (2015) finding that users believed that family involvement might enable or impede recovery.  Families were viewed as limiting recovery in cases where they acted as a stressor, expressed stigmatised views about the person's mental health problem or where they forced hospital admission.</w:t>
      </w:r>
    </w:p>
    <w:p w14:paraId="331DAE16" w14:textId="77777777" w:rsidR="00E57866" w:rsidRPr="003F658E" w:rsidRDefault="00E57866" w:rsidP="003F658E">
      <w:pPr>
        <w:spacing w:line="360" w:lineRule="auto"/>
        <w:jc w:val="both"/>
        <w:rPr>
          <w:rFonts w:eastAsia="Calibri" w:cs="Arial"/>
          <w:lang w:val="en-GB"/>
        </w:rPr>
      </w:pPr>
    </w:p>
    <w:p w14:paraId="2D249A90" w14:textId="6C4F30D6" w:rsidR="00E57866" w:rsidRDefault="1051A058" w:rsidP="003F658E">
      <w:pPr>
        <w:spacing w:line="360" w:lineRule="auto"/>
        <w:jc w:val="both"/>
        <w:rPr>
          <w:rFonts w:eastAsia="Calibri" w:cs="Arial"/>
          <w:lang w:val="en-GB"/>
        </w:rPr>
      </w:pPr>
      <w:r w:rsidRPr="003F658E">
        <w:rPr>
          <w:rFonts w:eastAsia="Calibri" w:cs="Arial"/>
          <w:lang w:val="en-GB"/>
        </w:rPr>
        <w:lastRenderedPageBreak/>
        <w:t>As outlined above, the main powers that NR have relate</w:t>
      </w:r>
      <w:r w:rsidR="00BE154E">
        <w:rPr>
          <w:rFonts w:eastAsia="Calibri" w:cs="Arial"/>
          <w:lang w:val="en-GB"/>
        </w:rPr>
        <w:t>d</w:t>
      </w:r>
      <w:r w:rsidRPr="003F658E">
        <w:rPr>
          <w:rFonts w:eastAsia="Calibri" w:cs="Arial"/>
          <w:lang w:val="en-GB"/>
        </w:rPr>
        <w:t xml:space="preserve"> to facilitating or preventing a compulsory admission to hospital.  However, this is an area where differences in opinion between patients and carers are at their most stark.  Quantitative research has consistently found that carers rate compulsory hospital admissions more positively than patients.  These studies have measured levels of perceived coercion by patients admitted to hospital (covering the degree of influence, control or choice that they felt they had over admission) (Hoge et al, 1998; O' Donoghue et al, 2016).  Views of perceived coercion by patients has been found to be strongly related to their perceptions of procedural justice during admission (i.e. the degree to which they were involved in decision making as well as the level of force experienced) (Hoge et al, 1998).  When comparisons have been made between the views of patients and carers, studies have found carers rated levels of coercion as being lower than patients (Hoge et al, 1998; Giacco et al, 2012; O' Donoghue, 2016).  In addition, carers rated procedural justice as being more satisfactory than it was perceived by their relatives detained in hospital (Hoge et al, 1998; O' Donoghue et al, 2016).  However, whilst research indicates that carers have high levels of satisfaction towards the treatment that their relatives receive in hospital (Giacco et al, 2012), this does not necessarily mean that they are happy with mental health services </w:t>
      </w:r>
      <w:r w:rsidRPr="003F658E">
        <w:rPr>
          <w:rFonts w:eastAsia="Calibri" w:cs="Arial"/>
          <w:i/>
          <w:iCs/>
          <w:lang w:val="en-GB"/>
        </w:rPr>
        <w:t>per se</w:t>
      </w:r>
      <w:r w:rsidRPr="003F658E">
        <w:rPr>
          <w:rFonts w:eastAsia="Calibri" w:cs="Arial"/>
          <w:lang w:val="en-GB"/>
        </w:rPr>
        <w:t>.  Qualitative research indicates that carers often do not know how to access support prior to admission or experience mental health services as unreliable (Jankovic et al, 2011).  In cases where community support is provided, carers experience services as reactive rather than pro-active, which is felt to increase the likelihood of admission (</w:t>
      </w:r>
      <w:r w:rsidRPr="003F658E">
        <w:rPr>
          <w:rFonts w:eastAsia="Calibri" w:cs="Arial"/>
          <w:i/>
          <w:iCs/>
          <w:lang w:val="en-GB"/>
        </w:rPr>
        <w:t>ibid</w:t>
      </w:r>
      <w:r w:rsidRPr="003F658E">
        <w:rPr>
          <w:rFonts w:eastAsia="Calibri" w:cs="Arial"/>
          <w:lang w:val="en-GB"/>
        </w:rPr>
        <w:t>).  Furthermore, carers felt that professionals did not involve them in decision making (Wilkinson and McAndrew, 2008) whilst at the same time expecting them to provide care to avoid admission or facilitate discharge (Jankovic et al, 2011).</w:t>
      </w:r>
    </w:p>
    <w:p w14:paraId="351167A5" w14:textId="77777777" w:rsidR="005C7D4F" w:rsidRPr="005C7D4F" w:rsidRDefault="005C7D4F" w:rsidP="003F658E">
      <w:pPr>
        <w:spacing w:line="360" w:lineRule="auto"/>
        <w:jc w:val="both"/>
        <w:rPr>
          <w:rFonts w:eastAsia="Calibri" w:cs="Arial"/>
          <w:lang w:val="en-GB"/>
        </w:rPr>
      </w:pPr>
    </w:p>
    <w:p w14:paraId="79DB8A17" w14:textId="190C7390" w:rsidR="538429F5" w:rsidRPr="003F658E" w:rsidRDefault="538429F5" w:rsidP="003F658E">
      <w:pPr>
        <w:spacing w:line="360" w:lineRule="auto"/>
        <w:jc w:val="both"/>
        <w:rPr>
          <w:rFonts w:cs="Arial"/>
        </w:rPr>
      </w:pPr>
      <w:r w:rsidRPr="003F658E">
        <w:rPr>
          <w:rFonts w:cs="Arial"/>
          <w:b/>
          <w:bCs/>
        </w:rPr>
        <w:t xml:space="preserve">Potential impact of the NR role on </w:t>
      </w:r>
      <w:r w:rsidR="00AD4BCC" w:rsidRPr="003F658E">
        <w:rPr>
          <w:rFonts w:cs="Arial"/>
          <w:b/>
          <w:bCs/>
        </w:rPr>
        <w:t xml:space="preserve">patient </w:t>
      </w:r>
      <w:r w:rsidRPr="003F658E">
        <w:rPr>
          <w:rFonts w:cs="Arial"/>
          <w:b/>
          <w:bCs/>
        </w:rPr>
        <w:t>wellbeing and recovery</w:t>
      </w:r>
    </w:p>
    <w:p w14:paraId="416585BE" w14:textId="21E57C58" w:rsidR="538429F5" w:rsidRPr="003F658E" w:rsidRDefault="538429F5" w:rsidP="003F658E">
      <w:pPr>
        <w:spacing w:line="360" w:lineRule="auto"/>
        <w:jc w:val="both"/>
        <w:rPr>
          <w:rFonts w:cs="Arial"/>
        </w:rPr>
      </w:pPr>
      <w:r w:rsidRPr="003F658E">
        <w:rPr>
          <w:rFonts w:cs="Arial"/>
        </w:rPr>
        <w:t xml:space="preserve"> </w:t>
      </w:r>
    </w:p>
    <w:p w14:paraId="56E0D9BF" w14:textId="67A05FD5" w:rsidR="00A008AC" w:rsidRPr="003F658E" w:rsidRDefault="349838CE" w:rsidP="003F658E">
      <w:pPr>
        <w:spacing w:line="360" w:lineRule="auto"/>
        <w:jc w:val="both"/>
        <w:rPr>
          <w:rFonts w:eastAsiaTheme="minorEastAsia" w:cs="Arial"/>
          <w:lang w:eastAsia="en-GB"/>
        </w:rPr>
      </w:pPr>
      <w:r w:rsidRPr="003F658E">
        <w:rPr>
          <w:rFonts w:cs="Arial"/>
        </w:rPr>
        <w:t>Our understanding of the impact of enacting th</w:t>
      </w:r>
      <w:r w:rsidR="00A008AC" w:rsidRPr="003F658E">
        <w:rPr>
          <w:rFonts w:cs="Arial"/>
        </w:rPr>
        <w:t xml:space="preserve">e NR </w:t>
      </w:r>
      <w:r w:rsidRPr="003F658E">
        <w:rPr>
          <w:rFonts w:cs="Arial"/>
        </w:rPr>
        <w:t xml:space="preserve">role on the relationship between the </w:t>
      </w:r>
      <w:r w:rsidR="004553F8" w:rsidRPr="003F658E">
        <w:rPr>
          <w:rFonts w:cs="Arial"/>
        </w:rPr>
        <w:t>patient</w:t>
      </w:r>
      <w:r w:rsidRPr="003F658E">
        <w:rPr>
          <w:rFonts w:cs="Arial"/>
        </w:rPr>
        <w:t xml:space="preserve"> and </w:t>
      </w:r>
      <w:r w:rsidR="00A008AC" w:rsidRPr="003F658E">
        <w:rPr>
          <w:rFonts w:cs="Arial"/>
        </w:rPr>
        <w:t xml:space="preserve">NR </w:t>
      </w:r>
      <w:r w:rsidRPr="003F658E">
        <w:rPr>
          <w:rFonts w:cs="Arial"/>
        </w:rPr>
        <w:t>is extremely limited; nor do we properly understand the impact of this role on the wider family and caring system</w:t>
      </w:r>
      <w:r w:rsidR="00D92047" w:rsidRPr="003F658E">
        <w:rPr>
          <w:rFonts w:cs="Arial"/>
        </w:rPr>
        <w:t>,</w:t>
      </w:r>
      <w:r w:rsidRPr="003F658E">
        <w:rPr>
          <w:rFonts w:cs="Arial"/>
        </w:rPr>
        <w:t xml:space="preserve"> due to the lack of research in this area. The MHA’s pre-determination of a single individual to </w:t>
      </w:r>
      <w:r w:rsidR="00A008AC" w:rsidRPr="003F658E">
        <w:rPr>
          <w:rFonts w:cs="Arial"/>
        </w:rPr>
        <w:t>perform the NR function</w:t>
      </w:r>
      <w:r w:rsidRPr="003F658E">
        <w:rPr>
          <w:rFonts w:cs="Arial"/>
        </w:rPr>
        <w:t xml:space="preserve">, irrespective of the quality of relationship with the individual </w:t>
      </w:r>
      <w:r w:rsidR="004553F8" w:rsidRPr="003F658E">
        <w:rPr>
          <w:rFonts w:cs="Arial"/>
        </w:rPr>
        <w:t>patient</w:t>
      </w:r>
      <w:r w:rsidRPr="003F658E">
        <w:rPr>
          <w:rFonts w:cs="Arial"/>
        </w:rPr>
        <w:t xml:space="preserve">, may have implications for all involved. It is possible that the hierarchy determining eligibility for the </w:t>
      </w:r>
      <w:r w:rsidR="00A008AC" w:rsidRPr="003F658E">
        <w:rPr>
          <w:rFonts w:cs="Arial"/>
        </w:rPr>
        <w:t xml:space="preserve">NR </w:t>
      </w:r>
      <w:r w:rsidRPr="003F658E">
        <w:rPr>
          <w:rFonts w:cs="Arial"/>
        </w:rPr>
        <w:t xml:space="preserve">role may disenfranchise important </w:t>
      </w:r>
      <w:r w:rsidRPr="003F658E">
        <w:rPr>
          <w:rFonts w:cs="Arial"/>
        </w:rPr>
        <w:lastRenderedPageBreak/>
        <w:t xml:space="preserve">individuals in the caring system, as was the case for gay and lesbian partners before 2002, </w:t>
      </w:r>
      <w:r w:rsidRPr="15ABA772">
        <w:rPr>
          <w:rFonts w:eastAsiaTheme="minorEastAsia" w:cs="Arial"/>
        </w:rPr>
        <w:t xml:space="preserve">prior to </w:t>
      </w:r>
      <w:r w:rsidRPr="15ABA772">
        <w:rPr>
          <w:rFonts w:eastAsiaTheme="minorEastAsia" w:cs="Arial"/>
          <w:i/>
          <w:iCs/>
          <w:lang w:eastAsia="en-GB"/>
        </w:rPr>
        <w:t>R v Liverpool City Council (1) Secretary of State for Health (2) and LS (Interested Party)</w:t>
      </w:r>
      <w:r w:rsidR="0084442B" w:rsidRPr="15ABA772">
        <w:rPr>
          <w:rStyle w:val="FootnoteReference"/>
          <w:rFonts w:eastAsiaTheme="minorEastAsia" w:cs="Arial"/>
          <w:i/>
          <w:iCs/>
          <w:lang w:eastAsia="en-GB"/>
        </w:rPr>
        <w:footnoteReference w:id="41"/>
      </w:r>
      <w:r w:rsidRPr="15ABA772">
        <w:rPr>
          <w:rFonts w:eastAsiaTheme="minorEastAsia" w:cs="Arial"/>
          <w:lang w:eastAsia="en-GB"/>
        </w:rPr>
        <w:t xml:space="preserve"> (Cho, 2002).</w:t>
      </w:r>
      <w:r w:rsidR="00D92047" w:rsidRPr="15ABA772">
        <w:rPr>
          <w:rFonts w:eastAsiaTheme="minorEastAsia" w:cs="Arial"/>
          <w:lang w:eastAsia="en-GB"/>
        </w:rPr>
        <w:t xml:space="preserve"> Amendments made</w:t>
      </w:r>
      <w:r w:rsidR="00A008AC" w:rsidRPr="15ABA772">
        <w:rPr>
          <w:rFonts w:eastAsiaTheme="minorEastAsia" w:cs="Arial"/>
          <w:lang w:eastAsia="en-GB"/>
        </w:rPr>
        <w:t xml:space="preserve"> to the MHA </w:t>
      </w:r>
      <w:r w:rsidR="00D92047" w:rsidRPr="15ABA772">
        <w:rPr>
          <w:rFonts w:eastAsiaTheme="minorEastAsia" w:cs="Arial"/>
          <w:lang w:eastAsia="en-GB"/>
        </w:rPr>
        <w:t xml:space="preserve">in 2007 </w:t>
      </w:r>
      <w:r w:rsidR="00A008AC" w:rsidRPr="15ABA772">
        <w:rPr>
          <w:rFonts w:eastAsiaTheme="minorEastAsia" w:cs="Arial"/>
          <w:lang w:eastAsia="en-GB"/>
        </w:rPr>
        <w:t>rectified this anomaly to ensure that civil partners are treated in the same way as spouse in the NR hierarchy</w:t>
      </w:r>
      <w:r w:rsidR="00BE154E">
        <w:rPr>
          <w:rFonts w:eastAsiaTheme="minorEastAsia" w:cs="Arial"/>
          <w:lang w:eastAsia="en-GB"/>
        </w:rPr>
        <w:t xml:space="preserve"> b</w:t>
      </w:r>
      <w:r w:rsidR="007A46A7" w:rsidRPr="15ABA772">
        <w:rPr>
          <w:rFonts w:eastAsiaTheme="minorEastAsia" w:cs="Arial"/>
          <w:lang w:eastAsia="en-GB"/>
        </w:rPr>
        <w:t xml:space="preserve">ut there are still other familial relations who may be excluded from the role. </w:t>
      </w:r>
    </w:p>
    <w:p w14:paraId="40AD83CB" w14:textId="77777777" w:rsidR="00A008AC" w:rsidRPr="003F658E" w:rsidRDefault="00A008AC" w:rsidP="003F658E">
      <w:pPr>
        <w:spacing w:line="360" w:lineRule="auto"/>
        <w:jc w:val="both"/>
        <w:rPr>
          <w:rFonts w:eastAsiaTheme="minorEastAsia" w:cs="Arial"/>
          <w:lang w:eastAsia="en-GB"/>
        </w:rPr>
      </w:pPr>
    </w:p>
    <w:p w14:paraId="3BCBCC85" w14:textId="4BF754B6" w:rsidR="00CB2B02" w:rsidRPr="003F658E" w:rsidRDefault="1051A058" w:rsidP="003F658E">
      <w:pPr>
        <w:spacing w:line="360" w:lineRule="auto"/>
        <w:jc w:val="both"/>
        <w:rPr>
          <w:rFonts w:eastAsiaTheme="minorEastAsia" w:cs="Arial"/>
          <w:lang w:eastAsia="en-GB"/>
        </w:rPr>
      </w:pPr>
      <w:r w:rsidRPr="003F658E">
        <w:rPr>
          <w:rFonts w:eastAsiaTheme="minorEastAsia" w:cs="Arial"/>
          <w:lang w:eastAsia="en-GB"/>
        </w:rPr>
        <w:t>Systemic models of psychological distress identify mental health problems as existing within a family or relational context, where patterns of relating have implications for continuance or improvement of difficulties. Hospital admission is a stress which can disrupt the family life cycle resulting in dysfunction within a family or caring system (Carter &amp; McGoldrick, 1999) which may increase distress and mental health problems for all involved. It can also have implications for recovery, as functioning social support enhances resiliency (Guidances &amp; Watch, 2007). Whilst the powers and rights given to the NR may be welcomed by all parties in some cases, in others the NR may experience this role as an unwanted responsibility, which creates stress for them and increases tensions in relationships around them if disagreements exist. The fact that family members have their own views and interests, some of which may conflict with those of the patient, may make it difficult for NRs to carry out their advocacy related functions. This is especially so if we consider what advocacy implies. As Keywood has identified:</w:t>
      </w:r>
    </w:p>
    <w:p w14:paraId="766A9D6A" w14:textId="77777777" w:rsidR="00CB2B02" w:rsidRPr="003F658E" w:rsidRDefault="00CB2B02" w:rsidP="003F658E">
      <w:pPr>
        <w:spacing w:line="360" w:lineRule="auto"/>
        <w:jc w:val="both"/>
        <w:rPr>
          <w:rFonts w:eastAsiaTheme="minorEastAsia" w:cs="Arial"/>
          <w:lang w:eastAsia="en-GB"/>
        </w:rPr>
      </w:pPr>
    </w:p>
    <w:p w14:paraId="0E815744" w14:textId="38018ABC" w:rsidR="00780A26" w:rsidRPr="003F658E" w:rsidRDefault="538429F5" w:rsidP="003F658E">
      <w:pPr>
        <w:spacing w:line="360" w:lineRule="auto"/>
        <w:ind w:left="720"/>
        <w:jc w:val="both"/>
        <w:rPr>
          <w:rFonts w:eastAsiaTheme="minorEastAsia" w:cs="Arial"/>
          <w:lang w:eastAsia="en-GB"/>
        </w:rPr>
      </w:pPr>
      <w:r w:rsidRPr="003F658E">
        <w:rPr>
          <w:rFonts w:eastAsiaTheme="minorEastAsia" w:cs="Arial"/>
          <w:lang w:eastAsia="en-GB"/>
        </w:rPr>
        <w:t>‘</w:t>
      </w:r>
      <w:r w:rsidRPr="003F658E">
        <w:rPr>
          <w:rFonts w:eastAsiaTheme="minorEastAsia" w:cs="Arial"/>
          <w:i/>
          <w:iCs/>
          <w:lang w:eastAsia="en-GB"/>
        </w:rPr>
        <w:t>A key dimension of advocacy lies in the independence of the advocate, in order that no conflict of interest arises between advocate and care recipient’</w:t>
      </w:r>
      <w:r w:rsidRPr="003F658E">
        <w:rPr>
          <w:rFonts w:eastAsiaTheme="minorEastAsia" w:cs="Arial"/>
          <w:lang w:eastAsia="en-GB"/>
        </w:rPr>
        <w:t>. (2003: 363)</w:t>
      </w:r>
    </w:p>
    <w:p w14:paraId="704A55A9" w14:textId="77777777" w:rsidR="00E57866" w:rsidRPr="003F658E" w:rsidRDefault="00E57866" w:rsidP="003F658E">
      <w:pPr>
        <w:spacing w:line="360" w:lineRule="auto"/>
        <w:jc w:val="both"/>
        <w:rPr>
          <w:rFonts w:eastAsiaTheme="minorEastAsia" w:cs="Arial"/>
        </w:rPr>
      </w:pPr>
    </w:p>
    <w:p w14:paraId="12FD8759" w14:textId="26E89A38" w:rsidR="00780A26" w:rsidRPr="003F658E" w:rsidRDefault="1051A058" w:rsidP="003F658E">
      <w:pPr>
        <w:spacing w:line="360" w:lineRule="auto"/>
        <w:jc w:val="both"/>
        <w:rPr>
          <w:rFonts w:cs="Arial"/>
        </w:rPr>
      </w:pPr>
      <w:r w:rsidRPr="003F658E">
        <w:rPr>
          <w:rFonts w:cs="Arial"/>
        </w:rPr>
        <w:t xml:space="preserve">There is also an absence of research into how patients and NRs reconcile decisions made about compulsory hospital admission, or indeed whether patients are frequently aware that a specific individual will have been asked to act in this way. In the most easily reconciled scenarios, a patient would freely agree that the decision to admit was in their best interests once the crisis requiring admission resolved; however, considering the discrepancy between patient and carer views on satisfaction and levels of coercion in mental health treatment </w:t>
      </w:r>
      <w:r w:rsidRPr="003F658E">
        <w:rPr>
          <w:rFonts w:eastAsia="Calibri" w:cs="Arial"/>
          <w:lang w:val="en-GB"/>
        </w:rPr>
        <w:t>(Hoge et al, 1998; Giacco et al, 2012; O' Donoghue, 2016)</w:t>
      </w:r>
      <w:r w:rsidRPr="003F658E">
        <w:rPr>
          <w:rFonts w:cs="Arial"/>
        </w:rPr>
        <w:t xml:space="preserve">, it is likely that differences in views </w:t>
      </w:r>
      <w:r w:rsidRPr="003F658E">
        <w:rPr>
          <w:rFonts w:cs="Arial"/>
        </w:rPr>
        <w:lastRenderedPageBreak/>
        <w:t>persist. It is unclear whether some patients experience the NR’s lack of objection to admission as a betrayal. This may have implications for the mental wellbeing of both patients and NRs, as betrayal has been associated with the genesis of certain mental hea</w:t>
      </w:r>
      <w:r w:rsidR="00BB3A00">
        <w:rPr>
          <w:rFonts w:cs="Arial"/>
        </w:rPr>
        <w:t xml:space="preserve">lth problems, such as obsessive </w:t>
      </w:r>
      <w:r w:rsidRPr="003F658E">
        <w:rPr>
          <w:rFonts w:cs="Arial"/>
        </w:rPr>
        <w:t xml:space="preserve">compulsive disorder; personality-focused problems; depression; anxiety and physical ill-health (Rachman, 2004; 2010; Kaehler &amp; Freyd, 2009; Goldsmith, Freyd &amp; DePrince, 2011). Thus, it has the potential to compound psychological distress. Furthermore, being compelled to betray another – as may be the interpretation of the role by some NR who are asked to perform it, particularly in relation to the potentially adversarial functions - has been found to result in potentially distressing experience of ‘mental contamination’ (i.e. feeling pervasively unclean and needing to wash (Coughtrey </w:t>
      </w:r>
      <w:r w:rsidRPr="003F658E">
        <w:rPr>
          <w:rFonts w:cs="Arial"/>
          <w:i/>
          <w:iCs/>
        </w:rPr>
        <w:t>et al</w:t>
      </w:r>
      <w:r w:rsidRPr="003F658E">
        <w:rPr>
          <w:rFonts w:cs="Arial"/>
        </w:rPr>
        <w:t xml:space="preserve">, 2012; Waller &amp; Boschen, 2015). Jankovic </w:t>
      </w:r>
      <w:r w:rsidRPr="003F658E">
        <w:rPr>
          <w:rFonts w:cs="Arial"/>
          <w:i/>
          <w:iCs/>
        </w:rPr>
        <w:t xml:space="preserve">et al </w:t>
      </w:r>
      <w:r w:rsidRPr="003F658E">
        <w:rPr>
          <w:rFonts w:cs="Arial"/>
        </w:rPr>
        <w:t xml:space="preserve">(2011) found that family care givers experience mixed emotions of relief, guilt and worry about compulsory admission of their relative, although it is unclear whether such responses were affected by the assumption of legal powers to dispute admission as the NR. Further research with both patients, NR and the extended caring network is essential to understand the implications of this role for relationships, family wellbeing and recovery, with a view to helping to shape any future reforms to the statutory role and functions. </w:t>
      </w:r>
    </w:p>
    <w:p w14:paraId="719E1149" w14:textId="77777777" w:rsidR="00A7395C" w:rsidRPr="003F658E" w:rsidRDefault="00A7395C" w:rsidP="003F658E">
      <w:pPr>
        <w:spacing w:line="360" w:lineRule="auto"/>
        <w:jc w:val="both"/>
        <w:rPr>
          <w:rFonts w:cs="Arial"/>
        </w:rPr>
      </w:pPr>
    </w:p>
    <w:p w14:paraId="51BA2086" w14:textId="3E5A889F" w:rsidR="001E38D3" w:rsidRPr="003F658E" w:rsidRDefault="1051A058" w:rsidP="003F658E">
      <w:pPr>
        <w:spacing w:line="360" w:lineRule="auto"/>
        <w:jc w:val="both"/>
        <w:outlineLvl w:val="0"/>
        <w:rPr>
          <w:rFonts w:cs="Arial"/>
          <w:b/>
          <w:bCs/>
          <w:lang w:val="en-GB"/>
        </w:rPr>
      </w:pPr>
      <w:r w:rsidRPr="003F658E">
        <w:rPr>
          <w:rFonts w:cs="Arial"/>
          <w:b/>
          <w:bCs/>
          <w:lang w:val="en-GB"/>
        </w:rPr>
        <w:t xml:space="preserve">Professional and lay (mis?)understanding  </w:t>
      </w:r>
    </w:p>
    <w:p w14:paraId="039F4524" w14:textId="77777777" w:rsidR="00B45CD1" w:rsidRPr="003F658E" w:rsidRDefault="00B45CD1" w:rsidP="003F658E">
      <w:pPr>
        <w:spacing w:line="360" w:lineRule="auto"/>
        <w:jc w:val="both"/>
        <w:rPr>
          <w:rFonts w:eastAsia="Calibri" w:cs="Arial"/>
          <w:lang w:val="en-GB"/>
        </w:rPr>
      </w:pPr>
    </w:p>
    <w:p w14:paraId="2216DEDE" w14:textId="252B0325" w:rsidR="349838CE" w:rsidRPr="003F658E" w:rsidRDefault="538429F5" w:rsidP="003F658E">
      <w:pPr>
        <w:spacing w:line="360" w:lineRule="auto"/>
        <w:jc w:val="both"/>
        <w:rPr>
          <w:rFonts w:eastAsia="Calibri" w:cs="Arial"/>
          <w:lang w:val="en-GB"/>
        </w:rPr>
      </w:pPr>
      <w:r w:rsidRPr="003F658E">
        <w:rPr>
          <w:rFonts w:eastAsia="Calibri" w:cs="Arial"/>
          <w:lang w:val="en-GB"/>
        </w:rPr>
        <w:t xml:space="preserve">In the following section, we move on to consider some of the practical problems that exist in relation to the NR role.  Specifically, we focus on problems that AMHPs may experience on the ground in attempting to identify a patient’s NR and, linked to the preceding discussion, the challenges that NRs may experience in exercising their role.  </w:t>
      </w:r>
    </w:p>
    <w:p w14:paraId="580A02BF" w14:textId="77777777" w:rsidR="00A7395C" w:rsidRPr="003F658E" w:rsidRDefault="00A7395C" w:rsidP="003F658E">
      <w:pPr>
        <w:spacing w:line="360" w:lineRule="auto"/>
        <w:jc w:val="both"/>
        <w:rPr>
          <w:rFonts w:cs="Arial"/>
        </w:rPr>
      </w:pPr>
    </w:p>
    <w:p w14:paraId="7275433C" w14:textId="77777777" w:rsidR="00EE3AE2" w:rsidRPr="003F658E" w:rsidRDefault="349838CE" w:rsidP="003F658E">
      <w:pPr>
        <w:spacing w:line="360" w:lineRule="auto"/>
        <w:jc w:val="both"/>
        <w:rPr>
          <w:rFonts w:eastAsia="Calibri" w:cs="Arial"/>
          <w:lang w:val="en-GB"/>
        </w:rPr>
      </w:pPr>
      <w:r w:rsidRPr="003F658E">
        <w:rPr>
          <w:rFonts w:eastAsia="Calibri" w:cs="Arial"/>
          <w:lang w:val="en-GB"/>
        </w:rPr>
        <w:t xml:space="preserve">AMHPs have legal duties to inform or consult </w:t>
      </w:r>
      <w:r w:rsidR="0062556F" w:rsidRPr="003F658E">
        <w:rPr>
          <w:rFonts w:eastAsia="Calibri" w:cs="Arial"/>
          <w:lang w:val="en-GB"/>
        </w:rPr>
        <w:t xml:space="preserve">NRs </w:t>
      </w:r>
      <w:r w:rsidRPr="003F658E">
        <w:rPr>
          <w:rFonts w:eastAsia="Calibri" w:cs="Arial"/>
          <w:lang w:val="en-GB"/>
        </w:rPr>
        <w:t>at different points throughout the admission process</w:t>
      </w:r>
      <w:r w:rsidR="00E1502D" w:rsidRPr="003F658E">
        <w:rPr>
          <w:rFonts w:eastAsia="Calibri" w:cs="Arial"/>
          <w:lang w:val="en-GB"/>
        </w:rPr>
        <w:t xml:space="preserve"> which have been described </w:t>
      </w:r>
      <w:r w:rsidR="007A46A7" w:rsidRPr="003F658E">
        <w:rPr>
          <w:rFonts w:eastAsia="Calibri" w:cs="Arial"/>
          <w:lang w:val="en-GB"/>
        </w:rPr>
        <w:t xml:space="preserve">by the court </w:t>
      </w:r>
      <w:r w:rsidR="00E1502D" w:rsidRPr="003F658E">
        <w:rPr>
          <w:rFonts w:eastAsia="Calibri" w:cs="Arial"/>
          <w:lang w:val="en-GB"/>
        </w:rPr>
        <w:t>as ‘heavy’ duties</w:t>
      </w:r>
      <w:r w:rsidRPr="003F658E">
        <w:rPr>
          <w:rFonts w:eastAsia="Calibri" w:cs="Arial"/>
          <w:lang w:val="en-GB"/>
        </w:rPr>
        <w:t>.</w:t>
      </w:r>
      <w:r w:rsidR="00E1502D" w:rsidRPr="003F658E">
        <w:rPr>
          <w:rStyle w:val="FootnoteReference"/>
          <w:rFonts w:eastAsia="Calibri" w:cs="Arial"/>
          <w:lang w:val="en-GB"/>
        </w:rPr>
        <w:footnoteReference w:id="42"/>
      </w:r>
      <w:r w:rsidRPr="003F658E">
        <w:rPr>
          <w:rFonts w:eastAsia="Calibri" w:cs="Arial"/>
          <w:lang w:val="en-GB"/>
        </w:rPr>
        <w:t xml:space="preserve"> </w:t>
      </w:r>
      <w:r w:rsidR="00EE3AE2" w:rsidRPr="003F658E">
        <w:rPr>
          <w:rFonts w:eastAsia="Calibri" w:cs="Arial"/>
          <w:lang w:val="en-GB"/>
        </w:rPr>
        <w:t>Stuart Smith has also observed that:</w:t>
      </w:r>
    </w:p>
    <w:p w14:paraId="6417A968" w14:textId="77777777" w:rsidR="00EE3AE2" w:rsidRPr="003F658E" w:rsidRDefault="00EE3AE2" w:rsidP="003F658E">
      <w:pPr>
        <w:spacing w:line="360" w:lineRule="auto"/>
        <w:jc w:val="both"/>
        <w:rPr>
          <w:rFonts w:eastAsia="Calibri" w:cs="Arial"/>
          <w:lang w:val="en-GB"/>
        </w:rPr>
      </w:pPr>
    </w:p>
    <w:p w14:paraId="21F941C0" w14:textId="0AF153F5" w:rsidR="00EE3AE2" w:rsidRPr="003F658E" w:rsidRDefault="538429F5" w:rsidP="003F658E">
      <w:pPr>
        <w:spacing w:line="360" w:lineRule="auto"/>
        <w:ind w:left="720"/>
        <w:jc w:val="both"/>
        <w:rPr>
          <w:rFonts w:eastAsia="Calibri" w:cs="Arial"/>
          <w:lang w:val="en-GB"/>
        </w:rPr>
      </w:pPr>
      <w:r w:rsidRPr="003F658E">
        <w:rPr>
          <w:rFonts w:eastAsia="Calibri" w:cs="Arial"/>
          <w:lang w:val="en-GB"/>
        </w:rPr>
        <w:t>‘</w:t>
      </w:r>
      <w:r w:rsidRPr="003F658E">
        <w:rPr>
          <w:rFonts w:eastAsia="Calibri" w:cs="Arial"/>
          <w:i/>
          <w:iCs/>
          <w:lang w:val="en-GB"/>
        </w:rPr>
        <w:t xml:space="preserve">A difficulty faced by those in caring professions is that mental health act assessments and admissions are a bureaucratic-administrative process as well as an emotional </w:t>
      </w:r>
      <w:r w:rsidRPr="003F658E">
        <w:rPr>
          <w:rFonts w:eastAsia="Calibri" w:cs="Arial"/>
          <w:i/>
          <w:iCs/>
          <w:lang w:val="en-GB"/>
        </w:rPr>
        <w:lastRenderedPageBreak/>
        <w:t>experience and there is frequently a tension when attempting to address all aspects of this process at the same time’</w:t>
      </w:r>
      <w:r w:rsidRPr="003F658E">
        <w:rPr>
          <w:rFonts w:eastAsia="Calibri" w:cs="Arial"/>
          <w:lang w:val="en-GB"/>
        </w:rPr>
        <w:t xml:space="preserve"> (2015; 345).</w:t>
      </w:r>
    </w:p>
    <w:p w14:paraId="45A8497A" w14:textId="77777777" w:rsidR="00EE3AE2" w:rsidRPr="003F658E" w:rsidRDefault="00EE3AE2" w:rsidP="003F658E">
      <w:pPr>
        <w:spacing w:line="360" w:lineRule="auto"/>
        <w:jc w:val="both"/>
        <w:rPr>
          <w:rFonts w:eastAsia="Calibri" w:cs="Arial"/>
          <w:lang w:val="en-GB"/>
        </w:rPr>
      </w:pPr>
    </w:p>
    <w:p w14:paraId="742A3F77" w14:textId="4406199E" w:rsidR="00AB373B" w:rsidRPr="003F658E" w:rsidRDefault="00EE3AE2" w:rsidP="003F658E">
      <w:pPr>
        <w:spacing w:line="360" w:lineRule="auto"/>
        <w:jc w:val="both"/>
        <w:rPr>
          <w:rFonts w:eastAsia="Calibri" w:cs="Arial"/>
          <w:lang w:val="en-GB"/>
        </w:rPr>
      </w:pPr>
      <w:r w:rsidRPr="003F658E">
        <w:rPr>
          <w:rFonts w:eastAsia="Calibri" w:cs="Arial"/>
          <w:lang w:val="en-GB"/>
        </w:rPr>
        <w:t xml:space="preserve">These difficulties are particularly acute for AMHPs in their contact with NRs. </w:t>
      </w:r>
      <w:r w:rsidR="349838CE" w:rsidRPr="003F658E">
        <w:rPr>
          <w:rFonts w:eastAsia="Calibri" w:cs="Arial"/>
          <w:lang w:val="en-GB"/>
        </w:rPr>
        <w:t>The first difficulty for AMHPs is deciding who should be identified as the NR</w:t>
      </w:r>
      <w:r w:rsidR="00585035" w:rsidRPr="003F658E">
        <w:rPr>
          <w:rFonts w:eastAsia="Calibri" w:cs="Arial"/>
          <w:lang w:val="en-GB"/>
        </w:rPr>
        <w:t>, a process which has been described as the ‘</w:t>
      </w:r>
      <w:r w:rsidR="00585035" w:rsidRPr="15ABA772">
        <w:rPr>
          <w:rFonts w:eastAsia="Calibri" w:cs="Arial"/>
          <w:i/>
          <w:iCs/>
          <w:lang w:val="en-GB"/>
        </w:rPr>
        <w:t>identification lottery’</w:t>
      </w:r>
      <w:r w:rsidR="00585035" w:rsidRPr="003F658E">
        <w:rPr>
          <w:rFonts w:eastAsia="Calibri" w:cs="Arial"/>
          <w:lang w:val="en-GB"/>
        </w:rPr>
        <w:t xml:space="preserve"> (Spencer-Lane, 2011: 50)</w:t>
      </w:r>
      <w:r w:rsidR="349838CE" w:rsidRPr="003F658E">
        <w:rPr>
          <w:rFonts w:eastAsia="Calibri" w:cs="Arial"/>
          <w:lang w:val="en-GB"/>
        </w:rPr>
        <w:t xml:space="preserve">.  As mentioned previously, section 26 (1) of the MHA sets out a hierarchy of family members who should be considered, with a patient’s husband, wife or civil partner being listed at the top, followed by a list of other relatives including children over 18, parents and adult siblings.  This list </w:t>
      </w:r>
      <w:r w:rsidR="0062556F" w:rsidRPr="003F658E">
        <w:rPr>
          <w:rFonts w:eastAsia="Calibri" w:cs="Arial"/>
          <w:lang w:val="en-GB"/>
        </w:rPr>
        <w:t xml:space="preserve">has historical origins, </w:t>
      </w:r>
      <w:r w:rsidR="00CC296C" w:rsidRPr="003F658E">
        <w:rPr>
          <w:rFonts w:cs="Arial"/>
          <w:lang w:val="en-GB"/>
        </w:rPr>
        <w:t>as Rap</w:t>
      </w:r>
      <w:r w:rsidR="00B1261A" w:rsidRPr="003F658E">
        <w:rPr>
          <w:rFonts w:cs="Arial"/>
          <w:lang w:val="en-GB"/>
        </w:rPr>
        <w:t xml:space="preserve">paport has commented, </w:t>
      </w:r>
      <w:r w:rsidR="00CC296C" w:rsidRPr="003F658E">
        <w:rPr>
          <w:rFonts w:cs="Arial"/>
          <w:lang w:val="en-GB"/>
        </w:rPr>
        <w:t>drawn from a hierarchy ‘</w:t>
      </w:r>
      <w:r w:rsidR="00CC296C" w:rsidRPr="15ABA772">
        <w:rPr>
          <w:rFonts w:cs="Arial"/>
          <w:i/>
          <w:iCs/>
          <w:lang w:val="en-GB"/>
        </w:rPr>
        <w:t>based on British genealogical traditions, intentionally “the person closest in affection rather than nearest relative in kinship’’</w:t>
      </w:r>
      <w:r w:rsidR="00CC296C" w:rsidRPr="003F658E">
        <w:rPr>
          <w:rFonts w:cs="Arial"/>
          <w:lang w:val="en-GB"/>
        </w:rPr>
        <w:t xml:space="preserve">. (Rappaport, 2003: 53). </w:t>
      </w:r>
      <w:r w:rsidR="00CC296C" w:rsidRPr="003F658E">
        <w:rPr>
          <w:rFonts w:eastAsia="Calibri" w:cs="Arial"/>
          <w:lang w:val="en-GB"/>
        </w:rPr>
        <w:t>B</w:t>
      </w:r>
      <w:r w:rsidR="0062556F" w:rsidRPr="003F658E">
        <w:rPr>
          <w:rFonts w:eastAsia="Calibri" w:cs="Arial"/>
          <w:lang w:val="en-GB"/>
        </w:rPr>
        <w:t xml:space="preserve">ut </w:t>
      </w:r>
      <w:r w:rsidR="00CC296C" w:rsidRPr="003F658E">
        <w:rPr>
          <w:rFonts w:eastAsia="Calibri" w:cs="Arial"/>
          <w:lang w:val="en-GB"/>
        </w:rPr>
        <w:t>it is nevertheless</w:t>
      </w:r>
      <w:r w:rsidR="349838CE" w:rsidRPr="003F658E">
        <w:rPr>
          <w:rFonts w:eastAsia="Calibri" w:cs="Arial"/>
          <w:lang w:val="en-GB"/>
        </w:rPr>
        <w:t xml:space="preserve"> intended to be flexible</w:t>
      </w:r>
      <w:r w:rsidR="00CC296C" w:rsidRPr="003F658E">
        <w:rPr>
          <w:rFonts w:eastAsia="Calibri" w:cs="Arial"/>
          <w:lang w:val="en-GB"/>
        </w:rPr>
        <w:t>,</w:t>
      </w:r>
      <w:r w:rsidR="349838CE" w:rsidRPr="003F658E">
        <w:rPr>
          <w:rFonts w:eastAsia="Calibri" w:cs="Arial"/>
          <w:lang w:val="en-GB"/>
        </w:rPr>
        <w:t xml:space="preserve"> so that relatives at the bottom of the list may trump those at the top if they live with the patient or care for them.  The difficulty for AMHPs is that legal definitions of who should count as a family may run counter to </w:t>
      </w:r>
      <w:r w:rsidR="0062556F" w:rsidRPr="003F658E">
        <w:rPr>
          <w:rFonts w:eastAsia="Calibri" w:cs="Arial"/>
          <w:lang w:val="en-GB"/>
        </w:rPr>
        <w:t xml:space="preserve">contemporary </w:t>
      </w:r>
      <w:r w:rsidR="349838CE" w:rsidRPr="003F658E">
        <w:rPr>
          <w:rFonts w:eastAsia="Calibri" w:cs="Arial"/>
          <w:lang w:val="en-GB"/>
        </w:rPr>
        <w:t>everyday understandings</w:t>
      </w:r>
      <w:r w:rsidR="00585035" w:rsidRPr="003F658E">
        <w:rPr>
          <w:rFonts w:eastAsia="Calibri" w:cs="Arial"/>
          <w:lang w:val="en-GB"/>
        </w:rPr>
        <w:t xml:space="preserve"> the reality of the dynamics of familial relationships</w:t>
      </w:r>
      <w:r w:rsidR="349838CE" w:rsidRPr="003F658E">
        <w:rPr>
          <w:rFonts w:eastAsia="Calibri" w:cs="Arial"/>
          <w:lang w:val="en-GB"/>
        </w:rPr>
        <w:t>.  For example, uncle and aunts are listed within the hierarchy of relationships under section 26 (1)</w:t>
      </w:r>
      <w:r w:rsidR="0062556F" w:rsidRPr="003F658E">
        <w:rPr>
          <w:rFonts w:eastAsia="Calibri" w:cs="Arial"/>
          <w:lang w:val="en-GB"/>
        </w:rPr>
        <w:t>,</w:t>
      </w:r>
      <w:r w:rsidR="349838CE" w:rsidRPr="003F658E">
        <w:rPr>
          <w:rFonts w:eastAsia="Calibri" w:cs="Arial"/>
          <w:lang w:val="en-GB"/>
        </w:rPr>
        <w:t xml:space="preserve"> although only some uncles and aunts may be identi</w:t>
      </w:r>
      <w:r w:rsidR="00D310F2" w:rsidRPr="003F658E">
        <w:rPr>
          <w:rFonts w:eastAsia="Calibri" w:cs="Arial"/>
          <w:lang w:val="en-GB"/>
        </w:rPr>
        <w:t>fied.  Barber et al, note that ‘</w:t>
      </w:r>
      <w:r w:rsidR="349838CE" w:rsidRPr="15ABA772">
        <w:rPr>
          <w:rFonts w:eastAsia="Calibri" w:cs="Arial"/>
          <w:i/>
          <w:iCs/>
          <w:lang w:val="en-GB"/>
        </w:rPr>
        <w:t xml:space="preserve">it would seem that only blood relationships would count here, so that your mother’s brother is your uncle, but this uncle’s wife is not your aunt for the purposes of the MHA 1983. </w:t>
      </w:r>
      <w:r w:rsidR="00D310F2" w:rsidRPr="15ABA772">
        <w:rPr>
          <w:rFonts w:eastAsia="Calibri" w:cs="Arial"/>
          <w:i/>
          <w:iCs/>
          <w:lang w:val="en-GB"/>
        </w:rPr>
        <w:t xml:space="preserve"> This is a recipe for confusion</w:t>
      </w:r>
      <w:r w:rsidR="00D310F2" w:rsidRPr="003F658E">
        <w:rPr>
          <w:rFonts w:eastAsia="Calibri" w:cs="Arial"/>
          <w:lang w:val="en-GB"/>
        </w:rPr>
        <w:t>’</w:t>
      </w:r>
      <w:r w:rsidR="349838CE" w:rsidRPr="003F658E">
        <w:rPr>
          <w:rFonts w:eastAsia="Calibri" w:cs="Arial"/>
          <w:lang w:val="en-GB"/>
        </w:rPr>
        <w:t xml:space="preserve"> (2009, p. 105).  By contrast, the identification of who should be identified as a carer has been ruled to be a matter of profe</w:t>
      </w:r>
      <w:r w:rsidR="00D310F2" w:rsidRPr="003F658E">
        <w:rPr>
          <w:rFonts w:eastAsia="Calibri" w:cs="Arial"/>
          <w:lang w:val="en-GB"/>
        </w:rPr>
        <w:t>ssional judgement, in which</w:t>
      </w:r>
      <w:r w:rsidR="349838CE" w:rsidRPr="003F658E">
        <w:rPr>
          <w:rFonts w:eastAsia="Calibri" w:cs="Arial"/>
          <w:lang w:val="en-GB"/>
        </w:rPr>
        <w:t xml:space="preserve"> AMHPs shoul</w:t>
      </w:r>
      <w:r w:rsidR="00C766AB" w:rsidRPr="003F658E">
        <w:rPr>
          <w:rFonts w:eastAsia="Calibri" w:cs="Arial"/>
          <w:lang w:val="en-GB"/>
        </w:rPr>
        <w:t>d ‘</w:t>
      </w:r>
      <w:r w:rsidR="00C766AB" w:rsidRPr="15ABA772">
        <w:rPr>
          <w:rFonts w:eastAsia="Calibri" w:cs="Arial"/>
          <w:i/>
          <w:iCs/>
          <w:lang w:val="en-GB"/>
        </w:rPr>
        <w:t>act in a common-sense manner’</w:t>
      </w:r>
      <w:r w:rsidR="00C766AB" w:rsidRPr="003F658E">
        <w:rPr>
          <w:rFonts w:eastAsia="Calibri" w:cs="Arial"/>
          <w:lang w:val="en-GB"/>
        </w:rPr>
        <w:t>.</w:t>
      </w:r>
      <w:r w:rsidR="00C766AB" w:rsidRPr="003F658E">
        <w:rPr>
          <w:rStyle w:val="FootnoteReference"/>
          <w:rFonts w:eastAsia="Calibri" w:cs="Arial"/>
          <w:lang w:val="en-GB"/>
        </w:rPr>
        <w:footnoteReference w:id="43"/>
      </w:r>
      <w:r w:rsidR="349838CE" w:rsidRPr="003F658E">
        <w:rPr>
          <w:rFonts w:eastAsia="Calibri" w:cs="Arial"/>
          <w:lang w:val="en-GB"/>
        </w:rPr>
        <w:t xml:space="preserve">  The Act requires AMHPs to exclude relatives within the hierarchy where they are not ordinarily resident in the UK, Cha</w:t>
      </w:r>
      <w:r w:rsidR="00D310F2" w:rsidRPr="003F658E">
        <w:rPr>
          <w:rFonts w:eastAsia="Calibri" w:cs="Arial"/>
          <w:lang w:val="en-GB"/>
        </w:rPr>
        <w:t>n</w:t>
      </w:r>
      <w:r w:rsidR="349838CE" w:rsidRPr="003F658E">
        <w:rPr>
          <w:rFonts w:eastAsia="Calibri" w:cs="Arial"/>
          <w:lang w:val="en-GB"/>
        </w:rPr>
        <w:t xml:space="preserve">nel Islands or Isle of Man (section 26 (5(a)), or in the case of a husband, wife or civil partner have separated from them (section 26 (5(b))). </w:t>
      </w:r>
      <w:r w:rsidR="00AB373B" w:rsidRPr="003F658E">
        <w:rPr>
          <w:rFonts w:eastAsia="Calibri" w:cs="Arial"/>
          <w:lang w:val="en-GB"/>
        </w:rPr>
        <w:t>T</w:t>
      </w:r>
      <w:r w:rsidR="002173E8" w:rsidRPr="003F658E">
        <w:rPr>
          <w:rFonts w:eastAsia="Calibri" w:cs="Arial"/>
          <w:lang w:val="en-GB"/>
        </w:rPr>
        <w:t>here is also some ambiguity surrounding the status of unmarried f</w:t>
      </w:r>
      <w:r w:rsidR="0053722A" w:rsidRPr="003F658E">
        <w:rPr>
          <w:rFonts w:eastAsia="Calibri" w:cs="Arial"/>
          <w:lang w:val="en-GB"/>
        </w:rPr>
        <w:t>athers and illegitimate children (Hewitt, 2013)</w:t>
      </w:r>
      <w:r w:rsidR="00AB373B" w:rsidRPr="003F658E">
        <w:rPr>
          <w:rFonts w:eastAsia="Calibri" w:cs="Arial"/>
          <w:lang w:val="en-GB"/>
        </w:rPr>
        <w:t>.</w:t>
      </w:r>
      <w:r w:rsidR="007B75C1">
        <w:rPr>
          <w:rFonts w:eastAsia="Calibri" w:cs="Arial"/>
          <w:lang w:val="en-GB"/>
        </w:rPr>
        <w:t xml:space="preserve"> F</w:t>
      </w:r>
      <w:r w:rsidR="00AB373B" w:rsidRPr="003F658E">
        <w:rPr>
          <w:rFonts w:eastAsia="Calibri" w:cs="Arial"/>
          <w:lang w:val="en-GB"/>
        </w:rPr>
        <w:t>inally, in the context of siblings, children and those with parental responsibility for the patient: ‘</w:t>
      </w:r>
      <w:r w:rsidR="00AB373B" w:rsidRPr="15ABA772">
        <w:rPr>
          <w:rFonts w:eastAsia="Calibri" w:cs="Arial"/>
          <w:i/>
          <w:iCs/>
          <w:lang w:val="en-GB"/>
        </w:rPr>
        <w:t>the reversion to the ‘eldest’ relative in all cases is a crude and sometimes inaccurate measure of closeness</w:t>
      </w:r>
      <w:r w:rsidR="00AB373B" w:rsidRPr="003F658E">
        <w:rPr>
          <w:rFonts w:eastAsia="Calibri" w:cs="Arial"/>
          <w:lang w:val="en-GB"/>
        </w:rPr>
        <w:t>’</w:t>
      </w:r>
      <w:r w:rsidR="003B2D14" w:rsidRPr="003F658E">
        <w:rPr>
          <w:rFonts w:eastAsia="Calibri" w:cs="Arial"/>
          <w:lang w:val="en-GB"/>
        </w:rPr>
        <w:t xml:space="preserve"> </w:t>
      </w:r>
      <w:r w:rsidR="00AB373B" w:rsidRPr="003F658E">
        <w:rPr>
          <w:rFonts w:eastAsia="Calibri" w:cs="Arial"/>
          <w:lang w:val="en-GB"/>
        </w:rPr>
        <w:t>(Stuart Smith, 2015: 341)</w:t>
      </w:r>
      <w:r w:rsidR="003B2D14" w:rsidRPr="003F658E">
        <w:rPr>
          <w:rFonts w:eastAsia="Calibri" w:cs="Arial"/>
          <w:lang w:val="en-GB"/>
        </w:rPr>
        <w:t>.</w:t>
      </w:r>
      <w:r w:rsidR="00AB373B" w:rsidRPr="003F658E">
        <w:rPr>
          <w:rFonts w:eastAsia="Calibri" w:cs="Arial"/>
          <w:lang w:val="en-GB"/>
        </w:rPr>
        <w:t xml:space="preserve"> </w:t>
      </w:r>
      <w:r w:rsidR="349838CE" w:rsidRPr="003F658E">
        <w:rPr>
          <w:rFonts w:eastAsia="Calibri" w:cs="Arial"/>
          <w:lang w:val="en-GB"/>
        </w:rPr>
        <w:t xml:space="preserve">Taken in combination, these requirements make it technically difficult for the AMHP to identify the correct NR, particularly when doing so at speed, as is often required when conducting MHA </w:t>
      </w:r>
      <w:r w:rsidR="349838CE" w:rsidRPr="003F658E">
        <w:rPr>
          <w:rFonts w:eastAsia="Calibri" w:cs="Arial"/>
          <w:lang w:val="en-GB"/>
        </w:rPr>
        <w:lastRenderedPageBreak/>
        <w:t xml:space="preserve">assessments in an emergency. </w:t>
      </w:r>
      <w:r w:rsidR="003B2D14" w:rsidRPr="003F658E">
        <w:rPr>
          <w:rFonts w:eastAsia="Calibri" w:cs="Arial"/>
          <w:lang w:val="en-GB"/>
        </w:rPr>
        <w:t xml:space="preserve"> It also begs the question: to what extent can or should we expect AMHPs to carry out extensive document</w:t>
      </w:r>
      <w:r w:rsidR="005A76C5" w:rsidRPr="003F658E">
        <w:rPr>
          <w:rFonts w:eastAsia="Calibri" w:cs="Arial"/>
          <w:lang w:val="en-GB"/>
        </w:rPr>
        <w:t xml:space="preserve">ary/registry </w:t>
      </w:r>
      <w:r w:rsidR="003B2D14" w:rsidRPr="003F658E">
        <w:rPr>
          <w:rFonts w:eastAsia="Calibri" w:cs="Arial"/>
          <w:lang w:val="en-GB"/>
        </w:rPr>
        <w:t xml:space="preserve">checks or seek intrusive information about </w:t>
      </w:r>
      <w:r w:rsidR="00F345BD" w:rsidRPr="003F658E">
        <w:rPr>
          <w:rFonts w:eastAsia="Calibri" w:cs="Arial"/>
          <w:lang w:val="en-GB"/>
        </w:rPr>
        <w:t>personal</w:t>
      </w:r>
      <w:r w:rsidR="003B2D14" w:rsidRPr="003F658E">
        <w:rPr>
          <w:rFonts w:eastAsia="Calibri" w:cs="Arial"/>
          <w:lang w:val="en-GB"/>
        </w:rPr>
        <w:t xml:space="preserve"> relationships, in order to get this right?</w:t>
      </w:r>
    </w:p>
    <w:p w14:paraId="6C6CF0CC" w14:textId="77777777" w:rsidR="00AB373B" w:rsidRPr="003F658E" w:rsidRDefault="00AB373B" w:rsidP="003F658E">
      <w:pPr>
        <w:spacing w:line="360" w:lineRule="auto"/>
        <w:jc w:val="both"/>
        <w:rPr>
          <w:rFonts w:eastAsia="Calibri" w:cs="Arial"/>
          <w:lang w:val="en-GB"/>
        </w:rPr>
      </w:pPr>
    </w:p>
    <w:p w14:paraId="1CF459C5" w14:textId="5A145C79" w:rsidR="349838CE" w:rsidRPr="003F658E" w:rsidRDefault="349838CE" w:rsidP="003F658E">
      <w:pPr>
        <w:spacing w:line="360" w:lineRule="auto"/>
        <w:jc w:val="both"/>
        <w:rPr>
          <w:rFonts w:cs="Arial"/>
          <w:lang w:val="en-GB"/>
        </w:rPr>
      </w:pPr>
      <w:r w:rsidRPr="003F658E">
        <w:rPr>
          <w:rFonts w:eastAsia="Calibri" w:cs="Arial"/>
          <w:lang w:val="en-GB"/>
        </w:rPr>
        <w:t xml:space="preserve">Currently the Act does allow AMHPs a high degree of latitude when making this decision.  The AMHP is </w:t>
      </w:r>
      <w:r w:rsidR="0062556F" w:rsidRPr="003F658E">
        <w:rPr>
          <w:rFonts w:eastAsia="Calibri" w:cs="Arial"/>
          <w:lang w:val="en-GB"/>
        </w:rPr>
        <w:t xml:space="preserve">only </w:t>
      </w:r>
      <w:r w:rsidRPr="003F658E">
        <w:rPr>
          <w:rFonts w:eastAsia="Calibri" w:cs="Arial"/>
          <w:lang w:val="en-GB"/>
        </w:rPr>
        <w:t xml:space="preserve">required to consult the person </w:t>
      </w:r>
      <w:r w:rsidRPr="15ABA772">
        <w:rPr>
          <w:rFonts w:eastAsia="Calibri" w:cs="Arial"/>
          <w:i/>
          <w:iCs/>
          <w:lang w:val="en-GB"/>
        </w:rPr>
        <w:t>appearing</w:t>
      </w:r>
      <w:r w:rsidRPr="003F658E">
        <w:rPr>
          <w:rFonts w:eastAsia="Calibri" w:cs="Arial"/>
          <w:lang w:val="en-GB"/>
        </w:rPr>
        <w:t xml:space="preserve"> to them to be the NR.  In making this judgement</w:t>
      </w:r>
      <w:r w:rsidR="0062556F" w:rsidRPr="003F658E">
        <w:rPr>
          <w:rFonts w:eastAsia="Calibri" w:cs="Arial"/>
          <w:lang w:val="en-GB"/>
        </w:rPr>
        <w:t>,</w:t>
      </w:r>
      <w:r w:rsidRPr="003F658E">
        <w:rPr>
          <w:rFonts w:eastAsia="Calibri" w:cs="Arial"/>
          <w:lang w:val="en-GB"/>
        </w:rPr>
        <w:t xml:space="preserve"> they need to show that they have acted reasonably</w:t>
      </w:r>
      <w:r w:rsidR="00C766AB" w:rsidRPr="003F658E">
        <w:rPr>
          <w:rFonts w:eastAsia="Calibri" w:cs="Arial"/>
          <w:lang w:val="en-GB"/>
        </w:rPr>
        <w:t>,</w:t>
      </w:r>
      <w:r w:rsidR="00C766AB" w:rsidRPr="003F658E">
        <w:rPr>
          <w:rStyle w:val="FootnoteReference"/>
          <w:rFonts w:eastAsia="Calibri" w:cs="Arial"/>
          <w:lang w:val="en-GB"/>
        </w:rPr>
        <w:footnoteReference w:id="44"/>
      </w:r>
      <w:r w:rsidRPr="003F658E">
        <w:rPr>
          <w:rFonts w:eastAsia="Calibri" w:cs="Arial"/>
          <w:lang w:val="en-GB"/>
        </w:rPr>
        <w:t xml:space="preserve"> having taken the statutory criteria into</w:t>
      </w:r>
      <w:r w:rsidR="00C766AB" w:rsidRPr="003F658E">
        <w:rPr>
          <w:rFonts w:eastAsia="Calibri" w:cs="Arial"/>
          <w:lang w:val="en-GB"/>
        </w:rPr>
        <w:t xml:space="preserve"> account.  However, whilst </w:t>
      </w:r>
      <w:r w:rsidR="0062556F" w:rsidRPr="003F658E">
        <w:rPr>
          <w:rFonts w:eastAsia="Calibri" w:cs="Arial"/>
          <w:lang w:val="en-GB"/>
        </w:rPr>
        <w:t xml:space="preserve">the case law has </w:t>
      </w:r>
      <w:r w:rsidR="002A70C2" w:rsidRPr="003F658E">
        <w:rPr>
          <w:rFonts w:eastAsia="Calibri" w:cs="Arial"/>
          <w:lang w:val="en-GB"/>
        </w:rPr>
        <w:t>considered</w:t>
      </w:r>
      <w:r w:rsidRPr="003F658E">
        <w:rPr>
          <w:rFonts w:eastAsia="Calibri" w:cs="Arial"/>
          <w:lang w:val="en-GB"/>
        </w:rPr>
        <w:t xml:space="preserve"> the emergency nature of many sec</w:t>
      </w:r>
      <w:r w:rsidR="0062556F" w:rsidRPr="003F658E">
        <w:rPr>
          <w:rFonts w:eastAsia="Calibri" w:cs="Arial"/>
          <w:lang w:val="en-GB"/>
        </w:rPr>
        <w:t>tion applications</w:t>
      </w:r>
      <w:r w:rsidRPr="003F658E">
        <w:rPr>
          <w:rFonts w:eastAsia="Calibri" w:cs="Arial"/>
          <w:lang w:val="en-GB"/>
        </w:rPr>
        <w:t>, it also implicitly accepts that accuracy in relation to identifying NRs may be variable</w:t>
      </w:r>
      <w:r w:rsidR="008D288C" w:rsidRPr="003F658E">
        <w:rPr>
          <w:rFonts w:eastAsia="Calibri" w:cs="Arial"/>
          <w:lang w:val="en-GB"/>
        </w:rPr>
        <w:t xml:space="preserve"> and the identification of the NR test (ie. ‘who appears to him to be the NR’) is subjective</w:t>
      </w:r>
      <w:r w:rsidRPr="003F658E">
        <w:rPr>
          <w:rFonts w:eastAsia="Calibri" w:cs="Arial"/>
          <w:lang w:val="en-GB"/>
        </w:rPr>
        <w:t>.</w:t>
      </w:r>
      <w:r w:rsidR="00D310F2" w:rsidRPr="003F658E">
        <w:rPr>
          <w:rStyle w:val="FootnoteReference"/>
          <w:rFonts w:eastAsia="Calibri" w:cs="Arial"/>
          <w:lang w:val="en-GB"/>
        </w:rPr>
        <w:footnoteReference w:id="45"/>
      </w:r>
      <w:r w:rsidRPr="003F658E">
        <w:rPr>
          <w:rFonts w:eastAsia="Calibri" w:cs="Arial"/>
          <w:lang w:val="en-GB"/>
        </w:rPr>
        <w:t xml:space="preserve">  </w:t>
      </w:r>
      <w:r w:rsidR="00585035" w:rsidRPr="003F658E">
        <w:rPr>
          <w:rFonts w:eastAsia="Calibri" w:cs="Arial"/>
          <w:lang w:val="en-GB"/>
        </w:rPr>
        <w:t xml:space="preserve">Moreover, the amount of case law that has been generated in this area would suggest that errors are often made </w:t>
      </w:r>
      <w:r w:rsidR="00AD4BCC" w:rsidRPr="003F658E">
        <w:rPr>
          <w:rFonts w:eastAsia="Calibri" w:cs="Arial"/>
          <w:lang w:val="en-GB"/>
        </w:rPr>
        <w:t xml:space="preserve">(albeit unintentionally) </w:t>
      </w:r>
      <w:r w:rsidR="00585035" w:rsidRPr="003F658E">
        <w:rPr>
          <w:rFonts w:eastAsia="Calibri" w:cs="Arial"/>
          <w:lang w:val="en-GB"/>
        </w:rPr>
        <w:t xml:space="preserve">in the NR identification process, which </w:t>
      </w:r>
      <w:r w:rsidR="008D288C" w:rsidRPr="003F658E">
        <w:rPr>
          <w:rFonts w:eastAsia="Calibri" w:cs="Arial"/>
          <w:lang w:val="en-GB"/>
        </w:rPr>
        <w:t>has resulted</w:t>
      </w:r>
      <w:r w:rsidR="00585035" w:rsidRPr="003F658E">
        <w:rPr>
          <w:rFonts w:eastAsia="Calibri" w:cs="Arial"/>
          <w:lang w:val="en-GB"/>
        </w:rPr>
        <w:t xml:space="preserve"> in patients being found </w:t>
      </w:r>
      <w:r w:rsidR="00E15FEF" w:rsidRPr="003F658E">
        <w:rPr>
          <w:rFonts w:eastAsia="Calibri" w:cs="Arial"/>
          <w:lang w:val="en-GB"/>
        </w:rPr>
        <w:t xml:space="preserve">by the court </w:t>
      </w:r>
      <w:r w:rsidR="00585035" w:rsidRPr="003F658E">
        <w:rPr>
          <w:rFonts w:eastAsia="Calibri" w:cs="Arial"/>
          <w:lang w:val="en-GB"/>
        </w:rPr>
        <w:t>to be unlawfully detained.</w:t>
      </w:r>
      <w:r w:rsidR="00E15FEF" w:rsidRPr="003F658E">
        <w:rPr>
          <w:rStyle w:val="FootnoteReference"/>
          <w:rFonts w:eastAsia="Calibri" w:cs="Arial"/>
          <w:lang w:val="en-GB"/>
        </w:rPr>
        <w:footnoteReference w:id="46"/>
      </w:r>
      <w:r w:rsidR="00585035" w:rsidRPr="003F658E">
        <w:rPr>
          <w:rFonts w:eastAsia="Calibri" w:cs="Arial"/>
          <w:lang w:val="en-GB"/>
        </w:rPr>
        <w:t xml:space="preserve"> Again, this points to the need for </w:t>
      </w:r>
      <w:r w:rsidR="007A46A7" w:rsidRPr="003F658E">
        <w:rPr>
          <w:rFonts w:eastAsia="Calibri" w:cs="Arial"/>
          <w:lang w:val="en-GB"/>
        </w:rPr>
        <w:t xml:space="preserve">greater clarity and </w:t>
      </w:r>
      <w:r w:rsidR="00585035" w:rsidRPr="003F658E">
        <w:rPr>
          <w:rFonts w:eastAsia="Calibri" w:cs="Arial"/>
          <w:lang w:val="en-GB"/>
        </w:rPr>
        <w:t>improvements to the NR</w:t>
      </w:r>
      <w:r w:rsidR="008D288C" w:rsidRPr="003F658E">
        <w:rPr>
          <w:rFonts w:eastAsia="Calibri" w:cs="Arial"/>
          <w:lang w:val="en-GB"/>
        </w:rPr>
        <w:t xml:space="preserve"> role</w:t>
      </w:r>
      <w:r w:rsidR="00585035" w:rsidRPr="003F658E">
        <w:rPr>
          <w:rFonts w:eastAsia="Calibri" w:cs="Arial"/>
          <w:lang w:val="en-GB"/>
        </w:rPr>
        <w:t xml:space="preserve">, as it is not </w:t>
      </w:r>
      <w:r w:rsidR="00E15FEF" w:rsidRPr="003F658E">
        <w:rPr>
          <w:rFonts w:eastAsia="Calibri" w:cs="Arial"/>
          <w:lang w:val="en-GB"/>
        </w:rPr>
        <w:t xml:space="preserve">always </w:t>
      </w:r>
      <w:r w:rsidR="00585035" w:rsidRPr="003F658E">
        <w:rPr>
          <w:rFonts w:eastAsia="Calibri" w:cs="Arial"/>
          <w:lang w:val="en-GB"/>
        </w:rPr>
        <w:t xml:space="preserve">acting as it should to protect patients in such cases. </w:t>
      </w:r>
    </w:p>
    <w:p w14:paraId="18E8EDCC" w14:textId="77777777" w:rsidR="009B30DA" w:rsidRPr="003F658E" w:rsidRDefault="009B30DA" w:rsidP="003F658E">
      <w:pPr>
        <w:spacing w:line="360" w:lineRule="auto"/>
        <w:jc w:val="both"/>
        <w:rPr>
          <w:rFonts w:eastAsia="Calibri" w:cs="Arial"/>
          <w:lang w:val="en-GB"/>
        </w:rPr>
      </w:pPr>
    </w:p>
    <w:p w14:paraId="193370E5" w14:textId="41F3F38B" w:rsidR="349838CE" w:rsidRPr="003F658E" w:rsidRDefault="349838CE" w:rsidP="15ABA772">
      <w:pPr>
        <w:spacing w:line="360" w:lineRule="auto"/>
        <w:jc w:val="both"/>
        <w:rPr>
          <w:rFonts w:eastAsia="Calibri" w:cs="Arial"/>
          <w:lang w:val="en-GB"/>
        </w:rPr>
      </w:pPr>
      <w:r w:rsidRPr="003F658E">
        <w:rPr>
          <w:rFonts w:eastAsia="Calibri" w:cs="Arial"/>
          <w:lang w:val="en-GB"/>
        </w:rPr>
        <w:t xml:space="preserve">A second difficulty for AMHPs is deciding </w:t>
      </w:r>
      <w:r w:rsidRPr="15ABA772">
        <w:rPr>
          <w:rFonts w:eastAsia="Calibri" w:cs="Arial"/>
          <w:i/>
          <w:iCs/>
          <w:lang w:val="en-GB"/>
        </w:rPr>
        <w:t>when</w:t>
      </w:r>
      <w:r w:rsidRPr="003F658E">
        <w:rPr>
          <w:rFonts w:eastAsia="Calibri" w:cs="Arial"/>
          <w:lang w:val="en-GB"/>
        </w:rPr>
        <w:t xml:space="preserve"> it might be appropriate to consult the NR.  Section 11(4) of the MHA (</w:t>
      </w:r>
      <w:r w:rsidR="007A46A7" w:rsidRPr="003F658E">
        <w:rPr>
          <w:rFonts w:eastAsia="Calibri" w:cs="Arial"/>
          <w:lang w:val="en-GB"/>
        </w:rPr>
        <w:t xml:space="preserve">as </w:t>
      </w:r>
      <w:r w:rsidRPr="003F658E">
        <w:rPr>
          <w:rFonts w:eastAsia="Calibri" w:cs="Arial"/>
          <w:lang w:val="en-GB"/>
        </w:rPr>
        <w:t>revised under the MHA 2007) states that AMHPs should not make an application for detention under section 3 in cases where they have consulted the NR and they object.  However, the section goes onto state that an AMHP</w:t>
      </w:r>
      <w:r w:rsidR="00D310F2" w:rsidRPr="003F658E">
        <w:rPr>
          <w:rFonts w:eastAsia="Calibri" w:cs="Arial"/>
          <w:lang w:val="en-GB"/>
        </w:rPr>
        <w:t xml:space="preserve"> may</w:t>
      </w:r>
      <w:r w:rsidRPr="003F658E">
        <w:rPr>
          <w:rFonts w:eastAsia="Calibri" w:cs="Arial"/>
          <w:lang w:val="en-GB"/>
        </w:rPr>
        <w:t xml:space="preserve"> deci</w:t>
      </w:r>
      <w:r w:rsidR="0062556F" w:rsidRPr="003F658E">
        <w:rPr>
          <w:rFonts w:eastAsia="Calibri" w:cs="Arial"/>
          <w:lang w:val="en-GB"/>
        </w:rPr>
        <w:t>de not to consult a</w:t>
      </w:r>
      <w:r w:rsidR="00C766AB" w:rsidRPr="003F658E">
        <w:rPr>
          <w:rFonts w:eastAsia="Calibri" w:cs="Arial"/>
          <w:lang w:val="en-GB"/>
        </w:rPr>
        <w:t xml:space="preserve"> NR where, ‘</w:t>
      </w:r>
      <w:r w:rsidRPr="003F658E">
        <w:rPr>
          <w:rFonts w:eastAsia="Calibri" w:cs="Arial"/>
          <w:lang w:val="en-GB"/>
        </w:rPr>
        <w:t>it appears to the AMHP that, in the circumstances (a) it is not reasonably practicable or (b) w</w:t>
      </w:r>
      <w:r w:rsidR="00C766AB" w:rsidRPr="003F658E">
        <w:rPr>
          <w:rFonts w:eastAsia="Calibri" w:cs="Arial"/>
          <w:lang w:val="en-GB"/>
        </w:rPr>
        <w:t xml:space="preserve">ould involve </w:t>
      </w:r>
      <w:r w:rsidR="00C766AB" w:rsidRPr="00BB3A00">
        <w:rPr>
          <w:rFonts w:eastAsia="Calibri" w:cs="Arial"/>
          <w:i/>
          <w:lang w:val="en-GB"/>
        </w:rPr>
        <w:t>unreasonable delay’</w:t>
      </w:r>
      <w:r w:rsidRPr="003F658E">
        <w:rPr>
          <w:rFonts w:eastAsia="Calibri" w:cs="Arial"/>
          <w:lang w:val="en-GB"/>
        </w:rPr>
        <w:t xml:space="preserve"> (section 11 (4b)</w:t>
      </w:r>
      <w:r w:rsidR="00BB3A00">
        <w:rPr>
          <w:rFonts w:eastAsia="Calibri" w:cs="Arial"/>
          <w:lang w:val="en-GB"/>
        </w:rPr>
        <w:t>, emphasis added</w:t>
      </w:r>
      <w:r w:rsidRPr="003F658E">
        <w:rPr>
          <w:rFonts w:eastAsia="Calibri" w:cs="Arial"/>
          <w:lang w:val="en-GB"/>
        </w:rPr>
        <w:t xml:space="preserve">).   The </w:t>
      </w:r>
      <w:r w:rsidR="0062556F" w:rsidRPr="003F658E">
        <w:rPr>
          <w:rFonts w:eastAsia="Calibri" w:cs="Arial"/>
          <w:lang w:val="en-GB"/>
        </w:rPr>
        <w:t xml:space="preserve">MHA </w:t>
      </w:r>
      <w:r w:rsidRPr="003F658E">
        <w:rPr>
          <w:rFonts w:eastAsia="Calibri" w:cs="Arial"/>
          <w:lang w:val="en-GB"/>
        </w:rPr>
        <w:t xml:space="preserve">Code of Practice states that circumstances in which </w:t>
      </w:r>
      <w:r w:rsidR="00D310F2" w:rsidRPr="003F658E">
        <w:rPr>
          <w:rFonts w:eastAsia="Calibri" w:cs="Arial"/>
          <w:lang w:val="en-GB"/>
        </w:rPr>
        <w:t>consultation would be deemed im</w:t>
      </w:r>
      <w:r w:rsidRPr="003F658E">
        <w:rPr>
          <w:rFonts w:eastAsia="Calibri" w:cs="Arial"/>
          <w:lang w:val="en-GB"/>
        </w:rPr>
        <w:t>practicable would be cases where identifying the NR would cause the AMHP an unreasonable amount of investigation or delay or cases where the NR is mentally incapable of making a decision (para</w:t>
      </w:r>
      <w:r w:rsidR="003B2D14" w:rsidRPr="003F658E">
        <w:rPr>
          <w:rFonts w:eastAsia="Calibri" w:cs="Arial"/>
          <w:lang w:val="en-GB"/>
        </w:rPr>
        <w:t>.</w:t>
      </w:r>
      <w:r w:rsidRPr="003F658E">
        <w:rPr>
          <w:rFonts w:eastAsia="Calibri" w:cs="Arial"/>
          <w:lang w:val="en-GB"/>
        </w:rPr>
        <w:t xml:space="preserve"> 14.60).  However, where the identity of the NR is clear</w:t>
      </w:r>
      <w:r w:rsidR="00D310F2" w:rsidRPr="003F658E">
        <w:rPr>
          <w:rFonts w:eastAsia="Calibri" w:cs="Arial"/>
          <w:lang w:val="en-GB"/>
        </w:rPr>
        <w:t>,</w:t>
      </w:r>
      <w:r w:rsidRPr="003F658E">
        <w:rPr>
          <w:rFonts w:eastAsia="Calibri" w:cs="Arial"/>
          <w:lang w:val="en-GB"/>
        </w:rPr>
        <w:t xml:space="preserve"> there may also be cases where consultation is deem</w:t>
      </w:r>
      <w:r w:rsidR="00D310F2" w:rsidRPr="003F658E">
        <w:rPr>
          <w:rFonts w:eastAsia="Calibri" w:cs="Arial"/>
          <w:lang w:val="en-GB"/>
        </w:rPr>
        <w:t xml:space="preserve">ed to be impracticable due to a </w:t>
      </w:r>
      <w:r w:rsidR="004553F8" w:rsidRPr="003F658E">
        <w:rPr>
          <w:rFonts w:eastAsia="Calibri" w:cs="Arial"/>
          <w:lang w:val="en-GB"/>
        </w:rPr>
        <w:t>patient</w:t>
      </w:r>
      <w:r w:rsidRPr="003F658E">
        <w:rPr>
          <w:rFonts w:eastAsia="Calibri" w:cs="Arial"/>
          <w:lang w:val="en-GB"/>
        </w:rPr>
        <w:t xml:space="preserve"> having </w:t>
      </w:r>
      <w:r w:rsidRPr="003F658E">
        <w:rPr>
          <w:rFonts w:eastAsia="Calibri" w:cs="Arial"/>
          <w:lang w:val="en-GB"/>
        </w:rPr>
        <w:lastRenderedPageBreak/>
        <w:t>expressed a view</w:t>
      </w:r>
      <w:r w:rsidR="00665F33" w:rsidRPr="003F658E">
        <w:rPr>
          <w:rFonts w:eastAsia="Calibri" w:cs="Arial"/>
          <w:lang w:val="en-GB"/>
        </w:rPr>
        <w:t>,</w:t>
      </w:r>
      <w:r w:rsidRPr="003F658E">
        <w:rPr>
          <w:rFonts w:eastAsia="Calibri" w:cs="Arial"/>
          <w:lang w:val="en-GB"/>
        </w:rPr>
        <w:t xml:space="preserve"> either</w:t>
      </w:r>
      <w:r w:rsidR="00665F33" w:rsidRPr="003F658E">
        <w:rPr>
          <w:rFonts w:eastAsia="Calibri" w:cs="Arial"/>
          <w:lang w:val="en-GB"/>
        </w:rPr>
        <w:t xml:space="preserve"> verbally or through an advance</w:t>
      </w:r>
      <w:r w:rsidRPr="003F658E">
        <w:rPr>
          <w:rFonts w:eastAsia="Calibri" w:cs="Arial"/>
          <w:lang w:val="en-GB"/>
        </w:rPr>
        <w:t xml:space="preserve"> </w:t>
      </w:r>
      <w:r w:rsidR="00D310F2" w:rsidRPr="003F658E">
        <w:rPr>
          <w:rFonts w:eastAsia="Calibri" w:cs="Arial"/>
          <w:lang w:val="en-GB"/>
        </w:rPr>
        <w:t>statement</w:t>
      </w:r>
      <w:r w:rsidR="00665F33" w:rsidRPr="003F658E">
        <w:rPr>
          <w:rFonts w:eastAsia="Calibri" w:cs="Arial"/>
          <w:lang w:val="en-GB"/>
        </w:rPr>
        <w:t>,</w:t>
      </w:r>
      <w:r w:rsidR="00D310F2" w:rsidRPr="003F658E">
        <w:rPr>
          <w:rFonts w:eastAsia="Calibri" w:cs="Arial"/>
          <w:lang w:val="en-GB"/>
        </w:rPr>
        <w:t xml:space="preserve"> that they do not wish </w:t>
      </w:r>
      <w:r w:rsidRPr="003F658E">
        <w:rPr>
          <w:rFonts w:eastAsia="Calibri" w:cs="Arial"/>
          <w:lang w:val="en-GB"/>
        </w:rPr>
        <w:t xml:space="preserve">the NR to be consulted.  As the NR role is intended to be a safeguard, AMHPs will need to balance the pros and cons of consultation rather than accepting a </w:t>
      </w:r>
      <w:r w:rsidR="004553F8" w:rsidRPr="003F658E">
        <w:rPr>
          <w:rFonts w:eastAsia="Calibri" w:cs="Arial"/>
          <w:lang w:val="en-GB"/>
        </w:rPr>
        <w:t>patient</w:t>
      </w:r>
      <w:r w:rsidR="00665F33" w:rsidRPr="003F658E">
        <w:rPr>
          <w:rFonts w:eastAsia="Calibri" w:cs="Arial"/>
          <w:lang w:val="en-GB"/>
        </w:rPr>
        <w:t xml:space="preserve">’s view in an unquestioning way, being mindful also of the need to protect and carefully balance the </w:t>
      </w:r>
      <w:r w:rsidR="004553F8" w:rsidRPr="003F658E">
        <w:rPr>
          <w:rFonts w:eastAsia="Calibri" w:cs="Arial"/>
          <w:lang w:val="en-GB"/>
        </w:rPr>
        <w:t>patient</w:t>
      </w:r>
      <w:r w:rsidR="00665F33" w:rsidRPr="003F658E">
        <w:rPr>
          <w:rFonts w:eastAsia="Calibri" w:cs="Arial"/>
          <w:lang w:val="en-GB"/>
        </w:rPr>
        <w:t>’s rights under the ECHR.</w:t>
      </w:r>
      <w:r w:rsidRPr="003F658E">
        <w:rPr>
          <w:rFonts w:eastAsia="Calibri" w:cs="Arial"/>
          <w:lang w:val="en-GB"/>
        </w:rPr>
        <w:t xml:space="preserve"> </w:t>
      </w:r>
      <w:r w:rsidR="00665F33" w:rsidRPr="003F658E">
        <w:rPr>
          <w:rFonts w:eastAsia="Calibri" w:cs="Arial"/>
          <w:lang w:val="en-GB"/>
        </w:rPr>
        <w:t>C</w:t>
      </w:r>
      <w:r w:rsidRPr="003F658E">
        <w:rPr>
          <w:rFonts w:eastAsia="Calibri" w:cs="Arial"/>
          <w:lang w:val="en-GB"/>
        </w:rPr>
        <w:t>ase law has established that in making this judgement</w:t>
      </w:r>
      <w:r w:rsidR="00665F33" w:rsidRPr="003F658E">
        <w:rPr>
          <w:rFonts w:eastAsia="Calibri" w:cs="Arial"/>
          <w:lang w:val="en-GB"/>
        </w:rPr>
        <w:t xml:space="preserve">, AMHPs </w:t>
      </w:r>
      <w:r w:rsidRPr="003F658E">
        <w:rPr>
          <w:rFonts w:eastAsia="Calibri" w:cs="Arial"/>
          <w:lang w:val="en-GB"/>
        </w:rPr>
        <w:t xml:space="preserve">will need to </w:t>
      </w:r>
      <w:r w:rsidR="002A70C2" w:rsidRPr="003F658E">
        <w:rPr>
          <w:rFonts w:eastAsia="Calibri" w:cs="Arial"/>
          <w:lang w:val="en-GB"/>
        </w:rPr>
        <w:t>consider</w:t>
      </w:r>
      <w:r w:rsidRPr="003F658E">
        <w:rPr>
          <w:rFonts w:eastAsia="Calibri" w:cs="Arial"/>
          <w:lang w:val="en-GB"/>
        </w:rPr>
        <w:t xml:space="preserve"> the possible detrimental effects on the patient due to previous abuse and</w:t>
      </w:r>
      <w:r w:rsidR="00D310F2" w:rsidRPr="003F658E">
        <w:rPr>
          <w:rFonts w:eastAsia="Calibri" w:cs="Arial"/>
          <w:lang w:val="en-GB"/>
        </w:rPr>
        <w:t>, as noted above,</w:t>
      </w:r>
      <w:r w:rsidRPr="003F658E">
        <w:rPr>
          <w:rFonts w:eastAsia="Calibri" w:cs="Arial"/>
          <w:lang w:val="en-GB"/>
        </w:rPr>
        <w:t xml:space="preserve"> should also consider the patient’s right to a private and family </w:t>
      </w:r>
      <w:r w:rsidR="007A46A7" w:rsidRPr="003F658E">
        <w:rPr>
          <w:rFonts w:eastAsia="Calibri" w:cs="Arial"/>
          <w:lang w:val="en-GB"/>
        </w:rPr>
        <w:t>life</w:t>
      </w:r>
      <w:r w:rsidR="00AB373B" w:rsidRPr="003F658E">
        <w:rPr>
          <w:rFonts w:eastAsia="Calibri" w:cs="Arial"/>
          <w:lang w:val="en-GB"/>
        </w:rPr>
        <w:t>, and confidentiality,</w:t>
      </w:r>
      <w:r w:rsidR="007A46A7" w:rsidRPr="003F658E">
        <w:rPr>
          <w:rFonts w:eastAsia="Calibri" w:cs="Arial"/>
          <w:lang w:val="en-GB"/>
        </w:rPr>
        <w:t xml:space="preserve"> </w:t>
      </w:r>
      <w:r w:rsidRPr="003F658E">
        <w:rPr>
          <w:rFonts w:eastAsia="Calibri" w:cs="Arial"/>
          <w:lang w:val="en-GB"/>
        </w:rPr>
        <w:t>under</w:t>
      </w:r>
      <w:r w:rsidR="009B30DA" w:rsidRPr="003F658E">
        <w:rPr>
          <w:rFonts w:eastAsia="Calibri" w:cs="Arial"/>
          <w:lang w:val="en-GB"/>
        </w:rPr>
        <w:t xml:space="preserve"> Article 8 of</w:t>
      </w:r>
      <w:r w:rsidRPr="003F658E">
        <w:rPr>
          <w:rFonts w:eastAsia="Calibri" w:cs="Arial"/>
          <w:lang w:val="en-GB"/>
        </w:rPr>
        <w:t xml:space="preserve"> the</w:t>
      </w:r>
      <w:r w:rsidR="00665F33" w:rsidRPr="003F658E">
        <w:rPr>
          <w:rFonts w:eastAsia="Calibri" w:cs="Arial"/>
          <w:lang w:val="en-GB"/>
        </w:rPr>
        <w:t xml:space="preserve"> ECHR</w:t>
      </w:r>
      <w:r w:rsidR="00C766AB" w:rsidRPr="003F658E">
        <w:rPr>
          <w:rFonts w:eastAsia="Calibri" w:cs="Arial"/>
          <w:lang w:val="en-GB"/>
        </w:rPr>
        <w:t>.</w:t>
      </w:r>
      <w:r w:rsidR="00C766AB" w:rsidRPr="003F658E">
        <w:rPr>
          <w:rStyle w:val="FootnoteReference"/>
          <w:rFonts w:eastAsia="Calibri" w:cs="Arial"/>
          <w:lang w:val="en-GB"/>
        </w:rPr>
        <w:footnoteReference w:id="47"/>
      </w:r>
      <w:r w:rsidRPr="003F658E">
        <w:rPr>
          <w:rFonts w:eastAsia="Calibri" w:cs="Arial"/>
          <w:lang w:val="en-GB"/>
        </w:rPr>
        <w:t xml:space="preserve">  Whilst no research has been conducted since the MHA 2007 revisions took place, A</w:t>
      </w:r>
      <w:r w:rsidR="00665F33" w:rsidRPr="003F658E">
        <w:rPr>
          <w:rFonts w:eastAsia="Calibri" w:cs="Arial"/>
          <w:lang w:val="en-GB"/>
        </w:rPr>
        <w:t xml:space="preserve">pproved </w:t>
      </w:r>
      <w:r w:rsidRPr="003F658E">
        <w:rPr>
          <w:rFonts w:eastAsia="Calibri" w:cs="Arial"/>
          <w:lang w:val="en-GB"/>
        </w:rPr>
        <w:t>S</w:t>
      </w:r>
      <w:r w:rsidR="00665F33" w:rsidRPr="003F658E">
        <w:rPr>
          <w:rFonts w:eastAsia="Calibri" w:cs="Arial"/>
          <w:lang w:val="en-GB"/>
        </w:rPr>
        <w:t xml:space="preserve">ocial </w:t>
      </w:r>
      <w:r w:rsidRPr="003F658E">
        <w:rPr>
          <w:rFonts w:eastAsia="Calibri" w:cs="Arial"/>
          <w:lang w:val="en-GB"/>
        </w:rPr>
        <w:t>W</w:t>
      </w:r>
      <w:r w:rsidR="00665F33" w:rsidRPr="003F658E">
        <w:rPr>
          <w:rFonts w:eastAsia="Calibri" w:cs="Arial"/>
          <w:lang w:val="en-GB"/>
        </w:rPr>
        <w:t>orker</w:t>
      </w:r>
      <w:r w:rsidRPr="003F658E">
        <w:rPr>
          <w:rFonts w:eastAsia="Calibri" w:cs="Arial"/>
          <w:lang w:val="en-GB"/>
        </w:rPr>
        <w:t xml:space="preserve">s </w:t>
      </w:r>
      <w:r w:rsidR="00665F33" w:rsidRPr="003F658E">
        <w:rPr>
          <w:rFonts w:eastAsia="Calibri" w:cs="Arial"/>
          <w:lang w:val="en-GB"/>
        </w:rPr>
        <w:t xml:space="preserve">(now AMHPs) </w:t>
      </w:r>
      <w:r w:rsidRPr="003F658E">
        <w:rPr>
          <w:rFonts w:eastAsia="Calibri" w:cs="Arial"/>
          <w:lang w:val="en-GB"/>
        </w:rPr>
        <w:t xml:space="preserve">in Rappaport’s (2004) research noted </w:t>
      </w:r>
      <w:r w:rsidR="002A70C2" w:rsidRPr="003F658E">
        <w:rPr>
          <w:rFonts w:eastAsia="Calibri" w:cs="Arial"/>
          <w:lang w:val="en-GB"/>
        </w:rPr>
        <w:t>many</w:t>
      </w:r>
      <w:r w:rsidRPr="003F658E">
        <w:rPr>
          <w:rFonts w:eastAsia="Calibri" w:cs="Arial"/>
          <w:lang w:val="en-GB"/>
        </w:rPr>
        <w:t xml:space="preserve"> difficulties in the operation of the law.  Specifically, some NRs might be excluded from the consultation process because their contact details had been excluded from databases or because mental health staff did not make efforts to find them due to workload pressures.  Similarly, Local Authorities were viewed as being reluctant to displace NRs viewed as inappropriate by ASWs due to cost pressures.  </w:t>
      </w:r>
    </w:p>
    <w:p w14:paraId="0A815627" w14:textId="77777777" w:rsidR="0061794E" w:rsidRPr="003F658E" w:rsidRDefault="0061794E" w:rsidP="003F658E">
      <w:pPr>
        <w:spacing w:line="360" w:lineRule="auto"/>
        <w:jc w:val="both"/>
        <w:rPr>
          <w:rFonts w:cs="Arial"/>
        </w:rPr>
      </w:pPr>
    </w:p>
    <w:p w14:paraId="3F85890A" w14:textId="092CFA65" w:rsidR="349838CE" w:rsidRPr="003F658E" w:rsidRDefault="538429F5" w:rsidP="003F658E">
      <w:pPr>
        <w:spacing w:line="360" w:lineRule="auto"/>
        <w:jc w:val="both"/>
        <w:rPr>
          <w:rFonts w:eastAsia="Calibri" w:cs="Arial"/>
          <w:lang w:val="en-GB"/>
        </w:rPr>
      </w:pPr>
      <w:r w:rsidRPr="003F658E">
        <w:rPr>
          <w:rFonts w:eastAsia="Calibri" w:cs="Arial"/>
          <w:lang w:val="en-GB"/>
        </w:rPr>
        <w:t>A final point to note is that NRs are afforded considerable rights and powers but it is unclear to what degree they aware of these, and this clearly impacts on their ability to provide an adequate safeguard.  As NRs have a right to be informed about an admission under section 2 of the MHA or consulted about admissions under section 3, they should, in theory, receive information about their role from AMHPs or hospital mangers.  Annual Mental Health Act monitoring reports by the Care Quality Commission (CQC, 2016, 15, 14) have not reported the levels of consultation or information provided to NRs, although they have indicated in general terms that hospitals are failing to make NRs and carers aware of their legal rights (CQC, 2015, 2014).   There is limited research to date on the experiences of NR, but some qualitative accounts indicate a number of potential problems with their awareness of the role.  For example, a patient interviewed by the CQC indicates that not all NRs may be aware of their right to object, as the quote below demonstrates:</w:t>
      </w:r>
    </w:p>
    <w:p w14:paraId="1601E277" w14:textId="77777777" w:rsidR="0061794E" w:rsidRPr="003F658E" w:rsidRDefault="0061794E" w:rsidP="003F658E">
      <w:pPr>
        <w:spacing w:line="360" w:lineRule="auto"/>
        <w:jc w:val="both"/>
        <w:rPr>
          <w:rFonts w:cs="Arial"/>
        </w:rPr>
      </w:pPr>
    </w:p>
    <w:p w14:paraId="45AFD7D7" w14:textId="3AB194A7" w:rsidR="0061794E" w:rsidRPr="003F658E" w:rsidRDefault="538429F5" w:rsidP="003F658E">
      <w:pPr>
        <w:spacing w:line="360" w:lineRule="auto"/>
        <w:ind w:left="720"/>
        <w:jc w:val="both"/>
        <w:rPr>
          <w:rFonts w:eastAsia="Calibri" w:cs="Arial"/>
          <w:lang w:val="en-GB"/>
        </w:rPr>
      </w:pPr>
      <w:r w:rsidRPr="003F658E">
        <w:rPr>
          <w:rFonts w:eastAsia="Calibri" w:cs="Arial"/>
          <w:i/>
          <w:iCs/>
          <w:lang w:val="en-GB"/>
        </w:rPr>
        <w:lastRenderedPageBreak/>
        <w:t>‘…carers can object to out-of-area placements; some AMHPs are very good at explaining this, but some don’t…. I know carers all over the country who didn’t know that you could do that [object to admission] weren’t aware that you could step in and stop the section’</w:t>
      </w:r>
      <w:r w:rsidRPr="003F658E">
        <w:rPr>
          <w:rFonts w:eastAsia="Calibri" w:cs="Arial"/>
          <w:lang w:val="en-GB"/>
        </w:rPr>
        <w:t xml:space="preserve"> (CQC, 2016: 29).   </w:t>
      </w:r>
    </w:p>
    <w:p w14:paraId="584FB231" w14:textId="05F8387D" w:rsidR="349838CE" w:rsidRPr="003F658E" w:rsidRDefault="349838CE" w:rsidP="003F658E">
      <w:pPr>
        <w:spacing w:line="360" w:lineRule="auto"/>
        <w:ind w:left="720"/>
        <w:jc w:val="both"/>
        <w:rPr>
          <w:rFonts w:cs="Arial"/>
        </w:rPr>
      </w:pPr>
      <w:r w:rsidRPr="003F658E">
        <w:rPr>
          <w:rFonts w:eastAsia="Calibri" w:cs="Arial"/>
          <w:lang w:val="en-GB"/>
        </w:rPr>
        <w:t xml:space="preserve">    </w:t>
      </w:r>
    </w:p>
    <w:p w14:paraId="5EDB9547" w14:textId="78460236" w:rsidR="00BB3A00" w:rsidRDefault="1051A058" w:rsidP="003F658E">
      <w:pPr>
        <w:spacing w:line="360" w:lineRule="auto"/>
        <w:jc w:val="both"/>
        <w:rPr>
          <w:rFonts w:cs="Arial"/>
        </w:rPr>
      </w:pPr>
      <w:r w:rsidRPr="003F658E">
        <w:rPr>
          <w:rFonts w:eastAsia="Calibri" w:cs="Arial"/>
          <w:lang w:val="en-GB"/>
        </w:rPr>
        <w:t>Similarly, NRs in Rappaport’s research indicated that whilst they had been identified as NRs, they had not been or made aware that they had the power to request a MHA assessment.  NRs in this study indicated that had they been aware of this power, they would have requested an assessment.  They also felt that they were only able to access information about discharge decisions in cases where they were willing to be 'pushy' (Rappaport, 2003: 63).  Qualitative research elsewhere indicates that this level of dissatisfaction may not be typical of all. For example, in the case of individuals who had been made subject to a Community Treatment Order, NRs felt happy with the level of consultation and felt that the order acted to improve communication between service providers and NRs (Banks et al, 2016).  T</w:t>
      </w:r>
      <w:r w:rsidR="7A7BE4F1" w:rsidRPr="003F658E">
        <w:rPr>
          <w:rFonts w:eastAsia="Calibri" w:cs="Arial"/>
          <w:lang w:val="en-GB"/>
        </w:rPr>
        <w:t>here is currently little research which indicates how advocacy by NRs interacts with the professional advocac</w:t>
      </w:r>
      <w:r w:rsidR="09BD5C94" w:rsidRPr="003F658E">
        <w:rPr>
          <w:rFonts w:eastAsia="Calibri" w:cs="Arial"/>
          <w:lang w:val="en-GB"/>
        </w:rPr>
        <w:t>y services</w:t>
      </w:r>
      <w:r w:rsidR="7A7BE4F1" w:rsidRPr="003F658E">
        <w:rPr>
          <w:rFonts w:eastAsia="Calibri" w:cs="Arial"/>
          <w:lang w:val="en-GB"/>
        </w:rPr>
        <w:t xml:space="preserve">.  </w:t>
      </w:r>
      <w:r w:rsidR="426DBE80" w:rsidRPr="003F658E">
        <w:rPr>
          <w:rFonts w:eastAsia="Calibri" w:cs="Arial"/>
          <w:lang w:val="en-GB"/>
        </w:rPr>
        <w:t xml:space="preserve">Research with </w:t>
      </w:r>
      <w:r w:rsidR="37E55D8F" w:rsidRPr="003F658E">
        <w:rPr>
          <w:rFonts w:eastAsia="Calibri" w:cs="Arial"/>
          <w:lang w:val="en-GB"/>
        </w:rPr>
        <w:t xml:space="preserve">the carers of dementia patients </w:t>
      </w:r>
      <w:r w:rsidR="3CA33F98" w:rsidRPr="003F658E">
        <w:rPr>
          <w:rFonts w:eastAsia="Calibri" w:cs="Arial"/>
          <w:lang w:val="en-GB"/>
        </w:rPr>
        <w:t xml:space="preserve">(Emmett et al, 2014) </w:t>
      </w:r>
      <w:r w:rsidR="37E55D8F" w:rsidRPr="003F658E">
        <w:rPr>
          <w:rFonts w:eastAsia="Calibri" w:cs="Arial"/>
          <w:lang w:val="en-GB"/>
        </w:rPr>
        <w:t xml:space="preserve">has found that relatives frequently </w:t>
      </w:r>
      <w:r w:rsidR="58FE421F" w:rsidRPr="003F658E">
        <w:rPr>
          <w:rFonts w:eastAsia="Calibri" w:cs="Arial"/>
          <w:lang w:val="en-GB"/>
        </w:rPr>
        <w:t>see themselves as advocating for their relatives through helping them to communicate their needs and wishes</w:t>
      </w:r>
      <w:r w:rsidR="4098DB0E" w:rsidRPr="003F658E">
        <w:rPr>
          <w:rFonts w:eastAsia="Calibri" w:cs="Arial"/>
          <w:lang w:val="en-GB"/>
        </w:rPr>
        <w:t xml:space="preserve">.  </w:t>
      </w:r>
      <w:r w:rsidR="567604D9" w:rsidRPr="003F658E">
        <w:rPr>
          <w:rFonts w:eastAsia="Calibri" w:cs="Arial"/>
          <w:lang w:val="en-GB"/>
        </w:rPr>
        <w:t>In doing so, they overlapped with professional advocat</w:t>
      </w:r>
      <w:r w:rsidR="4EE556EE" w:rsidRPr="003F658E">
        <w:rPr>
          <w:rFonts w:eastAsia="Calibri" w:cs="Arial"/>
          <w:lang w:val="en-GB"/>
        </w:rPr>
        <w:t>es on the ward;</w:t>
      </w:r>
      <w:r w:rsidR="567604D9" w:rsidRPr="003F658E">
        <w:rPr>
          <w:rFonts w:eastAsia="Calibri" w:cs="Arial"/>
          <w:lang w:val="en-GB"/>
        </w:rPr>
        <w:t xml:space="preserve"> </w:t>
      </w:r>
      <w:r w:rsidR="4EE556EE" w:rsidRPr="003F658E">
        <w:rPr>
          <w:rFonts w:eastAsia="Calibri" w:cs="Arial"/>
          <w:lang w:val="en-GB"/>
        </w:rPr>
        <w:t xml:space="preserve">who in this case were IMCAs.  Research focussing on patient staff and carer perspectives of the IMHA service </w:t>
      </w:r>
      <w:r w:rsidR="19FCB4A2" w:rsidRPr="003F658E">
        <w:rPr>
          <w:rFonts w:eastAsia="Calibri" w:cs="Arial"/>
          <w:lang w:val="en-GB"/>
        </w:rPr>
        <w:t>(Newbigging et al, 2014)</w:t>
      </w:r>
      <w:r w:rsidR="4EE556EE" w:rsidRPr="003F658E">
        <w:rPr>
          <w:rFonts w:eastAsia="Calibri" w:cs="Arial"/>
          <w:lang w:val="en-GB"/>
        </w:rPr>
        <w:t xml:space="preserve"> </w:t>
      </w:r>
      <w:r w:rsidR="19FCB4A2" w:rsidRPr="003F658E">
        <w:rPr>
          <w:rFonts w:eastAsia="Calibri" w:cs="Arial"/>
          <w:lang w:val="en-GB"/>
        </w:rPr>
        <w:t xml:space="preserve">has found that carers </w:t>
      </w:r>
      <w:r w:rsidR="09BD5C94" w:rsidRPr="003F658E">
        <w:rPr>
          <w:rFonts w:eastAsia="Calibri" w:cs="Arial"/>
          <w:lang w:val="en-GB"/>
        </w:rPr>
        <w:t>were largely unaw</w:t>
      </w:r>
      <w:r w:rsidR="4814C561" w:rsidRPr="003F658E">
        <w:rPr>
          <w:rFonts w:eastAsia="Calibri" w:cs="Arial"/>
          <w:lang w:val="en-GB"/>
        </w:rPr>
        <w:t xml:space="preserve">are of the existence of the IMHA service; although those who were viewed the service as being of value to patients detained in hospital.  </w:t>
      </w:r>
      <w:r w:rsidR="516C47E8" w:rsidRPr="003F658E">
        <w:rPr>
          <w:rFonts w:eastAsia="Calibri" w:cs="Arial"/>
          <w:lang w:val="en-GB"/>
        </w:rPr>
        <w:t>T</w:t>
      </w:r>
      <w:r w:rsidRPr="003F658E">
        <w:rPr>
          <w:rFonts w:eastAsia="Calibri" w:cs="Arial"/>
          <w:lang w:val="en-GB"/>
        </w:rPr>
        <w:t xml:space="preserve">here is obviously some disparity and inconsistency in the provision of information to NR about their rights and duties, and </w:t>
      </w:r>
      <w:r w:rsidRPr="003F658E">
        <w:rPr>
          <w:rFonts w:cs="Arial"/>
        </w:rPr>
        <w:t>Keywood has cautioned against over-reliance on carers/ family members in the compulsory admission process without the provision of adequate training and support about the role (2003: 363)</w:t>
      </w:r>
      <w:r w:rsidR="00BB3A00">
        <w:rPr>
          <w:rFonts w:cs="Arial"/>
        </w:rPr>
        <w:t>. As she has identified: ‘…there is acknowledged a considerable deficit of skill and expertise among NRs performing their responsibilities under the Act’ (2010: 330)</w:t>
      </w:r>
    </w:p>
    <w:p w14:paraId="758969F9" w14:textId="77777777" w:rsidR="00BB3A00" w:rsidRDefault="00BB3A00" w:rsidP="003F658E">
      <w:pPr>
        <w:spacing w:line="360" w:lineRule="auto"/>
        <w:jc w:val="both"/>
        <w:rPr>
          <w:rFonts w:cs="Arial"/>
        </w:rPr>
      </w:pPr>
    </w:p>
    <w:p w14:paraId="4E69C674" w14:textId="2EE9B084" w:rsidR="00D560D2" w:rsidRPr="00BB3A00" w:rsidRDefault="1051A058" w:rsidP="003F658E">
      <w:pPr>
        <w:spacing w:line="360" w:lineRule="auto"/>
        <w:jc w:val="both"/>
        <w:rPr>
          <w:rFonts w:cs="Arial"/>
        </w:rPr>
      </w:pPr>
      <w:r w:rsidRPr="003F658E">
        <w:rPr>
          <w:rFonts w:cs="Arial"/>
        </w:rPr>
        <w:t xml:space="preserve">This is indeed a key issue, and there is a paucity of information available about any guidance or support that may be available to NRs. </w:t>
      </w:r>
      <w:r w:rsidRPr="003F658E">
        <w:rPr>
          <w:rFonts w:eastAsia="Calibri" w:cs="Arial"/>
          <w:lang w:val="en-GB"/>
        </w:rPr>
        <w:t xml:space="preserve">A postal satisfaction survey of 32 NRs in 2015 indicated that, whilst NR experiences of AMHPs were largely positive, they would have valued greater levels of explanation and support from the AMHP to help them to navigate the </w:t>
      </w:r>
      <w:r w:rsidRPr="003F658E">
        <w:rPr>
          <w:rFonts w:eastAsia="Calibri" w:cs="Arial"/>
          <w:lang w:val="en-GB"/>
        </w:rPr>
        <w:lastRenderedPageBreak/>
        <w:t>complexities of mental health crisis intervention services (Stuart Smith: 350). There is no published information specifically on whether there is any MHA training and support for NRs, though it is likely that families are encountering similar challenges when faced with a relative in mental health crisis who may be in need of hospital admission under the MHA.</w:t>
      </w:r>
      <w:r w:rsidRPr="003F658E">
        <w:rPr>
          <w:rFonts w:cs="Arial"/>
        </w:rPr>
        <w:t xml:space="preserve"> </w:t>
      </w:r>
      <w:r w:rsidRPr="003F658E">
        <w:rPr>
          <w:rFonts w:eastAsia="Calibri" w:cs="Arial"/>
          <w:lang w:val="en-GB"/>
        </w:rPr>
        <w:t xml:space="preserve">Again, this points to the need for more comprehensive and up-to-date research with patients, families, carers and professionals about their perceptions and experiences of the NR system. </w:t>
      </w:r>
      <w:r w:rsidRPr="003F658E">
        <w:rPr>
          <w:rFonts w:eastAsia="Calibri" w:cs="Arial"/>
        </w:rPr>
        <w:t xml:space="preserve"> </w:t>
      </w:r>
    </w:p>
    <w:p w14:paraId="53F3B650" w14:textId="77777777" w:rsidR="00D560D2" w:rsidRPr="003F658E" w:rsidRDefault="00D560D2" w:rsidP="003F658E">
      <w:pPr>
        <w:spacing w:line="360" w:lineRule="auto"/>
        <w:jc w:val="both"/>
        <w:rPr>
          <w:rFonts w:eastAsia="Calibri" w:cs="Arial"/>
          <w:lang w:val="en-GB"/>
        </w:rPr>
      </w:pPr>
    </w:p>
    <w:p w14:paraId="0611BB51" w14:textId="32380365" w:rsidR="001E38D3" w:rsidRPr="003F658E" w:rsidRDefault="538429F5" w:rsidP="003F658E">
      <w:pPr>
        <w:spacing w:line="360" w:lineRule="auto"/>
        <w:jc w:val="both"/>
        <w:outlineLvl w:val="0"/>
        <w:rPr>
          <w:rFonts w:cs="Arial"/>
          <w:b/>
          <w:bCs/>
          <w:lang w:val="en-GB"/>
        </w:rPr>
      </w:pPr>
      <w:r w:rsidRPr="003F658E">
        <w:rPr>
          <w:rFonts w:eastAsia="Calibri" w:cs="Arial"/>
          <w:b/>
          <w:bCs/>
          <w:lang w:val="en-GB"/>
        </w:rPr>
        <w:t>C</w:t>
      </w:r>
      <w:r w:rsidRPr="003F658E">
        <w:rPr>
          <w:rFonts w:cs="Arial"/>
          <w:b/>
          <w:bCs/>
          <w:lang w:val="en-GB"/>
        </w:rPr>
        <w:t xml:space="preserve">onclusion </w:t>
      </w:r>
    </w:p>
    <w:p w14:paraId="6B3C3B0B" w14:textId="77777777" w:rsidR="0061794E" w:rsidRPr="003F658E" w:rsidRDefault="0061794E" w:rsidP="003F658E">
      <w:pPr>
        <w:spacing w:line="360" w:lineRule="auto"/>
        <w:jc w:val="both"/>
        <w:rPr>
          <w:rFonts w:cs="Arial"/>
          <w:b/>
          <w:bCs/>
          <w:lang w:val="en-GB"/>
        </w:rPr>
      </w:pPr>
    </w:p>
    <w:p w14:paraId="7A510207" w14:textId="0EFA5CED" w:rsidR="00111CAF" w:rsidRPr="003F658E" w:rsidRDefault="1051A058" w:rsidP="003F658E">
      <w:pPr>
        <w:spacing w:line="360" w:lineRule="auto"/>
        <w:jc w:val="both"/>
        <w:rPr>
          <w:rFonts w:cs="Arial"/>
          <w:lang w:val="en-GB"/>
        </w:rPr>
      </w:pPr>
      <w:r w:rsidRPr="003F658E">
        <w:rPr>
          <w:rFonts w:cs="Arial"/>
          <w:lang w:val="en-GB"/>
        </w:rPr>
        <w:t xml:space="preserve">This article has outlined the unique role of the </w:t>
      </w:r>
      <w:r w:rsidR="00E245F8" w:rsidRPr="003F658E">
        <w:rPr>
          <w:rFonts w:cs="Arial"/>
          <w:lang w:val="en-GB"/>
        </w:rPr>
        <w:t xml:space="preserve">NR </w:t>
      </w:r>
      <w:r w:rsidRPr="003F658E">
        <w:rPr>
          <w:rFonts w:cs="Arial"/>
          <w:lang w:val="en-GB"/>
        </w:rPr>
        <w:t xml:space="preserve">in the </w:t>
      </w:r>
      <w:r w:rsidR="00E245F8" w:rsidRPr="003F658E">
        <w:rPr>
          <w:rFonts w:cs="Arial"/>
          <w:lang w:val="en-GB"/>
        </w:rPr>
        <w:t xml:space="preserve">MHA 1983 </w:t>
      </w:r>
      <w:r w:rsidRPr="003F658E">
        <w:rPr>
          <w:rFonts w:cs="Arial"/>
          <w:lang w:val="en-GB"/>
        </w:rPr>
        <w:t>in England and Wales, and highlighted some of the confusion, tensions, and challenges with the identification and exercise of the role.  The analysis above has revealed that it is, at times, a fragile legal safeguard and there is some professional uncertainty surrounding the role. As a Department of Health consultation in 2015 on the rights of people with learning disabilit</w:t>
      </w:r>
      <w:r w:rsidR="00D560D2" w:rsidRPr="003F658E">
        <w:rPr>
          <w:rFonts w:cs="Arial"/>
          <w:lang w:val="en-GB"/>
        </w:rPr>
        <w:t>y and autism has identified</w:t>
      </w:r>
      <w:r w:rsidR="00013D70" w:rsidRPr="003F658E">
        <w:rPr>
          <w:rFonts w:cs="Arial"/>
          <w:lang w:val="en-GB"/>
        </w:rPr>
        <w:t>,</w:t>
      </w:r>
      <w:r w:rsidR="00D560D2" w:rsidRPr="003F658E">
        <w:rPr>
          <w:rFonts w:cs="Arial"/>
          <w:lang w:val="en-GB"/>
        </w:rPr>
        <w:t xml:space="preserve"> </w:t>
      </w:r>
      <w:r w:rsidRPr="003F658E">
        <w:rPr>
          <w:rFonts w:cs="Arial"/>
          <w:lang w:val="en-GB"/>
        </w:rPr>
        <w:t>the current definition in the statutory framework is problematic, as it does not reflect the reality of contemporary family relationships and dynamics. The quote below from the consultation neatly sums up the main shortcomings:</w:t>
      </w:r>
    </w:p>
    <w:p w14:paraId="5BC717A2" w14:textId="77777777" w:rsidR="00111CAF" w:rsidRPr="003F658E" w:rsidRDefault="00111CAF" w:rsidP="003F658E">
      <w:pPr>
        <w:spacing w:line="360" w:lineRule="auto"/>
        <w:jc w:val="both"/>
        <w:rPr>
          <w:rFonts w:cs="Arial"/>
          <w:bCs/>
          <w:lang w:val="en-GB"/>
        </w:rPr>
      </w:pPr>
    </w:p>
    <w:p w14:paraId="6913A54D" w14:textId="44B0B7A4" w:rsidR="00111CAF" w:rsidRPr="003F658E" w:rsidRDefault="538429F5" w:rsidP="003F658E">
      <w:pPr>
        <w:spacing w:line="360" w:lineRule="auto"/>
        <w:ind w:left="720"/>
        <w:jc w:val="both"/>
        <w:rPr>
          <w:rFonts w:cs="Arial"/>
          <w:i/>
          <w:iCs/>
        </w:rPr>
      </w:pPr>
      <w:r w:rsidRPr="003F658E">
        <w:rPr>
          <w:rFonts w:cs="Arial"/>
          <w:i/>
          <w:iCs/>
        </w:rPr>
        <w:t>‘…the current definition simply does not reflect the complexity of people’s lives and family relationships and that it is not necessarily providing the speed and certainty intended – as well as feeling at odds with people’s rights. AMHPs tell us that they currently can be uncertain about whether the MHA has been complied with and whether they have tracked down the correct nearest relative…. Given the specific duties under the MHA of the nearest relative, it is even more important that the definition should be meaningful for the person being treated’.</w:t>
      </w:r>
      <w:r w:rsidR="00013D70" w:rsidRPr="003F658E">
        <w:rPr>
          <w:rFonts w:cs="Arial"/>
          <w:i/>
          <w:iCs/>
        </w:rPr>
        <w:t xml:space="preserve"> </w:t>
      </w:r>
      <w:r w:rsidR="00013D70" w:rsidRPr="003F658E">
        <w:rPr>
          <w:rFonts w:cs="Arial"/>
          <w:lang w:val="en-GB"/>
        </w:rPr>
        <w:t>(DoH, 2015: 2.54-2.55),</w:t>
      </w:r>
    </w:p>
    <w:p w14:paraId="33BA1EE4" w14:textId="77777777" w:rsidR="00111CAF" w:rsidRPr="003F658E" w:rsidRDefault="00111CAF" w:rsidP="003F658E">
      <w:pPr>
        <w:spacing w:line="360" w:lineRule="auto"/>
        <w:jc w:val="both"/>
      </w:pPr>
    </w:p>
    <w:p w14:paraId="60A2FE60" w14:textId="3F645981" w:rsidR="001E38D3" w:rsidRPr="003F658E" w:rsidRDefault="538429F5" w:rsidP="003F658E">
      <w:pPr>
        <w:spacing w:line="360" w:lineRule="auto"/>
        <w:jc w:val="both"/>
        <w:rPr>
          <w:rFonts w:cs="Arial"/>
          <w:lang w:val="en-GB"/>
        </w:rPr>
      </w:pPr>
      <w:r w:rsidRPr="003F658E">
        <w:rPr>
          <w:rFonts w:cs="Arial"/>
          <w:lang w:val="en-GB"/>
        </w:rPr>
        <w:t>This has inevitably led to poor understanding and some lack of awareness of the role among key stakeholders – patients, professionals and relatives/carers. The government has recently announced its intention to review the ‘flawed’</w:t>
      </w:r>
      <w:r w:rsidR="00E245F8" w:rsidRPr="003F658E">
        <w:rPr>
          <w:rFonts w:cs="Arial"/>
          <w:lang w:val="en-GB"/>
        </w:rPr>
        <w:t xml:space="preserve"> MHA</w:t>
      </w:r>
      <w:r w:rsidRPr="003F658E">
        <w:rPr>
          <w:rFonts w:cs="Arial"/>
          <w:lang w:val="en-GB"/>
        </w:rPr>
        <w:t>, and this article has sought to contribute to the reform debates by outlining the continuing problems with the NR provisions and emphasise the need for further research to help to shape any future reforms.</w:t>
      </w:r>
      <w:r w:rsidR="00E06104">
        <w:rPr>
          <w:rFonts w:cs="Arial"/>
          <w:lang w:val="en-GB"/>
        </w:rPr>
        <w:t xml:space="preserve"> There is also a need to reappraise the involvement of </w:t>
      </w:r>
      <w:r w:rsidR="00E06104">
        <w:rPr>
          <w:rFonts w:cs="Arial"/>
          <w:lang w:val="en-GB"/>
        </w:rPr>
        <w:t xml:space="preserve">relatives </w:t>
      </w:r>
      <w:r w:rsidR="00E06104">
        <w:rPr>
          <w:rFonts w:cs="Arial"/>
          <w:lang w:val="en-GB"/>
        </w:rPr>
        <w:t xml:space="preserve">to ensure that it </w:t>
      </w:r>
      <w:r w:rsidR="00E06104">
        <w:rPr>
          <w:rFonts w:cs="Arial"/>
          <w:lang w:val="en-GB"/>
        </w:rPr>
        <w:t xml:space="preserve">is brought fully in line with </w:t>
      </w:r>
      <w:r w:rsidR="00E06104">
        <w:rPr>
          <w:rFonts w:cs="Arial"/>
          <w:lang w:val="en-GB"/>
        </w:rPr>
        <w:lastRenderedPageBreak/>
        <w:t>the ECHR and the autonomy focused ethos of the UN CRPD</w:t>
      </w:r>
      <w:r w:rsidR="00E06104" w:rsidRPr="003F658E">
        <w:rPr>
          <w:rFonts w:cs="Arial"/>
          <w:lang w:val="en-GB"/>
        </w:rPr>
        <w:t xml:space="preserve">. </w:t>
      </w:r>
      <w:r w:rsidRPr="003F658E">
        <w:rPr>
          <w:rFonts w:cs="Arial"/>
          <w:lang w:val="en-GB"/>
        </w:rPr>
        <w:t xml:space="preserve"> </w:t>
      </w:r>
      <w:r w:rsidR="00495B6E">
        <w:rPr>
          <w:rFonts w:cs="Arial"/>
          <w:lang w:val="en-GB"/>
        </w:rPr>
        <w:t xml:space="preserve">There is also scope to move towards a more ‘relational’ approach to the patient’s care, as identified by </w:t>
      </w:r>
      <w:r w:rsidR="00281149">
        <w:rPr>
          <w:rFonts w:cs="Arial"/>
          <w:lang w:val="en-GB"/>
        </w:rPr>
        <w:t>Keywood, Donnelly and</w:t>
      </w:r>
      <w:r w:rsidR="00495B6E">
        <w:rPr>
          <w:rFonts w:cs="Arial"/>
          <w:lang w:val="en-GB"/>
        </w:rPr>
        <w:t xml:space="preserve"> others.  </w:t>
      </w:r>
      <w:r w:rsidRPr="003F658E">
        <w:rPr>
          <w:rFonts w:cs="Arial"/>
          <w:lang w:val="en-GB"/>
        </w:rPr>
        <w:t xml:space="preserve">It is </w:t>
      </w:r>
      <w:r w:rsidR="00096C67">
        <w:rPr>
          <w:rFonts w:cs="Arial"/>
          <w:lang w:val="en-GB"/>
        </w:rPr>
        <w:t xml:space="preserve">therefore </w:t>
      </w:r>
      <w:r w:rsidR="003B17E0">
        <w:rPr>
          <w:rFonts w:cs="Arial"/>
          <w:lang w:val="en-GB"/>
        </w:rPr>
        <w:t xml:space="preserve">timely and </w:t>
      </w:r>
      <w:r w:rsidRPr="003F658E">
        <w:rPr>
          <w:rFonts w:cs="Arial"/>
          <w:lang w:val="en-GB"/>
        </w:rPr>
        <w:t>imperative to explore the current knowledge base, the effectiveness of the safeguard and work out what challenges are faced on the ground by practitioners, patients and their families and how best they can be overcome. This will help to improve patient and professional understanding of the NR role. It will also inform future AMHP training t</w:t>
      </w:r>
      <w:r w:rsidR="0050077B">
        <w:rPr>
          <w:rFonts w:cs="Arial"/>
          <w:lang w:val="en-GB"/>
        </w:rPr>
        <w:t xml:space="preserve">o ensure that this </w:t>
      </w:r>
      <w:bookmarkStart w:id="2" w:name="_GoBack"/>
      <w:bookmarkEnd w:id="2"/>
      <w:r w:rsidRPr="003F658E">
        <w:rPr>
          <w:rFonts w:cs="Arial"/>
          <w:lang w:val="en-GB"/>
        </w:rPr>
        <w:t>safeg</w:t>
      </w:r>
      <w:r w:rsidR="00E54A08">
        <w:rPr>
          <w:rFonts w:cs="Arial"/>
          <w:lang w:val="en-GB"/>
        </w:rPr>
        <w:t>u</w:t>
      </w:r>
      <w:r w:rsidR="00760CC6">
        <w:rPr>
          <w:rFonts w:cs="Arial"/>
          <w:lang w:val="en-GB"/>
        </w:rPr>
        <w:t xml:space="preserve">ard is implemented effectively </w:t>
      </w:r>
      <w:r w:rsidRPr="003F658E">
        <w:rPr>
          <w:rFonts w:cs="Arial"/>
          <w:lang w:val="en-GB"/>
        </w:rPr>
        <w:t xml:space="preserve">for the growing number of patients who are deprived of their liberty under </w:t>
      </w:r>
      <w:r w:rsidR="00E245F8" w:rsidRPr="003F658E">
        <w:rPr>
          <w:rFonts w:cs="Arial"/>
          <w:lang w:val="en-GB"/>
        </w:rPr>
        <w:t xml:space="preserve">the MHA </w:t>
      </w:r>
      <w:r w:rsidRPr="003F658E">
        <w:rPr>
          <w:rFonts w:cs="Arial"/>
          <w:lang w:val="en-GB"/>
        </w:rPr>
        <w:t>in England and Wales</w:t>
      </w:r>
      <w:r w:rsidR="00E06104">
        <w:rPr>
          <w:rFonts w:cs="Arial"/>
          <w:lang w:val="en-GB"/>
        </w:rPr>
        <w:t>. As</w:t>
      </w:r>
      <w:r w:rsidRPr="003F658E">
        <w:rPr>
          <w:rFonts w:cs="Arial"/>
          <w:lang w:val="en-GB"/>
        </w:rPr>
        <w:t xml:space="preserve"> Stuart Smith has observed:</w:t>
      </w:r>
    </w:p>
    <w:p w14:paraId="77BDE413" w14:textId="77777777" w:rsidR="00046CBA" w:rsidRPr="003F658E" w:rsidRDefault="00046CBA" w:rsidP="003F658E">
      <w:pPr>
        <w:spacing w:line="360" w:lineRule="auto"/>
        <w:jc w:val="both"/>
        <w:rPr>
          <w:rFonts w:cs="Arial"/>
          <w:lang w:val="en-GB"/>
        </w:rPr>
      </w:pPr>
    </w:p>
    <w:p w14:paraId="4CF7221F" w14:textId="6E6A22DE" w:rsidR="005361FF" w:rsidRPr="003F658E" w:rsidRDefault="538429F5" w:rsidP="003F658E">
      <w:pPr>
        <w:spacing w:line="360" w:lineRule="auto"/>
        <w:ind w:left="720"/>
        <w:jc w:val="both"/>
        <w:rPr>
          <w:rFonts w:cs="Arial"/>
          <w:lang w:val="en-GB"/>
        </w:rPr>
      </w:pPr>
      <w:r w:rsidRPr="003F658E">
        <w:rPr>
          <w:rFonts w:cs="Arial"/>
          <w:lang w:val="en-GB"/>
        </w:rPr>
        <w:t>‘</w:t>
      </w:r>
      <w:r w:rsidRPr="003F658E">
        <w:rPr>
          <w:rFonts w:cs="Arial"/>
          <w:i/>
          <w:iCs/>
          <w:lang w:val="en-GB"/>
        </w:rPr>
        <w:t xml:space="preserve">While trends and fashions in social work and mental health thinking come and go, the essential needs of people in crisis have changed relatively little since earliest civilizations’ </w:t>
      </w:r>
      <w:r w:rsidRPr="003F658E">
        <w:rPr>
          <w:rFonts w:cs="Arial"/>
          <w:lang w:val="en-GB"/>
        </w:rPr>
        <w:t>(2015: 351).</w:t>
      </w:r>
    </w:p>
    <w:p w14:paraId="69D2CA76" w14:textId="77777777" w:rsidR="005361FF" w:rsidRPr="003F658E" w:rsidRDefault="005361FF" w:rsidP="003F658E">
      <w:pPr>
        <w:spacing w:line="360" w:lineRule="auto"/>
        <w:ind w:left="720"/>
        <w:jc w:val="both"/>
        <w:rPr>
          <w:rFonts w:cs="Arial"/>
          <w:lang w:val="en-GB"/>
        </w:rPr>
      </w:pPr>
    </w:p>
    <w:p w14:paraId="78C8A12C" w14:textId="0F5E8A99" w:rsidR="005361FF" w:rsidRPr="003F658E" w:rsidRDefault="538429F5" w:rsidP="003F658E">
      <w:pPr>
        <w:spacing w:line="360" w:lineRule="auto"/>
        <w:jc w:val="both"/>
        <w:rPr>
          <w:rFonts w:cs="Arial"/>
          <w:lang w:val="en-GB"/>
        </w:rPr>
      </w:pPr>
      <w:r w:rsidRPr="003F658E">
        <w:rPr>
          <w:rFonts w:cs="Arial"/>
          <w:lang w:val="en-GB"/>
        </w:rPr>
        <w:t xml:space="preserve">His study found that patients and NR </w:t>
      </w:r>
      <w:r w:rsidR="00082145" w:rsidRPr="003F658E">
        <w:rPr>
          <w:rFonts w:cs="Arial"/>
          <w:lang w:val="en-GB"/>
        </w:rPr>
        <w:t xml:space="preserve">value </w:t>
      </w:r>
      <w:r w:rsidRPr="003F658E">
        <w:rPr>
          <w:rFonts w:cs="Arial"/>
          <w:lang w:val="en-GB"/>
        </w:rPr>
        <w:t>support, explanation and understanding from AMHPs during a mental health crisis, and AMHPs need a clear understanding of exactly what they are expected to do, to enable them to provide that much needed support and guidance</w:t>
      </w:r>
      <w:r w:rsidR="00EB05A8">
        <w:rPr>
          <w:rFonts w:cs="Arial"/>
          <w:lang w:val="en-GB"/>
        </w:rPr>
        <w:t xml:space="preserve"> to patients when they are most in need</w:t>
      </w:r>
      <w:r w:rsidRPr="003F658E">
        <w:rPr>
          <w:rFonts w:cs="Arial"/>
          <w:lang w:val="en-GB"/>
        </w:rPr>
        <w:t xml:space="preserve">. </w:t>
      </w:r>
    </w:p>
    <w:p w14:paraId="55C3C70E" w14:textId="77777777" w:rsidR="00D17382" w:rsidRPr="003F658E" w:rsidRDefault="00D17382" w:rsidP="003F658E">
      <w:pPr>
        <w:spacing w:line="360" w:lineRule="auto"/>
        <w:jc w:val="both"/>
        <w:rPr>
          <w:rFonts w:cs="Arial"/>
          <w:b/>
          <w:bCs/>
        </w:rPr>
      </w:pPr>
    </w:p>
    <w:p w14:paraId="18511B46" w14:textId="4CDB54B8" w:rsidR="00CA1925" w:rsidRPr="003F658E" w:rsidRDefault="538429F5" w:rsidP="003F658E">
      <w:pPr>
        <w:spacing w:line="360" w:lineRule="auto"/>
        <w:jc w:val="both"/>
        <w:outlineLvl w:val="0"/>
        <w:rPr>
          <w:rFonts w:cs="Arial"/>
          <w:b/>
          <w:bCs/>
        </w:rPr>
      </w:pPr>
      <w:r w:rsidRPr="003F658E">
        <w:rPr>
          <w:rFonts w:cs="Arial"/>
          <w:b/>
          <w:bCs/>
        </w:rPr>
        <w:t xml:space="preserve">References </w:t>
      </w:r>
    </w:p>
    <w:p w14:paraId="3423CD94" w14:textId="77777777" w:rsidR="00EF4D0C" w:rsidRPr="003F658E" w:rsidRDefault="00EF4D0C" w:rsidP="003F658E">
      <w:pPr>
        <w:spacing w:line="360" w:lineRule="auto"/>
        <w:jc w:val="both"/>
        <w:rPr>
          <w:rFonts w:cs="Arial"/>
          <w:b/>
          <w:bCs/>
        </w:rPr>
      </w:pPr>
    </w:p>
    <w:p w14:paraId="4348932B" w14:textId="4129DEC0" w:rsidR="6FCAF1B8" w:rsidRPr="003F658E" w:rsidRDefault="1051A058" w:rsidP="003F658E">
      <w:pPr>
        <w:spacing w:line="360" w:lineRule="auto"/>
        <w:jc w:val="both"/>
        <w:rPr>
          <w:rFonts w:cs="Arial"/>
        </w:rPr>
      </w:pPr>
      <w:r w:rsidRPr="003F658E">
        <w:rPr>
          <w:rFonts w:eastAsia="Calibri" w:cs="Arial"/>
        </w:rPr>
        <w:t xml:space="preserve">Aldersey, H.M. and Whitley, R., (2015). Family influence in recovery from severe mental illness. </w:t>
      </w:r>
      <w:r w:rsidRPr="003F658E">
        <w:rPr>
          <w:rFonts w:eastAsia="Calibri" w:cs="Arial"/>
          <w:i/>
          <w:iCs/>
        </w:rPr>
        <w:t>Community mental health journal</w:t>
      </w:r>
      <w:r w:rsidRPr="003F658E">
        <w:rPr>
          <w:rFonts w:eastAsia="Calibri" w:cs="Arial"/>
        </w:rPr>
        <w:t>, 51(4), 467-476.</w:t>
      </w:r>
    </w:p>
    <w:p w14:paraId="7C431259" w14:textId="77777777" w:rsidR="00EF4D0C" w:rsidRPr="003F658E" w:rsidRDefault="00EF4D0C" w:rsidP="003F658E">
      <w:pPr>
        <w:spacing w:line="360" w:lineRule="auto"/>
        <w:jc w:val="both"/>
        <w:rPr>
          <w:rFonts w:eastAsia="Calibri" w:cs="Arial"/>
        </w:rPr>
      </w:pPr>
    </w:p>
    <w:p w14:paraId="749049DB" w14:textId="2326805E" w:rsidR="00003F8C" w:rsidRPr="003F658E" w:rsidRDefault="1051A058" w:rsidP="003F658E">
      <w:pPr>
        <w:spacing w:line="360" w:lineRule="auto"/>
        <w:jc w:val="both"/>
        <w:rPr>
          <w:rFonts w:eastAsia="Calibri" w:cs="Arial"/>
        </w:rPr>
      </w:pPr>
      <w:r w:rsidRPr="003F658E">
        <w:rPr>
          <w:rFonts w:eastAsia="Calibri" w:cs="Arial"/>
        </w:rPr>
        <w:t xml:space="preserve">Andoh, B. and Gogo, E., (2004). The Nearest Relative in Mental Health Law. </w:t>
      </w:r>
      <w:r w:rsidRPr="003F658E">
        <w:rPr>
          <w:rFonts w:eastAsia="Calibri" w:cs="Arial"/>
          <w:i/>
          <w:iCs/>
        </w:rPr>
        <w:t>Medicine, Science and Law</w:t>
      </w:r>
      <w:r w:rsidRPr="003F658E">
        <w:rPr>
          <w:rFonts w:eastAsia="Calibri" w:cs="Arial"/>
        </w:rPr>
        <w:t>, 44(2), 140-150.</w:t>
      </w:r>
    </w:p>
    <w:p w14:paraId="5E6E3F02" w14:textId="77777777" w:rsidR="00003F8C" w:rsidRPr="003F658E" w:rsidRDefault="00003F8C" w:rsidP="003F658E">
      <w:pPr>
        <w:spacing w:line="360" w:lineRule="auto"/>
        <w:jc w:val="both"/>
        <w:rPr>
          <w:rFonts w:eastAsia="Calibri" w:cs="Arial"/>
        </w:rPr>
      </w:pPr>
    </w:p>
    <w:p w14:paraId="7A9ECB6B" w14:textId="78B65416" w:rsidR="47550D8E" w:rsidRPr="003F658E" w:rsidRDefault="1051A058" w:rsidP="003F658E">
      <w:pPr>
        <w:spacing w:line="360" w:lineRule="auto"/>
        <w:jc w:val="both"/>
        <w:rPr>
          <w:rFonts w:eastAsia="Calibri" w:cs="Arial"/>
        </w:rPr>
      </w:pPr>
      <w:r w:rsidRPr="003F658E">
        <w:rPr>
          <w:rFonts w:eastAsia="Calibri" w:cs="Arial"/>
        </w:rPr>
        <w:t xml:space="preserve">Banks, L.C., Stroud, J. and Doughty, K., (2016). Community treatment orders: exploring the paradox of personalisation under compulsion. </w:t>
      </w:r>
      <w:r w:rsidRPr="003F658E">
        <w:rPr>
          <w:rFonts w:eastAsia="Calibri" w:cs="Arial"/>
          <w:i/>
          <w:iCs/>
        </w:rPr>
        <w:t>Health &amp; Social Care in the Community</w:t>
      </w:r>
      <w:r w:rsidRPr="003F658E">
        <w:rPr>
          <w:rFonts w:eastAsia="Calibri" w:cs="Arial"/>
        </w:rPr>
        <w:t>.  24(6), 181-190.</w:t>
      </w:r>
    </w:p>
    <w:p w14:paraId="32015D10" w14:textId="77777777" w:rsidR="00D01948" w:rsidRPr="003F658E" w:rsidRDefault="00D01948" w:rsidP="003F658E">
      <w:pPr>
        <w:spacing w:line="360" w:lineRule="auto"/>
        <w:jc w:val="both"/>
        <w:rPr>
          <w:rFonts w:eastAsia="Calibri" w:cs="Arial"/>
        </w:rPr>
      </w:pPr>
    </w:p>
    <w:p w14:paraId="25338BC4" w14:textId="78F28271" w:rsidR="00D01948" w:rsidRPr="003F658E" w:rsidRDefault="1051A058" w:rsidP="003F658E">
      <w:pPr>
        <w:spacing w:line="360" w:lineRule="auto"/>
        <w:jc w:val="both"/>
        <w:rPr>
          <w:rFonts w:cs="Arial"/>
        </w:rPr>
      </w:pPr>
      <w:r w:rsidRPr="003F658E">
        <w:rPr>
          <w:rFonts w:eastAsia="Calibri" w:cs="Arial"/>
        </w:rPr>
        <w:lastRenderedPageBreak/>
        <w:t xml:space="preserve">Bartlett, P. &amp; Sandland, R., (2013) </w:t>
      </w:r>
      <w:r w:rsidRPr="003F658E">
        <w:rPr>
          <w:rFonts w:eastAsia="Calibri" w:cs="Arial"/>
          <w:i/>
          <w:iCs/>
        </w:rPr>
        <w:t>Mental Health Law: Policy and Practice</w:t>
      </w:r>
      <w:r w:rsidRPr="003F658E">
        <w:rPr>
          <w:rFonts w:eastAsia="Calibri" w:cs="Arial"/>
        </w:rPr>
        <w:t xml:space="preserve">. Oxford: Oxford University Press. </w:t>
      </w:r>
    </w:p>
    <w:p w14:paraId="3438A5F2" w14:textId="77777777" w:rsidR="00EF4D0C" w:rsidRPr="003F658E" w:rsidRDefault="00EF4D0C" w:rsidP="003F658E">
      <w:pPr>
        <w:spacing w:line="360" w:lineRule="auto"/>
        <w:jc w:val="both"/>
        <w:rPr>
          <w:rFonts w:eastAsia="Times New Roman" w:cs="Arial"/>
          <w:lang w:eastAsia="en-GB"/>
        </w:rPr>
      </w:pPr>
    </w:p>
    <w:p w14:paraId="1B916767" w14:textId="77777777" w:rsidR="00EF4D0C" w:rsidRPr="003F658E" w:rsidRDefault="538429F5" w:rsidP="003F658E">
      <w:pPr>
        <w:spacing w:line="360" w:lineRule="auto"/>
        <w:jc w:val="both"/>
        <w:rPr>
          <w:rFonts w:eastAsia="Times New Roman" w:cs="Arial"/>
          <w:lang w:eastAsia="en-GB"/>
        </w:rPr>
      </w:pPr>
      <w:r w:rsidRPr="003F658E">
        <w:rPr>
          <w:rFonts w:eastAsia="Times New Roman" w:cs="Arial"/>
          <w:lang w:eastAsia="en-GB"/>
        </w:rPr>
        <w:t xml:space="preserve">Carter, E. A., &amp; McGoldrick, M. (Eds.). (1999). </w:t>
      </w:r>
      <w:r w:rsidRPr="003F658E">
        <w:rPr>
          <w:rFonts w:eastAsia="Times New Roman" w:cs="Arial"/>
          <w:i/>
          <w:iCs/>
          <w:lang w:eastAsia="en-GB"/>
        </w:rPr>
        <w:t>The expanded family life cycle: Individual, family, and social perspectives</w:t>
      </w:r>
      <w:r w:rsidRPr="003F658E">
        <w:rPr>
          <w:rFonts w:eastAsia="Times New Roman" w:cs="Arial"/>
          <w:lang w:eastAsia="en-GB"/>
        </w:rPr>
        <w:t>. Allyn &amp; Bacon.</w:t>
      </w:r>
    </w:p>
    <w:p w14:paraId="778305F3" w14:textId="4401FEBB" w:rsidR="47550D8E" w:rsidRPr="003F658E" w:rsidRDefault="47550D8E" w:rsidP="003F658E">
      <w:pPr>
        <w:spacing w:line="360" w:lineRule="auto"/>
        <w:jc w:val="both"/>
        <w:rPr>
          <w:rFonts w:eastAsia="Calibri" w:cs="Arial"/>
        </w:rPr>
      </w:pPr>
    </w:p>
    <w:p w14:paraId="17EA7E8B" w14:textId="7124B2C0" w:rsidR="6FCAF1B8" w:rsidRPr="003F658E" w:rsidRDefault="1051A058" w:rsidP="003F658E">
      <w:pPr>
        <w:spacing w:line="360" w:lineRule="auto"/>
        <w:jc w:val="both"/>
        <w:rPr>
          <w:rFonts w:cs="Arial"/>
        </w:rPr>
      </w:pPr>
      <w:r w:rsidRPr="003F658E">
        <w:rPr>
          <w:rFonts w:eastAsia="Calibri" w:cs="Arial"/>
        </w:rPr>
        <w:t xml:space="preserve">Cohen, A.N., Drapalski, A.L., Glynn, S.M., Medoff, D., Fang, L.J. and Dixon, L.B., (2013). Preferences for family involvement in care among consumers with serious mental illness. </w:t>
      </w:r>
      <w:r w:rsidRPr="003F658E">
        <w:rPr>
          <w:rFonts w:eastAsia="Calibri" w:cs="Arial"/>
          <w:i/>
          <w:iCs/>
        </w:rPr>
        <w:t>Psychiatric Services</w:t>
      </w:r>
      <w:r w:rsidRPr="003F658E">
        <w:rPr>
          <w:rFonts w:eastAsia="Calibri" w:cs="Arial"/>
        </w:rPr>
        <w:t>, 64(3), 257-263.</w:t>
      </w:r>
    </w:p>
    <w:p w14:paraId="1C81EBB0" w14:textId="77777777" w:rsidR="00EF4D0C" w:rsidRPr="003F658E" w:rsidRDefault="00EF4D0C" w:rsidP="003F658E">
      <w:pPr>
        <w:spacing w:line="360" w:lineRule="auto"/>
        <w:jc w:val="both"/>
        <w:rPr>
          <w:rFonts w:eastAsia="Calibri" w:cs="Arial"/>
        </w:rPr>
      </w:pPr>
    </w:p>
    <w:p w14:paraId="1CCB8C8F" w14:textId="27EA66E3" w:rsidR="00EF4D0C" w:rsidRPr="003F658E" w:rsidRDefault="538429F5" w:rsidP="003F658E">
      <w:pPr>
        <w:spacing w:line="360" w:lineRule="auto"/>
        <w:jc w:val="both"/>
        <w:rPr>
          <w:rFonts w:eastAsia="Times New Roman" w:cs="Arial"/>
          <w:lang w:eastAsia="en-GB"/>
        </w:rPr>
      </w:pPr>
      <w:r w:rsidRPr="003F658E">
        <w:rPr>
          <w:rFonts w:eastAsia="Times New Roman" w:cs="Arial"/>
          <w:lang w:eastAsia="en-GB"/>
        </w:rPr>
        <w:t xml:space="preserve">Cho, N., (2002). Nearest relatives of gay and lesbian patients. </w:t>
      </w:r>
      <w:r w:rsidRPr="003F658E">
        <w:rPr>
          <w:rFonts w:eastAsia="Times New Roman" w:cs="Arial"/>
          <w:i/>
          <w:iCs/>
          <w:lang w:eastAsia="en-GB"/>
        </w:rPr>
        <w:t>Journal of Mental Health Law,</w:t>
      </w:r>
      <w:r w:rsidRPr="003F658E">
        <w:rPr>
          <w:rFonts w:eastAsia="Times New Roman" w:cs="Arial"/>
          <w:lang w:eastAsia="en-GB"/>
        </w:rPr>
        <w:t xml:space="preserve"> December, 323.</w:t>
      </w:r>
    </w:p>
    <w:p w14:paraId="47DC043E" w14:textId="77777777" w:rsidR="00EF4D0C" w:rsidRPr="003F658E" w:rsidRDefault="00EF4D0C" w:rsidP="003F658E">
      <w:pPr>
        <w:spacing w:line="360" w:lineRule="auto"/>
        <w:jc w:val="both"/>
        <w:rPr>
          <w:rFonts w:eastAsia="Times New Roman" w:cs="Arial"/>
          <w:lang w:eastAsia="en-GB"/>
        </w:rPr>
      </w:pPr>
    </w:p>
    <w:p w14:paraId="14D3BF2D" w14:textId="77777777" w:rsidR="00EF4D0C" w:rsidRPr="003F658E" w:rsidRDefault="1051A058" w:rsidP="003F658E">
      <w:pPr>
        <w:spacing w:line="360" w:lineRule="auto"/>
        <w:jc w:val="both"/>
        <w:rPr>
          <w:rFonts w:eastAsia="Times New Roman" w:cs="Arial"/>
          <w:lang w:eastAsia="en-GB"/>
        </w:rPr>
      </w:pPr>
      <w:r w:rsidRPr="003F658E">
        <w:rPr>
          <w:rFonts w:eastAsia="Times New Roman" w:cs="Arial"/>
          <w:lang w:eastAsia="en-GB"/>
        </w:rPr>
        <w:t xml:space="preserve">Coughtrey, A. E., Shafran, R., Lee, M., &amp; Rachman, S. J. (2012). It's the feeling inside my head: a qualitative analysis of mental contamination in obsessive-compulsive disorder. </w:t>
      </w:r>
      <w:r w:rsidRPr="003F658E">
        <w:rPr>
          <w:rFonts w:eastAsia="Times New Roman" w:cs="Arial"/>
          <w:i/>
          <w:iCs/>
          <w:lang w:eastAsia="en-GB"/>
        </w:rPr>
        <w:t>Behavioural and Cognitive Psychotherapy</w:t>
      </w:r>
      <w:r w:rsidRPr="003F658E">
        <w:rPr>
          <w:rFonts w:eastAsia="Times New Roman" w:cs="Arial"/>
          <w:lang w:eastAsia="en-GB"/>
        </w:rPr>
        <w:t>, 40(02), 163-173.</w:t>
      </w:r>
    </w:p>
    <w:p w14:paraId="23AD7E0F" w14:textId="77777777" w:rsidR="00C10418" w:rsidRPr="003F658E" w:rsidRDefault="00C10418" w:rsidP="003F658E">
      <w:pPr>
        <w:spacing w:line="360" w:lineRule="auto"/>
        <w:jc w:val="both"/>
        <w:rPr>
          <w:rFonts w:eastAsia="Times New Roman" w:cs="Arial"/>
          <w:lang w:eastAsia="en-GB"/>
        </w:rPr>
      </w:pPr>
    </w:p>
    <w:p w14:paraId="1402A482" w14:textId="11F6B8F6" w:rsidR="00EF4D0C" w:rsidRPr="003F658E" w:rsidRDefault="1051A058" w:rsidP="003F658E">
      <w:pPr>
        <w:spacing w:line="360" w:lineRule="auto"/>
        <w:jc w:val="both"/>
        <w:rPr>
          <w:rFonts w:eastAsia="Times New Roman" w:cs="Arial"/>
          <w:lang w:eastAsia="en-GB"/>
        </w:rPr>
      </w:pPr>
      <w:r w:rsidRPr="003F658E">
        <w:rPr>
          <w:rFonts w:eastAsia="Times New Roman" w:cs="Arial"/>
          <w:lang w:eastAsia="en-GB"/>
        </w:rPr>
        <w:t xml:space="preserve">Department of Health (2000) </w:t>
      </w:r>
      <w:r w:rsidRPr="003F658E">
        <w:rPr>
          <w:rFonts w:eastAsia="Times New Roman" w:cs="Arial"/>
          <w:i/>
          <w:iCs/>
          <w:lang w:eastAsia="en-GB"/>
        </w:rPr>
        <w:t>Reforming the Mental Health Act Part i: The new legal framework</w:t>
      </w:r>
      <w:r w:rsidRPr="003F658E">
        <w:rPr>
          <w:rFonts w:eastAsia="Times New Roman" w:cs="Arial"/>
          <w:lang w:eastAsia="en-GB"/>
        </w:rPr>
        <w:t>, Cm 5016-I. London: HMSO.</w:t>
      </w:r>
    </w:p>
    <w:p w14:paraId="7CC38B12" w14:textId="77777777" w:rsidR="00C10418" w:rsidRPr="003F658E" w:rsidRDefault="00C10418" w:rsidP="003F658E">
      <w:pPr>
        <w:spacing w:line="360" w:lineRule="auto"/>
        <w:jc w:val="both"/>
        <w:rPr>
          <w:rFonts w:eastAsia="Calibri" w:cs="Arial"/>
          <w:lang w:val="en-GB"/>
        </w:rPr>
      </w:pPr>
    </w:p>
    <w:p w14:paraId="71DA6B5D" w14:textId="619E26CF" w:rsidR="00432DEB" w:rsidRPr="003F658E" w:rsidRDefault="538429F5" w:rsidP="003F658E">
      <w:pPr>
        <w:spacing w:line="360" w:lineRule="auto"/>
        <w:jc w:val="both"/>
        <w:rPr>
          <w:rFonts w:cs="Arial"/>
        </w:rPr>
      </w:pPr>
      <w:r w:rsidRPr="003F658E">
        <w:rPr>
          <w:rFonts w:eastAsia="Calibri" w:cs="Arial"/>
          <w:lang w:val="en-GB"/>
        </w:rPr>
        <w:t xml:space="preserve">Department of Health (2008) Under </w:t>
      </w:r>
      <w:hyperlink r:id="rId9">
        <w:r w:rsidRPr="003F658E">
          <w:rPr>
            <w:rStyle w:val="Hyperlink"/>
            <w:rFonts w:eastAsia="Calibri" w:cs="Arial"/>
            <w:lang w:val="en-GB"/>
          </w:rPr>
          <w:t>Mental Health (Hospital, Guardianship and Treatment) (England) Regulations 2008</w:t>
        </w:r>
      </w:hyperlink>
      <w:r w:rsidRPr="003F658E">
        <w:rPr>
          <w:rFonts w:eastAsia="Calibri" w:cs="Arial"/>
          <w:lang w:val="en-GB"/>
        </w:rPr>
        <w:t xml:space="preserve">. London: HMSO. </w:t>
      </w:r>
    </w:p>
    <w:p w14:paraId="0731A731" w14:textId="77777777" w:rsidR="00EF4D0C" w:rsidRPr="003F658E" w:rsidRDefault="00EF4D0C" w:rsidP="003F658E">
      <w:pPr>
        <w:spacing w:line="360" w:lineRule="auto"/>
        <w:jc w:val="both"/>
        <w:rPr>
          <w:rFonts w:eastAsia="Times New Roman" w:cs="Arial"/>
          <w:lang w:eastAsia="en-GB"/>
        </w:rPr>
      </w:pPr>
    </w:p>
    <w:p w14:paraId="19449DB2" w14:textId="5DE62967" w:rsidR="394407C8" w:rsidRPr="003F658E" w:rsidRDefault="1051A058" w:rsidP="003F658E">
      <w:pPr>
        <w:spacing w:line="360" w:lineRule="auto"/>
        <w:jc w:val="both"/>
        <w:rPr>
          <w:rFonts w:cs="Arial"/>
        </w:rPr>
      </w:pPr>
      <w:r w:rsidRPr="003F658E">
        <w:rPr>
          <w:rFonts w:eastAsia="Calibri" w:cs="Arial"/>
        </w:rPr>
        <w:t xml:space="preserve">Department of Health, (2010a). Recognised, Valued and Supported: Next Steps for the Carers Strategy.  </w:t>
      </w:r>
      <w:hyperlink r:id="rId10">
        <w:r w:rsidRPr="003F658E">
          <w:rPr>
            <w:rStyle w:val="Hyperlink"/>
            <w:rFonts w:eastAsia="Calibri" w:cs="Arial"/>
          </w:rPr>
          <w:t>https://www.gov.uk/government/uploads/system/uploads/attachment_data/file/213804/dh_122393.pdf</w:t>
        </w:r>
      </w:hyperlink>
      <w:r w:rsidRPr="003F658E">
        <w:rPr>
          <w:rFonts w:eastAsia="Calibri" w:cs="Arial"/>
        </w:rPr>
        <w:t xml:space="preserve"> </w:t>
      </w:r>
    </w:p>
    <w:p w14:paraId="5C927A4F" w14:textId="77777777" w:rsidR="00EF4D0C" w:rsidRPr="003F658E" w:rsidRDefault="00EF4D0C" w:rsidP="003F658E">
      <w:pPr>
        <w:spacing w:line="360" w:lineRule="auto"/>
        <w:jc w:val="both"/>
        <w:rPr>
          <w:rFonts w:eastAsia="Calibri" w:cs="Arial"/>
        </w:rPr>
      </w:pPr>
    </w:p>
    <w:p w14:paraId="08A11D2B" w14:textId="65D7D882" w:rsidR="394407C8" w:rsidRPr="003F658E" w:rsidRDefault="1051A058" w:rsidP="003F658E">
      <w:pPr>
        <w:spacing w:line="360" w:lineRule="auto"/>
        <w:jc w:val="both"/>
        <w:rPr>
          <w:rFonts w:eastAsia="Calibri" w:cs="Arial"/>
        </w:rPr>
      </w:pPr>
      <w:r w:rsidRPr="003F658E">
        <w:rPr>
          <w:rFonts w:eastAsia="Calibri" w:cs="Arial"/>
        </w:rPr>
        <w:t>Department of Health, (2010b).  Carers and Personalisation: Improving outcomes.  https://www.gov.uk/government/uploads/system/uploads/attachment_data/file/213806/dh_122383.pdf</w:t>
      </w:r>
    </w:p>
    <w:p w14:paraId="7A6B16D7" w14:textId="77777777" w:rsidR="00EF4D0C" w:rsidRPr="003F658E" w:rsidRDefault="00EF4D0C" w:rsidP="003F658E">
      <w:pPr>
        <w:spacing w:line="360" w:lineRule="auto"/>
        <w:jc w:val="both"/>
        <w:rPr>
          <w:rFonts w:eastAsia="Calibri" w:cs="Arial"/>
        </w:rPr>
      </w:pPr>
    </w:p>
    <w:p w14:paraId="4C5A6A7B" w14:textId="3BE110E6" w:rsidR="6FCAF1B8" w:rsidRPr="003F658E" w:rsidRDefault="538429F5" w:rsidP="003F658E">
      <w:pPr>
        <w:spacing w:line="360" w:lineRule="auto"/>
        <w:jc w:val="both"/>
        <w:rPr>
          <w:rFonts w:eastAsia="Calibri" w:cs="Arial"/>
        </w:rPr>
      </w:pPr>
      <w:r w:rsidRPr="003F658E">
        <w:rPr>
          <w:rFonts w:eastAsia="Calibri" w:cs="Arial"/>
        </w:rPr>
        <w:lastRenderedPageBreak/>
        <w:t xml:space="preserve">Department of Health, (2012). </w:t>
      </w:r>
      <w:r w:rsidRPr="003F658E">
        <w:rPr>
          <w:rFonts w:eastAsia="Calibri" w:cs="Arial"/>
          <w:i/>
          <w:iCs/>
        </w:rPr>
        <w:t>The Mandate: A Mandate from the Government to the NHS Commissioning Board: April 2013 to March 2015</w:t>
      </w:r>
      <w:r w:rsidRPr="003F658E">
        <w:rPr>
          <w:rFonts w:eastAsia="Calibri" w:cs="Arial"/>
        </w:rPr>
        <w:t xml:space="preserve">.  London: Department of Health.  </w:t>
      </w:r>
    </w:p>
    <w:p w14:paraId="5B6181F1" w14:textId="77777777" w:rsidR="00432DEB" w:rsidRPr="003F658E" w:rsidRDefault="00432DEB" w:rsidP="003F658E">
      <w:pPr>
        <w:spacing w:line="360" w:lineRule="auto"/>
        <w:jc w:val="both"/>
        <w:rPr>
          <w:rFonts w:eastAsia="Calibri" w:cs="Arial"/>
        </w:rPr>
      </w:pPr>
    </w:p>
    <w:p w14:paraId="3FAD8036" w14:textId="284A115F" w:rsidR="00432DEB" w:rsidRPr="003F658E" w:rsidRDefault="538429F5" w:rsidP="003F658E">
      <w:pPr>
        <w:spacing w:line="360" w:lineRule="auto"/>
        <w:jc w:val="both"/>
        <w:outlineLvl w:val="0"/>
        <w:rPr>
          <w:rFonts w:cs="Arial"/>
        </w:rPr>
      </w:pPr>
      <w:r w:rsidRPr="003F658E">
        <w:rPr>
          <w:rFonts w:eastAsia="Calibri" w:cs="Arial"/>
          <w:lang w:val="en-GB"/>
        </w:rPr>
        <w:t xml:space="preserve">Department of Health (2015) </w:t>
      </w:r>
      <w:r w:rsidRPr="003F658E">
        <w:rPr>
          <w:rFonts w:eastAsia="Calibri" w:cs="Arial"/>
          <w:i/>
          <w:iCs/>
          <w:lang w:val="en-GB"/>
        </w:rPr>
        <w:t>Mental Health Act 1983: Code of Practice</w:t>
      </w:r>
      <w:r w:rsidRPr="003F658E">
        <w:rPr>
          <w:rFonts w:eastAsia="Calibri" w:cs="Arial"/>
          <w:lang w:val="en-GB"/>
        </w:rPr>
        <w:t xml:space="preserve">. London: TS. </w:t>
      </w:r>
    </w:p>
    <w:p w14:paraId="5F3BD57A" w14:textId="77777777" w:rsidR="00432DEB" w:rsidRPr="003F658E" w:rsidRDefault="00432DEB" w:rsidP="003F658E">
      <w:pPr>
        <w:spacing w:line="360" w:lineRule="auto"/>
        <w:jc w:val="both"/>
        <w:rPr>
          <w:rFonts w:eastAsia="Calibri" w:cs="Arial"/>
          <w:lang w:val="en-GB"/>
        </w:rPr>
      </w:pPr>
    </w:p>
    <w:p w14:paraId="7E1C634B" w14:textId="4E649744" w:rsidR="00432DEB" w:rsidRPr="003F658E" w:rsidRDefault="538429F5" w:rsidP="003F658E">
      <w:pPr>
        <w:spacing w:line="360" w:lineRule="auto"/>
        <w:jc w:val="both"/>
        <w:outlineLvl w:val="0"/>
        <w:rPr>
          <w:rFonts w:eastAsia="Calibri" w:cs="Arial"/>
          <w:lang w:val="en-GB"/>
        </w:rPr>
      </w:pPr>
      <w:r w:rsidRPr="003F658E">
        <w:rPr>
          <w:rFonts w:eastAsia="Calibri" w:cs="Arial"/>
          <w:lang w:val="en-GB"/>
        </w:rPr>
        <w:t xml:space="preserve">Department of Health (2015a) </w:t>
      </w:r>
      <w:r w:rsidRPr="003F658E">
        <w:rPr>
          <w:rFonts w:eastAsia="Calibri" w:cs="Arial"/>
          <w:i/>
          <w:iCs/>
          <w:lang w:val="en-GB"/>
        </w:rPr>
        <w:t xml:space="preserve">Reference Guide to the Mental Health Act 1983. </w:t>
      </w:r>
      <w:r w:rsidRPr="003F658E">
        <w:rPr>
          <w:rFonts w:eastAsia="Calibri" w:cs="Arial"/>
          <w:lang w:val="en-GB"/>
        </w:rPr>
        <w:t xml:space="preserve">London: TSO. </w:t>
      </w:r>
    </w:p>
    <w:p w14:paraId="6799C5C7" w14:textId="77777777" w:rsidR="006F4392" w:rsidRPr="003F658E" w:rsidRDefault="006F4392" w:rsidP="003F658E">
      <w:pPr>
        <w:spacing w:line="360" w:lineRule="auto"/>
        <w:jc w:val="both"/>
        <w:rPr>
          <w:rFonts w:eastAsia="Calibri" w:cs="Arial"/>
          <w:lang w:val="en-GB"/>
        </w:rPr>
      </w:pPr>
    </w:p>
    <w:p w14:paraId="4DC9BB10" w14:textId="5AF8AF1A" w:rsidR="00111CAF" w:rsidRPr="003F658E" w:rsidRDefault="538429F5" w:rsidP="003F658E">
      <w:pPr>
        <w:spacing w:line="360" w:lineRule="auto"/>
        <w:jc w:val="both"/>
        <w:rPr>
          <w:rFonts w:eastAsia="Calibri" w:cs="Arial"/>
          <w:lang w:val="en-GB"/>
        </w:rPr>
      </w:pPr>
      <w:r w:rsidRPr="003F658E">
        <w:rPr>
          <w:rFonts w:eastAsia="Calibri" w:cs="Arial"/>
          <w:lang w:val="en-GB"/>
        </w:rPr>
        <w:t xml:space="preserve">Department of Health (2015c) </w:t>
      </w:r>
      <w:r w:rsidRPr="003F658E">
        <w:rPr>
          <w:rFonts w:eastAsia="Calibri" w:cs="Arial"/>
          <w:i/>
          <w:iCs/>
          <w:lang w:val="en-GB"/>
        </w:rPr>
        <w:t>No voice unheard no right ignored – a consultation for people with learning disabilities, autism and mental health conditions</w:t>
      </w:r>
      <w:r w:rsidRPr="003F658E">
        <w:rPr>
          <w:rFonts w:eastAsia="Calibri" w:cs="Arial"/>
          <w:lang w:val="en-GB"/>
        </w:rPr>
        <w:t>, Cm 9007, London: HMSO.</w:t>
      </w:r>
    </w:p>
    <w:p w14:paraId="72DECE99" w14:textId="77777777" w:rsidR="0033471C" w:rsidRPr="003F658E" w:rsidRDefault="0033471C" w:rsidP="003F658E">
      <w:pPr>
        <w:spacing w:line="360" w:lineRule="auto"/>
        <w:jc w:val="both"/>
        <w:rPr>
          <w:rFonts w:eastAsia="Calibri" w:cs="Arial"/>
          <w:lang w:val="en-GB"/>
        </w:rPr>
      </w:pPr>
    </w:p>
    <w:p w14:paraId="01039898" w14:textId="005BECBA" w:rsidR="7DF672F2" w:rsidRPr="003F658E" w:rsidRDefault="7DF672F2" w:rsidP="003F658E">
      <w:pPr>
        <w:spacing w:line="360" w:lineRule="auto"/>
        <w:jc w:val="both"/>
        <w:rPr>
          <w:rFonts w:eastAsia="Calibri" w:cs="Arial"/>
          <w:lang w:val="en-GB"/>
        </w:rPr>
      </w:pPr>
      <w:r w:rsidRPr="003F658E">
        <w:rPr>
          <w:rFonts w:eastAsia="Arial" w:cs="Arial"/>
          <w:lang w:val="en-GB"/>
        </w:rPr>
        <w:t>Donnelly, M., &amp; Murray, C. (2013) The role of family in mental health law: a framework for transformation</w:t>
      </w:r>
      <w:r w:rsidR="00B305AB" w:rsidRPr="003F658E">
        <w:rPr>
          <w:rFonts w:eastAsia="Arial" w:cs="Arial"/>
          <w:lang w:val="en-GB"/>
        </w:rPr>
        <w:t xml:space="preserve">, </w:t>
      </w:r>
      <w:r w:rsidRPr="003F658E">
        <w:rPr>
          <w:rFonts w:eastAsia="Arial" w:cs="Arial"/>
          <w:i/>
          <w:iCs/>
          <w:lang w:val="en-GB"/>
        </w:rPr>
        <w:t>Child &amp; Fam</w:t>
      </w:r>
      <w:r w:rsidR="00B305AB" w:rsidRPr="003F658E">
        <w:rPr>
          <w:rFonts w:eastAsia="Arial" w:cs="Arial"/>
          <w:i/>
          <w:iCs/>
          <w:lang w:val="en-GB"/>
        </w:rPr>
        <w:t>ily Law Quarterly</w:t>
      </w:r>
      <w:r w:rsidR="00B305AB" w:rsidRPr="003F658E">
        <w:rPr>
          <w:rFonts w:eastAsia="Arial" w:cs="Arial"/>
          <w:lang w:val="en-GB"/>
        </w:rPr>
        <w:t xml:space="preserve">, </w:t>
      </w:r>
      <w:r w:rsidRPr="003F658E">
        <w:rPr>
          <w:rFonts w:eastAsia="Arial" w:cs="Arial"/>
          <w:iCs/>
          <w:lang w:val="en-GB"/>
        </w:rPr>
        <w:t>25</w:t>
      </w:r>
      <w:r w:rsidR="21738E3E" w:rsidRPr="003F658E">
        <w:rPr>
          <w:rFonts w:eastAsia="Arial" w:cs="Arial"/>
          <w:iCs/>
          <w:lang w:val="en-GB"/>
        </w:rPr>
        <w:t xml:space="preserve"> </w:t>
      </w:r>
      <w:r w:rsidR="1775AE86" w:rsidRPr="003F658E">
        <w:rPr>
          <w:rFonts w:eastAsia="Arial" w:cs="Arial"/>
          <w:iCs/>
          <w:lang w:val="en-GB"/>
        </w:rPr>
        <w:t>(4)</w:t>
      </w:r>
      <w:r w:rsidRPr="003F658E">
        <w:rPr>
          <w:rFonts w:eastAsia="Arial" w:cs="Arial"/>
          <w:lang w:val="en-GB"/>
        </w:rPr>
        <w:t>, 380</w:t>
      </w:r>
      <w:r w:rsidR="1775AE86" w:rsidRPr="003F658E">
        <w:rPr>
          <w:rFonts w:eastAsia="Arial" w:cs="Arial"/>
          <w:lang w:val="en-GB"/>
        </w:rPr>
        <w:t xml:space="preserve"> - 405</w:t>
      </w:r>
      <w:r w:rsidRPr="003F658E">
        <w:rPr>
          <w:rFonts w:eastAsia="Arial" w:cs="Arial"/>
          <w:lang w:val="en-GB"/>
        </w:rPr>
        <w:t>.</w:t>
      </w:r>
    </w:p>
    <w:p w14:paraId="702B0C69" w14:textId="1E949345" w:rsidR="7DF672F2" w:rsidRPr="003F658E" w:rsidRDefault="7DF672F2" w:rsidP="003F658E">
      <w:pPr>
        <w:spacing w:line="360" w:lineRule="auto"/>
        <w:jc w:val="both"/>
        <w:rPr>
          <w:rFonts w:eastAsia="Calibri" w:cs="Arial"/>
          <w:lang w:val="en-GB"/>
        </w:rPr>
      </w:pPr>
    </w:p>
    <w:p w14:paraId="68A8B94B" w14:textId="7A51590F" w:rsidR="0033471C" w:rsidRPr="003F658E" w:rsidRDefault="538429F5" w:rsidP="003F658E">
      <w:pPr>
        <w:spacing w:line="360" w:lineRule="auto"/>
        <w:jc w:val="both"/>
        <w:rPr>
          <w:rFonts w:cs="Arial"/>
        </w:rPr>
      </w:pPr>
      <w:r w:rsidRPr="003F658E">
        <w:rPr>
          <w:rFonts w:eastAsia="Calibri" w:cs="Arial"/>
          <w:lang w:val="en-GB"/>
        </w:rPr>
        <w:t xml:space="preserve">Dwyer, S., (2012) ‘Walking the tightrope of a mental health act assessment’, </w:t>
      </w:r>
      <w:r w:rsidRPr="003F658E">
        <w:rPr>
          <w:rFonts w:eastAsia="Calibri" w:cs="Arial"/>
          <w:i/>
          <w:iCs/>
          <w:lang w:val="en-GB"/>
        </w:rPr>
        <w:t>Journal of Social Work Practice</w:t>
      </w:r>
      <w:r w:rsidRPr="003F658E">
        <w:rPr>
          <w:rFonts w:eastAsia="Calibri" w:cs="Arial"/>
          <w:lang w:val="en-GB"/>
        </w:rPr>
        <w:t>. 26(1), 341-353.</w:t>
      </w:r>
    </w:p>
    <w:p w14:paraId="5526E2C4" w14:textId="488837B0" w:rsidR="3CA33F98" w:rsidRPr="003F658E" w:rsidRDefault="3CA33F98" w:rsidP="003F658E">
      <w:pPr>
        <w:spacing w:line="360" w:lineRule="auto"/>
        <w:jc w:val="both"/>
        <w:rPr>
          <w:rFonts w:eastAsia="Calibri" w:cs="Arial"/>
          <w:lang w:val="en-GB"/>
        </w:rPr>
      </w:pPr>
    </w:p>
    <w:p w14:paraId="2698E97E" w14:textId="20601350" w:rsidR="3CA33F98" w:rsidRPr="003F658E" w:rsidRDefault="5C9EFBFA" w:rsidP="003F658E">
      <w:pPr>
        <w:spacing w:line="360" w:lineRule="auto"/>
        <w:jc w:val="both"/>
        <w:rPr>
          <w:rFonts w:eastAsia="Arial" w:cs="Arial"/>
          <w:lang w:val="en-GB"/>
        </w:rPr>
      </w:pPr>
      <w:r w:rsidRPr="003F658E">
        <w:rPr>
          <w:rFonts w:eastAsia="Arial" w:cs="Arial"/>
          <w:lang w:val="en-GB"/>
        </w:rPr>
        <w:t>Emmett, C., Poole, M., Bond, J.,</w:t>
      </w:r>
      <w:r w:rsidR="00B305AB" w:rsidRPr="003F658E">
        <w:rPr>
          <w:rFonts w:eastAsia="Arial" w:cs="Arial"/>
          <w:lang w:val="en-GB"/>
        </w:rPr>
        <w:t xml:space="preserve"> and</w:t>
      </w:r>
      <w:r w:rsidRPr="003F658E">
        <w:rPr>
          <w:rFonts w:eastAsia="Arial" w:cs="Arial"/>
          <w:lang w:val="en-GB"/>
        </w:rPr>
        <w:t xml:space="preserve"> Hughes, J. C. (2014)</w:t>
      </w:r>
      <w:r w:rsidR="00B305AB" w:rsidRPr="003F658E">
        <w:rPr>
          <w:rFonts w:eastAsia="Arial" w:cs="Arial"/>
          <w:lang w:val="en-GB"/>
        </w:rPr>
        <w:t>,</w:t>
      </w:r>
      <w:r w:rsidRPr="003F658E">
        <w:rPr>
          <w:rFonts w:eastAsia="Arial" w:cs="Arial"/>
          <w:lang w:val="en-GB"/>
        </w:rPr>
        <w:t xml:space="preserve"> A relative safeguard? The informal roles that families and carers play when patients with dementia are discharged from hospital into care in England and Wales</w:t>
      </w:r>
      <w:r w:rsidR="00B305AB" w:rsidRPr="003F658E">
        <w:rPr>
          <w:rFonts w:eastAsia="Arial" w:cs="Arial"/>
          <w:lang w:val="en-GB"/>
        </w:rPr>
        <w:t xml:space="preserve">, </w:t>
      </w:r>
      <w:r w:rsidRPr="003F658E">
        <w:rPr>
          <w:rFonts w:eastAsia="Arial" w:cs="Arial"/>
          <w:i/>
          <w:iCs/>
          <w:lang w:val="en-GB"/>
        </w:rPr>
        <w:t>International Journal of Law, Policy and the Family</w:t>
      </w:r>
      <w:r w:rsidRPr="003F658E">
        <w:rPr>
          <w:rFonts w:eastAsia="Arial" w:cs="Arial"/>
          <w:lang w:val="en-GB"/>
        </w:rPr>
        <w:t xml:space="preserve">, </w:t>
      </w:r>
      <w:r w:rsidRPr="003F658E">
        <w:rPr>
          <w:rFonts w:eastAsia="Arial" w:cs="Arial"/>
          <w:i/>
          <w:iCs/>
          <w:lang w:val="en-GB"/>
        </w:rPr>
        <w:t>28</w:t>
      </w:r>
      <w:r w:rsidRPr="003F658E">
        <w:rPr>
          <w:rFonts w:eastAsia="Arial" w:cs="Arial"/>
          <w:lang w:val="en-GB"/>
        </w:rPr>
        <w:t>(3), 302-320.</w:t>
      </w:r>
    </w:p>
    <w:p w14:paraId="1F7AC494" w14:textId="77777777" w:rsidR="004B22CD" w:rsidRPr="003F658E" w:rsidRDefault="004B22CD" w:rsidP="003F658E">
      <w:pPr>
        <w:spacing w:line="360" w:lineRule="auto"/>
        <w:jc w:val="both"/>
        <w:rPr>
          <w:rFonts w:eastAsia="Arial" w:cs="Arial"/>
          <w:lang w:val="en-GB"/>
        </w:rPr>
      </w:pPr>
    </w:p>
    <w:p w14:paraId="25CFBAA2" w14:textId="1E000891" w:rsidR="004B22CD" w:rsidRPr="003F658E" w:rsidRDefault="004B22CD" w:rsidP="003F658E">
      <w:pPr>
        <w:spacing w:line="360" w:lineRule="auto"/>
        <w:jc w:val="both"/>
      </w:pPr>
      <w:r w:rsidRPr="003F658E">
        <w:rPr>
          <w:rFonts w:cs="Times New Roman"/>
          <w:iCs/>
        </w:rPr>
        <w:t>EU Agency for Fundamental Rights (2011)</w:t>
      </w:r>
      <w:r w:rsidRPr="003F658E">
        <w:rPr>
          <w:rFonts w:cs="Times New Roman"/>
          <w:i/>
          <w:iCs/>
        </w:rPr>
        <w:t xml:space="preserve"> The legal protection of persons with mental health problems under non-discrimination law: Understanding disability as defined by law and the duty to provide reasonable accommodation in European Union Member States</w:t>
      </w:r>
      <w:r w:rsidRPr="003F658E">
        <w:rPr>
          <w:rFonts w:cs="Times New Roman"/>
        </w:rPr>
        <w:t>.</w:t>
      </w:r>
    </w:p>
    <w:p w14:paraId="795836C1" w14:textId="77777777" w:rsidR="00EF4D0C" w:rsidRPr="003F658E" w:rsidRDefault="00EF4D0C" w:rsidP="003F658E">
      <w:pPr>
        <w:spacing w:line="360" w:lineRule="auto"/>
        <w:jc w:val="both"/>
        <w:rPr>
          <w:rFonts w:eastAsia="Calibri" w:cs="Arial"/>
          <w:lang w:val="en-GB"/>
        </w:rPr>
      </w:pPr>
    </w:p>
    <w:p w14:paraId="16A26D39" w14:textId="1E1CEE43" w:rsidR="394407C8" w:rsidRPr="003F658E" w:rsidRDefault="1051A058" w:rsidP="003F658E">
      <w:pPr>
        <w:spacing w:line="360" w:lineRule="auto"/>
        <w:jc w:val="both"/>
        <w:rPr>
          <w:rFonts w:cs="Arial"/>
        </w:rPr>
      </w:pPr>
      <w:r w:rsidRPr="003F658E">
        <w:rPr>
          <w:rFonts w:eastAsia="Calibri" w:cs="Arial"/>
        </w:rPr>
        <w:t xml:space="preserve">Giacco, D., Fiorillo, A., Del Vecchio, V., Kallert, T., Onchev, G., Raboch, J., Mastrogianni, A., Nawka, A., Hadrys, T., Kjellin, L. and Luciano, M., (2012). Caregivers’ appraisals of patients’ involuntary hospital treatment: European multicentre study. </w:t>
      </w:r>
      <w:r w:rsidRPr="003F658E">
        <w:rPr>
          <w:rFonts w:eastAsia="Calibri" w:cs="Arial"/>
          <w:i/>
          <w:iCs/>
        </w:rPr>
        <w:t>The British Journal of Psychiatry</w:t>
      </w:r>
      <w:r w:rsidRPr="003F658E">
        <w:rPr>
          <w:rFonts w:eastAsia="Calibri" w:cs="Arial"/>
        </w:rPr>
        <w:t>, 201(6), 486-491.</w:t>
      </w:r>
    </w:p>
    <w:p w14:paraId="3112BD79" w14:textId="77777777" w:rsidR="00EF4D0C" w:rsidRPr="003F658E" w:rsidRDefault="00EF4D0C" w:rsidP="003F658E">
      <w:pPr>
        <w:spacing w:line="360" w:lineRule="auto"/>
        <w:jc w:val="both"/>
        <w:rPr>
          <w:rFonts w:eastAsia="Times New Roman" w:cs="Arial"/>
          <w:lang w:eastAsia="en-GB"/>
        </w:rPr>
      </w:pPr>
    </w:p>
    <w:p w14:paraId="24537741" w14:textId="05B02909" w:rsidR="00EF4D0C" w:rsidRPr="003F658E" w:rsidRDefault="1051A058" w:rsidP="003F658E">
      <w:pPr>
        <w:spacing w:line="360" w:lineRule="auto"/>
        <w:jc w:val="both"/>
        <w:rPr>
          <w:rFonts w:eastAsia="Times New Roman" w:cs="Arial"/>
          <w:lang w:eastAsia="en-GB"/>
        </w:rPr>
      </w:pPr>
      <w:r w:rsidRPr="003F658E">
        <w:rPr>
          <w:rFonts w:eastAsia="Times New Roman" w:cs="Arial"/>
          <w:lang w:eastAsia="en-GB"/>
        </w:rPr>
        <w:lastRenderedPageBreak/>
        <w:t xml:space="preserve">Goldsmith, R. E., Freyd, J. J., &amp; DePrince, A. P. (2012). Betrayal trauma: Associations with psychological and physical symptoms in young adults. </w:t>
      </w:r>
      <w:r w:rsidRPr="003F658E">
        <w:rPr>
          <w:rFonts w:eastAsia="Times New Roman" w:cs="Arial"/>
          <w:i/>
          <w:iCs/>
          <w:lang w:eastAsia="en-GB"/>
        </w:rPr>
        <w:t>Journal of Interpersonal Violence</w:t>
      </w:r>
      <w:r w:rsidRPr="003F658E">
        <w:rPr>
          <w:rFonts w:eastAsia="Times New Roman" w:cs="Arial"/>
          <w:lang w:eastAsia="en-GB"/>
        </w:rPr>
        <w:t>, 27(3), 547-567.</w:t>
      </w:r>
    </w:p>
    <w:p w14:paraId="286998FB" w14:textId="77777777" w:rsidR="00242EFD" w:rsidRPr="003F658E" w:rsidRDefault="00242EFD" w:rsidP="003F658E">
      <w:pPr>
        <w:spacing w:line="360" w:lineRule="auto"/>
        <w:jc w:val="both"/>
        <w:rPr>
          <w:rFonts w:eastAsia="Times New Roman" w:cs="Arial"/>
          <w:lang w:eastAsia="en-GB"/>
        </w:rPr>
      </w:pPr>
    </w:p>
    <w:p w14:paraId="761EA654" w14:textId="5D50FF40" w:rsidR="00242EFD" w:rsidRPr="003F658E" w:rsidRDefault="1051A058" w:rsidP="003F658E">
      <w:pPr>
        <w:spacing w:line="360" w:lineRule="auto"/>
        <w:jc w:val="both"/>
        <w:outlineLvl w:val="0"/>
        <w:rPr>
          <w:rFonts w:eastAsia="Times New Roman" w:cs="Arial"/>
          <w:lang w:eastAsia="en-GB"/>
        </w:rPr>
      </w:pPr>
      <w:r w:rsidRPr="003F658E">
        <w:rPr>
          <w:rFonts w:cs="Arial"/>
          <w:lang w:val="en-GB"/>
        </w:rPr>
        <w:t xml:space="preserve">Gostin. L., (1975). A </w:t>
      </w:r>
      <w:r w:rsidRPr="003F658E">
        <w:rPr>
          <w:rFonts w:cs="Arial"/>
          <w:i/>
          <w:iCs/>
          <w:lang w:val="en-GB"/>
        </w:rPr>
        <w:t>Human Condition Part 1</w:t>
      </w:r>
      <w:r w:rsidRPr="003F658E">
        <w:rPr>
          <w:rFonts w:cs="Arial"/>
          <w:lang w:val="en-GB"/>
        </w:rPr>
        <w:t xml:space="preserve">. MIND Special Report. </w:t>
      </w:r>
    </w:p>
    <w:p w14:paraId="1D718FBE" w14:textId="77777777" w:rsidR="00EF4D0C" w:rsidRPr="003F658E" w:rsidRDefault="00EF4D0C" w:rsidP="003F658E">
      <w:pPr>
        <w:spacing w:line="360" w:lineRule="auto"/>
        <w:jc w:val="both"/>
        <w:rPr>
          <w:rFonts w:eastAsia="Times New Roman" w:cs="Arial"/>
          <w:lang w:eastAsia="en-GB"/>
        </w:rPr>
      </w:pPr>
    </w:p>
    <w:p w14:paraId="5525927C" w14:textId="77777777" w:rsidR="00EF4D0C" w:rsidRPr="003F658E" w:rsidRDefault="1051A058" w:rsidP="003F658E">
      <w:pPr>
        <w:spacing w:line="360" w:lineRule="auto"/>
        <w:jc w:val="both"/>
        <w:rPr>
          <w:rFonts w:eastAsia="Times New Roman" w:cs="Arial"/>
          <w:lang w:eastAsia="en-GB"/>
        </w:rPr>
      </w:pPr>
      <w:r w:rsidRPr="003F658E">
        <w:rPr>
          <w:rFonts w:eastAsia="Times New Roman" w:cs="Arial"/>
          <w:lang w:eastAsia="en-GB"/>
        </w:rPr>
        <w:t xml:space="preserve">Guidances, C., &amp; Watch, T. (2007). Social support and resilience to stress: from neurobiology to clinical practice. </w:t>
      </w:r>
      <w:r w:rsidRPr="003F658E">
        <w:rPr>
          <w:rFonts w:eastAsia="Times New Roman" w:cs="Arial"/>
          <w:i/>
          <w:iCs/>
          <w:lang w:eastAsia="en-GB"/>
        </w:rPr>
        <w:t>Psychiatry</w:t>
      </w:r>
      <w:r w:rsidRPr="003F658E">
        <w:rPr>
          <w:rFonts w:eastAsia="Times New Roman" w:cs="Arial"/>
          <w:lang w:eastAsia="en-GB"/>
        </w:rPr>
        <w:t>, 4(5), 35-40.</w:t>
      </w:r>
    </w:p>
    <w:p w14:paraId="5D783430" w14:textId="77777777" w:rsidR="00323870" w:rsidRPr="003F658E" w:rsidRDefault="00323870" w:rsidP="003F658E">
      <w:pPr>
        <w:spacing w:line="360" w:lineRule="auto"/>
        <w:jc w:val="both"/>
        <w:rPr>
          <w:rFonts w:eastAsia="Calibri" w:cs="Arial"/>
        </w:rPr>
      </w:pPr>
    </w:p>
    <w:p w14:paraId="483985AB" w14:textId="23F0413C" w:rsidR="00EF4D0C" w:rsidRPr="003F658E" w:rsidRDefault="538429F5" w:rsidP="003F658E">
      <w:pPr>
        <w:spacing w:line="360" w:lineRule="auto"/>
        <w:jc w:val="both"/>
        <w:rPr>
          <w:rFonts w:eastAsia="Calibri" w:cs="Arial"/>
        </w:rPr>
      </w:pPr>
      <w:r w:rsidRPr="003F658E">
        <w:rPr>
          <w:rFonts w:eastAsia="Calibri" w:cs="Arial"/>
        </w:rPr>
        <w:t xml:space="preserve">Hewitt, D., (2009). </w:t>
      </w:r>
      <w:r w:rsidRPr="003F658E">
        <w:rPr>
          <w:rFonts w:eastAsia="Calibri" w:cs="Arial"/>
          <w:i/>
          <w:iCs/>
        </w:rPr>
        <w:t>The Nearest Relative Handbook</w:t>
      </w:r>
      <w:r w:rsidRPr="003F658E">
        <w:rPr>
          <w:rFonts w:eastAsia="Calibri" w:cs="Arial"/>
        </w:rPr>
        <w:t>. 2</w:t>
      </w:r>
      <w:r w:rsidRPr="003F658E">
        <w:rPr>
          <w:rFonts w:eastAsia="Calibri" w:cs="Arial"/>
          <w:vertAlign w:val="superscript"/>
        </w:rPr>
        <w:t>nd</w:t>
      </w:r>
      <w:r w:rsidRPr="003F658E">
        <w:rPr>
          <w:rFonts w:eastAsia="Calibri" w:cs="Arial"/>
        </w:rPr>
        <w:t xml:space="preserve"> Edition, London: Jessica Kingsley Publishers.</w:t>
      </w:r>
    </w:p>
    <w:p w14:paraId="4E0CE126" w14:textId="77777777" w:rsidR="00323870" w:rsidRPr="003F658E" w:rsidRDefault="00323870" w:rsidP="003F658E">
      <w:pPr>
        <w:spacing w:line="360" w:lineRule="auto"/>
        <w:jc w:val="both"/>
        <w:rPr>
          <w:rFonts w:eastAsia="Calibri" w:cs="Arial"/>
        </w:rPr>
      </w:pPr>
    </w:p>
    <w:p w14:paraId="6A2B87D3" w14:textId="4FDA0EA8" w:rsidR="0053722A" w:rsidRPr="003F658E" w:rsidRDefault="538429F5" w:rsidP="003F658E">
      <w:pPr>
        <w:spacing w:line="360" w:lineRule="auto"/>
        <w:jc w:val="both"/>
        <w:outlineLvl w:val="0"/>
        <w:rPr>
          <w:rFonts w:eastAsia="Calibri" w:cs="Arial"/>
        </w:rPr>
      </w:pPr>
      <w:r w:rsidRPr="003F658E">
        <w:rPr>
          <w:rFonts w:eastAsia="Calibri" w:cs="Arial"/>
        </w:rPr>
        <w:t>Hewitt, D., (2013)</w:t>
      </w:r>
      <w:r w:rsidR="003F658E">
        <w:rPr>
          <w:rFonts w:eastAsia="Calibri" w:cs="Arial"/>
        </w:rPr>
        <w:t>.</w:t>
      </w:r>
      <w:r w:rsidRPr="003F658E">
        <w:rPr>
          <w:rFonts w:eastAsia="Calibri" w:cs="Arial"/>
        </w:rPr>
        <w:t xml:space="preserve"> Illegitimate concern, </w:t>
      </w:r>
      <w:r w:rsidRPr="003F658E">
        <w:rPr>
          <w:rFonts w:eastAsia="Calibri" w:cs="Arial"/>
          <w:i/>
          <w:iCs/>
        </w:rPr>
        <w:t>Solicitors Journal</w:t>
      </w:r>
      <w:r w:rsidRPr="003F658E">
        <w:rPr>
          <w:rFonts w:eastAsia="Calibri" w:cs="Arial"/>
        </w:rPr>
        <w:t>, 157(25), 9.</w:t>
      </w:r>
    </w:p>
    <w:p w14:paraId="5158D793" w14:textId="77777777" w:rsidR="0053722A" w:rsidRPr="003F658E" w:rsidRDefault="0053722A" w:rsidP="003F658E">
      <w:pPr>
        <w:spacing w:line="360" w:lineRule="auto"/>
        <w:jc w:val="both"/>
        <w:rPr>
          <w:rFonts w:eastAsia="Calibri" w:cs="Arial"/>
        </w:rPr>
      </w:pPr>
    </w:p>
    <w:p w14:paraId="392753E6" w14:textId="19169C58" w:rsidR="6FCAF1B8" w:rsidRPr="003F658E" w:rsidRDefault="538429F5" w:rsidP="003F658E">
      <w:pPr>
        <w:spacing w:line="360" w:lineRule="auto"/>
        <w:jc w:val="both"/>
        <w:rPr>
          <w:rFonts w:cs="Arial"/>
        </w:rPr>
      </w:pPr>
      <w:r w:rsidRPr="003F658E">
        <w:rPr>
          <w:rFonts w:eastAsia="Calibri" w:cs="Arial"/>
        </w:rPr>
        <w:t xml:space="preserve">HM Government, (2011). </w:t>
      </w:r>
      <w:r w:rsidRPr="003F658E">
        <w:rPr>
          <w:rFonts w:eastAsia="Calibri" w:cs="Arial"/>
          <w:i/>
          <w:iCs/>
        </w:rPr>
        <w:t>No health without mental health: a cross-government mental health outcomes strategy for people of all ages</w:t>
      </w:r>
      <w:r w:rsidRPr="003F658E">
        <w:rPr>
          <w:rFonts w:eastAsia="Calibri" w:cs="Arial"/>
        </w:rPr>
        <w:t>. London: HMSO.</w:t>
      </w:r>
    </w:p>
    <w:p w14:paraId="28A426B2" w14:textId="77777777" w:rsidR="00EF4D0C" w:rsidRPr="003F658E" w:rsidRDefault="00EF4D0C" w:rsidP="003F658E">
      <w:pPr>
        <w:spacing w:line="360" w:lineRule="auto"/>
        <w:jc w:val="both"/>
        <w:rPr>
          <w:rFonts w:eastAsia="Calibri" w:cs="Arial"/>
        </w:rPr>
      </w:pPr>
    </w:p>
    <w:p w14:paraId="5B0BC9C7" w14:textId="1A194822" w:rsidR="394407C8" w:rsidRPr="003F658E" w:rsidRDefault="1051A058" w:rsidP="003F658E">
      <w:pPr>
        <w:spacing w:line="360" w:lineRule="auto"/>
        <w:jc w:val="both"/>
        <w:rPr>
          <w:rFonts w:cs="Arial"/>
        </w:rPr>
      </w:pPr>
      <w:r w:rsidRPr="003F658E">
        <w:rPr>
          <w:rFonts w:eastAsia="Calibri" w:cs="Arial"/>
        </w:rPr>
        <w:t xml:space="preserve">Hoge, S.K., Lidz, C.W., Eisenberg, M., Monahan, J., Bennett, N., Gardner, W., Mulvey, E.P. and Roth, L., (1998). Family, clinician, and patient perceptions of coercion in mental hospital admission: a comparative study. </w:t>
      </w:r>
      <w:r w:rsidRPr="003F658E">
        <w:rPr>
          <w:rFonts w:eastAsia="Calibri" w:cs="Arial"/>
          <w:i/>
          <w:iCs/>
        </w:rPr>
        <w:t>International Journal of Law and Psychiatry</w:t>
      </w:r>
      <w:r w:rsidRPr="003F658E">
        <w:rPr>
          <w:rFonts w:eastAsia="Calibri" w:cs="Arial"/>
        </w:rPr>
        <w:t>, 21(2), 131-146.</w:t>
      </w:r>
    </w:p>
    <w:p w14:paraId="3B003287" w14:textId="77777777" w:rsidR="00EF4D0C" w:rsidRPr="003F658E" w:rsidRDefault="00EF4D0C" w:rsidP="003F658E">
      <w:pPr>
        <w:spacing w:line="360" w:lineRule="auto"/>
        <w:jc w:val="both"/>
        <w:rPr>
          <w:rFonts w:eastAsia="Times New Roman" w:cs="Arial"/>
          <w:lang w:eastAsia="en-GB"/>
        </w:rPr>
      </w:pPr>
    </w:p>
    <w:p w14:paraId="02BA2A94" w14:textId="07323739" w:rsidR="00EF4D0C" w:rsidRPr="003F658E" w:rsidRDefault="1051A058" w:rsidP="003F658E">
      <w:pPr>
        <w:spacing w:line="360" w:lineRule="auto"/>
        <w:jc w:val="both"/>
        <w:rPr>
          <w:rFonts w:eastAsia="Times New Roman" w:cs="Arial"/>
          <w:lang w:eastAsia="en-GB"/>
        </w:rPr>
      </w:pPr>
      <w:r w:rsidRPr="003F658E">
        <w:rPr>
          <w:rFonts w:eastAsia="Times New Roman" w:cs="Arial"/>
          <w:lang w:eastAsia="en-GB"/>
        </w:rPr>
        <w:t xml:space="preserve">Jankovic, J., Yeeles, K., Katsakou, C., Amos, T., Morriss, R., Rose, D., &amp; Priebe, S. (2011). Family caregivers' experiences of involuntary psychiatric hospital admissions of their relatives–a qualitative study. </w:t>
      </w:r>
      <w:r w:rsidRPr="003F658E">
        <w:rPr>
          <w:rFonts w:eastAsia="Times New Roman" w:cs="Arial"/>
          <w:i/>
          <w:iCs/>
          <w:lang w:eastAsia="en-GB"/>
        </w:rPr>
        <w:t>PloS one,</w:t>
      </w:r>
      <w:r w:rsidRPr="003F658E">
        <w:rPr>
          <w:rFonts w:eastAsia="Times New Roman" w:cs="Arial"/>
          <w:lang w:eastAsia="en-GB"/>
        </w:rPr>
        <w:t xml:space="preserve"> 6(10), e25425.</w:t>
      </w:r>
    </w:p>
    <w:p w14:paraId="360494A3" w14:textId="77777777" w:rsidR="003F658E" w:rsidRPr="003F658E" w:rsidRDefault="003F658E" w:rsidP="003F658E">
      <w:pPr>
        <w:spacing w:line="360" w:lineRule="auto"/>
        <w:jc w:val="both"/>
        <w:rPr>
          <w:rFonts w:eastAsia="Times New Roman" w:cs="Arial"/>
          <w:lang w:eastAsia="en-GB"/>
        </w:rPr>
      </w:pPr>
    </w:p>
    <w:p w14:paraId="68C70ECC" w14:textId="6062F83C" w:rsidR="003F658E" w:rsidRPr="003F658E" w:rsidRDefault="003F658E" w:rsidP="003F658E">
      <w:pPr>
        <w:spacing w:line="360" w:lineRule="auto"/>
        <w:jc w:val="both"/>
        <w:rPr>
          <w:rFonts w:eastAsia="Times New Roman" w:cs="Arial"/>
          <w:lang w:eastAsia="en-GB"/>
        </w:rPr>
      </w:pPr>
      <w:r w:rsidRPr="003F658E">
        <w:rPr>
          <w:rFonts w:cs="Times New Roman"/>
          <w:lang w:val="en-GB"/>
        </w:rPr>
        <w:t>Jones, M., (2005)</w:t>
      </w:r>
      <w:r>
        <w:rPr>
          <w:rFonts w:cs="Times New Roman"/>
          <w:lang w:val="en-GB"/>
        </w:rPr>
        <w:t>.</w:t>
      </w:r>
      <w:r w:rsidRPr="003F658E">
        <w:rPr>
          <w:rFonts w:cs="Times New Roman"/>
          <w:lang w:val="en-GB"/>
        </w:rPr>
        <w:t xml:space="preserve"> Can international law improve mental health? Some thoughts on the proposed convention on the rights of persons with disabilities, </w:t>
      </w:r>
      <w:r w:rsidRPr="003F658E">
        <w:rPr>
          <w:rFonts w:cs="Times New Roman"/>
          <w:i/>
          <w:iCs/>
          <w:lang w:val="en-GB"/>
        </w:rPr>
        <w:t xml:space="preserve">International Journal of Law and Psychiatry, </w:t>
      </w:r>
      <w:r w:rsidRPr="003F658E">
        <w:rPr>
          <w:rFonts w:cs="Times New Roman"/>
          <w:iCs/>
          <w:lang w:val="en-GB"/>
        </w:rPr>
        <w:t>28,</w:t>
      </w:r>
      <w:r w:rsidRPr="003F658E">
        <w:rPr>
          <w:rFonts w:cs="Times New Roman"/>
          <w:i/>
          <w:iCs/>
          <w:lang w:val="en-GB"/>
        </w:rPr>
        <w:t xml:space="preserve"> </w:t>
      </w:r>
      <w:r w:rsidRPr="003F658E">
        <w:rPr>
          <w:rFonts w:cs="Times New Roman"/>
          <w:lang w:val="en-GB"/>
        </w:rPr>
        <w:t>183-205.</w:t>
      </w:r>
    </w:p>
    <w:p w14:paraId="61C9DF30" w14:textId="77777777" w:rsidR="00EF4D0C" w:rsidRPr="003F658E" w:rsidRDefault="00EF4D0C" w:rsidP="003F658E">
      <w:pPr>
        <w:spacing w:line="360" w:lineRule="auto"/>
        <w:jc w:val="both"/>
        <w:rPr>
          <w:rFonts w:eastAsia="Calibri" w:cs="Arial"/>
        </w:rPr>
      </w:pPr>
    </w:p>
    <w:p w14:paraId="4A1A3F17" w14:textId="77777777" w:rsidR="00EF4D0C" w:rsidRPr="003F658E" w:rsidRDefault="1051A058" w:rsidP="003F658E">
      <w:pPr>
        <w:spacing w:line="360" w:lineRule="auto"/>
        <w:jc w:val="both"/>
        <w:rPr>
          <w:rFonts w:eastAsia="Times New Roman" w:cs="Arial"/>
          <w:lang w:eastAsia="en-GB"/>
        </w:rPr>
      </w:pPr>
      <w:r w:rsidRPr="003F658E">
        <w:rPr>
          <w:rFonts w:eastAsia="Times New Roman" w:cs="Arial"/>
          <w:lang w:eastAsia="en-GB"/>
        </w:rPr>
        <w:t xml:space="preserve">Kaehler, L. A., &amp; Freyd, J. J. (2009). Borderline personality characteristics: A betrayal trauma approach. </w:t>
      </w:r>
      <w:r w:rsidRPr="003F658E">
        <w:rPr>
          <w:rFonts w:eastAsia="Times New Roman" w:cs="Arial"/>
          <w:i/>
          <w:iCs/>
          <w:lang w:eastAsia="en-GB"/>
        </w:rPr>
        <w:t>Psychological Trauma: Theory, Research, Practice, and Policy</w:t>
      </w:r>
      <w:r w:rsidRPr="003F658E">
        <w:rPr>
          <w:rFonts w:eastAsia="Times New Roman" w:cs="Arial"/>
          <w:lang w:eastAsia="en-GB"/>
        </w:rPr>
        <w:t>, 1(4), 261.</w:t>
      </w:r>
    </w:p>
    <w:p w14:paraId="360DF144" w14:textId="77777777" w:rsidR="00BF7A70" w:rsidRPr="003F658E" w:rsidRDefault="00BF7A70" w:rsidP="003F658E">
      <w:pPr>
        <w:spacing w:line="360" w:lineRule="auto"/>
        <w:jc w:val="both"/>
        <w:rPr>
          <w:rFonts w:eastAsia="Times New Roman" w:cs="Arial"/>
          <w:lang w:eastAsia="en-GB"/>
        </w:rPr>
      </w:pPr>
    </w:p>
    <w:p w14:paraId="152DBE2D" w14:textId="7D600725" w:rsidR="00BF7A70" w:rsidRPr="003F658E" w:rsidRDefault="004B22CD" w:rsidP="003F658E">
      <w:pPr>
        <w:spacing w:line="360" w:lineRule="auto"/>
        <w:jc w:val="both"/>
        <w:rPr>
          <w:rFonts w:eastAsia="Times New Roman" w:cs="Arial"/>
          <w:lang w:eastAsia="en-GB"/>
        </w:rPr>
      </w:pPr>
      <w:r w:rsidRPr="003F658E">
        <w:rPr>
          <w:rFonts w:cs="Times New Roman"/>
          <w:lang w:val="en-GB"/>
        </w:rPr>
        <w:lastRenderedPageBreak/>
        <w:t xml:space="preserve">Kayess, R., &amp; </w:t>
      </w:r>
      <w:r w:rsidR="00BF7A70" w:rsidRPr="003F658E">
        <w:rPr>
          <w:rFonts w:cs="Times New Roman"/>
          <w:lang w:val="en-GB"/>
        </w:rPr>
        <w:t xml:space="preserve">French, P., </w:t>
      </w:r>
      <w:r w:rsidRPr="003F658E">
        <w:rPr>
          <w:rFonts w:cs="Times New Roman"/>
          <w:lang w:val="en-GB"/>
        </w:rPr>
        <w:t xml:space="preserve">(2008) </w:t>
      </w:r>
      <w:r w:rsidR="00BF7A70" w:rsidRPr="003F658E">
        <w:rPr>
          <w:rFonts w:cs="Times New Roman"/>
          <w:lang w:val="en-GB"/>
        </w:rPr>
        <w:t xml:space="preserve">Out of Darkness and into Light? Introducing the Convention on the Rights of Persons with Disabilities, </w:t>
      </w:r>
      <w:r w:rsidR="00BF7A70" w:rsidRPr="003F658E">
        <w:rPr>
          <w:rFonts w:cs="Times New Roman"/>
          <w:i/>
          <w:iCs/>
          <w:lang w:val="en-GB"/>
        </w:rPr>
        <w:t>Human Rights Law Review</w:t>
      </w:r>
      <w:r w:rsidRPr="003F658E">
        <w:rPr>
          <w:rFonts w:cs="Times New Roman"/>
          <w:i/>
          <w:iCs/>
          <w:lang w:val="en-GB"/>
        </w:rPr>
        <w:t>, 8,</w:t>
      </w:r>
      <w:r w:rsidR="00BF7A70" w:rsidRPr="003F658E">
        <w:rPr>
          <w:rFonts w:cs="Times New Roman"/>
          <w:i/>
          <w:iCs/>
          <w:lang w:val="en-GB"/>
        </w:rPr>
        <w:t xml:space="preserve"> </w:t>
      </w:r>
      <w:r w:rsidR="00BF7A70" w:rsidRPr="003F658E">
        <w:rPr>
          <w:rFonts w:cs="Times New Roman"/>
          <w:lang w:val="en-GB"/>
        </w:rPr>
        <w:t>1</w:t>
      </w:r>
      <w:r w:rsidRPr="003F658E">
        <w:rPr>
          <w:rFonts w:cs="Times New Roman"/>
          <w:lang w:val="en-GB"/>
        </w:rPr>
        <w:t>.</w:t>
      </w:r>
    </w:p>
    <w:p w14:paraId="6E839C90" w14:textId="77777777" w:rsidR="00EF4D0C" w:rsidRPr="003F658E" w:rsidRDefault="00EF4D0C" w:rsidP="003F658E">
      <w:pPr>
        <w:spacing w:line="360" w:lineRule="auto"/>
        <w:jc w:val="both"/>
        <w:rPr>
          <w:rFonts w:eastAsia="Calibri" w:cs="Arial"/>
        </w:rPr>
      </w:pPr>
    </w:p>
    <w:p w14:paraId="55B4FE65" w14:textId="7D3434A2" w:rsidR="0092689E" w:rsidRDefault="1051A058" w:rsidP="003F658E">
      <w:pPr>
        <w:spacing w:line="360" w:lineRule="auto"/>
        <w:jc w:val="both"/>
        <w:rPr>
          <w:rFonts w:eastAsia="Calibri" w:cs="Arial"/>
        </w:rPr>
      </w:pPr>
      <w:r w:rsidRPr="003F658E">
        <w:rPr>
          <w:rFonts w:eastAsia="Calibri" w:cs="Arial"/>
        </w:rPr>
        <w:t xml:space="preserve">Keywood, K., (2003), Gatekeepers, proxies, advocates? The evolving role of carers under mental health and incapacity law reforms. </w:t>
      </w:r>
      <w:r w:rsidRPr="003F658E">
        <w:rPr>
          <w:rFonts w:eastAsia="Calibri" w:cs="Arial"/>
          <w:i/>
          <w:iCs/>
        </w:rPr>
        <w:t>The Journal of Social Welfare and Family Law</w:t>
      </w:r>
      <w:r w:rsidRPr="003F658E">
        <w:rPr>
          <w:rFonts w:eastAsia="Calibri" w:cs="Arial"/>
        </w:rPr>
        <w:t>, 25(4), 355-369.</w:t>
      </w:r>
    </w:p>
    <w:p w14:paraId="30CFC861" w14:textId="77777777" w:rsidR="00BB3A00" w:rsidRDefault="00BB3A00" w:rsidP="003F658E">
      <w:pPr>
        <w:spacing w:line="360" w:lineRule="auto"/>
        <w:jc w:val="both"/>
        <w:rPr>
          <w:rFonts w:eastAsia="Calibri" w:cs="Arial"/>
        </w:rPr>
      </w:pPr>
    </w:p>
    <w:p w14:paraId="2E470755" w14:textId="50D3F406" w:rsidR="00BB3A00" w:rsidRPr="003F658E" w:rsidRDefault="00BB3A00" w:rsidP="003F658E">
      <w:pPr>
        <w:spacing w:line="360" w:lineRule="auto"/>
        <w:jc w:val="both"/>
        <w:rPr>
          <w:rFonts w:eastAsia="Calibri" w:cs="Arial"/>
        </w:rPr>
      </w:pPr>
      <w:r>
        <w:rPr>
          <w:rFonts w:eastAsia="Calibri" w:cs="Arial"/>
        </w:rPr>
        <w:t xml:space="preserve">Keywood, K., (2010), ‘Nearest Relatives and Independent Mental Health Advocates: Advocating for mental health?’ In Gostin, L., et al. (Eds.), </w:t>
      </w:r>
      <w:r w:rsidRPr="00BB3A00">
        <w:rPr>
          <w:rFonts w:eastAsia="Calibri" w:cs="Arial"/>
          <w:i/>
        </w:rPr>
        <w:t>Principles of Mental Health Law and Policy</w:t>
      </w:r>
      <w:r>
        <w:rPr>
          <w:rFonts w:eastAsia="Calibri" w:cs="Arial"/>
        </w:rPr>
        <w:t xml:space="preserve">, Oxford University Press. </w:t>
      </w:r>
    </w:p>
    <w:p w14:paraId="2B2755AC" w14:textId="77777777" w:rsidR="00CA684A" w:rsidRPr="003F658E" w:rsidRDefault="00CA684A" w:rsidP="003F658E">
      <w:pPr>
        <w:spacing w:line="360" w:lineRule="auto"/>
        <w:jc w:val="both"/>
        <w:rPr>
          <w:rFonts w:eastAsia="Calibri" w:cs="Arial"/>
        </w:rPr>
      </w:pPr>
    </w:p>
    <w:p w14:paraId="2D818B3A" w14:textId="79ECA8DF" w:rsidR="394407C8" w:rsidRDefault="1051A058" w:rsidP="003F658E">
      <w:pPr>
        <w:spacing w:line="360" w:lineRule="auto"/>
        <w:jc w:val="both"/>
        <w:rPr>
          <w:rFonts w:eastAsia="Calibri" w:cs="Arial"/>
        </w:rPr>
      </w:pPr>
      <w:r w:rsidRPr="003F658E">
        <w:rPr>
          <w:rFonts w:eastAsia="Calibri" w:cs="Arial"/>
        </w:rPr>
        <w:t xml:space="preserve">Larkin, M. and Milne, A., (2014). Carers and empowerment in the UK: a critical reflection. </w:t>
      </w:r>
      <w:r w:rsidRPr="003F658E">
        <w:rPr>
          <w:rFonts w:eastAsia="Calibri" w:cs="Arial"/>
          <w:i/>
          <w:iCs/>
        </w:rPr>
        <w:t>Social Policy and Society</w:t>
      </w:r>
      <w:r w:rsidRPr="003F658E">
        <w:rPr>
          <w:rFonts w:eastAsia="Calibri" w:cs="Arial"/>
        </w:rPr>
        <w:t>, 13(01), 25-38.</w:t>
      </w:r>
    </w:p>
    <w:p w14:paraId="2147E56D" w14:textId="77777777" w:rsidR="003F658E" w:rsidRDefault="003F658E" w:rsidP="003F658E">
      <w:pPr>
        <w:spacing w:line="360" w:lineRule="auto"/>
        <w:jc w:val="both"/>
        <w:rPr>
          <w:rFonts w:eastAsia="Calibri" w:cs="Arial"/>
        </w:rPr>
      </w:pPr>
    </w:p>
    <w:p w14:paraId="5E39466F" w14:textId="18C9D8E9" w:rsidR="003F658E" w:rsidRPr="003F658E" w:rsidRDefault="003F658E" w:rsidP="003F658E">
      <w:pPr>
        <w:spacing w:line="360" w:lineRule="auto"/>
        <w:jc w:val="both"/>
        <w:rPr>
          <w:rFonts w:cs="Arial"/>
        </w:rPr>
      </w:pPr>
      <w:r w:rsidRPr="003F658E">
        <w:rPr>
          <w:rFonts w:cs="Times New Roman"/>
        </w:rPr>
        <w:t xml:space="preserve">Lawson, A., </w:t>
      </w:r>
      <w:r>
        <w:rPr>
          <w:rFonts w:cs="Times New Roman"/>
        </w:rPr>
        <w:t xml:space="preserve">(2008). </w:t>
      </w:r>
      <w:r w:rsidRPr="003F658E">
        <w:rPr>
          <w:rFonts w:cs="Times New Roman"/>
        </w:rPr>
        <w:t>The United Nations Convention on the Rights of Persons with Disabilities: New Era or</w:t>
      </w:r>
      <w:r>
        <w:rPr>
          <w:rFonts w:cs="Times New Roman"/>
        </w:rPr>
        <w:t xml:space="preserve"> False Dawn?, </w:t>
      </w:r>
      <w:r w:rsidRPr="003F658E">
        <w:rPr>
          <w:rFonts w:cs="Times New Roman"/>
          <w:i/>
          <w:iCs/>
        </w:rPr>
        <w:t xml:space="preserve">Syracuse Journal of International Law and Commerce, </w:t>
      </w:r>
      <w:r w:rsidRPr="003F658E">
        <w:rPr>
          <w:rFonts w:cs="Times New Roman"/>
          <w:iCs/>
        </w:rPr>
        <w:t>34,</w:t>
      </w:r>
      <w:r>
        <w:rPr>
          <w:rFonts w:cs="Times New Roman"/>
          <w:i/>
          <w:iCs/>
        </w:rPr>
        <w:t xml:space="preserve"> </w:t>
      </w:r>
      <w:r w:rsidRPr="003F658E">
        <w:rPr>
          <w:rFonts w:cs="Times New Roman"/>
        </w:rPr>
        <w:t>563-619</w:t>
      </w:r>
      <w:r>
        <w:rPr>
          <w:rFonts w:cs="Times New Roman"/>
        </w:rPr>
        <w:t>.</w:t>
      </w:r>
    </w:p>
    <w:p w14:paraId="18842E20" w14:textId="77777777" w:rsidR="00EF4D0C" w:rsidRPr="003F658E" w:rsidRDefault="00EF4D0C" w:rsidP="003F658E">
      <w:pPr>
        <w:spacing w:line="360" w:lineRule="auto"/>
        <w:jc w:val="both"/>
        <w:rPr>
          <w:rFonts w:eastAsia="Calibri" w:cs="Arial"/>
        </w:rPr>
      </w:pPr>
    </w:p>
    <w:p w14:paraId="4C06F7A0" w14:textId="0D41CCC5" w:rsidR="394407C8" w:rsidRPr="003F658E" w:rsidRDefault="538429F5" w:rsidP="003F658E">
      <w:pPr>
        <w:spacing w:line="360" w:lineRule="auto"/>
        <w:jc w:val="both"/>
        <w:rPr>
          <w:rFonts w:eastAsia="Calibri" w:cs="Arial"/>
        </w:rPr>
      </w:pPr>
      <w:r w:rsidRPr="003F658E">
        <w:rPr>
          <w:rFonts w:eastAsia="Calibri" w:cs="Arial"/>
        </w:rPr>
        <w:t>Needham, C., (2011). Personalization: From Story</w:t>
      </w:r>
      <w:r w:rsidRPr="003F658E">
        <w:rPr>
          <w:rFonts w:eastAsia="Calibri" w:cs="Cambria Math"/>
        </w:rPr>
        <w:t>‐</w:t>
      </w:r>
      <w:r w:rsidRPr="003F658E">
        <w:rPr>
          <w:rFonts w:eastAsia="Calibri" w:cs="Arial"/>
        </w:rPr>
        <w:t xml:space="preserve">line to Practice. </w:t>
      </w:r>
      <w:r w:rsidRPr="003F658E">
        <w:rPr>
          <w:rFonts w:eastAsia="Calibri" w:cs="Arial"/>
          <w:i/>
          <w:iCs/>
        </w:rPr>
        <w:t>Social Policy and Administration</w:t>
      </w:r>
      <w:r w:rsidRPr="003F658E">
        <w:rPr>
          <w:rFonts w:eastAsia="Calibri" w:cs="Arial"/>
        </w:rPr>
        <w:t>, 45(1), 54-68.</w:t>
      </w:r>
    </w:p>
    <w:p w14:paraId="35280A9B" w14:textId="77777777" w:rsidR="4C06F7A0" w:rsidRPr="003F658E" w:rsidRDefault="4C06F7A0" w:rsidP="003F658E">
      <w:pPr>
        <w:spacing w:line="360" w:lineRule="auto"/>
        <w:jc w:val="both"/>
        <w:rPr>
          <w:rFonts w:eastAsia="Calibri" w:cs="Arial"/>
        </w:rPr>
      </w:pPr>
    </w:p>
    <w:p w14:paraId="699262BB" w14:textId="2378BD44" w:rsidR="180CF7D2" w:rsidRPr="003F658E" w:rsidRDefault="180CF7D2" w:rsidP="003F658E">
      <w:pPr>
        <w:spacing w:line="360" w:lineRule="auto"/>
        <w:jc w:val="both"/>
      </w:pPr>
      <w:r w:rsidRPr="003F658E">
        <w:rPr>
          <w:rFonts w:eastAsia="Arial" w:cs="Arial"/>
        </w:rPr>
        <w:t xml:space="preserve">Nedelsky, J. (2011). </w:t>
      </w:r>
      <w:r w:rsidRPr="003F658E">
        <w:rPr>
          <w:rFonts w:eastAsia="Arial" w:cs="Arial"/>
          <w:i/>
          <w:iCs/>
        </w:rPr>
        <w:t>Law's relations: A relational theory of self, autonomy, and law</w:t>
      </w:r>
      <w:r w:rsidRPr="003F658E">
        <w:rPr>
          <w:rFonts w:eastAsia="Arial" w:cs="Arial"/>
        </w:rPr>
        <w:t>. O</w:t>
      </w:r>
      <w:r w:rsidR="23C9AC38" w:rsidRPr="003F658E">
        <w:rPr>
          <w:rFonts w:eastAsia="Arial" w:cs="Arial"/>
        </w:rPr>
        <w:t>xford: Oxford University Press</w:t>
      </w:r>
      <w:r w:rsidRPr="003F658E">
        <w:rPr>
          <w:rFonts w:eastAsia="Arial" w:cs="Arial"/>
        </w:rPr>
        <w:t>.</w:t>
      </w:r>
    </w:p>
    <w:p w14:paraId="5F01E2A2" w14:textId="0D23F4C9" w:rsidR="180CF7D2" w:rsidRPr="003F658E" w:rsidRDefault="180CF7D2" w:rsidP="003F658E">
      <w:pPr>
        <w:spacing w:line="360" w:lineRule="auto"/>
        <w:jc w:val="both"/>
        <w:rPr>
          <w:rFonts w:eastAsia="Calibri" w:cs="Arial"/>
        </w:rPr>
      </w:pPr>
    </w:p>
    <w:p w14:paraId="0BAA44E2" w14:textId="6A018E4D" w:rsidR="3AABFF84" w:rsidRPr="003F658E" w:rsidRDefault="3CB9A648" w:rsidP="003F658E">
      <w:pPr>
        <w:spacing w:line="360" w:lineRule="auto"/>
        <w:jc w:val="both"/>
      </w:pPr>
      <w:r w:rsidRPr="003F658E">
        <w:rPr>
          <w:rFonts w:eastAsia="Arial" w:cs="Arial"/>
        </w:rPr>
        <w:t>Newbigging, K., Ridley, J., McKeown, M., Machin, K., &amp; Poursanidou, K. (2015)</w:t>
      </w:r>
      <w:r w:rsidR="00B305AB" w:rsidRPr="003F658E">
        <w:rPr>
          <w:rFonts w:eastAsia="Arial" w:cs="Arial"/>
        </w:rPr>
        <w:t>,</w:t>
      </w:r>
      <w:r w:rsidRPr="003F658E">
        <w:rPr>
          <w:rFonts w:eastAsia="Arial" w:cs="Arial"/>
        </w:rPr>
        <w:t xml:space="preserve"> ‘When you haven't got much of a voice’: an evaluation of the quality of Independent Mental Health Advocate (IMHA) services in England. </w:t>
      </w:r>
      <w:r w:rsidRPr="003F658E">
        <w:rPr>
          <w:rFonts w:eastAsia="Arial" w:cs="Arial"/>
          <w:i/>
          <w:iCs/>
        </w:rPr>
        <w:t>Health &amp; social care in the community</w:t>
      </w:r>
      <w:r w:rsidRPr="003F658E">
        <w:rPr>
          <w:rFonts w:eastAsia="Arial" w:cs="Arial"/>
        </w:rPr>
        <w:t xml:space="preserve">, </w:t>
      </w:r>
      <w:r w:rsidRPr="003F658E">
        <w:rPr>
          <w:rFonts w:eastAsia="Arial" w:cs="Arial"/>
          <w:iCs/>
        </w:rPr>
        <w:t>23</w:t>
      </w:r>
      <w:r w:rsidRPr="003F658E">
        <w:rPr>
          <w:rFonts w:eastAsia="Arial" w:cs="Arial"/>
        </w:rPr>
        <w:t>(3), 313-324.</w:t>
      </w:r>
    </w:p>
    <w:p w14:paraId="77B13205" w14:textId="629255F7" w:rsidR="004F49F3" w:rsidRPr="003F658E" w:rsidRDefault="004F49F3" w:rsidP="003F658E">
      <w:pPr>
        <w:spacing w:line="360" w:lineRule="auto"/>
        <w:jc w:val="both"/>
        <w:rPr>
          <w:rFonts w:eastAsia="Calibri" w:cs="Arial"/>
        </w:rPr>
      </w:pPr>
    </w:p>
    <w:p w14:paraId="63D8E85E" w14:textId="3CFB3608" w:rsidR="004F49F3" w:rsidRPr="003F658E" w:rsidRDefault="538429F5" w:rsidP="003F658E">
      <w:pPr>
        <w:spacing w:line="360" w:lineRule="auto"/>
        <w:jc w:val="both"/>
        <w:rPr>
          <w:rFonts w:eastAsia="Calibri" w:cs="Arial"/>
        </w:rPr>
      </w:pPr>
      <w:r w:rsidRPr="003F658E">
        <w:rPr>
          <w:rFonts w:eastAsia="Calibri" w:cs="Arial"/>
        </w:rPr>
        <w:t xml:space="preserve">NHS Digital, (2016), </w:t>
      </w:r>
      <w:r w:rsidRPr="003F658E">
        <w:rPr>
          <w:rFonts w:eastAsia="Calibri" w:cs="Arial"/>
          <w:i/>
          <w:iCs/>
        </w:rPr>
        <w:t>Inpatients formally detained in Hospitals under the Mental Health Act 1983 and patients subject to Supervised Community Treatment</w:t>
      </w:r>
      <w:r w:rsidRPr="003F658E">
        <w:rPr>
          <w:rFonts w:eastAsia="Calibri" w:cs="Arial"/>
        </w:rPr>
        <w:t>. London.</w:t>
      </w:r>
    </w:p>
    <w:p w14:paraId="30ECF927" w14:textId="77777777" w:rsidR="00EF4D0C" w:rsidRPr="003F658E" w:rsidRDefault="00EF4D0C" w:rsidP="003F658E">
      <w:pPr>
        <w:spacing w:line="360" w:lineRule="auto"/>
        <w:jc w:val="both"/>
        <w:rPr>
          <w:rFonts w:eastAsia="Calibri" w:cs="Arial"/>
        </w:rPr>
      </w:pPr>
    </w:p>
    <w:p w14:paraId="325AE55D" w14:textId="77777777" w:rsidR="00EF4D0C" w:rsidRPr="003F658E" w:rsidRDefault="00EF4D0C" w:rsidP="003F658E">
      <w:pPr>
        <w:spacing w:line="360" w:lineRule="auto"/>
        <w:jc w:val="both"/>
        <w:rPr>
          <w:rFonts w:cs="Arial"/>
          <w:noProof/>
        </w:rPr>
      </w:pPr>
      <w:r w:rsidRPr="003F658E">
        <w:rPr>
          <w:rFonts w:cs="Arial"/>
          <w:noProof/>
        </w:rPr>
        <w:t xml:space="preserve">Rachman, S. (2004). Fear of contamination. </w:t>
      </w:r>
      <w:r w:rsidRPr="003F658E">
        <w:rPr>
          <w:rFonts w:cs="Arial"/>
          <w:i/>
          <w:noProof/>
        </w:rPr>
        <w:t xml:space="preserve">Behaviour Research and Therapy, </w:t>
      </w:r>
      <w:r w:rsidRPr="003F658E">
        <w:rPr>
          <w:rFonts w:cs="Arial"/>
          <w:noProof/>
        </w:rPr>
        <w:t xml:space="preserve">42(11), 1227 1255. </w:t>
      </w:r>
    </w:p>
    <w:p w14:paraId="7CDCCE70" w14:textId="77777777" w:rsidR="00EF4D0C" w:rsidRPr="003F658E" w:rsidRDefault="00EF4D0C" w:rsidP="003F658E">
      <w:pPr>
        <w:spacing w:line="360" w:lineRule="auto"/>
        <w:jc w:val="both"/>
        <w:rPr>
          <w:rFonts w:cs="Arial"/>
          <w:noProof/>
        </w:rPr>
      </w:pPr>
    </w:p>
    <w:p w14:paraId="641DF8D3" w14:textId="77777777" w:rsidR="00EF4D0C" w:rsidRPr="003F658E" w:rsidRDefault="00EF4D0C" w:rsidP="003F658E">
      <w:pPr>
        <w:spacing w:line="360" w:lineRule="auto"/>
        <w:jc w:val="both"/>
        <w:rPr>
          <w:rFonts w:cs="Arial"/>
          <w:noProof/>
        </w:rPr>
      </w:pPr>
      <w:r w:rsidRPr="003F658E">
        <w:rPr>
          <w:rFonts w:cs="Arial"/>
          <w:noProof/>
        </w:rPr>
        <w:t xml:space="preserve">Rachman, S. (2010). Betrayal: A psychological analysis. </w:t>
      </w:r>
      <w:r w:rsidRPr="003F658E">
        <w:rPr>
          <w:rFonts w:cs="Arial"/>
          <w:i/>
          <w:noProof/>
        </w:rPr>
        <w:t xml:space="preserve">Behaviour Research and Therapy, </w:t>
      </w:r>
      <w:r w:rsidRPr="003F658E">
        <w:rPr>
          <w:rFonts w:cs="Arial"/>
          <w:noProof/>
        </w:rPr>
        <w:t xml:space="preserve">48(4), 304-311. </w:t>
      </w:r>
    </w:p>
    <w:p w14:paraId="6CDFA0E6" w14:textId="77777777" w:rsidR="00EF4D0C" w:rsidRPr="003F658E" w:rsidRDefault="00EF4D0C" w:rsidP="003F658E">
      <w:pPr>
        <w:spacing w:line="360" w:lineRule="auto"/>
        <w:jc w:val="both"/>
        <w:rPr>
          <w:rFonts w:eastAsia="Calibri" w:cs="Arial"/>
        </w:rPr>
      </w:pPr>
    </w:p>
    <w:p w14:paraId="18B3B8A8" w14:textId="546845F4" w:rsidR="394407C8" w:rsidRPr="003F658E" w:rsidRDefault="1051A058" w:rsidP="003F658E">
      <w:pPr>
        <w:spacing w:line="360" w:lineRule="auto"/>
        <w:jc w:val="both"/>
        <w:rPr>
          <w:rFonts w:cs="Arial"/>
        </w:rPr>
      </w:pPr>
      <w:r w:rsidRPr="003F658E">
        <w:rPr>
          <w:rFonts w:eastAsia="Calibri" w:cs="Arial"/>
        </w:rPr>
        <w:t xml:space="preserve">Ranieri, V., Madigan, K., Roche, E., Bainbridge, E., McGuinness, D., Tierney, K., Feeney, L., Hallahan, B., McDonald, C. and O’Donoghue, B., (2015). Caregivers' perceptions of coercion in psychiatric hospital admission. </w:t>
      </w:r>
      <w:r w:rsidRPr="003F658E">
        <w:rPr>
          <w:rFonts w:eastAsia="Calibri" w:cs="Arial"/>
          <w:i/>
          <w:iCs/>
        </w:rPr>
        <w:t>Psychiatry Research</w:t>
      </w:r>
      <w:r w:rsidRPr="003F658E">
        <w:rPr>
          <w:rFonts w:eastAsia="Calibri" w:cs="Arial"/>
        </w:rPr>
        <w:t>, 228(3), 380-385.</w:t>
      </w:r>
    </w:p>
    <w:p w14:paraId="19BB5BA4" w14:textId="77777777" w:rsidR="00EF4D0C" w:rsidRPr="003F658E" w:rsidRDefault="00EF4D0C" w:rsidP="003F658E">
      <w:pPr>
        <w:spacing w:line="360" w:lineRule="auto"/>
        <w:jc w:val="both"/>
        <w:rPr>
          <w:rFonts w:eastAsia="Calibri" w:cs="Arial"/>
        </w:rPr>
      </w:pPr>
    </w:p>
    <w:p w14:paraId="3D7FD4F3" w14:textId="1EEA2BBE" w:rsidR="12235F94" w:rsidRPr="003F658E" w:rsidRDefault="538429F5" w:rsidP="003F658E">
      <w:pPr>
        <w:spacing w:line="360" w:lineRule="auto"/>
        <w:jc w:val="both"/>
        <w:rPr>
          <w:rFonts w:eastAsia="Calibri" w:cs="Arial"/>
        </w:rPr>
      </w:pPr>
      <w:r w:rsidRPr="003F658E">
        <w:rPr>
          <w:rFonts w:eastAsia="Calibri" w:cs="Arial"/>
        </w:rPr>
        <w:t xml:space="preserve">Rapaport, J., (2003). Ghost of the Nearest Relative under the Mental Health Act 1983-Past, Present and Future. </w:t>
      </w:r>
      <w:r w:rsidRPr="003F658E">
        <w:rPr>
          <w:rFonts w:eastAsia="Calibri" w:cs="Arial"/>
          <w:i/>
          <w:iCs/>
        </w:rPr>
        <w:t xml:space="preserve">Journal of  Mental Health Law, </w:t>
      </w:r>
      <w:r w:rsidRPr="003F658E">
        <w:rPr>
          <w:rFonts w:eastAsia="Calibri" w:cs="Arial"/>
        </w:rPr>
        <w:t>August</w:t>
      </w:r>
      <w:r w:rsidRPr="003F658E">
        <w:rPr>
          <w:rFonts w:eastAsia="Calibri" w:cs="Arial"/>
          <w:i/>
          <w:iCs/>
        </w:rPr>
        <w:t xml:space="preserve">, </w:t>
      </w:r>
      <w:r w:rsidRPr="003F658E">
        <w:rPr>
          <w:rFonts w:eastAsia="Calibri" w:cs="Arial"/>
        </w:rPr>
        <w:t>51.</w:t>
      </w:r>
    </w:p>
    <w:p w14:paraId="7F705E87" w14:textId="77777777" w:rsidR="00600257" w:rsidRPr="003F658E" w:rsidRDefault="00600257" w:rsidP="003F658E">
      <w:pPr>
        <w:spacing w:line="360" w:lineRule="auto"/>
        <w:jc w:val="both"/>
        <w:rPr>
          <w:rFonts w:eastAsia="Calibri" w:cs="Arial"/>
        </w:rPr>
      </w:pPr>
    </w:p>
    <w:p w14:paraId="5B48137C" w14:textId="243C2024" w:rsidR="00EF4D0C" w:rsidRPr="003F658E" w:rsidRDefault="538429F5" w:rsidP="003F658E">
      <w:pPr>
        <w:spacing w:line="360" w:lineRule="auto"/>
        <w:jc w:val="both"/>
        <w:rPr>
          <w:rFonts w:cs="Arial"/>
        </w:rPr>
      </w:pPr>
      <w:r w:rsidRPr="003F658E">
        <w:rPr>
          <w:rFonts w:eastAsia="Calibri" w:cs="Arial"/>
        </w:rPr>
        <w:t xml:space="preserve">Rapaport, J., (2004). A matter of principle: the nearest relative under the Mental Health Act 1983 and proposals for legislative reform. </w:t>
      </w:r>
      <w:r w:rsidRPr="003F658E">
        <w:rPr>
          <w:rFonts w:eastAsia="Calibri" w:cs="Arial"/>
          <w:i/>
          <w:iCs/>
        </w:rPr>
        <w:t>Journal of Social Welfare and Family Law,</w:t>
      </w:r>
      <w:r w:rsidRPr="003F658E">
        <w:rPr>
          <w:rFonts w:eastAsia="Calibri" w:cs="Arial"/>
        </w:rPr>
        <w:t xml:space="preserve"> 26(4), 377-396. </w:t>
      </w:r>
    </w:p>
    <w:p w14:paraId="4A8BB0F8" w14:textId="77777777" w:rsidR="001968B2" w:rsidRPr="003F658E" w:rsidRDefault="001968B2" w:rsidP="003F658E">
      <w:pPr>
        <w:spacing w:line="360" w:lineRule="auto"/>
        <w:jc w:val="both"/>
        <w:rPr>
          <w:rFonts w:cs="Arial"/>
        </w:rPr>
      </w:pPr>
    </w:p>
    <w:p w14:paraId="061EBA66" w14:textId="0378E31C" w:rsidR="6A8E2004" w:rsidRPr="003F658E" w:rsidRDefault="1051A058" w:rsidP="003F658E">
      <w:pPr>
        <w:spacing w:line="360" w:lineRule="auto"/>
        <w:jc w:val="both"/>
        <w:rPr>
          <w:rFonts w:cs="Arial"/>
        </w:rPr>
      </w:pPr>
      <w:r w:rsidRPr="003F658E">
        <w:rPr>
          <w:rFonts w:eastAsia="Calibri" w:cs="Arial"/>
        </w:rPr>
        <w:t xml:space="preserve">Rapaport, J., Bellringer, S., Pinfold, V. and Huxley, P., (2006). Carers and confidentiality in mental health care: Considering the role of the carer's assessment: A study of patients’, carers’ and practitioners’ views. </w:t>
      </w:r>
      <w:r w:rsidRPr="003F658E">
        <w:rPr>
          <w:rFonts w:eastAsia="Calibri" w:cs="Arial"/>
          <w:i/>
          <w:iCs/>
        </w:rPr>
        <w:t>Health &amp; Social Care in the Community</w:t>
      </w:r>
      <w:r w:rsidRPr="003F658E">
        <w:rPr>
          <w:rFonts w:eastAsia="Calibri" w:cs="Arial"/>
        </w:rPr>
        <w:t>, 14(4), 357-365.</w:t>
      </w:r>
    </w:p>
    <w:p w14:paraId="234C9AB7" w14:textId="6BD93E74" w:rsidR="1051A058" w:rsidRPr="003F658E" w:rsidRDefault="1051A058" w:rsidP="003F658E">
      <w:pPr>
        <w:pStyle w:val="NormalWeb"/>
        <w:spacing w:line="360" w:lineRule="auto"/>
        <w:jc w:val="both"/>
        <w:rPr>
          <w:rFonts w:asciiTheme="minorHAnsi" w:eastAsia="Arial" w:hAnsiTheme="minorHAnsi" w:cs="Arial"/>
        </w:rPr>
      </w:pPr>
      <w:r w:rsidRPr="003F658E">
        <w:rPr>
          <w:rFonts w:asciiTheme="minorHAnsi" w:eastAsia="Arial" w:hAnsiTheme="minorHAnsi" w:cs="Arial"/>
        </w:rPr>
        <w:t xml:space="preserve">Rapaport, J. &amp; Manthrope, J., (2008). Family matters: developments concerning the role of the nearest relative and social worker under mental health law in England and Wales. </w:t>
      </w:r>
      <w:r w:rsidRPr="003F658E">
        <w:rPr>
          <w:rFonts w:asciiTheme="minorHAnsi" w:eastAsia="Arial" w:hAnsiTheme="minorHAnsi" w:cs="Arial"/>
          <w:i/>
          <w:iCs/>
        </w:rPr>
        <w:t>British Journal of Social Work,</w:t>
      </w:r>
      <w:r w:rsidRPr="003F658E">
        <w:rPr>
          <w:rFonts w:asciiTheme="minorHAnsi" w:eastAsia="Arial" w:hAnsiTheme="minorHAnsi" w:cs="Arial"/>
        </w:rPr>
        <w:t xml:space="preserve"> 38 (6), 1115–1131.</w:t>
      </w:r>
    </w:p>
    <w:p w14:paraId="24FC9EED" w14:textId="1C513A34" w:rsidR="12235F94" w:rsidRPr="003F658E" w:rsidRDefault="1051A058" w:rsidP="003F658E">
      <w:pPr>
        <w:spacing w:line="360" w:lineRule="auto"/>
        <w:jc w:val="both"/>
        <w:rPr>
          <w:rFonts w:cs="Arial"/>
        </w:rPr>
      </w:pPr>
      <w:r w:rsidRPr="003F658E">
        <w:rPr>
          <w:rFonts w:eastAsia="Calibri" w:cs="Arial"/>
        </w:rPr>
        <w:t xml:space="preserve">Rowe, J., (2012). Great expectations: a systematic review of the literature on the role of family carers in severe mental illness, and their relationships and engagement with professionals. </w:t>
      </w:r>
      <w:r w:rsidRPr="003F658E">
        <w:rPr>
          <w:rFonts w:eastAsia="Calibri" w:cs="Arial"/>
          <w:i/>
          <w:iCs/>
        </w:rPr>
        <w:t>Journal of Psychiatric and Mental Health Nursing</w:t>
      </w:r>
      <w:r w:rsidRPr="003F658E">
        <w:rPr>
          <w:rFonts w:eastAsia="Calibri" w:cs="Arial"/>
        </w:rPr>
        <w:t>, 19(1), 70-82.</w:t>
      </w:r>
    </w:p>
    <w:p w14:paraId="65CA0520" w14:textId="654454D7" w:rsidR="1051A058" w:rsidRPr="003F658E" w:rsidRDefault="1051A058" w:rsidP="003F658E">
      <w:pPr>
        <w:spacing w:line="360" w:lineRule="auto"/>
        <w:jc w:val="both"/>
        <w:rPr>
          <w:rFonts w:eastAsia="Arial" w:cs="Arial"/>
          <w:color w:val="222222"/>
        </w:rPr>
      </w:pPr>
    </w:p>
    <w:p w14:paraId="18A409B1" w14:textId="554D9007" w:rsidR="1051A058" w:rsidRPr="003F658E" w:rsidRDefault="1051A058" w:rsidP="003F658E">
      <w:pPr>
        <w:spacing w:line="360" w:lineRule="auto"/>
        <w:jc w:val="both"/>
      </w:pPr>
      <w:r w:rsidRPr="003F658E">
        <w:rPr>
          <w:rFonts w:eastAsia="Arial" w:cs="Arial"/>
          <w:color w:val="222222"/>
        </w:rPr>
        <w:t xml:space="preserve">Shaw, P., Hotopf, M., &amp; Davies, A. (2003). In relative danger? </w:t>
      </w:r>
      <w:r w:rsidRPr="003F658E">
        <w:rPr>
          <w:rFonts w:eastAsia="Arial" w:cs="Arial"/>
        </w:rPr>
        <w:t>The outcome of patients discharged by their nearest relative from sections 2 and 3 of the Mental Health Act.</w:t>
      </w:r>
      <w:r w:rsidRPr="003F658E">
        <w:rPr>
          <w:rFonts w:eastAsia="Arial" w:cs="Arial"/>
          <w:color w:val="222222"/>
        </w:rPr>
        <w:t xml:space="preserve"> </w:t>
      </w:r>
      <w:r w:rsidRPr="003F658E">
        <w:rPr>
          <w:rFonts w:eastAsia="Arial" w:cs="Arial"/>
          <w:i/>
          <w:iCs/>
          <w:color w:val="222222"/>
        </w:rPr>
        <w:t>The Psychiatrist</w:t>
      </w:r>
      <w:r w:rsidRPr="003F658E">
        <w:rPr>
          <w:rFonts w:eastAsia="Arial" w:cs="Arial"/>
          <w:color w:val="222222"/>
        </w:rPr>
        <w:t xml:space="preserve">, </w:t>
      </w:r>
      <w:r w:rsidRPr="003F658E">
        <w:rPr>
          <w:rFonts w:eastAsia="Arial" w:cs="Arial"/>
          <w:i/>
          <w:iCs/>
          <w:color w:val="222222"/>
        </w:rPr>
        <w:t>27</w:t>
      </w:r>
      <w:r w:rsidRPr="003F658E">
        <w:rPr>
          <w:rFonts w:eastAsia="Arial" w:cs="Arial"/>
          <w:color w:val="222222"/>
        </w:rPr>
        <w:t>(2), 50-54.</w:t>
      </w:r>
    </w:p>
    <w:p w14:paraId="2B1D432C" w14:textId="371550D4" w:rsidR="00C858D1" w:rsidRPr="003F658E" w:rsidRDefault="1051A058" w:rsidP="003F658E">
      <w:pPr>
        <w:spacing w:line="360" w:lineRule="auto"/>
        <w:jc w:val="both"/>
        <w:rPr>
          <w:rFonts w:eastAsia="Calibri" w:cs="Arial"/>
        </w:rPr>
      </w:pPr>
      <w:r w:rsidRPr="003F658E">
        <w:rPr>
          <w:rFonts w:eastAsia="Calibri" w:cs="Arial"/>
        </w:rPr>
        <w:t xml:space="preserve"> </w:t>
      </w:r>
    </w:p>
    <w:p w14:paraId="0FEFC3DD" w14:textId="66EC702A" w:rsidR="12235F94" w:rsidRPr="003F658E" w:rsidRDefault="1051A058" w:rsidP="003F658E">
      <w:pPr>
        <w:spacing w:line="360" w:lineRule="auto"/>
        <w:jc w:val="both"/>
        <w:rPr>
          <w:rFonts w:cs="Arial"/>
        </w:rPr>
      </w:pPr>
      <w:r w:rsidRPr="003F658E">
        <w:rPr>
          <w:rFonts w:eastAsia="Calibri" w:cs="Arial"/>
        </w:rPr>
        <w:lastRenderedPageBreak/>
        <w:t xml:space="preserve">Slade, M., Pinfold, V., Rapaport, J., Bellringer, S., Banerjee, S., Kuipers, E. and Huxley, P., (2007). Best practice when patients do not consent to sharing information with carers. </w:t>
      </w:r>
      <w:r w:rsidRPr="003F658E">
        <w:rPr>
          <w:rFonts w:eastAsia="Calibri" w:cs="Arial"/>
          <w:i/>
          <w:iCs/>
        </w:rPr>
        <w:t>The British Journal of Psychiatry</w:t>
      </w:r>
      <w:r w:rsidRPr="003F658E">
        <w:rPr>
          <w:rFonts w:eastAsia="Calibri" w:cs="Arial"/>
        </w:rPr>
        <w:t>, 190(2), 148-155.</w:t>
      </w:r>
    </w:p>
    <w:p w14:paraId="5056E034" w14:textId="77777777" w:rsidR="007E2309" w:rsidRPr="003F658E" w:rsidRDefault="007E2309" w:rsidP="003F658E">
      <w:pPr>
        <w:spacing w:line="360" w:lineRule="auto"/>
        <w:jc w:val="both"/>
        <w:rPr>
          <w:rFonts w:eastAsia="Calibri" w:cs="Arial"/>
        </w:rPr>
      </w:pPr>
    </w:p>
    <w:p w14:paraId="3C6D36C2" w14:textId="5895BCCD" w:rsidR="00EF4D0C" w:rsidRPr="003F658E" w:rsidRDefault="538429F5" w:rsidP="003F658E">
      <w:pPr>
        <w:spacing w:line="360" w:lineRule="auto"/>
        <w:jc w:val="both"/>
        <w:rPr>
          <w:rFonts w:eastAsia="Calibri" w:cs="Arial"/>
        </w:rPr>
      </w:pPr>
      <w:r w:rsidRPr="003F658E">
        <w:rPr>
          <w:rFonts w:eastAsia="Calibri" w:cs="Arial"/>
        </w:rPr>
        <w:t xml:space="preserve">Spencer- Lane T., (2011) The Nearest Relative and Nominated Person: A Tale of Parliamentary Shenanigans. </w:t>
      </w:r>
      <w:r w:rsidRPr="003F658E">
        <w:rPr>
          <w:rFonts w:eastAsia="Calibri" w:cs="Arial"/>
          <w:i/>
          <w:iCs/>
        </w:rPr>
        <w:t>International Journal of Mental Health and Capacity Law</w:t>
      </w:r>
      <w:r w:rsidRPr="003F658E">
        <w:rPr>
          <w:rFonts w:eastAsia="Calibri" w:cs="Arial"/>
        </w:rPr>
        <w:t>. 21, Spring, 48-60.</w:t>
      </w:r>
    </w:p>
    <w:p w14:paraId="431972AA" w14:textId="77777777" w:rsidR="00E563C6" w:rsidRPr="003F658E" w:rsidRDefault="00E563C6" w:rsidP="003F658E">
      <w:pPr>
        <w:spacing w:line="360" w:lineRule="auto"/>
        <w:jc w:val="both"/>
        <w:rPr>
          <w:rFonts w:eastAsia="Calibri" w:cs="Arial"/>
        </w:rPr>
      </w:pPr>
    </w:p>
    <w:p w14:paraId="7764A130" w14:textId="37B447CC" w:rsidR="12235F94" w:rsidRPr="003F658E" w:rsidRDefault="538429F5" w:rsidP="003F658E">
      <w:pPr>
        <w:spacing w:line="360" w:lineRule="auto"/>
        <w:jc w:val="both"/>
        <w:rPr>
          <w:rFonts w:eastAsia="Calibri" w:cs="Arial"/>
        </w:rPr>
      </w:pPr>
      <w:r w:rsidRPr="003F658E">
        <w:rPr>
          <w:rFonts w:eastAsia="Calibri" w:cs="Arial"/>
        </w:rPr>
        <w:t xml:space="preserve">Stroud, J., Banks, L. and Doughty, K., (2015). Community treatment orders: learning from experiences of patients, practitioners and nearest relatives. </w:t>
      </w:r>
      <w:r w:rsidRPr="003F658E">
        <w:rPr>
          <w:rFonts w:eastAsia="Calibri" w:cs="Arial"/>
          <w:i/>
          <w:iCs/>
        </w:rPr>
        <w:t>Journal of Mental Health</w:t>
      </w:r>
      <w:r w:rsidRPr="003F658E">
        <w:rPr>
          <w:rFonts w:eastAsia="Calibri" w:cs="Arial"/>
        </w:rPr>
        <w:t xml:space="preserve">, </w:t>
      </w:r>
      <w:r w:rsidRPr="003F658E">
        <w:rPr>
          <w:rFonts w:eastAsia="Calibri" w:cs="Arial"/>
          <w:i/>
          <w:iCs/>
        </w:rPr>
        <w:t>24</w:t>
      </w:r>
      <w:r w:rsidRPr="003F658E">
        <w:rPr>
          <w:rFonts w:eastAsia="Calibri" w:cs="Arial"/>
        </w:rPr>
        <w:t>(2), 88-92.</w:t>
      </w:r>
    </w:p>
    <w:p w14:paraId="05AED5BF" w14:textId="77777777" w:rsidR="00C858D1" w:rsidRPr="003F658E" w:rsidRDefault="00C858D1" w:rsidP="003F658E">
      <w:pPr>
        <w:spacing w:line="360" w:lineRule="auto"/>
        <w:jc w:val="both"/>
        <w:rPr>
          <w:rFonts w:eastAsia="Calibri" w:cs="Arial"/>
        </w:rPr>
      </w:pPr>
    </w:p>
    <w:p w14:paraId="1F4AA39B" w14:textId="7D02B7D5" w:rsidR="00C858D1" w:rsidRPr="003F658E" w:rsidRDefault="538429F5" w:rsidP="003F658E">
      <w:pPr>
        <w:spacing w:line="360" w:lineRule="auto"/>
        <w:jc w:val="both"/>
        <w:rPr>
          <w:rFonts w:cs="Arial"/>
        </w:rPr>
      </w:pPr>
      <w:r w:rsidRPr="003F658E">
        <w:rPr>
          <w:rFonts w:eastAsia="Calibri" w:cs="Arial"/>
        </w:rPr>
        <w:t xml:space="preserve">Stuart Smith, M., (2015). ‘Only connect’ ‘nearest relative’s’ experiences of mental health act assessments. </w:t>
      </w:r>
      <w:r w:rsidRPr="003F658E">
        <w:rPr>
          <w:rFonts w:eastAsia="Calibri" w:cs="Arial"/>
          <w:i/>
          <w:iCs/>
        </w:rPr>
        <w:t>Journal of Social Work Practice</w:t>
      </w:r>
      <w:r w:rsidRPr="003F658E">
        <w:rPr>
          <w:rFonts w:eastAsia="Calibri" w:cs="Arial"/>
        </w:rPr>
        <w:t>. 29(3), 339-353.</w:t>
      </w:r>
    </w:p>
    <w:p w14:paraId="44DA7DE1" w14:textId="77777777" w:rsidR="00EF4D0C" w:rsidRPr="003F658E" w:rsidRDefault="00EF4D0C" w:rsidP="003F658E">
      <w:pPr>
        <w:spacing w:line="360" w:lineRule="auto"/>
        <w:jc w:val="both"/>
        <w:rPr>
          <w:rFonts w:eastAsia="Calibri" w:cs="Arial"/>
        </w:rPr>
      </w:pPr>
    </w:p>
    <w:p w14:paraId="561301DF" w14:textId="48B85EA2" w:rsidR="00780A26" w:rsidRPr="003F658E" w:rsidRDefault="1051A058" w:rsidP="003F658E">
      <w:pPr>
        <w:tabs>
          <w:tab w:val="left" w:pos="6129"/>
        </w:tabs>
        <w:spacing w:line="360" w:lineRule="auto"/>
        <w:jc w:val="both"/>
        <w:rPr>
          <w:rFonts w:cs="Arial"/>
          <w:noProof/>
        </w:rPr>
      </w:pPr>
      <w:r w:rsidRPr="003F658E">
        <w:rPr>
          <w:rFonts w:eastAsia="Times New Roman" w:cs="Arial"/>
          <w:lang w:eastAsia="en-GB"/>
        </w:rPr>
        <w:t xml:space="preserve">Waller, K., &amp; Boschen, M. J. (2015). Evoking and reducing mental contamination in female perpetrators of an imagined non-consensual kiss. </w:t>
      </w:r>
      <w:r w:rsidRPr="003F658E">
        <w:rPr>
          <w:rFonts w:eastAsia="Times New Roman" w:cs="Arial"/>
          <w:i/>
          <w:iCs/>
          <w:lang w:eastAsia="en-GB"/>
        </w:rPr>
        <w:t>Journal of behavior therapy and experimental psychiatry</w:t>
      </w:r>
      <w:r w:rsidRPr="003F658E">
        <w:rPr>
          <w:rFonts w:eastAsia="Times New Roman" w:cs="Arial"/>
          <w:lang w:eastAsia="en-GB"/>
        </w:rPr>
        <w:t xml:space="preserve">, </w:t>
      </w:r>
      <w:r w:rsidRPr="003F658E">
        <w:rPr>
          <w:rFonts w:eastAsia="Times New Roman" w:cs="Arial"/>
          <w:i/>
          <w:iCs/>
          <w:lang w:eastAsia="en-GB"/>
        </w:rPr>
        <w:t>49</w:t>
      </w:r>
      <w:r w:rsidRPr="003F658E">
        <w:rPr>
          <w:rFonts w:eastAsia="Times New Roman" w:cs="Arial"/>
          <w:lang w:eastAsia="en-GB"/>
        </w:rPr>
        <w:t>, 195-202.</w:t>
      </w:r>
    </w:p>
    <w:p w14:paraId="5C3C597D" w14:textId="77777777" w:rsidR="00EF4D0C" w:rsidRPr="003F658E" w:rsidRDefault="00EF4D0C" w:rsidP="003F658E">
      <w:pPr>
        <w:spacing w:line="360" w:lineRule="auto"/>
        <w:jc w:val="both"/>
        <w:rPr>
          <w:rFonts w:eastAsia="Times New Roman" w:cs="Arial"/>
          <w:lang w:eastAsia="en-GB"/>
        </w:rPr>
      </w:pPr>
    </w:p>
    <w:p w14:paraId="1CACFBF5" w14:textId="5CED4192" w:rsidR="00E57866" w:rsidRPr="003F658E" w:rsidRDefault="1051A058" w:rsidP="003F658E">
      <w:pPr>
        <w:spacing w:line="360" w:lineRule="auto"/>
        <w:jc w:val="both"/>
        <w:rPr>
          <w:rFonts w:eastAsia="Calibri" w:cs="Arial"/>
        </w:rPr>
      </w:pPr>
      <w:r w:rsidRPr="003F658E">
        <w:rPr>
          <w:rFonts w:eastAsia="Calibri" w:cs="Arial"/>
        </w:rPr>
        <w:t xml:space="preserve">Wilkinson, C. and McAndrew, S., (2008). ‘I'm not an outsider, I'm his mother!’ A phenomenological enquiry into carer experiences of exclusion from acute psychiatric settings. </w:t>
      </w:r>
      <w:r w:rsidRPr="003F658E">
        <w:rPr>
          <w:rFonts w:eastAsia="Calibri" w:cs="Arial"/>
          <w:i/>
          <w:iCs/>
        </w:rPr>
        <w:t>International journal of mental health nursing</w:t>
      </w:r>
      <w:r w:rsidRPr="003F658E">
        <w:rPr>
          <w:rFonts w:eastAsia="Calibri" w:cs="Arial"/>
        </w:rPr>
        <w:t xml:space="preserve">, </w:t>
      </w:r>
      <w:r w:rsidRPr="003F658E">
        <w:rPr>
          <w:rFonts w:eastAsia="Calibri" w:cs="Arial"/>
          <w:i/>
          <w:iCs/>
        </w:rPr>
        <w:t>17</w:t>
      </w:r>
      <w:r w:rsidRPr="003F658E">
        <w:rPr>
          <w:rFonts w:eastAsia="Calibri" w:cs="Arial"/>
        </w:rPr>
        <w:t>(6), 392-401.</w:t>
      </w:r>
    </w:p>
    <w:p w14:paraId="4CBE5759" w14:textId="77777777" w:rsidR="00385DA5" w:rsidRPr="003F658E" w:rsidRDefault="00385DA5" w:rsidP="003F658E">
      <w:pPr>
        <w:spacing w:line="360" w:lineRule="auto"/>
        <w:jc w:val="both"/>
        <w:rPr>
          <w:rFonts w:eastAsia="Calibri" w:cs="Arial"/>
        </w:rPr>
      </w:pPr>
    </w:p>
    <w:p w14:paraId="3D29CFE4" w14:textId="7D4BA688" w:rsidR="00385DA5" w:rsidRPr="003F658E" w:rsidRDefault="1051A058" w:rsidP="003F658E">
      <w:pPr>
        <w:spacing w:line="360" w:lineRule="auto"/>
        <w:jc w:val="both"/>
        <w:rPr>
          <w:rFonts w:eastAsia="Calibri" w:cs="Arial"/>
        </w:rPr>
      </w:pPr>
      <w:r w:rsidRPr="003F658E">
        <w:rPr>
          <w:rFonts w:eastAsia="Calibri" w:cs="Arial"/>
        </w:rPr>
        <w:t xml:space="preserve">Yeates, V., (2005) Death of the Nearest Relative? Carers’ and Families’ Rights to Challenge Compulsion under Current and Proposed Mental Health Legislation.  </w:t>
      </w:r>
      <w:r w:rsidRPr="003F658E">
        <w:rPr>
          <w:rFonts w:eastAsia="Calibri" w:cs="Arial"/>
          <w:i/>
          <w:iCs/>
        </w:rPr>
        <w:t>Journal of Mental Health Law</w:t>
      </w:r>
      <w:r w:rsidRPr="003F658E">
        <w:rPr>
          <w:rFonts w:eastAsia="Calibri" w:cs="Arial"/>
        </w:rPr>
        <w:t>, November, 123-137.</w:t>
      </w:r>
    </w:p>
    <w:sectPr w:rsidR="00385DA5" w:rsidRPr="003F658E" w:rsidSect="00B305AB">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5B6AD" w14:textId="77777777" w:rsidR="00F568C5" w:rsidRDefault="00F568C5" w:rsidP="00F82674">
      <w:r>
        <w:separator/>
      </w:r>
    </w:p>
  </w:endnote>
  <w:endnote w:type="continuationSeparator" w:id="0">
    <w:p w14:paraId="1C68A845" w14:textId="77777777" w:rsidR="00F568C5" w:rsidRDefault="00F568C5" w:rsidP="00F82674">
      <w:r>
        <w:continuationSeparator/>
      </w:r>
    </w:p>
  </w:endnote>
  <w:endnote w:id="1">
    <w:p w14:paraId="364BEF68" w14:textId="12126D43" w:rsidR="00BF7A70" w:rsidRPr="003F658E" w:rsidRDefault="00BF7A70">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6E99F" w14:textId="77777777" w:rsidR="00BF7A70" w:rsidRDefault="00BF7A70" w:rsidP="00E1502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806CB4" w14:textId="77777777" w:rsidR="00BF7A70" w:rsidRDefault="00BF7A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259F7" w14:textId="6134AE24" w:rsidR="00BF7A70" w:rsidRDefault="00BF7A70" w:rsidP="00E1502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077B">
      <w:rPr>
        <w:rStyle w:val="PageNumber"/>
        <w:noProof/>
      </w:rPr>
      <w:t>26</w:t>
    </w:r>
    <w:r>
      <w:rPr>
        <w:rStyle w:val="PageNumber"/>
      </w:rPr>
      <w:fldChar w:fldCharType="end"/>
    </w:r>
  </w:p>
  <w:p w14:paraId="77DF6C15" w14:textId="77777777" w:rsidR="00BF7A70" w:rsidRDefault="00BF7A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EF731" w14:textId="77777777" w:rsidR="00F568C5" w:rsidRDefault="00F568C5" w:rsidP="00F82674">
      <w:r>
        <w:separator/>
      </w:r>
    </w:p>
  </w:footnote>
  <w:footnote w:type="continuationSeparator" w:id="0">
    <w:p w14:paraId="66964CB4" w14:textId="77777777" w:rsidR="00F568C5" w:rsidRDefault="00F568C5" w:rsidP="00F82674">
      <w:r>
        <w:continuationSeparator/>
      </w:r>
    </w:p>
  </w:footnote>
  <w:footnote w:id="1">
    <w:p w14:paraId="77F800DC" w14:textId="67B99059"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sz w:val="20"/>
          <w:szCs w:val="20"/>
          <w:lang w:val="en-GB"/>
        </w:rPr>
        <w:t xml:space="preserve">The term ‘patient’ is used here, as opposed to service user, and is in line with the terminology is used in the MHA. </w:t>
      </w:r>
    </w:p>
  </w:footnote>
  <w:footnote w:id="2">
    <w:p w14:paraId="11EBEE5D" w14:textId="77777777"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sz w:val="20"/>
          <w:szCs w:val="20"/>
          <w:lang w:val="en-GB"/>
        </w:rPr>
        <w:t xml:space="preserve">Located at </w:t>
      </w:r>
      <w:hyperlink r:id="rId1" w:history="1">
        <w:r w:rsidRPr="00B4273A">
          <w:rPr>
            <w:rStyle w:val="Hyperlink"/>
            <w:sz w:val="20"/>
            <w:szCs w:val="20"/>
            <w:lang w:val="en-GB"/>
          </w:rPr>
          <w:t>https://www.gov.uk/government/consultations/carers-strategy-call-for-evidence</w:t>
        </w:r>
      </w:hyperlink>
      <w:r w:rsidRPr="00B4273A">
        <w:rPr>
          <w:sz w:val="20"/>
          <w:szCs w:val="20"/>
          <w:lang w:val="en-GB"/>
        </w:rPr>
        <w:t xml:space="preserve"> (accessed 9.4.2017).</w:t>
      </w:r>
    </w:p>
  </w:footnote>
  <w:footnote w:id="3">
    <w:p w14:paraId="24E11F6F" w14:textId="7BB355A1"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See Queen’s Speech 2017 (21 June 2017) located at </w:t>
      </w:r>
      <w:hyperlink r:id="rId2" w:history="1">
        <w:r w:rsidRPr="00B4273A">
          <w:rPr>
            <w:rStyle w:val="Hyperlink"/>
            <w:sz w:val="20"/>
            <w:szCs w:val="20"/>
          </w:rPr>
          <w:t>https://www.gov.uk/government/speeches/queens-speech-2017</w:t>
        </w:r>
      </w:hyperlink>
      <w:r w:rsidRPr="00B4273A">
        <w:rPr>
          <w:sz w:val="20"/>
          <w:szCs w:val="20"/>
        </w:rPr>
        <w:t>; ‘Conservatives pledge to scrap “flawed” Mental Health Act’, Community Care, 8 May 2017; ‘</w:t>
      </w:r>
      <w:r w:rsidRPr="00B4273A">
        <w:rPr>
          <w:sz w:val="20"/>
          <w:szCs w:val="20"/>
          <w:lang w:val="en-GB"/>
        </w:rPr>
        <w:t>Theresa May unveils biggest shake-up of mental health policies in 30 years, The Independent, 17 May 2017.</w:t>
      </w:r>
    </w:p>
  </w:footnote>
  <w:footnote w:id="4">
    <w:p w14:paraId="0EA159D8" w14:textId="66F65015" w:rsidR="15ABA772" w:rsidRPr="00B4273A" w:rsidRDefault="15ABA772" w:rsidP="00B4273A">
      <w:pPr>
        <w:pStyle w:val="FootnoteText"/>
        <w:jc w:val="both"/>
        <w:rPr>
          <w:sz w:val="20"/>
          <w:szCs w:val="20"/>
        </w:rPr>
      </w:pPr>
      <w:r w:rsidRPr="00B4273A">
        <w:rPr>
          <w:rStyle w:val="FootnoteReference"/>
          <w:sz w:val="20"/>
          <w:szCs w:val="20"/>
        </w:rPr>
        <w:footnoteRef/>
      </w:r>
      <w:r w:rsidRPr="00B4273A">
        <w:rPr>
          <w:sz w:val="20"/>
          <w:szCs w:val="20"/>
        </w:rPr>
        <w:t xml:space="preserve"> The Approved Mental Health Professional is a specialist role held by a social worker, occupational therapist, men</w:t>
      </w:r>
      <w:r w:rsidR="00B4273A" w:rsidRPr="00B4273A">
        <w:rPr>
          <w:sz w:val="20"/>
          <w:szCs w:val="20"/>
        </w:rPr>
        <w:t xml:space="preserve">tal health nurse or chartered </w:t>
      </w:r>
      <w:r w:rsidRPr="00B4273A">
        <w:rPr>
          <w:sz w:val="20"/>
          <w:szCs w:val="20"/>
        </w:rPr>
        <w:t>psychologis</w:t>
      </w:r>
      <w:r w:rsidR="00B4273A" w:rsidRPr="00B4273A">
        <w:rPr>
          <w:sz w:val="20"/>
          <w:szCs w:val="20"/>
        </w:rPr>
        <w:t>t w</w:t>
      </w:r>
      <w:r w:rsidRPr="00B4273A">
        <w:rPr>
          <w:sz w:val="20"/>
          <w:szCs w:val="20"/>
        </w:rPr>
        <w:t xml:space="preserve">ho is specially trained. </w:t>
      </w:r>
    </w:p>
  </w:footnote>
  <w:footnote w:id="5">
    <w:p w14:paraId="2E36B9B9" w14:textId="4DA22BF0"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w:t>
      </w:r>
      <w:r w:rsidRPr="00B4273A">
        <w:rPr>
          <w:rFonts w:eastAsia="Calibri" w:cs="Arial"/>
          <w:sz w:val="20"/>
          <w:szCs w:val="20"/>
          <w:lang w:val="en-GB"/>
        </w:rPr>
        <w:t xml:space="preserve">Alongside the </w:t>
      </w:r>
      <w:r w:rsidRPr="00B4273A">
        <w:rPr>
          <w:rFonts w:eastAsia="Calibri" w:cs="Arial"/>
          <w:i/>
          <w:sz w:val="20"/>
          <w:szCs w:val="20"/>
          <w:lang w:val="en-GB"/>
        </w:rPr>
        <w:t xml:space="preserve">Mental Health Act </w:t>
      </w:r>
      <w:r w:rsidR="00B4273A" w:rsidRPr="00B4273A">
        <w:rPr>
          <w:rFonts w:eastAsia="Calibri" w:cs="Arial"/>
          <w:i/>
          <w:sz w:val="20"/>
          <w:szCs w:val="20"/>
          <w:lang w:val="en-GB"/>
        </w:rPr>
        <w:t xml:space="preserve">1983: </w:t>
      </w:r>
      <w:r w:rsidRPr="00B4273A">
        <w:rPr>
          <w:rFonts w:eastAsia="Calibri" w:cs="Arial"/>
          <w:i/>
          <w:sz w:val="20"/>
          <w:szCs w:val="20"/>
          <w:lang w:val="en-GB"/>
        </w:rPr>
        <w:t>Code of Practice</w:t>
      </w:r>
      <w:r w:rsidRPr="00B4273A">
        <w:rPr>
          <w:rFonts w:eastAsia="Calibri" w:cs="Arial"/>
          <w:sz w:val="20"/>
          <w:szCs w:val="20"/>
          <w:lang w:val="en-GB"/>
        </w:rPr>
        <w:t xml:space="preserve"> (DH 2015) and </w:t>
      </w:r>
      <w:r w:rsidR="00B4273A" w:rsidRPr="00B4273A">
        <w:rPr>
          <w:rFonts w:eastAsia="Calibri" w:cs="Arial"/>
          <w:i/>
          <w:sz w:val="20"/>
          <w:szCs w:val="20"/>
          <w:lang w:val="en-GB"/>
        </w:rPr>
        <w:t>Reference Guide to the</w:t>
      </w:r>
      <w:r w:rsidR="00B4273A">
        <w:rPr>
          <w:rFonts w:eastAsia="Calibri" w:cs="Arial"/>
          <w:sz w:val="20"/>
          <w:szCs w:val="20"/>
          <w:lang w:val="en-GB"/>
        </w:rPr>
        <w:t xml:space="preserve"> </w:t>
      </w:r>
      <w:r w:rsidRPr="00B4273A">
        <w:rPr>
          <w:rFonts w:eastAsia="Calibri" w:cs="Arial"/>
          <w:i/>
          <w:sz w:val="20"/>
          <w:szCs w:val="20"/>
          <w:lang w:val="en-GB"/>
        </w:rPr>
        <w:t>Mental Health Act</w:t>
      </w:r>
      <w:r w:rsidR="00B4273A">
        <w:rPr>
          <w:rFonts w:eastAsia="Calibri" w:cs="Arial"/>
          <w:i/>
          <w:sz w:val="20"/>
          <w:szCs w:val="20"/>
          <w:lang w:val="en-GB"/>
        </w:rPr>
        <w:t xml:space="preserve"> 1983</w:t>
      </w:r>
      <w:r w:rsidRPr="00B4273A">
        <w:rPr>
          <w:rFonts w:eastAsia="Calibri" w:cs="Arial"/>
          <w:sz w:val="20"/>
          <w:szCs w:val="20"/>
          <w:lang w:val="en-GB"/>
        </w:rPr>
        <w:t xml:space="preserve"> (DH 2015).</w:t>
      </w:r>
    </w:p>
  </w:footnote>
  <w:footnote w:id="6">
    <w:p w14:paraId="204BB829" w14:textId="126B2786"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sz w:val="20"/>
          <w:szCs w:val="20"/>
          <w:lang w:val="en-GB"/>
        </w:rPr>
        <w:t>Section 26 lists a hiera</w:t>
      </w:r>
      <w:r w:rsidR="00B4273A">
        <w:rPr>
          <w:sz w:val="20"/>
          <w:szCs w:val="20"/>
          <w:lang w:val="en-GB"/>
        </w:rPr>
        <w:t>r</w:t>
      </w:r>
      <w:r w:rsidRPr="00B4273A">
        <w:rPr>
          <w:sz w:val="20"/>
          <w:szCs w:val="20"/>
          <w:lang w:val="en-GB"/>
        </w:rPr>
        <w:t>chy of relatives, who will be considered to be the NR, though note that ‘cousin’ and ‘great’ uncle or aunt are excluded, unless appointed by the court.</w:t>
      </w:r>
    </w:p>
  </w:footnote>
  <w:footnote w:id="7">
    <w:p w14:paraId="1CEE1165" w14:textId="618D1606"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Admission for treatment in hospital for up to six months.</w:t>
      </w:r>
    </w:p>
  </w:footnote>
  <w:footnote w:id="8">
    <w:p w14:paraId="78422262" w14:textId="255F1BB8"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Application for guardianship in the community. </w:t>
      </w:r>
    </w:p>
  </w:footnote>
  <w:footnote w:id="9">
    <w:p w14:paraId="0B5237C2" w14:textId="3B63A801" w:rsidR="00CF79F5" w:rsidRPr="00B4273A" w:rsidRDefault="00CF79F5"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sz w:val="20"/>
          <w:szCs w:val="20"/>
          <w:lang w:val="en-GB"/>
        </w:rPr>
        <w:t>The term challenge is used here to describe the fact that the NR can seek to access a mental health assessment and appropriate (i.e. the least restrictive) treatment /care for the patient.</w:t>
      </w:r>
    </w:p>
  </w:footnote>
  <w:footnote w:id="10">
    <w:p w14:paraId="6258B54E" w14:textId="77777777"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w:t>
      </w:r>
      <w:r w:rsidRPr="00B4273A">
        <w:rPr>
          <w:rFonts w:cs="Arial"/>
          <w:sz w:val="20"/>
          <w:szCs w:val="20"/>
          <w:lang w:val="en-GB"/>
        </w:rPr>
        <w:t>Under Sections 23(2) and 25.</w:t>
      </w:r>
    </w:p>
  </w:footnote>
  <w:footnote w:id="11">
    <w:p w14:paraId="0030663A" w14:textId="0B016EF4"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sz w:val="20"/>
          <w:szCs w:val="20"/>
          <w:lang w:val="en-GB"/>
        </w:rPr>
        <w:t>Up to 28 days for assessment</w:t>
      </w:r>
      <w:r w:rsidR="001B208D">
        <w:rPr>
          <w:sz w:val="20"/>
          <w:szCs w:val="20"/>
          <w:lang w:val="en-GB"/>
        </w:rPr>
        <w:t>.</w:t>
      </w:r>
    </w:p>
  </w:footnote>
  <w:footnote w:id="12">
    <w:p w14:paraId="5BCE8055" w14:textId="510A486D"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sz w:val="20"/>
          <w:szCs w:val="20"/>
          <w:lang w:val="en-GB"/>
        </w:rPr>
        <w:t>Up to 6 months for treatment</w:t>
      </w:r>
      <w:r w:rsidR="001B208D">
        <w:rPr>
          <w:sz w:val="20"/>
          <w:szCs w:val="20"/>
          <w:lang w:val="en-GB"/>
        </w:rPr>
        <w:t>.</w:t>
      </w:r>
    </w:p>
  </w:footnote>
  <w:footnote w:id="13">
    <w:p w14:paraId="1C1E1EBD" w14:textId="77777777"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w:t>
      </w:r>
      <w:r w:rsidRPr="00B4273A">
        <w:rPr>
          <w:rFonts w:cs="Arial"/>
          <w:sz w:val="20"/>
          <w:szCs w:val="20"/>
          <w:lang w:val="en-GB"/>
        </w:rPr>
        <w:t>Section 66.</w:t>
      </w:r>
    </w:p>
  </w:footnote>
  <w:footnote w:id="14">
    <w:p w14:paraId="4A8E0310" w14:textId="77777777"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w:t>
      </w:r>
      <w:r w:rsidRPr="00B4273A">
        <w:rPr>
          <w:rFonts w:cs="Arial"/>
          <w:sz w:val="20"/>
          <w:szCs w:val="20"/>
          <w:lang w:val="en-GB"/>
        </w:rPr>
        <w:t>Section 72.</w:t>
      </w:r>
    </w:p>
  </w:footnote>
  <w:footnote w:id="15">
    <w:p w14:paraId="6358E05B" w14:textId="6769A064"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Application for assessment in hospital.</w:t>
      </w:r>
    </w:p>
  </w:footnote>
  <w:footnote w:id="16">
    <w:p w14:paraId="7E29DB98" w14:textId="28CEF384"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Short-term/urgent admission to hospital. </w:t>
      </w:r>
    </w:p>
  </w:footnote>
  <w:footnote w:id="17">
    <w:p w14:paraId="18BA1649" w14:textId="55344B75"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w:t>
      </w:r>
      <w:r w:rsidRPr="00B4273A">
        <w:rPr>
          <w:rFonts w:eastAsia="Calibri" w:cs="Arial"/>
          <w:sz w:val="20"/>
          <w:szCs w:val="20"/>
          <w:lang w:val="en-GB"/>
        </w:rPr>
        <w:t>Section 11(5).</w:t>
      </w:r>
    </w:p>
  </w:footnote>
  <w:footnote w:id="18">
    <w:p w14:paraId="4B90299D" w14:textId="6E4F6C7C"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w:t>
      </w:r>
      <w:r w:rsidRPr="00B4273A">
        <w:rPr>
          <w:rFonts w:eastAsia="Calibri" w:cs="Arial"/>
          <w:sz w:val="20"/>
          <w:szCs w:val="20"/>
          <w:lang w:val="en-GB"/>
        </w:rPr>
        <w:t>S. 13(1).</w:t>
      </w:r>
    </w:p>
  </w:footnote>
  <w:footnote w:id="19">
    <w:p w14:paraId="61FC2990" w14:textId="1C685F2A"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w:t>
      </w:r>
      <w:r w:rsidRPr="00B4273A">
        <w:rPr>
          <w:rFonts w:eastAsia="Calibri" w:cs="Arial"/>
          <w:sz w:val="20"/>
          <w:szCs w:val="20"/>
          <w:lang w:val="en-GB"/>
        </w:rPr>
        <w:t>Sections. 132 &amp; 133.</w:t>
      </w:r>
    </w:p>
  </w:footnote>
  <w:footnote w:id="20">
    <w:p w14:paraId="5C343721" w14:textId="70203DF7"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w:t>
      </w:r>
      <w:r w:rsidRPr="00B4273A">
        <w:rPr>
          <w:rFonts w:eastAsia="Calibri" w:cs="Arial"/>
          <w:sz w:val="20"/>
          <w:szCs w:val="20"/>
          <w:lang w:val="en-GB"/>
        </w:rPr>
        <w:t>Those subject to either Section 35, 36, 38, 41,45A 47, 49 MHA or a combination do not have a NR.</w:t>
      </w:r>
    </w:p>
  </w:footnote>
  <w:footnote w:id="21">
    <w:p w14:paraId="7755F808" w14:textId="04E89F6D"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[2011] EWCA Civ 4.</w:t>
      </w:r>
    </w:p>
  </w:footnote>
  <w:footnote w:id="22">
    <w:p w14:paraId="45A656C8" w14:textId="77777777"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w:t>
      </w:r>
      <w:r w:rsidRPr="00B4273A">
        <w:rPr>
          <w:rFonts w:cs="Arial"/>
          <w:sz w:val="20"/>
          <w:szCs w:val="20"/>
          <w:lang w:val="en-GB"/>
        </w:rPr>
        <w:t>[2005] EWHC 74.</w:t>
      </w:r>
    </w:p>
  </w:footnote>
  <w:footnote w:id="23">
    <w:p w14:paraId="2A57414F" w14:textId="62CE5929"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sz w:val="20"/>
          <w:szCs w:val="20"/>
          <w:lang w:val="en-GB"/>
        </w:rPr>
        <w:t xml:space="preserve">Ibid. at [9]. Though note that this case must now be read in the light of </w:t>
      </w:r>
      <w:r w:rsidRPr="00B4273A">
        <w:rPr>
          <w:i/>
          <w:iCs/>
          <w:sz w:val="20"/>
          <w:szCs w:val="20"/>
          <w:lang w:val="en-GB"/>
        </w:rPr>
        <w:t>TW v Enfield BC</w:t>
      </w:r>
      <w:r w:rsidRPr="00B4273A">
        <w:rPr>
          <w:sz w:val="20"/>
          <w:szCs w:val="20"/>
          <w:lang w:val="en-GB"/>
        </w:rPr>
        <w:t xml:space="preserve"> cited below.</w:t>
      </w:r>
    </w:p>
  </w:footnote>
  <w:footnote w:id="24">
    <w:p w14:paraId="4032E15B" w14:textId="77777777"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sz w:val="20"/>
          <w:szCs w:val="20"/>
          <w:lang w:val="en-GB"/>
        </w:rPr>
        <w:t>[2014] EWCA Civ 362.</w:t>
      </w:r>
    </w:p>
  </w:footnote>
  <w:footnote w:id="25">
    <w:p w14:paraId="305D59BA" w14:textId="77777777"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w:t>
      </w:r>
      <w:r w:rsidRPr="00B4273A">
        <w:rPr>
          <w:rFonts w:cs="Arial"/>
          <w:sz w:val="20"/>
          <w:szCs w:val="20"/>
          <w:lang w:val="en-GB"/>
        </w:rPr>
        <w:t xml:space="preserve">[2000] ECHR 133; See also </w:t>
      </w:r>
      <w:r w:rsidRPr="00B4273A">
        <w:rPr>
          <w:rFonts w:cs="Arial"/>
          <w:i/>
          <w:iCs/>
          <w:sz w:val="20"/>
          <w:szCs w:val="20"/>
          <w:lang w:val="en-GB"/>
        </w:rPr>
        <w:t>M v UK</w:t>
      </w:r>
      <w:r w:rsidRPr="00B4273A">
        <w:rPr>
          <w:rFonts w:cs="Arial"/>
          <w:sz w:val="20"/>
          <w:szCs w:val="20"/>
          <w:lang w:val="en-GB"/>
        </w:rPr>
        <w:t xml:space="preserve"> 30357/03 [2007] ECHR 206]; </w:t>
      </w:r>
      <w:r w:rsidRPr="00B4273A">
        <w:rPr>
          <w:rFonts w:cs="Arial"/>
          <w:i/>
          <w:iCs/>
          <w:sz w:val="20"/>
          <w:szCs w:val="20"/>
          <w:lang w:val="en-GB"/>
        </w:rPr>
        <w:t>FC v UK</w:t>
      </w:r>
      <w:r w:rsidRPr="00B4273A">
        <w:rPr>
          <w:rFonts w:cs="Arial"/>
          <w:sz w:val="20"/>
          <w:szCs w:val="20"/>
          <w:lang w:val="en-GB"/>
        </w:rPr>
        <w:t xml:space="preserve"> (1999) 37344/97 [1999] ECHR 184.</w:t>
      </w:r>
    </w:p>
  </w:footnote>
  <w:footnote w:id="26">
    <w:p w14:paraId="42AA09F6" w14:textId="128969DF"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sz w:val="20"/>
          <w:szCs w:val="20"/>
          <w:lang w:val="en-GB"/>
        </w:rPr>
        <w:t xml:space="preserve">See for example judicial dicta in </w:t>
      </w:r>
      <w:r w:rsidRPr="00B4273A">
        <w:rPr>
          <w:i/>
          <w:iCs/>
          <w:sz w:val="20"/>
          <w:szCs w:val="20"/>
          <w:lang w:val="en-GB"/>
        </w:rPr>
        <w:t>R (MH) v Secretary of State for Health and others</w:t>
      </w:r>
      <w:r w:rsidRPr="00B4273A">
        <w:rPr>
          <w:sz w:val="20"/>
          <w:szCs w:val="20"/>
          <w:lang w:val="en-GB"/>
        </w:rPr>
        <w:t xml:space="preserve">; and </w:t>
      </w:r>
      <w:r w:rsidRPr="00B4273A">
        <w:rPr>
          <w:i/>
          <w:iCs/>
          <w:sz w:val="20"/>
          <w:szCs w:val="20"/>
          <w:lang w:val="en-GB"/>
        </w:rPr>
        <w:t>R(S) v City of Plymouth</w:t>
      </w:r>
      <w:r w:rsidRPr="00B4273A">
        <w:rPr>
          <w:sz w:val="20"/>
          <w:szCs w:val="20"/>
          <w:lang w:val="en-GB"/>
        </w:rPr>
        <w:t xml:space="preserve"> [2005] UKHL 60.</w:t>
      </w:r>
    </w:p>
  </w:footnote>
  <w:footnote w:id="27">
    <w:p w14:paraId="1014199F" w14:textId="77777777" w:rsidR="00BF7A70" w:rsidRPr="00B4273A" w:rsidRDefault="00BF7A70" w:rsidP="00B4273A">
      <w:pPr>
        <w:pStyle w:val="FootnoteText"/>
        <w:jc w:val="both"/>
        <w:rPr>
          <w:rFonts w:cs="Times New Roman"/>
          <w:sz w:val="20"/>
          <w:szCs w:val="20"/>
          <w:lang w:val="en-GB"/>
        </w:rPr>
      </w:pPr>
      <w:r w:rsidRPr="00B4273A">
        <w:rPr>
          <w:rStyle w:val="FootnoteReference"/>
          <w:rFonts w:cs="Times New Roman"/>
          <w:sz w:val="20"/>
          <w:szCs w:val="20"/>
        </w:rPr>
        <w:footnoteRef/>
      </w:r>
      <w:r w:rsidRPr="00B4273A">
        <w:rPr>
          <w:rFonts w:cs="Times New Roman"/>
          <w:sz w:val="20"/>
          <w:szCs w:val="20"/>
        </w:rPr>
        <w:t xml:space="preserve"> House of Lords, Written Question, HL 5380 (8 February 2017), available at http://www.parliament.uk/written-questions-answers-statements/written-question/lords/2017-02-08/HL5380.</w:t>
      </w:r>
    </w:p>
  </w:footnote>
  <w:footnote w:id="28">
    <w:p w14:paraId="00B8A0CD" w14:textId="77777777" w:rsidR="00BF7A70" w:rsidRPr="00B4273A" w:rsidRDefault="00BF7A70" w:rsidP="00B4273A">
      <w:pPr>
        <w:pStyle w:val="FootnoteText"/>
        <w:jc w:val="both"/>
        <w:rPr>
          <w:rFonts w:cs="Times New Roman"/>
          <w:sz w:val="20"/>
          <w:szCs w:val="20"/>
          <w:lang w:val="en-GB"/>
        </w:rPr>
      </w:pPr>
      <w:r w:rsidRPr="00B4273A">
        <w:rPr>
          <w:rStyle w:val="FootnoteReference"/>
          <w:rFonts w:cs="Times New Roman"/>
          <w:sz w:val="20"/>
          <w:szCs w:val="20"/>
        </w:rPr>
        <w:footnoteRef/>
      </w:r>
      <w:r w:rsidRPr="00B4273A">
        <w:rPr>
          <w:rFonts w:cs="Times New Roman"/>
          <w:sz w:val="20"/>
          <w:szCs w:val="20"/>
        </w:rPr>
        <w:t xml:space="preserve"> </w:t>
      </w:r>
      <w:r w:rsidRPr="00B4273A">
        <w:rPr>
          <w:rFonts w:cs="Times New Roman"/>
          <w:sz w:val="20"/>
          <w:szCs w:val="20"/>
          <w:lang w:val="en-GB"/>
        </w:rPr>
        <w:t xml:space="preserve">In contrast to the medical model which locates the disability within the disabled person. This approach views disability as an impairment within the individual that requires treatment or intervention. </w:t>
      </w:r>
    </w:p>
  </w:footnote>
  <w:footnote w:id="29">
    <w:p w14:paraId="6E3B01B2" w14:textId="1E816043" w:rsidR="00BF7A70" w:rsidRPr="00B4273A" w:rsidRDefault="00BF7A70" w:rsidP="00B4273A">
      <w:pPr>
        <w:pStyle w:val="NormalWeb"/>
        <w:jc w:val="both"/>
        <w:rPr>
          <w:rFonts w:asciiTheme="minorHAnsi" w:hAnsiTheme="minorHAnsi"/>
          <w:sz w:val="20"/>
          <w:szCs w:val="20"/>
        </w:rPr>
      </w:pPr>
      <w:r w:rsidRPr="00B4273A">
        <w:rPr>
          <w:rStyle w:val="FootnoteReference"/>
          <w:rFonts w:asciiTheme="minorHAnsi" w:hAnsiTheme="minorHAnsi"/>
          <w:sz w:val="20"/>
          <w:szCs w:val="20"/>
        </w:rPr>
        <w:footnoteRef/>
      </w:r>
      <w:r w:rsidRPr="00B4273A">
        <w:rPr>
          <w:rFonts w:asciiTheme="minorHAnsi" w:hAnsiTheme="minorHAnsi"/>
          <w:sz w:val="20"/>
          <w:szCs w:val="20"/>
        </w:rPr>
        <w:t xml:space="preserve"> See for example ‘Article </w:t>
      </w:r>
      <w:r w:rsidR="001B208D">
        <w:rPr>
          <w:rFonts w:asciiTheme="minorHAnsi" w:hAnsiTheme="minorHAnsi"/>
          <w:sz w:val="20"/>
          <w:szCs w:val="20"/>
        </w:rPr>
        <w:t>47 of the Charter guarantees a ‘</w:t>
      </w:r>
      <w:r w:rsidRPr="00B4273A">
        <w:rPr>
          <w:rFonts w:asciiTheme="minorHAnsi" w:hAnsiTheme="minorHAnsi"/>
          <w:sz w:val="20"/>
          <w:szCs w:val="20"/>
        </w:rPr>
        <w:t>fair and public hearing within a reasonable time by an independent and impartial tribu</w:t>
      </w:r>
      <w:r w:rsidR="001B208D">
        <w:rPr>
          <w:rFonts w:asciiTheme="minorHAnsi" w:hAnsiTheme="minorHAnsi"/>
          <w:sz w:val="20"/>
          <w:szCs w:val="20"/>
        </w:rPr>
        <w:t>nal’, but is not restricted to ‘</w:t>
      </w:r>
      <w:r w:rsidRPr="00B4273A">
        <w:rPr>
          <w:rFonts w:asciiTheme="minorHAnsi" w:hAnsiTheme="minorHAnsi"/>
          <w:sz w:val="20"/>
          <w:szCs w:val="20"/>
        </w:rPr>
        <w:t>determinations of civil rights and obligations” like ECHR Article 6. This is deliberate: correspondence with ECHR-guara</w:t>
      </w:r>
      <w:r w:rsidR="001B208D">
        <w:rPr>
          <w:rFonts w:asciiTheme="minorHAnsi" w:hAnsiTheme="minorHAnsi"/>
          <w:sz w:val="20"/>
          <w:szCs w:val="20"/>
        </w:rPr>
        <w:t>nteed rights does not preclude ‘more extensive protection’</w:t>
      </w:r>
      <w:r w:rsidRPr="00B4273A">
        <w:rPr>
          <w:rFonts w:asciiTheme="minorHAnsi" w:hAnsiTheme="minorHAnsi"/>
          <w:sz w:val="20"/>
          <w:szCs w:val="20"/>
        </w:rPr>
        <w:t xml:space="preserve">: see Article 52(3) of the Charter’ in Fordham. M., </w:t>
      </w:r>
      <w:r w:rsidRPr="00B4273A">
        <w:rPr>
          <w:rFonts w:asciiTheme="minorHAnsi" w:hAnsiTheme="minorHAnsi"/>
          <w:i/>
          <w:iCs/>
          <w:sz w:val="20"/>
          <w:szCs w:val="20"/>
        </w:rPr>
        <w:t>Common Law Rights</w:t>
      </w:r>
      <w:r w:rsidRPr="00B4273A">
        <w:rPr>
          <w:rFonts w:asciiTheme="minorHAnsi" w:hAnsiTheme="minorHAnsi"/>
          <w:sz w:val="20"/>
          <w:szCs w:val="20"/>
        </w:rPr>
        <w:t>, pp. 4 and 8, available at http://www.publiclawproject.org.uk/data/resources/76/PLP_2010_Fordham_QC_paper_Common_Law_Rights.pdf.</w:t>
      </w:r>
    </w:p>
  </w:footnote>
  <w:footnote w:id="30">
    <w:p w14:paraId="68BCE958" w14:textId="025B15F7" w:rsidR="00BF7A70" w:rsidRPr="00B4273A" w:rsidRDefault="00BF7A70" w:rsidP="00B4273A">
      <w:pPr>
        <w:pStyle w:val="NormalWeb"/>
        <w:spacing w:line="276" w:lineRule="auto"/>
        <w:jc w:val="both"/>
        <w:rPr>
          <w:rFonts w:asciiTheme="minorHAnsi" w:hAnsiTheme="minorHAnsi"/>
          <w:sz w:val="20"/>
          <w:szCs w:val="20"/>
        </w:rPr>
      </w:pPr>
      <w:r w:rsidRPr="00B4273A">
        <w:rPr>
          <w:rStyle w:val="FootnoteReference"/>
          <w:rFonts w:asciiTheme="minorHAnsi" w:hAnsiTheme="minorHAnsi"/>
          <w:sz w:val="20"/>
          <w:szCs w:val="20"/>
        </w:rPr>
        <w:footnoteRef/>
      </w:r>
      <w:r w:rsidRPr="00B4273A">
        <w:rPr>
          <w:rFonts w:asciiTheme="minorHAnsi" w:hAnsiTheme="minorHAnsi"/>
          <w:sz w:val="20"/>
          <w:szCs w:val="20"/>
        </w:rPr>
        <w:t xml:space="preserve"> See for example the Law Commission in England and Wales’ comments in its recent consultation paper on </w:t>
      </w:r>
      <w:r w:rsidRPr="00B4273A">
        <w:rPr>
          <w:rFonts w:asciiTheme="minorHAnsi" w:hAnsiTheme="minorHAnsi"/>
          <w:i/>
          <w:iCs/>
          <w:sz w:val="20"/>
          <w:szCs w:val="20"/>
        </w:rPr>
        <w:t>Mental Capacity and Deprivation of Liberty Consultation Paper</w:t>
      </w:r>
      <w:r w:rsidRPr="00B4273A">
        <w:rPr>
          <w:rFonts w:asciiTheme="minorHAnsi" w:hAnsiTheme="minorHAnsi"/>
          <w:sz w:val="20"/>
          <w:szCs w:val="20"/>
        </w:rPr>
        <w:t xml:space="preserve"> </w:t>
      </w:r>
      <w:r w:rsidRPr="00B4273A">
        <w:rPr>
          <w:rFonts w:asciiTheme="minorHAnsi" w:hAnsiTheme="minorHAnsi"/>
          <w:i/>
          <w:iCs/>
          <w:sz w:val="20"/>
          <w:szCs w:val="20"/>
        </w:rPr>
        <w:t>No 222</w:t>
      </w:r>
      <w:r w:rsidRPr="00B4273A">
        <w:rPr>
          <w:rFonts w:asciiTheme="minorHAnsi" w:hAnsiTheme="minorHAnsi"/>
          <w:sz w:val="20"/>
          <w:szCs w:val="20"/>
        </w:rPr>
        <w:t>. (2016 London) at para. 3.22: ‘</w:t>
      </w:r>
      <w:r w:rsidRPr="00B4273A">
        <w:rPr>
          <w:rFonts w:asciiTheme="minorHAnsi" w:hAnsiTheme="minorHAnsi"/>
          <w:i/>
          <w:iCs/>
          <w:sz w:val="20"/>
          <w:szCs w:val="20"/>
        </w:rPr>
        <w:t>The UN Disability Convention challenges existing understandings and categorisations of disability rights. There is much in its terms to be enthusiastic about. Its full implications are still being grappled with by governments across the world.’</w:t>
      </w:r>
      <w:r w:rsidRPr="00B4273A">
        <w:rPr>
          <w:rFonts w:asciiTheme="minorHAnsi" w:hAnsiTheme="minorHAnsi"/>
          <w:sz w:val="20"/>
          <w:szCs w:val="20"/>
        </w:rPr>
        <w:t xml:space="preserve"> located at http://www.lawcom.gov.uk/project/mental-capacity-and-deprivation-of-liberty/. </w:t>
      </w:r>
    </w:p>
  </w:footnote>
  <w:footnote w:id="31">
    <w:p w14:paraId="3250D386" w14:textId="77777777" w:rsidR="00BF7A70" w:rsidRPr="00B4273A" w:rsidRDefault="00BF7A70" w:rsidP="00B4273A">
      <w:pPr>
        <w:pStyle w:val="FootnoteText"/>
        <w:spacing w:line="276" w:lineRule="auto"/>
        <w:jc w:val="both"/>
        <w:rPr>
          <w:rFonts w:cs="Times New Roman"/>
          <w:color w:val="000000" w:themeColor="text1"/>
          <w:sz w:val="20"/>
          <w:szCs w:val="20"/>
        </w:rPr>
      </w:pPr>
      <w:r w:rsidRPr="00B4273A">
        <w:rPr>
          <w:rStyle w:val="FootnoteReference"/>
          <w:rFonts w:cs="Times New Roman"/>
          <w:sz w:val="20"/>
          <w:szCs w:val="20"/>
        </w:rPr>
        <w:footnoteRef/>
      </w:r>
      <w:r w:rsidRPr="00B4273A">
        <w:rPr>
          <w:rFonts w:cs="Times New Roman"/>
          <w:sz w:val="20"/>
          <w:szCs w:val="20"/>
        </w:rPr>
        <w:t xml:space="preserve"> </w:t>
      </w:r>
      <w:r w:rsidRPr="00B4273A">
        <w:rPr>
          <w:rFonts w:cs="Times New Roman"/>
          <w:color w:val="000000"/>
          <w:sz w:val="20"/>
          <w:szCs w:val="20"/>
        </w:rPr>
        <w:t>[2014] EWCOP B23.</w:t>
      </w:r>
    </w:p>
  </w:footnote>
  <w:footnote w:id="32">
    <w:p w14:paraId="3B69936F" w14:textId="0E3E62FF"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rFonts w:cs="Arial"/>
          <w:sz w:val="20"/>
          <w:szCs w:val="20"/>
          <w:lang w:val="en-GB"/>
        </w:rPr>
        <w:t>Section 130a and 130b MHA 2007.</w:t>
      </w:r>
    </w:p>
  </w:footnote>
  <w:footnote w:id="33">
    <w:p w14:paraId="37468A0A" w14:textId="613F8183"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sz w:val="20"/>
          <w:szCs w:val="20"/>
          <w:lang w:val="en-GB"/>
        </w:rPr>
        <w:t xml:space="preserve">Outlined under section 130C. Those subject to emergency, short term and detention under s. 135/136 (by the police) are not eligible. </w:t>
      </w:r>
    </w:p>
  </w:footnote>
  <w:footnote w:id="34">
    <w:p w14:paraId="2D3CA7EC" w14:textId="64569D37"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sz w:val="20"/>
          <w:szCs w:val="20"/>
          <w:lang w:val="en-GB"/>
        </w:rPr>
        <w:t>Section 130B</w:t>
      </w:r>
      <w:r w:rsidR="001B208D">
        <w:rPr>
          <w:sz w:val="20"/>
          <w:szCs w:val="20"/>
          <w:lang w:val="en-GB"/>
        </w:rPr>
        <w:t xml:space="preserve"> </w:t>
      </w:r>
      <w:r w:rsidRPr="00B4273A">
        <w:rPr>
          <w:sz w:val="20"/>
          <w:szCs w:val="20"/>
          <w:lang w:val="en-GB"/>
        </w:rPr>
        <w:t>(1).</w:t>
      </w:r>
    </w:p>
  </w:footnote>
  <w:footnote w:id="35">
    <w:p w14:paraId="607D15D8" w14:textId="69DA2DA1"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sz w:val="20"/>
          <w:szCs w:val="20"/>
          <w:lang w:val="en-GB"/>
        </w:rPr>
        <w:t>See also DH, 20</w:t>
      </w:r>
      <w:r w:rsidR="001B208D">
        <w:rPr>
          <w:sz w:val="20"/>
          <w:szCs w:val="20"/>
          <w:lang w:val="en-GB"/>
        </w:rPr>
        <w:t>1</w:t>
      </w:r>
      <w:r w:rsidRPr="00B4273A">
        <w:rPr>
          <w:sz w:val="20"/>
          <w:szCs w:val="20"/>
          <w:lang w:val="en-GB"/>
        </w:rPr>
        <w:t>5, paras 4.8 and 4.38 for examples of this.</w:t>
      </w:r>
    </w:p>
  </w:footnote>
  <w:footnote w:id="36">
    <w:p w14:paraId="0FD66E68" w14:textId="3F8C3A3A"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sz w:val="20"/>
          <w:szCs w:val="20"/>
          <w:lang w:val="en-GB"/>
        </w:rPr>
        <w:t xml:space="preserve">Section 130B (3). </w:t>
      </w:r>
      <w:r w:rsidRPr="00B4273A">
        <w:rPr>
          <w:rFonts w:cs="Arial"/>
          <w:sz w:val="20"/>
          <w:szCs w:val="20"/>
          <w:lang w:val="en-GB"/>
        </w:rPr>
        <w:t>Section 130B (4) MHA 2007 also identifies that these powers may not be used where a patient with mental capacity refuses or where these powers conflict with the wishes of a donee or deputy appointed by the court of Protection.</w:t>
      </w:r>
    </w:p>
  </w:footnote>
  <w:footnote w:id="37">
    <w:p w14:paraId="796E016F" w14:textId="18E46111"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sz w:val="20"/>
          <w:szCs w:val="20"/>
          <w:lang w:val="en-GB"/>
        </w:rPr>
        <w:t>Section 130D (5) MHA 2007.</w:t>
      </w:r>
    </w:p>
  </w:footnote>
  <w:footnote w:id="38">
    <w:p w14:paraId="24B46983" w14:textId="3719AC84"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sz w:val="20"/>
          <w:szCs w:val="20"/>
          <w:lang w:val="en-GB"/>
        </w:rPr>
        <w:t>Section 130B (5) MHA 2007.</w:t>
      </w:r>
    </w:p>
  </w:footnote>
  <w:footnote w:id="39">
    <w:p w14:paraId="18441614" w14:textId="06A5AA1D"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See for example in the context of a displacement application </w:t>
      </w:r>
      <w:r w:rsidRPr="00B4273A">
        <w:rPr>
          <w:rFonts w:cs="Arial"/>
          <w:i/>
          <w:iCs/>
          <w:sz w:val="20"/>
          <w:szCs w:val="20"/>
        </w:rPr>
        <w:t>R v Central London County Court ex parte London</w:t>
      </w:r>
      <w:r w:rsidRPr="00B4273A">
        <w:rPr>
          <w:rFonts w:cs="Arial"/>
          <w:sz w:val="20"/>
          <w:szCs w:val="20"/>
        </w:rPr>
        <w:t xml:space="preserve"> </w:t>
      </w:r>
      <w:r w:rsidRPr="00B4273A">
        <w:rPr>
          <w:rFonts w:eastAsiaTheme="minorEastAsia" w:cs="Arial"/>
          <w:color w:val="1A1A1A"/>
          <w:sz w:val="20"/>
          <w:szCs w:val="20"/>
        </w:rPr>
        <w:t>[1999] 3 WLR 1.</w:t>
      </w:r>
    </w:p>
  </w:footnote>
  <w:footnote w:id="40">
    <w:p w14:paraId="13782EB1" w14:textId="22042204"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[2000] EWCA Civ 3025 at [14] and [15].</w:t>
      </w:r>
    </w:p>
  </w:footnote>
  <w:footnote w:id="41">
    <w:p w14:paraId="3A450994" w14:textId="7EAB19C7"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CO1220/2002</w:t>
      </w:r>
    </w:p>
  </w:footnote>
  <w:footnote w:id="42">
    <w:p w14:paraId="2EB123A8" w14:textId="66F7B03C"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w:t>
      </w:r>
      <w:r w:rsidRPr="00B4273A">
        <w:rPr>
          <w:i/>
          <w:iCs/>
          <w:sz w:val="20"/>
          <w:szCs w:val="20"/>
          <w:lang w:val="en-GB"/>
        </w:rPr>
        <w:t>GP v Derby City Council</w:t>
      </w:r>
      <w:r w:rsidRPr="00B4273A">
        <w:rPr>
          <w:sz w:val="20"/>
          <w:szCs w:val="20"/>
          <w:lang w:val="en-GB"/>
        </w:rPr>
        <w:t xml:space="preserve"> [2012] EWHC 1451 (Admin)</w:t>
      </w:r>
    </w:p>
  </w:footnote>
  <w:footnote w:id="43">
    <w:p w14:paraId="25B50A37" w14:textId="1293299B"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w:t>
      </w:r>
      <w:r w:rsidRPr="00B4273A">
        <w:rPr>
          <w:rFonts w:eastAsia="Calibri" w:cs="Arial"/>
          <w:i/>
          <w:iCs/>
          <w:sz w:val="20"/>
          <w:szCs w:val="20"/>
          <w:lang w:val="en-GB"/>
        </w:rPr>
        <w:t>Re D (mental patient: Habeas corpus)</w:t>
      </w:r>
      <w:r w:rsidRPr="00B4273A">
        <w:rPr>
          <w:rFonts w:eastAsia="Calibri" w:cs="Arial"/>
          <w:sz w:val="20"/>
          <w:szCs w:val="20"/>
          <w:lang w:val="en-GB"/>
        </w:rPr>
        <w:t xml:space="preserve"> (2000)</w:t>
      </w:r>
      <w:r w:rsidR="003F658E" w:rsidRPr="00B4273A">
        <w:rPr>
          <w:rFonts w:eastAsia="Calibri" w:cs="Arial"/>
          <w:sz w:val="20"/>
          <w:szCs w:val="20"/>
          <w:lang w:val="en-GB"/>
        </w:rPr>
        <w:t>.</w:t>
      </w:r>
    </w:p>
  </w:footnote>
  <w:footnote w:id="44">
    <w:p w14:paraId="5522248C" w14:textId="1B6B75E7"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w:t>
      </w:r>
      <w:r w:rsidRPr="00B4273A">
        <w:rPr>
          <w:rFonts w:eastAsia="Calibri" w:cs="Arial"/>
          <w:i/>
          <w:iCs/>
          <w:sz w:val="20"/>
          <w:szCs w:val="20"/>
          <w:lang w:val="en-GB"/>
        </w:rPr>
        <w:t>Re D (Mental Patient: Habeas Corpus)</w:t>
      </w:r>
      <w:r w:rsidRPr="00B4273A">
        <w:rPr>
          <w:rFonts w:eastAsia="Calibri" w:cs="Arial"/>
          <w:sz w:val="20"/>
          <w:szCs w:val="20"/>
          <w:lang w:val="en-GB"/>
        </w:rPr>
        <w:t xml:space="preserve"> [2000] 2 FLR 848 at [15].</w:t>
      </w:r>
    </w:p>
  </w:footnote>
  <w:footnote w:id="45">
    <w:p w14:paraId="2DC42BA2" w14:textId="1849F1D8"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lang w:val="en-GB"/>
        </w:rPr>
        <w:t xml:space="preserve"> </w:t>
      </w:r>
      <w:r w:rsidRPr="00B4273A">
        <w:rPr>
          <w:i/>
          <w:iCs/>
          <w:sz w:val="20"/>
          <w:szCs w:val="20"/>
          <w:lang w:val="en-GB"/>
        </w:rPr>
        <w:t>R(WC) v South London and Maudsley NHS Trust</w:t>
      </w:r>
      <w:r w:rsidRPr="00B4273A">
        <w:rPr>
          <w:sz w:val="20"/>
          <w:szCs w:val="20"/>
          <w:lang w:val="en-GB"/>
        </w:rPr>
        <w:t xml:space="preserve"> [2001] EWHC 1025 (Admin); </w:t>
      </w:r>
      <w:r w:rsidRPr="00B4273A">
        <w:rPr>
          <w:i/>
          <w:iCs/>
          <w:sz w:val="20"/>
          <w:szCs w:val="20"/>
          <w:lang w:val="en-GB"/>
        </w:rPr>
        <w:t>CV v South London and Maudsley NHS Trust [2010] EWHC 742</w:t>
      </w:r>
      <w:r w:rsidRPr="00B4273A">
        <w:rPr>
          <w:sz w:val="20"/>
          <w:szCs w:val="20"/>
          <w:lang w:val="en-GB"/>
        </w:rPr>
        <w:t xml:space="preserve"> (Admin).</w:t>
      </w:r>
    </w:p>
  </w:footnote>
  <w:footnote w:id="46">
    <w:p w14:paraId="27568B77" w14:textId="246FD424" w:rsidR="00BF7A70" w:rsidRPr="00B4273A" w:rsidRDefault="00BF7A70" w:rsidP="00B4273A">
      <w:pPr>
        <w:pStyle w:val="FootnoteText"/>
        <w:jc w:val="both"/>
        <w:rPr>
          <w:sz w:val="20"/>
          <w:szCs w:val="20"/>
          <w:lang w:val="en-GB"/>
        </w:rPr>
      </w:pPr>
      <w:r w:rsidRPr="00B4273A">
        <w:rPr>
          <w:rStyle w:val="FootnoteReference"/>
          <w:sz w:val="20"/>
          <w:szCs w:val="20"/>
        </w:rPr>
        <w:footnoteRef/>
      </w:r>
      <w:r w:rsidRPr="00B4273A">
        <w:rPr>
          <w:sz w:val="20"/>
          <w:szCs w:val="20"/>
        </w:rPr>
        <w:t xml:space="preserve"> See for example </w:t>
      </w:r>
      <w:r w:rsidRPr="00B4273A">
        <w:rPr>
          <w:i/>
          <w:iCs/>
          <w:sz w:val="20"/>
          <w:szCs w:val="20"/>
        </w:rPr>
        <w:t>GP v Derby City Council</w:t>
      </w:r>
      <w:r w:rsidRPr="00B4273A">
        <w:rPr>
          <w:sz w:val="20"/>
          <w:szCs w:val="20"/>
        </w:rPr>
        <w:t xml:space="preserve"> [2012] EWHC 1451 (Admin); </w:t>
      </w:r>
      <w:r w:rsidRPr="00B4273A">
        <w:rPr>
          <w:i/>
          <w:iCs/>
          <w:sz w:val="20"/>
          <w:szCs w:val="20"/>
        </w:rPr>
        <w:t>CX v A Local Authority</w:t>
      </w:r>
      <w:r w:rsidRPr="00B4273A">
        <w:rPr>
          <w:sz w:val="20"/>
          <w:szCs w:val="20"/>
        </w:rPr>
        <w:t xml:space="preserve"> [2011] EWHC 1918 (Admin); </w:t>
      </w:r>
      <w:r w:rsidRPr="00B4273A">
        <w:rPr>
          <w:i/>
          <w:iCs/>
          <w:sz w:val="20"/>
          <w:szCs w:val="20"/>
        </w:rPr>
        <w:t>GD v Hospital Managers of Edgware Community Hospital</w:t>
      </w:r>
      <w:r w:rsidRPr="00B4273A">
        <w:rPr>
          <w:sz w:val="20"/>
          <w:szCs w:val="20"/>
        </w:rPr>
        <w:t xml:space="preserve"> [2008] EWHC 3572 (Admin); </w:t>
      </w:r>
      <w:r w:rsidRPr="00B4273A">
        <w:rPr>
          <w:i/>
          <w:iCs/>
          <w:sz w:val="20"/>
          <w:szCs w:val="20"/>
        </w:rPr>
        <w:t>Re S-C (Mental Patient: Habeas Corpus</w:t>
      </w:r>
      <w:r w:rsidRPr="00B4273A">
        <w:rPr>
          <w:sz w:val="20"/>
          <w:szCs w:val="20"/>
        </w:rPr>
        <w:t>) [1996] 1 All ER 532.</w:t>
      </w:r>
    </w:p>
  </w:footnote>
  <w:footnote w:id="47">
    <w:p w14:paraId="737086AE" w14:textId="19EDAF46" w:rsidR="00BF7A70" w:rsidRPr="00B4273A" w:rsidRDefault="00BF7A70" w:rsidP="00B4273A">
      <w:pPr>
        <w:pStyle w:val="FootnoteText"/>
        <w:jc w:val="both"/>
        <w:rPr>
          <w:rFonts w:cs="Arial"/>
          <w:sz w:val="20"/>
          <w:szCs w:val="20"/>
          <w:lang w:val="en-GB"/>
        </w:rPr>
      </w:pPr>
      <w:r w:rsidRPr="00B4273A">
        <w:rPr>
          <w:rStyle w:val="FootnoteReference"/>
          <w:rFonts w:cs="Arial"/>
          <w:sz w:val="20"/>
          <w:szCs w:val="20"/>
        </w:rPr>
        <w:footnoteRef/>
      </w:r>
      <w:r w:rsidRPr="00B4273A">
        <w:rPr>
          <w:rFonts w:cs="Arial"/>
          <w:sz w:val="20"/>
          <w:szCs w:val="20"/>
        </w:rPr>
        <w:t xml:space="preserve"> See for example </w:t>
      </w:r>
      <w:r w:rsidRPr="00B4273A">
        <w:rPr>
          <w:rFonts w:cs="Arial"/>
          <w:i/>
          <w:iCs/>
          <w:sz w:val="20"/>
          <w:szCs w:val="20"/>
        </w:rPr>
        <w:t>TW v Enfield Borough Council</w:t>
      </w:r>
      <w:r w:rsidRPr="00B4273A">
        <w:rPr>
          <w:rFonts w:cs="Arial"/>
          <w:sz w:val="20"/>
          <w:szCs w:val="20"/>
        </w:rPr>
        <w:t xml:space="preserve"> [2014] </w:t>
      </w:r>
      <w:r w:rsidRPr="00B4273A">
        <w:rPr>
          <w:sz w:val="20"/>
          <w:szCs w:val="20"/>
          <w:lang w:val="en-GB"/>
        </w:rPr>
        <w:t xml:space="preserve">EWCA Civ 362 </w:t>
      </w:r>
      <w:r w:rsidRPr="00B4273A">
        <w:rPr>
          <w:rFonts w:cs="Arial"/>
          <w:sz w:val="20"/>
          <w:szCs w:val="20"/>
        </w:rPr>
        <w:t xml:space="preserve">and </w:t>
      </w:r>
      <w:r w:rsidRPr="00B4273A">
        <w:rPr>
          <w:rFonts w:eastAsia="Calibri" w:cs="Arial"/>
          <w:i/>
          <w:iCs/>
          <w:sz w:val="20"/>
          <w:szCs w:val="20"/>
          <w:lang w:val="en-GB"/>
        </w:rPr>
        <w:t>R (E) v Bristol City Council</w:t>
      </w:r>
      <w:r w:rsidRPr="00B4273A">
        <w:rPr>
          <w:rFonts w:eastAsia="Calibri" w:cs="Arial"/>
          <w:sz w:val="20"/>
          <w:szCs w:val="20"/>
          <w:lang w:val="en-GB"/>
        </w:rPr>
        <w:t xml:space="preserve"> [2005] EWHC 74 (admin).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858F3"/>
    <w:multiLevelType w:val="hybridMultilevel"/>
    <w:tmpl w:val="6EFA0D6A"/>
    <w:lvl w:ilvl="0" w:tplc="DB0AA35C">
      <w:start w:val="1"/>
      <w:numFmt w:val="bullet"/>
      <w:lvlText w:val=""/>
      <w:lvlJc w:val="left"/>
      <w:pPr>
        <w:ind w:left="720" w:hanging="360"/>
      </w:pPr>
      <w:rPr>
        <w:rFonts w:ascii="Symbol" w:hAnsi="Symbol" w:hint="default"/>
      </w:rPr>
    </w:lvl>
    <w:lvl w:ilvl="1" w:tplc="932EC6C2">
      <w:start w:val="1"/>
      <w:numFmt w:val="bullet"/>
      <w:lvlText w:val="o"/>
      <w:lvlJc w:val="left"/>
      <w:pPr>
        <w:ind w:left="1440" w:hanging="360"/>
      </w:pPr>
      <w:rPr>
        <w:rFonts w:ascii="Courier New" w:hAnsi="Courier New" w:hint="default"/>
      </w:rPr>
    </w:lvl>
    <w:lvl w:ilvl="2" w:tplc="970AC34E">
      <w:start w:val="1"/>
      <w:numFmt w:val="bullet"/>
      <w:lvlText w:val=""/>
      <w:lvlJc w:val="left"/>
      <w:pPr>
        <w:ind w:left="2160" w:hanging="360"/>
      </w:pPr>
      <w:rPr>
        <w:rFonts w:ascii="Wingdings" w:hAnsi="Wingdings" w:hint="default"/>
      </w:rPr>
    </w:lvl>
    <w:lvl w:ilvl="3" w:tplc="FF7CEB86">
      <w:start w:val="1"/>
      <w:numFmt w:val="bullet"/>
      <w:lvlText w:val=""/>
      <w:lvlJc w:val="left"/>
      <w:pPr>
        <w:ind w:left="2880" w:hanging="360"/>
      </w:pPr>
      <w:rPr>
        <w:rFonts w:ascii="Symbol" w:hAnsi="Symbol" w:hint="default"/>
      </w:rPr>
    </w:lvl>
    <w:lvl w:ilvl="4" w:tplc="07FEEBEE">
      <w:start w:val="1"/>
      <w:numFmt w:val="bullet"/>
      <w:lvlText w:val="o"/>
      <w:lvlJc w:val="left"/>
      <w:pPr>
        <w:ind w:left="3600" w:hanging="360"/>
      </w:pPr>
      <w:rPr>
        <w:rFonts w:ascii="Courier New" w:hAnsi="Courier New" w:hint="default"/>
      </w:rPr>
    </w:lvl>
    <w:lvl w:ilvl="5" w:tplc="C4E877A6">
      <w:start w:val="1"/>
      <w:numFmt w:val="bullet"/>
      <w:lvlText w:val=""/>
      <w:lvlJc w:val="left"/>
      <w:pPr>
        <w:ind w:left="4320" w:hanging="360"/>
      </w:pPr>
      <w:rPr>
        <w:rFonts w:ascii="Wingdings" w:hAnsi="Wingdings" w:hint="default"/>
      </w:rPr>
    </w:lvl>
    <w:lvl w:ilvl="6" w:tplc="B54CCC5E">
      <w:start w:val="1"/>
      <w:numFmt w:val="bullet"/>
      <w:lvlText w:val=""/>
      <w:lvlJc w:val="left"/>
      <w:pPr>
        <w:ind w:left="5040" w:hanging="360"/>
      </w:pPr>
      <w:rPr>
        <w:rFonts w:ascii="Symbol" w:hAnsi="Symbol" w:hint="default"/>
      </w:rPr>
    </w:lvl>
    <w:lvl w:ilvl="7" w:tplc="E35E2802">
      <w:start w:val="1"/>
      <w:numFmt w:val="bullet"/>
      <w:lvlText w:val="o"/>
      <w:lvlJc w:val="left"/>
      <w:pPr>
        <w:ind w:left="5760" w:hanging="360"/>
      </w:pPr>
      <w:rPr>
        <w:rFonts w:ascii="Courier New" w:hAnsi="Courier New" w:hint="default"/>
      </w:rPr>
    </w:lvl>
    <w:lvl w:ilvl="8" w:tplc="1EDA1418">
      <w:start w:val="1"/>
      <w:numFmt w:val="bullet"/>
      <w:lvlText w:val=""/>
      <w:lvlJc w:val="left"/>
      <w:pPr>
        <w:ind w:left="6480" w:hanging="360"/>
      </w:pPr>
      <w:rPr>
        <w:rFonts w:ascii="Wingdings" w:hAnsi="Wingdings" w:hint="default"/>
      </w:rPr>
    </w:lvl>
  </w:abstractNum>
  <w:abstractNum w:abstractNumId="1">
    <w:nsid w:val="22B24A9D"/>
    <w:multiLevelType w:val="hybridMultilevel"/>
    <w:tmpl w:val="3A6CD25A"/>
    <w:lvl w:ilvl="0" w:tplc="46B62232">
      <w:start w:val="1"/>
      <w:numFmt w:val="bullet"/>
      <w:lvlText w:val=""/>
      <w:lvlJc w:val="left"/>
      <w:pPr>
        <w:ind w:left="720" w:hanging="360"/>
      </w:pPr>
      <w:rPr>
        <w:rFonts w:ascii="Symbol" w:hAnsi="Symbol" w:hint="default"/>
      </w:rPr>
    </w:lvl>
    <w:lvl w:ilvl="1" w:tplc="31B41DCE">
      <w:start w:val="1"/>
      <w:numFmt w:val="bullet"/>
      <w:lvlText w:val="o"/>
      <w:lvlJc w:val="left"/>
      <w:pPr>
        <w:ind w:left="1440" w:hanging="360"/>
      </w:pPr>
      <w:rPr>
        <w:rFonts w:ascii="Courier New" w:hAnsi="Courier New" w:hint="default"/>
      </w:rPr>
    </w:lvl>
    <w:lvl w:ilvl="2" w:tplc="B1024F8A">
      <w:start w:val="1"/>
      <w:numFmt w:val="bullet"/>
      <w:lvlText w:val=""/>
      <w:lvlJc w:val="left"/>
      <w:pPr>
        <w:ind w:left="2160" w:hanging="360"/>
      </w:pPr>
      <w:rPr>
        <w:rFonts w:ascii="Wingdings" w:hAnsi="Wingdings" w:hint="default"/>
      </w:rPr>
    </w:lvl>
    <w:lvl w:ilvl="3" w:tplc="D750AA4A">
      <w:start w:val="1"/>
      <w:numFmt w:val="bullet"/>
      <w:lvlText w:val=""/>
      <w:lvlJc w:val="left"/>
      <w:pPr>
        <w:ind w:left="2880" w:hanging="360"/>
      </w:pPr>
      <w:rPr>
        <w:rFonts w:ascii="Symbol" w:hAnsi="Symbol" w:hint="default"/>
      </w:rPr>
    </w:lvl>
    <w:lvl w:ilvl="4" w:tplc="5616F5F4">
      <w:start w:val="1"/>
      <w:numFmt w:val="bullet"/>
      <w:lvlText w:val="o"/>
      <w:lvlJc w:val="left"/>
      <w:pPr>
        <w:ind w:left="3600" w:hanging="360"/>
      </w:pPr>
      <w:rPr>
        <w:rFonts w:ascii="Courier New" w:hAnsi="Courier New" w:hint="default"/>
      </w:rPr>
    </w:lvl>
    <w:lvl w:ilvl="5" w:tplc="43DA7FF6">
      <w:start w:val="1"/>
      <w:numFmt w:val="bullet"/>
      <w:lvlText w:val=""/>
      <w:lvlJc w:val="left"/>
      <w:pPr>
        <w:ind w:left="4320" w:hanging="360"/>
      </w:pPr>
      <w:rPr>
        <w:rFonts w:ascii="Wingdings" w:hAnsi="Wingdings" w:hint="default"/>
      </w:rPr>
    </w:lvl>
    <w:lvl w:ilvl="6" w:tplc="8A0A1EEA">
      <w:start w:val="1"/>
      <w:numFmt w:val="bullet"/>
      <w:lvlText w:val=""/>
      <w:lvlJc w:val="left"/>
      <w:pPr>
        <w:ind w:left="5040" w:hanging="360"/>
      </w:pPr>
      <w:rPr>
        <w:rFonts w:ascii="Symbol" w:hAnsi="Symbol" w:hint="default"/>
      </w:rPr>
    </w:lvl>
    <w:lvl w:ilvl="7" w:tplc="4CEC7156">
      <w:start w:val="1"/>
      <w:numFmt w:val="bullet"/>
      <w:lvlText w:val="o"/>
      <w:lvlJc w:val="left"/>
      <w:pPr>
        <w:ind w:left="5760" w:hanging="360"/>
      </w:pPr>
      <w:rPr>
        <w:rFonts w:ascii="Courier New" w:hAnsi="Courier New" w:hint="default"/>
      </w:rPr>
    </w:lvl>
    <w:lvl w:ilvl="8" w:tplc="73EE10E0">
      <w:start w:val="1"/>
      <w:numFmt w:val="bullet"/>
      <w:lvlText w:val=""/>
      <w:lvlJc w:val="left"/>
      <w:pPr>
        <w:ind w:left="6480" w:hanging="360"/>
      </w:pPr>
      <w:rPr>
        <w:rFonts w:ascii="Wingdings" w:hAnsi="Wingdings" w:hint="default"/>
      </w:rPr>
    </w:lvl>
  </w:abstractNum>
  <w:abstractNum w:abstractNumId="2">
    <w:nsid w:val="3502429F"/>
    <w:multiLevelType w:val="hybridMultilevel"/>
    <w:tmpl w:val="3FDA2038"/>
    <w:lvl w:ilvl="0" w:tplc="5574C1B0">
      <w:start w:val="1"/>
      <w:numFmt w:val="bullet"/>
      <w:lvlText w:val=""/>
      <w:lvlJc w:val="left"/>
      <w:pPr>
        <w:ind w:left="720" w:hanging="360"/>
      </w:pPr>
      <w:rPr>
        <w:rFonts w:ascii="Symbol" w:hAnsi="Symbol" w:hint="default"/>
      </w:rPr>
    </w:lvl>
    <w:lvl w:ilvl="1" w:tplc="F3A6E406">
      <w:start w:val="1"/>
      <w:numFmt w:val="bullet"/>
      <w:lvlText w:val="o"/>
      <w:lvlJc w:val="left"/>
      <w:pPr>
        <w:ind w:left="1440" w:hanging="360"/>
      </w:pPr>
      <w:rPr>
        <w:rFonts w:ascii="Courier New" w:hAnsi="Courier New" w:hint="default"/>
      </w:rPr>
    </w:lvl>
    <w:lvl w:ilvl="2" w:tplc="3B5478F4">
      <w:start w:val="1"/>
      <w:numFmt w:val="bullet"/>
      <w:lvlText w:val=""/>
      <w:lvlJc w:val="left"/>
      <w:pPr>
        <w:ind w:left="2160" w:hanging="360"/>
      </w:pPr>
      <w:rPr>
        <w:rFonts w:ascii="Wingdings" w:hAnsi="Wingdings" w:hint="default"/>
      </w:rPr>
    </w:lvl>
    <w:lvl w:ilvl="3" w:tplc="C42E9EB8">
      <w:start w:val="1"/>
      <w:numFmt w:val="bullet"/>
      <w:lvlText w:val=""/>
      <w:lvlJc w:val="left"/>
      <w:pPr>
        <w:ind w:left="2880" w:hanging="360"/>
      </w:pPr>
      <w:rPr>
        <w:rFonts w:ascii="Symbol" w:hAnsi="Symbol" w:hint="default"/>
      </w:rPr>
    </w:lvl>
    <w:lvl w:ilvl="4" w:tplc="AAFE8284">
      <w:start w:val="1"/>
      <w:numFmt w:val="bullet"/>
      <w:lvlText w:val="o"/>
      <w:lvlJc w:val="left"/>
      <w:pPr>
        <w:ind w:left="3600" w:hanging="360"/>
      </w:pPr>
      <w:rPr>
        <w:rFonts w:ascii="Courier New" w:hAnsi="Courier New" w:hint="default"/>
      </w:rPr>
    </w:lvl>
    <w:lvl w:ilvl="5" w:tplc="A26C8CC2">
      <w:start w:val="1"/>
      <w:numFmt w:val="bullet"/>
      <w:lvlText w:val=""/>
      <w:lvlJc w:val="left"/>
      <w:pPr>
        <w:ind w:left="4320" w:hanging="360"/>
      </w:pPr>
      <w:rPr>
        <w:rFonts w:ascii="Wingdings" w:hAnsi="Wingdings" w:hint="default"/>
      </w:rPr>
    </w:lvl>
    <w:lvl w:ilvl="6" w:tplc="76A88664">
      <w:start w:val="1"/>
      <w:numFmt w:val="bullet"/>
      <w:lvlText w:val=""/>
      <w:lvlJc w:val="left"/>
      <w:pPr>
        <w:ind w:left="5040" w:hanging="360"/>
      </w:pPr>
      <w:rPr>
        <w:rFonts w:ascii="Symbol" w:hAnsi="Symbol" w:hint="default"/>
      </w:rPr>
    </w:lvl>
    <w:lvl w:ilvl="7" w:tplc="36965FF2">
      <w:start w:val="1"/>
      <w:numFmt w:val="bullet"/>
      <w:lvlText w:val="o"/>
      <w:lvlJc w:val="left"/>
      <w:pPr>
        <w:ind w:left="5760" w:hanging="360"/>
      </w:pPr>
      <w:rPr>
        <w:rFonts w:ascii="Courier New" w:hAnsi="Courier New" w:hint="default"/>
      </w:rPr>
    </w:lvl>
    <w:lvl w:ilvl="8" w:tplc="4F3046F0">
      <w:start w:val="1"/>
      <w:numFmt w:val="bullet"/>
      <w:lvlText w:val=""/>
      <w:lvlJc w:val="left"/>
      <w:pPr>
        <w:ind w:left="6480" w:hanging="360"/>
      </w:pPr>
      <w:rPr>
        <w:rFonts w:ascii="Wingdings" w:hAnsi="Wingdings" w:hint="default"/>
      </w:rPr>
    </w:lvl>
  </w:abstractNum>
  <w:abstractNum w:abstractNumId="3">
    <w:nsid w:val="41425510"/>
    <w:multiLevelType w:val="hybridMultilevel"/>
    <w:tmpl w:val="247E3990"/>
    <w:lvl w:ilvl="0" w:tplc="B91859DA">
      <w:start w:val="1"/>
      <w:numFmt w:val="bullet"/>
      <w:lvlText w:val=""/>
      <w:lvlJc w:val="left"/>
      <w:pPr>
        <w:ind w:left="720" w:hanging="360"/>
      </w:pPr>
      <w:rPr>
        <w:rFonts w:ascii="Symbol" w:hAnsi="Symbol" w:hint="default"/>
      </w:rPr>
    </w:lvl>
    <w:lvl w:ilvl="1" w:tplc="853E0586">
      <w:start w:val="1"/>
      <w:numFmt w:val="bullet"/>
      <w:lvlText w:val="o"/>
      <w:lvlJc w:val="left"/>
      <w:pPr>
        <w:ind w:left="1440" w:hanging="360"/>
      </w:pPr>
      <w:rPr>
        <w:rFonts w:ascii="Courier New" w:hAnsi="Courier New" w:hint="default"/>
      </w:rPr>
    </w:lvl>
    <w:lvl w:ilvl="2" w:tplc="39861EFE">
      <w:start w:val="1"/>
      <w:numFmt w:val="bullet"/>
      <w:lvlText w:val=""/>
      <w:lvlJc w:val="left"/>
      <w:pPr>
        <w:ind w:left="2160" w:hanging="360"/>
      </w:pPr>
      <w:rPr>
        <w:rFonts w:ascii="Wingdings" w:hAnsi="Wingdings" w:hint="default"/>
      </w:rPr>
    </w:lvl>
    <w:lvl w:ilvl="3" w:tplc="7312EA06">
      <w:start w:val="1"/>
      <w:numFmt w:val="bullet"/>
      <w:lvlText w:val=""/>
      <w:lvlJc w:val="left"/>
      <w:pPr>
        <w:ind w:left="2880" w:hanging="360"/>
      </w:pPr>
      <w:rPr>
        <w:rFonts w:ascii="Symbol" w:hAnsi="Symbol" w:hint="default"/>
      </w:rPr>
    </w:lvl>
    <w:lvl w:ilvl="4" w:tplc="6C5CA480">
      <w:start w:val="1"/>
      <w:numFmt w:val="bullet"/>
      <w:lvlText w:val="o"/>
      <w:lvlJc w:val="left"/>
      <w:pPr>
        <w:ind w:left="3600" w:hanging="360"/>
      </w:pPr>
      <w:rPr>
        <w:rFonts w:ascii="Courier New" w:hAnsi="Courier New" w:hint="default"/>
      </w:rPr>
    </w:lvl>
    <w:lvl w:ilvl="5" w:tplc="2ACE931C">
      <w:start w:val="1"/>
      <w:numFmt w:val="bullet"/>
      <w:lvlText w:val=""/>
      <w:lvlJc w:val="left"/>
      <w:pPr>
        <w:ind w:left="4320" w:hanging="360"/>
      </w:pPr>
      <w:rPr>
        <w:rFonts w:ascii="Wingdings" w:hAnsi="Wingdings" w:hint="default"/>
      </w:rPr>
    </w:lvl>
    <w:lvl w:ilvl="6" w:tplc="269A2DB6">
      <w:start w:val="1"/>
      <w:numFmt w:val="bullet"/>
      <w:lvlText w:val=""/>
      <w:lvlJc w:val="left"/>
      <w:pPr>
        <w:ind w:left="5040" w:hanging="360"/>
      </w:pPr>
      <w:rPr>
        <w:rFonts w:ascii="Symbol" w:hAnsi="Symbol" w:hint="default"/>
      </w:rPr>
    </w:lvl>
    <w:lvl w:ilvl="7" w:tplc="147EA8EE">
      <w:start w:val="1"/>
      <w:numFmt w:val="bullet"/>
      <w:lvlText w:val="o"/>
      <w:lvlJc w:val="left"/>
      <w:pPr>
        <w:ind w:left="5760" w:hanging="360"/>
      </w:pPr>
      <w:rPr>
        <w:rFonts w:ascii="Courier New" w:hAnsi="Courier New" w:hint="default"/>
      </w:rPr>
    </w:lvl>
    <w:lvl w:ilvl="8" w:tplc="1BD64DE4">
      <w:start w:val="1"/>
      <w:numFmt w:val="bullet"/>
      <w:lvlText w:val=""/>
      <w:lvlJc w:val="left"/>
      <w:pPr>
        <w:ind w:left="6480" w:hanging="360"/>
      </w:pPr>
      <w:rPr>
        <w:rFonts w:ascii="Wingdings" w:hAnsi="Wingdings" w:hint="default"/>
      </w:rPr>
    </w:lvl>
  </w:abstractNum>
  <w:abstractNum w:abstractNumId="4">
    <w:nsid w:val="54F16116"/>
    <w:multiLevelType w:val="hybridMultilevel"/>
    <w:tmpl w:val="A8C4E1B4"/>
    <w:lvl w:ilvl="0" w:tplc="734A39B0">
      <w:start w:val="1"/>
      <w:numFmt w:val="bullet"/>
      <w:lvlText w:val=""/>
      <w:lvlJc w:val="left"/>
      <w:pPr>
        <w:ind w:left="720" w:hanging="360"/>
      </w:pPr>
      <w:rPr>
        <w:rFonts w:ascii="Symbol" w:hAnsi="Symbol" w:hint="default"/>
      </w:rPr>
    </w:lvl>
    <w:lvl w:ilvl="1" w:tplc="9CE68910">
      <w:start w:val="1"/>
      <w:numFmt w:val="bullet"/>
      <w:lvlText w:val="o"/>
      <w:lvlJc w:val="left"/>
      <w:pPr>
        <w:ind w:left="1440" w:hanging="360"/>
      </w:pPr>
      <w:rPr>
        <w:rFonts w:ascii="Courier New" w:hAnsi="Courier New" w:hint="default"/>
      </w:rPr>
    </w:lvl>
    <w:lvl w:ilvl="2" w:tplc="96084CE8">
      <w:start w:val="1"/>
      <w:numFmt w:val="bullet"/>
      <w:lvlText w:val=""/>
      <w:lvlJc w:val="left"/>
      <w:pPr>
        <w:ind w:left="2160" w:hanging="360"/>
      </w:pPr>
      <w:rPr>
        <w:rFonts w:ascii="Wingdings" w:hAnsi="Wingdings" w:hint="default"/>
      </w:rPr>
    </w:lvl>
    <w:lvl w:ilvl="3" w:tplc="EEDC1474">
      <w:start w:val="1"/>
      <w:numFmt w:val="bullet"/>
      <w:lvlText w:val=""/>
      <w:lvlJc w:val="left"/>
      <w:pPr>
        <w:ind w:left="2880" w:hanging="360"/>
      </w:pPr>
      <w:rPr>
        <w:rFonts w:ascii="Symbol" w:hAnsi="Symbol" w:hint="default"/>
      </w:rPr>
    </w:lvl>
    <w:lvl w:ilvl="4" w:tplc="1A847C9C">
      <w:start w:val="1"/>
      <w:numFmt w:val="bullet"/>
      <w:lvlText w:val="o"/>
      <w:lvlJc w:val="left"/>
      <w:pPr>
        <w:ind w:left="3600" w:hanging="360"/>
      </w:pPr>
      <w:rPr>
        <w:rFonts w:ascii="Courier New" w:hAnsi="Courier New" w:hint="default"/>
      </w:rPr>
    </w:lvl>
    <w:lvl w:ilvl="5" w:tplc="D64CD69C">
      <w:start w:val="1"/>
      <w:numFmt w:val="bullet"/>
      <w:lvlText w:val=""/>
      <w:lvlJc w:val="left"/>
      <w:pPr>
        <w:ind w:left="4320" w:hanging="360"/>
      </w:pPr>
      <w:rPr>
        <w:rFonts w:ascii="Wingdings" w:hAnsi="Wingdings" w:hint="default"/>
      </w:rPr>
    </w:lvl>
    <w:lvl w:ilvl="6" w:tplc="E05019FC">
      <w:start w:val="1"/>
      <w:numFmt w:val="bullet"/>
      <w:lvlText w:val=""/>
      <w:lvlJc w:val="left"/>
      <w:pPr>
        <w:ind w:left="5040" w:hanging="360"/>
      </w:pPr>
      <w:rPr>
        <w:rFonts w:ascii="Symbol" w:hAnsi="Symbol" w:hint="default"/>
      </w:rPr>
    </w:lvl>
    <w:lvl w:ilvl="7" w:tplc="6156B660">
      <w:start w:val="1"/>
      <w:numFmt w:val="bullet"/>
      <w:lvlText w:val="o"/>
      <w:lvlJc w:val="left"/>
      <w:pPr>
        <w:ind w:left="5760" w:hanging="360"/>
      </w:pPr>
      <w:rPr>
        <w:rFonts w:ascii="Courier New" w:hAnsi="Courier New" w:hint="default"/>
      </w:rPr>
    </w:lvl>
    <w:lvl w:ilvl="8" w:tplc="051656A4">
      <w:start w:val="1"/>
      <w:numFmt w:val="bullet"/>
      <w:lvlText w:val=""/>
      <w:lvlJc w:val="left"/>
      <w:pPr>
        <w:ind w:left="6480" w:hanging="360"/>
      </w:pPr>
      <w:rPr>
        <w:rFonts w:ascii="Wingdings" w:hAnsi="Wingdings" w:hint="default"/>
      </w:rPr>
    </w:lvl>
  </w:abstractNum>
  <w:abstractNum w:abstractNumId="5">
    <w:nsid w:val="55AF5255"/>
    <w:multiLevelType w:val="hybridMultilevel"/>
    <w:tmpl w:val="BBB2379A"/>
    <w:lvl w:ilvl="0" w:tplc="77486BE2">
      <w:start w:val="1"/>
      <w:numFmt w:val="bullet"/>
      <w:lvlText w:val=""/>
      <w:lvlJc w:val="left"/>
      <w:pPr>
        <w:ind w:left="720" w:hanging="360"/>
      </w:pPr>
      <w:rPr>
        <w:rFonts w:ascii="Symbol" w:hAnsi="Symbol" w:hint="default"/>
      </w:rPr>
    </w:lvl>
    <w:lvl w:ilvl="1" w:tplc="191C9D20">
      <w:start w:val="1"/>
      <w:numFmt w:val="bullet"/>
      <w:lvlText w:val="o"/>
      <w:lvlJc w:val="left"/>
      <w:pPr>
        <w:ind w:left="1440" w:hanging="360"/>
      </w:pPr>
      <w:rPr>
        <w:rFonts w:ascii="Courier New" w:hAnsi="Courier New" w:hint="default"/>
      </w:rPr>
    </w:lvl>
    <w:lvl w:ilvl="2" w:tplc="6A0231D2">
      <w:start w:val="1"/>
      <w:numFmt w:val="bullet"/>
      <w:lvlText w:val=""/>
      <w:lvlJc w:val="left"/>
      <w:pPr>
        <w:ind w:left="2160" w:hanging="360"/>
      </w:pPr>
      <w:rPr>
        <w:rFonts w:ascii="Wingdings" w:hAnsi="Wingdings" w:hint="default"/>
      </w:rPr>
    </w:lvl>
    <w:lvl w:ilvl="3" w:tplc="C7164BE6">
      <w:start w:val="1"/>
      <w:numFmt w:val="bullet"/>
      <w:lvlText w:val=""/>
      <w:lvlJc w:val="left"/>
      <w:pPr>
        <w:ind w:left="2880" w:hanging="360"/>
      </w:pPr>
      <w:rPr>
        <w:rFonts w:ascii="Symbol" w:hAnsi="Symbol" w:hint="default"/>
      </w:rPr>
    </w:lvl>
    <w:lvl w:ilvl="4" w:tplc="36D03E28">
      <w:start w:val="1"/>
      <w:numFmt w:val="bullet"/>
      <w:lvlText w:val="o"/>
      <w:lvlJc w:val="left"/>
      <w:pPr>
        <w:ind w:left="3600" w:hanging="360"/>
      </w:pPr>
      <w:rPr>
        <w:rFonts w:ascii="Courier New" w:hAnsi="Courier New" w:hint="default"/>
      </w:rPr>
    </w:lvl>
    <w:lvl w:ilvl="5" w:tplc="15803244">
      <w:start w:val="1"/>
      <w:numFmt w:val="bullet"/>
      <w:lvlText w:val=""/>
      <w:lvlJc w:val="left"/>
      <w:pPr>
        <w:ind w:left="4320" w:hanging="360"/>
      </w:pPr>
      <w:rPr>
        <w:rFonts w:ascii="Wingdings" w:hAnsi="Wingdings" w:hint="default"/>
      </w:rPr>
    </w:lvl>
    <w:lvl w:ilvl="6" w:tplc="B1E8AF2C">
      <w:start w:val="1"/>
      <w:numFmt w:val="bullet"/>
      <w:lvlText w:val=""/>
      <w:lvlJc w:val="left"/>
      <w:pPr>
        <w:ind w:left="5040" w:hanging="360"/>
      </w:pPr>
      <w:rPr>
        <w:rFonts w:ascii="Symbol" w:hAnsi="Symbol" w:hint="default"/>
      </w:rPr>
    </w:lvl>
    <w:lvl w:ilvl="7" w:tplc="A32087B2">
      <w:start w:val="1"/>
      <w:numFmt w:val="bullet"/>
      <w:lvlText w:val="o"/>
      <w:lvlJc w:val="left"/>
      <w:pPr>
        <w:ind w:left="5760" w:hanging="360"/>
      </w:pPr>
      <w:rPr>
        <w:rFonts w:ascii="Courier New" w:hAnsi="Courier New" w:hint="default"/>
      </w:rPr>
    </w:lvl>
    <w:lvl w:ilvl="8" w:tplc="5718872E">
      <w:start w:val="1"/>
      <w:numFmt w:val="bullet"/>
      <w:lvlText w:val=""/>
      <w:lvlJc w:val="left"/>
      <w:pPr>
        <w:ind w:left="6480" w:hanging="360"/>
      </w:pPr>
      <w:rPr>
        <w:rFonts w:ascii="Wingdings" w:hAnsi="Wingdings" w:hint="default"/>
      </w:rPr>
    </w:lvl>
  </w:abstractNum>
  <w:abstractNum w:abstractNumId="6">
    <w:nsid w:val="59C10F6E"/>
    <w:multiLevelType w:val="hybridMultilevel"/>
    <w:tmpl w:val="425671F8"/>
    <w:lvl w:ilvl="0" w:tplc="9628F0DA">
      <w:start w:val="1"/>
      <w:numFmt w:val="decimal"/>
      <w:lvlText w:val="%1."/>
      <w:lvlJc w:val="left"/>
      <w:pPr>
        <w:ind w:left="720" w:hanging="360"/>
      </w:pPr>
    </w:lvl>
    <w:lvl w:ilvl="1" w:tplc="768AF2D6">
      <w:start w:val="1"/>
      <w:numFmt w:val="lowerLetter"/>
      <w:lvlText w:val="%2."/>
      <w:lvlJc w:val="left"/>
      <w:pPr>
        <w:ind w:left="1440" w:hanging="360"/>
      </w:pPr>
    </w:lvl>
    <w:lvl w:ilvl="2" w:tplc="AC500A88">
      <w:start w:val="1"/>
      <w:numFmt w:val="lowerRoman"/>
      <w:lvlText w:val="%3."/>
      <w:lvlJc w:val="right"/>
      <w:pPr>
        <w:ind w:left="2160" w:hanging="180"/>
      </w:pPr>
    </w:lvl>
    <w:lvl w:ilvl="3" w:tplc="4B24364E">
      <w:start w:val="1"/>
      <w:numFmt w:val="decimal"/>
      <w:lvlText w:val="%4."/>
      <w:lvlJc w:val="left"/>
      <w:pPr>
        <w:ind w:left="2880" w:hanging="360"/>
      </w:pPr>
    </w:lvl>
    <w:lvl w:ilvl="4" w:tplc="D85CC72A">
      <w:start w:val="1"/>
      <w:numFmt w:val="lowerLetter"/>
      <w:lvlText w:val="%5."/>
      <w:lvlJc w:val="left"/>
      <w:pPr>
        <w:ind w:left="3600" w:hanging="360"/>
      </w:pPr>
    </w:lvl>
    <w:lvl w:ilvl="5" w:tplc="1D42EF8E">
      <w:start w:val="1"/>
      <w:numFmt w:val="lowerRoman"/>
      <w:lvlText w:val="%6."/>
      <w:lvlJc w:val="right"/>
      <w:pPr>
        <w:ind w:left="4320" w:hanging="180"/>
      </w:pPr>
    </w:lvl>
    <w:lvl w:ilvl="6" w:tplc="D3F02252">
      <w:start w:val="1"/>
      <w:numFmt w:val="decimal"/>
      <w:lvlText w:val="%7."/>
      <w:lvlJc w:val="left"/>
      <w:pPr>
        <w:ind w:left="5040" w:hanging="360"/>
      </w:pPr>
    </w:lvl>
    <w:lvl w:ilvl="7" w:tplc="F788C21C">
      <w:start w:val="1"/>
      <w:numFmt w:val="lowerLetter"/>
      <w:lvlText w:val="%8."/>
      <w:lvlJc w:val="left"/>
      <w:pPr>
        <w:ind w:left="5760" w:hanging="360"/>
      </w:pPr>
    </w:lvl>
    <w:lvl w:ilvl="8" w:tplc="32E84760">
      <w:start w:val="1"/>
      <w:numFmt w:val="lowerRoman"/>
      <w:lvlText w:val="%9."/>
      <w:lvlJc w:val="right"/>
      <w:pPr>
        <w:ind w:left="6480" w:hanging="180"/>
      </w:pPr>
    </w:lvl>
  </w:abstractNum>
  <w:abstractNum w:abstractNumId="7">
    <w:nsid w:val="677959A7"/>
    <w:multiLevelType w:val="hybridMultilevel"/>
    <w:tmpl w:val="2F06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D3"/>
    <w:rsid w:val="00002471"/>
    <w:rsid w:val="00003F8C"/>
    <w:rsid w:val="00004DB7"/>
    <w:rsid w:val="00010AFF"/>
    <w:rsid w:val="00013D70"/>
    <w:rsid w:val="0001584B"/>
    <w:rsid w:val="00022081"/>
    <w:rsid w:val="00025F17"/>
    <w:rsid w:val="00026A6D"/>
    <w:rsid w:val="00027919"/>
    <w:rsid w:val="00043A35"/>
    <w:rsid w:val="00046CBA"/>
    <w:rsid w:val="00047A06"/>
    <w:rsid w:val="00051DB4"/>
    <w:rsid w:val="00056884"/>
    <w:rsid w:val="000619B8"/>
    <w:rsid w:val="00067EA8"/>
    <w:rsid w:val="0007255F"/>
    <w:rsid w:val="0007307F"/>
    <w:rsid w:val="00082145"/>
    <w:rsid w:val="00082CD8"/>
    <w:rsid w:val="000854BA"/>
    <w:rsid w:val="000927A5"/>
    <w:rsid w:val="00096C67"/>
    <w:rsid w:val="000A4DA6"/>
    <w:rsid w:val="000B591A"/>
    <w:rsid w:val="000C0316"/>
    <w:rsid w:val="000D096A"/>
    <w:rsid w:val="000D542E"/>
    <w:rsid w:val="000D582B"/>
    <w:rsid w:val="000E0941"/>
    <w:rsid w:val="000E1CF6"/>
    <w:rsid w:val="000E60E7"/>
    <w:rsid w:val="000E7966"/>
    <w:rsid w:val="000F1F5C"/>
    <w:rsid w:val="000F54E0"/>
    <w:rsid w:val="00102AD2"/>
    <w:rsid w:val="001110E0"/>
    <w:rsid w:val="00111CAF"/>
    <w:rsid w:val="0014127D"/>
    <w:rsid w:val="00141AE0"/>
    <w:rsid w:val="00142438"/>
    <w:rsid w:val="0014369E"/>
    <w:rsid w:val="00145A50"/>
    <w:rsid w:val="001502E6"/>
    <w:rsid w:val="00152868"/>
    <w:rsid w:val="00156BB5"/>
    <w:rsid w:val="001669C6"/>
    <w:rsid w:val="0017721C"/>
    <w:rsid w:val="00180CBD"/>
    <w:rsid w:val="00185430"/>
    <w:rsid w:val="001912D3"/>
    <w:rsid w:val="00192816"/>
    <w:rsid w:val="001968B2"/>
    <w:rsid w:val="00197CE0"/>
    <w:rsid w:val="001A62C1"/>
    <w:rsid w:val="001B208D"/>
    <w:rsid w:val="001C2EA8"/>
    <w:rsid w:val="001C4578"/>
    <w:rsid w:val="001C4B2D"/>
    <w:rsid w:val="001D7EB8"/>
    <w:rsid w:val="001E21DC"/>
    <w:rsid w:val="001E38D3"/>
    <w:rsid w:val="00202153"/>
    <w:rsid w:val="00206642"/>
    <w:rsid w:val="002173E8"/>
    <w:rsid w:val="00225D4A"/>
    <w:rsid w:val="00231D89"/>
    <w:rsid w:val="00235766"/>
    <w:rsid w:val="0023719C"/>
    <w:rsid w:val="00242EFD"/>
    <w:rsid w:val="002472A8"/>
    <w:rsid w:val="00251441"/>
    <w:rsid w:val="002536AF"/>
    <w:rsid w:val="00267416"/>
    <w:rsid w:val="00270738"/>
    <w:rsid w:val="00281149"/>
    <w:rsid w:val="002912F7"/>
    <w:rsid w:val="002A70C2"/>
    <w:rsid w:val="002A72A7"/>
    <w:rsid w:val="002C081E"/>
    <w:rsid w:val="002D512A"/>
    <w:rsid w:val="002D586F"/>
    <w:rsid w:val="002D6884"/>
    <w:rsid w:val="002E309C"/>
    <w:rsid w:val="002E4594"/>
    <w:rsid w:val="002E472B"/>
    <w:rsid w:val="002E7A4B"/>
    <w:rsid w:val="002F032F"/>
    <w:rsid w:val="002F165B"/>
    <w:rsid w:val="002F4E89"/>
    <w:rsid w:val="0030017B"/>
    <w:rsid w:val="0030470F"/>
    <w:rsid w:val="00304D49"/>
    <w:rsid w:val="003101B8"/>
    <w:rsid w:val="00310241"/>
    <w:rsid w:val="00320140"/>
    <w:rsid w:val="00323870"/>
    <w:rsid w:val="00324EF0"/>
    <w:rsid w:val="00325CF7"/>
    <w:rsid w:val="00326A1C"/>
    <w:rsid w:val="00330E9F"/>
    <w:rsid w:val="00331E10"/>
    <w:rsid w:val="0033471C"/>
    <w:rsid w:val="0034084C"/>
    <w:rsid w:val="00344CA8"/>
    <w:rsid w:val="00345E9A"/>
    <w:rsid w:val="00356549"/>
    <w:rsid w:val="00357E29"/>
    <w:rsid w:val="003606FF"/>
    <w:rsid w:val="00362EE7"/>
    <w:rsid w:val="00363455"/>
    <w:rsid w:val="00371C9C"/>
    <w:rsid w:val="00376B70"/>
    <w:rsid w:val="00380C1D"/>
    <w:rsid w:val="003838D8"/>
    <w:rsid w:val="00385DA5"/>
    <w:rsid w:val="003960FB"/>
    <w:rsid w:val="0039639C"/>
    <w:rsid w:val="003A6317"/>
    <w:rsid w:val="003B17E0"/>
    <w:rsid w:val="003B2D14"/>
    <w:rsid w:val="003D2958"/>
    <w:rsid w:val="003D5983"/>
    <w:rsid w:val="003D5B28"/>
    <w:rsid w:val="003F0515"/>
    <w:rsid w:val="003F40FA"/>
    <w:rsid w:val="003F658E"/>
    <w:rsid w:val="0040401C"/>
    <w:rsid w:val="0040581E"/>
    <w:rsid w:val="0040601E"/>
    <w:rsid w:val="00420FC5"/>
    <w:rsid w:val="004220E8"/>
    <w:rsid w:val="00422893"/>
    <w:rsid w:val="00426DEF"/>
    <w:rsid w:val="004308B6"/>
    <w:rsid w:val="004328B3"/>
    <w:rsid w:val="00432DEB"/>
    <w:rsid w:val="004364DF"/>
    <w:rsid w:val="004405D0"/>
    <w:rsid w:val="00443925"/>
    <w:rsid w:val="0044413E"/>
    <w:rsid w:val="00445E31"/>
    <w:rsid w:val="004553F8"/>
    <w:rsid w:val="0046267A"/>
    <w:rsid w:val="004715B2"/>
    <w:rsid w:val="00495B6E"/>
    <w:rsid w:val="00496457"/>
    <w:rsid w:val="004A056B"/>
    <w:rsid w:val="004A6F76"/>
    <w:rsid w:val="004B22CD"/>
    <w:rsid w:val="004B3775"/>
    <w:rsid w:val="004B4AB4"/>
    <w:rsid w:val="004B6676"/>
    <w:rsid w:val="004B7970"/>
    <w:rsid w:val="004C3512"/>
    <w:rsid w:val="004C57EB"/>
    <w:rsid w:val="004D17C8"/>
    <w:rsid w:val="004E52C9"/>
    <w:rsid w:val="004E6071"/>
    <w:rsid w:val="004E644B"/>
    <w:rsid w:val="004F06E8"/>
    <w:rsid w:val="004F49F3"/>
    <w:rsid w:val="0050077B"/>
    <w:rsid w:val="005063FA"/>
    <w:rsid w:val="00510D43"/>
    <w:rsid w:val="00512EF2"/>
    <w:rsid w:val="00520159"/>
    <w:rsid w:val="0053507A"/>
    <w:rsid w:val="005361FF"/>
    <w:rsid w:val="0053722A"/>
    <w:rsid w:val="0054102A"/>
    <w:rsid w:val="00541E9A"/>
    <w:rsid w:val="0054666C"/>
    <w:rsid w:val="00547715"/>
    <w:rsid w:val="0055112A"/>
    <w:rsid w:val="0056296D"/>
    <w:rsid w:val="005655FE"/>
    <w:rsid w:val="00573581"/>
    <w:rsid w:val="00574339"/>
    <w:rsid w:val="00577195"/>
    <w:rsid w:val="00585035"/>
    <w:rsid w:val="00585FF2"/>
    <w:rsid w:val="005907D6"/>
    <w:rsid w:val="00593965"/>
    <w:rsid w:val="0059754A"/>
    <w:rsid w:val="005A76C5"/>
    <w:rsid w:val="005B3800"/>
    <w:rsid w:val="005B4E0E"/>
    <w:rsid w:val="005B70CA"/>
    <w:rsid w:val="005C18FD"/>
    <w:rsid w:val="005C75C7"/>
    <w:rsid w:val="005C7D4F"/>
    <w:rsid w:val="005D5F88"/>
    <w:rsid w:val="005E5EF1"/>
    <w:rsid w:val="005F3041"/>
    <w:rsid w:val="00600257"/>
    <w:rsid w:val="006072B0"/>
    <w:rsid w:val="00610359"/>
    <w:rsid w:val="0061099B"/>
    <w:rsid w:val="0061307C"/>
    <w:rsid w:val="006137EC"/>
    <w:rsid w:val="00616E9C"/>
    <w:rsid w:val="0061794E"/>
    <w:rsid w:val="0062556F"/>
    <w:rsid w:val="00625729"/>
    <w:rsid w:val="00637309"/>
    <w:rsid w:val="006448B1"/>
    <w:rsid w:val="00651202"/>
    <w:rsid w:val="00655F83"/>
    <w:rsid w:val="006623EA"/>
    <w:rsid w:val="00662614"/>
    <w:rsid w:val="00665F33"/>
    <w:rsid w:val="00666BA7"/>
    <w:rsid w:val="0069062C"/>
    <w:rsid w:val="00696902"/>
    <w:rsid w:val="00697349"/>
    <w:rsid w:val="006A4254"/>
    <w:rsid w:val="006A52EF"/>
    <w:rsid w:val="006D2C5F"/>
    <w:rsid w:val="006D46CF"/>
    <w:rsid w:val="006E2886"/>
    <w:rsid w:val="006F4392"/>
    <w:rsid w:val="0070331F"/>
    <w:rsid w:val="0070405D"/>
    <w:rsid w:val="007122F8"/>
    <w:rsid w:val="00714650"/>
    <w:rsid w:val="007219AB"/>
    <w:rsid w:val="00730155"/>
    <w:rsid w:val="00733FFB"/>
    <w:rsid w:val="0073430F"/>
    <w:rsid w:val="00742F2B"/>
    <w:rsid w:val="00745CD4"/>
    <w:rsid w:val="00756148"/>
    <w:rsid w:val="00760CC6"/>
    <w:rsid w:val="0076446B"/>
    <w:rsid w:val="0077304D"/>
    <w:rsid w:val="00773E0C"/>
    <w:rsid w:val="00780A26"/>
    <w:rsid w:val="0078671C"/>
    <w:rsid w:val="007A4592"/>
    <w:rsid w:val="007A46A7"/>
    <w:rsid w:val="007B75C1"/>
    <w:rsid w:val="007D5E06"/>
    <w:rsid w:val="007E2309"/>
    <w:rsid w:val="007F33CF"/>
    <w:rsid w:val="007F4886"/>
    <w:rsid w:val="007F570F"/>
    <w:rsid w:val="007F6B51"/>
    <w:rsid w:val="00804FC1"/>
    <w:rsid w:val="00825FA3"/>
    <w:rsid w:val="008314B0"/>
    <w:rsid w:val="008409AB"/>
    <w:rsid w:val="0084442B"/>
    <w:rsid w:val="00845E77"/>
    <w:rsid w:val="00850FA3"/>
    <w:rsid w:val="00866CB5"/>
    <w:rsid w:val="008678EC"/>
    <w:rsid w:val="008819E4"/>
    <w:rsid w:val="008850FD"/>
    <w:rsid w:val="0088621D"/>
    <w:rsid w:val="008871BF"/>
    <w:rsid w:val="00896709"/>
    <w:rsid w:val="008A3140"/>
    <w:rsid w:val="008D288C"/>
    <w:rsid w:val="008E0A91"/>
    <w:rsid w:val="008E7F67"/>
    <w:rsid w:val="008F2C79"/>
    <w:rsid w:val="00925355"/>
    <w:rsid w:val="0092689E"/>
    <w:rsid w:val="00930519"/>
    <w:rsid w:val="00930926"/>
    <w:rsid w:val="00930FF5"/>
    <w:rsid w:val="00933B07"/>
    <w:rsid w:val="00935483"/>
    <w:rsid w:val="0095480B"/>
    <w:rsid w:val="00961F43"/>
    <w:rsid w:val="0097095A"/>
    <w:rsid w:val="00981E26"/>
    <w:rsid w:val="00984223"/>
    <w:rsid w:val="009857BA"/>
    <w:rsid w:val="009A2252"/>
    <w:rsid w:val="009B13B4"/>
    <w:rsid w:val="009B1C97"/>
    <w:rsid w:val="009B2279"/>
    <w:rsid w:val="009B30DA"/>
    <w:rsid w:val="009B6B17"/>
    <w:rsid w:val="009C7A3B"/>
    <w:rsid w:val="009D0639"/>
    <w:rsid w:val="009E6E00"/>
    <w:rsid w:val="009E77A8"/>
    <w:rsid w:val="00A008AC"/>
    <w:rsid w:val="00A03678"/>
    <w:rsid w:val="00A04017"/>
    <w:rsid w:val="00A065ED"/>
    <w:rsid w:val="00A13031"/>
    <w:rsid w:val="00A15490"/>
    <w:rsid w:val="00A21A60"/>
    <w:rsid w:val="00A26F36"/>
    <w:rsid w:val="00A331C4"/>
    <w:rsid w:val="00A334F6"/>
    <w:rsid w:val="00A401B1"/>
    <w:rsid w:val="00A40214"/>
    <w:rsid w:val="00A63270"/>
    <w:rsid w:val="00A67E43"/>
    <w:rsid w:val="00A7395C"/>
    <w:rsid w:val="00A81C0D"/>
    <w:rsid w:val="00A830FD"/>
    <w:rsid w:val="00A94039"/>
    <w:rsid w:val="00A96D49"/>
    <w:rsid w:val="00AA3C2F"/>
    <w:rsid w:val="00AB1C2D"/>
    <w:rsid w:val="00AB373B"/>
    <w:rsid w:val="00AC792A"/>
    <w:rsid w:val="00AC7F7A"/>
    <w:rsid w:val="00AD1238"/>
    <w:rsid w:val="00AD4BCC"/>
    <w:rsid w:val="00AD7D42"/>
    <w:rsid w:val="00AF1C9A"/>
    <w:rsid w:val="00B1261A"/>
    <w:rsid w:val="00B22AE6"/>
    <w:rsid w:val="00B23290"/>
    <w:rsid w:val="00B24D5B"/>
    <w:rsid w:val="00B259E4"/>
    <w:rsid w:val="00B305AB"/>
    <w:rsid w:val="00B4273A"/>
    <w:rsid w:val="00B42CEE"/>
    <w:rsid w:val="00B45CD1"/>
    <w:rsid w:val="00B47AA7"/>
    <w:rsid w:val="00B47B4B"/>
    <w:rsid w:val="00B47CD1"/>
    <w:rsid w:val="00B53B8A"/>
    <w:rsid w:val="00B8133C"/>
    <w:rsid w:val="00B8271B"/>
    <w:rsid w:val="00B82A31"/>
    <w:rsid w:val="00B91FD2"/>
    <w:rsid w:val="00B96B8D"/>
    <w:rsid w:val="00B97DDE"/>
    <w:rsid w:val="00BA2C44"/>
    <w:rsid w:val="00BA5410"/>
    <w:rsid w:val="00BA6FB0"/>
    <w:rsid w:val="00BA775B"/>
    <w:rsid w:val="00BB3A00"/>
    <w:rsid w:val="00BB7DF9"/>
    <w:rsid w:val="00BC115A"/>
    <w:rsid w:val="00BE154E"/>
    <w:rsid w:val="00BE6E67"/>
    <w:rsid w:val="00BF487B"/>
    <w:rsid w:val="00BF7A70"/>
    <w:rsid w:val="00C03B9C"/>
    <w:rsid w:val="00C10418"/>
    <w:rsid w:val="00C10F3D"/>
    <w:rsid w:val="00C15D70"/>
    <w:rsid w:val="00C15DF5"/>
    <w:rsid w:val="00C62F04"/>
    <w:rsid w:val="00C65A52"/>
    <w:rsid w:val="00C71122"/>
    <w:rsid w:val="00C718B0"/>
    <w:rsid w:val="00C71E3A"/>
    <w:rsid w:val="00C7595E"/>
    <w:rsid w:val="00C766AB"/>
    <w:rsid w:val="00C8165A"/>
    <w:rsid w:val="00C84ABD"/>
    <w:rsid w:val="00C858D1"/>
    <w:rsid w:val="00C913BF"/>
    <w:rsid w:val="00CA1925"/>
    <w:rsid w:val="00CA40BE"/>
    <w:rsid w:val="00CA684A"/>
    <w:rsid w:val="00CA7C56"/>
    <w:rsid w:val="00CB2B02"/>
    <w:rsid w:val="00CB2D75"/>
    <w:rsid w:val="00CB4D71"/>
    <w:rsid w:val="00CC296C"/>
    <w:rsid w:val="00CC6C01"/>
    <w:rsid w:val="00CC7F87"/>
    <w:rsid w:val="00CD1C6F"/>
    <w:rsid w:val="00CF0359"/>
    <w:rsid w:val="00CF28E3"/>
    <w:rsid w:val="00CF79F5"/>
    <w:rsid w:val="00D01948"/>
    <w:rsid w:val="00D10C73"/>
    <w:rsid w:val="00D17382"/>
    <w:rsid w:val="00D2227E"/>
    <w:rsid w:val="00D22D07"/>
    <w:rsid w:val="00D234FD"/>
    <w:rsid w:val="00D310F2"/>
    <w:rsid w:val="00D361DB"/>
    <w:rsid w:val="00D36E6F"/>
    <w:rsid w:val="00D36ECF"/>
    <w:rsid w:val="00D42F47"/>
    <w:rsid w:val="00D45CAB"/>
    <w:rsid w:val="00D46D71"/>
    <w:rsid w:val="00D51E0C"/>
    <w:rsid w:val="00D533C5"/>
    <w:rsid w:val="00D560D2"/>
    <w:rsid w:val="00D64F30"/>
    <w:rsid w:val="00D65BA8"/>
    <w:rsid w:val="00D75FC2"/>
    <w:rsid w:val="00D83727"/>
    <w:rsid w:val="00D8570E"/>
    <w:rsid w:val="00D86DF5"/>
    <w:rsid w:val="00D92047"/>
    <w:rsid w:val="00D95A32"/>
    <w:rsid w:val="00D97312"/>
    <w:rsid w:val="00D9736B"/>
    <w:rsid w:val="00DA00B3"/>
    <w:rsid w:val="00DA5074"/>
    <w:rsid w:val="00DA6A4A"/>
    <w:rsid w:val="00DB2D25"/>
    <w:rsid w:val="00DC40FD"/>
    <w:rsid w:val="00DD1F40"/>
    <w:rsid w:val="00DD4EE2"/>
    <w:rsid w:val="00DE5B62"/>
    <w:rsid w:val="00DE63A3"/>
    <w:rsid w:val="00DF1B72"/>
    <w:rsid w:val="00E04511"/>
    <w:rsid w:val="00E06104"/>
    <w:rsid w:val="00E1502D"/>
    <w:rsid w:val="00E15FEF"/>
    <w:rsid w:val="00E245F8"/>
    <w:rsid w:val="00E26D88"/>
    <w:rsid w:val="00E27223"/>
    <w:rsid w:val="00E32168"/>
    <w:rsid w:val="00E36305"/>
    <w:rsid w:val="00E530A8"/>
    <w:rsid w:val="00E53829"/>
    <w:rsid w:val="00E54A08"/>
    <w:rsid w:val="00E563C6"/>
    <w:rsid w:val="00E567FD"/>
    <w:rsid w:val="00E57866"/>
    <w:rsid w:val="00E6674E"/>
    <w:rsid w:val="00E8395F"/>
    <w:rsid w:val="00E96143"/>
    <w:rsid w:val="00EA1A6E"/>
    <w:rsid w:val="00EB05A8"/>
    <w:rsid w:val="00EB3BFB"/>
    <w:rsid w:val="00EB4D0F"/>
    <w:rsid w:val="00EB7F6A"/>
    <w:rsid w:val="00EC291F"/>
    <w:rsid w:val="00EC3620"/>
    <w:rsid w:val="00EC4F59"/>
    <w:rsid w:val="00ED685C"/>
    <w:rsid w:val="00ED6AF9"/>
    <w:rsid w:val="00EE3AE2"/>
    <w:rsid w:val="00EF07B9"/>
    <w:rsid w:val="00EF3E43"/>
    <w:rsid w:val="00EF4D0C"/>
    <w:rsid w:val="00F01A46"/>
    <w:rsid w:val="00F122DA"/>
    <w:rsid w:val="00F14C1A"/>
    <w:rsid w:val="00F15D94"/>
    <w:rsid w:val="00F345BD"/>
    <w:rsid w:val="00F502D4"/>
    <w:rsid w:val="00F52AB9"/>
    <w:rsid w:val="00F55C5D"/>
    <w:rsid w:val="00F568C5"/>
    <w:rsid w:val="00F56C14"/>
    <w:rsid w:val="00F65C8F"/>
    <w:rsid w:val="00F66F23"/>
    <w:rsid w:val="00F678DD"/>
    <w:rsid w:val="00F719B3"/>
    <w:rsid w:val="00F809DF"/>
    <w:rsid w:val="00F813C1"/>
    <w:rsid w:val="00F82674"/>
    <w:rsid w:val="00F93919"/>
    <w:rsid w:val="00F968AA"/>
    <w:rsid w:val="00F97E2C"/>
    <w:rsid w:val="00FA7377"/>
    <w:rsid w:val="00FB3E2A"/>
    <w:rsid w:val="00FD5AC5"/>
    <w:rsid w:val="00FE5BB3"/>
    <w:rsid w:val="00FE6070"/>
    <w:rsid w:val="011E30CB"/>
    <w:rsid w:val="0154C999"/>
    <w:rsid w:val="015DE7CE"/>
    <w:rsid w:val="0187E361"/>
    <w:rsid w:val="020E541C"/>
    <w:rsid w:val="031FCE21"/>
    <w:rsid w:val="03311A21"/>
    <w:rsid w:val="03659734"/>
    <w:rsid w:val="03660AC5"/>
    <w:rsid w:val="03B65C8E"/>
    <w:rsid w:val="03E26092"/>
    <w:rsid w:val="043ADFA6"/>
    <w:rsid w:val="04870FFD"/>
    <w:rsid w:val="04D0CC49"/>
    <w:rsid w:val="0552667E"/>
    <w:rsid w:val="06DFCFA2"/>
    <w:rsid w:val="0778E278"/>
    <w:rsid w:val="09BD5C94"/>
    <w:rsid w:val="09C8B44A"/>
    <w:rsid w:val="09FBADB9"/>
    <w:rsid w:val="0A90DA81"/>
    <w:rsid w:val="0A9B2F84"/>
    <w:rsid w:val="0ABE7203"/>
    <w:rsid w:val="0B0679F5"/>
    <w:rsid w:val="0B1D0305"/>
    <w:rsid w:val="0B905ED0"/>
    <w:rsid w:val="0BC7AD7B"/>
    <w:rsid w:val="0BC7FFDC"/>
    <w:rsid w:val="0CC27AC6"/>
    <w:rsid w:val="0CC6491C"/>
    <w:rsid w:val="0D0896ED"/>
    <w:rsid w:val="0DB3EE0D"/>
    <w:rsid w:val="0DD57627"/>
    <w:rsid w:val="0E280AEC"/>
    <w:rsid w:val="0E3501E3"/>
    <w:rsid w:val="0F4801B7"/>
    <w:rsid w:val="0F9D4A8C"/>
    <w:rsid w:val="1011A197"/>
    <w:rsid w:val="101D1A3C"/>
    <w:rsid w:val="1051A058"/>
    <w:rsid w:val="10C79CBF"/>
    <w:rsid w:val="11926AAC"/>
    <w:rsid w:val="11CC537B"/>
    <w:rsid w:val="12235F94"/>
    <w:rsid w:val="1314310E"/>
    <w:rsid w:val="13A55A7D"/>
    <w:rsid w:val="13BF4AAC"/>
    <w:rsid w:val="14636FD8"/>
    <w:rsid w:val="148016B8"/>
    <w:rsid w:val="148C2C90"/>
    <w:rsid w:val="14C1E17A"/>
    <w:rsid w:val="156BFAF3"/>
    <w:rsid w:val="158C3D58"/>
    <w:rsid w:val="15A84F7A"/>
    <w:rsid w:val="15ABA772"/>
    <w:rsid w:val="16897602"/>
    <w:rsid w:val="16E5EAAA"/>
    <w:rsid w:val="1775AE86"/>
    <w:rsid w:val="17B0F8E4"/>
    <w:rsid w:val="17D3B85D"/>
    <w:rsid w:val="180CF7D2"/>
    <w:rsid w:val="18271763"/>
    <w:rsid w:val="18AC4FE8"/>
    <w:rsid w:val="1997B223"/>
    <w:rsid w:val="19FCB4A2"/>
    <w:rsid w:val="1AA76D20"/>
    <w:rsid w:val="1B5E1B81"/>
    <w:rsid w:val="1D960165"/>
    <w:rsid w:val="1E7E7750"/>
    <w:rsid w:val="1F17DE83"/>
    <w:rsid w:val="1F213400"/>
    <w:rsid w:val="1F269911"/>
    <w:rsid w:val="1FA28459"/>
    <w:rsid w:val="20716D2A"/>
    <w:rsid w:val="21738E3E"/>
    <w:rsid w:val="2174ACFB"/>
    <w:rsid w:val="2197539F"/>
    <w:rsid w:val="2392EA97"/>
    <w:rsid w:val="23C9AC38"/>
    <w:rsid w:val="24ECCE91"/>
    <w:rsid w:val="2502DE4B"/>
    <w:rsid w:val="260E48BD"/>
    <w:rsid w:val="261ADFDC"/>
    <w:rsid w:val="275086FA"/>
    <w:rsid w:val="277C0535"/>
    <w:rsid w:val="27D87EDC"/>
    <w:rsid w:val="285784E5"/>
    <w:rsid w:val="2A74A031"/>
    <w:rsid w:val="2B258955"/>
    <w:rsid w:val="2B6ED3EB"/>
    <w:rsid w:val="2BA0DEE4"/>
    <w:rsid w:val="2BA30335"/>
    <w:rsid w:val="2C39767E"/>
    <w:rsid w:val="2C593009"/>
    <w:rsid w:val="2CD2AA9F"/>
    <w:rsid w:val="2DEB0093"/>
    <w:rsid w:val="2E77C129"/>
    <w:rsid w:val="2EF3AFAE"/>
    <w:rsid w:val="2FC2D93F"/>
    <w:rsid w:val="2FDE0971"/>
    <w:rsid w:val="308E8A95"/>
    <w:rsid w:val="31C55AC4"/>
    <w:rsid w:val="31CD4C4E"/>
    <w:rsid w:val="33596860"/>
    <w:rsid w:val="335D917B"/>
    <w:rsid w:val="33BBC9FB"/>
    <w:rsid w:val="341CFFB9"/>
    <w:rsid w:val="349838CE"/>
    <w:rsid w:val="34B922B5"/>
    <w:rsid w:val="358BBE3F"/>
    <w:rsid w:val="37E55D8F"/>
    <w:rsid w:val="388EC12B"/>
    <w:rsid w:val="394407C8"/>
    <w:rsid w:val="3950B30B"/>
    <w:rsid w:val="3AABFF84"/>
    <w:rsid w:val="3AF36BC8"/>
    <w:rsid w:val="3AF7377D"/>
    <w:rsid w:val="3B7207A2"/>
    <w:rsid w:val="3CA33F98"/>
    <w:rsid w:val="3CB9A648"/>
    <w:rsid w:val="3D20636F"/>
    <w:rsid w:val="3E3A6F20"/>
    <w:rsid w:val="3F532C99"/>
    <w:rsid w:val="3FA94BB7"/>
    <w:rsid w:val="404F8EB9"/>
    <w:rsid w:val="4098DB0E"/>
    <w:rsid w:val="4133FFA6"/>
    <w:rsid w:val="41409EBC"/>
    <w:rsid w:val="4150D1E1"/>
    <w:rsid w:val="41F4A3E0"/>
    <w:rsid w:val="426DBE80"/>
    <w:rsid w:val="429D221C"/>
    <w:rsid w:val="42C79CDE"/>
    <w:rsid w:val="4381D52E"/>
    <w:rsid w:val="43E491B7"/>
    <w:rsid w:val="443DD143"/>
    <w:rsid w:val="446FDDBA"/>
    <w:rsid w:val="44B03912"/>
    <w:rsid w:val="44B7A1F2"/>
    <w:rsid w:val="44C6B86A"/>
    <w:rsid w:val="45650EEF"/>
    <w:rsid w:val="46024329"/>
    <w:rsid w:val="46EAFC08"/>
    <w:rsid w:val="47550D8E"/>
    <w:rsid w:val="4814C561"/>
    <w:rsid w:val="48B313CB"/>
    <w:rsid w:val="48CF0D1E"/>
    <w:rsid w:val="49957F2B"/>
    <w:rsid w:val="4A9866E6"/>
    <w:rsid w:val="4AA952A2"/>
    <w:rsid w:val="4AB75D32"/>
    <w:rsid w:val="4B8A7321"/>
    <w:rsid w:val="4BDA4DB5"/>
    <w:rsid w:val="4C06F7A0"/>
    <w:rsid w:val="4C3641D6"/>
    <w:rsid w:val="4CDDBE60"/>
    <w:rsid w:val="4D4E72B8"/>
    <w:rsid w:val="4ECBE03C"/>
    <w:rsid w:val="4EE556EE"/>
    <w:rsid w:val="50E155F4"/>
    <w:rsid w:val="516C47E8"/>
    <w:rsid w:val="5205A592"/>
    <w:rsid w:val="527DABBF"/>
    <w:rsid w:val="528BE6BF"/>
    <w:rsid w:val="538429F5"/>
    <w:rsid w:val="53B831A2"/>
    <w:rsid w:val="54A6912C"/>
    <w:rsid w:val="54DA45A4"/>
    <w:rsid w:val="567604D9"/>
    <w:rsid w:val="57413C2C"/>
    <w:rsid w:val="587F012A"/>
    <w:rsid w:val="58C72189"/>
    <w:rsid w:val="58FE421F"/>
    <w:rsid w:val="5965DDB3"/>
    <w:rsid w:val="5A07B036"/>
    <w:rsid w:val="5AF3D950"/>
    <w:rsid w:val="5B1596C3"/>
    <w:rsid w:val="5B501D85"/>
    <w:rsid w:val="5BB2142A"/>
    <w:rsid w:val="5BCC5ACC"/>
    <w:rsid w:val="5BCD8DD9"/>
    <w:rsid w:val="5C0FF512"/>
    <w:rsid w:val="5C9EFBFA"/>
    <w:rsid w:val="5D0F60F4"/>
    <w:rsid w:val="5D5FF6A1"/>
    <w:rsid w:val="5FE8EC6B"/>
    <w:rsid w:val="60B38569"/>
    <w:rsid w:val="60C4A112"/>
    <w:rsid w:val="6156D8B4"/>
    <w:rsid w:val="62BE4E81"/>
    <w:rsid w:val="62EBB18C"/>
    <w:rsid w:val="63DF0862"/>
    <w:rsid w:val="65E0596B"/>
    <w:rsid w:val="66186AA6"/>
    <w:rsid w:val="662FECA8"/>
    <w:rsid w:val="676C1DE5"/>
    <w:rsid w:val="68BF4D01"/>
    <w:rsid w:val="699041F9"/>
    <w:rsid w:val="6A8E2004"/>
    <w:rsid w:val="6B4D6300"/>
    <w:rsid w:val="6CE11C0F"/>
    <w:rsid w:val="6E390150"/>
    <w:rsid w:val="6E89C032"/>
    <w:rsid w:val="6EDEDD4D"/>
    <w:rsid w:val="6EF6B9B8"/>
    <w:rsid w:val="6F944950"/>
    <w:rsid w:val="6FCAF1B8"/>
    <w:rsid w:val="7109241F"/>
    <w:rsid w:val="710CC3A8"/>
    <w:rsid w:val="716DA6F7"/>
    <w:rsid w:val="73789641"/>
    <w:rsid w:val="73BFCB40"/>
    <w:rsid w:val="73EE4DE5"/>
    <w:rsid w:val="740D8778"/>
    <w:rsid w:val="75930263"/>
    <w:rsid w:val="7618D27C"/>
    <w:rsid w:val="78B4E22F"/>
    <w:rsid w:val="7A7BE4F1"/>
    <w:rsid w:val="7A96D59F"/>
    <w:rsid w:val="7C334AE0"/>
    <w:rsid w:val="7D9E1CB1"/>
    <w:rsid w:val="7DB04873"/>
    <w:rsid w:val="7DD06202"/>
    <w:rsid w:val="7DF672F2"/>
    <w:rsid w:val="7DF8739F"/>
    <w:rsid w:val="7E68965A"/>
    <w:rsid w:val="7F708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BC39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3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8D3"/>
    <w:pPr>
      <w:ind w:left="720"/>
      <w:contextualSpacing/>
    </w:pPr>
  </w:style>
  <w:style w:type="paragraph" w:styleId="Footer">
    <w:name w:val="footer"/>
    <w:basedOn w:val="Normal"/>
    <w:link w:val="FooterChar"/>
    <w:uiPriority w:val="99"/>
    <w:unhideWhenUsed/>
    <w:rsid w:val="00F82674"/>
    <w:pPr>
      <w:tabs>
        <w:tab w:val="center" w:pos="4513"/>
        <w:tab w:val="right" w:pos="9026"/>
      </w:tabs>
    </w:pPr>
  </w:style>
  <w:style w:type="character" w:customStyle="1" w:styleId="FooterChar">
    <w:name w:val="Footer Char"/>
    <w:basedOn w:val="DefaultParagraphFont"/>
    <w:link w:val="Footer"/>
    <w:uiPriority w:val="99"/>
    <w:rsid w:val="00F82674"/>
  </w:style>
  <w:style w:type="character" w:styleId="PageNumber">
    <w:name w:val="page number"/>
    <w:basedOn w:val="DefaultParagraphFont"/>
    <w:uiPriority w:val="99"/>
    <w:semiHidden/>
    <w:unhideWhenUsed/>
    <w:rsid w:val="00F82674"/>
  </w:style>
  <w:style w:type="paragraph" w:styleId="BalloonText">
    <w:name w:val="Balloon Text"/>
    <w:basedOn w:val="Normal"/>
    <w:link w:val="BalloonTextChar"/>
    <w:uiPriority w:val="99"/>
    <w:semiHidden/>
    <w:unhideWhenUsed/>
    <w:rsid w:val="00B53B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3B8A"/>
    <w:rPr>
      <w:rFonts w:ascii="Times New Roman" w:hAnsi="Times New Roman" w:cs="Times New Roman"/>
      <w:sz w:val="18"/>
      <w:szCs w:val="18"/>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unhideWhenUsed/>
    <w:rsid w:val="00745CD4"/>
  </w:style>
  <w:style w:type="character" w:customStyle="1" w:styleId="FootnoteTextChar">
    <w:name w:val="Footnote Text Char"/>
    <w:basedOn w:val="DefaultParagraphFont"/>
    <w:link w:val="FootnoteText"/>
    <w:uiPriority w:val="99"/>
    <w:rsid w:val="00745CD4"/>
  </w:style>
  <w:style w:type="character" w:styleId="FootnoteReference">
    <w:name w:val="footnote reference"/>
    <w:basedOn w:val="DefaultParagraphFont"/>
    <w:uiPriority w:val="99"/>
    <w:unhideWhenUsed/>
    <w:rsid w:val="00745CD4"/>
    <w:rPr>
      <w:vertAlign w:val="superscript"/>
    </w:rPr>
  </w:style>
  <w:style w:type="paragraph" w:styleId="NormalWeb">
    <w:name w:val="Normal (Web)"/>
    <w:basedOn w:val="Normal"/>
    <w:uiPriority w:val="99"/>
    <w:unhideWhenUsed/>
    <w:rsid w:val="00600257"/>
    <w:pPr>
      <w:spacing w:before="100" w:beforeAutospacing="1" w:after="100" w:afterAutospacing="1"/>
    </w:pPr>
    <w:rPr>
      <w:rFonts w:ascii="Times New Roman" w:hAnsi="Times New Roman" w:cs="Times New Roman"/>
    </w:rPr>
  </w:style>
  <w:style w:type="paragraph" w:styleId="EndnoteText">
    <w:name w:val="endnote text"/>
    <w:basedOn w:val="Normal"/>
    <w:link w:val="EndnoteTextChar"/>
    <w:uiPriority w:val="99"/>
    <w:unhideWhenUsed/>
    <w:rsid w:val="0034084C"/>
  </w:style>
  <w:style w:type="character" w:customStyle="1" w:styleId="EndnoteTextChar">
    <w:name w:val="Endnote Text Char"/>
    <w:basedOn w:val="DefaultParagraphFont"/>
    <w:link w:val="EndnoteText"/>
    <w:uiPriority w:val="99"/>
    <w:rsid w:val="0034084C"/>
  </w:style>
  <w:style w:type="character" w:styleId="EndnoteReference">
    <w:name w:val="endnote reference"/>
    <w:basedOn w:val="DefaultParagraphFont"/>
    <w:uiPriority w:val="99"/>
    <w:unhideWhenUsed/>
    <w:rsid w:val="0034084C"/>
    <w:rPr>
      <w:vertAlign w:val="superscript"/>
    </w:rPr>
  </w:style>
  <w:style w:type="character" w:customStyle="1" w:styleId="apple-converted-space">
    <w:name w:val="apple-converted-space"/>
    <w:basedOn w:val="DefaultParagraphFont"/>
    <w:rsid w:val="001912D3"/>
  </w:style>
  <w:style w:type="character" w:styleId="Emphasis">
    <w:name w:val="Emphasis"/>
    <w:basedOn w:val="DefaultParagraphFont"/>
    <w:uiPriority w:val="20"/>
    <w:qFormat/>
    <w:rsid w:val="001912D3"/>
    <w:rPr>
      <w:i/>
      <w:iC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sid w:val="00225D4A"/>
    <w:rPr>
      <w:b/>
      <w:bCs/>
      <w:sz w:val="20"/>
      <w:szCs w:val="20"/>
    </w:rPr>
  </w:style>
  <w:style w:type="character" w:customStyle="1" w:styleId="CommentSubjectChar">
    <w:name w:val="Comment Subject Char"/>
    <w:basedOn w:val="CommentTextChar"/>
    <w:link w:val="CommentSubject"/>
    <w:uiPriority w:val="99"/>
    <w:semiHidden/>
    <w:rsid w:val="00225D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03280">
      <w:bodyDiv w:val="1"/>
      <w:marLeft w:val="0"/>
      <w:marRight w:val="0"/>
      <w:marTop w:val="0"/>
      <w:marBottom w:val="0"/>
      <w:divBdr>
        <w:top w:val="none" w:sz="0" w:space="0" w:color="auto"/>
        <w:left w:val="none" w:sz="0" w:space="0" w:color="auto"/>
        <w:bottom w:val="none" w:sz="0" w:space="0" w:color="auto"/>
        <w:right w:val="none" w:sz="0" w:space="0" w:color="auto"/>
      </w:divBdr>
      <w:divsChild>
        <w:div w:id="1944265494">
          <w:marLeft w:val="0"/>
          <w:marRight w:val="0"/>
          <w:marTop w:val="0"/>
          <w:marBottom w:val="0"/>
          <w:divBdr>
            <w:top w:val="none" w:sz="0" w:space="0" w:color="auto"/>
            <w:left w:val="none" w:sz="0" w:space="0" w:color="auto"/>
            <w:bottom w:val="none" w:sz="0" w:space="0" w:color="auto"/>
            <w:right w:val="none" w:sz="0" w:space="0" w:color="auto"/>
          </w:divBdr>
          <w:divsChild>
            <w:div w:id="1295600148">
              <w:marLeft w:val="0"/>
              <w:marRight w:val="0"/>
              <w:marTop w:val="0"/>
              <w:marBottom w:val="0"/>
              <w:divBdr>
                <w:top w:val="none" w:sz="0" w:space="0" w:color="auto"/>
                <w:left w:val="none" w:sz="0" w:space="0" w:color="auto"/>
                <w:bottom w:val="none" w:sz="0" w:space="0" w:color="auto"/>
                <w:right w:val="none" w:sz="0" w:space="0" w:color="auto"/>
              </w:divBdr>
              <w:divsChild>
                <w:div w:id="5186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55402">
      <w:bodyDiv w:val="1"/>
      <w:marLeft w:val="0"/>
      <w:marRight w:val="0"/>
      <w:marTop w:val="0"/>
      <w:marBottom w:val="0"/>
      <w:divBdr>
        <w:top w:val="none" w:sz="0" w:space="0" w:color="auto"/>
        <w:left w:val="none" w:sz="0" w:space="0" w:color="auto"/>
        <w:bottom w:val="none" w:sz="0" w:space="0" w:color="auto"/>
        <w:right w:val="none" w:sz="0" w:space="0" w:color="auto"/>
      </w:divBdr>
    </w:div>
    <w:div w:id="967246866">
      <w:bodyDiv w:val="1"/>
      <w:marLeft w:val="0"/>
      <w:marRight w:val="0"/>
      <w:marTop w:val="0"/>
      <w:marBottom w:val="0"/>
      <w:divBdr>
        <w:top w:val="none" w:sz="0" w:space="0" w:color="auto"/>
        <w:left w:val="none" w:sz="0" w:space="0" w:color="auto"/>
        <w:bottom w:val="none" w:sz="0" w:space="0" w:color="auto"/>
        <w:right w:val="none" w:sz="0" w:space="0" w:color="auto"/>
      </w:divBdr>
      <w:divsChild>
        <w:div w:id="781848543">
          <w:marLeft w:val="0"/>
          <w:marRight w:val="0"/>
          <w:marTop w:val="0"/>
          <w:marBottom w:val="0"/>
          <w:divBdr>
            <w:top w:val="none" w:sz="0" w:space="0" w:color="auto"/>
            <w:left w:val="none" w:sz="0" w:space="0" w:color="auto"/>
            <w:bottom w:val="none" w:sz="0" w:space="0" w:color="auto"/>
            <w:right w:val="none" w:sz="0" w:space="0" w:color="auto"/>
          </w:divBdr>
        </w:div>
        <w:div w:id="1491557752">
          <w:marLeft w:val="0"/>
          <w:marRight w:val="0"/>
          <w:marTop w:val="0"/>
          <w:marBottom w:val="0"/>
          <w:divBdr>
            <w:top w:val="none" w:sz="0" w:space="0" w:color="auto"/>
            <w:left w:val="none" w:sz="0" w:space="0" w:color="auto"/>
            <w:bottom w:val="none" w:sz="0" w:space="0" w:color="auto"/>
            <w:right w:val="none" w:sz="0" w:space="0" w:color="auto"/>
          </w:divBdr>
        </w:div>
        <w:div w:id="1913586347">
          <w:marLeft w:val="0"/>
          <w:marRight w:val="0"/>
          <w:marTop w:val="0"/>
          <w:marBottom w:val="0"/>
          <w:divBdr>
            <w:top w:val="none" w:sz="0" w:space="0" w:color="auto"/>
            <w:left w:val="none" w:sz="0" w:space="0" w:color="auto"/>
            <w:bottom w:val="none" w:sz="0" w:space="0" w:color="auto"/>
            <w:right w:val="none" w:sz="0" w:space="0" w:color="auto"/>
          </w:divBdr>
        </w:div>
        <w:div w:id="1949002962">
          <w:marLeft w:val="0"/>
          <w:marRight w:val="0"/>
          <w:marTop w:val="0"/>
          <w:marBottom w:val="0"/>
          <w:divBdr>
            <w:top w:val="none" w:sz="0" w:space="0" w:color="auto"/>
            <w:left w:val="none" w:sz="0" w:space="0" w:color="auto"/>
            <w:bottom w:val="none" w:sz="0" w:space="0" w:color="auto"/>
            <w:right w:val="none" w:sz="0" w:space="0" w:color="auto"/>
          </w:divBdr>
        </w:div>
        <w:div w:id="1644776477">
          <w:marLeft w:val="0"/>
          <w:marRight w:val="0"/>
          <w:marTop w:val="0"/>
          <w:marBottom w:val="0"/>
          <w:divBdr>
            <w:top w:val="none" w:sz="0" w:space="0" w:color="auto"/>
            <w:left w:val="none" w:sz="0" w:space="0" w:color="auto"/>
            <w:bottom w:val="none" w:sz="0" w:space="0" w:color="auto"/>
            <w:right w:val="none" w:sz="0" w:space="0" w:color="auto"/>
          </w:divBdr>
        </w:div>
        <w:div w:id="563568775">
          <w:marLeft w:val="0"/>
          <w:marRight w:val="0"/>
          <w:marTop w:val="0"/>
          <w:marBottom w:val="0"/>
          <w:divBdr>
            <w:top w:val="none" w:sz="0" w:space="0" w:color="auto"/>
            <w:left w:val="none" w:sz="0" w:space="0" w:color="auto"/>
            <w:bottom w:val="none" w:sz="0" w:space="0" w:color="auto"/>
            <w:right w:val="none" w:sz="0" w:space="0" w:color="auto"/>
          </w:divBdr>
        </w:div>
      </w:divsChild>
    </w:div>
    <w:div w:id="1469737272">
      <w:bodyDiv w:val="1"/>
      <w:marLeft w:val="0"/>
      <w:marRight w:val="0"/>
      <w:marTop w:val="0"/>
      <w:marBottom w:val="0"/>
      <w:divBdr>
        <w:top w:val="none" w:sz="0" w:space="0" w:color="auto"/>
        <w:left w:val="none" w:sz="0" w:space="0" w:color="auto"/>
        <w:bottom w:val="none" w:sz="0" w:space="0" w:color="auto"/>
        <w:right w:val="none" w:sz="0" w:space="0" w:color="auto"/>
      </w:divBdr>
      <w:divsChild>
        <w:div w:id="124785424">
          <w:marLeft w:val="0"/>
          <w:marRight w:val="0"/>
          <w:marTop w:val="0"/>
          <w:marBottom w:val="0"/>
          <w:divBdr>
            <w:top w:val="none" w:sz="0" w:space="0" w:color="auto"/>
            <w:left w:val="none" w:sz="0" w:space="0" w:color="auto"/>
            <w:bottom w:val="none" w:sz="0" w:space="0" w:color="auto"/>
            <w:right w:val="none" w:sz="0" w:space="0" w:color="auto"/>
          </w:divBdr>
          <w:divsChild>
            <w:div w:id="141167393">
              <w:marLeft w:val="0"/>
              <w:marRight w:val="0"/>
              <w:marTop w:val="0"/>
              <w:marBottom w:val="0"/>
              <w:divBdr>
                <w:top w:val="none" w:sz="0" w:space="0" w:color="auto"/>
                <w:left w:val="none" w:sz="0" w:space="0" w:color="auto"/>
                <w:bottom w:val="none" w:sz="0" w:space="0" w:color="auto"/>
                <w:right w:val="none" w:sz="0" w:space="0" w:color="auto"/>
              </w:divBdr>
              <w:divsChild>
                <w:div w:id="497382855">
                  <w:marLeft w:val="0"/>
                  <w:marRight w:val="0"/>
                  <w:marTop w:val="0"/>
                  <w:marBottom w:val="0"/>
                  <w:divBdr>
                    <w:top w:val="none" w:sz="0" w:space="0" w:color="auto"/>
                    <w:left w:val="none" w:sz="0" w:space="0" w:color="auto"/>
                    <w:bottom w:val="none" w:sz="0" w:space="0" w:color="auto"/>
                    <w:right w:val="none" w:sz="0" w:space="0" w:color="auto"/>
                  </w:divBdr>
                  <w:divsChild>
                    <w:div w:id="792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M.Laing@bristol.ac.uk" TargetMode="External"/><Relationship Id="rId9" Type="http://schemas.openxmlformats.org/officeDocument/2006/relationships/hyperlink" Target="http://www.mentalhealthlaw.co.uk/Mental_Health_(Hospital,_Guardianship_and_Treatment)_(England)_Regulations_2008" TargetMode="External"/><Relationship Id="rId10" Type="http://schemas.openxmlformats.org/officeDocument/2006/relationships/hyperlink" Target="https://www.gov.uk/government/uploads/system/uploads/attachment_data/file/213804/dh_122393.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nsultations/carers-strategy-call-for-evidence" TargetMode="External"/><Relationship Id="rId2" Type="http://schemas.openxmlformats.org/officeDocument/2006/relationships/hyperlink" Target="https://www.gov.uk/government/speeches/queens-speech-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92FF-26C4-B746-B552-DEBE8E70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32</Pages>
  <Words>10278</Words>
  <Characters>58585</Characters>
  <Application>Microsoft Macintosh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68726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rugby is the best laddle</cp:lastModifiedBy>
  <cp:revision>111</cp:revision>
  <cp:lastPrinted>2017-09-21T16:12:00Z</cp:lastPrinted>
  <dcterms:created xsi:type="dcterms:W3CDTF">2017-09-21T16:00:00Z</dcterms:created>
  <dcterms:modified xsi:type="dcterms:W3CDTF">2017-09-22T11:57:00Z</dcterms:modified>
</cp:coreProperties>
</file>