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6A2" w:rsidRPr="00E70536" w:rsidRDefault="002B3F87" w:rsidP="000156A2">
      <w:pPr>
        <w:jc w:val="both"/>
        <w:outlineLvl w:val="0"/>
        <w:rPr>
          <w:b/>
          <w:sz w:val="18"/>
        </w:rPr>
      </w:pPr>
      <w:r w:rsidRPr="00E70536">
        <w:rPr>
          <w:rFonts w:eastAsiaTheme="minorHAnsi"/>
          <w:b/>
          <w:lang w:eastAsia="en-US"/>
        </w:rPr>
        <w:t xml:space="preserve">Table </w:t>
      </w:r>
      <w:r w:rsidR="00E70536" w:rsidRPr="00E70536">
        <w:rPr>
          <w:rFonts w:eastAsiaTheme="minorHAnsi"/>
          <w:b/>
          <w:lang w:eastAsia="en-US"/>
        </w:rPr>
        <w:t>4</w:t>
      </w:r>
      <w:r w:rsidR="000156A2" w:rsidRPr="00E70536">
        <w:rPr>
          <w:rFonts w:eastAsiaTheme="minorHAnsi"/>
          <w:b/>
          <w:lang w:eastAsia="en-US"/>
        </w:rPr>
        <w:t xml:space="preserve">: Pearson coefficients </w:t>
      </w:r>
      <w:r w:rsidR="00E41A4B" w:rsidRPr="00E70536">
        <w:rPr>
          <w:rFonts w:eastAsiaTheme="minorHAnsi"/>
          <w:b/>
          <w:lang w:eastAsia="en-US"/>
        </w:rPr>
        <w:t xml:space="preserve">and p-values </w:t>
      </w:r>
      <w:r w:rsidR="000156A2" w:rsidRPr="00E70536">
        <w:rPr>
          <w:rFonts w:eastAsiaTheme="minorHAnsi"/>
          <w:b/>
          <w:lang w:eastAsia="en-US"/>
        </w:rPr>
        <w:t>of</w:t>
      </w:r>
      <w:r w:rsidR="00E41A4B" w:rsidRPr="00E70536">
        <w:rPr>
          <w:rFonts w:eastAsiaTheme="minorHAnsi"/>
          <w:b/>
          <w:lang w:eastAsia="en-US"/>
        </w:rPr>
        <w:t xml:space="preserve"> partial correlations analyses between the clinical characteristics and the Total score of the sensory disturbances questionnaire during Incongruent Visual feedback condition. </w:t>
      </w:r>
      <w:bookmarkStart w:id="0" w:name="_GoBack"/>
      <w:bookmarkEnd w:id="0"/>
    </w:p>
    <w:p w:rsidR="000156A2" w:rsidRPr="00BE09F7" w:rsidRDefault="000156A2" w:rsidP="000156A2">
      <w:pPr>
        <w:jc w:val="both"/>
        <w:rPr>
          <w:sz w:val="1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5"/>
        <w:gridCol w:w="1647"/>
        <w:gridCol w:w="1645"/>
        <w:gridCol w:w="1661"/>
        <w:gridCol w:w="1572"/>
      </w:tblGrid>
      <w:tr w:rsidR="005109B4" w:rsidTr="005109B4">
        <w:tc>
          <w:tcPr>
            <w:tcW w:w="2115" w:type="dxa"/>
            <w:tcBorders>
              <w:top w:val="single" w:sz="12" w:space="0" w:color="auto"/>
              <w:bottom w:val="single" w:sz="12" w:space="0" w:color="auto"/>
            </w:tcBorders>
          </w:tcPr>
          <w:p w:rsidR="005109B4" w:rsidRDefault="005109B4" w:rsidP="000F466E">
            <w:pPr>
              <w:spacing w:line="360" w:lineRule="auto"/>
              <w:jc w:val="both"/>
            </w:pPr>
          </w:p>
        </w:tc>
        <w:tc>
          <w:tcPr>
            <w:tcW w:w="1647" w:type="dxa"/>
            <w:tcBorders>
              <w:top w:val="single" w:sz="12" w:space="0" w:color="auto"/>
              <w:bottom w:val="single" w:sz="12" w:space="0" w:color="auto"/>
            </w:tcBorders>
          </w:tcPr>
          <w:p w:rsidR="005109B4" w:rsidRDefault="005109B4" w:rsidP="000F466E">
            <w:pPr>
              <w:spacing w:line="360" w:lineRule="auto"/>
              <w:jc w:val="both"/>
            </w:pPr>
            <w:r>
              <w:t>CRPS</w:t>
            </w:r>
          </w:p>
        </w:tc>
        <w:tc>
          <w:tcPr>
            <w:tcW w:w="1645" w:type="dxa"/>
            <w:tcBorders>
              <w:top w:val="single" w:sz="12" w:space="0" w:color="auto"/>
              <w:bottom w:val="single" w:sz="12" w:space="0" w:color="auto"/>
            </w:tcBorders>
          </w:tcPr>
          <w:p w:rsidR="005109B4" w:rsidRDefault="005109B4" w:rsidP="000F466E">
            <w:pPr>
              <w:spacing w:line="360" w:lineRule="auto"/>
              <w:jc w:val="both"/>
            </w:pPr>
            <w:r>
              <w:t>FM</w:t>
            </w:r>
          </w:p>
        </w:tc>
        <w:tc>
          <w:tcPr>
            <w:tcW w:w="1661" w:type="dxa"/>
            <w:tcBorders>
              <w:top w:val="single" w:sz="12" w:space="0" w:color="auto"/>
              <w:bottom w:val="single" w:sz="12" w:space="0" w:color="auto"/>
            </w:tcBorders>
          </w:tcPr>
          <w:p w:rsidR="005109B4" w:rsidRDefault="005109B4" w:rsidP="000F466E">
            <w:pPr>
              <w:spacing w:line="360" w:lineRule="auto"/>
              <w:jc w:val="both"/>
            </w:pPr>
            <w:r>
              <w:t>Arthritis</w:t>
            </w:r>
          </w:p>
        </w:tc>
        <w:tc>
          <w:tcPr>
            <w:tcW w:w="1572" w:type="dxa"/>
            <w:tcBorders>
              <w:top w:val="single" w:sz="12" w:space="0" w:color="auto"/>
              <w:bottom w:val="single" w:sz="12" w:space="0" w:color="auto"/>
            </w:tcBorders>
          </w:tcPr>
          <w:p w:rsidR="005109B4" w:rsidRDefault="005109B4" w:rsidP="000F466E">
            <w:pPr>
              <w:spacing w:line="360" w:lineRule="auto"/>
              <w:jc w:val="both"/>
            </w:pPr>
            <w:r>
              <w:t>HV</w:t>
            </w:r>
          </w:p>
        </w:tc>
      </w:tr>
      <w:tr w:rsidR="005109B4" w:rsidTr="005109B4">
        <w:tc>
          <w:tcPr>
            <w:tcW w:w="2115" w:type="dxa"/>
          </w:tcPr>
          <w:p w:rsidR="005109B4" w:rsidRDefault="005109B4" w:rsidP="005109B4">
            <w:pPr>
              <w:spacing w:after="240"/>
              <w:jc w:val="both"/>
            </w:pPr>
            <w:r>
              <w:t>HADS-Depression</w:t>
            </w:r>
          </w:p>
        </w:tc>
        <w:tc>
          <w:tcPr>
            <w:tcW w:w="1647" w:type="dxa"/>
          </w:tcPr>
          <w:p w:rsidR="005109B4" w:rsidRDefault="005109B4" w:rsidP="005109B4">
            <w:pPr>
              <w:jc w:val="both"/>
            </w:pPr>
            <w:r>
              <w:t>r=0.28</w:t>
            </w:r>
          </w:p>
          <w:p w:rsidR="005109B4" w:rsidRDefault="005109B4" w:rsidP="005109B4">
            <w:pPr>
              <w:spacing w:after="240"/>
              <w:jc w:val="both"/>
            </w:pPr>
            <w:r>
              <w:t>p=0.10</w:t>
            </w:r>
          </w:p>
        </w:tc>
        <w:tc>
          <w:tcPr>
            <w:tcW w:w="1645" w:type="dxa"/>
          </w:tcPr>
          <w:p w:rsidR="005109B4" w:rsidRDefault="005109B4" w:rsidP="005109B4">
            <w:pPr>
              <w:jc w:val="both"/>
            </w:pPr>
            <w:r>
              <w:t>r=0.01</w:t>
            </w:r>
          </w:p>
          <w:p w:rsidR="005109B4" w:rsidRDefault="005109B4" w:rsidP="005109B4">
            <w:pPr>
              <w:spacing w:after="240"/>
              <w:jc w:val="both"/>
            </w:pPr>
            <w:r>
              <w:t>p=0.99</w:t>
            </w:r>
          </w:p>
        </w:tc>
        <w:tc>
          <w:tcPr>
            <w:tcW w:w="1661" w:type="dxa"/>
          </w:tcPr>
          <w:p w:rsidR="005109B4" w:rsidRDefault="005109B4" w:rsidP="005109B4">
            <w:pPr>
              <w:jc w:val="both"/>
            </w:pPr>
            <w:r>
              <w:t>r=0.27</w:t>
            </w:r>
          </w:p>
          <w:p w:rsidR="005109B4" w:rsidRDefault="005109B4" w:rsidP="005109B4">
            <w:pPr>
              <w:spacing w:after="240"/>
              <w:jc w:val="both"/>
            </w:pPr>
            <w:r>
              <w:t>p=0.14</w:t>
            </w:r>
          </w:p>
        </w:tc>
        <w:tc>
          <w:tcPr>
            <w:tcW w:w="1572" w:type="dxa"/>
          </w:tcPr>
          <w:p w:rsidR="005109B4" w:rsidRDefault="005109B4" w:rsidP="005109B4">
            <w:pPr>
              <w:jc w:val="both"/>
            </w:pPr>
            <w:r>
              <w:t>r=0.09</w:t>
            </w:r>
          </w:p>
          <w:p w:rsidR="005109B4" w:rsidRDefault="005109B4" w:rsidP="005109B4">
            <w:pPr>
              <w:spacing w:after="240"/>
              <w:jc w:val="both"/>
            </w:pPr>
            <w:r>
              <w:t>p=0.62</w:t>
            </w:r>
          </w:p>
        </w:tc>
      </w:tr>
      <w:tr w:rsidR="005109B4" w:rsidTr="005109B4">
        <w:tc>
          <w:tcPr>
            <w:tcW w:w="2115" w:type="dxa"/>
            <w:vAlign w:val="center"/>
          </w:tcPr>
          <w:p w:rsidR="005109B4" w:rsidRDefault="005109B4" w:rsidP="005109B4">
            <w:pPr>
              <w:spacing w:after="240"/>
              <w:jc w:val="both"/>
            </w:pPr>
            <w:r>
              <w:t>HADS-Anxiety</w:t>
            </w:r>
          </w:p>
        </w:tc>
        <w:tc>
          <w:tcPr>
            <w:tcW w:w="1647" w:type="dxa"/>
          </w:tcPr>
          <w:p w:rsidR="005109B4" w:rsidRDefault="005109B4" w:rsidP="005109B4">
            <w:pPr>
              <w:jc w:val="both"/>
            </w:pPr>
            <w:r>
              <w:t>r=0.32</w:t>
            </w:r>
          </w:p>
          <w:p w:rsidR="005109B4" w:rsidRDefault="005109B4" w:rsidP="005109B4">
            <w:pPr>
              <w:spacing w:after="240"/>
              <w:jc w:val="both"/>
            </w:pPr>
            <w:r>
              <w:t>p=0.07</w:t>
            </w:r>
          </w:p>
        </w:tc>
        <w:tc>
          <w:tcPr>
            <w:tcW w:w="1645" w:type="dxa"/>
          </w:tcPr>
          <w:p w:rsidR="005109B4" w:rsidRDefault="005109B4" w:rsidP="005109B4">
            <w:pPr>
              <w:jc w:val="both"/>
            </w:pPr>
            <w:r>
              <w:t>r=-0.07</w:t>
            </w:r>
          </w:p>
          <w:p w:rsidR="005109B4" w:rsidRDefault="005109B4" w:rsidP="005109B4">
            <w:pPr>
              <w:spacing w:after="240"/>
              <w:jc w:val="both"/>
            </w:pPr>
            <w:r>
              <w:t>p=0.67</w:t>
            </w:r>
          </w:p>
        </w:tc>
        <w:tc>
          <w:tcPr>
            <w:tcW w:w="1661" w:type="dxa"/>
          </w:tcPr>
          <w:p w:rsidR="005109B4" w:rsidRDefault="005109B4" w:rsidP="005109B4">
            <w:pPr>
              <w:jc w:val="both"/>
            </w:pPr>
            <w:r>
              <w:t>r=0.02</w:t>
            </w:r>
          </w:p>
          <w:p w:rsidR="005109B4" w:rsidRDefault="005109B4" w:rsidP="005109B4">
            <w:pPr>
              <w:spacing w:after="240"/>
              <w:jc w:val="both"/>
            </w:pPr>
            <w:r>
              <w:t>p=0.91</w:t>
            </w:r>
          </w:p>
        </w:tc>
        <w:tc>
          <w:tcPr>
            <w:tcW w:w="1572" w:type="dxa"/>
          </w:tcPr>
          <w:p w:rsidR="005109B4" w:rsidRDefault="005109B4" w:rsidP="005109B4">
            <w:pPr>
              <w:jc w:val="both"/>
            </w:pPr>
            <w:r>
              <w:t>r=0.15</w:t>
            </w:r>
          </w:p>
          <w:p w:rsidR="005109B4" w:rsidRDefault="005109B4" w:rsidP="005109B4">
            <w:pPr>
              <w:spacing w:after="240"/>
              <w:jc w:val="both"/>
            </w:pPr>
            <w:r>
              <w:t>p=0.38</w:t>
            </w:r>
          </w:p>
        </w:tc>
      </w:tr>
      <w:tr w:rsidR="005109B4" w:rsidTr="005109B4">
        <w:tc>
          <w:tcPr>
            <w:tcW w:w="2115" w:type="dxa"/>
            <w:vAlign w:val="center"/>
          </w:tcPr>
          <w:p w:rsidR="005109B4" w:rsidRDefault="005109B4" w:rsidP="005109B4">
            <w:pPr>
              <w:spacing w:after="240"/>
              <w:jc w:val="both"/>
            </w:pPr>
            <w:r>
              <w:t>Duration</w:t>
            </w:r>
          </w:p>
        </w:tc>
        <w:tc>
          <w:tcPr>
            <w:tcW w:w="1647" w:type="dxa"/>
          </w:tcPr>
          <w:p w:rsidR="005109B4" w:rsidRDefault="005109B4" w:rsidP="005109B4">
            <w:pPr>
              <w:jc w:val="both"/>
            </w:pPr>
            <w:r>
              <w:t>r=0.08</w:t>
            </w:r>
          </w:p>
          <w:p w:rsidR="005109B4" w:rsidRDefault="005109B4" w:rsidP="005109B4">
            <w:pPr>
              <w:spacing w:after="240"/>
              <w:jc w:val="both"/>
            </w:pPr>
            <w:r>
              <w:t>p=0.64</w:t>
            </w:r>
          </w:p>
        </w:tc>
        <w:tc>
          <w:tcPr>
            <w:tcW w:w="1645" w:type="dxa"/>
          </w:tcPr>
          <w:p w:rsidR="005109B4" w:rsidRDefault="005109B4" w:rsidP="005109B4">
            <w:pPr>
              <w:jc w:val="both"/>
            </w:pPr>
            <w:r>
              <w:t>r=-0.05</w:t>
            </w:r>
          </w:p>
          <w:p w:rsidR="005109B4" w:rsidRDefault="005109B4" w:rsidP="005109B4">
            <w:pPr>
              <w:spacing w:after="240"/>
              <w:jc w:val="both"/>
            </w:pPr>
            <w:r>
              <w:t>p=0.77</w:t>
            </w:r>
          </w:p>
        </w:tc>
        <w:tc>
          <w:tcPr>
            <w:tcW w:w="1661" w:type="dxa"/>
          </w:tcPr>
          <w:p w:rsidR="005109B4" w:rsidRDefault="005109B4" w:rsidP="005109B4">
            <w:pPr>
              <w:jc w:val="both"/>
            </w:pPr>
            <w:r>
              <w:t>r=-0.24</w:t>
            </w:r>
          </w:p>
          <w:p w:rsidR="005109B4" w:rsidRDefault="005109B4" w:rsidP="005109B4">
            <w:pPr>
              <w:spacing w:after="240"/>
              <w:jc w:val="both"/>
            </w:pPr>
            <w:r>
              <w:t>p=0.20</w:t>
            </w:r>
          </w:p>
        </w:tc>
        <w:tc>
          <w:tcPr>
            <w:tcW w:w="1572" w:type="dxa"/>
          </w:tcPr>
          <w:p w:rsidR="005109B4" w:rsidRDefault="005109B4" w:rsidP="005109B4">
            <w:pPr>
              <w:jc w:val="both"/>
            </w:pPr>
            <w:r>
              <w:t>-</w:t>
            </w:r>
          </w:p>
        </w:tc>
      </w:tr>
      <w:tr w:rsidR="005109B4" w:rsidTr="005109B4">
        <w:tc>
          <w:tcPr>
            <w:tcW w:w="2115" w:type="dxa"/>
            <w:vAlign w:val="center"/>
          </w:tcPr>
          <w:p w:rsidR="005109B4" w:rsidRDefault="005109B4" w:rsidP="005109B4">
            <w:pPr>
              <w:spacing w:after="240" w:line="360" w:lineRule="auto"/>
              <w:jc w:val="both"/>
            </w:pPr>
            <w:r>
              <w:t>CAPS</w:t>
            </w:r>
          </w:p>
        </w:tc>
        <w:tc>
          <w:tcPr>
            <w:tcW w:w="1647" w:type="dxa"/>
          </w:tcPr>
          <w:p w:rsidR="005109B4" w:rsidRPr="00364109" w:rsidRDefault="005109B4" w:rsidP="005109B4">
            <w:pPr>
              <w:jc w:val="both"/>
              <w:rPr>
                <w:b/>
              </w:rPr>
            </w:pPr>
            <w:r w:rsidRPr="00364109">
              <w:rPr>
                <w:b/>
              </w:rPr>
              <w:t>r=0.</w:t>
            </w:r>
            <w:r>
              <w:rPr>
                <w:b/>
              </w:rPr>
              <w:t>43</w:t>
            </w:r>
          </w:p>
          <w:p w:rsidR="005109B4" w:rsidRPr="00364109" w:rsidRDefault="005109B4" w:rsidP="005109B4">
            <w:pPr>
              <w:spacing w:after="240" w:line="360" w:lineRule="auto"/>
              <w:jc w:val="both"/>
              <w:rPr>
                <w:b/>
              </w:rPr>
            </w:pPr>
            <w:r>
              <w:rPr>
                <w:b/>
              </w:rPr>
              <w:t>p=0.01</w:t>
            </w:r>
          </w:p>
        </w:tc>
        <w:tc>
          <w:tcPr>
            <w:tcW w:w="1645" w:type="dxa"/>
          </w:tcPr>
          <w:p w:rsidR="005109B4" w:rsidRPr="002B3F87" w:rsidRDefault="005109B4" w:rsidP="005109B4">
            <w:pPr>
              <w:jc w:val="both"/>
            </w:pPr>
            <w:r w:rsidRPr="002B3F87">
              <w:t>r=0.07</w:t>
            </w:r>
          </w:p>
          <w:p w:rsidR="005109B4" w:rsidRPr="00364109" w:rsidRDefault="005109B4" w:rsidP="005109B4">
            <w:pPr>
              <w:spacing w:after="240" w:line="360" w:lineRule="auto"/>
              <w:jc w:val="both"/>
              <w:rPr>
                <w:b/>
              </w:rPr>
            </w:pPr>
            <w:r w:rsidRPr="002B3F87">
              <w:t>p=0.66</w:t>
            </w:r>
          </w:p>
        </w:tc>
        <w:tc>
          <w:tcPr>
            <w:tcW w:w="1661" w:type="dxa"/>
          </w:tcPr>
          <w:p w:rsidR="005109B4" w:rsidRPr="00E41A4B" w:rsidRDefault="005109B4" w:rsidP="005109B4">
            <w:pPr>
              <w:jc w:val="both"/>
            </w:pPr>
            <w:r w:rsidRPr="00E41A4B">
              <w:t>r=0.26</w:t>
            </w:r>
          </w:p>
          <w:p w:rsidR="005109B4" w:rsidRPr="00364109" w:rsidRDefault="005109B4" w:rsidP="005109B4">
            <w:pPr>
              <w:spacing w:after="240" w:line="360" w:lineRule="auto"/>
              <w:jc w:val="both"/>
              <w:rPr>
                <w:b/>
              </w:rPr>
            </w:pPr>
            <w:r w:rsidRPr="00E41A4B">
              <w:t>p=0.15</w:t>
            </w:r>
          </w:p>
        </w:tc>
        <w:tc>
          <w:tcPr>
            <w:tcW w:w="1572" w:type="dxa"/>
          </w:tcPr>
          <w:p w:rsidR="005109B4" w:rsidRPr="00E41A4B" w:rsidRDefault="005109B4" w:rsidP="005109B4">
            <w:pPr>
              <w:jc w:val="both"/>
            </w:pPr>
            <w:r w:rsidRPr="00E41A4B">
              <w:t>r=</w:t>
            </w:r>
            <w:r>
              <w:t>0.13</w:t>
            </w:r>
          </w:p>
          <w:p w:rsidR="005109B4" w:rsidRPr="00364109" w:rsidRDefault="005109B4" w:rsidP="005109B4">
            <w:pPr>
              <w:spacing w:after="240" w:line="360" w:lineRule="auto"/>
              <w:jc w:val="both"/>
              <w:rPr>
                <w:b/>
              </w:rPr>
            </w:pPr>
            <w:r w:rsidRPr="00E41A4B">
              <w:t>p=</w:t>
            </w:r>
            <w:r>
              <w:t>0.46</w:t>
            </w:r>
          </w:p>
        </w:tc>
      </w:tr>
      <w:tr w:rsidR="005109B4" w:rsidTr="005109B4">
        <w:tc>
          <w:tcPr>
            <w:tcW w:w="706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09B4" w:rsidRDefault="005109B4" w:rsidP="005109B4">
            <w:pPr>
              <w:jc w:val="both"/>
            </w:pPr>
            <w:r>
              <w:t xml:space="preserve">Significant correlation is in bold. HADS: </w:t>
            </w:r>
            <w:r w:rsidRPr="003F11B0">
              <w:t xml:space="preserve">Hospital Anxiety and Depression Scale; </w:t>
            </w:r>
            <w:r>
              <w:t xml:space="preserve">CAPS: </w:t>
            </w:r>
            <w:r w:rsidRPr="003F11B0">
              <w:t>Cardi</w:t>
            </w:r>
            <w:r>
              <w:t>ff Anomalous Perceptions Scale</w:t>
            </w:r>
            <w:r>
              <w:rPr>
                <w:rFonts w:cs="Arial"/>
              </w:rPr>
              <w:t xml:space="preserve">; CRPS: complex regional pain syndrome. FM: fibromyalgia. </w:t>
            </w:r>
          </w:p>
        </w:tc>
        <w:tc>
          <w:tcPr>
            <w:tcW w:w="1572" w:type="dxa"/>
            <w:tcBorders>
              <w:top w:val="single" w:sz="12" w:space="0" w:color="auto"/>
              <w:bottom w:val="single" w:sz="12" w:space="0" w:color="auto"/>
            </w:tcBorders>
          </w:tcPr>
          <w:p w:rsidR="005109B4" w:rsidRDefault="005109B4" w:rsidP="005109B4">
            <w:pPr>
              <w:jc w:val="both"/>
            </w:pPr>
          </w:p>
        </w:tc>
      </w:tr>
    </w:tbl>
    <w:p w:rsidR="00604C5B" w:rsidRPr="00EC25E2" w:rsidRDefault="00604C5B"/>
    <w:sectPr w:rsidR="00604C5B" w:rsidRPr="00EC25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A2"/>
    <w:rsid w:val="000156A2"/>
    <w:rsid w:val="002B3F87"/>
    <w:rsid w:val="00364109"/>
    <w:rsid w:val="00365FC6"/>
    <w:rsid w:val="005109B4"/>
    <w:rsid w:val="00604C5B"/>
    <w:rsid w:val="007222D2"/>
    <w:rsid w:val="00751BE6"/>
    <w:rsid w:val="00CD3797"/>
    <w:rsid w:val="00D6701F"/>
    <w:rsid w:val="00E41A4B"/>
    <w:rsid w:val="00E70536"/>
    <w:rsid w:val="00EC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E9C56-5283-4357-B0FF-5328542D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sz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6A2"/>
    <w:pPr>
      <w:jc w:val="left"/>
    </w:pPr>
    <w:rPr>
      <w:rFonts w:eastAsia="Times New Roman"/>
      <w:szCs w:val="22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156A2"/>
    <w:pPr>
      <w:jc w:val="left"/>
    </w:pPr>
    <w:rPr>
      <w:rFonts w:ascii="Times New Roman" w:eastAsiaTheme="minorHAnsi" w:hAnsi="Times New Roman"/>
      <w:sz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IRDPQ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Clémentine Brun</dc:creator>
  <cp:keywords/>
  <dc:description/>
  <cp:lastModifiedBy>Clémentine Brun</cp:lastModifiedBy>
  <cp:revision>11</cp:revision>
  <dcterms:created xsi:type="dcterms:W3CDTF">2017-11-27T19:24:00Z</dcterms:created>
  <dcterms:modified xsi:type="dcterms:W3CDTF">2018-08-15T17:57:00Z</dcterms:modified>
</cp:coreProperties>
</file>