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4A49" w:rsidRPr="00B01143" w:rsidRDefault="00374A49" w:rsidP="00374A49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B01143">
        <w:rPr>
          <w:rFonts w:ascii="Arial" w:hAnsi="Arial" w:cs="Arial"/>
        </w:rPr>
        <w:t xml:space="preserve">Supplementary material </w:t>
      </w:r>
      <w:bookmarkStart w:id="0" w:name="_GoBack"/>
      <w:bookmarkEnd w:id="0"/>
    </w:p>
    <w:p w:rsidR="00374A49" w:rsidRDefault="00374A49" w:rsidP="00374A49">
      <w:pPr>
        <w:spacing w:after="0" w:line="240" w:lineRule="auto"/>
        <w:rPr>
          <w:rFonts w:ascii="Arial" w:hAnsi="Arial" w:cs="Arial"/>
          <w:u w:val="single"/>
        </w:rPr>
      </w:pPr>
    </w:p>
    <w:p w:rsidR="00374A49" w:rsidRPr="00B01143" w:rsidRDefault="00374A49" w:rsidP="00374A49">
      <w:pPr>
        <w:pStyle w:val="ListParagraph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B01143">
        <w:rPr>
          <w:rFonts w:ascii="Arial" w:hAnsi="Arial" w:cs="Arial"/>
        </w:rPr>
        <w:t xml:space="preserve">Unknown compounds </w:t>
      </w:r>
    </w:p>
    <w:p w:rsidR="00374A49" w:rsidRDefault="00374A49" w:rsidP="00374A49">
      <w:pPr>
        <w:spacing w:after="0" w:line="240" w:lineRule="auto"/>
        <w:jc w:val="both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The base peak and suspected molecular ion of the 8 unidentified compounds is provided in table 1. </w:t>
      </w:r>
    </w:p>
    <w:p w:rsidR="00374A49" w:rsidRDefault="00374A49" w:rsidP="00374A49">
      <w:pPr>
        <w:spacing w:after="0" w:line="240" w:lineRule="auto"/>
        <w:jc w:val="both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jc w:val="center"/>
        <w:rPr>
          <w:rFonts w:ascii="Arial" w:hAnsi="Arial" w:cs="Arial"/>
          <w:u w:val="single"/>
        </w:rPr>
      </w:pPr>
      <w:r w:rsidRPr="009F01E8">
        <w:rPr>
          <w:rFonts w:ascii="Arial" w:hAnsi="Arial" w:cs="Arial"/>
          <w:u w:val="single"/>
        </w:rPr>
        <w:t xml:space="preserve">Table </w:t>
      </w:r>
      <w:r>
        <w:rPr>
          <w:rFonts w:ascii="Arial" w:hAnsi="Arial" w:cs="Arial"/>
          <w:u w:val="single"/>
        </w:rPr>
        <w:t>S</w:t>
      </w:r>
      <w:r w:rsidRPr="009F01E8">
        <w:rPr>
          <w:rFonts w:ascii="Arial" w:hAnsi="Arial" w:cs="Arial"/>
          <w:u w:val="single"/>
        </w:rPr>
        <w:t xml:space="preserve">1. Extra </w:t>
      </w:r>
      <w:r>
        <w:rPr>
          <w:rFonts w:ascii="Arial" w:hAnsi="Arial" w:cs="Arial"/>
          <w:u w:val="single"/>
        </w:rPr>
        <w:t>information</w:t>
      </w:r>
      <w:r w:rsidRPr="009F01E8">
        <w:rPr>
          <w:rFonts w:ascii="Arial" w:hAnsi="Arial" w:cs="Arial"/>
          <w:u w:val="single"/>
        </w:rPr>
        <w:t xml:space="preserve"> about un</w:t>
      </w:r>
      <w:r>
        <w:rPr>
          <w:rFonts w:ascii="Arial" w:hAnsi="Arial" w:cs="Arial"/>
          <w:u w:val="single"/>
        </w:rPr>
        <w:t>identified compounds</w:t>
      </w:r>
    </w:p>
    <w:p w:rsidR="00374A49" w:rsidRPr="009F01E8" w:rsidRDefault="00374A49" w:rsidP="00374A49">
      <w:pPr>
        <w:spacing w:after="0" w:line="240" w:lineRule="auto"/>
        <w:jc w:val="center"/>
        <w:rPr>
          <w:rFonts w:ascii="Arial" w:hAnsi="Arial" w:cs="Arial"/>
          <w:u w:val="single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259"/>
        <w:gridCol w:w="2258"/>
        <w:gridCol w:w="2250"/>
        <w:gridCol w:w="2249"/>
      </w:tblGrid>
      <w:tr w:rsidR="00374A49" w:rsidTr="00321A87">
        <w:tc>
          <w:tcPr>
            <w:tcW w:w="1253" w:type="pct"/>
          </w:tcPr>
          <w:p w:rsidR="00374A49" w:rsidRDefault="00374A49" w:rsidP="00321A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Unknown</w:t>
            </w:r>
          </w:p>
        </w:tc>
        <w:tc>
          <w:tcPr>
            <w:tcW w:w="1252" w:type="pct"/>
          </w:tcPr>
          <w:p w:rsidR="00374A49" w:rsidRDefault="00374A49" w:rsidP="00321A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Retention time (mins)</w:t>
            </w:r>
          </w:p>
        </w:tc>
        <w:tc>
          <w:tcPr>
            <w:tcW w:w="1248" w:type="pct"/>
            <w:shd w:val="clear" w:color="auto" w:fill="auto"/>
          </w:tcPr>
          <w:p w:rsidR="00374A49" w:rsidRPr="00ED5BDE" w:rsidRDefault="00374A49" w:rsidP="00321A87">
            <w:pPr>
              <w:jc w:val="center"/>
              <w:rPr>
                <w:rFonts w:ascii="Arial" w:hAnsi="Arial" w:cs="Arial"/>
              </w:rPr>
            </w:pPr>
            <w:r w:rsidRPr="00ED5BDE">
              <w:rPr>
                <w:rFonts w:ascii="Arial" w:hAnsi="Arial" w:cs="Arial"/>
              </w:rPr>
              <w:t>Base peak</w:t>
            </w:r>
          </w:p>
          <w:p w:rsidR="00374A49" w:rsidRPr="00ED5BDE" w:rsidRDefault="00374A49" w:rsidP="00321A87">
            <w:pPr>
              <w:jc w:val="center"/>
              <w:rPr>
                <w:rFonts w:ascii="Arial" w:hAnsi="Arial" w:cs="Arial"/>
              </w:rPr>
            </w:pPr>
            <w:r w:rsidRPr="00ED5BDE">
              <w:rPr>
                <w:rFonts w:ascii="Arial" w:hAnsi="Arial" w:cs="Arial"/>
              </w:rPr>
              <w:t>(m/</w:t>
            </w:r>
            <w:r>
              <w:rPr>
                <w:rFonts w:ascii="Arial" w:hAnsi="Arial" w:cs="Arial"/>
              </w:rPr>
              <w:t>z</w:t>
            </w:r>
            <w:r w:rsidRPr="00ED5BDE">
              <w:rPr>
                <w:rFonts w:ascii="Arial" w:hAnsi="Arial" w:cs="Arial"/>
              </w:rPr>
              <w:t>)</w:t>
            </w:r>
          </w:p>
        </w:tc>
        <w:tc>
          <w:tcPr>
            <w:tcW w:w="1247" w:type="pct"/>
            <w:shd w:val="clear" w:color="auto" w:fill="auto"/>
          </w:tcPr>
          <w:p w:rsidR="00374A49" w:rsidRPr="00ED5BDE" w:rsidRDefault="00374A49" w:rsidP="00321A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Suspected m</w:t>
            </w:r>
            <w:r w:rsidRPr="00ED5BDE">
              <w:rPr>
                <w:rFonts w:ascii="Arial" w:hAnsi="Arial" w:cs="Arial"/>
              </w:rPr>
              <w:t>olecular ion</w:t>
            </w:r>
          </w:p>
          <w:p w:rsidR="00374A49" w:rsidRPr="00ED5BDE" w:rsidRDefault="00374A49" w:rsidP="00321A87">
            <w:pPr>
              <w:jc w:val="center"/>
              <w:rPr>
                <w:rFonts w:ascii="Arial" w:hAnsi="Arial" w:cs="Arial"/>
              </w:rPr>
            </w:pPr>
            <w:r w:rsidRPr="00ED5BDE">
              <w:rPr>
                <w:rFonts w:ascii="Arial" w:hAnsi="Arial" w:cs="Arial"/>
              </w:rPr>
              <w:t>(m/</w:t>
            </w:r>
            <w:r>
              <w:rPr>
                <w:rFonts w:ascii="Arial" w:hAnsi="Arial" w:cs="Arial"/>
              </w:rPr>
              <w:t>z</w:t>
            </w:r>
            <w:r w:rsidRPr="00ED5BDE">
              <w:rPr>
                <w:rFonts w:ascii="Arial" w:hAnsi="Arial" w:cs="Arial"/>
              </w:rPr>
              <w:t>)</w:t>
            </w:r>
          </w:p>
        </w:tc>
      </w:tr>
      <w:tr w:rsidR="00374A49" w:rsidTr="00321A87">
        <w:tc>
          <w:tcPr>
            <w:tcW w:w="1253" w:type="pct"/>
          </w:tcPr>
          <w:p w:rsidR="00374A49" w:rsidRPr="00777EA2" w:rsidRDefault="00374A49" w:rsidP="00321A87">
            <w:pPr>
              <w:jc w:val="center"/>
              <w:rPr>
                <w:rFonts w:ascii="Arial" w:hAnsi="Arial" w:cs="Arial"/>
              </w:rPr>
            </w:pPr>
            <w:r w:rsidRPr="00777EA2">
              <w:rPr>
                <w:rFonts w:ascii="Arial" w:hAnsi="Arial" w:cs="Arial"/>
              </w:rPr>
              <w:t>1</w:t>
            </w:r>
          </w:p>
        </w:tc>
        <w:tc>
          <w:tcPr>
            <w:tcW w:w="1252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Calibri" w:hAnsi="Calibri" w:cs="Calibri"/>
                <w:color w:val="000000"/>
              </w:rPr>
            </w:pPr>
            <w:r w:rsidRPr="00777EA2">
              <w:rPr>
                <w:rFonts w:ascii="Arial" w:hAnsi="Arial" w:cs="Arial"/>
                <w:color w:val="000000"/>
                <w:sz w:val="20"/>
                <w:szCs w:val="20"/>
              </w:rPr>
              <w:t>3.39</w:t>
            </w:r>
          </w:p>
        </w:tc>
        <w:tc>
          <w:tcPr>
            <w:tcW w:w="1248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Arial" w:hAnsi="Arial" w:cs="Arial"/>
              </w:rPr>
            </w:pPr>
            <w:r w:rsidRPr="00777EA2">
              <w:rPr>
                <w:rFonts w:ascii="Calibri" w:hAnsi="Calibri" w:cs="Calibri"/>
                <w:color w:val="000000"/>
              </w:rPr>
              <w:t>51</w:t>
            </w:r>
          </w:p>
        </w:tc>
        <w:tc>
          <w:tcPr>
            <w:tcW w:w="1247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Unclear</w:t>
            </w:r>
          </w:p>
        </w:tc>
      </w:tr>
      <w:tr w:rsidR="00374A49" w:rsidTr="00321A87">
        <w:tc>
          <w:tcPr>
            <w:tcW w:w="1253" w:type="pct"/>
          </w:tcPr>
          <w:p w:rsidR="00374A49" w:rsidRPr="00777EA2" w:rsidRDefault="00374A49" w:rsidP="00321A87">
            <w:pPr>
              <w:jc w:val="center"/>
              <w:rPr>
                <w:rFonts w:ascii="Arial" w:hAnsi="Arial" w:cs="Arial"/>
              </w:rPr>
            </w:pPr>
            <w:r w:rsidRPr="00777EA2">
              <w:rPr>
                <w:rFonts w:ascii="Arial" w:hAnsi="Arial" w:cs="Arial"/>
              </w:rPr>
              <w:t>2</w:t>
            </w:r>
          </w:p>
        </w:tc>
        <w:tc>
          <w:tcPr>
            <w:tcW w:w="1252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Calibri" w:hAnsi="Calibri" w:cs="Calibri"/>
                <w:color w:val="000000"/>
              </w:rPr>
            </w:pPr>
            <w:r w:rsidRPr="00777EA2">
              <w:rPr>
                <w:rFonts w:ascii="Arial" w:hAnsi="Arial" w:cs="Arial"/>
                <w:color w:val="000000"/>
                <w:sz w:val="20"/>
                <w:szCs w:val="20"/>
              </w:rPr>
              <w:t>4.27</w:t>
            </w:r>
          </w:p>
        </w:tc>
        <w:tc>
          <w:tcPr>
            <w:tcW w:w="1248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Arial" w:hAnsi="Arial" w:cs="Arial"/>
              </w:rPr>
            </w:pPr>
            <w:r w:rsidRPr="00777EA2">
              <w:rPr>
                <w:rFonts w:ascii="Calibri" w:hAnsi="Calibri" w:cs="Calibri"/>
                <w:color w:val="000000"/>
              </w:rPr>
              <w:t>51</w:t>
            </w:r>
          </w:p>
        </w:tc>
        <w:tc>
          <w:tcPr>
            <w:tcW w:w="1247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Unclear</w:t>
            </w:r>
          </w:p>
        </w:tc>
      </w:tr>
      <w:tr w:rsidR="00374A49" w:rsidTr="00321A87">
        <w:tc>
          <w:tcPr>
            <w:tcW w:w="1253" w:type="pct"/>
          </w:tcPr>
          <w:p w:rsidR="00374A49" w:rsidRPr="00777EA2" w:rsidRDefault="00374A49" w:rsidP="00321A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252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Calibri" w:hAnsi="Calibri" w:cs="Calibri"/>
                <w:color w:val="000000"/>
              </w:rPr>
            </w:pPr>
            <w:r w:rsidRPr="00777EA2">
              <w:rPr>
                <w:rFonts w:ascii="Arial" w:hAnsi="Arial" w:cs="Arial"/>
                <w:color w:val="000000"/>
                <w:sz w:val="20"/>
                <w:szCs w:val="20"/>
              </w:rPr>
              <w:t>14.68</w:t>
            </w:r>
          </w:p>
        </w:tc>
        <w:tc>
          <w:tcPr>
            <w:tcW w:w="1248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Arial" w:hAnsi="Arial" w:cs="Arial"/>
              </w:rPr>
            </w:pPr>
            <w:r>
              <w:rPr>
                <w:rFonts w:ascii="Calibri" w:hAnsi="Calibri" w:cs="Calibri"/>
                <w:color w:val="000000"/>
              </w:rPr>
              <w:t>43</w:t>
            </w:r>
          </w:p>
        </w:tc>
        <w:tc>
          <w:tcPr>
            <w:tcW w:w="1247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Unclear</w:t>
            </w:r>
          </w:p>
        </w:tc>
      </w:tr>
      <w:tr w:rsidR="00374A49" w:rsidTr="00321A87">
        <w:tc>
          <w:tcPr>
            <w:tcW w:w="1253" w:type="pct"/>
          </w:tcPr>
          <w:p w:rsidR="00374A49" w:rsidRPr="00777EA2" w:rsidRDefault="00374A49" w:rsidP="00321A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252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Calibri" w:hAnsi="Calibri" w:cs="Calibri"/>
                <w:color w:val="000000"/>
              </w:rPr>
            </w:pPr>
            <w:r w:rsidRPr="00777EA2">
              <w:rPr>
                <w:rFonts w:ascii="Calibri" w:hAnsi="Calibri" w:cs="Calibri"/>
                <w:color w:val="000000"/>
              </w:rPr>
              <w:t>15.89</w:t>
            </w:r>
          </w:p>
        </w:tc>
        <w:tc>
          <w:tcPr>
            <w:tcW w:w="1248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Arial" w:hAnsi="Arial" w:cs="Arial"/>
              </w:rPr>
            </w:pPr>
            <w:r>
              <w:rPr>
                <w:rFonts w:ascii="Calibri" w:hAnsi="Calibri" w:cs="Calibri"/>
                <w:color w:val="000000"/>
              </w:rPr>
              <w:t>57</w:t>
            </w:r>
          </w:p>
        </w:tc>
        <w:tc>
          <w:tcPr>
            <w:tcW w:w="1247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140</w:t>
            </w:r>
          </w:p>
        </w:tc>
      </w:tr>
      <w:tr w:rsidR="00374A49" w:rsidTr="00321A87">
        <w:tc>
          <w:tcPr>
            <w:tcW w:w="1253" w:type="pct"/>
          </w:tcPr>
          <w:p w:rsidR="00374A49" w:rsidRPr="00777EA2" w:rsidRDefault="00374A49" w:rsidP="00321A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252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Calibri" w:hAnsi="Calibri" w:cs="Calibri"/>
                <w:color w:val="000000"/>
              </w:rPr>
            </w:pPr>
            <w:r w:rsidRPr="00777EA2">
              <w:rPr>
                <w:rFonts w:ascii="Calibri" w:hAnsi="Calibri" w:cs="Calibri"/>
                <w:color w:val="000000"/>
              </w:rPr>
              <w:t>16.82</w:t>
            </w:r>
          </w:p>
        </w:tc>
        <w:tc>
          <w:tcPr>
            <w:tcW w:w="1248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Arial" w:hAnsi="Arial" w:cs="Arial"/>
              </w:rPr>
            </w:pPr>
            <w:r w:rsidRPr="00777EA2">
              <w:rPr>
                <w:rFonts w:ascii="Calibri" w:hAnsi="Calibri" w:cs="Calibri"/>
                <w:color w:val="000000"/>
              </w:rPr>
              <w:t>57</w:t>
            </w:r>
          </w:p>
        </w:tc>
        <w:tc>
          <w:tcPr>
            <w:tcW w:w="1247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Calibri" w:hAnsi="Calibri" w:cs="Calibri"/>
                <w:color w:val="000000"/>
              </w:rPr>
            </w:pPr>
            <w:r w:rsidRPr="00777EA2">
              <w:rPr>
                <w:rFonts w:ascii="Calibri" w:hAnsi="Calibri" w:cs="Calibri"/>
                <w:color w:val="000000"/>
              </w:rPr>
              <w:t>Unclear</w:t>
            </w:r>
          </w:p>
        </w:tc>
      </w:tr>
      <w:tr w:rsidR="00374A49" w:rsidTr="00321A87">
        <w:tc>
          <w:tcPr>
            <w:tcW w:w="1253" w:type="pct"/>
          </w:tcPr>
          <w:p w:rsidR="00374A49" w:rsidRPr="00777EA2" w:rsidRDefault="00374A49" w:rsidP="00321A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1252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Calibri" w:hAnsi="Calibri" w:cs="Calibri"/>
                <w:color w:val="000000"/>
              </w:rPr>
            </w:pPr>
            <w:r w:rsidRPr="00777EA2">
              <w:rPr>
                <w:rFonts w:ascii="Calibri" w:hAnsi="Calibri" w:cs="Calibri"/>
                <w:color w:val="000000"/>
              </w:rPr>
              <w:t>16.91</w:t>
            </w:r>
          </w:p>
        </w:tc>
        <w:tc>
          <w:tcPr>
            <w:tcW w:w="1248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Arial" w:hAnsi="Arial" w:cs="Arial"/>
              </w:rPr>
            </w:pPr>
            <w:r>
              <w:rPr>
                <w:rFonts w:ascii="Calibri" w:hAnsi="Calibri" w:cs="Calibri"/>
                <w:color w:val="000000"/>
              </w:rPr>
              <w:t>71</w:t>
            </w:r>
          </w:p>
        </w:tc>
        <w:tc>
          <w:tcPr>
            <w:tcW w:w="1247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247</w:t>
            </w:r>
          </w:p>
        </w:tc>
      </w:tr>
      <w:tr w:rsidR="00374A49" w:rsidTr="00321A87">
        <w:tc>
          <w:tcPr>
            <w:tcW w:w="1253" w:type="pct"/>
          </w:tcPr>
          <w:p w:rsidR="00374A49" w:rsidRPr="00777EA2" w:rsidRDefault="00374A49" w:rsidP="00321A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1252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Calibri" w:hAnsi="Calibri" w:cs="Calibri"/>
                <w:color w:val="000000"/>
              </w:rPr>
            </w:pPr>
            <w:r w:rsidRPr="00777EA2">
              <w:rPr>
                <w:rFonts w:ascii="Arial" w:hAnsi="Arial" w:cs="Arial"/>
                <w:color w:val="000000"/>
                <w:sz w:val="20"/>
                <w:szCs w:val="20"/>
              </w:rPr>
              <w:t>23.62/23.64</w:t>
            </w:r>
          </w:p>
        </w:tc>
        <w:tc>
          <w:tcPr>
            <w:tcW w:w="1248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Arial" w:hAnsi="Arial" w:cs="Arial"/>
              </w:rPr>
            </w:pPr>
            <w:r>
              <w:rPr>
                <w:rFonts w:ascii="Calibri" w:hAnsi="Calibri" w:cs="Calibri"/>
                <w:color w:val="000000"/>
              </w:rPr>
              <w:t>221</w:t>
            </w:r>
          </w:p>
        </w:tc>
        <w:tc>
          <w:tcPr>
            <w:tcW w:w="1247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221</w:t>
            </w:r>
          </w:p>
        </w:tc>
      </w:tr>
      <w:tr w:rsidR="00374A49" w:rsidTr="00321A87">
        <w:tc>
          <w:tcPr>
            <w:tcW w:w="1253" w:type="pct"/>
          </w:tcPr>
          <w:p w:rsidR="00374A49" w:rsidRPr="00777EA2" w:rsidRDefault="00374A49" w:rsidP="00321A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1252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Calibri" w:hAnsi="Calibri" w:cs="Calibri"/>
                <w:color w:val="000000"/>
              </w:rPr>
            </w:pPr>
            <w:r w:rsidRPr="00777EA2">
              <w:rPr>
                <w:rFonts w:ascii="Arial" w:hAnsi="Arial" w:cs="Arial"/>
                <w:color w:val="000000"/>
                <w:sz w:val="20"/>
                <w:szCs w:val="20"/>
              </w:rPr>
              <w:t>24.97</w:t>
            </w:r>
          </w:p>
        </w:tc>
        <w:tc>
          <w:tcPr>
            <w:tcW w:w="1248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Arial" w:hAnsi="Arial" w:cs="Arial"/>
              </w:rPr>
            </w:pPr>
            <w:r>
              <w:rPr>
                <w:rFonts w:ascii="Calibri" w:hAnsi="Calibri" w:cs="Calibri"/>
                <w:color w:val="000000"/>
              </w:rPr>
              <w:t>177</w:t>
            </w:r>
          </w:p>
        </w:tc>
        <w:tc>
          <w:tcPr>
            <w:tcW w:w="1247" w:type="pct"/>
            <w:vAlign w:val="bottom"/>
          </w:tcPr>
          <w:p w:rsidR="00374A49" w:rsidRPr="00777EA2" w:rsidRDefault="00374A49" w:rsidP="00321A87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220</w:t>
            </w:r>
          </w:p>
        </w:tc>
      </w:tr>
    </w:tbl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Pr="00B01143" w:rsidRDefault="00374A49" w:rsidP="00374A49">
      <w:pPr>
        <w:pStyle w:val="ListParagraph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B01143">
        <w:rPr>
          <w:rFonts w:ascii="Arial" w:hAnsi="Arial" w:cs="Arial"/>
        </w:rPr>
        <w:t xml:space="preserve">Radar plots </w:t>
      </w:r>
    </w:p>
    <w:p w:rsidR="00374A49" w:rsidRDefault="00374A49" w:rsidP="00374A49">
      <w:pPr>
        <w:spacing w:after="0" w:line="240" w:lineRule="auto"/>
        <w:jc w:val="both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Figure 1 shows 33</w:t>
      </w:r>
      <w:r w:rsidRPr="001D5FBB">
        <w:rPr>
          <w:rFonts w:ascii="Arial" w:hAnsi="Arial" w:cs="Arial"/>
        </w:rPr>
        <w:t xml:space="preserve"> compounds whose presence/absence differed significantly</w:t>
      </w:r>
      <w:r>
        <w:rPr>
          <w:rFonts w:ascii="Arial" w:hAnsi="Arial" w:cs="Arial"/>
        </w:rPr>
        <w:t xml:space="preserve"> (p ≤0.05)</w:t>
      </w:r>
      <w:r w:rsidRPr="001D5FBB">
        <w:rPr>
          <w:rFonts w:ascii="Arial" w:hAnsi="Arial" w:cs="Arial"/>
        </w:rPr>
        <w:t xml:space="preserve"> between species (</w:t>
      </w:r>
      <w:r w:rsidRPr="000125D6">
        <w:rPr>
          <w:rFonts w:ascii="Arial" w:hAnsi="Arial" w:cs="Arial"/>
          <w:i/>
        </w:rPr>
        <w:t>E. coli, K. pneumonia</w:t>
      </w:r>
      <w:r>
        <w:rPr>
          <w:rFonts w:ascii="Arial" w:hAnsi="Arial" w:cs="Arial"/>
          <w:i/>
        </w:rPr>
        <w:t>e</w:t>
      </w:r>
      <w:r w:rsidRPr="001D5FBB">
        <w:rPr>
          <w:rFonts w:ascii="Arial" w:hAnsi="Arial" w:cs="Arial"/>
        </w:rPr>
        <w:t xml:space="preserve"> and </w:t>
      </w:r>
      <w:r w:rsidRPr="000125D6">
        <w:rPr>
          <w:rFonts w:ascii="Arial" w:hAnsi="Arial" w:cs="Arial"/>
          <w:i/>
        </w:rPr>
        <w:t>P. aeruginosa</w:t>
      </w:r>
      <w:r>
        <w:rPr>
          <w:rFonts w:ascii="Arial" w:hAnsi="Arial" w:cs="Arial"/>
        </w:rPr>
        <w:t xml:space="preserve">) using chi-square analysis; a key for compound name abbreviations is provided in table 2. </w:t>
      </w:r>
    </w:p>
    <w:p w:rsidR="00374A49" w:rsidRDefault="00374A49" w:rsidP="00374A49">
      <w:pPr>
        <w:spacing w:after="0" w:line="240" w:lineRule="auto"/>
        <w:jc w:val="both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  <w:i/>
          <w:u w:val="single"/>
        </w:rPr>
      </w:pPr>
      <w:r>
        <w:rPr>
          <w:noProof/>
          <w:lang w:eastAsia="en-GB"/>
        </w:rPr>
        <w:drawing>
          <wp:anchor distT="0" distB="0" distL="114300" distR="114300" simplePos="0" relativeHeight="251661312" behindDoc="0" locked="0" layoutInCell="1" allowOverlap="1" wp14:anchorId="5B296B22" wp14:editId="5EFFEE09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760000" cy="3600000"/>
            <wp:effectExtent l="0" t="0" r="12700" b="635"/>
            <wp:wrapTopAndBottom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74A49" w:rsidRPr="00601E63" w:rsidRDefault="00374A49" w:rsidP="00374A49">
      <w:pPr>
        <w:spacing w:after="0" w:line="240" w:lineRule="auto"/>
        <w:jc w:val="center"/>
        <w:rPr>
          <w:rFonts w:ascii="Arial" w:hAnsi="Arial" w:cs="Arial"/>
          <w:i/>
        </w:rPr>
      </w:pPr>
      <w:r w:rsidRPr="00601E63">
        <w:rPr>
          <w:rFonts w:ascii="Arial" w:hAnsi="Arial" w:cs="Arial"/>
          <w:i/>
          <w:u w:val="single"/>
        </w:rPr>
        <w:t xml:space="preserve">Figure </w:t>
      </w:r>
      <w:r>
        <w:rPr>
          <w:rFonts w:ascii="Arial" w:hAnsi="Arial" w:cs="Arial"/>
          <w:i/>
          <w:u w:val="single"/>
        </w:rPr>
        <w:t>S</w:t>
      </w:r>
      <w:r w:rsidRPr="00601E63">
        <w:rPr>
          <w:rFonts w:ascii="Arial" w:hAnsi="Arial" w:cs="Arial"/>
          <w:i/>
          <w:u w:val="single"/>
        </w:rPr>
        <w:t>1.</w:t>
      </w:r>
      <w:r w:rsidRPr="00601E63">
        <w:rPr>
          <w:rFonts w:ascii="Arial" w:hAnsi="Arial" w:cs="Arial"/>
          <w:i/>
        </w:rPr>
        <w:t xml:space="preserve"> Radar plot showing compounds</w:t>
      </w:r>
      <w:r>
        <w:rPr>
          <w:rFonts w:ascii="Arial" w:hAnsi="Arial" w:cs="Arial"/>
          <w:i/>
        </w:rPr>
        <w:t xml:space="preserve"> (see Table 2 for abbreviations)</w:t>
      </w:r>
      <w:r w:rsidRPr="00601E63">
        <w:rPr>
          <w:rFonts w:ascii="Arial" w:hAnsi="Arial" w:cs="Arial"/>
          <w:i/>
        </w:rPr>
        <w:t xml:space="preserve"> which are different in E. coli (EC), K. pneumoniae (KP) or P. aeruginosa (PA)</w:t>
      </w:r>
    </w:p>
    <w:p w:rsidR="00374A49" w:rsidRDefault="00374A49" w:rsidP="00374A49">
      <w:pPr>
        <w:spacing w:after="0" w:line="240" w:lineRule="auto"/>
        <w:jc w:val="both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Figure 2(A) shows 10 compounds </w:t>
      </w:r>
      <w:r w:rsidRPr="001D5FBB">
        <w:rPr>
          <w:rFonts w:ascii="Arial" w:hAnsi="Arial" w:cs="Arial"/>
        </w:rPr>
        <w:t>whose presence/absence differed significantly between</w:t>
      </w:r>
      <w:r>
        <w:rPr>
          <w:rFonts w:ascii="Arial" w:hAnsi="Arial" w:cs="Arial"/>
        </w:rPr>
        <w:t xml:space="preserve"> cephalexin sensitive and cephalexin resistant bacterial isolates (p ≤</w:t>
      </w:r>
      <w:r w:rsidRPr="00FE1445">
        <w:rPr>
          <w:rFonts w:ascii="Arial" w:hAnsi="Arial" w:cs="Arial"/>
        </w:rPr>
        <w:t>0.05</w:t>
      </w:r>
      <w:r>
        <w:rPr>
          <w:rFonts w:ascii="Arial" w:hAnsi="Arial" w:cs="Arial"/>
        </w:rPr>
        <w:t xml:space="preserve"> using chi-square analysis) without cephalexin added to the media. When cephalexin was added to the media of isolates, 18 compounds were identified that differed significantly in terms of presence/absence, shown in figure 2(B).  A key for compound name abbreviations is provided in table 2. </w:t>
      </w:r>
    </w:p>
    <w:p w:rsidR="00374A49" w:rsidRDefault="00374A49" w:rsidP="00374A49">
      <w:pPr>
        <w:spacing w:after="0" w:line="240" w:lineRule="auto"/>
        <w:jc w:val="center"/>
        <w:rPr>
          <w:rFonts w:ascii="Arial" w:hAnsi="Arial" w:cs="Arial"/>
          <w:i/>
          <w:u w:val="single"/>
        </w:rPr>
      </w:pPr>
      <w:r>
        <w:rPr>
          <w:rFonts w:ascii="Arial" w:hAnsi="Arial" w:cs="Arial"/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B5BC4AF" wp14:editId="2A953941">
                <wp:simplePos x="0" y="0"/>
                <wp:positionH relativeFrom="margin">
                  <wp:align>center</wp:align>
                </wp:positionH>
                <wp:positionV relativeFrom="paragraph">
                  <wp:posOffset>143890</wp:posOffset>
                </wp:positionV>
                <wp:extent cx="6122670" cy="3599815"/>
                <wp:effectExtent l="0" t="0" r="11430" b="635"/>
                <wp:wrapTopAndBottom/>
                <wp:docPr id="9" name="Group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2670" cy="3599815"/>
                          <a:chOff x="0" y="0"/>
                          <a:chExt cx="6123263" cy="3599815"/>
                        </a:xfrm>
                      </wpg:grpSpPr>
                      <wpg:graphicFrame>
                        <wpg:cNvPr id="2" name="Chart 2"/>
                        <wpg:cNvFrPr/>
                        <wpg:xfrm>
                          <a:off x="0" y="0"/>
                          <a:ext cx="3059430" cy="3599815"/>
                        </wpg:xfrm>
                        <a:graphic>
                          <a:graphicData uri="http://schemas.openxmlformats.org/drawingml/2006/chart">
                            <c:chart xmlns:c="http://schemas.openxmlformats.org/drawingml/2006/chart" xmlns:r="http://schemas.openxmlformats.org/officeDocument/2006/relationships" r:id="rId8"/>
                          </a:graphicData>
                        </a:graphic>
                      </wpg:graphicFrame>
                      <wpg:graphicFrame>
                        <wpg:cNvPr id="5" name="Chart 5"/>
                        <wpg:cNvFrPr/>
                        <wpg:xfrm>
                          <a:off x="3063833" y="0"/>
                          <a:ext cx="3059430" cy="3599815"/>
                        </wpg:xfrm>
                        <a:graphic>
                          <a:graphicData uri="http://schemas.openxmlformats.org/drawingml/2006/chart">
                            <c:chart xmlns:c="http://schemas.openxmlformats.org/drawingml/2006/chart" xmlns:r="http://schemas.openxmlformats.org/officeDocument/2006/relationships" r:id="rId9"/>
                          </a:graphicData>
                        </a:graphic>
                      </wpg:graphicFrame>
                    </wpg:wgp>
                  </a:graphicData>
                </a:graphic>
              </wp:anchor>
            </w:drawing>
          </mc:Choice>
          <mc:Fallback>
            <w:pict>
              <v:group w14:anchorId="631743A2" id="Group 9" o:spid="_x0000_s1026" style="position:absolute;margin-left:0;margin-top:11.35pt;width:482.1pt;height:283.45pt;z-index:251659264;mso-position-horizontal:center;mso-position-horizontal-relative:margin" coordsize="61232,35998" o:gfxdata="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hart 2" o:spid="_x0000_s1027" type="#_x0000_t75" style="position:absolute;left:-60;top:-60;width:30725;height:3614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">
                  <v:imagedata r:id="rId10" o:title=""/>
                  <o:lock v:ext="edit" aspectratio="f"/>
                </v:shape>
                <v:shape id="Chart 5" o:spid="_x0000_s1028" type="#_x0000_t75" style="position:absolute;left:30604;top:-60;width:30666;height:3614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">
                  <v:imagedata r:id="rId11" o:title=""/>
                  <o:lock v:ext="edit" aspectratio="f"/>
                </v:shape>
                <w10:wrap type="topAndBottom" anchorx="margin"/>
              </v:group>
            </w:pict>
          </mc:Fallback>
        </mc:AlternateContent>
      </w:r>
    </w:p>
    <w:p w:rsidR="00374A49" w:rsidRPr="00601E63" w:rsidRDefault="00374A49" w:rsidP="00374A49">
      <w:pPr>
        <w:spacing w:after="0" w:line="240" w:lineRule="auto"/>
        <w:jc w:val="center"/>
        <w:rPr>
          <w:rFonts w:ascii="Arial" w:hAnsi="Arial" w:cs="Arial"/>
          <w:i/>
        </w:rPr>
      </w:pPr>
      <w:r>
        <w:rPr>
          <w:rFonts w:ascii="Arial" w:hAnsi="Arial" w:cs="Arial"/>
          <w:i/>
          <w:u w:val="single"/>
        </w:rPr>
        <w:t>F</w:t>
      </w:r>
      <w:r w:rsidRPr="00601E63">
        <w:rPr>
          <w:rFonts w:ascii="Arial" w:hAnsi="Arial" w:cs="Arial"/>
          <w:i/>
          <w:u w:val="single"/>
        </w:rPr>
        <w:t xml:space="preserve">igure </w:t>
      </w:r>
      <w:r>
        <w:rPr>
          <w:rFonts w:ascii="Arial" w:hAnsi="Arial" w:cs="Arial"/>
          <w:i/>
          <w:u w:val="single"/>
        </w:rPr>
        <w:t>S</w:t>
      </w:r>
      <w:r w:rsidRPr="00601E63">
        <w:rPr>
          <w:rFonts w:ascii="Arial" w:hAnsi="Arial" w:cs="Arial"/>
          <w:i/>
          <w:u w:val="single"/>
        </w:rPr>
        <w:t>2.</w:t>
      </w:r>
      <w:r w:rsidRPr="00601E63">
        <w:rPr>
          <w:rFonts w:ascii="Arial" w:hAnsi="Arial" w:cs="Arial"/>
          <w:i/>
        </w:rPr>
        <w:t xml:space="preserve"> Radar plots showing compounds</w:t>
      </w:r>
      <w:r>
        <w:rPr>
          <w:rFonts w:ascii="Arial" w:hAnsi="Arial" w:cs="Arial"/>
          <w:i/>
        </w:rPr>
        <w:t xml:space="preserve"> (see Table 2 for abbreviations)</w:t>
      </w:r>
      <w:r w:rsidRPr="00601E63">
        <w:rPr>
          <w:rFonts w:ascii="Arial" w:hAnsi="Arial" w:cs="Arial"/>
          <w:i/>
        </w:rPr>
        <w:t xml:space="preserve"> which are different in cephalexin sensitive and resistant isolates without (A) and with (B) antibiotic added to the media. S = sensitive and R = resistant</w:t>
      </w:r>
    </w:p>
    <w:p w:rsidR="00374A49" w:rsidRDefault="00374A49" w:rsidP="00374A49">
      <w:pPr>
        <w:spacing w:after="0" w:line="240" w:lineRule="auto"/>
        <w:jc w:val="both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Figure 3(A) shows 22 compounds </w:t>
      </w:r>
      <w:r w:rsidRPr="001D5FBB">
        <w:rPr>
          <w:rFonts w:ascii="Arial" w:hAnsi="Arial" w:cs="Arial"/>
        </w:rPr>
        <w:t>whose presence/absence differed significantly between</w:t>
      </w:r>
      <w:r>
        <w:rPr>
          <w:rFonts w:ascii="Arial" w:hAnsi="Arial" w:cs="Arial"/>
        </w:rPr>
        <w:t xml:space="preserve"> cephalexin sensitive and ciprofloxacin resistant bacterial isolates (p ≤</w:t>
      </w:r>
      <w:r w:rsidRPr="00FE1445">
        <w:rPr>
          <w:rFonts w:ascii="Arial" w:hAnsi="Arial" w:cs="Arial"/>
        </w:rPr>
        <w:t>0.05</w:t>
      </w:r>
      <w:r>
        <w:rPr>
          <w:rFonts w:ascii="Arial" w:hAnsi="Arial" w:cs="Arial"/>
        </w:rPr>
        <w:t xml:space="preserve"> using chi-square analysis) without cephalexin added to the media. When cephalexin was added to the media of isolates, 5 compounds were identified that differed significantly in terms of presence/absence, shown in figure 2(B).  A key for compound name abbreviations is provided in table 2. </w:t>
      </w: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39C2379F" wp14:editId="6ADCB3C3">
                <wp:simplePos x="0" y="0"/>
                <wp:positionH relativeFrom="margin">
                  <wp:align>center</wp:align>
                </wp:positionH>
                <wp:positionV relativeFrom="paragraph">
                  <wp:posOffset>-265603</wp:posOffset>
                </wp:positionV>
                <wp:extent cx="6116529" cy="3599815"/>
                <wp:effectExtent l="0" t="0" r="17780" b="635"/>
                <wp:wrapNone/>
                <wp:docPr id="12" name="Group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16529" cy="3599815"/>
                          <a:chOff x="0" y="0"/>
                          <a:chExt cx="6116529" cy="3599815"/>
                        </a:xfrm>
                      </wpg:grpSpPr>
                      <wpg:graphicFrame>
                        <wpg:cNvPr id="11" name="Chart 11"/>
                        <wpg:cNvFrPr/>
                        <wpg:xfrm>
                          <a:off x="3057099" y="0"/>
                          <a:ext cx="3059430" cy="3599815"/>
                        </wpg:xfrm>
                        <a:graphic>
                          <a:graphicData uri="http://schemas.openxmlformats.org/drawingml/2006/chart">
                            <c:chart xmlns:c="http://schemas.openxmlformats.org/drawingml/2006/chart" xmlns:r="http://schemas.openxmlformats.org/officeDocument/2006/relationships" r:id="rId12"/>
                          </a:graphicData>
                        </a:graphic>
                      </wpg:graphicFrame>
                      <wpg:graphicFrame>
                        <wpg:cNvPr id="10" name="Chart 10"/>
                        <wpg:cNvFrPr/>
                        <wpg:xfrm>
                          <a:off x="0" y="0"/>
                          <a:ext cx="3059430" cy="3599815"/>
                        </wpg:xfrm>
                        <a:graphic>
                          <a:graphicData uri="http://schemas.openxmlformats.org/drawingml/2006/chart">
                            <c:chart xmlns:c="http://schemas.openxmlformats.org/drawingml/2006/chart" xmlns:r="http://schemas.openxmlformats.org/officeDocument/2006/relationships" r:id="rId13"/>
                          </a:graphicData>
                        </a:graphic>
                      </wpg:graphicFrame>
                    </wpg:wgp>
                  </a:graphicData>
                </a:graphic>
              </wp:anchor>
            </w:drawing>
          </mc:Choice>
          <mc:Fallback>
            <w:pict>
              <v:group w14:anchorId="0980926E" id="Group 12" o:spid="_x0000_s1026" style="position:absolute;margin-left:0;margin-top:-20.9pt;width:481.6pt;height:283.45pt;z-index:251660288;mso-position-horizontal:center;mso-position-horizontal-relative:margin" coordsize="61165,35998" o:gfxdata="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">
                <v:shape id="Chart 11" o:spid="_x0000_s1027" type="#_x0000_t75" style="position:absolute;left:30480;top:-60;width:30723;height:3614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">
                  <v:imagedata r:id="rId14" o:title=""/>
                  <o:lock v:ext="edit" aspectratio="f"/>
                </v:shape>
                <v:shape id="Chart 10" o:spid="_x0000_s1028" type="#_x0000_t75" style="position:absolute;left:-60;top:-60;width:30722;height:3614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">
                  <v:imagedata r:id="rId15" o:title=""/>
                  <o:lock v:ext="edit" aspectratio="f"/>
                </v:shape>
                <w10:wrap anchorx="margin"/>
              </v:group>
            </w:pict>
          </mc:Fallback>
        </mc:AlternateContent>
      </w: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p w:rsidR="00374A49" w:rsidRDefault="00374A49" w:rsidP="00374A49">
      <w:pPr>
        <w:spacing w:after="0" w:line="240" w:lineRule="auto"/>
        <w:jc w:val="center"/>
        <w:rPr>
          <w:rFonts w:ascii="Arial" w:hAnsi="Arial" w:cs="Arial"/>
          <w:i/>
          <w:u w:val="single"/>
        </w:rPr>
      </w:pPr>
    </w:p>
    <w:p w:rsidR="00374A49" w:rsidRPr="00601E63" w:rsidRDefault="00374A49" w:rsidP="00374A49">
      <w:pPr>
        <w:spacing w:after="0" w:line="240" w:lineRule="auto"/>
        <w:jc w:val="center"/>
        <w:rPr>
          <w:rFonts w:ascii="Arial" w:hAnsi="Arial" w:cs="Arial"/>
          <w:i/>
        </w:rPr>
      </w:pPr>
      <w:r w:rsidRPr="00601E63">
        <w:rPr>
          <w:rFonts w:ascii="Arial" w:hAnsi="Arial" w:cs="Arial"/>
          <w:i/>
          <w:u w:val="single"/>
        </w:rPr>
        <w:t xml:space="preserve">Figure </w:t>
      </w:r>
      <w:r>
        <w:rPr>
          <w:rFonts w:ascii="Arial" w:hAnsi="Arial" w:cs="Arial"/>
          <w:i/>
          <w:u w:val="single"/>
        </w:rPr>
        <w:t>S</w:t>
      </w:r>
      <w:r w:rsidRPr="00601E63">
        <w:rPr>
          <w:rFonts w:ascii="Arial" w:hAnsi="Arial" w:cs="Arial"/>
          <w:i/>
          <w:u w:val="single"/>
        </w:rPr>
        <w:t>3.</w:t>
      </w:r>
      <w:r w:rsidRPr="00601E63">
        <w:rPr>
          <w:rFonts w:ascii="Arial" w:hAnsi="Arial" w:cs="Arial"/>
          <w:i/>
        </w:rPr>
        <w:t xml:space="preserve"> Radar plots showing compounds</w:t>
      </w:r>
      <w:r>
        <w:rPr>
          <w:rFonts w:ascii="Arial" w:hAnsi="Arial" w:cs="Arial"/>
          <w:i/>
        </w:rPr>
        <w:t xml:space="preserve"> (see Table 2 for abbreviations)</w:t>
      </w:r>
      <w:r w:rsidRPr="00601E63">
        <w:rPr>
          <w:rFonts w:ascii="Arial" w:hAnsi="Arial" w:cs="Arial"/>
          <w:i/>
        </w:rPr>
        <w:t xml:space="preserve"> which are different in c</w:t>
      </w:r>
      <w:r>
        <w:rPr>
          <w:rFonts w:ascii="Arial" w:hAnsi="Arial" w:cs="Arial"/>
          <w:i/>
        </w:rPr>
        <w:t>iprofloxac</w:t>
      </w:r>
      <w:r w:rsidRPr="00601E63">
        <w:rPr>
          <w:rFonts w:ascii="Arial" w:hAnsi="Arial" w:cs="Arial"/>
          <w:i/>
        </w:rPr>
        <w:t xml:space="preserve">in sensitive and resistant isolates without (A) and with (B) antibiotic added to the media. S = sensitive and R = resistant </w:t>
      </w:r>
    </w:p>
    <w:p w:rsidR="00374A49" w:rsidRDefault="00374A49" w:rsidP="00374A49">
      <w:pPr>
        <w:spacing w:after="0" w:line="240" w:lineRule="auto"/>
        <w:jc w:val="center"/>
        <w:rPr>
          <w:rFonts w:ascii="Arial" w:hAnsi="Arial" w:cs="Arial"/>
          <w:u w:val="single"/>
        </w:rPr>
      </w:pPr>
    </w:p>
    <w:p w:rsidR="00374A49" w:rsidRPr="00F00110" w:rsidRDefault="00374A49" w:rsidP="00374A49">
      <w:pPr>
        <w:spacing w:after="0" w:line="240" w:lineRule="auto"/>
        <w:jc w:val="center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Table S2. Key for radar plot compound name abbreviations</w:t>
      </w:r>
    </w:p>
    <w:p w:rsidR="00374A49" w:rsidRDefault="00374A49" w:rsidP="00374A49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b/>
                <w:szCs w:val="20"/>
              </w:rPr>
            </w:pPr>
            <w:r w:rsidRPr="004B29C8">
              <w:rPr>
                <w:rFonts w:ascii="Arial" w:hAnsi="Arial" w:cs="Arial"/>
                <w:b/>
                <w:color w:val="000000"/>
                <w:szCs w:val="20"/>
              </w:rPr>
              <w:t xml:space="preserve">Compound 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b/>
                <w:szCs w:val="20"/>
              </w:rPr>
            </w:pPr>
            <w:r w:rsidRPr="004B29C8">
              <w:rPr>
                <w:rFonts w:ascii="Arial" w:hAnsi="Arial" w:cs="Arial"/>
                <w:b/>
                <w:color w:val="000000"/>
                <w:szCs w:val="20"/>
              </w:rPr>
              <w:t>Abbreviation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Acetaldehyde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Acetal.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Acetone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Ace.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Acetophenone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Acetp.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Benzene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Bez.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Benzothiazole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Ben.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2,6-Bis(1,1-dimethylethyl)-1,4-benzenediol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Dimeth-E</w:t>
            </w: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th-Ben.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Butane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But.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Butanoic acid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But-A</w:t>
            </w: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cid.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2-Butanone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2-But.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Carbon dioxide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CO2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4-Cyanocyclohexane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4-CyanCyclohex.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Cyclobutene-2-propenylidene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Cycbute-2-P</w:t>
            </w: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rop.</w:t>
            </w:r>
          </w:p>
        </w:tc>
      </w:tr>
      <w:tr w:rsidR="00374A49" w:rsidRPr="009B1F8B" w:rsidTr="00321A87"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 xml:space="preserve">Cyclohexyl isothiocyanate </w:t>
            </w:r>
          </w:p>
        </w:tc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 xml:space="preserve">Cyclohex. 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Decanal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Decal.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Decane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Dec.</w:t>
            </w:r>
          </w:p>
        </w:tc>
      </w:tr>
      <w:tr w:rsidR="00374A49" w:rsidRPr="009B1F8B" w:rsidTr="00321A87"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>Diethylene glycol ethyl ether</w:t>
            </w:r>
          </w:p>
        </w:tc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Et-G</w:t>
            </w:r>
            <w:r w:rsidRPr="004B29C8">
              <w:rPr>
                <w:rFonts w:ascii="Arial" w:hAnsi="Arial" w:cs="Arial"/>
                <w:sz w:val="20"/>
                <w:szCs w:val="20"/>
              </w:rPr>
              <w:t xml:space="preserve">ly. 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Dimethyl disulphide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DMDS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Dimethyl sulphide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DMS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Dimethyl trisulphide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DMTS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Dodecanal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Dodal.</w:t>
            </w:r>
          </w:p>
        </w:tc>
      </w:tr>
      <w:tr w:rsidR="00374A49" w:rsidRPr="009B1F8B" w:rsidTr="00321A87"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 xml:space="preserve">Dodecane </w:t>
            </w:r>
          </w:p>
        </w:tc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 xml:space="preserve">Dodec. </w:t>
            </w:r>
          </w:p>
        </w:tc>
      </w:tr>
      <w:tr w:rsidR="00374A49" w:rsidRPr="009B1F8B" w:rsidTr="00321A87"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>1-Dodecanol</w:t>
            </w:r>
          </w:p>
        </w:tc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 xml:space="preserve">1-Dodec. 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Ethanol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Eth.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2-Ethyl-1-hexanol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2-Eth-1-Hexol.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Heptanoic acid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Hept-A</w:t>
            </w: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cid.</w:t>
            </w:r>
          </w:p>
        </w:tc>
      </w:tr>
      <w:tr w:rsidR="00374A49" w:rsidRPr="009B1F8B" w:rsidTr="00321A87"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lastRenderedPageBreak/>
              <w:t>5-Hepten-2-one, 6-methyl-</w:t>
            </w:r>
          </w:p>
        </w:tc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 xml:space="preserve">5-Hept. </w:t>
            </w:r>
          </w:p>
        </w:tc>
      </w:tr>
      <w:tr w:rsidR="00374A49" w:rsidRPr="009B1F8B" w:rsidTr="00321A87"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>Hexadecane</w:t>
            </w:r>
          </w:p>
        </w:tc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 xml:space="preserve">Hexadec. 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Indole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Ind.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Isopropyl alcohol </w:t>
            </w:r>
          </w:p>
        </w:tc>
        <w:tc>
          <w:tcPr>
            <w:tcW w:w="4508" w:type="dxa"/>
            <w:vAlign w:val="bottom"/>
          </w:tcPr>
          <w:p w:rsidR="00374A49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i-Prop-Alc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Isopropyl benzene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i-Prop-B</w:t>
            </w: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en.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3-Methylbutanal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3-MeButal.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3-Methyl-1-butanol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3-Me-1-Butol.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3-Methylbutyl acetate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3-MebutAc.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Methyl ethyl sulphide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MES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2-Methyl-1-hexadecanol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2-Me-1-Hexol.</w:t>
            </w:r>
          </w:p>
        </w:tc>
      </w:tr>
      <w:tr w:rsidR="00374A49" w:rsidRPr="009B1F8B" w:rsidTr="00321A87"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>4-Methylstyrene</w:t>
            </w:r>
          </w:p>
        </w:tc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Me-S</w:t>
            </w:r>
            <w:r w:rsidRPr="004B29C8">
              <w:rPr>
                <w:rFonts w:ascii="Arial" w:hAnsi="Arial" w:cs="Arial"/>
                <w:sz w:val="20"/>
                <w:szCs w:val="20"/>
              </w:rPr>
              <w:t xml:space="preserve">ty. 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Nonanoic acid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Non-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A</w:t>
            </w: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cid.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Octanal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Octal.</w:t>
            </w:r>
          </w:p>
        </w:tc>
      </w:tr>
      <w:tr w:rsidR="00374A49" w:rsidRPr="009B1F8B" w:rsidTr="00321A87"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>Octyl ether</w:t>
            </w:r>
          </w:p>
        </w:tc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Oct-E</w:t>
            </w:r>
            <w:r w:rsidRPr="004B29C8">
              <w:rPr>
                <w:rFonts w:ascii="Arial" w:hAnsi="Arial" w:cs="Arial"/>
                <w:sz w:val="20"/>
                <w:szCs w:val="20"/>
              </w:rPr>
              <w:t xml:space="preserve">th. </w:t>
            </w:r>
          </w:p>
        </w:tc>
      </w:tr>
      <w:tr w:rsidR="00374A49" w:rsidRPr="009B1F8B" w:rsidTr="00321A87"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>Pentadecane</w:t>
            </w:r>
          </w:p>
        </w:tc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 xml:space="preserve">Pentadec. </w:t>
            </w:r>
          </w:p>
        </w:tc>
      </w:tr>
      <w:tr w:rsidR="00374A49" w:rsidRPr="009B1F8B" w:rsidTr="00321A87"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>α-Pinene</w:t>
            </w:r>
          </w:p>
        </w:tc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 xml:space="preserve">Pin. </w:t>
            </w:r>
          </w:p>
        </w:tc>
      </w:tr>
      <w:tr w:rsidR="00374A49" w:rsidRPr="009B1F8B" w:rsidTr="00321A87"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 xml:space="preserve">1-Propenethiol </w:t>
            </w:r>
          </w:p>
        </w:tc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Prop-T</w:t>
            </w:r>
            <w:r w:rsidRPr="004B29C8">
              <w:rPr>
                <w:rFonts w:ascii="Arial" w:hAnsi="Arial" w:cs="Arial"/>
                <w:sz w:val="20"/>
                <w:szCs w:val="20"/>
              </w:rPr>
              <w:t xml:space="preserve">hi. 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p-Xylene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p-Xyl.</w:t>
            </w:r>
          </w:p>
        </w:tc>
      </w:tr>
      <w:tr w:rsidR="00374A49" w:rsidRPr="009B1F8B" w:rsidTr="00321A87"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>Tetradecanal</w:t>
            </w:r>
          </w:p>
        </w:tc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 xml:space="preserve">Tetradec. </w:t>
            </w:r>
          </w:p>
        </w:tc>
      </w:tr>
      <w:tr w:rsidR="00374A49" w:rsidRPr="009B1F8B" w:rsidTr="00321A87"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Trichlorome</w:t>
            </w:r>
            <w:r w:rsidRPr="004B29C8">
              <w:rPr>
                <w:rFonts w:ascii="Arial" w:hAnsi="Arial" w:cs="Arial"/>
                <w:sz w:val="20"/>
                <w:szCs w:val="20"/>
              </w:rPr>
              <w:t>t</w:t>
            </w:r>
            <w:r>
              <w:rPr>
                <w:rFonts w:ascii="Arial" w:hAnsi="Arial" w:cs="Arial"/>
                <w:sz w:val="20"/>
                <w:szCs w:val="20"/>
              </w:rPr>
              <w:t>h</w:t>
            </w:r>
            <w:r w:rsidRPr="004B29C8">
              <w:rPr>
                <w:rFonts w:ascii="Arial" w:hAnsi="Arial" w:cs="Arial"/>
                <w:sz w:val="20"/>
                <w:szCs w:val="20"/>
              </w:rPr>
              <w:t>ane</w:t>
            </w:r>
          </w:p>
        </w:tc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>TCM</w:t>
            </w:r>
          </w:p>
        </w:tc>
      </w:tr>
      <w:tr w:rsidR="00374A49" w:rsidRPr="009B1F8B" w:rsidTr="00321A87"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>Tridecane</w:t>
            </w:r>
          </w:p>
        </w:tc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>Tridec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374A49" w:rsidRPr="009B1F8B" w:rsidTr="00321A87"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>Trimethylbenzene</w:t>
            </w:r>
          </w:p>
        </w:tc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>TMB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Undecanal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Undal.</w:t>
            </w:r>
          </w:p>
        </w:tc>
      </w:tr>
      <w:tr w:rsidR="00374A49" w:rsidRPr="009B1F8B" w:rsidTr="00321A87"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 xml:space="preserve"> 2-Undecenal</w:t>
            </w:r>
          </w:p>
        </w:tc>
        <w:tc>
          <w:tcPr>
            <w:tcW w:w="4508" w:type="dxa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29C8">
              <w:rPr>
                <w:rFonts w:ascii="Arial" w:hAnsi="Arial" w:cs="Arial"/>
                <w:sz w:val="20"/>
                <w:szCs w:val="20"/>
              </w:rPr>
              <w:t xml:space="preserve">2-Undec. 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CA7A39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3DA0">
              <w:rPr>
                <w:rFonts w:ascii="Arial" w:hAnsi="Arial" w:cs="Arial"/>
                <w:color w:val="000000"/>
                <w:sz w:val="20"/>
                <w:szCs w:val="20"/>
              </w:rPr>
              <w:t>Undecane</w:t>
            </w:r>
          </w:p>
        </w:tc>
        <w:tc>
          <w:tcPr>
            <w:tcW w:w="4508" w:type="dxa"/>
            <w:vAlign w:val="bottom"/>
          </w:tcPr>
          <w:p w:rsidR="00374A49" w:rsidRPr="00CA7A39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3DA0">
              <w:rPr>
                <w:rFonts w:ascii="Arial" w:hAnsi="Arial" w:cs="Arial"/>
                <w:color w:val="000000"/>
                <w:sz w:val="20"/>
                <w:szCs w:val="20"/>
              </w:rPr>
              <w:t>Und.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Unknown 1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Unk. 1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Unknown 2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Unk. 2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Unknown 3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Unk. 3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Unknown 4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Unk. 4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Unknown 5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Unk. 5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Unknown 6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Unk. 6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Unknown 7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Unk. 7</w:t>
            </w:r>
          </w:p>
        </w:tc>
      </w:tr>
      <w:tr w:rsidR="00374A49" w:rsidRPr="009B1F8B" w:rsidTr="00321A87"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Unknown 8</w:t>
            </w:r>
          </w:p>
        </w:tc>
        <w:tc>
          <w:tcPr>
            <w:tcW w:w="4508" w:type="dxa"/>
            <w:vAlign w:val="bottom"/>
          </w:tcPr>
          <w:p w:rsidR="00374A49" w:rsidRPr="004B29C8" w:rsidRDefault="00374A49" w:rsidP="00321A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9C8">
              <w:rPr>
                <w:rFonts w:ascii="Arial" w:hAnsi="Arial" w:cs="Arial"/>
                <w:color w:val="000000"/>
                <w:sz w:val="20"/>
                <w:szCs w:val="20"/>
              </w:rPr>
              <w:t>Unk. 8</w:t>
            </w:r>
          </w:p>
        </w:tc>
      </w:tr>
    </w:tbl>
    <w:p w:rsidR="00A950FC" w:rsidRDefault="00A950FC"/>
    <w:sectPr w:rsidR="00A950FC">
      <w:footerReference w:type="defaul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6E78" w:rsidRDefault="00826E78" w:rsidP="00374A49">
      <w:pPr>
        <w:spacing w:after="0" w:line="240" w:lineRule="auto"/>
      </w:pPr>
      <w:r>
        <w:separator/>
      </w:r>
    </w:p>
  </w:endnote>
  <w:endnote w:type="continuationSeparator" w:id="0">
    <w:p w:rsidR="00826E78" w:rsidRDefault="00826E78" w:rsidP="00374A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5827794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74A49" w:rsidRDefault="00374A4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74A49" w:rsidRDefault="00374A4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6E78" w:rsidRDefault="00826E78" w:rsidP="00374A49">
      <w:pPr>
        <w:spacing w:after="0" w:line="240" w:lineRule="auto"/>
      </w:pPr>
      <w:r>
        <w:separator/>
      </w:r>
    </w:p>
  </w:footnote>
  <w:footnote w:type="continuationSeparator" w:id="0">
    <w:p w:rsidR="00826E78" w:rsidRDefault="00826E78" w:rsidP="00374A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5A1F6B"/>
    <w:multiLevelType w:val="multilevel"/>
    <w:tmpl w:val="D2AEEC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A49"/>
    <w:rsid w:val="00374A49"/>
    <w:rsid w:val="00826E78"/>
    <w:rsid w:val="00A95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F2E1E3"/>
  <w15:chartTrackingRefBased/>
  <w15:docId w15:val="{85F7F90C-0A35-454D-A38E-AF2F11082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4A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4A49"/>
    <w:pPr>
      <w:ind w:left="720"/>
      <w:contextualSpacing/>
    </w:pPr>
  </w:style>
  <w:style w:type="table" w:styleId="TableGrid">
    <w:name w:val="Table Grid"/>
    <w:basedOn w:val="TableNormal"/>
    <w:uiPriority w:val="39"/>
    <w:rsid w:val="00374A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74A4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4A49"/>
  </w:style>
  <w:style w:type="paragraph" w:styleId="Footer">
    <w:name w:val="footer"/>
    <w:basedOn w:val="Normal"/>
    <w:link w:val="FooterChar"/>
    <w:uiPriority w:val="99"/>
    <w:unhideWhenUsed/>
    <w:rsid w:val="00374A4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4A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chart" Target="charts/chart5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chart" Target="charts/chart4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png"/><Relationship Id="rId5" Type="http://schemas.openxmlformats.org/officeDocument/2006/relationships/footnotes" Target="footnotes.xml"/><Relationship Id="rId15" Type="http://schemas.openxmlformats.org/officeDocument/2006/relationships/image" Target="media/image4.png"/><Relationship Id="rId10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chart" Target="charts/chart3.xml"/><Relationship Id="rId14" Type="http://schemas.openxmlformats.org/officeDocument/2006/relationships/image" Target="media/image3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s-smart\Documents\Norman%20work\AMR\Radar%20plots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s-smart\Documents\Norman%20work\AMR\Radar%20plots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s-smart\Documents\Norman%20work\AMR\Radar%20plots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s-smart\Documents\Norman%20work\AMR\Radar%20plots.xlsx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s-smart\Documents\Norman%20work\AMR\Radar%20plots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radarChart>
        <c:radarStyle val="marker"/>
        <c:varyColors val="0"/>
        <c:ser>
          <c:idx val="0"/>
          <c:order val="0"/>
          <c:tx>
            <c:strRef>
              <c:f>'All bac'!$C$1</c:f>
              <c:strCache>
                <c:ptCount val="1"/>
                <c:pt idx="0">
                  <c:v>% in EC</c:v>
                </c:pt>
              </c:strCache>
            </c:strRef>
          </c:tx>
          <c:spPr>
            <a:ln w="28575" cap="rnd">
              <a:solidFill>
                <a:schemeClr val="accent1"/>
              </a:solidFill>
              <a:prstDash val="solid"/>
              <a:round/>
            </a:ln>
            <a:effectLst/>
          </c:spPr>
          <c:marker>
            <c:symbol val="none"/>
          </c:marker>
          <c:dPt>
            <c:idx val="23"/>
            <c:bubble3D val="0"/>
            <c:spPr>
              <a:ln w="25400" cap="rnd">
                <a:solidFill>
                  <a:schemeClr val="accent1"/>
                </a:solidFill>
                <a:prstDash val="solid"/>
                <a:round/>
              </a:ln>
              <a:effectLst/>
            </c:spPr>
            <c:extLst>
              <c:ext xmlns:c16="http://schemas.microsoft.com/office/drawing/2014/chart" uri="{C3380CC4-5D6E-409C-BE32-E72D297353CC}">
                <c16:uniqueId val="{00000001-9928-45FF-B145-362CDD4AF165}"/>
              </c:ext>
            </c:extLst>
          </c:dPt>
          <c:cat>
            <c:strRef>
              <c:f>'All bac'!$B$2:$B$32</c:f>
              <c:strCache>
                <c:ptCount val="31"/>
                <c:pt idx="0">
                  <c:v>Unk. 1</c:v>
                </c:pt>
                <c:pt idx="1">
                  <c:v>But.</c:v>
                </c:pt>
                <c:pt idx="2">
                  <c:v>Unk. 2</c:v>
                </c:pt>
                <c:pt idx="3">
                  <c:v>Eth. </c:v>
                </c:pt>
                <c:pt idx="4">
                  <c:v>Ace. </c:v>
                </c:pt>
                <c:pt idx="5">
                  <c:v>2-But. </c:v>
                </c:pt>
                <c:pt idx="6">
                  <c:v>3-MeButal.</c:v>
                </c:pt>
                <c:pt idx="7">
                  <c:v>DMDS</c:v>
                </c:pt>
                <c:pt idx="8">
                  <c:v>3-Me-1-Butol.</c:v>
                </c:pt>
                <c:pt idx="9">
                  <c:v>3-MebutAc.</c:v>
                </c:pt>
                <c:pt idx="10">
                  <c:v>Unk. 3</c:v>
                </c:pt>
                <c:pt idx="11">
                  <c:v>Pin.</c:v>
                </c:pt>
                <c:pt idx="12">
                  <c:v>Unk. 4</c:v>
                </c:pt>
                <c:pt idx="13">
                  <c:v>TMB</c:v>
                </c:pt>
                <c:pt idx="14">
                  <c:v>DMTS</c:v>
                </c:pt>
                <c:pt idx="15">
                  <c:v>Me-Sty. </c:v>
                </c:pt>
                <c:pt idx="16">
                  <c:v>Oct-Eth. </c:v>
                </c:pt>
                <c:pt idx="17">
                  <c:v>2-Eth-1-Hexol.</c:v>
                </c:pt>
                <c:pt idx="18">
                  <c:v>Unk. 5</c:v>
                </c:pt>
                <c:pt idx="19">
                  <c:v>Unk. 6</c:v>
                </c:pt>
                <c:pt idx="20">
                  <c:v>Und.</c:v>
                </c:pt>
                <c:pt idx="21">
                  <c:v>2-Me-1-Hexol.</c:v>
                </c:pt>
                <c:pt idx="22">
                  <c:v>i-Prop-Ben.</c:v>
                </c:pt>
                <c:pt idx="23">
                  <c:v>Dodec.</c:v>
                </c:pt>
                <c:pt idx="24">
                  <c:v>Decal.</c:v>
                </c:pt>
                <c:pt idx="25">
                  <c:v>Tridec.</c:v>
                </c:pt>
                <c:pt idx="26">
                  <c:v>Cyclohex.</c:v>
                </c:pt>
                <c:pt idx="27">
                  <c:v>Ben.</c:v>
                </c:pt>
                <c:pt idx="28">
                  <c:v>Pentadec.</c:v>
                </c:pt>
                <c:pt idx="29">
                  <c:v>Unk. 7</c:v>
                </c:pt>
                <c:pt idx="30">
                  <c:v>Unk. 8</c:v>
                </c:pt>
              </c:strCache>
            </c:strRef>
          </c:cat>
          <c:val>
            <c:numRef>
              <c:f>'All bac'!$C$2:$C$32</c:f>
              <c:numCache>
                <c:formatCode>General</c:formatCode>
                <c:ptCount val="31"/>
                <c:pt idx="0">
                  <c:v>3.3</c:v>
                </c:pt>
                <c:pt idx="1">
                  <c:v>6.7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6.7</c:v>
                </c:pt>
                <c:pt idx="6">
                  <c:v>0</c:v>
                </c:pt>
                <c:pt idx="7">
                  <c:v>13.3</c:v>
                </c:pt>
                <c:pt idx="8">
                  <c:v>0</c:v>
                </c:pt>
                <c:pt idx="9">
                  <c:v>0</c:v>
                </c:pt>
                <c:pt idx="10">
                  <c:v>0</c:v>
                </c:pt>
                <c:pt idx="11">
                  <c:v>0</c:v>
                </c:pt>
                <c:pt idx="12">
                  <c:v>0</c:v>
                </c:pt>
                <c:pt idx="13">
                  <c:v>0</c:v>
                </c:pt>
                <c:pt idx="14">
                  <c:v>13.3</c:v>
                </c:pt>
                <c:pt idx="15">
                  <c:v>0</c:v>
                </c:pt>
                <c:pt idx="16">
                  <c:v>3.3</c:v>
                </c:pt>
                <c:pt idx="17">
                  <c:v>13.3</c:v>
                </c:pt>
                <c:pt idx="18">
                  <c:v>0</c:v>
                </c:pt>
                <c:pt idx="19">
                  <c:v>0</c:v>
                </c:pt>
                <c:pt idx="20">
                  <c:v>0</c:v>
                </c:pt>
                <c:pt idx="21">
                  <c:v>0</c:v>
                </c:pt>
                <c:pt idx="22">
                  <c:v>26.7</c:v>
                </c:pt>
                <c:pt idx="23">
                  <c:v>3.3</c:v>
                </c:pt>
                <c:pt idx="24">
                  <c:v>20</c:v>
                </c:pt>
                <c:pt idx="25">
                  <c:v>0</c:v>
                </c:pt>
                <c:pt idx="26">
                  <c:v>0</c:v>
                </c:pt>
                <c:pt idx="27">
                  <c:v>6.7</c:v>
                </c:pt>
                <c:pt idx="28">
                  <c:v>0</c:v>
                </c:pt>
                <c:pt idx="29">
                  <c:v>0</c:v>
                </c:pt>
                <c:pt idx="3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9928-45FF-B145-362CDD4AF165}"/>
            </c:ext>
          </c:extLst>
        </c:ser>
        <c:ser>
          <c:idx val="1"/>
          <c:order val="1"/>
          <c:tx>
            <c:strRef>
              <c:f>'All bac'!$D$1</c:f>
              <c:strCache>
                <c:ptCount val="1"/>
                <c:pt idx="0">
                  <c:v>% in KP</c:v>
                </c:pt>
              </c:strCache>
            </c:strRef>
          </c:tx>
          <c:spPr>
            <a:ln w="12700" cap="rnd" cmpd="sng">
              <a:solidFill>
                <a:schemeClr val="accent2"/>
              </a:solidFill>
              <a:prstDash val="solid"/>
              <a:round/>
            </a:ln>
            <a:effectLst/>
          </c:spPr>
          <c:marker>
            <c:symbol val="none"/>
          </c:marker>
          <c:cat>
            <c:strRef>
              <c:f>'All bac'!$B$2:$B$32</c:f>
              <c:strCache>
                <c:ptCount val="31"/>
                <c:pt idx="0">
                  <c:v>Unk. 1</c:v>
                </c:pt>
                <c:pt idx="1">
                  <c:v>But.</c:v>
                </c:pt>
                <c:pt idx="2">
                  <c:v>Unk. 2</c:v>
                </c:pt>
                <c:pt idx="3">
                  <c:v>Eth. </c:v>
                </c:pt>
                <c:pt idx="4">
                  <c:v>Ace. </c:v>
                </c:pt>
                <c:pt idx="5">
                  <c:v>2-But. </c:v>
                </c:pt>
                <c:pt idx="6">
                  <c:v>3-MeButal.</c:v>
                </c:pt>
                <c:pt idx="7">
                  <c:v>DMDS</c:v>
                </c:pt>
                <c:pt idx="8">
                  <c:v>3-Me-1-Butol.</c:v>
                </c:pt>
                <c:pt idx="9">
                  <c:v>3-MebutAc.</c:v>
                </c:pt>
                <c:pt idx="10">
                  <c:v>Unk. 3</c:v>
                </c:pt>
                <c:pt idx="11">
                  <c:v>Pin.</c:v>
                </c:pt>
                <c:pt idx="12">
                  <c:v>Unk. 4</c:v>
                </c:pt>
                <c:pt idx="13">
                  <c:v>TMB</c:v>
                </c:pt>
                <c:pt idx="14">
                  <c:v>DMTS</c:v>
                </c:pt>
                <c:pt idx="15">
                  <c:v>Me-Sty. </c:v>
                </c:pt>
                <c:pt idx="16">
                  <c:v>Oct-Eth. </c:v>
                </c:pt>
                <c:pt idx="17">
                  <c:v>2-Eth-1-Hexol.</c:v>
                </c:pt>
                <c:pt idx="18">
                  <c:v>Unk. 5</c:v>
                </c:pt>
                <c:pt idx="19">
                  <c:v>Unk. 6</c:v>
                </c:pt>
                <c:pt idx="20">
                  <c:v>Und.</c:v>
                </c:pt>
                <c:pt idx="21">
                  <c:v>2-Me-1-Hexol.</c:v>
                </c:pt>
                <c:pt idx="22">
                  <c:v>i-Prop-Ben.</c:v>
                </c:pt>
                <c:pt idx="23">
                  <c:v>Dodec.</c:v>
                </c:pt>
                <c:pt idx="24">
                  <c:v>Decal.</c:v>
                </c:pt>
                <c:pt idx="25">
                  <c:v>Tridec.</c:v>
                </c:pt>
                <c:pt idx="26">
                  <c:v>Cyclohex.</c:v>
                </c:pt>
                <c:pt idx="27">
                  <c:v>Ben.</c:v>
                </c:pt>
                <c:pt idx="28">
                  <c:v>Pentadec.</c:v>
                </c:pt>
                <c:pt idx="29">
                  <c:v>Unk. 7</c:v>
                </c:pt>
                <c:pt idx="30">
                  <c:v>Unk. 8</c:v>
                </c:pt>
              </c:strCache>
            </c:strRef>
          </c:cat>
          <c:val>
            <c:numRef>
              <c:f>'All bac'!$D$2:$D$32</c:f>
              <c:numCache>
                <c:formatCode>General</c:formatCode>
                <c:ptCount val="31"/>
                <c:pt idx="0">
                  <c:v>13.3</c:v>
                </c:pt>
                <c:pt idx="1">
                  <c:v>20</c:v>
                </c:pt>
                <c:pt idx="2">
                  <c:v>13.3</c:v>
                </c:pt>
                <c:pt idx="3">
                  <c:v>0</c:v>
                </c:pt>
                <c:pt idx="4">
                  <c:v>0</c:v>
                </c:pt>
                <c:pt idx="5">
                  <c:v>6.7</c:v>
                </c:pt>
                <c:pt idx="6">
                  <c:v>13.3</c:v>
                </c:pt>
                <c:pt idx="7">
                  <c:v>26.6</c:v>
                </c:pt>
                <c:pt idx="8">
                  <c:v>13.3</c:v>
                </c:pt>
                <c:pt idx="9">
                  <c:v>20</c:v>
                </c:pt>
                <c:pt idx="10">
                  <c:v>0</c:v>
                </c:pt>
                <c:pt idx="11">
                  <c:v>13.3</c:v>
                </c:pt>
                <c:pt idx="12">
                  <c:v>0</c:v>
                </c:pt>
                <c:pt idx="13">
                  <c:v>6.7</c:v>
                </c:pt>
                <c:pt idx="14">
                  <c:v>13.3</c:v>
                </c:pt>
                <c:pt idx="15">
                  <c:v>6.7</c:v>
                </c:pt>
                <c:pt idx="16">
                  <c:v>0</c:v>
                </c:pt>
                <c:pt idx="17">
                  <c:v>26.7</c:v>
                </c:pt>
                <c:pt idx="18">
                  <c:v>0</c:v>
                </c:pt>
                <c:pt idx="19">
                  <c:v>0</c:v>
                </c:pt>
                <c:pt idx="20">
                  <c:v>0</c:v>
                </c:pt>
                <c:pt idx="21">
                  <c:v>0</c:v>
                </c:pt>
                <c:pt idx="22">
                  <c:v>6.7</c:v>
                </c:pt>
                <c:pt idx="23">
                  <c:v>0</c:v>
                </c:pt>
                <c:pt idx="24">
                  <c:v>33.300000000000011</c:v>
                </c:pt>
                <c:pt idx="25">
                  <c:v>0</c:v>
                </c:pt>
                <c:pt idx="26">
                  <c:v>0</c:v>
                </c:pt>
                <c:pt idx="27">
                  <c:v>6.7</c:v>
                </c:pt>
                <c:pt idx="28">
                  <c:v>6.7</c:v>
                </c:pt>
                <c:pt idx="29">
                  <c:v>0</c:v>
                </c:pt>
                <c:pt idx="3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9928-45FF-B145-362CDD4AF165}"/>
            </c:ext>
          </c:extLst>
        </c:ser>
        <c:ser>
          <c:idx val="2"/>
          <c:order val="2"/>
          <c:tx>
            <c:strRef>
              <c:f>'All bac'!$E$1</c:f>
              <c:strCache>
                <c:ptCount val="1"/>
                <c:pt idx="0">
                  <c:v>% in PA</c:v>
                </c:pt>
              </c:strCache>
            </c:strRef>
          </c:tx>
          <c:spPr>
            <a:ln w="28575" cap="rnd" cmpd="sng">
              <a:solidFill>
                <a:schemeClr val="accent3">
                  <a:alpha val="40000"/>
                </a:schemeClr>
              </a:solidFill>
              <a:prstDash val="solid"/>
              <a:round/>
            </a:ln>
            <a:effectLst/>
          </c:spPr>
          <c:marker>
            <c:symbol val="none"/>
          </c:marker>
          <c:cat>
            <c:strRef>
              <c:f>'All bac'!$B$2:$B$32</c:f>
              <c:strCache>
                <c:ptCount val="31"/>
                <c:pt idx="0">
                  <c:v>Unk. 1</c:v>
                </c:pt>
                <c:pt idx="1">
                  <c:v>But.</c:v>
                </c:pt>
                <c:pt idx="2">
                  <c:v>Unk. 2</c:v>
                </c:pt>
                <c:pt idx="3">
                  <c:v>Eth. </c:v>
                </c:pt>
                <c:pt idx="4">
                  <c:v>Ace. </c:v>
                </c:pt>
                <c:pt idx="5">
                  <c:v>2-But. </c:v>
                </c:pt>
                <c:pt idx="6">
                  <c:v>3-MeButal.</c:v>
                </c:pt>
                <c:pt idx="7">
                  <c:v>DMDS</c:v>
                </c:pt>
                <c:pt idx="8">
                  <c:v>3-Me-1-Butol.</c:v>
                </c:pt>
                <c:pt idx="9">
                  <c:v>3-MebutAc.</c:v>
                </c:pt>
                <c:pt idx="10">
                  <c:v>Unk. 3</c:v>
                </c:pt>
                <c:pt idx="11">
                  <c:v>Pin.</c:v>
                </c:pt>
                <c:pt idx="12">
                  <c:v>Unk. 4</c:v>
                </c:pt>
                <c:pt idx="13">
                  <c:v>TMB</c:v>
                </c:pt>
                <c:pt idx="14">
                  <c:v>DMTS</c:v>
                </c:pt>
                <c:pt idx="15">
                  <c:v>Me-Sty. </c:v>
                </c:pt>
                <c:pt idx="16">
                  <c:v>Oct-Eth. </c:v>
                </c:pt>
                <c:pt idx="17">
                  <c:v>2-Eth-1-Hexol.</c:v>
                </c:pt>
                <c:pt idx="18">
                  <c:v>Unk. 5</c:v>
                </c:pt>
                <c:pt idx="19">
                  <c:v>Unk. 6</c:v>
                </c:pt>
                <c:pt idx="20">
                  <c:v>Und.</c:v>
                </c:pt>
                <c:pt idx="21">
                  <c:v>2-Me-1-Hexol.</c:v>
                </c:pt>
                <c:pt idx="22">
                  <c:v>i-Prop-Ben.</c:v>
                </c:pt>
                <c:pt idx="23">
                  <c:v>Dodec.</c:v>
                </c:pt>
                <c:pt idx="24">
                  <c:v>Decal.</c:v>
                </c:pt>
                <c:pt idx="25">
                  <c:v>Tridec.</c:v>
                </c:pt>
                <c:pt idx="26">
                  <c:v>Cyclohex.</c:v>
                </c:pt>
                <c:pt idx="27">
                  <c:v>Ben.</c:v>
                </c:pt>
                <c:pt idx="28">
                  <c:v>Pentadec.</c:v>
                </c:pt>
                <c:pt idx="29">
                  <c:v>Unk. 7</c:v>
                </c:pt>
                <c:pt idx="30">
                  <c:v>Unk. 8</c:v>
                </c:pt>
              </c:strCache>
            </c:strRef>
          </c:cat>
          <c:val>
            <c:numRef>
              <c:f>'All bac'!$E$2:$E$32</c:f>
              <c:numCache>
                <c:formatCode>General</c:formatCode>
                <c:ptCount val="31"/>
                <c:pt idx="0">
                  <c:v>40</c:v>
                </c:pt>
                <c:pt idx="1">
                  <c:v>0</c:v>
                </c:pt>
                <c:pt idx="2">
                  <c:v>0</c:v>
                </c:pt>
                <c:pt idx="3">
                  <c:v>60</c:v>
                </c:pt>
                <c:pt idx="4">
                  <c:v>40</c:v>
                </c:pt>
                <c:pt idx="5">
                  <c:v>60</c:v>
                </c:pt>
                <c:pt idx="6">
                  <c:v>0</c:v>
                </c:pt>
                <c:pt idx="7">
                  <c:v>60</c:v>
                </c:pt>
                <c:pt idx="8">
                  <c:v>0</c:v>
                </c:pt>
                <c:pt idx="9">
                  <c:v>0</c:v>
                </c:pt>
                <c:pt idx="10">
                  <c:v>20</c:v>
                </c:pt>
                <c:pt idx="11">
                  <c:v>0</c:v>
                </c:pt>
                <c:pt idx="12">
                  <c:v>20</c:v>
                </c:pt>
                <c:pt idx="13">
                  <c:v>40</c:v>
                </c:pt>
                <c:pt idx="14">
                  <c:v>60</c:v>
                </c:pt>
                <c:pt idx="15">
                  <c:v>20</c:v>
                </c:pt>
                <c:pt idx="16">
                  <c:v>20</c:v>
                </c:pt>
                <c:pt idx="17">
                  <c:v>60</c:v>
                </c:pt>
                <c:pt idx="18">
                  <c:v>20</c:v>
                </c:pt>
                <c:pt idx="19">
                  <c:v>20</c:v>
                </c:pt>
                <c:pt idx="20">
                  <c:v>60</c:v>
                </c:pt>
                <c:pt idx="21">
                  <c:v>40</c:v>
                </c:pt>
                <c:pt idx="22">
                  <c:v>0</c:v>
                </c:pt>
                <c:pt idx="23">
                  <c:v>40</c:v>
                </c:pt>
                <c:pt idx="24">
                  <c:v>60</c:v>
                </c:pt>
                <c:pt idx="25">
                  <c:v>60</c:v>
                </c:pt>
                <c:pt idx="26">
                  <c:v>20</c:v>
                </c:pt>
                <c:pt idx="27">
                  <c:v>40</c:v>
                </c:pt>
                <c:pt idx="28">
                  <c:v>40</c:v>
                </c:pt>
                <c:pt idx="29">
                  <c:v>40</c:v>
                </c:pt>
                <c:pt idx="30">
                  <c:v>20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9928-45FF-B145-362CDD4AF16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2109338296"/>
        <c:axId val="2109105624"/>
      </c:radarChart>
      <c:catAx>
        <c:axId val="210933829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n-US"/>
          </a:p>
        </c:txPr>
        <c:crossAx val="2109105624"/>
        <c:crosses val="autoZero"/>
        <c:auto val="1"/>
        <c:lblAlgn val="ctr"/>
        <c:lblOffset val="100"/>
        <c:noMultiLvlLbl val="0"/>
      </c:catAx>
      <c:valAx>
        <c:axId val="210910562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n-US"/>
          </a:p>
        </c:txPr>
        <c:crossAx val="210933829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GB" sz="1800" b="1"/>
              <a:t>A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radarChart>
        <c:radarStyle val="marker"/>
        <c:varyColors val="0"/>
        <c:ser>
          <c:idx val="0"/>
          <c:order val="0"/>
          <c:tx>
            <c:strRef>
              <c:f>'Cephalexin susceptability'!$B$1</c:f>
              <c:strCache>
                <c:ptCount val="1"/>
                <c:pt idx="0">
                  <c:v>% in S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cat>
            <c:strRef>
              <c:f>'Cephalexin susceptability'!$A$2:$A$10</c:f>
              <c:strCache>
                <c:ptCount val="9"/>
                <c:pt idx="0">
                  <c:v>CO2</c:v>
                </c:pt>
                <c:pt idx="1">
                  <c:v>1-Dodec.</c:v>
                </c:pt>
                <c:pt idx="2">
                  <c:v>Unk. 1</c:v>
                </c:pt>
                <c:pt idx="3">
                  <c:v>Ace.</c:v>
                </c:pt>
                <c:pt idx="4">
                  <c:v>2-But.</c:v>
                </c:pt>
                <c:pt idx="5">
                  <c:v>4-CyanCyclohex.</c:v>
                </c:pt>
                <c:pt idx="6">
                  <c:v>i-Prop-Ben.</c:v>
                </c:pt>
                <c:pt idx="7">
                  <c:v>Ben.</c:v>
                </c:pt>
                <c:pt idx="8">
                  <c:v>Dimeth-Eth-Ben</c:v>
                </c:pt>
              </c:strCache>
            </c:strRef>
          </c:cat>
          <c:val>
            <c:numRef>
              <c:f>'Cephalexin susceptability'!$B$2:$B$10</c:f>
              <c:numCache>
                <c:formatCode>General</c:formatCode>
                <c:ptCount val="9"/>
                <c:pt idx="0">
                  <c:v>15.8</c:v>
                </c:pt>
                <c:pt idx="1">
                  <c:v>15.8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618-4F9B-A465-5C5F1DF34782}"/>
            </c:ext>
          </c:extLst>
        </c:ser>
        <c:ser>
          <c:idx val="1"/>
          <c:order val="1"/>
          <c:tx>
            <c:strRef>
              <c:f>'Cephalexin susceptability'!$C$1</c:f>
              <c:strCache>
                <c:ptCount val="1"/>
                <c:pt idx="0">
                  <c:v>% in R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cat>
            <c:strRef>
              <c:f>'Cephalexin susceptability'!$A$2:$A$10</c:f>
              <c:strCache>
                <c:ptCount val="9"/>
                <c:pt idx="0">
                  <c:v>CO2</c:v>
                </c:pt>
                <c:pt idx="1">
                  <c:v>1-Dodec.</c:v>
                </c:pt>
                <c:pt idx="2">
                  <c:v>Unk. 1</c:v>
                </c:pt>
                <c:pt idx="3">
                  <c:v>Ace.</c:v>
                </c:pt>
                <c:pt idx="4">
                  <c:v>2-But.</c:v>
                </c:pt>
                <c:pt idx="5">
                  <c:v>4-CyanCyclohex.</c:v>
                </c:pt>
                <c:pt idx="6">
                  <c:v>i-Prop-Ben.</c:v>
                </c:pt>
                <c:pt idx="7">
                  <c:v>Ben.</c:v>
                </c:pt>
                <c:pt idx="8">
                  <c:v>Dimeth-Eth-Ben</c:v>
                </c:pt>
              </c:strCache>
            </c:strRef>
          </c:cat>
          <c:val>
            <c:numRef>
              <c:f>'Cephalexin susceptability'!$C$2:$C$10</c:f>
              <c:numCache>
                <c:formatCode>General</c:formatCode>
                <c:ptCount val="9"/>
                <c:pt idx="0">
                  <c:v>0</c:v>
                </c:pt>
                <c:pt idx="1">
                  <c:v>0</c:v>
                </c:pt>
                <c:pt idx="2">
                  <c:v>19.2</c:v>
                </c:pt>
                <c:pt idx="3">
                  <c:v>23.1</c:v>
                </c:pt>
                <c:pt idx="4">
                  <c:v>23.1</c:v>
                </c:pt>
                <c:pt idx="5">
                  <c:v>19.2</c:v>
                </c:pt>
                <c:pt idx="6">
                  <c:v>19.2</c:v>
                </c:pt>
                <c:pt idx="7">
                  <c:v>19.2</c:v>
                </c:pt>
                <c:pt idx="8">
                  <c:v>19.2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618-4F9B-A465-5C5F1DF3478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2144224568"/>
        <c:axId val="2109795304"/>
      </c:radarChart>
      <c:catAx>
        <c:axId val="21442245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n-US"/>
          </a:p>
        </c:txPr>
        <c:crossAx val="2109795304"/>
        <c:crosses val="autoZero"/>
        <c:auto val="1"/>
        <c:lblAlgn val="ctr"/>
        <c:lblOffset val="100"/>
        <c:noMultiLvlLbl val="0"/>
      </c:catAx>
      <c:valAx>
        <c:axId val="21097953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n-US"/>
          </a:p>
        </c:txPr>
        <c:crossAx val="214422456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GB" sz="1800" b="1"/>
              <a:t>B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radarChart>
        <c:radarStyle val="marker"/>
        <c:varyColors val="0"/>
        <c:ser>
          <c:idx val="0"/>
          <c:order val="0"/>
          <c:tx>
            <c:strRef>
              <c:f>'Cephalexin susceptability +AB'!$B$1</c:f>
              <c:strCache>
                <c:ptCount val="1"/>
                <c:pt idx="0">
                  <c:v>% in S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cat>
            <c:strRef>
              <c:f>'Cephalexin susceptability +AB'!$A$2:$A$17</c:f>
              <c:strCache>
                <c:ptCount val="16"/>
                <c:pt idx="0">
                  <c:v>Eth.</c:v>
                </c:pt>
                <c:pt idx="1">
                  <c:v>Ace.</c:v>
                </c:pt>
                <c:pt idx="2">
                  <c:v>DMS</c:v>
                </c:pt>
                <c:pt idx="3">
                  <c:v>i-Prop-Alc</c:v>
                </c:pt>
                <c:pt idx="4">
                  <c:v>MES</c:v>
                </c:pt>
                <c:pt idx="5">
                  <c:v>TCM</c:v>
                </c:pt>
                <c:pt idx="6">
                  <c:v>DMDS</c:v>
                </c:pt>
                <c:pt idx="7">
                  <c:v>Dec.</c:v>
                </c:pt>
                <c:pt idx="8">
                  <c:v>5-Hept.</c:v>
                </c:pt>
                <c:pt idx="9">
                  <c:v>Octal.</c:v>
                </c:pt>
                <c:pt idx="10">
                  <c:v>2-Eth-1-Hexol. </c:v>
                </c:pt>
                <c:pt idx="11">
                  <c:v>Prop-Thi</c:v>
                </c:pt>
                <c:pt idx="12">
                  <c:v>Decal.</c:v>
                </c:pt>
                <c:pt idx="13">
                  <c:v>Undal.</c:v>
                </c:pt>
                <c:pt idx="14">
                  <c:v>Dodal.</c:v>
                </c:pt>
                <c:pt idx="15">
                  <c:v>DMTS</c:v>
                </c:pt>
              </c:strCache>
            </c:strRef>
          </c:cat>
          <c:val>
            <c:numRef>
              <c:f>'Cephalexin susceptability +AB'!$B$2:$B$17</c:f>
              <c:numCache>
                <c:formatCode>General</c:formatCode>
                <c:ptCount val="16"/>
                <c:pt idx="0">
                  <c:v>23.1</c:v>
                </c:pt>
                <c:pt idx="1">
                  <c:v>61.5</c:v>
                </c:pt>
                <c:pt idx="2">
                  <c:v>61.5</c:v>
                </c:pt>
                <c:pt idx="3">
                  <c:v>23.1</c:v>
                </c:pt>
                <c:pt idx="4">
                  <c:v>61.5</c:v>
                </c:pt>
                <c:pt idx="5">
                  <c:v>46.2</c:v>
                </c:pt>
                <c:pt idx="6">
                  <c:v>100</c:v>
                </c:pt>
                <c:pt idx="7">
                  <c:v>53.8</c:v>
                </c:pt>
                <c:pt idx="8">
                  <c:v>23.1</c:v>
                </c:pt>
                <c:pt idx="9">
                  <c:v>84.6</c:v>
                </c:pt>
                <c:pt idx="10">
                  <c:v>53.8</c:v>
                </c:pt>
                <c:pt idx="11">
                  <c:v>23.1</c:v>
                </c:pt>
                <c:pt idx="12">
                  <c:v>23.1</c:v>
                </c:pt>
                <c:pt idx="13">
                  <c:v>38.5</c:v>
                </c:pt>
                <c:pt idx="14">
                  <c:v>76.900000000000006</c:v>
                </c:pt>
                <c:pt idx="15">
                  <c:v>7.7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F73-4245-B23B-22ED19238D90}"/>
            </c:ext>
          </c:extLst>
        </c:ser>
        <c:ser>
          <c:idx val="1"/>
          <c:order val="1"/>
          <c:tx>
            <c:strRef>
              <c:f>'Cephalexin susceptability +AB'!$C$1</c:f>
              <c:strCache>
                <c:ptCount val="1"/>
                <c:pt idx="0">
                  <c:v>% in R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cat>
            <c:strRef>
              <c:f>'Cephalexin susceptability +AB'!$A$2:$A$17</c:f>
              <c:strCache>
                <c:ptCount val="16"/>
                <c:pt idx="0">
                  <c:v>Eth.</c:v>
                </c:pt>
                <c:pt idx="1">
                  <c:v>Ace.</c:v>
                </c:pt>
                <c:pt idx="2">
                  <c:v>DMS</c:v>
                </c:pt>
                <c:pt idx="3">
                  <c:v>i-Prop-Alc</c:v>
                </c:pt>
                <c:pt idx="4">
                  <c:v>MES</c:v>
                </c:pt>
                <c:pt idx="5">
                  <c:v>TCM</c:v>
                </c:pt>
                <c:pt idx="6">
                  <c:v>DMDS</c:v>
                </c:pt>
                <c:pt idx="7">
                  <c:v>Dec.</c:v>
                </c:pt>
                <c:pt idx="8">
                  <c:v>5-Hept.</c:v>
                </c:pt>
                <c:pt idx="9">
                  <c:v>Octal.</c:v>
                </c:pt>
                <c:pt idx="10">
                  <c:v>2-Eth-1-Hexol. </c:v>
                </c:pt>
                <c:pt idx="11">
                  <c:v>Prop-Thi</c:v>
                </c:pt>
                <c:pt idx="12">
                  <c:v>Decal.</c:v>
                </c:pt>
                <c:pt idx="13">
                  <c:v>Undal.</c:v>
                </c:pt>
                <c:pt idx="14">
                  <c:v>Dodal.</c:v>
                </c:pt>
                <c:pt idx="15">
                  <c:v>DMTS</c:v>
                </c:pt>
              </c:strCache>
            </c:strRef>
          </c:cat>
          <c:val>
            <c:numRef>
              <c:f>'Cephalexin susceptability +AB'!$C$2:$C$17</c:f>
              <c:numCache>
                <c:formatCode>General</c:formatCode>
                <c:ptCount val="1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6.3</c:v>
                </c:pt>
                <c:pt idx="7">
                  <c:v>6.3</c:v>
                </c:pt>
                <c:pt idx="8">
                  <c:v>0</c:v>
                </c:pt>
                <c:pt idx="9">
                  <c:v>18.8</c:v>
                </c:pt>
                <c:pt idx="10">
                  <c:v>12.5</c:v>
                </c:pt>
                <c:pt idx="11">
                  <c:v>0</c:v>
                </c:pt>
                <c:pt idx="12">
                  <c:v>0</c:v>
                </c:pt>
                <c:pt idx="13">
                  <c:v>0</c:v>
                </c:pt>
                <c:pt idx="14">
                  <c:v>6.3</c:v>
                </c:pt>
                <c:pt idx="15">
                  <c:v>56.3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FF73-4245-B23B-22ED19238D9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2130876744"/>
        <c:axId val="2109737576"/>
      </c:radarChart>
      <c:catAx>
        <c:axId val="213087674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n-US"/>
          </a:p>
        </c:txPr>
        <c:crossAx val="2109737576"/>
        <c:crosses val="autoZero"/>
        <c:auto val="1"/>
        <c:lblAlgn val="ctr"/>
        <c:lblOffset val="100"/>
        <c:noMultiLvlLbl val="0"/>
      </c:catAx>
      <c:valAx>
        <c:axId val="21097375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n-US"/>
          </a:p>
        </c:txPr>
        <c:crossAx val="2130876744"/>
        <c:crosses val="autoZero"/>
        <c:crossBetween val="between"/>
        <c:majorUnit val="20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GB" sz="1800" b="1"/>
              <a:t>B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radarChart>
        <c:radarStyle val="marker"/>
        <c:varyColors val="0"/>
        <c:ser>
          <c:idx val="0"/>
          <c:order val="0"/>
          <c:tx>
            <c:strRef>
              <c:f>'Ciprofloxacin susceptability +A'!$B$1</c:f>
              <c:strCache>
                <c:ptCount val="1"/>
                <c:pt idx="0">
                  <c:v>% in S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cat>
            <c:strRef>
              <c:f>'Ciprofloxacin susceptability +A'!$A$2:$A$6</c:f>
              <c:strCache>
                <c:ptCount val="5"/>
                <c:pt idx="0">
                  <c:v>CO2</c:v>
                </c:pt>
                <c:pt idx="1">
                  <c:v>MES</c:v>
                </c:pt>
                <c:pt idx="2">
                  <c:v>DMDS</c:v>
                </c:pt>
                <c:pt idx="3">
                  <c:v>Undal.</c:v>
                </c:pt>
                <c:pt idx="4">
                  <c:v>Dodal.</c:v>
                </c:pt>
              </c:strCache>
            </c:strRef>
          </c:cat>
          <c:val>
            <c:numRef>
              <c:f>'Ciprofloxacin susceptability +A'!$B$2:$B$6</c:f>
              <c:numCache>
                <c:formatCode>General</c:formatCode>
                <c:ptCount val="5"/>
                <c:pt idx="0">
                  <c:v>42.9</c:v>
                </c:pt>
                <c:pt idx="1">
                  <c:v>42.9</c:v>
                </c:pt>
                <c:pt idx="2">
                  <c:v>42.9</c:v>
                </c:pt>
                <c:pt idx="3">
                  <c:v>42.9</c:v>
                </c:pt>
                <c:pt idx="4">
                  <c:v>42.9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651-4390-B32B-211B8A4AD684}"/>
            </c:ext>
          </c:extLst>
        </c:ser>
        <c:ser>
          <c:idx val="1"/>
          <c:order val="1"/>
          <c:tx>
            <c:strRef>
              <c:f>'Ciprofloxacin susceptability +A'!$C$1</c:f>
              <c:strCache>
                <c:ptCount val="1"/>
                <c:pt idx="0">
                  <c:v>% in R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cat>
            <c:strRef>
              <c:f>'Ciprofloxacin susceptability +A'!$A$2:$A$6</c:f>
              <c:strCache>
                <c:ptCount val="5"/>
                <c:pt idx="0">
                  <c:v>CO2</c:v>
                </c:pt>
                <c:pt idx="1">
                  <c:v>MES</c:v>
                </c:pt>
                <c:pt idx="2">
                  <c:v>DMDS</c:v>
                </c:pt>
                <c:pt idx="3">
                  <c:v>Undal.</c:v>
                </c:pt>
                <c:pt idx="4">
                  <c:v>Dodal.</c:v>
                </c:pt>
              </c:strCache>
            </c:strRef>
          </c:cat>
          <c:val>
            <c:numRef>
              <c:f>'Ciprofloxacin susceptability +A'!$C$2:$C$6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651-4390-B32B-211B8A4AD68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2112981368"/>
        <c:axId val="2133971864"/>
      </c:radarChart>
      <c:catAx>
        <c:axId val="21129813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n-US"/>
          </a:p>
        </c:txPr>
        <c:crossAx val="2133971864"/>
        <c:crosses val="autoZero"/>
        <c:auto val="1"/>
        <c:lblAlgn val="ctr"/>
        <c:lblOffset val="100"/>
        <c:noMultiLvlLbl val="0"/>
      </c:catAx>
      <c:valAx>
        <c:axId val="21339718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n-US"/>
          </a:p>
        </c:txPr>
        <c:crossAx val="2112981368"/>
        <c:crosses val="autoZero"/>
        <c:crossBetween val="between"/>
        <c:majorUnit val="10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GB" sz="1800" b="1"/>
              <a:t>A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radarChart>
        <c:radarStyle val="marker"/>
        <c:varyColors val="0"/>
        <c:ser>
          <c:idx val="0"/>
          <c:order val="0"/>
          <c:tx>
            <c:strRef>
              <c:f>'Ciprofloxacin susceptability'!$B$1</c:f>
              <c:strCache>
                <c:ptCount val="1"/>
                <c:pt idx="0">
                  <c:v>% in S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cat>
            <c:strRef>
              <c:f>'Ciprofloxacin susceptability'!$A$2:$A$23</c:f>
              <c:strCache>
                <c:ptCount val="22"/>
                <c:pt idx="0">
                  <c:v>CO2</c:v>
                </c:pt>
                <c:pt idx="1">
                  <c:v>Acetal.</c:v>
                </c:pt>
                <c:pt idx="2">
                  <c:v>Ace.</c:v>
                </c:pt>
                <c:pt idx="3">
                  <c:v>2-But.</c:v>
                </c:pt>
                <c:pt idx="4">
                  <c:v>Bez.</c:v>
                </c:pt>
                <c:pt idx="5">
                  <c:v>Cyclobute-2-Prop.</c:v>
                </c:pt>
                <c:pt idx="6">
                  <c:v>But-Acid.</c:v>
                </c:pt>
                <c:pt idx="7">
                  <c:v>p-Xyl.</c:v>
                </c:pt>
                <c:pt idx="8">
                  <c:v>Octal.</c:v>
                </c:pt>
                <c:pt idx="9">
                  <c:v>Et-Gly.</c:v>
                </c:pt>
                <c:pt idx="10">
                  <c:v>2-Eth-1-Hexol.</c:v>
                </c:pt>
                <c:pt idx="11">
                  <c:v>Hept-Acid.</c:v>
                </c:pt>
                <c:pt idx="12">
                  <c:v>Acetp.</c:v>
                </c:pt>
                <c:pt idx="13">
                  <c:v>Non-Acid</c:v>
                </c:pt>
                <c:pt idx="14">
                  <c:v>Undal.</c:v>
                </c:pt>
                <c:pt idx="15">
                  <c:v>2-Undec.</c:v>
                </c:pt>
                <c:pt idx="16">
                  <c:v>Ind.</c:v>
                </c:pt>
                <c:pt idx="17">
                  <c:v>Dodal.</c:v>
                </c:pt>
                <c:pt idx="18">
                  <c:v>Tetradec.</c:v>
                </c:pt>
                <c:pt idx="19">
                  <c:v>Hexadec.</c:v>
                </c:pt>
                <c:pt idx="20">
                  <c:v>1-Dodec.</c:v>
                </c:pt>
                <c:pt idx="21">
                  <c:v>DMTS </c:v>
                </c:pt>
              </c:strCache>
            </c:strRef>
          </c:cat>
          <c:val>
            <c:numRef>
              <c:f>'Ciprofloxacin susceptability'!$B$2:$B$23</c:f>
              <c:numCache>
                <c:formatCode>General</c:formatCode>
                <c:ptCount val="22"/>
                <c:pt idx="0">
                  <c:v>40</c:v>
                </c:pt>
                <c:pt idx="1">
                  <c:v>33.300000000000011</c:v>
                </c:pt>
                <c:pt idx="2">
                  <c:v>40</c:v>
                </c:pt>
                <c:pt idx="3">
                  <c:v>26.7</c:v>
                </c:pt>
                <c:pt idx="4">
                  <c:v>26.7</c:v>
                </c:pt>
                <c:pt idx="5">
                  <c:v>33.300000000000011</c:v>
                </c:pt>
                <c:pt idx="6">
                  <c:v>33.300000000000011</c:v>
                </c:pt>
                <c:pt idx="7">
                  <c:v>33.300000000000011</c:v>
                </c:pt>
                <c:pt idx="8">
                  <c:v>33.300000000000011</c:v>
                </c:pt>
                <c:pt idx="9">
                  <c:v>33.300000000000011</c:v>
                </c:pt>
                <c:pt idx="10">
                  <c:v>33.300000000000011</c:v>
                </c:pt>
                <c:pt idx="11">
                  <c:v>26.7</c:v>
                </c:pt>
                <c:pt idx="12">
                  <c:v>33.300000000000011</c:v>
                </c:pt>
                <c:pt idx="13">
                  <c:v>26.7</c:v>
                </c:pt>
                <c:pt idx="14">
                  <c:v>33.300000000000011</c:v>
                </c:pt>
                <c:pt idx="15">
                  <c:v>26.7</c:v>
                </c:pt>
                <c:pt idx="16">
                  <c:v>33.300000000000011</c:v>
                </c:pt>
                <c:pt idx="17">
                  <c:v>26.7</c:v>
                </c:pt>
                <c:pt idx="18">
                  <c:v>26.7</c:v>
                </c:pt>
                <c:pt idx="19">
                  <c:v>33.300000000000011</c:v>
                </c:pt>
                <c:pt idx="20">
                  <c:v>26.7</c:v>
                </c:pt>
                <c:pt idx="21">
                  <c:v>13.3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758-417F-8D82-7944360652C1}"/>
            </c:ext>
          </c:extLst>
        </c:ser>
        <c:ser>
          <c:idx val="1"/>
          <c:order val="1"/>
          <c:tx>
            <c:strRef>
              <c:f>'Ciprofloxacin susceptability'!$C$1</c:f>
              <c:strCache>
                <c:ptCount val="1"/>
                <c:pt idx="0">
                  <c:v>% in R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cat>
            <c:strRef>
              <c:f>'Ciprofloxacin susceptability'!$A$2:$A$23</c:f>
              <c:strCache>
                <c:ptCount val="22"/>
                <c:pt idx="0">
                  <c:v>CO2</c:v>
                </c:pt>
                <c:pt idx="1">
                  <c:v>Acetal.</c:v>
                </c:pt>
                <c:pt idx="2">
                  <c:v>Ace.</c:v>
                </c:pt>
                <c:pt idx="3">
                  <c:v>2-But.</c:v>
                </c:pt>
                <c:pt idx="4">
                  <c:v>Bez.</c:v>
                </c:pt>
                <c:pt idx="5">
                  <c:v>Cyclobute-2-Prop.</c:v>
                </c:pt>
                <c:pt idx="6">
                  <c:v>But-Acid.</c:v>
                </c:pt>
                <c:pt idx="7">
                  <c:v>p-Xyl.</c:v>
                </c:pt>
                <c:pt idx="8">
                  <c:v>Octal.</c:v>
                </c:pt>
                <c:pt idx="9">
                  <c:v>Et-Gly.</c:v>
                </c:pt>
                <c:pt idx="10">
                  <c:v>2-Eth-1-Hexol.</c:v>
                </c:pt>
                <c:pt idx="11">
                  <c:v>Hept-Acid.</c:v>
                </c:pt>
                <c:pt idx="12">
                  <c:v>Acetp.</c:v>
                </c:pt>
                <c:pt idx="13">
                  <c:v>Non-Acid</c:v>
                </c:pt>
                <c:pt idx="14">
                  <c:v>Undal.</c:v>
                </c:pt>
                <c:pt idx="15">
                  <c:v>2-Undec.</c:v>
                </c:pt>
                <c:pt idx="16">
                  <c:v>Ind.</c:v>
                </c:pt>
                <c:pt idx="17">
                  <c:v>Dodal.</c:v>
                </c:pt>
                <c:pt idx="18">
                  <c:v>Tetradec.</c:v>
                </c:pt>
                <c:pt idx="19">
                  <c:v>Hexadec.</c:v>
                </c:pt>
                <c:pt idx="20">
                  <c:v>1-Dodec.</c:v>
                </c:pt>
                <c:pt idx="21">
                  <c:v>DMTS </c:v>
                </c:pt>
              </c:strCache>
            </c:strRef>
          </c:cat>
          <c:val>
            <c:numRef>
              <c:f>'Ciprofloxacin susceptability'!$C$2:$C$23</c:f>
              <c:numCache>
                <c:formatCode>General</c:formatCode>
                <c:ptCount val="22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5.9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  <c:pt idx="10">
                  <c:v>0</c:v>
                </c:pt>
                <c:pt idx="11">
                  <c:v>5.9</c:v>
                </c:pt>
                <c:pt idx="12">
                  <c:v>0</c:v>
                </c:pt>
                <c:pt idx="13">
                  <c:v>0</c:v>
                </c:pt>
                <c:pt idx="14">
                  <c:v>0</c:v>
                </c:pt>
                <c:pt idx="15">
                  <c:v>0</c:v>
                </c:pt>
                <c:pt idx="16">
                  <c:v>5.9</c:v>
                </c:pt>
                <c:pt idx="17">
                  <c:v>0</c:v>
                </c:pt>
                <c:pt idx="18">
                  <c:v>0</c:v>
                </c:pt>
                <c:pt idx="19">
                  <c:v>0</c:v>
                </c:pt>
                <c:pt idx="20">
                  <c:v>0</c:v>
                </c:pt>
                <c:pt idx="21">
                  <c:v>47.1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758-417F-8D82-7944360652C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2133902440"/>
        <c:axId val="2045347592"/>
      </c:radarChart>
      <c:catAx>
        <c:axId val="21339024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n-US"/>
          </a:p>
        </c:txPr>
        <c:crossAx val="2045347592"/>
        <c:crosses val="autoZero"/>
        <c:auto val="1"/>
        <c:lblAlgn val="ctr"/>
        <c:lblOffset val="100"/>
        <c:noMultiLvlLbl val="0"/>
      </c:catAx>
      <c:valAx>
        <c:axId val="20453475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n-US"/>
          </a:p>
        </c:txPr>
        <c:crossAx val="2133902440"/>
        <c:crosses val="autoZero"/>
        <c:crossBetween val="between"/>
        <c:majorUnit val="10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553</Words>
  <Characters>3153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the West of England</Company>
  <LinksUpToDate>false</LinksUpToDate>
  <CharactersWithSpaces>3699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Smart</dc:creator>
  <cp:keywords/>
  <dc:description/>
  <cp:lastModifiedBy>Amy Smart</cp:lastModifiedBy>
  <cp:revision>1</cp:revision>
  <dcterms:created xsi:type="dcterms:W3CDTF">2019-01-17T19:08:00Z</dcterms:created>
  <dcterms:modified xsi:type="dcterms:W3CDTF">2019-01-17T19:12:00Z</dcterms:modified>
</cp:coreProperties>
</file>