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16" w:rsidRPr="002229EB" w:rsidRDefault="005C4257" w:rsidP="009C3AC7">
      <w:pPr>
        <w:pStyle w:val="ParaAttribute0"/>
        <w:wordWrap/>
        <w:spacing w:line="276" w:lineRule="auto"/>
        <w:rPr>
          <w:rStyle w:val="CharAttribute3"/>
          <w:rFonts w:ascii="Calibri" w:hAnsi="Calibri"/>
          <w:sz w:val="28"/>
          <w:szCs w:val="24"/>
        </w:rPr>
      </w:pPr>
      <w:r w:rsidRPr="002229EB">
        <w:rPr>
          <w:rStyle w:val="CharAttribute3"/>
          <w:rFonts w:ascii="Calibri" w:hAnsi="Calibri"/>
          <w:sz w:val="36"/>
          <w:szCs w:val="24"/>
        </w:rPr>
        <w:t>Attitudes</w:t>
      </w:r>
      <w:r w:rsidR="00A00C32" w:rsidRPr="002229EB">
        <w:rPr>
          <w:rStyle w:val="CharAttribute3"/>
          <w:rFonts w:ascii="Calibri" w:hAnsi="Calibri"/>
          <w:sz w:val="36"/>
          <w:szCs w:val="24"/>
        </w:rPr>
        <w:t xml:space="preserve"> to debt</w:t>
      </w:r>
      <w:r w:rsidR="00A85616" w:rsidRPr="002229EB">
        <w:rPr>
          <w:rStyle w:val="CharAttribute3"/>
          <w:rFonts w:ascii="Calibri" w:hAnsi="Calibri"/>
          <w:sz w:val="36"/>
          <w:szCs w:val="24"/>
        </w:rPr>
        <w:t xml:space="preserve"> among </w:t>
      </w:r>
      <w:r w:rsidR="00D86E26" w:rsidRPr="002229EB">
        <w:rPr>
          <w:rStyle w:val="CharAttribute3"/>
          <w:rFonts w:ascii="Calibri" w:hAnsi="Calibri"/>
          <w:sz w:val="36"/>
          <w:szCs w:val="24"/>
        </w:rPr>
        <w:t xml:space="preserve">indebted </w:t>
      </w:r>
      <w:r w:rsidR="00A85616" w:rsidRPr="002229EB">
        <w:rPr>
          <w:rStyle w:val="CharAttribute3"/>
          <w:rFonts w:ascii="Calibri" w:hAnsi="Calibri"/>
          <w:sz w:val="36"/>
          <w:szCs w:val="24"/>
        </w:rPr>
        <w:t xml:space="preserve">undergraduates: a cross-national </w:t>
      </w:r>
      <w:r w:rsidR="00710E14" w:rsidRPr="002229EB">
        <w:rPr>
          <w:rStyle w:val="CharAttribute3"/>
          <w:rFonts w:ascii="Calibri" w:hAnsi="Calibri"/>
          <w:sz w:val="36"/>
          <w:szCs w:val="24"/>
        </w:rPr>
        <w:t xml:space="preserve">exploratory </w:t>
      </w:r>
      <w:r w:rsidR="00756BE1" w:rsidRPr="002229EB">
        <w:rPr>
          <w:rStyle w:val="CharAttribute3"/>
          <w:rFonts w:ascii="Calibri" w:hAnsi="Calibri"/>
          <w:sz w:val="36"/>
          <w:szCs w:val="24"/>
        </w:rPr>
        <w:t>factor analysis</w:t>
      </w:r>
      <w:r w:rsidR="00A85616" w:rsidRPr="002229EB">
        <w:rPr>
          <w:rStyle w:val="CharAttribute3"/>
          <w:rFonts w:ascii="Calibri" w:hAnsi="Calibri"/>
          <w:sz w:val="28"/>
          <w:szCs w:val="24"/>
        </w:rPr>
        <w:t xml:space="preserve"> </w:t>
      </w:r>
    </w:p>
    <w:p w:rsidR="00A85616" w:rsidRPr="002229EB" w:rsidRDefault="00A85616" w:rsidP="009C3AC7">
      <w:pPr>
        <w:pStyle w:val="ParaAttribute0"/>
        <w:wordWrap/>
        <w:spacing w:line="276" w:lineRule="auto"/>
        <w:rPr>
          <w:rStyle w:val="CharAttribute3"/>
          <w:rFonts w:ascii="Calibri" w:hAnsi="Calibri"/>
          <w:szCs w:val="24"/>
        </w:rPr>
      </w:pPr>
    </w:p>
    <w:p w:rsidR="00B96A01" w:rsidRPr="00B96A01" w:rsidRDefault="00696E7A" w:rsidP="009C3AC7">
      <w:pPr>
        <w:pStyle w:val="ParaAttribute0"/>
        <w:wordWrap/>
        <w:spacing w:line="276" w:lineRule="auto"/>
        <w:rPr>
          <w:rStyle w:val="CharAttribute3"/>
          <w:rFonts w:ascii="Calibri" w:hAnsi="Calibri"/>
          <w:sz w:val="28"/>
          <w:szCs w:val="24"/>
        </w:rPr>
      </w:pPr>
      <w:r w:rsidRPr="002229EB">
        <w:rPr>
          <w:rStyle w:val="CharAttribute3"/>
          <w:rFonts w:ascii="Calibri" w:hAnsi="Calibri"/>
          <w:sz w:val="28"/>
          <w:szCs w:val="24"/>
        </w:rPr>
        <w:t xml:space="preserve">Neil </w:t>
      </w:r>
      <w:proofErr w:type="spellStart"/>
      <w:r w:rsidRPr="002229EB">
        <w:rPr>
          <w:rStyle w:val="CharAttribute3"/>
          <w:rFonts w:ascii="Calibri" w:hAnsi="Calibri"/>
          <w:sz w:val="28"/>
          <w:szCs w:val="24"/>
        </w:rPr>
        <w:t>Harrison</w:t>
      </w:r>
      <w:r w:rsidR="00B96A01" w:rsidRPr="00B96A01">
        <w:rPr>
          <w:rStyle w:val="CharAttribute3"/>
          <w:rFonts w:ascii="Calibri" w:hAnsi="Calibri"/>
          <w:sz w:val="28"/>
          <w:szCs w:val="24"/>
          <w:vertAlign w:val="superscript"/>
        </w:rPr>
        <w:t>a</w:t>
      </w:r>
      <w:proofErr w:type="spellEnd"/>
      <w:r w:rsidR="00B96A01">
        <w:rPr>
          <w:rStyle w:val="CharAttribute3"/>
          <w:rFonts w:ascii="Calibri" w:hAnsi="Calibri"/>
          <w:sz w:val="28"/>
          <w:szCs w:val="24"/>
        </w:rPr>
        <w:t xml:space="preserve">, </w:t>
      </w:r>
      <w:r w:rsidRPr="002229EB">
        <w:rPr>
          <w:rStyle w:val="CharAttribute3"/>
          <w:rFonts w:ascii="Calibri" w:hAnsi="Calibri"/>
          <w:sz w:val="28"/>
          <w:szCs w:val="24"/>
        </w:rPr>
        <w:t xml:space="preserve">Steve </w:t>
      </w:r>
      <w:proofErr w:type="spellStart"/>
      <w:r w:rsidRPr="002229EB">
        <w:rPr>
          <w:rStyle w:val="CharAttribute3"/>
          <w:rFonts w:ascii="Calibri" w:hAnsi="Calibri"/>
          <w:sz w:val="28"/>
          <w:szCs w:val="24"/>
        </w:rPr>
        <w:t>Agnew</w:t>
      </w:r>
      <w:r w:rsidR="00B96A01">
        <w:rPr>
          <w:rStyle w:val="CharAttribute3"/>
          <w:rFonts w:ascii="Calibri" w:hAnsi="Calibri"/>
          <w:sz w:val="28"/>
          <w:szCs w:val="24"/>
          <w:vertAlign w:val="superscript"/>
        </w:rPr>
        <w:t>b</w:t>
      </w:r>
      <w:proofErr w:type="spellEnd"/>
      <w:r w:rsidR="00B96A01">
        <w:rPr>
          <w:rStyle w:val="CharAttribute3"/>
          <w:rFonts w:ascii="Calibri" w:hAnsi="Calibri"/>
          <w:sz w:val="28"/>
          <w:szCs w:val="24"/>
        </w:rPr>
        <w:t xml:space="preserve"> and</w:t>
      </w:r>
      <w:r w:rsidRPr="002229EB">
        <w:rPr>
          <w:rStyle w:val="CharAttribute3"/>
          <w:rFonts w:ascii="Calibri" w:hAnsi="Calibri"/>
          <w:sz w:val="28"/>
          <w:szCs w:val="24"/>
        </w:rPr>
        <w:t xml:space="preserve"> Joyce </w:t>
      </w:r>
      <w:proofErr w:type="spellStart"/>
      <w:r w:rsidRPr="002229EB">
        <w:rPr>
          <w:rStyle w:val="CharAttribute3"/>
          <w:rFonts w:ascii="Calibri" w:hAnsi="Calibri"/>
          <w:sz w:val="28"/>
          <w:szCs w:val="24"/>
        </w:rPr>
        <w:t>Serido</w:t>
      </w:r>
      <w:r w:rsidR="00B96A01">
        <w:rPr>
          <w:rStyle w:val="CharAttribute3"/>
          <w:rFonts w:ascii="Calibri" w:hAnsi="Calibri"/>
          <w:sz w:val="28"/>
          <w:szCs w:val="24"/>
          <w:vertAlign w:val="superscript"/>
        </w:rPr>
        <w:t>c</w:t>
      </w:r>
      <w:proofErr w:type="spellEnd"/>
      <w:r w:rsidRPr="002229EB">
        <w:rPr>
          <w:rStyle w:val="CharAttribute3"/>
          <w:rFonts w:ascii="Calibri" w:hAnsi="Calibri"/>
          <w:sz w:val="28"/>
          <w:szCs w:val="24"/>
        </w:rPr>
        <w:t xml:space="preserve"> </w:t>
      </w:r>
    </w:p>
    <w:p w:rsidR="00B96A01" w:rsidRDefault="00B96A01" w:rsidP="009C3AC7">
      <w:pPr>
        <w:pStyle w:val="ParaAttribute0"/>
        <w:wordWrap/>
        <w:spacing w:line="276" w:lineRule="auto"/>
        <w:rPr>
          <w:rStyle w:val="CharAttribute3"/>
          <w:rFonts w:ascii="Calibri" w:hAnsi="Calibri"/>
          <w:b w:val="0"/>
          <w:sz w:val="22"/>
          <w:szCs w:val="28"/>
          <w:vertAlign w:val="superscript"/>
        </w:rPr>
      </w:pPr>
    </w:p>
    <w:p w:rsidR="00B96A01" w:rsidRPr="00B96A01" w:rsidRDefault="00B96A01" w:rsidP="009C3AC7">
      <w:pPr>
        <w:pStyle w:val="ParaAttribute0"/>
        <w:wordWrap/>
        <w:spacing w:line="276" w:lineRule="auto"/>
        <w:rPr>
          <w:rStyle w:val="CharAttribute3"/>
          <w:rFonts w:ascii="Calibri" w:hAnsi="Calibri"/>
          <w:szCs w:val="24"/>
        </w:rPr>
      </w:pPr>
      <w:proofErr w:type="gramStart"/>
      <w:r w:rsidRPr="00B96A01">
        <w:rPr>
          <w:rStyle w:val="CharAttribute3"/>
          <w:rFonts w:ascii="Calibri" w:hAnsi="Calibri"/>
          <w:b w:val="0"/>
          <w:sz w:val="22"/>
          <w:szCs w:val="28"/>
          <w:vertAlign w:val="superscript"/>
        </w:rPr>
        <w:t>a</w:t>
      </w:r>
      <w:proofErr w:type="gramEnd"/>
      <w:r w:rsidRPr="00B96A01">
        <w:rPr>
          <w:rStyle w:val="CharAttribute3"/>
          <w:rFonts w:ascii="Calibri" w:hAnsi="Calibri"/>
          <w:b w:val="0"/>
          <w:sz w:val="22"/>
          <w:szCs w:val="28"/>
        </w:rPr>
        <w:t xml:space="preserve"> </w:t>
      </w:r>
      <w:r w:rsidRPr="00B96A01">
        <w:rPr>
          <w:rStyle w:val="CharAttribute3"/>
          <w:rFonts w:ascii="Calibri" w:hAnsi="Calibri"/>
          <w:b w:val="0"/>
          <w:szCs w:val="24"/>
        </w:rPr>
        <w:t>University of the West of England, Bristol, United Kingdom (neil.harrison@uwe.ac.uk)</w:t>
      </w:r>
    </w:p>
    <w:p w:rsidR="00B96A01" w:rsidRPr="00B96A01" w:rsidRDefault="00B96A01" w:rsidP="009C3AC7">
      <w:pPr>
        <w:pStyle w:val="ParaAttribute0"/>
        <w:wordWrap/>
        <w:spacing w:line="276" w:lineRule="auto"/>
        <w:rPr>
          <w:rStyle w:val="CharAttribute3"/>
          <w:rFonts w:ascii="Calibri" w:hAnsi="Calibri"/>
          <w:b w:val="0"/>
          <w:szCs w:val="24"/>
        </w:rPr>
      </w:pPr>
      <w:proofErr w:type="gramStart"/>
      <w:r w:rsidRPr="00B96A01">
        <w:rPr>
          <w:rStyle w:val="CharAttribute3"/>
          <w:rFonts w:ascii="Calibri" w:hAnsi="Calibri"/>
          <w:b w:val="0"/>
          <w:szCs w:val="24"/>
          <w:vertAlign w:val="superscript"/>
        </w:rPr>
        <w:t>b</w:t>
      </w:r>
      <w:proofErr w:type="gramEnd"/>
      <w:r w:rsidRPr="00B96A01">
        <w:rPr>
          <w:rStyle w:val="CharAttribute3"/>
          <w:rFonts w:ascii="Calibri" w:hAnsi="Calibri"/>
          <w:b w:val="0"/>
          <w:szCs w:val="24"/>
        </w:rPr>
        <w:t xml:space="preserve"> University of Canterbury, Christchurch, New Zealand (</w:t>
      </w:r>
      <w:r w:rsidRPr="00B96A01">
        <w:rPr>
          <w:rStyle w:val="rwro"/>
          <w:rFonts w:ascii="Calibri" w:hAnsi="Calibri"/>
          <w:sz w:val="24"/>
          <w:szCs w:val="24"/>
        </w:rPr>
        <w:t>steve.agnew@canterbury.ac.nz)</w:t>
      </w:r>
    </w:p>
    <w:p w:rsidR="00B96A01" w:rsidRPr="00B96A01" w:rsidRDefault="00B96A01" w:rsidP="009C3AC7">
      <w:pPr>
        <w:pStyle w:val="ParaAttribute0"/>
        <w:wordWrap/>
        <w:spacing w:line="276" w:lineRule="auto"/>
        <w:rPr>
          <w:rStyle w:val="CharAttribute3"/>
          <w:rFonts w:ascii="Calibri" w:hAnsi="Calibri"/>
          <w:b w:val="0"/>
          <w:szCs w:val="24"/>
        </w:rPr>
      </w:pPr>
      <w:proofErr w:type="gramStart"/>
      <w:r w:rsidRPr="00B96A01">
        <w:rPr>
          <w:rStyle w:val="CharAttribute3"/>
          <w:rFonts w:ascii="Calibri" w:hAnsi="Calibri"/>
          <w:b w:val="0"/>
          <w:szCs w:val="24"/>
          <w:vertAlign w:val="superscript"/>
        </w:rPr>
        <w:t>c</w:t>
      </w:r>
      <w:proofErr w:type="gramEnd"/>
      <w:r w:rsidRPr="00B96A01">
        <w:rPr>
          <w:rStyle w:val="CharAttribute3"/>
          <w:rFonts w:ascii="Calibri" w:hAnsi="Calibri"/>
          <w:b w:val="0"/>
          <w:szCs w:val="24"/>
        </w:rPr>
        <w:t xml:space="preserve"> University of Arizona, Tucson, Arizona, United States (</w:t>
      </w:r>
      <w:r w:rsidRPr="00B96A01">
        <w:rPr>
          <w:rStyle w:val="rwrro"/>
          <w:rFonts w:ascii="Calibri" w:hAnsi="Calibri"/>
          <w:sz w:val="24"/>
          <w:szCs w:val="24"/>
        </w:rPr>
        <w:t>jserido@email.arizona.edu)</w:t>
      </w:r>
    </w:p>
    <w:p w:rsidR="00B96A01" w:rsidRPr="002229EB" w:rsidRDefault="00B96A01" w:rsidP="009C3AC7">
      <w:pPr>
        <w:pStyle w:val="ParaAttribute0"/>
        <w:wordWrap/>
        <w:spacing w:line="276" w:lineRule="auto"/>
        <w:rPr>
          <w:rStyle w:val="CharAttribute3"/>
          <w:rFonts w:ascii="Calibri" w:hAnsi="Calibri"/>
          <w:szCs w:val="24"/>
        </w:rPr>
      </w:pPr>
    </w:p>
    <w:p w:rsidR="00C004B7" w:rsidRPr="002229EB" w:rsidRDefault="00C004B7" w:rsidP="009C3AC7">
      <w:pPr>
        <w:widowControl/>
        <w:wordWrap/>
        <w:autoSpaceDE/>
        <w:autoSpaceDN/>
        <w:spacing w:line="276" w:lineRule="auto"/>
        <w:jc w:val="left"/>
        <w:rPr>
          <w:rStyle w:val="CharAttribute3"/>
          <w:rFonts w:ascii="Calibri" w:hAnsi="Calibri"/>
          <w:szCs w:val="24"/>
          <w:lang w:val="en-GB"/>
        </w:rPr>
      </w:pPr>
    </w:p>
    <w:p w:rsidR="00C004B7" w:rsidRPr="002229EB" w:rsidRDefault="00C004B7" w:rsidP="009C3AC7">
      <w:pPr>
        <w:widowControl/>
        <w:wordWrap/>
        <w:autoSpaceDE/>
        <w:autoSpaceDN/>
        <w:spacing w:line="276" w:lineRule="auto"/>
        <w:jc w:val="left"/>
        <w:rPr>
          <w:rStyle w:val="CharAttribute3"/>
          <w:rFonts w:ascii="Calibri" w:hAnsi="Calibri"/>
          <w:b w:val="0"/>
          <w:szCs w:val="24"/>
          <w:lang w:val="en-GB"/>
        </w:rPr>
      </w:pPr>
      <w:r w:rsidRPr="002229EB">
        <w:rPr>
          <w:rStyle w:val="CharAttribute3"/>
          <w:rFonts w:ascii="Calibri" w:hAnsi="Calibri"/>
          <w:szCs w:val="24"/>
          <w:lang w:val="en-GB"/>
        </w:rPr>
        <w:t>Abstract</w:t>
      </w:r>
    </w:p>
    <w:p w:rsidR="00C004B7" w:rsidRPr="002229EB" w:rsidRDefault="00C004B7" w:rsidP="009C3AC7">
      <w:pPr>
        <w:widowControl/>
        <w:wordWrap/>
        <w:autoSpaceDE/>
        <w:autoSpaceDN/>
        <w:spacing w:line="276" w:lineRule="auto"/>
        <w:jc w:val="left"/>
        <w:rPr>
          <w:rStyle w:val="CharAttribute3"/>
          <w:rFonts w:ascii="Calibri" w:hAnsi="Calibri"/>
          <w:b w:val="0"/>
          <w:szCs w:val="24"/>
          <w:lang w:val="en-GB"/>
        </w:rPr>
      </w:pPr>
      <w:r w:rsidRPr="002229EB">
        <w:rPr>
          <w:rStyle w:val="CharAttribute3"/>
          <w:rFonts w:ascii="Calibri" w:hAnsi="Calibri"/>
          <w:b w:val="0"/>
          <w:szCs w:val="24"/>
          <w:lang w:val="en-GB"/>
        </w:rPr>
        <w:t xml:space="preserve">This paper reports the results of a cross-national study spanning </w:t>
      </w:r>
      <w:r w:rsidR="00072576" w:rsidRPr="002229EB">
        <w:rPr>
          <w:rStyle w:val="CharAttribute3"/>
          <w:rFonts w:ascii="Calibri" w:hAnsi="Calibri"/>
          <w:b w:val="0"/>
          <w:szCs w:val="24"/>
          <w:lang w:val="en-GB"/>
        </w:rPr>
        <w:t>England</w:t>
      </w:r>
      <w:r w:rsidRPr="002229EB">
        <w:rPr>
          <w:rStyle w:val="CharAttribute3"/>
          <w:rFonts w:ascii="Calibri" w:hAnsi="Calibri"/>
          <w:b w:val="0"/>
          <w:szCs w:val="24"/>
          <w:lang w:val="en-GB"/>
        </w:rPr>
        <w:t xml:space="preserve">, New Zealand and the United States.  A total of 496 </w:t>
      </w:r>
      <w:r w:rsidR="00B91083" w:rsidRPr="002229EB">
        <w:rPr>
          <w:rStyle w:val="CharAttribute3"/>
          <w:rFonts w:ascii="Calibri" w:hAnsi="Calibri"/>
          <w:b w:val="0"/>
          <w:szCs w:val="24"/>
          <w:lang w:val="en-GB"/>
        </w:rPr>
        <w:t xml:space="preserve">first year </w:t>
      </w:r>
      <w:r w:rsidRPr="002229EB">
        <w:rPr>
          <w:rStyle w:val="CharAttribute3"/>
          <w:rFonts w:ascii="Calibri" w:hAnsi="Calibri"/>
          <w:b w:val="0"/>
          <w:szCs w:val="24"/>
          <w:lang w:val="en-GB"/>
        </w:rPr>
        <w:t xml:space="preserve">undergraduates </w:t>
      </w:r>
      <w:r w:rsidR="00B91083" w:rsidRPr="002229EB">
        <w:rPr>
          <w:rStyle w:val="CharAttribute3"/>
          <w:rFonts w:ascii="Calibri" w:hAnsi="Calibri"/>
          <w:b w:val="0"/>
          <w:szCs w:val="24"/>
          <w:lang w:val="en-GB"/>
        </w:rPr>
        <w:t>studying business or social science completed a 20-item questionnaire.  This focused on their attitudes to their debt incurred while studying, as measured on a five-point Likert scale.  A factor analysis model was developed, from which four consistent factors emerged, explaining 45 percent of the variation</w:t>
      </w:r>
      <w:r w:rsidR="00072576" w:rsidRPr="002229EB">
        <w:rPr>
          <w:rStyle w:val="CharAttribute3"/>
          <w:rFonts w:ascii="Calibri" w:hAnsi="Calibri"/>
          <w:b w:val="0"/>
          <w:szCs w:val="24"/>
          <w:lang w:val="en-GB"/>
        </w:rPr>
        <w:t xml:space="preserve"> and consistent between countries</w:t>
      </w:r>
      <w:r w:rsidR="00B91083" w:rsidRPr="002229EB">
        <w:rPr>
          <w:rStyle w:val="CharAttribute3"/>
          <w:rFonts w:ascii="Calibri" w:hAnsi="Calibri"/>
          <w:b w:val="0"/>
          <w:szCs w:val="24"/>
          <w:lang w:val="en-GB"/>
        </w:rPr>
        <w:t>.  These factors were named: Anxiety, Utility-</w:t>
      </w:r>
      <w:r w:rsidR="00D86E26" w:rsidRPr="002229EB">
        <w:rPr>
          <w:rStyle w:val="CharAttribute3"/>
          <w:rFonts w:ascii="Calibri" w:hAnsi="Calibri"/>
          <w:b w:val="0"/>
          <w:szCs w:val="24"/>
          <w:lang w:val="en-GB"/>
        </w:rPr>
        <w:t>F</w:t>
      </w:r>
      <w:r w:rsidR="00B91083" w:rsidRPr="002229EB">
        <w:rPr>
          <w:rStyle w:val="CharAttribute3"/>
          <w:rFonts w:ascii="Calibri" w:hAnsi="Calibri"/>
          <w:b w:val="0"/>
          <w:szCs w:val="24"/>
          <w:lang w:val="en-GB"/>
        </w:rPr>
        <w:t>or-Lifestyle, Utility-</w:t>
      </w:r>
      <w:r w:rsidR="00D86E26" w:rsidRPr="002229EB">
        <w:rPr>
          <w:rStyle w:val="CharAttribute3"/>
          <w:rFonts w:ascii="Calibri" w:hAnsi="Calibri"/>
          <w:b w:val="0"/>
          <w:szCs w:val="24"/>
          <w:lang w:val="en-GB"/>
        </w:rPr>
        <w:t>F</w:t>
      </w:r>
      <w:r w:rsidR="00B91083" w:rsidRPr="002229EB">
        <w:rPr>
          <w:rStyle w:val="CharAttribute3"/>
          <w:rFonts w:ascii="Calibri" w:hAnsi="Calibri"/>
          <w:b w:val="0"/>
          <w:szCs w:val="24"/>
          <w:lang w:val="en-GB"/>
        </w:rPr>
        <w:t xml:space="preserve">or-Investment and </w:t>
      </w:r>
      <w:r w:rsidR="004F7375" w:rsidRPr="002229EB">
        <w:rPr>
          <w:rStyle w:val="CharAttribute3"/>
          <w:rFonts w:ascii="Calibri" w:hAnsi="Calibri"/>
          <w:b w:val="0"/>
          <w:szCs w:val="24"/>
          <w:lang w:val="en-GB"/>
        </w:rPr>
        <w:t>Confidence</w:t>
      </w:r>
      <w:r w:rsidR="00B91083" w:rsidRPr="002229EB">
        <w:rPr>
          <w:rStyle w:val="CharAttribute3"/>
          <w:rFonts w:ascii="Calibri" w:hAnsi="Calibri"/>
          <w:b w:val="0"/>
          <w:szCs w:val="24"/>
          <w:lang w:val="en-GB"/>
        </w:rPr>
        <w:t xml:space="preserve">.  The first three factors were found to be uncorrelated with each other, but </w:t>
      </w:r>
      <w:r w:rsidR="00072576" w:rsidRPr="002229EB">
        <w:rPr>
          <w:rStyle w:val="CharAttribute3"/>
          <w:rFonts w:ascii="Calibri" w:hAnsi="Calibri"/>
          <w:b w:val="0"/>
          <w:szCs w:val="24"/>
          <w:lang w:val="en-GB"/>
        </w:rPr>
        <w:t xml:space="preserve">higher </w:t>
      </w:r>
      <w:r w:rsidR="004F7375" w:rsidRPr="002229EB">
        <w:rPr>
          <w:rStyle w:val="CharAttribute3"/>
          <w:rFonts w:ascii="Calibri" w:hAnsi="Calibri"/>
          <w:b w:val="0"/>
          <w:szCs w:val="24"/>
          <w:lang w:val="en-GB"/>
        </w:rPr>
        <w:t>Confidence</w:t>
      </w:r>
      <w:r w:rsidR="00B91083" w:rsidRPr="002229EB">
        <w:rPr>
          <w:rStyle w:val="CharAttribute3"/>
          <w:rFonts w:ascii="Calibri" w:hAnsi="Calibri"/>
          <w:b w:val="0"/>
          <w:szCs w:val="24"/>
          <w:lang w:val="en-GB"/>
        </w:rPr>
        <w:t xml:space="preserve"> </w:t>
      </w:r>
      <w:r w:rsidR="00D86E26" w:rsidRPr="002229EB">
        <w:rPr>
          <w:rStyle w:val="CharAttribute3"/>
          <w:rFonts w:ascii="Calibri" w:hAnsi="Calibri"/>
          <w:b w:val="0"/>
          <w:szCs w:val="24"/>
          <w:lang w:val="en-GB"/>
        </w:rPr>
        <w:t>was associated with lower levels of Anxiety and Utility-for-Lifestyle and higher levels of Utility-for-Investment.  The relationship with previous studies and implications for theory and practice are discussed.</w:t>
      </w:r>
    </w:p>
    <w:p w:rsidR="00D86E26" w:rsidRPr="002229EB" w:rsidRDefault="00D86E26" w:rsidP="009C3AC7">
      <w:pPr>
        <w:widowControl/>
        <w:wordWrap/>
        <w:autoSpaceDE/>
        <w:autoSpaceDN/>
        <w:spacing w:line="276" w:lineRule="auto"/>
        <w:jc w:val="left"/>
        <w:rPr>
          <w:rStyle w:val="CharAttribute3"/>
          <w:rFonts w:ascii="Calibri" w:hAnsi="Calibri"/>
          <w:b w:val="0"/>
          <w:szCs w:val="24"/>
          <w:lang w:val="en-GB"/>
        </w:rPr>
      </w:pPr>
    </w:p>
    <w:p w:rsidR="00D86E26" w:rsidRPr="0044588A" w:rsidRDefault="00D86E26" w:rsidP="009C3AC7">
      <w:pPr>
        <w:widowControl/>
        <w:wordWrap/>
        <w:autoSpaceDE/>
        <w:autoSpaceDN/>
        <w:spacing w:line="276" w:lineRule="auto"/>
        <w:jc w:val="left"/>
        <w:rPr>
          <w:rStyle w:val="CharAttribute3"/>
          <w:rFonts w:ascii="Calibri" w:hAnsi="Calibri"/>
          <w:kern w:val="0"/>
          <w:szCs w:val="24"/>
          <w:lang w:val="en-GB" w:eastAsia="en-GB"/>
        </w:rPr>
      </w:pPr>
      <w:r w:rsidRPr="002229EB">
        <w:rPr>
          <w:rStyle w:val="CharAttribute3"/>
          <w:rFonts w:ascii="Calibri" w:hAnsi="Calibri"/>
          <w:szCs w:val="24"/>
          <w:lang w:val="en-GB"/>
        </w:rPr>
        <w:t>Highlights</w:t>
      </w:r>
    </w:p>
    <w:p w:rsidR="00D86E26" w:rsidRPr="002229EB" w:rsidRDefault="00D86E26" w:rsidP="009C3AC7">
      <w:pPr>
        <w:pStyle w:val="ListParagraph"/>
        <w:numPr>
          <w:ilvl w:val="0"/>
          <w:numId w:val="4"/>
        </w:numPr>
        <w:ind w:left="426" w:hanging="426"/>
        <w:rPr>
          <w:rStyle w:val="CharAttribute3"/>
          <w:rFonts w:ascii="Calibri" w:hAnsi="Calibri"/>
          <w:b w:val="0"/>
          <w:szCs w:val="24"/>
        </w:rPr>
      </w:pPr>
      <w:r w:rsidRPr="002229EB">
        <w:rPr>
          <w:rStyle w:val="CharAttribute3"/>
          <w:rFonts w:ascii="Calibri" w:hAnsi="Calibri"/>
          <w:b w:val="0"/>
          <w:szCs w:val="24"/>
        </w:rPr>
        <w:t xml:space="preserve">Cross-national study of 496 </w:t>
      </w:r>
      <w:r w:rsidR="0044588A">
        <w:rPr>
          <w:rStyle w:val="CharAttribute3"/>
          <w:rFonts w:ascii="Calibri" w:hAnsi="Calibri"/>
          <w:b w:val="0"/>
          <w:szCs w:val="24"/>
        </w:rPr>
        <w:t>undergraduates</w:t>
      </w:r>
      <w:r w:rsidRPr="002229EB">
        <w:rPr>
          <w:rStyle w:val="CharAttribute3"/>
          <w:rFonts w:ascii="Calibri" w:hAnsi="Calibri"/>
          <w:b w:val="0"/>
          <w:szCs w:val="24"/>
        </w:rPr>
        <w:t xml:space="preserve"> from </w:t>
      </w:r>
      <w:r w:rsidR="00072576" w:rsidRPr="002229EB">
        <w:rPr>
          <w:rStyle w:val="CharAttribute3"/>
          <w:rFonts w:ascii="Calibri" w:hAnsi="Calibri"/>
          <w:b w:val="0"/>
          <w:szCs w:val="24"/>
        </w:rPr>
        <w:t>England</w:t>
      </w:r>
      <w:r w:rsidRPr="002229EB">
        <w:rPr>
          <w:rStyle w:val="CharAttribute3"/>
          <w:rFonts w:ascii="Calibri" w:hAnsi="Calibri"/>
          <w:b w:val="0"/>
          <w:szCs w:val="24"/>
        </w:rPr>
        <w:t xml:space="preserve">, </w:t>
      </w:r>
      <w:r w:rsidR="00072576" w:rsidRPr="002229EB">
        <w:rPr>
          <w:rStyle w:val="CharAttribute3"/>
          <w:rFonts w:ascii="Calibri" w:hAnsi="Calibri"/>
          <w:b w:val="0"/>
          <w:szCs w:val="24"/>
        </w:rPr>
        <w:t>New Zealand</w:t>
      </w:r>
      <w:r w:rsidRPr="002229EB">
        <w:rPr>
          <w:rStyle w:val="CharAttribute3"/>
          <w:rFonts w:ascii="Calibri" w:hAnsi="Calibri"/>
          <w:b w:val="0"/>
          <w:szCs w:val="24"/>
        </w:rPr>
        <w:t xml:space="preserve"> and </w:t>
      </w:r>
      <w:r w:rsidR="00072576" w:rsidRPr="002229EB">
        <w:rPr>
          <w:rStyle w:val="CharAttribute3"/>
          <w:rFonts w:ascii="Calibri" w:hAnsi="Calibri"/>
          <w:b w:val="0"/>
          <w:szCs w:val="24"/>
        </w:rPr>
        <w:t xml:space="preserve">the </w:t>
      </w:r>
      <w:r w:rsidRPr="002229EB">
        <w:rPr>
          <w:rStyle w:val="CharAttribute3"/>
          <w:rFonts w:ascii="Calibri" w:hAnsi="Calibri"/>
          <w:b w:val="0"/>
          <w:szCs w:val="24"/>
        </w:rPr>
        <w:t>US</w:t>
      </w:r>
    </w:p>
    <w:p w:rsidR="00D86E26" w:rsidRPr="002229EB" w:rsidRDefault="00D86E26" w:rsidP="009C3AC7">
      <w:pPr>
        <w:pStyle w:val="ListParagraph"/>
        <w:numPr>
          <w:ilvl w:val="0"/>
          <w:numId w:val="4"/>
        </w:numPr>
        <w:ind w:left="426" w:hanging="426"/>
        <w:rPr>
          <w:rStyle w:val="CharAttribute3"/>
          <w:rFonts w:ascii="Calibri" w:hAnsi="Calibri"/>
          <w:b w:val="0"/>
          <w:szCs w:val="24"/>
        </w:rPr>
      </w:pPr>
      <w:r w:rsidRPr="002229EB">
        <w:rPr>
          <w:rStyle w:val="CharAttribute3"/>
          <w:rFonts w:ascii="Calibri" w:hAnsi="Calibri"/>
          <w:b w:val="0"/>
          <w:szCs w:val="24"/>
        </w:rPr>
        <w:t>Attitudes to debt found to have four factors</w:t>
      </w:r>
    </w:p>
    <w:p w:rsidR="00D86E26" w:rsidRPr="002229EB" w:rsidRDefault="00D86E26" w:rsidP="009C3AC7">
      <w:pPr>
        <w:pStyle w:val="ListParagraph"/>
        <w:numPr>
          <w:ilvl w:val="0"/>
          <w:numId w:val="4"/>
        </w:numPr>
        <w:ind w:left="426" w:hanging="426"/>
        <w:rPr>
          <w:rStyle w:val="CharAttribute3"/>
          <w:rFonts w:ascii="Calibri" w:hAnsi="Calibri"/>
          <w:b w:val="0"/>
          <w:szCs w:val="24"/>
        </w:rPr>
      </w:pPr>
      <w:r w:rsidRPr="002229EB">
        <w:rPr>
          <w:rStyle w:val="CharAttribute3"/>
          <w:rFonts w:ascii="Calibri" w:hAnsi="Calibri"/>
          <w:b w:val="0"/>
          <w:szCs w:val="24"/>
        </w:rPr>
        <w:t xml:space="preserve">Factors named Anxiety, Utility-For-Lifestyle, Utility-For-Investment and </w:t>
      </w:r>
      <w:r w:rsidR="004F7375" w:rsidRPr="002229EB">
        <w:rPr>
          <w:rStyle w:val="CharAttribute3"/>
          <w:rFonts w:ascii="Calibri" w:hAnsi="Calibri"/>
          <w:b w:val="0"/>
          <w:szCs w:val="24"/>
        </w:rPr>
        <w:t>Confidence</w:t>
      </w:r>
    </w:p>
    <w:p w:rsidR="00D86E26" w:rsidRPr="002229EB" w:rsidRDefault="004F7375" w:rsidP="009C3AC7">
      <w:pPr>
        <w:pStyle w:val="ListParagraph"/>
        <w:numPr>
          <w:ilvl w:val="0"/>
          <w:numId w:val="4"/>
        </w:numPr>
        <w:ind w:left="426" w:hanging="426"/>
        <w:rPr>
          <w:rStyle w:val="CharAttribute3"/>
          <w:rFonts w:ascii="Calibri" w:hAnsi="Calibri"/>
          <w:b w:val="0"/>
          <w:szCs w:val="24"/>
        </w:rPr>
      </w:pPr>
      <w:r w:rsidRPr="002229EB">
        <w:rPr>
          <w:rStyle w:val="CharAttribute3"/>
          <w:rFonts w:ascii="Calibri" w:hAnsi="Calibri"/>
          <w:b w:val="0"/>
          <w:szCs w:val="24"/>
        </w:rPr>
        <w:t>Confidence</w:t>
      </w:r>
      <w:r w:rsidR="00D86E26" w:rsidRPr="002229EB">
        <w:rPr>
          <w:rStyle w:val="CharAttribute3"/>
          <w:rFonts w:ascii="Calibri" w:hAnsi="Calibri"/>
          <w:b w:val="0"/>
          <w:szCs w:val="24"/>
        </w:rPr>
        <w:t xml:space="preserve"> significantly correlated to other factors</w:t>
      </w:r>
    </w:p>
    <w:p w:rsidR="00D86E26" w:rsidRPr="002229EB" w:rsidRDefault="00D86E26" w:rsidP="009C3AC7">
      <w:pPr>
        <w:pStyle w:val="ParaAttribute0"/>
        <w:wordWrap/>
        <w:spacing w:line="276" w:lineRule="auto"/>
        <w:rPr>
          <w:rStyle w:val="CharAttribute3"/>
          <w:rFonts w:ascii="Calibri" w:hAnsi="Calibri"/>
          <w:szCs w:val="24"/>
        </w:rPr>
      </w:pPr>
    </w:p>
    <w:p w:rsidR="00D86E26" w:rsidRPr="002229EB" w:rsidRDefault="0044588A" w:rsidP="009C3AC7">
      <w:pPr>
        <w:pStyle w:val="ParaAttribute0"/>
        <w:wordWrap/>
        <w:spacing w:line="276" w:lineRule="auto"/>
        <w:rPr>
          <w:rStyle w:val="CharAttribute3"/>
          <w:rFonts w:ascii="Calibri" w:hAnsi="Calibri"/>
          <w:szCs w:val="24"/>
        </w:rPr>
      </w:pPr>
      <w:r>
        <w:rPr>
          <w:rStyle w:val="CharAttribute3"/>
          <w:rFonts w:ascii="Calibri" w:hAnsi="Calibri"/>
          <w:szCs w:val="24"/>
        </w:rPr>
        <w:t>Key</w:t>
      </w:r>
      <w:r w:rsidR="00D86E26" w:rsidRPr="002229EB">
        <w:rPr>
          <w:rStyle w:val="CharAttribute3"/>
          <w:rFonts w:ascii="Calibri" w:hAnsi="Calibri"/>
          <w:szCs w:val="24"/>
        </w:rPr>
        <w:t>words</w:t>
      </w:r>
    </w:p>
    <w:p w:rsidR="00D86E26" w:rsidRPr="0044588A" w:rsidRDefault="0044588A" w:rsidP="009C3AC7">
      <w:pPr>
        <w:pStyle w:val="ParaAttribute0"/>
        <w:wordWrap/>
        <w:spacing w:line="276" w:lineRule="auto"/>
        <w:rPr>
          <w:rStyle w:val="CharAttribute3"/>
          <w:rFonts w:ascii="Calibri" w:hAnsi="Calibri"/>
          <w:b w:val="0"/>
          <w:szCs w:val="24"/>
        </w:rPr>
      </w:pPr>
      <w:r w:rsidRPr="0044588A">
        <w:rPr>
          <w:rStyle w:val="CharAttribute3"/>
          <w:rFonts w:ascii="Calibri" w:hAnsi="Calibri"/>
          <w:b w:val="0"/>
          <w:szCs w:val="24"/>
        </w:rPr>
        <w:t>Debt attitudes; factor analysis;</w:t>
      </w:r>
      <w:r w:rsidR="00D86E26" w:rsidRPr="0044588A">
        <w:rPr>
          <w:rStyle w:val="CharAttribute3"/>
          <w:rFonts w:ascii="Calibri" w:hAnsi="Calibri"/>
          <w:b w:val="0"/>
          <w:szCs w:val="24"/>
        </w:rPr>
        <w:t xml:space="preserve"> higher ed</w:t>
      </w:r>
      <w:r w:rsidRPr="0044588A">
        <w:rPr>
          <w:rStyle w:val="CharAttribute3"/>
          <w:rFonts w:ascii="Calibri" w:hAnsi="Calibri"/>
          <w:b w:val="0"/>
          <w:szCs w:val="24"/>
        </w:rPr>
        <w:t xml:space="preserve">ucation; </w:t>
      </w:r>
      <w:r w:rsidRPr="0044588A">
        <w:rPr>
          <w:rFonts w:ascii="Calibri" w:hAnsi="Calibri"/>
          <w:sz w:val="24"/>
          <w:szCs w:val="24"/>
        </w:rPr>
        <w:t>consumer attitudes and behaviour; educational finance</w:t>
      </w:r>
    </w:p>
    <w:p w:rsidR="00B96A01" w:rsidRDefault="00B96A01" w:rsidP="009C3AC7">
      <w:pPr>
        <w:pStyle w:val="ParaAttribute0"/>
        <w:wordWrap/>
        <w:spacing w:line="276" w:lineRule="auto"/>
        <w:rPr>
          <w:rStyle w:val="CharAttribute3"/>
          <w:rFonts w:ascii="Calibri" w:hAnsi="Calibri"/>
          <w:szCs w:val="24"/>
        </w:rPr>
      </w:pPr>
    </w:p>
    <w:p w:rsidR="00B96A01" w:rsidRDefault="00B96A01" w:rsidP="009C3AC7">
      <w:pPr>
        <w:pStyle w:val="ParaAttribute0"/>
        <w:wordWrap/>
        <w:spacing w:line="276" w:lineRule="auto"/>
        <w:rPr>
          <w:rStyle w:val="CharAttribute3"/>
          <w:rFonts w:ascii="Calibri" w:hAnsi="Calibri"/>
          <w:szCs w:val="24"/>
        </w:rPr>
      </w:pPr>
      <w:r>
        <w:rPr>
          <w:rStyle w:val="CharAttribute3"/>
          <w:rFonts w:ascii="Calibri" w:hAnsi="Calibri"/>
          <w:szCs w:val="24"/>
        </w:rPr>
        <w:t>Corresponding author</w:t>
      </w:r>
    </w:p>
    <w:p w:rsidR="00B96A01" w:rsidRPr="00B96A01" w:rsidRDefault="00B96A01" w:rsidP="009C3AC7">
      <w:pPr>
        <w:pStyle w:val="ParaAttribute0"/>
        <w:wordWrap/>
        <w:spacing w:line="276" w:lineRule="auto"/>
        <w:rPr>
          <w:rStyle w:val="CharAttribute3"/>
          <w:rFonts w:ascii="Calibri" w:hAnsi="Calibri"/>
          <w:b w:val="0"/>
          <w:szCs w:val="24"/>
        </w:rPr>
      </w:pPr>
      <w:proofErr w:type="gramStart"/>
      <w:r w:rsidRPr="00B96A01">
        <w:rPr>
          <w:rStyle w:val="CharAttribute3"/>
          <w:rFonts w:ascii="Calibri" w:hAnsi="Calibri"/>
          <w:b w:val="0"/>
          <w:szCs w:val="24"/>
        </w:rPr>
        <w:t>Neil Harrison</w:t>
      </w:r>
      <w:r>
        <w:rPr>
          <w:rStyle w:val="CharAttribute3"/>
          <w:rFonts w:ascii="Calibri" w:hAnsi="Calibri"/>
          <w:b w:val="0"/>
          <w:szCs w:val="24"/>
        </w:rPr>
        <w:t xml:space="preserve">, Department of Education, University of the West of England, </w:t>
      </w:r>
      <w:proofErr w:type="spellStart"/>
      <w:r>
        <w:rPr>
          <w:rStyle w:val="CharAttribute3"/>
          <w:rFonts w:ascii="Calibri" w:hAnsi="Calibri"/>
          <w:b w:val="0"/>
          <w:szCs w:val="24"/>
        </w:rPr>
        <w:t>Coldharbour</w:t>
      </w:r>
      <w:proofErr w:type="spellEnd"/>
      <w:r>
        <w:rPr>
          <w:rStyle w:val="CharAttribute3"/>
          <w:rFonts w:ascii="Calibri" w:hAnsi="Calibri"/>
          <w:b w:val="0"/>
          <w:szCs w:val="24"/>
        </w:rPr>
        <w:t xml:space="preserve"> Lane, Frenchay, Bristol, BS16 1QY.</w:t>
      </w:r>
      <w:proofErr w:type="gramEnd"/>
      <w:r>
        <w:rPr>
          <w:rStyle w:val="CharAttribute3"/>
          <w:rFonts w:ascii="Calibri" w:hAnsi="Calibri"/>
          <w:b w:val="0"/>
          <w:szCs w:val="24"/>
        </w:rPr>
        <w:t xml:space="preserve">  E-mail: </w:t>
      </w:r>
      <w:r w:rsidRPr="00B96A01">
        <w:rPr>
          <w:rStyle w:val="CharAttribute3"/>
          <w:rFonts w:ascii="Calibri" w:hAnsi="Calibri"/>
          <w:b w:val="0"/>
          <w:szCs w:val="24"/>
        </w:rPr>
        <w:t>neil.harrison@uwe.ac.uk</w:t>
      </w:r>
      <w:r>
        <w:rPr>
          <w:rStyle w:val="CharAttribute3"/>
          <w:rFonts w:ascii="Calibri" w:hAnsi="Calibri"/>
          <w:b w:val="0"/>
          <w:szCs w:val="24"/>
        </w:rPr>
        <w:t>.  Telephone: +441173284190.</w:t>
      </w:r>
    </w:p>
    <w:p w:rsidR="00D86E26" w:rsidRPr="002229EB" w:rsidRDefault="00D86E26" w:rsidP="009C3AC7">
      <w:pPr>
        <w:pStyle w:val="ParaAttribute0"/>
        <w:wordWrap/>
        <w:spacing w:line="276" w:lineRule="auto"/>
        <w:rPr>
          <w:rStyle w:val="CharAttribute3"/>
          <w:rFonts w:ascii="Calibri" w:hAnsi="Calibri"/>
          <w:szCs w:val="24"/>
        </w:rPr>
      </w:pPr>
    </w:p>
    <w:p w:rsidR="00D86E26" w:rsidRPr="002229EB" w:rsidRDefault="00D86E26" w:rsidP="009C3AC7">
      <w:pPr>
        <w:widowControl/>
        <w:wordWrap/>
        <w:autoSpaceDE/>
        <w:autoSpaceDN/>
        <w:spacing w:line="276" w:lineRule="auto"/>
        <w:jc w:val="left"/>
        <w:rPr>
          <w:rStyle w:val="CharAttribute3"/>
          <w:rFonts w:ascii="Calibri" w:hAnsi="Calibri"/>
          <w:kern w:val="0"/>
          <w:szCs w:val="24"/>
          <w:lang w:val="en-GB" w:eastAsia="en-GB"/>
        </w:rPr>
      </w:pPr>
      <w:r w:rsidRPr="002229EB">
        <w:rPr>
          <w:rStyle w:val="CharAttribute3"/>
          <w:rFonts w:ascii="Calibri" w:hAnsi="Calibri"/>
          <w:szCs w:val="24"/>
          <w:lang w:val="en-GB"/>
        </w:rPr>
        <w:br w:type="page"/>
      </w:r>
      <w:bookmarkStart w:id="0" w:name="_GoBack"/>
      <w:bookmarkEnd w:id="0"/>
    </w:p>
    <w:p w:rsidR="00B21C3E" w:rsidRPr="002229EB" w:rsidRDefault="00B96A01" w:rsidP="009C3AC7">
      <w:pPr>
        <w:pStyle w:val="ParaAttribute0"/>
        <w:wordWrap/>
        <w:spacing w:line="276" w:lineRule="auto"/>
        <w:rPr>
          <w:rFonts w:ascii="Calibri" w:eastAsia="Tahoma" w:hAnsi="Calibri"/>
          <w:sz w:val="24"/>
          <w:szCs w:val="24"/>
        </w:rPr>
      </w:pPr>
      <w:r>
        <w:rPr>
          <w:rStyle w:val="CharAttribute3"/>
          <w:rFonts w:ascii="Calibri" w:hAnsi="Calibri"/>
          <w:szCs w:val="24"/>
        </w:rPr>
        <w:lastRenderedPageBreak/>
        <w:t xml:space="preserve">1 </w:t>
      </w:r>
      <w:r w:rsidR="007817FF" w:rsidRPr="002229EB">
        <w:rPr>
          <w:rStyle w:val="CharAttribute3"/>
          <w:rFonts w:ascii="Calibri" w:hAnsi="Calibri"/>
          <w:szCs w:val="24"/>
        </w:rPr>
        <w:t>Introduction</w:t>
      </w:r>
    </w:p>
    <w:p w:rsidR="00B21C3E" w:rsidRPr="002229EB" w:rsidRDefault="00B21C3E" w:rsidP="009C3AC7">
      <w:pPr>
        <w:pStyle w:val="ParaAttribute0"/>
        <w:wordWrap/>
        <w:spacing w:line="276" w:lineRule="auto"/>
        <w:rPr>
          <w:rFonts w:ascii="Calibri" w:eastAsia="Tahoma" w:hAnsi="Calibri"/>
          <w:b/>
          <w:sz w:val="24"/>
          <w:szCs w:val="24"/>
        </w:rPr>
      </w:pPr>
    </w:p>
    <w:p w:rsidR="00B21C3E" w:rsidRPr="002229EB" w:rsidRDefault="007817FF" w:rsidP="009C3AC7">
      <w:pPr>
        <w:pStyle w:val="ParaAttribute0"/>
        <w:wordWrap/>
        <w:spacing w:line="276" w:lineRule="auto"/>
        <w:rPr>
          <w:rFonts w:ascii="Calibri" w:eastAsia="Tahoma" w:hAnsi="Calibri"/>
          <w:sz w:val="24"/>
          <w:szCs w:val="24"/>
        </w:rPr>
      </w:pPr>
      <w:r w:rsidRPr="002229EB">
        <w:rPr>
          <w:rStyle w:val="CharAttribute2"/>
          <w:rFonts w:ascii="Calibri" w:hAnsi="Calibri"/>
          <w:szCs w:val="24"/>
        </w:rPr>
        <w:t xml:space="preserve">Over the last fifty years, the likelihood of students across the </w:t>
      </w:r>
      <w:r w:rsidR="00E0123B" w:rsidRPr="002229EB">
        <w:rPr>
          <w:rStyle w:val="CharAttribute2"/>
          <w:rFonts w:ascii="Calibri" w:hAnsi="Calibri"/>
          <w:szCs w:val="24"/>
        </w:rPr>
        <w:t xml:space="preserve">developed </w:t>
      </w:r>
      <w:r w:rsidRPr="002229EB">
        <w:rPr>
          <w:rStyle w:val="CharAttribute2"/>
          <w:rFonts w:ascii="Calibri" w:hAnsi="Calibri"/>
          <w:szCs w:val="24"/>
        </w:rPr>
        <w:t xml:space="preserve">world </w:t>
      </w:r>
      <w:r w:rsidR="002E3B68" w:rsidRPr="002229EB">
        <w:rPr>
          <w:rStyle w:val="CharAttribute2"/>
          <w:rFonts w:ascii="Calibri" w:hAnsi="Calibri"/>
          <w:szCs w:val="24"/>
        </w:rPr>
        <w:t>accruing</w:t>
      </w:r>
      <w:r w:rsidRPr="002229EB">
        <w:rPr>
          <w:rStyle w:val="CharAttribute2"/>
          <w:rFonts w:ascii="Calibri" w:hAnsi="Calibri"/>
          <w:szCs w:val="24"/>
        </w:rPr>
        <w:t xml:space="preserve"> debt to finance their studies has grown rapidly</w:t>
      </w:r>
      <w:r w:rsidR="00795851" w:rsidRPr="002229EB">
        <w:rPr>
          <w:rStyle w:val="CharAttribute2"/>
          <w:rFonts w:ascii="Calibri" w:hAnsi="Calibri"/>
          <w:szCs w:val="24"/>
        </w:rPr>
        <w:t xml:space="preserve"> (Usher</w:t>
      </w:r>
      <w:r w:rsidR="00072576" w:rsidRPr="002229EB">
        <w:rPr>
          <w:rStyle w:val="CharAttribute2"/>
          <w:rFonts w:ascii="Calibri" w:hAnsi="Calibri"/>
          <w:szCs w:val="24"/>
        </w:rPr>
        <w:t>,</w:t>
      </w:r>
      <w:r w:rsidR="00795851" w:rsidRPr="002229EB">
        <w:rPr>
          <w:rStyle w:val="CharAttribute2"/>
          <w:rFonts w:ascii="Calibri" w:hAnsi="Calibri"/>
          <w:szCs w:val="24"/>
        </w:rPr>
        <w:t xml:space="preserve"> 2005)</w:t>
      </w:r>
      <w:r w:rsidRPr="002229EB">
        <w:rPr>
          <w:rStyle w:val="CharAttribute2"/>
          <w:rFonts w:ascii="Calibri" w:hAnsi="Calibri"/>
          <w:szCs w:val="24"/>
        </w:rPr>
        <w:t>.  This has partly been a response to the '</w:t>
      </w:r>
      <w:proofErr w:type="spellStart"/>
      <w:r w:rsidRPr="002229EB">
        <w:rPr>
          <w:rStyle w:val="CharAttribute2"/>
          <w:rFonts w:ascii="Calibri" w:hAnsi="Calibri"/>
          <w:szCs w:val="24"/>
        </w:rPr>
        <w:t>massification</w:t>
      </w:r>
      <w:proofErr w:type="spellEnd"/>
      <w:r w:rsidRPr="002229EB">
        <w:rPr>
          <w:rStyle w:val="CharAttribute2"/>
          <w:rFonts w:ascii="Calibri" w:hAnsi="Calibri"/>
          <w:szCs w:val="24"/>
        </w:rPr>
        <w:t xml:space="preserve">' of higher education, with higher numbers progressing to university and governments reducing or abolishing grant funding as it has become judged to be an unsustainable drain on the public purse.  Another strand has been the liberalisation of various forms of commercial credit, with young people having access to various forms of overdraft, credit card and </w:t>
      </w:r>
      <w:r w:rsidR="00072576" w:rsidRPr="002229EB">
        <w:rPr>
          <w:rStyle w:val="CharAttribute2"/>
          <w:rFonts w:ascii="Calibri" w:hAnsi="Calibri"/>
          <w:szCs w:val="24"/>
        </w:rPr>
        <w:t xml:space="preserve">personal </w:t>
      </w:r>
      <w:r w:rsidRPr="002229EB">
        <w:rPr>
          <w:rStyle w:val="CharAttribute2"/>
          <w:rFonts w:ascii="Calibri" w:hAnsi="Calibri"/>
          <w:szCs w:val="24"/>
        </w:rPr>
        <w:t>loan that would not have been available to their antecedents.  Banks and other financial institutions have taken the view that students are useful customers to have</w:t>
      </w:r>
      <w:r w:rsidR="00072576" w:rsidRPr="002229EB">
        <w:rPr>
          <w:rStyle w:val="CharAttribute2"/>
          <w:rFonts w:ascii="Calibri" w:hAnsi="Calibri"/>
          <w:szCs w:val="24"/>
        </w:rPr>
        <w:t>,</w:t>
      </w:r>
      <w:r w:rsidRPr="002229EB">
        <w:rPr>
          <w:rStyle w:val="CharAttribute2"/>
          <w:rFonts w:ascii="Calibri" w:hAnsi="Calibri"/>
          <w:szCs w:val="24"/>
        </w:rPr>
        <w:t xml:space="preserve"> as they tend to turn into high-earning graduates who will invest, save or borrow in greater depth later in their working lives.</w:t>
      </w:r>
    </w:p>
    <w:p w:rsidR="00B21C3E" w:rsidRPr="002229EB" w:rsidRDefault="00B21C3E" w:rsidP="009C3AC7">
      <w:pPr>
        <w:pStyle w:val="ParaAttribute0"/>
        <w:wordWrap/>
        <w:spacing w:line="276" w:lineRule="auto"/>
        <w:rPr>
          <w:rFonts w:ascii="Calibri" w:eastAsia="Tahoma" w:hAnsi="Calibri"/>
          <w:sz w:val="24"/>
          <w:szCs w:val="24"/>
        </w:rPr>
      </w:pPr>
    </w:p>
    <w:p w:rsidR="00B21C3E" w:rsidRPr="002229EB" w:rsidRDefault="007817FF" w:rsidP="009C3AC7">
      <w:pPr>
        <w:pStyle w:val="ParaAttribute0"/>
        <w:wordWrap/>
        <w:spacing w:line="276" w:lineRule="auto"/>
        <w:rPr>
          <w:rFonts w:ascii="Calibri" w:eastAsia="Tahoma" w:hAnsi="Calibri"/>
          <w:sz w:val="24"/>
          <w:szCs w:val="24"/>
        </w:rPr>
      </w:pPr>
      <w:r w:rsidRPr="002229EB">
        <w:rPr>
          <w:rStyle w:val="CharAttribute2"/>
          <w:rFonts w:ascii="Calibri" w:hAnsi="Calibri"/>
          <w:szCs w:val="24"/>
        </w:rPr>
        <w:t xml:space="preserve">From the students' perspective, borrowing to fund extended education is generally seen as a good investment, with </w:t>
      </w:r>
      <w:r w:rsidR="00396715" w:rsidRPr="002229EB">
        <w:rPr>
          <w:rStyle w:val="CharAttribute2"/>
          <w:rFonts w:ascii="Calibri" w:hAnsi="Calibri"/>
          <w:szCs w:val="24"/>
        </w:rPr>
        <w:t xml:space="preserve">long-term </w:t>
      </w:r>
      <w:r w:rsidRPr="002229EB">
        <w:rPr>
          <w:rStyle w:val="CharAttribute2"/>
          <w:rFonts w:ascii="Calibri" w:hAnsi="Calibri"/>
          <w:szCs w:val="24"/>
        </w:rPr>
        <w:t>rates of return that exceed the cost of borrowing for most</w:t>
      </w:r>
      <w:r w:rsidR="00B72ACA" w:rsidRPr="002229EB">
        <w:rPr>
          <w:rStyle w:val="CharAttribute2"/>
          <w:rFonts w:ascii="Calibri" w:hAnsi="Calibri"/>
          <w:szCs w:val="24"/>
        </w:rPr>
        <w:t xml:space="preserve"> (Walker and Zhu, 2011)</w:t>
      </w:r>
      <w:r w:rsidRPr="002229EB">
        <w:rPr>
          <w:rStyle w:val="CharAttribute2"/>
          <w:rFonts w:ascii="Calibri" w:hAnsi="Calibri"/>
          <w:szCs w:val="24"/>
        </w:rPr>
        <w:t xml:space="preserve">.  There has been a </w:t>
      </w:r>
      <w:r w:rsidR="003B7911" w:rsidRPr="002229EB">
        <w:rPr>
          <w:rStyle w:val="CharAttribute2"/>
          <w:rFonts w:ascii="Calibri" w:hAnsi="Calibri"/>
          <w:szCs w:val="24"/>
        </w:rPr>
        <w:t xml:space="preserve">strong (and </w:t>
      </w:r>
      <w:r w:rsidRPr="002229EB">
        <w:rPr>
          <w:rStyle w:val="CharAttribute2"/>
          <w:rFonts w:ascii="Calibri" w:hAnsi="Calibri"/>
          <w:szCs w:val="24"/>
        </w:rPr>
        <w:t>growing</w:t>
      </w:r>
      <w:r w:rsidR="003B7911" w:rsidRPr="002229EB">
        <w:rPr>
          <w:rStyle w:val="CharAttribute2"/>
          <w:rFonts w:ascii="Calibri" w:hAnsi="Calibri"/>
          <w:szCs w:val="24"/>
        </w:rPr>
        <w:t>)</w:t>
      </w:r>
      <w:r w:rsidRPr="002229EB">
        <w:rPr>
          <w:rStyle w:val="CharAttribute2"/>
          <w:rFonts w:ascii="Calibri" w:hAnsi="Calibri"/>
          <w:szCs w:val="24"/>
        </w:rPr>
        <w:t xml:space="preserve"> perception that a degree is essential for entry into </w:t>
      </w:r>
      <w:r w:rsidR="008B4FB2" w:rsidRPr="002229EB">
        <w:rPr>
          <w:rStyle w:val="CharAttribute2"/>
          <w:rFonts w:ascii="Calibri" w:hAnsi="Calibri"/>
          <w:szCs w:val="24"/>
        </w:rPr>
        <w:t>lucrative</w:t>
      </w:r>
      <w:r w:rsidR="00072576" w:rsidRPr="002229EB">
        <w:rPr>
          <w:rStyle w:val="CharAttribute2"/>
          <w:rFonts w:ascii="Calibri" w:hAnsi="Calibri"/>
          <w:szCs w:val="24"/>
        </w:rPr>
        <w:t xml:space="preserve"> non-manual</w:t>
      </w:r>
      <w:r w:rsidRPr="002229EB">
        <w:rPr>
          <w:rStyle w:val="CharAttribute2"/>
          <w:rFonts w:ascii="Calibri" w:hAnsi="Calibri"/>
          <w:szCs w:val="24"/>
        </w:rPr>
        <w:t xml:space="preserve"> careers, such </w:t>
      </w:r>
      <w:r w:rsidR="0048178F" w:rsidRPr="002229EB">
        <w:rPr>
          <w:rStyle w:val="CharAttribute2"/>
          <w:rFonts w:ascii="Calibri" w:hAnsi="Calibri"/>
          <w:szCs w:val="24"/>
        </w:rPr>
        <w:t>some</w:t>
      </w:r>
      <w:r w:rsidR="00CF30AE" w:rsidRPr="002229EB">
        <w:rPr>
          <w:rStyle w:val="CharAttribute2"/>
          <w:rFonts w:ascii="Calibri" w:hAnsi="Calibri"/>
          <w:szCs w:val="24"/>
        </w:rPr>
        <w:t xml:space="preserve"> judgement of the</w:t>
      </w:r>
      <w:r w:rsidR="00AE6DDC" w:rsidRPr="002229EB">
        <w:rPr>
          <w:rStyle w:val="CharAttribute2"/>
          <w:rFonts w:ascii="Calibri" w:hAnsi="Calibri"/>
          <w:szCs w:val="24"/>
        </w:rPr>
        <w:t xml:space="preserve"> expected return becomes</w:t>
      </w:r>
      <w:r w:rsidRPr="002229EB">
        <w:rPr>
          <w:rStyle w:val="CharAttribute2"/>
          <w:rFonts w:ascii="Calibri" w:hAnsi="Calibri"/>
          <w:szCs w:val="24"/>
        </w:rPr>
        <w:t xml:space="preserve"> a component within the cost/benefit analysis that those considering university make.  This is wholly consistent with </w:t>
      </w:r>
      <w:r w:rsidRPr="002229EB">
        <w:rPr>
          <w:rStyle w:val="CharAttribute4"/>
          <w:rFonts w:ascii="Calibri" w:hAnsi="Calibri"/>
          <w:szCs w:val="24"/>
        </w:rPr>
        <w:t xml:space="preserve">human capital theory </w:t>
      </w:r>
      <w:r w:rsidRPr="002229EB">
        <w:rPr>
          <w:rStyle w:val="CharAttribute2"/>
          <w:rFonts w:ascii="Calibri" w:hAnsi="Calibri"/>
          <w:szCs w:val="24"/>
        </w:rPr>
        <w:t>(Becker</w:t>
      </w:r>
      <w:r w:rsidR="00072576" w:rsidRPr="002229EB">
        <w:rPr>
          <w:rStyle w:val="CharAttribute2"/>
          <w:rFonts w:ascii="Calibri" w:hAnsi="Calibri"/>
          <w:szCs w:val="24"/>
        </w:rPr>
        <w:t>,</w:t>
      </w:r>
      <w:r w:rsidRPr="002229EB">
        <w:rPr>
          <w:rStyle w:val="CharAttribute2"/>
          <w:rFonts w:ascii="Calibri" w:hAnsi="Calibri"/>
          <w:szCs w:val="24"/>
        </w:rPr>
        <w:t xml:space="preserve"> </w:t>
      </w:r>
      <w:r w:rsidR="00253CB7" w:rsidRPr="002229EB">
        <w:rPr>
          <w:rStyle w:val="CharAttribute2"/>
          <w:rFonts w:ascii="Calibri" w:hAnsi="Calibri"/>
          <w:szCs w:val="24"/>
        </w:rPr>
        <w:t>1994</w:t>
      </w:r>
      <w:r w:rsidRPr="002229EB">
        <w:rPr>
          <w:rStyle w:val="CharAttribute2"/>
          <w:rFonts w:ascii="Calibri" w:hAnsi="Calibri"/>
          <w:szCs w:val="24"/>
        </w:rPr>
        <w:t>), which predicts that individuals will make economically rational decisions about their education, as with other forms of capital investment</w:t>
      </w:r>
      <w:r w:rsidR="0048178F" w:rsidRPr="002229EB">
        <w:rPr>
          <w:rStyle w:val="CharAttribute2"/>
          <w:rFonts w:ascii="Calibri" w:hAnsi="Calibri"/>
          <w:szCs w:val="24"/>
        </w:rPr>
        <w:t xml:space="preserve">, although Brynin (2013) </w:t>
      </w:r>
      <w:r w:rsidR="008E2D6A" w:rsidRPr="002229EB">
        <w:rPr>
          <w:rStyle w:val="CharAttribute2"/>
          <w:rFonts w:ascii="Calibri" w:hAnsi="Calibri"/>
          <w:szCs w:val="24"/>
        </w:rPr>
        <w:t>questions the extent to which</w:t>
      </w:r>
      <w:r w:rsidR="0048178F" w:rsidRPr="002229EB">
        <w:rPr>
          <w:rStyle w:val="CharAttribute2"/>
          <w:rFonts w:ascii="Calibri" w:hAnsi="Calibri"/>
          <w:szCs w:val="24"/>
        </w:rPr>
        <w:t xml:space="preserve"> prospective students are in a position to </w:t>
      </w:r>
      <w:r w:rsidR="009E408D" w:rsidRPr="002229EB">
        <w:rPr>
          <w:rStyle w:val="CharAttribute2"/>
          <w:rFonts w:ascii="Calibri" w:hAnsi="Calibri"/>
          <w:szCs w:val="24"/>
        </w:rPr>
        <w:t>make this assessment</w:t>
      </w:r>
      <w:r w:rsidR="0048178F" w:rsidRPr="002229EB">
        <w:rPr>
          <w:rStyle w:val="CharAttribute2"/>
          <w:rFonts w:ascii="Calibri" w:hAnsi="Calibri"/>
          <w:szCs w:val="24"/>
        </w:rPr>
        <w:t xml:space="preserve">. </w:t>
      </w:r>
      <w:r w:rsidRPr="002229EB">
        <w:rPr>
          <w:rStyle w:val="CharAttribute2"/>
          <w:rFonts w:ascii="Calibri" w:hAnsi="Calibri"/>
          <w:szCs w:val="24"/>
        </w:rPr>
        <w:t xml:space="preserve">However, there are also wider wellbeing returns that act as an additional incentive, for example around the diversity of social experiences, improved job satisfaction or an increase in life </w:t>
      </w:r>
      <w:r w:rsidR="00444ADD" w:rsidRPr="002229EB">
        <w:rPr>
          <w:rStyle w:val="CharAttribute2"/>
          <w:rFonts w:ascii="Calibri" w:hAnsi="Calibri"/>
          <w:szCs w:val="24"/>
        </w:rPr>
        <w:t>expectancy</w:t>
      </w:r>
      <w:r w:rsidRPr="002229EB">
        <w:rPr>
          <w:rStyle w:val="CharAttribute2"/>
          <w:rFonts w:ascii="Calibri" w:hAnsi="Calibri"/>
          <w:szCs w:val="24"/>
        </w:rPr>
        <w:t xml:space="preserve"> associated with being a graduate.  Furthermore, Brown (2003) argues that </w:t>
      </w:r>
      <w:r w:rsidR="00A63932" w:rsidRPr="002229EB">
        <w:rPr>
          <w:rStyle w:val="CharAttribute2"/>
          <w:rFonts w:ascii="Calibri" w:hAnsi="Calibri"/>
          <w:szCs w:val="24"/>
        </w:rPr>
        <w:t>due to</w:t>
      </w:r>
      <w:r w:rsidRPr="002229EB">
        <w:rPr>
          <w:rStyle w:val="CharAttribute2"/>
          <w:rFonts w:ascii="Calibri" w:hAnsi="Calibri"/>
          <w:szCs w:val="24"/>
        </w:rPr>
        <w:t xml:space="preserve"> an 'opportunity gap' in graduate labour markets in developed economies, growing competition for a static number of jobs </w:t>
      </w:r>
      <w:r w:rsidR="00A63932" w:rsidRPr="002229EB">
        <w:rPr>
          <w:rStyle w:val="CharAttribute2"/>
          <w:rFonts w:ascii="Calibri" w:hAnsi="Calibri"/>
          <w:szCs w:val="24"/>
        </w:rPr>
        <w:t>causes</w:t>
      </w:r>
      <w:r w:rsidRPr="002229EB">
        <w:rPr>
          <w:rStyle w:val="CharAttribute2"/>
          <w:rFonts w:ascii="Calibri" w:hAnsi="Calibri"/>
          <w:szCs w:val="24"/>
        </w:rPr>
        <w:t xml:space="preserve"> a drive for more credentials in order to establish a personal competitive advantage, such that contemporary students require a longer education to achieve the same occupational status as previous generations.  This, in turn, is driving increased borrowing</w:t>
      </w:r>
      <w:r w:rsidR="00E0123B" w:rsidRPr="002229EB">
        <w:rPr>
          <w:rStyle w:val="CharAttribute2"/>
          <w:rFonts w:ascii="Calibri" w:hAnsi="Calibri"/>
          <w:szCs w:val="24"/>
        </w:rPr>
        <w:t>, for both undergraduate and postgraduate</w:t>
      </w:r>
      <w:r w:rsidRPr="002229EB">
        <w:rPr>
          <w:rStyle w:val="CharAttribute2"/>
          <w:rFonts w:ascii="Calibri" w:hAnsi="Calibri"/>
          <w:szCs w:val="24"/>
        </w:rPr>
        <w:t xml:space="preserve"> study.</w:t>
      </w:r>
    </w:p>
    <w:p w:rsidR="00B21C3E" w:rsidRPr="002229EB" w:rsidRDefault="00B21C3E" w:rsidP="009C3AC7">
      <w:pPr>
        <w:pStyle w:val="ParaAttribute0"/>
        <w:wordWrap/>
        <w:spacing w:line="276" w:lineRule="auto"/>
        <w:rPr>
          <w:rFonts w:ascii="Calibri" w:eastAsia="Tahoma" w:hAnsi="Calibri"/>
          <w:sz w:val="24"/>
          <w:szCs w:val="24"/>
        </w:rPr>
      </w:pPr>
    </w:p>
    <w:p w:rsidR="00B21C3E" w:rsidRPr="002229EB" w:rsidRDefault="007817FF" w:rsidP="009C3AC7">
      <w:pPr>
        <w:pStyle w:val="ParaAttribute0"/>
        <w:wordWrap/>
        <w:spacing w:line="276" w:lineRule="auto"/>
        <w:rPr>
          <w:rFonts w:ascii="Calibri" w:eastAsia="Tahoma" w:hAnsi="Calibri"/>
          <w:sz w:val="24"/>
          <w:szCs w:val="24"/>
        </w:rPr>
      </w:pPr>
      <w:r w:rsidRPr="002229EB">
        <w:rPr>
          <w:rStyle w:val="CharAttribute2"/>
          <w:rFonts w:ascii="Calibri" w:hAnsi="Calibri"/>
          <w:szCs w:val="24"/>
        </w:rPr>
        <w:t xml:space="preserve">With student debt thus becoming </w:t>
      </w:r>
      <w:r w:rsidR="00E0123B" w:rsidRPr="002229EB">
        <w:rPr>
          <w:rStyle w:val="CharAttribute2"/>
          <w:rFonts w:ascii="Calibri" w:hAnsi="Calibri"/>
          <w:szCs w:val="24"/>
        </w:rPr>
        <w:t>commonplace</w:t>
      </w:r>
      <w:r w:rsidRPr="002229EB">
        <w:rPr>
          <w:rStyle w:val="CharAttribute2"/>
          <w:rFonts w:ascii="Calibri" w:hAnsi="Calibri"/>
          <w:szCs w:val="24"/>
        </w:rPr>
        <w:t xml:space="preserve"> in </w:t>
      </w:r>
      <w:r w:rsidR="00E0123B" w:rsidRPr="002229EB">
        <w:rPr>
          <w:rStyle w:val="CharAttribute2"/>
          <w:rFonts w:ascii="Calibri" w:hAnsi="Calibri"/>
          <w:szCs w:val="24"/>
        </w:rPr>
        <w:t>many</w:t>
      </w:r>
      <w:r w:rsidRPr="002229EB">
        <w:rPr>
          <w:rStyle w:val="CharAttribute2"/>
          <w:rFonts w:ascii="Calibri" w:hAnsi="Calibri"/>
          <w:szCs w:val="24"/>
        </w:rPr>
        <w:t xml:space="preserve"> developed nations, it is surprising that more attention has not been placed on understanding what factors drive students' attitudes and behaviours around debt.  This clearly has implications for theory, policy and practice, both for the </w:t>
      </w:r>
      <w:proofErr w:type="gramStart"/>
      <w:r w:rsidRPr="002229EB">
        <w:rPr>
          <w:rStyle w:val="CharAttribute2"/>
          <w:rFonts w:ascii="Calibri" w:hAnsi="Calibri"/>
          <w:szCs w:val="24"/>
        </w:rPr>
        <w:t>individual</w:t>
      </w:r>
      <w:proofErr w:type="gramEnd"/>
      <w:r w:rsidRPr="002229EB">
        <w:rPr>
          <w:rStyle w:val="CharAttribute2"/>
          <w:rFonts w:ascii="Calibri" w:hAnsi="Calibri"/>
          <w:szCs w:val="24"/>
        </w:rPr>
        <w:t xml:space="preserve"> and for wider society.</w:t>
      </w:r>
      <w:r w:rsidR="00072576" w:rsidRPr="002229EB">
        <w:rPr>
          <w:rFonts w:ascii="Calibri" w:eastAsia="Tahoma" w:hAnsi="Calibri"/>
          <w:sz w:val="24"/>
          <w:szCs w:val="24"/>
        </w:rPr>
        <w:t xml:space="preserve">  </w:t>
      </w:r>
      <w:r w:rsidRPr="002229EB">
        <w:rPr>
          <w:rStyle w:val="CharAttribute2"/>
          <w:rFonts w:ascii="Calibri" w:hAnsi="Calibri"/>
          <w:szCs w:val="24"/>
        </w:rPr>
        <w:t>This paper aims to move forward understanding of how students construct their attitudes to debt.  In particular, it will address the following research questions:</w:t>
      </w:r>
    </w:p>
    <w:p w:rsidR="00B21C3E" w:rsidRPr="002229EB" w:rsidRDefault="00B21C3E" w:rsidP="009C3AC7">
      <w:pPr>
        <w:pStyle w:val="ParaAttribute0"/>
        <w:wordWrap/>
        <w:spacing w:line="276" w:lineRule="auto"/>
        <w:rPr>
          <w:rFonts w:ascii="Calibri" w:eastAsia="Tahoma" w:hAnsi="Calibri"/>
          <w:sz w:val="24"/>
          <w:szCs w:val="24"/>
        </w:rPr>
      </w:pPr>
    </w:p>
    <w:p w:rsidR="00B21C3E" w:rsidRPr="002229EB" w:rsidRDefault="007817FF" w:rsidP="009C3AC7">
      <w:pPr>
        <w:pStyle w:val="ParaAttribute0"/>
        <w:numPr>
          <w:ilvl w:val="0"/>
          <w:numId w:val="3"/>
        </w:numPr>
        <w:wordWrap/>
        <w:spacing w:line="276" w:lineRule="auto"/>
        <w:rPr>
          <w:rFonts w:ascii="Calibri" w:eastAsia="Tahoma" w:hAnsi="Calibri"/>
          <w:sz w:val="24"/>
          <w:szCs w:val="24"/>
        </w:rPr>
      </w:pPr>
      <w:r w:rsidRPr="002229EB">
        <w:rPr>
          <w:rStyle w:val="CharAttribute2"/>
          <w:rFonts w:ascii="Calibri" w:hAnsi="Calibri"/>
          <w:szCs w:val="24"/>
        </w:rPr>
        <w:t>How many dimensions are there within the complex attitudes around student debt and what do these dimensions describe?</w:t>
      </w:r>
    </w:p>
    <w:p w:rsidR="00B21C3E" w:rsidRPr="002229EB" w:rsidRDefault="007817FF" w:rsidP="00A00C32">
      <w:pPr>
        <w:pStyle w:val="ParaAttribute0"/>
        <w:numPr>
          <w:ilvl w:val="0"/>
          <w:numId w:val="3"/>
        </w:numPr>
        <w:wordWrap/>
        <w:spacing w:line="276" w:lineRule="auto"/>
        <w:rPr>
          <w:rFonts w:ascii="Calibri" w:eastAsia="Tahoma" w:hAnsi="Calibri"/>
          <w:sz w:val="24"/>
          <w:szCs w:val="24"/>
        </w:rPr>
      </w:pPr>
      <w:r w:rsidRPr="002229EB">
        <w:rPr>
          <w:rStyle w:val="CharAttribute2"/>
          <w:rFonts w:ascii="Calibri" w:hAnsi="Calibri"/>
          <w:szCs w:val="24"/>
        </w:rPr>
        <w:t>What is the most mathematically elegant, robust and parsimonious model for these dimensions?</w:t>
      </w:r>
      <w:r w:rsidR="00A00C32" w:rsidRPr="002229EB">
        <w:rPr>
          <w:rFonts w:ascii="Calibri" w:eastAsia="Tahoma" w:hAnsi="Calibri"/>
          <w:sz w:val="24"/>
          <w:szCs w:val="24"/>
        </w:rPr>
        <w:t xml:space="preserve"> </w:t>
      </w:r>
    </w:p>
    <w:p w:rsidR="007C262E" w:rsidRPr="002229EB" w:rsidRDefault="007C262E" w:rsidP="00A00C32">
      <w:pPr>
        <w:pStyle w:val="ParaAttribute0"/>
        <w:numPr>
          <w:ilvl w:val="0"/>
          <w:numId w:val="3"/>
        </w:numPr>
        <w:wordWrap/>
        <w:spacing w:line="276" w:lineRule="auto"/>
        <w:rPr>
          <w:rFonts w:ascii="Calibri" w:eastAsia="Tahoma" w:hAnsi="Calibri"/>
          <w:sz w:val="24"/>
          <w:szCs w:val="24"/>
        </w:rPr>
      </w:pPr>
      <w:r w:rsidRPr="002229EB">
        <w:rPr>
          <w:rFonts w:ascii="Calibri" w:eastAsia="Tahoma" w:hAnsi="Calibri"/>
          <w:sz w:val="24"/>
          <w:szCs w:val="24"/>
        </w:rPr>
        <w:t>To what extent is this model consistent between countries?</w:t>
      </w:r>
    </w:p>
    <w:p w:rsidR="00A00C32" w:rsidRPr="002229EB" w:rsidRDefault="00A00C32" w:rsidP="009C3AC7">
      <w:pPr>
        <w:pStyle w:val="ParaAttribute0"/>
        <w:wordWrap/>
        <w:spacing w:line="276" w:lineRule="auto"/>
        <w:rPr>
          <w:rStyle w:val="CharAttribute2"/>
          <w:rFonts w:ascii="Calibri" w:hAnsi="Calibri"/>
          <w:szCs w:val="24"/>
        </w:rPr>
      </w:pPr>
    </w:p>
    <w:p w:rsidR="00B21C3E" w:rsidRPr="002229EB" w:rsidRDefault="007817FF" w:rsidP="009C3AC7">
      <w:pPr>
        <w:pStyle w:val="ParaAttribute0"/>
        <w:wordWrap/>
        <w:spacing w:line="276" w:lineRule="auto"/>
        <w:rPr>
          <w:rFonts w:ascii="Calibri" w:eastAsia="Tahoma" w:hAnsi="Calibri"/>
          <w:sz w:val="24"/>
          <w:szCs w:val="24"/>
        </w:rPr>
      </w:pPr>
      <w:r w:rsidRPr="002229EB">
        <w:rPr>
          <w:rStyle w:val="CharAttribute2"/>
          <w:rFonts w:ascii="Calibri" w:hAnsi="Calibri"/>
          <w:szCs w:val="24"/>
        </w:rPr>
        <w:t xml:space="preserve">This paper describes the results of </w:t>
      </w:r>
      <w:proofErr w:type="gramStart"/>
      <w:r w:rsidRPr="002229EB">
        <w:rPr>
          <w:rStyle w:val="CharAttribute2"/>
          <w:rFonts w:ascii="Calibri" w:hAnsi="Calibri"/>
          <w:szCs w:val="24"/>
        </w:rPr>
        <w:t>an</w:t>
      </w:r>
      <w:proofErr w:type="gramEnd"/>
      <w:r w:rsidRPr="002229EB">
        <w:rPr>
          <w:rStyle w:val="CharAttribute2"/>
          <w:rFonts w:ascii="Calibri" w:hAnsi="Calibri"/>
          <w:szCs w:val="24"/>
        </w:rPr>
        <w:t xml:space="preserve"> cross-</w:t>
      </w:r>
      <w:r w:rsidR="00E0123B" w:rsidRPr="002229EB">
        <w:rPr>
          <w:rStyle w:val="CharAttribute2"/>
          <w:rFonts w:ascii="Calibri" w:hAnsi="Calibri"/>
          <w:szCs w:val="24"/>
        </w:rPr>
        <w:t>national</w:t>
      </w:r>
      <w:r w:rsidRPr="002229EB">
        <w:rPr>
          <w:rStyle w:val="CharAttribute2"/>
          <w:rFonts w:ascii="Calibri" w:hAnsi="Calibri"/>
          <w:szCs w:val="24"/>
        </w:rPr>
        <w:t xml:space="preserve"> study, with data collected from </w:t>
      </w:r>
      <w:r w:rsidR="00E0123B" w:rsidRPr="002229EB">
        <w:rPr>
          <w:rStyle w:val="CharAttribute2"/>
          <w:rFonts w:ascii="Calibri" w:hAnsi="Calibri"/>
          <w:szCs w:val="24"/>
        </w:rPr>
        <w:t>corresponding</w:t>
      </w:r>
      <w:r w:rsidRPr="002229EB">
        <w:rPr>
          <w:rStyle w:val="CharAttribute2"/>
          <w:rFonts w:ascii="Calibri" w:hAnsi="Calibri"/>
          <w:szCs w:val="24"/>
        </w:rPr>
        <w:t xml:space="preserve"> </w:t>
      </w:r>
      <w:r w:rsidRPr="002229EB">
        <w:rPr>
          <w:rStyle w:val="CharAttribute2"/>
          <w:rFonts w:ascii="Calibri" w:hAnsi="Calibri"/>
          <w:szCs w:val="24"/>
        </w:rPr>
        <w:lastRenderedPageBreak/>
        <w:t xml:space="preserve">samples of students from </w:t>
      </w:r>
      <w:r w:rsidR="00600796" w:rsidRPr="002229EB">
        <w:rPr>
          <w:rStyle w:val="CharAttribute2"/>
          <w:rFonts w:ascii="Calibri" w:hAnsi="Calibri"/>
          <w:szCs w:val="24"/>
        </w:rPr>
        <w:t>England</w:t>
      </w:r>
      <w:r w:rsidR="00150793" w:rsidRPr="002229EB">
        <w:rPr>
          <w:rStyle w:val="FootnoteReference"/>
          <w:rFonts w:ascii="Calibri" w:eastAsia="Tahoma" w:hAnsi="Calibri"/>
          <w:sz w:val="24"/>
          <w:szCs w:val="24"/>
        </w:rPr>
        <w:footnoteReference w:id="1"/>
      </w:r>
      <w:r w:rsidRPr="002229EB">
        <w:rPr>
          <w:rStyle w:val="CharAttribute2"/>
          <w:rFonts w:ascii="Calibri" w:hAnsi="Calibri"/>
          <w:szCs w:val="24"/>
        </w:rPr>
        <w:t xml:space="preserve">, the </w:t>
      </w:r>
      <w:r w:rsidR="00072576" w:rsidRPr="002229EB">
        <w:rPr>
          <w:rStyle w:val="CharAttribute2"/>
          <w:rFonts w:ascii="Calibri" w:hAnsi="Calibri"/>
          <w:szCs w:val="24"/>
        </w:rPr>
        <w:t>United States (US)</w:t>
      </w:r>
      <w:r w:rsidRPr="002229EB">
        <w:rPr>
          <w:rStyle w:val="CharAttribute2"/>
          <w:rFonts w:ascii="Calibri" w:hAnsi="Calibri"/>
          <w:szCs w:val="24"/>
        </w:rPr>
        <w:t xml:space="preserve"> and New Zealand</w:t>
      </w:r>
      <w:r w:rsidR="00072576" w:rsidRPr="002229EB">
        <w:rPr>
          <w:rStyle w:val="CharAttribute2"/>
          <w:rFonts w:ascii="Calibri" w:hAnsi="Calibri"/>
          <w:szCs w:val="24"/>
        </w:rPr>
        <w:t xml:space="preserve"> (NZ)</w:t>
      </w:r>
      <w:r w:rsidRPr="002229EB">
        <w:rPr>
          <w:rStyle w:val="CharAttribute2"/>
          <w:rFonts w:ascii="Calibri" w:hAnsi="Calibri"/>
          <w:szCs w:val="24"/>
        </w:rPr>
        <w:t xml:space="preserve">. </w:t>
      </w:r>
      <w:r w:rsidR="00E0123B" w:rsidRPr="002229EB">
        <w:rPr>
          <w:rStyle w:val="CharAttribute2"/>
          <w:rFonts w:ascii="Calibri" w:hAnsi="Calibri"/>
          <w:szCs w:val="24"/>
        </w:rPr>
        <w:t xml:space="preserve"> </w:t>
      </w:r>
      <w:r w:rsidRPr="002229EB">
        <w:rPr>
          <w:rStyle w:val="CharAttribute2"/>
          <w:rFonts w:ascii="Calibri" w:hAnsi="Calibri"/>
          <w:szCs w:val="24"/>
        </w:rPr>
        <w:t xml:space="preserve">It is grounded broadly within a behavioural economics perspective, seeking to understand economic decisions that may be complex, contradictory or irrational. </w:t>
      </w:r>
      <w:r w:rsidR="00E0123B" w:rsidRPr="002229EB">
        <w:rPr>
          <w:rStyle w:val="CharAttribute2"/>
          <w:rFonts w:ascii="Calibri" w:hAnsi="Calibri"/>
          <w:szCs w:val="24"/>
        </w:rPr>
        <w:t xml:space="preserve"> </w:t>
      </w:r>
      <w:r w:rsidRPr="002229EB">
        <w:rPr>
          <w:rStyle w:val="CharAttribute2"/>
          <w:rFonts w:ascii="Calibri" w:hAnsi="Calibri"/>
          <w:szCs w:val="24"/>
        </w:rPr>
        <w:t>The primary data are subjected to exploratory factor analysis, with the construction and description of these factors being reflected upon and discussed.  Finally, some implications for theory, policy and practice are suggested.</w:t>
      </w:r>
    </w:p>
    <w:p w:rsidR="00B21C3E" w:rsidRPr="002229EB" w:rsidRDefault="00B21C3E" w:rsidP="009C3AC7">
      <w:pPr>
        <w:pStyle w:val="ParaAttribute0"/>
        <w:wordWrap/>
        <w:spacing w:line="276" w:lineRule="auto"/>
        <w:rPr>
          <w:rFonts w:ascii="Calibri" w:eastAsia="Tahoma" w:hAnsi="Calibri"/>
          <w:sz w:val="24"/>
          <w:szCs w:val="24"/>
        </w:rPr>
      </w:pPr>
    </w:p>
    <w:p w:rsidR="00B21C3E" w:rsidRPr="002229EB" w:rsidRDefault="00B21C3E" w:rsidP="009C3AC7">
      <w:pPr>
        <w:pStyle w:val="ParaAttribute0"/>
        <w:wordWrap/>
        <w:spacing w:line="276" w:lineRule="auto"/>
        <w:rPr>
          <w:rFonts w:ascii="Calibri" w:eastAsia="Tahoma" w:hAnsi="Calibri"/>
          <w:b/>
          <w:sz w:val="24"/>
          <w:szCs w:val="24"/>
        </w:rPr>
      </w:pPr>
    </w:p>
    <w:p w:rsidR="005011A7" w:rsidRPr="002229EB" w:rsidRDefault="00B96A01" w:rsidP="009C3AC7">
      <w:pPr>
        <w:pStyle w:val="ParaAttribute0"/>
        <w:wordWrap/>
        <w:spacing w:line="276" w:lineRule="auto"/>
        <w:rPr>
          <w:rFonts w:ascii="Calibri" w:eastAsia="Tahoma" w:hAnsi="Calibri"/>
          <w:b/>
          <w:sz w:val="24"/>
          <w:szCs w:val="24"/>
        </w:rPr>
      </w:pPr>
      <w:r>
        <w:rPr>
          <w:rFonts w:ascii="Calibri" w:eastAsia="Tahoma" w:hAnsi="Calibri"/>
          <w:b/>
          <w:sz w:val="24"/>
          <w:szCs w:val="24"/>
        </w:rPr>
        <w:t xml:space="preserve">1.1 </w:t>
      </w:r>
      <w:r w:rsidR="005011A7" w:rsidRPr="002229EB">
        <w:rPr>
          <w:rFonts w:ascii="Calibri" w:eastAsia="Tahoma" w:hAnsi="Calibri"/>
          <w:b/>
          <w:sz w:val="24"/>
          <w:szCs w:val="24"/>
        </w:rPr>
        <w:t>Policy contexts</w:t>
      </w:r>
    </w:p>
    <w:p w:rsidR="005011A7" w:rsidRPr="002229EB" w:rsidRDefault="005011A7" w:rsidP="009C3AC7">
      <w:pPr>
        <w:pStyle w:val="ParaAttribute0"/>
        <w:wordWrap/>
        <w:spacing w:line="276" w:lineRule="auto"/>
        <w:rPr>
          <w:rFonts w:ascii="Calibri" w:eastAsia="Tahoma" w:hAnsi="Calibri"/>
          <w:sz w:val="24"/>
          <w:szCs w:val="24"/>
        </w:rPr>
      </w:pPr>
    </w:p>
    <w:p w:rsidR="005011A7" w:rsidRPr="002229EB" w:rsidRDefault="005011A7" w:rsidP="009C3AC7">
      <w:pPr>
        <w:pStyle w:val="ParaAttribute0"/>
        <w:wordWrap/>
        <w:spacing w:line="276" w:lineRule="auto"/>
        <w:rPr>
          <w:rFonts w:ascii="Calibri" w:eastAsia="Tahoma" w:hAnsi="Calibri"/>
          <w:sz w:val="24"/>
          <w:szCs w:val="24"/>
        </w:rPr>
      </w:pPr>
      <w:r w:rsidRPr="002229EB">
        <w:rPr>
          <w:rFonts w:ascii="Calibri" w:eastAsia="Tahoma" w:hAnsi="Calibri"/>
          <w:sz w:val="24"/>
          <w:szCs w:val="24"/>
        </w:rPr>
        <w:t>The three countries represented in this study have varying approaches to the provision of</w:t>
      </w:r>
      <w:r w:rsidR="00072576" w:rsidRPr="002229EB">
        <w:rPr>
          <w:rFonts w:ascii="Calibri" w:eastAsia="Tahoma" w:hAnsi="Calibri"/>
          <w:sz w:val="24"/>
          <w:szCs w:val="24"/>
        </w:rPr>
        <w:t xml:space="preserve"> governmental</w:t>
      </w:r>
      <w:r w:rsidRPr="002229EB">
        <w:rPr>
          <w:rFonts w:ascii="Calibri" w:eastAsia="Tahoma" w:hAnsi="Calibri"/>
          <w:sz w:val="24"/>
          <w:szCs w:val="24"/>
        </w:rPr>
        <w:t xml:space="preserve"> loans to students</w:t>
      </w:r>
      <w:r w:rsidR="005264F9" w:rsidRPr="002229EB">
        <w:rPr>
          <w:rFonts w:ascii="Calibri" w:eastAsia="Tahoma" w:hAnsi="Calibri"/>
          <w:sz w:val="24"/>
          <w:szCs w:val="24"/>
        </w:rPr>
        <w:t>, amounts available</w:t>
      </w:r>
      <w:r w:rsidRPr="002229EB">
        <w:rPr>
          <w:rFonts w:ascii="Calibri" w:eastAsia="Tahoma" w:hAnsi="Calibri"/>
          <w:sz w:val="24"/>
          <w:szCs w:val="24"/>
        </w:rPr>
        <w:t xml:space="preserve"> and varying take-up rates.</w:t>
      </w:r>
    </w:p>
    <w:p w:rsidR="005011A7" w:rsidRPr="002229EB" w:rsidRDefault="005011A7" w:rsidP="009C3AC7">
      <w:pPr>
        <w:pStyle w:val="ParaAttribute0"/>
        <w:wordWrap/>
        <w:spacing w:line="276" w:lineRule="auto"/>
        <w:rPr>
          <w:rFonts w:ascii="Calibri" w:eastAsia="Tahoma" w:hAnsi="Calibri"/>
          <w:sz w:val="24"/>
          <w:szCs w:val="24"/>
        </w:rPr>
      </w:pPr>
    </w:p>
    <w:p w:rsidR="00C2076B" w:rsidRPr="002229EB" w:rsidRDefault="005011A7" w:rsidP="00396715">
      <w:pPr>
        <w:pStyle w:val="ParaAttribute0"/>
        <w:numPr>
          <w:ilvl w:val="0"/>
          <w:numId w:val="5"/>
        </w:numPr>
        <w:wordWrap/>
        <w:spacing w:line="276" w:lineRule="auto"/>
        <w:rPr>
          <w:rFonts w:ascii="Calibri" w:eastAsia="Tahoma" w:hAnsi="Calibri"/>
          <w:sz w:val="24"/>
          <w:szCs w:val="24"/>
        </w:rPr>
      </w:pPr>
      <w:r w:rsidRPr="002229EB">
        <w:rPr>
          <w:rFonts w:ascii="Calibri" w:eastAsia="Tahoma" w:hAnsi="Calibri"/>
          <w:sz w:val="24"/>
          <w:szCs w:val="24"/>
        </w:rPr>
        <w:t xml:space="preserve">In </w:t>
      </w:r>
      <w:r w:rsidRPr="002229EB">
        <w:rPr>
          <w:rFonts w:ascii="Calibri" w:eastAsia="Tahoma" w:hAnsi="Calibri"/>
          <w:i/>
          <w:sz w:val="24"/>
          <w:szCs w:val="24"/>
        </w:rPr>
        <w:t>England</w:t>
      </w:r>
      <w:r w:rsidRPr="002229EB">
        <w:rPr>
          <w:rFonts w:ascii="Calibri" w:eastAsia="Tahoma" w:hAnsi="Calibri"/>
          <w:sz w:val="24"/>
          <w:szCs w:val="24"/>
        </w:rPr>
        <w:t xml:space="preserve">, </w:t>
      </w:r>
      <w:r w:rsidR="00600796" w:rsidRPr="002229EB">
        <w:rPr>
          <w:rFonts w:ascii="Calibri" w:eastAsia="Tahoma" w:hAnsi="Calibri"/>
          <w:sz w:val="24"/>
          <w:szCs w:val="24"/>
        </w:rPr>
        <w:t xml:space="preserve">government </w:t>
      </w:r>
      <w:r w:rsidRPr="002229EB">
        <w:rPr>
          <w:rFonts w:ascii="Calibri" w:eastAsia="Tahoma" w:hAnsi="Calibri"/>
          <w:sz w:val="24"/>
          <w:szCs w:val="24"/>
        </w:rPr>
        <w:t xml:space="preserve">loans for undergraduate students were introduced in the late 1980s to supplement the existing programme of means-tested grants for living costs.  Their scale and importance has grown rapidly since the early 2000s, when grants were temporary abolished and tuition fees were introduced.  </w:t>
      </w:r>
      <w:r w:rsidR="00600796" w:rsidRPr="002229EB">
        <w:rPr>
          <w:rFonts w:ascii="Calibri" w:eastAsia="Tahoma" w:hAnsi="Calibri"/>
          <w:sz w:val="24"/>
          <w:szCs w:val="24"/>
        </w:rPr>
        <w:t xml:space="preserve">English students have been paying the full cost of their tuition (up to £9,000 a year) since 2012, with loans available to defer the cost; there is also a complex system of means-tested grants and bursaries in place to offset a proportion of the fees (usually no more than one-third).  </w:t>
      </w:r>
      <w:r w:rsidR="00730A07" w:rsidRPr="002229EB">
        <w:rPr>
          <w:rFonts w:ascii="Calibri" w:eastAsia="Tahoma" w:hAnsi="Calibri"/>
          <w:sz w:val="24"/>
          <w:szCs w:val="24"/>
        </w:rPr>
        <w:t xml:space="preserve">Combined with </w:t>
      </w:r>
      <w:r w:rsidR="00600796" w:rsidRPr="002229EB">
        <w:rPr>
          <w:rFonts w:ascii="Calibri" w:eastAsia="Tahoma" w:hAnsi="Calibri"/>
          <w:sz w:val="24"/>
          <w:szCs w:val="24"/>
        </w:rPr>
        <w:t>an expanded loan available for maintenance costs, the English cohort in this study could borrow up to £14,</w:t>
      </w:r>
      <w:r w:rsidR="00730A07" w:rsidRPr="002229EB">
        <w:rPr>
          <w:rFonts w:ascii="Calibri" w:eastAsia="Tahoma" w:hAnsi="Calibri"/>
          <w:sz w:val="24"/>
          <w:szCs w:val="24"/>
        </w:rPr>
        <w:t>500 per year, up from around £8,500 for those entering in 2011</w:t>
      </w:r>
      <w:r w:rsidR="00600796" w:rsidRPr="002229EB">
        <w:rPr>
          <w:rFonts w:ascii="Calibri" w:eastAsia="Tahoma" w:hAnsi="Calibri"/>
          <w:sz w:val="24"/>
          <w:szCs w:val="24"/>
        </w:rPr>
        <w:t>.  Total indebtedness over the course of a three-year degree could therefore exceed £40,000.</w:t>
      </w:r>
      <w:r w:rsidR="00C2076B" w:rsidRPr="002229EB">
        <w:rPr>
          <w:rFonts w:ascii="Calibri" w:eastAsia="Tahoma" w:hAnsi="Calibri"/>
          <w:sz w:val="24"/>
          <w:szCs w:val="24"/>
        </w:rPr>
        <w:t xml:space="preserve">  </w:t>
      </w:r>
    </w:p>
    <w:p w:rsidR="00C2076B" w:rsidRPr="002229EB" w:rsidRDefault="00C2076B" w:rsidP="009C3AC7">
      <w:pPr>
        <w:pStyle w:val="ParaAttribute0"/>
        <w:wordWrap/>
        <w:spacing w:line="276" w:lineRule="auto"/>
        <w:rPr>
          <w:rFonts w:ascii="Calibri" w:eastAsia="Tahoma" w:hAnsi="Calibri"/>
          <w:sz w:val="24"/>
          <w:szCs w:val="24"/>
        </w:rPr>
      </w:pPr>
    </w:p>
    <w:p w:rsidR="005011A7" w:rsidRPr="002229EB" w:rsidRDefault="00730A07" w:rsidP="00396715">
      <w:pPr>
        <w:pStyle w:val="ParaAttribute0"/>
        <w:wordWrap/>
        <w:spacing w:line="276" w:lineRule="auto"/>
        <w:ind w:left="709"/>
        <w:rPr>
          <w:rFonts w:ascii="Calibri" w:eastAsia="Tahoma" w:hAnsi="Calibri"/>
          <w:sz w:val="24"/>
          <w:szCs w:val="24"/>
        </w:rPr>
      </w:pPr>
      <w:r w:rsidRPr="002229EB">
        <w:rPr>
          <w:rFonts w:ascii="Calibri" w:eastAsia="Tahoma" w:hAnsi="Calibri"/>
          <w:sz w:val="24"/>
          <w:szCs w:val="24"/>
        </w:rPr>
        <w:t xml:space="preserve">Student loans in England have always been based on a delayed repayment system, where the first payment is ordinarily due nine months graduation.  However, if the graduate is earning under a threshold, repayments can be deferred.  From 2012, this threshold was raised to £21,000 a year, which is some way above the average graduate starting salary, such that most students would not expect to repay for some years.  </w:t>
      </w:r>
      <w:r w:rsidR="00C2076B" w:rsidRPr="002229EB">
        <w:rPr>
          <w:rFonts w:ascii="Calibri" w:eastAsia="Tahoma" w:hAnsi="Calibri"/>
          <w:sz w:val="24"/>
          <w:szCs w:val="24"/>
        </w:rPr>
        <w:t xml:space="preserve">Repayments are set at 9 percent of income over the threshold.  </w:t>
      </w:r>
      <w:r w:rsidRPr="002229EB">
        <w:rPr>
          <w:rFonts w:ascii="Calibri" w:eastAsia="Tahoma" w:hAnsi="Calibri"/>
          <w:sz w:val="24"/>
          <w:szCs w:val="24"/>
        </w:rPr>
        <w:t xml:space="preserve">Prior to 2012, the interest on student loans was pegged to the retail price </w:t>
      </w:r>
      <w:proofErr w:type="gramStart"/>
      <w:r w:rsidRPr="002229EB">
        <w:rPr>
          <w:rFonts w:ascii="Calibri" w:eastAsia="Tahoma" w:hAnsi="Calibri"/>
          <w:sz w:val="24"/>
          <w:szCs w:val="24"/>
        </w:rPr>
        <w:t xml:space="preserve">index </w:t>
      </w:r>
      <w:r w:rsidR="00C2076B" w:rsidRPr="002229EB">
        <w:rPr>
          <w:rFonts w:ascii="Calibri" w:eastAsia="Tahoma" w:hAnsi="Calibri"/>
          <w:sz w:val="24"/>
          <w:szCs w:val="24"/>
        </w:rPr>
        <w:t>,</w:t>
      </w:r>
      <w:proofErr w:type="gramEnd"/>
      <w:r w:rsidR="00C2076B" w:rsidRPr="002229EB">
        <w:rPr>
          <w:rFonts w:ascii="Calibri" w:eastAsia="Tahoma" w:hAnsi="Calibri"/>
          <w:sz w:val="24"/>
          <w:szCs w:val="24"/>
        </w:rPr>
        <w:t xml:space="preserve"> but there is now a </w:t>
      </w:r>
      <w:r w:rsidR="005264F9" w:rsidRPr="002229EB">
        <w:rPr>
          <w:rFonts w:ascii="Calibri" w:eastAsia="Tahoma" w:hAnsi="Calibri"/>
          <w:sz w:val="24"/>
          <w:szCs w:val="24"/>
        </w:rPr>
        <w:t xml:space="preserve">means-tested </w:t>
      </w:r>
      <w:r w:rsidR="00C2076B" w:rsidRPr="002229EB">
        <w:rPr>
          <w:rFonts w:ascii="Calibri" w:eastAsia="Tahoma" w:hAnsi="Calibri"/>
          <w:sz w:val="24"/>
          <w:szCs w:val="24"/>
        </w:rPr>
        <w:t>premium of up to 3 percent above inflation.  Take-up of student loans prio</w:t>
      </w:r>
      <w:r w:rsidR="005264F9" w:rsidRPr="002229EB">
        <w:rPr>
          <w:rFonts w:ascii="Calibri" w:eastAsia="Tahoma" w:hAnsi="Calibri"/>
          <w:sz w:val="24"/>
          <w:szCs w:val="24"/>
        </w:rPr>
        <w:t xml:space="preserve">r to 2012 was around 85 percent, but </w:t>
      </w:r>
      <w:r w:rsidR="00C2076B" w:rsidRPr="002229EB">
        <w:rPr>
          <w:rFonts w:ascii="Calibri" w:eastAsia="Tahoma" w:hAnsi="Calibri"/>
          <w:sz w:val="24"/>
          <w:szCs w:val="24"/>
        </w:rPr>
        <w:t xml:space="preserve">it is now approaching 100 percent as </w:t>
      </w:r>
      <w:r w:rsidR="00072576" w:rsidRPr="002229EB">
        <w:rPr>
          <w:rFonts w:ascii="Calibri" w:eastAsia="Tahoma" w:hAnsi="Calibri"/>
          <w:sz w:val="24"/>
          <w:szCs w:val="24"/>
        </w:rPr>
        <w:t xml:space="preserve">very </w:t>
      </w:r>
      <w:r w:rsidR="00C2076B" w:rsidRPr="002229EB">
        <w:rPr>
          <w:rFonts w:ascii="Calibri" w:eastAsia="Tahoma" w:hAnsi="Calibri"/>
          <w:sz w:val="24"/>
          <w:szCs w:val="24"/>
        </w:rPr>
        <w:t>few students are able to fund maintenance and tuition costs from their existing resources.</w:t>
      </w:r>
    </w:p>
    <w:p w:rsidR="005011A7" w:rsidRPr="002229EB" w:rsidRDefault="005011A7" w:rsidP="009C3AC7">
      <w:pPr>
        <w:pStyle w:val="ParaAttribute0"/>
        <w:wordWrap/>
        <w:spacing w:line="276" w:lineRule="auto"/>
        <w:rPr>
          <w:rFonts w:ascii="Calibri" w:eastAsia="Tahoma" w:hAnsi="Calibri"/>
          <w:sz w:val="24"/>
          <w:szCs w:val="24"/>
        </w:rPr>
      </w:pPr>
    </w:p>
    <w:p w:rsidR="005011A7" w:rsidRPr="002229EB" w:rsidRDefault="005011A7" w:rsidP="00396715">
      <w:pPr>
        <w:pStyle w:val="ParaAttribute0"/>
        <w:numPr>
          <w:ilvl w:val="0"/>
          <w:numId w:val="5"/>
        </w:numPr>
        <w:wordWrap/>
        <w:spacing w:line="276" w:lineRule="auto"/>
        <w:rPr>
          <w:rFonts w:ascii="Calibri" w:hAnsi="Calibri"/>
          <w:sz w:val="24"/>
          <w:szCs w:val="24"/>
        </w:rPr>
      </w:pPr>
      <w:r w:rsidRPr="002229EB">
        <w:rPr>
          <w:rFonts w:ascii="Calibri" w:hAnsi="Calibri"/>
          <w:sz w:val="24"/>
          <w:szCs w:val="24"/>
        </w:rPr>
        <w:t xml:space="preserve">The Student Loan Scheme </w:t>
      </w:r>
      <w:r w:rsidR="005264F9" w:rsidRPr="002229EB">
        <w:rPr>
          <w:rFonts w:ascii="Calibri" w:hAnsi="Calibri"/>
          <w:sz w:val="24"/>
          <w:szCs w:val="24"/>
        </w:rPr>
        <w:t xml:space="preserve">in </w:t>
      </w:r>
      <w:r w:rsidR="005264F9" w:rsidRPr="002229EB">
        <w:rPr>
          <w:rFonts w:ascii="Calibri" w:hAnsi="Calibri"/>
          <w:i/>
          <w:sz w:val="24"/>
          <w:szCs w:val="24"/>
        </w:rPr>
        <w:t>New Zealand</w:t>
      </w:r>
      <w:r w:rsidR="005264F9" w:rsidRPr="002229EB">
        <w:rPr>
          <w:rFonts w:ascii="Calibri" w:hAnsi="Calibri"/>
          <w:sz w:val="24"/>
          <w:szCs w:val="24"/>
        </w:rPr>
        <w:t xml:space="preserve"> </w:t>
      </w:r>
      <w:r w:rsidRPr="002229EB">
        <w:rPr>
          <w:rFonts w:ascii="Calibri" w:hAnsi="Calibri"/>
          <w:sz w:val="24"/>
          <w:szCs w:val="24"/>
        </w:rPr>
        <w:t xml:space="preserve">has undergone a number of modifications since its introduction in 1992. </w:t>
      </w:r>
      <w:r w:rsidR="005264F9" w:rsidRPr="002229EB">
        <w:rPr>
          <w:rFonts w:ascii="Calibri" w:hAnsi="Calibri"/>
          <w:sz w:val="24"/>
          <w:szCs w:val="24"/>
        </w:rPr>
        <w:t xml:space="preserve"> </w:t>
      </w:r>
      <w:r w:rsidRPr="002229EB">
        <w:rPr>
          <w:rFonts w:ascii="Calibri" w:hAnsi="Calibri"/>
          <w:sz w:val="24"/>
          <w:szCs w:val="24"/>
        </w:rPr>
        <w:t>Students are able to borrow for course related costs such as textbooks, living expenses, and to pay for t</w:t>
      </w:r>
      <w:r w:rsidR="005264F9" w:rsidRPr="002229EB">
        <w:rPr>
          <w:rFonts w:ascii="Calibri" w:hAnsi="Calibri"/>
          <w:sz w:val="24"/>
          <w:szCs w:val="24"/>
        </w:rPr>
        <w:t>uition</w:t>
      </w:r>
      <w:r w:rsidRPr="002229EB">
        <w:rPr>
          <w:rFonts w:ascii="Calibri" w:hAnsi="Calibri"/>
          <w:sz w:val="24"/>
          <w:szCs w:val="24"/>
        </w:rPr>
        <w:t xml:space="preserve"> fees. </w:t>
      </w:r>
      <w:r w:rsidR="005264F9" w:rsidRPr="002229EB">
        <w:rPr>
          <w:rFonts w:ascii="Calibri" w:hAnsi="Calibri"/>
          <w:sz w:val="24"/>
          <w:szCs w:val="24"/>
        </w:rPr>
        <w:t xml:space="preserve"> </w:t>
      </w:r>
      <w:r w:rsidRPr="002229EB">
        <w:rPr>
          <w:rFonts w:ascii="Calibri" w:hAnsi="Calibri"/>
          <w:sz w:val="24"/>
          <w:szCs w:val="24"/>
        </w:rPr>
        <w:t xml:space="preserve">Initially, the interest rate charged on student loans was indexed to the </w:t>
      </w:r>
      <w:r w:rsidR="005264F9" w:rsidRPr="002229EB">
        <w:rPr>
          <w:rFonts w:ascii="Calibri" w:hAnsi="Calibri"/>
          <w:sz w:val="24"/>
          <w:szCs w:val="24"/>
        </w:rPr>
        <w:t>consumer price index</w:t>
      </w:r>
      <w:r w:rsidRPr="002229EB">
        <w:rPr>
          <w:rFonts w:ascii="Calibri" w:hAnsi="Calibri"/>
          <w:sz w:val="24"/>
          <w:szCs w:val="24"/>
        </w:rPr>
        <w:t xml:space="preserve">; however in 2000, interest was abolished for full-time students and part-time students on low incomes. This was extended </w:t>
      </w:r>
      <w:r w:rsidRPr="002229EB">
        <w:rPr>
          <w:rFonts w:ascii="Calibri" w:hAnsi="Calibri"/>
          <w:sz w:val="24"/>
          <w:szCs w:val="24"/>
        </w:rPr>
        <w:lastRenderedPageBreak/>
        <w:t xml:space="preserve">in 2006, when loans were made interest free for all borrowers living in </w:t>
      </w:r>
      <w:r w:rsidR="00072576" w:rsidRPr="002229EB">
        <w:rPr>
          <w:rFonts w:ascii="Calibri" w:hAnsi="Calibri"/>
          <w:sz w:val="24"/>
          <w:szCs w:val="24"/>
        </w:rPr>
        <w:t>New Zealand, even including ex-</w:t>
      </w:r>
      <w:r w:rsidRPr="002229EB">
        <w:rPr>
          <w:rFonts w:ascii="Calibri" w:hAnsi="Calibri"/>
          <w:sz w:val="24"/>
          <w:szCs w:val="24"/>
        </w:rPr>
        <w:t xml:space="preserve">students who were no longer studying. </w:t>
      </w:r>
      <w:r w:rsidR="005264F9" w:rsidRPr="002229EB">
        <w:rPr>
          <w:rFonts w:ascii="Calibri" w:hAnsi="Calibri"/>
          <w:sz w:val="24"/>
          <w:szCs w:val="24"/>
        </w:rPr>
        <w:t xml:space="preserve"> </w:t>
      </w:r>
      <w:r w:rsidRPr="002229EB">
        <w:rPr>
          <w:rFonts w:ascii="Calibri" w:hAnsi="Calibri"/>
          <w:sz w:val="24"/>
          <w:szCs w:val="24"/>
        </w:rPr>
        <w:t>In 2010</w:t>
      </w:r>
      <w:r w:rsidR="005264F9" w:rsidRPr="002229EB">
        <w:rPr>
          <w:rFonts w:ascii="Calibri" w:hAnsi="Calibri"/>
          <w:sz w:val="24"/>
          <w:szCs w:val="24"/>
        </w:rPr>
        <w:t>,</w:t>
      </w:r>
      <w:r w:rsidRPr="002229EB">
        <w:rPr>
          <w:rFonts w:ascii="Calibri" w:hAnsi="Calibri"/>
          <w:sz w:val="24"/>
          <w:szCs w:val="24"/>
        </w:rPr>
        <w:t xml:space="preserve"> a voluntary repayment bonus was introduced, which is a 10</w:t>
      </w:r>
      <w:r w:rsidR="005264F9" w:rsidRPr="002229EB">
        <w:rPr>
          <w:rFonts w:ascii="Calibri" w:hAnsi="Calibri"/>
          <w:sz w:val="24"/>
          <w:szCs w:val="24"/>
        </w:rPr>
        <w:t xml:space="preserve"> percent</w:t>
      </w:r>
      <w:r w:rsidRPr="002229EB">
        <w:rPr>
          <w:rFonts w:ascii="Calibri" w:hAnsi="Calibri"/>
          <w:sz w:val="24"/>
          <w:szCs w:val="24"/>
        </w:rPr>
        <w:t xml:space="preserve"> bonus borrowers can receive for making voluntary repayments that total </w:t>
      </w:r>
      <w:r w:rsidR="005264F9" w:rsidRPr="002229EB">
        <w:rPr>
          <w:rFonts w:ascii="Calibri" w:hAnsi="Calibri"/>
          <w:sz w:val="24"/>
          <w:szCs w:val="24"/>
        </w:rPr>
        <w:t>NZ$</w:t>
      </w:r>
      <w:r w:rsidRPr="002229EB">
        <w:rPr>
          <w:rFonts w:ascii="Calibri" w:hAnsi="Calibri"/>
          <w:sz w:val="24"/>
          <w:szCs w:val="24"/>
        </w:rPr>
        <w:t xml:space="preserve">500 or more in a tax year. So a borrower making a voluntary repayment of </w:t>
      </w:r>
      <w:r w:rsidR="005264F9" w:rsidRPr="002229EB">
        <w:rPr>
          <w:rFonts w:ascii="Calibri" w:hAnsi="Calibri"/>
          <w:sz w:val="24"/>
          <w:szCs w:val="24"/>
        </w:rPr>
        <w:t>NZ</w:t>
      </w:r>
      <w:r w:rsidRPr="002229EB">
        <w:rPr>
          <w:rFonts w:ascii="Calibri" w:hAnsi="Calibri"/>
          <w:sz w:val="24"/>
          <w:szCs w:val="24"/>
        </w:rPr>
        <w:t xml:space="preserve">$1,000 receives </w:t>
      </w:r>
      <w:r w:rsidR="005264F9" w:rsidRPr="002229EB">
        <w:rPr>
          <w:rFonts w:ascii="Calibri" w:hAnsi="Calibri"/>
          <w:sz w:val="24"/>
          <w:szCs w:val="24"/>
        </w:rPr>
        <w:t>NZ</w:t>
      </w:r>
      <w:r w:rsidRPr="002229EB">
        <w:rPr>
          <w:rFonts w:ascii="Calibri" w:hAnsi="Calibri"/>
          <w:sz w:val="24"/>
          <w:szCs w:val="24"/>
        </w:rPr>
        <w:t>$1,100 credit against their loan balance. The policy aimed to encourage borrowers to make extra repayments to repay their loans more quickly</w:t>
      </w:r>
      <w:r w:rsidR="005264F9" w:rsidRPr="002229EB">
        <w:rPr>
          <w:rFonts w:ascii="Calibri" w:hAnsi="Calibri"/>
          <w:sz w:val="24"/>
          <w:szCs w:val="24"/>
        </w:rPr>
        <w:t xml:space="preserve"> (and reduce costs to the government)</w:t>
      </w:r>
      <w:r w:rsidR="00072576" w:rsidRPr="002229EB">
        <w:rPr>
          <w:rFonts w:ascii="Calibri" w:hAnsi="Calibri"/>
          <w:sz w:val="24"/>
          <w:szCs w:val="24"/>
        </w:rPr>
        <w:t>;</w:t>
      </w:r>
      <w:r w:rsidR="005264F9" w:rsidRPr="002229EB">
        <w:rPr>
          <w:rFonts w:ascii="Calibri" w:hAnsi="Calibri"/>
          <w:sz w:val="24"/>
          <w:szCs w:val="24"/>
        </w:rPr>
        <w:t xml:space="preserve"> however</w:t>
      </w:r>
      <w:r w:rsidR="00072576" w:rsidRPr="002229EB">
        <w:rPr>
          <w:rFonts w:ascii="Calibri" w:hAnsi="Calibri"/>
          <w:sz w:val="24"/>
          <w:szCs w:val="24"/>
        </w:rPr>
        <w:t>,</w:t>
      </w:r>
      <w:r w:rsidR="005264F9" w:rsidRPr="002229EB">
        <w:rPr>
          <w:rFonts w:ascii="Calibri" w:hAnsi="Calibri"/>
          <w:sz w:val="24"/>
          <w:szCs w:val="24"/>
        </w:rPr>
        <w:t xml:space="preserve"> it </w:t>
      </w:r>
      <w:r w:rsidRPr="002229EB">
        <w:rPr>
          <w:rFonts w:ascii="Calibri" w:hAnsi="Calibri"/>
          <w:sz w:val="24"/>
          <w:szCs w:val="24"/>
        </w:rPr>
        <w:t xml:space="preserve">was not providing the expected value </w:t>
      </w:r>
      <w:r w:rsidR="005264F9" w:rsidRPr="002229EB">
        <w:rPr>
          <w:rFonts w:ascii="Calibri" w:hAnsi="Calibri"/>
          <w:sz w:val="24"/>
          <w:szCs w:val="24"/>
        </w:rPr>
        <w:t>and was repealed in 2013.</w:t>
      </w:r>
    </w:p>
    <w:p w:rsidR="00B97F87" w:rsidRPr="002229EB" w:rsidRDefault="00B97F87" w:rsidP="00B97F87">
      <w:pPr>
        <w:pStyle w:val="ParaAttribute0"/>
        <w:wordWrap/>
        <w:spacing w:line="276" w:lineRule="auto"/>
        <w:rPr>
          <w:rFonts w:ascii="Calibri" w:hAnsi="Calibri"/>
          <w:sz w:val="24"/>
          <w:szCs w:val="24"/>
        </w:rPr>
      </w:pPr>
    </w:p>
    <w:p w:rsidR="00641CF4" w:rsidRPr="002229EB" w:rsidRDefault="00B97F87" w:rsidP="002229EB">
      <w:pPr>
        <w:pStyle w:val="ParaAttribute0"/>
        <w:wordWrap/>
        <w:spacing w:line="276" w:lineRule="auto"/>
        <w:ind w:left="709"/>
        <w:rPr>
          <w:rFonts w:ascii="Calibri" w:hAnsi="Calibri"/>
          <w:sz w:val="24"/>
          <w:szCs w:val="24"/>
        </w:rPr>
      </w:pPr>
      <w:r w:rsidRPr="002229EB">
        <w:rPr>
          <w:rFonts w:ascii="Calibri" w:hAnsi="Calibri"/>
          <w:sz w:val="24"/>
          <w:szCs w:val="24"/>
        </w:rPr>
        <w:t xml:space="preserve">As of 2012, </w:t>
      </w:r>
      <w:r w:rsidR="005C4257" w:rsidRPr="002229EB">
        <w:rPr>
          <w:rFonts w:ascii="Calibri" w:hAnsi="Calibri"/>
          <w:sz w:val="24"/>
          <w:szCs w:val="24"/>
        </w:rPr>
        <w:t>82</w:t>
      </w:r>
      <w:r w:rsidRPr="002229EB">
        <w:rPr>
          <w:rFonts w:ascii="Calibri" w:hAnsi="Calibri"/>
          <w:sz w:val="24"/>
          <w:szCs w:val="24"/>
        </w:rPr>
        <w:t xml:space="preserve"> percent of </w:t>
      </w:r>
      <w:r w:rsidR="005C4257" w:rsidRPr="002229EB">
        <w:rPr>
          <w:rFonts w:ascii="Calibri" w:hAnsi="Calibri"/>
          <w:sz w:val="24"/>
          <w:szCs w:val="24"/>
        </w:rPr>
        <w:t>full-time</w:t>
      </w:r>
      <w:r w:rsidRPr="002229EB">
        <w:rPr>
          <w:rFonts w:ascii="Calibri" w:hAnsi="Calibri"/>
          <w:sz w:val="24"/>
          <w:szCs w:val="24"/>
        </w:rPr>
        <w:t xml:space="preserve"> students took out a student loan, up from around </w:t>
      </w:r>
      <w:r w:rsidR="005C4257" w:rsidRPr="002229EB">
        <w:rPr>
          <w:rFonts w:ascii="Calibri" w:hAnsi="Calibri"/>
          <w:sz w:val="24"/>
          <w:szCs w:val="24"/>
        </w:rPr>
        <w:t>68</w:t>
      </w:r>
      <w:r w:rsidRPr="002229EB">
        <w:rPr>
          <w:rFonts w:ascii="Calibri" w:hAnsi="Calibri"/>
          <w:sz w:val="24"/>
          <w:szCs w:val="24"/>
        </w:rPr>
        <w:t xml:space="preserve"> percent prior to the abolition of interest in 2006.</w:t>
      </w:r>
      <w:r w:rsidR="005C4257" w:rsidRPr="002229EB">
        <w:rPr>
          <w:rFonts w:ascii="Calibri" w:hAnsi="Calibri"/>
          <w:sz w:val="24"/>
          <w:szCs w:val="24"/>
        </w:rPr>
        <w:t xml:space="preserve">  </w:t>
      </w:r>
      <w:r w:rsidR="00D33FD6">
        <w:rPr>
          <w:rFonts w:ascii="Calibri" w:hAnsi="Calibri"/>
          <w:sz w:val="24"/>
          <w:szCs w:val="24"/>
        </w:rPr>
        <w:t>The total amount of loan available to the current cohort of students is around NZ$13,500 a year.  Repayments are made once income reaches a threshold (around NZ$19,000) and are pegged at 12 percent on income over this threshold.</w:t>
      </w:r>
    </w:p>
    <w:p w:rsidR="002229EB" w:rsidRPr="002229EB" w:rsidRDefault="002229EB" w:rsidP="002229EB">
      <w:pPr>
        <w:pStyle w:val="ParaAttribute0"/>
        <w:wordWrap/>
        <w:spacing w:line="276" w:lineRule="auto"/>
        <w:ind w:left="709"/>
        <w:rPr>
          <w:rFonts w:ascii="Calibri" w:hAnsi="Calibri"/>
          <w:sz w:val="24"/>
          <w:szCs w:val="24"/>
        </w:rPr>
      </w:pPr>
    </w:p>
    <w:p w:rsidR="002229EB" w:rsidRPr="002229EB" w:rsidRDefault="002229EB" w:rsidP="002229EB">
      <w:pPr>
        <w:pStyle w:val="NoSpacing"/>
        <w:numPr>
          <w:ilvl w:val="0"/>
          <w:numId w:val="6"/>
        </w:numPr>
        <w:spacing w:line="276" w:lineRule="auto"/>
        <w:rPr>
          <w:rFonts w:ascii="Calibri" w:hAnsi="Calibri" w:cs="Times New Roman"/>
          <w:sz w:val="24"/>
          <w:szCs w:val="24"/>
          <w:lang w:val="en-GB"/>
        </w:rPr>
      </w:pPr>
      <w:r w:rsidRPr="002229EB">
        <w:rPr>
          <w:rFonts w:ascii="Calibri" w:hAnsi="Calibri" w:cs="Times New Roman"/>
          <w:color w:val="000000"/>
          <w:sz w:val="24"/>
          <w:szCs w:val="24"/>
          <w:lang w:val="en-GB"/>
        </w:rPr>
        <w:t xml:space="preserve">In the US, </w:t>
      </w:r>
      <w:r w:rsidRPr="002229EB">
        <w:rPr>
          <w:rFonts w:ascii="Calibri" w:hAnsi="Calibri" w:cs="Times New Roman"/>
          <w:sz w:val="24"/>
          <w:szCs w:val="24"/>
          <w:lang w:val="en-GB"/>
        </w:rPr>
        <w:t>education is often label</w:t>
      </w:r>
      <w:r>
        <w:rPr>
          <w:rFonts w:ascii="Calibri" w:hAnsi="Calibri" w:cs="Times New Roman"/>
          <w:sz w:val="24"/>
          <w:szCs w:val="24"/>
          <w:lang w:val="en-GB"/>
        </w:rPr>
        <w:t>l</w:t>
      </w:r>
      <w:r w:rsidRPr="002229EB">
        <w:rPr>
          <w:rFonts w:ascii="Calibri" w:hAnsi="Calibri" w:cs="Times New Roman"/>
          <w:sz w:val="24"/>
          <w:szCs w:val="24"/>
          <w:lang w:val="en-GB"/>
        </w:rPr>
        <w:t xml:space="preserve">ed the ‘pathway out of poverty’ and government support for post-secondary and college education, primarily need-based funding, </w:t>
      </w:r>
      <w:r w:rsidRPr="002229EB">
        <w:rPr>
          <w:rFonts w:ascii="Calibri" w:hAnsi="Calibri" w:cs="Times New Roman"/>
          <w:color w:val="000000"/>
          <w:sz w:val="24"/>
          <w:szCs w:val="24"/>
          <w:lang w:val="en-GB"/>
        </w:rPr>
        <w:t xml:space="preserve">has been available since 1965.  </w:t>
      </w:r>
      <w:r>
        <w:rPr>
          <w:rFonts w:ascii="Calibri" w:hAnsi="Calibri" w:cs="Times New Roman"/>
          <w:sz w:val="24"/>
          <w:szCs w:val="24"/>
          <w:lang w:val="en-GB"/>
        </w:rPr>
        <w:t>Through the 1992 reauthoris</w:t>
      </w:r>
      <w:r w:rsidRPr="002229EB">
        <w:rPr>
          <w:rFonts w:ascii="Calibri" w:hAnsi="Calibri" w:cs="Times New Roman"/>
          <w:sz w:val="24"/>
          <w:szCs w:val="24"/>
          <w:lang w:val="en-GB"/>
        </w:rPr>
        <w:t>ation of the Higher Education Act</w:t>
      </w:r>
      <w:r w:rsidRPr="002229EB">
        <w:rPr>
          <w:rFonts w:ascii="Calibri" w:hAnsi="Calibri" w:cs="Times New Roman"/>
          <w:color w:val="000000"/>
          <w:sz w:val="24"/>
          <w:szCs w:val="24"/>
          <w:lang w:val="en-GB"/>
        </w:rPr>
        <w:t>, access to federal funds for education broadened</w:t>
      </w:r>
      <w:r w:rsidRPr="002229EB">
        <w:rPr>
          <w:rFonts w:ascii="Calibri" w:hAnsi="Calibri" w:cs="Times New Roman"/>
          <w:sz w:val="24"/>
          <w:szCs w:val="24"/>
          <w:lang w:val="en-GB"/>
        </w:rPr>
        <w:t>, annual borrowing limits were increased, and all students, regardless of financial need, gained access to unsubsidised student loans.  To obtain federal funding, students a</w:t>
      </w:r>
      <w:r>
        <w:rPr>
          <w:rFonts w:ascii="Calibri" w:hAnsi="Calibri" w:cs="Times New Roman"/>
          <w:sz w:val="24"/>
          <w:szCs w:val="24"/>
          <w:lang w:val="en-GB"/>
        </w:rPr>
        <w:t>pply for financial aid annually and, b</w:t>
      </w:r>
      <w:r w:rsidRPr="002229EB">
        <w:rPr>
          <w:rFonts w:ascii="Calibri" w:hAnsi="Calibri" w:cs="Times New Roman"/>
          <w:sz w:val="24"/>
          <w:szCs w:val="24"/>
          <w:lang w:val="en-GB"/>
        </w:rPr>
        <w:t xml:space="preserve">ased on family income and related factors, students receive a personalized statement of the total financial aid available to them. Educational funding in the US is complex, covering a wide range of sources including need-based grants and scholarships (e.g. Federal Pell Grants, TEACH grants and </w:t>
      </w:r>
      <w:r>
        <w:rPr>
          <w:rFonts w:ascii="Calibri" w:hAnsi="Calibri" w:cs="Times New Roman"/>
          <w:sz w:val="24"/>
          <w:szCs w:val="24"/>
          <w:lang w:val="en-GB"/>
        </w:rPr>
        <w:t>aid for m</w:t>
      </w:r>
      <w:r w:rsidRPr="002229EB">
        <w:rPr>
          <w:rFonts w:ascii="Calibri" w:hAnsi="Calibri" w:cs="Times New Roman"/>
          <w:sz w:val="24"/>
          <w:szCs w:val="24"/>
          <w:lang w:val="en-GB"/>
        </w:rPr>
        <w:t>ilitary families), subsidi</w:t>
      </w:r>
      <w:r>
        <w:rPr>
          <w:rFonts w:ascii="Calibri" w:hAnsi="Calibri" w:cs="Times New Roman"/>
          <w:sz w:val="24"/>
          <w:szCs w:val="24"/>
          <w:lang w:val="en-GB"/>
        </w:rPr>
        <w:t>s</w:t>
      </w:r>
      <w:r w:rsidRPr="002229EB">
        <w:rPr>
          <w:rFonts w:ascii="Calibri" w:hAnsi="Calibri" w:cs="Times New Roman"/>
          <w:sz w:val="24"/>
          <w:szCs w:val="24"/>
          <w:lang w:val="en-GB"/>
        </w:rPr>
        <w:t>ed and unsubsidi</w:t>
      </w:r>
      <w:r>
        <w:rPr>
          <w:rFonts w:ascii="Calibri" w:hAnsi="Calibri" w:cs="Times New Roman"/>
          <w:sz w:val="24"/>
          <w:szCs w:val="24"/>
          <w:lang w:val="en-GB"/>
        </w:rPr>
        <w:t>s</w:t>
      </w:r>
      <w:r w:rsidRPr="002229EB">
        <w:rPr>
          <w:rFonts w:ascii="Calibri" w:hAnsi="Calibri" w:cs="Times New Roman"/>
          <w:sz w:val="24"/>
          <w:szCs w:val="24"/>
          <w:lang w:val="en-GB"/>
        </w:rPr>
        <w:t xml:space="preserve">ed student loans, </w:t>
      </w:r>
      <w:r>
        <w:rPr>
          <w:rFonts w:ascii="Calibri" w:hAnsi="Calibri" w:cs="Times New Roman"/>
          <w:sz w:val="24"/>
          <w:szCs w:val="24"/>
          <w:lang w:val="en-GB"/>
        </w:rPr>
        <w:t>loans to parents</w:t>
      </w:r>
      <w:r w:rsidRPr="002229EB">
        <w:rPr>
          <w:rFonts w:ascii="Calibri" w:hAnsi="Calibri" w:cs="Times New Roman"/>
          <w:sz w:val="24"/>
          <w:szCs w:val="24"/>
          <w:lang w:val="en-GB"/>
        </w:rPr>
        <w:t xml:space="preserve"> and work-study options. Consequently, the amount available </w:t>
      </w:r>
      <w:r>
        <w:rPr>
          <w:rFonts w:ascii="Calibri" w:hAnsi="Calibri" w:cs="Times New Roman"/>
          <w:sz w:val="24"/>
          <w:szCs w:val="24"/>
          <w:lang w:val="en-GB"/>
        </w:rPr>
        <w:t xml:space="preserve">as </w:t>
      </w:r>
      <w:r w:rsidRPr="002229EB">
        <w:rPr>
          <w:rFonts w:ascii="Calibri" w:hAnsi="Calibri" w:cs="Times New Roman"/>
          <w:sz w:val="24"/>
          <w:szCs w:val="24"/>
          <w:lang w:val="en-GB"/>
        </w:rPr>
        <w:t>well as repayment costs, including the interest charged and payment terms, vary depending on the type of aid re</w:t>
      </w:r>
      <w:r>
        <w:rPr>
          <w:rFonts w:ascii="Calibri" w:hAnsi="Calibri" w:cs="Times New Roman"/>
          <w:sz w:val="24"/>
          <w:szCs w:val="24"/>
          <w:lang w:val="en-GB"/>
        </w:rPr>
        <w:t>ceived, who owns the debt (i.e.</w:t>
      </w:r>
      <w:r w:rsidRPr="002229EB">
        <w:rPr>
          <w:rFonts w:ascii="Calibri" w:hAnsi="Calibri" w:cs="Times New Roman"/>
          <w:sz w:val="24"/>
          <w:szCs w:val="24"/>
          <w:lang w:val="en-GB"/>
        </w:rPr>
        <w:t xml:space="preserve"> student or parent) and financia</w:t>
      </w:r>
      <w:r>
        <w:rPr>
          <w:rFonts w:ascii="Calibri" w:hAnsi="Calibri" w:cs="Times New Roman"/>
          <w:sz w:val="24"/>
          <w:szCs w:val="24"/>
          <w:lang w:val="en-GB"/>
        </w:rPr>
        <w:t>l ability to pay the debt (e.g.</w:t>
      </w:r>
      <w:r w:rsidRPr="002229EB">
        <w:rPr>
          <w:rFonts w:ascii="Calibri" w:hAnsi="Calibri" w:cs="Times New Roman"/>
          <w:sz w:val="24"/>
          <w:szCs w:val="24"/>
          <w:lang w:val="en-GB"/>
        </w:rPr>
        <w:t xml:space="preserve"> employm</w:t>
      </w:r>
      <w:r>
        <w:rPr>
          <w:rFonts w:ascii="Calibri" w:hAnsi="Calibri" w:cs="Times New Roman"/>
          <w:sz w:val="24"/>
          <w:szCs w:val="24"/>
          <w:lang w:val="en-GB"/>
        </w:rPr>
        <w:t>ent status and annual income).</w:t>
      </w:r>
    </w:p>
    <w:p w:rsidR="002229EB" w:rsidRPr="002229EB" w:rsidRDefault="002229EB" w:rsidP="002229EB">
      <w:pPr>
        <w:pStyle w:val="NoSpacing"/>
        <w:spacing w:line="276" w:lineRule="auto"/>
        <w:rPr>
          <w:rFonts w:ascii="Calibri" w:hAnsi="Calibri" w:cs="Times New Roman"/>
          <w:sz w:val="24"/>
          <w:szCs w:val="24"/>
          <w:lang w:val="en-GB"/>
        </w:rPr>
      </w:pPr>
    </w:p>
    <w:p w:rsidR="002229EB" w:rsidRPr="002229EB" w:rsidRDefault="002229EB" w:rsidP="002229EB">
      <w:pPr>
        <w:pStyle w:val="NoSpacing"/>
        <w:spacing w:line="276" w:lineRule="auto"/>
        <w:ind w:left="720"/>
        <w:rPr>
          <w:rFonts w:ascii="Calibri" w:hAnsi="Calibri" w:cs="Times New Roman"/>
          <w:sz w:val="24"/>
          <w:szCs w:val="24"/>
          <w:lang w:val="en-GB"/>
        </w:rPr>
      </w:pPr>
      <w:r w:rsidRPr="002229EB">
        <w:rPr>
          <w:rFonts w:ascii="Calibri" w:hAnsi="Calibri" w:cs="Times New Roman"/>
          <w:sz w:val="24"/>
          <w:szCs w:val="24"/>
          <w:lang w:val="en-GB"/>
        </w:rPr>
        <w:t>In 2011, the estimated 25.5 million undergraduates received 51</w:t>
      </w:r>
      <w:r>
        <w:rPr>
          <w:rFonts w:ascii="Calibri" w:hAnsi="Calibri" w:cs="Times New Roman"/>
          <w:sz w:val="24"/>
          <w:szCs w:val="24"/>
          <w:lang w:val="en-GB"/>
        </w:rPr>
        <w:t xml:space="preserve"> percent</w:t>
      </w:r>
      <w:r w:rsidRPr="002229EB">
        <w:rPr>
          <w:rFonts w:ascii="Calibri" w:hAnsi="Calibri" w:cs="Times New Roman"/>
          <w:sz w:val="24"/>
          <w:szCs w:val="24"/>
          <w:lang w:val="en-GB"/>
        </w:rPr>
        <w:t xml:space="preserve"> of thei</w:t>
      </w:r>
      <w:r>
        <w:rPr>
          <w:rFonts w:ascii="Calibri" w:hAnsi="Calibri" w:cs="Times New Roman"/>
          <w:sz w:val="24"/>
          <w:szCs w:val="24"/>
          <w:lang w:val="en-GB"/>
        </w:rPr>
        <w:t>r aid in the form of grants, 40 percent</w:t>
      </w:r>
      <w:r w:rsidRPr="002229EB">
        <w:rPr>
          <w:rFonts w:ascii="Calibri" w:hAnsi="Calibri" w:cs="Times New Roman"/>
          <w:sz w:val="24"/>
          <w:szCs w:val="24"/>
          <w:lang w:val="en-GB"/>
        </w:rPr>
        <w:t xml:space="preserve"> as loans, and 9</w:t>
      </w:r>
      <w:r>
        <w:rPr>
          <w:rFonts w:ascii="Calibri" w:hAnsi="Calibri" w:cs="Times New Roman"/>
          <w:sz w:val="24"/>
          <w:szCs w:val="24"/>
          <w:lang w:val="en-GB"/>
        </w:rPr>
        <w:t xml:space="preserve"> percent</w:t>
      </w:r>
      <w:r w:rsidRPr="002229EB">
        <w:rPr>
          <w:rFonts w:ascii="Calibri" w:hAnsi="Calibri" w:cs="Times New Roman"/>
          <w:sz w:val="24"/>
          <w:szCs w:val="24"/>
          <w:lang w:val="en-GB"/>
        </w:rPr>
        <w:t xml:space="preserve"> in a combination of tax credits </w:t>
      </w:r>
      <w:r>
        <w:rPr>
          <w:rFonts w:ascii="Calibri" w:hAnsi="Calibri" w:cs="Times New Roman"/>
          <w:sz w:val="24"/>
          <w:szCs w:val="24"/>
          <w:lang w:val="en-GB"/>
        </w:rPr>
        <w:t>and work-s</w:t>
      </w:r>
      <w:r w:rsidRPr="002229EB">
        <w:rPr>
          <w:rFonts w:ascii="Calibri" w:hAnsi="Calibri" w:cs="Times New Roman"/>
          <w:sz w:val="24"/>
          <w:szCs w:val="24"/>
          <w:lang w:val="en-GB"/>
        </w:rPr>
        <w:t>tudy. In that same period, public four</w:t>
      </w:r>
      <w:r w:rsidRPr="002229EB">
        <w:rPr>
          <w:rFonts w:ascii="Calibri" w:hAnsi="Calibri" w:cs="Times New Roman"/>
          <w:sz w:val="24"/>
          <w:szCs w:val="24"/>
          <w:lang w:val="en-GB"/>
        </w:rPr>
        <w:noBreakHyphen/>
        <w:t xml:space="preserve">year college students graduated with average debt </w:t>
      </w:r>
      <w:r>
        <w:rPr>
          <w:rFonts w:ascii="Calibri" w:hAnsi="Calibri" w:cs="Times New Roman"/>
          <w:sz w:val="24"/>
          <w:szCs w:val="24"/>
          <w:lang w:val="en-GB"/>
        </w:rPr>
        <w:t>US</w:t>
      </w:r>
      <w:r w:rsidRPr="002229EB">
        <w:rPr>
          <w:rFonts w:ascii="Calibri" w:hAnsi="Calibri" w:cs="Times New Roman"/>
          <w:sz w:val="24"/>
          <w:szCs w:val="24"/>
          <w:lang w:val="en-GB"/>
        </w:rPr>
        <w:t>$23,800</w:t>
      </w:r>
      <w:r w:rsidR="00D33FD6">
        <w:rPr>
          <w:rFonts w:ascii="Calibri" w:hAnsi="Calibri" w:cs="Times New Roman"/>
          <w:sz w:val="24"/>
          <w:szCs w:val="24"/>
          <w:lang w:val="en-GB"/>
        </w:rPr>
        <w:t>, with 57 percent of students taking loans</w:t>
      </w:r>
      <w:r w:rsidRPr="002229EB">
        <w:rPr>
          <w:rFonts w:ascii="Calibri" w:hAnsi="Calibri" w:cs="Times New Roman"/>
          <w:sz w:val="24"/>
          <w:szCs w:val="24"/>
          <w:lang w:val="en-GB"/>
        </w:rPr>
        <w:t xml:space="preserve">. </w:t>
      </w:r>
      <w:r w:rsidR="001B3668">
        <w:rPr>
          <w:rFonts w:ascii="Calibri" w:hAnsi="Calibri" w:cs="Times New Roman"/>
          <w:sz w:val="24"/>
          <w:szCs w:val="24"/>
          <w:lang w:val="en-GB"/>
        </w:rPr>
        <w:t xml:space="preserve"> </w:t>
      </w:r>
      <w:r w:rsidRPr="002229EB">
        <w:rPr>
          <w:rFonts w:ascii="Calibri" w:hAnsi="Calibri" w:cs="Times New Roman"/>
          <w:sz w:val="24"/>
          <w:szCs w:val="24"/>
          <w:lang w:val="en-GB"/>
        </w:rPr>
        <w:t xml:space="preserve">For the first time since 1992, total education borrowing, including federal student and parent loans, as well as </w:t>
      </w:r>
      <w:r>
        <w:rPr>
          <w:rFonts w:ascii="Calibri" w:hAnsi="Calibri" w:cs="Times New Roman"/>
          <w:sz w:val="24"/>
          <w:szCs w:val="24"/>
          <w:lang w:val="en-GB"/>
        </w:rPr>
        <w:t>non</w:t>
      </w:r>
      <w:r w:rsidR="001B3668">
        <w:rPr>
          <w:rFonts w:ascii="Calibri" w:hAnsi="Calibri" w:cs="Times New Roman"/>
          <w:sz w:val="24"/>
          <w:szCs w:val="24"/>
          <w:lang w:val="en-GB"/>
        </w:rPr>
        <w:t>-</w:t>
      </w:r>
      <w:r>
        <w:rPr>
          <w:rFonts w:ascii="Calibri" w:hAnsi="Calibri" w:cs="Times New Roman"/>
          <w:sz w:val="24"/>
          <w:szCs w:val="24"/>
          <w:lang w:val="en-GB"/>
        </w:rPr>
        <w:t>federal loans, declined by 4 percent</w:t>
      </w:r>
      <w:r w:rsidRPr="002229EB">
        <w:rPr>
          <w:rFonts w:ascii="Calibri" w:hAnsi="Calibri" w:cs="Times New Roman"/>
          <w:sz w:val="24"/>
          <w:szCs w:val="24"/>
          <w:lang w:val="en-GB"/>
        </w:rPr>
        <w:t xml:space="preserve"> in real terms (Baum, Ma, &amp; </w:t>
      </w:r>
      <w:proofErr w:type="spellStart"/>
      <w:r w:rsidRPr="002229EB">
        <w:rPr>
          <w:rFonts w:ascii="Calibri" w:hAnsi="Calibri" w:cs="Times New Roman"/>
          <w:sz w:val="24"/>
          <w:szCs w:val="24"/>
          <w:lang w:val="en-GB"/>
        </w:rPr>
        <w:t>Payea</w:t>
      </w:r>
      <w:proofErr w:type="spellEnd"/>
      <w:r w:rsidRPr="002229EB">
        <w:rPr>
          <w:rFonts w:ascii="Calibri" w:hAnsi="Calibri" w:cs="Times New Roman"/>
          <w:sz w:val="24"/>
          <w:szCs w:val="24"/>
          <w:lang w:val="en-GB"/>
        </w:rPr>
        <w:t>, 2012).</w:t>
      </w:r>
    </w:p>
    <w:p w:rsidR="002229EB" w:rsidRPr="002229EB" w:rsidRDefault="002229EB" w:rsidP="002229EB">
      <w:pPr>
        <w:pStyle w:val="ParaAttribute0"/>
        <w:wordWrap/>
        <w:spacing w:line="276" w:lineRule="auto"/>
        <w:ind w:left="709"/>
        <w:rPr>
          <w:rFonts w:ascii="Calibri" w:hAnsi="Calibri"/>
          <w:sz w:val="24"/>
          <w:szCs w:val="24"/>
        </w:rPr>
      </w:pPr>
    </w:p>
    <w:p w:rsidR="005011A7" w:rsidRPr="002229EB" w:rsidRDefault="005011A7" w:rsidP="009C3AC7">
      <w:pPr>
        <w:pStyle w:val="ParaAttribute0"/>
        <w:wordWrap/>
        <w:spacing w:line="276" w:lineRule="auto"/>
        <w:rPr>
          <w:rFonts w:ascii="Calibri" w:eastAsia="Tahoma" w:hAnsi="Calibri"/>
          <w:sz w:val="24"/>
          <w:szCs w:val="24"/>
        </w:rPr>
      </w:pPr>
    </w:p>
    <w:p w:rsidR="00B21C3E" w:rsidRPr="002229EB" w:rsidRDefault="00B96A01" w:rsidP="009C3AC7">
      <w:pPr>
        <w:pStyle w:val="ParaAttribute0"/>
        <w:wordWrap/>
        <w:spacing w:line="276" w:lineRule="auto"/>
        <w:rPr>
          <w:rFonts w:ascii="Calibri" w:eastAsia="Tahoma" w:hAnsi="Calibri"/>
          <w:sz w:val="24"/>
          <w:szCs w:val="24"/>
        </w:rPr>
      </w:pPr>
      <w:r>
        <w:rPr>
          <w:rStyle w:val="CharAttribute3"/>
          <w:rFonts w:ascii="Calibri" w:hAnsi="Calibri"/>
          <w:szCs w:val="24"/>
        </w:rPr>
        <w:t xml:space="preserve">1.2 </w:t>
      </w:r>
      <w:r w:rsidR="007817FF" w:rsidRPr="002229EB">
        <w:rPr>
          <w:rStyle w:val="CharAttribute3"/>
          <w:rFonts w:ascii="Calibri" w:hAnsi="Calibri"/>
          <w:szCs w:val="24"/>
        </w:rPr>
        <w:t>Literature review</w:t>
      </w:r>
    </w:p>
    <w:p w:rsidR="00B21C3E" w:rsidRPr="002229EB" w:rsidRDefault="00B21C3E" w:rsidP="009C3AC7">
      <w:pPr>
        <w:pStyle w:val="ParaAttribute0"/>
        <w:wordWrap/>
        <w:spacing w:line="276" w:lineRule="auto"/>
        <w:rPr>
          <w:rFonts w:ascii="Calibri" w:eastAsia="Tahoma" w:hAnsi="Calibri"/>
          <w:sz w:val="24"/>
          <w:szCs w:val="24"/>
        </w:rPr>
      </w:pPr>
    </w:p>
    <w:p w:rsidR="006C2900" w:rsidRPr="002229EB" w:rsidRDefault="00EF4FB6" w:rsidP="009C3AC7">
      <w:pPr>
        <w:pStyle w:val="ParaAttribute0"/>
        <w:wordWrap/>
        <w:spacing w:line="276" w:lineRule="auto"/>
        <w:rPr>
          <w:rStyle w:val="CharAttribute2"/>
          <w:rFonts w:ascii="Calibri" w:hAnsi="Calibri"/>
          <w:szCs w:val="24"/>
        </w:rPr>
      </w:pPr>
      <w:r w:rsidRPr="002229EB">
        <w:rPr>
          <w:rStyle w:val="CharAttribute2"/>
          <w:rFonts w:ascii="Calibri" w:hAnsi="Calibri"/>
          <w:szCs w:val="24"/>
        </w:rPr>
        <w:t>The phenomenon of student debt has come under research scrutiny since it began to emerge</w:t>
      </w:r>
      <w:r w:rsidR="00072576" w:rsidRPr="002229EB">
        <w:rPr>
          <w:rStyle w:val="CharAttribute2"/>
          <w:rFonts w:ascii="Calibri" w:hAnsi="Calibri"/>
          <w:szCs w:val="24"/>
        </w:rPr>
        <w:t xml:space="preserve"> on a large scale</w:t>
      </w:r>
      <w:r w:rsidRPr="002229EB">
        <w:rPr>
          <w:rStyle w:val="CharAttribute2"/>
          <w:rFonts w:ascii="Calibri" w:hAnsi="Calibri"/>
          <w:szCs w:val="24"/>
        </w:rPr>
        <w:t xml:space="preserve"> in the 1980s and 1990s.  </w:t>
      </w:r>
      <w:r w:rsidR="0094474F" w:rsidRPr="002229EB">
        <w:rPr>
          <w:rStyle w:val="CharAttribute2"/>
          <w:rFonts w:ascii="Calibri" w:hAnsi="Calibri"/>
          <w:szCs w:val="24"/>
        </w:rPr>
        <w:t xml:space="preserve">Those writing from a sociological or social policy perspective have tended to focus on the relationship between student debt and elements of the student </w:t>
      </w:r>
      <w:r w:rsidR="0094474F" w:rsidRPr="002229EB">
        <w:rPr>
          <w:rStyle w:val="CharAttribute2"/>
          <w:rFonts w:ascii="Calibri" w:hAnsi="Calibri"/>
          <w:szCs w:val="24"/>
        </w:rPr>
        <w:lastRenderedPageBreak/>
        <w:t>experience, such as mental health (</w:t>
      </w:r>
      <w:r w:rsidR="001C230B" w:rsidRPr="002229EB">
        <w:rPr>
          <w:rStyle w:val="CharAttribute2"/>
          <w:rFonts w:ascii="Calibri" w:hAnsi="Calibri"/>
          <w:szCs w:val="24"/>
        </w:rPr>
        <w:t>e.g. Cooke et al.</w:t>
      </w:r>
      <w:r w:rsidR="00072576" w:rsidRPr="002229EB">
        <w:rPr>
          <w:rStyle w:val="CharAttribute2"/>
          <w:rFonts w:ascii="Calibri" w:hAnsi="Calibri"/>
          <w:szCs w:val="24"/>
        </w:rPr>
        <w:t>,</w:t>
      </w:r>
      <w:r w:rsidR="001C230B" w:rsidRPr="002229EB">
        <w:rPr>
          <w:rStyle w:val="CharAttribute2"/>
          <w:rFonts w:ascii="Calibri" w:hAnsi="Calibri"/>
          <w:szCs w:val="24"/>
        </w:rPr>
        <w:t xml:space="preserve"> 2004</w:t>
      </w:r>
      <w:r w:rsidR="00595190" w:rsidRPr="002229EB">
        <w:rPr>
          <w:rStyle w:val="CharAttribute2"/>
          <w:rFonts w:ascii="Calibri" w:hAnsi="Calibri"/>
          <w:szCs w:val="24"/>
        </w:rPr>
        <w:t>; Jessop et al</w:t>
      </w:r>
      <w:r w:rsidR="00072576" w:rsidRPr="002229EB">
        <w:rPr>
          <w:rStyle w:val="CharAttribute2"/>
          <w:rFonts w:ascii="Calibri" w:hAnsi="Calibri"/>
          <w:szCs w:val="24"/>
        </w:rPr>
        <w:t>.,</w:t>
      </w:r>
      <w:r w:rsidR="00595190" w:rsidRPr="002229EB">
        <w:rPr>
          <w:rStyle w:val="CharAttribute2"/>
          <w:rFonts w:ascii="Calibri" w:hAnsi="Calibri"/>
          <w:szCs w:val="24"/>
        </w:rPr>
        <w:t xml:space="preserve"> 2005</w:t>
      </w:r>
      <w:r w:rsidR="001C230B" w:rsidRPr="002229EB">
        <w:rPr>
          <w:rStyle w:val="CharAttribute2"/>
          <w:rFonts w:ascii="Calibri" w:hAnsi="Calibri"/>
          <w:szCs w:val="24"/>
        </w:rPr>
        <w:t>)</w:t>
      </w:r>
      <w:r w:rsidR="0094474F" w:rsidRPr="002229EB">
        <w:rPr>
          <w:rStyle w:val="CharAttribute2"/>
          <w:rFonts w:ascii="Calibri" w:hAnsi="Calibri"/>
          <w:szCs w:val="24"/>
        </w:rPr>
        <w:t xml:space="preserve"> and propensity to withdraw (</w:t>
      </w:r>
      <w:r w:rsidR="001C230B" w:rsidRPr="002229EB">
        <w:rPr>
          <w:rStyle w:val="CharAttribute2"/>
          <w:rFonts w:ascii="Calibri" w:hAnsi="Calibri"/>
          <w:szCs w:val="24"/>
        </w:rPr>
        <w:t xml:space="preserve">e.g. </w:t>
      </w:r>
      <w:r w:rsidR="00595190" w:rsidRPr="002229EB">
        <w:rPr>
          <w:rStyle w:val="CharAttribute2"/>
          <w:rFonts w:ascii="Calibri" w:hAnsi="Calibri"/>
          <w:szCs w:val="24"/>
        </w:rPr>
        <w:t>Quinn et al</w:t>
      </w:r>
      <w:r w:rsidR="00072576" w:rsidRPr="002229EB">
        <w:rPr>
          <w:rStyle w:val="CharAttribute2"/>
          <w:rFonts w:ascii="Calibri" w:hAnsi="Calibri"/>
          <w:szCs w:val="24"/>
        </w:rPr>
        <w:t>.,</w:t>
      </w:r>
      <w:r w:rsidR="00595190" w:rsidRPr="002229EB">
        <w:rPr>
          <w:rStyle w:val="CharAttribute2"/>
          <w:rFonts w:ascii="Calibri" w:hAnsi="Calibri"/>
          <w:szCs w:val="24"/>
        </w:rPr>
        <w:t xml:space="preserve"> 2005</w:t>
      </w:r>
      <w:r w:rsidR="0094474F" w:rsidRPr="002229EB">
        <w:rPr>
          <w:rStyle w:val="CharAttribute2"/>
          <w:rFonts w:ascii="Calibri" w:hAnsi="Calibri"/>
          <w:szCs w:val="24"/>
        </w:rPr>
        <w:t>).  There has also been interest in the demographics of student debt, including around gender, social class and ethnicity (</w:t>
      </w:r>
      <w:r w:rsidR="001C230B" w:rsidRPr="002229EB">
        <w:rPr>
          <w:rStyle w:val="CharAttribute2"/>
          <w:rFonts w:ascii="Calibri" w:hAnsi="Calibri"/>
          <w:szCs w:val="24"/>
        </w:rPr>
        <w:t xml:space="preserve">e.g. </w:t>
      </w:r>
      <w:proofErr w:type="spellStart"/>
      <w:r w:rsidR="00B9372E" w:rsidRPr="002229EB">
        <w:rPr>
          <w:rFonts w:ascii="Calibri" w:hAnsi="Calibri" w:cs="Arial"/>
          <w:sz w:val="24"/>
          <w:szCs w:val="24"/>
        </w:rPr>
        <w:t>Hesketh</w:t>
      </w:r>
      <w:proofErr w:type="spellEnd"/>
      <w:r w:rsidR="00072576" w:rsidRPr="002229EB">
        <w:rPr>
          <w:rFonts w:ascii="Calibri" w:hAnsi="Calibri" w:cs="Arial"/>
          <w:sz w:val="24"/>
          <w:szCs w:val="24"/>
        </w:rPr>
        <w:t>,</w:t>
      </w:r>
      <w:r w:rsidR="00B9372E" w:rsidRPr="002229EB">
        <w:rPr>
          <w:rFonts w:ascii="Calibri" w:hAnsi="Calibri" w:cs="Arial"/>
          <w:sz w:val="24"/>
          <w:szCs w:val="24"/>
        </w:rPr>
        <w:t xml:space="preserve"> 1999; Scott et al</w:t>
      </w:r>
      <w:r w:rsidR="00072576" w:rsidRPr="002229EB">
        <w:rPr>
          <w:rFonts w:ascii="Calibri" w:hAnsi="Calibri" w:cs="Arial"/>
          <w:sz w:val="24"/>
          <w:szCs w:val="24"/>
        </w:rPr>
        <w:t>.,</w:t>
      </w:r>
      <w:r w:rsidR="00B9372E" w:rsidRPr="002229EB">
        <w:rPr>
          <w:rFonts w:ascii="Calibri" w:hAnsi="Calibri" w:cs="Arial"/>
          <w:sz w:val="24"/>
          <w:szCs w:val="24"/>
        </w:rPr>
        <w:t xml:space="preserve"> 2001; </w:t>
      </w:r>
      <w:proofErr w:type="spellStart"/>
      <w:r w:rsidR="006E0656" w:rsidRPr="002229EB">
        <w:rPr>
          <w:rFonts w:ascii="Calibri" w:hAnsi="Calibri" w:cs="Arial"/>
          <w:sz w:val="24"/>
          <w:szCs w:val="24"/>
        </w:rPr>
        <w:t>Kettley</w:t>
      </w:r>
      <w:proofErr w:type="spellEnd"/>
      <w:r w:rsidR="006E0656" w:rsidRPr="002229EB">
        <w:rPr>
          <w:rFonts w:ascii="Calibri" w:hAnsi="Calibri" w:cs="Arial"/>
          <w:sz w:val="24"/>
          <w:szCs w:val="24"/>
        </w:rPr>
        <w:t xml:space="preserve"> et al.</w:t>
      </w:r>
      <w:r w:rsidR="00072576" w:rsidRPr="002229EB">
        <w:rPr>
          <w:rFonts w:ascii="Calibri" w:hAnsi="Calibri" w:cs="Arial"/>
          <w:sz w:val="24"/>
          <w:szCs w:val="24"/>
        </w:rPr>
        <w:t>,</w:t>
      </w:r>
      <w:r w:rsidR="006E0656" w:rsidRPr="002229EB">
        <w:rPr>
          <w:rFonts w:ascii="Calibri" w:hAnsi="Calibri" w:cs="Arial"/>
          <w:sz w:val="24"/>
          <w:szCs w:val="24"/>
        </w:rPr>
        <w:t xml:space="preserve"> 2008; </w:t>
      </w:r>
      <w:r w:rsidR="001C230B" w:rsidRPr="002229EB">
        <w:rPr>
          <w:rFonts w:ascii="Calibri" w:hAnsi="Calibri" w:cs="Arial"/>
          <w:sz w:val="24"/>
          <w:szCs w:val="24"/>
        </w:rPr>
        <w:t>Harding</w:t>
      </w:r>
      <w:r w:rsidR="00072576" w:rsidRPr="002229EB">
        <w:rPr>
          <w:rFonts w:ascii="Calibri" w:hAnsi="Calibri" w:cs="Arial"/>
          <w:sz w:val="24"/>
          <w:szCs w:val="24"/>
        </w:rPr>
        <w:t>,</w:t>
      </w:r>
      <w:r w:rsidR="001C230B" w:rsidRPr="002229EB">
        <w:rPr>
          <w:rFonts w:ascii="Calibri" w:hAnsi="Calibri" w:cs="Arial"/>
          <w:sz w:val="24"/>
          <w:szCs w:val="24"/>
        </w:rPr>
        <w:t xml:space="preserve"> 2011</w:t>
      </w:r>
      <w:r w:rsidR="0094474F" w:rsidRPr="002229EB">
        <w:rPr>
          <w:rStyle w:val="CharAttribute2"/>
          <w:rFonts w:ascii="Calibri" w:hAnsi="Calibri"/>
          <w:szCs w:val="24"/>
        </w:rPr>
        <w:t>).</w:t>
      </w:r>
    </w:p>
    <w:p w:rsidR="006C2900" w:rsidRPr="002229EB" w:rsidRDefault="006C2900" w:rsidP="009C3AC7">
      <w:pPr>
        <w:pStyle w:val="ParaAttribute0"/>
        <w:wordWrap/>
        <w:spacing w:line="276" w:lineRule="auto"/>
        <w:rPr>
          <w:rStyle w:val="CharAttribute2"/>
          <w:rFonts w:ascii="Calibri" w:hAnsi="Calibri"/>
          <w:szCs w:val="24"/>
        </w:rPr>
      </w:pPr>
    </w:p>
    <w:p w:rsidR="006C2900" w:rsidRPr="002229EB" w:rsidRDefault="0094474F" w:rsidP="009C3AC7">
      <w:pPr>
        <w:pStyle w:val="ParaAttribute0"/>
        <w:wordWrap/>
        <w:spacing w:line="276" w:lineRule="auto"/>
        <w:rPr>
          <w:rStyle w:val="CharAttribute2"/>
          <w:rFonts w:ascii="Calibri" w:hAnsi="Calibri"/>
          <w:szCs w:val="24"/>
        </w:rPr>
      </w:pPr>
      <w:r w:rsidRPr="002229EB">
        <w:rPr>
          <w:rStyle w:val="CharAttribute2"/>
          <w:rFonts w:ascii="Calibri" w:hAnsi="Calibri"/>
          <w:szCs w:val="24"/>
        </w:rPr>
        <w:t xml:space="preserve">Perhaps most importantly, however, student debt has been repeatedly theorised as </w:t>
      </w:r>
      <w:r w:rsidR="00D714C9" w:rsidRPr="002229EB">
        <w:rPr>
          <w:rStyle w:val="CharAttribute2"/>
          <w:rFonts w:ascii="Calibri" w:hAnsi="Calibri"/>
          <w:szCs w:val="24"/>
        </w:rPr>
        <w:t>a major determinant in the demand for higher education</w:t>
      </w:r>
      <w:r w:rsidR="00D430A5">
        <w:rPr>
          <w:rStyle w:val="CharAttribute2"/>
          <w:rFonts w:ascii="Calibri" w:hAnsi="Calibri"/>
          <w:szCs w:val="24"/>
        </w:rPr>
        <w:t>, in the UK at least</w:t>
      </w:r>
      <w:r w:rsidR="00D47E0C" w:rsidRPr="002229EB">
        <w:rPr>
          <w:rStyle w:val="CharAttribute2"/>
          <w:rFonts w:ascii="Calibri" w:hAnsi="Calibri"/>
          <w:szCs w:val="24"/>
        </w:rPr>
        <w:t xml:space="preserve"> (</w:t>
      </w:r>
      <w:r w:rsidR="00B9372E" w:rsidRPr="002229EB">
        <w:rPr>
          <w:rStyle w:val="CharAttribute2"/>
          <w:rFonts w:ascii="Calibri" w:hAnsi="Calibri"/>
          <w:szCs w:val="24"/>
        </w:rPr>
        <w:t xml:space="preserve">e.g. </w:t>
      </w:r>
      <w:r w:rsidR="00B9372E" w:rsidRPr="002229EB">
        <w:rPr>
          <w:rFonts w:ascii="Calibri" w:hAnsi="Calibri" w:cs="AdvOT40514f85"/>
          <w:sz w:val="24"/>
          <w:szCs w:val="24"/>
        </w:rPr>
        <w:t>Pennell and West</w:t>
      </w:r>
      <w:r w:rsidR="00072576" w:rsidRPr="002229EB">
        <w:rPr>
          <w:rFonts w:ascii="Calibri" w:hAnsi="Calibri" w:cs="AdvOT40514f85"/>
          <w:sz w:val="24"/>
          <w:szCs w:val="24"/>
        </w:rPr>
        <w:t>,</w:t>
      </w:r>
      <w:r w:rsidR="00B9372E" w:rsidRPr="002229EB">
        <w:rPr>
          <w:rFonts w:ascii="Calibri" w:hAnsi="Calibri" w:cs="AdvOT40514f85"/>
          <w:sz w:val="24"/>
          <w:szCs w:val="24"/>
        </w:rPr>
        <w:t xml:space="preserve"> 2005; Jones and Thomas</w:t>
      </w:r>
      <w:r w:rsidR="00072576" w:rsidRPr="002229EB">
        <w:rPr>
          <w:rFonts w:ascii="Calibri" w:hAnsi="Calibri" w:cs="AdvOT40514f85"/>
          <w:sz w:val="24"/>
          <w:szCs w:val="24"/>
        </w:rPr>
        <w:t>,</w:t>
      </w:r>
      <w:r w:rsidR="00B9372E" w:rsidRPr="002229EB">
        <w:rPr>
          <w:rFonts w:ascii="Calibri" w:hAnsi="Calibri" w:cs="AdvOT40514f85"/>
          <w:sz w:val="24"/>
          <w:szCs w:val="24"/>
        </w:rPr>
        <w:t xml:space="preserve"> 2005; </w:t>
      </w:r>
      <w:proofErr w:type="spellStart"/>
      <w:r w:rsidR="00B9372E" w:rsidRPr="002229EB">
        <w:rPr>
          <w:rFonts w:ascii="Calibri" w:hAnsi="Calibri" w:cs="AdvOT40514f85"/>
          <w:sz w:val="24"/>
          <w:szCs w:val="24"/>
        </w:rPr>
        <w:t>Callender</w:t>
      </w:r>
      <w:proofErr w:type="spellEnd"/>
      <w:r w:rsidR="00072576" w:rsidRPr="002229EB">
        <w:rPr>
          <w:rFonts w:ascii="Calibri" w:hAnsi="Calibri" w:cs="AdvOT40514f85"/>
          <w:sz w:val="24"/>
          <w:szCs w:val="24"/>
        </w:rPr>
        <w:t>,</w:t>
      </w:r>
      <w:r w:rsidR="00B9372E" w:rsidRPr="002229EB">
        <w:rPr>
          <w:rFonts w:ascii="Calibri" w:hAnsi="Calibri" w:cs="AdvOT40514f85"/>
          <w:sz w:val="24"/>
          <w:szCs w:val="24"/>
        </w:rPr>
        <w:t xml:space="preserve"> 2012; Wilkins et al.</w:t>
      </w:r>
      <w:r w:rsidR="00072576" w:rsidRPr="002229EB">
        <w:rPr>
          <w:rFonts w:ascii="Calibri" w:hAnsi="Calibri" w:cs="AdvOT40514f85"/>
          <w:sz w:val="24"/>
          <w:szCs w:val="24"/>
        </w:rPr>
        <w:t>,</w:t>
      </w:r>
      <w:r w:rsidR="00B9372E" w:rsidRPr="002229EB">
        <w:rPr>
          <w:rFonts w:ascii="Calibri" w:hAnsi="Calibri" w:cs="AdvOT40514f85"/>
          <w:sz w:val="24"/>
          <w:szCs w:val="24"/>
        </w:rPr>
        <w:t xml:space="preserve"> 2013</w:t>
      </w:r>
      <w:r w:rsidR="00D47E0C" w:rsidRPr="002229EB">
        <w:rPr>
          <w:rStyle w:val="CharAttribute2"/>
          <w:rFonts w:ascii="Calibri" w:hAnsi="Calibri"/>
          <w:szCs w:val="24"/>
        </w:rPr>
        <w:t>)</w:t>
      </w:r>
      <w:r w:rsidR="00D714C9" w:rsidRPr="002229EB">
        <w:rPr>
          <w:rStyle w:val="CharAttribute2"/>
          <w:rFonts w:ascii="Calibri" w:hAnsi="Calibri"/>
          <w:szCs w:val="24"/>
        </w:rPr>
        <w:t xml:space="preserve">.  It is generally argued that an underlying fear of debt discourages people from applying to university, especially </w:t>
      </w:r>
      <w:r w:rsidR="003C2E69" w:rsidRPr="002229EB">
        <w:rPr>
          <w:rStyle w:val="CharAttribute2"/>
          <w:rFonts w:ascii="Calibri" w:hAnsi="Calibri"/>
          <w:szCs w:val="24"/>
        </w:rPr>
        <w:t>those</w:t>
      </w:r>
      <w:r w:rsidR="00D714C9" w:rsidRPr="002229EB">
        <w:rPr>
          <w:rStyle w:val="CharAttribute2"/>
          <w:rFonts w:ascii="Calibri" w:hAnsi="Calibri"/>
          <w:szCs w:val="24"/>
        </w:rPr>
        <w:t xml:space="preserve"> from lower socio-economic groups</w:t>
      </w:r>
      <w:r w:rsidR="003C2E69" w:rsidRPr="002229EB">
        <w:rPr>
          <w:rStyle w:val="CharAttribute2"/>
          <w:rFonts w:ascii="Calibri" w:hAnsi="Calibri"/>
          <w:szCs w:val="24"/>
        </w:rPr>
        <w:t xml:space="preserve"> and others with a strong</w:t>
      </w:r>
      <w:r w:rsidR="009A6C60" w:rsidRPr="002229EB">
        <w:rPr>
          <w:rStyle w:val="CharAttribute2"/>
          <w:rFonts w:ascii="Calibri" w:hAnsi="Calibri"/>
          <w:szCs w:val="24"/>
        </w:rPr>
        <w:t>er</w:t>
      </w:r>
      <w:r w:rsidR="003C2E69" w:rsidRPr="002229EB">
        <w:rPr>
          <w:rStyle w:val="CharAttribute2"/>
          <w:rFonts w:ascii="Calibri" w:hAnsi="Calibri"/>
          <w:szCs w:val="24"/>
        </w:rPr>
        <w:t xml:space="preserve"> aversion towards borrowing (e.g. women and those from minority ethnic communities).</w:t>
      </w:r>
      <w:r w:rsidR="00925F8F" w:rsidRPr="002229EB">
        <w:rPr>
          <w:rStyle w:val="CharAttribute2"/>
          <w:rFonts w:ascii="Calibri" w:hAnsi="Calibri"/>
          <w:szCs w:val="24"/>
        </w:rPr>
        <w:t xml:space="preserve">  For this reason, all three countries in this study employ a variety of student aid programmes (either at national, regional or institutional level) to ameliorate the debt burden for those considered to be most at risk of being deterred.</w:t>
      </w:r>
    </w:p>
    <w:p w:rsidR="003C2E69" w:rsidRPr="002229EB" w:rsidRDefault="003C2E69" w:rsidP="009C3AC7">
      <w:pPr>
        <w:pStyle w:val="ParaAttribute0"/>
        <w:wordWrap/>
        <w:spacing w:line="276" w:lineRule="auto"/>
        <w:rPr>
          <w:rStyle w:val="CharAttribute2"/>
          <w:rFonts w:ascii="Calibri" w:hAnsi="Calibri"/>
          <w:szCs w:val="24"/>
        </w:rPr>
      </w:pPr>
    </w:p>
    <w:p w:rsidR="003C2E69" w:rsidRPr="002229EB" w:rsidRDefault="00925F8F" w:rsidP="009C3AC7">
      <w:pPr>
        <w:pStyle w:val="ParaAttribute0"/>
        <w:wordWrap/>
        <w:spacing w:line="276" w:lineRule="auto"/>
        <w:rPr>
          <w:rStyle w:val="CharAttribute2"/>
          <w:rFonts w:ascii="Calibri" w:hAnsi="Calibri"/>
          <w:szCs w:val="24"/>
        </w:rPr>
      </w:pPr>
      <w:r w:rsidRPr="002229EB">
        <w:rPr>
          <w:rStyle w:val="CharAttribute2"/>
          <w:rFonts w:ascii="Calibri" w:hAnsi="Calibri"/>
          <w:szCs w:val="24"/>
        </w:rPr>
        <w:t xml:space="preserve">However, this argument has been somewhat undermined by recent events.  </w:t>
      </w:r>
      <w:r w:rsidR="00150793" w:rsidRPr="002229EB">
        <w:rPr>
          <w:rStyle w:val="CharAttribute2"/>
          <w:rFonts w:ascii="Calibri" w:hAnsi="Calibri"/>
          <w:szCs w:val="24"/>
        </w:rPr>
        <w:t>England</w:t>
      </w:r>
      <w:r w:rsidRPr="002229EB">
        <w:rPr>
          <w:rStyle w:val="CharAttribute2"/>
          <w:rFonts w:ascii="Calibri" w:hAnsi="Calibri"/>
          <w:szCs w:val="24"/>
        </w:rPr>
        <w:t xml:space="preserve"> has seen two recent episodes (2006 and 2012) where tuition fees have been tripled, with a concomitant </w:t>
      </w:r>
      <w:r w:rsidR="00BA782A" w:rsidRPr="002229EB">
        <w:rPr>
          <w:rStyle w:val="CharAttribute2"/>
          <w:rFonts w:ascii="Calibri" w:hAnsi="Calibri"/>
          <w:szCs w:val="24"/>
        </w:rPr>
        <w:t xml:space="preserve">sharp </w:t>
      </w:r>
      <w:r w:rsidRPr="002229EB">
        <w:rPr>
          <w:rStyle w:val="CharAttribute2"/>
          <w:rFonts w:ascii="Calibri" w:hAnsi="Calibri"/>
          <w:szCs w:val="24"/>
        </w:rPr>
        <w:t xml:space="preserve">increase in average student debt.  However, demand has remained buoyant and there is evidence to suggest that </w:t>
      </w:r>
      <w:r w:rsidR="00BA782A" w:rsidRPr="002229EB">
        <w:rPr>
          <w:rStyle w:val="CharAttribute2"/>
          <w:rFonts w:ascii="Calibri" w:hAnsi="Calibri"/>
          <w:szCs w:val="24"/>
        </w:rPr>
        <w:t xml:space="preserve">any dissuasive effect has more keenly been felt within more affluent communities </w:t>
      </w:r>
      <w:r w:rsidR="00B97F87" w:rsidRPr="002229EB">
        <w:rPr>
          <w:rStyle w:val="CharAttribute2"/>
          <w:rFonts w:ascii="Calibri" w:hAnsi="Calibri"/>
          <w:szCs w:val="24"/>
        </w:rPr>
        <w:t xml:space="preserve">who might be expected to have a </w:t>
      </w:r>
      <w:r w:rsidR="00072576" w:rsidRPr="002229EB">
        <w:rPr>
          <w:rStyle w:val="CharAttribute2"/>
          <w:rFonts w:ascii="Calibri" w:hAnsi="Calibri"/>
          <w:szCs w:val="24"/>
        </w:rPr>
        <w:t>lower</w:t>
      </w:r>
      <w:r w:rsidR="00B97F87" w:rsidRPr="002229EB">
        <w:rPr>
          <w:rStyle w:val="CharAttribute2"/>
          <w:rFonts w:ascii="Calibri" w:hAnsi="Calibri"/>
          <w:szCs w:val="24"/>
        </w:rPr>
        <w:t xml:space="preserve"> price elasticity of demand </w:t>
      </w:r>
      <w:r w:rsidR="00BA782A" w:rsidRPr="002229EB">
        <w:rPr>
          <w:rStyle w:val="CharAttribute2"/>
          <w:rFonts w:ascii="Calibri" w:hAnsi="Calibri"/>
          <w:szCs w:val="24"/>
        </w:rPr>
        <w:t>(</w:t>
      </w:r>
      <w:r w:rsidR="006132EE" w:rsidRPr="002229EB">
        <w:rPr>
          <w:rStyle w:val="CharAttribute2"/>
          <w:rFonts w:ascii="Calibri" w:hAnsi="Calibri"/>
          <w:szCs w:val="24"/>
        </w:rPr>
        <w:t xml:space="preserve">Harrison 2012; </w:t>
      </w:r>
      <w:r w:rsidR="00150793" w:rsidRPr="002229EB">
        <w:rPr>
          <w:rStyle w:val="CharAttribute2"/>
          <w:rFonts w:ascii="Calibri" w:hAnsi="Calibri"/>
          <w:szCs w:val="24"/>
        </w:rPr>
        <w:t>Higher Education Funding Council for England</w:t>
      </w:r>
      <w:r w:rsidR="006132EE" w:rsidRPr="002229EB">
        <w:rPr>
          <w:rStyle w:val="CharAttribute2"/>
          <w:rFonts w:ascii="Calibri" w:hAnsi="Calibri"/>
          <w:szCs w:val="24"/>
        </w:rPr>
        <w:t xml:space="preserve"> 2013</w:t>
      </w:r>
      <w:r w:rsidR="00BA782A" w:rsidRPr="002229EB">
        <w:rPr>
          <w:rStyle w:val="CharAttribute2"/>
          <w:rFonts w:ascii="Calibri" w:hAnsi="Calibri"/>
          <w:szCs w:val="24"/>
        </w:rPr>
        <w:t xml:space="preserve">).  </w:t>
      </w:r>
      <w:r w:rsidR="00B97F87" w:rsidRPr="002229EB">
        <w:rPr>
          <w:rStyle w:val="CharAttribute2"/>
          <w:rFonts w:ascii="Calibri" w:hAnsi="Calibri"/>
          <w:szCs w:val="24"/>
        </w:rPr>
        <w:t>This suggests that the construction of students’ attitudes and responses to debt are more complex than simply aversion or fear.</w:t>
      </w:r>
    </w:p>
    <w:p w:rsidR="003C2E69" w:rsidRPr="002229EB" w:rsidRDefault="003C2E69" w:rsidP="009C3AC7">
      <w:pPr>
        <w:pStyle w:val="ParaAttribute0"/>
        <w:wordWrap/>
        <w:spacing w:line="276" w:lineRule="auto"/>
        <w:rPr>
          <w:rStyle w:val="CharAttribute2"/>
          <w:rFonts w:ascii="Calibri" w:hAnsi="Calibri"/>
          <w:szCs w:val="24"/>
        </w:rPr>
      </w:pPr>
    </w:p>
    <w:p w:rsidR="00EF4FB6" w:rsidRPr="002229EB" w:rsidRDefault="00EF4FB6" w:rsidP="009C3AC7">
      <w:pPr>
        <w:pStyle w:val="ParaAttribute0"/>
        <w:wordWrap/>
        <w:spacing w:line="276" w:lineRule="auto"/>
        <w:rPr>
          <w:rStyle w:val="CharAttribute2"/>
          <w:rFonts w:ascii="Calibri" w:hAnsi="Calibri"/>
          <w:szCs w:val="24"/>
        </w:rPr>
      </w:pPr>
      <w:r w:rsidRPr="002229EB">
        <w:rPr>
          <w:rStyle w:val="CharAttribute2"/>
          <w:rFonts w:ascii="Calibri" w:hAnsi="Calibri"/>
          <w:szCs w:val="24"/>
        </w:rPr>
        <w:t xml:space="preserve">The first </w:t>
      </w:r>
      <w:r w:rsidR="00072576" w:rsidRPr="002229EB">
        <w:rPr>
          <w:rStyle w:val="CharAttribute2"/>
          <w:rFonts w:ascii="Calibri" w:hAnsi="Calibri"/>
          <w:szCs w:val="24"/>
        </w:rPr>
        <w:t>notable</w:t>
      </w:r>
      <w:r w:rsidRPr="002229EB">
        <w:rPr>
          <w:rStyle w:val="CharAttribute2"/>
          <w:rFonts w:ascii="Calibri" w:hAnsi="Calibri"/>
          <w:szCs w:val="24"/>
        </w:rPr>
        <w:t xml:space="preserve"> attempt to investigate the construction of students’ </w:t>
      </w:r>
      <w:r w:rsidR="00072576" w:rsidRPr="002229EB">
        <w:rPr>
          <w:rStyle w:val="CharAttribute2"/>
          <w:rFonts w:ascii="Calibri" w:hAnsi="Calibri"/>
          <w:szCs w:val="24"/>
        </w:rPr>
        <w:t xml:space="preserve">debt </w:t>
      </w:r>
      <w:r w:rsidRPr="002229EB">
        <w:rPr>
          <w:rStyle w:val="CharAttribute2"/>
          <w:rFonts w:ascii="Calibri" w:hAnsi="Calibri"/>
          <w:szCs w:val="24"/>
        </w:rPr>
        <w:t xml:space="preserve">attitudes was published in </w:t>
      </w:r>
      <w:r w:rsidR="00B04E47" w:rsidRPr="002229EB">
        <w:rPr>
          <w:rStyle w:val="CharAttribute2"/>
          <w:rFonts w:ascii="Calibri" w:hAnsi="Calibri"/>
          <w:szCs w:val="24"/>
        </w:rPr>
        <w:t xml:space="preserve">Davies and </w:t>
      </w:r>
      <w:r w:rsidR="00072576" w:rsidRPr="002229EB">
        <w:rPr>
          <w:rStyle w:val="CharAttribute2"/>
          <w:rFonts w:ascii="Calibri" w:hAnsi="Calibri"/>
          <w:szCs w:val="24"/>
        </w:rPr>
        <w:t>Lea (1995), who developed a uni</w:t>
      </w:r>
      <w:r w:rsidR="00B04E47" w:rsidRPr="002229EB">
        <w:rPr>
          <w:rStyle w:val="CharAttribute2"/>
          <w:rFonts w:ascii="Calibri" w:hAnsi="Calibri"/>
          <w:szCs w:val="24"/>
        </w:rPr>
        <w:t xml:space="preserve">dimensional </w:t>
      </w:r>
      <w:r w:rsidR="00F744F4" w:rsidRPr="002229EB">
        <w:rPr>
          <w:rStyle w:val="CharAttribute2"/>
          <w:rFonts w:ascii="Calibri" w:hAnsi="Calibri"/>
          <w:szCs w:val="24"/>
        </w:rPr>
        <w:t>A</w:t>
      </w:r>
      <w:r w:rsidR="00B04E47" w:rsidRPr="002229EB">
        <w:rPr>
          <w:rStyle w:val="CharAttribute2"/>
          <w:rFonts w:ascii="Calibri" w:hAnsi="Calibri"/>
          <w:szCs w:val="24"/>
        </w:rPr>
        <w:t>ttitude</w:t>
      </w:r>
      <w:r w:rsidR="00700B16" w:rsidRPr="002229EB">
        <w:rPr>
          <w:rStyle w:val="CharAttribute2"/>
          <w:rFonts w:ascii="Calibri" w:hAnsi="Calibri"/>
          <w:szCs w:val="24"/>
        </w:rPr>
        <w:t>s</w:t>
      </w:r>
      <w:r w:rsidR="00B04E47" w:rsidRPr="002229EB">
        <w:rPr>
          <w:rStyle w:val="CharAttribute2"/>
          <w:rFonts w:ascii="Calibri" w:hAnsi="Calibri"/>
          <w:szCs w:val="24"/>
        </w:rPr>
        <w:t xml:space="preserve"> to </w:t>
      </w:r>
      <w:r w:rsidR="00F744F4" w:rsidRPr="002229EB">
        <w:rPr>
          <w:rStyle w:val="CharAttribute2"/>
          <w:rFonts w:ascii="Calibri" w:hAnsi="Calibri"/>
          <w:szCs w:val="24"/>
        </w:rPr>
        <w:t>D</w:t>
      </w:r>
      <w:r w:rsidR="00B04E47" w:rsidRPr="002229EB">
        <w:rPr>
          <w:rStyle w:val="CharAttribute2"/>
          <w:rFonts w:ascii="Calibri" w:hAnsi="Calibri"/>
          <w:szCs w:val="24"/>
        </w:rPr>
        <w:t>ebt</w:t>
      </w:r>
      <w:r w:rsidR="00072576" w:rsidRPr="002229EB">
        <w:rPr>
          <w:rStyle w:val="CharAttribute2"/>
          <w:rFonts w:ascii="Calibri" w:hAnsi="Calibri"/>
          <w:szCs w:val="24"/>
        </w:rPr>
        <w:t xml:space="preserve"> scale</w:t>
      </w:r>
      <w:r w:rsidR="003A7C3E" w:rsidRPr="002229EB">
        <w:rPr>
          <w:rStyle w:val="CharAttribute2"/>
          <w:rFonts w:ascii="Calibri" w:hAnsi="Calibri"/>
          <w:szCs w:val="24"/>
        </w:rPr>
        <w:t>, constructed to run from pro-debt to anti-debt.  This scale comprise</w:t>
      </w:r>
      <w:r w:rsidR="00072576" w:rsidRPr="002229EB">
        <w:rPr>
          <w:rStyle w:val="CharAttribute2"/>
          <w:rFonts w:ascii="Calibri" w:hAnsi="Calibri"/>
          <w:szCs w:val="24"/>
        </w:rPr>
        <w:t>s</w:t>
      </w:r>
      <w:r w:rsidR="003A7C3E" w:rsidRPr="002229EB">
        <w:rPr>
          <w:rStyle w:val="CharAttribute2"/>
          <w:rFonts w:ascii="Calibri" w:hAnsi="Calibri"/>
          <w:szCs w:val="24"/>
        </w:rPr>
        <w:t xml:space="preserve"> 14 items </w:t>
      </w:r>
      <w:r w:rsidR="00750142" w:rsidRPr="002229EB">
        <w:rPr>
          <w:rStyle w:val="CharAttribute2"/>
          <w:rFonts w:ascii="Calibri" w:hAnsi="Calibri"/>
          <w:szCs w:val="24"/>
        </w:rPr>
        <w:t>covering both</w:t>
      </w:r>
      <w:r w:rsidR="003A7C3E" w:rsidRPr="002229EB">
        <w:rPr>
          <w:rStyle w:val="CharAttribute2"/>
          <w:rFonts w:ascii="Calibri" w:hAnsi="Calibri"/>
          <w:szCs w:val="24"/>
        </w:rPr>
        <w:t xml:space="preserve"> philosophical/moral positions </w:t>
      </w:r>
      <w:r w:rsidR="00750142" w:rsidRPr="002229EB">
        <w:rPr>
          <w:rStyle w:val="CharAttribute2"/>
          <w:rFonts w:ascii="Calibri" w:hAnsi="Calibri"/>
          <w:szCs w:val="24"/>
        </w:rPr>
        <w:t>and</w:t>
      </w:r>
      <w:r w:rsidR="003A7C3E" w:rsidRPr="002229EB">
        <w:rPr>
          <w:rStyle w:val="CharAttribute2"/>
          <w:rFonts w:ascii="Calibri" w:hAnsi="Calibri"/>
          <w:szCs w:val="24"/>
        </w:rPr>
        <w:t xml:space="preserve"> more everyday responses.  </w:t>
      </w:r>
      <w:r w:rsidR="00750142" w:rsidRPr="002229EB">
        <w:rPr>
          <w:rStyle w:val="CharAttribute2"/>
          <w:rFonts w:ascii="Calibri" w:hAnsi="Calibri"/>
          <w:szCs w:val="24"/>
        </w:rPr>
        <w:t>It</w:t>
      </w:r>
      <w:r w:rsidR="003A7C3E" w:rsidRPr="002229EB">
        <w:rPr>
          <w:rStyle w:val="CharAttribute2"/>
          <w:rFonts w:ascii="Calibri" w:hAnsi="Calibri"/>
          <w:szCs w:val="24"/>
        </w:rPr>
        <w:t xml:space="preserve"> was found to be correlated to lifestyle and total existing debt, such that those with higher expenditure on clothing and entertaining and higher overall debt professed more pro-debt attitudes.  It was also argued that comfort with debt increased the longer that a student found </w:t>
      </w:r>
      <w:proofErr w:type="gramStart"/>
      <w:r w:rsidR="003A7C3E" w:rsidRPr="002229EB">
        <w:rPr>
          <w:rStyle w:val="CharAttribute2"/>
          <w:rFonts w:ascii="Calibri" w:hAnsi="Calibri"/>
          <w:szCs w:val="24"/>
        </w:rPr>
        <w:t>themselves</w:t>
      </w:r>
      <w:proofErr w:type="gramEnd"/>
      <w:r w:rsidR="003A7C3E" w:rsidRPr="002229EB">
        <w:rPr>
          <w:rStyle w:val="CharAttribute2"/>
          <w:rFonts w:ascii="Calibri" w:hAnsi="Calibri"/>
          <w:szCs w:val="24"/>
        </w:rPr>
        <w:t xml:space="preserve"> indebted.  Furthermore, </w:t>
      </w:r>
      <w:r w:rsidR="00072576" w:rsidRPr="002229EB">
        <w:rPr>
          <w:rStyle w:val="CharAttribute2"/>
          <w:rFonts w:ascii="Calibri" w:hAnsi="Calibri"/>
          <w:szCs w:val="24"/>
        </w:rPr>
        <w:t>they</w:t>
      </w:r>
      <w:r w:rsidR="003A7C3E" w:rsidRPr="002229EB">
        <w:rPr>
          <w:rStyle w:val="CharAttribute2"/>
          <w:rFonts w:ascii="Calibri" w:hAnsi="Calibri"/>
          <w:szCs w:val="24"/>
        </w:rPr>
        <w:t xml:space="preserve"> argue that </w:t>
      </w:r>
      <w:r w:rsidR="00874CAA" w:rsidRPr="002229EB">
        <w:rPr>
          <w:rStyle w:val="CharAttribute2"/>
          <w:rFonts w:ascii="Calibri" w:hAnsi="Calibri"/>
          <w:szCs w:val="24"/>
        </w:rPr>
        <w:t xml:space="preserve">there may be two types of student debtor – those who borrow due to a lack of family resources or </w:t>
      </w:r>
      <w:proofErr w:type="gramStart"/>
      <w:r w:rsidR="00874CAA" w:rsidRPr="002229EB">
        <w:rPr>
          <w:rStyle w:val="CharAttribute2"/>
          <w:rFonts w:ascii="Calibri" w:hAnsi="Calibri"/>
          <w:szCs w:val="24"/>
        </w:rPr>
        <w:t>a</w:t>
      </w:r>
      <w:proofErr w:type="gramEnd"/>
      <w:r w:rsidR="00874CAA" w:rsidRPr="002229EB">
        <w:rPr>
          <w:rStyle w:val="CharAttribute2"/>
          <w:rFonts w:ascii="Calibri" w:hAnsi="Calibri"/>
          <w:szCs w:val="24"/>
        </w:rPr>
        <w:t xml:space="preserve"> unexpected incident, and those who borrow to meet their lifestyle expectations, knowing that there is a family safety net in place or that their future incomes will provide them with a route out of debt.</w:t>
      </w:r>
    </w:p>
    <w:p w:rsidR="00EF4FB6" w:rsidRPr="002229EB" w:rsidRDefault="00EF4FB6" w:rsidP="009C3AC7">
      <w:pPr>
        <w:pStyle w:val="ParaAttribute0"/>
        <w:wordWrap/>
        <w:spacing w:line="276" w:lineRule="auto"/>
        <w:rPr>
          <w:rStyle w:val="CharAttribute2"/>
          <w:rFonts w:ascii="Calibri" w:hAnsi="Calibri"/>
          <w:szCs w:val="24"/>
        </w:rPr>
      </w:pPr>
    </w:p>
    <w:p w:rsidR="00710E14" w:rsidRPr="002229EB" w:rsidRDefault="00285403" w:rsidP="009C3AC7">
      <w:pPr>
        <w:pStyle w:val="ParaAttribute0"/>
        <w:wordWrap/>
        <w:spacing w:line="276" w:lineRule="auto"/>
        <w:rPr>
          <w:rStyle w:val="CharAttribute2"/>
          <w:rFonts w:ascii="Calibri" w:hAnsi="Calibri"/>
          <w:szCs w:val="24"/>
        </w:rPr>
      </w:pPr>
      <w:proofErr w:type="spellStart"/>
      <w:r w:rsidRPr="002229EB">
        <w:rPr>
          <w:rStyle w:val="CharAttribute2"/>
          <w:rFonts w:ascii="Calibri" w:hAnsi="Calibri"/>
          <w:szCs w:val="24"/>
        </w:rPr>
        <w:t>Callende</w:t>
      </w:r>
      <w:r w:rsidR="004406B1" w:rsidRPr="002229EB">
        <w:rPr>
          <w:rStyle w:val="CharAttribute2"/>
          <w:rFonts w:ascii="Calibri" w:hAnsi="Calibri"/>
          <w:szCs w:val="24"/>
        </w:rPr>
        <w:t>r</w:t>
      </w:r>
      <w:proofErr w:type="spellEnd"/>
      <w:r w:rsidR="004406B1" w:rsidRPr="002229EB">
        <w:rPr>
          <w:rStyle w:val="CharAttribute2"/>
          <w:rFonts w:ascii="Calibri" w:hAnsi="Calibri"/>
          <w:szCs w:val="24"/>
        </w:rPr>
        <w:t xml:space="preserve"> and Jackson (2005) used a reduced version </w:t>
      </w:r>
      <w:r w:rsidR="00305D9B" w:rsidRPr="002229EB">
        <w:rPr>
          <w:rStyle w:val="CharAttribute2"/>
          <w:rFonts w:ascii="Calibri" w:hAnsi="Calibri"/>
          <w:szCs w:val="24"/>
        </w:rPr>
        <w:t>of the Attitude</w:t>
      </w:r>
      <w:r w:rsidR="00700B16" w:rsidRPr="002229EB">
        <w:rPr>
          <w:rStyle w:val="CharAttribute2"/>
          <w:rFonts w:ascii="Calibri" w:hAnsi="Calibri"/>
          <w:szCs w:val="24"/>
        </w:rPr>
        <w:t>s</w:t>
      </w:r>
      <w:r w:rsidR="00305D9B" w:rsidRPr="002229EB">
        <w:rPr>
          <w:rStyle w:val="CharAttribute2"/>
          <w:rFonts w:ascii="Calibri" w:hAnsi="Calibri"/>
          <w:szCs w:val="24"/>
        </w:rPr>
        <w:t xml:space="preserve"> to Debt scale </w:t>
      </w:r>
      <w:r w:rsidR="004406B1" w:rsidRPr="002229EB">
        <w:rPr>
          <w:rStyle w:val="CharAttribute2"/>
          <w:rFonts w:ascii="Calibri" w:hAnsi="Calibri"/>
          <w:szCs w:val="24"/>
        </w:rPr>
        <w:t xml:space="preserve">with prospective students to argue that an underlying ‘debt aversion’ was major driver in decisions taken by young people about their educational investments.  </w:t>
      </w:r>
      <w:r w:rsidR="00A00C32" w:rsidRPr="002229EB">
        <w:rPr>
          <w:rStyle w:val="CharAttribute2"/>
          <w:rFonts w:ascii="Calibri" w:hAnsi="Calibri"/>
          <w:szCs w:val="24"/>
        </w:rPr>
        <w:t>However</w:t>
      </w:r>
      <w:r w:rsidR="004406B1" w:rsidRPr="002229EB">
        <w:rPr>
          <w:rStyle w:val="CharAttribute2"/>
          <w:rFonts w:ascii="Calibri" w:hAnsi="Calibri"/>
          <w:szCs w:val="24"/>
        </w:rPr>
        <w:t xml:space="preserve">, the data showed </w:t>
      </w:r>
      <w:r w:rsidR="00A00C32" w:rsidRPr="002229EB">
        <w:rPr>
          <w:rStyle w:val="CharAttribute2"/>
          <w:rFonts w:ascii="Calibri" w:hAnsi="Calibri"/>
          <w:szCs w:val="24"/>
        </w:rPr>
        <w:t xml:space="preserve">only a </w:t>
      </w:r>
      <w:r w:rsidR="00F2324F" w:rsidRPr="002229EB">
        <w:rPr>
          <w:rStyle w:val="CharAttribute2"/>
          <w:rFonts w:ascii="Calibri" w:hAnsi="Calibri"/>
          <w:szCs w:val="24"/>
        </w:rPr>
        <w:t xml:space="preserve">very </w:t>
      </w:r>
      <w:r w:rsidR="00A00C32" w:rsidRPr="002229EB">
        <w:rPr>
          <w:rStyle w:val="CharAttribute2"/>
          <w:rFonts w:ascii="Calibri" w:hAnsi="Calibri"/>
          <w:szCs w:val="24"/>
        </w:rPr>
        <w:t>modest relationship between debt aversion</w:t>
      </w:r>
      <w:r w:rsidR="00F2324F" w:rsidRPr="002229EB">
        <w:rPr>
          <w:rStyle w:val="CharAttribute2"/>
          <w:rFonts w:ascii="Calibri" w:hAnsi="Calibri"/>
          <w:szCs w:val="24"/>
        </w:rPr>
        <w:t>, demographic variables</w:t>
      </w:r>
      <w:r w:rsidR="00A00C32" w:rsidRPr="002229EB">
        <w:rPr>
          <w:rStyle w:val="CharAttribute2"/>
          <w:rFonts w:ascii="Calibri" w:hAnsi="Calibri"/>
          <w:szCs w:val="24"/>
        </w:rPr>
        <w:t xml:space="preserve"> and the demand for higher education.</w:t>
      </w:r>
      <w:r w:rsidRPr="002229EB">
        <w:rPr>
          <w:rStyle w:val="CharAttribute2"/>
          <w:rFonts w:ascii="Calibri" w:hAnsi="Calibri"/>
          <w:szCs w:val="24"/>
        </w:rPr>
        <w:t xml:space="preserve">  </w:t>
      </w:r>
      <w:proofErr w:type="spellStart"/>
      <w:r w:rsidRPr="002229EB">
        <w:rPr>
          <w:rStyle w:val="CharAttribute2"/>
          <w:rFonts w:ascii="Calibri" w:hAnsi="Calibri"/>
          <w:szCs w:val="24"/>
        </w:rPr>
        <w:t>Callende</w:t>
      </w:r>
      <w:r w:rsidR="00A00C32" w:rsidRPr="002229EB">
        <w:rPr>
          <w:rStyle w:val="CharAttribute2"/>
          <w:rFonts w:ascii="Calibri" w:hAnsi="Calibri"/>
          <w:szCs w:val="24"/>
        </w:rPr>
        <w:t>r</w:t>
      </w:r>
      <w:proofErr w:type="spellEnd"/>
      <w:r w:rsidR="00A00C32" w:rsidRPr="002229EB">
        <w:rPr>
          <w:rStyle w:val="CharAttribute2"/>
          <w:rFonts w:ascii="Calibri" w:hAnsi="Calibri"/>
          <w:szCs w:val="24"/>
        </w:rPr>
        <w:t xml:space="preserve"> and Jackson also included a scale for ‘cost/benefit balance of going to university’, which might more appropriately be described as the perceived utility of debt</w:t>
      </w:r>
      <w:r w:rsidR="00F2324F" w:rsidRPr="002229EB">
        <w:rPr>
          <w:rStyle w:val="CharAttribute2"/>
          <w:rFonts w:ascii="Calibri" w:hAnsi="Calibri"/>
          <w:szCs w:val="24"/>
        </w:rPr>
        <w:t xml:space="preserve"> under human capital theory</w:t>
      </w:r>
      <w:r w:rsidR="00A00C32" w:rsidRPr="002229EB">
        <w:rPr>
          <w:rStyle w:val="CharAttribute2"/>
          <w:rFonts w:ascii="Calibri" w:hAnsi="Calibri"/>
          <w:szCs w:val="24"/>
        </w:rPr>
        <w:t xml:space="preserve">, although this too appeared to have limited impact </w:t>
      </w:r>
      <w:r w:rsidR="008C5EE7" w:rsidRPr="002229EB">
        <w:rPr>
          <w:rStyle w:val="CharAttribute2"/>
          <w:rFonts w:ascii="Calibri" w:hAnsi="Calibri"/>
          <w:szCs w:val="24"/>
        </w:rPr>
        <w:t>on anticipated future behaviour; its correlation with debt aversion was not explored.</w:t>
      </w:r>
    </w:p>
    <w:p w:rsidR="007973A9" w:rsidRPr="002229EB" w:rsidRDefault="007973A9" w:rsidP="009C3AC7">
      <w:pPr>
        <w:pStyle w:val="ParaAttribute0"/>
        <w:wordWrap/>
        <w:spacing w:line="276" w:lineRule="auto"/>
        <w:rPr>
          <w:rStyle w:val="CharAttribute2"/>
          <w:rFonts w:ascii="Calibri" w:hAnsi="Calibri"/>
          <w:szCs w:val="24"/>
        </w:rPr>
      </w:pPr>
    </w:p>
    <w:p w:rsidR="007973A9" w:rsidRPr="002229EB" w:rsidRDefault="00425A84" w:rsidP="00700B16">
      <w:pPr>
        <w:pStyle w:val="ParaAttribute0"/>
        <w:wordWrap/>
        <w:spacing w:line="276" w:lineRule="auto"/>
        <w:rPr>
          <w:rFonts w:ascii="Calibri" w:eastAsia="Tahoma" w:hAnsi="Calibri"/>
          <w:sz w:val="24"/>
          <w:szCs w:val="24"/>
        </w:rPr>
      </w:pPr>
      <w:r w:rsidRPr="002229EB">
        <w:rPr>
          <w:rStyle w:val="CharAttribute2"/>
          <w:rFonts w:ascii="Calibri" w:hAnsi="Calibri"/>
          <w:szCs w:val="24"/>
        </w:rPr>
        <w:lastRenderedPageBreak/>
        <w:t xml:space="preserve">Drawing on a US sample, </w:t>
      </w:r>
      <w:proofErr w:type="spellStart"/>
      <w:r w:rsidRPr="002229EB">
        <w:rPr>
          <w:rStyle w:val="CharAttribute2"/>
          <w:rFonts w:ascii="Calibri" w:hAnsi="Calibri"/>
          <w:szCs w:val="24"/>
        </w:rPr>
        <w:t>Norvilis</w:t>
      </w:r>
      <w:proofErr w:type="spellEnd"/>
      <w:r w:rsidRPr="002229EB">
        <w:rPr>
          <w:rStyle w:val="CharAttribute2"/>
          <w:rFonts w:ascii="Calibri" w:hAnsi="Calibri"/>
          <w:szCs w:val="24"/>
        </w:rPr>
        <w:t xml:space="preserve"> et al. (2003) question the cross-cultural and cross-temporal reliability (as measured by Cronbach’s alpha) of the Attitudes to Debt scale.  </w:t>
      </w:r>
      <w:proofErr w:type="spellStart"/>
      <w:r w:rsidR="00700B16" w:rsidRPr="002229EB">
        <w:rPr>
          <w:rStyle w:val="CharAttribute2"/>
          <w:rFonts w:ascii="Calibri" w:hAnsi="Calibri"/>
          <w:szCs w:val="24"/>
        </w:rPr>
        <w:t>Haultain</w:t>
      </w:r>
      <w:proofErr w:type="spellEnd"/>
      <w:r w:rsidR="00700B16" w:rsidRPr="002229EB">
        <w:rPr>
          <w:rStyle w:val="CharAttribute2"/>
          <w:rFonts w:ascii="Calibri" w:hAnsi="Calibri"/>
          <w:szCs w:val="24"/>
        </w:rPr>
        <w:t xml:space="preserve"> et al. (2010)</w:t>
      </w:r>
      <w:r w:rsidRPr="002229EB">
        <w:rPr>
          <w:rStyle w:val="CharAttribute2"/>
          <w:rFonts w:ascii="Calibri" w:hAnsi="Calibri"/>
          <w:szCs w:val="24"/>
        </w:rPr>
        <w:t xml:space="preserve"> continue in the same vein,</w:t>
      </w:r>
      <w:r w:rsidR="00700B16" w:rsidRPr="002229EB">
        <w:rPr>
          <w:rStyle w:val="CharAttribute2"/>
          <w:rFonts w:ascii="Calibri" w:hAnsi="Calibri"/>
          <w:szCs w:val="24"/>
        </w:rPr>
        <w:t xml:space="preserve"> drawing attention to its low m</w:t>
      </w:r>
      <w:r w:rsidRPr="002229EB">
        <w:rPr>
          <w:rStyle w:val="CharAttribute2"/>
          <w:rFonts w:ascii="Calibri" w:hAnsi="Calibri"/>
          <w:szCs w:val="24"/>
        </w:rPr>
        <w:t>easures of internal reliability</w:t>
      </w:r>
      <w:r w:rsidR="00700B16" w:rsidRPr="002229EB">
        <w:rPr>
          <w:rStyle w:val="CharAttribute2"/>
          <w:rFonts w:ascii="Calibri" w:hAnsi="Calibri"/>
          <w:szCs w:val="24"/>
        </w:rPr>
        <w:t xml:space="preserve"> across a rang</w:t>
      </w:r>
      <w:r w:rsidRPr="002229EB">
        <w:rPr>
          <w:rStyle w:val="CharAttribute2"/>
          <w:rFonts w:ascii="Calibri" w:hAnsi="Calibri"/>
          <w:szCs w:val="24"/>
        </w:rPr>
        <w:t xml:space="preserve">e of studies in the UK and NZ.  </w:t>
      </w:r>
      <w:r w:rsidR="00700B16" w:rsidRPr="002229EB">
        <w:rPr>
          <w:rStyle w:val="CharAttribute2"/>
          <w:rFonts w:ascii="Calibri" w:hAnsi="Calibri"/>
          <w:szCs w:val="24"/>
        </w:rPr>
        <w:t>Instead, they use</w:t>
      </w:r>
      <w:r w:rsidR="007973A9" w:rsidRPr="002229EB">
        <w:rPr>
          <w:rStyle w:val="CharAttribute2"/>
          <w:rFonts w:ascii="Calibri" w:hAnsi="Calibri"/>
          <w:szCs w:val="24"/>
        </w:rPr>
        <w:t xml:space="preserve"> data from New Zealand</w:t>
      </w:r>
      <w:r w:rsidR="00700B16" w:rsidRPr="002229EB">
        <w:rPr>
          <w:rStyle w:val="CharAttribute2"/>
          <w:rFonts w:ascii="Calibri" w:hAnsi="Calibri"/>
          <w:szCs w:val="24"/>
        </w:rPr>
        <w:t xml:space="preserve"> school pupils and undergraduates</w:t>
      </w:r>
      <w:r w:rsidR="007973A9" w:rsidRPr="002229EB">
        <w:rPr>
          <w:rStyle w:val="CharAttribute2"/>
          <w:rFonts w:ascii="Calibri" w:hAnsi="Calibri"/>
          <w:szCs w:val="24"/>
        </w:rPr>
        <w:t xml:space="preserve"> to construct a two-factor model of student debt attitudes.  The two </w:t>
      </w:r>
      <w:r w:rsidR="00072576" w:rsidRPr="002229EB">
        <w:rPr>
          <w:rStyle w:val="CharAttribute2"/>
          <w:rFonts w:ascii="Calibri" w:hAnsi="Calibri"/>
          <w:szCs w:val="24"/>
        </w:rPr>
        <w:t xml:space="preserve">uncorrelated </w:t>
      </w:r>
      <w:r w:rsidR="007973A9" w:rsidRPr="002229EB">
        <w:rPr>
          <w:rStyle w:val="CharAttribute2"/>
          <w:rFonts w:ascii="Calibri" w:hAnsi="Calibri"/>
          <w:szCs w:val="24"/>
        </w:rPr>
        <w:t>factors were identified as being Fear of Debt and Debt Utility - i.e. the extent to which an individual appreciated the usefulness of debt to pay for things that would otherwise be unaffordable.  Under this model, it would therefore be possible to simultaneously fear taking on debt, but be willing to do so on for the benefits it brings</w:t>
      </w:r>
      <w:r w:rsidR="00072576" w:rsidRPr="002229EB">
        <w:rPr>
          <w:rStyle w:val="CharAttribute2"/>
          <w:rFonts w:ascii="Calibri" w:hAnsi="Calibri"/>
          <w:szCs w:val="24"/>
        </w:rPr>
        <w:t>.</w:t>
      </w:r>
    </w:p>
    <w:p w:rsidR="00F744F4" w:rsidRPr="002229EB" w:rsidRDefault="00F744F4" w:rsidP="009C3AC7">
      <w:pPr>
        <w:pStyle w:val="ParaAttribute0"/>
        <w:wordWrap/>
        <w:spacing w:line="276" w:lineRule="auto"/>
        <w:rPr>
          <w:rStyle w:val="CharAttribute2"/>
          <w:rFonts w:ascii="Calibri" w:hAnsi="Calibri"/>
          <w:szCs w:val="24"/>
        </w:rPr>
      </w:pPr>
    </w:p>
    <w:p w:rsidR="00A72E45" w:rsidRPr="002229EB" w:rsidRDefault="00F744F4" w:rsidP="009C3AC7">
      <w:pPr>
        <w:pStyle w:val="ParaAttribute0"/>
        <w:wordWrap/>
        <w:spacing w:line="276" w:lineRule="auto"/>
        <w:rPr>
          <w:rStyle w:val="CharAttribute2"/>
          <w:rFonts w:ascii="Calibri" w:hAnsi="Calibri"/>
          <w:szCs w:val="24"/>
        </w:rPr>
      </w:pPr>
      <w:r w:rsidRPr="002229EB">
        <w:rPr>
          <w:rStyle w:val="CharAttribute2"/>
          <w:rFonts w:ascii="Calibri" w:hAnsi="Calibri"/>
          <w:szCs w:val="24"/>
        </w:rPr>
        <w:t xml:space="preserve">Using </w:t>
      </w:r>
      <w:r w:rsidR="00425A84" w:rsidRPr="002229EB">
        <w:rPr>
          <w:rStyle w:val="CharAttribute2"/>
          <w:rFonts w:ascii="Calibri" w:hAnsi="Calibri"/>
          <w:szCs w:val="24"/>
        </w:rPr>
        <w:t>the</w:t>
      </w:r>
      <w:r w:rsidRPr="002229EB">
        <w:rPr>
          <w:rStyle w:val="CharAttribute2"/>
          <w:rFonts w:ascii="Calibri" w:hAnsi="Calibri"/>
          <w:szCs w:val="24"/>
        </w:rPr>
        <w:t xml:space="preserve"> Attitude</w:t>
      </w:r>
      <w:r w:rsidR="00425A84" w:rsidRPr="002229EB">
        <w:rPr>
          <w:rStyle w:val="CharAttribute2"/>
          <w:rFonts w:ascii="Calibri" w:hAnsi="Calibri"/>
          <w:szCs w:val="24"/>
        </w:rPr>
        <w:t>s</w:t>
      </w:r>
      <w:r w:rsidRPr="002229EB">
        <w:rPr>
          <w:rStyle w:val="CharAttribute2"/>
          <w:rFonts w:ascii="Calibri" w:hAnsi="Calibri"/>
          <w:szCs w:val="24"/>
        </w:rPr>
        <w:t xml:space="preserve"> to Debt scale on</w:t>
      </w:r>
      <w:r w:rsidR="00956D2D" w:rsidRPr="002229EB">
        <w:rPr>
          <w:rStyle w:val="CharAttribute2"/>
          <w:rFonts w:ascii="Calibri" w:hAnsi="Calibri"/>
          <w:szCs w:val="24"/>
        </w:rPr>
        <w:t xml:space="preserve"> a</w:t>
      </w:r>
      <w:r w:rsidR="00425A84" w:rsidRPr="002229EB">
        <w:rPr>
          <w:rStyle w:val="CharAttribute2"/>
          <w:rFonts w:ascii="Calibri" w:hAnsi="Calibri"/>
          <w:szCs w:val="24"/>
        </w:rPr>
        <w:t>nother</w:t>
      </w:r>
      <w:r w:rsidRPr="002229EB">
        <w:rPr>
          <w:rStyle w:val="CharAttribute2"/>
          <w:rFonts w:ascii="Calibri" w:hAnsi="Calibri"/>
          <w:szCs w:val="24"/>
        </w:rPr>
        <w:t xml:space="preserve"> US sample</w:t>
      </w:r>
      <w:r w:rsidR="00425A84" w:rsidRPr="002229EB">
        <w:rPr>
          <w:rStyle w:val="CharAttribute2"/>
          <w:rFonts w:ascii="Calibri" w:hAnsi="Calibri"/>
          <w:szCs w:val="24"/>
        </w:rPr>
        <w:t>,</w:t>
      </w:r>
      <w:r w:rsidR="00956D2D" w:rsidRPr="002229EB">
        <w:rPr>
          <w:rStyle w:val="CharAttribute2"/>
          <w:rFonts w:ascii="Calibri" w:hAnsi="Calibri"/>
          <w:szCs w:val="24"/>
        </w:rPr>
        <w:t xml:space="preserve"> </w:t>
      </w:r>
      <w:proofErr w:type="spellStart"/>
      <w:r w:rsidRPr="002229EB">
        <w:rPr>
          <w:rStyle w:val="CharAttribute2"/>
          <w:rFonts w:ascii="Calibri" w:hAnsi="Calibri"/>
          <w:szCs w:val="24"/>
        </w:rPr>
        <w:t>Norvilitis</w:t>
      </w:r>
      <w:proofErr w:type="spellEnd"/>
      <w:r w:rsidRPr="002229EB">
        <w:rPr>
          <w:rStyle w:val="CharAttribute2"/>
          <w:rFonts w:ascii="Calibri" w:hAnsi="Calibri"/>
          <w:szCs w:val="24"/>
        </w:rPr>
        <w:t xml:space="preserve"> et al. (2006) concluded that it was not a useful predictor of the amou</w:t>
      </w:r>
      <w:r w:rsidR="00425A84" w:rsidRPr="002229EB">
        <w:rPr>
          <w:rStyle w:val="CharAttribute2"/>
          <w:rFonts w:ascii="Calibri" w:hAnsi="Calibri"/>
          <w:szCs w:val="24"/>
        </w:rPr>
        <w:t>nt of debt held by students.  S</w:t>
      </w:r>
      <w:r w:rsidR="007973A9" w:rsidRPr="002229EB">
        <w:rPr>
          <w:rStyle w:val="CharAttribute2"/>
          <w:rFonts w:ascii="Calibri" w:hAnsi="Calibri"/>
          <w:szCs w:val="24"/>
        </w:rPr>
        <w:t xml:space="preserve">ubsequent </w:t>
      </w:r>
      <w:r w:rsidR="006314F6" w:rsidRPr="002229EB">
        <w:rPr>
          <w:rStyle w:val="CharAttribute2"/>
          <w:rFonts w:ascii="Calibri" w:hAnsi="Calibri"/>
          <w:szCs w:val="24"/>
        </w:rPr>
        <w:t>research</w:t>
      </w:r>
      <w:r w:rsidR="007973A9" w:rsidRPr="002229EB">
        <w:rPr>
          <w:rStyle w:val="CharAttribute2"/>
          <w:rFonts w:ascii="Calibri" w:hAnsi="Calibri"/>
          <w:szCs w:val="24"/>
        </w:rPr>
        <w:t xml:space="preserve"> (</w:t>
      </w:r>
      <w:proofErr w:type="spellStart"/>
      <w:r w:rsidR="007973A9" w:rsidRPr="002229EB">
        <w:rPr>
          <w:rStyle w:val="CharAttribute2"/>
          <w:rFonts w:ascii="Calibri" w:hAnsi="Calibri"/>
          <w:szCs w:val="24"/>
        </w:rPr>
        <w:t>Norvilitis</w:t>
      </w:r>
      <w:proofErr w:type="spellEnd"/>
      <w:r w:rsidR="007973A9" w:rsidRPr="002229EB">
        <w:rPr>
          <w:rStyle w:val="CharAttribute2"/>
          <w:rFonts w:ascii="Calibri" w:hAnsi="Calibri"/>
          <w:szCs w:val="24"/>
        </w:rPr>
        <w:t xml:space="preserve"> and Mao 2013) finds no predictive value in either US or Chinese samples in terms of financial confidence, financial well-being or credit card use, while question</w:t>
      </w:r>
      <w:r w:rsidR="00956D2D" w:rsidRPr="002229EB">
        <w:rPr>
          <w:rStyle w:val="CharAttribute2"/>
          <w:rFonts w:ascii="Calibri" w:hAnsi="Calibri"/>
          <w:szCs w:val="24"/>
        </w:rPr>
        <w:t>ing</w:t>
      </w:r>
      <w:r w:rsidR="007973A9" w:rsidRPr="002229EB">
        <w:rPr>
          <w:rStyle w:val="CharAttribute2"/>
          <w:rFonts w:ascii="Calibri" w:hAnsi="Calibri"/>
          <w:szCs w:val="24"/>
        </w:rPr>
        <w:t xml:space="preserve"> the internal reliability of both the Attitude</w:t>
      </w:r>
      <w:r w:rsidR="006132EE" w:rsidRPr="002229EB">
        <w:rPr>
          <w:rStyle w:val="CharAttribute2"/>
          <w:rFonts w:ascii="Calibri" w:hAnsi="Calibri"/>
          <w:szCs w:val="24"/>
        </w:rPr>
        <w:t>s</w:t>
      </w:r>
      <w:r w:rsidR="007973A9" w:rsidRPr="002229EB">
        <w:rPr>
          <w:rStyle w:val="CharAttribute2"/>
          <w:rFonts w:ascii="Calibri" w:hAnsi="Calibri"/>
          <w:szCs w:val="24"/>
        </w:rPr>
        <w:t xml:space="preserve"> to Debt scale and </w:t>
      </w:r>
      <w:proofErr w:type="spellStart"/>
      <w:r w:rsidR="007973A9" w:rsidRPr="002229EB">
        <w:rPr>
          <w:rStyle w:val="CharAttribute2"/>
          <w:rFonts w:ascii="Calibri" w:hAnsi="Calibri"/>
          <w:szCs w:val="24"/>
        </w:rPr>
        <w:t>Haultain</w:t>
      </w:r>
      <w:proofErr w:type="spellEnd"/>
      <w:r w:rsidR="007973A9" w:rsidRPr="002229EB">
        <w:rPr>
          <w:rStyle w:val="CharAttribute2"/>
          <w:rFonts w:ascii="Calibri" w:hAnsi="Calibri"/>
          <w:szCs w:val="24"/>
        </w:rPr>
        <w:t xml:space="preserve"> et al.’s </w:t>
      </w:r>
      <w:proofErr w:type="spellStart"/>
      <w:r w:rsidR="006314F6" w:rsidRPr="002229EB">
        <w:rPr>
          <w:rStyle w:val="CharAttribute2"/>
          <w:rFonts w:ascii="Calibri" w:hAnsi="Calibri"/>
          <w:szCs w:val="24"/>
        </w:rPr>
        <w:t>bi</w:t>
      </w:r>
      <w:r w:rsidR="007973A9" w:rsidRPr="002229EB">
        <w:rPr>
          <w:rStyle w:val="CharAttribute2"/>
          <w:rFonts w:ascii="Calibri" w:hAnsi="Calibri"/>
          <w:szCs w:val="24"/>
        </w:rPr>
        <w:t>dimensional</w:t>
      </w:r>
      <w:proofErr w:type="spellEnd"/>
      <w:r w:rsidR="007973A9" w:rsidRPr="002229EB">
        <w:rPr>
          <w:rStyle w:val="CharAttribute2"/>
          <w:rFonts w:ascii="Calibri" w:hAnsi="Calibri"/>
          <w:szCs w:val="24"/>
        </w:rPr>
        <w:t xml:space="preserve"> </w:t>
      </w:r>
      <w:r w:rsidR="006314F6" w:rsidRPr="002229EB">
        <w:rPr>
          <w:rStyle w:val="CharAttribute2"/>
          <w:rFonts w:ascii="Calibri" w:hAnsi="Calibri"/>
          <w:szCs w:val="24"/>
        </w:rPr>
        <w:t>scale</w:t>
      </w:r>
      <w:r w:rsidR="007973A9" w:rsidRPr="002229EB">
        <w:rPr>
          <w:rStyle w:val="CharAttribute2"/>
          <w:rFonts w:ascii="Calibri" w:hAnsi="Calibri"/>
          <w:szCs w:val="24"/>
        </w:rPr>
        <w:t>.</w:t>
      </w:r>
      <w:r w:rsidR="006314F6" w:rsidRPr="002229EB">
        <w:rPr>
          <w:rStyle w:val="CharAttribute2"/>
          <w:rFonts w:ascii="Calibri" w:hAnsi="Calibri"/>
          <w:szCs w:val="24"/>
        </w:rPr>
        <w:t xml:space="preserve">  </w:t>
      </w:r>
    </w:p>
    <w:p w:rsidR="00677608" w:rsidRPr="002229EB" w:rsidRDefault="00677608" w:rsidP="009C3AC7">
      <w:pPr>
        <w:pStyle w:val="ParaAttribute0"/>
        <w:wordWrap/>
        <w:spacing w:line="276" w:lineRule="auto"/>
        <w:rPr>
          <w:rStyle w:val="CharAttribute2"/>
          <w:rFonts w:ascii="Calibri" w:hAnsi="Calibri"/>
          <w:szCs w:val="24"/>
        </w:rPr>
      </w:pPr>
    </w:p>
    <w:p w:rsidR="00720633" w:rsidRPr="002229EB" w:rsidRDefault="00542F6A" w:rsidP="00720633">
      <w:pPr>
        <w:pStyle w:val="ParaAttribute0"/>
        <w:wordWrap/>
        <w:spacing w:line="276" w:lineRule="auto"/>
        <w:rPr>
          <w:rFonts w:ascii="Calibri" w:eastAsia="Tahoma" w:hAnsi="Calibri"/>
          <w:sz w:val="24"/>
          <w:szCs w:val="24"/>
        </w:rPr>
      </w:pPr>
      <w:r w:rsidRPr="002229EB">
        <w:rPr>
          <w:rStyle w:val="CharAttribute2"/>
          <w:rFonts w:ascii="Calibri" w:hAnsi="Calibri"/>
          <w:szCs w:val="24"/>
        </w:rPr>
        <w:t xml:space="preserve">Others have </w:t>
      </w:r>
      <w:r w:rsidR="00072576" w:rsidRPr="002229EB">
        <w:rPr>
          <w:rStyle w:val="CharAttribute2"/>
          <w:rFonts w:ascii="Calibri" w:hAnsi="Calibri"/>
          <w:szCs w:val="24"/>
        </w:rPr>
        <w:t>independently</w:t>
      </w:r>
      <w:r w:rsidRPr="002229EB">
        <w:rPr>
          <w:rStyle w:val="CharAttribute2"/>
          <w:rFonts w:ascii="Calibri" w:hAnsi="Calibri"/>
          <w:szCs w:val="24"/>
        </w:rPr>
        <w:t xml:space="preserve"> attempted to develop measures of debt attitudes.  </w:t>
      </w:r>
      <w:proofErr w:type="spellStart"/>
      <w:r w:rsidR="00677608" w:rsidRPr="002229EB">
        <w:rPr>
          <w:rStyle w:val="CharAttribute2"/>
          <w:rFonts w:ascii="Calibri" w:hAnsi="Calibri"/>
          <w:szCs w:val="24"/>
        </w:rPr>
        <w:t>Eckel</w:t>
      </w:r>
      <w:proofErr w:type="spellEnd"/>
      <w:r w:rsidR="00677608" w:rsidRPr="002229EB">
        <w:rPr>
          <w:rStyle w:val="CharAttribute2"/>
          <w:rFonts w:ascii="Calibri" w:hAnsi="Calibri"/>
          <w:szCs w:val="24"/>
        </w:rPr>
        <w:t xml:space="preserve"> et al. (2007, 259) use a Canadian sample in an experimental study to argue that ‘debt aversion plays little or no role in the demand for postsecondary education finance in the form of a loan’, although the measure used is of questionable validity, being based primarily on </w:t>
      </w:r>
      <w:r w:rsidR="00685FEA" w:rsidRPr="002229EB">
        <w:rPr>
          <w:rStyle w:val="CharAttribute2"/>
          <w:rFonts w:ascii="Calibri" w:hAnsi="Calibri"/>
          <w:szCs w:val="24"/>
        </w:rPr>
        <w:t xml:space="preserve">existing </w:t>
      </w:r>
      <w:r w:rsidR="00072576" w:rsidRPr="002229EB">
        <w:rPr>
          <w:rStyle w:val="CharAttribute2"/>
          <w:rFonts w:ascii="Calibri" w:hAnsi="Calibri"/>
          <w:szCs w:val="24"/>
        </w:rPr>
        <w:t xml:space="preserve">patterns of </w:t>
      </w:r>
      <w:r w:rsidR="00685FEA" w:rsidRPr="002229EB">
        <w:rPr>
          <w:rStyle w:val="CharAttribute2"/>
          <w:rFonts w:ascii="Calibri" w:hAnsi="Calibri"/>
          <w:szCs w:val="24"/>
        </w:rPr>
        <w:t>credit card</w:t>
      </w:r>
      <w:r w:rsidR="00677608" w:rsidRPr="002229EB">
        <w:rPr>
          <w:rStyle w:val="CharAttribute2"/>
          <w:rFonts w:ascii="Calibri" w:hAnsi="Calibri"/>
          <w:szCs w:val="24"/>
        </w:rPr>
        <w:t xml:space="preserve"> use.  </w:t>
      </w:r>
      <w:r w:rsidR="00E602E6" w:rsidRPr="002229EB">
        <w:rPr>
          <w:rFonts w:ascii="Calibri" w:eastAsia="Tahoma" w:hAnsi="Calibri"/>
          <w:sz w:val="24"/>
          <w:szCs w:val="24"/>
        </w:rPr>
        <w:t xml:space="preserve">Chudry et al. (2011) similarly find that </w:t>
      </w:r>
      <w:r w:rsidR="00AA5721" w:rsidRPr="002229EB">
        <w:rPr>
          <w:rFonts w:ascii="Calibri" w:eastAsia="Tahoma" w:hAnsi="Calibri"/>
          <w:sz w:val="24"/>
          <w:szCs w:val="24"/>
        </w:rPr>
        <w:t xml:space="preserve">UK </w:t>
      </w:r>
      <w:r w:rsidR="00E602E6" w:rsidRPr="002229EB">
        <w:rPr>
          <w:rFonts w:ascii="Calibri" w:eastAsia="Tahoma" w:hAnsi="Calibri"/>
          <w:sz w:val="24"/>
          <w:szCs w:val="24"/>
        </w:rPr>
        <w:t>student</w:t>
      </w:r>
      <w:r w:rsidR="006B4118" w:rsidRPr="002229EB">
        <w:rPr>
          <w:rFonts w:ascii="Calibri" w:eastAsia="Tahoma" w:hAnsi="Calibri"/>
          <w:sz w:val="24"/>
          <w:szCs w:val="24"/>
        </w:rPr>
        <w:t>s’ future</w:t>
      </w:r>
      <w:r w:rsidR="00E602E6" w:rsidRPr="002229EB">
        <w:rPr>
          <w:rFonts w:ascii="Calibri" w:eastAsia="Tahoma" w:hAnsi="Calibri"/>
          <w:sz w:val="24"/>
          <w:szCs w:val="24"/>
        </w:rPr>
        <w:t xml:space="preserve"> borrowing intentions are not influenced by </w:t>
      </w:r>
      <w:r w:rsidR="00685FEA" w:rsidRPr="002229EB">
        <w:rPr>
          <w:rFonts w:ascii="Calibri" w:eastAsia="Tahoma" w:hAnsi="Calibri"/>
          <w:sz w:val="24"/>
          <w:szCs w:val="24"/>
        </w:rPr>
        <w:t xml:space="preserve">their measure of </w:t>
      </w:r>
      <w:r w:rsidR="00DF2A31" w:rsidRPr="002229EB">
        <w:rPr>
          <w:rFonts w:ascii="Calibri" w:eastAsia="Tahoma" w:hAnsi="Calibri"/>
          <w:sz w:val="24"/>
          <w:szCs w:val="24"/>
        </w:rPr>
        <w:t>D</w:t>
      </w:r>
      <w:r w:rsidR="00685FEA" w:rsidRPr="002229EB">
        <w:rPr>
          <w:rFonts w:ascii="Calibri" w:eastAsia="Tahoma" w:hAnsi="Calibri"/>
          <w:sz w:val="24"/>
          <w:szCs w:val="24"/>
        </w:rPr>
        <w:t xml:space="preserve">ebt </w:t>
      </w:r>
      <w:r w:rsidR="00DF2A31" w:rsidRPr="002229EB">
        <w:rPr>
          <w:rFonts w:ascii="Calibri" w:eastAsia="Tahoma" w:hAnsi="Calibri"/>
          <w:sz w:val="24"/>
          <w:szCs w:val="24"/>
        </w:rPr>
        <w:t>A</w:t>
      </w:r>
      <w:r w:rsidR="00685FEA" w:rsidRPr="002229EB">
        <w:rPr>
          <w:rFonts w:ascii="Calibri" w:eastAsia="Tahoma" w:hAnsi="Calibri"/>
          <w:sz w:val="24"/>
          <w:szCs w:val="24"/>
        </w:rPr>
        <w:t>version</w:t>
      </w:r>
      <w:r w:rsidR="006B4118" w:rsidRPr="002229EB">
        <w:rPr>
          <w:rFonts w:ascii="Calibri" w:eastAsia="Tahoma" w:hAnsi="Calibri"/>
          <w:sz w:val="24"/>
          <w:szCs w:val="24"/>
        </w:rPr>
        <w:t xml:space="preserve">; one of four debt attitudes that they isolate using exploratory factor analysis, along with </w:t>
      </w:r>
      <w:r w:rsidR="00DF2A31" w:rsidRPr="002229EB">
        <w:rPr>
          <w:rFonts w:ascii="Calibri" w:eastAsia="Tahoma" w:hAnsi="Calibri"/>
          <w:sz w:val="24"/>
          <w:szCs w:val="24"/>
        </w:rPr>
        <w:t>D</w:t>
      </w:r>
      <w:r w:rsidR="006B4118" w:rsidRPr="002229EB">
        <w:rPr>
          <w:rFonts w:ascii="Calibri" w:eastAsia="Tahoma" w:hAnsi="Calibri"/>
          <w:sz w:val="24"/>
          <w:szCs w:val="24"/>
        </w:rPr>
        <w:t xml:space="preserve">ebt </w:t>
      </w:r>
      <w:r w:rsidR="00DF2A31" w:rsidRPr="002229EB">
        <w:rPr>
          <w:rFonts w:ascii="Calibri" w:eastAsia="Tahoma" w:hAnsi="Calibri"/>
          <w:sz w:val="24"/>
          <w:szCs w:val="24"/>
        </w:rPr>
        <w:t>C</w:t>
      </w:r>
      <w:r w:rsidR="006B4118" w:rsidRPr="002229EB">
        <w:rPr>
          <w:rFonts w:ascii="Calibri" w:eastAsia="Tahoma" w:hAnsi="Calibri"/>
          <w:sz w:val="24"/>
          <w:szCs w:val="24"/>
        </w:rPr>
        <w:t xml:space="preserve">omfort, </w:t>
      </w:r>
      <w:r w:rsidR="00BF040D" w:rsidRPr="002229EB">
        <w:rPr>
          <w:rFonts w:ascii="Calibri" w:eastAsia="Tahoma" w:hAnsi="Calibri"/>
          <w:sz w:val="24"/>
          <w:szCs w:val="24"/>
        </w:rPr>
        <w:t>Self-I</w:t>
      </w:r>
      <w:r w:rsidR="00DF2A31" w:rsidRPr="002229EB">
        <w:rPr>
          <w:rFonts w:ascii="Calibri" w:eastAsia="Tahoma" w:hAnsi="Calibri"/>
          <w:sz w:val="24"/>
          <w:szCs w:val="24"/>
        </w:rPr>
        <w:t>mage I</w:t>
      </w:r>
      <w:r w:rsidR="006B4118" w:rsidRPr="002229EB">
        <w:rPr>
          <w:rFonts w:ascii="Calibri" w:eastAsia="Tahoma" w:hAnsi="Calibri"/>
          <w:sz w:val="24"/>
          <w:szCs w:val="24"/>
        </w:rPr>
        <w:t xml:space="preserve">mportance and </w:t>
      </w:r>
      <w:r w:rsidR="00DF2A31" w:rsidRPr="002229EB">
        <w:rPr>
          <w:rFonts w:ascii="Calibri" w:eastAsia="Tahoma" w:hAnsi="Calibri"/>
          <w:sz w:val="24"/>
          <w:szCs w:val="24"/>
        </w:rPr>
        <w:t>M</w:t>
      </w:r>
      <w:r w:rsidR="006B4118" w:rsidRPr="002229EB">
        <w:rPr>
          <w:rFonts w:ascii="Calibri" w:eastAsia="Tahoma" w:hAnsi="Calibri"/>
          <w:sz w:val="24"/>
          <w:szCs w:val="24"/>
        </w:rPr>
        <w:t xml:space="preserve">oney </w:t>
      </w:r>
      <w:r w:rsidR="00DF2A31" w:rsidRPr="002229EB">
        <w:rPr>
          <w:rFonts w:ascii="Calibri" w:eastAsia="Tahoma" w:hAnsi="Calibri"/>
          <w:sz w:val="24"/>
          <w:szCs w:val="24"/>
        </w:rPr>
        <w:t>Management</w:t>
      </w:r>
      <w:r w:rsidR="006B4118" w:rsidRPr="002229EB">
        <w:rPr>
          <w:rFonts w:ascii="Calibri" w:eastAsia="Tahoma" w:hAnsi="Calibri"/>
          <w:sz w:val="24"/>
          <w:szCs w:val="24"/>
        </w:rPr>
        <w:t xml:space="preserve">.  Only the last of these was a significant predictor, with students who showed an engaged and instrumental approach to student finance being more likely to expect to borrow in the future.  </w:t>
      </w:r>
      <w:r w:rsidR="00CD1832" w:rsidRPr="002229EB">
        <w:rPr>
          <w:rFonts w:ascii="Calibri" w:eastAsia="Tahoma" w:hAnsi="Calibri"/>
          <w:sz w:val="24"/>
          <w:szCs w:val="24"/>
        </w:rPr>
        <w:t>Thus,</w:t>
      </w:r>
      <w:r w:rsidR="00720633" w:rsidRPr="002229EB">
        <w:rPr>
          <w:rFonts w:ascii="Calibri" w:eastAsia="Tahoma" w:hAnsi="Calibri"/>
          <w:sz w:val="24"/>
          <w:szCs w:val="24"/>
        </w:rPr>
        <w:t xml:space="preserve"> while Chudry and colleagues identify four </w:t>
      </w:r>
      <w:r w:rsidR="00CD1832" w:rsidRPr="002229EB">
        <w:rPr>
          <w:rFonts w:ascii="Calibri" w:eastAsia="Tahoma" w:hAnsi="Calibri"/>
          <w:sz w:val="24"/>
          <w:szCs w:val="24"/>
        </w:rPr>
        <w:t xml:space="preserve">orthogonal </w:t>
      </w:r>
      <w:r w:rsidR="00720633" w:rsidRPr="002229EB">
        <w:rPr>
          <w:rFonts w:ascii="Calibri" w:eastAsia="Tahoma" w:hAnsi="Calibri"/>
          <w:sz w:val="24"/>
          <w:szCs w:val="24"/>
        </w:rPr>
        <w:t xml:space="preserve">dimensions of variation, only one of these has a causal role in borrowing intentions.  </w:t>
      </w:r>
    </w:p>
    <w:p w:rsidR="00720633" w:rsidRPr="002229EB" w:rsidRDefault="00720633" w:rsidP="009C3AC7">
      <w:pPr>
        <w:pStyle w:val="ParaAttribute0"/>
        <w:wordWrap/>
        <w:spacing w:line="276" w:lineRule="auto"/>
        <w:rPr>
          <w:rFonts w:ascii="Calibri" w:eastAsia="Tahoma" w:hAnsi="Calibri"/>
          <w:sz w:val="24"/>
          <w:szCs w:val="24"/>
        </w:rPr>
      </w:pPr>
    </w:p>
    <w:p w:rsidR="00D31B20" w:rsidRPr="002229EB" w:rsidRDefault="00DF2A31" w:rsidP="009C3AC7">
      <w:pPr>
        <w:pStyle w:val="ParaAttribute0"/>
        <w:wordWrap/>
        <w:spacing w:line="276" w:lineRule="auto"/>
        <w:rPr>
          <w:rFonts w:ascii="Calibri" w:eastAsia="Tahoma" w:hAnsi="Calibri"/>
          <w:sz w:val="24"/>
          <w:szCs w:val="24"/>
        </w:rPr>
      </w:pPr>
      <w:r w:rsidRPr="002229EB">
        <w:rPr>
          <w:rFonts w:ascii="Calibri" w:eastAsia="Tahoma" w:hAnsi="Calibri"/>
          <w:sz w:val="24"/>
          <w:szCs w:val="24"/>
        </w:rPr>
        <w:t xml:space="preserve">Focusing on student credit card use rather than student loans, Peltier et al. (2013) develop a six factor model from a US sample: Anxiety, Impulsivity, </w:t>
      </w:r>
      <w:r w:rsidR="00BF040D" w:rsidRPr="002229EB">
        <w:rPr>
          <w:rFonts w:ascii="Calibri" w:eastAsia="Tahoma" w:hAnsi="Calibri"/>
          <w:sz w:val="24"/>
          <w:szCs w:val="24"/>
        </w:rPr>
        <w:t xml:space="preserve">Social Status, </w:t>
      </w:r>
      <w:r w:rsidRPr="002229EB">
        <w:rPr>
          <w:rFonts w:ascii="Calibri" w:eastAsia="Tahoma" w:hAnsi="Calibri"/>
          <w:sz w:val="24"/>
          <w:szCs w:val="24"/>
        </w:rPr>
        <w:t xml:space="preserve">Parental </w:t>
      </w:r>
      <w:r w:rsidR="00BF040D" w:rsidRPr="002229EB">
        <w:rPr>
          <w:rFonts w:ascii="Calibri" w:eastAsia="Tahoma" w:hAnsi="Calibri"/>
          <w:sz w:val="24"/>
          <w:szCs w:val="24"/>
        </w:rPr>
        <w:t>Involvement</w:t>
      </w:r>
      <w:r w:rsidRPr="002229EB">
        <w:rPr>
          <w:rFonts w:ascii="Calibri" w:eastAsia="Tahoma" w:hAnsi="Calibri"/>
          <w:sz w:val="24"/>
          <w:szCs w:val="24"/>
        </w:rPr>
        <w:t>,</w:t>
      </w:r>
      <w:r w:rsidR="00BF040D" w:rsidRPr="002229EB">
        <w:rPr>
          <w:rFonts w:ascii="Calibri" w:eastAsia="Tahoma" w:hAnsi="Calibri"/>
          <w:sz w:val="24"/>
          <w:szCs w:val="24"/>
        </w:rPr>
        <w:t xml:space="preserve"> Locus of Control and Compulsivity</w:t>
      </w:r>
      <w:r w:rsidRPr="002229EB">
        <w:rPr>
          <w:rFonts w:ascii="Calibri" w:eastAsia="Tahoma" w:hAnsi="Calibri"/>
          <w:sz w:val="24"/>
          <w:szCs w:val="24"/>
        </w:rPr>
        <w:t>.</w:t>
      </w:r>
      <w:r w:rsidR="00BF040D" w:rsidRPr="002229EB">
        <w:rPr>
          <w:rFonts w:ascii="Calibri" w:eastAsia="Tahoma" w:hAnsi="Calibri"/>
          <w:sz w:val="24"/>
          <w:szCs w:val="24"/>
        </w:rPr>
        <w:t xml:space="preserve">  Perhaps counterintuitively, they find that Anxiety is asso</w:t>
      </w:r>
      <w:r w:rsidR="00522645" w:rsidRPr="002229EB">
        <w:rPr>
          <w:rFonts w:ascii="Calibri" w:eastAsia="Tahoma" w:hAnsi="Calibri"/>
          <w:sz w:val="24"/>
          <w:szCs w:val="24"/>
        </w:rPr>
        <w:t>ciated with higher indebtedness, suggesting either that the latter drives the former or that some use debt to offset their anxiety</w:t>
      </w:r>
      <w:r w:rsidR="00072576" w:rsidRPr="002229EB">
        <w:rPr>
          <w:rFonts w:ascii="Calibri" w:eastAsia="Tahoma" w:hAnsi="Calibri"/>
          <w:sz w:val="24"/>
          <w:szCs w:val="24"/>
        </w:rPr>
        <w:t>; s</w:t>
      </w:r>
      <w:r w:rsidR="00522645" w:rsidRPr="002229EB">
        <w:rPr>
          <w:rFonts w:ascii="Calibri" w:eastAsia="Tahoma" w:hAnsi="Calibri"/>
          <w:sz w:val="24"/>
          <w:szCs w:val="24"/>
        </w:rPr>
        <w:t xml:space="preserve">uch issues </w:t>
      </w:r>
      <w:r w:rsidR="00720633" w:rsidRPr="002229EB">
        <w:rPr>
          <w:rFonts w:ascii="Calibri" w:eastAsia="Tahoma" w:hAnsi="Calibri"/>
          <w:sz w:val="24"/>
          <w:szCs w:val="24"/>
        </w:rPr>
        <w:t>with causality are common in this area</w:t>
      </w:r>
      <w:r w:rsidR="00072576" w:rsidRPr="002229EB">
        <w:rPr>
          <w:rFonts w:ascii="Calibri" w:eastAsia="Tahoma" w:hAnsi="Calibri"/>
          <w:sz w:val="24"/>
          <w:szCs w:val="24"/>
        </w:rPr>
        <w:t xml:space="preserve"> and raise questions about the development of models</w:t>
      </w:r>
      <w:r w:rsidR="00720633" w:rsidRPr="002229EB">
        <w:rPr>
          <w:rFonts w:ascii="Calibri" w:eastAsia="Tahoma" w:hAnsi="Calibri"/>
          <w:sz w:val="24"/>
          <w:szCs w:val="24"/>
        </w:rPr>
        <w:t xml:space="preserve">.  </w:t>
      </w:r>
      <w:r w:rsidR="00072576" w:rsidRPr="002229EB">
        <w:rPr>
          <w:rFonts w:ascii="Calibri" w:eastAsia="Tahoma" w:hAnsi="Calibri"/>
          <w:sz w:val="24"/>
          <w:szCs w:val="24"/>
        </w:rPr>
        <w:t>Peltier and colleagues</w:t>
      </w:r>
      <w:r w:rsidR="00720633" w:rsidRPr="002229EB">
        <w:rPr>
          <w:rFonts w:ascii="Calibri" w:eastAsia="Tahoma" w:hAnsi="Calibri"/>
          <w:sz w:val="24"/>
          <w:szCs w:val="24"/>
        </w:rPr>
        <w:t xml:space="preserve"> do find that the two factors involving the perceived utility of debt (Impulsivity and Social Status) are positively associated with borrowing.</w:t>
      </w:r>
      <w:r w:rsidR="00522645" w:rsidRPr="002229EB">
        <w:rPr>
          <w:rFonts w:ascii="Calibri" w:eastAsia="Tahoma" w:hAnsi="Calibri"/>
          <w:sz w:val="24"/>
          <w:szCs w:val="24"/>
        </w:rPr>
        <w:t xml:space="preserve"> </w:t>
      </w:r>
      <w:r w:rsidR="00D31B20" w:rsidRPr="002229EB">
        <w:rPr>
          <w:rFonts w:ascii="Calibri" w:eastAsia="Tahoma" w:hAnsi="Calibri"/>
          <w:sz w:val="24"/>
          <w:szCs w:val="24"/>
        </w:rPr>
        <w:t xml:space="preserve"> </w:t>
      </w:r>
    </w:p>
    <w:p w:rsidR="00D31B20" w:rsidRPr="002229EB" w:rsidRDefault="00D31B20" w:rsidP="009C3AC7">
      <w:pPr>
        <w:pStyle w:val="ParaAttribute0"/>
        <w:wordWrap/>
        <w:spacing w:line="276" w:lineRule="auto"/>
        <w:rPr>
          <w:rFonts w:ascii="Calibri" w:eastAsia="Tahoma" w:hAnsi="Calibri"/>
          <w:sz w:val="24"/>
          <w:szCs w:val="24"/>
        </w:rPr>
      </w:pPr>
    </w:p>
    <w:p w:rsidR="00BF040D" w:rsidRPr="002229EB" w:rsidRDefault="00D31B20" w:rsidP="009C3AC7">
      <w:pPr>
        <w:pStyle w:val="ParaAttribute0"/>
        <w:wordWrap/>
        <w:spacing w:line="276" w:lineRule="auto"/>
        <w:rPr>
          <w:rStyle w:val="CharAttribute2"/>
          <w:rFonts w:ascii="Calibri" w:hAnsi="Calibri"/>
          <w:szCs w:val="24"/>
        </w:rPr>
      </w:pPr>
      <w:proofErr w:type="spellStart"/>
      <w:r w:rsidRPr="002229EB">
        <w:rPr>
          <w:rFonts w:ascii="Calibri" w:eastAsia="Tahoma" w:hAnsi="Calibri"/>
          <w:sz w:val="24"/>
          <w:szCs w:val="24"/>
        </w:rPr>
        <w:t>Bachan</w:t>
      </w:r>
      <w:proofErr w:type="spellEnd"/>
      <w:r w:rsidRPr="002229EB">
        <w:rPr>
          <w:rFonts w:ascii="Calibri" w:eastAsia="Tahoma" w:hAnsi="Calibri"/>
          <w:sz w:val="24"/>
          <w:szCs w:val="24"/>
        </w:rPr>
        <w:t xml:space="preserve"> (2013) has a similar </w:t>
      </w:r>
      <w:proofErr w:type="gramStart"/>
      <w:r w:rsidRPr="002229EB">
        <w:rPr>
          <w:rFonts w:ascii="Calibri" w:eastAsia="Tahoma" w:hAnsi="Calibri"/>
          <w:sz w:val="24"/>
          <w:szCs w:val="24"/>
        </w:rPr>
        <w:t>finding,</w:t>
      </w:r>
      <w:proofErr w:type="gramEnd"/>
      <w:r w:rsidRPr="002229EB">
        <w:rPr>
          <w:rFonts w:ascii="Calibri" w:eastAsia="Tahoma" w:hAnsi="Calibri"/>
          <w:sz w:val="24"/>
          <w:szCs w:val="24"/>
        </w:rPr>
        <w:t xml:space="preserve"> with </w:t>
      </w:r>
      <w:r w:rsidRPr="002229EB">
        <w:rPr>
          <w:rStyle w:val="CharAttribute2"/>
          <w:rFonts w:ascii="Calibri" w:hAnsi="Calibri"/>
          <w:szCs w:val="24"/>
        </w:rPr>
        <w:t>a very simple measure of self-reported debt aversion being associated with higher debt</w:t>
      </w:r>
      <w:r w:rsidR="008A4317" w:rsidRPr="002229EB">
        <w:rPr>
          <w:rStyle w:val="CharAttribute2"/>
          <w:rFonts w:ascii="Calibri" w:hAnsi="Calibri"/>
          <w:szCs w:val="24"/>
        </w:rPr>
        <w:t>, rather than an hypothesised lower debt –</w:t>
      </w:r>
      <w:r w:rsidRPr="002229EB">
        <w:rPr>
          <w:rStyle w:val="CharAttribute2"/>
          <w:rFonts w:ascii="Calibri" w:hAnsi="Calibri"/>
          <w:szCs w:val="24"/>
        </w:rPr>
        <w:t xml:space="preserve"> albeit at a non-significant level.</w:t>
      </w:r>
      <w:r w:rsidRPr="002229EB">
        <w:rPr>
          <w:rFonts w:ascii="Calibri" w:eastAsia="Tahoma" w:hAnsi="Calibri"/>
          <w:sz w:val="24"/>
          <w:szCs w:val="24"/>
        </w:rPr>
        <w:t xml:space="preserve">  </w:t>
      </w:r>
      <w:r w:rsidR="00AA5721" w:rsidRPr="002229EB">
        <w:rPr>
          <w:rFonts w:ascii="Calibri" w:eastAsia="Tahoma" w:hAnsi="Calibri"/>
          <w:sz w:val="24"/>
          <w:szCs w:val="24"/>
        </w:rPr>
        <w:t xml:space="preserve">Conversely, </w:t>
      </w:r>
      <w:proofErr w:type="spellStart"/>
      <w:r w:rsidR="00AA5721" w:rsidRPr="002229EB">
        <w:rPr>
          <w:rStyle w:val="CharAttribute2"/>
          <w:rFonts w:ascii="Calibri" w:hAnsi="Calibri"/>
          <w:szCs w:val="24"/>
        </w:rPr>
        <w:t>Oosterbeek</w:t>
      </w:r>
      <w:proofErr w:type="spellEnd"/>
      <w:r w:rsidR="00AA5721" w:rsidRPr="002229EB">
        <w:rPr>
          <w:rStyle w:val="CharAttribute2"/>
          <w:rFonts w:ascii="Calibri" w:hAnsi="Calibri"/>
          <w:szCs w:val="24"/>
        </w:rPr>
        <w:t xml:space="preserve"> and van den </w:t>
      </w:r>
      <w:proofErr w:type="spellStart"/>
      <w:r w:rsidR="00AA5721" w:rsidRPr="002229EB">
        <w:rPr>
          <w:rStyle w:val="CharAttribute2"/>
          <w:rFonts w:ascii="Calibri" w:hAnsi="Calibri"/>
          <w:szCs w:val="24"/>
        </w:rPr>
        <w:t>Broek</w:t>
      </w:r>
      <w:proofErr w:type="spellEnd"/>
      <w:r w:rsidR="00AA5721" w:rsidRPr="002229EB">
        <w:rPr>
          <w:rStyle w:val="CharAttribute2"/>
          <w:rFonts w:ascii="Calibri" w:hAnsi="Calibri"/>
          <w:szCs w:val="24"/>
        </w:rPr>
        <w:t xml:space="preserve"> (2009) </w:t>
      </w:r>
      <w:r w:rsidRPr="002229EB">
        <w:rPr>
          <w:rStyle w:val="CharAttribute2"/>
          <w:rFonts w:ascii="Calibri" w:hAnsi="Calibri"/>
          <w:szCs w:val="24"/>
        </w:rPr>
        <w:t>find that the same measure</w:t>
      </w:r>
      <w:r w:rsidR="00AA5721" w:rsidRPr="002229EB">
        <w:rPr>
          <w:rStyle w:val="CharAttribute2"/>
          <w:rFonts w:ascii="Calibri" w:hAnsi="Calibri"/>
          <w:szCs w:val="24"/>
        </w:rPr>
        <w:t xml:space="preserve"> adds significant predictive power to their model of student borrowing in the Netherlands.</w:t>
      </w:r>
      <w:r w:rsidR="00720633" w:rsidRPr="002229EB">
        <w:rPr>
          <w:rStyle w:val="CharAttribute2"/>
          <w:rFonts w:ascii="Calibri" w:hAnsi="Calibri"/>
          <w:szCs w:val="24"/>
        </w:rPr>
        <w:t xml:space="preserve">  </w:t>
      </w:r>
      <w:r w:rsidR="00BF040D" w:rsidRPr="002229EB">
        <w:rPr>
          <w:rStyle w:val="CharAttribute2"/>
          <w:rFonts w:ascii="Calibri" w:hAnsi="Calibri"/>
          <w:szCs w:val="24"/>
        </w:rPr>
        <w:t>As such, there are clearly unresolved issues with the development of a psychological model for students’ attitudes to debt that is robust across culture and student finance systems.</w:t>
      </w:r>
    </w:p>
    <w:p w:rsidR="00BF040D" w:rsidRPr="002229EB" w:rsidRDefault="00BF040D" w:rsidP="009C3AC7">
      <w:pPr>
        <w:pStyle w:val="ParaAttribute0"/>
        <w:wordWrap/>
        <w:spacing w:line="276" w:lineRule="auto"/>
        <w:rPr>
          <w:rStyle w:val="CharAttribute2"/>
          <w:rFonts w:ascii="Calibri" w:hAnsi="Calibri"/>
          <w:szCs w:val="24"/>
        </w:rPr>
      </w:pPr>
    </w:p>
    <w:p w:rsidR="00B21C3E" w:rsidRPr="002229EB" w:rsidRDefault="008A4317" w:rsidP="009C3AC7">
      <w:pPr>
        <w:pStyle w:val="ParaAttribute0"/>
        <w:wordWrap/>
        <w:spacing w:line="276" w:lineRule="auto"/>
        <w:rPr>
          <w:rStyle w:val="CharAttribute2"/>
          <w:rFonts w:ascii="Calibri" w:hAnsi="Calibri"/>
          <w:szCs w:val="24"/>
        </w:rPr>
      </w:pPr>
      <w:r w:rsidRPr="002229EB">
        <w:rPr>
          <w:rFonts w:ascii="Calibri" w:eastAsia="Tahoma" w:hAnsi="Calibri"/>
          <w:sz w:val="24"/>
          <w:szCs w:val="24"/>
        </w:rPr>
        <w:lastRenderedPageBreak/>
        <w:t>Finally, t</w:t>
      </w:r>
      <w:r w:rsidR="0003184F" w:rsidRPr="002229EB">
        <w:rPr>
          <w:rFonts w:ascii="Calibri" w:eastAsia="Tahoma" w:hAnsi="Calibri"/>
          <w:sz w:val="24"/>
          <w:szCs w:val="24"/>
        </w:rPr>
        <w:t xml:space="preserve">he rationale behind this study derives, in part, from the qualitative data reported in </w:t>
      </w:r>
      <w:r w:rsidR="0003184F" w:rsidRPr="002229EB">
        <w:rPr>
          <w:rStyle w:val="CharAttribute2"/>
          <w:rFonts w:ascii="Calibri" w:hAnsi="Calibri"/>
          <w:szCs w:val="24"/>
        </w:rPr>
        <w:t>Harrison et al</w:t>
      </w:r>
      <w:r w:rsidR="00396715" w:rsidRPr="002229EB">
        <w:rPr>
          <w:rStyle w:val="CharAttribute2"/>
          <w:rFonts w:ascii="Calibri" w:hAnsi="Calibri"/>
          <w:szCs w:val="24"/>
        </w:rPr>
        <w:t>.</w:t>
      </w:r>
      <w:r w:rsidR="0003184F" w:rsidRPr="002229EB">
        <w:rPr>
          <w:rStyle w:val="CharAttribute2"/>
          <w:rFonts w:ascii="Calibri" w:hAnsi="Calibri"/>
          <w:szCs w:val="24"/>
        </w:rPr>
        <w:t xml:space="preserve"> (in press)</w:t>
      </w:r>
      <w:r w:rsidRPr="002229EB">
        <w:rPr>
          <w:rStyle w:val="CharAttribute2"/>
          <w:rFonts w:ascii="Calibri" w:hAnsi="Calibri"/>
          <w:szCs w:val="24"/>
        </w:rPr>
        <w:t>.  Based on interviews with first year students, t</w:t>
      </w:r>
      <w:r w:rsidR="0003184F" w:rsidRPr="002229EB">
        <w:rPr>
          <w:rStyle w:val="CharAttribute2"/>
          <w:rFonts w:ascii="Calibri" w:hAnsi="Calibri"/>
          <w:szCs w:val="24"/>
        </w:rPr>
        <w:t xml:space="preserve">his </w:t>
      </w:r>
      <w:r w:rsidR="007817FF" w:rsidRPr="002229EB">
        <w:rPr>
          <w:rStyle w:val="CharAttribute2"/>
          <w:rFonts w:ascii="Calibri" w:hAnsi="Calibri"/>
          <w:szCs w:val="24"/>
        </w:rPr>
        <w:t>propose</w:t>
      </w:r>
      <w:r w:rsidRPr="002229EB">
        <w:rPr>
          <w:rStyle w:val="CharAttribute2"/>
          <w:rFonts w:ascii="Calibri" w:hAnsi="Calibri"/>
          <w:szCs w:val="24"/>
        </w:rPr>
        <w:t>s</w:t>
      </w:r>
      <w:r w:rsidR="007817FF" w:rsidRPr="002229EB">
        <w:rPr>
          <w:rStyle w:val="CharAttribute2"/>
          <w:rFonts w:ascii="Calibri" w:hAnsi="Calibri"/>
          <w:szCs w:val="24"/>
        </w:rPr>
        <w:t xml:space="preserve"> a six-way typology of debt attitudes ranging from 'debt positive' to 'debt angry'</w:t>
      </w:r>
      <w:r w:rsidR="0003184F" w:rsidRPr="002229EB">
        <w:rPr>
          <w:rStyle w:val="CharAttribute2"/>
          <w:rFonts w:ascii="Calibri" w:hAnsi="Calibri"/>
          <w:szCs w:val="24"/>
        </w:rPr>
        <w:t>, with a centre-of-</w:t>
      </w:r>
      <w:r w:rsidR="007817FF" w:rsidRPr="002229EB">
        <w:rPr>
          <w:rStyle w:val="CharAttribute2"/>
          <w:rFonts w:ascii="Calibri" w:hAnsi="Calibri"/>
          <w:szCs w:val="24"/>
        </w:rPr>
        <w:t xml:space="preserve">gravity around those who were well-informed about what they were doing and resigned to indebtedness as a </w:t>
      </w:r>
      <w:r w:rsidRPr="002229EB">
        <w:rPr>
          <w:rStyle w:val="CharAttribute2"/>
          <w:rFonts w:ascii="Calibri" w:hAnsi="Calibri"/>
          <w:szCs w:val="24"/>
        </w:rPr>
        <w:t>‘</w:t>
      </w:r>
      <w:r w:rsidR="007817FF" w:rsidRPr="002229EB">
        <w:rPr>
          <w:rStyle w:val="CharAttribute2"/>
          <w:rFonts w:ascii="Calibri" w:hAnsi="Calibri"/>
          <w:szCs w:val="24"/>
        </w:rPr>
        <w:t>normal</w:t>
      </w:r>
      <w:r w:rsidRPr="002229EB">
        <w:rPr>
          <w:rStyle w:val="CharAttribute2"/>
          <w:rFonts w:ascii="Calibri" w:hAnsi="Calibri"/>
          <w:szCs w:val="24"/>
        </w:rPr>
        <w:t>’</w:t>
      </w:r>
      <w:r w:rsidR="007817FF" w:rsidRPr="002229EB">
        <w:rPr>
          <w:rStyle w:val="CharAttribute2"/>
          <w:rFonts w:ascii="Calibri" w:hAnsi="Calibri"/>
          <w:szCs w:val="24"/>
        </w:rPr>
        <w:t xml:space="preserve"> feature of being a student.  </w:t>
      </w:r>
      <w:r w:rsidR="0003184F" w:rsidRPr="002229EB">
        <w:rPr>
          <w:rStyle w:val="CharAttribute2"/>
          <w:rFonts w:ascii="Calibri" w:hAnsi="Calibri"/>
          <w:szCs w:val="24"/>
        </w:rPr>
        <w:t xml:space="preserve">These data were used as a starting point for the development of the questionnaire, which </w:t>
      </w:r>
      <w:r w:rsidR="007817FF" w:rsidRPr="002229EB">
        <w:rPr>
          <w:rStyle w:val="CharAttribute2"/>
          <w:rFonts w:ascii="Calibri" w:hAnsi="Calibri"/>
          <w:szCs w:val="24"/>
        </w:rPr>
        <w:t xml:space="preserve">seeks to investigate the validity of this typology </w:t>
      </w:r>
      <w:r w:rsidR="0003184F" w:rsidRPr="002229EB">
        <w:rPr>
          <w:rStyle w:val="CharAttribute2"/>
          <w:rFonts w:ascii="Calibri" w:hAnsi="Calibri"/>
          <w:szCs w:val="24"/>
        </w:rPr>
        <w:t>and factors that define it</w:t>
      </w:r>
      <w:r w:rsidR="007817FF" w:rsidRPr="002229EB">
        <w:rPr>
          <w:rStyle w:val="CharAttribute2"/>
          <w:rFonts w:ascii="Calibri" w:hAnsi="Calibri"/>
          <w:szCs w:val="24"/>
        </w:rPr>
        <w:t>.</w:t>
      </w:r>
    </w:p>
    <w:p w:rsidR="00444ADD" w:rsidRPr="002229EB" w:rsidRDefault="00444ADD" w:rsidP="009C3AC7">
      <w:pPr>
        <w:pStyle w:val="ParaAttribute0"/>
        <w:wordWrap/>
        <w:spacing w:line="276" w:lineRule="auto"/>
        <w:rPr>
          <w:rStyle w:val="CharAttribute2"/>
          <w:rFonts w:ascii="Calibri" w:hAnsi="Calibri"/>
          <w:szCs w:val="24"/>
        </w:rPr>
      </w:pPr>
    </w:p>
    <w:p w:rsidR="00444ADD" w:rsidRPr="002229EB" w:rsidRDefault="00444ADD" w:rsidP="009C3AC7">
      <w:pPr>
        <w:pStyle w:val="ParaAttribute0"/>
        <w:wordWrap/>
        <w:spacing w:line="276" w:lineRule="auto"/>
        <w:rPr>
          <w:rStyle w:val="CharAttribute2"/>
          <w:rFonts w:ascii="Calibri" w:hAnsi="Calibri"/>
          <w:b/>
          <w:szCs w:val="24"/>
        </w:rPr>
      </w:pPr>
    </w:p>
    <w:p w:rsidR="00444ADD" w:rsidRPr="002229EB" w:rsidRDefault="00B96A01" w:rsidP="009C3AC7">
      <w:pPr>
        <w:pStyle w:val="ParaAttribute0"/>
        <w:wordWrap/>
        <w:spacing w:line="276" w:lineRule="auto"/>
        <w:rPr>
          <w:rStyle w:val="CharAttribute1"/>
          <w:rFonts w:ascii="Calibri" w:eastAsia="Batang" w:hAnsi="Calibri"/>
          <w:b/>
          <w:szCs w:val="24"/>
        </w:rPr>
      </w:pPr>
      <w:r>
        <w:rPr>
          <w:rStyle w:val="CharAttribute1"/>
          <w:rFonts w:ascii="Calibri" w:eastAsia="Batang" w:hAnsi="Calibri"/>
          <w:b/>
          <w:szCs w:val="24"/>
        </w:rPr>
        <w:t xml:space="preserve">2 </w:t>
      </w:r>
      <w:proofErr w:type="gramStart"/>
      <w:r w:rsidR="00444ADD" w:rsidRPr="002229EB">
        <w:rPr>
          <w:rStyle w:val="CharAttribute1"/>
          <w:rFonts w:ascii="Calibri" w:eastAsia="Batang" w:hAnsi="Calibri"/>
          <w:b/>
          <w:szCs w:val="24"/>
        </w:rPr>
        <w:t>Methodology</w:t>
      </w:r>
      <w:proofErr w:type="gramEnd"/>
    </w:p>
    <w:p w:rsidR="005A0293" w:rsidRPr="002229EB" w:rsidRDefault="005A0293" w:rsidP="009C3AC7">
      <w:pPr>
        <w:pStyle w:val="ParaAttribute0"/>
        <w:wordWrap/>
        <w:spacing w:line="276" w:lineRule="auto"/>
        <w:rPr>
          <w:rFonts w:ascii="Calibri" w:eastAsia="Tahoma" w:hAnsi="Calibri"/>
          <w:b/>
          <w:sz w:val="24"/>
          <w:szCs w:val="24"/>
        </w:rPr>
      </w:pPr>
    </w:p>
    <w:p w:rsidR="00444ADD" w:rsidRPr="002229EB" w:rsidRDefault="00444ADD" w:rsidP="009C3AC7">
      <w:pPr>
        <w:pStyle w:val="ParaAttribute0"/>
        <w:wordWrap/>
        <w:spacing w:line="276" w:lineRule="auto"/>
        <w:rPr>
          <w:rFonts w:ascii="Calibri" w:eastAsia="Tahoma" w:hAnsi="Calibri"/>
          <w:sz w:val="24"/>
          <w:szCs w:val="24"/>
        </w:rPr>
      </w:pPr>
      <w:r w:rsidRPr="002229EB">
        <w:rPr>
          <w:rStyle w:val="CharAttribute0"/>
          <w:rFonts w:ascii="Calibri" w:eastAsia="Batang" w:hAnsi="Calibri"/>
          <w:sz w:val="24"/>
          <w:szCs w:val="24"/>
        </w:rPr>
        <w:t>This study is quantitative in nature, working from the position that individual</w:t>
      </w:r>
      <w:r w:rsidR="00162098" w:rsidRPr="002229EB">
        <w:rPr>
          <w:rStyle w:val="CharAttribute0"/>
          <w:rFonts w:ascii="Calibri" w:eastAsia="Batang" w:hAnsi="Calibri"/>
          <w:sz w:val="24"/>
          <w:szCs w:val="24"/>
        </w:rPr>
        <w:t>s are able to provide an accepta</w:t>
      </w:r>
      <w:r w:rsidRPr="002229EB">
        <w:rPr>
          <w:rStyle w:val="CharAttribute0"/>
          <w:rFonts w:ascii="Calibri" w:eastAsia="Batang" w:hAnsi="Calibri"/>
          <w:sz w:val="24"/>
          <w:szCs w:val="24"/>
        </w:rPr>
        <w:t>bly accurate self-report of their attitudes using common tools such as the Likert scale.  While such data is inevitably less rich or detailed than what might be collected through interviews, its numerical nature permits the use of well-established statistical techniques to infer a model of th</w:t>
      </w:r>
      <w:r w:rsidR="008A4317" w:rsidRPr="002229EB">
        <w:rPr>
          <w:rStyle w:val="CharAttribute0"/>
          <w:rFonts w:ascii="Calibri" w:eastAsia="Batang" w:hAnsi="Calibri"/>
          <w:sz w:val="24"/>
          <w:szCs w:val="24"/>
        </w:rPr>
        <w:t>e main determinants of attitude</w:t>
      </w:r>
      <w:r w:rsidRPr="002229EB">
        <w:rPr>
          <w:rStyle w:val="CharAttribute0"/>
          <w:rFonts w:ascii="Calibri" w:eastAsia="Batang" w:hAnsi="Calibri"/>
          <w:sz w:val="24"/>
          <w:szCs w:val="24"/>
        </w:rPr>
        <w:t xml:space="preserve"> and how these dimensions interact with each other.  This, in turn, provides insight into the extent of variability within the sample and, by association, wider and international populations.</w:t>
      </w:r>
    </w:p>
    <w:p w:rsidR="00444ADD" w:rsidRPr="002229EB" w:rsidRDefault="00444ADD" w:rsidP="009C3AC7">
      <w:pPr>
        <w:pStyle w:val="ParaAttribute0"/>
        <w:wordWrap/>
        <w:spacing w:line="276" w:lineRule="auto"/>
        <w:rPr>
          <w:rFonts w:ascii="Calibri" w:eastAsia="Tahoma" w:hAnsi="Calibri"/>
          <w:sz w:val="24"/>
          <w:szCs w:val="24"/>
        </w:rPr>
      </w:pPr>
    </w:p>
    <w:p w:rsidR="00444ADD" w:rsidRPr="002229EB" w:rsidRDefault="00444ADD" w:rsidP="009C3AC7">
      <w:pPr>
        <w:pStyle w:val="ParaAttribute0"/>
        <w:wordWrap/>
        <w:spacing w:line="276" w:lineRule="auto"/>
        <w:rPr>
          <w:rFonts w:ascii="Calibri" w:eastAsia="Tahoma" w:hAnsi="Calibri"/>
          <w:sz w:val="24"/>
          <w:szCs w:val="24"/>
        </w:rPr>
      </w:pPr>
      <w:r w:rsidRPr="002229EB">
        <w:rPr>
          <w:rStyle w:val="CharAttribute0"/>
          <w:rFonts w:ascii="Calibri" w:eastAsia="Batang" w:hAnsi="Calibri"/>
          <w:sz w:val="24"/>
          <w:szCs w:val="24"/>
        </w:rPr>
        <w:t xml:space="preserve">This is not to suggest that such attitudes are deterministic at the individual level, </w:t>
      </w:r>
      <w:proofErr w:type="gramStart"/>
      <w:r w:rsidRPr="002229EB">
        <w:rPr>
          <w:rStyle w:val="CharAttribute0"/>
          <w:rFonts w:ascii="Calibri" w:eastAsia="Batang" w:hAnsi="Calibri"/>
          <w:sz w:val="24"/>
          <w:szCs w:val="24"/>
        </w:rPr>
        <w:t>nor</w:t>
      </w:r>
      <w:proofErr w:type="gramEnd"/>
      <w:r w:rsidRPr="002229EB">
        <w:rPr>
          <w:rStyle w:val="CharAttribute0"/>
          <w:rFonts w:ascii="Calibri" w:eastAsia="Batang" w:hAnsi="Calibri"/>
          <w:sz w:val="24"/>
          <w:szCs w:val="24"/>
        </w:rPr>
        <w:t xml:space="preserve"> that they are necessarily constant through time and situation.  It is also appreciated that self-reports will be socially constructed and that this may compromise their reliability, although the anonymous and impersonal approach used will </w:t>
      </w:r>
      <w:r w:rsidR="005A0293" w:rsidRPr="002229EB">
        <w:rPr>
          <w:rStyle w:val="CharAttribute0"/>
          <w:rFonts w:ascii="Calibri" w:eastAsia="Batang" w:hAnsi="Calibri"/>
          <w:sz w:val="24"/>
          <w:szCs w:val="24"/>
        </w:rPr>
        <w:t xml:space="preserve">have </w:t>
      </w:r>
      <w:proofErr w:type="gramStart"/>
      <w:r w:rsidRPr="002229EB">
        <w:rPr>
          <w:rStyle w:val="CharAttribute0"/>
          <w:rFonts w:ascii="Calibri" w:eastAsia="Batang" w:hAnsi="Calibri"/>
          <w:sz w:val="24"/>
          <w:szCs w:val="24"/>
        </w:rPr>
        <w:t>mitigate</w:t>
      </w:r>
      <w:r w:rsidR="005A0293" w:rsidRPr="002229EB">
        <w:rPr>
          <w:rStyle w:val="CharAttribute0"/>
          <w:rFonts w:ascii="Calibri" w:eastAsia="Batang" w:hAnsi="Calibri"/>
          <w:sz w:val="24"/>
          <w:szCs w:val="24"/>
        </w:rPr>
        <w:t>d</w:t>
      </w:r>
      <w:proofErr w:type="gramEnd"/>
      <w:r w:rsidRPr="002229EB">
        <w:rPr>
          <w:rStyle w:val="CharAttribute0"/>
          <w:rFonts w:ascii="Calibri" w:eastAsia="Batang" w:hAnsi="Calibri"/>
          <w:sz w:val="24"/>
          <w:szCs w:val="24"/>
        </w:rPr>
        <w:t xml:space="preserve"> against this.  In addition, the sample size made possible through a quantitative approach allows for a higher degree of representativeness and tolerance for individual measurement errors.</w:t>
      </w:r>
    </w:p>
    <w:p w:rsidR="00444ADD" w:rsidRPr="002229EB" w:rsidRDefault="00444ADD" w:rsidP="009C3AC7">
      <w:pPr>
        <w:pStyle w:val="ParaAttribute0"/>
        <w:wordWrap/>
        <w:spacing w:line="276" w:lineRule="auto"/>
        <w:rPr>
          <w:rFonts w:ascii="Calibri" w:eastAsia="Tahoma" w:hAnsi="Calibri"/>
          <w:sz w:val="24"/>
          <w:szCs w:val="24"/>
        </w:rPr>
      </w:pPr>
    </w:p>
    <w:p w:rsidR="00444ADD" w:rsidRPr="002229EB" w:rsidRDefault="00444ADD" w:rsidP="009C3AC7">
      <w:pPr>
        <w:pStyle w:val="ParaAttribute0"/>
        <w:wordWrap/>
        <w:spacing w:line="276" w:lineRule="auto"/>
        <w:rPr>
          <w:rFonts w:ascii="Calibri" w:eastAsia="Tahoma" w:hAnsi="Calibri"/>
          <w:sz w:val="24"/>
          <w:szCs w:val="24"/>
        </w:rPr>
      </w:pPr>
      <w:r w:rsidRPr="002229EB">
        <w:rPr>
          <w:rStyle w:val="CharAttribute0"/>
          <w:rFonts w:ascii="Calibri" w:eastAsia="Batang" w:hAnsi="Calibri"/>
          <w:sz w:val="24"/>
          <w:szCs w:val="24"/>
        </w:rPr>
        <w:t xml:space="preserve">The study was centred </w:t>
      </w:r>
      <w:proofErr w:type="gramStart"/>
      <w:r w:rsidRPr="002229EB">
        <w:rPr>
          <w:rStyle w:val="CharAttribute0"/>
          <w:rFonts w:ascii="Calibri" w:eastAsia="Batang" w:hAnsi="Calibri"/>
          <w:sz w:val="24"/>
          <w:szCs w:val="24"/>
        </w:rPr>
        <w:t>around</w:t>
      </w:r>
      <w:proofErr w:type="gramEnd"/>
      <w:r w:rsidRPr="002229EB">
        <w:rPr>
          <w:rStyle w:val="CharAttribute0"/>
          <w:rFonts w:ascii="Calibri" w:eastAsia="Batang" w:hAnsi="Calibri"/>
          <w:sz w:val="24"/>
          <w:szCs w:val="24"/>
        </w:rPr>
        <w:t xml:space="preserve"> three </w:t>
      </w:r>
      <w:r w:rsidR="008A4317" w:rsidRPr="002229EB">
        <w:rPr>
          <w:rStyle w:val="CharAttribute0"/>
          <w:rFonts w:ascii="Calibri" w:eastAsia="Batang" w:hAnsi="Calibri"/>
          <w:sz w:val="24"/>
          <w:szCs w:val="24"/>
        </w:rPr>
        <w:t>universities - one each from England</w:t>
      </w:r>
      <w:r w:rsidRPr="002229EB">
        <w:rPr>
          <w:rStyle w:val="CharAttribute0"/>
          <w:rFonts w:ascii="Calibri" w:eastAsia="Batang" w:hAnsi="Calibri"/>
          <w:sz w:val="24"/>
          <w:szCs w:val="24"/>
        </w:rPr>
        <w:t xml:space="preserve">, the US and New Zealand.  These were selected on the basis that they shared a similar student cohort, being mid-ranked institutions within their own national context.  All three were situated within medium sized cities and had a mixed local and national recruitment profile that broadly echoed the national demographic profile for higher education students.  As such, they are assumed to be typical sites from which </w:t>
      </w:r>
      <w:r w:rsidR="005A0293" w:rsidRPr="002229EB">
        <w:rPr>
          <w:rStyle w:val="CharAttribute0"/>
          <w:rFonts w:ascii="Calibri" w:eastAsia="Batang" w:hAnsi="Calibri"/>
          <w:sz w:val="24"/>
          <w:szCs w:val="24"/>
        </w:rPr>
        <w:t>defensibly-</w:t>
      </w:r>
      <w:r w:rsidRPr="002229EB">
        <w:rPr>
          <w:rStyle w:val="CharAttribute0"/>
          <w:rFonts w:ascii="Calibri" w:eastAsia="Batang" w:hAnsi="Calibri"/>
          <w:sz w:val="24"/>
          <w:szCs w:val="24"/>
        </w:rPr>
        <w:t>representative samples might be drawn.</w:t>
      </w:r>
    </w:p>
    <w:p w:rsidR="00444ADD" w:rsidRPr="002229EB" w:rsidRDefault="00444ADD" w:rsidP="009C3AC7">
      <w:pPr>
        <w:pStyle w:val="ParaAttribute0"/>
        <w:wordWrap/>
        <w:spacing w:line="276" w:lineRule="auto"/>
        <w:rPr>
          <w:rFonts w:ascii="Calibri" w:eastAsia="Tahoma" w:hAnsi="Calibri"/>
          <w:sz w:val="24"/>
          <w:szCs w:val="24"/>
        </w:rPr>
      </w:pPr>
    </w:p>
    <w:p w:rsidR="00576DFB" w:rsidRPr="002229EB" w:rsidRDefault="00576DFB" w:rsidP="009C3AC7">
      <w:pPr>
        <w:pStyle w:val="ParaAttribute0"/>
        <w:wordWrap/>
        <w:spacing w:line="276" w:lineRule="auto"/>
        <w:rPr>
          <w:rFonts w:ascii="Calibri" w:hAnsi="Calibri"/>
          <w:sz w:val="24"/>
          <w:szCs w:val="24"/>
        </w:rPr>
      </w:pPr>
      <w:r w:rsidRPr="002229EB">
        <w:rPr>
          <w:rFonts w:ascii="Calibri" w:hAnsi="Calibri"/>
          <w:sz w:val="24"/>
          <w:szCs w:val="24"/>
        </w:rPr>
        <w:t>The sampling frame for the study comprise</w:t>
      </w:r>
      <w:r w:rsidR="00A62632" w:rsidRPr="002229EB">
        <w:rPr>
          <w:rFonts w:ascii="Calibri" w:hAnsi="Calibri"/>
          <w:sz w:val="24"/>
          <w:szCs w:val="24"/>
        </w:rPr>
        <w:t>d</w:t>
      </w:r>
      <w:r w:rsidRPr="002229EB">
        <w:rPr>
          <w:rFonts w:ascii="Calibri" w:hAnsi="Calibri"/>
          <w:sz w:val="24"/>
          <w:szCs w:val="24"/>
        </w:rPr>
        <w:t xml:space="preserve"> full-time ‘home’ </w:t>
      </w:r>
      <w:r w:rsidR="00A62632" w:rsidRPr="002229EB">
        <w:rPr>
          <w:rFonts w:ascii="Calibri" w:hAnsi="Calibri"/>
          <w:sz w:val="24"/>
          <w:szCs w:val="24"/>
        </w:rPr>
        <w:t xml:space="preserve">(i.e. not international) </w:t>
      </w:r>
      <w:r w:rsidRPr="002229EB">
        <w:rPr>
          <w:rFonts w:ascii="Calibri" w:hAnsi="Calibri"/>
          <w:sz w:val="24"/>
          <w:szCs w:val="24"/>
        </w:rPr>
        <w:t xml:space="preserve">undergraduates </w:t>
      </w:r>
      <w:r w:rsidR="00A62632" w:rsidRPr="002229EB">
        <w:rPr>
          <w:rFonts w:ascii="Calibri" w:hAnsi="Calibri"/>
          <w:sz w:val="24"/>
          <w:szCs w:val="24"/>
        </w:rPr>
        <w:t xml:space="preserve">in their first year on business </w:t>
      </w:r>
      <w:r w:rsidRPr="002229EB">
        <w:rPr>
          <w:rFonts w:ascii="Calibri" w:hAnsi="Calibri"/>
          <w:sz w:val="24"/>
          <w:szCs w:val="24"/>
        </w:rPr>
        <w:t>(including management, marketing</w:t>
      </w:r>
      <w:r w:rsidR="00A62632" w:rsidRPr="002229EB">
        <w:rPr>
          <w:rFonts w:ascii="Calibri" w:hAnsi="Calibri"/>
          <w:sz w:val="24"/>
          <w:szCs w:val="24"/>
        </w:rPr>
        <w:t>, accountancy, commerce, economics</w:t>
      </w:r>
      <w:r w:rsidRPr="002229EB">
        <w:rPr>
          <w:rFonts w:ascii="Calibri" w:hAnsi="Calibri"/>
          <w:sz w:val="24"/>
          <w:szCs w:val="24"/>
        </w:rPr>
        <w:t xml:space="preserve"> and applied mathematics) or social science </w:t>
      </w:r>
      <w:r w:rsidR="00A62632" w:rsidRPr="002229EB">
        <w:rPr>
          <w:rFonts w:ascii="Calibri" w:hAnsi="Calibri"/>
          <w:sz w:val="24"/>
          <w:szCs w:val="24"/>
        </w:rPr>
        <w:t xml:space="preserve">(including </w:t>
      </w:r>
      <w:r w:rsidRPr="002229EB">
        <w:rPr>
          <w:rFonts w:ascii="Calibri" w:hAnsi="Calibri"/>
          <w:sz w:val="24"/>
          <w:szCs w:val="24"/>
        </w:rPr>
        <w:t>sociology, psychology, politics and education) programmes</w:t>
      </w:r>
      <w:r w:rsidR="00A62632" w:rsidRPr="002229EB">
        <w:rPr>
          <w:rFonts w:ascii="Calibri" w:hAnsi="Calibri"/>
          <w:sz w:val="24"/>
          <w:szCs w:val="24"/>
        </w:rPr>
        <w:t>; t</w:t>
      </w:r>
      <w:r w:rsidRPr="002229EB">
        <w:rPr>
          <w:rFonts w:ascii="Calibri" w:hAnsi="Calibri"/>
          <w:sz w:val="24"/>
          <w:szCs w:val="24"/>
        </w:rPr>
        <w:t xml:space="preserve">here </w:t>
      </w:r>
      <w:r w:rsidR="001573A9" w:rsidRPr="002229EB">
        <w:rPr>
          <w:rFonts w:ascii="Calibri" w:hAnsi="Calibri"/>
          <w:sz w:val="24"/>
          <w:szCs w:val="24"/>
        </w:rPr>
        <w:t>was no age criterion</w:t>
      </w:r>
      <w:r w:rsidR="00A62632" w:rsidRPr="002229EB">
        <w:rPr>
          <w:rFonts w:ascii="Calibri" w:hAnsi="Calibri"/>
          <w:sz w:val="24"/>
          <w:szCs w:val="24"/>
        </w:rPr>
        <w:t>.</w:t>
      </w:r>
      <w:r w:rsidR="00C1200D" w:rsidRPr="002229EB">
        <w:rPr>
          <w:rFonts w:ascii="Calibri" w:hAnsi="Calibri"/>
          <w:sz w:val="24"/>
          <w:szCs w:val="24"/>
        </w:rPr>
        <w:t xml:space="preserve">  </w:t>
      </w:r>
      <w:r w:rsidR="00522645" w:rsidRPr="002229EB">
        <w:rPr>
          <w:rFonts w:ascii="Calibri" w:hAnsi="Calibri"/>
          <w:sz w:val="24"/>
          <w:szCs w:val="24"/>
        </w:rPr>
        <w:t>First year students were used to ensure that debt was a new experience for them, such that their indebtedness had limited time to change their attitudes</w:t>
      </w:r>
      <w:r w:rsidR="008A4317" w:rsidRPr="002229EB">
        <w:rPr>
          <w:rFonts w:ascii="Calibri" w:hAnsi="Calibri"/>
          <w:sz w:val="24"/>
          <w:szCs w:val="24"/>
        </w:rPr>
        <w:t>; this reduces concerns about the direction of causality</w:t>
      </w:r>
      <w:r w:rsidR="00522645" w:rsidRPr="002229EB">
        <w:rPr>
          <w:rFonts w:ascii="Calibri" w:hAnsi="Calibri"/>
          <w:sz w:val="24"/>
          <w:szCs w:val="24"/>
        </w:rPr>
        <w:t xml:space="preserve">.  </w:t>
      </w:r>
      <w:r w:rsidR="00C1200D" w:rsidRPr="002229EB">
        <w:rPr>
          <w:rFonts w:ascii="Calibri" w:hAnsi="Calibri"/>
          <w:sz w:val="24"/>
          <w:szCs w:val="24"/>
        </w:rPr>
        <w:t xml:space="preserve">International students were excluded as they are </w:t>
      </w:r>
      <w:r w:rsidR="001573A9" w:rsidRPr="002229EB">
        <w:rPr>
          <w:rFonts w:ascii="Calibri" w:hAnsi="Calibri"/>
          <w:sz w:val="24"/>
          <w:szCs w:val="24"/>
        </w:rPr>
        <w:t>often in</w:t>
      </w:r>
      <w:r w:rsidR="00C1200D" w:rsidRPr="002229EB">
        <w:rPr>
          <w:rFonts w:ascii="Calibri" w:hAnsi="Calibri"/>
          <w:sz w:val="24"/>
          <w:szCs w:val="24"/>
        </w:rPr>
        <w:t>eligible for student loans in the country in which they are studying.</w:t>
      </w:r>
    </w:p>
    <w:p w:rsidR="00576DFB" w:rsidRPr="002229EB" w:rsidRDefault="00576DFB" w:rsidP="009C3AC7">
      <w:pPr>
        <w:pStyle w:val="ParaAttribute0"/>
        <w:wordWrap/>
        <w:spacing w:line="276" w:lineRule="auto"/>
        <w:rPr>
          <w:rFonts w:ascii="Calibri" w:eastAsia="Tahoma" w:hAnsi="Calibri"/>
          <w:sz w:val="24"/>
          <w:szCs w:val="24"/>
        </w:rPr>
      </w:pPr>
    </w:p>
    <w:p w:rsidR="001573A9" w:rsidRPr="002229EB" w:rsidRDefault="008A4317" w:rsidP="009C3AC7">
      <w:pPr>
        <w:pStyle w:val="ParaAttribute0"/>
        <w:wordWrap/>
        <w:spacing w:line="276" w:lineRule="auto"/>
        <w:rPr>
          <w:rFonts w:ascii="Calibri" w:eastAsia="Tahoma" w:hAnsi="Calibri"/>
          <w:sz w:val="24"/>
          <w:szCs w:val="24"/>
        </w:rPr>
      </w:pPr>
      <w:r w:rsidRPr="002229EB">
        <w:rPr>
          <w:rFonts w:ascii="Calibri" w:eastAsia="Tahoma" w:hAnsi="Calibri"/>
          <w:sz w:val="24"/>
          <w:szCs w:val="24"/>
        </w:rPr>
        <w:t>As noted above, t</w:t>
      </w:r>
      <w:r w:rsidR="001573A9" w:rsidRPr="002229EB">
        <w:rPr>
          <w:rFonts w:ascii="Calibri" w:eastAsia="Tahoma" w:hAnsi="Calibri"/>
          <w:sz w:val="24"/>
          <w:szCs w:val="24"/>
        </w:rPr>
        <w:t xml:space="preserve">he questionnaire used was developed from the results of the interview data </w:t>
      </w:r>
      <w:r w:rsidR="001573A9" w:rsidRPr="002229EB">
        <w:rPr>
          <w:rFonts w:ascii="Calibri" w:eastAsia="Tahoma" w:hAnsi="Calibri"/>
          <w:sz w:val="24"/>
          <w:szCs w:val="24"/>
        </w:rPr>
        <w:lastRenderedPageBreak/>
        <w:t xml:space="preserve">reported in Harrison et al (in press).  The scales developed by Davies and Lea (1995) and </w:t>
      </w:r>
      <w:proofErr w:type="spellStart"/>
      <w:r w:rsidR="001573A9" w:rsidRPr="002229EB">
        <w:rPr>
          <w:rFonts w:ascii="Calibri" w:eastAsia="Tahoma" w:hAnsi="Calibri"/>
          <w:sz w:val="24"/>
          <w:szCs w:val="24"/>
        </w:rPr>
        <w:t>Haultain</w:t>
      </w:r>
      <w:proofErr w:type="spellEnd"/>
      <w:r w:rsidR="001573A9" w:rsidRPr="002229EB">
        <w:rPr>
          <w:rFonts w:ascii="Calibri" w:eastAsia="Tahoma" w:hAnsi="Calibri"/>
          <w:sz w:val="24"/>
          <w:szCs w:val="24"/>
        </w:rPr>
        <w:t xml:space="preserve"> et al. (2010) were not felt to be appropriate </w:t>
      </w:r>
      <w:r w:rsidR="00A20D2B" w:rsidRPr="002229EB">
        <w:rPr>
          <w:rFonts w:ascii="Calibri" w:eastAsia="Tahoma" w:hAnsi="Calibri"/>
          <w:sz w:val="24"/>
          <w:szCs w:val="24"/>
        </w:rPr>
        <w:t xml:space="preserve">as they focused primarily on an abstract concept of debt, rather than students’ </w:t>
      </w:r>
      <w:r w:rsidR="0037433B" w:rsidRPr="002229EB">
        <w:rPr>
          <w:rFonts w:ascii="Calibri" w:eastAsia="Tahoma" w:hAnsi="Calibri"/>
          <w:sz w:val="24"/>
          <w:szCs w:val="24"/>
        </w:rPr>
        <w:t xml:space="preserve">responses to their </w:t>
      </w:r>
      <w:r w:rsidR="00A20D2B" w:rsidRPr="002229EB">
        <w:rPr>
          <w:rFonts w:ascii="Calibri" w:eastAsia="Tahoma" w:hAnsi="Calibri"/>
          <w:sz w:val="24"/>
          <w:szCs w:val="24"/>
        </w:rPr>
        <w:t xml:space="preserve">lived experiences of indebtedness.  The original questionnaire was piloted in </w:t>
      </w:r>
      <w:r w:rsidRPr="002229EB">
        <w:rPr>
          <w:rFonts w:ascii="Calibri" w:eastAsia="Tahoma" w:hAnsi="Calibri"/>
          <w:sz w:val="24"/>
          <w:szCs w:val="24"/>
        </w:rPr>
        <w:t>England</w:t>
      </w:r>
      <w:r w:rsidR="00A20D2B" w:rsidRPr="002229EB">
        <w:rPr>
          <w:rFonts w:ascii="Calibri" w:eastAsia="Tahoma" w:hAnsi="Calibri"/>
          <w:sz w:val="24"/>
          <w:szCs w:val="24"/>
        </w:rPr>
        <w:t xml:space="preserve"> in December 2012 and a number of refinements made as a result.</w:t>
      </w:r>
      <w:r w:rsidR="007600C8" w:rsidRPr="002229EB">
        <w:rPr>
          <w:rFonts w:ascii="Calibri" w:eastAsia="Tahoma" w:hAnsi="Calibri"/>
          <w:sz w:val="24"/>
          <w:szCs w:val="24"/>
        </w:rPr>
        <w:t xml:space="preserve">  The questionnaire also contained demographic questions, a personality inventory and a financial li</w:t>
      </w:r>
      <w:r w:rsidRPr="002229EB">
        <w:rPr>
          <w:rFonts w:ascii="Calibri" w:eastAsia="Tahoma" w:hAnsi="Calibri"/>
          <w:sz w:val="24"/>
          <w:szCs w:val="24"/>
        </w:rPr>
        <w:t xml:space="preserve">teracy test (the results of these </w:t>
      </w:r>
      <w:r w:rsidR="007600C8" w:rsidRPr="002229EB">
        <w:rPr>
          <w:rFonts w:ascii="Calibri" w:eastAsia="Tahoma" w:hAnsi="Calibri"/>
          <w:sz w:val="24"/>
          <w:szCs w:val="24"/>
        </w:rPr>
        <w:t xml:space="preserve">components are </w:t>
      </w:r>
      <w:r w:rsidRPr="002229EB">
        <w:rPr>
          <w:rFonts w:ascii="Calibri" w:eastAsia="Tahoma" w:hAnsi="Calibri"/>
          <w:sz w:val="24"/>
          <w:szCs w:val="24"/>
        </w:rPr>
        <w:t xml:space="preserve">to be </w:t>
      </w:r>
      <w:r w:rsidR="007600C8" w:rsidRPr="002229EB">
        <w:rPr>
          <w:rFonts w:ascii="Calibri" w:eastAsia="Tahoma" w:hAnsi="Calibri"/>
          <w:sz w:val="24"/>
          <w:szCs w:val="24"/>
        </w:rPr>
        <w:t>reported elsewhere).</w:t>
      </w:r>
      <w:r w:rsidR="00A9432E" w:rsidRPr="002229EB">
        <w:rPr>
          <w:rFonts w:ascii="Calibri" w:eastAsia="Tahoma" w:hAnsi="Calibri"/>
          <w:sz w:val="24"/>
          <w:szCs w:val="24"/>
        </w:rPr>
        <w:t xml:space="preserve">  The final version of the questionnaire comprised 20 items measured on a Likert scale running from 1 (Strongly agree) to 5 (Strongly disagree).</w:t>
      </w:r>
    </w:p>
    <w:p w:rsidR="001573A9" w:rsidRPr="002229EB" w:rsidRDefault="001573A9" w:rsidP="009C3AC7">
      <w:pPr>
        <w:pStyle w:val="ParaAttribute0"/>
        <w:wordWrap/>
        <w:spacing w:line="276" w:lineRule="auto"/>
        <w:rPr>
          <w:rFonts w:ascii="Calibri" w:eastAsia="Tahoma" w:hAnsi="Calibri"/>
          <w:sz w:val="24"/>
          <w:szCs w:val="24"/>
        </w:rPr>
      </w:pPr>
    </w:p>
    <w:p w:rsidR="00A20D2B" w:rsidRPr="002229EB" w:rsidRDefault="00A20D2B" w:rsidP="009C3AC7">
      <w:pPr>
        <w:pStyle w:val="ParaAttribute0"/>
        <w:wordWrap/>
        <w:spacing w:line="276" w:lineRule="auto"/>
        <w:rPr>
          <w:rFonts w:ascii="Calibri" w:eastAsia="Tahoma" w:hAnsi="Calibri"/>
          <w:sz w:val="24"/>
          <w:szCs w:val="24"/>
        </w:rPr>
      </w:pPr>
      <w:r w:rsidRPr="002229EB">
        <w:rPr>
          <w:rFonts w:ascii="Calibri" w:eastAsia="Tahoma" w:hAnsi="Calibri"/>
          <w:sz w:val="24"/>
          <w:szCs w:val="24"/>
        </w:rPr>
        <w:t>The d</w:t>
      </w:r>
      <w:r w:rsidR="008A4317" w:rsidRPr="002229EB">
        <w:rPr>
          <w:rFonts w:ascii="Calibri" w:eastAsia="Tahoma" w:hAnsi="Calibri"/>
          <w:sz w:val="24"/>
          <w:szCs w:val="24"/>
        </w:rPr>
        <w:t xml:space="preserve">ata were collected in an interval </w:t>
      </w:r>
      <w:r w:rsidRPr="002229EB">
        <w:rPr>
          <w:rFonts w:ascii="Calibri" w:eastAsia="Tahoma" w:hAnsi="Calibri"/>
          <w:sz w:val="24"/>
          <w:szCs w:val="24"/>
        </w:rPr>
        <w:t xml:space="preserve">spanning October 2013 and January 2014.  Due to the different cycles of the academic years in the three countries, this corresponded to a period roughly halfway through the students’ first year of study.  </w:t>
      </w:r>
      <w:r w:rsidRPr="002229EB">
        <w:rPr>
          <w:rStyle w:val="CharAttribute0"/>
          <w:rFonts w:ascii="Calibri" w:eastAsia="Batang" w:hAnsi="Calibri"/>
          <w:sz w:val="24"/>
          <w:szCs w:val="24"/>
        </w:rPr>
        <w:t xml:space="preserve">A nearly identical version of the questionnaire was used, with minor differences to accommodate local vocabulary and spelling. </w:t>
      </w:r>
    </w:p>
    <w:p w:rsidR="00A20D2B" w:rsidRPr="002229EB" w:rsidRDefault="00A20D2B" w:rsidP="009C3AC7">
      <w:pPr>
        <w:pStyle w:val="ParaAttribute0"/>
        <w:wordWrap/>
        <w:spacing w:line="276" w:lineRule="auto"/>
        <w:rPr>
          <w:rFonts w:ascii="Calibri" w:eastAsia="Tahoma" w:hAnsi="Calibri"/>
          <w:sz w:val="24"/>
          <w:szCs w:val="24"/>
        </w:rPr>
      </w:pPr>
    </w:p>
    <w:p w:rsidR="00444ADD" w:rsidRPr="002229EB" w:rsidRDefault="00784311" w:rsidP="009C3AC7">
      <w:pPr>
        <w:pStyle w:val="ParaAttribute0"/>
        <w:wordWrap/>
        <w:spacing w:line="276" w:lineRule="auto"/>
        <w:rPr>
          <w:rFonts w:ascii="Calibri" w:hAnsi="Calibri"/>
          <w:sz w:val="24"/>
          <w:szCs w:val="24"/>
        </w:rPr>
      </w:pPr>
      <w:r w:rsidRPr="002229EB">
        <w:rPr>
          <w:rStyle w:val="CharAttribute0"/>
          <w:rFonts w:ascii="Calibri" w:eastAsia="Batang" w:hAnsi="Calibri"/>
          <w:sz w:val="24"/>
          <w:szCs w:val="24"/>
        </w:rPr>
        <w:t>A similar</w:t>
      </w:r>
      <w:r w:rsidR="00444ADD" w:rsidRPr="002229EB">
        <w:rPr>
          <w:rStyle w:val="CharAttribute0"/>
          <w:rFonts w:ascii="Calibri" w:eastAsia="Batang" w:hAnsi="Calibri"/>
          <w:sz w:val="24"/>
          <w:szCs w:val="24"/>
        </w:rPr>
        <w:t xml:space="preserve"> approach to data collection was used in each university.  The questionnaire was rendered online using </w:t>
      </w:r>
      <w:r w:rsidR="005011A7" w:rsidRPr="002229EB">
        <w:rPr>
          <w:rStyle w:val="CharAttribute0"/>
          <w:rFonts w:ascii="Calibri" w:eastAsia="Batang" w:hAnsi="Calibri"/>
          <w:sz w:val="24"/>
          <w:szCs w:val="24"/>
        </w:rPr>
        <w:t>Moodle</w:t>
      </w:r>
      <w:r w:rsidR="005A0293" w:rsidRPr="002229EB">
        <w:rPr>
          <w:rStyle w:val="CharAttribute0"/>
          <w:rFonts w:ascii="Calibri" w:eastAsia="Batang" w:hAnsi="Calibri"/>
          <w:sz w:val="24"/>
          <w:szCs w:val="24"/>
        </w:rPr>
        <w:t xml:space="preserve"> </w:t>
      </w:r>
      <w:r w:rsidR="00901D6E">
        <w:rPr>
          <w:rStyle w:val="CharAttribute0"/>
          <w:rFonts w:ascii="Calibri" w:eastAsia="Batang" w:hAnsi="Calibri"/>
          <w:sz w:val="24"/>
          <w:szCs w:val="24"/>
        </w:rPr>
        <w:t xml:space="preserve">in NZ and </w:t>
      </w:r>
      <w:r w:rsidR="00444ADD" w:rsidRPr="002229EB">
        <w:rPr>
          <w:rStyle w:val="CharAttribute0"/>
          <w:rFonts w:ascii="Calibri" w:eastAsia="Batang" w:hAnsi="Calibri"/>
          <w:sz w:val="24"/>
          <w:szCs w:val="24"/>
        </w:rPr>
        <w:t xml:space="preserve">Survey Monkey in </w:t>
      </w:r>
      <w:r w:rsidR="008A4317" w:rsidRPr="002229EB">
        <w:rPr>
          <w:rStyle w:val="CharAttribute0"/>
          <w:rFonts w:ascii="Calibri" w:eastAsia="Batang" w:hAnsi="Calibri"/>
          <w:sz w:val="24"/>
          <w:szCs w:val="24"/>
        </w:rPr>
        <w:t>England</w:t>
      </w:r>
      <w:r w:rsidR="00444ADD" w:rsidRPr="002229EB">
        <w:rPr>
          <w:rStyle w:val="CharAttribute0"/>
          <w:rFonts w:ascii="Calibri" w:eastAsia="Batang" w:hAnsi="Calibri"/>
          <w:sz w:val="24"/>
          <w:szCs w:val="24"/>
        </w:rPr>
        <w:t xml:space="preserve"> and the US, with e-mail and in-person reminders being provided over the course of one month.  </w:t>
      </w:r>
      <w:r w:rsidR="0037433B" w:rsidRPr="002229EB">
        <w:rPr>
          <w:rStyle w:val="CharAttribute0"/>
          <w:rFonts w:ascii="Calibri" w:eastAsia="Batang" w:hAnsi="Calibri"/>
          <w:sz w:val="24"/>
          <w:szCs w:val="24"/>
        </w:rPr>
        <w:t>Responses from students outside the sampling frame and those without debt were subsequently removed by hand.  I</w:t>
      </w:r>
      <w:r w:rsidR="00444ADD" w:rsidRPr="002229EB">
        <w:rPr>
          <w:rStyle w:val="CharAttribute0"/>
          <w:rFonts w:ascii="Calibri" w:eastAsia="Batang" w:hAnsi="Calibri"/>
          <w:sz w:val="24"/>
          <w:szCs w:val="24"/>
        </w:rPr>
        <w:t xml:space="preserve">n </w:t>
      </w:r>
      <w:r w:rsidR="00901D6E">
        <w:rPr>
          <w:rStyle w:val="CharAttribute0"/>
          <w:rFonts w:ascii="Calibri" w:eastAsia="Batang" w:hAnsi="Calibri"/>
          <w:sz w:val="24"/>
          <w:szCs w:val="24"/>
        </w:rPr>
        <w:t>England and NZ</w:t>
      </w:r>
      <w:r w:rsidR="00444ADD" w:rsidRPr="002229EB">
        <w:rPr>
          <w:rStyle w:val="CharAttribute0"/>
          <w:rFonts w:ascii="Calibri" w:eastAsia="Batang" w:hAnsi="Calibri"/>
          <w:sz w:val="24"/>
          <w:szCs w:val="24"/>
        </w:rPr>
        <w:t>, a prize draw incentive was used to increase response rates</w:t>
      </w:r>
      <w:r w:rsidR="00901D6E">
        <w:rPr>
          <w:rStyle w:val="CharAttribute0"/>
          <w:rFonts w:ascii="Calibri" w:eastAsia="Batang" w:hAnsi="Calibri"/>
          <w:sz w:val="24"/>
          <w:szCs w:val="24"/>
        </w:rPr>
        <w:t xml:space="preserve">, while students in the US were offered class credit.  Both approaches helped to </w:t>
      </w:r>
      <w:r w:rsidR="00444ADD" w:rsidRPr="002229EB">
        <w:rPr>
          <w:rStyle w:val="CharAttribute0"/>
          <w:rFonts w:ascii="Calibri" w:eastAsia="Batang" w:hAnsi="Calibri"/>
          <w:sz w:val="24"/>
          <w:szCs w:val="24"/>
        </w:rPr>
        <w:t>ameliorate self-selection bias by engaging with groups who might not</w:t>
      </w:r>
      <w:r w:rsidR="00DE082D" w:rsidRPr="002229EB">
        <w:rPr>
          <w:rStyle w:val="CharAttribute0"/>
          <w:rFonts w:ascii="Calibri" w:eastAsia="Batang" w:hAnsi="Calibri"/>
          <w:sz w:val="24"/>
          <w:szCs w:val="24"/>
        </w:rPr>
        <w:t xml:space="preserve"> typically respond to an unsolicit</w:t>
      </w:r>
      <w:r w:rsidR="00444ADD" w:rsidRPr="002229EB">
        <w:rPr>
          <w:rStyle w:val="CharAttribute0"/>
          <w:rFonts w:ascii="Calibri" w:eastAsia="Batang" w:hAnsi="Calibri"/>
          <w:sz w:val="24"/>
          <w:szCs w:val="24"/>
        </w:rPr>
        <w:t>ed survey invitation</w:t>
      </w:r>
      <w:r w:rsidR="0075086F" w:rsidRPr="002229EB">
        <w:rPr>
          <w:rStyle w:val="CharAttribute0"/>
          <w:rFonts w:ascii="Calibri" w:eastAsia="Batang" w:hAnsi="Calibri"/>
          <w:sz w:val="24"/>
          <w:szCs w:val="24"/>
        </w:rPr>
        <w:t>.</w:t>
      </w:r>
    </w:p>
    <w:p w:rsidR="0037433B" w:rsidRPr="002229EB" w:rsidRDefault="0037433B" w:rsidP="009C3AC7">
      <w:pPr>
        <w:pStyle w:val="ParaAttribute0"/>
        <w:wordWrap/>
        <w:spacing w:line="276" w:lineRule="auto"/>
        <w:rPr>
          <w:rStyle w:val="CharAttribute0"/>
          <w:rFonts w:ascii="Calibri" w:eastAsia="Batang" w:hAnsi="Calibri"/>
          <w:sz w:val="24"/>
          <w:szCs w:val="24"/>
        </w:rPr>
      </w:pPr>
    </w:p>
    <w:p w:rsidR="00784311" w:rsidRPr="002229EB" w:rsidRDefault="00784311" w:rsidP="009C3AC7">
      <w:pPr>
        <w:pStyle w:val="ParaAttribute0"/>
        <w:wordWrap/>
        <w:spacing w:line="276" w:lineRule="auto"/>
        <w:rPr>
          <w:rStyle w:val="CharAttribute0"/>
          <w:rFonts w:ascii="Calibri" w:eastAsia="Batang" w:hAnsi="Calibri"/>
          <w:sz w:val="24"/>
          <w:szCs w:val="24"/>
        </w:rPr>
      </w:pPr>
      <w:r w:rsidRPr="002229EB">
        <w:rPr>
          <w:rStyle w:val="CharAttribute0"/>
          <w:rFonts w:ascii="Calibri" w:eastAsia="Batang" w:hAnsi="Calibri"/>
          <w:sz w:val="24"/>
          <w:szCs w:val="24"/>
        </w:rPr>
        <w:t xml:space="preserve">A total of 496 valid responses were received, comprising 240 from NZ, 199 from </w:t>
      </w:r>
      <w:r w:rsidR="008A4317" w:rsidRPr="002229EB">
        <w:rPr>
          <w:rStyle w:val="CharAttribute0"/>
          <w:rFonts w:ascii="Calibri" w:eastAsia="Batang" w:hAnsi="Calibri"/>
          <w:sz w:val="24"/>
          <w:szCs w:val="24"/>
        </w:rPr>
        <w:t>England</w:t>
      </w:r>
      <w:r w:rsidRPr="002229EB">
        <w:rPr>
          <w:rStyle w:val="CharAttribute0"/>
          <w:rFonts w:ascii="Calibri" w:eastAsia="Batang" w:hAnsi="Calibri"/>
          <w:sz w:val="24"/>
          <w:szCs w:val="24"/>
        </w:rPr>
        <w:t xml:space="preserve"> and 57 from the US (where fewer students </w:t>
      </w:r>
      <w:r w:rsidR="00700B16" w:rsidRPr="002229EB">
        <w:rPr>
          <w:rStyle w:val="CharAttribute0"/>
          <w:rFonts w:ascii="Calibri" w:eastAsia="Batang" w:hAnsi="Calibri"/>
          <w:sz w:val="24"/>
          <w:szCs w:val="24"/>
        </w:rPr>
        <w:t>have student loans</w:t>
      </w:r>
      <w:r w:rsidRPr="002229EB">
        <w:rPr>
          <w:rStyle w:val="CharAttribute0"/>
          <w:rFonts w:ascii="Calibri" w:eastAsia="Batang" w:hAnsi="Calibri"/>
          <w:sz w:val="24"/>
          <w:szCs w:val="24"/>
        </w:rPr>
        <w:t>).</w:t>
      </w:r>
      <w:r w:rsidR="002D5C35" w:rsidRPr="002229EB">
        <w:rPr>
          <w:rStyle w:val="CharAttribute0"/>
          <w:rFonts w:ascii="Calibri" w:eastAsia="Batang" w:hAnsi="Calibri"/>
          <w:sz w:val="24"/>
          <w:szCs w:val="24"/>
        </w:rPr>
        <w:t xml:space="preserve">  Table </w:t>
      </w:r>
      <w:r w:rsidR="002B695B">
        <w:rPr>
          <w:rStyle w:val="CharAttribute0"/>
          <w:rFonts w:ascii="Calibri" w:eastAsia="Batang" w:hAnsi="Calibri"/>
          <w:sz w:val="24"/>
          <w:szCs w:val="24"/>
        </w:rPr>
        <w:t>1</w:t>
      </w:r>
      <w:r w:rsidR="002D5C35" w:rsidRPr="002229EB">
        <w:rPr>
          <w:rStyle w:val="CharAttribute0"/>
          <w:rFonts w:ascii="Calibri" w:eastAsia="Batang" w:hAnsi="Calibri"/>
          <w:sz w:val="24"/>
          <w:szCs w:val="24"/>
        </w:rPr>
        <w:t xml:space="preserve"> provides descriptive statistics for the three national samples.</w:t>
      </w:r>
    </w:p>
    <w:p w:rsidR="002D5C35" w:rsidRPr="002229EB" w:rsidRDefault="002D5C35" w:rsidP="009C3AC7">
      <w:pPr>
        <w:pStyle w:val="ParaAttribute0"/>
        <w:wordWrap/>
        <w:spacing w:line="276" w:lineRule="auto"/>
        <w:rPr>
          <w:rStyle w:val="CharAttribute0"/>
          <w:rFonts w:ascii="Calibri" w:eastAsia="Batang" w:hAnsi="Calibri"/>
          <w:sz w:val="24"/>
          <w:szCs w:val="24"/>
        </w:rPr>
      </w:pPr>
    </w:p>
    <w:p w:rsidR="002D5C35" w:rsidRPr="002229EB" w:rsidRDefault="002D5C35" w:rsidP="009C3AC7">
      <w:pPr>
        <w:pStyle w:val="ParaAttribute0"/>
        <w:wordWrap/>
        <w:spacing w:line="276" w:lineRule="auto"/>
        <w:rPr>
          <w:rStyle w:val="CharAttribute0"/>
          <w:rFonts w:ascii="Calibri" w:eastAsia="Batang" w:hAnsi="Calibri"/>
          <w:i/>
          <w:sz w:val="24"/>
          <w:szCs w:val="24"/>
        </w:rPr>
      </w:pPr>
      <w:r w:rsidRPr="002229EB">
        <w:rPr>
          <w:rStyle w:val="CharAttribute0"/>
          <w:rFonts w:ascii="Calibri" w:eastAsia="Batang" w:hAnsi="Calibri"/>
          <w:i/>
          <w:sz w:val="24"/>
          <w:szCs w:val="24"/>
        </w:rPr>
        <w:t xml:space="preserve">Table </w:t>
      </w:r>
      <w:r w:rsidR="002B695B">
        <w:rPr>
          <w:rStyle w:val="CharAttribute0"/>
          <w:rFonts w:ascii="Calibri" w:eastAsia="Batang" w:hAnsi="Calibri"/>
          <w:i/>
          <w:sz w:val="24"/>
          <w:szCs w:val="24"/>
        </w:rPr>
        <w:t>1</w:t>
      </w:r>
      <w:r w:rsidRPr="002229EB">
        <w:rPr>
          <w:rStyle w:val="CharAttribute0"/>
          <w:rFonts w:ascii="Calibri" w:eastAsia="Batang" w:hAnsi="Calibri"/>
          <w:i/>
          <w:sz w:val="24"/>
          <w:szCs w:val="24"/>
        </w:rPr>
        <w:t xml:space="preserve">: Sample descriptive statistics </w:t>
      </w:r>
    </w:p>
    <w:tbl>
      <w:tblPr>
        <w:tblStyle w:val="TableGrid"/>
        <w:tblW w:w="0" w:type="auto"/>
        <w:tblInd w:w="108" w:type="dxa"/>
        <w:tblLook w:val="04A0" w:firstRow="1" w:lastRow="0" w:firstColumn="1" w:lastColumn="0" w:noHBand="0" w:noVBand="1"/>
      </w:tblPr>
      <w:tblGrid>
        <w:gridCol w:w="3261"/>
        <w:gridCol w:w="795"/>
        <w:gridCol w:w="795"/>
        <w:gridCol w:w="795"/>
        <w:gridCol w:w="796"/>
        <w:gridCol w:w="795"/>
        <w:gridCol w:w="795"/>
        <w:gridCol w:w="795"/>
        <w:gridCol w:w="796"/>
      </w:tblGrid>
      <w:tr w:rsidR="00595F35" w:rsidRPr="002229EB" w:rsidTr="0044588A">
        <w:tc>
          <w:tcPr>
            <w:tcW w:w="3261" w:type="dxa"/>
            <w:vMerge w:val="restart"/>
            <w:tcBorders>
              <w:left w:val="nil"/>
              <w:right w:val="nil"/>
            </w:tcBorders>
          </w:tcPr>
          <w:p w:rsidR="00595F35" w:rsidRPr="002229EB" w:rsidRDefault="00595F35" w:rsidP="009C3AC7">
            <w:pPr>
              <w:pStyle w:val="ParaAttribute0"/>
              <w:wordWrap/>
              <w:spacing w:line="276" w:lineRule="auto"/>
              <w:rPr>
                <w:rStyle w:val="CharAttribute0"/>
                <w:rFonts w:ascii="Calibri" w:eastAsia="Batang" w:hAnsi="Calibri"/>
                <w:sz w:val="24"/>
                <w:szCs w:val="24"/>
              </w:rPr>
            </w:pPr>
          </w:p>
        </w:tc>
        <w:tc>
          <w:tcPr>
            <w:tcW w:w="1590" w:type="dxa"/>
            <w:gridSpan w:val="2"/>
            <w:tcBorders>
              <w:left w:val="nil"/>
              <w:right w:val="nil"/>
            </w:tcBorders>
          </w:tcPr>
          <w:p w:rsidR="00595F35" w:rsidRPr="002229EB" w:rsidRDefault="008A4317" w:rsidP="00812779">
            <w:pPr>
              <w:pStyle w:val="ParaAttribute0"/>
              <w:wordWrap/>
              <w:spacing w:line="276" w:lineRule="auto"/>
              <w:jc w:val="center"/>
              <w:rPr>
                <w:rStyle w:val="CharAttribute0"/>
                <w:rFonts w:ascii="Calibri" w:eastAsia="Batang" w:hAnsi="Calibri"/>
                <w:b/>
                <w:sz w:val="24"/>
                <w:szCs w:val="24"/>
              </w:rPr>
            </w:pPr>
            <w:r w:rsidRPr="002229EB">
              <w:rPr>
                <w:rStyle w:val="CharAttribute0"/>
                <w:rFonts w:ascii="Calibri" w:eastAsia="Batang" w:hAnsi="Calibri"/>
                <w:b/>
                <w:sz w:val="24"/>
                <w:szCs w:val="24"/>
              </w:rPr>
              <w:t>England</w:t>
            </w:r>
          </w:p>
        </w:tc>
        <w:tc>
          <w:tcPr>
            <w:tcW w:w="1591" w:type="dxa"/>
            <w:gridSpan w:val="2"/>
            <w:tcBorders>
              <w:left w:val="nil"/>
              <w:right w:val="nil"/>
            </w:tcBorders>
          </w:tcPr>
          <w:p w:rsidR="00595F35" w:rsidRPr="002229EB" w:rsidRDefault="00595F35" w:rsidP="00812779">
            <w:pPr>
              <w:pStyle w:val="ParaAttribute0"/>
              <w:wordWrap/>
              <w:spacing w:line="276" w:lineRule="auto"/>
              <w:jc w:val="center"/>
              <w:rPr>
                <w:rStyle w:val="CharAttribute0"/>
                <w:rFonts w:ascii="Calibri" w:eastAsia="Batang" w:hAnsi="Calibri"/>
                <w:b/>
                <w:sz w:val="24"/>
                <w:szCs w:val="24"/>
              </w:rPr>
            </w:pPr>
            <w:r w:rsidRPr="002229EB">
              <w:rPr>
                <w:rStyle w:val="CharAttribute0"/>
                <w:rFonts w:ascii="Calibri" w:eastAsia="Batang" w:hAnsi="Calibri"/>
                <w:b/>
                <w:sz w:val="24"/>
                <w:szCs w:val="24"/>
              </w:rPr>
              <w:t>NZ</w:t>
            </w:r>
          </w:p>
        </w:tc>
        <w:tc>
          <w:tcPr>
            <w:tcW w:w="1590" w:type="dxa"/>
            <w:gridSpan w:val="2"/>
            <w:tcBorders>
              <w:left w:val="nil"/>
              <w:right w:val="nil"/>
            </w:tcBorders>
          </w:tcPr>
          <w:p w:rsidR="00595F35" w:rsidRPr="002229EB" w:rsidRDefault="00595F35" w:rsidP="00812779">
            <w:pPr>
              <w:pStyle w:val="ParaAttribute0"/>
              <w:wordWrap/>
              <w:spacing w:line="276" w:lineRule="auto"/>
              <w:jc w:val="center"/>
              <w:rPr>
                <w:rStyle w:val="CharAttribute0"/>
                <w:rFonts w:ascii="Calibri" w:eastAsia="Batang" w:hAnsi="Calibri"/>
                <w:b/>
                <w:sz w:val="24"/>
                <w:szCs w:val="24"/>
              </w:rPr>
            </w:pPr>
            <w:r w:rsidRPr="002229EB">
              <w:rPr>
                <w:rStyle w:val="CharAttribute0"/>
                <w:rFonts w:ascii="Calibri" w:eastAsia="Batang" w:hAnsi="Calibri"/>
                <w:b/>
                <w:sz w:val="24"/>
                <w:szCs w:val="24"/>
              </w:rPr>
              <w:t>US</w:t>
            </w:r>
          </w:p>
        </w:tc>
        <w:tc>
          <w:tcPr>
            <w:tcW w:w="1591" w:type="dxa"/>
            <w:gridSpan w:val="2"/>
            <w:tcBorders>
              <w:left w:val="nil"/>
              <w:right w:val="nil"/>
            </w:tcBorders>
          </w:tcPr>
          <w:p w:rsidR="00595F35" w:rsidRPr="002229EB" w:rsidRDefault="00595F35" w:rsidP="00812779">
            <w:pPr>
              <w:pStyle w:val="ParaAttribute0"/>
              <w:wordWrap/>
              <w:spacing w:line="276" w:lineRule="auto"/>
              <w:jc w:val="center"/>
              <w:rPr>
                <w:rStyle w:val="CharAttribute0"/>
                <w:rFonts w:ascii="Calibri" w:eastAsia="Batang" w:hAnsi="Calibri"/>
                <w:b/>
                <w:sz w:val="24"/>
                <w:szCs w:val="24"/>
              </w:rPr>
            </w:pPr>
            <w:r w:rsidRPr="002229EB">
              <w:rPr>
                <w:rStyle w:val="CharAttribute0"/>
                <w:rFonts w:ascii="Calibri" w:eastAsia="Batang" w:hAnsi="Calibri"/>
                <w:b/>
                <w:sz w:val="24"/>
                <w:szCs w:val="24"/>
              </w:rPr>
              <w:t>ALL</w:t>
            </w:r>
          </w:p>
        </w:tc>
      </w:tr>
      <w:tr w:rsidR="00595F35" w:rsidRPr="002229EB" w:rsidTr="0044588A">
        <w:tc>
          <w:tcPr>
            <w:tcW w:w="3261" w:type="dxa"/>
            <w:vMerge/>
            <w:tcBorders>
              <w:left w:val="nil"/>
              <w:bottom w:val="double" w:sz="4" w:space="0" w:color="auto"/>
              <w:right w:val="nil"/>
            </w:tcBorders>
          </w:tcPr>
          <w:p w:rsidR="00595F35" w:rsidRPr="002229EB" w:rsidRDefault="00595F35" w:rsidP="009C3AC7">
            <w:pPr>
              <w:pStyle w:val="ParaAttribute0"/>
              <w:wordWrap/>
              <w:spacing w:line="276" w:lineRule="auto"/>
              <w:rPr>
                <w:rStyle w:val="CharAttribute0"/>
                <w:rFonts w:ascii="Calibri" w:eastAsia="Batang" w:hAnsi="Calibri"/>
                <w:sz w:val="24"/>
                <w:szCs w:val="24"/>
              </w:rPr>
            </w:pPr>
          </w:p>
        </w:tc>
        <w:tc>
          <w:tcPr>
            <w:tcW w:w="795" w:type="dxa"/>
            <w:tcBorders>
              <w:left w:val="nil"/>
              <w:bottom w:val="double" w:sz="4" w:space="0" w:color="auto"/>
              <w:right w:val="nil"/>
            </w:tcBorders>
          </w:tcPr>
          <w:p w:rsidR="00595F35" w:rsidRPr="002229EB" w:rsidRDefault="00595F35" w:rsidP="00812779">
            <w:pPr>
              <w:pStyle w:val="ParaAttribute0"/>
              <w:wordWrap/>
              <w:spacing w:line="276" w:lineRule="auto"/>
              <w:jc w:val="center"/>
              <w:rPr>
                <w:rStyle w:val="CharAttribute0"/>
                <w:rFonts w:ascii="Calibri" w:eastAsia="Batang" w:hAnsi="Calibri"/>
                <w:b/>
                <w:sz w:val="24"/>
                <w:szCs w:val="24"/>
              </w:rPr>
            </w:pPr>
            <w:r w:rsidRPr="002229EB">
              <w:rPr>
                <w:rStyle w:val="CharAttribute0"/>
                <w:rFonts w:ascii="Calibri" w:eastAsia="Batang" w:hAnsi="Calibri"/>
                <w:b/>
                <w:sz w:val="24"/>
                <w:szCs w:val="24"/>
              </w:rPr>
              <w:t>n</w:t>
            </w:r>
          </w:p>
        </w:tc>
        <w:tc>
          <w:tcPr>
            <w:tcW w:w="795" w:type="dxa"/>
            <w:tcBorders>
              <w:left w:val="nil"/>
              <w:bottom w:val="double" w:sz="4" w:space="0" w:color="auto"/>
              <w:right w:val="nil"/>
            </w:tcBorders>
          </w:tcPr>
          <w:p w:rsidR="00595F35" w:rsidRPr="002229EB" w:rsidRDefault="00595F35" w:rsidP="00812779">
            <w:pPr>
              <w:pStyle w:val="ParaAttribute0"/>
              <w:wordWrap/>
              <w:spacing w:line="276" w:lineRule="auto"/>
              <w:jc w:val="center"/>
              <w:rPr>
                <w:rStyle w:val="CharAttribute0"/>
                <w:rFonts w:ascii="Calibri" w:eastAsia="Batang" w:hAnsi="Calibri"/>
                <w:b/>
                <w:sz w:val="24"/>
                <w:szCs w:val="24"/>
              </w:rPr>
            </w:pPr>
            <w:r w:rsidRPr="002229EB">
              <w:rPr>
                <w:rStyle w:val="CharAttribute0"/>
                <w:rFonts w:ascii="Calibri" w:eastAsia="Batang" w:hAnsi="Calibri"/>
                <w:b/>
                <w:sz w:val="24"/>
                <w:szCs w:val="24"/>
              </w:rPr>
              <w:t>%</w:t>
            </w:r>
          </w:p>
        </w:tc>
        <w:tc>
          <w:tcPr>
            <w:tcW w:w="795" w:type="dxa"/>
            <w:tcBorders>
              <w:left w:val="nil"/>
              <w:bottom w:val="double" w:sz="4" w:space="0" w:color="auto"/>
              <w:right w:val="nil"/>
            </w:tcBorders>
          </w:tcPr>
          <w:p w:rsidR="00595F35" w:rsidRPr="002229EB" w:rsidRDefault="00595F35" w:rsidP="00812779">
            <w:pPr>
              <w:pStyle w:val="ParaAttribute0"/>
              <w:wordWrap/>
              <w:spacing w:line="276" w:lineRule="auto"/>
              <w:jc w:val="center"/>
              <w:rPr>
                <w:rStyle w:val="CharAttribute0"/>
                <w:rFonts w:ascii="Calibri" w:eastAsia="Batang" w:hAnsi="Calibri"/>
                <w:b/>
                <w:sz w:val="24"/>
                <w:szCs w:val="24"/>
              </w:rPr>
            </w:pPr>
            <w:r w:rsidRPr="002229EB">
              <w:rPr>
                <w:rStyle w:val="CharAttribute0"/>
                <w:rFonts w:ascii="Calibri" w:eastAsia="Batang" w:hAnsi="Calibri"/>
                <w:b/>
                <w:sz w:val="24"/>
                <w:szCs w:val="24"/>
              </w:rPr>
              <w:t>n</w:t>
            </w:r>
          </w:p>
        </w:tc>
        <w:tc>
          <w:tcPr>
            <w:tcW w:w="796" w:type="dxa"/>
            <w:tcBorders>
              <w:left w:val="nil"/>
              <w:bottom w:val="double" w:sz="4" w:space="0" w:color="auto"/>
              <w:right w:val="nil"/>
            </w:tcBorders>
          </w:tcPr>
          <w:p w:rsidR="00595F35" w:rsidRPr="002229EB" w:rsidRDefault="00595F35" w:rsidP="00812779">
            <w:pPr>
              <w:pStyle w:val="ParaAttribute0"/>
              <w:wordWrap/>
              <w:spacing w:line="276" w:lineRule="auto"/>
              <w:jc w:val="center"/>
              <w:rPr>
                <w:rStyle w:val="CharAttribute0"/>
                <w:rFonts w:ascii="Calibri" w:eastAsia="Batang" w:hAnsi="Calibri"/>
                <w:b/>
                <w:sz w:val="24"/>
                <w:szCs w:val="24"/>
              </w:rPr>
            </w:pPr>
            <w:r w:rsidRPr="002229EB">
              <w:rPr>
                <w:rStyle w:val="CharAttribute0"/>
                <w:rFonts w:ascii="Calibri" w:eastAsia="Batang" w:hAnsi="Calibri"/>
                <w:b/>
                <w:sz w:val="24"/>
                <w:szCs w:val="24"/>
              </w:rPr>
              <w:t>%</w:t>
            </w:r>
          </w:p>
        </w:tc>
        <w:tc>
          <w:tcPr>
            <w:tcW w:w="795" w:type="dxa"/>
            <w:tcBorders>
              <w:left w:val="nil"/>
              <w:bottom w:val="double" w:sz="4" w:space="0" w:color="auto"/>
              <w:right w:val="nil"/>
            </w:tcBorders>
          </w:tcPr>
          <w:p w:rsidR="00595F35" w:rsidRPr="002229EB" w:rsidRDefault="00595F35" w:rsidP="00812779">
            <w:pPr>
              <w:pStyle w:val="ParaAttribute0"/>
              <w:wordWrap/>
              <w:spacing w:line="276" w:lineRule="auto"/>
              <w:jc w:val="center"/>
              <w:rPr>
                <w:rStyle w:val="CharAttribute0"/>
                <w:rFonts w:ascii="Calibri" w:eastAsia="Batang" w:hAnsi="Calibri"/>
                <w:b/>
                <w:sz w:val="24"/>
                <w:szCs w:val="24"/>
              </w:rPr>
            </w:pPr>
            <w:r w:rsidRPr="002229EB">
              <w:rPr>
                <w:rStyle w:val="CharAttribute0"/>
                <w:rFonts w:ascii="Calibri" w:eastAsia="Batang" w:hAnsi="Calibri"/>
                <w:b/>
                <w:sz w:val="24"/>
                <w:szCs w:val="24"/>
              </w:rPr>
              <w:t>n</w:t>
            </w:r>
          </w:p>
        </w:tc>
        <w:tc>
          <w:tcPr>
            <w:tcW w:w="795" w:type="dxa"/>
            <w:tcBorders>
              <w:left w:val="nil"/>
              <w:bottom w:val="double" w:sz="4" w:space="0" w:color="auto"/>
              <w:right w:val="nil"/>
            </w:tcBorders>
          </w:tcPr>
          <w:p w:rsidR="00595F35" w:rsidRPr="002229EB" w:rsidRDefault="00595F35" w:rsidP="00812779">
            <w:pPr>
              <w:pStyle w:val="ParaAttribute0"/>
              <w:wordWrap/>
              <w:spacing w:line="276" w:lineRule="auto"/>
              <w:jc w:val="center"/>
              <w:rPr>
                <w:rStyle w:val="CharAttribute0"/>
                <w:rFonts w:ascii="Calibri" w:eastAsia="Batang" w:hAnsi="Calibri"/>
                <w:b/>
                <w:sz w:val="24"/>
                <w:szCs w:val="24"/>
              </w:rPr>
            </w:pPr>
            <w:r w:rsidRPr="002229EB">
              <w:rPr>
                <w:rStyle w:val="CharAttribute0"/>
                <w:rFonts w:ascii="Calibri" w:eastAsia="Batang" w:hAnsi="Calibri"/>
                <w:b/>
                <w:sz w:val="24"/>
                <w:szCs w:val="24"/>
              </w:rPr>
              <w:t>%</w:t>
            </w:r>
          </w:p>
        </w:tc>
        <w:tc>
          <w:tcPr>
            <w:tcW w:w="795" w:type="dxa"/>
            <w:tcBorders>
              <w:left w:val="nil"/>
              <w:bottom w:val="double" w:sz="4" w:space="0" w:color="auto"/>
              <w:right w:val="nil"/>
            </w:tcBorders>
          </w:tcPr>
          <w:p w:rsidR="00595F35" w:rsidRPr="002229EB" w:rsidRDefault="008A46CD" w:rsidP="00812779">
            <w:pPr>
              <w:pStyle w:val="ParaAttribute0"/>
              <w:wordWrap/>
              <w:spacing w:line="276" w:lineRule="auto"/>
              <w:jc w:val="center"/>
              <w:rPr>
                <w:rStyle w:val="CharAttribute0"/>
                <w:rFonts w:ascii="Calibri" w:eastAsia="Batang" w:hAnsi="Calibri"/>
                <w:b/>
                <w:sz w:val="24"/>
                <w:szCs w:val="24"/>
              </w:rPr>
            </w:pPr>
            <w:r w:rsidRPr="002229EB">
              <w:rPr>
                <w:rStyle w:val="CharAttribute0"/>
                <w:rFonts w:ascii="Calibri" w:eastAsia="Batang" w:hAnsi="Calibri"/>
                <w:b/>
                <w:sz w:val="24"/>
                <w:szCs w:val="24"/>
              </w:rPr>
              <w:t>N</w:t>
            </w:r>
          </w:p>
        </w:tc>
        <w:tc>
          <w:tcPr>
            <w:tcW w:w="796" w:type="dxa"/>
            <w:tcBorders>
              <w:left w:val="nil"/>
              <w:bottom w:val="double" w:sz="4" w:space="0" w:color="auto"/>
              <w:right w:val="nil"/>
            </w:tcBorders>
          </w:tcPr>
          <w:p w:rsidR="00595F35" w:rsidRPr="002229EB" w:rsidRDefault="00595F35" w:rsidP="00812779">
            <w:pPr>
              <w:pStyle w:val="ParaAttribute0"/>
              <w:wordWrap/>
              <w:spacing w:line="276" w:lineRule="auto"/>
              <w:jc w:val="center"/>
              <w:rPr>
                <w:rStyle w:val="CharAttribute0"/>
                <w:rFonts w:ascii="Calibri" w:eastAsia="Batang" w:hAnsi="Calibri"/>
                <w:b/>
                <w:sz w:val="24"/>
                <w:szCs w:val="24"/>
              </w:rPr>
            </w:pPr>
            <w:r w:rsidRPr="002229EB">
              <w:rPr>
                <w:rStyle w:val="CharAttribute0"/>
                <w:rFonts w:ascii="Calibri" w:eastAsia="Batang" w:hAnsi="Calibri"/>
                <w:b/>
                <w:sz w:val="24"/>
                <w:szCs w:val="24"/>
              </w:rPr>
              <w:t>%</w:t>
            </w:r>
          </w:p>
        </w:tc>
      </w:tr>
      <w:tr w:rsidR="007600C8" w:rsidRPr="002229EB" w:rsidTr="0044588A">
        <w:trPr>
          <w:trHeight w:val="704"/>
        </w:trPr>
        <w:tc>
          <w:tcPr>
            <w:tcW w:w="3261" w:type="dxa"/>
            <w:tcBorders>
              <w:top w:val="double" w:sz="4" w:space="0" w:color="auto"/>
              <w:left w:val="nil"/>
              <w:bottom w:val="single" w:sz="4" w:space="0" w:color="auto"/>
              <w:right w:val="nil"/>
            </w:tcBorders>
          </w:tcPr>
          <w:p w:rsidR="00595F35" w:rsidRPr="002229EB" w:rsidRDefault="007600C8" w:rsidP="009C3AC7">
            <w:pPr>
              <w:pStyle w:val="ParaAttribute0"/>
              <w:wordWrap/>
              <w:spacing w:line="276" w:lineRule="auto"/>
              <w:rPr>
                <w:rStyle w:val="CharAttribute0"/>
                <w:rFonts w:ascii="Calibri" w:eastAsia="Batang" w:hAnsi="Calibri"/>
                <w:b/>
                <w:sz w:val="24"/>
                <w:szCs w:val="24"/>
              </w:rPr>
            </w:pPr>
            <w:r w:rsidRPr="002229EB">
              <w:rPr>
                <w:rStyle w:val="CharAttribute0"/>
                <w:rFonts w:ascii="Calibri" w:eastAsia="Batang" w:hAnsi="Calibri"/>
                <w:b/>
                <w:sz w:val="24"/>
                <w:szCs w:val="24"/>
              </w:rPr>
              <w:t>Social science degree</w:t>
            </w:r>
          </w:p>
          <w:p w:rsidR="007600C8" w:rsidRPr="002229EB" w:rsidRDefault="00595F35" w:rsidP="009C3AC7">
            <w:pPr>
              <w:pStyle w:val="ParaAttribute0"/>
              <w:spacing w:line="276" w:lineRule="auto"/>
              <w:rPr>
                <w:rStyle w:val="CharAttribute0"/>
                <w:rFonts w:ascii="Calibri" w:eastAsia="Batang" w:hAnsi="Calibri"/>
                <w:b/>
                <w:sz w:val="24"/>
                <w:szCs w:val="24"/>
              </w:rPr>
            </w:pPr>
            <w:r w:rsidRPr="002229EB">
              <w:rPr>
                <w:rStyle w:val="CharAttribute0"/>
                <w:rFonts w:ascii="Calibri" w:eastAsia="Batang" w:hAnsi="Calibri"/>
                <w:b/>
                <w:sz w:val="24"/>
                <w:szCs w:val="24"/>
              </w:rPr>
              <w:t>Business degree</w:t>
            </w:r>
          </w:p>
        </w:tc>
        <w:tc>
          <w:tcPr>
            <w:tcW w:w="795" w:type="dxa"/>
            <w:tcBorders>
              <w:top w:val="double" w:sz="4" w:space="0" w:color="auto"/>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75</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124</w:t>
            </w:r>
          </w:p>
        </w:tc>
        <w:tc>
          <w:tcPr>
            <w:tcW w:w="795" w:type="dxa"/>
            <w:tcBorders>
              <w:top w:val="double" w:sz="4" w:space="0" w:color="auto"/>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38</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62</w:t>
            </w:r>
          </w:p>
        </w:tc>
        <w:tc>
          <w:tcPr>
            <w:tcW w:w="795" w:type="dxa"/>
            <w:tcBorders>
              <w:top w:val="double" w:sz="4" w:space="0" w:color="auto"/>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114</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126</w:t>
            </w:r>
          </w:p>
        </w:tc>
        <w:tc>
          <w:tcPr>
            <w:tcW w:w="796" w:type="dxa"/>
            <w:tcBorders>
              <w:top w:val="double" w:sz="4" w:space="0" w:color="auto"/>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48</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52</w:t>
            </w:r>
          </w:p>
        </w:tc>
        <w:tc>
          <w:tcPr>
            <w:tcW w:w="795" w:type="dxa"/>
            <w:tcBorders>
              <w:top w:val="double" w:sz="4" w:space="0" w:color="auto"/>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26</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31</w:t>
            </w:r>
          </w:p>
        </w:tc>
        <w:tc>
          <w:tcPr>
            <w:tcW w:w="795" w:type="dxa"/>
            <w:tcBorders>
              <w:top w:val="double" w:sz="4" w:space="0" w:color="auto"/>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46</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54</w:t>
            </w:r>
          </w:p>
        </w:tc>
        <w:tc>
          <w:tcPr>
            <w:tcW w:w="795" w:type="dxa"/>
            <w:tcBorders>
              <w:top w:val="double" w:sz="4" w:space="0" w:color="auto"/>
              <w:left w:val="nil"/>
              <w:bottom w:val="single" w:sz="4" w:space="0" w:color="auto"/>
              <w:right w:val="nil"/>
            </w:tcBorders>
          </w:tcPr>
          <w:p w:rsidR="00595F35" w:rsidRPr="002229EB" w:rsidRDefault="00812779"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215</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281</w:t>
            </w:r>
          </w:p>
        </w:tc>
        <w:tc>
          <w:tcPr>
            <w:tcW w:w="796" w:type="dxa"/>
            <w:tcBorders>
              <w:top w:val="double" w:sz="4" w:space="0" w:color="auto"/>
              <w:left w:val="nil"/>
              <w:bottom w:val="single" w:sz="4" w:space="0" w:color="auto"/>
              <w:right w:val="nil"/>
            </w:tcBorders>
          </w:tcPr>
          <w:p w:rsidR="00595F35" w:rsidRPr="002229EB" w:rsidRDefault="00812779"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43</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57</w:t>
            </w:r>
          </w:p>
        </w:tc>
      </w:tr>
      <w:tr w:rsidR="007600C8" w:rsidRPr="002229EB" w:rsidTr="0044588A">
        <w:trPr>
          <w:trHeight w:val="684"/>
        </w:trPr>
        <w:tc>
          <w:tcPr>
            <w:tcW w:w="3261" w:type="dxa"/>
            <w:tcBorders>
              <w:left w:val="nil"/>
              <w:bottom w:val="single" w:sz="4" w:space="0" w:color="auto"/>
              <w:right w:val="nil"/>
            </w:tcBorders>
          </w:tcPr>
          <w:p w:rsidR="00595F35" w:rsidRPr="002229EB" w:rsidRDefault="007600C8" w:rsidP="009C3AC7">
            <w:pPr>
              <w:pStyle w:val="ParaAttribute0"/>
              <w:wordWrap/>
              <w:spacing w:line="276" w:lineRule="auto"/>
              <w:rPr>
                <w:rStyle w:val="CharAttribute0"/>
                <w:rFonts w:ascii="Calibri" w:eastAsia="Batang" w:hAnsi="Calibri"/>
                <w:b/>
                <w:sz w:val="24"/>
                <w:szCs w:val="24"/>
              </w:rPr>
            </w:pPr>
            <w:r w:rsidRPr="002229EB">
              <w:rPr>
                <w:rStyle w:val="CharAttribute0"/>
                <w:rFonts w:ascii="Calibri" w:eastAsia="Batang" w:hAnsi="Calibri"/>
                <w:b/>
                <w:sz w:val="24"/>
                <w:szCs w:val="24"/>
              </w:rPr>
              <w:t>Male</w:t>
            </w:r>
          </w:p>
          <w:p w:rsidR="007600C8" w:rsidRPr="002229EB" w:rsidRDefault="00595F35" w:rsidP="009C3AC7">
            <w:pPr>
              <w:pStyle w:val="ParaAttribute0"/>
              <w:spacing w:line="276" w:lineRule="auto"/>
              <w:rPr>
                <w:rStyle w:val="CharAttribute0"/>
                <w:rFonts w:ascii="Calibri" w:eastAsia="Batang" w:hAnsi="Calibri"/>
                <w:b/>
                <w:sz w:val="24"/>
                <w:szCs w:val="24"/>
              </w:rPr>
            </w:pPr>
            <w:r w:rsidRPr="002229EB">
              <w:rPr>
                <w:rStyle w:val="CharAttribute0"/>
                <w:rFonts w:ascii="Calibri" w:eastAsia="Batang" w:hAnsi="Calibri"/>
                <w:b/>
                <w:sz w:val="24"/>
                <w:szCs w:val="24"/>
              </w:rPr>
              <w:t>Female</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66</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133</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33</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67</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92</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148</w:t>
            </w:r>
          </w:p>
        </w:tc>
        <w:tc>
          <w:tcPr>
            <w:tcW w:w="796"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38</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62</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26</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31</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46</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54</w:t>
            </w:r>
          </w:p>
        </w:tc>
        <w:tc>
          <w:tcPr>
            <w:tcW w:w="795" w:type="dxa"/>
            <w:tcBorders>
              <w:left w:val="nil"/>
              <w:bottom w:val="single" w:sz="4" w:space="0" w:color="auto"/>
              <w:right w:val="nil"/>
            </w:tcBorders>
          </w:tcPr>
          <w:p w:rsidR="00595F35" w:rsidRPr="002229EB" w:rsidRDefault="00812779"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184</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312</w:t>
            </w:r>
          </w:p>
        </w:tc>
        <w:tc>
          <w:tcPr>
            <w:tcW w:w="796" w:type="dxa"/>
            <w:tcBorders>
              <w:left w:val="nil"/>
              <w:bottom w:val="single" w:sz="4" w:space="0" w:color="auto"/>
              <w:right w:val="nil"/>
            </w:tcBorders>
          </w:tcPr>
          <w:p w:rsidR="00595F35" w:rsidRPr="002229EB" w:rsidRDefault="00812779"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37</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63</w:t>
            </w:r>
          </w:p>
        </w:tc>
      </w:tr>
      <w:tr w:rsidR="007600C8" w:rsidRPr="002229EB" w:rsidTr="0044588A">
        <w:trPr>
          <w:trHeight w:val="684"/>
        </w:trPr>
        <w:tc>
          <w:tcPr>
            <w:tcW w:w="3261" w:type="dxa"/>
            <w:tcBorders>
              <w:left w:val="nil"/>
              <w:bottom w:val="single" w:sz="4" w:space="0" w:color="auto"/>
              <w:right w:val="nil"/>
            </w:tcBorders>
          </w:tcPr>
          <w:p w:rsidR="00595F35" w:rsidRPr="002229EB" w:rsidRDefault="007600C8" w:rsidP="009C3AC7">
            <w:pPr>
              <w:pStyle w:val="ParaAttribute0"/>
              <w:wordWrap/>
              <w:spacing w:line="276" w:lineRule="auto"/>
              <w:rPr>
                <w:rStyle w:val="CharAttribute0"/>
                <w:rFonts w:ascii="Calibri" w:eastAsia="Batang" w:hAnsi="Calibri"/>
                <w:b/>
                <w:sz w:val="24"/>
                <w:szCs w:val="24"/>
              </w:rPr>
            </w:pPr>
            <w:r w:rsidRPr="002229EB">
              <w:rPr>
                <w:rStyle w:val="CharAttribute0"/>
                <w:rFonts w:ascii="Calibri" w:eastAsia="Batang" w:hAnsi="Calibri"/>
                <w:b/>
                <w:sz w:val="24"/>
                <w:szCs w:val="24"/>
              </w:rPr>
              <w:t>Majority ethnic group</w:t>
            </w:r>
          </w:p>
          <w:p w:rsidR="007600C8" w:rsidRPr="002229EB" w:rsidRDefault="00595F35" w:rsidP="009C3AC7">
            <w:pPr>
              <w:pStyle w:val="ParaAttribute0"/>
              <w:spacing w:line="276" w:lineRule="auto"/>
              <w:rPr>
                <w:rStyle w:val="CharAttribute0"/>
                <w:rFonts w:ascii="Calibri" w:eastAsia="Batang" w:hAnsi="Calibri"/>
                <w:b/>
                <w:sz w:val="24"/>
                <w:szCs w:val="24"/>
              </w:rPr>
            </w:pPr>
            <w:r w:rsidRPr="002229EB">
              <w:rPr>
                <w:rStyle w:val="CharAttribute0"/>
                <w:rFonts w:ascii="Calibri" w:eastAsia="Batang" w:hAnsi="Calibri"/>
                <w:b/>
                <w:sz w:val="24"/>
                <w:szCs w:val="24"/>
              </w:rPr>
              <w:t>Minority ethnic group</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178</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21</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89</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11</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208</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32</w:t>
            </w:r>
          </w:p>
        </w:tc>
        <w:tc>
          <w:tcPr>
            <w:tcW w:w="796"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88</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12</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41</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16</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72</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28</w:t>
            </w:r>
          </w:p>
        </w:tc>
        <w:tc>
          <w:tcPr>
            <w:tcW w:w="795" w:type="dxa"/>
            <w:tcBorders>
              <w:left w:val="nil"/>
              <w:bottom w:val="single" w:sz="4" w:space="0" w:color="auto"/>
              <w:right w:val="nil"/>
            </w:tcBorders>
          </w:tcPr>
          <w:p w:rsidR="00595F35" w:rsidRPr="002229EB" w:rsidRDefault="00812779"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427</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69</w:t>
            </w:r>
          </w:p>
        </w:tc>
        <w:tc>
          <w:tcPr>
            <w:tcW w:w="796" w:type="dxa"/>
            <w:tcBorders>
              <w:left w:val="nil"/>
              <w:bottom w:val="single" w:sz="4" w:space="0" w:color="auto"/>
              <w:right w:val="nil"/>
            </w:tcBorders>
          </w:tcPr>
          <w:p w:rsidR="00595F35" w:rsidRPr="002229EB" w:rsidRDefault="00812779"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81</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14</w:t>
            </w:r>
          </w:p>
        </w:tc>
      </w:tr>
      <w:tr w:rsidR="007600C8" w:rsidRPr="002229EB" w:rsidTr="0044588A">
        <w:trPr>
          <w:trHeight w:val="684"/>
        </w:trPr>
        <w:tc>
          <w:tcPr>
            <w:tcW w:w="3261" w:type="dxa"/>
            <w:tcBorders>
              <w:left w:val="nil"/>
              <w:bottom w:val="single" w:sz="4" w:space="0" w:color="auto"/>
              <w:right w:val="nil"/>
            </w:tcBorders>
          </w:tcPr>
          <w:p w:rsidR="00595F35" w:rsidRPr="002229EB" w:rsidRDefault="007600C8" w:rsidP="009C3AC7">
            <w:pPr>
              <w:pStyle w:val="ParaAttribute0"/>
              <w:wordWrap/>
              <w:spacing w:line="276" w:lineRule="auto"/>
              <w:rPr>
                <w:rStyle w:val="CharAttribute0"/>
                <w:rFonts w:ascii="Calibri" w:eastAsia="Batang" w:hAnsi="Calibri"/>
                <w:b/>
                <w:sz w:val="24"/>
                <w:szCs w:val="24"/>
              </w:rPr>
            </w:pPr>
            <w:r w:rsidRPr="002229EB">
              <w:rPr>
                <w:rStyle w:val="CharAttribute0"/>
                <w:rFonts w:ascii="Calibri" w:eastAsia="Batang" w:hAnsi="Calibri"/>
                <w:b/>
                <w:sz w:val="24"/>
                <w:szCs w:val="24"/>
              </w:rPr>
              <w:t>Mother has degree</w:t>
            </w:r>
          </w:p>
          <w:p w:rsidR="007600C8" w:rsidRPr="002229EB" w:rsidRDefault="00595F35" w:rsidP="007600C8">
            <w:pPr>
              <w:pStyle w:val="ParaAttribute0"/>
              <w:spacing w:line="276" w:lineRule="auto"/>
              <w:rPr>
                <w:rStyle w:val="CharAttribute0"/>
                <w:rFonts w:ascii="Calibri" w:eastAsia="Batang" w:hAnsi="Calibri"/>
                <w:b/>
                <w:sz w:val="24"/>
                <w:szCs w:val="24"/>
              </w:rPr>
            </w:pPr>
            <w:r w:rsidRPr="002229EB">
              <w:rPr>
                <w:rStyle w:val="CharAttribute0"/>
                <w:rFonts w:ascii="Calibri" w:eastAsia="Batang" w:hAnsi="Calibri"/>
                <w:b/>
                <w:sz w:val="24"/>
                <w:szCs w:val="24"/>
              </w:rPr>
              <w:t>Mother does not have degree</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43</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156</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22</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78</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91</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149</w:t>
            </w:r>
          </w:p>
        </w:tc>
        <w:tc>
          <w:tcPr>
            <w:tcW w:w="796"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38</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62</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33</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24</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58</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42</w:t>
            </w:r>
          </w:p>
        </w:tc>
        <w:tc>
          <w:tcPr>
            <w:tcW w:w="795" w:type="dxa"/>
            <w:tcBorders>
              <w:left w:val="nil"/>
              <w:bottom w:val="single" w:sz="4" w:space="0" w:color="auto"/>
              <w:right w:val="nil"/>
            </w:tcBorders>
          </w:tcPr>
          <w:p w:rsidR="00595F35" w:rsidRPr="002229EB" w:rsidRDefault="00812779"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167</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329</w:t>
            </w:r>
          </w:p>
        </w:tc>
        <w:tc>
          <w:tcPr>
            <w:tcW w:w="796" w:type="dxa"/>
            <w:tcBorders>
              <w:left w:val="nil"/>
              <w:bottom w:val="single" w:sz="4" w:space="0" w:color="auto"/>
              <w:right w:val="nil"/>
            </w:tcBorders>
          </w:tcPr>
          <w:p w:rsidR="00595F35" w:rsidRPr="002229EB" w:rsidRDefault="00812779"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34</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66</w:t>
            </w:r>
          </w:p>
        </w:tc>
      </w:tr>
      <w:tr w:rsidR="007600C8" w:rsidRPr="002229EB" w:rsidTr="0044588A">
        <w:trPr>
          <w:trHeight w:val="684"/>
        </w:trPr>
        <w:tc>
          <w:tcPr>
            <w:tcW w:w="3261" w:type="dxa"/>
            <w:tcBorders>
              <w:left w:val="nil"/>
              <w:bottom w:val="single" w:sz="4" w:space="0" w:color="auto"/>
              <w:right w:val="nil"/>
            </w:tcBorders>
          </w:tcPr>
          <w:p w:rsidR="00595F35" w:rsidRPr="002229EB" w:rsidRDefault="007600C8" w:rsidP="00EF4FB6">
            <w:pPr>
              <w:pStyle w:val="ParaAttribute0"/>
              <w:wordWrap/>
              <w:spacing w:line="276" w:lineRule="auto"/>
              <w:rPr>
                <w:rStyle w:val="CharAttribute0"/>
                <w:rFonts w:ascii="Calibri" w:eastAsia="Batang" w:hAnsi="Calibri"/>
                <w:b/>
                <w:sz w:val="24"/>
                <w:szCs w:val="24"/>
              </w:rPr>
            </w:pPr>
            <w:r w:rsidRPr="002229EB">
              <w:rPr>
                <w:rStyle w:val="CharAttribute0"/>
                <w:rFonts w:ascii="Calibri" w:eastAsia="Batang" w:hAnsi="Calibri"/>
                <w:b/>
                <w:sz w:val="24"/>
                <w:szCs w:val="24"/>
              </w:rPr>
              <w:t>Father has degree</w:t>
            </w:r>
          </w:p>
          <w:p w:rsidR="007600C8" w:rsidRPr="002229EB" w:rsidRDefault="00595F35" w:rsidP="00EF4FB6">
            <w:pPr>
              <w:pStyle w:val="ParaAttribute0"/>
              <w:spacing w:line="276" w:lineRule="auto"/>
              <w:rPr>
                <w:rStyle w:val="CharAttribute0"/>
                <w:rFonts w:ascii="Calibri" w:eastAsia="Batang" w:hAnsi="Calibri"/>
                <w:b/>
                <w:sz w:val="24"/>
                <w:szCs w:val="24"/>
              </w:rPr>
            </w:pPr>
            <w:r w:rsidRPr="002229EB">
              <w:rPr>
                <w:rStyle w:val="CharAttribute0"/>
                <w:rFonts w:ascii="Calibri" w:eastAsia="Batang" w:hAnsi="Calibri"/>
                <w:b/>
                <w:sz w:val="24"/>
                <w:szCs w:val="24"/>
              </w:rPr>
              <w:t>Father does not have degree</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54</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145</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27</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73</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94</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156</w:t>
            </w:r>
          </w:p>
        </w:tc>
        <w:tc>
          <w:tcPr>
            <w:tcW w:w="796"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39</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61</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31</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26</w:t>
            </w:r>
          </w:p>
        </w:tc>
        <w:tc>
          <w:tcPr>
            <w:tcW w:w="795" w:type="dxa"/>
            <w:tcBorders>
              <w:left w:val="nil"/>
              <w:bottom w:val="single" w:sz="4" w:space="0" w:color="auto"/>
              <w:right w:val="nil"/>
            </w:tcBorders>
          </w:tcPr>
          <w:p w:rsidR="00595F35" w:rsidRPr="002229EB" w:rsidRDefault="007600C8"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54</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46</w:t>
            </w:r>
          </w:p>
        </w:tc>
        <w:tc>
          <w:tcPr>
            <w:tcW w:w="795" w:type="dxa"/>
            <w:tcBorders>
              <w:left w:val="nil"/>
              <w:bottom w:val="single" w:sz="4" w:space="0" w:color="auto"/>
              <w:right w:val="nil"/>
            </w:tcBorders>
          </w:tcPr>
          <w:p w:rsidR="00595F35" w:rsidRPr="002229EB" w:rsidRDefault="00812779"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179</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317</w:t>
            </w:r>
          </w:p>
        </w:tc>
        <w:tc>
          <w:tcPr>
            <w:tcW w:w="796" w:type="dxa"/>
            <w:tcBorders>
              <w:left w:val="nil"/>
              <w:bottom w:val="single" w:sz="4" w:space="0" w:color="auto"/>
              <w:right w:val="nil"/>
            </w:tcBorders>
          </w:tcPr>
          <w:p w:rsidR="00595F35" w:rsidRPr="002229EB" w:rsidRDefault="00812779" w:rsidP="00812779">
            <w:pPr>
              <w:pStyle w:val="ParaAttribute0"/>
              <w:wordWrap/>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36</w:t>
            </w:r>
          </w:p>
          <w:p w:rsidR="007600C8" w:rsidRPr="002229EB" w:rsidRDefault="00595F35" w:rsidP="00812779">
            <w:pPr>
              <w:pStyle w:val="ParaAttribute0"/>
              <w:spacing w:line="276" w:lineRule="auto"/>
              <w:jc w:val="center"/>
              <w:rPr>
                <w:rStyle w:val="CharAttribute0"/>
                <w:rFonts w:ascii="Calibri" w:eastAsia="Batang" w:hAnsi="Calibri"/>
                <w:sz w:val="24"/>
                <w:szCs w:val="24"/>
              </w:rPr>
            </w:pPr>
            <w:r w:rsidRPr="002229EB">
              <w:rPr>
                <w:rStyle w:val="CharAttribute0"/>
                <w:rFonts w:ascii="Calibri" w:eastAsia="Batang" w:hAnsi="Calibri"/>
                <w:sz w:val="24"/>
                <w:szCs w:val="24"/>
              </w:rPr>
              <w:t>64</w:t>
            </w:r>
          </w:p>
        </w:tc>
      </w:tr>
    </w:tbl>
    <w:p w:rsidR="002D5C35" w:rsidRPr="002229EB" w:rsidRDefault="002D5C35" w:rsidP="009C3AC7">
      <w:pPr>
        <w:pStyle w:val="ParaAttribute0"/>
        <w:wordWrap/>
        <w:spacing w:line="276" w:lineRule="auto"/>
        <w:rPr>
          <w:rStyle w:val="CharAttribute0"/>
          <w:rFonts w:ascii="Calibri" w:eastAsia="Batang" w:hAnsi="Calibri"/>
          <w:sz w:val="24"/>
          <w:szCs w:val="24"/>
        </w:rPr>
      </w:pPr>
    </w:p>
    <w:p w:rsidR="0037433B" w:rsidRPr="002229EB" w:rsidRDefault="0037433B" w:rsidP="009C3AC7">
      <w:pPr>
        <w:pStyle w:val="ParaAttribute0"/>
        <w:wordWrap/>
        <w:spacing w:line="276" w:lineRule="auto"/>
        <w:rPr>
          <w:rStyle w:val="CharAttribute0"/>
          <w:rFonts w:ascii="Calibri" w:eastAsia="Batang" w:hAnsi="Calibri"/>
          <w:sz w:val="24"/>
          <w:szCs w:val="24"/>
        </w:rPr>
      </w:pPr>
    </w:p>
    <w:p w:rsidR="00444ADD" w:rsidRPr="002229EB" w:rsidRDefault="00444ADD" w:rsidP="009C3AC7">
      <w:pPr>
        <w:pStyle w:val="ParaAttribute0"/>
        <w:wordWrap/>
        <w:spacing w:line="276" w:lineRule="auto"/>
        <w:rPr>
          <w:rStyle w:val="CharAttribute2"/>
          <w:rFonts w:ascii="Calibri" w:hAnsi="Calibri"/>
          <w:szCs w:val="24"/>
        </w:rPr>
      </w:pPr>
      <w:r w:rsidRPr="002229EB">
        <w:rPr>
          <w:rStyle w:val="CharAttribute0"/>
          <w:rFonts w:ascii="Calibri" w:eastAsia="Batang" w:hAnsi="Calibri"/>
          <w:sz w:val="24"/>
          <w:szCs w:val="24"/>
        </w:rPr>
        <w:t xml:space="preserve">Response rates were high for a general online survey.  </w:t>
      </w:r>
      <w:r w:rsidR="0037433B" w:rsidRPr="002229EB">
        <w:rPr>
          <w:rStyle w:val="CharAttribute0"/>
          <w:rFonts w:ascii="Calibri" w:eastAsia="Batang" w:hAnsi="Calibri"/>
          <w:sz w:val="24"/>
          <w:szCs w:val="24"/>
        </w:rPr>
        <w:t xml:space="preserve">For example, </w:t>
      </w:r>
      <w:r w:rsidR="008A4317" w:rsidRPr="002229EB">
        <w:rPr>
          <w:rStyle w:val="CharAttribute0"/>
          <w:rFonts w:ascii="Calibri" w:eastAsia="Batang" w:hAnsi="Calibri"/>
          <w:sz w:val="24"/>
          <w:szCs w:val="24"/>
        </w:rPr>
        <w:t>the rate in England</w:t>
      </w:r>
      <w:r w:rsidR="0037433B" w:rsidRPr="002229EB">
        <w:rPr>
          <w:rStyle w:val="CharAttribute0"/>
          <w:rFonts w:ascii="Calibri" w:eastAsia="Batang" w:hAnsi="Calibri"/>
          <w:sz w:val="24"/>
          <w:szCs w:val="24"/>
        </w:rPr>
        <w:t xml:space="preserve"> </w:t>
      </w:r>
      <w:r w:rsidR="008A4317" w:rsidRPr="002229EB">
        <w:rPr>
          <w:rStyle w:val="CharAttribute0"/>
          <w:rFonts w:ascii="Calibri" w:eastAsia="Batang" w:hAnsi="Calibri"/>
          <w:sz w:val="24"/>
          <w:szCs w:val="24"/>
        </w:rPr>
        <w:t>was</w:t>
      </w:r>
      <w:r w:rsidRPr="002229EB">
        <w:rPr>
          <w:rStyle w:val="CharAttribute0"/>
          <w:rFonts w:ascii="Calibri" w:eastAsia="Batang" w:hAnsi="Calibri"/>
          <w:sz w:val="24"/>
          <w:szCs w:val="24"/>
        </w:rPr>
        <w:t xml:space="preserve"> 16 </w:t>
      </w:r>
      <w:r w:rsidRPr="002229EB">
        <w:rPr>
          <w:rStyle w:val="CharAttribute0"/>
          <w:rFonts w:ascii="Calibri" w:eastAsia="Batang" w:hAnsi="Calibri"/>
          <w:sz w:val="24"/>
          <w:szCs w:val="24"/>
        </w:rPr>
        <w:lastRenderedPageBreak/>
        <w:t>pe</w:t>
      </w:r>
      <w:r w:rsidR="00DC047A" w:rsidRPr="002229EB">
        <w:rPr>
          <w:rStyle w:val="CharAttribute0"/>
          <w:rFonts w:ascii="Calibri" w:eastAsia="Batang" w:hAnsi="Calibri"/>
          <w:sz w:val="24"/>
          <w:szCs w:val="24"/>
        </w:rPr>
        <w:t xml:space="preserve">rcent, </w:t>
      </w:r>
      <w:r w:rsidR="005011A7" w:rsidRPr="002229EB">
        <w:rPr>
          <w:rStyle w:val="CharAttribute0"/>
          <w:rFonts w:ascii="Calibri" w:eastAsia="Batang" w:hAnsi="Calibri"/>
          <w:sz w:val="24"/>
          <w:szCs w:val="24"/>
        </w:rPr>
        <w:t>17 percent</w:t>
      </w:r>
      <w:r w:rsidR="00DC047A" w:rsidRPr="002229EB">
        <w:rPr>
          <w:rStyle w:val="CharAttribute0"/>
          <w:rFonts w:ascii="Calibri" w:eastAsia="Batang" w:hAnsi="Calibri"/>
          <w:sz w:val="24"/>
          <w:szCs w:val="24"/>
        </w:rPr>
        <w:t xml:space="preserve"> </w:t>
      </w:r>
      <w:r w:rsidR="008A4317" w:rsidRPr="002229EB">
        <w:rPr>
          <w:rStyle w:val="CharAttribute0"/>
          <w:rFonts w:ascii="Calibri" w:eastAsia="Batang" w:hAnsi="Calibri"/>
          <w:sz w:val="24"/>
          <w:szCs w:val="24"/>
        </w:rPr>
        <w:t xml:space="preserve">in NZ </w:t>
      </w:r>
      <w:r w:rsidR="00DC047A" w:rsidRPr="002229EB">
        <w:rPr>
          <w:rStyle w:val="CharAttribute0"/>
          <w:rFonts w:ascii="Calibri" w:eastAsia="Batang" w:hAnsi="Calibri"/>
          <w:sz w:val="24"/>
          <w:szCs w:val="24"/>
        </w:rPr>
        <w:t xml:space="preserve">and </w:t>
      </w:r>
      <w:r w:rsidR="00901D6E">
        <w:rPr>
          <w:rStyle w:val="CharAttribute0"/>
          <w:rFonts w:ascii="Calibri" w:eastAsia="Batang" w:hAnsi="Calibri"/>
          <w:sz w:val="24"/>
          <w:szCs w:val="24"/>
        </w:rPr>
        <w:t>27</w:t>
      </w:r>
      <w:r w:rsidR="00DC047A" w:rsidRPr="002229EB">
        <w:rPr>
          <w:rStyle w:val="CharAttribute0"/>
          <w:rFonts w:ascii="Calibri" w:eastAsia="Batang" w:hAnsi="Calibri"/>
          <w:sz w:val="24"/>
          <w:szCs w:val="24"/>
        </w:rPr>
        <w:t xml:space="preserve"> percent</w:t>
      </w:r>
      <w:r w:rsidR="008A4317" w:rsidRPr="002229EB">
        <w:rPr>
          <w:rStyle w:val="CharAttribute0"/>
          <w:rFonts w:ascii="Calibri" w:eastAsia="Batang" w:hAnsi="Calibri"/>
          <w:sz w:val="24"/>
          <w:szCs w:val="24"/>
        </w:rPr>
        <w:t xml:space="preserve"> in the US</w:t>
      </w:r>
      <w:r w:rsidRPr="002229EB">
        <w:rPr>
          <w:rStyle w:val="CharAttribute0"/>
          <w:rFonts w:ascii="Calibri" w:eastAsia="Batang" w:hAnsi="Calibri"/>
          <w:sz w:val="24"/>
          <w:szCs w:val="24"/>
        </w:rPr>
        <w:t xml:space="preserve">.  The samples were </w:t>
      </w:r>
      <w:r w:rsidR="0037433B" w:rsidRPr="002229EB">
        <w:rPr>
          <w:rStyle w:val="CharAttribute0"/>
          <w:rFonts w:ascii="Calibri" w:eastAsia="Batang" w:hAnsi="Calibri"/>
          <w:sz w:val="24"/>
          <w:szCs w:val="24"/>
        </w:rPr>
        <w:t xml:space="preserve">found to be </w:t>
      </w:r>
      <w:r w:rsidRPr="002229EB">
        <w:rPr>
          <w:rStyle w:val="CharAttribute0"/>
          <w:rFonts w:ascii="Calibri" w:eastAsia="Batang" w:hAnsi="Calibri"/>
          <w:sz w:val="24"/>
          <w:szCs w:val="24"/>
        </w:rPr>
        <w:t>broadly representative of the populations from which they were drawn by demographic variables, although women were slightly over-represented and students from minority ethnic groups were slightly under-represented.</w:t>
      </w:r>
    </w:p>
    <w:p w:rsidR="00444ADD" w:rsidRPr="002229EB" w:rsidRDefault="00444ADD" w:rsidP="009C3AC7">
      <w:pPr>
        <w:pStyle w:val="ParaAttribute0"/>
        <w:wordWrap/>
        <w:spacing w:line="276" w:lineRule="auto"/>
        <w:rPr>
          <w:rStyle w:val="CharAttribute2"/>
          <w:rFonts w:ascii="Calibri" w:hAnsi="Calibri"/>
          <w:szCs w:val="24"/>
        </w:rPr>
      </w:pPr>
    </w:p>
    <w:p w:rsidR="005B7463" w:rsidRPr="002229EB" w:rsidRDefault="005B7463" w:rsidP="009C3AC7">
      <w:pPr>
        <w:pStyle w:val="ParaAttribute0"/>
        <w:wordWrap/>
        <w:spacing w:line="276" w:lineRule="auto"/>
        <w:rPr>
          <w:rStyle w:val="CharAttribute2"/>
          <w:rFonts w:ascii="Calibri" w:hAnsi="Calibri"/>
          <w:szCs w:val="24"/>
        </w:rPr>
      </w:pPr>
      <w:r w:rsidRPr="002229EB">
        <w:rPr>
          <w:rFonts w:ascii="Calibri" w:hAnsi="Calibri"/>
          <w:sz w:val="24"/>
          <w:szCs w:val="24"/>
        </w:rPr>
        <w:t>SPSS v19 was used for the analysis, with a specialist additional module using an enhanced module for factor analysis using R v2.10.1.</w:t>
      </w:r>
    </w:p>
    <w:p w:rsidR="0037433B" w:rsidRPr="002229EB" w:rsidRDefault="0037433B" w:rsidP="009C3AC7">
      <w:pPr>
        <w:wordWrap/>
        <w:spacing w:line="276" w:lineRule="auto"/>
        <w:jc w:val="left"/>
        <w:rPr>
          <w:rFonts w:ascii="Calibri" w:hAnsi="Calibri"/>
          <w:b/>
          <w:sz w:val="24"/>
          <w:szCs w:val="24"/>
          <w:lang w:val="en-GB"/>
        </w:rPr>
      </w:pPr>
    </w:p>
    <w:p w:rsidR="005B7463" w:rsidRPr="002229EB" w:rsidRDefault="005B7463" w:rsidP="009C3AC7">
      <w:pPr>
        <w:wordWrap/>
        <w:spacing w:line="276" w:lineRule="auto"/>
        <w:jc w:val="left"/>
        <w:rPr>
          <w:rFonts w:ascii="Calibri" w:hAnsi="Calibri"/>
          <w:b/>
          <w:sz w:val="24"/>
          <w:szCs w:val="24"/>
          <w:lang w:val="en-GB"/>
        </w:rPr>
      </w:pPr>
    </w:p>
    <w:p w:rsidR="00444ADD" w:rsidRPr="002229EB" w:rsidRDefault="00B96A01" w:rsidP="009C3AC7">
      <w:pPr>
        <w:wordWrap/>
        <w:spacing w:line="276" w:lineRule="auto"/>
        <w:jc w:val="left"/>
        <w:rPr>
          <w:rFonts w:ascii="Calibri" w:hAnsi="Calibri"/>
          <w:sz w:val="24"/>
          <w:szCs w:val="24"/>
          <w:lang w:val="en-GB"/>
        </w:rPr>
      </w:pPr>
      <w:r>
        <w:rPr>
          <w:rFonts w:ascii="Calibri" w:hAnsi="Calibri"/>
          <w:b/>
          <w:sz w:val="24"/>
          <w:szCs w:val="24"/>
          <w:lang w:val="en-GB"/>
        </w:rPr>
        <w:t>3 Results</w:t>
      </w:r>
    </w:p>
    <w:p w:rsidR="00444ADD" w:rsidRPr="002229EB" w:rsidRDefault="00444ADD" w:rsidP="009C3AC7">
      <w:pPr>
        <w:wordWrap/>
        <w:spacing w:line="276" w:lineRule="auto"/>
        <w:jc w:val="left"/>
        <w:rPr>
          <w:rFonts w:ascii="Calibri" w:hAnsi="Calibri"/>
          <w:sz w:val="24"/>
          <w:szCs w:val="24"/>
          <w:lang w:val="en-GB"/>
        </w:rPr>
      </w:pPr>
    </w:p>
    <w:p w:rsidR="00B2270E" w:rsidRPr="002229EB" w:rsidRDefault="00F92D3C" w:rsidP="009C3AC7">
      <w:pPr>
        <w:wordWrap/>
        <w:spacing w:line="276" w:lineRule="auto"/>
        <w:jc w:val="left"/>
        <w:rPr>
          <w:rFonts w:ascii="Calibri" w:hAnsi="Calibri"/>
          <w:sz w:val="24"/>
          <w:szCs w:val="24"/>
          <w:lang w:val="en-GB"/>
        </w:rPr>
      </w:pPr>
      <w:r w:rsidRPr="002229EB">
        <w:rPr>
          <w:rFonts w:ascii="Calibri" w:hAnsi="Calibri"/>
          <w:sz w:val="24"/>
          <w:szCs w:val="24"/>
          <w:lang w:val="en-GB"/>
        </w:rPr>
        <w:t xml:space="preserve">Table </w:t>
      </w:r>
      <w:r w:rsidR="002B695B">
        <w:rPr>
          <w:rFonts w:ascii="Calibri" w:hAnsi="Calibri"/>
          <w:sz w:val="24"/>
          <w:szCs w:val="24"/>
          <w:lang w:val="en-GB"/>
        </w:rPr>
        <w:t>2</w:t>
      </w:r>
      <w:r w:rsidRPr="002229EB">
        <w:rPr>
          <w:rFonts w:ascii="Calibri" w:hAnsi="Calibri"/>
          <w:sz w:val="24"/>
          <w:szCs w:val="24"/>
          <w:lang w:val="en-GB"/>
        </w:rPr>
        <w:t xml:space="preserve"> shows the cross-national contrasts between means and standard deviations for each of the 20 questionnaire items.  </w:t>
      </w:r>
      <w:r w:rsidR="008D5106" w:rsidRPr="002229EB">
        <w:rPr>
          <w:rFonts w:ascii="Calibri" w:hAnsi="Calibri"/>
          <w:sz w:val="24"/>
          <w:szCs w:val="24"/>
          <w:lang w:val="en-GB"/>
        </w:rPr>
        <w:t xml:space="preserve">As the items were not normally distributed, the </w:t>
      </w:r>
      <w:proofErr w:type="spellStart"/>
      <w:r w:rsidR="008D5106" w:rsidRPr="002229EB">
        <w:rPr>
          <w:rFonts w:ascii="Calibri" w:hAnsi="Calibri"/>
          <w:sz w:val="24"/>
          <w:szCs w:val="24"/>
          <w:lang w:val="en-GB"/>
        </w:rPr>
        <w:t>Kruskal</w:t>
      </w:r>
      <w:proofErr w:type="spellEnd"/>
      <w:r w:rsidR="008D5106" w:rsidRPr="002229EB">
        <w:rPr>
          <w:rFonts w:ascii="Calibri" w:hAnsi="Calibri"/>
          <w:sz w:val="24"/>
          <w:szCs w:val="24"/>
          <w:lang w:val="en-GB"/>
        </w:rPr>
        <w:t xml:space="preserve">-Wallis </w:t>
      </w:r>
      <w:r w:rsidR="006738C3" w:rsidRPr="002229EB">
        <w:rPr>
          <w:rFonts w:ascii="Calibri" w:hAnsi="Calibri"/>
          <w:sz w:val="24"/>
          <w:szCs w:val="24"/>
          <w:lang w:val="en-GB"/>
        </w:rPr>
        <w:t xml:space="preserve">analysis of variance </w:t>
      </w:r>
      <w:r w:rsidR="008D5106" w:rsidRPr="002229EB">
        <w:rPr>
          <w:rFonts w:ascii="Calibri" w:hAnsi="Calibri"/>
          <w:sz w:val="24"/>
          <w:szCs w:val="24"/>
          <w:lang w:val="en-GB"/>
        </w:rPr>
        <w:t xml:space="preserve">test was used to examine the </w:t>
      </w:r>
      <w:r w:rsidR="00884FCC" w:rsidRPr="002229EB">
        <w:rPr>
          <w:rFonts w:ascii="Calibri" w:hAnsi="Calibri"/>
          <w:sz w:val="24"/>
          <w:szCs w:val="24"/>
          <w:lang w:val="en-GB"/>
        </w:rPr>
        <w:t>differences between countries</w:t>
      </w:r>
      <w:r w:rsidR="008D5106" w:rsidRPr="002229EB">
        <w:rPr>
          <w:rFonts w:ascii="Calibri" w:hAnsi="Calibri"/>
          <w:sz w:val="24"/>
          <w:szCs w:val="24"/>
          <w:lang w:val="en-GB"/>
        </w:rPr>
        <w:t xml:space="preserve">, with a </w:t>
      </w:r>
      <w:r w:rsidR="00BE6346" w:rsidRPr="002229EB">
        <w:rPr>
          <w:rFonts w:ascii="Calibri" w:hAnsi="Calibri"/>
          <w:sz w:val="24"/>
          <w:szCs w:val="24"/>
          <w:lang w:val="en-GB"/>
        </w:rPr>
        <w:t>Mann-Whitney pairwise</w:t>
      </w:r>
      <w:r w:rsidR="008D5106" w:rsidRPr="002229EB">
        <w:rPr>
          <w:rFonts w:ascii="Calibri" w:hAnsi="Calibri"/>
          <w:sz w:val="24"/>
          <w:szCs w:val="24"/>
          <w:lang w:val="en-GB"/>
        </w:rPr>
        <w:t xml:space="preserve"> </w:t>
      </w:r>
      <w:r w:rsidR="008D5106" w:rsidRPr="002229EB">
        <w:rPr>
          <w:rFonts w:ascii="Calibri" w:hAnsi="Calibri"/>
          <w:i/>
          <w:sz w:val="24"/>
          <w:szCs w:val="24"/>
          <w:lang w:val="en-GB"/>
        </w:rPr>
        <w:t>post hoc</w:t>
      </w:r>
      <w:r w:rsidR="008D5106" w:rsidRPr="002229EB">
        <w:rPr>
          <w:rFonts w:ascii="Calibri" w:hAnsi="Calibri"/>
          <w:sz w:val="24"/>
          <w:szCs w:val="24"/>
          <w:lang w:val="en-GB"/>
        </w:rPr>
        <w:t xml:space="preserve"> </w:t>
      </w:r>
      <w:proofErr w:type="gramStart"/>
      <w:r w:rsidR="008D5106" w:rsidRPr="002229EB">
        <w:rPr>
          <w:rFonts w:ascii="Calibri" w:hAnsi="Calibri"/>
          <w:sz w:val="24"/>
          <w:szCs w:val="24"/>
          <w:lang w:val="en-GB"/>
        </w:rPr>
        <w:t>analysis</w:t>
      </w:r>
      <w:r w:rsidR="00A46DB5" w:rsidRPr="002229EB">
        <w:rPr>
          <w:rFonts w:ascii="Calibri" w:hAnsi="Calibri"/>
          <w:sz w:val="24"/>
          <w:szCs w:val="24"/>
          <w:lang w:val="en-GB"/>
        </w:rPr>
        <w:t xml:space="preserve"> to determine which comparisons were</w:t>
      </w:r>
      <w:proofErr w:type="gramEnd"/>
      <w:r w:rsidR="00A46DB5" w:rsidRPr="002229EB">
        <w:rPr>
          <w:rFonts w:ascii="Calibri" w:hAnsi="Calibri"/>
          <w:sz w:val="24"/>
          <w:szCs w:val="24"/>
          <w:lang w:val="en-GB"/>
        </w:rPr>
        <w:t xml:space="preserve"> significant; a</w:t>
      </w:r>
      <w:r w:rsidR="00847568" w:rsidRPr="002229EB">
        <w:rPr>
          <w:rFonts w:ascii="Calibri" w:hAnsi="Calibri"/>
          <w:sz w:val="24"/>
          <w:szCs w:val="24"/>
          <w:lang w:val="en-GB"/>
        </w:rPr>
        <w:t xml:space="preserve"> 5 perc</w:t>
      </w:r>
      <w:r w:rsidR="00A46DB5" w:rsidRPr="002229EB">
        <w:rPr>
          <w:rFonts w:ascii="Calibri" w:hAnsi="Calibri"/>
          <w:sz w:val="24"/>
          <w:szCs w:val="24"/>
          <w:lang w:val="en-GB"/>
        </w:rPr>
        <w:t>ent significance level was used.</w:t>
      </w:r>
    </w:p>
    <w:p w:rsidR="00891CE5" w:rsidRPr="002229EB" w:rsidRDefault="00891CE5" w:rsidP="009C3AC7">
      <w:pPr>
        <w:wordWrap/>
        <w:spacing w:line="276" w:lineRule="auto"/>
        <w:jc w:val="left"/>
        <w:rPr>
          <w:rFonts w:ascii="Calibri" w:hAnsi="Calibri"/>
          <w:sz w:val="24"/>
          <w:szCs w:val="24"/>
          <w:lang w:val="en-GB"/>
        </w:rPr>
      </w:pPr>
    </w:p>
    <w:p w:rsidR="00D24EA4" w:rsidRPr="002229EB" w:rsidRDefault="008A4317" w:rsidP="009C3AC7">
      <w:pPr>
        <w:wordWrap/>
        <w:spacing w:line="276" w:lineRule="auto"/>
        <w:jc w:val="left"/>
        <w:rPr>
          <w:rFonts w:ascii="Calibri" w:hAnsi="Calibri"/>
          <w:sz w:val="24"/>
          <w:szCs w:val="24"/>
          <w:lang w:val="en-GB"/>
        </w:rPr>
      </w:pPr>
      <w:r w:rsidRPr="002229EB">
        <w:rPr>
          <w:rFonts w:ascii="Calibri" w:hAnsi="Calibri"/>
          <w:sz w:val="24"/>
          <w:szCs w:val="24"/>
          <w:lang w:val="en-GB"/>
        </w:rPr>
        <w:t>English</w:t>
      </w:r>
      <w:r w:rsidR="00891CE5" w:rsidRPr="002229EB">
        <w:rPr>
          <w:rFonts w:ascii="Calibri" w:hAnsi="Calibri"/>
          <w:sz w:val="24"/>
          <w:szCs w:val="24"/>
          <w:lang w:val="en-GB"/>
        </w:rPr>
        <w:t xml:space="preserve"> students were </w:t>
      </w:r>
      <w:r w:rsidR="00847568" w:rsidRPr="002229EB">
        <w:rPr>
          <w:rFonts w:ascii="Calibri" w:hAnsi="Calibri"/>
          <w:sz w:val="24"/>
          <w:szCs w:val="24"/>
          <w:lang w:val="en-GB"/>
        </w:rPr>
        <w:t xml:space="preserve">significantly </w:t>
      </w:r>
      <w:r w:rsidR="00891CE5" w:rsidRPr="002229EB">
        <w:rPr>
          <w:rFonts w:ascii="Calibri" w:hAnsi="Calibri"/>
          <w:sz w:val="24"/>
          <w:szCs w:val="24"/>
          <w:lang w:val="en-GB"/>
        </w:rPr>
        <w:t>more likely</w:t>
      </w:r>
      <w:r w:rsidR="00045788" w:rsidRPr="002229EB">
        <w:rPr>
          <w:rFonts w:ascii="Calibri" w:hAnsi="Calibri"/>
          <w:sz w:val="24"/>
          <w:szCs w:val="24"/>
          <w:lang w:val="en-GB"/>
        </w:rPr>
        <w:t xml:space="preserve"> </w:t>
      </w:r>
      <w:r w:rsidR="00891CE5" w:rsidRPr="002229EB">
        <w:rPr>
          <w:rFonts w:ascii="Calibri" w:hAnsi="Calibri"/>
          <w:sz w:val="24"/>
          <w:szCs w:val="24"/>
          <w:lang w:val="en-GB"/>
        </w:rPr>
        <w:t xml:space="preserve">than US or NZ students to view debt as an expected part of </w:t>
      </w:r>
      <w:r w:rsidR="00D24EA4" w:rsidRPr="002229EB">
        <w:rPr>
          <w:rFonts w:ascii="Calibri" w:hAnsi="Calibri"/>
          <w:sz w:val="24"/>
          <w:szCs w:val="24"/>
          <w:lang w:val="en-GB"/>
        </w:rPr>
        <w:t>attending university</w:t>
      </w:r>
      <w:r w:rsidR="00A46DB5" w:rsidRPr="002229EB">
        <w:rPr>
          <w:rFonts w:ascii="Calibri" w:hAnsi="Calibri"/>
          <w:sz w:val="24"/>
          <w:szCs w:val="24"/>
          <w:lang w:val="en-GB"/>
        </w:rPr>
        <w:t xml:space="preserve"> (KW</w:t>
      </w:r>
      <w:r w:rsidR="00A46DB5" w:rsidRPr="002229EB">
        <w:rPr>
          <w:rFonts w:ascii="Calibri" w:hAnsi="Calibri"/>
          <w:sz w:val="24"/>
          <w:szCs w:val="24"/>
          <w:vertAlign w:val="subscript"/>
          <w:lang w:val="en-GB"/>
        </w:rPr>
        <w:t xml:space="preserve">2 </w:t>
      </w:r>
      <w:r w:rsidR="00A46DB5" w:rsidRPr="002229EB">
        <w:rPr>
          <w:rFonts w:ascii="Calibri" w:hAnsi="Calibri"/>
          <w:sz w:val="24"/>
          <w:szCs w:val="24"/>
          <w:lang w:val="en-GB"/>
        </w:rPr>
        <w:t>= 28.380, p &lt; .001)</w:t>
      </w:r>
      <w:r w:rsidR="00870C58" w:rsidRPr="002229EB">
        <w:rPr>
          <w:rFonts w:ascii="Calibri" w:hAnsi="Calibri"/>
          <w:sz w:val="24"/>
          <w:szCs w:val="24"/>
          <w:lang w:val="en-GB"/>
        </w:rPr>
        <w:t xml:space="preserve"> and less prone to worry about the affordability of repayments than US students (KW</w:t>
      </w:r>
      <w:r w:rsidR="00870C58" w:rsidRPr="002229EB">
        <w:rPr>
          <w:rFonts w:ascii="Calibri" w:hAnsi="Calibri"/>
          <w:sz w:val="24"/>
          <w:szCs w:val="24"/>
          <w:vertAlign w:val="subscript"/>
          <w:lang w:val="en-GB"/>
        </w:rPr>
        <w:t xml:space="preserve">2 </w:t>
      </w:r>
      <w:r w:rsidR="00870C58" w:rsidRPr="002229EB">
        <w:rPr>
          <w:rFonts w:ascii="Calibri" w:hAnsi="Calibri"/>
          <w:sz w:val="24"/>
          <w:szCs w:val="24"/>
          <w:lang w:val="en-GB"/>
        </w:rPr>
        <w:t>= 6.948, p = .031)</w:t>
      </w:r>
      <w:r w:rsidR="00D24EA4" w:rsidRPr="002229EB">
        <w:rPr>
          <w:rFonts w:ascii="Calibri" w:hAnsi="Calibri"/>
          <w:sz w:val="24"/>
          <w:szCs w:val="24"/>
          <w:lang w:val="en-GB"/>
        </w:rPr>
        <w:t xml:space="preserve">, but also more likely than NZ students to view this as unfair </w:t>
      </w:r>
      <w:r w:rsidR="00A46DB5" w:rsidRPr="002229EB">
        <w:rPr>
          <w:rFonts w:ascii="Calibri" w:hAnsi="Calibri"/>
          <w:sz w:val="24"/>
          <w:szCs w:val="24"/>
          <w:lang w:val="en-GB"/>
        </w:rPr>
        <w:t>(KW</w:t>
      </w:r>
      <w:r w:rsidR="00A46DB5" w:rsidRPr="002229EB">
        <w:rPr>
          <w:rFonts w:ascii="Calibri" w:hAnsi="Calibri"/>
          <w:sz w:val="24"/>
          <w:szCs w:val="24"/>
          <w:vertAlign w:val="subscript"/>
          <w:lang w:val="en-GB"/>
        </w:rPr>
        <w:t xml:space="preserve">2 </w:t>
      </w:r>
      <w:r w:rsidR="00A46DB5" w:rsidRPr="002229EB">
        <w:rPr>
          <w:rFonts w:ascii="Calibri" w:hAnsi="Calibri"/>
          <w:sz w:val="24"/>
          <w:szCs w:val="24"/>
          <w:lang w:val="en-GB"/>
        </w:rPr>
        <w:t>= 10.293, p = .006)</w:t>
      </w:r>
      <w:r w:rsidR="00D24EA4" w:rsidRPr="002229EB">
        <w:rPr>
          <w:rFonts w:ascii="Calibri" w:hAnsi="Calibri"/>
          <w:sz w:val="24"/>
          <w:szCs w:val="24"/>
          <w:lang w:val="en-GB"/>
        </w:rPr>
        <w:t xml:space="preserve">.  </w:t>
      </w:r>
      <w:r w:rsidR="00CF79FC" w:rsidRPr="002229EB">
        <w:rPr>
          <w:rFonts w:ascii="Calibri" w:hAnsi="Calibri"/>
          <w:sz w:val="24"/>
          <w:szCs w:val="24"/>
          <w:lang w:val="en-GB"/>
        </w:rPr>
        <w:t>US students</w:t>
      </w:r>
      <w:r w:rsidR="00D24EA4" w:rsidRPr="002229EB">
        <w:rPr>
          <w:rFonts w:ascii="Calibri" w:hAnsi="Calibri"/>
          <w:sz w:val="24"/>
          <w:szCs w:val="24"/>
          <w:lang w:val="en-GB"/>
        </w:rPr>
        <w:t xml:space="preserve"> </w:t>
      </w:r>
      <w:r w:rsidR="00CF79FC" w:rsidRPr="002229EB">
        <w:rPr>
          <w:rFonts w:ascii="Calibri" w:hAnsi="Calibri"/>
          <w:sz w:val="24"/>
          <w:szCs w:val="24"/>
          <w:lang w:val="en-GB"/>
        </w:rPr>
        <w:t xml:space="preserve">had a significantly higher propensity </w:t>
      </w:r>
      <w:r w:rsidR="00D24EA4" w:rsidRPr="002229EB">
        <w:rPr>
          <w:rFonts w:ascii="Calibri" w:hAnsi="Calibri"/>
          <w:sz w:val="24"/>
          <w:szCs w:val="24"/>
          <w:lang w:val="en-GB"/>
        </w:rPr>
        <w:t xml:space="preserve">than </w:t>
      </w:r>
      <w:r w:rsidRPr="002229EB">
        <w:rPr>
          <w:rFonts w:ascii="Calibri" w:hAnsi="Calibri"/>
          <w:sz w:val="24"/>
          <w:szCs w:val="24"/>
          <w:lang w:val="en-GB"/>
        </w:rPr>
        <w:t xml:space="preserve">English </w:t>
      </w:r>
      <w:r w:rsidR="00D24EA4" w:rsidRPr="002229EB">
        <w:rPr>
          <w:rFonts w:ascii="Calibri" w:hAnsi="Calibri"/>
          <w:sz w:val="24"/>
          <w:szCs w:val="24"/>
          <w:lang w:val="en-GB"/>
        </w:rPr>
        <w:t xml:space="preserve">and NZ students to see a degree as a means of securing a job </w:t>
      </w:r>
      <w:r w:rsidR="006738C3" w:rsidRPr="002229EB">
        <w:rPr>
          <w:rFonts w:ascii="Calibri" w:hAnsi="Calibri"/>
          <w:sz w:val="24"/>
          <w:szCs w:val="24"/>
          <w:lang w:val="en-GB"/>
        </w:rPr>
        <w:t>(KW</w:t>
      </w:r>
      <w:r w:rsidR="006738C3" w:rsidRPr="002229EB">
        <w:rPr>
          <w:rFonts w:ascii="Calibri" w:hAnsi="Calibri"/>
          <w:sz w:val="24"/>
          <w:szCs w:val="24"/>
          <w:vertAlign w:val="subscript"/>
          <w:lang w:val="en-GB"/>
        </w:rPr>
        <w:t xml:space="preserve">2 </w:t>
      </w:r>
      <w:r w:rsidR="006738C3" w:rsidRPr="002229EB">
        <w:rPr>
          <w:rFonts w:ascii="Calibri" w:hAnsi="Calibri"/>
          <w:sz w:val="24"/>
          <w:szCs w:val="24"/>
          <w:lang w:val="en-GB"/>
        </w:rPr>
        <w:t xml:space="preserve">= 18.117, p &lt; .001) </w:t>
      </w:r>
      <w:r w:rsidR="00D24EA4" w:rsidRPr="002229EB">
        <w:rPr>
          <w:rFonts w:ascii="Calibri" w:hAnsi="Calibri"/>
          <w:sz w:val="24"/>
          <w:szCs w:val="24"/>
          <w:lang w:val="en-GB"/>
        </w:rPr>
        <w:t>and higher earnings</w:t>
      </w:r>
      <w:r w:rsidR="001F7E2A" w:rsidRPr="002229EB">
        <w:rPr>
          <w:rFonts w:ascii="Calibri" w:hAnsi="Calibri"/>
          <w:sz w:val="24"/>
          <w:szCs w:val="24"/>
          <w:lang w:val="en-GB"/>
        </w:rPr>
        <w:t xml:space="preserve"> (KW</w:t>
      </w:r>
      <w:r w:rsidR="001F7E2A" w:rsidRPr="002229EB">
        <w:rPr>
          <w:rFonts w:ascii="Calibri" w:hAnsi="Calibri"/>
          <w:sz w:val="24"/>
          <w:szCs w:val="24"/>
          <w:vertAlign w:val="subscript"/>
          <w:lang w:val="en-GB"/>
        </w:rPr>
        <w:t xml:space="preserve">2 </w:t>
      </w:r>
      <w:r w:rsidR="001F7E2A" w:rsidRPr="002229EB">
        <w:rPr>
          <w:rFonts w:ascii="Calibri" w:hAnsi="Calibri"/>
          <w:sz w:val="24"/>
          <w:szCs w:val="24"/>
          <w:lang w:val="en-GB"/>
        </w:rPr>
        <w:t>= 1</w:t>
      </w:r>
      <w:r w:rsidR="00B63EC1" w:rsidRPr="002229EB">
        <w:rPr>
          <w:rFonts w:ascii="Calibri" w:hAnsi="Calibri"/>
          <w:sz w:val="24"/>
          <w:szCs w:val="24"/>
          <w:lang w:val="en-GB"/>
        </w:rPr>
        <w:t>5.</w:t>
      </w:r>
      <w:r w:rsidR="001F7E2A" w:rsidRPr="002229EB">
        <w:rPr>
          <w:rFonts w:ascii="Calibri" w:hAnsi="Calibri"/>
          <w:sz w:val="24"/>
          <w:szCs w:val="24"/>
          <w:lang w:val="en-GB"/>
        </w:rPr>
        <w:t>940, p &lt; .001)</w:t>
      </w:r>
      <w:r w:rsidR="00D24EA4" w:rsidRPr="002229EB">
        <w:rPr>
          <w:rFonts w:ascii="Calibri" w:hAnsi="Calibri"/>
          <w:sz w:val="24"/>
          <w:szCs w:val="24"/>
          <w:lang w:val="en-GB"/>
        </w:rPr>
        <w:t xml:space="preserve">.  </w:t>
      </w:r>
      <w:r w:rsidR="007376F4" w:rsidRPr="002229EB">
        <w:rPr>
          <w:rFonts w:ascii="Calibri" w:hAnsi="Calibri"/>
          <w:sz w:val="24"/>
          <w:szCs w:val="24"/>
          <w:lang w:val="en-GB"/>
        </w:rPr>
        <w:t>US students</w:t>
      </w:r>
      <w:r w:rsidR="00D24EA4" w:rsidRPr="002229EB">
        <w:rPr>
          <w:rFonts w:ascii="Calibri" w:hAnsi="Calibri"/>
          <w:sz w:val="24"/>
          <w:szCs w:val="24"/>
          <w:lang w:val="en-GB"/>
        </w:rPr>
        <w:t xml:space="preserve"> also </w:t>
      </w:r>
      <w:r w:rsidR="00CF79FC" w:rsidRPr="002229EB">
        <w:rPr>
          <w:rFonts w:ascii="Calibri" w:hAnsi="Calibri"/>
          <w:sz w:val="24"/>
          <w:szCs w:val="24"/>
          <w:lang w:val="en-GB"/>
        </w:rPr>
        <w:t xml:space="preserve">professed less </w:t>
      </w:r>
      <w:r w:rsidR="00D24EA4" w:rsidRPr="002229EB">
        <w:rPr>
          <w:rFonts w:ascii="Calibri" w:hAnsi="Calibri"/>
          <w:sz w:val="24"/>
          <w:szCs w:val="24"/>
          <w:lang w:val="en-GB"/>
        </w:rPr>
        <w:t xml:space="preserve">use </w:t>
      </w:r>
      <w:r w:rsidR="00CF79FC" w:rsidRPr="002229EB">
        <w:rPr>
          <w:rFonts w:ascii="Calibri" w:hAnsi="Calibri"/>
          <w:sz w:val="24"/>
          <w:szCs w:val="24"/>
          <w:lang w:val="en-GB"/>
        </w:rPr>
        <w:t xml:space="preserve">of </w:t>
      </w:r>
      <w:r w:rsidR="00D24EA4" w:rsidRPr="002229EB">
        <w:rPr>
          <w:rFonts w:ascii="Calibri" w:hAnsi="Calibri"/>
          <w:sz w:val="24"/>
          <w:szCs w:val="24"/>
          <w:lang w:val="en-GB"/>
        </w:rPr>
        <w:t xml:space="preserve">debt for luxuries </w:t>
      </w:r>
      <w:r w:rsidR="00CF79FC" w:rsidRPr="002229EB">
        <w:rPr>
          <w:rFonts w:ascii="Calibri" w:hAnsi="Calibri"/>
          <w:sz w:val="24"/>
          <w:szCs w:val="24"/>
          <w:lang w:val="en-GB"/>
        </w:rPr>
        <w:t xml:space="preserve">than both other nationalities </w:t>
      </w:r>
      <w:r w:rsidR="00A46DB5" w:rsidRPr="002229EB">
        <w:rPr>
          <w:rFonts w:ascii="Calibri" w:hAnsi="Calibri"/>
          <w:sz w:val="24"/>
          <w:szCs w:val="24"/>
          <w:lang w:val="en-GB"/>
        </w:rPr>
        <w:t>(KW</w:t>
      </w:r>
      <w:r w:rsidR="00A46DB5" w:rsidRPr="002229EB">
        <w:rPr>
          <w:rFonts w:ascii="Calibri" w:hAnsi="Calibri"/>
          <w:sz w:val="24"/>
          <w:szCs w:val="24"/>
          <w:vertAlign w:val="subscript"/>
          <w:lang w:val="en-GB"/>
        </w:rPr>
        <w:t xml:space="preserve">2 </w:t>
      </w:r>
      <w:r w:rsidR="00A46DB5" w:rsidRPr="002229EB">
        <w:rPr>
          <w:rFonts w:ascii="Calibri" w:hAnsi="Calibri"/>
          <w:sz w:val="24"/>
          <w:szCs w:val="24"/>
          <w:lang w:val="en-GB"/>
        </w:rPr>
        <w:t xml:space="preserve">= 12.075, p = .002) </w:t>
      </w:r>
      <w:r w:rsidR="00D24EA4" w:rsidRPr="002229EB">
        <w:rPr>
          <w:rFonts w:ascii="Calibri" w:hAnsi="Calibri"/>
          <w:sz w:val="24"/>
          <w:szCs w:val="24"/>
          <w:lang w:val="en-GB"/>
        </w:rPr>
        <w:t xml:space="preserve">and less </w:t>
      </w:r>
      <w:r w:rsidR="00CF79FC" w:rsidRPr="002229EB">
        <w:rPr>
          <w:rFonts w:ascii="Calibri" w:hAnsi="Calibri"/>
          <w:sz w:val="24"/>
          <w:szCs w:val="24"/>
          <w:lang w:val="en-GB"/>
        </w:rPr>
        <w:t xml:space="preserve">use of debt to fund their social life </w:t>
      </w:r>
      <w:r w:rsidR="00D24EA4" w:rsidRPr="002229EB">
        <w:rPr>
          <w:rFonts w:ascii="Calibri" w:hAnsi="Calibri"/>
          <w:sz w:val="24"/>
          <w:szCs w:val="24"/>
          <w:lang w:val="en-GB"/>
        </w:rPr>
        <w:t xml:space="preserve">than </w:t>
      </w:r>
      <w:r w:rsidRPr="002229EB">
        <w:rPr>
          <w:rFonts w:ascii="Calibri" w:hAnsi="Calibri"/>
          <w:sz w:val="24"/>
          <w:szCs w:val="24"/>
          <w:lang w:val="en-GB"/>
        </w:rPr>
        <w:t xml:space="preserve">English </w:t>
      </w:r>
      <w:r w:rsidR="00D24EA4" w:rsidRPr="002229EB">
        <w:rPr>
          <w:rFonts w:ascii="Calibri" w:hAnsi="Calibri"/>
          <w:sz w:val="24"/>
          <w:szCs w:val="24"/>
          <w:lang w:val="en-GB"/>
        </w:rPr>
        <w:t>students</w:t>
      </w:r>
      <w:r w:rsidR="00A46DB5" w:rsidRPr="002229EB">
        <w:rPr>
          <w:rFonts w:ascii="Calibri" w:hAnsi="Calibri"/>
          <w:sz w:val="24"/>
          <w:szCs w:val="24"/>
          <w:lang w:val="en-GB"/>
        </w:rPr>
        <w:t xml:space="preserve"> (KW</w:t>
      </w:r>
      <w:r w:rsidR="00A46DB5" w:rsidRPr="002229EB">
        <w:rPr>
          <w:rFonts w:ascii="Calibri" w:hAnsi="Calibri"/>
          <w:sz w:val="24"/>
          <w:szCs w:val="24"/>
          <w:vertAlign w:val="subscript"/>
          <w:lang w:val="en-GB"/>
        </w:rPr>
        <w:t xml:space="preserve">2 </w:t>
      </w:r>
      <w:r w:rsidR="00A46DB5" w:rsidRPr="002229EB">
        <w:rPr>
          <w:rFonts w:ascii="Calibri" w:hAnsi="Calibri"/>
          <w:sz w:val="24"/>
          <w:szCs w:val="24"/>
          <w:lang w:val="en-GB"/>
        </w:rPr>
        <w:t>= 8.487, p = .014)</w:t>
      </w:r>
      <w:r w:rsidR="001F7E2A" w:rsidRPr="002229EB">
        <w:rPr>
          <w:rFonts w:ascii="Calibri" w:hAnsi="Calibri"/>
          <w:sz w:val="24"/>
          <w:szCs w:val="24"/>
          <w:lang w:val="en-GB"/>
        </w:rPr>
        <w:t xml:space="preserve">, while being less likely to assert that they knew what credit card and overdraft debts they were incurring than both </w:t>
      </w:r>
      <w:r w:rsidRPr="002229EB">
        <w:rPr>
          <w:rFonts w:ascii="Calibri" w:hAnsi="Calibri"/>
          <w:sz w:val="24"/>
          <w:szCs w:val="24"/>
          <w:lang w:val="en-GB"/>
        </w:rPr>
        <w:t xml:space="preserve">English </w:t>
      </w:r>
      <w:r w:rsidR="001F7E2A" w:rsidRPr="002229EB">
        <w:rPr>
          <w:rFonts w:ascii="Calibri" w:hAnsi="Calibri"/>
          <w:sz w:val="24"/>
          <w:szCs w:val="24"/>
          <w:lang w:val="en-GB"/>
        </w:rPr>
        <w:t>and NZ students (KW</w:t>
      </w:r>
      <w:r w:rsidR="001F7E2A" w:rsidRPr="002229EB">
        <w:rPr>
          <w:rFonts w:ascii="Calibri" w:hAnsi="Calibri"/>
          <w:sz w:val="24"/>
          <w:szCs w:val="24"/>
          <w:vertAlign w:val="subscript"/>
          <w:lang w:val="en-GB"/>
        </w:rPr>
        <w:t xml:space="preserve">2 </w:t>
      </w:r>
      <w:r w:rsidR="001F7E2A" w:rsidRPr="002229EB">
        <w:rPr>
          <w:rFonts w:ascii="Calibri" w:hAnsi="Calibri"/>
          <w:sz w:val="24"/>
          <w:szCs w:val="24"/>
          <w:lang w:val="en-GB"/>
        </w:rPr>
        <w:t>= 9.040, p = .011)</w:t>
      </w:r>
      <w:r w:rsidR="00D24EA4" w:rsidRPr="002229EB">
        <w:rPr>
          <w:rFonts w:ascii="Calibri" w:hAnsi="Calibri"/>
          <w:sz w:val="24"/>
          <w:szCs w:val="24"/>
          <w:lang w:val="en-GB"/>
        </w:rPr>
        <w:t>.</w:t>
      </w:r>
      <w:r w:rsidR="00CF79FC" w:rsidRPr="002229EB">
        <w:rPr>
          <w:rFonts w:ascii="Calibri" w:hAnsi="Calibri"/>
          <w:sz w:val="24"/>
          <w:szCs w:val="24"/>
          <w:lang w:val="en-GB"/>
        </w:rPr>
        <w:t xml:space="preserve">  </w:t>
      </w:r>
      <w:r w:rsidR="00D24EA4" w:rsidRPr="002229EB">
        <w:rPr>
          <w:rFonts w:ascii="Calibri" w:hAnsi="Calibri"/>
          <w:sz w:val="24"/>
          <w:szCs w:val="24"/>
          <w:lang w:val="en-GB"/>
        </w:rPr>
        <w:t>NZ students were</w:t>
      </w:r>
      <w:r w:rsidR="00CF79FC" w:rsidRPr="002229EB">
        <w:rPr>
          <w:rFonts w:ascii="Calibri" w:hAnsi="Calibri"/>
          <w:sz w:val="24"/>
          <w:szCs w:val="24"/>
          <w:lang w:val="en-GB"/>
        </w:rPr>
        <w:t xml:space="preserve"> significantly</w:t>
      </w:r>
      <w:r w:rsidR="00D24EA4" w:rsidRPr="002229EB">
        <w:rPr>
          <w:rFonts w:ascii="Calibri" w:hAnsi="Calibri"/>
          <w:sz w:val="24"/>
          <w:szCs w:val="24"/>
          <w:lang w:val="en-GB"/>
        </w:rPr>
        <w:t xml:space="preserve"> more likely</w:t>
      </w:r>
      <w:r w:rsidR="00CF79FC" w:rsidRPr="002229EB">
        <w:rPr>
          <w:rFonts w:ascii="Calibri" w:hAnsi="Calibri"/>
          <w:sz w:val="24"/>
          <w:szCs w:val="24"/>
          <w:lang w:val="en-GB"/>
        </w:rPr>
        <w:t>, on average,</w:t>
      </w:r>
      <w:r w:rsidR="00D24EA4" w:rsidRPr="002229EB">
        <w:rPr>
          <w:rFonts w:ascii="Calibri" w:hAnsi="Calibri"/>
          <w:sz w:val="24"/>
          <w:szCs w:val="24"/>
          <w:lang w:val="en-GB"/>
        </w:rPr>
        <w:t xml:space="preserve"> than </w:t>
      </w:r>
      <w:r w:rsidR="00A70455" w:rsidRPr="002229EB">
        <w:rPr>
          <w:rFonts w:ascii="Calibri" w:hAnsi="Calibri"/>
          <w:sz w:val="24"/>
          <w:szCs w:val="24"/>
          <w:lang w:val="en-GB"/>
        </w:rPr>
        <w:t>English</w:t>
      </w:r>
      <w:r w:rsidR="00D24EA4" w:rsidRPr="002229EB">
        <w:rPr>
          <w:rFonts w:ascii="Calibri" w:hAnsi="Calibri"/>
          <w:sz w:val="24"/>
          <w:szCs w:val="24"/>
          <w:lang w:val="en-GB"/>
        </w:rPr>
        <w:t xml:space="preserve"> students to see university expenses as the best use for student debt</w:t>
      </w:r>
      <w:r w:rsidR="008D5106" w:rsidRPr="002229EB">
        <w:rPr>
          <w:rFonts w:ascii="Calibri" w:hAnsi="Calibri"/>
          <w:sz w:val="24"/>
          <w:szCs w:val="24"/>
          <w:lang w:val="en-GB"/>
        </w:rPr>
        <w:t xml:space="preserve"> (KW</w:t>
      </w:r>
      <w:r w:rsidR="008D5106" w:rsidRPr="002229EB">
        <w:rPr>
          <w:rFonts w:ascii="Calibri" w:hAnsi="Calibri"/>
          <w:sz w:val="24"/>
          <w:szCs w:val="24"/>
          <w:vertAlign w:val="subscript"/>
          <w:lang w:val="en-GB"/>
        </w:rPr>
        <w:t xml:space="preserve">2 </w:t>
      </w:r>
      <w:r w:rsidR="008D5106" w:rsidRPr="002229EB">
        <w:rPr>
          <w:rFonts w:ascii="Calibri" w:hAnsi="Calibri"/>
          <w:sz w:val="24"/>
          <w:szCs w:val="24"/>
          <w:lang w:val="en-GB"/>
        </w:rPr>
        <w:t>= 20.395, p &lt; .001)</w:t>
      </w:r>
      <w:r w:rsidR="00D24EA4" w:rsidRPr="002229EB">
        <w:rPr>
          <w:rFonts w:ascii="Calibri" w:hAnsi="Calibri"/>
          <w:sz w:val="24"/>
          <w:szCs w:val="24"/>
          <w:lang w:val="en-GB"/>
        </w:rPr>
        <w:t xml:space="preserve">.  However, they </w:t>
      </w:r>
      <w:r w:rsidR="00CF79FC" w:rsidRPr="002229EB">
        <w:rPr>
          <w:rFonts w:ascii="Calibri" w:hAnsi="Calibri"/>
          <w:sz w:val="24"/>
          <w:szCs w:val="24"/>
          <w:lang w:val="en-GB"/>
        </w:rPr>
        <w:t>had a lower propensity</w:t>
      </w:r>
      <w:r w:rsidR="00D24EA4" w:rsidRPr="002229EB">
        <w:rPr>
          <w:rFonts w:ascii="Calibri" w:hAnsi="Calibri"/>
          <w:sz w:val="24"/>
          <w:szCs w:val="24"/>
          <w:lang w:val="en-GB"/>
        </w:rPr>
        <w:t xml:space="preserve"> to </w:t>
      </w:r>
      <w:r w:rsidR="00CF79FC" w:rsidRPr="002229EB">
        <w:rPr>
          <w:rFonts w:ascii="Calibri" w:hAnsi="Calibri"/>
          <w:sz w:val="24"/>
          <w:szCs w:val="24"/>
          <w:lang w:val="en-GB"/>
        </w:rPr>
        <w:t>believe they kne</w:t>
      </w:r>
      <w:r w:rsidR="00D24EA4" w:rsidRPr="002229EB">
        <w:rPr>
          <w:rFonts w:ascii="Calibri" w:hAnsi="Calibri"/>
          <w:sz w:val="24"/>
          <w:szCs w:val="24"/>
          <w:lang w:val="en-GB"/>
        </w:rPr>
        <w:t>w the repayment terms for their loan</w:t>
      </w:r>
      <w:r w:rsidR="001F7E2A" w:rsidRPr="002229EB">
        <w:rPr>
          <w:rFonts w:ascii="Calibri" w:hAnsi="Calibri"/>
          <w:sz w:val="24"/>
          <w:szCs w:val="24"/>
          <w:lang w:val="en-GB"/>
        </w:rPr>
        <w:t xml:space="preserve"> (KW</w:t>
      </w:r>
      <w:r w:rsidR="001F7E2A" w:rsidRPr="002229EB">
        <w:rPr>
          <w:rFonts w:ascii="Calibri" w:hAnsi="Calibri"/>
          <w:sz w:val="24"/>
          <w:szCs w:val="24"/>
          <w:vertAlign w:val="subscript"/>
          <w:lang w:val="en-GB"/>
        </w:rPr>
        <w:t xml:space="preserve">2 </w:t>
      </w:r>
      <w:r w:rsidR="001F7E2A" w:rsidRPr="002229EB">
        <w:rPr>
          <w:rFonts w:ascii="Calibri" w:hAnsi="Calibri"/>
          <w:sz w:val="24"/>
          <w:szCs w:val="24"/>
          <w:lang w:val="en-GB"/>
        </w:rPr>
        <w:t>= 7.820, p = .020)</w:t>
      </w:r>
      <w:r w:rsidR="00D24EA4" w:rsidRPr="002229EB">
        <w:rPr>
          <w:rFonts w:ascii="Calibri" w:hAnsi="Calibri"/>
          <w:sz w:val="24"/>
          <w:szCs w:val="24"/>
          <w:lang w:val="en-GB"/>
        </w:rPr>
        <w:t xml:space="preserve"> and </w:t>
      </w:r>
      <w:r w:rsidR="00CF79FC" w:rsidRPr="002229EB">
        <w:rPr>
          <w:rFonts w:ascii="Calibri" w:hAnsi="Calibri"/>
          <w:sz w:val="24"/>
          <w:szCs w:val="24"/>
          <w:lang w:val="en-GB"/>
        </w:rPr>
        <w:t>a higher propensity</w:t>
      </w:r>
      <w:r w:rsidR="00D24EA4" w:rsidRPr="002229EB">
        <w:rPr>
          <w:rFonts w:ascii="Calibri" w:hAnsi="Calibri"/>
          <w:sz w:val="24"/>
          <w:szCs w:val="24"/>
          <w:lang w:val="en-GB"/>
        </w:rPr>
        <w:t xml:space="preserve"> to </w:t>
      </w:r>
      <w:r w:rsidR="00CF79FC" w:rsidRPr="002229EB">
        <w:rPr>
          <w:rFonts w:ascii="Calibri" w:hAnsi="Calibri"/>
          <w:sz w:val="24"/>
          <w:szCs w:val="24"/>
          <w:lang w:val="en-GB"/>
        </w:rPr>
        <w:t xml:space="preserve">report </w:t>
      </w:r>
      <w:r w:rsidR="00D24EA4" w:rsidRPr="002229EB">
        <w:rPr>
          <w:rFonts w:ascii="Calibri" w:hAnsi="Calibri"/>
          <w:sz w:val="24"/>
          <w:szCs w:val="24"/>
          <w:lang w:val="en-GB"/>
        </w:rPr>
        <w:t>feel socially isolated by their debt</w:t>
      </w:r>
      <w:r w:rsidR="008D5106" w:rsidRPr="002229EB">
        <w:rPr>
          <w:rFonts w:ascii="Calibri" w:hAnsi="Calibri"/>
          <w:sz w:val="24"/>
          <w:szCs w:val="24"/>
          <w:lang w:val="en-GB"/>
        </w:rPr>
        <w:t xml:space="preserve"> (KW</w:t>
      </w:r>
      <w:r w:rsidR="008D5106" w:rsidRPr="002229EB">
        <w:rPr>
          <w:rFonts w:ascii="Calibri" w:hAnsi="Calibri"/>
          <w:sz w:val="24"/>
          <w:szCs w:val="24"/>
          <w:vertAlign w:val="subscript"/>
          <w:lang w:val="en-GB"/>
        </w:rPr>
        <w:t xml:space="preserve">2 </w:t>
      </w:r>
      <w:r w:rsidR="008D5106" w:rsidRPr="002229EB">
        <w:rPr>
          <w:rFonts w:ascii="Calibri" w:hAnsi="Calibri"/>
          <w:sz w:val="24"/>
          <w:szCs w:val="24"/>
          <w:lang w:val="en-GB"/>
        </w:rPr>
        <w:t>= 11.735, p = .003)</w:t>
      </w:r>
      <w:r w:rsidR="00D24EA4" w:rsidRPr="002229EB">
        <w:rPr>
          <w:rFonts w:ascii="Calibri" w:hAnsi="Calibri"/>
          <w:sz w:val="24"/>
          <w:szCs w:val="24"/>
          <w:lang w:val="en-GB"/>
        </w:rPr>
        <w:t>.</w:t>
      </w:r>
    </w:p>
    <w:p w:rsidR="00B2270E" w:rsidRPr="002229EB" w:rsidRDefault="00B2270E" w:rsidP="009C3AC7">
      <w:pPr>
        <w:wordWrap/>
        <w:spacing w:line="276" w:lineRule="auto"/>
        <w:jc w:val="left"/>
        <w:rPr>
          <w:rFonts w:ascii="Calibri" w:hAnsi="Calibri"/>
          <w:sz w:val="24"/>
          <w:szCs w:val="24"/>
          <w:lang w:val="en-GB"/>
        </w:rPr>
      </w:pPr>
    </w:p>
    <w:p w:rsidR="00444ADD" w:rsidRPr="002229EB" w:rsidRDefault="00444ADD" w:rsidP="009C3AC7">
      <w:pPr>
        <w:wordWrap/>
        <w:spacing w:line="276" w:lineRule="auto"/>
        <w:jc w:val="left"/>
        <w:rPr>
          <w:rFonts w:ascii="Calibri" w:hAnsi="Calibri"/>
          <w:sz w:val="24"/>
          <w:szCs w:val="24"/>
          <w:lang w:val="en-GB"/>
        </w:rPr>
      </w:pPr>
      <w:r w:rsidRPr="002229EB">
        <w:rPr>
          <w:rFonts w:ascii="Calibri" w:hAnsi="Calibri"/>
          <w:sz w:val="24"/>
          <w:szCs w:val="24"/>
          <w:lang w:val="en-GB"/>
        </w:rPr>
        <w:t xml:space="preserve">Exploratory factor analysis was </w:t>
      </w:r>
      <w:r w:rsidR="00A9432E" w:rsidRPr="002229EB">
        <w:rPr>
          <w:rFonts w:ascii="Calibri" w:hAnsi="Calibri"/>
          <w:sz w:val="24"/>
          <w:szCs w:val="24"/>
          <w:lang w:val="en-GB"/>
        </w:rPr>
        <w:t xml:space="preserve">then </w:t>
      </w:r>
      <w:r w:rsidRPr="002229EB">
        <w:rPr>
          <w:rFonts w:ascii="Calibri" w:hAnsi="Calibri"/>
          <w:sz w:val="24"/>
          <w:szCs w:val="24"/>
          <w:lang w:val="en-GB"/>
        </w:rPr>
        <w:t xml:space="preserve">undertaken on the 20 items.  In terms of the suitability of factor analysis for this dataset, Bartlett’s test for </w:t>
      </w:r>
      <w:proofErr w:type="spellStart"/>
      <w:r w:rsidRPr="002229EB">
        <w:rPr>
          <w:rFonts w:ascii="Calibri" w:hAnsi="Calibri"/>
          <w:sz w:val="24"/>
          <w:szCs w:val="24"/>
          <w:lang w:val="en-GB"/>
        </w:rPr>
        <w:t>sphericity</w:t>
      </w:r>
      <w:proofErr w:type="spellEnd"/>
      <w:r w:rsidRPr="002229EB">
        <w:rPr>
          <w:rFonts w:ascii="Calibri" w:hAnsi="Calibri"/>
          <w:sz w:val="24"/>
          <w:szCs w:val="24"/>
          <w:lang w:val="en-GB"/>
        </w:rPr>
        <w:t xml:space="preserve"> was significant (</w:t>
      </w:r>
      <w:r w:rsidR="00756BE1" w:rsidRPr="002229EB">
        <w:rPr>
          <w:rFonts w:ascii="Calibri" w:hAnsi="Calibri"/>
          <w:sz w:val="24"/>
          <w:szCs w:val="24"/>
          <w:lang w:val="en-GB"/>
        </w:rPr>
        <w:t>χ</w:t>
      </w:r>
      <w:r w:rsidR="00756BE1" w:rsidRPr="002229EB">
        <w:rPr>
          <w:rFonts w:ascii="Calibri" w:hAnsi="Calibri"/>
          <w:sz w:val="24"/>
          <w:szCs w:val="24"/>
          <w:vertAlign w:val="superscript"/>
          <w:lang w:val="en-GB"/>
        </w:rPr>
        <w:t>2</w:t>
      </w:r>
      <w:r w:rsidR="00756BE1" w:rsidRPr="002229EB">
        <w:rPr>
          <w:rFonts w:ascii="Calibri" w:hAnsi="Calibri"/>
          <w:sz w:val="24"/>
          <w:szCs w:val="24"/>
          <w:vertAlign w:val="subscript"/>
          <w:lang w:val="en-GB"/>
        </w:rPr>
        <w:t>190</w:t>
      </w:r>
      <w:r w:rsidR="00756BE1" w:rsidRPr="002229EB">
        <w:rPr>
          <w:rFonts w:ascii="Calibri" w:hAnsi="Calibri"/>
          <w:sz w:val="24"/>
          <w:szCs w:val="24"/>
          <w:lang w:val="en-GB"/>
        </w:rPr>
        <w:t xml:space="preserve"> = 3385.963, </w:t>
      </w:r>
      <w:r w:rsidRPr="002229EB">
        <w:rPr>
          <w:rFonts w:ascii="Calibri" w:hAnsi="Calibri"/>
          <w:sz w:val="24"/>
          <w:szCs w:val="24"/>
          <w:lang w:val="en-GB"/>
        </w:rPr>
        <w:t>p &lt; .001),</w:t>
      </w:r>
      <w:r w:rsidR="00756BE1" w:rsidRPr="002229EB">
        <w:rPr>
          <w:rFonts w:ascii="Calibri" w:hAnsi="Calibri"/>
          <w:sz w:val="24"/>
          <w:szCs w:val="24"/>
          <w:lang w:val="en-GB"/>
        </w:rPr>
        <w:t xml:space="preserve"> while the KMO statistic of .775</w:t>
      </w:r>
      <w:r w:rsidRPr="002229EB">
        <w:rPr>
          <w:rFonts w:ascii="Calibri" w:hAnsi="Calibri"/>
          <w:sz w:val="24"/>
          <w:szCs w:val="24"/>
          <w:lang w:val="en-GB"/>
        </w:rPr>
        <w:t xml:space="preserve"> demonstrated a strong sampling adequacy.  In addition, the </w:t>
      </w:r>
      <w:r w:rsidR="008A4317" w:rsidRPr="002229EB">
        <w:rPr>
          <w:rFonts w:ascii="Calibri" w:hAnsi="Calibri"/>
          <w:sz w:val="24"/>
          <w:szCs w:val="24"/>
          <w:lang w:val="en-GB"/>
        </w:rPr>
        <w:t xml:space="preserve">large </w:t>
      </w:r>
      <w:r w:rsidRPr="002229EB">
        <w:rPr>
          <w:rFonts w:ascii="Calibri" w:hAnsi="Calibri"/>
          <w:sz w:val="24"/>
          <w:szCs w:val="24"/>
          <w:lang w:val="en-GB"/>
        </w:rPr>
        <w:t xml:space="preserve">sample size of </w:t>
      </w:r>
      <w:r w:rsidR="00711B55" w:rsidRPr="002229EB">
        <w:rPr>
          <w:rFonts w:ascii="Calibri" w:hAnsi="Calibri"/>
          <w:sz w:val="24"/>
          <w:szCs w:val="24"/>
          <w:lang w:val="en-GB"/>
        </w:rPr>
        <w:t xml:space="preserve">496 gave a </w:t>
      </w:r>
      <w:r w:rsidR="00756BE1" w:rsidRPr="002229EB">
        <w:rPr>
          <w:rFonts w:ascii="Calibri" w:hAnsi="Calibri"/>
          <w:sz w:val="24"/>
          <w:szCs w:val="24"/>
          <w:lang w:val="en-GB"/>
        </w:rPr>
        <w:t xml:space="preserve">nearly </w:t>
      </w:r>
      <w:r w:rsidR="00711B55" w:rsidRPr="002229EB">
        <w:rPr>
          <w:rFonts w:ascii="Calibri" w:hAnsi="Calibri"/>
          <w:sz w:val="24"/>
          <w:szCs w:val="24"/>
          <w:lang w:val="en-GB"/>
        </w:rPr>
        <w:t>25</w:t>
      </w:r>
      <w:r w:rsidRPr="002229EB">
        <w:rPr>
          <w:rFonts w:ascii="Calibri" w:hAnsi="Calibri"/>
          <w:sz w:val="24"/>
          <w:szCs w:val="24"/>
          <w:lang w:val="en-GB"/>
        </w:rPr>
        <w:t>:1 ratio of cases-to-variables, which is in line with</w:t>
      </w:r>
      <w:r w:rsidR="008A4317" w:rsidRPr="002229EB">
        <w:rPr>
          <w:rFonts w:ascii="Calibri" w:hAnsi="Calibri"/>
          <w:sz w:val="24"/>
          <w:szCs w:val="24"/>
          <w:lang w:val="en-GB"/>
        </w:rPr>
        <w:t xml:space="preserve"> </w:t>
      </w:r>
      <w:r w:rsidR="00B74895" w:rsidRPr="002229EB">
        <w:rPr>
          <w:rFonts w:ascii="Calibri" w:hAnsi="Calibri"/>
          <w:sz w:val="24"/>
          <w:szCs w:val="24"/>
          <w:lang w:val="en-GB"/>
        </w:rPr>
        <w:t xml:space="preserve">both </w:t>
      </w:r>
      <w:r w:rsidR="00076537" w:rsidRPr="002229EB">
        <w:rPr>
          <w:rFonts w:ascii="Calibri" w:hAnsi="Calibri"/>
          <w:sz w:val="24"/>
          <w:szCs w:val="24"/>
          <w:lang w:val="en-GB"/>
        </w:rPr>
        <w:t>traditional</w:t>
      </w:r>
      <w:r w:rsidR="00B74895" w:rsidRPr="002229EB">
        <w:rPr>
          <w:rFonts w:ascii="Calibri" w:hAnsi="Calibri"/>
          <w:sz w:val="24"/>
          <w:szCs w:val="24"/>
          <w:lang w:val="en-GB"/>
        </w:rPr>
        <w:t xml:space="preserve"> and more recent</w:t>
      </w:r>
      <w:r w:rsidR="008A4317" w:rsidRPr="002229EB">
        <w:rPr>
          <w:rFonts w:ascii="Calibri" w:hAnsi="Calibri"/>
          <w:sz w:val="24"/>
          <w:szCs w:val="24"/>
          <w:lang w:val="en-GB"/>
        </w:rPr>
        <w:t xml:space="preserve"> ideas of</w:t>
      </w:r>
      <w:r w:rsidRPr="002229EB">
        <w:rPr>
          <w:rFonts w:ascii="Calibri" w:hAnsi="Calibri"/>
          <w:sz w:val="24"/>
          <w:szCs w:val="24"/>
          <w:lang w:val="en-GB"/>
        </w:rPr>
        <w:t xml:space="preserve"> best practice (</w:t>
      </w:r>
      <w:r w:rsidR="00B74895" w:rsidRPr="002229EB">
        <w:rPr>
          <w:rFonts w:ascii="Calibri" w:hAnsi="Calibri"/>
          <w:sz w:val="24"/>
          <w:szCs w:val="24"/>
          <w:lang w:val="en-GB"/>
        </w:rPr>
        <w:t>Field, 2005;</w:t>
      </w:r>
      <w:r w:rsidR="00222323" w:rsidRPr="002229EB">
        <w:rPr>
          <w:rFonts w:ascii="Calibri" w:hAnsi="Calibri"/>
          <w:sz w:val="24"/>
          <w:szCs w:val="24"/>
          <w:lang w:val="en-GB"/>
        </w:rPr>
        <w:t xml:space="preserve"> </w:t>
      </w:r>
      <w:proofErr w:type="spellStart"/>
      <w:r w:rsidR="00222323" w:rsidRPr="002229EB">
        <w:rPr>
          <w:rFonts w:ascii="Calibri" w:hAnsi="Calibri"/>
          <w:sz w:val="24"/>
          <w:szCs w:val="24"/>
          <w:lang w:val="en-GB"/>
        </w:rPr>
        <w:t>Hogarty</w:t>
      </w:r>
      <w:proofErr w:type="spellEnd"/>
      <w:r w:rsidR="00222323" w:rsidRPr="002229EB">
        <w:rPr>
          <w:rFonts w:ascii="Calibri" w:hAnsi="Calibri"/>
          <w:sz w:val="24"/>
          <w:szCs w:val="24"/>
          <w:lang w:val="en-GB"/>
        </w:rPr>
        <w:t xml:space="preserve"> et al., 2005)</w:t>
      </w:r>
      <w:r w:rsidRPr="002229EB">
        <w:rPr>
          <w:rFonts w:ascii="Calibri" w:hAnsi="Calibri"/>
          <w:sz w:val="24"/>
          <w:szCs w:val="24"/>
          <w:lang w:val="en-GB"/>
        </w:rPr>
        <w:t>.  On this basis, it was felt appropriate to move to factor extraction.</w:t>
      </w:r>
    </w:p>
    <w:p w:rsidR="00444ADD" w:rsidRPr="002229EB" w:rsidRDefault="00444ADD" w:rsidP="009C3AC7">
      <w:pPr>
        <w:wordWrap/>
        <w:spacing w:line="276" w:lineRule="auto"/>
        <w:jc w:val="left"/>
        <w:rPr>
          <w:rFonts w:ascii="Calibri" w:hAnsi="Calibri"/>
          <w:sz w:val="24"/>
          <w:szCs w:val="24"/>
          <w:lang w:val="en-GB"/>
        </w:rPr>
      </w:pPr>
    </w:p>
    <w:p w:rsidR="00444ADD" w:rsidRPr="002229EB" w:rsidRDefault="00444ADD" w:rsidP="009C3AC7">
      <w:pPr>
        <w:wordWrap/>
        <w:spacing w:line="276" w:lineRule="auto"/>
        <w:jc w:val="left"/>
        <w:rPr>
          <w:rFonts w:ascii="Calibri" w:hAnsi="Calibri"/>
          <w:sz w:val="24"/>
          <w:szCs w:val="24"/>
          <w:lang w:val="en-GB"/>
        </w:rPr>
      </w:pPr>
      <w:r w:rsidRPr="002229EB">
        <w:rPr>
          <w:rFonts w:ascii="Calibri" w:hAnsi="Calibri"/>
          <w:sz w:val="24"/>
          <w:szCs w:val="24"/>
          <w:lang w:val="en-GB"/>
        </w:rPr>
        <w:t xml:space="preserve">Following </w:t>
      </w:r>
      <w:proofErr w:type="spellStart"/>
      <w:r w:rsidR="00D60DF6" w:rsidRPr="002229EB">
        <w:rPr>
          <w:rFonts w:ascii="Calibri" w:hAnsi="Calibri"/>
          <w:sz w:val="24"/>
          <w:szCs w:val="24"/>
          <w:lang w:val="en-GB"/>
        </w:rPr>
        <w:t>Ruscio</w:t>
      </w:r>
      <w:proofErr w:type="spellEnd"/>
      <w:r w:rsidR="00D60DF6" w:rsidRPr="002229EB">
        <w:rPr>
          <w:rFonts w:ascii="Calibri" w:hAnsi="Calibri"/>
          <w:sz w:val="24"/>
          <w:szCs w:val="24"/>
          <w:lang w:val="en-GB"/>
        </w:rPr>
        <w:t xml:space="preserve"> and Roche (2012) and </w:t>
      </w:r>
      <w:r w:rsidRPr="002229EB">
        <w:rPr>
          <w:rFonts w:ascii="Calibri" w:hAnsi="Calibri"/>
          <w:sz w:val="24"/>
          <w:szCs w:val="24"/>
          <w:lang w:val="en-GB"/>
        </w:rPr>
        <w:t xml:space="preserve">Courtney (2013), the dataset was explored using the </w:t>
      </w:r>
      <w:r w:rsidRPr="002229EB">
        <w:rPr>
          <w:rFonts w:ascii="Calibri" w:hAnsi="Calibri"/>
          <w:i/>
          <w:sz w:val="24"/>
          <w:szCs w:val="24"/>
          <w:lang w:val="en-GB"/>
        </w:rPr>
        <w:t>comparison data</w:t>
      </w:r>
      <w:r w:rsidRPr="002229EB">
        <w:rPr>
          <w:rFonts w:ascii="Calibri" w:hAnsi="Calibri"/>
          <w:sz w:val="24"/>
          <w:szCs w:val="24"/>
          <w:lang w:val="en-GB"/>
        </w:rPr>
        <w:t xml:space="preserve"> and </w:t>
      </w:r>
      <w:r w:rsidRPr="002229EB">
        <w:rPr>
          <w:rFonts w:ascii="Calibri" w:hAnsi="Calibri"/>
          <w:i/>
          <w:sz w:val="24"/>
          <w:szCs w:val="24"/>
          <w:lang w:val="en-GB"/>
        </w:rPr>
        <w:t xml:space="preserve">parallel analysis </w:t>
      </w:r>
      <w:r w:rsidRPr="002229EB">
        <w:rPr>
          <w:rFonts w:ascii="Calibri" w:hAnsi="Calibri"/>
          <w:sz w:val="24"/>
          <w:szCs w:val="24"/>
          <w:lang w:val="en-GB"/>
        </w:rPr>
        <w:t xml:space="preserve">techniques in preference to the less reliable scree plot or Kaiser’s rule approaches.  These </w:t>
      </w:r>
      <w:r w:rsidR="00756BE1" w:rsidRPr="002229EB">
        <w:rPr>
          <w:rFonts w:ascii="Calibri" w:hAnsi="Calibri"/>
          <w:sz w:val="24"/>
          <w:szCs w:val="24"/>
          <w:lang w:val="en-GB"/>
        </w:rPr>
        <w:t xml:space="preserve">two approaches both </w:t>
      </w:r>
      <w:r w:rsidRPr="002229EB">
        <w:rPr>
          <w:rFonts w:ascii="Calibri" w:hAnsi="Calibri"/>
          <w:sz w:val="24"/>
          <w:szCs w:val="24"/>
          <w:lang w:val="en-GB"/>
        </w:rPr>
        <w:t>suggested that a four-factor solution would b</w:t>
      </w:r>
      <w:r w:rsidR="00D60DF6" w:rsidRPr="002229EB">
        <w:rPr>
          <w:rFonts w:ascii="Calibri" w:hAnsi="Calibri"/>
          <w:sz w:val="24"/>
          <w:szCs w:val="24"/>
          <w:lang w:val="en-GB"/>
        </w:rPr>
        <w:t>e most appropriate for the data; there was no evidence for fewer than four factors.</w:t>
      </w:r>
    </w:p>
    <w:p w:rsidR="002B695B" w:rsidRDefault="002B695B" w:rsidP="002B695B">
      <w:pPr>
        <w:widowControl/>
        <w:wordWrap/>
        <w:autoSpaceDE/>
        <w:autoSpaceDN/>
        <w:jc w:val="left"/>
        <w:rPr>
          <w:rFonts w:ascii="Calibri" w:eastAsia="Tahoma" w:hAnsi="Calibri"/>
          <w:i/>
          <w:sz w:val="24"/>
          <w:szCs w:val="24"/>
          <w:lang w:val="en-GB"/>
        </w:rPr>
        <w:sectPr w:rsidR="002B695B" w:rsidSect="00C34DF3">
          <w:footerReference w:type="first" r:id="rId9"/>
          <w:pgSz w:w="11906" w:h="16838" w:code="9"/>
          <w:pgMar w:top="1134" w:right="1134" w:bottom="1134" w:left="1134" w:header="851" w:footer="964" w:gutter="0"/>
          <w:cols w:space="720"/>
          <w:titlePg/>
          <w:docGrid w:linePitch="360" w:charSpace="200"/>
        </w:sectPr>
      </w:pPr>
    </w:p>
    <w:p w:rsidR="002B695B" w:rsidRPr="002229EB" w:rsidRDefault="002B695B" w:rsidP="002B695B">
      <w:pPr>
        <w:widowControl/>
        <w:wordWrap/>
        <w:autoSpaceDE/>
        <w:autoSpaceDN/>
        <w:jc w:val="left"/>
        <w:rPr>
          <w:rFonts w:ascii="Calibri" w:eastAsia="Tahoma" w:hAnsi="Calibri"/>
          <w:i/>
          <w:sz w:val="24"/>
          <w:szCs w:val="24"/>
          <w:lang w:val="en-GB"/>
        </w:rPr>
      </w:pPr>
      <w:r w:rsidRPr="002229EB">
        <w:rPr>
          <w:rFonts w:ascii="Calibri" w:eastAsia="Tahoma" w:hAnsi="Calibri"/>
          <w:i/>
          <w:sz w:val="24"/>
          <w:szCs w:val="24"/>
          <w:lang w:val="en-GB"/>
        </w:rPr>
        <w:lastRenderedPageBreak/>
        <w:t xml:space="preserve">Table </w:t>
      </w:r>
      <w:r>
        <w:rPr>
          <w:rFonts w:ascii="Calibri" w:eastAsia="Tahoma" w:hAnsi="Calibri"/>
          <w:i/>
          <w:sz w:val="24"/>
          <w:szCs w:val="24"/>
          <w:lang w:val="en-GB"/>
        </w:rPr>
        <w:t>2</w:t>
      </w:r>
      <w:r w:rsidRPr="002229EB">
        <w:rPr>
          <w:rFonts w:ascii="Calibri" w:eastAsia="Tahoma" w:hAnsi="Calibri"/>
          <w:i/>
          <w:sz w:val="24"/>
          <w:szCs w:val="24"/>
          <w:lang w:val="en-GB"/>
        </w:rPr>
        <w:t>: means and standard deviations for each item, by country</w:t>
      </w:r>
    </w:p>
    <w:tbl>
      <w:tblPr>
        <w:tblStyle w:val="TableGrid"/>
        <w:tblW w:w="14601" w:type="dxa"/>
        <w:tblInd w:w="108" w:type="dxa"/>
        <w:tblLayout w:type="fixed"/>
        <w:tblLook w:val="04A0" w:firstRow="1" w:lastRow="0" w:firstColumn="1" w:lastColumn="0" w:noHBand="0" w:noVBand="1"/>
      </w:tblPr>
      <w:tblGrid>
        <w:gridCol w:w="8222"/>
        <w:gridCol w:w="797"/>
        <w:gridCol w:w="797"/>
        <w:gridCol w:w="798"/>
        <w:gridCol w:w="797"/>
        <w:gridCol w:w="797"/>
        <w:gridCol w:w="798"/>
        <w:gridCol w:w="797"/>
        <w:gridCol w:w="798"/>
      </w:tblGrid>
      <w:tr w:rsidR="002B695B" w:rsidRPr="002229EB" w:rsidTr="001F6C63">
        <w:tc>
          <w:tcPr>
            <w:tcW w:w="8222" w:type="dxa"/>
            <w:vMerge w:val="restart"/>
            <w:tcBorders>
              <w:top w:val="single" w:sz="4" w:space="0" w:color="auto"/>
              <w:left w:val="nil"/>
              <w:right w:val="nil"/>
            </w:tcBorders>
          </w:tcPr>
          <w:p w:rsidR="002B695B" w:rsidRPr="002229EB" w:rsidRDefault="002B695B" w:rsidP="001F6C63">
            <w:pPr>
              <w:wordWrap/>
              <w:spacing w:line="276" w:lineRule="auto"/>
              <w:jc w:val="left"/>
              <w:rPr>
                <w:rFonts w:ascii="Calibri" w:hAnsi="Calibri"/>
                <w:szCs w:val="24"/>
                <w:lang w:val="en-GB"/>
              </w:rPr>
            </w:pPr>
          </w:p>
        </w:tc>
        <w:tc>
          <w:tcPr>
            <w:tcW w:w="1594" w:type="dxa"/>
            <w:gridSpan w:val="2"/>
            <w:tcBorders>
              <w:top w:val="single" w:sz="4" w:space="0" w:color="auto"/>
              <w:left w:val="nil"/>
              <w:bottom w:val="single" w:sz="4" w:space="0" w:color="auto"/>
              <w:right w:val="nil"/>
            </w:tcBorders>
          </w:tcPr>
          <w:p w:rsidR="002B695B" w:rsidRPr="002229EB" w:rsidRDefault="002B695B" w:rsidP="001F6C63">
            <w:pPr>
              <w:wordWrap/>
              <w:spacing w:line="276" w:lineRule="auto"/>
              <w:jc w:val="center"/>
              <w:rPr>
                <w:rFonts w:ascii="Calibri" w:hAnsi="Calibri"/>
                <w:b/>
                <w:sz w:val="24"/>
                <w:szCs w:val="24"/>
                <w:lang w:val="en-GB"/>
              </w:rPr>
            </w:pPr>
            <w:r w:rsidRPr="002229EB">
              <w:rPr>
                <w:rFonts w:ascii="Calibri" w:hAnsi="Calibri"/>
                <w:b/>
                <w:sz w:val="24"/>
                <w:szCs w:val="24"/>
                <w:lang w:val="en-GB"/>
              </w:rPr>
              <w:t>England</w:t>
            </w:r>
          </w:p>
        </w:tc>
        <w:tc>
          <w:tcPr>
            <w:tcW w:w="1595" w:type="dxa"/>
            <w:gridSpan w:val="2"/>
            <w:tcBorders>
              <w:top w:val="single" w:sz="4" w:space="0" w:color="auto"/>
              <w:left w:val="nil"/>
              <w:bottom w:val="single" w:sz="4" w:space="0" w:color="auto"/>
              <w:right w:val="nil"/>
            </w:tcBorders>
          </w:tcPr>
          <w:p w:rsidR="002B695B" w:rsidRPr="002229EB" w:rsidRDefault="002B695B" w:rsidP="001F6C63">
            <w:pPr>
              <w:wordWrap/>
              <w:spacing w:line="276" w:lineRule="auto"/>
              <w:jc w:val="center"/>
              <w:rPr>
                <w:rFonts w:ascii="Calibri" w:hAnsi="Calibri"/>
                <w:b/>
                <w:sz w:val="24"/>
                <w:szCs w:val="24"/>
                <w:lang w:val="en-GB"/>
              </w:rPr>
            </w:pPr>
            <w:r w:rsidRPr="002229EB">
              <w:rPr>
                <w:rFonts w:ascii="Calibri" w:hAnsi="Calibri"/>
                <w:b/>
                <w:sz w:val="24"/>
                <w:szCs w:val="24"/>
                <w:lang w:val="en-GB"/>
              </w:rPr>
              <w:t>NZ</w:t>
            </w:r>
          </w:p>
        </w:tc>
        <w:tc>
          <w:tcPr>
            <w:tcW w:w="1595" w:type="dxa"/>
            <w:gridSpan w:val="2"/>
            <w:tcBorders>
              <w:top w:val="single" w:sz="4" w:space="0" w:color="auto"/>
              <w:left w:val="nil"/>
              <w:bottom w:val="single" w:sz="4" w:space="0" w:color="auto"/>
              <w:right w:val="nil"/>
            </w:tcBorders>
          </w:tcPr>
          <w:p w:rsidR="002B695B" w:rsidRPr="002229EB" w:rsidRDefault="002B695B" w:rsidP="001F6C63">
            <w:pPr>
              <w:wordWrap/>
              <w:spacing w:line="276" w:lineRule="auto"/>
              <w:jc w:val="center"/>
              <w:rPr>
                <w:rFonts w:ascii="Calibri" w:hAnsi="Calibri"/>
                <w:b/>
                <w:sz w:val="24"/>
                <w:szCs w:val="24"/>
                <w:lang w:val="en-GB"/>
              </w:rPr>
            </w:pPr>
            <w:r w:rsidRPr="002229EB">
              <w:rPr>
                <w:rFonts w:ascii="Calibri" w:hAnsi="Calibri"/>
                <w:b/>
                <w:sz w:val="24"/>
                <w:szCs w:val="24"/>
                <w:lang w:val="en-GB"/>
              </w:rPr>
              <w:t>US</w:t>
            </w:r>
          </w:p>
        </w:tc>
        <w:tc>
          <w:tcPr>
            <w:tcW w:w="1595" w:type="dxa"/>
            <w:gridSpan w:val="2"/>
            <w:tcBorders>
              <w:top w:val="single" w:sz="4" w:space="0" w:color="auto"/>
              <w:left w:val="nil"/>
              <w:bottom w:val="single" w:sz="4" w:space="0" w:color="auto"/>
              <w:right w:val="nil"/>
            </w:tcBorders>
          </w:tcPr>
          <w:p w:rsidR="002B695B" w:rsidRPr="002229EB" w:rsidRDefault="002B695B" w:rsidP="001F6C63">
            <w:pPr>
              <w:wordWrap/>
              <w:spacing w:line="276" w:lineRule="auto"/>
              <w:jc w:val="center"/>
              <w:rPr>
                <w:rFonts w:ascii="Calibri" w:hAnsi="Calibri"/>
                <w:b/>
                <w:sz w:val="24"/>
                <w:szCs w:val="24"/>
                <w:lang w:val="en-GB"/>
              </w:rPr>
            </w:pPr>
            <w:r w:rsidRPr="002229EB">
              <w:rPr>
                <w:rFonts w:ascii="Calibri" w:hAnsi="Calibri"/>
                <w:b/>
                <w:sz w:val="24"/>
                <w:szCs w:val="24"/>
                <w:lang w:val="en-GB"/>
              </w:rPr>
              <w:t>ALL</w:t>
            </w:r>
          </w:p>
        </w:tc>
      </w:tr>
      <w:tr w:rsidR="002B695B" w:rsidRPr="002229EB" w:rsidTr="001F6C63">
        <w:tc>
          <w:tcPr>
            <w:tcW w:w="8222" w:type="dxa"/>
            <w:vMerge/>
            <w:tcBorders>
              <w:left w:val="nil"/>
              <w:bottom w:val="double" w:sz="4" w:space="0" w:color="auto"/>
              <w:right w:val="nil"/>
            </w:tcBorders>
          </w:tcPr>
          <w:p w:rsidR="002B695B" w:rsidRPr="002229EB" w:rsidRDefault="002B695B" w:rsidP="001F6C63">
            <w:pPr>
              <w:wordWrap/>
              <w:spacing w:line="276" w:lineRule="auto"/>
              <w:jc w:val="left"/>
              <w:rPr>
                <w:rFonts w:ascii="Calibri" w:hAnsi="Calibri"/>
                <w:sz w:val="24"/>
                <w:szCs w:val="18"/>
                <w:lang w:val="en-GB"/>
              </w:rPr>
            </w:pPr>
          </w:p>
        </w:tc>
        <w:tc>
          <w:tcPr>
            <w:tcW w:w="797" w:type="dxa"/>
            <w:tcBorders>
              <w:top w:val="single" w:sz="4" w:space="0" w:color="auto"/>
              <w:left w:val="nil"/>
              <w:bottom w:val="double" w:sz="4" w:space="0" w:color="auto"/>
              <w:right w:val="nil"/>
            </w:tcBorders>
          </w:tcPr>
          <w:p w:rsidR="002B695B" w:rsidRPr="002229EB" w:rsidRDefault="002B695B" w:rsidP="001F6C63">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M</w:t>
            </w:r>
          </w:p>
        </w:tc>
        <w:tc>
          <w:tcPr>
            <w:tcW w:w="797" w:type="dxa"/>
            <w:tcBorders>
              <w:top w:val="single" w:sz="4" w:space="0" w:color="auto"/>
              <w:left w:val="nil"/>
              <w:bottom w:val="double" w:sz="4" w:space="0" w:color="auto"/>
              <w:right w:val="nil"/>
            </w:tcBorders>
          </w:tcPr>
          <w:p w:rsidR="002B695B" w:rsidRPr="002229EB" w:rsidRDefault="002B695B" w:rsidP="001F6C63">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S.D.</w:t>
            </w:r>
          </w:p>
        </w:tc>
        <w:tc>
          <w:tcPr>
            <w:tcW w:w="798" w:type="dxa"/>
            <w:tcBorders>
              <w:top w:val="single" w:sz="4" w:space="0" w:color="auto"/>
              <w:left w:val="nil"/>
              <w:bottom w:val="double" w:sz="4" w:space="0" w:color="auto"/>
              <w:right w:val="nil"/>
            </w:tcBorders>
          </w:tcPr>
          <w:p w:rsidR="002B695B" w:rsidRPr="002229EB" w:rsidRDefault="002B695B" w:rsidP="001F6C63">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M</w:t>
            </w:r>
          </w:p>
        </w:tc>
        <w:tc>
          <w:tcPr>
            <w:tcW w:w="797" w:type="dxa"/>
            <w:tcBorders>
              <w:top w:val="single" w:sz="4" w:space="0" w:color="auto"/>
              <w:left w:val="nil"/>
              <w:bottom w:val="double" w:sz="4" w:space="0" w:color="auto"/>
              <w:right w:val="nil"/>
            </w:tcBorders>
          </w:tcPr>
          <w:p w:rsidR="002B695B" w:rsidRPr="002229EB" w:rsidRDefault="002B695B" w:rsidP="001F6C63">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S.D.</w:t>
            </w:r>
          </w:p>
        </w:tc>
        <w:tc>
          <w:tcPr>
            <w:tcW w:w="797" w:type="dxa"/>
            <w:tcBorders>
              <w:top w:val="single" w:sz="4" w:space="0" w:color="auto"/>
              <w:left w:val="nil"/>
              <w:bottom w:val="double" w:sz="4" w:space="0" w:color="auto"/>
              <w:right w:val="nil"/>
            </w:tcBorders>
          </w:tcPr>
          <w:p w:rsidR="002B695B" w:rsidRPr="002229EB" w:rsidRDefault="002B695B" w:rsidP="001F6C63">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M</w:t>
            </w:r>
          </w:p>
        </w:tc>
        <w:tc>
          <w:tcPr>
            <w:tcW w:w="798" w:type="dxa"/>
            <w:tcBorders>
              <w:top w:val="single" w:sz="4" w:space="0" w:color="auto"/>
              <w:left w:val="nil"/>
              <w:bottom w:val="double" w:sz="4" w:space="0" w:color="auto"/>
              <w:right w:val="nil"/>
            </w:tcBorders>
          </w:tcPr>
          <w:p w:rsidR="002B695B" w:rsidRPr="002229EB" w:rsidRDefault="002B695B" w:rsidP="001F6C63">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S.D.</w:t>
            </w:r>
          </w:p>
        </w:tc>
        <w:tc>
          <w:tcPr>
            <w:tcW w:w="797" w:type="dxa"/>
            <w:tcBorders>
              <w:top w:val="single" w:sz="4" w:space="0" w:color="auto"/>
              <w:left w:val="nil"/>
              <w:bottom w:val="double" w:sz="4" w:space="0" w:color="auto"/>
              <w:right w:val="nil"/>
            </w:tcBorders>
          </w:tcPr>
          <w:p w:rsidR="002B695B" w:rsidRPr="002229EB" w:rsidRDefault="002B695B" w:rsidP="001F6C63">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M</w:t>
            </w:r>
          </w:p>
        </w:tc>
        <w:tc>
          <w:tcPr>
            <w:tcW w:w="798" w:type="dxa"/>
            <w:tcBorders>
              <w:top w:val="single" w:sz="4" w:space="0" w:color="auto"/>
              <w:left w:val="nil"/>
              <w:bottom w:val="double" w:sz="4" w:space="0" w:color="auto"/>
              <w:right w:val="nil"/>
            </w:tcBorders>
          </w:tcPr>
          <w:p w:rsidR="002B695B" w:rsidRPr="002229EB" w:rsidRDefault="002B695B" w:rsidP="001F6C63">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S.D.</w:t>
            </w:r>
          </w:p>
        </w:tc>
      </w:tr>
      <w:tr w:rsidR="002B695B" w:rsidRPr="002229EB" w:rsidTr="001F6C63">
        <w:trPr>
          <w:trHeight w:val="337"/>
        </w:trPr>
        <w:tc>
          <w:tcPr>
            <w:tcW w:w="8222" w:type="dxa"/>
            <w:tcBorders>
              <w:top w:val="double" w:sz="4" w:space="0" w:color="auto"/>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Debt is an expected outcome of attending university</w:t>
            </w:r>
          </w:p>
        </w:tc>
        <w:tc>
          <w:tcPr>
            <w:tcW w:w="797" w:type="dxa"/>
            <w:tcBorders>
              <w:top w:val="double" w:sz="4" w:space="0" w:color="auto"/>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1.67</w:t>
            </w:r>
          </w:p>
        </w:tc>
        <w:tc>
          <w:tcPr>
            <w:tcW w:w="797" w:type="dxa"/>
            <w:tcBorders>
              <w:top w:val="double" w:sz="4" w:space="0" w:color="auto"/>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.846</w:t>
            </w:r>
          </w:p>
        </w:tc>
        <w:tc>
          <w:tcPr>
            <w:tcW w:w="798" w:type="dxa"/>
            <w:tcBorders>
              <w:top w:val="double" w:sz="4" w:space="0" w:color="auto"/>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1.93</w:t>
            </w:r>
          </w:p>
        </w:tc>
        <w:tc>
          <w:tcPr>
            <w:tcW w:w="797" w:type="dxa"/>
            <w:tcBorders>
              <w:top w:val="double" w:sz="4" w:space="0" w:color="auto"/>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.851</w:t>
            </w:r>
          </w:p>
        </w:tc>
        <w:tc>
          <w:tcPr>
            <w:tcW w:w="797" w:type="dxa"/>
            <w:tcBorders>
              <w:top w:val="double" w:sz="4" w:space="0" w:color="auto"/>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2.30</w:t>
            </w:r>
          </w:p>
        </w:tc>
        <w:tc>
          <w:tcPr>
            <w:tcW w:w="798" w:type="dxa"/>
            <w:tcBorders>
              <w:top w:val="double" w:sz="4" w:space="0" w:color="auto"/>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1.205</w:t>
            </w:r>
          </w:p>
        </w:tc>
        <w:tc>
          <w:tcPr>
            <w:tcW w:w="797" w:type="dxa"/>
            <w:tcBorders>
              <w:top w:val="double" w:sz="4" w:space="0" w:color="auto"/>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1.87</w:t>
            </w:r>
          </w:p>
        </w:tc>
        <w:tc>
          <w:tcPr>
            <w:tcW w:w="798" w:type="dxa"/>
            <w:tcBorders>
              <w:top w:val="double" w:sz="4" w:space="0" w:color="auto"/>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.915</w:t>
            </w:r>
          </w:p>
        </w:tc>
      </w:tr>
      <w:tr w:rsidR="002B695B" w:rsidRPr="002229EB" w:rsidTr="001F6C63">
        <w:trPr>
          <w:trHeight w:val="337"/>
        </w:trPr>
        <w:tc>
          <w:tcPr>
            <w:tcW w:w="8222" w:type="dxa"/>
            <w:tcBorders>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Educational loan debt is a good investment for the future</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2.29</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.928</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2.28</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.916</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2.21</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.967</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2.28</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.925</w:t>
            </w:r>
          </w:p>
        </w:tc>
      </w:tr>
      <w:tr w:rsidR="002B695B" w:rsidRPr="002229EB" w:rsidTr="001F6C63">
        <w:trPr>
          <w:trHeight w:val="337"/>
        </w:trPr>
        <w:tc>
          <w:tcPr>
            <w:tcW w:w="8222" w:type="dxa"/>
            <w:tcBorders>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Even though I am incurring debt now, it will be worth it in the future</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1.92</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.819</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1.78</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.681</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1.89</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.846</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1.85</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.759</w:t>
            </w:r>
          </w:p>
        </w:tc>
      </w:tr>
      <w:tr w:rsidR="002B695B" w:rsidRPr="002229EB" w:rsidTr="001F6C63">
        <w:trPr>
          <w:trHeight w:val="337"/>
        </w:trPr>
        <w:tc>
          <w:tcPr>
            <w:tcW w:w="8222" w:type="dxa"/>
            <w:tcBorders>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I expect to earn more in the future because I went to university</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1.78</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.738</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1.66</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.725</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1.38</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.524</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1.68</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.720</w:t>
            </w:r>
          </w:p>
        </w:tc>
      </w:tr>
      <w:tr w:rsidR="002B695B" w:rsidRPr="002229EB" w:rsidTr="001F6C63">
        <w:trPr>
          <w:trHeight w:val="337"/>
        </w:trPr>
        <w:tc>
          <w:tcPr>
            <w:tcW w:w="8222" w:type="dxa"/>
            <w:tcBorders>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I feel I have a good understanding of how student loans work</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2.24</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.970</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2.31</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.918</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2.33</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.970</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2.29</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.944</w:t>
            </w:r>
          </w:p>
        </w:tc>
      </w:tr>
      <w:tr w:rsidR="002B695B" w:rsidRPr="002229EB" w:rsidTr="001F6C63">
        <w:trPr>
          <w:trHeight w:val="337"/>
        </w:trPr>
        <w:tc>
          <w:tcPr>
            <w:tcW w:w="8222" w:type="dxa"/>
            <w:tcBorders>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I feel isolated by my student debt</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3.78</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1.024</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3.50</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1.019</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3.84</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1.041</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3.65</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1.032</w:t>
            </w:r>
          </w:p>
        </w:tc>
      </w:tr>
      <w:tr w:rsidR="002B695B" w:rsidRPr="002229EB" w:rsidTr="001F6C63">
        <w:trPr>
          <w:trHeight w:val="337"/>
        </w:trPr>
        <w:tc>
          <w:tcPr>
            <w:tcW w:w="8222" w:type="dxa"/>
            <w:tcBorders>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I have a good idea about how much credit card and overdraft debt I am incurring</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1.95</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.878</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2.12</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1.151</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2.55</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1.212</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2.09</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1.066</w:t>
            </w:r>
          </w:p>
        </w:tc>
      </w:tr>
      <w:tr w:rsidR="002B695B" w:rsidRPr="002229EB" w:rsidTr="001F6C63">
        <w:trPr>
          <w:trHeight w:val="337"/>
        </w:trPr>
        <w:tc>
          <w:tcPr>
            <w:tcW w:w="8222" w:type="dxa"/>
            <w:tcBorders>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I have a good idea about how much student loan debt I am incurring</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2.08</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.992</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1.99</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1.021</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2.09</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.986</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2.04</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1.004</w:t>
            </w:r>
          </w:p>
        </w:tc>
      </w:tr>
      <w:tr w:rsidR="002B695B" w:rsidRPr="002229EB" w:rsidTr="001F6C63">
        <w:trPr>
          <w:trHeight w:val="337"/>
        </w:trPr>
        <w:tc>
          <w:tcPr>
            <w:tcW w:w="8222" w:type="dxa"/>
            <w:tcBorders>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I have a greater chance of getting a job if I have a degree</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1.74</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.961</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1.75</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.713</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1.35</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.588</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1.70</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.701</w:t>
            </w:r>
          </w:p>
        </w:tc>
      </w:tr>
      <w:tr w:rsidR="002B695B" w:rsidRPr="002229EB" w:rsidTr="001F6C63">
        <w:trPr>
          <w:trHeight w:val="337"/>
        </w:trPr>
        <w:tc>
          <w:tcPr>
            <w:tcW w:w="8222" w:type="dxa"/>
            <w:tcBorders>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I know about the repayment terms for my student loan</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2.57</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1.143</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2.83</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1.130</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2.52</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1.177</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2.69</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1.147</w:t>
            </w:r>
          </w:p>
        </w:tc>
      </w:tr>
      <w:tr w:rsidR="002B695B" w:rsidRPr="002229EB" w:rsidTr="001F6C63">
        <w:trPr>
          <w:trHeight w:val="337"/>
        </w:trPr>
        <w:tc>
          <w:tcPr>
            <w:tcW w:w="8222" w:type="dxa"/>
            <w:tcBorders>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I minimize my spending to minimize my debt</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2.41</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1.124</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2.46</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1.062</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2.34</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1.066</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2.43</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1.086</w:t>
            </w:r>
          </w:p>
        </w:tc>
      </w:tr>
      <w:tr w:rsidR="002B695B" w:rsidRPr="002229EB" w:rsidTr="001F6C63">
        <w:trPr>
          <w:trHeight w:val="337"/>
        </w:trPr>
        <w:tc>
          <w:tcPr>
            <w:tcW w:w="8222" w:type="dxa"/>
            <w:tcBorders>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I sometimes can't sleep because I worry about how much debt I am in</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3.96</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1.114</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3.67</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1.246</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3.78</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1.228</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3.80</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1.198</w:t>
            </w:r>
          </w:p>
        </w:tc>
      </w:tr>
      <w:tr w:rsidR="002B695B" w:rsidRPr="002229EB" w:rsidTr="001F6C63">
        <w:trPr>
          <w:trHeight w:val="337"/>
        </w:trPr>
        <w:tc>
          <w:tcPr>
            <w:tcW w:w="8222" w:type="dxa"/>
            <w:tcBorders>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I use debt so I don't miss out on 'normal' student experiences</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3.49</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1.145</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3.40</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1.116</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3.26</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1.231</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3.42</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1.141</w:t>
            </w:r>
          </w:p>
        </w:tc>
      </w:tr>
      <w:tr w:rsidR="002B695B" w:rsidRPr="002229EB" w:rsidTr="001F6C63">
        <w:trPr>
          <w:trHeight w:val="337"/>
        </w:trPr>
        <w:tc>
          <w:tcPr>
            <w:tcW w:w="8222" w:type="dxa"/>
            <w:tcBorders>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I use debt to pay for a good social life</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3.63</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1.115</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3.83</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1.063</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4.06</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1.089</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3.77</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1.093</w:t>
            </w:r>
          </w:p>
        </w:tc>
      </w:tr>
      <w:tr w:rsidR="002B695B" w:rsidRPr="002229EB" w:rsidTr="001F6C63">
        <w:trPr>
          <w:trHeight w:val="337"/>
        </w:trPr>
        <w:tc>
          <w:tcPr>
            <w:tcW w:w="8222" w:type="dxa"/>
            <w:tcBorders>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I use debt to pay for luxuries</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4.01</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.964</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4.05</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.982</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4.45</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.812</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4.08</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.965</w:t>
            </w:r>
          </w:p>
        </w:tc>
      </w:tr>
      <w:tr w:rsidR="002B695B" w:rsidRPr="002229EB" w:rsidTr="001F6C63">
        <w:trPr>
          <w:trHeight w:val="337"/>
        </w:trPr>
        <w:tc>
          <w:tcPr>
            <w:tcW w:w="8222" w:type="dxa"/>
            <w:tcBorders>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I will start to deal with my student debt once I leave university and get a job</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2.01</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.856</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1.90</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1.003</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1.89</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.880</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1.94</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.932</w:t>
            </w:r>
          </w:p>
        </w:tc>
      </w:tr>
      <w:tr w:rsidR="002B695B" w:rsidRPr="002229EB" w:rsidTr="001F6C63">
        <w:trPr>
          <w:trHeight w:val="337"/>
        </w:trPr>
        <w:tc>
          <w:tcPr>
            <w:tcW w:w="8222" w:type="dxa"/>
            <w:tcBorders>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I worry about debt to the point where it affects my grades</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4.11</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.973</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4.07</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1.004</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3.96</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1.247</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4.07</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1.020</w:t>
            </w:r>
          </w:p>
        </w:tc>
      </w:tr>
      <w:tr w:rsidR="002B695B" w:rsidRPr="002229EB" w:rsidTr="001F6C63">
        <w:trPr>
          <w:trHeight w:val="337"/>
        </w:trPr>
        <w:tc>
          <w:tcPr>
            <w:tcW w:w="8222" w:type="dxa"/>
            <w:tcBorders>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I worry that the repayments on my debt will become unaffordable</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3.13</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1.265</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2.97</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1.111</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2.68</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1.183</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3.00</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1.188</w:t>
            </w:r>
          </w:p>
        </w:tc>
      </w:tr>
      <w:tr w:rsidR="002B695B" w:rsidRPr="002229EB" w:rsidTr="001F6C63">
        <w:trPr>
          <w:trHeight w:val="337"/>
        </w:trPr>
        <w:tc>
          <w:tcPr>
            <w:tcW w:w="8222" w:type="dxa"/>
            <w:tcBorders>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The best use of my student debt is to pay for my university expenses</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1.84</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.781</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1.53</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.690</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1.78</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1.057</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1.68</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.789</w:t>
            </w:r>
          </w:p>
        </w:tc>
      </w:tr>
      <w:tr w:rsidR="002B695B" w:rsidRPr="002229EB" w:rsidTr="001F6C63">
        <w:trPr>
          <w:trHeight w:val="337"/>
        </w:trPr>
        <w:tc>
          <w:tcPr>
            <w:tcW w:w="8222" w:type="dxa"/>
            <w:tcBorders>
              <w:left w:val="nil"/>
              <w:right w:val="nil"/>
            </w:tcBorders>
            <w:vAlign w:val="center"/>
          </w:tcPr>
          <w:p w:rsidR="002B695B" w:rsidRPr="002229EB" w:rsidRDefault="002B695B" w:rsidP="001F6C63">
            <w:pPr>
              <w:jc w:val="left"/>
              <w:rPr>
                <w:rFonts w:ascii="Calibri" w:hAnsi="Calibri"/>
                <w:color w:val="000000"/>
                <w:sz w:val="24"/>
                <w:szCs w:val="24"/>
                <w:lang w:val="en-GB"/>
              </w:rPr>
            </w:pPr>
            <w:r w:rsidRPr="002229EB">
              <w:rPr>
                <w:rFonts w:ascii="Calibri" w:hAnsi="Calibri"/>
                <w:color w:val="000000"/>
                <w:sz w:val="24"/>
                <w:szCs w:val="24"/>
                <w:lang w:val="en-GB"/>
              </w:rPr>
              <w:t>The debt I create as a student is an unfair start to my working life</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2.58</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1.116</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2.92</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1.128</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2.71</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1.165</w:t>
            </w:r>
          </w:p>
        </w:tc>
        <w:tc>
          <w:tcPr>
            <w:tcW w:w="797"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2.76</w:t>
            </w:r>
          </w:p>
        </w:tc>
        <w:tc>
          <w:tcPr>
            <w:tcW w:w="798" w:type="dxa"/>
            <w:tcBorders>
              <w:left w:val="nil"/>
              <w:right w:val="nil"/>
            </w:tcBorders>
            <w:vAlign w:val="center"/>
          </w:tcPr>
          <w:p w:rsidR="002B695B" w:rsidRPr="002229EB" w:rsidRDefault="002B695B" w:rsidP="001F6C63">
            <w:pPr>
              <w:jc w:val="center"/>
              <w:rPr>
                <w:rFonts w:ascii="Calibri" w:hAnsi="Calibri"/>
                <w:color w:val="000000"/>
                <w:sz w:val="24"/>
                <w:szCs w:val="24"/>
                <w:lang w:val="en-GB"/>
              </w:rPr>
            </w:pPr>
            <w:r w:rsidRPr="002229EB">
              <w:rPr>
                <w:rFonts w:ascii="Calibri" w:hAnsi="Calibri"/>
                <w:color w:val="000000"/>
                <w:sz w:val="24"/>
                <w:szCs w:val="24"/>
                <w:lang w:val="en-GB"/>
              </w:rPr>
              <w:t>1.136</w:t>
            </w:r>
          </w:p>
        </w:tc>
      </w:tr>
    </w:tbl>
    <w:p w:rsidR="002B695B" w:rsidRPr="002229EB" w:rsidRDefault="002B695B" w:rsidP="002B695B">
      <w:pPr>
        <w:pStyle w:val="ParaAttribute0"/>
        <w:wordWrap/>
        <w:spacing w:line="276" w:lineRule="auto"/>
        <w:rPr>
          <w:rFonts w:ascii="Calibri" w:eastAsia="Tahoma" w:hAnsi="Calibri"/>
          <w:sz w:val="24"/>
          <w:szCs w:val="24"/>
        </w:rPr>
      </w:pPr>
      <w:r w:rsidRPr="002229EB">
        <w:rPr>
          <w:rFonts w:ascii="Calibri" w:eastAsia="Tahoma" w:hAnsi="Calibri"/>
          <w:sz w:val="24"/>
          <w:szCs w:val="24"/>
        </w:rPr>
        <w:t xml:space="preserve">Scales run from 1 = </w:t>
      </w:r>
      <w:proofErr w:type="gramStart"/>
      <w:r w:rsidRPr="002229EB">
        <w:rPr>
          <w:rFonts w:ascii="Calibri" w:eastAsia="Tahoma" w:hAnsi="Calibri"/>
          <w:sz w:val="24"/>
          <w:szCs w:val="24"/>
        </w:rPr>
        <w:t>Strongly</w:t>
      </w:r>
      <w:proofErr w:type="gramEnd"/>
      <w:r w:rsidRPr="002229EB">
        <w:rPr>
          <w:rFonts w:ascii="Calibri" w:eastAsia="Tahoma" w:hAnsi="Calibri"/>
          <w:sz w:val="24"/>
          <w:szCs w:val="24"/>
        </w:rPr>
        <w:t xml:space="preserve"> agree to 5 = Strongly disagree</w:t>
      </w:r>
    </w:p>
    <w:p w:rsidR="00444ADD" w:rsidRPr="002229EB" w:rsidRDefault="00444ADD" w:rsidP="009C3AC7">
      <w:pPr>
        <w:wordWrap/>
        <w:spacing w:line="276" w:lineRule="auto"/>
        <w:jc w:val="left"/>
        <w:rPr>
          <w:rFonts w:ascii="Calibri" w:hAnsi="Calibri"/>
          <w:sz w:val="24"/>
          <w:szCs w:val="24"/>
          <w:lang w:val="en-GB"/>
        </w:rPr>
      </w:pPr>
    </w:p>
    <w:p w:rsidR="002B695B" w:rsidRDefault="002B695B">
      <w:pPr>
        <w:widowControl/>
        <w:wordWrap/>
        <w:autoSpaceDE/>
        <w:autoSpaceDN/>
        <w:jc w:val="left"/>
        <w:rPr>
          <w:rFonts w:ascii="Calibri" w:hAnsi="Calibri"/>
          <w:sz w:val="24"/>
          <w:szCs w:val="24"/>
          <w:lang w:val="en-GB"/>
        </w:rPr>
      </w:pPr>
      <w:r>
        <w:rPr>
          <w:rFonts w:ascii="Calibri" w:hAnsi="Calibri"/>
          <w:sz w:val="24"/>
          <w:szCs w:val="24"/>
          <w:lang w:val="en-GB"/>
        </w:rPr>
        <w:br w:type="page"/>
      </w:r>
    </w:p>
    <w:p w:rsidR="002B695B" w:rsidRDefault="002B695B" w:rsidP="009C3AC7">
      <w:pPr>
        <w:wordWrap/>
        <w:spacing w:line="276" w:lineRule="auto"/>
        <w:jc w:val="left"/>
        <w:rPr>
          <w:rFonts w:ascii="Calibri" w:hAnsi="Calibri"/>
          <w:sz w:val="24"/>
          <w:szCs w:val="24"/>
          <w:lang w:val="en-GB"/>
        </w:rPr>
        <w:sectPr w:rsidR="002B695B" w:rsidSect="002B695B">
          <w:pgSz w:w="16838" w:h="11906" w:orient="landscape" w:code="9"/>
          <w:pgMar w:top="1134" w:right="1134" w:bottom="1134" w:left="1134" w:header="851" w:footer="992" w:gutter="0"/>
          <w:cols w:space="720"/>
          <w:docGrid w:linePitch="360" w:charSpace="200"/>
        </w:sectPr>
      </w:pPr>
    </w:p>
    <w:p w:rsidR="00444ADD" w:rsidRPr="002229EB" w:rsidRDefault="00444ADD" w:rsidP="009C3AC7">
      <w:pPr>
        <w:wordWrap/>
        <w:spacing w:line="276" w:lineRule="auto"/>
        <w:jc w:val="left"/>
        <w:rPr>
          <w:rFonts w:ascii="Calibri" w:hAnsi="Calibri"/>
          <w:sz w:val="24"/>
          <w:szCs w:val="24"/>
          <w:lang w:val="en-GB"/>
        </w:rPr>
      </w:pPr>
      <w:r w:rsidRPr="002229EB">
        <w:rPr>
          <w:rFonts w:ascii="Calibri" w:hAnsi="Calibri"/>
          <w:sz w:val="24"/>
          <w:szCs w:val="24"/>
          <w:lang w:val="en-GB"/>
        </w:rPr>
        <w:lastRenderedPageBreak/>
        <w:t xml:space="preserve">As the research question was focused on identifying an underlying structure of latent variables, </w:t>
      </w:r>
      <w:r w:rsidR="00756BE1" w:rsidRPr="002229EB">
        <w:rPr>
          <w:rFonts w:ascii="Calibri" w:hAnsi="Calibri"/>
          <w:sz w:val="24"/>
          <w:szCs w:val="24"/>
          <w:lang w:val="en-GB"/>
        </w:rPr>
        <w:t xml:space="preserve">a factor analysis approach was selected in preference to </w:t>
      </w:r>
      <w:r w:rsidRPr="002229EB">
        <w:rPr>
          <w:rFonts w:ascii="Calibri" w:hAnsi="Calibri"/>
          <w:sz w:val="24"/>
          <w:szCs w:val="24"/>
          <w:lang w:val="en-GB"/>
        </w:rPr>
        <w:t xml:space="preserve">principal components analysis.  </w:t>
      </w:r>
      <w:r w:rsidR="00D60DF6" w:rsidRPr="002229EB">
        <w:rPr>
          <w:rFonts w:ascii="Calibri" w:hAnsi="Calibri"/>
          <w:sz w:val="24"/>
          <w:szCs w:val="24"/>
          <w:lang w:val="en-GB"/>
        </w:rPr>
        <w:t>Due to the use of</w:t>
      </w:r>
      <w:r w:rsidRPr="002229EB">
        <w:rPr>
          <w:rFonts w:ascii="Calibri" w:hAnsi="Calibri"/>
          <w:sz w:val="24"/>
          <w:szCs w:val="24"/>
          <w:lang w:val="en-GB"/>
        </w:rPr>
        <w:t xml:space="preserve"> an ordinal Likert scale, </w:t>
      </w:r>
      <w:r w:rsidRPr="002229EB">
        <w:rPr>
          <w:rFonts w:ascii="Calibri" w:hAnsi="Calibri"/>
          <w:i/>
          <w:sz w:val="24"/>
          <w:szCs w:val="24"/>
          <w:lang w:val="en-GB"/>
        </w:rPr>
        <w:t>principal axis factoring</w:t>
      </w:r>
      <w:r w:rsidRPr="002229EB">
        <w:rPr>
          <w:rFonts w:ascii="Calibri" w:hAnsi="Calibri"/>
          <w:sz w:val="24"/>
          <w:szCs w:val="24"/>
          <w:lang w:val="en-GB"/>
        </w:rPr>
        <w:t xml:space="preserve"> was selected as the extraction method, using </w:t>
      </w:r>
      <w:proofErr w:type="spellStart"/>
      <w:r w:rsidRPr="002229EB">
        <w:rPr>
          <w:rFonts w:ascii="Calibri" w:hAnsi="Calibri"/>
          <w:sz w:val="24"/>
          <w:szCs w:val="24"/>
          <w:lang w:val="en-GB"/>
        </w:rPr>
        <w:t>polychoric</w:t>
      </w:r>
      <w:proofErr w:type="spellEnd"/>
      <w:r w:rsidRPr="002229EB">
        <w:rPr>
          <w:rFonts w:ascii="Calibri" w:hAnsi="Calibri"/>
          <w:sz w:val="24"/>
          <w:szCs w:val="24"/>
          <w:lang w:val="en-GB"/>
        </w:rPr>
        <w:t xml:space="preserve"> correlations in preference to Pearson correlations.  As there </w:t>
      </w:r>
      <w:r w:rsidR="00756BE1" w:rsidRPr="002229EB">
        <w:rPr>
          <w:rFonts w:ascii="Calibri" w:hAnsi="Calibri"/>
          <w:sz w:val="24"/>
          <w:szCs w:val="24"/>
          <w:lang w:val="en-GB"/>
        </w:rPr>
        <w:t>were no</w:t>
      </w:r>
      <w:r w:rsidRPr="002229EB">
        <w:rPr>
          <w:rFonts w:ascii="Calibri" w:hAnsi="Calibri"/>
          <w:sz w:val="24"/>
          <w:szCs w:val="24"/>
          <w:lang w:val="en-GB"/>
        </w:rPr>
        <w:t xml:space="preserve"> </w:t>
      </w:r>
      <w:r w:rsidR="00756BE1" w:rsidRPr="002229EB">
        <w:rPr>
          <w:rFonts w:ascii="Calibri" w:hAnsi="Calibri"/>
          <w:sz w:val="24"/>
          <w:szCs w:val="24"/>
          <w:lang w:val="en-GB"/>
        </w:rPr>
        <w:t>specific</w:t>
      </w:r>
      <w:r w:rsidRPr="002229EB">
        <w:rPr>
          <w:rFonts w:ascii="Calibri" w:hAnsi="Calibri"/>
          <w:sz w:val="24"/>
          <w:szCs w:val="24"/>
          <w:lang w:val="en-GB"/>
        </w:rPr>
        <w:t xml:space="preserve"> grounds to assume that factors relating to debt attitudes </w:t>
      </w:r>
      <w:r w:rsidR="00756BE1" w:rsidRPr="002229EB">
        <w:rPr>
          <w:rFonts w:ascii="Calibri" w:hAnsi="Calibri"/>
          <w:sz w:val="24"/>
          <w:szCs w:val="24"/>
          <w:lang w:val="en-GB"/>
        </w:rPr>
        <w:t>should not</w:t>
      </w:r>
      <w:r w:rsidRPr="002229EB">
        <w:rPr>
          <w:rFonts w:ascii="Calibri" w:hAnsi="Calibri"/>
          <w:sz w:val="24"/>
          <w:szCs w:val="24"/>
          <w:lang w:val="en-GB"/>
        </w:rPr>
        <w:t xml:space="preserve"> be correlated, oblique rotation (</w:t>
      </w:r>
      <w:proofErr w:type="spellStart"/>
      <w:r w:rsidRPr="002229EB">
        <w:rPr>
          <w:rFonts w:ascii="Calibri" w:hAnsi="Calibri"/>
          <w:i/>
          <w:sz w:val="24"/>
          <w:szCs w:val="24"/>
          <w:lang w:val="en-GB"/>
        </w:rPr>
        <w:t>Oblimin</w:t>
      </w:r>
      <w:proofErr w:type="spellEnd"/>
      <w:r w:rsidRPr="002229EB">
        <w:rPr>
          <w:rFonts w:ascii="Calibri" w:hAnsi="Calibri"/>
          <w:sz w:val="24"/>
          <w:szCs w:val="24"/>
          <w:lang w:val="en-GB"/>
        </w:rPr>
        <w:t>) was used</w:t>
      </w:r>
      <w:r w:rsidR="00D60DF6" w:rsidRPr="002229EB">
        <w:rPr>
          <w:rFonts w:ascii="Calibri" w:hAnsi="Calibri"/>
          <w:sz w:val="24"/>
          <w:szCs w:val="24"/>
          <w:lang w:val="en-GB"/>
        </w:rPr>
        <w:t xml:space="preserve"> to generate a final model</w:t>
      </w:r>
      <w:r w:rsidRPr="002229EB">
        <w:rPr>
          <w:rFonts w:ascii="Calibri" w:hAnsi="Calibri"/>
          <w:sz w:val="24"/>
          <w:szCs w:val="24"/>
          <w:lang w:val="en-GB"/>
        </w:rPr>
        <w:t>.</w:t>
      </w:r>
      <w:r w:rsidR="00426DF0" w:rsidRPr="002229EB">
        <w:rPr>
          <w:rFonts w:ascii="Calibri" w:hAnsi="Calibri"/>
          <w:sz w:val="24"/>
          <w:szCs w:val="24"/>
          <w:lang w:val="en-GB"/>
        </w:rPr>
        <w:t xml:space="preserve">  Orthogonal rotation (using</w:t>
      </w:r>
      <w:r w:rsidR="009B3FBD" w:rsidRPr="002229EB">
        <w:rPr>
          <w:rFonts w:ascii="Calibri" w:hAnsi="Calibri"/>
          <w:sz w:val="24"/>
          <w:szCs w:val="24"/>
          <w:lang w:val="en-GB"/>
        </w:rPr>
        <w:t xml:space="preserve"> the</w:t>
      </w:r>
      <w:r w:rsidR="00426DF0" w:rsidRPr="002229EB">
        <w:rPr>
          <w:rFonts w:ascii="Calibri" w:hAnsi="Calibri"/>
          <w:sz w:val="24"/>
          <w:szCs w:val="24"/>
          <w:lang w:val="en-GB"/>
        </w:rPr>
        <w:t xml:space="preserve"> </w:t>
      </w:r>
      <w:proofErr w:type="spellStart"/>
      <w:r w:rsidR="00426DF0" w:rsidRPr="002229EB">
        <w:rPr>
          <w:rFonts w:ascii="Calibri" w:hAnsi="Calibri"/>
          <w:i/>
          <w:sz w:val="24"/>
          <w:szCs w:val="24"/>
          <w:lang w:val="en-GB"/>
        </w:rPr>
        <w:t>Varimax</w:t>
      </w:r>
      <w:proofErr w:type="spellEnd"/>
      <w:r w:rsidR="009B3FBD" w:rsidRPr="002229EB">
        <w:rPr>
          <w:rFonts w:ascii="Calibri" w:hAnsi="Calibri"/>
          <w:i/>
          <w:sz w:val="24"/>
          <w:szCs w:val="24"/>
          <w:lang w:val="en-GB"/>
        </w:rPr>
        <w:t xml:space="preserve"> </w:t>
      </w:r>
      <w:r w:rsidR="009B3FBD" w:rsidRPr="002229EB">
        <w:rPr>
          <w:rFonts w:ascii="Calibri" w:hAnsi="Calibri"/>
          <w:sz w:val="24"/>
          <w:szCs w:val="24"/>
          <w:lang w:val="en-GB"/>
        </w:rPr>
        <w:t>procedure</w:t>
      </w:r>
      <w:r w:rsidR="00426DF0" w:rsidRPr="002229EB">
        <w:rPr>
          <w:rFonts w:ascii="Calibri" w:hAnsi="Calibri"/>
          <w:sz w:val="24"/>
          <w:szCs w:val="24"/>
          <w:lang w:val="en-GB"/>
        </w:rPr>
        <w:t xml:space="preserve">) was also explored, but this provided </w:t>
      </w:r>
      <w:r w:rsidR="00F9779B" w:rsidRPr="002229EB">
        <w:rPr>
          <w:rFonts w:ascii="Calibri" w:hAnsi="Calibri"/>
          <w:sz w:val="24"/>
          <w:szCs w:val="24"/>
          <w:lang w:val="en-GB"/>
        </w:rPr>
        <w:t>a similar solution</w:t>
      </w:r>
      <w:r w:rsidR="002E1836" w:rsidRPr="002229EB">
        <w:rPr>
          <w:rFonts w:ascii="Calibri" w:hAnsi="Calibri"/>
          <w:sz w:val="24"/>
          <w:szCs w:val="24"/>
          <w:lang w:val="en-GB"/>
        </w:rPr>
        <w:t xml:space="preserve"> while artificially </w:t>
      </w:r>
      <w:r w:rsidR="00D60DF6" w:rsidRPr="002229EB">
        <w:rPr>
          <w:rFonts w:ascii="Calibri" w:hAnsi="Calibri"/>
          <w:sz w:val="24"/>
          <w:szCs w:val="24"/>
          <w:lang w:val="en-GB"/>
        </w:rPr>
        <w:t>preventing the factors from correlating</w:t>
      </w:r>
      <w:r w:rsidR="002E1836" w:rsidRPr="002229EB">
        <w:rPr>
          <w:rFonts w:ascii="Calibri" w:hAnsi="Calibri"/>
          <w:sz w:val="24"/>
          <w:szCs w:val="24"/>
          <w:lang w:val="en-GB"/>
        </w:rPr>
        <w:t>.</w:t>
      </w:r>
      <w:r w:rsidR="00F9779B" w:rsidRPr="002229EB">
        <w:rPr>
          <w:rFonts w:ascii="Calibri" w:hAnsi="Calibri"/>
          <w:sz w:val="24"/>
          <w:szCs w:val="24"/>
          <w:lang w:val="en-GB"/>
        </w:rPr>
        <w:t xml:space="preserve"> </w:t>
      </w:r>
    </w:p>
    <w:p w:rsidR="00444ADD" w:rsidRPr="002229EB" w:rsidRDefault="00444ADD" w:rsidP="009C3AC7">
      <w:pPr>
        <w:wordWrap/>
        <w:spacing w:line="276" w:lineRule="auto"/>
        <w:jc w:val="left"/>
        <w:rPr>
          <w:rFonts w:ascii="Calibri" w:hAnsi="Calibri"/>
          <w:sz w:val="24"/>
          <w:szCs w:val="24"/>
          <w:lang w:val="en-GB"/>
        </w:rPr>
      </w:pPr>
    </w:p>
    <w:p w:rsidR="00444ADD" w:rsidRPr="002229EB" w:rsidRDefault="00A11FB9" w:rsidP="009C3AC7">
      <w:pPr>
        <w:wordWrap/>
        <w:spacing w:line="276" w:lineRule="auto"/>
        <w:jc w:val="left"/>
        <w:rPr>
          <w:rFonts w:ascii="Calibri" w:hAnsi="Calibri"/>
          <w:sz w:val="24"/>
          <w:szCs w:val="24"/>
          <w:lang w:val="en-GB"/>
        </w:rPr>
      </w:pPr>
      <w:r w:rsidRPr="002229EB">
        <w:rPr>
          <w:rFonts w:ascii="Calibri" w:hAnsi="Calibri"/>
          <w:sz w:val="24"/>
          <w:szCs w:val="24"/>
          <w:lang w:val="en-GB"/>
        </w:rPr>
        <w:t xml:space="preserve">The full factor loadings are presented in Appendix </w:t>
      </w:r>
      <w:r w:rsidR="002B695B">
        <w:rPr>
          <w:rFonts w:ascii="Calibri" w:hAnsi="Calibri"/>
          <w:sz w:val="24"/>
          <w:szCs w:val="24"/>
          <w:lang w:val="en-GB"/>
        </w:rPr>
        <w:t>A</w:t>
      </w:r>
      <w:r w:rsidRPr="002229EB">
        <w:rPr>
          <w:rFonts w:ascii="Calibri" w:hAnsi="Calibri"/>
          <w:sz w:val="24"/>
          <w:szCs w:val="24"/>
          <w:lang w:val="en-GB"/>
        </w:rPr>
        <w:t xml:space="preserve">.  </w:t>
      </w:r>
      <w:r w:rsidR="00444ADD" w:rsidRPr="002229EB">
        <w:rPr>
          <w:rFonts w:ascii="Calibri" w:hAnsi="Calibri"/>
          <w:sz w:val="24"/>
          <w:szCs w:val="24"/>
          <w:lang w:val="en-GB"/>
        </w:rPr>
        <w:t xml:space="preserve">Given the exploratory nature of the study, a loading threshold of .400 was used to isolate the most important items </w:t>
      </w:r>
      <w:r w:rsidRPr="002229EB">
        <w:rPr>
          <w:rFonts w:ascii="Calibri" w:hAnsi="Calibri"/>
          <w:sz w:val="24"/>
          <w:szCs w:val="24"/>
          <w:lang w:val="en-GB"/>
        </w:rPr>
        <w:t>comprising</w:t>
      </w:r>
      <w:r w:rsidR="00444ADD" w:rsidRPr="002229EB">
        <w:rPr>
          <w:rFonts w:ascii="Calibri" w:hAnsi="Calibri"/>
          <w:sz w:val="24"/>
          <w:szCs w:val="24"/>
          <w:lang w:val="en-GB"/>
        </w:rPr>
        <w:t xml:space="preserve"> each factor</w:t>
      </w:r>
      <w:r w:rsidRPr="002229EB">
        <w:rPr>
          <w:rFonts w:ascii="Calibri" w:hAnsi="Calibri"/>
          <w:sz w:val="24"/>
          <w:szCs w:val="24"/>
          <w:lang w:val="en-GB"/>
        </w:rPr>
        <w:t xml:space="preserve"> and these</w:t>
      </w:r>
      <w:r w:rsidR="00444ADD" w:rsidRPr="002229EB">
        <w:rPr>
          <w:rFonts w:ascii="Calibri" w:hAnsi="Calibri"/>
          <w:sz w:val="24"/>
          <w:szCs w:val="24"/>
          <w:lang w:val="en-GB"/>
        </w:rPr>
        <w:t xml:space="preserve"> </w:t>
      </w:r>
      <w:r w:rsidRPr="002229EB">
        <w:rPr>
          <w:rFonts w:ascii="Calibri" w:hAnsi="Calibri"/>
          <w:sz w:val="24"/>
          <w:szCs w:val="24"/>
          <w:lang w:val="en-GB"/>
        </w:rPr>
        <w:t xml:space="preserve">results </w:t>
      </w:r>
      <w:r w:rsidR="00444ADD" w:rsidRPr="002229EB">
        <w:rPr>
          <w:rFonts w:ascii="Calibri" w:hAnsi="Calibri"/>
          <w:sz w:val="24"/>
          <w:szCs w:val="24"/>
          <w:lang w:val="en-GB"/>
        </w:rPr>
        <w:t xml:space="preserve">are presented in Table </w:t>
      </w:r>
      <w:r w:rsidR="002B695B">
        <w:rPr>
          <w:rFonts w:ascii="Calibri" w:hAnsi="Calibri"/>
          <w:sz w:val="24"/>
          <w:szCs w:val="24"/>
          <w:lang w:val="en-GB"/>
        </w:rPr>
        <w:t xml:space="preserve">3 </w:t>
      </w:r>
      <w:r w:rsidR="00444ADD" w:rsidRPr="002229EB">
        <w:rPr>
          <w:rFonts w:ascii="Calibri" w:hAnsi="Calibri"/>
          <w:sz w:val="24"/>
          <w:szCs w:val="24"/>
          <w:lang w:val="en-GB"/>
        </w:rPr>
        <w:t>below.</w:t>
      </w:r>
    </w:p>
    <w:p w:rsidR="00A11FB9" w:rsidRPr="002229EB" w:rsidRDefault="00A11FB9" w:rsidP="009C3AC7">
      <w:pPr>
        <w:wordWrap/>
        <w:spacing w:line="276" w:lineRule="auto"/>
        <w:jc w:val="left"/>
        <w:rPr>
          <w:rFonts w:ascii="Calibri" w:hAnsi="Calibri"/>
          <w:sz w:val="24"/>
          <w:szCs w:val="24"/>
          <w:lang w:val="en-GB"/>
        </w:rPr>
      </w:pPr>
    </w:p>
    <w:p w:rsidR="00556E3B" w:rsidRPr="002229EB" w:rsidRDefault="00556E3B" w:rsidP="009C3AC7">
      <w:pPr>
        <w:wordWrap/>
        <w:spacing w:line="276" w:lineRule="auto"/>
        <w:jc w:val="left"/>
        <w:rPr>
          <w:rFonts w:ascii="Calibri" w:hAnsi="Calibri"/>
          <w:sz w:val="24"/>
          <w:szCs w:val="24"/>
          <w:lang w:val="en-GB"/>
        </w:rPr>
      </w:pPr>
    </w:p>
    <w:p w:rsidR="00A11FB9" w:rsidRPr="002229EB" w:rsidRDefault="00A11FB9" w:rsidP="009C3AC7">
      <w:pPr>
        <w:wordWrap/>
        <w:spacing w:line="276" w:lineRule="auto"/>
        <w:jc w:val="left"/>
        <w:rPr>
          <w:rFonts w:ascii="Calibri" w:hAnsi="Calibri"/>
          <w:i/>
          <w:sz w:val="24"/>
          <w:szCs w:val="24"/>
          <w:lang w:val="en-GB"/>
        </w:rPr>
      </w:pPr>
      <w:r w:rsidRPr="002229EB">
        <w:rPr>
          <w:rFonts w:ascii="Calibri" w:hAnsi="Calibri"/>
          <w:i/>
          <w:sz w:val="24"/>
          <w:szCs w:val="24"/>
          <w:lang w:val="en-GB"/>
        </w:rPr>
        <w:t xml:space="preserve">Table </w:t>
      </w:r>
      <w:r w:rsidR="002B695B">
        <w:rPr>
          <w:rFonts w:ascii="Calibri" w:hAnsi="Calibri"/>
          <w:i/>
          <w:sz w:val="24"/>
          <w:szCs w:val="24"/>
          <w:lang w:val="en-GB"/>
        </w:rPr>
        <w:t>3</w:t>
      </w:r>
      <w:r w:rsidRPr="002229EB">
        <w:rPr>
          <w:rFonts w:ascii="Calibri" w:hAnsi="Calibri"/>
          <w:i/>
          <w:sz w:val="24"/>
          <w:szCs w:val="24"/>
          <w:lang w:val="en-GB"/>
        </w:rPr>
        <w:t>: Factor loadings for four factor solution</w:t>
      </w:r>
      <w:r w:rsidR="00F90E53" w:rsidRPr="002229EB">
        <w:rPr>
          <w:rFonts w:ascii="Calibri" w:hAnsi="Calibri"/>
          <w:i/>
          <w:sz w:val="24"/>
          <w:szCs w:val="24"/>
          <w:lang w:val="en-GB"/>
        </w:rPr>
        <w:t xml:space="preserve"> with oblique rotation</w:t>
      </w:r>
    </w:p>
    <w:tbl>
      <w:tblPr>
        <w:tblStyle w:val="TableGrid"/>
        <w:tblW w:w="0" w:type="auto"/>
        <w:tblInd w:w="108" w:type="dxa"/>
        <w:tblLook w:val="04A0" w:firstRow="1" w:lastRow="0" w:firstColumn="1" w:lastColumn="0" w:noHBand="0" w:noVBand="1"/>
      </w:tblPr>
      <w:tblGrid>
        <w:gridCol w:w="1134"/>
        <w:gridCol w:w="7513"/>
        <w:gridCol w:w="1099"/>
      </w:tblGrid>
      <w:tr w:rsidR="00444ADD" w:rsidRPr="002229EB" w:rsidTr="0044588A">
        <w:tc>
          <w:tcPr>
            <w:tcW w:w="1134" w:type="dxa"/>
            <w:tcBorders>
              <w:left w:val="nil"/>
              <w:bottom w:val="double" w:sz="4" w:space="0" w:color="auto"/>
              <w:right w:val="nil"/>
            </w:tcBorders>
          </w:tcPr>
          <w:p w:rsidR="00444ADD" w:rsidRPr="002229EB" w:rsidRDefault="00444ADD" w:rsidP="009C3AC7">
            <w:pPr>
              <w:wordWrap/>
              <w:spacing w:line="276" w:lineRule="auto"/>
              <w:jc w:val="left"/>
              <w:rPr>
                <w:rFonts w:ascii="Calibri" w:hAnsi="Calibri"/>
                <w:b/>
                <w:sz w:val="24"/>
                <w:szCs w:val="24"/>
                <w:lang w:val="en-GB"/>
              </w:rPr>
            </w:pPr>
          </w:p>
        </w:tc>
        <w:tc>
          <w:tcPr>
            <w:tcW w:w="7513" w:type="dxa"/>
            <w:tcBorders>
              <w:left w:val="nil"/>
              <w:bottom w:val="double" w:sz="4" w:space="0" w:color="auto"/>
              <w:right w:val="nil"/>
            </w:tcBorders>
          </w:tcPr>
          <w:p w:rsidR="00444ADD" w:rsidRPr="002229EB" w:rsidRDefault="00444ADD" w:rsidP="009C3AC7">
            <w:pPr>
              <w:wordWrap/>
              <w:spacing w:line="276" w:lineRule="auto"/>
              <w:jc w:val="left"/>
              <w:rPr>
                <w:rFonts w:ascii="Calibri" w:hAnsi="Calibri"/>
                <w:b/>
                <w:sz w:val="24"/>
                <w:szCs w:val="24"/>
                <w:lang w:val="en-GB"/>
              </w:rPr>
            </w:pPr>
            <w:r w:rsidRPr="002229EB">
              <w:rPr>
                <w:rFonts w:ascii="Calibri" w:hAnsi="Calibri"/>
                <w:b/>
                <w:sz w:val="24"/>
                <w:szCs w:val="24"/>
                <w:lang w:val="en-GB"/>
              </w:rPr>
              <w:t>Loaded items</w:t>
            </w:r>
          </w:p>
        </w:tc>
        <w:tc>
          <w:tcPr>
            <w:tcW w:w="1099" w:type="dxa"/>
            <w:tcBorders>
              <w:left w:val="nil"/>
              <w:bottom w:val="double" w:sz="4" w:space="0" w:color="auto"/>
              <w:right w:val="nil"/>
            </w:tcBorders>
          </w:tcPr>
          <w:p w:rsidR="00444ADD" w:rsidRPr="002229EB" w:rsidRDefault="00444ADD" w:rsidP="009C3AC7">
            <w:pPr>
              <w:wordWrap/>
              <w:spacing w:line="276" w:lineRule="auto"/>
              <w:jc w:val="left"/>
              <w:rPr>
                <w:rFonts w:ascii="Calibri" w:hAnsi="Calibri"/>
                <w:b/>
                <w:sz w:val="24"/>
                <w:szCs w:val="24"/>
                <w:lang w:val="en-GB"/>
              </w:rPr>
            </w:pPr>
            <w:r w:rsidRPr="002229EB">
              <w:rPr>
                <w:rFonts w:ascii="Calibri" w:hAnsi="Calibri"/>
                <w:b/>
                <w:sz w:val="24"/>
                <w:szCs w:val="24"/>
                <w:lang w:val="en-GB"/>
              </w:rPr>
              <w:t>Loading</w:t>
            </w:r>
          </w:p>
        </w:tc>
      </w:tr>
      <w:tr w:rsidR="00444ADD" w:rsidRPr="002229EB" w:rsidTr="0044588A">
        <w:tc>
          <w:tcPr>
            <w:tcW w:w="1134" w:type="dxa"/>
            <w:vMerge w:val="restart"/>
            <w:tcBorders>
              <w:top w:val="double" w:sz="4" w:space="0" w:color="auto"/>
              <w:left w:val="nil"/>
              <w:right w:val="nil"/>
            </w:tcBorders>
          </w:tcPr>
          <w:p w:rsidR="00444ADD" w:rsidRPr="002229EB" w:rsidRDefault="00444ADD" w:rsidP="009C3AC7">
            <w:pPr>
              <w:wordWrap/>
              <w:spacing w:line="276" w:lineRule="auto"/>
              <w:jc w:val="left"/>
              <w:rPr>
                <w:rFonts w:ascii="Calibri" w:hAnsi="Calibri"/>
                <w:b/>
                <w:sz w:val="24"/>
                <w:szCs w:val="24"/>
                <w:lang w:val="en-GB"/>
              </w:rPr>
            </w:pPr>
            <w:r w:rsidRPr="002229EB">
              <w:rPr>
                <w:rFonts w:ascii="Calibri" w:hAnsi="Calibri"/>
                <w:b/>
                <w:sz w:val="24"/>
                <w:szCs w:val="24"/>
                <w:lang w:val="en-GB"/>
              </w:rPr>
              <w:t>Factor 1</w:t>
            </w:r>
          </w:p>
        </w:tc>
        <w:tc>
          <w:tcPr>
            <w:tcW w:w="7513" w:type="dxa"/>
            <w:tcBorders>
              <w:top w:val="double" w:sz="4" w:space="0" w:color="auto"/>
              <w:left w:val="nil"/>
              <w:right w:val="nil"/>
            </w:tcBorders>
          </w:tcPr>
          <w:p w:rsidR="00444ADD" w:rsidRPr="002229EB" w:rsidRDefault="00444ADD" w:rsidP="009C3AC7">
            <w:pPr>
              <w:wordWrap/>
              <w:spacing w:line="276" w:lineRule="auto"/>
              <w:jc w:val="left"/>
              <w:rPr>
                <w:rFonts w:ascii="Calibri" w:hAnsi="Calibri"/>
                <w:sz w:val="24"/>
                <w:szCs w:val="24"/>
                <w:lang w:val="en-GB"/>
              </w:rPr>
            </w:pPr>
            <w:r w:rsidRPr="002229EB">
              <w:rPr>
                <w:rFonts w:ascii="Calibri" w:hAnsi="Calibri"/>
                <w:sz w:val="24"/>
                <w:szCs w:val="24"/>
                <w:lang w:val="en-GB"/>
              </w:rPr>
              <w:t>I sometimes can't sleep because I worry about how much debt I am in</w:t>
            </w:r>
          </w:p>
        </w:tc>
        <w:tc>
          <w:tcPr>
            <w:tcW w:w="1099" w:type="dxa"/>
            <w:tcBorders>
              <w:top w:val="double" w:sz="4" w:space="0" w:color="auto"/>
              <w:left w:val="nil"/>
              <w:right w:val="nil"/>
            </w:tcBorders>
          </w:tcPr>
          <w:p w:rsidR="00444ADD" w:rsidRPr="002229EB" w:rsidRDefault="00426DF0" w:rsidP="009C3AC7">
            <w:pPr>
              <w:wordWrap/>
              <w:spacing w:line="276" w:lineRule="auto"/>
              <w:jc w:val="center"/>
              <w:rPr>
                <w:rFonts w:ascii="Calibri" w:hAnsi="Calibri"/>
                <w:sz w:val="24"/>
                <w:szCs w:val="24"/>
                <w:lang w:val="en-GB"/>
              </w:rPr>
            </w:pPr>
            <w:r w:rsidRPr="002229EB">
              <w:rPr>
                <w:rFonts w:ascii="Calibri" w:hAnsi="Calibri"/>
                <w:sz w:val="24"/>
                <w:szCs w:val="24"/>
                <w:lang w:val="en-GB"/>
              </w:rPr>
              <w:t>.783</w:t>
            </w:r>
          </w:p>
        </w:tc>
      </w:tr>
      <w:tr w:rsidR="00444ADD" w:rsidRPr="002229EB" w:rsidTr="0044588A">
        <w:tc>
          <w:tcPr>
            <w:tcW w:w="1134" w:type="dxa"/>
            <w:vMerge/>
            <w:tcBorders>
              <w:left w:val="nil"/>
              <w:right w:val="nil"/>
            </w:tcBorders>
          </w:tcPr>
          <w:p w:rsidR="00444ADD" w:rsidRPr="002229EB" w:rsidRDefault="00444ADD" w:rsidP="009C3AC7">
            <w:pPr>
              <w:wordWrap/>
              <w:spacing w:line="276" w:lineRule="auto"/>
              <w:jc w:val="left"/>
              <w:rPr>
                <w:rFonts w:ascii="Calibri" w:hAnsi="Calibri"/>
                <w:b/>
                <w:sz w:val="24"/>
                <w:szCs w:val="24"/>
                <w:lang w:val="en-GB"/>
              </w:rPr>
            </w:pPr>
          </w:p>
        </w:tc>
        <w:tc>
          <w:tcPr>
            <w:tcW w:w="7513" w:type="dxa"/>
            <w:tcBorders>
              <w:left w:val="nil"/>
              <w:right w:val="nil"/>
            </w:tcBorders>
          </w:tcPr>
          <w:p w:rsidR="00444ADD" w:rsidRPr="002229EB" w:rsidRDefault="00444ADD" w:rsidP="009C3AC7">
            <w:pPr>
              <w:wordWrap/>
              <w:spacing w:line="276" w:lineRule="auto"/>
              <w:jc w:val="left"/>
              <w:rPr>
                <w:rFonts w:ascii="Calibri" w:hAnsi="Calibri"/>
                <w:sz w:val="24"/>
                <w:szCs w:val="24"/>
                <w:lang w:val="en-GB"/>
              </w:rPr>
            </w:pPr>
            <w:r w:rsidRPr="002229EB">
              <w:rPr>
                <w:rFonts w:ascii="Calibri" w:hAnsi="Calibri"/>
                <w:sz w:val="24"/>
                <w:szCs w:val="24"/>
                <w:lang w:val="en-GB"/>
              </w:rPr>
              <w:t>I worry about debt to the point where it affects my grades</w:t>
            </w:r>
          </w:p>
        </w:tc>
        <w:tc>
          <w:tcPr>
            <w:tcW w:w="1099" w:type="dxa"/>
            <w:tcBorders>
              <w:left w:val="nil"/>
              <w:right w:val="nil"/>
            </w:tcBorders>
          </w:tcPr>
          <w:p w:rsidR="00444ADD" w:rsidRPr="002229EB" w:rsidRDefault="00F90E53" w:rsidP="009C3AC7">
            <w:pPr>
              <w:wordWrap/>
              <w:spacing w:line="276" w:lineRule="auto"/>
              <w:jc w:val="center"/>
              <w:rPr>
                <w:rFonts w:ascii="Calibri" w:hAnsi="Calibri"/>
                <w:sz w:val="24"/>
                <w:szCs w:val="24"/>
                <w:lang w:val="en-GB"/>
              </w:rPr>
            </w:pPr>
            <w:r w:rsidRPr="002229EB">
              <w:rPr>
                <w:rFonts w:ascii="Calibri" w:hAnsi="Calibri"/>
                <w:sz w:val="24"/>
                <w:szCs w:val="24"/>
                <w:lang w:val="en-GB"/>
              </w:rPr>
              <w:t>.778</w:t>
            </w:r>
          </w:p>
        </w:tc>
      </w:tr>
      <w:tr w:rsidR="00444ADD" w:rsidRPr="002229EB" w:rsidTr="0044588A">
        <w:tc>
          <w:tcPr>
            <w:tcW w:w="1134" w:type="dxa"/>
            <w:vMerge/>
            <w:tcBorders>
              <w:left w:val="nil"/>
              <w:right w:val="nil"/>
            </w:tcBorders>
          </w:tcPr>
          <w:p w:rsidR="00444ADD" w:rsidRPr="002229EB" w:rsidRDefault="00444ADD" w:rsidP="009C3AC7">
            <w:pPr>
              <w:wordWrap/>
              <w:spacing w:line="276" w:lineRule="auto"/>
              <w:jc w:val="left"/>
              <w:rPr>
                <w:rFonts w:ascii="Calibri" w:hAnsi="Calibri"/>
                <w:b/>
                <w:sz w:val="24"/>
                <w:szCs w:val="24"/>
                <w:lang w:val="en-GB"/>
              </w:rPr>
            </w:pPr>
          </w:p>
        </w:tc>
        <w:tc>
          <w:tcPr>
            <w:tcW w:w="7513" w:type="dxa"/>
            <w:tcBorders>
              <w:left w:val="nil"/>
              <w:right w:val="nil"/>
            </w:tcBorders>
          </w:tcPr>
          <w:p w:rsidR="00444ADD" w:rsidRPr="002229EB" w:rsidRDefault="00444ADD" w:rsidP="009C3AC7">
            <w:pPr>
              <w:wordWrap/>
              <w:spacing w:line="276" w:lineRule="auto"/>
              <w:jc w:val="left"/>
              <w:rPr>
                <w:rFonts w:ascii="Calibri" w:hAnsi="Calibri"/>
                <w:sz w:val="24"/>
                <w:szCs w:val="24"/>
                <w:lang w:val="en-GB"/>
              </w:rPr>
            </w:pPr>
            <w:r w:rsidRPr="002229EB">
              <w:rPr>
                <w:rFonts w:ascii="Calibri" w:hAnsi="Calibri"/>
                <w:sz w:val="24"/>
                <w:szCs w:val="24"/>
                <w:lang w:val="en-GB"/>
              </w:rPr>
              <w:t>I feel isolated by my student debt</w:t>
            </w:r>
          </w:p>
        </w:tc>
        <w:tc>
          <w:tcPr>
            <w:tcW w:w="1099" w:type="dxa"/>
            <w:tcBorders>
              <w:left w:val="nil"/>
              <w:right w:val="nil"/>
            </w:tcBorders>
          </w:tcPr>
          <w:p w:rsidR="00444ADD" w:rsidRPr="002229EB" w:rsidRDefault="00F90E53" w:rsidP="009C3AC7">
            <w:pPr>
              <w:wordWrap/>
              <w:spacing w:line="276" w:lineRule="auto"/>
              <w:jc w:val="center"/>
              <w:rPr>
                <w:rFonts w:ascii="Calibri" w:hAnsi="Calibri"/>
                <w:sz w:val="24"/>
                <w:szCs w:val="24"/>
                <w:lang w:val="en-GB"/>
              </w:rPr>
            </w:pPr>
            <w:r w:rsidRPr="002229EB">
              <w:rPr>
                <w:rFonts w:ascii="Calibri" w:hAnsi="Calibri"/>
                <w:sz w:val="24"/>
                <w:szCs w:val="24"/>
                <w:lang w:val="en-GB"/>
              </w:rPr>
              <w:t>.750</w:t>
            </w:r>
          </w:p>
        </w:tc>
      </w:tr>
      <w:tr w:rsidR="00444ADD" w:rsidRPr="002229EB" w:rsidTr="0044588A">
        <w:tc>
          <w:tcPr>
            <w:tcW w:w="1134" w:type="dxa"/>
            <w:vMerge/>
            <w:tcBorders>
              <w:left w:val="nil"/>
              <w:right w:val="nil"/>
            </w:tcBorders>
          </w:tcPr>
          <w:p w:rsidR="00444ADD" w:rsidRPr="002229EB" w:rsidRDefault="00444ADD" w:rsidP="009C3AC7">
            <w:pPr>
              <w:wordWrap/>
              <w:spacing w:line="276" w:lineRule="auto"/>
              <w:jc w:val="left"/>
              <w:rPr>
                <w:rFonts w:ascii="Calibri" w:hAnsi="Calibri"/>
                <w:b/>
                <w:sz w:val="24"/>
                <w:szCs w:val="24"/>
                <w:lang w:val="en-GB"/>
              </w:rPr>
            </w:pPr>
          </w:p>
        </w:tc>
        <w:tc>
          <w:tcPr>
            <w:tcW w:w="7513" w:type="dxa"/>
            <w:tcBorders>
              <w:left w:val="nil"/>
              <w:right w:val="nil"/>
            </w:tcBorders>
          </w:tcPr>
          <w:p w:rsidR="00444ADD" w:rsidRPr="002229EB" w:rsidRDefault="00444ADD" w:rsidP="009C3AC7">
            <w:pPr>
              <w:wordWrap/>
              <w:spacing w:line="276" w:lineRule="auto"/>
              <w:jc w:val="left"/>
              <w:rPr>
                <w:rFonts w:ascii="Calibri" w:hAnsi="Calibri"/>
                <w:sz w:val="24"/>
                <w:szCs w:val="24"/>
                <w:lang w:val="en-GB"/>
              </w:rPr>
            </w:pPr>
            <w:r w:rsidRPr="002229EB">
              <w:rPr>
                <w:rFonts w:ascii="Calibri" w:hAnsi="Calibri"/>
                <w:sz w:val="24"/>
                <w:szCs w:val="24"/>
                <w:lang w:val="en-GB"/>
              </w:rPr>
              <w:t>I worry that the repayments on my debt will become unaffordable</w:t>
            </w:r>
          </w:p>
        </w:tc>
        <w:tc>
          <w:tcPr>
            <w:tcW w:w="1099" w:type="dxa"/>
            <w:tcBorders>
              <w:left w:val="nil"/>
              <w:right w:val="nil"/>
            </w:tcBorders>
          </w:tcPr>
          <w:p w:rsidR="00444ADD" w:rsidRPr="002229EB" w:rsidRDefault="00F90E53" w:rsidP="009C3AC7">
            <w:pPr>
              <w:wordWrap/>
              <w:spacing w:line="276" w:lineRule="auto"/>
              <w:jc w:val="center"/>
              <w:rPr>
                <w:rFonts w:ascii="Calibri" w:hAnsi="Calibri"/>
                <w:sz w:val="24"/>
                <w:szCs w:val="24"/>
                <w:lang w:val="en-GB"/>
              </w:rPr>
            </w:pPr>
            <w:r w:rsidRPr="002229EB">
              <w:rPr>
                <w:rFonts w:ascii="Calibri" w:hAnsi="Calibri"/>
                <w:sz w:val="24"/>
                <w:szCs w:val="24"/>
                <w:lang w:val="en-GB"/>
              </w:rPr>
              <w:t>.690</w:t>
            </w:r>
          </w:p>
        </w:tc>
      </w:tr>
      <w:tr w:rsidR="00444ADD" w:rsidRPr="002229EB" w:rsidTr="0044588A">
        <w:tc>
          <w:tcPr>
            <w:tcW w:w="1134" w:type="dxa"/>
            <w:vMerge/>
            <w:tcBorders>
              <w:left w:val="nil"/>
              <w:right w:val="nil"/>
            </w:tcBorders>
          </w:tcPr>
          <w:p w:rsidR="00444ADD" w:rsidRPr="002229EB" w:rsidRDefault="00444ADD" w:rsidP="009C3AC7">
            <w:pPr>
              <w:wordWrap/>
              <w:spacing w:line="276" w:lineRule="auto"/>
              <w:jc w:val="left"/>
              <w:rPr>
                <w:rFonts w:ascii="Calibri" w:hAnsi="Calibri"/>
                <w:b/>
                <w:sz w:val="24"/>
                <w:szCs w:val="24"/>
                <w:lang w:val="en-GB"/>
              </w:rPr>
            </w:pPr>
          </w:p>
        </w:tc>
        <w:tc>
          <w:tcPr>
            <w:tcW w:w="7513" w:type="dxa"/>
            <w:tcBorders>
              <w:left w:val="nil"/>
              <w:right w:val="nil"/>
            </w:tcBorders>
          </w:tcPr>
          <w:p w:rsidR="00444ADD" w:rsidRPr="002229EB" w:rsidRDefault="00444ADD" w:rsidP="009C3AC7">
            <w:pPr>
              <w:wordWrap/>
              <w:spacing w:line="276" w:lineRule="auto"/>
              <w:jc w:val="left"/>
              <w:rPr>
                <w:rFonts w:ascii="Calibri" w:hAnsi="Calibri"/>
                <w:sz w:val="24"/>
                <w:szCs w:val="24"/>
                <w:lang w:val="en-GB"/>
              </w:rPr>
            </w:pPr>
            <w:r w:rsidRPr="002229EB">
              <w:rPr>
                <w:rFonts w:ascii="Calibri" w:hAnsi="Calibri"/>
                <w:sz w:val="24"/>
                <w:szCs w:val="24"/>
                <w:lang w:val="en-GB"/>
              </w:rPr>
              <w:t>The debt I create as a student is an unfair start to my working life</w:t>
            </w:r>
          </w:p>
        </w:tc>
        <w:tc>
          <w:tcPr>
            <w:tcW w:w="1099" w:type="dxa"/>
            <w:tcBorders>
              <w:left w:val="nil"/>
              <w:right w:val="nil"/>
            </w:tcBorders>
          </w:tcPr>
          <w:p w:rsidR="00444ADD" w:rsidRPr="002229EB" w:rsidRDefault="00F90E53" w:rsidP="009C3AC7">
            <w:pPr>
              <w:wordWrap/>
              <w:spacing w:line="276" w:lineRule="auto"/>
              <w:jc w:val="center"/>
              <w:rPr>
                <w:rFonts w:ascii="Calibri" w:hAnsi="Calibri"/>
                <w:sz w:val="24"/>
                <w:szCs w:val="24"/>
                <w:lang w:val="en-GB"/>
              </w:rPr>
            </w:pPr>
            <w:r w:rsidRPr="002229EB">
              <w:rPr>
                <w:rFonts w:ascii="Calibri" w:hAnsi="Calibri"/>
                <w:sz w:val="24"/>
                <w:szCs w:val="24"/>
                <w:lang w:val="en-GB"/>
              </w:rPr>
              <w:t>.526</w:t>
            </w:r>
          </w:p>
        </w:tc>
      </w:tr>
      <w:tr w:rsidR="00F90E53" w:rsidRPr="002229EB" w:rsidTr="0044588A">
        <w:tc>
          <w:tcPr>
            <w:tcW w:w="1134" w:type="dxa"/>
            <w:vMerge w:val="restart"/>
            <w:tcBorders>
              <w:left w:val="nil"/>
              <w:right w:val="nil"/>
            </w:tcBorders>
          </w:tcPr>
          <w:p w:rsidR="00F90E53" w:rsidRPr="002229EB" w:rsidRDefault="00F90E53" w:rsidP="009C3AC7">
            <w:pPr>
              <w:wordWrap/>
              <w:spacing w:line="276" w:lineRule="auto"/>
              <w:jc w:val="left"/>
              <w:rPr>
                <w:rFonts w:ascii="Calibri" w:hAnsi="Calibri"/>
                <w:b/>
                <w:sz w:val="24"/>
                <w:szCs w:val="24"/>
                <w:lang w:val="en-GB"/>
              </w:rPr>
            </w:pPr>
            <w:r w:rsidRPr="002229EB">
              <w:rPr>
                <w:rFonts w:ascii="Calibri" w:hAnsi="Calibri"/>
                <w:b/>
                <w:sz w:val="24"/>
                <w:szCs w:val="24"/>
                <w:lang w:val="en-GB"/>
              </w:rPr>
              <w:t>Factor 2</w:t>
            </w:r>
          </w:p>
        </w:tc>
        <w:tc>
          <w:tcPr>
            <w:tcW w:w="7513" w:type="dxa"/>
            <w:tcBorders>
              <w:left w:val="nil"/>
              <w:right w:val="nil"/>
            </w:tcBorders>
          </w:tcPr>
          <w:p w:rsidR="00F90E53" w:rsidRPr="002229EB" w:rsidRDefault="00F90E53" w:rsidP="009C3AC7">
            <w:pPr>
              <w:wordWrap/>
              <w:spacing w:line="276" w:lineRule="auto"/>
              <w:jc w:val="left"/>
              <w:rPr>
                <w:rFonts w:ascii="Calibri" w:hAnsi="Calibri"/>
                <w:sz w:val="24"/>
                <w:szCs w:val="24"/>
                <w:lang w:val="en-GB"/>
              </w:rPr>
            </w:pPr>
            <w:r w:rsidRPr="002229EB">
              <w:rPr>
                <w:rFonts w:ascii="Calibri" w:hAnsi="Calibri"/>
                <w:sz w:val="24"/>
                <w:szCs w:val="24"/>
                <w:lang w:val="en-GB"/>
              </w:rPr>
              <w:t>I use debt to pay for a good social life</w:t>
            </w:r>
          </w:p>
        </w:tc>
        <w:tc>
          <w:tcPr>
            <w:tcW w:w="1099" w:type="dxa"/>
            <w:tcBorders>
              <w:left w:val="nil"/>
              <w:right w:val="nil"/>
            </w:tcBorders>
          </w:tcPr>
          <w:p w:rsidR="00F90E53" w:rsidRPr="002229EB" w:rsidRDefault="00F90E53" w:rsidP="009C3AC7">
            <w:pPr>
              <w:wordWrap/>
              <w:spacing w:line="276" w:lineRule="auto"/>
              <w:jc w:val="center"/>
              <w:rPr>
                <w:rFonts w:ascii="Calibri" w:hAnsi="Calibri" w:cs="Arial"/>
                <w:color w:val="000000"/>
                <w:sz w:val="24"/>
                <w:szCs w:val="18"/>
                <w:lang w:val="en-GB"/>
              </w:rPr>
            </w:pPr>
            <w:r w:rsidRPr="002229EB">
              <w:rPr>
                <w:rFonts w:ascii="Calibri" w:hAnsi="Calibri" w:cs="Arial"/>
                <w:color w:val="000000"/>
                <w:sz w:val="24"/>
                <w:szCs w:val="18"/>
                <w:lang w:val="en-GB"/>
              </w:rPr>
              <w:t>-.805</w:t>
            </w:r>
          </w:p>
        </w:tc>
      </w:tr>
      <w:tr w:rsidR="00F90E53" w:rsidRPr="002229EB" w:rsidTr="0044588A">
        <w:tc>
          <w:tcPr>
            <w:tcW w:w="1134" w:type="dxa"/>
            <w:vMerge/>
            <w:tcBorders>
              <w:left w:val="nil"/>
              <w:right w:val="nil"/>
            </w:tcBorders>
          </w:tcPr>
          <w:p w:rsidR="00F90E53" w:rsidRPr="002229EB" w:rsidRDefault="00F90E53" w:rsidP="009C3AC7">
            <w:pPr>
              <w:wordWrap/>
              <w:spacing w:line="276" w:lineRule="auto"/>
              <w:jc w:val="left"/>
              <w:rPr>
                <w:rFonts w:ascii="Calibri" w:hAnsi="Calibri"/>
                <w:b/>
                <w:sz w:val="24"/>
                <w:szCs w:val="24"/>
                <w:lang w:val="en-GB"/>
              </w:rPr>
            </w:pPr>
          </w:p>
        </w:tc>
        <w:tc>
          <w:tcPr>
            <w:tcW w:w="7513" w:type="dxa"/>
            <w:tcBorders>
              <w:left w:val="nil"/>
              <w:right w:val="nil"/>
            </w:tcBorders>
          </w:tcPr>
          <w:p w:rsidR="00F90E53" w:rsidRPr="002229EB" w:rsidRDefault="00F90E53" w:rsidP="009C3AC7">
            <w:pPr>
              <w:wordWrap/>
              <w:spacing w:line="276" w:lineRule="auto"/>
              <w:jc w:val="left"/>
              <w:rPr>
                <w:rFonts w:ascii="Calibri" w:hAnsi="Calibri"/>
                <w:sz w:val="24"/>
                <w:szCs w:val="24"/>
                <w:lang w:val="en-GB"/>
              </w:rPr>
            </w:pPr>
            <w:r w:rsidRPr="002229EB">
              <w:rPr>
                <w:rFonts w:ascii="Calibri" w:hAnsi="Calibri"/>
                <w:sz w:val="24"/>
                <w:szCs w:val="24"/>
                <w:lang w:val="en-GB"/>
              </w:rPr>
              <w:t>I use debt to pay for luxuries</w:t>
            </w:r>
          </w:p>
        </w:tc>
        <w:tc>
          <w:tcPr>
            <w:tcW w:w="1099" w:type="dxa"/>
            <w:tcBorders>
              <w:left w:val="nil"/>
              <w:right w:val="nil"/>
            </w:tcBorders>
          </w:tcPr>
          <w:p w:rsidR="00F90E53" w:rsidRPr="002229EB" w:rsidRDefault="00F90E53" w:rsidP="009C3AC7">
            <w:pPr>
              <w:wordWrap/>
              <w:spacing w:line="276" w:lineRule="auto"/>
              <w:jc w:val="center"/>
              <w:rPr>
                <w:rFonts w:ascii="Calibri" w:hAnsi="Calibri" w:cs="Arial"/>
                <w:color w:val="000000"/>
                <w:sz w:val="24"/>
                <w:szCs w:val="18"/>
                <w:lang w:val="en-GB"/>
              </w:rPr>
            </w:pPr>
            <w:r w:rsidRPr="002229EB">
              <w:rPr>
                <w:rFonts w:ascii="Calibri" w:hAnsi="Calibri" w:cs="Arial"/>
                <w:color w:val="000000"/>
                <w:sz w:val="24"/>
                <w:szCs w:val="18"/>
                <w:lang w:val="en-GB"/>
              </w:rPr>
              <w:t>-.760</w:t>
            </w:r>
          </w:p>
        </w:tc>
      </w:tr>
      <w:tr w:rsidR="00F90E53" w:rsidRPr="002229EB" w:rsidTr="0044588A">
        <w:tc>
          <w:tcPr>
            <w:tcW w:w="1134" w:type="dxa"/>
            <w:vMerge/>
            <w:tcBorders>
              <w:left w:val="nil"/>
              <w:right w:val="nil"/>
            </w:tcBorders>
          </w:tcPr>
          <w:p w:rsidR="00F90E53" w:rsidRPr="002229EB" w:rsidRDefault="00F90E53" w:rsidP="009C3AC7">
            <w:pPr>
              <w:wordWrap/>
              <w:spacing w:line="276" w:lineRule="auto"/>
              <w:jc w:val="left"/>
              <w:rPr>
                <w:rFonts w:ascii="Calibri" w:hAnsi="Calibri"/>
                <w:b/>
                <w:sz w:val="24"/>
                <w:szCs w:val="24"/>
                <w:lang w:val="en-GB"/>
              </w:rPr>
            </w:pPr>
          </w:p>
        </w:tc>
        <w:tc>
          <w:tcPr>
            <w:tcW w:w="7513" w:type="dxa"/>
            <w:tcBorders>
              <w:left w:val="nil"/>
              <w:right w:val="nil"/>
            </w:tcBorders>
          </w:tcPr>
          <w:p w:rsidR="00F90E53" w:rsidRPr="002229EB" w:rsidRDefault="00F90E53" w:rsidP="009C3AC7">
            <w:pPr>
              <w:wordWrap/>
              <w:spacing w:line="276" w:lineRule="auto"/>
              <w:jc w:val="left"/>
              <w:rPr>
                <w:rFonts w:ascii="Calibri" w:hAnsi="Calibri"/>
                <w:sz w:val="24"/>
                <w:szCs w:val="24"/>
                <w:lang w:val="en-GB"/>
              </w:rPr>
            </w:pPr>
            <w:r w:rsidRPr="002229EB">
              <w:rPr>
                <w:rFonts w:ascii="Calibri" w:hAnsi="Calibri"/>
                <w:sz w:val="24"/>
                <w:szCs w:val="24"/>
                <w:lang w:val="en-GB"/>
              </w:rPr>
              <w:t>I use debt so I don't miss out on 'normal' student experiences</w:t>
            </w:r>
          </w:p>
        </w:tc>
        <w:tc>
          <w:tcPr>
            <w:tcW w:w="1099" w:type="dxa"/>
            <w:tcBorders>
              <w:left w:val="nil"/>
              <w:right w:val="nil"/>
            </w:tcBorders>
          </w:tcPr>
          <w:p w:rsidR="00F90E53" w:rsidRPr="002229EB" w:rsidRDefault="00F90E53" w:rsidP="009C3AC7">
            <w:pPr>
              <w:wordWrap/>
              <w:spacing w:line="276" w:lineRule="auto"/>
              <w:jc w:val="center"/>
              <w:rPr>
                <w:rFonts w:ascii="Calibri" w:hAnsi="Calibri" w:cs="Arial"/>
                <w:color w:val="000000"/>
                <w:sz w:val="24"/>
                <w:szCs w:val="18"/>
                <w:lang w:val="en-GB"/>
              </w:rPr>
            </w:pPr>
            <w:r w:rsidRPr="002229EB">
              <w:rPr>
                <w:rFonts w:ascii="Calibri" w:hAnsi="Calibri" w:cs="Arial"/>
                <w:color w:val="000000"/>
                <w:sz w:val="24"/>
                <w:szCs w:val="18"/>
                <w:lang w:val="en-GB"/>
              </w:rPr>
              <w:t>-.652</w:t>
            </w:r>
          </w:p>
        </w:tc>
      </w:tr>
      <w:tr w:rsidR="00F90E53" w:rsidRPr="002229EB" w:rsidTr="0044588A">
        <w:tc>
          <w:tcPr>
            <w:tcW w:w="1134" w:type="dxa"/>
            <w:vMerge/>
            <w:tcBorders>
              <w:left w:val="nil"/>
              <w:right w:val="nil"/>
            </w:tcBorders>
          </w:tcPr>
          <w:p w:rsidR="00F90E53" w:rsidRPr="002229EB" w:rsidRDefault="00F90E53" w:rsidP="009C3AC7">
            <w:pPr>
              <w:wordWrap/>
              <w:spacing w:line="276" w:lineRule="auto"/>
              <w:jc w:val="left"/>
              <w:rPr>
                <w:rFonts w:ascii="Calibri" w:hAnsi="Calibri"/>
                <w:b/>
                <w:sz w:val="24"/>
                <w:szCs w:val="24"/>
                <w:lang w:val="en-GB"/>
              </w:rPr>
            </w:pPr>
          </w:p>
        </w:tc>
        <w:tc>
          <w:tcPr>
            <w:tcW w:w="7513" w:type="dxa"/>
            <w:tcBorders>
              <w:left w:val="nil"/>
              <w:right w:val="nil"/>
            </w:tcBorders>
          </w:tcPr>
          <w:p w:rsidR="00F90E53" w:rsidRPr="002229EB" w:rsidRDefault="00F90E53" w:rsidP="009C3AC7">
            <w:pPr>
              <w:wordWrap/>
              <w:spacing w:line="276" w:lineRule="auto"/>
              <w:jc w:val="left"/>
              <w:rPr>
                <w:rFonts w:ascii="Calibri" w:hAnsi="Calibri"/>
                <w:sz w:val="24"/>
                <w:szCs w:val="24"/>
                <w:lang w:val="en-GB"/>
              </w:rPr>
            </w:pPr>
            <w:r w:rsidRPr="002229EB">
              <w:rPr>
                <w:rFonts w:ascii="Calibri" w:hAnsi="Calibri"/>
                <w:sz w:val="24"/>
                <w:szCs w:val="24"/>
                <w:lang w:val="en-GB"/>
              </w:rPr>
              <w:t>I minimize my spending to minimize my debt</w:t>
            </w:r>
          </w:p>
        </w:tc>
        <w:tc>
          <w:tcPr>
            <w:tcW w:w="1099" w:type="dxa"/>
            <w:tcBorders>
              <w:left w:val="nil"/>
              <w:right w:val="nil"/>
            </w:tcBorders>
          </w:tcPr>
          <w:p w:rsidR="00F90E53" w:rsidRPr="002229EB" w:rsidRDefault="00F90E53" w:rsidP="009C3AC7">
            <w:pPr>
              <w:wordWrap/>
              <w:spacing w:line="276" w:lineRule="auto"/>
              <w:jc w:val="center"/>
              <w:rPr>
                <w:rFonts w:ascii="Calibri" w:hAnsi="Calibri" w:cs="Arial"/>
                <w:color w:val="000000"/>
                <w:sz w:val="24"/>
                <w:szCs w:val="18"/>
                <w:lang w:val="en-GB"/>
              </w:rPr>
            </w:pPr>
            <w:r w:rsidRPr="002229EB">
              <w:rPr>
                <w:rFonts w:ascii="Calibri" w:hAnsi="Calibri" w:cs="Arial"/>
                <w:color w:val="000000"/>
                <w:sz w:val="24"/>
                <w:szCs w:val="18"/>
                <w:lang w:val="en-GB"/>
              </w:rPr>
              <w:t>.449</w:t>
            </w:r>
          </w:p>
        </w:tc>
      </w:tr>
      <w:tr w:rsidR="00F90E53" w:rsidRPr="002229EB" w:rsidTr="0044588A">
        <w:tc>
          <w:tcPr>
            <w:tcW w:w="1134" w:type="dxa"/>
            <w:vMerge w:val="restart"/>
            <w:tcBorders>
              <w:left w:val="nil"/>
              <w:right w:val="nil"/>
            </w:tcBorders>
          </w:tcPr>
          <w:p w:rsidR="00F90E53" w:rsidRPr="002229EB" w:rsidRDefault="00F90E53" w:rsidP="009C3AC7">
            <w:pPr>
              <w:wordWrap/>
              <w:spacing w:line="276" w:lineRule="auto"/>
              <w:jc w:val="left"/>
              <w:rPr>
                <w:rFonts w:ascii="Calibri" w:hAnsi="Calibri"/>
                <w:b/>
                <w:sz w:val="24"/>
                <w:szCs w:val="24"/>
                <w:lang w:val="en-GB"/>
              </w:rPr>
            </w:pPr>
            <w:r w:rsidRPr="002229EB">
              <w:rPr>
                <w:rFonts w:ascii="Calibri" w:hAnsi="Calibri"/>
                <w:b/>
                <w:sz w:val="24"/>
                <w:szCs w:val="24"/>
                <w:lang w:val="en-GB"/>
              </w:rPr>
              <w:t>Factor 3</w:t>
            </w:r>
          </w:p>
        </w:tc>
        <w:tc>
          <w:tcPr>
            <w:tcW w:w="7513" w:type="dxa"/>
            <w:tcBorders>
              <w:left w:val="nil"/>
              <w:right w:val="nil"/>
            </w:tcBorders>
          </w:tcPr>
          <w:p w:rsidR="00F90E53" w:rsidRPr="002229EB" w:rsidRDefault="00F90E53" w:rsidP="009C3AC7">
            <w:pPr>
              <w:wordWrap/>
              <w:spacing w:line="276" w:lineRule="auto"/>
              <w:jc w:val="left"/>
              <w:rPr>
                <w:rFonts w:ascii="Calibri" w:hAnsi="Calibri"/>
                <w:sz w:val="24"/>
                <w:szCs w:val="24"/>
                <w:lang w:val="en-GB"/>
              </w:rPr>
            </w:pPr>
            <w:r w:rsidRPr="002229EB">
              <w:rPr>
                <w:rFonts w:ascii="Calibri" w:hAnsi="Calibri"/>
                <w:sz w:val="24"/>
                <w:szCs w:val="24"/>
                <w:lang w:val="en-GB"/>
              </w:rPr>
              <w:t>Even though I am incurring debt now, it will be worth it in the future</w:t>
            </w:r>
          </w:p>
        </w:tc>
        <w:tc>
          <w:tcPr>
            <w:tcW w:w="1099" w:type="dxa"/>
            <w:tcBorders>
              <w:left w:val="nil"/>
              <w:right w:val="nil"/>
            </w:tcBorders>
          </w:tcPr>
          <w:p w:rsidR="00F90E53" w:rsidRPr="002229EB" w:rsidRDefault="00F90E53" w:rsidP="009C3AC7">
            <w:pPr>
              <w:wordWrap/>
              <w:spacing w:line="276" w:lineRule="auto"/>
              <w:jc w:val="center"/>
              <w:rPr>
                <w:rFonts w:ascii="Calibri" w:hAnsi="Calibri" w:cs="Arial"/>
                <w:color w:val="000000"/>
                <w:sz w:val="24"/>
                <w:szCs w:val="18"/>
                <w:lang w:val="en-GB"/>
              </w:rPr>
            </w:pPr>
            <w:r w:rsidRPr="002229EB">
              <w:rPr>
                <w:rFonts w:ascii="Calibri" w:hAnsi="Calibri" w:cs="Arial"/>
                <w:color w:val="000000"/>
                <w:sz w:val="24"/>
                <w:szCs w:val="18"/>
                <w:lang w:val="en-GB"/>
              </w:rPr>
              <w:t>.662</w:t>
            </w:r>
          </w:p>
        </w:tc>
      </w:tr>
      <w:tr w:rsidR="00F90E53" w:rsidRPr="002229EB" w:rsidTr="0044588A">
        <w:tc>
          <w:tcPr>
            <w:tcW w:w="1134" w:type="dxa"/>
            <w:vMerge/>
            <w:tcBorders>
              <w:left w:val="nil"/>
              <w:right w:val="nil"/>
            </w:tcBorders>
          </w:tcPr>
          <w:p w:rsidR="00F90E53" w:rsidRPr="002229EB" w:rsidRDefault="00F90E53" w:rsidP="009C3AC7">
            <w:pPr>
              <w:wordWrap/>
              <w:spacing w:line="276" w:lineRule="auto"/>
              <w:jc w:val="left"/>
              <w:rPr>
                <w:rFonts w:ascii="Calibri" w:hAnsi="Calibri"/>
                <w:b/>
                <w:sz w:val="24"/>
                <w:szCs w:val="24"/>
                <w:lang w:val="en-GB"/>
              </w:rPr>
            </w:pPr>
          </w:p>
        </w:tc>
        <w:tc>
          <w:tcPr>
            <w:tcW w:w="7513" w:type="dxa"/>
            <w:tcBorders>
              <w:left w:val="nil"/>
              <w:right w:val="nil"/>
            </w:tcBorders>
          </w:tcPr>
          <w:p w:rsidR="00F90E53" w:rsidRPr="002229EB" w:rsidRDefault="00F90E53" w:rsidP="009C3AC7">
            <w:pPr>
              <w:wordWrap/>
              <w:spacing w:line="276" w:lineRule="auto"/>
              <w:jc w:val="left"/>
              <w:rPr>
                <w:rFonts w:ascii="Calibri" w:hAnsi="Calibri"/>
                <w:sz w:val="24"/>
                <w:szCs w:val="24"/>
                <w:lang w:val="en-GB"/>
              </w:rPr>
            </w:pPr>
            <w:r w:rsidRPr="002229EB">
              <w:rPr>
                <w:rFonts w:ascii="Calibri" w:hAnsi="Calibri"/>
                <w:sz w:val="24"/>
                <w:szCs w:val="24"/>
                <w:lang w:val="en-GB"/>
              </w:rPr>
              <w:t>I have a greater chance of getting a job if I have a degree</w:t>
            </w:r>
          </w:p>
        </w:tc>
        <w:tc>
          <w:tcPr>
            <w:tcW w:w="1099" w:type="dxa"/>
            <w:tcBorders>
              <w:left w:val="nil"/>
              <w:right w:val="nil"/>
            </w:tcBorders>
          </w:tcPr>
          <w:p w:rsidR="00F90E53" w:rsidRPr="002229EB" w:rsidRDefault="00F90E53" w:rsidP="009C3AC7">
            <w:pPr>
              <w:wordWrap/>
              <w:spacing w:line="276" w:lineRule="auto"/>
              <w:jc w:val="center"/>
              <w:rPr>
                <w:rFonts w:ascii="Calibri" w:hAnsi="Calibri" w:cs="Arial"/>
                <w:color w:val="000000"/>
                <w:sz w:val="24"/>
                <w:szCs w:val="18"/>
                <w:lang w:val="en-GB"/>
              </w:rPr>
            </w:pPr>
            <w:r w:rsidRPr="002229EB">
              <w:rPr>
                <w:rFonts w:ascii="Calibri" w:hAnsi="Calibri" w:cs="Arial"/>
                <w:color w:val="000000"/>
                <w:sz w:val="24"/>
                <w:szCs w:val="18"/>
                <w:lang w:val="en-GB"/>
              </w:rPr>
              <w:t>.552</w:t>
            </w:r>
          </w:p>
        </w:tc>
      </w:tr>
      <w:tr w:rsidR="00F90E53" w:rsidRPr="002229EB" w:rsidTr="0044588A">
        <w:tc>
          <w:tcPr>
            <w:tcW w:w="1134" w:type="dxa"/>
            <w:vMerge/>
            <w:tcBorders>
              <w:left w:val="nil"/>
              <w:right w:val="nil"/>
            </w:tcBorders>
          </w:tcPr>
          <w:p w:rsidR="00F90E53" w:rsidRPr="002229EB" w:rsidRDefault="00F90E53" w:rsidP="009C3AC7">
            <w:pPr>
              <w:wordWrap/>
              <w:spacing w:line="276" w:lineRule="auto"/>
              <w:jc w:val="left"/>
              <w:rPr>
                <w:rFonts w:ascii="Calibri" w:hAnsi="Calibri"/>
                <w:b/>
                <w:sz w:val="24"/>
                <w:szCs w:val="24"/>
                <w:lang w:val="en-GB"/>
              </w:rPr>
            </w:pPr>
          </w:p>
        </w:tc>
        <w:tc>
          <w:tcPr>
            <w:tcW w:w="7513" w:type="dxa"/>
            <w:tcBorders>
              <w:left w:val="nil"/>
              <w:right w:val="nil"/>
            </w:tcBorders>
          </w:tcPr>
          <w:p w:rsidR="00F90E53" w:rsidRPr="002229EB" w:rsidRDefault="00F90E53" w:rsidP="009C3AC7">
            <w:pPr>
              <w:wordWrap/>
              <w:spacing w:line="276" w:lineRule="auto"/>
              <w:jc w:val="left"/>
              <w:rPr>
                <w:rFonts w:ascii="Calibri" w:hAnsi="Calibri"/>
                <w:sz w:val="24"/>
                <w:szCs w:val="24"/>
                <w:lang w:val="en-GB"/>
              </w:rPr>
            </w:pPr>
            <w:r w:rsidRPr="002229EB">
              <w:rPr>
                <w:rFonts w:ascii="Calibri" w:hAnsi="Calibri"/>
                <w:sz w:val="24"/>
                <w:szCs w:val="24"/>
                <w:lang w:val="en-GB"/>
              </w:rPr>
              <w:t>I expect to earn more in the future because I went to university</w:t>
            </w:r>
          </w:p>
        </w:tc>
        <w:tc>
          <w:tcPr>
            <w:tcW w:w="1099" w:type="dxa"/>
            <w:tcBorders>
              <w:left w:val="nil"/>
              <w:right w:val="nil"/>
            </w:tcBorders>
          </w:tcPr>
          <w:p w:rsidR="00F90E53" w:rsidRPr="002229EB" w:rsidRDefault="00F90E53" w:rsidP="009C3AC7">
            <w:pPr>
              <w:wordWrap/>
              <w:spacing w:line="276" w:lineRule="auto"/>
              <w:jc w:val="center"/>
              <w:rPr>
                <w:rFonts w:ascii="Calibri" w:hAnsi="Calibri" w:cs="Arial"/>
                <w:color w:val="000000"/>
                <w:sz w:val="24"/>
                <w:szCs w:val="18"/>
                <w:lang w:val="en-GB"/>
              </w:rPr>
            </w:pPr>
            <w:r w:rsidRPr="002229EB">
              <w:rPr>
                <w:rFonts w:ascii="Calibri" w:hAnsi="Calibri" w:cs="Arial"/>
                <w:color w:val="000000"/>
                <w:sz w:val="24"/>
                <w:szCs w:val="18"/>
                <w:lang w:val="en-GB"/>
              </w:rPr>
              <w:t>.546</w:t>
            </w:r>
          </w:p>
        </w:tc>
      </w:tr>
      <w:tr w:rsidR="00F90E53" w:rsidRPr="002229EB" w:rsidTr="0044588A">
        <w:tc>
          <w:tcPr>
            <w:tcW w:w="1134" w:type="dxa"/>
            <w:vMerge/>
            <w:tcBorders>
              <w:left w:val="nil"/>
              <w:right w:val="nil"/>
            </w:tcBorders>
          </w:tcPr>
          <w:p w:rsidR="00F90E53" w:rsidRPr="002229EB" w:rsidRDefault="00F90E53" w:rsidP="009C3AC7">
            <w:pPr>
              <w:wordWrap/>
              <w:spacing w:line="276" w:lineRule="auto"/>
              <w:jc w:val="left"/>
              <w:rPr>
                <w:rFonts w:ascii="Calibri" w:hAnsi="Calibri"/>
                <w:b/>
                <w:sz w:val="24"/>
                <w:szCs w:val="24"/>
                <w:lang w:val="en-GB"/>
              </w:rPr>
            </w:pPr>
          </w:p>
        </w:tc>
        <w:tc>
          <w:tcPr>
            <w:tcW w:w="7513" w:type="dxa"/>
            <w:tcBorders>
              <w:left w:val="nil"/>
              <w:right w:val="nil"/>
            </w:tcBorders>
          </w:tcPr>
          <w:p w:rsidR="00F90E53" w:rsidRPr="002229EB" w:rsidRDefault="00F90E53" w:rsidP="009C3AC7">
            <w:pPr>
              <w:wordWrap/>
              <w:spacing w:line="276" w:lineRule="auto"/>
              <w:jc w:val="left"/>
              <w:rPr>
                <w:rFonts w:ascii="Calibri" w:hAnsi="Calibri"/>
                <w:sz w:val="24"/>
                <w:szCs w:val="24"/>
                <w:lang w:val="en-GB"/>
              </w:rPr>
            </w:pPr>
            <w:r w:rsidRPr="002229EB">
              <w:rPr>
                <w:rFonts w:ascii="Calibri" w:hAnsi="Calibri"/>
                <w:sz w:val="24"/>
                <w:szCs w:val="24"/>
                <w:lang w:val="en-GB"/>
              </w:rPr>
              <w:t>Educational loan debt is a good investment for the future</w:t>
            </w:r>
          </w:p>
        </w:tc>
        <w:tc>
          <w:tcPr>
            <w:tcW w:w="1099" w:type="dxa"/>
            <w:tcBorders>
              <w:left w:val="nil"/>
              <w:right w:val="nil"/>
            </w:tcBorders>
          </w:tcPr>
          <w:p w:rsidR="00F90E53" w:rsidRPr="002229EB" w:rsidRDefault="00F90E53" w:rsidP="009C3AC7">
            <w:pPr>
              <w:wordWrap/>
              <w:spacing w:line="276" w:lineRule="auto"/>
              <w:jc w:val="center"/>
              <w:rPr>
                <w:rFonts w:ascii="Calibri" w:hAnsi="Calibri" w:cs="Arial"/>
                <w:color w:val="000000"/>
                <w:sz w:val="24"/>
                <w:szCs w:val="18"/>
                <w:lang w:val="en-GB"/>
              </w:rPr>
            </w:pPr>
            <w:r w:rsidRPr="002229EB">
              <w:rPr>
                <w:rFonts w:ascii="Calibri" w:hAnsi="Calibri" w:cs="Arial"/>
                <w:color w:val="000000"/>
                <w:sz w:val="24"/>
                <w:szCs w:val="18"/>
                <w:lang w:val="en-GB"/>
              </w:rPr>
              <w:t>.445</w:t>
            </w:r>
          </w:p>
        </w:tc>
      </w:tr>
      <w:tr w:rsidR="00F90E53" w:rsidRPr="002229EB" w:rsidTr="0044588A">
        <w:tc>
          <w:tcPr>
            <w:tcW w:w="1134" w:type="dxa"/>
            <w:vMerge/>
            <w:tcBorders>
              <w:left w:val="nil"/>
              <w:right w:val="nil"/>
            </w:tcBorders>
          </w:tcPr>
          <w:p w:rsidR="00F90E53" w:rsidRPr="002229EB" w:rsidRDefault="00F90E53" w:rsidP="009C3AC7">
            <w:pPr>
              <w:wordWrap/>
              <w:spacing w:line="276" w:lineRule="auto"/>
              <w:jc w:val="left"/>
              <w:rPr>
                <w:rFonts w:ascii="Calibri" w:hAnsi="Calibri"/>
                <w:b/>
                <w:sz w:val="24"/>
                <w:szCs w:val="24"/>
                <w:lang w:val="en-GB"/>
              </w:rPr>
            </w:pPr>
          </w:p>
        </w:tc>
        <w:tc>
          <w:tcPr>
            <w:tcW w:w="7513" w:type="dxa"/>
            <w:tcBorders>
              <w:left w:val="nil"/>
              <w:right w:val="nil"/>
            </w:tcBorders>
          </w:tcPr>
          <w:p w:rsidR="00F90E53" w:rsidRPr="002229EB" w:rsidRDefault="00F90E53" w:rsidP="009C3AC7">
            <w:pPr>
              <w:wordWrap/>
              <w:spacing w:line="276" w:lineRule="auto"/>
              <w:jc w:val="left"/>
              <w:rPr>
                <w:rFonts w:ascii="Calibri" w:hAnsi="Calibri"/>
                <w:sz w:val="24"/>
                <w:szCs w:val="24"/>
                <w:lang w:val="en-GB"/>
              </w:rPr>
            </w:pPr>
            <w:r w:rsidRPr="002229EB">
              <w:rPr>
                <w:rFonts w:ascii="Calibri" w:hAnsi="Calibri"/>
                <w:sz w:val="24"/>
                <w:szCs w:val="24"/>
                <w:lang w:val="en-GB"/>
              </w:rPr>
              <w:t>The best use of my student debt is to pay for my university expenses</w:t>
            </w:r>
          </w:p>
        </w:tc>
        <w:tc>
          <w:tcPr>
            <w:tcW w:w="1099" w:type="dxa"/>
            <w:tcBorders>
              <w:left w:val="nil"/>
              <w:right w:val="nil"/>
            </w:tcBorders>
          </w:tcPr>
          <w:p w:rsidR="00F90E53" w:rsidRPr="002229EB" w:rsidRDefault="00F90E53" w:rsidP="009C3AC7">
            <w:pPr>
              <w:wordWrap/>
              <w:spacing w:line="276" w:lineRule="auto"/>
              <w:jc w:val="center"/>
              <w:rPr>
                <w:rFonts w:ascii="Calibri" w:hAnsi="Calibri" w:cs="Arial"/>
                <w:color w:val="000000"/>
                <w:sz w:val="24"/>
                <w:szCs w:val="18"/>
                <w:lang w:val="en-GB"/>
              </w:rPr>
            </w:pPr>
            <w:r w:rsidRPr="002229EB">
              <w:rPr>
                <w:rFonts w:ascii="Calibri" w:hAnsi="Calibri" w:cs="Arial"/>
                <w:color w:val="000000"/>
                <w:sz w:val="24"/>
                <w:szCs w:val="18"/>
                <w:lang w:val="en-GB"/>
              </w:rPr>
              <w:t>.431</w:t>
            </w:r>
          </w:p>
        </w:tc>
      </w:tr>
      <w:tr w:rsidR="00F90E53" w:rsidRPr="002229EB" w:rsidTr="0044588A">
        <w:tc>
          <w:tcPr>
            <w:tcW w:w="1134" w:type="dxa"/>
            <w:vMerge w:val="restart"/>
            <w:tcBorders>
              <w:left w:val="nil"/>
              <w:right w:val="nil"/>
            </w:tcBorders>
          </w:tcPr>
          <w:p w:rsidR="00F90E53" w:rsidRPr="002229EB" w:rsidRDefault="00F90E53" w:rsidP="009C3AC7">
            <w:pPr>
              <w:wordWrap/>
              <w:spacing w:line="276" w:lineRule="auto"/>
              <w:jc w:val="left"/>
              <w:rPr>
                <w:rFonts w:ascii="Calibri" w:hAnsi="Calibri"/>
                <w:b/>
                <w:sz w:val="24"/>
                <w:szCs w:val="24"/>
                <w:lang w:val="en-GB"/>
              </w:rPr>
            </w:pPr>
            <w:r w:rsidRPr="002229EB">
              <w:rPr>
                <w:rFonts w:ascii="Calibri" w:hAnsi="Calibri"/>
                <w:b/>
                <w:sz w:val="24"/>
                <w:szCs w:val="24"/>
                <w:lang w:val="en-GB"/>
              </w:rPr>
              <w:t>Factor 4</w:t>
            </w:r>
          </w:p>
        </w:tc>
        <w:tc>
          <w:tcPr>
            <w:tcW w:w="7513" w:type="dxa"/>
            <w:tcBorders>
              <w:left w:val="nil"/>
              <w:right w:val="nil"/>
            </w:tcBorders>
          </w:tcPr>
          <w:p w:rsidR="00F90E53" w:rsidRPr="002229EB" w:rsidRDefault="00F90E53" w:rsidP="009C3AC7">
            <w:pPr>
              <w:wordWrap/>
              <w:spacing w:line="276" w:lineRule="auto"/>
              <w:jc w:val="left"/>
              <w:rPr>
                <w:rFonts w:ascii="Calibri" w:hAnsi="Calibri"/>
                <w:sz w:val="24"/>
                <w:szCs w:val="24"/>
                <w:lang w:val="en-GB"/>
              </w:rPr>
            </w:pPr>
            <w:r w:rsidRPr="002229EB">
              <w:rPr>
                <w:rFonts w:ascii="Calibri" w:hAnsi="Calibri"/>
                <w:sz w:val="24"/>
                <w:szCs w:val="24"/>
                <w:lang w:val="en-GB"/>
              </w:rPr>
              <w:t>I feel I have a good understanding of how student loans work</w:t>
            </w:r>
          </w:p>
        </w:tc>
        <w:tc>
          <w:tcPr>
            <w:tcW w:w="1099" w:type="dxa"/>
            <w:tcBorders>
              <w:left w:val="nil"/>
              <w:right w:val="nil"/>
            </w:tcBorders>
          </w:tcPr>
          <w:p w:rsidR="00F90E53" w:rsidRPr="002229EB" w:rsidRDefault="00F90E53" w:rsidP="009C3AC7">
            <w:pPr>
              <w:wordWrap/>
              <w:spacing w:line="276" w:lineRule="auto"/>
              <w:jc w:val="center"/>
              <w:rPr>
                <w:rFonts w:ascii="Calibri" w:hAnsi="Calibri" w:cs="Arial"/>
                <w:color w:val="000000"/>
                <w:sz w:val="24"/>
                <w:szCs w:val="18"/>
                <w:lang w:val="en-GB"/>
              </w:rPr>
            </w:pPr>
            <w:r w:rsidRPr="002229EB">
              <w:rPr>
                <w:rFonts w:ascii="Calibri" w:hAnsi="Calibri" w:cs="Arial"/>
                <w:color w:val="000000"/>
                <w:sz w:val="24"/>
                <w:szCs w:val="18"/>
                <w:lang w:val="en-GB"/>
              </w:rPr>
              <w:t>.872</w:t>
            </w:r>
          </w:p>
        </w:tc>
      </w:tr>
      <w:tr w:rsidR="00F90E53" w:rsidRPr="002229EB" w:rsidTr="0044588A">
        <w:tc>
          <w:tcPr>
            <w:tcW w:w="1134" w:type="dxa"/>
            <w:vMerge/>
            <w:tcBorders>
              <w:left w:val="nil"/>
              <w:right w:val="nil"/>
            </w:tcBorders>
          </w:tcPr>
          <w:p w:rsidR="00F90E53" w:rsidRPr="002229EB" w:rsidRDefault="00F90E53" w:rsidP="009C3AC7">
            <w:pPr>
              <w:wordWrap/>
              <w:spacing w:line="276" w:lineRule="auto"/>
              <w:jc w:val="left"/>
              <w:rPr>
                <w:rFonts w:ascii="Calibri" w:hAnsi="Calibri"/>
                <w:sz w:val="24"/>
                <w:szCs w:val="24"/>
                <w:lang w:val="en-GB"/>
              </w:rPr>
            </w:pPr>
          </w:p>
        </w:tc>
        <w:tc>
          <w:tcPr>
            <w:tcW w:w="7513" w:type="dxa"/>
            <w:tcBorders>
              <w:left w:val="nil"/>
              <w:right w:val="nil"/>
            </w:tcBorders>
          </w:tcPr>
          <w:p w:rsidR="00F90E53" w:rsidRPr="002229EB" w:rsidRDefault="00F90E53" w:rsidP="009C3AC7">
            <w:pPr>
              <w:wordWrap/>
              <w:spacing w:line="276" w:lineRule="auto"/>
              <w:jc w:val="left"/>
              <w:rPr>
                <w:rFonts w:ascii="Calibri" w:hAnsi="Calibri"/>
                <w:sz w:val="24"/>
                <w:szCs w:val="24"/>
                <w:lang w:val="en-GB"/>
              </w:rPr>
            </w:pPr>
            <w:r w:rsidRPr="002229EB">
              <w:rPr>
                <w:rFonts w:ascii="Calibri" w:hAnsi="Calibri"/>
                <w:sz w:val="24"/>
                <w:szCs w:val="24"/>
                <w:lang w:val="en-GB"/>
              </w:rPr>
              <w:t>I know about the repayment terms for my student loan</w:t>
            </w:r>
          </w:p>
        </w:tc>
        <w:tc>
          <w:tcPr>
            <w:tcW w:w="1099" w:type="dxa"/>
            <w:tcBorders>
              <w:left w:val="nil"/>
              <w:right w:val="nil"/>
            </w:tcBorders>
          </w:tcPr>
          <w:p w:rsidR="00F90E53" w:rsidRPr="002229EB" w:rsidRDefault="00F90E53" w:rsidP="009C3AC7">
            <w:pPr>
              <w:wordWrap/>
              <w:spacing w:line="276" w:lineRule="auto"/>
              <w:jc w:val="center"/>
              <w:rPr>
                <w:rFonts w:ascii="Calibri" w:hAnsi="Calibri" w:cs="Arial"/>
                <w:color w:val="000000"/>
                <w:sz w:val="24"/>
                <w:szCs w:val="18"/>
                <w:lang w:val="en-GB"/>
              </w:rPr>
            </w:pPr>
            <w:r w:rsidRPr="002229EB">
              <w:rPr>
                <w:rFonts w:ascii="Calibri" w:hAnsi="Calibri" w:cs="Arial"/>
                <w:color w:val="000000"/>
                <w:sz w:val="24"/>
                <w:szCs w:val="18"/>
                <w:lang w:val="en-GB"/>
              </w:rPr>
              <w:t>.780</w:t>
            </w:r>
          </w:p>
        </w:tc>
      </w:tr>
      <w:tr w:rsidR="00F90E53" w:rsidRPr="002229EB" w:rsidTr="0044588A">
        <w:tc>
          <w:tcPr>
            <w:tcW w:w="1134" w:type="dxa"/>
            <w:vMerge/>
            <w:tcBorders>
              <w:left w:val="nil"/>
              <w:right w:val="nil"/>
            </w:tcBorders>
          </w:tcPr>
          <w:p w:rsidR="00F90E53" w:rsidRPr="002229EB" w:rsidRDefault="00F90E53" w:rsidP="009C3AC7">
            <w:pPr>
              <w:wordWrap/>
              <w:spacing w:line="276" w:lineRule="auto"/>
              <w:jc w:val="left"/>
              <w:rPr>
                <w:rFonts w:ascii="Calibri" w:hAnsi="Calibri"/>
                <w:sz w:val="24"/>
                <w:szCs w:val="24"/>
                <w:lang w:val="en-GB"/>
              </w:rPr>
            </w:pPr>
          </w:p>
        </w:tc>
        <w:tc>
          <w:tcPr>
            <w:tcW w:w="7513" w:type="dxa"/>
            <w:tcBorders>
              <w:left w:val="nil"/>
              <w:right w:val="nil"/>
            </w:tcBorders>
          </w:tcPr>
          <w:p w:rsidR="00F90E53" w:rsidRPr="002229EB" w:rsidRDefault="00F90E53" w:rsidP="009C3AC7">
            <w:pPr>
              <w:wordWrap/>
              <w:spacing w:line="276" w:lineRule="auto"/>
              <w:jc w:val="left"/>
              <w:rPr>
                <w:rFonts w:ascii="Calibri" w:hAnsi="Calibri"/>
                <w:sz w:val="24"/>
                <w:szCs w:val="24"/>
                <w:lang w:val="en-GB"/>
              </w:rPr>
            </w:pPr>
            <w:r w:rsidRPr="002229EB">
              <w:rPr>
                <w:rFonts w:ascii="Calibri" w:hAnsi="Calibri"/>
                <w:sz w:val="24"/>
                <w:szCs w:val="24"/>
                <w:lang w:val="en-GB"/>
              </w:rPr>
              <w:t>I have a good idea about how much student loan debt I am incurring</w:t>
            </w:r>
          </w:p>
        </w:tc>
        <w:tc>
          <w:tcPr>
            <w:tcW w:w="1099" w:type="dxa"/>
            <w:tcBorders>
              <w:left w:val="nil"/>
              <w:right w:val="nil"/>
            </w:tcBorders>
          </w:tcPr>
          <w:p w:rsidR="00F90E53" w:rsidRPr="002229EB" w:rsidRDefault="00F90E53" w:rsidP="009C3AC7">
            <w:pPr>
              <w:wordWrap/>
              <w:spacing w:line="276" w:lineRule="auto"/>
              <w:jc w:val="center"/>
              <w:rPr>
                <w:rFonts w:ascii="Calibri" w:hAnsi="Calibri" w:cs="Arial"/>
                <w:color w:val="000000"/>
                <w:sz w:val="24"/>
                <w:szCs w:val="18"/>
                <w:lang w:val="en-GB"/>
              </w:rPr>
            </w:pPr>
            <w:r w:rsidRPr="002229EB">
              <w:rPr>
                <w:rFonts w:ascii="Calibri" w:hAnsi="Calibri" w:cs="Arial"/>
                <w:color w:val="000000"/>
                <w:sz w:val="24"/>
                <w:szCs w:val="18"/>
                <w:lang w:val="en-GB"/>
              </w:rPr>
              <w:t>.598</w:t>
            </w:r>
          </w:p>
        </w:tc>
      </w:tr>
    </w:tbl>
    <w:p w:rsidR="00444ADD" w:rsidRPr="002229EB" w:rsidRDefault="00444ADD" w:rsidP="009C3AC7">
      <w:pPr>
        <w:wordWrap/>
        <w:spacing w:line="276" w:lineRule="auto"/>
        <w:jc w:val="left"/>
        <w:rPr>
          <w:rFonts w:ascii="Calibri" w:hAnsi="Calibri"/>
          <w:sz w:val="24"/>
          <w:szCs w:val="24"/>
          <w:lang w:val="en-GB"/>
        </w:rPr>
      </w:pPr>
    </w:p>
    <w:p w:rsidR="00A11FB9" w:rsidRPr="002229EB" w:rsidRDefault="00A11FB9" w:rsidP="009C3AC7">
      <w:pPr>
        <w:wordWrap/>
        <w:spacing w:line="276" w:lineRule="auto"/>
        <w:jc w:val="left"/>
        <w:rPr>
          <w:rFonts w:ascii="Calibri" w:hAnsi="Calibri"/>
          <w:sz w:val="24"/>
          <w:szCs w:val="24"/>
          <w:lang w:val="en-GB"/>
        </w:rPr>
      </w:pPr>
    </w:p>
    <w:p w:rsidR="00444ADD" w:rsidRPr="002229EB" w:rsidRDefault="00444ADD" w:rsidP="009C3AC7">
      <w:pPr>
        <w:wordWrap/>
        <w:spacing w:line="276" w:lineRule="auto"/>
        <w:jc w:val="left"/>
        <w:rPr>
          <w:rFonts w:ascii="Calibri" w:hAnsi="Calibri"/>
          <w:sz w:val="24"/>
          <w:szCs w:val="24"/>
          <w:lang w:val="en-GB"/>
        </w:rPr>
      </w:pPr>
      <w:r w:rsidRPr="002229EB">
        <w:rPr>
          <w:rFonts w:ascii="Calibri" w:hAnsi="Calibri"/>
          <w:sz w:val="24"/>
          <w:szCs w:val="24"/>
          <w:lang w:val="en-GB"/>
        </w:rPr>
        <w:t xml:space="preserve">The four-factor </w:t>
      </w:r>
      <w:r w:rsidR="00076BA4" w:rsidRPr="002229EB">
        <w:rPr>
          <w:rFonts w:ascii="Calibri" w:hAnsi="Calibri"/>
          <w:sz w:val="24"/>
          <w:szCs w:val="24"/>
          <w:lang w:val="en-GB"/>
        </w:rPr>
        <w:t>model</w:t>
      </w:r>
      <w:r w:rsidRPr="002229EB">
        <w:rPr>
          <w:rFonts w:ascii="Calibri" w:hAnsi="Calibri"/>
          <w:sz w:val="24"/>
          <w:szCs w:val="24"/>
          <w:lang w:val="en-GB"/>
        </w:rPr>
        <w:t xml:space="preserve"> provided an elegant</w:t>
      </w:r>
      <w:r w:rsidR="00076537" w:rsidRPr="002229EB">
        <w:rPr>
          <w:rFonts w:ascii="Calibri" w:hAnsi="Calibri"/>
          <w:sz w:val="24"/>
          <w:szCs w:val="24"/>
          <w:lang w:val="en-GB"/>
        </w:rPr>
        <w:t xml:space="preserve"> and ‘overdetermined’ </w:t>
      </w:r>
      <w:r w:rsidRPr="002229EB">
        <w:rPr>
          <w:rFonts w:ascii="Calibri" w:hAnsi="Calibri"/>
          <w:sz w:val="24"/>
          <w:szCs w:val="24"/>
          <w:lang w:val="en-GB"/>
        </w:rPr>
        <w:t xml:space="preserve">solution, with no items loaded on multiple factors and a strong conceptual coherence within the factors; </w:t>
      </w:r>
      <w:r w:rsidR="00E72DB5" w:rsidRPr="002229EB">
        <w:rPr>
          <w:rFonts w:ascii="Calibri" w:hAnsi="Calibri"/>
          <w:sz w:val="24"/>
          <w:szCs w:val="24"/>
          <w:lang w:val="en-GB"/>
        </w:rPr>
        <w:t>three</w:t>
      </w:r>
      <w:r w:rsidRPr="002229EB">
        <w:rPr>
          <w:rFonts w:ascii="Calibri" w:hAnsi="Calibri"/>
          <w:sz w:val="24"/>
          <w:szCs w:val="24"/>
          <w:lang w:val="en-GB"/>
        </w:rPr>
        <w:t xml:space="preserve"> items did not load </w:t>
      </w:r>
      <w:r w:rsidR="00076BA4" w:rsidRPr="002229EB">
        <w:rPr>
          <w:rFonts w:ascii="Calibri" w:hAnsi="Calibri"/>
          <w:sz w:val="24"/>
          <w:szCs w:val="24"/>
          <w:lang w:val="en-GB"/>
        </w:rPr>
        <w:t>substantially on any factors</w:t>
      </w:r>
      <w:r w:rsidR="004B44A4" w:rsidRPr="002229EB">
        <w:rPr>
          <w:rFonts w:ascii="Calibri" w:hAnsi="Calibri"/>
          <w:sz w:val="24"/>
          <w:szCs w:val="24"/>
          <w:lang w:val="en-GB"/>
        </w:rPr>
        <w:t xml:space="preserve"> and were therefore discounted</w:t>
      </w:r>
      <w:r w:rsidR="00076BA4" w:rsidRPr="002229EB">
        <w:rPr>
          <w:rFonts w:ascii="Calibri" w:hAnsi="Calibri"/>
          <w:sz w:val="24"/>
          <w:szCs w:val="24"/>
          <w:lang w:val="en-GB"/>
        </w:rPr>
        <w:t>.  The rotated</w:t>
      </w:r>
      <w:r w:rsidRPr="002229EB">
        <w:rPr>
          <w:rFonts w:ascii="Calibri" w:hAnsi="Calibri"/>
          <w:sz w:val="24"/>
          <w:szCs w:val="24"/>
          <w:lang w:val="en-GB"/>
        </w:rPr>
        <w:t xml:space="preserve"> solution captured 4</w:t>
      </w:r>
      <w:r w:rsidR="00E72DB5" w:rsidRPr="002229EB">
        <w:rPr>
          <w:rFonts w:ascii="Calibri" w:hAnsi="Calibri"/>
          <w:sz w:val="24"/>
          <w:szCs w:val="24"/>
          <w:lang w:val="en-GB"/>
        </w:rPr>
        <w:t>5</w:t>
      </w:r>
      <w:r w:rsidRPr="002229EB">
        <w:rPr>
          <w:rFonts w:ascii="Calibri" w:hAnsi="Calibri"/>
          <w:sz w:val="24"/>
          <w:szCs w:val="24"/>
          <w:lang w:val="en-GB"/>
        </w:rPr>
        <w:t xml:space="preserve"> percent of the variance within the dataset.  The four factors were named as follows:</w:t>
      </w:r>
    </w:p>
    <w:p w:rsidR="00444ADD" w:rsidRPr="002229EB" w:rsidRDefault="00444ADD" w:rsidP="009C3AC7">
      <w:pPr>
        <w:wordWrap/>
        <w:spacing w:line="276" w:lineRule="auto"/>
        <w:jc w:val="left"/>
        <w:rPr>
          <w:rFonts w:ascii="Calibri" w:hAnsi="Calibri"/>
          <w:sz w:val="24"/>
          <w:szCs w:val="24"/>
          <w:lang w:val="en-GB"/>
        </w:rPr>
      </w:pPr>
    </w:p>
    <w:p w:rsidR="00444ADD" w:rsidRPr="002229EB" w:rsidRDefault="00444ADD" w:rsidP="009C3AC7">
      <w:pPr>
        <w:pStyle w:val="ListParagraph"/>
        <w:numPr>
          <w:ilvl w:val="0"/>
          <w:numId w:val="1"/>
        </w:numPr>
        <w:contextualSpacing w:val="0"/>
        <w:rPr>
          <w:rFonts w:ascii="Calibri" w:hAnsi="Calibri"/>
          <w:sz w:val="24"/>
          <w:szCs w:val="24"/>
        </w:rPr>
      </w:pPr>
      <w:r w:rsidRPr="002229EB">
        <w:rPr>
          <w:rFonts w:ascii="Calibri" w:hAnsi="Calibri"/>
          <w:b/>
          <w:sz w:val="24"/>
          <w:szCs w:val="24"/>
        </w:rPr>
        <w:t>Anxiety</w:t>
      </w:r>
      <w:r w:rsidRPr="002229EB">
        <w:rPr>
          <w:rFonts w:ascii="Calibri" w:hAnsi="Calibri"/>
          <w:sz w:val="24"/>
          <w:szCs w:val="24"/>
        </w:rPr>
        <w:t>.  This factor measured the extent to which the student was undergoing negative affect due to their indebtedness, including a sense of unfairness.</w:t>
      </w:r>
    </w:p>
    <w:p w:rsidR="00444ADD" w:rsidRPr="002229EB" w:rsidRDefault="00076BA4" w:rsidP="009C3AC7">
      <w:pPr>
        <w:pStyle w:val="ListParagraph"/>
        <w:numPr>
          <w:ilvl w:val="0"/>
          <w:numId w:val="1"/>
        </w:numPr>
        <w:contextualSpacing w:val="0"/>
        <w:rPr>
          <w:rFonts w:ascii="Calibri" w:hAnsi="Calibri"/>
          <w:sz w:val="24"/>
          <w:szCs w:val="24"/>
        </w:rPr>
      </w:pPr>
      <w:r w:rsidRPr="002229EB">
        <w:rPr>
          <w:rFonts w:ascii="Calibri" w:hAnsi="Calibri"/>
          <w:b/>
          <w:sz w:val="24"/>
          <w:szCs w:val="24"/>
        </w:rPr>
        <w:lastRenderedPageBreak/>
        <w:t>Utility-For-Lifestyle (U</w:t>
      </w:r>
      <w:r w:rsidR="0030561A" w:rsidRPr="002229EB">
        <w:rPr>
          <w:rFonts w:ascii="Calibri" w:hAnsi="Calibri"/>
          <w:b/>
          <w:sz w:val="24"/>
          <w:szCs w:val="24"/>
        </w:rPr>
        <w:t>FL)</w:t>
      </w:r>
      <w:r w:rsidR="00444ADD" w:rsidRPr="002229EB">
        <w:rPr>
          <w:rFonts w:ascii="Calibri" w:hAnsi="Calibri"/>
          <w:sz w:val="24"/>
          <w:szCs w:val="24"/>
        </w:rPr>
        <w:t xml:space="preserve">.  This factor measured the individual’s use of credit to support an active social life which matched their </w:t>
      </w:r>
      <w:r w:rsidR="009B3FBD" w:rsidRPr="002229EB">
        <w:rPr>
          <w:rFonts w:ascii="Calibri" w:hAnsi="Calibri"/>
          <w:sz w:val="24"/>
          <w:szCs w:val="24"/>
        </w:rPr>
        <w:t xml:space="preserve">normative </w:t>
      </w:r>
      <w:r w:rsidR="00444ADD" w:rsidRPr="002229EB">
        <w:rPr>
          <w:rFonts w:ascii="Calibri" w:hAnsi="Calibri"/>
          <w:sz w:val="24"/>
          <w:szCs w:val="24"/>
        </w:rPr>
        <w:t>expectations of ‘</w:t>
      </w:r>
      <w:proofErr w:type="spellStart"/>
      <w:r w:rsidR="00444ADD" w:rsidRPr="002229EB">
        <w:rPr>
          <w:rFonts w:ascii="Calibri" w:hAnsi="Calibri"/>
          <w:sz w:val="24"/>
          <w:szCs w:val="24"/>
        </w:rPr>
        <w:t>studentness</w:t>
      </w:r>
      <w:proofErr w:type="spellEnd"/>
      <w:r w:rsidR="00444ADD" w:rsidRPr="002229EB">
        <w:rPr>
          <w:rFonts w:ascii="Calibri" w:hAnsi="Calibri"/>
          <w:sz w:val="24"/>
          <w:szCs w:val="24"/>
        </w:rPr>
        <w:t>’.</w:t>
      </w:r>
      <w:r w:rsidRPr="002229EB">
        <w:rPr>
          <w:rFonts w:ascii="Calibri" w:hAnsi="Calibri"/>
          <w:sz w:val="24"/>
          <w:szCs w:val="24"/>
        </w:rPr>
        <w:t xml:space="preserve">  (NB: This factor was</w:t>
      </w:r>
      <w:r w:rsidR="00097E83" w:rsidRPr="002229EB">
        <w:rPr>
          <w:rFonts w:ascii="Calibri" w:hAnsi="Calibri"/>
          <w:sz w:val="24"/>
          <w:szCs w:val="24"/>
        </w:rPr>
        <w:t xml:space="preserve"> negatively loaded.)</w:t>
      </w:r>
    </w:p>
    <w:p w:rsidR="00444ADD" w:rsidRPr="002229EB" w:rsidRDefault="00076BA4" w:rsidP="009C3AC7">
      <w:pPr>
        <w:pStyle w:val="ListParagraph"/>
        <w:numPr>
          <w:ilvl w:val="0"/>
          <w:numId w:val="1"/>
        </w:numPr>
        <w:contextualSpacing w:val="0"/>
        <w:rPr>
          <w:rFonts w:ascii="Calibri" w:hAnsi="Calibri"/>
          <w:sz w:val="24"/>
          <w:szCs w:val="24"/>
        </w:rPr>
      </w:pPr>
      <w:r w:rsidRPr="002229EB">
        <w:rPr>
          <w:rFonts w:ascii="Calibri" w:hAnsi="Calibri"/>
          <w:b/>
          <w:sz w:val="24"/>
          <w:szCs w:val="24"/>
        </w:rPr>
        <w:t>Utility</w:t>
      </w:r>
      <w:r w:rsidR="0030561A" w:rsidRPr="002229EB">
        <w:rPr>
          <w:rFonts w:ascii="Calibri" w:hAnsi="Calibri"/>
          <w:b/>
          <w:sz w:val="24"/>
          <w:szCs w:val="24"/>
        </w:rPr>
        <w:t>-</w:t>
      </w:r>
      <w:r w:rsidRPr="002229EB">
        <w:rPr>
          <w:rFonts w:ascii="Calibri" w:hAnsi="Calibri"/>
          <w:b/>
          <w:sz w:val="24"/>
          <w:szCs w:val="24"/>
        </w:rPr>
        <w:t>For</w:t>
      </w:r>
      <w:r w:rsidR="0030561A" w:rsidRPr="002229EB">
        <w:rPr>
          <w:rFonts w:ascii="Calibri" w:hAnsi="Calibri"/>
          <w:b/>
          <w:sz w:val="24"/>
          <w:szCs w:val="24"/>
        </w:rPr>
        <w:t>-</w:t>
      </w:r>
      <w:r w:rsidR="009B3FBD" w:rsidRPr="002229EB">
        <w:rPr>
          <w:rFonts w:ascii="Calibri" w:hAnsi="Calibri"/>
          <w:b/>
          <w:sz w:val="24"/>
          <w:szCs w:val="24"/>
        </w:rPr>
        <w:t>Investment</w:t>
      </w:r>
      <w:r w:rsidR="0030561A" w:rsidRPr="002229EB">
        <w:rPr>
          <w:rFonts w:ascii="Calibri" w:hAnsi="Calibri"/>
          <w:b/>
          <w:sz w:val="24"/>
          <w:szCs w:val="24"/>
        </w:rPr>
        <w:t xml:space="preserve"> (</w:t>
      </w:r>
      <w:r w:rsidRPr="002229EB">
        <w:rPr>
          <w:rFonts w:ascii="Calibri" w:hAnsi="Calibri"/>
          <w:b/>
          <w:sz w:val="24"/>
          <w:szCs w:val="24"/>
        </w:rPr>
        <w:t>UF</w:t>
      </w:r>
      <w:r w:rsidR="0030561A" w:rsidRPr="002229EB">
        <w:rPr>
          <w:rFonts w:ascii="Calibri" w:hAnsi="Calibri"/>
          <w:b/>
          <w:sz w:val="24"/>
          <w:szCs w:val="24"/>
        </w:rPr>
        <w:t>I)</w:t>
      </w:r>
      <w:r w:rsidR="00444ADD" w:rsidRPr="002229EB">
        <w:rPr>
          <w:rFonts w:ascii="Calibri" w:hAnsi="Calibri"/>
          <w:sz w:val="24"/>
          <w:szCs w:val="24"/>
        </w:rPr>
        <w:t>.  This factor measured the extent to which the individual believed that their debt was an investment that would lead to better (and better paid) work in the future.</w:t>
      </w:r>
    </w:p>
    <w:p w:rsidR="00444ADD" w:rsidRPr="002229EB" w:rsidRDefault="004F7375" w:rsidP="009C3AC7">
      <w:pPr>
        <w:pStyle w:val="ListParagraph"/>
        <w:numPr>
          <w:ilvl w:val="0"/>
          <w:numId w:val="1"/>
        </w:numPr>
        <w:contextualSpacing w:val="0"/>
        <w:rPr>
          <w:rFonts w:ascii="Calibri" w:hAnsi="Calibri"/>
          <w:sz w:val="24"/>
          <w:szCs w:val="24"/>
        </w:rPr>
      </w:pPr>
      <w:r w:rsidRPr="002229EB">
        <w:rPr>
          <w:rFonts w:ascii="Calibri" w:hAnsi="Calibri"/>
          <w:b/>
          <w:sz w:val="24"/>
          <w:szCs w:val="24"/>
        </w:rPr>
        <w:t>Confidence</w:t>
      </w:r>
      <w:r w:rsidR="00444ADD" w:rsidRPr="002229EB">
        <w:rPr>
          <w:rFonts w:ascii="Calibri" w:hAnsi="Calibri"/>
          <w:sz w:val="24"/>
          <w:szCs w:val="24"/>
        </w:rPr>
        <w:t>.  This factor measured the individual’s self-reported awareness of their debt burden and the conditions for its repayment.</w:t>
      </w:r>
    </w:p>
    <w:p w:rsidR="00444ADD" w:rsidRPr="002229EB" w:rsidRDefault="00444ADD" w:rsidP="009C3AC7">
      <w:pPr>
        <w:wordWrap/>
        <w:spacing w:line="276" w:lineRule="auto"/>
        <w:jc w:val="left"/>
        <w:rPr>
          <w:rFonts w:ascii="Calibri" w:hAnsi="Calibri"/>
          <w:sz w:val="24"/>
          <w:szCs w:val="24"/>
          <w:lang w:val="en-GB"/>
        </w:rPr>
      </w:pPr>
    </w:p>
    <w:p w:rsidR="00651D7A" w:rsidRPr="002229EB" w:rsidRDefault="00651D7A" w:rsidP="009C3AC7">
      <w:pPr>
        <w:wordWrap/>
        <w:spacing w:line="276" w:lineRule="auto"/>
        <w:jc w:val="left"/>
        <w:rPr>
          <w:rFonts w:ascii="Calibri" w:hAnsi="Calibri"/>
          <w:sz w:val="24"/>
          <w:szCs w:val="24"/>
          <w:lang w:val="en-GB"/>
        </w:rPr>
      </w:pPr>
      <w:r w:rsidRPr="002229EB">
        <w:rPr>
          <w:rFonts w:ascii="Calibri" w:hAnsi="Calibri"/>
          <w:sz w:val="24"/>
          <w:szCs w:val="24"/>
          <w:lang w:val="en-GB"/>
        </w:rPr>
        <w:t xml:space="preserve">As can be seen in Table </w:t>
      </w:r>
      <w:r w:rsidR="002B695B">
        <w:rPr>
          <w:rFonts w:ascii="Calibri" w:hAnsi="Calibri"/>
          <w:sz w:val="24"/>
          <w:szCs w:val="24"/>
          <w:lang w:val="en-GB"/>
        </w:rPr>
        <w:t>4</w:t>
      </w:r>
      <w:r w:rsidRPr="002229EB">
        <w:rPr>
          <w:rFonts w:ascii="Calibri" w:hAnsi="Calibri"/>
          <w:sz w:val="24"/>
          <w:szCs w:val="24"/>
          <w:lang w:val="en-GB"/>
        </w:rPr>
        <w:t xml:space="preserve"> below, the </w:t>
      </w:r>
      <w:proofErr w:type="spellStart"/>
      <w:r w:rsidRPr="002229EB">
        <w:rPr>
          <w:rFonts w:ascii="Calibri" w:hAnsi="Calibri"/>
          <w:sz w:val="24"/>
          <w:szCs w:val="24"/>
          <w:lang w:val="en-GB"/>
        </w:rPr>
        <w:t>polychoric</w:t>
      </w:r>
      <w:proofErr w:type="spellEnd"/>
      <w:r w:rsidRPr="002229EB">
        <w:rPr>
          <w:rFonts w:ascii="Calibri" w:hAnsi="Calibri"/>
          <w:sz w:val="24"/>
          <w:szCs w:val="24"/>
          <w:lang w:val="en-GB"/>
        </w:rPr>
        <w:t xml:space="preserve"> correlations showed a degree of inter-relationship between the four factors.  Specifically, </w:t>
      </w:r>
      <w:r w:rsidR="00524A59" w:rsidRPr="002229EB">
        <w:rPr>
          <w:rFonts w:ascii="Calibri" w:hAnsi="Calibri"/>
          <w:sz w:val="24"/>
          <w:szCs w:val="24"/>
          <w:lang w:val="en-GB"/>
        </w:rPr>
        <w:t xml:space="preserve">the </w:t>
      </w:r>
      <w:r w:rsidR="004F7375" w:rsidRPr="002229EB">
        <w:rPr>
          <w:rFonts w:ascii="Calibri" w:hAnsi="Calibri"/>
          <w:sz w:val="24"/>
          <w:szCs w:val="24"/>
          <w:lang w:val="en-GB"/>
        </w:rPr>
        <w:t>Confidence</w:t>
      </w:r>
      <w:r w:rsidR="00524A59" w:rsidRPr="002229EB">
        <w:rPr>
          <w:rFonts w:ascii="Calibri" w:hAnsi="Calibri"/>
          <w:sz w:val="24"/>
          <w:szCs w:val="24"/>
          <w:lang w:val="en-GB"/>
        </w:rPr>
        <w:t xml:space="preserve"> factor was significantly correlated with all three other factors.  </w:t>
      </w:r>
      <w:r w:rsidR="00812643" w:rsidRPr="002229EB">
        <w:rPr>
          <w:rFonts w:ascii="Calibri" w:hAnsi="Calibri"/>
          <w:sz w:val="24"/>
          <w:szCs w:val="24"/>
          <w:lang w:val="en-GB"/>
        </w:rPr>
        <w:t>Students who were better informed about their debt were, on average, less anxious about it, more likely to believe that it was a good investment and less likely to incur debt for lifestyle expenses.</w:t>
      </w:r>
      <w:r w:rsidR="00B1385C" w:rsidRPr="002229EB">
        <w:rPr>
          <w:rFonts w:ascii="Calibri" w:hAnsi="Calibri"/>
          <w:sz w:val="24"/>
          <w:szCs w:val="24"/>
          <w:lang w:val="en-GB"/>
        </w:rPr>
        <w:t xml:space="preserve">  It is also interesting to note that the two factors re</w:t>
      </w:r>
      <w:r w:rsidR="004B44A4" w:rsidRPr="002229EB">
        <w:rPr>
          <w:rFonts w:ascii="Calibri" w:hAnsi="Calibri"/>
          <w:sz w:val="24"/>
          <w:szCs w:val="24"/>
          <w:lang w:val="en-GB"/>
        </w:rPr>
        <w:t>lating to the utility of debt</w:t>
      </w:r>
      <w:r w:rsidR="00B1385C" w:rsidRPr="002229EB">
        <w:rPr>
          <w:rFonts w:ascii="Calibri" w:hAnsi="Calibri"/>
          <w:sz w:val="24"/>
          <w:szCs w:val="24"/>
          <w:lang w:val="en-GB"/>
        </w:rPr>
        <w:t xml:space="preserve"> were not correlated, suggesting that they are distinct aspects of how students view the credit that is available to them and that they do not form a zero-sum game where being positive about debt for personal investment precludes using it for lifestyle purposes, and </w:t>
      </w:r>
      <w:r w:rsidR="00B1385C" w:rsidRPr="002229EB">
        <w:rPr>
          <w:rFonts w:ascii="Calibri" w:hAnsi="Calibri"/>
          <w:i/>
          <w:sz w:val="24"/>
          <w:szCs w:val="24"/>
          <w:lang w:val="en-GB"/>
        </w:rPr>
        <w:t>vice versa</w:t>
      </w:r>
      <w:r w:rsidR="00B1385C" w:rsidRPr="002229EB">
        <w:rPr>
          <w:rFonts w:ascii="Calibri" w:hAnsi="Calibri"/>
          <w:sz w:val="24"/>
          <w:szCs w:val="24"/>
          <w:lang w:val="en-GB"/>
        </w:rPr>
        <w:t>.  Finally, it can be seen that Anxiety is not correlated with either of the utility factors</w:t>
      </w:r>
      <w:r w:rsidR="00556E3B" w:rsidRPr="002229EB">
        <w:rPr>
          <w:rFonts w:ascii="Calibri" w:hAnsi="Calibri"/>
          <w:sz w:val="24"/>
          <w:szCs w:val="24"/>
          <w:lang w:val="en-GB"/>
        </w:rPr>
        <w:t>.</w:t>
      </w:r>
    </w:p>
    <w:p w:rsidR="00B1385C" w:rsidRPr="002229EB" w:rsidRDefault="00B1385C" w:rsidP="009C3AC7">
      <w:pPr>
        <w:wordWrap/>
        <w:spacing w:line="276" w:lineRule="auto"/>
        <w:jc w:val="left"/>
        <w:rPr>
          <w:rFonts w:ascii="Calibri" w:hAnsi="Calibri"/>
          <w:sz w:val="24"/>
          <w:szCs w:val="24"/>
          <w:lang w:val="en-GB"/>
        </w:rPr>
      </w:pPr>
    </w:p>
    <w:p w:rsidR="00B1385C" w:rsidRPr="002229EB" w:rsidRDefault="00B1385C" w:rsidP="009C3AC7">
      <w:pPr>
        <w:wordWrap/>
        <w:spacing w:line="276" w:lineRule="auto"/>
        <w:jc w:val="left"/>
        <w:rPr>
          <w:rFonts w:ascii="Calibri" w:hAnsi="Calibri"/>
          <w:sz w:val="24"/>
          <w:szCs w:val="24"/>
          <w:lang w:val="en-GB"/>
        </w:rPr>
      </w:pPr>
    </w:p>
    <w:p w:rsidR="00651D7A" w:rsidRPr="002229EB" w:rsidRDefault="002B695B" w:rsidP="009C3AC7">
      <w:pPr>
        <w:wordWrap/>
        <w:spacing w:line="276" w:lineRule="auto"/>
        <w:jc w:val="left"/>
        <w:rPr>
          <w:rFonts w:ascii="Calibri" w:hAnsi="Calibri"/>
          <w:i/>
          <w:sz w:val="24"/>
          <w:szCs w:val="24"/>
          <w:lang w:val="en-GB"/>
        </w:rPr>
      </w:pPr>
      <w:r>
        <w:rPr>
          <w:rFonts w:ascii="Calibri" w:hAnsi="Calibri"/>
          <w:i/>
          <w:sz w:val="24"/>
          <w:szCs w:val="24"/>
          <w:lang w:val="en-GB"/>
        </w:rPr>
        <w:t>Table 4</w:t>
      </w:r>
      <w:r w:rsidR="00076BA4" w:rsidRPr="002229EB">
        <w:rPr>
          <w:rFonts w:ascii="Calibri" w:hAnsi="Calibri"/>
          <w:i/>
          <w:sz w:val="24"/>
          <w:szCs w:val="24"/>
          <w:lang w:val="en-GB"/>
        </w:rPr>
        <w:t xml:space="preserve">: </w:t>
      </w:r>
      <w:proofErr w:type="spellStart"/>
      <w:r w:rsidR="00076BA4" w:rsidRPr="002229EB">
        <w:rPr>
          <w:rFonts w:ascii="Calibri" w:hAnsi="Calibri"/>
          <w:i/>
          <w:sz w:val="24"/>
          <w:szCs w:val="24"/>
          <w:lang w:val="en-GB"/>
        </w:rPr>
        <w:t>Polychoric</w:t>
      </w:r>
      <w:proofErr w:type="spellEnd"/>
      <w:r w:rsidR="00076BA4" w:rsidRPr="002229EB">
        <w:rPr>
          <w:rFonts w:ascii="Calibri" w:hAnsi="Calibri"/>
          <w:i/>
          <w:sz w:val="24"/>
          <w:szCs w:val="24"/>
          <w:lang w:val="en-GB"/>
        </w:rPr>
        <w:t xml:space="preserve"> correlation coefficients</w:t>
      </w:r>
      <w:r w:rsidR="00651D7A" w:rsidRPr="002229EB">
        <w:rPr>
          <w:rFonts w:ascii="Calibri" w:hAnsi="Calibri"/>
          <w:i/>
          <w:sz w:val="24"/>
          <w:szCs w:val="24"/>
          <w:lang w:val="en-GB"/>
        </w:rPr>
        <w:t xml:space="preserve"> between </w:t>
      </w:r>
      <w:r w:rsidR="00076BA4" w:rsidRPr="002229EB">
        <w:rPr>
          <w:rFonts w:ascii="Calibri" w:hAnsi="Calibri"/>
          <w:i/>
          <w:sz w:val="24"/>
          <w:szCs w:val="24"/>
          <w:lang w:val="en-GB"/>
        </w:rPr>
        <w:t xml:space="preserve">extracted </w:t>
      </w:r>
      <w:r w:rsidR="00651D7A" w:rsidRPr="002229EB">
        <w:rPr>
          <w:rFonts w:ascii="Calibri" w:hAnsi="Calibri"/>
          <w:i/>
          <w:sz w:val="24"/>
          <w:szCs w:val="24"/>
          <w:lang w:val="en-GB"/>
        </w:rPr>
        <w:t>factors</w:t>
      </w:r>
    </w:p>
    <w:tbl>
      <w:tblPr>
        <w:tblStyle w:val="TableGrid"/>
        <w:tblW w:w="0" w:type="auto"/>
        <w:tblInd w:w="108" w:type="dxa"/>
        <w:tblLook w:val="04A0" w:firstRow="1" w:lastRow="0" w:firstColumn="1" w:lastColumn="0" w:noHBand="0" w:noVBand="1"/>
      </w:tblPr>
      <w:tblGrid>
        <w:gridCol w:w="1862"/>
        <w:gridCol w:w="1630"/>
        <w:gridCol w:w="1630"/>
        <w:gridCol w:w="1630"/>
      </w:tblGrid>
      <w:tr w:rsidR="00651D7A" w:rsidRPr="002229EB" w:rsidTr="0044588A">
        <w:trPr>
          <w:trHeight w:val="375"/>
        </w:trPr>
        <w:tc>
          <w:tcPr>
            <w:tcW w:w="1862" w:type="dxa"/>
            <w:tcBorders>
              <w:left w:val="nil"/>
              <w:bottom w:val="double" w:sz="4" w:space="0" w:color="auto"/>
              <w:right w:val="nil"/>
            </w:tcBorders>
            <w:vAlign w:val="center"/>
          </w:tcPr>
          <w:p w:rsidR="00651D7A" w:rsidRPr="002229EB" w:rsidRDefault="00651D7A" w:rsidP="009C3AC7">
            <w:pPr>
              <w:wordWrap/>
              <w:spacing w:line="276" w:lineRule="auto"/>
              <w:jc w:val="left"/>
              <w:rPr>
                <w:rFonts w:ascii="Calibri" w:hAnsi="Calibri"/>
                <w:sz w:val="24"/>
                <w:szCs w:val="24"/>
                <w:lang w:val="en-GB"/>
              </w:rPr>
            </w:pPr>
          </w:p>
        </w:tc>
        <w:tc>
          <w:tcPr>
            <w:tcW w:w="1630" w:type="dxa"/>
            <w:tcBorders>
              <w:left w:val="nil"/>
              <w:bottom w:val="double" w:sz="4" w:space="0" w:color="auto"/>
              <w:right w:val="nil"/>
            </w:tcBorders>
            <w:vAlign w:val="center"/>
          </w:tcPr>
          <w:p w:rsidR="00651D7A" w:rsidRPr="002229EB" w:rsidRDefault="004F7375" w:rsidP="0044588A">
            <w:pPr>
              <w:wordWrap/>
              <w:spacing w:line="276" w:lineRule="auto"/>
              <w:jc w:val="center"/>
              <w:rPr>
                <w:rFonts w:ascii="Calibri" w:hAnsi="Calibri"/>
                <w:b/>
                <w:sz w:val="24"/>
                <w:szCs w:val="24"/>
                <w:lang w:val="en-GB"/>
              </w:rPr>
            </w:pPr>
            <w:r w:rsidRPr="002229EB">
              <w:rPr>
                <w:rFonts w:ascii="Calibri" w:hAnsi="Calibri"/>
                <w:b/>
                <w:sz w:val="24"/>
                <w:szCs w:val="24"/>
                <w:lang w:val="en-GB"/>
              </w:rPr>
              <w:t>Confidence</w:t>
            </w:r>
          </w:p>
        </w:tc>
        <w:tc>
          <w:tcPr>
            <w:tcW w:w="1630" w:type="dxa"/>
            <w:tcBorders>
              <w:left w:val="nil"/>
              <w:bottom w:val="double" w:sz="4" w:space="0" w:color="auto"/>
              <w:right w:val="nil"/>
            </w:tcBorders>
            <w:vAlign w:val="center"/>
          </w:tcPr>
          <w:p w:rsidR="00651D7A" w:rsidRPr="002229EB" w:rsidRDefault="00076BA4" w:rsidP="0044588A">
            <w:pPr>
              <w:wordWrap/>
              <w:spacing w:line="276" w:lineRule="auto"/>
              <w:jc w:val="center"/>
              <w:rPr>
                <w:rFonts w:ascii="Calibri" w:hAnsi="Calibri"/>
                <w:b/>
                <w:sz w:val="24"/>
                <w:szCs w:val="24"/>
                <w:lang w:val="en-GB"/>
              </w:rPr>
            </w:pPr>
            <w:r w:rsidRPr="002229EB">
              <w:rPr>
                <w:rFonts w:ascii="Calibri" w:hAnsi="Calibri"/>
                <w:b/>
                <w:sz w:val="24"/>
                <w:szCs w:val="24"/>
                <w:lang w:val="en-GB"/>
              </w:rPr>
              <w:t>UFI</w:t>
            </w:r>
          </w:p>
        </w:tc>
        <w:tc>
          <w:tcPr>
            <w:tcW w:w="1630" w:type="dxa"/>
            <w:tcBorders>
              <w:left w:val="nil"/>
              <w:bottom w:val="double" w:sz="4" w:space="0" w:color="auto"/>
              <w:right w:val="nil"/>
            </w:tcBorders>
            <w:vAlign w:val="center"/>
          </w:tcPr>
          <w:p w:rsidR="00651D7A" w:rsidRPr="002229EB" w:rsidRDefault="00076BA4" w:rsidP="0044588A">
            <w:pPr>
              <w:wordWrap/>
              <w:spacing w:line="276" w:lineRule="auto"/>
              <w:jc w:val="center"/>
              <w:rPr>
                <w:rFonts w:ascii="Calibri" w:hAnsi="Calibri"/>
                <w:b/>
                <w:sz w:val="24"/>
                <w:szCs w:val="24"/>
                <w:lang w:val="en-GB"/>
              </w:rPr>
            </w:pPr>
            <w:r w:rsidRPr="002229EB">
              <w:rPr>
                <w:rFonts w:ascii="Calibri" w:hAnsi="Calibri"/>
                <w:b/>
                <w:sz w:val="24"/>
                <w:szCs w:val="24"/>
                <w:lang w:val="en-GB"/>
              </w:rPr>
              <w:t>UFL</w:t>
            </w:r>
          </w:p>
        </w:tc>
      </w:tr>
      <w:tr w:rsidR="00651D7A" w:rsidRPr="002229EB" w:rsidTr="0044588A">
        <w:trPr>
          <w:trHeight w:val="375"/>
        </w:trPr>
        <w:tc>
          <w:tcPr>
            <w:tcW w:w="1862" w:type="dxa"/>
            <w:tcBorders>
              <w:top w:val="double" w:sz="4" w:space="0" w:color="auto"/>
              <w:left w:val="nil"/>
              <w:right w:val="nil"/>
            </w:tcBorders>
            <w:vAlign w:val="center"/>
          </w:tcPr>
          <w:p w:rsidR="00651D7A" w:rsidRPr="002229EB" w:rsidRDefault="00651D7A" w:rsidP="009C3AC7">
            <w:pPr>
              <w:wordWrap/>
              <w:spacing w:line="276" w:lineRule="auto"/>
              <w:jc w:val="left"/>
              <w:rPr>
                <w:rFonts w:ascii="Calibri" w:hAnsi="Calibri"/>
                <w:b/>
                <w:sz w:val="24"/>
                <w:szCs w:val="24"/>
                <w:lang w:val="en-GB"/>
              </w:rPr>
            </w:pPr>
            <w:r w:rsidRPr="002229EB">
              <w:rPr>
                <w:rFonts w:ascii="Calibri" w:hAnsi="Calibri"/>
                <w:b/>
                <w:sz w:val="24"/>
                <w:szCs w:val="24"/>
                <w:lang w:val="en-GB"/>
              </w:rPr>
              <w:t>Anxiety</w:t>
            </w:r>
          </w:p>
        </w:tc>
        <w:tc>
          <w:tcPr>
            <w:tcW w:w="1630" w:type="dxa"/>
            <w:tcBorders>
              <w:top w:val="double" w:sz="4" w:space="0" w:color="auto"/>
              <w:left w:val="nil"/>
              <w:right w:val="nil"/>
            </w:tcBorders>
            <w:vAlign w:val="center"/>
          </w:tcPr>
          <w:p w:rsidR="00651D7A" w:rsidRPr="002229EB" w:rsidRDefault="00651D7A" w:rsidP="0044588A">
            <w:pPr>
              <w:wordWrap/>
              <w:spacing w:line="276" w:lineRule="auto"/>
              <w:jc w:val="center"/>
              <w:rPr>
                <w:rFonts w:ascii="Calibri" w:hAnsi="Calibri"/>
                <w:sz w:val="24"/>
                <w:szCs w:val="24"/>
                <w:lang w:val="en-GB"/>
              </w:rPr>
            </w:pPr>
            <w:r w:rsidRPr="002229EB">
              <w:rPr>
                <w:rFonts w:ascii="Calibri" w:hAnsi="Calibri"/>
                <w:sz w:val="24"/>
                <w:szCs w:val="24"/>
                <w:lang w:val="en-GB"/>
              </w:rPr>
              <w:t>-.203</w:t>
            </w:r>
            <w:r w:rsidRPr="002229EB">
              <w:rPr>
                <w:rFonts w:ascii="Calibri" w:hAnsi="Calibri"/>
                <w:sz w:val="24"/>
                <w:szCs w:val="24"/>
                <w:vertAlign w:val="superscript"/>
                <w:lang w:val="en-GB"/>
              </w:rPr>
              <w:t>**</w:t>
            </w:r>
          </w:p>
        </w:tc>
        <w:tc>
          <w:tcPr>
            <w:tcW w:w="1630" w:type="dxa"/>
            <w:tcBorders>
              <w:top w:val="double" w:sz="4" w:space="0" w:color="auto"/>
              <w:left w:val="nil"/>
              <w:right w:val="nil"/>
            </w:tcBorders>
            <w:vAlign w:val="center"/>
          </w:tcPr>
          <w:p w:rsidR="00651D7A" w:rsidRPr="002229EB" w:rsidRDefault="00651D7A" w:rsidP="0044588A">
            <w:pPr>
              <w:wordWrap/>
              <w:spacing w:line="276" w:lineRule="auto"/>
              <w:jc w:val="center"/>
              <w:rPr>
                <w:rFonts w:ascii="Calibri" w:hAnsi="Calibri"/>
                <w:sz w:val="24"/>
                <w:szCs w:val="24"/>
                <w:lang w:val="en-GB"/>
              </w:rPr>
            </w:pPr>
            <w:r w:rsidRPr="002229EB">
              <w:rPr>
                <w:rFonts w:ascii="Calibri" w:hAnsi="Calibri"/>
                <w:sz w:val="24"/>
                <w:szCs w:val="24"/>
                <w:lang w:val="en-GB"/>
              </w:rPr>
              <w:t>-.037</w:t>
            </w:r>
          </w:p>
        </w:tc>
        <w:tc>
          <w:tcPr>
            <w:tcW w:w="1630" w:type="dxa"/>
            <w:tcBorders>
              <w:top w:val="double" w:sz="4" w:space="0" w:color="auto"/>
              <w:left w:val="nil"/>
              <w:right w:val="nil"/>
            </w:tcBorders>
            <w:vAlign w:val="center"/>
          </w:tcPr>
          <w:p w:rsidR="00651D7A" w:rsidRPr="002229EB" w:rsidRDefault="00651D7A" w:rsidP="0044588A">
            <w:pPr>
              <w:wordWrap/>
              <w:spacing w:line="276" w:lineRule="auto"/>
              <w:jc w:val="center"/>
              <w:rPr>
                <w:rFonts w:ascii="Calibri" w:hAnsi="Calibri"/>
                <w:sz w:val="24"/>
                <w:szCs w:val="24"/>
                <w:lang w:val="en-GB"/>
              </w:rPr>
            </w:pPr>
            <w:r w:rsidRPr="002229EB">
              <w:rPr>
                <w:rFonts w:ascii="Calibri" w:hAnsi="Calibri"/>
                <w:sz w:val="24"/>
                <w:szCs w:val="24"/>
                <w:lang w:val="en-GB"/>
              </w:rPr>
              <w:t>-.034</w:t>
            </w:r>
          </w:p>
        </w:tc>
      </w:tr>
      <w:tr w:rsidR="00651D7A" w:rsidRPr="002229EB" w:rsidTr="0044588A">
        <w:trPr>
          <w:trHeight w:val="375"/>
        </w:trPr>
        <w:tc>
          <w:tcPr>
            <w:tcW w:w="1862" w:type="dxa"/>
            <w:tcBorders>
              <w:left w:val="nil"/>
              <w:right w:val="nil"/>
            </w:tcBorders>
            <w:vAlign w:val="center"/>
          </w:tcPr>
          <w:p w:rsidR="00651D7A" w:rsidRPr="002229EB" w:rsidRDefault="00076BA4" w:rsidP="009C3AC7">
            <w:pPr>
              <w:wordWrap/>
              <w:spacing w:line="276" w:lineRule="auto"/>
              <w:jc w:val="left"/>
              <w:rPr>
                <w:rFonts w:ascii="Calibri" w:hAnsi="Calibri"/>
                <w:b/>
                <w:sz w:val="24"/>
                <w:szCs w:val="24"/>
                <w:lang w:val="en-GB"/>
              </w:rPr>
            </w:pPr>
            <w:r w:rsidRPr="002229EB">
              <w:rPr>
                <w:rFonts w:ascii="Calibri" w:hAnsi="Calibri"/>
                <w:b/>
                <w:sz w:val="24"/>
                <w:szCs w:val="24"/>
                <w:lang w:val="en-GB"/>
              </w:rPr>
              <w:t>U</w:t>
            </w:r>
            <w:r w:rsidR="00651D7A" w:rsidRPr="002229EB">
              <w:rPr>
                <w:rFonts w:ascii="Calibri" w:hAnsi="Calibri"/>
                <w:b/>
                <w:sz w:val="24"/>
                <w:szCs w:val="24"/>
                <w:lang w:val="en-GB"/>
              </w:rPr>
              <w:t>FL</w:t>
            </w:r>
          </w:p>
        </w:tc>
        <w:tc>
          <w:tcPr>
            <w:tcW w:w="1630" w:type="dxa"/>
            <w:tcBorders>
              <w:left w:val="nil"/>
              <w:right w:val="nil"/>
            </w:tcBorders>
            <w:vAlign w:val="center"/>
          </w:tcPr>
          <w:p w:rsidR="00651D7A" w:rsidRPr="002229EB" w:rsidRDefault="00651D7A" w:rsidP="0044588A">
            <w:pPr>
              <w:wordWrap/>
              <w:spacing w:line="276" w:lineRule="auto"/>
              <w:jc w:val="center"/>
              <w:rPr>
                <w:rFonts w:ascii="Calibri" w:hAnsi="Calibri"/>
                <w:sz w:val="24"/>
                <w:szCs w:val="24"/>
                <w:lang w:val="en-GB"/>
              </w:rPr>
            </w:pPr>
            <w:r w:rsidRPr="002229EB">
              <w:rPr>
                <w:rFonts w:ascii="Calibri" w:hAnsi="Calibri"/>
                <w:sz w:val="24"/>
                <w:szCs w:val="24"/>
                <w:lang w:val="en-GB"/>
              </w:rPr>
              <w:t>.241</w:t>
            </w:r>
            <w:r w:rsidRPr="002229EB">
              <w:rPr>
                <w:rFonts w:ascii="Calibri" w:hAnsi="Calibri"/>
                <w:sz w:val="24"/>
                <w:szCs w:val="24"/>
                <w:vertAlign w:val="superscript"/>
                <w:lang w:val="en-GB"/>
              </w:rPr>
              <w:t>**</w:t>
            </w:r>
          </w:p>
        </w:tc>
        <w:tc>
          <w:tcPr>
            <w:tcW w:w="1630" w:type="dxa"/>
            <w:tcBorders>
              <w:left w:val="nil"/>
              <w:right w:val="nil"/>
            </w:tcBorders>
            <w:vAlign w:val="center"/>
          </w:tcPr>
          <w:p w:rsidR="00651D7A" w:rsidRPr="002229EB" w:rsidRDefault="00076BA4" w:rsidP="0044588A">
            <w:pPr>
              <w:wordWrap/>
              <w:spacing w:line="276" w:lineRule="auto"/>
              <w:jc w:val="center"/>
              <w:rPr>
                <w:rFonts w:ascii="Calibri" w:hAnsi="Calibri"/>
                <w:sz w:val="24"/>
                <w:szCs w:val="24"/>
                <w:lang w:val="en-GB"/>
              </w:rPr>
            </w:pPr>
            <w:r w:rsidRPr="002229EB">
              <w:rPr>
                <w:rFonts w:ascii="Calibri" w:hAnsi="Calibri"/>
                <w:sz w:val="24"/>
                <w:szCs w:val="24"/>
                <w:lang w:val="en-GB"/>
              </w:rPr>
              <w:t>&lt;</w:t>
            </w:r>
            <w:r w:rsidR="00651D7A" w:rsidRPr="002229EB">
              <w:rPr>
                <w:rFonts w:ascii="Calibri" w:hAnsi="Calibri"/>
                <w:sz w:val="24"/>
                <w:szCs w:val="24"/>
                <w:lang w:val="en-GB"/>
              </w:rPr>
              <w:t>.00</w:t>
            </w:r>
            <w:r w:rsidRPr="002229EB">
              <w:rPr>
                <w:rFonts w:ascii="Calibri" w:hAnsi="Calibri"/>
                <w:sz w:val="24"/>
                <w:szCs w:val="24"/>
                <w:lang w:val="en-GB"/>
              </w:rPr>
              <w:t>1</w:t>
            </w:r>
          </w:p>
        </w:tc>
        <w:tc>
          <w:tcPr>
            <w:tcW w:w="1630" w:type="dxa"/>
            <w:tcBorders>
              <w:left w:val="nil"/>
              <w:bottom w:val="nil"/>
              <w:right w:val="nil"/>
            </w:tcBorders>
            <w:vAlign w:val="center"/>
          </w:tcPr>
          <w:p w:rsidR="00651D7A" w:rsidRPr="002229EB" w:rsidRDefault="00651D7A" w:rsidP="0044588A">
            <w:pPr>
              <w:wordWrap/>
              <w:spacing w:line="276" w:lineRule="auto"/>
              <w:jc w:val="center"/>
              <w:rPr>
                <w:rFonts w:ascii="Calibri" w:hAnsi="Calibri"/>
                <w:sz w:val="24"/>
                <w:szCs w:val="24"/>
                <w:lang w:val="en-GB"/>
              </w:rPr>
            </w:pPr>
          </w:p>
        </w:tc>
      </w:tr>
      <w:tr w:rsidR="00651D7A" w:rsidRPr="002229EB" w:rsidTr="0044588A">
        <w:trPr>
          <w:gridAfter w:val="2"/>
          <w:wAfter w:w="3260" w:type="dxa"/>
          <w:trHeight w:val="375"/>
        </w:trPr>
        <w:tc>
          <w:tcPr>
            <w:tcW w:w="1862" w:type="dxa"/>
            <w:tcBorders>
              <w:left w:val="nil"/>
              <w:right w:val="nil"/>
            </w:tcBorders>
            <w:vAlign w:val="center"/>
          </w:tcPr>
          <w:p w:rsidR="00651D7A" w:rsidRPr="002229EB" w:rsidRDefault="00076BA4" w:rsidP="009C3AC7">
            <w:pPr>
              <w:wordWrap/>
              <w:spacing w:line="276" w:lineRule="auto"/>
              <w:jc w:val="left"/>
              <w:rPr>
                <w:rFonts w:ascii="Calibri" w:hAnsi="Calibri"/>
                <w:b/>
                <w:sz w:val="24"/>
                <w:szCs w:val="24"/>
                <w:lang w:val="en-GB"/>
              </w:rPr>
            </w:pPr>
            <w:r w:rsidRPr="002229EB">
              <w:rPr>
                <w:rFonts w:ascii="Calibri" w:hAnsi="Calibri"/>
                <w:b/>
                <w:sz w:val="24"/>
                <w:szCs w:val="24"/>
                <w:lang w:val="en-GB"/>
              </w:rPr>
              <w:t>UFI</w:t>
            </w:r>
          </w:p>
        </w:tc>
        <w:tc>
          <w:tcPr>
            <w:tcW w:w="1630" w:type="dxa"/>
            <w:tcBorders>
              <w:left w:val="nil"/>
              <w:right w:val="nil"/>
            </w:tcBorders>
            <w:vAlign w:val="center"/>
          </w:tcPr>
          <w:p w:rsidR="00651D7A" w:rsidRPr="002229EB" w:rsidRDefault="00651D7A" w:rsidP="0044588A">
            <w:pPr>
              <w:wordWrap/>
              <w:spacing w:line="276" w:lineRule="auto"/>
              <w:jc w:val="center"/>
              <w:rPr>
                <w:rFonts w:ascii="Calibri" w:hAnsi="Calibri"/>
                <w:sz w:val="24"/>
                <w:szCs w:val="24"/>
                <w:lang w:val="en-GB"/>
              </w:rPr>
            </w:pPr>
            <w:r w:rsidRPr="002229EB">
              <w:rPr>
                <w:rFonts w:ascii="Calibri" w:hAnsi="Calibri"/>
                <w:sz w:val="24"/>
                <w:szCs w:val="24"/>
                <w:lang w:val="en-GB"/>
              </w:rPr>
              <w:t>.256</w:t>
            </w:r>
            <w:r w:rsidRPr="002229EB">
              <w:rPr>
                <w:rFonts w:ascii="Calibri" w:hAnsi="Calibri"/>
                <w:sz w:val="24"/>
                <w:szCs w:val="24"/>
                <w:vertAlign w:val="superscript"/>
                <w:lang w:val="en-GB"/>
              </w:rPr>
              <w:t>**</w:t>
            </w:r>
          </w:p>
        </w:tc>
      </w:tr>
    </w:tbl>
    <w:p w:rsidR="00651D7A" w:rsidRPr="002229EB" w:rsidRDefault="00524A59" w:rsidP="009C3AC7">
      <w:pPr>
        <w:wordWrap/>
        <w:spacing w:line="276" w:lineRule="auto"/>
        <w:jc w:val="left"/>
        <w:rPr>
          <w:rFonts w:ascii="Calibri" w:hAnsi="Calibri"/>
          <w:sz w:val="18"/>
          <w:szCs w:val="18"/>
          <w:lang w:val="en-GB"/>
        </w:rPr>
      </w:pPr>
      <w:r w:rsidRPr="002229EB">
        <w:rPr>
          <w:rFonts w:ascii="Calibri" w:hAnsi="Calibri"/>
          <w:sz w:val="18"/>
          <w:szCs w:val="18"/>
          <w:lang w:val="en-GB"/>
        </w:rPr>
        <w:t xml:space="preserve">* </w:t>
      </w:r>
      <w:proofErr w:type="gramStart"/>
      <w:r w:rsidRPr="002229EB">
        <w:rPr>
          <w:rFonts w:ascii="Calibri" w:hAnsi="Calibri"/>
          <w:sz w:val="18"/>
          <w:szCs w:val="18"/>
          <w:lang w:val="en-GB"/>
        </w:rPr>
        <w:t>p</w:t>
      </w:r>
      <w:proofErr w:type="gramEnd"/>
      <w:r w:rsidRPr="002229EB">
        <w:rPr>
          <w:rFonts w:ascii="Calibri" w:hAnsi="Calibri"/>
          <w:sz w:val="18"/>
          <w:szCs w:val="18"/>
          <w:lang w:val="en-GB"/>
        </w:rPr>
        <w:t xml:space="preserve"> &lt; .05, ** </w:t>
      </w:r>
      <w:r w:rsidR="00651D7A" w:rsidRPr="002229EB">
        <w:rPr>
          <w:rFonts w:ascii="Calibri" w:hAnsi="Calibri"/>
          <w:sz w:val="18"/>
          <w:szCs w:val="18"/>
          <w:lang w:val="en-GB"/>
        </w:rPr>
        <w:t>p &lt; .01</w:t>
      </w:r>
    </w:p>
    <w:p w:rsidR="00444ADD" w:rsidRPr="002229EB" w:rsidRDefault="00444ADD" w:rsidP="009C3AC7">
      <w:pPr>
        <w:wordWrap/>
        <w:spacing w:line="276" w:lineRule="auto"/>
        <w:jc w:val="left"/>
        <w:rPr>
          <w:rFonts w:ascii="Calibri" w:hAnsi="Calibri"/>
          <w:sz w:val="24"/>
          <w:szCs w:val="24"/>
          <w:lang w:val="en-GB"/>
        </w:rPr>
      </w:pPr>
    </w:p>
    <w:p w:rsidR="0030561A" w:rsidRPr="002229EB" w:rsidRDefault="0030561A" w:rsidP="009C3AC7">
      <w:pPr>
        <w:wordWrap/>
        <w:spacing w:line="276" w:lineRule="auto"/>
        <w:jc w:val="left"/>
        <w:rPr>
          <w:rFonts w:ascii="Calibri" w:hAnsi="Calibri"/>
          <w:sz w:val="24"/>
          <w:szCs w:val="24"/>
          <w:lang w:val="en-GB"/>
        </w:rPr>
      </w:pPr>
    </w:p>
    <w:p w:rsidR="007E7D9B" w:rsidRPr="002229EB" w:rsidRDefault="007E7D9B" w:rsidP="009C3AC7">
      <w:pPr>
        <w:wordWrap/>
        <w:spacing w:line="276" w:lineRule="auto"/>
        <w:jc w:val="left"/>
        <w:rPr>
          <w:rFonts w:ascii="Calibri" w:hAnsi="Calibri"/>
          <w:sz w:val="24"/>
          <w:szCs w:val="24"/>
          <w:lang w:val="en-GB"/>
        </w:rPr>
      </w:pPr>
      <w:r w:rsidRPr="002229EB">
        <w:rPr>
          <w:rFonts w:ascii="Calibri" w:hAnsi="Calibri"/>
          <w:sz w:val="24"/>
          <w:szCs w:val="24"/>
          <w:lang w:val="en-GB"/>
        </w:rPr>
        <w:t>Finally, the fa</w:t>
      </w:r>
      <w:r w:rsidR="004B44A4" w:rsidRPr="002229EB">
        <w:rPr>
          <w:rFonts w:ascii="Calibri" w:hAnsi="Calibri"/>
          <w:sz w:val="24"/>
          <w:szCs w:val="24"/>
          <w:lang w:val="en-GB"/>
        </w:rPr>
        <w:t xml:space="preserve">ctor analysis was rerun for England </w:t>
      </w:r>
      <w:r w:rsidRPr="002229EB">
        <w:rPr>
          <w:rFonts w:ascii="Calibri" w:hAnsi="Calibri"/>
          <w:sz w:val="24"/>
          <w:szCs w:val="24"/>
          <w:lang w:val="en-GB"/>
        </w:rPr>
        <w:t>and NZ samples; the US sample was too small for meaningful analysis.  While there were minor differences in loading and</w:t>
      </w:r>
      <w:r w:rsidR="004B44A4" w:rsidRPr="002229EB">
        <w:rPr>
          <w:rFonts w:ascii="Calibri" w:hAnsi="Calibri"/>
          <w:sz w:val="24"/>
          <w:szCs w:val="24"/>
          <w:lang w:val="en-GB"/>
        </w:rPr>
        <w:t xml:space="preserve"> the amount of variance captured</w:t>
      </w:r>
      <w:r w:rsidRPr="002229EB">
        <w:rPr>
          <w:rFonts w:ascii="Calibri" w:hAnsi="Calibri"/>
          <w:sz w:val="24"/>
          <w:szCs w:val="24"/>
          <w:lang w:val="en-GB"/>
        </w:rPr>
        <w:t xml:space="preserve"> by the fac</w:t>
      </w:r>
      <w:r w:rsidR="004B44A4" w:rsidRPr="002229EB">
        <w:rPr>
          <w:rFonts w:ascii="Calibri" w:hAnsi="Calibri"/>
          <w:sz w:val="24"/>
          <w:szCs w:val="24"/>
          <w:lang w:val="en-GB"/>
        </w:rPr>
        <w:t>t</w:t>
      </w:r>
      <w:r w:rsidRPr="002229EB">
        <w:rPr>
          <w:rFonts w:ascii="Calibri" w:hAnsi="Calibri"/>
          <w:sz w:val="24"/>
          <w:szCs w:val="24"/>
          <w:lang w:val="en-GB"/>
        </w:rPr>
        <w:t>ors, the basic model was consistent between the two countries.</w:t>
      </w:r>
    </w:p>
    <w:p w:rsidR="007E7D9B" w:rsidRPr="002229EB" w:rsidRDefault="007E7D9B" w:rsidP="009C3AC7">
      <w:pPr>
        <w:wordWrap/>
        <w:spacing w:line="276" w:lineRule="auto"/>
        <w:jc w:val="left"/>
        <w:rPr>
          <w:rFonts w:ascii="Calibri" w:hAnsi="Calibri"/>
          <w:sz w:val="24"/>
          <w:szCs w:val="24"/>
          <w:lang w:val="en-GB"/>
        </w:rPr>
      </w:pPr>
    </w:p>
    <w:p w:rsidR="007E7D9B" w:rsidRPr="002229EB" w:rsidRDefault="007E7D9B" w:rsidP="009C3AC7">
      <w:pPr>
        <w:wordWrap/>
        <w:spacing w:line="276" w:lineRule="auto"/>
        <w:jc w:val="left"/>
        <w:rPr>
          <w:rFonts w:ascii="Calibri" w:hAnsi="Calibri"/>
          <w:sz w:val="24"/>
          <w:szCs w:val="24"/>
          <w:lang w:val="en-GB"/>
        </w:rPr>
      </w:pPr>
    </w:p>
    <w:p w:rsidR="00444ADD" w:rsidRPr="002229EB" w:rsidRDefault="00B96A01" w:rsidP="009C3AC7">
      <w:pPr>
        <w:pStyle w:val="ParaAttribute0"/>
        <w:wordWrap/>
        <w:spacing w:line="276" w:lineRule="auto"/>
        <w:rPr>
          <w:rStyle w:val="CharAttribute3"/>
          <w:rFonts w:ascii="Calibri" w:hAnsi="Calibri"/>
          <w:szCs w:val="24"/>
        </w:rPr>
      </w:pPr>
      <w:r>
        <w:rPr>
          <w:rStyle w:val="CharAttribute3"/>
          <w:rFonts w:ascii="Calibri" w:hAnsi="Calibri"/>
          <w:szCs w:val="24"/>
        </w:rPr>
        <w:t xml:space="preserve">4 </w:t>
      </w:r>
      <w:proofErr w:type="gramStart"/>
      <w:r w:rsidR="00444ADD" w:rsidRPr="002229EB">
        <w:rPr>
          <w:rStyle w:val="CharAttribute3"/>
          <w:rFonts w:ascii="Calibri" w:hAnsi="Calibri"/>
          <w:szCs w:val="24"/>
        </w:rPr>
        <w:t>Discussion</w:t>
      </w:r>
      <w:proofErr w:type="gramEnd"/>
    </w:p>
    <w:p w:rsidR="002A439D" w:rsidRPr="002229EB" w:rsidRDefault="002A439D" w:rsidP="009C3AC7">
      <w:pPr>
        <w:pStyle w:val="ParaAttribute0"/>
        <w:wordWrap/>
        <w:spacing w:line="276" w:lineRule="auto"/>
        <w:rPr>
          <w:rFonts w:ascii="Calibri" w:eastAsia="Tahoma" w:hAnsi="Calibri"/>
          <w:sz w:val="24"/>
          <w:szCs w:val="24"/>
        </w:rPr>
      </w:pPr>
    </w:p>
    <w:p w:rsidR="00444ADD" w:rsidRPr="002229EB" w:rsidRDefault="00444ADD" w:rsidP="009C3AC7">
      <w:pPr>
        <w:pStyle w:val="ParaAttribute0"/>
        <w:wordWrap/>
        <w:spacing w:line="276" w:lineRule="auto"/>
        <w:rPr>
          <w:rFonts w:ascii="Calibri" w:eastAsia="Tahoma" w:hAnsi="Calibri"/>
          <w:sz w:val="24"/>
          <w:szCs w:val="24"/>
        </w:rPr>
      </w:pPr>
      <w:r w:rsidRPr="002229EB">
        <w:rPr>
          <w:rStyle w:val="CharAttribute2"/>
          <w:rFonts w:ascii="Calibri" w:hAnsi="Calibri"/>
          <w:szCs w:val="24"/>
        </w:rPr>
        <w:t xml:space="preserve">The four-factor model of </w:t>
      </w:r>
      <w:r w:rsidR="007E7D9B" w:rsidRPr="002229EB">
        <w:rPr>
          <w:rStyle w:val="CharAttribute2"/>
          <w:rFonts w:ascii="Calibri" w:hAnsi="Calibri"/>
          <w:szCs w:val="24"/>
        </w:rPr>
        <w:t xml:space="preserve">students’ responses to </w:t>
      </w:r>
      <w:r w:rsidRPr="002229EB">
        <w:rPr>
          <w:rStyle w:val="CharAttribute2"/>
          <w:rFonts w:ascii="Calibri" w:hAnsi="Calibri"/>
          <w:szCs w:val="24"/>
        </w:rPr>
        <w:t xml:space="preserve">debt reported in this paper provides a relatively strong description of </w:t>
      </w:r>
      <w:r w:rsidR="007E7D9B" w:rsidRPr="002229EB">
        <w:rPr>
          <w:rStyle w:val="CharAttribute2"/>
          <w:rFonts w:ascii="Calibri" w:hAnsi="Calibri"/>
          <w:szCs w:val="24"/>
        </w:rPr>
        <w:t xml:space="preserve">the underlying data, </w:t>
      </w:r>
      <w:r w:rsidRPr="002229EB">
        <w:rPr>
          <w:rStyle w:val="CharAttribute2"/>
          <w:rFonts w:ascii="Calibri" w:hAnsi="Calibri"/>
          <w:szCs w:val="24"/>
        </w:rPr>
        <w:t>explain</w:t>
      </w:r>
      <w:r w:rsidR="007E7D9B" w:rsidRPr="002229EB">
        <w:rPr>
          <w:rStyle w:val="CharAttribute2"/>
          <w:rFonts w:ascii="Calibri" w:hAnsi="Calibri"/>
          <w:szCs w:val="24"/>
        </w:rPr>
        <w:t>ing</w:t>
      </w:r>
      <w:r w:rsidRPr="002229EB">
        <w:rPr>
          <w:rStyle w:val="CharAttribute2"/>
          <w:rFonts w:ascii="Calibri" w:hAnsi="Calibri"/>
          <w:szCs w:val="24"/>
        </w:rPr>
        <w:t xml:space="preserve"> around half of the variance </w:t>
      </w:r>
      <w:r w:rsidR="007E7D9B" w:rsidRPr="002229EB">
        <w:rPr>
          <w:rStyle w:val="CharAttribute2"/>
          <w:rFonts w:ascii="Calibri" w:hAnsi="Calibri"/>
          <w:szCs w:val="24"/>
        </w:rPr>
        <w:t>through</w:t>
      </w:r>
      <w:r w:rsidRPr="002229EB">
        <w:rPr>
          <w:rStyle w:val="CharAttribute2"/>
          <w:rFonts w:ascii="Calibri" w:hAnsi="Calibri"/>
          <w:szCs w:val="24"/>
        </w:rPr>
        <w:t xml:space="preserve"> factors </w:t>
      </w:r>
      <w:r w:rsidR="007E7D9B" w:rsidRPr="002229EB">
        <w:rPr>
          <w:rStyle w:val="CharAttribute2"/>
          <w:rFonts w:ascii="Calibri" w:hAnsi="Calibri"/>
          <w:szCs w:val="24"/>
        </w:rPr>
        <w:t>that</w:t>
      </w:r>
      <w:r w:rsidRPr="002229EB">
        <w:rPr>
          <w:rStyle w:val="CharAttribute2"/>
          <w:rFonts w:ascii="Calibri" w:hAnsi="Calibri"/>
          <w:szCs w:val="24"/>
        </w:rPr>
        <w:t xml:space="preserve"> are </w:t>
      </w:r>
      <w:r w:rsidR="007E7D9B" w:rsidRPr="002229EB">
        <w:rPr>
          <w:rStyle w:val="CharAttribute2"/>
          <w:rFonts w:ascii="Calibri" w:hAnsi="Calibri"/>
          <w:szCs w:val="24"/>
        </w:rPr>
        <w:t>conceptually</w:t>
      </w:r>
      <w:r w:rsidRPr="002229EB">
        <w:rPr>
          <w:rStyle w:val="CharAttribute2"/>
          <w:rFonts w:ascii="Calibri" w:hAnsi="Calibri"/>
          <w:szCs w:val="24"/>
        </w:rPr>
        <w:t xml:space="preserve"> </w:t>
      </w:r>
      <w:r w:rsidR="0040513C" w:rsidRPr="002229EB">
        <w:rPr>
          <w:rStyle w:val="CharAttribute2"/>
          <w:rFonts w:ascii="Calibri" w:hAnsi="Calibri"/>
          <w:szCs w:val="24"/>
        </w:rPr>
        <w:t>co</w:t>
      </w:r>
      <w:r w:rsidR="007E7D9B" w:rsidRPr="002229EB">
        <w:rPr>
          <w:rStyle w:val="CharAttribute2"/>
          <w:rFonts w:ascii="Calibri" w:hAnsi="Calibri"/>
          <w:szCs w:val="24"/>
        </w:rPr>
        <w:t>herent</w:t>
      </w:r>
      <w:r w:rsidRPr="002229EB">
        <w:rPr>
          <w:rStyle w:val="CharAttribute2"/>
          <w:rFonts w:ascii="Calibri" w:hAnsi="Calibri"/>
          <w:szCs w:val="24"/>
        </w:rPr>
        <w:t xml:space="preserve">.  </w:t>
      </w:r>
      <w:r w:rsidR="007E7D9B" w:rsidRPr="002229EB">
        <w:rPr>
          <w:rStyle w:val="CharAttribute2"/>
          <w:rFonts w:ascii="Calibri" w:hAnsi="Calibri"/>
          <w:szCs w:val="24"/>
        </w:rPr>
        <w:t>As far as could be examined, t</w:t>
      </w:r>
      <w:r w:rsidRPr="002229EB">
        <w:rPr>
          <w:rStyle w:val="CharAttribute2"/>
          <w:rFonts w:ascii="Calibri" w:hAnsi="Calibri"/>
          <w:szCs w:val="24"/>
        </w:rPr>
        <w:t>he model is robust between countries</w:t>
      </w:r>
      <w:r w:rsidR="007E7D9B" w:rsidRPr="002229EB">
        <w:rPr>
          <w:rStyle w:val="CharAttribute2"/>
          <w:rFonts w:ascii="Calibri" w:hAnsi="Calibri"/>
          <w:szCs w:val="24"/>
        </w:rPr>
        <w:t>.</w:t>
      </w:r>
      <w:r w:rsidRPr="002229EB">
        <w:rPr>
          <w:rStyle w:val="CharAttribute2"/>
          <w:rFonts w:ascii="Calibri" w:hAnsi="Calibri"/>
          <w:szCs w:val="24"/>
        </w:rPr>
        <w:t xml:space="preserve"> </w:t>
      </w:r>
      <w:r w:rsidR="007E7D9B" w:rsidRPr="002229EB">
        <w:rPr>
          <w:rStyle w:val="CharAttribute2"/>
          <w:rFonts w:ascii="Calibri" w:hAnsi="Calibri"/>
          <w:szCs w:val="24"/>
        </w:rPr>
        <w:t xml:space="preserve"> </w:t>
      </w:r>
      <w:r w:rsidRPr="002229EB">
        <w:rPr>
          <w:rStyle w:val="CharAttribute2"/>
          <w:rFonts w:ascii="Calibri" w:hAnsi="Calibri"/>
          <w:szCs w:val="24"/>
        </w:rPr>
        <w:t>As such, it is asserted that the model is a good representation of attitudes a</w:t>
      </w:r>
      <w:r w:rsidR="007E7D9B" w:rsidRPr="002229EB">
        <w:rPr>
          <w:rStyle w:val="CharAttribute2"/>
          <w:rFonts w:ascii="Calibri" w:hAnsi="Calibri"/>
          <w:szCs w:val="24"/>
        </w:rPr>
        <w:t xml:space="preserve">mong </w:t>
      </w:r>
      <w:r w:rsidR="004B44A4" w:rsidRPr="002229EB">
        <w:rPr>
          <w:rStyle w:val="CharAttribute2"/>
          <w:rFonts w:ascii="Calibri" w:hAnsi="Calibri"/>
          <w:szCs w:val="24"/>
        </w:rPr>
        <w:t xml:space="preserve">indebted </w:t>
      </w:r>
      <w:r w:rsidR="007E7D9B" w:rsidRPr="002229EB">
        <w:rPr>
          <w:rStyle w:val="CharAttribute2"/>
          <w:rFonts w:ascii="Calibri" w:hAnsi="Calibri"/>
          <w:szCs w:val="24"/>
        </w:rPr>
        <w:t xml:space="preserve">higher education students – </w:t>
      </w:r>
      <w:r w:rsidRPr="002229EB">
        <w:rPr>
          <w:rStyle w:val="CharAttribute2"/>
          <w:rFonts w:ascii="Calibri" w:hAnsi="Calibri"/>
          <w:szCs w:val="24"/>
        </w:rPr>
        <w:t>at least in the three countries studied.</w:t>
      </w:r>
    </w:p>
    <w:p w:rsidR="00444ADD" w:rsidRPr="002229EB" w:rsidRDefault="00444ADD" w:rsidP="009C3AC7">
      <w:pPr>
        <w:pStyle w:val="ParaAttribute0"/>
        <w:wordWrap/>
        <w:spacing w:line="276" w:lineRule="auto"/>
        <w:rPr>
          <w:rFonts w:ascii="Calibri" w:eastAsia="Tahoma" w:hAnsi="Calibri"/>
          <w:sz w:val="24"/>
          <w:szCs w:val="24"/>
        </w:rPr>
      </w:pPr>
    </w:p>
    <w:p w:rsidR="00527664" w:rsidRPr="002229EB" w:rsidRDefault="00527664" w:rsidP="009C3AC7">
      <w:pPr>
        <w:pStyle w:val="ParaAttribute0"/>
        <w:wordWrap/>
        <w:spacing w:line="276" w:lineRule="auto"/>
        <w:rPr>
          <w:rFonts w:ascii="Calibri" w:eastAsia="Tahoma" w:hAnsi="Calibri"/>
          <w:sz w:val="24"/>
          <w:szCs w:val="24"/>
        </w:rPr>
      </w:pPr>
      <w:r w:rsidRPr="002229EB">
        <w:rPr>
          <w:rFonts w:ascii="Calibri" w:eastAsia="Tahoma" w:hAnsi="Calibri"/>
          <w:sz w:val="24"/>
          <w:szCs w:val="24"/>
        </w:rPr>
        <w:t>It adds to the already established literature (</w:t>
      </w:r>
      <w:proofErr w:type="spellStart"/>
      <w:r w:rsidRPr="002229EB">
        <w:rPr>
          <w:rStyle w:val="CharAttribute2"/>
          <w:rFonts w:ascii="Calibri" w:hAnsi="Calibri"/>
          <w:szCs w:val="24"/>
        </w:rPr>
        <w:t>Norvilis</w:t>
      </w:r>
      <w:proofErr w:type="spellEnd"/>
      <w:r w:rsidRPr="002229EB">
        <w:rPr>
          <w:rStyle w:val="CharAttribute2"/>
          <w:rFonts w:ascii="Calibri" w:hAnsi="Calibri"/>
          <w:szCs w:val="24"/>
        </w:rPr>
        <w:t xml:space="preserve"> et al. 2003; </w:t>
      </w:r>
      <w:proofErr w:type="spellStart"/>
      <w:r w:rsidRPr="002229EB">
        <w:rPr>
          <w:rStyle w:val="CharAttribute2"/>
          <w:rFonts w:ascii="Calibri" w:hAnsi="Calibri"/>
          <w:szCs w:val="24"/>
        </w:rPr>
        <w:t>Norvilis</w:t>
      </w:r>
      <w:proofErr w:type="spellEnd"/>
      <w:r w:rsidRPr="002229EB">
        <w:rPr>
          <w:rStyle w:val="CharAttribute2"/>
          <w:rFonts w:ascii="Calibri" w:hAnsi="Calibri"/>
          <w:szCs w:val="24"/>
        </w:rPr>
        <w:t xml:space="preserve"> et al. 2006; </w:t>
      </w:r>
      <w:proofErr w:type="spellStart"/>
      <w:r w:rsidRPr="002229EB">
        <w:rPr>
          <w:rStyle w:val="CharAttribute2"/>
          <w:rFonts w:ascii="Calibri" w:hAnsi="Calibri"/>
          <w:szCs w:val="24"/>
        </w:rPr>
        <w:t>Haultain</w:t>
      </w:r>
      <w:proofErr w:type="spellEnd"/>
      <w:r w:rsidRPr="002229EB">
        <w:rPr>
          <w:rStyle w:val="CharAttribute2"/>
          <w:rFonts w:ascii="Calibri" w:hAnsi="Calibri"/>
          <w:szCs w:val="24"/>
        </w:rPr>
        <w:t xml:space="preserve"> et al. </w:t>
      </w:r>
      <w:r w:rsidRPr="002229EB">
        <w:rPr>
          <w:rStyle w:val="CharAttribute2"/>
          <w:rFonts w:ascii="Calibri" w:hAnsi="Calibri"/>
          <w:szCs w:val="24"/>
        </w:rPr>
        <w:lastRenderedPageBreak/>
        <w:t xml:space="preserve">2010; </w:t>
      </w:r>
      <w:proofErr w:type="spellStart"/>
      <w:r w:rsidRPr="002229EB">
        <w:rPr>
          <w:rStyle w:val="CharAttribute2"/>
          <w:rFonts w:ascii="Calibri" w:hAnsi="Calibri"/>
          <w:szCs w:val="24"/>
        </w:rPr>
        <w:t>Norvilis</w:t>
      </w:r>
      <w:proofErr w:type="spellEnd"/>
      <w:r w:rsidRPr="002229EB">
        <w:rPr>
          <w:rStyle w:val="CharAttribute2"/>
          <w:rFonts w:ascii="Calibri" w:hAnsi="Calibri"/>
          <w:szCs w:val="24"/>
        </w:rPr>
        <w:t xml:space="preserve"> et al. 2013) findings that Davies and Lea’s (1995) unidimensional Attitudes to Debt scale is insufficient to adequately describe this conceptual space.  This could be due to changes in the role </w:t>
      </w:r>
      <w:r w:rsidR="00EE00A2" w:rsidRPr="002229EB">
        <w:rPr>
          <w:rStyle w:val="CharAttribute2"/>
          <w:rFonts w:ascii="Calibri" w:hAnsi="Calibri"/>
          <w:szCs w:val="24"/>
        </w:rPr>
        <w:t>of, and meaning ascribed, to</w:t>
      </w:r>
      <w:r w:rsidRPr="002229EB">
        <w:rPr>
          <w:rStyle w:val="CharAttribute2"/>
          <w:rFonts w:ascii="Calibri" w:hAnsi="Calibri"/>
          <w:szCs w:val="24"/>
        </w:rPr>
        <w:t xml:space="preserve"> student debt in the intervening twenty years, as it has become more widespread and a more </w:t>
      </w:r>
      <w:r w:rsidR="00EE00A2" w:rsidRPr="002229EB">
        <w:rPr>
          <w:rStyle w:val="CharAttribute2"/>
          <w:rFonts w:ascii="Calibri" w:hAnsi="Calibri"/>
          <w:szCs w:val="24"/>
        </w:rPr>
        <w:t>ac</w:t>
      </w:r>
      <w:r w:rsidRPr="002229EB">
        <w:rPr>
          <w:rStyle w:val="CharAttribute2"/>
          <w:rFonts w:ascii="Calibri" w:hAnsi="Calibri"/>
          <w:szCs w:val="24"/>
        </w:rPr>
        <w:t>cepted aspect of the university experience.</w:t>
      </w:r>
      <w:r w:rsidR="004B44A4" w:rsidRPr="002229EB">
        <w:rPr>
          <w:rStyle w:val="CharAttribute2"/>
          <w:rFonts w:ascii="Calibri" w:hAnsi="Calibri"/>
          <w:szCs w:val="24"/>
        </w:rPr>
        <w:t xml:space="preserve">  Alternatively, it may be that the small sample size compromised their analysis.</w:t>
      </w:r>
    </w:p>
    <w:p w:rsidR="00527664" w:rsidRPr="002229EB" w:rsidRDefault="00527664" w:rsidP="009C3AC7">
      <w:pPr>
        <w:pStyle w:val="ParaAttribute0"/>
        <w:wordWrap/>
        <w:spacing w:line="276" w:lineRule="auto"/>
        <w:rPr>
          <w:rFonts w:ascii="Calibri" w:eastAsia="Tahoma" w:hAnsi="Calibri"/>
          <w:sz w:val="24"/>
          <w:szCs w:val="24"/>
        </w:rPr>
      </w:pPr>
    </w:p>
    <w:p w:rsidR="00527664" w:rsidRPr="002229EB" w:rsidRDefault="00527664" w:rsidP="009C3AC7">
      <w:pPr>
        <w:pStyle w:val="ParaAttribute0"/>
        <w:wordWrap/>
        <w:spacing w:line="276" w:lineRule="auto"/>
        <w:rPr>
          <w:rStyle w:val="CharAttribute2"/>
          <w:rFonts w:ascii="Calibri" w:hAnsi="Calibri"/>
          <w:szCs w:val="24"/>
        </w:rPr>
      </w:pPr>
      <w:r w:rsidRPr="002229EB">
        <w:rPr>
          <w:rFonts w:ascii="Calibri" w:eastAsia="Tahoma" w:hAnsi="Calibri"/>
          <w:sz w:val="24"/>
          <w:szCs w:val="24"/>
        </w:rPr>
        <w:t xml:space="preserve">The </w:t>
      </w:r>
      <w:r w:rsidR="00444ADD" w:rsidRPr="002229EB">
        <w:rPr>
          <w:rStyle w:val="CharAttribute2"/>
          <w:rFonts w:ascii="Calibri" w:hAnsi="Calibri"/>
          <w:szCs w:val="24"/>
        </w:rPr>
        <w:t xml:space="preserve">current study </w:t>
      </w:r>
      <w:r w:rsidRPr="002229EB">
        <w:rPr>
          <w:rStyle w:val="CharAttribute2"/>
          <w:rFonts w:ascii="Calibri" w:hAnsi="Calibri"/>
          <w:szCs w:val="24"/>
        </w:rPr>
        <w:t xml:space="preserve">is also </w:t>
      </w:r>
      <w:r w:rsidR="00444ADD" w:rsidRPr="002229EB">
        <w:rPr>
          <w:rStyle w:val="CharAttribute2"/>
          <w:rFonts w:ascii="Calibri" w:hAnsi="Calibri"/>
          <w:szCs w:val="24"/>
        </w:rPr>
        <w:t xml:space="preserve">in a degree of conflict with the findings of </w:t>
      </w:r>
      <w:proofErr w:type="spellStart"/>
      <w:r w:rsidR="007E7D9B" w:rsidRPr="002229EB">
        <w:rPr>
          <w:rStyle w:val="CharAttribute2"/>
          <w:rFonts w:ascii="Calibri" w:hAnsi="Calibri"/>
          <w:szCs w:val="24"/>
        </w:rPr>
        <w:t>Haultain</w:t>
      </w:r>
      <w:proofErr w:type="spellEnd"/>
      <w:r w:rsidR="007E7D9B" w:rsidRPr="002229EB">
        <w:rPr>
          <w:rStyle w:val="CharAttribute2"/>
          <w:rFonts w:ascii="Calibri" w:hAnsi="Calibri"/>
          <w:szCs w:val="24"/>
        </w:rPr>
        <w:t xml:space="preserve"> et al.</w:t>
      </w:r>
      <w:r w:rsidR="00444ADD" w:rsidRPr="002229EB">
        <w:rPr>
          <w:rStyle w:val="CharAttribute2"/>
          <w:rFonts w:ascii="Calibri" w:hAnsi="Calibri"/>
          <w:szCs w:val="24"/>
        </w:rPr>
        <w:t xml:space="preserve"> (</w:t>
      </w:r>
      <w:r w:rsidR="007E7D9B" w:rsidRPr="002229EB">
        <w:rPr>
          <w:rStyle w:val="CharAttribute2"/>
          <w:rFonts w:ascii="Calibri" w:hAnsi="Calibri"/>
          <w:szCs w:val="24"/>
        </w:rPr>
        <w:t>2010</w:t>
      </w:r>
      <w:r w:rsidR="00444ADD" w:rsidRPr="002229EB">
        <w:rPr>
          <w:rStyle w:val="CharAttribute2"/>
          <w:rFonts w:ascii="Calibri" w:hAnsi="Calibri"/>
          <w:szCs w:val="24"/>
        </w:rPr>
        <w:t xml:space="preserve">) who argued for a two-factor model.  The two studies are not entirely incompatible, however.  Firstly, the Anxiety factor in this study and </w:t>
      </w:r>
      <w:r w:rsidR="007E7D9B" w:rsidRPr="002229EB">
        <w:rPr>
          <w:rStyle w:val="CharAttribute2"/>
          <w:rFonts w:ascii="Calibri" w:hAnsi="Calibri"/>
          <w:szCs w:val="24"/>
        </w:rPr>
        <w:t>the</w:t>
      </w:r>
      <w:r w:rsidR="00EE00A2" w:rsidRPr="002229EB">
        <w:rPr>
          <w:rStyle w:val="CharAttribute2"/>
          <w:rFonts w:ascii="Calibri" w:hAnsi="Calibri"/>
          <w:szCs w:val="24"/>
        </w:rPr>
        <w:t>ir</w:t>
      </w:r>
      <w:r w:rsidR="007E7D9B" w:rsidRPr="002229EB">
        <w:rPr>
          <w:rStyle w:val="CharAttribute2"/>
          <w:rFonts w:ascii="Calibri" w:hAnsi="Calibri"/>
          <w:szCs w:val="24"/>
        </w:rPr>
        <w:t xml:space="preserve"> </w:t>
      </w:r>
      <w:r w:rsidR="00444ADD" w:rsidRPr="002229EB">
        <w:rPr>
          <w:rStyle w:val="CharAttribute2"/>
          <w:rFonts w:ascii="Calibri" w:hAnsi="Calibri"/>
          <w:szCs w:val="24"/>
        </w:rPr>
        <w:t>Fear of Debt</w:t>
      </w:r>
      <w:r w:rsidRPr="002229EB">
        <w:rPr>
          <w:rStyle w:val="CharAttribute2"/>
          <w:rFonts w:ascii="Calibri" w:hAnsi="Calibri"/>
          <w:szCs w:val="24"/>
        </w:rPr>
        <w:t xml:space="preserve"> factor are readily analogous, suggesting that an affective </w:t>
      </w:r>
      <w:r w:rsidR="00EE00A2" w:rsidRPr="002229EB">
        <w:rPr>
          <w:rStyle w:val="CharAttribute2"/>
          <w:rFonts w:ascii="Calibri" w:hAnsi="Calibri"/>
          <w:szCs w:val="24"/>
        </w:rPr>
        <w:t>component is crucial to understanding students’ responses to debt.</w:t>
      </w:r>
      <w:r w:rsidRPr="002229EB">
        <w:rPr>
          <w:rStyle w:val="CharAttribute2"/>
          <w:rFonts w:ascii="Calibri" w:hAnsi="Calibri"/>
          <w:szCs w:val="24"/>
        </w:rPr>
        <w:t xml:space="preserve"> </w:t>
      </w:r>
      <w:r w:rsidR="00EE00A2" w:rsidRPr="002229EB">
        <w:rPr>
          <w:rStyle w:val="CharAttribute2"/>
          <w:rFonts w:ascii="Calibri" w:hAnsi="Calibri"/>
          <w:szCs w:val="24"/>
        </w:rPr>
        <w:t xml:space="preserve"> Secondly, there is a clear congruence between their Debt Utility factor and the factor named Utility-For-Lifestyle in the current study.  It is suggested that both are measuring a latent attitudinal variable that relates to the extent to which a student is comfortab</w:t>
      </w:r>
      <w:r w:rsidR="00FE47A8" w:rsidRPr="002229EB">
        <w:rPr>
          <w:rStyle w:val="CharAttribute2"/>
          <w:rFonts w:ascii="Calibri" w:hAnsi="Calibri"/>
          <w:szCs w:val="24"/>
        </w:rPr>
        <w:t>le with using debt to meet the</w:t>
      </w:r>
      <w:r w:rsidR="00EE00A2" w:rsidRPr="002229EB">
        <w:rPr>
          <w:rStyle w:val="CharAttribute2"/>
          <w:rFonts w:ascii="Calibri" w:hAnsi="Calibri"/>
          <w:szCs w:val="24"/>
        </w:rPr>
        <w:t xml:space="preserve"> lifestyle</w:t>
      </w:r>
      <w:r w:rsidR="00FE47A8" w:rsidRPr="002229EB">
        <w:rPr>
          <w:rStyle w:val="CharAttribute2"/>
          <w:rFonts w:ascii="Calibri" w:hAnsi="Calibri"/>
          <w:szCs w:val="24"/>
        </w:rPr>
        <w:t xml:space="preserve"> that they have chosen</w:t>
      </w:r>
      <w:r w:rsidR="0057762F" w:rsidRPr="002229EB">
        <w:rPr>
          <w:rStyle w:val="CharAttribute2"/>
          <w:rFonts w:ascii="Calibri" w:hAnsi="Calibri"/>
          <w:szCs w:val="24"/>
        </w:rPr>
        <w:t>.  Such relationship between lifestyle expectations and the use of debt has been asserted by Davies and Lea (1995), Metcalf (2005) and Harrison and Chudry (2011), among others.</w:t>
      </w:r>
      <w:r w:rsidR="00E653AA" w:rsidRPr="002229EB">
        <w:rPr>
          <w:rStyle w:val="CharAttribute2"/>
          <w:rFonts w:ascii="Calibri" w:hAnsi="Calibri"/>
          <w:szCs w:val="24"/>
        </w:rPr>
        <w:t xml:space="preserve">  It is noted that </w:t>
      </w:r>
      <w:r w:rsidR="004B44A4" w:rsidRPr="002229EB">
        <w:rPr>
          <w:rStyle w:val="CharAttribute2"/>
          <w:rFonts w:ascii="Calibri" w:hAnsi="Calibri"/>
          <w:szCs w:val="24"/>
        </w:rPr>
        <w:t>US</w:t>
      </w:r>
      <w:r w:rsidR="00E653AA" w:rsidRPr="002229EB">
        <w:rPr>
          <w:rStyle w:val="CharAttribute2"/>
          <w:rFonts w:ascii="Calibri" w:hAnsi="Calibri"/>
          <w:szCs w:val="24"/>
        </w:rPr>
        <w:t xml:space="preserve"> students, on average, perceive a lower utility in using debt for social or luxury purposes.</w:t>
      </w:r>
    </w:p>
    <w:p w:rsidR="00527664" w:rsidRPr="002229EB" w:rsidRDefault="00527664" w:rsidP="009C3AC7">
      <w:pPr>
        <w:pStyle w:val="ParaAttribute0"/>
        <w:wordWrap/>
        <w:spacing w:line="276" w:lineRule="auto"/>
        <w:rPr>
          <w:rStyle w:val="CharAttribute2"/>
          <w:rFonts w:ascii="Calibri" w:hAnsi="Calibri"/>
          <w:szCs w:val="24"/>
        </w:rPr>
      </w:pPr>
    </w:p>
    <w:p w:rsidR="00EE00A2" w:rsidRPr="002229EB" w:rsidRDefault="00FE47A8" w:rsidP="009C3AC7">
      <w:pPr>
        <w:pStyle w:val="ParaAttribute0"/>
        <w:wordWrap/>
        <w:spacing w:line="276" w:lineRule="auto"/>
        <w:rPr>
          <w:rStyle w:val="CharAttribute2"/>
          <w:rFonts w:ascii="Calibri" w:hAnsi="Calibri"/>
          <w:szCs w:val="24"/>
        </w:rPr>
      </w:pPr>
      <w:r w:rsidRPr="002229EB">
        <w:rPr>
          <w:rStyle w:val="CharAttribute2"/>
          <w:rFonts w:ascii="Calibri" w:hAnsi="Calibri"/>
          <w:szCs w:val="24"/>
        </w:rPr>
        <w:t xml:space="preserve">However, </w:t>
      </w:r>
      <w:r w:rsidR="00460411" w:rsidRPr="002229EB">
        <w:rPr>
          <w:rStyle w:val="CharAttribute2"/>
          <w:rFonts w:ascii="Calibri" w:hAnsi="Calibri"/>
          <w:szCs w:val="24"/>
        </w:rPr>
        <w:t xml:space="preserve">this study argues for an additional conceptualisation of utility that is absent from </w:t>
      </w:r>
      <w:proofErr w:type="spellStart"/>
      <w:r w:rsidR="00460411" w:rsidRPr="002229EB">
        <w:rPr>
          <w:rStyle w:val="CharAttribute2"/>
          <w:rFonts w:ascii="Calibri" w:hAnsi="Calibri"/>
          <w:szCs w:val="24"/>
        </w:rPr>
        <w:t>Haultain</w:t>
      </w:r>
      <w:proofErr w:type="spellEnd"/>
      <w:r w:rsidR="00460411" w:rsidRPr="002229EB">
        <w:rPr>
          <w:rStyle w:val="CharAttribute2"/>
          <w:rFonts w:ascii="Calibri" w:hAnsi="Calibri"/>
          <w:szCs w:val="24"/>
        </w:rPr>
        <w:t xml:space="preserve"> et al. (2010).  The third factor in this study’s model (Utility-For-Investment) addresses the </w:t>
      </w:r>
      <w:proofErr w:type="gramStart"/>
      <w:r w:rsidR="00460411" w:rsidRPr="002229EB">
        <w:rPr>
          <w:rStyle w:val="CharAttribute2"/>
          <w:rFonts w:ascii="Calibri" w:hAnsi="Calibri"/>
          <w:szCs w:val="24"/>
        </w:rPr>
        <w:t>students</w:t>
      </w:r>
      <w:proofErr w:type="gramEnd"/>
      <w:r w:rsidR="00460411" w:rsidRPr="002229EB">
        <w:rPr>
          <w:rStyle w:val="CharAttribute2"/>
          <w:rFonts w:ascii="Calibri" w:hAnsi="Calibri"/>
          <w:szCs w:val="24"/>
        </w:rPr>
        <w:t xml:space="preserve"> belief in education as a long-term financial investment and the extent to which the accumulation of debt is acceptable given higher future employability and earnings expectations.  In other words, </w:t>
      </w:r>
      <w:r w:rsidR="00D44D79" w:rsidRPr="002229EB">
        <w:rPr>
          <w:rStyle w:val="CharAttribute2"/>
          <w:rFonts w:ascii="Calibri" w:hAnsi="Calibri"/>
          <w:szCs w:val="24"/>
        </w:rPr>
        <w:t>it reflect</w:t>
      </w:r>
      <w:r w:rsidR="002E3B68" w:rsidRPr="002229EB">
        <w:rPr>
          <w:rStyle w:val="CharAttribute2"/>
          <w:rFonts w:ascii="Calibri" w:hAnsi="Calibri"/>
          <w:szCs w:val="24"/>
        </w:rPr>
        <w:t>s</w:t>
      </w:r>
      <w:r w:rsidR="00D44D79" w:rsidRPr="002229EB">
        <w:rPr>
          <w:rStyle w:val="CharAttribute2"/>
          <w:rFonts w:ascii="Calibri" w:hAnsi="Calibri"/>
          <w:szCs w:val="24"/>
        </w:rPr>
        <w:t xml:space="preserve"> the belief in human capital </w:t>
      </w:r>
      <w:r w:rsidR="004B44A4" w:rsidRPr="002229EB">
        <w:rPr>
          <w:rStyle w:val="CharAttribute2"/>
          <w:rFonts w:ascii="Calibri" w:hAnsi="Calibri"/>
          <w:szCs w:val="24"/>
        </w:rPr>
        <w:t xml:space="preserve">theory (Becker, 1994) </w:t>
      </w:r>
      <w:r w:rsidR="00D44D79" w:rsidRPr="002229EB">
        <w:rPr>
          <w:rStyle w:val="CharAttribute2"/>
          <w:rFonts w:ascii="Calibri" w:hAnsi="Calibri"/>
          <w:szCs w:val="24"/>
        </w:rPr>
        <w:t>and the relative return-on-investment from accruing debt to improve one’s own labour market position.  This study argues that this form of utility is orthogonal to lifestyle utility and represents a separate dimension in students’ responses to debt.</w:t>
      </w:r>
    </w:p>
    <w:p w:rsidR="00EE00A2" w:rsidRPr="002229EB" w:rsidRDefault="00EE00A2" w:rsidP="009C3AC7">
      <w:pPr>
        <w:pStyle w:val="ParaAttribute0"/>
        <w:wordWrap/>
        <w:spacing w:line="276" w:lineRule="auto"/>
        <w:rPr>
          <w:rStyle w:val="CharAttribute2"/>
          <w:rFonts w:ascii="Calibri" w:hAnsi="Calibri"/>
          <w:szCs w:val="24"/>
        </w:rPr>
      </w:pPr>
    </w:p>
    <w:p w:rsidR="004558A6" w:rsidRPr="002229EB" w:rsidRDefault="00D44D79" w:rsidP="009C3AC7">
      <w:pPr>
        <w:pStyle w:val="ParaAttribute0"/>
        <w:wordWrap/>
        <w:spacing w:line="276" w:lineRule="auto"/>
        <w:rPr>
          <w:rStyle w:val="CharAttribute2"/>
          <w:rFonts w:ascii="Calibri" w:hAnsi="Calibri"/>
          <w:szCs w:val="24"/>
        </w:rPr>
      </w:pPr>
      <w:r w:rsidRPr="002229EB">
        <w:rPr>
          <w:rStyle w:val="CharAttribute2"/>
          <w:rFonts w:ascii="Calibri" w:hAnsi="Calibri"/>
          <w:szCs w:val="24"/>
        </w:rPr>
        <w:t>Th</w:t>
      </w:r>
      <w:r w:rsidR="004558A6" w:rsidRPr="002229EB">
        <w:rPr>
          <w:rStyle w:val="CharAttribute2"/>
          <w:rFonts w:ascii="Calibri" w:hAnsi="Calibri"/>
          <w:szCs w:val="24"/>
        </w:rPr>
        <w:t>e final factor in this study (</w:t>
      </w:r>
      <w:r w:rsidR="004F7375" w:rsidRPr="002229EB">
        <w:rPr>
          <w:rStyle w:val="CharAttribute2"/>
          <w:rFonts w:ascii="Calibri" w:hAnsi="Calibri"/>
          <w:szCs w:val="24"/>
        </w:rPr>
        <w:t>Confidence</w:t>
      </w:r>
      <w:r w:rsidR="004558A6" w:rsidRPr="002229EB">
        <w:rPr>
          <w:rStyle w:val="CharAttribute2"/>
          <w:rFonts w:ascii="Calibri" w:hAnsi="Calibri"/>
          <w:szCs w:val="24"/>
        </w:rPr>
        <w:t>) has not previously emerged in the literature.  It represents a latent variable described in the extent to which the individual feels informed</w:t>
      </w:r>
      <w:r w:rsidR="005C4257" w:rsidRPr="002229EB">
        <w:rPr>
          <w:rStyle w:val="CharAttribute2"/>
          <w:rFonts w:ascii="Calibri" w:hAnsi="Calibri"/>
          <w:szCs w:val="24"/>
        </w:rPr>
        <w:t xml:space="preserve"> </w:t>
      </w:r>
      <w:r w:rsidR="004558A6" w:rsidRPr="002229EB">
        <w:rPr>
          <w:rStyle w:val="CharAttribute2"/>
          <w:rFonts w:ascii="Calibri" w:hAnsi="Calibri"/>
          <w:szCs w:val="24"/>
        </w:rPr>
        <w:t>and in control of their debt.  It m</w:t>
      </w:r>
      <w:r w:rsidR="00AC18B0" w:rsidRPr="002229EB">
        <w:rPr>
          <w:rStyle w:val="CharAttribute2"/>
          <w:rFonts w:ascii="Calibri" w:hAnsi="Calibri"/>
          <w:szCs w:val="24"/>
        </w:rPr>
        <w:t xml:space="preserve">ay be related, to a degree, to </w:t>
      </w:r>
      <w:r w:rsidR="00707817" w:rsidRPr="002229EB">
        <w:rPr>
          <w:rStyle w:val="CharAttribute2"/>
          <w:rFonts w:ascii="Calibri" w:hAnsi="Calibri"/>
          <w:szCs w:val="24"/>
        </w:rPr>
        <w:t>L</w:t>
      </w:r>
      <w:r w:rsidR="004558A6" w:rsidRPr="002229EB">
        <w:rPr>
          <w:rStyle w:val="CharAttribute2"/>
          <w:rFonts w:ascii="Calibri" w:hAnsi="Calibri"/>
          <w:szCs w:val="24"/>
        </w:rPr>
        <w:t xml:space="preserve">ocus of </w:t>
      </w:r>
      <w:r w:rsidR="00707817" w:rsidRPr="002229EB">
        <w:rPr>
          <w:rStyle w:val="CharAttribute2"/>
          <w:rFonts w:ascii="Calibri" w:hAnsi="Calibri"/>
          <w:szCs w:val="24"/>
        </w:rPr>
        <w:t>C</w:t>
      </w:r>
      <w:r w:rsidR="004558A6" w:rsidRPr="002229EB">
        <w:rPr>
          <w:rStyle w:val="CharAttribute2"/>
          <w:rFonts w:ascii="Calibri" w:hAnsi="Calibri"/>
          <w:szCs w:val="24"/>
        </w:rPr>
        <w:t>ontr</w:t>
      </w:r>
      <w:r w:rsidR="00AC18B0" w:rsidRPr="002229EB">
        <w:rPr>
          <w:rStyle w:val="CharAttribute2"/>
          <w:rFonts w:ascii="Calibri" w:hAnsi="Calibri"/>
          <w:szCs w:val="24"/>
        </w:rPr>
        <w:t>ol</w:t>
      </w:r>
      <w:r w:rsidR="00707817" w:rsidRPr="002229EB">
        <w:rPr>
          <w:rStyle w:val="CharAttribute2"/>
          <w:rFonts w:ascii="Calibri" w:hAnsi="Calibri"/>
          <w:szCs w:val="24"/>
        </w:rPr>
        <w:t xml:space="preserve"> (e.g. Peltier et al., 2013) or Money Management (Chudry et al., 2011), which have</w:t>
      </w:r>
      <w:r w:rsidR="004558A6" w:rsidRPr="002229EB">
        <w:rPr>
          <w:rStyle w:val="CharAttribute2"/>
          <w:rFonts w:ascii="Calibri" w:hAnsi="Calibri"/>
          <w:szCs w:val="24"/>
        </w:rPr>
        <w:t xml:space="preserve"> been hypothesised to have a role in debt behaviour in other studies.  </w:t>
      </w:r>
      <w:r w:rsidR="004F7375" w:rsidRPr="002229EB">
        <w:rPr>
          <w:rStyle w:val="CharAttribute2"/>
          <w:rFonts w:ascii="Calibri" w:hAnsi="Calibri"/>
          <w:szCs w:val="24"/>
        </w:rPr>
        <w:t>It is assumed to be related to, bu</w:t>
      </w:r>
      <w:r w:rsidR="00444ADD" w:rsidRPr="002229EB">
        <w:rPr>
          <w:rStyle w:val="CharAttribute2"/>
          <w:rFonts w:ascii="Calibri" w:hAnsi="Calibri"/>
          <w:szCs w:val="24"/>
        </w:rPr>
        <w:t>t does not directly capture</w:t>
      </w:r>
      <w:r w:rsidR="004F7375" w:rsidRPr="002229EB">
        <w:rPr>
          <w:rStyle w:val="CharAttribute2"/>
          <w:rFonts w:ascii="Calibri" w:hAnsi="Calibri"/>
          <w:szCs w:val="24"/>
        </w:rPr>
        <w:t>,</w:t>
      </w:r>
      <w:r w:rsidR="00444ADD" w:rsidRPr="002229EB">
        <w:rPr>
          <w:rStyle w:val="CharAttribute2"/>
          <w:rFonts w:ascii="Calibri" w:hAnsi="Calibri"/>
          <w:szCs w:val="24"/>
        </w:rPr>
        <w:t xml:space="preserve"> their knowledge, nor their</w:t>
      </w:r>
      <w:r w:rsidR="004B44A4" w:rsidRPr="002229EB">
        <w:rPr>
          <w:rStyle w:val="CharAttribute2"/>
          <w:rFonts w:ascii="Calibri" w:hAnsi="Calibri"/>
          <w:szCs w:val="24"/>
        </w:rPr>
        <w:t xml:space="preserve"> behavioural</w:t>
      </w:r>
      <w:r w:rsidR="00444ADD" w:rsidRPr="002229EB">
        <w:rPr>
          <w:rStyle w:val="CharAttribute2"/>
          <w:rFonts w:ascii="Calibri" w:hAnsi="Calibri"/>
          <w:szCs w:val="24"/>
        </w:rPr>
        <w:t xml:space="preserve"> reaction to the information at their disposal.  However, it is reasonable to contend that there is an underlying openness to seeking out and internalising information about debt which is personal in nature and which may impact on behaviour.  In other words, it may be possible to feel well-informed</w:t>
      </w:r>
      <w:r w:rsidR="004B44A4" w:rsidRPr="002229EB">
        <w:rPr>
          <w:rStyle w:val="CharAttribute2"/>
          <w:rFonts w:ascii="Calibri" w:hAnsi="Calibri"/>
          <w:szCs w:val="24"/>
        </w:rPr>
        <w:t xml:space="preserve"> and confident</w:t>
      </w:r>
      <w:r w:rsidR="00444ADD" w:rsidRPr="002229EB">
        <w:rPr>
          <w:rStyle w:val="CharAttribute2"/>
          <w:rFonts w:ascii="Calibri" w:hAnsi="Calibri"/>
          <w:szCs w:val="24"/>
        </w:rPr>
        <w:t xml:space="preserve">, but still anxious, leading to </w:t>
      </w:r>
      <w:r w:rsidR="004F7375" w:rsidRPr="002229EB">
        <w:rPr>
          <w:rStyle w:val="CharAttribute2"/>
          <w:rFonts w:ascii="Calibri" w:hAnsi="Calibri"/>
          <w:szCs w:val="24"/>
        </w:rPr>
        <w:t>debt reduction or avoidance; conversely, one might be unconfident, but sufficiently comfortable with indebtedness to increase borrowing.</w:t>
      </w:r>
    </w:p>
    <w:p w:rsidR="004558A6" w:rsidRPr="002229EB" w:rsidRDefault="004558A6" w:rsidP="009C3AC7">
      <w:pPr>
        <w:pStyle w:val="ParaAttribute0"/>
        <w:wordWrap/>
        <w:spacing w:line="276" w:lineRule="auto"/>
        <w:rPr>
          <w:rStyle w:val="CharAttribute2"/>
          <w:rFonts w:ascii="Calibri" w:hAnsi="Calibri"/>
          <w:szCs w:val="24"/>
        </w:rPr>
      </w:pPr>
    </w:p>
    <w:p w:rsidR="004558A6" w:rsidRPr="002229EB" w:rsidRDefault="004558A6" w:rsidP="009C3AC7">
      <w:pPr>
        <w:pStyle w:val="ParaAttribute0"/>
        <w:wordWrap/>
        <w:spacing w:line="276" w:lineRule="auto"/>
        <w:rPr>
          <w:rFonts w:ascii="Calibri" w:eastAsia="Tahoma" w:hAnsi="Calibri"/>
          <w:sz w:val="24"/>
          <w:szCs w:val="24"/>
        </w:rPr>
      </w:pPr>
      <w:r w:rsidRPr="002229EB">
        <w:rPr>
          <w:rFonts w:ascii="Calibri" w:eastAsia="Tahoma" w:hAnsi="Calibri"/>
          <w:sz w:val="24"/>
          <w:szCs w:val="24"/>
        </w:rPr>
        <w:t xml:space="preserve">The </w:t>
      </w:r>
      <w:r w:rsidR="004F7375" w:rsidRPr="002229EB">
        <w:rPr>
          <w:rFonts w:ascii="Calibri" w:eastAsia="Tahoma" w:hAnsi="Calibri"/>
          <w:sz w:val="24"/>
          <w:szCs w:val="24"/>
        </w:rPr>
        <w:t>Confidence</w:t>
      </w:r>
      <w:r w:rsidRPr="002229EB">
        <w:rPr>
          <w:rFonts w:ascii="Calibri" w:eastAsia="Tahoma" w:hAnsi="Calibri"/>
          <w:sz w:val="24"/>
          <w:szCs w:val="24"/>
        </w:rPr>
        <w:t xml:space="preserve"> factor </w:t>
      </w:r>
      <w:r w:rsidR="00E675A0" w:rsidRPr="002229EB">
        <w:rPr>
          <w:rFonts w:ascii="Calibri" w:eastAsia="Tahoma" w:hAnsi="Calibri"/>
          <w:sz w:val="24"/>
          <w:szCs w:val="24"/>
        </w:rPr>
        <w:t xml:space="preserve">plays an interesting role within the model, being significantly correlated with all three other factors.  Further work is needed to explore the extent to which these relationships may be causal.  For example, does having high perceived knowledge about finances help to reduce anxiety, or do those who are anxious about debt refuse to interest themselves in </w:t>
      </w:r>
      <w:r w:rsidR="00E675A0" w:rsidRPr="002229EB">
        <w:rPr>
          <w:rFonts w:ascii="Calibri" w:eastAsia="Tahoma" w:hAnsi="Calibri"/>
          <w:sz w:val="24"/>
          <w:szCs w:val="24"/>
        </w:rPr>
        <w:lastRenderedPageBreak/>
        <w:t xml:space="preserve">financial matters, preferring a position of ‘blissful ignorance’?  Similarly, does financial </w:t>
      </w:r>
      <w:r w:rsidR="004F7375" w:rsidRPr="002229EB">
        <w:rPr>
          <w:rFonts w:ascii="Calibri" w:eastAsia="Tahoma" w:hAnsi="Calibri"/>
          <w:sz w:val="24"/>
          <w:szCs w:val="24"/>
        </w:rPr>
        <w:t>confidence</w:t>
      </w:r>
      <w:r w:rsidR="00E675A0" w:rsidRPr="002229EB">
        <w:rPr>
          <w:rFonts w:ascii="Calibri" w:eastAsia="Tahoma" w:hAnsi="Calibri"/>
          <w:sz w:val="24"/>
          <w:szCs w:val="24"/>
        </w:rPr>
        <w:t xml:space="preserve"> help students to make economically-rational cost/benefit decisions about educational borrowing, or is there an unknown latent variable that predicts both the desire understand one’s finances and the extent to which one ‘buys into’ human capital theory?</w:t>
      </w:r>
    </w:p>
    <w:p w:rsidR="004558A6" w:rsidRPr="002229EB" w:rsidRDefault="004558A6" w:rsidP="009C3AC7">
      <w:pPr>
        <w:pStyle w:val="ParaAttribute0"/>
        <w:wordWrap/>
        <w:spacing w:line="276" w:lineRule="auto"/>
        <w:rPr>
          <w:rFonts w:ascii="Calibri" w:eastAsia="Tahoma" w:hAnsi="Calibri"/>
          <w:sz w:val="24"/>
          <w:szCs w:val="24"/>
        </w:rPr>
      </w:pPr>
    </w:p>
    <w:p w:rsidR="00444ADD" w:rsidRPr="002229EB" w:rsidRDefault="00444ADD" w:rsidP="009C3AC7">
      <w:pPr>
        <w:pStyle w:val="ParaAttribute0"/>
        <w:wordWrap/>
        <w:spacing w:line="276" w:lineRule="auto"/>
        <w:rPr>
          <w:rFonts w:ascii="Calibri" w:eastAsia="Tahoma" w:hAnsi="Calibri"/>
          <w:sz w:val="24"/>
          <w:szCs w:val="24"/>
        </w:rPr>
      </w:pPr>
      <w:r w:rsidRPr="002229EB">
        <w:rPr>
          <w:rStyle w:val="CharAttribute2"/>
          <w:rFonts w:ascii="Calibri" w:hAnsi="Calibri"/>
          <w:szCs w:val="24"/>
        </w:rPr>
        <w:t>The model presented in this paper is consistent with the six types proposed by Harrison et al</w:t>
      </w:r>
      <w:r w:rsidR="00254A21" w:rsidRPr="002229EB">
        <w:rPr>
          <w:rStyle w:val="CharAttribute2"/>
          <w:rFonts w:ascii="Calibri" w:hAnsi="Calibri"/>
          <w:szCs w:val="24"/>
        </w:rPr>
        <w:t>.</w:t>
      </w:r>
      <w:r w:rsidRPr="002229EB">
        <w:rPr>
          <w:rStyle w:val="CharAttribute2"/>
          <w:rFonts w:ascii="Calibri" w:hAnsi="Calibri"/>
          <w:szCs w:val="24"/>
        </w:rPr>
        <w:t xml:space="preserve"> (</w:t>
      </w:r>
      <w:r w:rsidR="00254A21" w:rsidRPr="002229EB">
        <w:rPr>
          <w:rStyle w:val="CharAttribute2"/>
          <w:rFonts w:ascii="Calibri" w:hAnsi="Calibri"/>
          <w:szCs w:val="24"/>
        </w:rPr>
        <w:t>in press</w:t>
      </w:r>
      <w:r w:rsidRPr="002229EB">
        <w:rPr>
          <w:rStyle w:val="CharAttribute2"/>
          <w:rFonts w:ascii="Calibri" w:hAnsi="Calibri"/>
          <w:szCs w:val="24"/>
        </w:rPr>
        <w:t xml:space="preserve">), but it suggests that these types represent clustered </w:t>
      </w:r>
      <w:proofErr w:type="spellStart"/>
      <w:r w:rsidRPr="002229EB">
        <w:rPr>
          <w:rStyle w:val="CharAttribute2"/>
          <w:rFonts w:ascii="Calibri" w:hAnsi="Calibri"/>
          <w:szCs w:val="24"/>
        </w:rPr>
        <w:t>positionings</w:t>
      </w:r>
      <w:proofErr w:type="spellEnd"/>
      <w:r w:rsidRPr="002229EB">
        <w:rPr>
          <w:rStyle w:val="CharAttribute2"/>
          <w:rFonts w:ascii="Calibri" w:hAnsi="Calibri"/>
          <w:szCs w:val="24"/>
        </w:rPr>
        <w:t xml:space="preserve"> within a multi-dimension model, rather than the dimensions of this model.  For example, the 'debt oblivious' type appears to be described by a combination of low Anxiety and </w:t>
      </w:r>
      <w:r w:rsidR="004F7375" w:rsidRPr="002229EB">
        <w:rPr>
          <w:rStyle w:val="CharAttribute2"/>
          <w:rFonts w:ascii="Calibri" w:hAnsi="Calibri"/>
          <w:szCs w:val="24"/>
        </w:rPr>
        <w:t>Confidence</w:t>
      </w:r>
      <w:r w:rsidRPr="002229EB">
        <w:rPr>
          <w:rStyle w:val="CharAttribute2"/>
          <w:rFonts w:ascii="Calibri" w:hAnsi="Calibri"/>
          <w:szCs w:val="24"/>
        </w:rPr>
        <w:t xml:space="preserve"> and high </w:t>
      </w:r>
      <w:r w:rsidR="00254A21" w:rsidRPr="002229EB">
        <w:rPr>
          <w:rStyle w:val="CharAttribute2"/>
          <w:rFonts w:ascii="Calibri" w:hAnsi="Calibri"/>
          <w:szCs w:val="24"/>
        </w:rPr>
        <w:t>Utility</w:t>
      </w:r>
      <w:r w:rsidRPr="002229EB">
        <w:rPr>
          <w:rStyle w:val="CharAttribute2"/>
          <w:rFonts w:ascii="Calibri" w:hAnsi="Calibri"/>
          <w:szCs w:val="24"/>
        </w:rPr>
        <w:t>-For-Lifestyle, while the 'debt positiv</w:t>
      </w:r>
      <w:r w:rsidR="00254A21" w:rsidRPr="002229EB">
        <w:rPr>
          <w:rStyle w:val="CharAttribute2"/>
          <w:rFonts w:ascii="Calibri" w:hAnsi="Calibri"/>
          <w:szCs w:val="24"/>
        </w:rPr>
        <w:t xml:space="preserve">e' type has </w:t>
      </w:r>
      <w:r w:rsidRPr="002229EB">
        <w:rPr>
          <w:rStyle w:val="CharAttribute2"/>
          <w:rFonts w:ascii="Calibri" w:hAnsi="Calibri"/>
          <w:szCs w:val="24"/>
        </w:rPr>
        <w:t xml:space="preserve">low Anxiety coupled with </w:t>
      </w:r>
      <w:r w:rsidR="00254A21" w:rsidRPr="002229EB">
        <w:rPr>
          <w:rStyle w:val="CharAttribute2"/>
          <w:rFonts w:ascii="Calibri" w:hAnsi="Calibri"/>
          <w:szCs w:val="24"/>
        </w:rPr>
        <w:t xml:space="preserve">a </w:t>
      </w:r>
      <w:r w:rsidRPr="002229EB">
        <w:rPr>
          <w:rStyle w:val="CharAttribute2"/>
          <w:rFonts w:ascii="Calibri" w:hAnsi="Calibri"/>
          <w:szCs w:val="24"/>
        </w:rPr>
        <w:t xml:space="preserve">high </w:t>
      </w:r>
      <w:r w:rsidR="00254A21" w:rsidRPr="002229EB">
        <w:rPr>
          <w:rStyle w:val="CharAttribute2"/>
          <w:rFonts w:ascii="Calibri" w:hAnsi="Calibri"/>
          <w:szCs w:val="24"/>
        </w:rPr>
        <w:t>Utility-For-Investment</w:t>
      </w:r>
      <w:r w:rsidRPr="002229EB">
        <w:rPr>
          <w:rStyle w:val="CharAttribute2"/>
          <w:rFonts w:ascii="Calibri" w:hAnsi="Calibri"/>
          <w:szCs w:val="24"/>
        </w:rPr>
        <w:t>.  There is therefore scope for possible new types not described in Harrison et al</w:t>
      </w:r>
      <w:r w:rsidR="00254A21" w:rsidRPr="002229EB">
        <w:rPr>
          <w:rStyle w:val="CharAttribute2"/>
          <w:rFonts w:ascii="Calibri" w:hAnsi="Calibri"/>
          <w:szCs w:val="24"/>
        </w:rPr>
        <w:t>.</w:t>
      </w:r>
      <w:r w:rsidRPr="002229EB">
        <w:rPr>
          <w:rStyle w:val="CharAttribute2"/>
          <w:rFonts w:ascii="Calibri" w:hAnsi="Calibri"/>
          <w:szCs w:val="24"/>
        </w:rPr>
        <w:t xml:space="preserve"> (</w:t>
      </w:r>
      <w:r w:rsidR="00254A21" w:rsidRPr="002229EB">
        <w:rPr>
          <w:rStyle w:val="CharAttribute2"/>
          <w:rFonts w:ascii="Calibri" w:hAnsi="Calibri"/>
          <w:szCs w:val="24"/>
        </w:rPr>
        <w:t>in press</w:t>
      </w:r>
      <w:r w:rsidRPr="002229EB">
        <w:rPr>
          <w:rStyle w:val="CharAttribute2"/>
          <w:rFonts w:ascii="Calibri" w:hAnsi="Calibri"/>
          <w:szCs w:val="24"/>
        </w:rPr>
        <w:t xml:space="preserve">).  For example, an individual with high </w:t>
      </w:r>
      <w:r w:rsidR="004F7375" w:rsidRPr="002229EB">
        <w:rPr>
          <w:rStyle w:val="CharAttribute2"/>
          <w:rFonts w:ascii="Calibri" w:hAnsi="Calibri"/>
          <w:szCs w:val="24"/>
        </w:rPr>
        <w:t>Confidence</w:t>
      </w:r>
      <w:r w:rsidRPr="002229EB">
        <w:rPr>
          <w:rStyle w:val="CharAttribute2"/>
          <w:rFonts w:ascii="Calibri" w:hAnsi="Calibri"/>
          <w:szCs w:val="24"/>
        </w:rPr>
        <w:t xml:space="preserve">, </w:t>
      </w:r>
      <w:r w:rsidR="00254A21" w:rsidRPr="002229EB">
        <w:rPr>
          <w:rStyle w:val="CharAttribute2"/>
          <w:rFonts w:ascii="Calibri" w:hAnsi="Calibri"/>
          <w:szCs w:val="24"/>
        </w:rPr>
        <w:t>Utility</w:t>
      </w:r>
      <w:r w:rsidRPr="002229EB">
        <w:rPr>
          <w:rStyle w:val="CharAttribute2"/>
          <w:rFonts w:ascii="Calibri" w:hAnsi="Calibri"/>
          <w:szCs w:val="24"/>
        </w:rPr>
        <w:t xml:space="preserve">-For-Investment and Anxiety scores might be described as 'debt risky', calculatingly trading off their short-term anxiety for long-term benefit.  A putative type of those with high Anxiety and low </w:t>
      </w:r>
      <w:r w:rsidR="00903511" w:rsidRPr="002229EB">
        <w:rPr>
          <w:rStyle w:val="CharAttribute2"/>
          <w:rFonts w:ascii="Calibri" w:hAnsi="Calibri"/>
          <w:szCs w:val="24"/>
        </w:rPr>
        <w:t>Utility</w:t>
      </w:r>
      <w:r w:rsidRPr="002229EB">
        <w:rPr>
          <w:rStyle w:val="CharAttribute2"/>
          <w:rFonts w:ascii="Calibri" w:hAnsi="Calibri"/>
          <w:szCs w:val="24"/>
        </w:rPr>
        <w:t xml:space="preserve">-For-Investment are likely to be those dissuaded from higher education altogether, with </w:t>
      </w:r>
      <w:r w:rsidR="00903511" w:rsidRPr="002229EB">
        <w:rPr>
          <w:rStyle w:val="CharAttribute2"/>
          <w:rFonts w:ascii="Calibri" w:hAnsi="Calibri"/>
          <w:szCs w:val="24"/>
        </w:rPr>
        <w:t xml:space="preserve">possible </w:t>
      </w:r>
      <w:r w:rsidRPr="002229EB">
        <w:rPr>
          <w:rStyle w:val="CharAttribute2"/>
          <w:rFonts w:ascii="Calibri" w:hAnsi="Calibri"/>
          <w:szCs w:val="24"/>
        </w:rPr>
        <w:t>debt causing them negative affect with no belief that the outcomes of accruing the debt will be positive.</w:t>
      </w:r>
    </w:p>
    <w:p w:rsidR="00444ADD" w:rsidRPr="002229EB" w:rsidRDefault="00444ADD" w:rsidP="009C3AC7">
      <w:pPr>
        <w:pStyle w:val="ParaAttribute0"/>
        <w:wordWrap/>
        <w:spacing w:line="276" w:lineRule="auto"/>
        <w:rPr>
          <w:rFonts w:ascii="Calibri" w:eastAsia="Tahoma" w:hAnsi="Calibri"/>
          <w:sz w:val="24"/>
          <w:szCs w:val="24"/>
        </w:rPr>
      </w:pPr>
    </w:p>
    <w:p w:rsidR="003D77C3" w:rsidRPr="002229EB" w:rsidRDefault="003D77C3" w:rsidP="003D77C3">
      <w:pPr>
        <w:pStyle w:val="ParaAttribute0"/>
        <w:wordWrap/>
        <w:spacing w:line="276" w:lineRule="auto"/>
        <w:rPr>
          <w:rFonts w:ascii="Calibri" w:eastAsia="Tahoma" w:hAnsi="Calibri"/>
          <w:sz w:val="24"/>
          <w:szCs w:val="24"/>
        </w:rPr>
      </w:pPr>
      <w:r w:rsidRPr="002229EB">
        <w:rPr>
          <w:rFonts w:ascii="Calibri" w:eastAsia="Tahoma" w:hAnsi="Calibri"/>
          <w:sz w:val="24"/>
          <w:szCs w:val="24"/>
        </w:rPr>
        <w:t xml:space="preserve">The analysis of the average item scores demonstrate that US students, on average, have a stronger belief in the ability of higher education to provide labour market advantage.  This is consistent with stereotypes around the meritocratic nature of American society and an underlying </w:t>
      </w:r>
      <w:proofErr w:type="spellStart"/>
      <w:r w:rsidRPr="002229EB">
        <w:rPr>
          <w:rFonts w:ascii="Calibri" w:eastAsia="Tahoma" w:hAnsi="Calibri"/>
          <w:sz w:val="24"/>
          <w:szCs w:val="24"/>
        </w:rPr>
        <w:t>credentialism</w:t>
      </w:r>
      <w:proofErr w:type="spellEnd"/>
      <w:r w:rsidRPr="002229EB">
        <w:rPr>
          <w:rFonts w:ascii="Calibri" w:eastAsia="Tahoma" w:hAnsi="Calibri"/>
          <w:sz w:val="24"/>
          <w:szCs w:val="24"/>
        </w:rPr>
        <w:t xml:space="preserve"> that leads to career success.  As this belief is lower in </w:t>
      </w:r>
      <w:r w:rsidR="004B44A4" w:rsidRPr="002229EB">
        <w:rPr>
          <w:rFonts w:ascii="Calibri" w:eastAsia="Tahoma" w:hAnsi="Calibri"/>
          <w:sz w:val="24"/>
          <w:szCs w:val="24"/>
        </w:rPr>
        <w:t xml:space="preserve">England </w:t>
      </w:r>
      <w:r w:rsidRPr="002229EB">
        <w:rPr>
          <w:rFonts w:ascii="Calibri" w:eastAsia="Tahoma" w:hAnsi="Calibri"/>
          <w:sz w:val="24"/>
          <w:szCs w:val="24"/>
        </w:rPr>
        <w:t>and NZ, it might be hypothesised that students in these countries are more sensitive to the costs of higher education relative to the long-term benefits.</w:t>
      </w:r>
    </w:p>
    <w:p w:rsidR="003D77C3" w:rsidRPr="002229EB" w:rsidRDefault="003D77C3" w:rsidP="009C3AC7">
      <w:pPr>
        <w:pStyle w:val="ParaAttribute0"/>
        <w:wordWrap/>
        <w:spacing w:line="276" w:lineRule="auto"/>
        <w:rPr>
          <w:rFonts w:ascii="Calibri" w:eastAsia="Tahoma" w:hAnsi="Calibri"/>
          <w:sz w:val="24"/>
          <w:szCs w:val="24"/>
        </w:rPr>
      </w:pPr>
    </w:p>
    <w:p w:rsidR="00A10196" w:rsidRPr="002229EB" w:rsidRDefault="00444ADD" w:rsidP="009C3AC7">
      <w:pPr>
        <w:pStyle w:val="ParaAttribute0"/>
        <w:wordWrap/>
        <w:spacing w:line="276" w:lineRule="auto"/>
        <w:rPr>
          <w:rStyle w:val="CharAttribute2"/>
          <w:rFonts w:ascii="Calibri" w:hAnsi="Calibri"/>
          <w:szCs w:val="24"/>
        </w:rPr>
      </w:pPr>
      <w:r w:rsidRPr="002229EB">
        <w:rPr>
          <w:rStyle w:val="CharAttribute2"/>
          <w:rFonts w:ascii="Calibri" w:hAnsi="Calibri"/>
          <w:szCs w:val="24"/>
        </w:rPr>
        <w:t xml:space="preserve">Indeed, this might begin to explain recent trends in applications in </w:t>
      </w:r>
      <w:r w:rsidR="00707817" w:rsidRPr="002229EB">
        <w:rPr>
          <w:rStyle w:val="CharAttribute2"/>
          <w:rFonts w:ascii="Calibri" w:hAnsi="Calibri"/>
          <w:szCs w:val="24"/>
        </w:rPr>
        <w:t>England</w:t>
      </w:r>
      <w:r w:rsidRPr="002229EB">
        <w:rPr>
          <w:rStyle w:val="CharAttribute2"/>
          <w:rFonts w:ascii="Calibri" w:hAnsi="Calibri"/>
          <w:szCs w:val="24"/>
        </w:rPr>
        <w:t xml:space="preserve">, where a significant increase in the expected debt burden has </w:t>
      </w:r>
      <w:r w:rsidR="004B44A4" w:rsidRPr="002229EB">
        <w:rPr>
          <w:rStyle w:val="CharAttribute2"/>
          <w:rFonts w:ascii="Calibri" w:hAnsi="Calibri"/>
          <w:szCs w:val="24"/>
        </w:rPr>
        <w:t>counterintuitively</w:t>
      </w:r>
      <w:r w:rsidRPr="002229EB">
        <w:rPr>
          <w:rStyle w:val="CharAttribute2"/>
          <w:rFonts w:ascii="Calibri" w:hAnsi="Calibri"/>
          <w:szCs w:val="24"/>
        </w:rPr>
        <w:t xml:space="preserve"> led to a fall in applications from higher socio-economic groups</w:t>
      </w:r>
      <w:r w:rsidR="00D63BC2" w:rsidRPr="002229EB">
        <w:rPr>
          <w:rStyle w:val="CharAttribute2"/>
          <w:rFonts w:ascii="Calibri" w:hAnsi="Calibri"/>
          <w:szCs w:val="24"/>
        </w:rPr>
        <w:t xml:space="preserve"> (</w:t>
      </w:r>
      <w:r w:rsidR="00707817" w:rsidRPr="002229EB">
        <w:rPr>
          <w:rStyle w:val="CharAttribute2"/>
          <w:rFonts w:ascii="Calibri" w:hAnsi="Calibri"/>
          <w:szCs w:val="24"/>
        </w:rPr>
        <w:t>Harrison 2012; HEFCE 2013</w:t>
      </w:r>
      <w:r w:rsidR="00D63BC2" w:rsidRPr="002229EB">
        <w:rPr>
          <w:rStyle w:val="CharAttribute2"/>
          <w:rFonts w:ascii="Calibri" w:hAnsi="Calibri"/>
          <w:szCs w:val="24"/>
        </w:rPr>
        <w:t>)</w:t>
      </w:r>
      <w:r w:rsidRPr="002229EB">
        <w:rPr>
          <w:rStyle w:val="CharAttribute2"/>
          <w:rFonts w:ascii="Calibri" w:hAnsi="Calibri"/>
          <w:szCs w:val="24"/>
        </w:rPr>
        <w:t xml:space="preserve">.  It is </w:t>
      </w:r>
      <w:r w:rsidR="004B44A4" w:rsidRPr="002229EB">
        <w:rPr>
          <w:rStyle w:val="CharAttribute2"/>
          <w:rFonts w:ascii="Calibri" w:hAnsi="Calibri"/>
          <w:szCs w:val="24"/>
        </w:rPr>
        <w:t>suggested that those dissuaded we</w:t>
      </w:r>
      <w:r w:rsidRPr="002229EB">
        <w:rPr>
          <w:rStyle w:val="CharAttribute2"/>
          <w:rFonts w:ascii="Calibri" w:hAnsi="Calibri"/>
          <w:szCs w:val="24"/>
        </w:rPr>
        <w:t xml:space="preserve">re those who </w:t>
      </w:r>
      <w:r w:rsidR="004B44A4" w:rsidRPr="002229EB">
        <w:rPr>
          <w:rStyle w:val="CharAttribute2"/>
          <w:rFonts w:ascii="Calibri" w:hAnsi="Calibri"/>
          <w:szCs w:val="24"/>
        </w:rPr>
        <w:t>we</w:t>
      </w:r>
      <w:r w:rsidRPr="002229EB">
        <w:rPr>
          <w:rStyle w:val="CharAttribute2"/>
          <w:rFonts w:ascii="Calibri" w:hAnsi="Calibri"/>
          <w:szCs w:val="24"/>
        </w:rPr>
        <w:t>re</w:t>
      </w:r>
      <w:r w:rsidR="00D63BC2" w:rsidRPr="002229EB">
        <w:rPr>
          <w:rStyle w:val="CharAttribute2"/>
          <w:rFonts w:ascii="Calibri" w:hAnsi="Calibri"/>
          <w:szCs w:val="24"/>
        </w:rPr>
        <w:t xml:space="preserve"> unconvinced about their return-on-</w:t>
      </w:r>
      <w:r w:rsidRPr="002229EB">
        <w:rPr>
          <w:rStyle w:val="CharAttribute2"/>
          <w:rFonts w:ascii="Calibri" w:hAnsi="Calibri"/>
          <w:szCs w:val="24"/>
        </w:rPr>
        <w:t>investment from student loans, perhaps due to a declining graduate premium</w:t>
      </w:r>
      <w:r w:rsidR="00C62588" w:rsidRPr="002229EB">
        <w:rPr>
          <w:rStyle w:val="CharAttribute2"/>
          <w:rFonts w:ascii="Calibri" w:hAnsi="Calibri"/>
          <w:szCs w:val="24"/>
        </w:rPr>
        <w:t xml:space="preserve">, </w:t>
      </w:r>
      <w:proofErr w:type="spellStart"/>
      <w:r w:rsidR="00C62588" w:rsidRPr="002229EB">
        <w:rPr>
          <w:rStyle w:val="CharAttribute2"/>
          <w:rFonts w:ascii="Calibri" w:hAnsi="Calibri"/>
          <w:szCs w:val="24"/>
        </w:rPr>
        <w:t>overqualification</w:t>
      </w:r>
      <w:proofErr w:type="spellEnd"/>
      <w:r w:rsidRPr="002229EB">
        <w:rPr>
          <w:rStyle w:val="CharAttribute2"/>
          <w:rFonts w:ascii="Calibri" w:hAnsi="Calibri"/>
          <w:szCs w:val="24"/>
        </w:rPr>
        <w:t xml:space="preserve"> and plausible alternatives to higher education in establishing a </w:t>
      </w:r>
      <w:r w:rsidR="00C62588" w:rsidRPr="002229EB">
        <w:rPr>
          <w:rStyle w:val="CharAttribute2"/>
          <w:rFonts w:ascii="Calibri" w:hAnsi="Calibri"/>
          <w:szCs w:val="24"/>
        </w:rPr>
        <w:t xml:space="preserve">lucrative </w:t>
      </w:r>
      <w:r w:rsidRPr="002229EB">
        <w:rPr>
          <w:rStyle w:val="CharAttribute2"/>
          <w:rFonts w:ascii="Calibri" w:hAnsi="Calibri"/>
          <w:szCs w:val="24"/>
        </w:rPr>
        <w:t>career</w:t>
      </w:r>
      <w:r w:rsidR="00C62588" w:rsidRPr="002229EB">
        <w:rPr>
          <w:rStyle w:val="CharAttribute2"/>
          <w:rFonts w:ascii="Calibri" w:hAnsi="Calibri"/>
          <w:szCs w:val="24"/>
        </w:rPr>
        <w:t xml:space="preserve"> </w:t>
      </w:r>
      <w:r w:rsidR="00754092" w:rsidRPr="002229EB">
        <w:rPr>
          <w:rStyle w:val="CharAttribute2"/>
          <w:rFonts w:ascii="Calibri" w:hAnsi="Calibri"/>
          <w:szCs w:val="24"/>
        </w:rPr>
        <w:t>(Brown et al., 2011)</w:t>
      </w:r>
      <w:r w:rsidRPr="002229EB">
        <w:rPr>
          <w:rStyle w:val="CharAttribute2"/>
          <w:rFonts w:ascii="Calibri" w:hAnsi="Calibri"/>
          <w:szCs w:val="24"/>
        </w:rPr>
        <w:t>.  This might be heightened further for those with modest academic ability who are unlikely to have top graduate opportunities opened up for them by a degree.  Conversely, those from low</w:t>
      </w:r>
      <w:r w:rsidR="00D63BC2" w:rsidRPr="002229EB">
        <w:rPr>
          <w:rStyle w:val="CharAttribute2"/>
          <w:rFonts w:ascii="Calibri" w:hAnsi="Calibri"/>
          <w:szCs w:val="24"/>
        </w:rPr>
        <w:t xml:space="preserve">er socio-economic groups </w:t>
      </w:r>
      <w:r w:rsidR="002A439D" w:rsidRPr="002229EB">
        <w:rPr>
          <w:rStyle w:val="CharAttribute2"/>
          <w:rFonts w:ascii="Calibri" w:hAnsi="Calibri"/>
          <w:szCs w:val="24"/>
        </w:rPr>
        <w:t xml:space="preserve">(like their American peers) </w:t>
      </w:r>
      <w:r w:rsidR="00D63BC2" w:rsidRPr="002229EB">
        <w:rPr>
          <w:rStyle w:val="CharAttribute2"/>
          <w:rFonts w:ascii="Calibri" w:hAnsi="Calibri"/>
          <w:szCs w:val="24"/>
        </w:rPr>
        <w:t>appear</w:t>
      </w:r>
      <w:r w:rsidRPr="002229EB">
        <w:rPr>
          <w:rStyle w:val="CharAttribute2"/>
          <w:rFonts w:ascii="Calibri" w:hAnsi="Calibri"/>
          <w:szCs w:val="24"/>
        </w:rPr>
        <w:t xml:space="preserve"> to continue to express a strong belief in the ability of higher education to offer them greater opportunities and incomes than would otherwise be available.  </w:t>
      </w:r>
    </w:p>
    <w:p w:rsidR="00A10196" w:rsidRPr="002229EB" w:rsidRDefault="00A10196" w:rsidP="009C3AC7">
      <w:pPr>
        <w:pStyle w:val="ParaAttribute0"/>
        <w:wordWrap/>
        <w:spacing w:line="276" w:lineRule="auto"/>
        <w:rPr>
          <w:rStyle w:val="CharAttribute2"/>
          <w:rFonts w:ascii="Calibri" w:hAnsi="Calibri"/>
          <w:szCs w:val="24"/>
        </w:rPr>
      </w:pPr>
    </w:p>
    <w:p w:rsidR="00A10196" w:rsidRPr="002229EB" w:rsidRDefault="00A10196" w:rsidP="009C3AC7">
      <w:pPr>
        <w:pStyle w:val="ParaAttribute0"/>
        <w:wordWrap/>
        <w:spacing w:line="276" w:lineRule="auto"/>
        <w:rPr>
          <w:rStyle w:val="CharAttribute2"/>
          <w:rFonts w:ascii="Calibri" w:hAnsi="Calibri"/>
          <w:szCs w:val="24"/>
        </w:rPr>
      </w:pPr>
      <w:r w:rsidRPr="002229EB">
        <w:rPr>
          <w:rStyle w:val="CharAttribute2"/>
          <w:rFonts w:ascii="Calibri" w:hAnsi="Calibri"/>
          <w:szCs w:val="24"/>
        </w:rPr>
        <w:t xml:space="preserve">As such, the Utility-For-Investment factor in this study should </w:t>
      </w:r>
      <w:r w:rsidR="004B44A4" w:rsidRPr="002229EB">
        <w:rPr>
          <w:rStyle w:val="CharAttribute2"/>
          <w:rFonts w:ascii="Calibri" w:hAnsi="Calibri"/>
          <w:szCs w:val="24"/>
        </w:rPr>
        <w:t xml:space="preserve">perhaps </w:t>
      </w:r>
      <w:r w:rsidRPr="002229EB">
        <w:rPr>
          <w:rStyle w:val="CharAttribute2"/>
          <w:rFonts w:ascii="Calibri" w:hAnsi="Calibri"/>
          <w:szCs w:val="24"/>
        </w:rPr>
        <w:t xml:space="preserve">be conceptualised as a form of disposition towards risk, grounded in a cost-benefit analysis </w:t>
      </w:r>
      <w:r w:rsidR="00682352" w:rsidRPr="002229EB">
        <w:rPr>
          <w:rStyle w:val="CharAttribute2"/>
          <w:rFonts w:ascii="Calibri" w:hAnsi="Calibri"/>
          <w:szCs w:val="24"/>
        </w:rPr>
        <w:t>that weighs up</w:t>
      </w:r>
      <w:r w:rsidRPr="002229EB">
        <w:rPr>
          <w:rStyle w:val="CharAttribute2"/>
          <w:rFonts w:ascii="Calibri" w:hAnsi="Calibri"/>
          <w:szCs w:val="24"/>
        </w:rPr>
        <w:t xml:space="preserve"> the financial and emotional costs of their debt with their estimates of the long-term return </w:t>
      </w:r>
      <w:r w:rsidR="00D44070" w:rsidRPr="002229EB">
        <w:rPr>
          <w:rStyle w:val="CharAttribute2"/>
          <w:rFonts w:ascii="Calibri" w:hAnsi="Calibri"/>
          <w:szCs w:val="24"/>
        </w:rPr>
        <w:t xml:space="preserve">(in various forms) </w:t>
      </w:r>
      <w:r w:rsidRPr="002229EB">
        <w:rPr>
          <w:rStyle w:val="CharAttribute2"/>
          <w:rFonts w:ascii="Calibri" w:hAnsi="Calibri"/>
          <w:szCs w:val="24"/>
        </w:rPr>
        <w:t xml:space="preserve">from their educational investment.  </w:t>
      </w:r>
      <w:r w:rsidR="00682352" w:rsidRPr="002229EB">
        <w:rPr>
          <w:rStyle w:val="CharAttribute2"/>
          <w:rFonts w:ascii="Calibri" w:hAnsi="Calibri"/>
          <w:szCs w:val="24"/>
        </w:rPr>
        <w:t xml:space="preserve">Indeed, </w:t>
      </w:r>
      <w:proofErr w:type="spellStart"/>
      <w:r w:rsidR="00682352" w:rsidRPr="002229EB">
        <w:rPr>
          <w:rStyle w:val="CharAttribute2"/>
          <w:rFonts w:ascii="Calibri" w:hAnsi="Calibri"/>
          <w:szCs w:val="24"/>
        </w:rPr>
        <w:t>Eckel</w:t>
      </w:r>
      <w:proofErr w:type="spellEnd"/>
      <w:r w:rsidR="00682352" w:rsidRPr="002229EB">
        <w:rPr>
          <w:rStyle w:val="CharAttribute2"/>
          <w:rFonts w:ascii="Calibri" w:hAnsi="Calibri"/>
          <w:szCs w:val="24"/>
        </w:rPr>
        <w:t xml:space="preserve"> et al. (2007), </w:t>
      </w:r>
      <w:proofErr w:type="spellStart"/>
      <w:r w:rsidR="00682352" w:rsidRPr="002229EB">
        <w:rPr>
          <w:rStyle w:val="CharAttribute2"/>
          <w:rFonts w:ascii="Calibri" w:hAnsi="Calibri"/>
          <w:szCs w:val="24"/>
        </w:rPr>
        <w:t>Oosterbeek</w:t>
      </w:r>
      <w:proofErr w:type="spellEnd"/>
      <w:r w:rsidR="00682352" w:rsidRPr="002229EB">
        <w:rPr>
          <w:rStyle w:val="CharAttribute2"/>
          <w:rFonts w:ascii="Calibri" w:hAnsi="Calibri"/>
          <w:szCs w:val="24"/>
        </w:rPr>
        <w:t xml:space="preserve"> and van den </w:t>
      </w:r>
      <w:proofErr w:type="spellStart"/>
      <w:r w:rsidR="00682352" w:rsidRPr="002229EB">
        <w:rPr>
          <w:rStyle w:val="CharAttribute2"/>
          <w:rFonts w:ascii="Calibri" w:hAnsi="Calibri"/>
          <w:szCs w:val="24"/>
        </w:rPr>
        <w:t>Broek</w:t>
      </w:r>
      <w:proofErr w:type="spellEnd"/>
      <w:r w:rsidR="00682352" w:rsidRPr="002229EB">
        <w:rPr>
          <w:rStyle w:val="CharAttribute2"/>
          <w:rFonts w:ascii="Calibri" w:hAnsi="Calibri"/>
          <w:szCs w:val="24"/>
        </w:rPr>
        <w:t xml:space="preserve"> (2009) and </w:t>
      </w:r>
      <w:proofErr w:type="spellStart"/>
      <w:r w:rsidR="00682352" w:rsidRPr="002229EB">
        <w:rPr>
          <w:rStyle w:val="CharAttribute2"/>
          <w:rFonts w:ascii="Calibri" w:hAnsi="Calibri"/>
          <w:szCs w:val="24"/>
        </w:rPr>
        <w:t>Bachan</w:t>
      </w:r>
      <w:proofErr w:type="spellEnd"/>
      <w:r w:rsidR="00682352" w:rsidRPr="002229EB">
        <w:rPr>
          <w:rStyle w:val="CharAttribute2"/>
          <w:rFonts w:ascii="Calibri" w:hAnsi="Calibri"/>
          <w:szCs w:val="24"/>
        </w:rPr>
        <w:t xml:space="preserve"> (2013) all find that a willingness to take risks are associated with increased indebtedness</w:t>
      </w:r>
      <w:r w:rsidR="00D44070" w:rsidRPr="002229EB">
        <w:rPr>
          <w:rStyle w:val="CharAttribute2"/>
          <w:rFonts w:ascii="Calibri" w:hAnsi="Calibri"/>
          <w:szCs w:val="24"/>
        </w:rPr>
        <w:t>, while Brynin (2013) argues for an inherent risk in higher education due its uncertain returns</w:t>
      </w:r>
      <w:r w:rsidR="00682352" w:rsidRPr="002229EB">
        <w:rPr>
          <w:rStyle w:val="CharAttribute2"/>
          <w:rFonts w:ascii="Calibri" w:hAnsi="Calibri"/>
          <w:szCs w:val="24"/>
        </w:rPr>
        <w:t>.  Furthermore, the</w:t>
      </w:r>
      <w:r w:rsidRPr="002229EB">
        <w:rPr>
          <w:rStyle w:val="CharAttribute2"/>
          <w:rFonts w:ascii="Calibri" w:hAnsi="Calibri"/>
          <w:szCs w:val="24"/>
        </w:rPr>
        <w:t xml:space="preserve"> </w:t>
      </w:r>
      <w:r w:rsidR="00682352" w:rsidRPr="002229EB">
        <w:rPr>
          <w:rStyle w:val="CharAttribute2"/>
          <w:rFonts w:ascii="Calibri" w:hAnsi="Calibri"/>
          <w:szCs w:val="24"/>
        </w:rPr>
        <w:t xml:space="preserve">Utility-For-Investment factor may also capture a sense of the individual’s temporal horizon, with educational investment necessarily requiring a long-term </w:t>
      </w:r>
      <w:r w:rsidR="00682352" w:rsidRPr="002229EB">
        <w:rPr>
          <w:rStyle w:val="CharAttribute2"/>
          <w:rFonts w:ascii="Calibri" w:hAnsi="Calibri"/>
          <w:szCs w:val="24"/>
        </w:rPr>
        <w:lastRenderedPageBreak/>
        <w:t>perspective</w:t>
      </w:r>
      <w:r w:rsidR="00554524" w:rsidRPr="002229EB">
        <w:rPr>
          <w:rStyle w:val="CharAttribute2"/>
          <w:rFonts w:ascii="Calibri" w:hAnsi="Calibri"/>
          <w:szCs w:val="24"/>
        </w:rPr>
        <w:t>.</w:t>
      </w:r>
      <w:r w:rsidR="004B44A4" w:rsidRPr="002229EB">
        <w:rPr>
          <w:rStyle w:val="CharAttribute2"/>
          <w:rFonts w:ascii="Calibri" w:hAnsi="Calibri"/>
          <w:szCs w:val="24"/>
        </w:rPr>
        <w:t xml:space="preserve">  </w:t>
      </w:r>
      <w:r w:rsidR="00554524" w:rsidRPr="002229EB">
        <w:rPr>
          <w:rStyle w:val="CharAttribute2"/>
          <w:rFonts w:ascii="Calibri" w:hAnsi="Calibri"/>
          <w:szCs w:val="24"/>
        </w:rPr>
        <w:t xml:space="preserve">Indeed, </w:t>
      </w:r>
      <w:proofErr w:type="spellStart"/>
      <w:r w:rsidR="00682352" w:rsidRPr="002229EB">
        <w:rPr>
          <w:rStyle w:val="CharAttribute2"/>
          <w:rFonts w:ascii="Calibri" w:hAnsi="Calibri"/>
          <w:szCs w:val="24"/>
        </w:rPr>
        <w:t>Eckel</w:t>
      </w:r>
      <w:proofErr w:type="spellEnd"/>
      <w:r w:rsidR="00682352" w:rsidRPr="002229EB">
        <w:rPr>
          <w:rStyle w:val="CharAttribute2"/>
          <w:rFonts w:ascii="Calibri" w:hAnsi="Calibri"/>
          <w:szCs w:val="24"/>
        </w:rPr>
        <w:t xml:space="preserve"> et al. (2007), </w:t>
      </w:r>
      <w:proofErr w:type="spellStart"/>
      <w:r w:rsidR="00682352" w:rsidRPr="002229EB">
        <w:rPr>
          <w:rStyle w:val="CharAttribute2"/>
          <w:rFonts w:ascii="Calibri" w:hAnsi="Calibri"/>
          <w:szCs w:val="24"/>
        </w:rPr>
        <w:t>Oosterbeek</w:t>
      </w:r>
      <w:proofErr w:type="spellEnd"/>
      <w:r w:rsidR="00682352" w:rsidRPr="002229EB">
        <w:rPr>
          <w:rStyle w:val="CharAttribute2"/>
          <w:rFonts w:ascii="Calibri" w:hAnsi="Calibri"/>
          <w:szCs w:val="24"/>
        </w:rPr>
        <w:t xml:space="preserve"> and van den </w:t>
      </w:r>
      <w:proofErr w:type="spellStart"/>
      <w:r w:rsidR="00682352" w:rsidRPr="002229EB">
        <w:rPr>
          <w:rStyle w:val="CharAttribute2"/>
          <w:rFonts w:ascii="Calibri" w:hAnsi="Calibri"/>
          <w:szCs w:val="24"/>
        </w:rPr>
        <w:t>Broek</w:t>
      </w:r>
      <w:proofErr w:type="spellEnd"/>
      <w:r w:rsidR="00682352" w:rsidRPr="002229EB">
        <w:rPr>
          <w:rStyle w:val="CharAttribute2"/>
          <w:rFonts w:ascii="Calibri" w:hAnsi="Calibri"/>
          <w:szCs w:val="24"/>
        </w:rPr>
        <w:t xml:space="preserve"> (2009), </w:t>
      </w:r>
      <w:proofErr w:type="spellStart"/>
      <w:r w:rsidR="00682352" w:rsidRPr="002229EB">
        <w:rPr>
          <w:rStyle w:val="CharAttribute2"/>
          <w:rFonts w:ascii="Calibri" w:hAnsi="Calibri"/>
          <w:szCs w:val="24"/>
        </w:rPr>
        <w:t>Norvilitis</w:t>
      </w:r>
      <w:proofErr w:type="spellEnd"/>
      <w:r w:rsidR="00682352" w:rsidRPr="002229EB">
        <w:rPr>
          <w:rStyle w:val="CharAttribute2"/>
          <w:rFonts w:ascii="Calibri" w:hAnsi="Calibri"/>
          <w:szCs w:val="24"/>
        </w:rPr>
        <w:t xml:space="preserve"> and MacLean (2010) and </w:t>
      </w:r>
      <w:proofErr w:type="spellStart"/>
      <w:r w:rsidR="00682352" w:rsidRPr="002229EB">
        <w:rPr>
          <w:rStyle w:val="CharAttribute2"/>
          <w:rFonts w:ascii="Calibri" w:hAnsi="Calibri"/>
          <w:szCs w:val="24"/>
        </w:rPr>
        <w:t>Bachan</w:t>
      </w:r>
      <w:proofErr w:type="spellEnd"/>
      <w:r w:rsidR="00682352" w:rsidRPr="002229EB">
        <w:rPr>
          <w:rStyle w:val="CharAttribute2"/>
          <w:rFonts w:ascii="Calibri" w:hAnsi="Calibri"/>
          <w:szCs w:val="24"/>
        </w:rPr>
        <w:t xml:space="preserve"> (2013) all </w:t>
      </w:r>
      <w:r w:rsidR="00D44070" w:rsidRPr="002229EB">
        <w:rPr>
          <w:rStyle w:val="CharAttribute2"/>
          <w:rFonts w:ascii="Calibri" w:hAnsi="Calibri"/>
          <w:szCs w:val="24"/>
        </w:rPr>
        <w:t>report</w:t>
      </w:r>
      <w:r w:rsidR="00682352" w:rsidRPr="002229EB">
        <w:rPr>
          <w:rStyle w:val="CharAttribute2"/>
          <w:rFonts w:ascii="Calibri" w:hAnsi="Calibri"/>
          <w:szCs w:val="24"/>
        </w:rPr>
        <w:t xml:space="preserve"> that patience, gratification delay and discounting are </w:t>
      </w:r>
      <w:r w:rsidR="004B44A4" w:rsidRPr="002229EB">
        <w:rPr>
          <w:rStyle w:val="CharAttribute2"/>
          <w:rFonts w:ascii="Calibri" w:hAnsi="Calibri"/>
          <w:szCs w:val="24"/>
        </w:rPr>
        <w:t xml:space="preserve">also </w:t>
      </w:r>
      <w:r w:rsidR="00682352" w:rsidRPr="002229EB">
        <w:rPr>
          <w:rStyle w:val="CharAttribute2"/>
          <w:rFonts w:ascii="Calibri" w:hAnsi="Calibri"/>
          <w:szCs w:val="24"/>
        </w:rPr>
        <w:t>salient to borrowing decisions.</w:t>
      </w:r>
      <w:r w:rsidR="00554524" w:rsidRPr="002229EB">
        <w:rPr>
          <w:rStyle w:val="CharAttribute2"/>
          <w:rFonts w:ascii="Calibri" w:hAnsi="Calibri"/>
          <w:szCs w:val="24"/>
        </w:rPr>
        <w:t xml:space="preserve">  What remains unclear is the direction of this effect and whether it might be expected to work in opposite ways for student loans (long-term investment) and credit cards and other forms of consumer credit (short-term gratification).</w:t>
      </w:r>
    </w:p>
    <w:p w:rsidR="00444ADD" w:rsidRPr="002229EB" w:rsidRDefault="00444ADD" w:rsidP="009C3AC7">
      <w:pPr>
        <w:pStyle w:val="ParaAttribute0"/>
        <w:wordWrap/>
        <w:spacing w:line="276" w:lineRule="auto"/>
        <w:rPr>
          <w:rFonts w:ascii="Calibri" w:eastAsia="Tahoma" w:hAnsi="Calibri"/>
          <w:sz w:val="24"/>
          <w:szCs w:val="24"/>
        </w:rPr>
      </w:pPr>
    </w:p>
    <w:p w:rsidR="00554524" w:rsidRPr="002229EB" w:rsidRDefault="00554524" w:rsidP="009C3AC7">
      <w:pPr>
        <w:pStyle w:val="ParaAttribute0"/>
        <w:wordWrap/>
        <w:spacing w:line="276" w:lineRule="auto"/>
        <w:rPr>
          <w:rStyle w:val="CharAttribute2"/>
          <w:rFonts w:ascii="Calibri" w:hAnsi="Calibri"/>
          <w:szCs w:val="24"/>
        </w:rPr>
      </w:pPr>
      <w:r w:rsidRPr="002229EB">
        <w:rPr>
          <w:rFonts w:ascii="Calibri" w:eastAsia="Tahoma" w:hAnsi="Calibri"/>
          <w:sz w:val="24"/>
          <w:szCs w:val="24"/>
        </w:rPr>
        <w:t xml:space="preserve">The recent increase in student loan take-up in New Zealand (from around </w:t>
      </w:r>
      <w:r w:rsidR="00C1599E" w:rsidRPr="002229EB">
        <w:rPr>
          <w:rFonts w:ascii="Calibri" w:eastAsia="Tahoma" w:hAnsi="Calibri"/>
          <w:sz w:val="24"/>
          <w:szCs w:val="24"/>
        </w:rPr>
        <w:t>68</w:t>
      </w:r>
      <w:r w:rsidRPr="002229EB">
        <w:rPr>
          <w:rFonts w:ascii="Calibri" w:eastAsia="Tahoma" w:hAnsi="Calibri"/>
          <w:sz w:val="24"/>
          <w:szCs w:val="24"/>
        </w:rPr>
        <w:t xml:space="preserve"> percent </w:t>
      </w:r>
      <w:r w:rsidR="00C1599E" w:rsidRPr="002229EB">
        <w:rPr>
          <w:rFonts w:ascii="Calibri" w:eastAsia="Tahoma" w:hAnsi="Calibri"/>
          <w:sz w:val="24"/>
          <w:szCs w:val="24"/>
        </w:rPr>
        <w:t>in 2005</w:t>
      </w:r>
      <w:r w:rsidRPr="002229EB">
        <w:rPr>
          <w:rFonts w:ascii="Calibri" w:eastAsia="Tahoma" w:hAnsi="Calibri"/>
          <w:sz w:val="24"/>
          <w:szCs w:val="24"/>
        </w:rPr>
        <w:t xml:space="preserve"> to </w:t>
      </w:r>
      <w:r w:rsidR="00C1599E" w:rsidRPr="002229EB">
        <w:rPr>
          <w:rFonts w:ascii="Calibri" w:eastAsia="Tahoma" w:hAnsi="Calibri"/>
          <w:sz w:val="24"/>
          <w:szCs w:val="24"/>
        </w:rPr>
        <w:t>82</w:t>
      </w:r>
      <w:r w:rsidRPr="002229EB">
        <w:rPr>
          <w:rFonts w:ascii="Calibri" w:eastAsia="Tahoma" w:hAnsi="Calibri"/>
          <w:sz w:val="24"/>
          <w:szCs w:val="24"/>
        </w:rPr>
        <w:t xml:space="preserve"> percent in 2012) could therefore be seen as a </w:t>
      </w:r>
      <w:r w:rsidR="00C1599E" w:rsidRPr="002229EB">
        <w:rPr>
          <w:rFonts w:ascii="Calibri" w:eastAsia="Tahoma" w:hAnsi="Calibri"/>
          <w:sz w:val="24"/>
          <w:szCs w:val="24"/>
        </w:rPr>
        <w:t xml:space="preserve">result of a </w:t>
      </w:r>
      <w:r w:rsidRPr="002229EB">
        <w:rPr>
          <w:rFonts w:ascii="Calibri" w:eastAsia="Tahoma" w:hAnsi="Calibri"/>
          <w:sz w:val="24"/>
          <w:szCs w:val="24"/>
        </w:rPr>
        <w:t>reduction in the perceived risk associated with them</w:t>
      </w:r>
      <w:r w:rsidR="00C1599E" w:rsidRPr="002229EB">
        <w:rPr>
          <w:rFonts w:ascii="Calibri" w:eastAsia="Tahoma" w:hAnsi="Calibri"/>
          <w:sz w:val="24"/>
          <w:szCs w:val="24"/>
        </w:rPr>
        <w:t xml:space="preserve">; the period has also seen a 20 percent rise in </w:t>
      </w:r>
      <w:r w:rsidR="004B44A4" w:rsidRPr="002229EB">
        <w:rPr>
          <w:rFonts w:ascii="Calibri" w:eastAsia="Tahoma" w:hAnsi="Calibri"/>
          <w:sz w:val="24"/>
          <w:szCs w:val="24"/>
        </w:rPr>
        <w:t xml:space="preserve">university </w:t>
      </w:r>
      <w:r w:rsidR="00C1599E" w:rsidRPr="002229EB">
        <w:rPr>
          <w:rFonts w:ascii="Calibri" w:eastAsia="Tahoma" w:hAnsi="Calibri"/>
          <w:sz w:val="24"/>
          <w:szCs w:val="24"/>
        </w:rPr>
        <w:t xml:space="preserve">admissions.  This may also explain why </w:t>
      </w:r>
      <w:r w:rsidR="00C1599E" w:rsidRPr="002229EB">
        <w:rPr>
          <w:rStyle w:val="CharAttribute2"/>
          <w:rFonts w:ascii="Calibri" w:hAnsi="Calibri"/>
          <w:szCs w:val="24"/>
        </w:rPr>
        <w:t>NZ students are less aware of the repayment terms for their</w:t>
      </w:r>
      <w:r w:rsidR="004B44A4" w:rsidRPr="002229EB">
        <w:rPr>
          <w:rStyle w:val="CharAttribute2"/>
          <w:rFonts w:ascii="Calibri" w:hAnsi="Calibri"/>
          <w:szCs w:val="24"/>
        </w:rPr>
        <w:t xml:space="preserve"> loan than their peers from England </w:t>
      </w:r>
      <w:r w:rsidR="00C1599E" w:rsidRPr="002229EB">
        <w:rPr>
          <w:rStyle w:val="CharAttribute2"/>
          <w:rFonts w:ascii="Calibri" w:hAnsi="Calibri"/>
          <w:szCs w:val="24"/>
        </w:rPr>
        <w:t xml:space="preserve">and </w:t>
      </w:r>
      <w:r w:rsidR="004B44A4" w:rsidRPr="002229EB">
        <w:rPr>
          <w:rStyle w:val="CharAttribute2"/>
          <w:rFonts w:ascii="Calibri" w:hAnsi="Calibri"/>
          <w:szCs w:val="24"/>
        </w:rPr>
        <w:t xml:space="preserve">the </w:t>
      </w:r>
      <w:r w:rsidR="00C1599E" w:rsidRPr="002229EB">
        <w:rPr>
          <w:rStyle w:val="CharAttribute2"/>
          <w:rFonts w:ascii="Calibri" w:hAnsi="Calibri"/>
          <w:szCs w:val="24"/>
        </w:rPr>
        <w:t>US.</w:t>
      </w:r>
      <w:r w:rsidR="00C1599E" w:rsidRPr="002229EB">
        <w:rPr>
          <w:rFonts w:ascii="Calibri" w:eastAsia="Tahoma" w:hAnsi="Calibri"/>
          <w:sz w:val="24"/>
          <w:szCs w:val="24"/>
        </w:rPr>
        <w:t xml:space="preserve">  However, New Zealand also has a very strong tradition of graduates repaying their loans quickly after graduation (19 percent doing so within one year in 2011), suggesting that anxiety about indebtedness remains high.</w:t>
      </w:r>
    </w:p>
    <w:p w:rsidR="00444ADD" w:rsidRPr="002229EB" w:rsidRDefault="00444ADD" w:rsidP="009C3AC7">
      <w:pPr>
        <w:pStyle w:val="ParaAttribute0"/>
        <w:wordWrap/>
        <w:spacing w:line="276" w:lineRule="auto"/>
        <w:rPr>
          <w:rFonts w:ascii="Calibri" w:eastAsia="Tahoma" w:hAnsi="Calibri"/>
          <w:sz w:val="24"/>
          <w:szCs w:val="24"/>
        </w:rPr>
      </w:pPr>
    </w:p>
    <w:p w:rsidR="003D77C3" w:rsidRPr="002229EB" w:rsidRDefault="002A439D" w:rsidP="009C3AC7">
      <w:pPr>
        <w:pStyle w:val="ParaAttribute0"/>
        <w:wordWrap/>
        <w:spacing w:line="276" w:lineRule="auto"/>
        <w:rPr>
          <w:rFonts w:ascii="Calibri" w:eastAsia="Tahoma" w:hAnsi="Calibri"/>
          <w:sz w:val="24"/>
          <w:szCs w:val="24"/>
        </w:rPr>
      </w:pPr>
      <w:r w:rsidRPr="002229EB">
        <w:rPr>
          <w:rFonts w:ascii="Calibri" w:eastAsia="Tahoma" w:hAnsi="Calibri"/>
          <w:sz w:val="24"/>
          <w:szCs w:val="24"/>
        </w:rPr>
        <w:t xml:space="preserve">Given the recent changes to student funding in </w:t>
      </w:r>
      <w:r w:rsidR="004B44A4" w:rsidRPr="002229EB">
        <w:rPr>
          <w:rFonts w:ascii="Calibri" w:eastAsia="Tahoma" w:hAnsi="Calibri"/>
          <w:sz w:val="24"/>
          <w:szCs w:val="24"/>
        </w:rPr>
        <w:t>England</w:t>
      </w:r>
      <w:r w:rsidRPr="002229EB">
        <w:rPr>
          <w:rFonts w:ascii="Calibri" w:eastAsia="Tahoma" w:hAnsi="Calibri"/>
          <w:sz w:val="24"/>
          <w:szCs w:val="24"/>
        </w:rPr>
        <w:t xml:space="preserve">, it is unsurprising to find that this group are most likely to feel that debt is unfair; whether this is a result of the significantly higher student debt burden in </w:t>
      </w:r>
      <w:r w:rsidR="00A70455" w:rsidRPr="002229EB">
        <w:rPr>
          <w:rFonts w:ascii="Calibri" w:eastAsia="Tahoma" w:hAnsi="Calibri"/>
          <w:sz w:val="24"/>
          <w:szCs w:val="24"/>
        </w:rPr>
        <w:t>England or</w:t>
      </w:r>
      <w:r w:rsidRPr="002229EB">
        <w:rPr>
          <w:rFonts w:ascii="Calibri" w:eastAsia="Tahoma" w:hAnsi="Calibri"/>
          <w:sz w:val="24"/>
          <w:szCs w:val="24"/>
        </w:rPr>
        <w:t xml:space="preserve"> simply a short-term response to the heightened media and political discourse cannot be determined from the data.  Despite the perceived unfairness, British students were </w:t>
      </w:r>
      <w:r w:rsidR="004B44A4" w:rsidRPr="002229EB">
        <w:rPr>
          <w:rFonts w:ascii="Calibri" w:eastAsia="Tahoma" w:hAnsi="Calibri"/>
          <w:sz w:val="24"/>
          <w:szCs w:val="24"/>
        </w:rPr>
        <w:t xml:space="preserve">nevertheless </w:t>
      </w:r>
      <w:r w:rsidRPr="002229EB">
        <w:rPr>
          <w:rFonts w:ascii="Calibri" w:eastAsia="Tahoma" w:hAnsi="Calibri"/>
          <w:sz w:val="24"/>
          <w:szCs w:val="24"/>
        </w:rPr>
        <w:t>more confident, on average, of</w:t>
      </w:r>
      <w:r w:rsidR="004B44A4" w:rsidRPr="002229EB">
        <w:rPr>
          <w:rFonts w:ascii="Calibri" w:eastAsia="Tahoma" w:hAnsi="Calibri"/>
          <w:sz w:val="24"/>
          <w:szCs w:val="24"/>
        </w:rPr>
        <w:t xml:space="preserve"> meeting their debt obligations, suggesting that they drew comfort from the safety nets in place.</w:t>
      </w:r>
    </w:p>
    <w:p w:rsidR="003D77C3" w:rsidRPr="002229EB" w:rsidRDefault="003D77C3" w:rsidP="009C3AC7">
      <w:pPr>
        <w:pStyle w:val="ParaAttribute0"/>
        <w:wordWrap/>
        <w:spacing w:line="276" w:lineRule="auto"/>
        <w:rPr>
          <w:rFonts w:ascii="Calibri" w:eastAsia="Tahoma" w:hAnsi="Calibri"/>
          <w:sz w:val="24"/>
          <w:szCs w:val="24"/>
        </w:rPr>
      </w:pPr>
    </w:p>
    <w:p w:rsidR="002A439D" w:rsidRPr="002229EB" w:rsidRDefault="002A439D" w:rsidP="009C3AC7">
      <w:pPr>
        <w:pStyle w:val="ParaAttribute0"/>
        <w:wordWrap/>
        <w:spacing w:line="276" w:lineRule="auto"/>
        <w:rPr>
          <w:rFonts w:ascii="Calibri" w:eastAsia="Tahoma" w:hAnsi="Calibri"/>
          <w:sz w:val="24"/>
          <w:szCs w:val="24"/>
        </w:rPr>
      </w:pPr>
    </w:p>
    <w:p w:rsidR="002A439D" w:rsidRPr="002229EB" w:rsidRDefault="00B96A01" w:rsidP="009C3AC7">
      <w:pPr>
        <w:pStyle w:val="ParaAttribute0"/>
        <w:wordWrap/>
        <w:spacing w:line="276" w:lineRule="auto"/>
        <w:rPr>
          <w:rFonts w:ascii="Calibri" w:eastAsia="Tahoma" w:hAnsi="Calibri"/>
          <w:b/>
          <w:sz w:val="24"/>
          <w:szCs w:val="24"/>
        </w:rPr>
      </w:pPr>
      <w:r>
        <w:rPr>
          <w:rFonts w:ascii="Calibri" w:eastAsia="Tahoma" w:hAnsi="Calibri"/>
          <w:b/>
          <w:sz w:val="24"/>
          <w:szCs w:val="24"/>
        </w:rPr>
        <w:t xml:space="preserve">5 </w:t>
      </w:r>
      <w:r w:rsidR="002A439D" w:rsidRPr="002229EB">
        <w:rPr>
          <w:rFonts w:ascii="Calibri" w:eastAsia="Tahoma" w:hAnsi="Calibri"/>
          <w:b/>
          <w:sz w:val="24"/>
          <w:szCs w:val="24"/>
        </w:rPr>
        <w:t>Limitations and further research</w:t>
      </w:r>
    </w:p>
    <w:p w:rsidR="002A439D" w:rsidRPr="002229EB" w:rsidRDefault="002A439D" w:rsidP="009C3AC7">
      <w:pPr>
        <w:pStyle w:val="ParaAttribute0"/>
        <w:wordWrap/>
        <w:spacing w:line="276" w:lineRule="auto"/>
        <w:rPr>
          <w:rFonts w:ascii="Calibri" w:eastAsia="Tahoma" w:hAnsi="Calibri"/>
          <w:sz w:val="24"/>
          <w:szCs w:val="24"/>
        </w:rPr>
      </w:pPr>
    </w:p>
    <w:p w:rsidR="002A439D" w:rsidRPr="002229EB" w:rsidRDefault="001A240E" w:rsidP="009C3AC7">
      <w:pPr>
        <w:pStyle w:val="ParaAttribute0"/>
        <w:wordWrap/>
        <w:spacing w:line="276" w:lineRule="auto"/>
        <w:rPr>
          <w:rFonts w:ascii="Calibri" w:eastAsia="Tahoma" w:hAnsi="Calibri"/>
          <w:sz w:val="24"/>
          <w:szCs w:val="24"/>
        </w:rPr>
      </w:pPr>
      <w:r w:rsidRPr="002229EB">
        <w:rPr>
          <w:rFonts w:ascii="Calibri" w:eastAsia="Tahoma" w:hAnsi="Calibri"/>
          <w:sz w:val="24"/>
          <w:szCs w:val="24"/>
        </w:rPr>
        <w:t xml:space="preserve">This study gathers data from three nations, but the sample in each instance is drawn from a single university.  It is unclear the extent to which this might influence the data, although the universities selected were broadly typical for their national context, which should help to mitigate sampling bias.  It is also important to reference the self-selection bias inherent in those responding to </w:t>
      </w:r>
      <w:proofErr w:type="gramStart"/>
      <w:r w:rsidRPr="002229EB">
        <w:rPr>
          <w:rFonts w:ascii="Calibri" w:eastAsia="Tahoma" w:hAnsi="Calibri"/>
          <w:sz w:val="24"/>
          <w:szCs w:val="24"/>
        </w:rPr>
        <w:t>the  questionnaire</w:t>
      </w:r>
      <w:proofErr w:type="gramEnd"/>
      <w:r w:rsidRPr="002229EB">
        <w:rPr>
          <w:rFonts w:ascii="Calibri" w:eastAsia="Tahoma" w:hAnsi="Calibri"/>
          <w:sz w:val="24"/>
          <w:szCs w:val="24"/>
        </w:rPr>
        <w:t>.  Once again, reasonable efforts were made to mitigate this and the individual samples were broadly representative of the populations from which they were drawn on a range of demographic markers.</w:t>
      </w:r>
    </w:p>
    <w:p w:rsidR="001A240E" w:rsidRPr="002229EB" w:rsidRDefault="001A240E" w:rsidP="009C3AC7">
      <w:pPr>
        <w:pStyle w:val="ParaAttribute0"/>
        <w:wordWrap/>
        <w:spacing w:line="276" w:lineRule="auto"/>
        <w:rPr>
          <w:rFonts w:ascii="Calibri" w:eastAsia="Tahoma" w:hAnsi="Calibri"/>
          <w:sz w:val="24"/>
          <w:szCs w:val="24"/>
        </w:rPr>
      </w:pPr>
    </w:p>
    <w:p w:rsidR="00677608" w:rsidRPr="002229EB" w:rsidRDefault="001A240E" w:rsidP="009C3AC7">
      <w:pPr>
        <w:pStyle w:val="ParaAttribute0"/>
        <w:wordWrap/>
        <w:spacing w:line="276" w:lineRule="auto"/>
        <w:rPr>
          <w:rFonts w:ascii="Calibri" w:eastAsia="Tahoma" w:hAnsi="Calibri"/>
          <w:sz w:val="24"/>
          <w:szCs w:val="24"/>
        </w:rPr>
      </w:pPr>
      <w:r w:rsidRPr="002229EB">
        <w:rPr>
          <w:rFonts w:ascii="Calibri" w:eastAsia="Tahoma" w:hAnsi="Calibri"/>
          <w:sz w:val="24"/>
          <w:szCs w:val="24"/>
        </w:rPr>
        <w:t xml:space="preserve">A deliberate decision was taken to limit analysis to those students with first-hand experience of student debt.  </w:t>
      </w:r>
      <w:r w:rsidR="008A58A2" w:rsidRPr="002229EB">
        <w:rPr>
          <w:rFonts w:ascii="Calibri" w:eastAsia="Tahoma" w:hAnsi="Calibri"/>
          <w:sz w:val="24"/>
          <w:szCs w:val="24"/>
        </w:rPr>
        <w:t xml:space="preserve">These data therefore reflect the views of those who have engaged with indebtedness and exclude those who have chosen not to accrue debt, either because their financial circumstances do not require it or they have an alternative form of income (e.g. part-time work).  As such, it does not provide a comprehensive picture of student responses to debt, although it is felt unlikely that data from those not accruing debt would radically alter the dimensions discussed in this paper.  Exploring this group (now very rare in </w:t>
      </w:r>
      <w:r w:rsidR="00C62588" w:rsidRPr="002229EB">
        <w:rPr>
          <w:rFonts w:ascii="Calibri" w:eastAsia="Tahoma" w:hAnsi="Calibri"/>
          <w:sz w:val="24"/>
          <w:szCs w:val="24"/>
        </w:rPr>
        <w:t>England</w:t>
      </w:r>
      <w:r w:rsidR="008A58A2" w:rsidRPr="002229EB">
        <w:rPr>
          <w:rFonts w:ascii="Calibri" w:eastAsia="Tahoma" w:hAnsi="Calibri"/>
          <w:sz w:val="24"/>
          <w:szCs w:val="24"/>
        </w:rPr>
        <w:t xml:space="preserve"> and </w:t>
      </w:r>
      <w:r w:rsidR="004B44A4" w:rsidRPr="002229EB">
        <w:rPr>
          <w:rFonts w:ascii="Calibri" w:eastAsia="Tahoma" w:hAnsi="Calibri"/>
          <w:sz w:val="24"/>
          <w:szCs w:val="24"/>
        </w:rPr>
        <w:t xml:space="preserve">increasingly </w:t>
      </w:r>
      <w:r w:rsidR="008A58A2" w:rsidRPr="002229EB">
        <w:rPr>
          <w:rFonts w:ascii="Calibri" w:eastAsia="Tahoma" w:hAnsi="Calibri"/>
          <w:sz w:val="24"/>
          <w:szCs w:val="24"/>
        </w:rPr>
        <w:t>uncommon in NZ) in more detail would require a future study.</w:t>
      </w:r>
    </w:p>
    <w:p w:rsidR="00677608" w:rsidRPr="002229EB" w:rsidRDefault="00677608" w:rsidP="009C3AC7">
      <w:pPr>
        <w:pStyle w:val="ParaAttribute0"/>
        <w:wordWrap/>
        <w:spacing w:line="276" w:lineRule="auto"/>
        <w:rPr>
          <w:rFonts w:ascii="Calibri" w:eastAsia="Tahoma" w:hAnsi="Calibri"/>
          <w:sz w:val="24"/>
          <w:szCs w:val="24"/>
        </w:rPr>
      </w:pPr>
    </w:p>
    <w:p w:rsidR="009B3D84" w:rsidRPr="002229EB" w:rsidRDefault="00A10196" w:rsidP="009C3AC7">
      <w:pPr>
        <w:pStyle w:val="ParaAttribute0"/>
        <w:wordWrap/>
        <w:spacing w:line="276" w:lineRule="auto"/>
        <w:rPr>
          <w:rFonts w:ascii="Calibri" w:eastAsia="Tahoma" w:hAnsi="Calibri"/>
          <w:sz w:val="24"/>
          <w:szCs w:val="24"/>
        </w:rPr>
      </w:pPr>
      <w:r w:rsidRPr="002229EB">
        <w:rPr>
          <w:rFonts w:ascii="Calibri" w:eastAsia="Tahoma" w:hAnsi="Calibri"/>
          <w:sz w:val="24"/>
          <w:szCs w:val="24"/>
        </w:rPr>
        <w:t>Finally, t</w:t>
      </w:r>
      <w:r w:rsidR="00E653AA" w:rsidRPr="002229EB">
        <w:rPr>
          <w:rFonts w:ascii="Calibri" w:eastAsia="Tahoma" w:hAnsi="Calibri"/>
          <w:sz w:val="24"/>
          <w:szCs w:val="24"/>
        </w:rPr>
        <w:t>his paper has purposefully focused on the development of the model; a future article will report</w:t>
      </w:r>
      <w:r w:rsidRPr="002229EB">
        <w:rPr>
          <w:rFonts w:ascii="Calibri" w:eastAsia="Tahoma" w:hAnsi="Calibri"/>
          <w:sz w:val="24"/>
          <w:szCs w:val="24"/>
        </w:rPr>
        <w:t xml:space="preserve"> f</w:t>
      </w:r>
      <w:r w:rsidR="008A58A2" w:rsidRPr="002229EB">
        <w:rPr>
          <w:rFonts w:ascii="Calibri" w:eastAsia="Tahoma" w:hAnsi="Calibri"/>
          <w:sz w:val="24"/>
          <w:szCs w:val="24"/>
        </w:rPr>
        <w:t>urther analysis of the inter-country and demographic differences.</w:t>
      </w:r>
    </w:p>
    <w:p w:rsidR="009B3D84" w:rsidRPr="002229EB" w:rsidRDefault="009B3D84" w:rsidP="009C3AC7">
      <w:pPr>
        <w:pStyle w:val="ParaAttribute0"/>
        <w:wordWrap/>
        <w:spacing w:line="276" w:lineRule="auto"/>
        <w:rPr>
          <w:rFonts w:ascii="Calibri" w:eastAsia="Tahoma" w:hAnsi="Calibri"/>
          <w:sz w:val="24"/>
          <w:szCs w:val="24"/>
        </w:rPr>
      </w:pPr>
    </w:p>
    <w:p w:rsidR="002A439D" w:rsidRPr="002229EB" w:rsidRDefault="002A439D" w:rsidP="009C3AC7">
      <w:pPr>
        <w:pStyle w:val="ParaAttribute0"/>
        <w:wordWrap/>
        <w:spacing w:line="276" w:lineRule="auto"/>
        <w:rPr>
          <w:rFonts w:ascii="Calibri" w:eastAsia="Tahoma" w:hAnsi="Calibri"/>
          <w:sz w:val="24"/>
          <w:szCs w:val="24"/>
        </w:rPr>
      </w:pPr>
    </w:p>
    <w:p w:rsidR="003D77C3" w:rsidRPr="002229EB" w:rsidRDefault="00B96A01" w:rsidP="009C3AC7">
      <w:pPr>
        <w:pStyle w:val="ParaAttribute0"/>
        <w:wordWrap/>
        <w:spacing w:line="276" w:lineRule="auto"/>
        <w:rPr>
          <w:rFonts w:ascii="Calibri" w:eastAsia="Tahoma" w:hAnsi="Calibri"/>
          <w:b/>
          <w:sz w:val="24"/>
          <w:szCs w:val="24"/>
        </w:rPr>
      </w:pPr>
      <w:r>
        <w:rPr>
          <w:rFonts w:ascii="Calibri" w:eastAsia="Tahoma" w:hAnsi="Calibri"/>
          <w:b/>
          <w:sz w:val="24"/>
          <w:szCs w:val="24"/>
        </w:rPr>
        <w:t xml:space="preserve">6 </w:t>
      </w:r>
      <w:r w:rsidR="002A439D" w:rsidRPr="002229EB">
        <w:rPr>
          <w:rFonts w:ascii="Calibri" w:eastAsia="Tahoma" w:hAnsi="Calibri"/>
          <w:b/>
          <w:sz w:val="24"/>
          <w:szCs w:val="24"/>
        </w:rPr>
        <w:t>Conclusions</w:t>
      </w:r>
    </w:p>
    <w:p w:rsidR="003D77C3" w:rsidRPr="002229EB" w:rsidRDefault="003D77C3" w:rsidP="009C3AC7">
      <w:pPr>
        <w:pStyle w:val="ParaAttribute0"/>
        <w:wordWrap/>
        <w:spacing w:line="276" w:lineRule="auto"/>
        <w:rPr>
          <w:rFonts w:ascii="Calibri" w:eastAsia="Tahoma" w:hAnsi="Calibri"/>
          <w:sz w:val="24"/>
          <w:szCs w:val="24"/>
        </w:rPr>
      </w:pPr>
    </w:p>
    <w:p w:rsidR="000422E4" w:rsidRPr="002229EB" w:rsidRDefault="000422E4" w:rsidP="009C3AC7">
      <w:pPr>
        <w:pStyle w:val="ParaAttribute0"/>
        <w:wordWrap/>
        <w:spacing w:line="276" w:lineRule="auto"/>
        <w:rPr>
          <w:rFonts w:ascii="Calibri" w:eastAsia="Tahoma" w:hAnsi="Calibri"/>
          <w:sz w:val="24"/>
          <w:szCs w:val="24"/>
        </w:rPr>
      </w:pPr>
      <w:r w:rsidRPr="002229EB">
        <w:rPr>
          <w:rFonts w:ascii="Calibri" w:eastAsia="Tahoma" w:hAnsi="Calibri"/>
          <w:sz w:val="24"/>
          <w:szCs w:val="24"/>
        </w:rPr>
        <w:t xml:space="preserve">This paper reports a four-factor model of students’ responses to indebtedness, based on 496 individuals drawn from three countries.  These factors have been named Anxiety, Utility-For-Investment, Utility-For-Lifestyle and </w:t>
      </w:r>
      <w:r w:rsidR="004F7375" w:rsidRPr="002229EB">
        <w:rPr>
          <w:rFonts w:ascii="Calibri" w:eastAsia="Tahoma" w:hAnsi="Calibri"/>
          <w:sz w:val="24"/>
          <w:szCs w:val="24"/>
        </w:rPr>
        <w:t>Confidence</w:t>
      </w:r>
      <w:r w:rsidRPr="002229EB">
        <w:rPr>
          <w:rFonts w:ascii="Calibri" w:eastAsia="Tahoma" w:hAnsi="Calibri"/>
          <w:sz w:val="24"/>
          <w:szCs w:val="24"/>
        </w:rPr>
        <w:t xml:space="preserve">; the first three were uncorrelated, but </w:t>
      </w:r>
      <w:r w:rsidR="004F7375" w:rsidRPr="002229EB">
        <w:rPr>
          <w:rFonts w:ascii="Calibri" w:eastAsia="Tahoma" w:hAnsi="Calibri"/>
          <w:sz w:val="24"/>
          <w:szCs w:val="24"/>
        </w:rPr>
        <w:t>Confidence</w:t>
      </w:r>
      <w:r w:rsidRPr="002229EB">
        <w:rPr>
          <w:rFonts w:ascii="Calibri" w:eastAsia="Tahoma" w:hAnsi="Calibri"/>
          <w:sz w:val="24"/>
          <w:szCs w:val="24"/>
        </w:rPr>
        <w:t xml:space="preserve"> shows a relationship with all three other factors.  This provides a strong challenge to Davies and Lea’s (1995) unidimensional model, while extending </w:t>
      </w:r>
      <w:proofErr w:type="spellStart"/>
      <w:r w:rsidRPr="002229EB">
        <w:rPr>
          <w:rFonts w:ascii="Calibri" w:eastAsia="Tahoma" w:hAnsi="Calibri"/>
          <w:sz w:val="24"/>
          <w:szCs w:val="24"/>
        </w:rPr>
        <w:t>Haultain</w:t>
      </w:r>
      <w:proofErr w:type="spellEnd"/>
      <w:r w:rsidRPr="002229EB">
        <w:rPr>
          <w:rFonts w:ascii="Calibri" w:eastAsia="Tahoma" w:hAnsi="Calibri"/>
          <w:sz w:val="24"/>
          <w:szCs w:val="24"/>
        </w:rPr>
        <w:t xml:space="preserve"> et a</w:t>
      </w:r>
      <w:r w:rsidR="000169D6" w:rsidRPr="002229EB">
        <w:rPr>
          <w:rFonts w:ascii="Calibri" w:eastAsia="Tahoma" w:hAnsi="Calibri"/>
          <w:sz w:val="24"/>
          <w:szCs w:val="24"/>
        </w:rPr>
        <w:t xml:space="preserve">l.’s (2010) </w:t>
      </w:r>
      <w:proofErr w:type="spellStart"/>
      <w:r w:rsidR="000169D6" w:rsidRPr="002229EB">
        <w:rPr>
          <w:rFonts w:ascii="Calibri" w:eastAsia="Tahoma" w:hAnsi="Calibri"/>
          <w:sz w:val="24"/>
          <w:szCs w:val="24"/>
        </w:rPr>
        <w:t>bidimensional</w:t>
      </w:r>
      <w:proofErr w:type="spellEnd"/>
      <w:r w:rsidR="000169D6" w:rsidRPr="002229EB">
        <w:rPr>
          <w:rFonts w:ascii="Calibri" w:eastAsia="Tahoma" w:hAnsi="Calibri"/>
          <w:sz w:val="24"/>
          <w:szCs w:val="24"/>
        </w:rPr>
        <w:t xml:space="preserve"> model and finding a degree of congruence with other researchers’ findings.</w:t>
      </w:r>
    </w:p>
    <w:p w:rsidR="00E653AA" w:rsidRPr="002229EB" w:rsidRDefault="00E653AA" w:rsidP="009C3AC7">
      <w:pPr>
        <w:pStyle w:val="ParaAttribute0"/>
        <w:wordWrap/>
        <w:spacing w:line="276" w:lineRule="auto"/>
        <w:rPr>
          <w:rFonts w:ascii="Calibri" w:eastAsia="Tahoma" w:hAnsi="Calibri"/>
          <w:sz w:val="24"/>
          <w:szCs w:val="24"/>
        </w:rPr>
      </w:pPr>
    </w:p>
    <w:p w:rsidR="000422E4" w:rsidRPr="002229EB" w:rsidRDefault="00E653AA" w:rsidP="009C3AC7">
      <w:pPr>
        <w:pStyle w:val="ParaAttribute0"/>
        <w:wordWrap/>
        <w:spacing w:line="276" w:lineRule="auto"/>
        <w:rPr>
          <w:rFonts w:ascii="Calibri" w:eastAsia="Tahoma" w:hAnsi="Calibri"/>
          <w:sz w:val="24"/>
          <w:szCs w:val="24"/>
        </w:rPr>
      </w:pPr>
      <w:r w:rsidRPr="002229EB">
        <w:rPr>
          <w:rFonts w:ascii="Calibri" w:eastAsia="Tahoma" w:hAnsi="Calibri"/>
          <w:sz w:val="24"/>
          <w:szCs w:val="24"/>
        </w:rPr>
        <w:t>The discussion develops the argument that the interplay between, in particular, Anxiety and Utility-For-Investment</w:t>
      </w:r>
      <w:r w:rsidR="005F4229" w:rsidRPr="002229EB">
        <w:rPr>
          <w:rFonts w:ascii="Calibri" w:eastAsia="Tahoma" w:hAnsi="Calibri"/>
          <w:sz w:val="24"/>
          <w:szCs w:val="24"/>
        </w:rPr>
        <w:t xml:space="preserve"> has an important role in defining whether an individual seeks to enter higher education and secondary choices such as location and course.  For example, an individual may bear the short-term anxiety of indebtedness if they have a high expectation of what their education will provide in the long-term.  The role of </w:t>
      </w:r>
      <w:r w:rsidR="004F7375" w:rsidRPr="002229EB">
        <w:rPr>
          <w:rFonts w:ascii="Calibri" w:eastAsia="Tahoma" w:hAnsi="Calibri"/>
          <w:sz w:val="24"/>
          <w:szCs w:val="24"/>
        </w:rPr>
        <w:t>Confidence</w:t>
      </w:r>
      <w:r w:rsidR="005F4229" w:rsidRPr="002229EB">
        <w:rPr>
          <w:rFonts w:ascii="Calibri" w:eastAsia="Tahoma" w:hAnsi="Calibri"/>
          <w:sz w:val="24"/>
          <w:szCs w:val="24"/>
        </w:rPr>
        <w:t xml:space="preserve"> is more moot, it being impossible to determine the extent to which knowledge about student and commercial loans drives </w:t>
      </w:r>
      <w:r w:rsidR="002A0FEC" w:rsidRPr="002229EB">
        <w:rPr>
          <w:rFonts w:ascii="Calibri" w:eastAsia="Tahoma" w:hAnsi="Calibri"/>
          <w:sz w:val="24"/>
          <w:szCs w:val="24"/>
        </w:rPr>
        <w:t>responsible and low-anxiety borrowing, as opposed to indebtedness leading to higher levels of knowledge about debt.  Given that our sample is drawn from new undergraduates, it is suggested that the former is more likely to hold.</w:t>
      </w:r>
    </w:p>
    <w:p w:rsidR="000422E4" w:rsidRPr="002229EB" w:rsidRDefault="000422E4" w:rsidP="009C3AC7">
      <w:pPr>
        <w:pStyle w:val="ParaAttribute0"/>
        <w:wordWrap/>
        <w:spacing w:line="276" w:lineRule="auto"/>
        <w:rPr>
          <w:rFonts w:ascii="Calibri" w:eastAsia="Tahoma" w:hAnsi="Calibri"/>
          <w:sz w:val="24"/>
          <w:szCs w:val="24"/>
        </w:rPr>
      </w:pPr>
    </w:p>
    <w:p w:rsidR="00444ADD" w:rsidRPr="002229EB" w:rsidRDefault="00444ADD" w:rsidP="009C3AC7">
      <w:pPr>
        <w:pStyle w:val="ParaAttribute0"/>
        <w:wordWrap/>
        <w:spacing w:line="276" w:lineRule="auto"/>
        <w:rPr>
          <w:rFonts w:ascii="Calibri" w:eastAsia="Tahoma" w:hAnsi="Calibri"/>
          <w:sz w:val="24"/>
          <w:szCs w:val="24"/>
        </w:rPr>
      </w:pPr>
      <w:r w:rsidRPr="002229EB">
        <w:rPr>
          <w:rStyle w:val="CharAttribute2"/>
          <w:rFonts w:ascii="Calibri" w:hAnsi="Calibri"/>
          <w:szCs w:val="24"/>
        </w:rPr>
        <w:t xml:space="preserve">This </w:t>
      </w:r>
      <w:r w:rsidR="002A0FEC" w:rsidRPr="002229EB">
        <w:rPr>
          <w:rStyle w:val="CharAttribute2"/>
          <w:rFonts w:ascii="Calibri" w:hAnsi="Calibri"/>
          <w:szCs w:val="24"/>
        </w:rPr>
        <w:t>being the case, there are useful ramifications for university managers and policymakers.  Firstly, improving</w:t>
      </w:r>
      <w:r w:rsidR="00A55E66" w:rsidRPr="002229EB">
        <w:rPr>
          <w:rStyle w:val="CharAttribute2"/>
          <w:rFonts w:ascii="Calibri" w:hAnsi="Calibri"/>
          <w:szCs w:val="24"/>
        </w:rPr>
        <w:t xml:space="preserve"> confidence about money management </w:t>
      </w:r>
      <w:r w:rsidR="002A0FEC" w:rsidRPr="002229EB">
        <w:rPr>
          <w:rStyle w:val="CharAttribute2"/>
          <w:rFonts w:ascii="Calibri" w:hAnsi="Calibri"/>
          <w:szCs w:val="24"/>
        </w:rPr>
        <w:t>may lead to reduced anxiety and lifestyle spending, wh</w:t>
      </w:r>
      <w:r w:rsidR="004B44A4" w:rsidRPr="002229EB">
        <w:rPr>
          <w:rStyle w:val="CharAttribute2"/>
          <w:rFonts w:ascii="Calibri" w:hAnsi="Calibri"/>
          <w:szCs w:val="24"/>
        </w:rPr>
        <w:t>ile bolstering a belief in the</w:t>
      </w:r>
      <w:r w:rsidR="002A0FEC" w:rsidRPr="002229EB">
        <w:rPr>
          <w:rStyle w:val="CharAttribute2"/>
          <w:rFonts w:ascii="Calibri" w:hAnsi="Calibri"/>
          <w:szCs w:val="24"/>
        </w:rPr>
        <w:t xml:space="preserve"> utility </w:t>
      </w:r>
      <w:r w:rsidR="004B44A4" w:rsidRPr="002229EB">
        <w:rPr>
          <w:rStyle w:val="CharAttribute2"/>
          <w:rFonts w:ascii="Calibri" w:hAnsi="Calibri"/>
          <w:szCs w:val="24"/>
        </w:rPr>
        <w:t xml:space="preserve">of borrowing </w:t>
      </w:r>
      <w:r w:rsidR="002A0FEC" w:rsidRPr="002229EB">
        <w:rPr>
          <w:rStyle w:val="CharAttribute2"/>
          <w:rFonts w:ascii="Calibri" w:hAnsi="Calibri"/>
          <w:szCs w:val="24"/>
        </w:rPr>
        <w:t>for personal and career development.  Secondly, and perhaps more importantly, this</w:t>
      </w:r>
      <w:r w:rsidRPr="002229EB">
        <w:rPr>
          <w:rStyle w:val="CharAttribute2"/>
          <w:rFonts w:ascii="Calibri" w:hAnsi="Calibri"/>
          <w:szCs w:val="24"/>
        </w:rPr>
        <w:t xml:space="preserve"> belief </w:t>
      </w:r>
      <w:r w:rsidR="002A0FEC" w:rsidRPr="002229EB">
        <w:rPr>
          <w:rStyle w:val="CharAttribute2"/>
          <w:rFonts w:ascii="Calibri" w:hAnsi="Calibri"/>
          <w:szCs w:val="24"/>
        </w:rPr>
        <w:t xml:space="preserve">would </w:t>
      </w:r>
      <w:r w:rsidR="004B44A4" w:rsidRPr="002229EB">
        <w:rPr>
          <w:rStyle w:val="CharAttribute2"/>
          <w:rFonts w:ascii="Calibri" w:hAnsi="Calibri"/>
          <w:szCs w:val="24"/>
        </w:rPr>
        <w:t>appear</w:t>
      </w:r>
      <w:r w:rsidRPr="002229EB">
        <w:rPr>
          <w:rStyle w:val="CharAttribute2"/>
          <w:rFonts w:ascii="Calibri" w:hAnsi="Calibri"/>
          <w:szCs w:val="24"/>
        </w:rPr>
        <w:t xml:space="preserve"> to be key in decisions about entering higher education</w:t>
      </w:r>
      <w:r w:rsidR="002A0FEC" w:rsidRPr="002229EB">
        <w:rPr>
          <w:rStyle w:val="CharAttribute2"/>
          <w:rFonts w:ascii="Calibri" w:hAnsi="Calibri"/>
          <w:szCs w:val="24"/>
        </w:rPr>
        <w:t>, such that o</w:t>
      </w:r>
      <w:r w:rsidRPr="002229EB">
        <w:rPr>
          <w:rStyle w:val="CharAttribute2"/>
          <w:rFonts w:ascii="Calibri" w:hAnsi="Calibri"/>
          <w:szCs w:val="24"/>
        </w:rPr>
        <w:t xml:space="preserve">utreach </w:t>
      </w:r>
      <w:r w:rsidR="002A0FEC" w:rsidRPr="002229EB">
        <w:rPr>
          <w:rStyle w:val="CharAttribute2"/>
          <w:rFonts w:ascii="Calibri" w:hAnsi="Calibri"/>
          <w:szCs w:val="24"/>
        </w:rPr>
        <w:t xml:space="preserve">and recruitment </w:t>
      </w:r>
      <w:r w:rsidRPr="002229EB">
        <w:rPr>
          <w:rStyle w:val="CharAttribute2"/>
          <w:rFonts w:ascii="Calibri" w:hAnsi="Calibri"/>
          <w:szCs w:val="24"/>
        </w:rPr>
        <w:t>work that focuse</w:t>
      </w:r>
      <w:r w:rsidR="002A0FEC" w:rsidRPr="002229EB">
        <w:rPr>
          <w:rStyle w:val="CharAttribute2"/>
          <w:rFonts w:ascii="Calibri" w:hAnsi="Calibri"/>
          <w:szCs w:val="24"/>
        </w:rPr>
        <w:t>s</w:t>
      </w:r>
      <w:r w:rsidRPr="002229EB">
        <w:rPr>
          <w:rStyle w:val="CharAttribute2"/>
          <w:rFonts w:ascii="Calibri" w:hAnsi="Calibri"/>
          <w:szCs w:val="24"/>
        </w:rPr>
        <w:t xml:space="preserve"> on </w:t>
      </w:r>
      <w:r w:rsidR="004B44A4" w:rsidRPr="002229EB">
        <w:rPr>
          <w:rStyle w:val="CharAttribute2"/>
          <w:rFonts w:ascii="Calibri" w:hAnsi="Calibri"/>
          <w:szCs w:val="24"/>
        </w:rPr>
        <w:t>strengthening</w:t>
      </w:r>
      <w:r w:rsidR="00A55E66" w:rsidRPr="002229EB">
        <w:rPr>
          <w:rStyle w:val="CharAttribute2"/>
          <w:rFonts w:ascii="Calibri" w:hAnsi="Calibri"/>
          <w:szCs w:val="24"/>
        </w:rPr>
        <w:t xml:space="preserve"> concepts of utility and reducing perceived risk</w:t>
      </w:r>
      <w:r w:rsidRPr="002229EB">
        <w:rPr>
          <w:rStyle w:val="CharAttribute2"/>
          <w:rFonts w:ascii="Calibri" w:hAnsi="Calibri"/>
          <w:szCs w:val="24"/>
        </w:rPr>
        <w:t xml:space="preserve"> is more likely to be successful.  There is clearly an ethical component to this too, with a requirement that information is presented honestly, notwithstanding the significant unknowns about graduate employment outcomes.  The other ramification for policy is that applications from lower socio-economic groups are likely to remain buoyant as long as there is a reasonable expectation of improved long-term life chances.  This may be strong in times of high youth unemployment, but potentially more fragile when opportunities </w:t>
      </w:r>
      <w:r w:rsidR="00BC057F" w:rsidRPr="002229EB">
        <w:rPr>
          <w:rStyle w:val="CharAttribute2"/>
          <w:rFonts w:ascii="Calibri" w:hAnsi="Calibri"/>
          <w:szCs w:val="24"/>
        </w:rPr>
        <w:t>are</w:t>
      </w:r>
      <w:r w:rsidRPr="002229EB">
        <w:rPr>
          <w:rStyle w:val="CharAttribute2"/>
          <w:rFonts w:ascii="Calibri" w:hAnsi="Calibri"/>
          <w:szCs w:val="24"/>
        </w:rPr>
        <w:t xml:space="preserve"> many and financially attractive.</w:t>
      </w:r>
    </w:p>
    <w:p w:rsidR="0030561A" w:rsidRPr="002229EB" w:rsidRDefault="0030561A" w:rsidP="009C3AC7">
      <w:pPr>
        <w:pStyle w:val="ParaAttribute0"/>
        <w:wordWrap/>
        <w:spacing w:line="276" w:lineRule="auto"/>
        <w:rPr>
          <w:rFonts w:ascii="Calibri" w:eastAsia="Tahoma" w:hAnsi="Calibri"/>
          <w:b/>
          <w:sz w:val="24"/>
          <w:szCs w:val="24"/>
        </w:rPr>
      </w:pPr>
    </w:p>
    <w:p w:rsidR="00CD48FA" w:rsidRPr="002229EB" w:rsidRDefault="00CD48FA" w:rsidP="009C3AC7">
      <w:pPr>
        <w:pStyle w:val="ParaAttribute0"/>
        <w:wordWrap/>
        <w:spacing w:line="276" w:lineRule="auto"/>
        <w:rPr>
          <w:rFonts w:ascii="Calibri" w:eastAsia="Tahoma" w:hAnsi="Calibri"/>
          <w:b/>
          <w:sz w:val="24"/>
          <w:szCs w:val="24"/>
        </w:rPr>
      </w:pPr>
    </w:p>
    <w:p w:rsidR="00CD48FA" w:rsidRPr="002229EB" w:rsidRDefault="00CD48FA" w:rsidP="009C3AC7">
      <w:pPr>
        <w:pStyle w:val="ParaAttribute0"/>
        <w:wordWrap/>
        <w:spacing w:line="276" w:lineRule="auto"/>
        <w:rPr>
          <w:rFonts w:ascii="Calibri" w:eastAsia="Tahoma" w:hAnsi="Calibri"/>
          <w:b/>
          <w:sz w:val="24"/>
          <w:szCs w:val="24"/>
        </w:rPr>
      </w:pPr>
      <w:r w:rsidRPr="002229EB">
        <w:rPr>
          <w:rFonts w:ascii="Calibri" w:eastAsia="Tahoma" w:hAnsi="Calibri"/>
          <w:b/>
          <w:sz w:val="24"/>
          <w:szCs w:val="24"/>
        </w:rPr>
        <w:t>Acknowledgements</w:t>
      </w:r>
    </w:p>
    <w:p w:rsidR="00CD48FA" w:rsidRPr="002229EB" w:rsidRDefault="00CD48FA" w:rsidP="009C3AC7">
      <w:pPr>
        <w:widowControl/>
        <w:wordWrap/>
        <w:autoSpaceDE/>
        <w:autoSpaceDN/>
        <w:spacing w:line="276" w:lineRule="auto"/>
        <w:jc w:val="left"/>
        <w:rPr>
          <w:rFonts w:ascii="Calibri" w:eastAsia="Tahoma" w:hAnsi="Calibri"/>
          <w:sz w:val="24"/>
          <w:szCs w:val="24"/>
          <w:lang w:val="en-GB"/>
        </w:rPr>
      </w:pPr>
    </w:p>
    <w:p w:rsidR="00CD48FA" w:rsidRPr="002229EB" w:rsidRDefault="00CD48FA" w:rsidP="009C3AC7">
      <w:pPr>
        <w:widowControl/>
        <w:wordWrap/>
        <w:autoSpaceDE/>
        <w:autoSpaceDN/>
        <w:spacing w:line="276" w:lineRule="auto"/>
        <w:jc w:val="left"/>
        <w:rPr>
          <w:rFonts w:ascii="Calibri" w:eastAsia="Tahoma" w:hAnsi="Calibri"/>
          <w:b/>
          <w:sz w:val="24"/>
          <w:szCs w:val="24"/>
          <w:lang w:val="en-GB"/>
        </w:rPr>
      </w:pPr>
      <w:r w:rsidRPr="002229EB">
        <w:rPr>
          <w:rFonts w:ascii="Calibri" w:eastAsia="Tahoma" w:hAnsi="Calibri"/>
          <w:sz w:val="24"/>
          <w:szCs w:val="24"/>
          <w:lang w:val="en-GB"/>
        </w:rPr>
        <w:t xml:space="preserve">The lead author would like to acknowledge financial support (grant reference </w:t>
      </w:r>
      <w:r w:rsidRPr="002229EB">
        <w:rPr>
          <w:rFonts w:ascii="Calibri" w:eastAsia="Times New Roman" w:hAnsi="Calibri" w:cs="Arial"/>
          <w:iCs/>
          <w:color w:val="000000"/>
          <w:sz w:val="24"/>
          <w:szCs w:val="24"/>
          <w:lang w:val="en-GB" w:eastAsia="en-GB"/>
        </w:rPr>
        <w:t xml:space="preserve">SG130227) </w:t>
      </w:r>
      <w:r w:rsidRPr="002229EB">
        <w:rPr>
          <w:rFonts w:ascii="Calibri" w:eastAsia="Tahoma" w:hAnsi="Calibri"/>
          <w:sz w:val="24"/>
          <w:szCs w:val="24"/>
          <w:lang w:val="en-GB"/>
        </w:rPr>
        <w:t xml:space="preserve">from the </w:t>
      </w:r>
      <w:proofErr w:type="spellStart"/>
      <w:r w:rsidRPr="002229EB">
        <w:rPr>
          <w:rFonts w:ascii="Calibri" w:eastAsia="Tahoma" w:hAnsi="Calibri"/>
          <w:sz w:val="24"/>
          <w:szCs w:val="24"/>
          <w:lang w:val="en-GB"/>
        </w:rPr>
        <w:t>Leverhulme</w:t>
      </w:r>
      <w:proofErr w:type="spellEnd"/>
      <w:r w:rsidRPr="002229EB">
        <w:rPr>
          <w:rFonts w:ascii="Calibri" w:eastAsia="Tahoma" w:hAnsi="Calibri"/>
          <w:sz w:val="24"/>
          <w:szCs w:val="24"/>
          <w:lang w:val="en-GB"/>
        </w:rPr>
        <w:t xml:space="preserve"> Trust via the British Academy’s Small Grants Programme.</w:t>
      </w:r>
      <w:r w:rsidR="009C3AC7" w:rsidRPr="002229EB">
        <w:rPr>
          <w:rFonts w:ascii="Calibri" w:eastAsia="Tahoma" w:hAnsi="Calibri"/>
          <w:b/>
          <w:sz w:val="24"/>
          <w:szCs w:val="24"/>
          <w:lang w:val="en-GB"/>
        </w:rPr>
        <w:br w:type="page"/>
      </w:r>
    </w:p>
    <w:p w:rsidR="009C3AC7" w:rsidRPr="002229EB" w:rsidRDefault="009C3AC7" w:rsidP="009C3AC7">
      <w:pPr>
        <w:widowControl/>
        <w:wordWrap/>
        <w:autoSpaceDE/>
        <w:autoSpaceDN/>
        <w:spacing w:line="276" w:lineRule="auto"/>
        <w:jc w:val="left"/>
        <w:rPr>
          <w:rFonts w:ascii="Calibri" w:eastAsia="Tahoma" w:hAnsi="Calibri"/>
          <w:sz w:val="24"/>
          <w:szCs w:val="24"/>
          <w:lang w:val="en-GB"/>
        </w:rPr>
      </w:pPr>
      <w:r w:rsidRPr="002229EB">
        <w:rPr>
          <w:rFonts w:ascii="Calibri" w:eastAsia="Tahoma" w:hAnsi="Calibri"/>
          <w:b/>
          <w:sz w:val="24"/>
          <w:szCs w:val="24"/>
          <w:lang w:val="en-GB"/>
        </w:rPr>
        <w:lastRenderedPageBreak/>
        <w:t>Reference</w:t>
      </w:r>
      <w:r w:rsidR="00D35103" w:rsidRPr="002229EB">
        <w:rPr>
          <w:rFonts w:ascii="Calibri" w:eastAsia="Tahoma" w:hAnsi="Calibri"/>
          <w:b/>
          <w:sz w:val="24"/>
          <w:szCs w:val="24"/>
          <w:lang w:val="en-GB"/>
        </w:rPr>
        <w:t>s</w:t>
      </w:r>
    </w:p>
    <w:p w:rsidR="009C3AC7" w:rsidRPr="002229EB" w:rsidRDefault="009C3AC7" w:rsidP="009C3AC7">
      <w:pPr>
        <w:widowControl/>
        <w:wordWrap/>
        <w:autoSpaceDE/>
        <w:autoSpaceDN/>
        <w:spacing w:line="276" w:lineRule="auto"/>
        <w:jc w:val="left"/>
        <w:rPr>
          <w:rFonts w:ascii="Calibri" w:eastAsia="Tahoma" w:hAnsi="Calibri"/>
          <w:b/>
          <w:sz w:val="24"/>
          <w:szCs w:val="24"/>
          <w:lang w:val="en-GB"/>
        </w:rPr>
      </w:pPr>
    </w:p>
    <w:p w:rsidR="00253CB7" w:rsidRPr="002229EB" w:rsidRDefault="00253CB7" w:rsidP="00253CB7">
      <w:pPr>
        <w:wordWrap/>
        <w:spacing w:line="276" w:lineRule="auto"/>
        <w:ind w:left="425" w:hanging="425"/>
        <w:rPr>
          <w:rFonts w:ascii="Calibri" w:hAnsi="Calibri"/>
          <w:sz w:val="24"/>
          <w:szCs w:val="24"/>
          <w:lang w:val="en-GB"/>
        </w:rPr>
      </w:pPr>
      <w:r w:rsidRPr="002229EB">
        <w:rPr>
          <w:rFonts w:ascii="Calibri" w:hAnsi="Calibri"/>
          <w:sz w:val="24"/>
          <w:szCs w:val="24"/>
          <w:lang w:val="en-GB"/>
        </w:rPr>
        <w:t xml:space="preserve">Becker. </w:t>
      </w:r>
      <w:proofErr w:type="gramStart"/>
      <w:r w:rsidRPr="002229EB">
        <w:rPr>
          <w:rFonts w:ascii="Calibri" w:hAnsi="Calibri"/>
          <w:sz w:val="24"/>
          <w:szCs w:val="24"/>
          <w:lang w:val="en-GB"/>
        </w:rPr>
        <w:t>G. (1994).</w:t>
      </w:r>
      <w:proofErr w:type="gramEnd"/>
      <w:r w:rsidRPr="002229EB">
        <w:rPr>
          <w:rFonts w:ascii="Calibri" w:hAnsi="Calibri"/>
          <w:sz w:val="24"/>
          <w:szCs w:val="24"/>
          <w:lang w:val="en-GB"/>
        </w:rPr>
        <w:t xml:space="preserve"> </w:t>
      </w:r>
      <w:r w:rsidRPr="002229EB">
        <w:rPr>
          <w:rStyle w:val="Emphasis"/>
          <w:rFonts w:ascii="Calibri" w:hAnsi="Calibri"/>
          <w:sz w:val="24"/>
          <w:szCs w:val="24"/>
          <w:lang w:val="en-GB"/>
        </w:rPr>
        <w:t>Human capital: a theoretical and empirical analysis with special reference to education</w:t>
      </w:r>
      <w:r w:rsidR="00EB014C" w:rsidRPr="002229EB">
        <w:rPr>
          <w:rStyle w:val="Emphasis"/>
          <w:rFonts w:ascii="Calibri" w:hAnsi="Calibri"/>
          <w:i w:val="0"/>
          <w:sz w:val="24"/>
          <w:szCs w:val="24"/>
          <w:lang w:val="en-GB"/>
        </w:rPr>
        <w:t xml:space="preserve"> (2</w:t>
      </w:r>
      <w:r w:rsidR="00EB014C" w:rsidRPr="002229EB">
        <w:rPr>
          <w:rStyle w:val="Emphasis"/>
          <w:rFonts w:ascii="Calibri" w:hAnsi="Calibri"/>
          <w:i w:val="0"/>
          <w:sz w:val="24"/>
          <w:szCs w:val="24"/>
          <w:vertAlign w:val="superscript"/>
          <w:lang w:val="en-GB"/>
        </w:rPr>
        <w:t>nd</w:t>
      </w:r>
      <w:r w:rsidR="00EB014C" w:rsidRPr="002229EB">
        <w:rPr>
          <w:rStyle w:val="Emphasis"/>
          <w:rFonts w:ascii="Calibri" w:hAnsi="Calibri"/>
          <w:i w:val="0"/>
          <w:sz w:val="24"/>
          <w:szCs w:val="24"/>
          <w:lang w:val="en-GB"/>
        </w:rPr>
        <w:t xml:space="preserve"> edition)</w:t>
      </w:r>
      <w:r w:rsidRPr="002229EB">
        <w:rPr>
          <w:rFonts w:ascii="Calibri" w:hAnsi="Calibri"/>
          <w:sz w:val="24"/>
          <w:szCs w:val="24"/>
          <w:lang w:val="en-GB"/>
        </w:rPr>
        <w:t>. Chicago: The University of Chicago Press.</w:t>
      </w:r>
    </w:p>
    <w:p w:rsidR="00C62588" w:rsidRDefault="008E2D6A" w:rsidP="00C62588">
      <w:pPr>
        <w:widowControl/>
        <w:wordWrap/>
        <w:autoSpaceDE/>
        <w:autoSpaceDN/>
        <w:spacing w:line="276" w:lineRule="auto"/>
        <w:ind w:left="426" w:hanging="426"/>
        <w:jc w:val="left"/>
        <w:rPr>
          <w:rFonts w:ascii="Calibri" w:eastAsia="Tahoma" w:hAnsi="Calibri"/>
          <w:sz w:val="24"/>
          <w:szCs w:val="24"/>
          <w:lang w:val="en-GB"/>
        </w:rPr>
      </w:pPr>
      <w:proofErr w:type="spellStart"/>
      <w:r w:rsidRPr="002229EB">
        <w:rPr>
          <w:rFonts w:ascii="Calibri" w:eastAsia="Tahoma" w:hAnsi="Calibri"/>
          <w:sz w:val="24"/>
          <w:szCs w:val="24"/>
          <w:lang w:val="en-GB"/>
        </w:rPr>
        <w:t>Bachan</w:t>
      </w:r>
      <w:proofErr w:type="spellEnd"/>
      <w:r w:rsidRPr="002229EB">
        <w:rPr>
          <w:rFonts w:ascii="Calibri" w:eastAsia="Tahoma" w:hAnsi="Calibri"/>
          <w:sz w:val="24"/>
          <w:szCs w:val="24"/>
          <w:lang w:val="en-GB"/>
        </w:rPr>
        <w:t xml:space="preserve">, R. (in press). </w:t>
      </w:r>
      <w:proofErr w:type="gramStart"/>
      <w:r w:rsidRPr="002229EB">
        <w:rPr>
          <w:rFonts w:ascii="Calibri" w:eastAsia="Tahoma" w:hAnsi="Calibri"/>
          <w:sz w:val="24"/>
          <w:szCs w:val="24"/>
          <w:lang w:val="en-GB"/>
        </w:rPr>
        <w:t>Students’ expectations of debt in UK higher education.</w:t>
      </w:r>
      <w:proofErr w:type="gramEnd"/>
      <w:r w:rsidRPr="002229EB">
        <w:rPr>
          <w:rFonts w:ascii="Calibri" w:eastAsia="Tahoma" w:hAnsi="Calibri"/>
          <w:sz w:val="24"/>
          <w:szCs w:val="24"/>
          <w:lang w:val="en-GB"/>
        </w:rPr>
        <w:t xml:space="preserve"> </w:t>
      </w:r>
      <w:proofErr w:type="gramStart"/>
      <w:r w:rsidRPr="002229EB">
        <w:rPr>
          <w:rFonts w:ascii="Calibri" w:eastAsia="Tahoma" w:hAnsi="Calibri"/>
          <w:sz w:val="24"/>
          <w:szCs w:val="24"/>
          <w:lang w:val="en-GB"/>
        </w:rPr>
        <w:t xml:space="preserve">Awaiting publication in </w:t>
      </w:r>
      <w:r w:rsidRPr="002229EB">
        <w:rPr>
          <w:rFonts w:ascii="Calibri" w:eastAsia="Tahoma" w:hAnsi="Calibri"/>
          <w:i/>
          <w:sz w:val="24"/>
          <w:szCs w:val="24"/>
          <w:lang w:val="en-GB"/>
        </w:rPr>
        <w:t>Studies in Higher Education</w:t>
      </w:r>
      <w:r w:rsidRPr="002229EB">
        <w:rPr>
          <w:rFonts w:ascii="Calibri" w:eastAsia="Tahoma" w:hAnsi="Calibri"/>
          <w:sz w:val="24"/>
          <w:szCs w:val="24"/>
          <w:lang w:val="en-GB"/>
        </w:rPr>
        <w:t>.</w:t>
      </w:r>
      <w:proofErr w:type="gramEnd"/>
    </w:p>
    <w:p w:rsidR="00CB092C" w:rsidRPr="00CB092C" w:rsidRDefault="00CB092C" w:rsidP="00CB092C">
      <w:pPr>
        <w:adjustRightInd w:val="0"/>
        <w:spacing w:line="276" w:lineRule="auto"/>
        <w:ind w:left="720" w:hanging="720"/>
        <w:jc w:val="left"/>
        <w:rPr>
          <w:rFonts w:ascii="Calibri" w:hAnsi="Calibri"/>
          <w:sz w:val="22"/>
          <w:szCs w:val="24"/>
        </w:rPr>
      </w:pPr>
      <w:proofErr w:type="gramStart"/>
      <w:r w:rsidRPr="00C9300D">
        <w:rPr>
          <w:rFonts w:ascii="Calibri" w:hAnsi="Calibri"/>
          <w:sz w:val="24"/>
          <w:szCs w:val="24"/>
        </w:rPr>
        <w:t xml:space="preserve">Baum, S., Ma, J., &amp; </w:t>
      </w:r>
      <w:proofErr w:type="spellStart"/>
      <w:r w:rsidRPr="00C9300D">
        <w:rPr>
          <w:rFonts w:ascii="Calibri" w:hAnsi="Calibri"/>
          <w:sz w:val="24"/>
          <w:szCs w:val="24"/>
        </w:rPr>
        <w:t>Payea</w:t>
      </w:r>
      <w:proofErr w:type="spellEnd"/>
      <w:r w:rsidRPr="00C9300D">
        <w:rPr>
          <w:rFonts w:ascii="Calibri" w:hAnsi="Calibri"/>
          <w:sz w:val="24"/>
          <w:szCs w:val="24"/>
        </w:rPr>
        <w:t>, K. (2012).</w:t>
      </w:r>
      <w:proofErr w:type="gramEnd"/>
      <w:r w:rsidRPr="00C9300D">
        <w:rPr>
          <w:rFonts w:ascii="Calibri" w:hAnsi="Calibri"/>
          <w:sz w:val="24"/>
          <w:szCs w:val="24"/>
        </w:rPr>
        <w:t xml:space="preserve"> </w:t>
      </w:r>
      <w:r w:rsidRPr="00CB092C">
        <w:rPr>
          <w:rFonts w:ascii="Calibri" w:hAnsi="Calibri"/>
          <w:bCs/>
          <w:i/>
          <w:sz w:val="24"/>
          <w:szCs w:val="24"/>
        </w:rPr>
        <w:t>Trends in public higher education: enrollment, prices, student aid, revenues, and expenditures.</w:t>
      </w:r>
      <w:r>
        <w:rPr>
          <w:rFonts w:ascii="Calibri" w:hAnsi="Calibri"/>
          <w:bCs/>
          <w:sz w:val="24"/>
          <w:szCs w:val="24"/>
        </w:rPr>
        <w:t xml:space="preserve"> New York: </w:t>
      </w:r>
      <w:r w:rsidRPr="00CB092C">
        <w:rPr>
          <w:rFonts w:ascii="Calibri" w:hAnsi="Calibri" w:cs="SerifaStd-Light"/>
          <w:kern w:val="0"/>
          <w:sz w:val="24"/>
          <w:szCs w:val="28"/>
          <w:lang w:val="en-GB" w:eastAsia="en-GB"/>
        </w:rPr>
        <w:t xml:space="preserve">College Board Advocacy and Policy </w:t>
      </w:r>
      <w:proofErr w:type="spellStart"/>
      <w:r w:rsidRPr="00CB092C">
        <w:rPr>
          <w:rFonts w:ascii="Calibri" w:hAnsi="Calibri" w:cs="SerifaStd-Light"/>
          <w:kern w:val="0"/>
          <w:sz w:val="24"/>
          <w:szCs w:val="28"/>
          <w:lang w:val="en-GB" w:eastAsia="en-GB"/>
        </w:rPr>
        <w:t>Center</w:t>
      </w:r>
      <w:proofErr w:type="spellEnd"/>
      <w:r w:rsidRPr="00CB092C">
        <w:rPr>
          <w:rFonts w:ascii="Calibri" w:hAnsi="Calibri" w:cs="SerifaStd-Light"/>
          <w:kern w:val="0"/>
          <w:sz w:val="24"/>
          <w:szCs w:val="28"/>
          <w:lang w:val="en-GB" w:eastAsia="en-GB"/>
        </w:rPr>
        <w:t>.</w:t>
      </w:r>
    </w:p>
    <w:p w:rsidR="00C62588" w:rsidRPr="002229EB" w:rsidRDefault="00C62588" w:rsidP="00C62588">
      <w:pPr>
        <w:widowControl/>
        <w:wordWrap/>
        <w:autoSpaceDE/>
        <w:autoSpaceDN/>
        <w:spacing w:line="276" w:lineRule="auto"/>
        <w:ind w:left="426" w:hanging="426"/>
        <w:jc w:val="left"/>
        <w:rPr>
          <w:rFonts w:ascii="Calibri" w:eastAsia="Tahoma" w:hAnsi="Calibri"/>
          <w:sz w:val="24"/>
          <w:szCs w:val="24"/>
          <w:lang w:val="en-GB"/>
        </w:rPr>
      </w:pPr>
      <w:proofErr w:type="gramStart"/>
      <w:r w:rsidRPr="002229EB">
        <w:rPr>
          <w:rFonts w:ascii="Calibri" w:hAnsi="Calibri" w:cs="Times-Roman"/>
          <w:kern w:val="0"/>
          <w:sz w:val="24"/>
          <w:szCs w:val="24"/>
          <w:lang w:val="en-GB" w:eastAsia="en-GB"/>
        </w:rPr>
        <w:t>Brown, P., Lauder, H. &amp; Ashton, D. (2011).</w:t>
      </w:r>
      <w:proofErr w:type="gramEnd"/>
      <w:r w:rsidRPr="002229EB">
        <w:rPr>
          <w:rFonts w:ascii="Calibri" w:hAnsi="Calibri" w:cs="Times-Roman"/>
          <w:kern w:val="0"/>
          <w:sz w:val="24"/>
          <w:szCs w:val="24"/>
          <w:lang w:val="en-GB" w:eastAsia="en-GB"/>
        </w:rPr>
        <w:t xml:space="preserve"> </w:t>
      </w:r>
      <w:r w:rsidRPr="002229EB">
        <w:rPr>
          <w:rFonts w:ascii="Calibri" w:hAnsi="Calibri" w:cs="Times-Italic"/>
          <w:i/>
          <w:iCs/>
          <w:kern w:val="0"/>
          <w:sz w:val="24"/>
          <w:szCs w:val="24"/>
          <w:lang w:val="en-GB" w:eastAsia="en-GB"/>
        </w:rPr>
        <w:t>The global auction: the broken promises of education, jobs and income</w:t>
      </w:r>
      <w:r w:rsidRPr="002229EB">
        <w:rPr>
          <w:rFonts w:ascii="Calibri" w:hAnsi="Calibri" w:cs="Times-Roman"/>
          <w:kern w:val="0"/>
          <w:sz w:val="24"/>
          <w:szCs w:val="24"/>
          <w:lang w:val="en-GB" w:eastAsia="en-GB"/>
        </w:rPr>
        <w:t>. Oxford: Oxford University Press.</w:t>
      </w:r>
    </w:p>
    <w:p w:rsidR="0048178F" w:rsidRPr="002229EB" w:rsidRDefault="0048178F" w:rsidP="00253CB7">
      <w:pPr>
        <w:wordWrap/>
        <w:spacing w:line="276" w:lineRule="auto"/>
        <w:ind w:left="425" w:hanging="425"/>
        <w:rPr>
          <w:lang w:val="en-GB"/>
        </w:rPr>
      </w:pPr>
      <w:proofErr w:type="gramStart"/>
      <w:r w:rsidRPr="002229EB">
        <w:rPr>
          <w:rFonts w:ascii="Calibri" w:hAnsi="Calibri"/>
          <w:sz w:val="24"/>
          <w:szCs w:val="24"/>
          <w:lang w:val="en-GB"/>
        </w:rPr>
        <w:t>Brynin, M. (2013).</w:t>
      </w:r>
      <w:proofErr w:type="gramEnd"/>
      <w:r w:rsidRPr="002229EB">
        <w:rPr>
          <w:rFonts w:ascii="Calibri" w:hAnsi="Calibri"/>
          <w:sz w:val="24"/>
          <w:szCs w:val="24"/>
          <w:lang w:val="en-GB"/>
        </w:rPr>
        <w:t xml:space="preserve"> Individual choice and risk: the case of higher education. </w:t>
      </w:r>
      <w:r w:rsidRPr="002229EB">
        <w:rPr>
          <w:rFonts w:ascii="Calibri" w:hAnsi="Calibri"/>
          <w:i/>
          <w:sz w:val="24"/>
          <w:szCs w:val="24"/>
          <w:lang w:val="en-GB"/>
        </w:rPr>
        <w:t>Sociology</w:t>
      </w:r>
      <w:r w:rsidRPr="002229EB">
        <w:rPr>
          <w:rFonts w:ascii="Calibri" w:hAnsi="Calibri"/>
          <w:sz w:val="24"/>
          <w:szCs w:val="24"/>
          <w:lang w:val="en-GB"/>
        </w:rPr>
        <w:t>, 47, 284-300.</w:t>
      </w:r>
    </w:p>
    <w:p w:rsidR="00B9372E" w:rsidRPr="002229EB" w:rsidRDefault="009C3AC7" w:rsidP="00B9372E">
      <w:pPr>
        <w:widowControl/>
        <w:wordWrap/>
        <w:autoSpaceDE/>
        <w:autoSpaceDN/>
        <w:spacing w:line="276" w:lineRule="auto"/>
        <w:ind w:left="426" w:hanging="426"/>
        <w:jc w:val="left"/>
        <w:rPr>
          <w:rFonts w:ascii="Calibri" w:eastAsia="Tahoma" w:hAnsi="Calibri"/>
          <w:sz w:val="24"/>
          <w:szCs w:val="24"/>
          <w:lang w:val="en-GB"/>
        </w:rPr>
      </w:pPr>
      <w:proofErr w:type="spellStart"/>
      <w:proofErr w:type="gramStart"/>
      <w:r w:rsidRPr="002229EB">
        <w:rPr>
          <w:rFonts w:ascii="Calibri" w:eastAsia="Tahoma" w:hAnsi="Calibri"/>
          <w:sz w:val="24"/>
          <w:szCs w:val="24"/>
          <w:lang w:val="en-GB"/>
        </w:rPr>
        <w:t>Callender</w:t>
      </w:r>
      <w:proofErr w:type="spellEnd"/>
      <w:r w:rsidRPr="002229EB">
        <w:rPr>
          <w:rFonts w:ascii="Calibri" w:eastAsia="Tahoma" w:hAnsi="Calibri"/>
          <w:sz w:val="24"/>
          <w:szCs w:val="24"/>
          <w:lang w:val="en-GB"/>
        </w:rPr>
        <w:t>, C. &amp; Jackson, J. (2005).</w:t>
      </w:r>
      <w:proofErr w:type="gramEnd"/>
      <w:r w:rsidRPr="002229EB">
        <w:rPr>
          <w:rFonts w:ascii="Calibri" w:eastAsia="Tahoma" w:hAnsi="Calibri"/>
          <w:sz w:val="24"/>
          <w:szCs w:val="24"/>
          <w:lang w:val="en-GB"/>
        </w:rPr>
        <w:t xml:space="preserve"> Does the fear of debt deter students from higher education?  </w:t>
      </w:r>
      <w:r w:rsidRPr="002229EB">
        <w:rPr>
          <w:rFonts w:ascii="Calibri" w:eastAsia="Tahoma" w:hAnsi="Calibri"/>
          <w:i/>
          <w:sz w:val="24"/>
          <w:szCs w:val="24"/>
          <w:lang w:val="en-GB"/>
        </w:rPr>
        <w:t xml:space="preserve">Journal of Social </w:t>
      </w:r>
      <w:r w:rsidR="009808BD" w:rsidRPr="002229EB">
        <w:rPr>
          <w:rFonts w:ascii="Calibri" w:eastAsia="Tahoma" w:hAnsi="Calibri"/>
          <w:i/>
          <w:sz w:val="24"/>
          <w:szCs w:val="24"/>
          <w:lang w:val="en-GB"/>
        </w:rPr>
        <w:t>Policy</w:t>
      </w:r>
      <w:r w:rsidRPr="002229EB">
        <w:rPr>
          <w:rFonts w:ascii="Calibri" w:eastAsia="Tahoma" w:hAnsi="Calibri"/>
          <w:sz w:val="24"/>
          <w:szCs w:val="24"/>
          <w:lang w:val="en-GB"/>
        </w:rPr>
        <w:t xml:space="preserve">, </w:t>
      </w:r>
      <w:r w:rsidR="008F3E6E" w:rsidRPr="002229EB">
        <w:rPr>
          <w:rFonts w:ascii="Calibri" w:eastAsia="Tahoma" w:hAnsi="Calibri"/>
          <w:sz w:val="24"/>
          <w:szCs w:val="24"/>
          <w:lang w:val="en-GB"/>
        </w:rPr>
        <w:t xml:space="preserve">34, </w:t>
      </w:r>
      <w:r w:rsidR="009808BD" w:rsidRPr="002229EB">
        <w:rPr>
          <w:rFonts w:ascii="Calibri" w:eastAsia="Tahoma" w:hAnsi="Calibri"/>
          <w:sz w:val="24"/>
          <w:szCs w:val="24"/>
          <w:lang w:val="en-GB"/>
        </w:rPr>
        <w:t>509-540.</w:t>
      </w:r>
    </w:p>
    <w:p w:rsidR="001C230B" w:rsidRPr="002229EB" w:rsidRDefault="00B9372E" w:rsidP="001C230B">
      <w:pPr>
        <w:widowControl/>
        <w:wordWrap/>
        <w:autoSpaceDE/>
        <w:autoSpaceDN/>
        <w:spacing w:line="276" w:lineRule="auto"/>
        <w:ind w:left="426" w:hanging="426"/>
        <w:jc w:val="left"/>
        <w:rPr>
          <w:rFonts w:ascii="Calibri" w:hAnsi="Calibri"/>
          <w:sz w:val="24"/>
          <w:szCs w:val="24"/>
          <w:lang w:val="en-GB"/>
        </w:rPr>
      </w:pPr>
      <w:proofErr w:type="spellStart"/>
      <w:r w:rsidRPr="002229EB">
        <w:rPr>
          <w:rFonts w:ascii="Calibri" w:hAnsi="Calibri" w:cs="Verdana,Bold"/>
          <w:sz w:val="24"/>
          <w:szCs w:val="24"/>
          <w:lang w:val="en-GB"/>
        </w:rPr>
        <w:t>Callender</w:t>
      </w:r>
      <w:proofErr w:type="spellEnd"/>
      <w:r w:rsidRPr="002229EB">
        <w:rPr>
          <w:rFonts w:ascii="Calibri" w:hAnsi="Calibri" w:cs="Verdana,Bold"/>
          <w:sz w:val="24"/>
          <w:szCs w:val="24"/>
          <w:lang w:val="en-GB"/>
        </w:rPr>
        <w:t xml:space="preserve">, C.  2012.  The 2012/13 reforms of higher education in England: changing student finance and funding, in: </w:t>
      </w:r>
      <w:r w:rsidRPr="002229EB">
        <w:rPr>
          <w:rStyle w:val="ptbrand"/>
          <w:rFonts w:ascii="Calibri" w:hAnsi="Calibri"/>
          <w:sz w:val="24"/>
          <w:szCs w:val="24"/>
          <w:lang w:val="en-GB"/>
        </w:rPr>
        <w:t xml:space="preserve">M. </w:t>
      </w:r>
      <w:proofErr w:type="spellStart"/>
      <w:r w:rsidRPr="002229EB">
        <w:rPr>
          <w:rStyle w:val="ptbrand"/>
          <w:rFonts w:ascii="Calibri" w:hAnsi="Calibri"/>
          <w:sz w:val="24"/>
          <w:szCs w:val="24"/>
          <w:lang w:val="en-GB"/>
        </w:rPr>
        <w:t>Kilkey</w:t>
      </w:r>
      <w:proofErr w:type="spellEnd"/>
      <w:r w:rsidRPr="002229EB">
        <w:rPr>
          <w:rStyle w:val="ptbrand"/>
          <w:rFonts w:ascii="Calibri" w:hAnsi="Calibri"/>
          <w:sz w:val="24"/>
          <w:szCs w:val="24"/>
          <w:lang w:val="en-GB"/>
        </w:rPr>
        <w:t xml:space="preserve">, G. </w:t>
      </w:r>
      <w:proofErr w:type="spellStart"/>
      <w:r w:rsidRPr="002229EB">
        <w:rPr>
          <w:rStyle w:val="ptbrand"/>
          <w:rFonts w:ascii="Calibri" w:hAnsi="Calibri"/>
          <w:sz w:val="24"/>
          <w:szCs w:val="24"/>
          <w:lang w:val="en-GB"/>
        </w:rPr>
        <w:t>Ramia</w:t>
      </w:r>
      <w:proofErr w:type="spellEnd"/>
      <w:r w:rsidRPr="002229EB">
        <w:rPr>
          <w:rStyle w:val="ptbrand"/>
          <w:rFonts w:ascii="Calibri" w:hAnsi="Calibri"/>
          <w:sz w:val="24"/>
          <w:szCs w:val="24"/>
          <w:lang w:val="en-GB"/>
        </w:rPr>
        <w:t xml:space="preserve"> and K. Farnsworth (eds.</w:t>
      </w:r>
      <w:proofErr w:type="gramStart"/>
      <w:r w:rsidRPr="002229EB">
        <w:rPr>
          <w:rStyle w:val="ptbrand"/>
          <w:rFonts w:ascii="Calibri" w:hAnsi="Calibri"/>
          <w:sz w:val="24"/>
          <w:szCs w:val="24"/>
          <w:lang w:val="en-GB"/>
        </w:rPr>
        <w:t xml:space="preserve">)  </w:t>
      </w:r>
      <w:r w:rsidRPr="002229EB">
        <w:rPr>
          <w:rFonts w:ascii="Calibri" w:hAnsi="Calibri"/>
          <w:i/>
          <w:sz w:val="24"/>
          <w:szCs w:val="24"/>
          <w:lang w:val="en-GB"/>
        </w:rPr>
        <w:t>Social</w:t>
      </w:r>
      <w:proofErr w:type="gramEnd"/>
      <w:r w:rsidRPr="002229EB">
        <w:rPr>
          <w:rFonts w:ascii="Calibri" w:hAnsi="Calibri"/>
          <w:i/>
          <w:sz w:val="24"/>
          <w:szCs w:val="24"/>
          <w:lang w:val="en-GB"/>
        </w:rPr>
        <w:t xml:space="preserve"> policy review 24: analysis and debate in social policy 2012</w:t>
      </w:r>
      <w:r w:rsidRPr="002229EB">
        <w:rPr>
          <w:rFonts w:ascii="Calibri" w:hAnsi="Calibri"/>
          <w:sz w:val="24"/>
          <w:szCs w:val="24"/>
          <w:lang w:val="en-GB"/>
        </w:rPr>
        <w:t>.  Bristol: Policy Press.</w:t>
      </w:r>
    </w:p>
    <w:p w:rsidR="00677608" w:rsidRPr="002229EB" w:rsidRDefault="00677608" w:rsidP="001C230B">
      <w:pPr>
        <w:widowControl/>
        <w:wordWrap/>
        <w:autoSpaceDE/>
        <w:autoSpaceDN/>
        <w:spacing w:line="276" w:lineRule="auto"/>
        <w:ind w:left="426" w:hanging="426"/>
        <w:jc w:val="left"/>
        <w:rPr>
          <w:lang w:val="en-GB"/>
        </w:rPr>
      </w:pPr>
      <w:proofErr w:type="gramStart"/>
      <w:r w:rsidRPr="002229EB">
        <w:rPr>
          <w:rFonts w:ascii="Calibri" w:hAnsi="Calibri"/>
          <w:sz w:val="24"/>
          <w:szCs w:val="24"/>
          <w:lang w:val="en-GB"/>
        </w:rPr>
        <w:t xml:space="preserve">Chudry, F., </w:t>
      </w:r>
      <w:proofErr w:type="spellStart"/>
      <w:r w:rsidRPr="002229EB">
        <w:rPr>
          <w:rFonts w:ascii="Calibri" w:hAnsi="Calibri"/>
          <w:sz w:val="24"/>
          <w:szCs w:val="24"/>
          <w:lang w:val="en-GB"/>
        </w:rPr>
        <w:t>Foxall</w:t>
      </w:r>
      <w:proofErr w:type="spellEnd"/>
      <w:r w:rsidRPr="002229EB">
        <w:rPr>
          <w:rFonts w:ascii="Calibri" w:hAnsi="Calibri"/>
          <w:sz w:val="24"/>
          <w:szCs w:val="24"/>
          <w:lang w:val="en-GB"/>
        </w:rPr>
        <w:t>, G. &amp; Pallister, J. (2011).</w:t>
      </w:r>
      <w:proofErr w:type="gramEnd"/>
      <w:r w:rsidRPr="002229EB">
        <w:rPr>
          <w:rFonts w:ascii="Calibri" w:hAnsi="Calibri"/>
          <w:sz w:val="24"/>
          <w:szCs w:val="24"/>
          <w:lang w:val="en-GB"/>
        </w:rPr>
        <w:t xml:space="preserve"> Exploring attitudes and predicting intentions: profiling student debtors using an extended theory of planned </w:t>
      </w:r>
      <w:proofErr w:type="spellStart"/>
      <w:r w:rsidRPr="002229EB">
        <w:rPr>
          <w:rFonts w:ascii="Calibri" w:hAnsi="Calibri"/>
          <w:sz w:val="24"/>
          <w:szCs w:val="24"/>
          <w:lang w:val="en-GB"/>
        </w:rPr>
        <w:t>behavior</w:t>
      </w:r>
      <w:proofErr w:type="spellEnd"/>
      <w:r w:rsidRPr="002229EB">
        <w:rPr>
          <w:rFonts w:ascii="Calibri" w:hAnsi="Calibri"/>
          <w:sz w:val="24"/>
          <w:szCs w:val="24"/>
          <w:lang w:val="en-GB"/>
        </w:rPr>
        <w:t xml:space="preserve">. </w:t>
      </w:r>
      <w:r w:rsidRPr="002229EB">
        <w:rPr>
          <w:rFonts w:ascii="Calibri" w:hAnsi="Calibri"/>
          <w:i/>
          <w:sz w:val="24"/>
          <w:szCs w:val="24"/>
          <w:lang w:val="en-GB"/>
        </w:rPr>
        <w:t>Journal of Applied Social Psychology</w:t>
      </w:r>
      <w:r w:rsidRPr="002229EB">
        <w:rPr>
          <w:rFonts w:ascii="Calibri" w:hAnsi="Calibri"/>
          <w:sz w:val="24"/>
          <w:szCs w:val="24"/>
          <w:lang w:val="en-GB"/>
        </w:rPr>
        <w:t>, 41, 119-149.</w:t>
      </w:r>
    </w:p>
    <w:p w:rsidR="001C230B" w:rsidRPr="002229EB" w:rsidRDefault="001C230B" w:rsidP="001C230B">
      <w:pPr>
        <w:widowControl/>
        <w:wordWrap/>
        <w:autoSpaceDE/>
        <w:autoSpaceDN/>
        <w:spacing w:line="276" w:lineRule="auto"/>
        <w:ind w:left="426" w:hanging="426"/>
        <w:jc w:val="left"/>
        <w:rPr>
          <w:rFonts w:ascii="Calibri" w:hAnsi="Calibri"/>
          <w:sz w:val="24"/>
          <w:szCs w:val="24"/>
          <w:lang w:val="en-GB"/>
        </w:rPr>
      </w:pPr>
      <w:proofErr w:type="gramStart"/>
      <w:r w:rsidRPr="002229EB">
        <w:rPr>
          <w:rFonts w:ascii="Calibri" w:hAnsi="Calibri" w:cs="Arial"/>
          <w:sz w:val="24"/>
          <w:szCs w:val="24"/>
          <w:lang w:val="en-GB"/>
        </w:rPr>
        <w:t xml:space="preserve">Cooke, R., </w:t>
      </w:r>
      <w:proofErr w:type="spellStart"/>
      <w:r w:rsidRPr="002229EB">
        <w:rPr>
          <w:rFonts w:ascii="Calibri" w:hAnsi="Calibri" w:cs="Arial"/>
          <w:sz w:val="24"/>
          <w:szCs w:val="24"/>
          <w:lang w:val="en-GB"/>
        </w:rPr>
        <w:t>Barkham</w:t>
      </w:r>
      <w:proofErr w:type="spellEnd"/>
      <w:r w:rsidRPr="002229EB">
        <w:rPr>
          <w:rFonts w:ascii="Calibri" w:hAnsi="Calibri" w:cs="Arial"/>
          <w:sz w:val="24"/>
          <w:szCs w:val="24"/>
          <w:lang w:val="en-GB"/>
        </w:rPr>
        <w:t xml:space="preserve">, M., </w:t>
      </w:r>
      <w:proofErr w:type="spellStart"/>
      <w:r w:rsidRPr="002229EB">
        <w:rPr>
          <w:rFonts w:ascii="Calibri" w:hAnsi="Calibri" w:cs="Arial"/>
          <w:sz w:val="24"/>
          <w:szCs w:val="24"/>
          <w:lang w:val="en-GB"/>
        </w:rPr>
        <w:t>Audin</w:t>
      </w:r>
      <w:proofErr w:type="spellEnd"/>
      <w:r w:rsidRPr="002229EB">
        <w:rPr>
          <w:rFonts w:ascii="Calibri" w:hAnsi="Calibri" w:cs="Arial"/>
          <w:sz w:val="24"/>
          <w:szCs w:val="24"/>
          <w:lang w:val="en-GB"/>
        </w:rPr>
        <w:t>, K., Bradley, M. &amp; Davy, J. (2004).</w:t>
      </w:r>
      <w:proofErr w:type="gramEnd"/>
      <w:r w:rsidRPr="002229EB">
        <w:rPr>
          <w:rFonts w:ascii="Calibri" w:hAnsi="Calibri" w:cs="Arial"/>
          <w:sz w:val="24"/>
          <w:szCs w:val="24"/>
          <w:lang w:val="en-GB"/>
        </w:rPr>
        <w:t xml:space="preserve"> </w:t>
      </w:r>
      <w:proofErr w:type="gramStart"/>
      <w:r w:rsidRPr="002229EB">
        <w:rPr>
          <w:rFonts w:ascii="Calibri" w:hAnsi="Calibri" w:cs="Arial"/>
          <w:sz w:val="24"/>
          <w:szCs w:val="24"/>
          <w:lang w:val="en-GB"/>
        </w:rPr>
        <w:t>Student debt and its relation to student mental health.</w:t>
      </w:r>
      <w:proofErr w:type="gramEnd"/>
      <w:r w:rsidRPr="002229EB">
        <w:rPr>
          <w:rFonts w:ascii="Calibri" w:hAnsi="Calibri" w:cs="Arial"/>
          <w:sz w:val="24"/>
          <w:szCs w:val="24"/>
          <w:lang w:val="en-GB"/>
        </w:rPr>
        <w:t xml:space="preserve">  </w:t>
      </w:r>
      <w:r w:rsidRPr="002229EB">
        <w:rPr>
          <w:rFonts w:ascii="Calibri" w:hAnsi="Calibri" w:cs="Arial"/>
          <w:i/>
          <w:sz w:val="24"/>
          <w:szCs w:val="24"/>
          <w:lang w:val="en-GB"/>
        </w:rPr>
        <w:t>Journal of Further and Higher Education</w:t>
      </w:r>
      <w:r w:rsidRPr="002229EB">
        <w:rPr>
          <w:rFonts w:ascii="Calibri" w:hAnsi="Calibri" w:cs="Arial"/>
          <w:sz w:val="24"/>
          <w:szCs w:val="24"/>
          <w:lang w:val="en-GB"/>
        </w:rPr>
        <w:t xml:space="preserve"> 28, 53-66.</w:t>
      </w:r>
    </w:p>
    <w:p w:rsidR="007F59A7" w:rsidRPr="002229EB" w:rsidRDefault="007F59A7" w:rsidP="007F59A7">
      <w:pPr>
        <w:widowControl/>
        <w:wordWrap/>
        <w:autoSpaceDE/>
        <w:autoSpaceDN/>
        <w:spacing w:line="276" w:lineRule="auto"/>
        <w:ind w:left="426" w:hanging="426"/>
        <w:jc w:val="left"/>
        <w:rPr>
          <w:rFonts w:ascii="Calibri" w:eastAsia="Tahoma" w:hAnsi="Calibri"/>
          <w:sz w:val="24"/>
          <w:szCs w:val="24"/>
          <w:lang w:val="en-GB"/>
        </w:rPr>
      </w:pPr>
      <w:proofErr w:type="gramStart"/>
      <w:r w:rsidRPr="002229EB">
        <w:rPr>
          <w:rStyle w:val="reference-text"/>
          <w:rFonts w:ascii="Calibri" w:hAnsi="Calibri"/>
          <w:sz w:val="24"/>
          <w:szCs w:val="24"/>
          <w:lang w:val="en-GB"/>
        </w:rPr>
        <w:t>Courtney, M. (2013).</w:t>
      </w:r>
      <w:proofErr w:type="gramEnd"/>
      <w:r w:rsidRPr="002229EB">
        <w:rPr>
          <w:rStyle w:val="reference-text"/>
          <w:rFonts w:ascii="Calibri" w:hAnsi="Calibri"/>
          <w:sz w:val="24"/>
          <w:szCs w:val="24"/>
          <w:lang w:val="en-GB"/>
        </w:rPr>
        <w:t xml:space="preserve"> </w:t>
      </w:r>
      <w:proofErr w:type="gramStart"/>
      <w:r w:rsidRPr="002229EB">
        <w:rPr>
          <w:rStyle w:val="reference-text"/>
          <w:rFonts w:ascii="Calibri" w:hAnsi="Calibri"/>
          <w:sz w:val="24"/>
          <w:szCs w:val="24"/>
          <w:lang w:val="en-GB"/>
        </w:rPr>
        <w:t>Determining the number of factors to retain in EFA: Using the SPSS R-Menu v2.0 to make more judicious estimations.</w:t>
      </w:r>
      <w:proofErr w:type="gramEnd"/>
      <w:r w:rsidRPr="002229EB">
        <w:rPr>
          <w:rStyle w:val="reference-text"/>
          <w:rFonts w:ascii="Calibri" w:hAnsi="Calibri"/>
          <w:sz w:val="24"/>
          <w:szCs w:val="24"/>
          <w:lang w:val="en-GB"/>
        </w:rPr>
        <w:t xml:space="preserve"> </w:t>
      </w:r>
      <w:r w:rsidRPr="002229EB">
        <w:rPr>
          <w:rStyle w:val="reference-text"/>
          <w:rFonts w:ascii="Calibri" w:hAnsi="Calibri"/>
          <w:i/>
          <w:sz w:val="24"/>
          <w:szCs w:val="24"/>
          <w:lang w:val="en-GB"/>
        </w:rPr>
        <w:t>Practical Assessment, Research and Evaluation</w:t>
      </w:r>
      <w:r w:rsidRPr="002229EB">
        <w:rPr>
          <w:rStyle w:val="reference-text"/>
          <w:rFonts w:ascii="Calibri" w:hAnsi="Calibri"/>
          <w:sz w:val="24"/>
          <w:szCs w:val="24"/>
          <w:lang w:val="en-GB"/>
        </w:rPr>
        <w:t>, 18</w:t>
      </w:r>
      <w:proofErr w:type="gramStart"/>
      <w:r w:rsidR="00D60DF6" w:rsidRPr="002229EB">
        <w:rPr>
          <w:rStyle w:val="reference-text"/>
          <w:rFonts w:ascii="Calibri" w:hAnsi="Calibri"/>
          <w:sz w:val="24"/>
          <w:szCs w:val="24"/>
          <w:lang w:val="en-GB"/>
        </w:rPr>
        <w:t xml:space="preserve">, </w:t>
      </w:r>
      <w:r w:rsidRPr="002229EB">
        <w:rPr>
          <w:rStyle w:val="reference-text"/>
          <w:rFonts w:ascii="Calibri" w:hAnsi="Calibri"/>
          <w:sz w:val="24"/>
          <w:szCs w:val="24"/>
          <w:lang w:val="en-GB"/>
        </w:rPr>
        <w:t xml:space="preserve"> </w:t>
      </w:r>
      <w:r w:rsidR="00D60DF6" w:rsidRPr="002229EB">
        <w:rPr>
          <w:rStyle w:val="reference-text"/>
          <w:rFonts w:ascii="Calibri" w:hAnsi="Calibri"/>
          <w:sz w:val="24"/>
          <w:szCs w:val="24"/>
          <w:lang w:val="en-GB"/>
        </w:rPr>
        <w:t>available</w:t>
      </w:r>
      <w:proofErr w:type="gramEnd"/>
      <w:r w:rsidR="00D60DF6" w:rsidRPr="002229EB">
        <w:rPr>
          <w:rStyle w:val="reference-text"/>
          <w:rFonts w:ascii="Calibri" w:hAnsi="Calibri"/>
          <w:sz w:val="24"/>
          <w:szCs w:val="24"/>
          <w:lang w:val="en-GB"/>
        </w:rPr>
        <w:t xml:space="preserve"> online at</w:t>
      </w:r>
      <w:r w:rsidRPr="002229EB">
        <w:rPr>
          <w:rStyle w:val="reference-text"/>
          <w:rFonts w:ascii="Calibri" w:hAnsi="Calibri"/>
          <w:sz w:val="24"/>
          <w:szCs w:val="24"/>
          <w:lang w:val="en-GB"/>
        </w:rPr>
        <w:t xml:space="preserve"> </w:t>
      </w:r>
      <w:r w:rsidRPr="002229EB">
        <w:rPr>
          <w:rFonts w:ascii="Calibri" w:hAnsi="Calibri" w:cs="Garamond"/>
          <w:kern w:val="0"/>
          <w:sz w:val="24"/>
          <w:szCs w:val="24"/>
          <w:lang w:val="en-GB" w:eastAsia="en-GB"/>
        </w:rPr>
        <w:t>http://pareonline.net/getvn.asp?v=18&amp;n=8</w:t>
      </w:r>
      <w:r w:rsidR="00D60DF6" w:rsidRPr="002229EB">
        <w:rPr>
          <w:rFonts w:ascii="Calibri" w:hAnsi="Calibri" w:cs="Garamond"/>
          <w:kern w:val="0"/>
          <w:sz w:val="24"/>
          <w:szCs w:val="24"/>
          <w:lang w:val="en-GB" w:eastAsia="en-GB"/>
        </w:rPr>
        <w:t>.</w:t>
      </w:r>
    </w:p>
    <w:p w:rsidR="009808BD" w:rsidRPr="002229EB" w:rsidRDefault="009808BD" w:rsidP="009C3AC7">
      <w:pPr>
        <w:widowControl/>
        <w:wordWrap/>
        <w:autoSpaceDE/>
        <w:autoSpaceDN/>
        <w:spacing w:line="276" w:lineRule="auto"/>
        <w:ind w:left="426" w:hanging="426"/>
        <w:jc w:val="left"/>
        <w:rPr>
          <w:rFonts w:ascii="Calibri" w:eastAsia="Tahoma" w:hAnsi="Calibri"/>
          <w:sz w:val="24"/>
          <w:szCs w:val="24"/>
          <w:lang w:val="en-GB"/>
        </w:rPr>
      </w:pPr>
      <w:r w:rsidRPr="002229EB">
        <w:rPr>
          <w:rFonts w:ascii="Calibri" w:eastAsia="Tahoma" w:hAnsi="Calibri"/>
          <w:sz w:val="24"/>
          <w:szCs w:val="24"/>
          <w:lang w:val="en-GB"/>
        </w:rPr>
        <w:t xml:space="preserve">Davies, E. &amp; Lea, S. (1995). </w:t>
      </w:r>
      <w:proofErr w:type="gramStart"/>
      <w:r w:rsidRPr="002229EB">
        <w:rPr>
          <w:rFonts w:ascii="Calibri" w:eastAsia="Tahoma" w:hAnsi="Calibri"/>
          <w:sz w:val="24"/>
          <w:szCs w:val="24"/>
          <w:lang w:val="en-GB"/>
        </w:rPr>
        <w:t>Student attitudes to student debt.</w:t>
      </w:r>
      <w:proofErr w:type="gramEnd"/>
      <w:r w:rsidRPr="002229EB">
        <w:rPr>
          <w:rFonts w:ascii="Calibri" w:eastAsia="Tahoma" w:hAnsi="Calibri"/>
          <w:sz w:val="24"/>
          <w:szCs w:val="24"/>
          <w:lang w:val="en-GB"/>
        </w:rPr>
        <w:t xml:space="preserve">  </w:t>
      </w:r>
      <w:r w:rsidRPr="002229EB">
        <w:rPr>
          <w:rFonts w:ascii="Calibri" w:eastAsia="Tahoma" w:hAnsi="Calibri"/>
          <w:i/>
          <w:sz w:val="24"/>
          <w:szCs w:val="24"/>
          <w:lang w:val="en-GB"/>
        </w:rPr>
        <w:t>Journal of Economic Psychology</w:t>
      </w:r>
      <w:r w:rsidRPr="002229EB">
        <w:rPr>
          <w:rFonts w:ascii="Calibri" w:eastAsia="Tahoma" w:hAnsi="Calibri"/>
          <w:sz w:val="24"/>
          <w:szCs w:val="24"/>
          <w:lang w:val="en-GB"/>
        </w:rPr>
        <w:t>, 16, 663-679.</w:t>
      </w:r>
    </w:p>
    <w:p w:rsidR="001F52DD" w:rsidRPr="002229EB" w:rsidRDefault="001F52DD" w:rsidP="009C3AC7">
      <w:pPr>
        <w:widowControl/>
        <w:wordWrap/>
        <w:autoSpaceDE/>
        <w:autoSpaceDN/>
        <w:spacing w:line="276" w:lineRule="auto"/>
        <w:ind w:left="426" w:hanging="426"/>
        <w:jc w:val="left"/>
        <w:rPr>
          <w:rFonts w:ascii="Calibri" w:eastAsia="Tahoma" w:hAnsi="Calibri"/>
          <w:sz w:val="24"/>
          <w:szCs w:val="24"/>
          <w:lang w:val="en-GB"/>
        </w:rPr>
      </w:pPr>
      <w:proofErr w:type="spellStart"/>
      <w:proofErr w:type="gramStart"/>
      <w:r w:rsidRPr="002229EB">
        <w:rPr>
          <w:rFonts w:ascii="Calibri" w:eastAsia="Tahoma" w:hAnsi="Calibri"/>
          <w:sz w:val="24"/>
          <w:szCs w:val="24"/>
          <w:lang w:val="en-GB"/>
        </w:rPr>
        <w:t>Eckel</w:t>
      </w:r>
      <w:proofErr w:type="spellEnd"/>
      <w:r w:rsidRPr="002229EB">
        <w:rPr>
          <w:rFonts w:ascii="Calibri" w:eastAsia="Tahoma" w:hAnsi="Calibri"/>
          <w:sz w:val="24"/>
          <w:szCs w:val="24"/>
          <w:lang w:val="en-GB"/>
        </w:rPr>
        <w:t xml:space="preserve">, C., Johnson, C., </w:t>
      </w:r>
      <w:proofErr w:type="spellStart"/>
      <w:r w:rsidRPr="002229EB">
        <w:rPr>
          <w:rFonts w:ascii="Calibri" w:eastAsia="Tahoma" w:hAnsi="Calibri"/>
          <w:sz w:val="24"/>
          <w:szCs w:val="24"/>
          <w:lang w:val="en-GB"/>
        </w:rPr>
        <w:t>Montmarquette</w:t>
      </w:r>
      <w:proofErr w:type="spellEnd"/>
      <w:r w:rsidRPr="002229EB">
        <w:rPr>
          <w:rFonts w:ascii="Calibri" w:eastAsia="Tahoma" w:hAnsi="Calibri"/>
          <w:sz w:val="24"/>
          <w:szCs w:val="24"/>
          <w:lang w:val="en-GB"/>
        </w:rPr>
        <w:t>, C. &amp; Rojas, C. (2007).</w:t>
      </w:r>
      <w:proofErr w:type="gramEnd"/>
      <w:r w:rsidRPr="002229EB">
        <w:rPr>
          <w:rFonts w:ascii="Calibri" w:eastAsia="Tahoma" w:hAnsi="Calibri"/>
          <w:sz w:val="24"/>
          <w:szCs w:val="24"/>
          <w:lang w:val="en-GB"/>
        </w:rPr>
        <w:t xml:space="preserve"> </w:t>
      </w:r>
      <w:proofErr w:type="gramStart"/>
      <w:r w:rsidRPr="002229EB">
        <w:rPr>
          <w:rFonts w:ascii="Calibri" w:eastAsia="Tahoma" w:hAnsi="Calibri"/>
          <w:sz w:val="24"/>
          <w:szCs w:val="24"/>
          <w:lang w:val="en-GB"/>
        </w:rPr>
        <w:t>Debt aversion and the demand for loans for postsecondary education.</w:t>
      </w:r>
      <w:proofErr w:type="gramEnd"/>
      <w:r w:rsidRPr="002229EB">
        <w:rPr>
          <w:rFonts w:ascii="Calibri" w:eastAsia="Tahoma" w:hAnsi="Calibri"/>
          <w:sz w:val="24"/>
          <w:szCs w:val="24"/>
          <w:lang w:val="en-GB"/>
        </w:rPr>
        <w:t xml:space="preserve"> </w:t>
      </w:r>
      <w:r w:rsidRPr="002229EB">
        <w:rPr>
          <w:rFonts w:ascii="Calibri" w:eastAsia="Tahoma" w:hAnsi="Calibri"/>
          <w:i/>
          <w:sz w:val="24"/>
          <w:szCs w:val="24"/>
          <w:lang w:val="en-GB"/>
        </w:rPr>
        <w:t>Public Finance Review</w:t>
      </w:r>
      <w:r w:rsidRPr="002229EB">
        <w:rPr>
          <w:rFonts w:ascii="Calibri" w:eastAsia="Tahoma" w:hAnsi="Calibri"/>
          <w:sz w:val="24"/>
          <w:szCs w:val="24"/>
          <w:lang w:val="en-GB"/>
        </w:rPr>
        <w:t>, 35, 233-262.</w:t>
      </w:r>
    </w:p>
    <w:p w:rsidR="00B74895" w:rsidRPr="002229EB" w:rsidRDefault="00B74895" w:rsidP="009C3AC7">
      <w:pPr>
        <w:widowControl/>
        <w:wordWrap/>
        <w:autoSpaceDE/>
        <w:autoSpaceDN/>
        <w:spacing w:line="276" w:lineRule="auto"/>
        <w:ind w:left="426" w:hanging="426"/>
        <w:jc w:val="left"/>
        <w:rPr>
          <w:rFonts w:ascii="Calibri" w:eastAsia="Tahoma" w:hAnsi="Calibri"/>
          <w:sz w:val="24"/>
          <w:szCs w:val="24"/>
          <w:lang w:val="en-GB"/>
        </w:rPr>
      </w:pPr>
      <w:r w:rsidRPr="002229EB">
        <w:rPr>
          <w:rFonts w:ascii="Calibri" w:eastAsia="Tahoma" w:hAnsi="Calibri"/>
          <w:sz w:val="24"/>
          <w:szCs w:val="24"/>
          <w:lang w:val="en-GB"/>
        </w:rPr>
        <w:t xml:space="preserve">Field, A. (2005). </w:t>
      </w:r>
      <w:r w:rsidRPr="002229EB">
        <w:rPr>
          <w:rFonts w:ascii="Calibri" w:eastAsia="Tahoma" w:hAnsi="Calibri"/>
          <w:i/>
          <w:sz w:val="24"/>
          <w:szCs w:val="24"/>
          <w:lang w:val="en-GB"/>
        </w:rPr>
        <w:t>Discovering statistics using SPSS</w:t>
      </w:r>
      <w:r w:rsidRPr="002229EB">
        <w:rPr>
          <w:rFonts w:ascii="Calibri" w:eastAsia="Tahoma" w:hAnsi="Calibri"/>
          <w:sz w:val="24"/>
          <w:szCs w:val="24"/>
          <w:lang w:val="en-GB"/>
        </w:rPr>
        <w:t xml:space="preserve"> (2</w:t>
      </w:r>
      <w:r w:rsidRPr="002229EB">
        <w:rPr>
          <w:rFonts w:ascii="Calibri" w:eastAsia="Tahoma" w:hAnsi="Calibri"/>
          <w:sz w:val="24"/>
          <w:szCs w:val="24"/>
          <w:vertAlign w:val="superscript"/>
          <w:lang w:val="en-GB"/>
        </w:rPr>
        <w:t>nd</w:t>
      </w:r>
      <w:r w:rsidRPr="002229EB">
        <w:rPr>
          <w:rFonts w:ascii="Calibri" w:eastAsia="Tahoma" w:hAnsi="Calibri"/>
          <w:sz w:val="24"/>
          <w:szCs w:val="24"/>
          <w:lang w:val="en-GB"/>
        </w:rPr>
        <w:t xml:space="preserve"> edition). London: Sage.</w:t>
      </w:r>
    </w:p>
    <w:p w:rsidR="003F4C61" w:rsidRPr="002229EB" w:rsidRDefault="00DE3C2E" w:rsidP="003F4C61">
      <w:pPr>
        <w:spacing w:line="288" w:lineRule="auto"/>
        <w:ind w:left="284" w:hanging="284"/>
        <w:jc w:val="left"/>
        <w:rPr>
          <w:rFonts w:ascii="Calibri" w:hAnsi="Calibri"/>
          <w:sz w:val="24"/>
          <w:szCs w:val="24"/>
          <w:lang w:val="en-GB"/>
        </w:rPr>
      </w:pPr>
      <w:r w:rsidRPr="002229EB">
        <w:rPr>
          <w:rFonts w:ascii="Calibri" w:hAnsi="Calibri" w:cstheme="minorHAnsi"/>
          <w:sz w:val="24"/>
          <w:szCs w:val="24"/>
          <w:lang w:val="en-GB"/>
        </w:rPr>
        <w:t xml:space="preserve">Harrison, N. (2012). </w:t>
      </w:r>
      <w:r w:rsidRPr="002229EB">
        <w:rPr>
          <w:rFonts w:ascii="Calibri" w:hAnsi="Calibri" w:cstheme="minorHAnsi"/>
          <w:bCs/>
          <w:color w:val="000000" w:themeColor="text1"/>
          <w:sz w:val="24"/>
          <w:szCs w:val="24"/>
          <w:lang w:val="en-GB"/>
        </w:rPr>
        <w:t xml:space="preserve">The mismeasure of participation: how choosing the ‘wrong’ statistic helped seal the fate of Aimhigher. </w:t>
      </w:r>
      <w:r w:rsidRPr="002229EB">
        <w:rPr>
          <w:rFonts w:ascii="Calibri" w:hAnsi="Calibri" w:cstheme="minorHAnsi"/>
          <w:bCs/>
          <w:i/>
          <w:color w:val="000000" w:themeColor="text1"/>
          <w:sz w:val="24"/>
          <w:szCs w:val="24"/>
          <w:lang w:val="en-GB"/>
        </w:rPr>
        <w:t>Higher Education Review</w:t>
      </w:r>
      <w:r w:rsidRPr="002229EB">
        <w:rPr>
          <w:rFonts w:ascii="Calibri" w:hAnsi="Calibri" w:cstheme="minorHAnsi"/>
          <w:bCs/>
          <w:color w:val="000000" w:themeColor="text1"/>
          <w:sz w:val="24"/>
          <w:szCs w:val="24"/>
          <w:lang w:val="en-GB"/>
        </w:rPr>
        <w:t xml:space="preserve">, </w:t>
      </w:r>
      <w:r w:rsidRPr="002229EB">
        <w:rPr>
          <w:rFonts w:ascii="Calibri" w:hAnsi="Calibri"/>
          <w:sz w:val="24"/>
          <w:szCs w:val="24"/>
          <w:lang w:val="en-GB"/>
        </w:rPr>
        <w:t>45, 30-61.</w:t>
      </w:r>
    </w:p>
    <w:p w:rsidR="003F4C61" w:rsidRPr="002229EB" w:rsidRDefault="003F4C61" w:rsidP="003F4C61">
      <w:pPr>
        <w:spacing w:line="288" w:lineRule="auto"/>
        <w:ind w:left="284" w:hanging="284"/>
        <w:jc w:val="left"/>
        <w:rPr>
          <w:rFonts w:ascii="Calibri" w:hAnsi="Calibri"/>
          <w:sz w:val="24"/>
          <w:szCs w:val="24"/>
          <w:lang w:val="en-GB"/>
        </w:rPr>
      </w:pPr>
      <w:proofErr w:type="gramStart"/>
      <w:r w:rsidRPr="002229EB">
        <w:rPr>
          <w:rFonts w:ascii="Calibri" w:hAnsi="Calibri" w:cs="Arial"/>
          <w:sz w:val="24"/>
          <w:szCs w:val="24"/>
          <w:lang w:val="en-GB"/>
        </w:rPr>
        <w:t>Harrison, N. &amp; Chudry, F. (2011).</w:t>
      </w:r>
      <w:proofErr w:type="gramEnd"/>
      <w:r w:rsidRPr="002229EB">
        <w:rPr>
          <w:rFonts w:ascii="Calibri" w:hAnsi="Calibri" w:cs="Arial"/>
          <w:sz w:val="24"/>
          <w:szCs w:val="24"/>
          <w:lang w:val="en-GB"/>
        </w:rPr>
        <w:t xml:space="preserve"> </w:t>
      </w:r>
      <w:proofErr w:type="gramStart"/>
      <w:r w:rsidRPr="002229EB">
        <w:rPr>
          <w:rFonts w:ascii="Calibri" w:hAnsi="Calibri" w:cs="Arial"/>
          <w:sz w:val="24"/>
          <w:szCs w:val="24"/>
          <w:lang w:val="en-GB"/>
        </w:rPr>
        <w:t>Overactive, overwrought or overdrawn?</w:t>
      </w:r>
      <w:proofErr w:type="gramEnd"/>
      <w:r w:rsidRPr="002229EB">
        <w:rPr>
          <w:rFonts w:ascii="Calibri" w:hAnsi="Calibri" w:cs="Arial"/>
          <w:sz w:val="24"/>
          <w:szCs w:val="24"/>
          <w:lang w:val="en-GB"/>
        </w:rPr>
        <w:t xml:space="preserve">  </w:t>
      </w:r>
      <w:proofErr w:type="gramStart"/>
      <w:r w:rsidRPr="002229EB">
        <w:rPr>
          <w:rFonts w:ascii="Calibri" w:hAnsi="Calibri" w:cs="Arial"/>
          <w:sz w:val="24"/>
          <w:szCs w:val="24"/>
          <w:lang w:val="en-GB"/>
        </w:rPr>
        <w:t>The role of personality in undergraduate financial knowledge, decision-making and debt.</w:t>
      </w:r>
      <w:proofErr w:type="gramEnd"/>
      <w:r w:rsidRPr="002229EB">
        <w:rPr>
          <w:rFonts w:ascii="Calibri" w:hAnsi="Calibri" w:cs="Arial"/>
          <w:i/>
          <w:sz w:val="24"/>
          <w:szCs w:val="24"/>
          <w:lang w:val="en-GB"/>
        </w:rPr>
        <w:t xml:space="preserve">  Journal of Further and Higher Education</w:t>
      </w:r>
      <w:r w:rsidRPr="002229EB">
        <w:rPr>
          <w:rFonts w:ascii="Calibri" w:hAnsi="Calibri" w:cs="Arial"/>
          <w:sz w:val="24"/>
          <w:szCs w:val="24"/>
          <w:lang w:val="en-GB"/>
        </w:rPr>
        <w:t>, 35, 149-182.</w:t>
      </w:r>
    </w:p>
    <w:p w:rsidR="009808BD" w:rsidRPr="002229EB" w:rsidRDefault="009808BD" w:rsidP="009C3AC7">
      <w:pPr>
        <w:widowControl/>
        <w:wordWrap/>
        <w:autoSpaceDE/>
        <w:autoSpaceDN/>
        <w:spacing w:line="276" w:lineRule="auto"/>
        <w:ind w:left="426" w:hanging="426"/>
        <w:jc w:val="left"/>
        <w:rPr>
          <w:rFonts w:ascii="Calibri" w:eastAsia="Tahoma" w:hAnsi="Calibri"/>
          <w:sz w:val="24"/>
          <w:szCs w:val="24"/>
          <w:lang w:val="en-GB"/>
        </w:rPr>
      </w:pPr>
      <w:r w:rsidRPr="002229EB">
        <w:rPr>
          <w:rFonts w:ascii="Calibri" w:eastAsia="Tahoma" w:hAnsi="Calibri"/>
          <w:sz w:val="24"/>
          <w:szCs w:val="24"/>
          <w:lang w:val="en-GB"/>
        </w:rPr>
        <w:t xml:space="preserve">Harrison, N., Chudry, F., Waller, R. &amp; Hatt, S. (in press) </w:t>
      </w:r>
      <w:proofErr w:type="gramStart"/>
      <w:r w:rsidRPr="002229EB">
        <w:rPr>
          <w:rFonts w:ascii="Calibri" w:eastAsia="Tahoma" w:hAnsi="Calibri"/>
          <w:sz w:val="24"/>
          <w:szCs w:val="24"/>
          <w:lang w:val="en-GB"/>
        </w:rPr>
        <w:t>Towards</w:t>
      </w:r>
      <w:proofErr w:type="gramEnd"/>
      <w:r w:rsidRPr="002229EB">
        <w:rPr>
          <w:rFonts w:ascii="Calibri" w:eastAsia="Tahoma" w:hAnsi="Calibri"/>
          <w:sz w:val="24"/>
          <w:szCs w:val="24"/>
          <w:lang w:val="en-GB"/>
        </w:rPr>
        <w:t xml:space="preserve"> a typology of debt attitudes among contemporary young UK undergraduates. </w:t>
      </w:r>
      <w:r w:rsidRPr="002229EB">
        <w:rPr>
          <w:rFonts w:ascii="Calibri" w:eastAsia="Tahoma" w:hAnsi="Calibri"/>
          <w:i/>
          <w:sz w:val="24"/>
          <w:szCs w:val="24"/>
          <w:lang w:val="en-GB"/>
        </w:rPr>
        <w:t xml:space="preserve"> </w:t>
      </w:r>
      <w:proofErr w:type="gramStart"/>
      <w:r w:rsidRPr="002229EB">
        <w:rPr>
          <w:rFonts w:ascii="Calibri" w:eastAsia="Tahoma" w:hAnsi="Calibri"/>
          <w:sz w:val="24"/>
          <w:szCs w:val="24"/>
          <w:lang w:val="en-GB"/>
        </w:rPr>
        <w:t xml:space="preserve">Awaiting publication in </w:t>
      </w:r>
      <w:r w:rsidRPr="002229EB">
        <w:rPr>
          <w:rFonts w:ascii="Calibri" w:eastAsia="Tahoma" w:hAnsi="Calibri"/>
          <w:i/>
          <w:sz w:val="24"/>
          <w:szCs w:val="24"/>
          <w:lang w:val="en-GB"/>
        </w:rPr>
        <w:t>Journal of Further and Higher Education</w:t>
      </w:r>
      <w:r w:rsidRPr="002229EB">
        <w:rPr>
          <w:rFonts w:ascii="Calibri" w:eastAsia="Tahoma" w:hAnsi="Calibri"/>
          <w:sz w:val="24"/>
          <w:szCs w:val="24"/>
          <w:lang w:val="en-GB"/>
        </w:rPr>
        <w:t>.</w:t>
      </w:r>
      <w:proofErr w:type="gramEnd"/>
    </w:p>
    <w:p w:rsidR="00595190" w:rsidRPr="002229EB" w:rsidRDefault="009C3AC7" w:rsidP="00595190">
      <w:pPr>
        <w:widowControl/>
        <w:wordWrap/>
        <w:autoSpaceDE/>
        <w:autoSpaceDN/>
        <w:spacing w:line="276" w:lineRule="auto"/>
        <w:ind w:left="426" w:hanging="426"/>
        <w:jc w:val="left"/>
        <w:rPr>
          <w:rFonts w:ascii="Calibri" w:eastAsia="Tahoma" w:hAnsi="Calibri"/>
          <w:sz w:val="24"/>
          <w:szCs w:val="24"/>
          <w:lang w:val="en-GB"/>
        </w:rPr>
      </w:pPr>
      <w:proofErr w:type="spellStart"/>
      <w:proofErr w:type="gramStart"/>
      <w:r w:rsidRPr="002229EB">
        <w:rPr>
          <w:rFonts w:ascii="Calibri" w:eastAsia="Tahoma" w:hAnsi="Calibri"/>
          <w:sz w:val="24"/>
          <w:szCs w:val="24"/>
          <w:lang w:val="en-GB"/>
        </w:rPr>
        <w:t>Haultain</w:t>
      </w:r>
      <w:proofErr w:type="spellEnd"/>
      <w:r w:rsidRPr="002229EB">
        <w:rPr>
          <w:rFonts w:ascii="Calibri" w:eastAsia="Tahoma" w:hAnsi="Calibri"/>
          <w:sz w:val="24"/>
          <w:szCs w:val="24"/>
          <w:lang w:val="en-GB"/>
        </w:rPr>
        <w:t xml:space="preserve">, S., Kemp, S. &amp; </w:t>
      </w:r>
      <w:proofErr w:type="spellStart"/>
      <w:r w:rsidRPr="002229EB">
        <w:rPr>
          <w:rFonts w:ascii="Calibri" w:eastAsia="Tahoma" w:hAnsi="Calibri"/>
          <w:sz w:val="24"/>
          <w:szCs w:val="24"/>
          <w:lang w:val="en-GB"/>
        </w:rPr>
        <w:t>Chernishenko</w:t>
      </w:r>
      <w:proofErr w:type="spellEnd"/>
      <w:r w:rsidRPr="002229EB">
        <w:rPr>
          <w:rFonts w:ascii="Calibri" w:eastAsia="Tahoma" w:hAnsi="Calibri"/>
          <w:sz w:val="24"/>
          <w:szCs w:val="24"/>
          <w:lang w:val="en-GB"/>
        </w:rPr>
        <w:t>, O. (2010).</w:t>
      </w:r>
      <w:proofErr w:type="gramEnd"/>
      <w:r w:rsidRPr="002229EB">
        <w:rPr>
          <w:rFonts w:ascii="Calibri" w:eastAsia="Tahoma" w:hAnsi="Calibri"/>
          <w:sz w:val="24"/>
          <w:szCs w:val="24"/>
          <w:lang w:val="en-GB"/>
        </w:rPr>
        <w:t xml:space="preserve"> </w:t>
      </w:r>
      <w:proofErr w:type="gramStart"/>
      <w:r w:rsidRPr="002229EB">
        <w:rPr>
          <w:rFonts w:ascii="Calibri" w:eastAsia="Tahoma" w:hAnsi="Calibri"/>
          <w:sz w:val="24"/>
          <w:szCs w:val="24"/>
          <w:lang w:val="en-GB"/>
        </w:rPr>
        <w:t>The structure of attitudes to student debt.</w:t>
      </w:r>
      <w:proofErr w:type="gramEnd"/>
      <w:r w:rsidRPr="002229EB">
        <w:rPr>
          <w:rFonts w:ascii="Calibri" w:eastAsia="Tahoma" w:hAnsi="Calibri"/>
          <w:sz w:val="24"/>
          <w:szCs w:val="24"/>
          <w:lang w:val="en-GB"/>
        </w:rPr>
        <w:t xml:space="preserve">  </w:t>
      </w:r>
      <w:r w:rsidRPr="002229EB">
        <w:rPr>
          <w:rFonts w:ascii="Calibri" w:eastAsia="Tahoma" w:hAnsi="Calibri"/>
          <w:i/>
          <w:sz w:val="24"/>
          <w:szCs w:val="24"/>
          <w:lang w:val="en-GB"/>
        </w:rPr>
        <w:t>Journal of Economic Psychology</w:t>
      </w:r>
      <w:r w:rsidRPr="002229EB">
        <w:rPr>
          <w:rFonts w:ascii="Calibri" w:eastAsia="Tahoma" w:hAnsi="Calibri"/>
          <w:sz w:val="24"/>
          <w:szCs w:val="24"/>
          <w:lang w:val="en-GB"/>
        </w:rPr>
        <w:t xml:space="preserve">, 31, 322-330. </w:t>
      </w:r>
    </w:p>
    <w:p w:rsidR="006132EE" w:rsidRPr="002229EB" w:rsidRDefault="006132EE" w:rsidP="00595190">
      <w:pPr>
        <w:widowControl/>
        <w:wordWrap/>
        <w:autoSpaceDE/>
        <w:autoSpaceDN/>
        <w:spacing w:line="276" w:lineRule="auto"/>
        <w:ind w:left="426" w:hanging="426"/>
        <w:jc w:val="left"/>
        <w:rPr>
          <w:rFonts w:ascii="Calibri" w:eastAsia="Tahoma" w:hAnsi="Calibri"/>
          <w:sz w:val="24"/>
          <w:szCs w:val="24"/>
          <w:lang w:val="en-GB"/>
        </w:rPr>
      </w:pPr>
      <w:proofErr w:type="gramStart"/>
      <w:r w:rsidRPr="002229EB">
        <w:rPr>
          <w:rFonts w:ascii="Calibri" w:eastAsia="Tahoma" w:hAnsi="Calibri"/>
          <w:sz w:val="24"/>
          <w:szCs w:val="24"/>
          <w:lang w:val="en-GB"/>
        </w:rPr>
        <w:t>Higher Education Funding Council for England (2013).</w:t>
      </w:r>
      <w:proofErr w:type="gramEnd"/>
      <w:r w:rsidRPr="002229EB">
        <w:rPr>
          <w:rFonts w:ascii="Calibri" w:eastAsia="Tahoma" w:hAnsi="Calibri"/>
          <w:sz w:val="24"/>
          <w:szCs w:val="24"/>
          <w:lang w:val="en-GB"/>
        </w:rPr>
        <w:t xml:space="preserve"> </w:t>
      </w:r>
      <w:proofErr w:type="gramStart"/>
      <w:r w:rsidRPr="002229EB">
        <w:rPr>
          <w:rFonts w:ascii="Calibri" w:eastAsia="Tahoma" w:hAnsi="Calibri"/>
          <w:i/>
          <w:sz w:val="24"/>
          <w:szCs w:val="24"/>
          <w:lang w:val="en-GB"/>
        </w:rPr>
        <w:t>Trends in young participation in higher education</w:t>
      </w:r>
      <w:r w:rsidRPr="002229EB">
        <w:rPr>
          <w:rFonts w:ascii="Calibri" w:eastAsia="Tahoma" w:hAnsi="Calibri"/>
          <w:sz w:val="24"/>
          <w:szCs w:val="24"/>
          <w:lang w:val="en-GB"/>
        </w:rPr>
        <w:t xml:space="preserve"> (Report 2013/28).</w:t>
      </w:r>
      <w:proofErr w:type="gramEnd"/>
      <w:r w:rsidRPr="002229EB">
        <w:rPr>
          <w:rFonts w:ascii="Calibri" w:eastAsia="Tahoma" w:hAnsi="Calibri"/>
          <w:sz w:val="24"/>
          <w:szCs w:val="24"/>
          <w:lang w:val="en-GB"/>
        </w:rPr>
        <w:t xml:space="preserve">  Bristol: HEFCE.</w:t>
      </w:r>
    </w:p>
    <w:p w:rsidR="00222323" w:rsidRPr="002229EB" w:rsidRDefault="00222323" w:rsidP="00595190">
      <w:pPr>
        <w:widowControl/>
        <w:wordWrap/>
        <w:autoSpaceDE/>
        <w:autoSpaceDN/>
        <w:spacing w:line="276" w:lineRule="auto"/>
        <w:ind w:left="426" w:hanging="426"/>
        <w:jc w:val="left"/>
        <w:rPr>
          <w:rFonts w:ascii="Calibri" w:eastAsia="Tahoma" w:hAnsi="Calibri"/>
          <w:sz w:val="24"/>
          <w:szCs w:val="24"/>
          <w:lang w:val="en-GB"/>
        </w:rPr>
      </w:pPr>
      <w:proofErr w:type="spellStart"/>
      <w:r w:rsidRPr="002229EB">
        <w:rPr>
          <w:rFonts w:ascii="Calibri" w:hAnsi="Calibri"/>
          <w:sz w:val="24"/>
          <w:szCs w:val="24"/>
          <w:lang w:val="en-GB"/>
        </w:rPr>
        <w:lastRenderedPageBreak/>
        <w:t>Hogarty</w:t>
      </w:r>
      <w:proofErr w:type="spellEnd"/>
      <w:r w:rsidRPr="002229EB">
        <w:rPr>
          <w:rFonts w:ascii="Calibri" w:hAnsi="Calibri"/>
          <w:sz w:val="24"/>
          <w:szCs w:val="24"/>
          <w:lang w:val="en-GB"/>
        </w:rPr>
        <w:t>, K</w:t>
      </w:r>
      <w:proofErr w:type="gramStart"/>
      <w:r w:rsidRPr="002229EB">
        <w:rPr>
          <w:rFonts w:ascii="Calibri" w:hAnsi="Calibri"/>
          <w:sz w:val="24"/>
          <w:szCs w:val="24"/>
          <w:lang w:val="en-GB"/>
        </w:rPr>
        <w:t>. ,</w:t>
      </w:r>
      <w:proofErr w:type="gramEnd"/>
      <w:r w:rsidRPr="002229EB">
        <w:rPr>
          <w:rFonts w:ascii="Calibri" w:hAnsi="Calibri"/>
          <w:sz w:val="24"/>
          <w:szCs w:val="24"/>
          <w:lang w:val="en-GB"/>
        </w:rPr>
        <w:t xml:space="preserve"> Hines, C., </w:t>
      </w:r>
      <w:proofErr w:type="spellStart"/>
      <w:r w:rsidRPr="002229EB">
        <w:rPr>
          <w:rFonts w:ascii="Calibri" w:hAnsi="Calibri"/>
          <w:sz w:val="24"/>
          <w:szCs w:val="24"/>
          <w:lang w:val="en-GB"/>
        </w:rPr>
        <w:t>Kromrey</w:t>
      </w:r>
      <w:proofErr w:type="spellEnd"/>
      <w:r w:rsidRPr="002229EB">
        <w:rPr>
          <w:rFonts w:ascii="Calibri" w:hAnsi="Calibri"/>
          <w:sz w:val="24"/>
          <w:szCs w:val="24"/>
          <w:lang w:val="en-GB"/>
        </w:rPr>
        <w:t xml:space="preserve">, J., </w:t>
      </w:r>
      <w:proofErr w:type="spellStart"/>
      <w:r w:rsidRPr="002229EB">
        <w:rPr>
          <w:rFonts w:ascii="Calibri" w:hAnsi="Calibri"/>
          <w:sz w:val="24"/>
          <w:szCs w:val="24"/>
          <w:lang w:val="en-GB"/>
        </w:rPr>
        <w:t>Ferron</w:t>
      </w:r>
      <w:proofErr w:type="spellEnd"/>
      <w:r w:rsidRPr="002229EB">
        <w:rPr>
          <w:rFonts w:ascii="Calibri" w:hAnsi="Calibri"/>
          <w:sz w:val="24"/>
          <w:szCs w:val="24"/>
          <w:lang w:val="en-GB"/>
        </w:rPr>
        <w:t xml:space="preserve">, J., &amp; Mumford K. (2005). The quality of factor solutions in exploratory factor analysis: the influence of sample size, communality, and </w:t>
      </w:r>
      <w:proofErr w:type="spellStart"/>
      <w:r w:rsidRPr="002229EB">
        <w:rPr>
          <w:rFonts w:ascii="Calibri" w:hAnsi="Calibri"/>
          <w:sz w:val="24"/>
          <w:szCs w:val="24"/>
          <w:lang w:val="en-GB"/>
        </w:rPr>
        <w:t>overdetermination</w:t>
      </w:r>
      <w:proofErr w:type="spellEnd"/>
      <w:r w:rsidRPr="002229EB">
        <w:rPr>
          <w:rFonts w:ascii="Calibri" w:hAnsi="Calibri"/>
          <w:sz w:val="24"/>
          <w:szCs w:val="24"/>
          <w:lang w:val="en-GB"/>
        </w:rPr>
        <w:t xml:space="preserve">. </w:t>
      </w:r>
      <w:r w:rsidRPr="002229EB">
        <w:rPr>
          <w:rStyle w:val="Emphasis"/>
          <w:rFonts w:ascii="Calibri" w:hAnsi="Calibri"/>
          <w:sz w:val="24"/>
          <w:szCs w:val="24"/>
          <w:lang w:val="en-GB"/>
        </w:rPr>
        <w:t>Educational and Psychological Measurement, 65</w:t>
      </w:r>
      <w:r w:rsidRPr="002229EB">
        <w:rPr>
          <w:rFonts w:ascii="Calibri" w:hAnsi="Calibri"/>
          <w:sz w:val="24"/>
          <w:szCs w:val="24"/>
          <w:lang w:val="en-GB"/>
        </w:rPr>
        <w:t>, 202-226.</w:t>
      </w:r>
    </w:p>
    <w:p w:rsidR="00D35103" w:rsidRPr="002229EB" w:rsidRDefault="00595190" w:rsidP="00D35103">
      <w:pPr>
        <w:widowControl/>
        <w:wordWrap/>
        <w:autoSpaceDE/>
        <w:autoSpaceDN/>
        <w:spacing w:line="276" w:lineRule="auto"/>
        <w:ind w:left="426" w:hanging="426"/>
        <w:jc w:val="left"/>
        <w:rPr>
          <w:rFonts w:ascii="Calibri" w:hAnsi="Calibri"/>
          <w:sz w:val="24"/>
          <w:szCs w:val="24"/>
          <w:lang w:val="en-GB"/>
        </w:rPr>
      </w:pPr>
      <w:proofErr w:type="gramStart"/>
      <w:r w:rsidRPr="002229EB">
        <w:rPr>
          <w:rFonts w:ascii="Calibri" w:hAnsi="Calibri"/>
          <w:sz w:val="24"/>
          <w:szCs w:val="24"/>
          <w:lang w:val="en-GB"/>
        </w:rPr>
        <w:t xml:space="preserve">Jessop, D., </w:t>
      </w:r>
      <w:proofErr w:type="spellStart"/>
      <w:r w:rsidRPr="002229EB">
        <w:rPr>
          <w:rFonts w:ascii="Calibri" w:hAnsi="Calibri"/>
          <w:sz w:val="24"/>
          <w:szCs w:val="24"/>
          <w:lang w:val="en-GB"/>
        </w:rPr>
        <w:t>Herberts</w:t>
      </w:r>
      <w:proofErr w:type="spellEnd"/>
      <w:r w:rsidRPr="002229EB">
        <w:rPr>
          <w:rFonts w:ascii="Calibri" w:hAnsi="Calibri"/>
          <w:sz w:val="24"/>
          <w:szCs w:val="24"/>
          <w:lang w:val="en-GB"/>
        </w:rPr>
        <w:t xml:space="preserve">, C. &amp; </w:t>
      </w:r>
      <w:proofErr w:type="spellStart"/>
      <w:r w:rsidRPr="002229EB">
        <w:rPr>
          <w:rFonts w:ascii="Calibri" w:hAnsi="Calibri"/>
          <w:sz w:val="24"/>
          <w:szCs w:val="24"/>
          <w:lang w:val="en-GB"/>
        </w:rPr>
        <w:t>Soloman</w:t>
      </w:r>
      <w:proofErr w:type="spellEnd"/>
      <w:r w:rsidRPr="002229EB">
        <w:rPr>
          <w:rFonts w:ascii="Calibri" w:hAnsi="Calibri"/>
          <w:sz w:val="24"/>
          <w:szCs w:val="24"/>
          <w:lang w:val="en-GB"/>
        </w:rPr>
        <w:t>, L. (2005).</w:t>
      </w:r>
      <w:proofErr w:type="gramEnd"/>
      <w:r w:rsidRPr="002229EB">
        <w:rPr>
          <w:rFonts w:ascii="Calibri" w:hAnsi="Calibri"/>
          <w:sz w:val="24"/>
          <w:szCs w:val="24"/>
          <w:lang w:val="en-GB"/>
        </w:rPr>
        <w:t xml:space="preserve"> </w:t>
      </w:r>
      <w:proofErr w:type="gramStart"/>
      <w:r w:rsidRPr="002229EB">
        <w:rPr>
          <w:rFonts w:ascii="Calibri" w:hAnsi="Calibri"/>
          <w:sz w:val="24"/>
          <w:szCs w:val="24"/>
          <w:lang w:val="en-GB"/>
        </w:rPr>
        <w:t>The impact of financial circumstances on student health.</w:t>
      </w:r>
      <w:proofErr w:type="gramEnd"/>
      <w:r w:rsidRPr="002229EB">
        <w:rPr>
          <w:rFonts w:ascii="Calibri" w:hAnsi="Calibri"/>
          <w:sz w:val="24"/>
          <w:szCs w:val="24"/>
          <w:lang w:val="en-GB"/>
        </w:rPr>
        <w:t xml:space="preserve">  </w:t>
      </w:r>
      <w:r w:rsidRPr="002229EB">
        <w:rPr>
          <w:rFonts w:ascii="Calibri" w:hAnsi="Calibri"/>
          <w:i/>
          <w:sz w:val="24"/>
          <w:szCs w:val="24"/>
          <w:lang w:val="en-GB"/>
        </w:rPr>
        <w:t>British Journal of Health Psychology</w:t>
      </w:r>
      <w:r w:rsidRPr="002229EB">
        <w:rPr>
          <w:rFonts w:ascii="Calibri" w:hAnsi="Calibri"/>
          <w:sz w:val="24"/>
          <w:szCs w:val="24"/>
          <w:lang w:val="en-GB"/>
        </w:rPr>
        <w:t xml:space="preserve"> 10, 421–439.</w:t>
      </w:r>
    </w:p>
    <w:p w:rsidR="006E0656" w:rsidRPr="002229EB" w:rsidRDefault="00D35103" w:rsidP="006E0656">
      <w:pPr>
        <w:widowControl/>
        <w:wordWrap/>
        <w:autoSpaceDE/>
        <w:autoSpaceDN/>
        <w:spacing w:line="276" w:lineRule="auto"/>
        <w:ind w:left="426" w:hanging="426"/>
        <w:jc w:val="left"/>
        <w:rPr>
          <w:rFonts w:ascii="Calibri" w:hAnsi="Calibri" w:cs="Arial"/>
          <w:sz w:val="24"/>
          <w:szCs w:val="24"/>
          <w:lang w:val="en-GB"/>
        </w:rPr>
      </w:pPr>
      <w:proofErr w:type="gramStart"/>
      <w:r w:rsidRPr="002229EB">
        <w:rPr>
          <w:rFonts w:ascii="Calibri" w:hAnsi="Calibri" w:cs="Arial"/>
          <w:sz w:val="24"/>
          <w:szCs w:val="24"/>
          <w:lang w:val="en-GB"/>
        </w:rPr>
        <w:t>Jones, R. and Thomas, L. (2005).</w:t>
      </w:r>
      <w:proofErr w:type="gramEnd"/>
      <w:r w:rsidRPr="002229EB">
        <w:rPr>
          <w:rFonts w:ascii="Calibri" w:hAnsi="Calibri" w:cs="Arial"/>
          <w:sz w:val="24"/>
          <w:szCs w:val="24"/>
          <w:lang w:val="en-GB"/>
        </w:rPr>
        <w:t xml:space="preserve"> The 2003 UK Government higher education White Paper: a critical assessment of its implications for the access and widening participation agenda.  </w:t>
      </w:r>
      <w:r w:rsidRPr="002229EB">
        <w:rPr>
          <w:rFonts w:ascii="Calibri" w:hAnsi="Calibri" w:cs="Arial"/>
          <w:i/>
          <w:sz w:val="24"/>
          <w:szCs w:val="24"/>
          <w:lang w:val="en-GB"/>
        </w:rPr>
        <w:t>Journal of Education Policy</w:t>
      </w:r>
      <w:r w:rsidRPr="002229EB">
        <w:rPr>
          <w:rFonts w:ascii="Calibri" w:hAnsi="Calibri" w:cs="Arial"/>
          <w:sz w:val="24"/>
          <w:szCs w:val="24"/>
          <w:lang w:val="en-GB"/>
        </w:rPr>
        <w:t xml:space="preserve"> 20, 615-630.</w:t>
      </w:r>
    </w:p>
    <w:p w:rsidR="006E0656" w:rsidRPr="002229EB" w:rsidRDefault="006E0656" w:rsidP="006E0656">
      <w:pPr>
        <w:widowControl/>
        <w:wordWrap/>
        <w:autoSpaceDE/>
        <w:autoSpaceDN/>
        <w:spacing w:line="276" w:lineRule="auto"/>
        <w:ind w:left="426" w:hanging="426"/>
        <w:jc w:val="left"/>
        <w:rPr>
          <w:rFonts w:ascii="Calibri" w:hAnsi="Calibri" w:cs="Arial"/>
          <w:sz w:val="24"/>
          <w:szCs w:val="24"/>
          <w:lang w:val="en-GB"/>
        </w:rPr>
      </w:pPr>
      <w:proofErr w:type="spellStart"/>
      <w:proofErr w:type="gramStart"/>
      <w:r w:rsidRPr="002229EB">
        <w:rPr>
          <w:rFonts w:ascii="Calibri" w:hAnsi="Calibri" w:cs="Arial"/>
          <w:sz w:val="24"/>
          <w:szCs w:val="24"/>
          <w:lang w:val="en-GB"/>
        </w:rPr>
        <w:t>Kettley</w:t>
      </w:r>
      <w:proofErr w:type="spellEnd"/>
      <w:r w:rsidRPr="002229EB">
        <w:rPr>
          <w:rFonts w:ascii="Calibri" w:hAnsi="Calibri" w:cs="Arial"/>
          <w:sz w:val="24"/>
          <w:szCs w:val="24"/>
          <w:lang w:val="en-GB"/>
        </w:rPr>
        <w:t xml:space="preserve">, N., Whitehead, J., &amp; </w:t>
      </w:r>
      <w:proofErr w:type="spellStart"/>
      <w:r w:rsidRPr="002229EB">
        <w:rPr>
          <w:rFonts w:ascii="Calibri" w:hAnsi="Calibri" w:cs="Arial"/>
          <w:sz w:val="24"/>
          <w:szCs w:val="24"/>
          <w:lang w:val="en-GB"/>
        </w:rPr>
        <w:t>Raffan</w:t>
      </w:r>
      <w:proofErr w:type="spellEnd"/>
      <w:r w:rsidRPr="002229EB">
        <w:rPr>
          <w:rFonts w:ascii="Calibri" w:hAnsi="Calibri" w:cs="Arial"/>
          <w:sz w:val="24"/>
          <w:szCs w:val="24"/>
          <w:lang w:val="en-GB"/>
        </w:rPr>
        <w:t>, J. (2008).</w:t>
      </w:r>
      <w:proofErr w:type="gramEnd"/>
      <w:r w:rsidRPr="002229EB">
        <w:rPr>
          <w:rFonts w:ascii="Calibri" w:hAnsi="Calibri" w:cs="Arial"/>
          <w:sz w:val="24"/>
          <w:szCs w:val="24"/>
          <w:lang w:val="en-GB"/>
        </w:rPr>
        <w:t xml:space="preserve"> Worried women, complacent men?  </w:t>
      </w:r>
      <w:proofErr w:type="gramStart"/>
      <w:r w:rsidRPr="002229EB">
        <w:rPr>
          <w:rFonts w:ascii="Calibri" w:hAnsi="Calibri" w:cs="Arial"/>
          <w:sz w:val="24"/>
          <w:szCs w:val="24"/>
          <w:lang w:val="en-GB"/>
        </w:rPr>
        <w:t>Gendered responses to differential student funding in higher education.</w:t>
      </w:r>
      <w:proofErr w:type="gramEnd"/>
      <w:r w:rsidRPr="002229EB">
        <w:rPr>
          <w:rFonts w:ascii="Calibri" w:hAnsi="Calibri" w:cs="Arial"/>
          <w:sz w:val="24"/>
          <w:szCs w:val="24"/>
          <w:lang w:val="en-GB"/>
        </w:rPr>
        <w:t xml:space="preserve"> </w:t>
      </w:r>
      <w:r w:rsidRPr="002229EB">
        <w:rPr>
          <w:rFonts w:ascii="Calibri" w:hAnsi="Calibri" w:cs="Arial"/>
          <w:i/>
          <w:sz w:val="24"/>
          <w:szCs w:val="24"/>
          <w:lang w:val="en-GB"/>
        </w:rPr>
        <w:t>Oxford Review of Education</w:t>
      </w:r>
      <w:r w:rsidRPr="002229EB">
        <w:rPr>
          <w:rFonts w:ascii="Calibri" w:hAnsi="Calibri" w:cs="Arial"/>
          <w:sz w:val="24"/>
          <w:szCs w:val="24"/>
          <w:lang w:val="en-GB"/>
        </w:rPr>
        <w:t xml:space="preserve"> 34, 111-129.</w:t>
      </w:r>
    </w:p>
    <w:p w:rsidR="0057762F" w:rsidRPr="002229EB" w:rsidRDefault="006C5064" w:rsidP="0057762F">
      <w:pPr>
        <w:widowControl/>
        <w:wordWrap/>
        <w:autoSpaceDE/>
        <w:autoSpaceDN/>
        <w:spacing w:line="276" w:lineRule="auto"/>
        <w:ind w:left="426" w:hanging="426"/>
        <w:jc w:val="left"/>
        <w:rPr>
          <w:rFonts w:ascii="Calibri" w:hAnsi="Calibri" w:cs="Arial"/>
          <w:sz w:val="24"/>
          <w:szCs w:val="24"/>
          <w:lang w:val="en-GB"/>
        </w:rPr>
      </w:pPr>
      <w:r w:rsidRPr="002229EB">
        <w:rPr>
          <w:rFonts w:ascii="Calibri" w:hAnsi="Calibri" w:cs="Arial"/>
          <w:sz w:val="24"/>
          <w:szCs w:val="24"/>
          <w:lang w:val="en-GB"/>
        </w:rPr>
        <w:t>Metcalf, H.</w:t>
      </w:r>
      <w:r w:rsidR="0057762F" w:rsidRPr="002229EB">
        <w:rPr>
          <w:rFonts w:ascii="Calibri" w:hAnsi="Calibri" w:cs="Arial"/>
          <w:sz w:val="24"/>
          <w:szCs w:val="24"/>
          <w:lang w:val="en-GB"/>
        </w:rPr>
        <w:t xml:space="preserve"> (2005). </w:t>
      </w:r>
      <w:proofErr w:type="gramStart"/>
      <w:r w:rsidR="0057762F" w:rsidRPr="002229EB">
        <w:rPr>
          <w:rFonts w:ascii="Calibri" w:hAnsi="Calibri" w:cs="Arial"/>
          <w:sz w:val="24"/>
          <w:szCs w:val="24"/>
          <w:lang w:val="en-GB"/>
        </w:rPr>
        <w:t>Paying for university: the impact of increasing costs on student employment, debt and satisfaction.</w:t>
      </w:r>
      <w:proofErr w:type="gramEnd"/>
      <w:r w:rsidR="0057762F" w:rsidRPr="002229EB">
        <w:rPr>
          <w:rFonts w:ascii="Calibri" w:hAnsi="Calibri" w:cs="Arial"/>
          <w:sz w:val="24"/>
          <w:szCs w:val="24"/>
          <w:lang w:val="en-GB"/>
        </w:rPr>
        <w:t xml:space="preserve">  </w:t>
      </w:r>
      <w:r w:rsidR="0057762F" w:rsidRPr="002229EB">
        <w:rPr>
          <w:rFonts w:ascii="Calibri" w:hAnsi="Calibri" w:cs="Arial"/>
          <w:i/>
          <w:sz w:val="24"/>
          <w:szCs w:val="24"/>
          <w:lang w:val="en-GB"/>
        </w:rPr>
        <w:t>National Institute Economic Review</w:t>
      </w:r>
      <w:r w:rsidRPr="002229EB">
        <w:rPr>
          <w:rFonts w:ascii="Calibri" w:hAnsi="Calibri" w:cs="Arial"/>
          <w:sz w:val="24"/>
          <w:szCs w:val="24"/>
          <w:lang w:val="en-GB"/>
        </w:rPr>
        <w:t>,</w:t>
      </w:r>
      <w:r w:rsidR="0057762F" w:rsidRPr="002229EB">
        <w:rPr>
          <w:rFonts w:ascii="Calibri" w:hAnsi="Calibri" w:cs="Arial"/>
          <w:sz w:val="24"/>
          <w:szCs w:val="24"/>
          <w:lang w:val="en-GB"/>
        </w:rPr>
        <w:t xml:space="preserve"> 191</w:t>
      </w:r>
      <w:r w:rsidRPr="002229EB">
        <w:rPr>
          <w:rFonts w:ascii="Calibri" w:hAnsi="Calibri" w:cs="Arial"/>
          <w:sz w:val="24"/>
          <w:szCs w:val="24"/>
          <w:lang w:val="en-GB"/>
        </w:rPr>
        <w:t>,</w:t>
      </w:r>
      <w:r w:rsidR="0057762F" w:rsidRPr="002229EB">
        <w:rPr>
          <w:rFonts w:ascii="Calibri" w:hAnsi="Calibri" w:cs="Arial"/>
          <w:sz w:val="24"/>
          <w:szCs w:val="24"/>
          <w:lang w:val="en-GB"/>
        </w:rPr>
        <w:t xml:space="preserve"> 106-117.</w:t>
      </w:r>
    </w:p>
    <w:p w:rsidR="00AA5721" w:rsidRPr="002229EB" w:rsidRDefault="00AA5721" w:rsidP="0057762F">
      <w:pPr>
        <w:widowControl/>
        <w:wordWrap/>
        <w:autoSpaceDE/>
        <w:autoSpaceDN/>
        <w:spacing w:line="276" w:lineRule="auto"/>
        <w:ind w:left="426" w:hanging="426"/>
        <w:jc w:val="left"/>
        <w:rPr>
          <w:rFonts w:ascii="Calibri" w:hAnsi="Calibri" w:cs="Arial"/>
          <w:sz w:val="24"/>
          <w:szCs w:val="24"/>
          <w:lang w:val="en-GB"/>
        </w:rPr>
      </w:pPr>
      <w:proofErr w:type="spellStart"/>
      <w:proofErr w:type="gramStart"/>
      <w:r w:rsidRPr="002229EB">
        <w:rPr>
          <w:rFonts w:ascii="Calibri" w:hAnsi="Calibri" w:cs="Arial"/>
          <w:sz w:val="24"/>
          <w:szCs w:val="24"/>
          <w:lang w:val="en-GB"/>
        </w:rPr>
        <w:t>Norvilitis</w:t>
      </w:r>
      <w:proofErr w:type="spellEnd"/>
      <w:r w:rsidRPr="002229EB">
        <w:rPr>
          <w:rFonts w:ascii="Calibri" w:hAnsi="Calibri" w:cs="Arial"/>
          <w:sz w:val="24"/>
          <w:szCs w:val="24"/>
          <w:lang w:val="en-GB"/>
        </w:rPr>
        <w:t>, J. &amp; MacLean, N. (2010).</w:t>
      </w:r>
      <w:proofErr w:type="gramEnd"/>
      <w:r w:rsidRPr="002229EB">
        <w:rPr>
          <w:rFonts w:ascii="Calibri" w:hAnsi="Calibri" w:cs="Arial"/>
          <w:sz w:val="24"/>
          <w:szCs w:val="24"/>
          <w:lang w:val="en-GB"/>
        </w:rPr>
        <w:t xml:space="preserve"> </w:t>
      </w:r>
      <w:proofErr w:type="gramStart"/>
      <w:r w:rsidRPr="002229EB">
        <w:rPr>
          <w:rFonts w:ascii="Calibri" w:hAnsi="Calibri" w:cs="Arial"/>
          <w:sz w:val="24"/>
          <w:szCs w:val="24"/>
          <w:lang w:val="en-GB"/>
        </w:rPr>
        <w:t>The role of parents in college students’ financial behaviour and attitudes.</w:t>
      </w:r>
      <w:proofErr w:type="gramEnd"/>
      <w:r w:rsidRPr="002229EB">
        <w:rPr>
          <w:rFonts w:ascii="Calibri" w:hAnsi="Calibri" w:cs="Arial"/>
          <w:sz w:val="24"/>
          <w:szCs w:val="24"/>
          <w:lang w:val="en-GB"/>
        </w:rPr>
        <w:t xml:space="preserve"> </w:t>
      </w:r>
      <w:r w:rsidRPr="002229EB">
        <w:rPr>
          <w:rFonts w:ascii="Calibri" w:hAnsi="Calibri" w:cs="Arial"/>
          <w:i/>
          <w:sz w:val="24"/>
          <w:szCs w:val="24"/>
          <w:lang w:val="en-GB"/>
        </w:rPr>
        <w:t>Journal of Economic Psychology</w:t>
      </w:r>
      <w:r w:rsidRPr="002229EB">
        <w:rPr>
          <w:rFonts w:ascii="Calibri" w:hAnsi="Calibri" w:cs="Arial"/>
          <w:sz w:val="24"/>
          <w:szCs w:val="24"/>
          <w:lang w:val="en-GB"/>
        </w:rPr>
        <w:t>, 31, 56-63.</w:t>
      </w:r>
    </w:p>
    <w:p w:rsidR="007973A9" w:rsidRPr="002229EB" w:rsidRDefault="007973A9" w:rsidP="007973A9">
      <w:pPr>
        <w:widowControl/>
        <w:wordWrap/>
        <w:autoSpaceDE/>
        <w:autoSpaceDN/>
        <w:spacing w:line="276" w:lineRule="auto"/>
        <w:ind w:left="426" w:hanging="426"/>
        <w:jc w:val="left"/>
        <w:rPr>
          <w:rFonts w:ascii="Calibri" w:hAnsi="Calibri" w:cs="Arial"/>
          <w:sz w:val="24"/>
          <w:szCs w:val="24"/>
          <w:lang w:val="en-GB"/>
        </w:rPr>
      </w:pPr>
      <w:proofErr w:type="spellStart"/>
      <w:proofErr w:type="gramStart"/>
      <w:r w:rsidRPr="002229EB">
        <w:rPr>
          <w:rFonts w:ascii="Calibri" w:hAnsi="Calibri" w:cs="Arial"/>
          <w:sz w:val="24"/>
          <w:szCs w:val="24"/>
          <w:lang w:val="en-GB"/>
        </w:rPr>
        <w:t>Norvilitis</w:t>
      </w:r>
      <w:proofErr w:type="spellEnd"/>
      <w:r w:rsidRPr="002229EB">
        <w:rPr>
          <w:rFonts w:ascii="Calibri" w:hAnsi="Calibri" w:cs="Arial"/>
          <w:sz w:val="24"/>
          <w:szCs w:val="24"/>
          <w:lang w:val="en-GB"/>
        </w:rPr>
        <w:t>, J. &amp; Mao, Y. (2013).</w:t>
      </w:r>
      <w:proofErr w:type="gramEnd"/>
      <w:r w:rsidRPr="002229EB">
        <w:rPr>
          <w:rFonts w:ascii="Calibri" w:hAnsi="Calibri" w:cs="Arial"/>
          <w:sz w:val="24"/>
          <w:szCs w:val="24"/>
          <w:lang w:val="en-GB"/>
        </w:rPr>
        <w:t xml:space="preserve"> </w:t>
      </w:r>
      <w:proofErr w:type="gramStart"/>
      <w:r w:rsidRPr="002229EB">
        <w:rPr>
          <w:rFonts w:ascii="Calibri" w:hAnsi="Calibri"/>
          <w:sz w:val="24"/>
          <w:szCs w:val="24"/>
          <w:lang w:val="en-GB"/>
        </w:rPr>
        <w:t>Attitudes towards credit and finances among college students in China and the United States.</w:t>
      </w:r>
      <w:proofErr w:type="gramEnd"/>
      <w:r w:rsidRPr="002229EB">
        <w:rPr>
          <w:rFonts w:ascii="Calibri" w:hAnsi="Calibri"/>
          <w:sz w:val="24"/>
          <w:szCs w:val="24"/>
          <w:lang w:val="en-GB"/>
        </w:rPr>
        <w:t xml:space="preserve">  </w:t>
      </w:r>
      <w:r w:rsidRPr="002229EB">
        <w:rPr>
          <w:rFonts w:ascii="Calibri" w:hAnsi="Calibri"/>
          <w:i/>
          <w:sz w:val="24"/>
          <w:szCs w:val="24"/>
          <w:lang w:val="en-GB"/>
        </w:rPr>
        <w:t>International Journal of Psychology</w:t>
      </w:r>
      <w:r w:rsidRPr="002229EB">
        <w:rPr>
          <w:rFonts w:ascii="Calibri" w:hAnsi="Calibri"/>
          <w:sz w:val="24"/>
          <w:szCs w:val="24"/>
          <w:lang w:val="en-GB"/>
        </w:rPr>
        <w:t>, 44, 389-398</w:t>
      </w:r>
    </w:p>
    <w:p w:rsidR="00F744F4" w:rsidRPr="002229EB" w:rsidRDefault="00F744F4" w:rsidP="003A7C3E">
      <w:pPr>
        <w:widowControl/>
        <w:wordWrap/>
        <w:autoSpaceDE/>
        <w:autoSpaceDN/>
        <w:spacing w:line="276" w:lineRule="auto"/>
        <w:ind w:left="426" w:hanging="426"/>
        <w:jc w:val="left"/>
        <w:rPr>
          <w:rFonts w:ascii="Calibri" w:hAnsi="Calibri" w:cs="Arial"/>
          <w:sz w:val="24"/>
          <w:szCs w:val="24"/>
          <w:lang w:val="en-GB"/>
        </w:rPr>
      </w:pPr>
      <w:proofErr w:type="spellStart"/>
      <w:r w:rsidRPr="002229EB">
        <w:rPr>
          <w:rFonts w:ascii="Calibri" w:hAnsi="Calibri" w:cs="Arial"/>
          <w:sz w:val="24"/>
          <w:szCs w:val="24"/>
          <w:lang w:val="en-GB"/>
        </w:rPr>
        <w:t>Norvilitis</w:t>
      </w:r>
      <w:proofErr w:type="spellEnd"/>
      <w:r w:rsidRPr="002229EB">
        <w:rPr>
          <w:rFonts w:ascii="Calibri" w:hAnsi="Calibri" w:cs="Arial"/>
          <w:sz w:val="24"/>
          <w:szCs w:val="24"/>
          <w:lang w:val="en-GB"/>
        </w:rPr>
        <w:t xml:space="preserve">, J., </w:t>
      </w:r>
      <w:proofErr w:type="spellStart"/>
      <w:r w:rsidRPr="002229EB">
        <w:rPr>
          <w:rFonts w:ascii="Calibri" w:hAnsi="Calibri" w:cs="Arial"/>
          <w:sz w:val="24"/>
          <w:szCs w:val="24"/>
          <w:lang w:val="en-GB"/>
        </w:rPr>
        <w:t>Merwin</w:t>
      </w:r>
      <w:proofErr w:type="spellEnd"/>
      <w:r w:rsidRPr="002229EB">
        <w:rPr>
          <w:rFonts w:ascii="Calibri" w:hAnsi="Calibri" w:cs="Arial"/>
          <w:sz w:val="24"/>
          <w:szCs w:val="24"/>
          <w:lang w:val="en-GB"/>
        </w:rPr>
        <w:t xml:space="preserve">, M., </w:t>
      </w:r>
      <w:proofErr w:type="spellStart"/>
      <w:r w:rsidRPr="002229EB">
        <w:rPr>
          <w:rFonts w:ascii="Calibri" w:hAnsi="Calibri" w:cs="Arial"/>
          <w:sz w:val="24"/>
          <w:szCs w:val="24"/>
          <w:lang w:val="en-GB"/>
        </w:rPr>
        <w:t>Osberg</w:t>
      </w:r>
      <w:proofErr w:type="spellEnd"/>
      <w:r w:rsidRPr="002229EB">
        <w:rPr>
          <w:rFonts w:ascii="Calibri" w:hAnsi="Calibri" w:cs="Arial"/>
          <w:sz w:val="24"/>
          <w:szCs w:val="24"/>
          <w:lang w:val="en-GB"/>
        </w:rPr>
        <w:t xml:space="preserve">, M., </w:t>
      </w:r>
      <w:proofErr w:type="spellStart"/>
      <w:r w:rsidRPr="002229EB">
        <w:rPr>
          <w:rFonts w:ascii="Calibri" w:hAnsi="Calibri" w:cs="Arial"/>
          <w:sz w:val="24"/>
          <w:szCs w:val="24"/>
          <w:lang w:val="en-GB"/>
        </w:rPr>
        <w:t>Roehling</w:t>
      </w:r>
      <w:proofErr w:type="spellEnd"/>
      <w:r w:rsidRPr="002229EB">
        <w:rPr>
          <w:rFonts w:ascii="Calibri" w:hAnsi="Calibri" w:cs="Arial"/>
          <w:sz w:val="24"/>
          <w:szCs w:val="24"/>
          <w:lang w:val="en-GB"/>
        </w:rPr>
        <w:t xml:space="preserve">, P., Young, P. &amp; Kamas, M. (2006) Personality factors, money attitudes, financial knowledge and credit-card debt in college students. </w:t>
      </w:r>
      <w:r w:rsidRPr="002229EB">
        <w:rPr>
          <w:rFonts w:ascii="Calibri" w:hAnsi="Calibri" w:cs="Arial"/>
          <w:i/>
          <w:sz w:val="24"/>
          <w:szCs w:val="24"/>
          <w:lang w:val="en-GB"/>
        </w:rPr>
        <w:t>Journal of Applied Social Psychology</w:t>
      </w:r>
      <w:r w:rsidRPr="002229EB">
        <w:rPr>
          <w:rFonts w:ascii="Calibri" w:hAnsi="Calibri" w:cs="Arial"/>
          <w:sz w:val="24"/>
          <w:szCs w:val="24"/>
          <w:lang w:val="en-GB"/>
        </w:rPr>
        <w:t xml:space="preserve"> 36, 1395-1413.</w:t>
      </w:r>
    </w:p>
    <w:p w:rsidR="00D35103" w:rsidRPr="002229EB" w:rsidRDefault="007E243E" w:rsidP="00D35103">
      <w:pPr>
        <w:widowControl/>
        <w:wordWrap/>
        <w:autoSpaceDE/>
        <w:autoSpaceDN/>
        <w:spacing w:line="276" w:lineRule="auto"/>
        <w:ind w:left="426" w:hanging="426"/>
        <w:jc w:val="left"/>
        <w:rPr>
          <w:rFonts w:ascii="Calibri" w:hAnsi="Calibri" w:cs="Arial"/>
          <w:sz w:val="24"/>
          <w:szCs w:val="24"/>
          <w:lang w:val="en-GB"/>
        </w:rPr>
      </w:pPr>
      <w:proofErr w:type="spellStart"/>
      <w:r w:rsidRPr="002229EB">
        <w:rPr>
          <w:rFonts w:ascii="Calibri" w:hAnsi="Calibri" w:cs="Arial"/>
          <w:sz w:val="24"/>
          <w:szCs w:val="24"/>
          <w:lang w:val="en-GB"/>
        </w:rPr>
        <w:t>Norvilitis</w:t>
      </w:r>
      <w:proofErr w:type="spellEnd"/>
      <w:r w:rsidRPr="002229EB">
        <w:rPr>
          <w:rFonts w:ascii="Calibri" w:hAnsi="Calibri" w:cs="Arial"/>
          <w:sz w:val="24"/>
          <w:szCs w:val="24"/>
          <w:lang w:val="en-GB"/>
        </w:rPr>
        <w:t xml:space="preserve">, J., </w:t>
      </w:r>
      <w:proofErr w:type="spellStart"/>
      <w:r w:rsidRPr="002229EB">
        <w:rPr>
          <w:rFonts w:ascii="Calibri" w:hAnsi="Calibri" w:cs="Arial"/>
          <w:sz w:val="24"/>
          <w:szCs w:val="24"/>
          <w:lang w:val="en-GB"/>
        </w:rPr>
        <w:t>Szablicki</w:t>
      </w:r>
      <w:proofErr w:type="spellEnd"/>
      <w:r w:rsidRPr="002229EB">
        <w:rPr>
          <w:rFonts w:ascii="Calibri" w:hAnsi="Calibri" w:cs="Arial"/>
          <w:sz w:val="24"/>
          <w:szCs w:val="24"/>
          <w:lang w:val="en-GB"/>
        </w:rPr>
        <w:t xml:space="preserve">, P. &amp; Wilson, S. (2003). </w:t>
      </w:r>
      <w:proofErr w:type="gramStart"/>
      <w:r w:rsidRPr="002229EB">
        <w:rPr>
          <w:rFonts w:ascii="Calibri" w:hAnsi="Calibri" w:cs="Arial"/>
          <w:sz w:val="24"/>
          <w:szCs w:val="24"/>
          <w:lang w:val="en-GB"/>
        </w:rPr>
        <w:t>Factors influencing levels of credit-card debt in college students.</w:t>
      </w:r>
      <w:proofErr w:type="gramEnd"/>
      <w:r w:rsidRPr="002229EB">
        <w:rPr>
          <w:rFonts w:ascii="Calibri" w:hAnsi="Calibri" w:cs="Arial"/>
          <w:sz w:val="24"/>
          <w:szCs w:val="24"/>
          <w:lang w:val="en-GB"/>
        </w:rPr>
        <w:t xml:space="preserve">  </w:t>
      </w:r>
      <w:r w:rsidRPr="002229EB">
        <w:rPr>
          <w:rFonts w:ascii="Calibri" w:hAnsi="Calibri" w:cs="Arial"/>
          <w:i/>
          <w:sz w:val="24"/>
          <w:szCs w:val="24"/>
          <w:lang w:val="en-GB"/>
        </w:rPr>
        <w:t>Journal of Applied Social Psychology</w:t>
      </w:r>
      <w:r w:rsidRPr="002229EB">
        <w:rPr>
          <w:rFonts w:ascii="Calibri" w:hAnsi="Calibri" w:cs="Arial"/>
          <w:sz w:val="24"/>
          <w:szCs w:val="24"/>
          <w:lang w:val="en-GB"/>
        </w:rPr>
        <w:t xml:space="preserve"> 33, 935-947.</w:t>
      </w:r>
    </w:p>
    <w:p w:rsidR="00542F6A" w:rsidRPr="002229EB" w:rsidRDefault="00542F6A" w:rsidP="00D35103">
      <w:pPr>
        <w:widowControl/>
        <w:wordWrap/>
        <w:autoSpaceDE/>
        <w:autoSpaceDN/>
        <w:spacing w:line="276" w:lineRule="auto"/>
        <w:ind w:left="426" w:hanging="426"/>
        <w:jc w:val="left"/>
        <w:rPr>
          <w:rFonts w:ascii="Calibri" w:hAnsi="Calibri" w:cs="Arial"/>
          <w:sz w:val="24"/>
          <w:szCs w:val="24"/>
          <w:lang w:val="en-GB"/>
        </w:rPr>
      </w:pPr>
      <w:proofErr w:type="spellStart"/>
      <w:proofErr w:type="gramStart"/>
      <w:r w:rsidRPr="002229EB">
        <w:rPr>
          <w:rFonts w:ascii="Calibri" w:hAnsi="Calibri" w:cs="Arial"/>
          <w:sz w:val="24"/>
          <w:szCs w:val="24"/>
          <w:lang w:val="en-GB"/>
        </w:rPr>
        <w:t>Oosterbeek</w:t>
      </w:r>
      <w:proofErr w:type="spellEnd"/>
      <w:r w:rsidRPr="002229EB">
        <w:rPr>
          <w:rFonts w:ascii="Calibri" w:hAnsi="Calibri" w:cs="Arial"/>
          <w:sz w:val="24"/>
          <w:szCs w:val="24"/>
          <w:lang w:val="en-GB"/>
        </w:rPr>
        <w:t xml:space="preserve">, H. &amp; van den </w:t>
      </w:r>
      <w:proofErr w:type="spellStart"/>
      <w:r w:rsidRPr="002229EB">
        <w:rPr>
          <w:rFonts w:ascii="Calibri" w:hAnsi="Calibri" w:cs="Arial"/>
          <w:sz w:val="24"/>
          <w:szCs w:val="24"/>
          <w:lang w:val="en-GB"/>
        </w:rPr>
        <w:t>Broek</w:t>
      </w:r>
      <w:proofErr w:type="spellEnd"/>
      <w:r w:rsidRPr="002229EB">
        <w:rPr>
          <w:rFonts w:ascii="Calibri" w:hAnsi="Calibri" w:cs="Arial"/>
          <w:sz w:val="24"/>
          <w:szCs w:val="24"/>
          <w:lang w:val="en-GB"/>
        </w:rPr>
        <w:t>, A. (2009).</w:t>
      </w:r>
      <w:proofErr w:type="gramEnd"/>
      <w:r w:rsidRPr="002229EB">
        <w:rPr>
          <w:rFonts w:ascii="Calibri" w:hAnsi="Calibri" w:cs="Arial"/>
          <w:sz w:val="24"/>
          <w:szCs w:val="24"/>
          <w:lang w:val="en-GB"/>
        </w:rPr>
        <w:t xml:space="preserve"> </w:t>
      </w:r>
      <w:proofErr w:type="gramStart"/>
      <w:r w:rsidRPr="002229EB">
        <w:rPr>
          <w:rFonts w:ascii="Calibri" w:hAnsi="Calibri" w:cs="Arial"/>
          <w:sz w:val="24"/>
          <w:szCs w:val="24"/>
          <w:lang w:val="en-GB"/>
        </w:rPr>
        <w:t>An empirical analysis of borrowing behaviour of higher education students in the Netherlands.</w:t>
      </w:r>
      <w:proofErr w:type="gramEnd"/>
      <w:r w:rsidRPr="002229EB">
        <w:rPr>
          <w:rFonts w:ascii="Calibri" w:hAnsi="Calibri" w:cs="Arial"/>
          <w:sz w:val="24"/>
          <w:szCs w:val="24"/>
          <w:lang w:val="en-GB"/>
        </w:rPr>
        <w:t xml:space="preserve"> </w:t>
      </w:r>
      <w:r w:rsidRPr="002229EB">
        <w:rPr>
          <w:rFonts w:ascii="Calibri" w:hAnsi="Calibri" w:cs="Arial"/>
          <w:i/>
          <w:sz w:val="24"/>
          <w:szCs w:val="24"/>
          <w:lang w:val="en-GB"/>
        </w:rPr>
        <w:t>Economics of Education Review</w:t>
      </w:r>
      <w:r w:rsidRPr="002229EB">
        <w:rPr>
          <w:rFonts w:ascii="Calibri" w:hAnsi="Calibri" w:cs="Arial"/>
          <w:sz w:val="24"/>
          <w:szCs w:val="24"/>
          <w:lang w:val="en-GB"/>
        </w:rPr>
        <w:t>, 28, 170-177.</w:t>
      </w:r>
    </w:p>
    <w:p w:rsidR="00DF2A31" w:rsidRPr="002229EB" w:rsidRDefault="00DF2A31" w:rsidP="00D35103">
      <w:pPr>
        <w:widowControl/>
        <w:wordWrap/>
        <w:autoSpaceDE/>
        <w:autoSpaceDN/>
        <w:spacing w:line="276" w:lineRule="auto"/>
        <w:ind w:left="426" w:hanging="426"/>
        <w:jc w:val="left"/>
        <w:rPr>
          <w:rFonts w:ascii="Calibri" w:hAnsi="Calibri" w:cs="Arial"/>
          <w:sz w:val="24"/>
          <w:szCs w:val="24"/>
          <w:lang w:val="en-GB"/>
        </w:rPr>
      </w:pPr>
      <w:proofErr w:type="gramStart"/>
      <w:r w:rsidRPr="002229EB">
        <w:rPr>
          <w:rFonts w:ascii="Calibri" w:hAnsi="Calibri" w:cs="Arial"/>
          <w:sz w:val="24"/>
          <w:szCs w:val="24"/>
          <w:lang w:val="en-GB"/>
        </w:rPr>
        <w:t xml:space="preserve">Peltier, J., </w:t>
      </w:r>
      <w:proofErr w:type="spellStart"/>
      <w:r w:rsidRPr="002229EB">
        <w:rPr>
          <w:rFonts w:ascii="Calibri" w:hAnsi="Calibri" w:cs="Arial"/>
          <w:sz w:val="24"/>
          <w:szCs w:val="24"/>
          <w:lang w:val="en-GB"/>
        </w:rPr>
        <w:t>Pomirleanu</w:t>
      </w:r>
      <w:proofErr w:type="spellEnd"/>
      <w:r w:rsidRPr="002229EB">
        <w:rPr>
          <w:rFonts w:ascii="Calibri" w:hAnsi="Calibri" w:cs="Arial"/>
          <w:sz w:val="24"/>
          <w:szCs w:val="24"/>
          <w:lang w:val="en-GB"/>
        </w:rPr>
        <w:t xml:space="preserve">, N., </w:t>
      </w:r>
      <w:proofErr w:type="spellStart"/>
      <w:r w:rsidRPr="002229EB">
        <w:rPr>
          <w:rFonts w:ascii="Calibri" w:hAnsi="Calibri" w:cs="Arial"/>
          <w:sz w:val="24"/>
          <w:szCs w:val="24"/>
          <w:lang w:val="en-GB"/>
        </w:rPr>
        <w:t>Endres</w:t>
      </w:r>
      <w:proofErr w:type="spellEnd"/>
      <w:r w:rsidRPr="002229EB">
        <w:rPr>
          <w:rFonts w:ascii="Calibri" w:hAnsi="Calibri" w:cs="Arial"/>
          <w:sz w:val="24"/>
          <w:szCs w:val="24"/>
          <w:lang w:val="en-GB"/>
        </w:rPr>
        <w:t>, M. &amp; Markos, E. (2013).</w:t>
      </w:r>
      <w:proofErr w:type="gramEnd"/>
      <w:r w:rsidRPr="002229EB">
        <w:rPr>
          <w:rFonts w:ascii="Calibri" w:hAnsi="Calibri" w:cs="Arial"/>
          <w:sz w:val="24"/>
          <w:szCs w:val="24"/>
          <w:lang w:val="en-GB"/>
        </w:rPr>
        <w:t xml:space="preserve"> Psycho-social factor impacting credit acquisition and use by college students. </w:t>
      </w:r>
      <w:r w:rsidRPr="002229EB">
        <w:rPr>
          <w:rFonts w:ascii="Calibri" w:hAnsi="Calibri" w:cs="Arial"/>
          <w:i/>
          <w:sz w:val="24"/>
          <w:szCs w:val="24"/>
          <w:lang w:val="en-GB"/>
        </w:rPr>
        <w:t>Journal of Financial Services Marketing</w:t>
      </w:r>
      <w:r w:rsidRPr="002229EB">
        <w:rPr>
          <w:rFonts w:ascii="Calibri" w:hAnsi="Calibri" w:cs="Arial"/>
          <w:sz w:val="24"/>
          <w:szCs w:val="24"/>
          <w:lang w:val="en-GB"/>
        </w:rPr>
        <w:t>, 18, 271-284.</w:t>
      </w:r>
    </w:p>
    <w:p w:rsidR="00D35103" w:rsidRPr="002229EB" w:rsidRDefault="00D35103" w:rsidP="00D35103">
      <w:pPr>
        <w:widowControl/>
        <w:wordWrap/>
        <w:autoSpaceDE/>
        <w:autoSpaceDN/>
        <w:spacing w:line="276" w:lineRule="auto"/>
        <w:ind w:left="426" w:hanging="426"/>
        <w:jc w:val="left"/>
        <w:rPr>
          <w:rFonts w:ascii="Calibri" w:hAnsi="Calibri" w:cs="Arial"/>
          <w:sz w:val="24"/>
          <w:szCs w:val="24"/>
          <w:lang w:val="en-GB"/>
        </w:rPr>
      </w:pPr>
      <w:proofErr w:type="gramStart"/>
      <w:r w:rsidRPr="002229EB">
        <w:rPr>
          <w:rFonts w:ascii="Calibri" w:hAnsi="Calibri" w:cs="Arial"/>
          <w:sz w:val="24"/>
          <w:szCs w:val="24"/>
          <w:lang w:val="en-GB"/>
        </w:rPr>
        <w:t>Pennell, H. &amp; West, A. (2005).</w:t>
      </w:r>
      <w:proofErr w:type="gramEnd"/>
      <w:r w:rsidRPr="002229EB">
        <w:rPr>
          <w:rFonts w:ascii="Calibri" w:hAnsi="Calibri" w:cs="Arial"/>
          <w:sz w:val="24"/>
          <w:szCs w:val="24"/>
          <w:lang w:val="en-GB"/>
        </w:rPr>
        <w:t xml:space="preserve"> </w:t>
      </w:r>
      <w:proofErr w:type="gramStart"/>
      <w:r w:rsidRPr="002229EB">
        <w:rPr>
          <w:rFonts w:ascii="Calibri" w:hAnsi="Calibri" w:cs="Arial"/>
          <w:sz w:val="24"/>
          <w:szCs w:val="24"/>
          <w:lang w:val="en-GB"/>
        </w:rPr>
        <w:t>The impact of increased fees on participation in higher education in England.</w:t>
      </w:r>
      <w:proofErr w:type="gramEnd"/>
      <w:r w:rsidRPr="002229EB">
        <w:rPr>
          <w:rFonts w:ascii="Calibri" w:hAnsi="Calibri" w:cs="Arial"/>
          <w:sz w:val="24"/>
          <w:szCs w:val="24"/>
          <w:lang w:val="en-GB"/>
        </w:rPr>
        <w:t xml:space="preserve">  </w:t>
      </w:r>
      <w:r w:rsidRPr="002229EB">
        <w:rPr>
          <w:rFonts w:ascii="Calibri" w:hAnsi="Calibri" w:cs="Arial"/>
          <w:i/>
          <w:sz w:val="24"/>
          <w:szCs w:val="24"/>
          <w:lang w:val="en-GB"/>
        </w:rPr>
        <w:t>Higher Education Quarterly</w:t>
      </w:r>
      <w:r w:rsidRPr="002229EB">
        <w:rPr>
          <w:rFonts w:ascii="Calibri" w:hAnsi="Calibri" w:cs="Arial"/>
          <w:sz w:val="24"/>
          <w:szCs w:val="24"/>
          <w:lang w:val="en-GB"/>
        </w:rPr>
        <w:t xml:space="preserve"> 59, 127-137.</w:t>
      </w:r>
    </w:p>
    <w:p w:rsidR="00595190" w:rsidRPr="002229EB" w:rsidRDefault="00D60DF6" w:rsidP="00595190">
      <w:pPr>
        <w:widowControl/>
        <w:wordWrap/>
        <w:autoSpaceDE/>
        <w:autoSpaceDN/>
        <w:spacing w:line="276" w:lineRule="auto"/>
        <w:ind w:left="426" w:hanging="426"/>
        <w:jc w:val="left"/>
        <w:rPr>
          <w:rStyle w:val="citation"/>
          <w:rFonts w:ascii="Calibri" w:hAnsi="Calibri"/>
          <w:sz w:val="24"/>
          <w:szCs w:val="24"/>
          <w:lang w:val="en-GB"/>
        </w:rPr>
      </w:pPr>
      <w:proofErr w:type="spellStart"/>
      <w:proofErr w:type="gramStart"/>
      <w:r w:rsidRPr="002229EB">
        <w:rPr>
          <w:rStyle w:val="citation"/>
          <w:rFonts w:ascii="Calibri" w:hAnsi="Calibri"/>
          <w:sz w:val="24"/>
          <w:szCs w:val="24"/>
          <w:lang w:val="en-GB"/>
        </w:rPr>
        <w:t>Ruscio</w:t>
      </w:r>
      <w:proofErr w:type="spellEnd"/>
      <w:r w:rsidRPr="002229EB">
        <w:rPr>
          <w:rStyle w:val="citation"/>
          <w:rFonts w:ascii="Calibri" w:hAnsi="Calibri"/>
          <w:sz w:val="24"/>
          <w:szCs w:val="24"/>
          <w:lang w:val="en-GB"/>
        </w:rPr>
        <w:t>, J. &amp; Roche, B. (2012).</w:t>
      </w:r>
      <w:proofErr w:type="gramEnd"/>
      <w:r w:rsidRPr="002229EB">
        <w:rPr>
          <w:rStyle w:val="citation"/>
          <w:rFonts w:ascii="Calibri" w:hAnsi="Calibri"/>
          <w:sz w:val="24"/>
          <w:szCs w:val="24"/>
          <w:lang w:val="en-GB"/>
        </w:rPr>
        <w:t xml:space="preserve"> </w:t>
      </w:r>
      <w:proofErr w:type="gramStart"/>
      <w:r w:rsidRPr="002229EB">
        <w:rPr>
          <w:rStyle w:val="citation"/>
          <w:rFonts w:ascii="Calibri" w:hAnsi="Calibri"/>
          <w:sz w:val="24"/>
          <w:szCs w:val="24"/>
          <w:lang w:val="en-GB"/>
        </w:rPr>
        <w:t>Determining the number of factors to retain in an exploratory factor analysis using comparison data of known factorial structure.</w:t>
      </w:r>
      <w:proofErr w:type="gramEnd"/>
      <w:r w:rsidRPr="002229EB">
        <w:rPr>
          <w:rStyle w:val="citation"/>
          <w:rFonts w:ascii="Calibri" w:hAnsi="Calibri"/>
          <w:sz w:val="24"/>
          <w:szCs w:val="24"/>
          <w:lang w:val="en-GB"/>
        </w:rPr>
        <w:t xml:space="preserve"> </w:t>
      </w:r>
      <w:r w:rsidRPr="002229EB">
        <w:rPr>
          <w:rStyle w:val="citation"/>
          <w:rFonts w:ascii="Calibri" w:hAnsi="Calibri"/>
          <w:i/>
          <w:iCs/>
          <w:sz w:val="24"/>
          <w:szCs w:val="24"/>
          <w:lang w:val="en-GB"/>
        </w:rPr>
        <w:t>Psychological Assessment</w:t>
      </w:r>
      <w:r w:rsidRPr="002229EB">
        <w:rPr>
          <w:rStyle w:val="citation"/>
          <w:rFonts w:ascii="Calibri" w:hAnsi="Calibri"/>
          <w:iCs/>
          <w:sz w:val="24"/>
          <w:szCs w:val="24"/>
          <w:lang w:val="en-GB"/>
        </w:rPr>
        <w:t>,</w:t>
      </w:r>
      <w:r w:rsidRPr="002229EB">
        <w:rPr>
          <w:rStyle w:val="citation"/>
          <w:rFonts w:ascii="Calibri" w:hAnsi="Calibri"/>
          <w:sz w:val="24"/>
          <w:szCs w:val="24"/>
          <w:lang w:val="en-GB"/>
        </w:rPr>
        <w:t xml:space="preserve"> </w:t>
      </w:r>
      <w:r w:rsidRPr="002229EB">
        <w:rPr>
          <w:rStyle w:val="citation"/>
          <w:rFonts w:ascii="Calibri" w:hAnsi="Calibri"/>
          <w:bCs/>
          <w:sz w:val="24"/>
          <w:szCs w:val="24"/>
          <w:lang w:val="en-GB"/>
        </w:rPr>
        <w:t>24</w:t>
      </w:r>
      <w:r w:rsidRPr="002229EB">
        <w:rPr>
          <w:rStyle w:val="citation"/>
          <w:rFonts w:ascii="Calibri" w:hAnsi="Calibri"/>
          <w:sz w:val="24"/>
          <w:szCs w:val="24"/>
          <w:lang w:val="en-GB"/>
        </w:rPr>
        <w:t>, 282–292.</w:t>
      </w:r>
    </w:p>
    <w:p w:rsidR="00595190" w:rsidRPr="002229EB" w:rsidRDefault="00595190" w:rsidP="00595190">
      <w:pPr>
        <w:widowControl/>
        <w:wordWrap/>
        <w:autoSpaceDE/>
        <w:autoSpaceDN/>
        <w:spacing w:line="276" w:lineRule="auto"/>
        <w:ind w:left="426" w:hanging="426"/>
        <w:jc w:val="left"/>
        <w:rPr>
          <w:rStyle w:val="citation"/>
          <w:rFonts w:ascii="Calibri" w:hAnsi="Calibri"/>
          <w:sz w:val="24"/>
          <w:szCs w:val="24"/>
          <w:lang w:val="en-GB"/>
        </w:rPr>
      </w:pPr>
      <w:proofErr w:type="gramStart"/>
      <w:r w:rsidRPr="002229EB">
        <w:rPr>
          <w:rFonts w:ascii="Calibri" w:hAnsi="Calibri" w:cs="Arial"/>
          <w:sz w:val="24"/>
          <w:szCs w:val="24"/>
          <w:lang w:val="en-GB"/>
        </w:rPr>
        <w:t xml:space="preserve">Quinn, J., Thomas, L., Slack, K., Casey, L., </w:t>
      </w:r>
      <w:proofErr w:type="spellStart"/>
      <w:r w:rsidRPr="002229EB">
        <w:rPr>
          <w:rFonts w:ascii="Calibri" w:hAnsi="Calibri" w:cs="Arial"/>
          <w:sz w:val="24"/>
          <w:szCs w:val="24"/>
          <w:lang w:val="en-GB"/>
        </w:rPr>
        <w:t>Thexton</w:t>
      </w:r>
      <w:proofErr w:type="spellEnd"/>
      <w:r w:rsidRPr="002229EB">
        <w:rPr>
          <w:rFonts w:ascii="Calibri" w:hAnsi="Calibri" w:cs="Arial"/>
          <w:sz w:val="24"/>
          <w:szCs w:val="24"/>
          <w:lang w:val="en-GB"/>
        </w:rPr>
        <w:t>, W. &amp; Noble, J. (2005).</w:t>
      </w:r>
      <w:proofErr w:type="gramEnd"/>
      <w:r w:rsidRPr="002229EB">
        <w:rPr>
          <w:rFonts w:ascii="Calibri" w:hAnsi="Calibri" w:cs="Arial"/>
          <w:sz w:val="24"/>
          <w:szCs w:val="24"/>
          <w:lang w:val="en-GB"/>
        </w:rPr>
        <w:t xml:space="preserve"> </w:t>
      </w:r>
      <w:proofErr w:type="gramStart"/>
      <w:r w:rsidRPr="002229EB">
        <w:rPr>
          <w:rFonts w:ascii="Calibri" w:hAnsi="Calibri" w:cs="Arial"/>
          <w:i/>
          <w:sz w:val="24"/>
          <w:szCs w:val="24"/>
          <w:lang w:val="en-GB"/>
        </w:rPr>
        <w:t>From life crisis to lifelong learning: rethinking working-class ‘drop out’ from higher education.</w:t>
      </w:r>
      <w:proofErr w:type="gramEnd"/>
      <w:r w:rsidRPr="002229EB">
        <w:rPr>
          <w:rFonts w:ascii="Calibri" w:hAnsi="Calibri" w:cs="Arial"/>
          <w:sz w:val="24"/>
          <w:szCs w:val="24"/>
          <w:lang w:val="en-GB"/>
        </w:rPr>
        <w:t xml:space="preserve"> York: Joseph Rowntree Foundation.</w:t>
      </w:r>
    </w:p>
    <w:p w:rsidR="00B9372E" w:rsidRPr="002229EB" w:rsidRDefault="00B04E47" w:rsidP="00B97F87">
      <w:pPr>
        <w:widowControl/>
        <w:wordWrap/>
        <w:autoSpaceDE/>
        <w:autoSpaceDN/>
        <w:spacing w:line="276" w:lineRule="auto"/>
        <w:ind w:left="426" w:hanging="426"/>
        <w:jc w:val="left"/>
        <w:rPr>
          <w:rFonts w:ascii="Calibri" w:hAnsi="Calibri" w:cs="Arial"/>
          <w:color w:val="000000"/>
          <w:kern w:val="0"/>
          <w:sz w:val="24"/>
          <w:szCs w:val="24"/>
          <w:lang w:val="en-GB" w:eastAsia="en-GB"/>
        </w:rPr>
      </w:pPr>
      <w:r w:rsidRPr="002229EB">
        <w:rPr>
          <w:rFonts w:ascii="Calibri" w:hAnsi="Calibri" w:cs="Arial"/>
          <w:sz w:val="24"/>
          <w:szCs w:val="24"/>
          <w:lang w:val="en-GB"/>
        </w:rPr>
        <w:t>Scott, A., Lewis, A. &amp; Lea, S. (</w:t>
      </w:r>
      <w:proofErr w:type="spellStart"/>
      <w:proofErr w:type="gramStart"/>
      <w:r w:rsidRPr="002229EB">
        <w:rPr>
          <w:rFonts w:ascii="Calibri" w:hAnsi="Calibri" w:cs="Arial"/>
          <w:sz w:val="24"/>
          <w:szCs w:val="24"/>
          <w:lang w:val="en-GB"/>
        </w:rPr>
        <w:t>eds</w:t>
      </w:r>
      <w:proofErr w:type="spellEnd"/>
      <w:proofErr w:type="gramEnd"/>
      <w:r w:rsidRPr="002229EB">
        <w:rPr>
          <w:rFonts w:ascii="Calibri" w:hAnsi="Calibri" w:cs="Arial"/>
          <w:sz w:val="24"/>
          <w:szCs w:val="24"/>
          <w:lang w:val="en-GB"/>
        </w:rPr>
        <w:t xml:space="preserve">) (2001). </w:t>
      </w:r>
      <w:r w:rsidRPr="002229EB">
        <w:rPr>
          <w:rFonts w:ascii="Calibri" w:hAnsi="Calibri" w:cs="Arial"/>
          <w:i/>
          <w:sz w:val="24"/>
          <w:szCs w:val="24"/>
          <w:lang w:val="en-GB"/>
        </w:rPr>
        <w:t xml:space="preserve">Student debt: the causes and consequences of undergraduate borrowing in the UK.  </w:t>
      </w:r>
      <w:r w:rsidRPr="002229EB">
        <w:rPr>
          <w:rFonts w:ascii="Calibri" w:hAnsi="Calibri" w:cs="Arial"/>
          <w:sz w:val="24"/>
          <w:szCs w:val="24"/>
          <w:lang w:val="en-GB"/>
        </w:rPr>
        <w:t>Bristol: Policy Press.</w:t>
      </w:r>
    </w:p>
    <w:p w:rsidR="00B72ACA" w:rsidRPr="002229EB" w:rsidRDefault="00795851" w:rsidP="00B72ACA">
      <w:pPr>
        <w:widowControl/>
        <w:wordWrap/>
        <w:autoSpaceDE/>
        <w:autoSpaceDN/>
        <w:spacing w:line="276" w:lineRule="auto"/>
        <w:ind w:left="426" w:hanging="426"/>
        <w:jc w:val="left"/>
        <w:rPr>
          <w:rFonts w:ascii="Calibri" w:hAnsi="Calibri" w:cs="Arial"/>
          <w:color w:val="000000"/>
          <w:kern w:val="0"/>
          <w:sz w:val="24"/>
          <w:szCs w:val="24"/>
          <w:lang w:val="en-GB" w:eastAsia="en-GB"/>
        </w:rPr>
      </w:pPr>
      <w:r w:rsidRPr="002229EB">
        <w:rPr>
          <w:rFonts w:ascii="Calibri" w:hAnsi="Calibri" w:cs="Arial"/>
          <w:color w:val="000000"/>
          <w:kern w:val="0"/>
          <w:sz w:val="24"/>
          <w:szCs w:val="24"/>
          <w:lang w:val="en-GB" w:eastAsia="en-GB"/>
        </w:rPr>
        <w:t xml:space="preserve">Usher, A. (2005). </w:t>
      </w:r>
      <w:r w:rsidRPr="002229EB">
        <w:rPr>
          <w:rFonts w:ascii="Calibri" w:hAnsi="Calibri" w:cs="Arial"/>
          <w:i/>
          <w:color w:val="000000"/>
          <w:kern w:val="0"/>
          <w:sz w:val="24"/>
          <w:szCs w:val="24"/>
          <w:lang w:val="en-GB" w:eastAsia="en-GB"/>
        </w:rPr>
        <w:t>Global debt patterns: an international comparison of student loan burdens and repayment conditions</w:t>
      </w:r>
      <w:r w:rsidRPr="002229EB">
        <w:rPr>
          <w:rFonts w:ascii="Calibri" w:hAnsi="Calibri" w:cs="Arial"/>
          <w:color w:val="000000"/>
          <w:kern w:val="0"/>
          <w:sz w:val="24"/>
          <w:szCs w:val="24"/>
          <w:lang w:val="en-GB" w:eastAsia="en-GB"/>
        </w:rPr>
        <w:t>.  Toronto: Educational Policy Institute.</w:t>
      </w:r>
    </w:p>
    <w:p w:rsidR="00B72ACA" w:rsidRPr="002229EB" w:rsidRDefault="00B72ACA" w:rsidP="00AE6DDC">
      <w:pPr>
        <w:widowControl/>
        <w:wordWrap/>
        <w:autoSpaceDE/>
        <w:autoSpaceDN/>
        <w:spacing w:line="276" w:lineRule="auto"/>
        <w:ind w:left="426" w:hanging="426"/>
        <w:jc w:val="left"/>
        <w:rPr>
          <w:rFonts w:ascii="Calibri" w:hAnsi="Calibri" w:cs="Arial"/>
          <w:color w:val="000000"/>
          <w:kern w:val="0"/>
          <w:sz w:val="24"/>
          <w:szCs w:val="24"/>
          <w:lang w:val="en-GB" w:eastAsia="en-GB"/>
        </w:rPr>
      </w:pPr>
      <w:r w:rsidRPr="002229EB">
        <w:rPr>
          <w:rFonts w:ascii="Calibri" w:hAnsi="Calibri" w:cs="Arial"/>
          <w:color w:val="000000"/>
          <w:kern w:val="0"/>
          <w:sz w:val="24"/>
          <w:szCs w:val="24"/>
          <w:lang w:val="en-GB" w:eastAsia="en-GB"/>
        </w:rPr>
        <w:t xml:space="preserve">Walker, I. &amp; Zhu, Y. (2011) </w:t>
      </w:r>
      <w:r w:rsidRPr="002229EB">
        <w:rPr>
          <w:rFonts w:ascii="Calibri" w:hAnsi="Calibri"/>
          <w:sz w:val="24"/>
          <w:szCs w:val="24"/>
          <w:lang w:val="en-GB"/>
        </w:rPr>
        <w:t>Differences by degree: Evidence of the net financial rates of return to undergraduate study for England and Wales</w:t>
      </w:r>
      <w:r w:rsidR="00AE6DDC" w:rsidRPr="002229EB">
        <w:rPr>
          <w:rFonts w:ascii="Calibri" w:hAnsi="Calibri"/>
          <w:sz w:val="24"/>
          <w:szCs w:val="24"/>
          <w:lang w:val="en-GB"/>
        </w:rPr>
        <w:t xml:space="preserve">. </w:t>
      </w:r>
      <w:r w:rsidR="00AE6DDC" w:rsidRPr="002229EB">
        <w:rPr>
          <w:rFonts w:ascii="Calibri" w:hAnsi="Calibri"/>
          <w:i/>
          <w:sz w:val="24"/>
          <w:szCs w:val="24"/>
          <w:lang w:val="en-GB"/>
        </w:rPr>
        <w:t>Economics of Education Review</w:t>
      </w:r>
      <w:r w:rsidR="00AE6DDC" w:rsidRPr="002229EB">
        <w:rPr>
          <w:rFonts w:ascii="Calibri" w:hAnsi="Calibri"/>
          <w:sz w:val="24"/>
          <w:szCs w:val="24"/>
          <w:lang w:val="en-GB"/>
        </w:rPr>
        <w:t>, 30, 1177-1186.</w:t>
      </w:r>
    </w:p>
    <w:p w:rsidR="00772033" w:rsidRPr="002B695B" w:rsidRDefault="00B9372E" w:rsidP="002B695B">
      <w:pPr>
        <w:widowControl/>
        <w:wordWrap/>
        <w:autoSpaceDE/>
        <w:autoSpaceDN/>
        <w:spacing w:line="276" w:lineRule="auto"/>
        <w:ind w:left="426" w:hanging="426"/>
        <w:jc w:val="left"/>
        <w:rPr>
          <w:rFonts w:ascii="Calibri" w:hAnsi="Calibri" w:cs="Arial"/>
          <w:sz w:val="24"/>
          <w:szCs w:val="24"/>
          <w:lang w:val="en-GB"/>
        </w:rPr>
        <w:sectPr w:rsidR="00772033" w:rsidRPr="002B695B" w:rsidSect="002B695B">
          <w:pgSz w:w="11906" w:h="16838" w:code="9"/>
          <w:pgMar w:top="1134" w:right="1134" w:bottom="1134" w:left="1134" w:header="851" w:footer="992" w:gutter="0"/>
          <w:cols w:space="720"/>
          <w:docGrid w:linePitch="360" w:charSpace="200"/>
        </w:sectPr>
      </w:pPr>
      <w:proofErr w:type="gramStart"/>
      <w:r w:rsidRPr="002229EB">
        <w:rPr>
          <w:rFonts w:ascii="Calibri" w:hAnsi="Calibri" w:cs="Arial"/>
          <w:sz w:val="24"/>
          <w:szCs w:val="24"/>
          <w:lang w:val="en-GB"/>
        </w:rPr>
        <w:t xml:space="preserve">Wilkins, S., Shams, F. &amp; </w:t>
      </w:r>
      <w:proofErr w:type="spellStart"/>
      <w:r w:rsidRPr="002229EB">
        <w:rPr>
          <w:rFonts w:ascii="Calibri" w:hAnsi="Calibri" w:cs="Arial"/>
          <w:sz w:val="24"/>
          <w:szCs w:val="24"/>
          <w:lang w:val="en-GB"/>
        </w:rPr>
        <w:t>Huisman</w:t>
      </w:r>
      <w:proofErr w:type="spellEnd"/>
      <w:r w:rsidRPr="002229EB">
        <w:rPr>
          <w:rFonts w:ascii="Calibri" w:hAnsi="Calibri" w:cs="Arial"/>
          <w:sz w:val="24"/>
          <w:szCs w:val="24"/>
          <w:lang w:val="en-GB"/>
        </w:rPr>
        <w:t>, J. (2013).</w:t>
      </w:r>
      <w:proofErr w:type="gramEnd"/>
      <w:r w:rsidRPr="002229EB">
        <w:rPr>
          <w:rFonts w:ascii="Calibri" w:hAnsi="Calibri" w:cs="Arial"/>
          <w:sz w:val="24"/>
          <w:szCs w:val="24"/>
          <w:lang w:val="en-GB"/>
        </w:rPr>
        <w:t xml:space="preserve"> </w:t>
      </w:r>
      <w:r w:rsidRPr="002229EB">
        <w:rPr>
          <w:rFonts w:ascii="Calibri" w:hAnsi="Calibri"/>
          <w:sz w:val="24"/>
          <w:szCs w:val="24"/>
          <w:lang w:val="en-GB"/>
        </w:rPr>
        <w:t xml:space="preserve">The decision-making and changing behavioural dynamics of potential higher education students: the impacts of increasing tuition fees in England. </w:t>
      </w:r>
      <w:r w:rsidRPr="002229EB">
        <w:rPr>
          <w:rFonts w:ascii="Calibri" w:hAnsi="Calibri"/>
          <w:i/>
          <w:sz w:val="24"/>
          <w:szCs w:val="24"/>
          <w:lang w:val="en-GB"/>
        </w:rPr>
        <w:t>Educational Studies</w:t>
      </w:r>
      <w:r w:rsidRPr="002229EB">
        <w:rPr>
          <w:rFonts w:ascii="Calibri" w:hAnsi="Calibri"/>
          <w:sz w:val="24"/>
          <w:szCs w:val="24"/>
          <w:lang w:val="en-GB"/>
        </w:rPr>
        <w:t>, 39, 125-141.</w:t>
      </w:r>
    </w:p>
    <w:p w:rsidR="00772033" w:rsidRDefault="002B695B" w:rsidP="002B695B">
      <w:pPr>
        <w:widowControl/>
        <w:wordWrap/>
        <w:autoSpaceDE/>
        <w:autoSpaceDN/>
        <w:jc w:val="left"/>
        <w:rPr>
          <w:rFonts w:ascii="Calibri" w:eastAsia="Tahoma" w:hAnsi="Calibri"/>
          <w:b/>
          <w:i/>
          <w:sz w:val="24"/>
          <w:szCs w:val="24"/>
          <w:lang w:val="en-GB"/>
        </w:rPr>
      </w:pPr>
      <w:r w:rsidRPr="002B695B">
        <w:rPr>
          <w:rFonts w:ascii="Calibri" w:eastAsia="Tahoma" w:hAnsi="Calibri"/>
          <w:b/>
          <w:i/>
          <w:kern w:val="0"/>
          <w:sz w:val="24"/>
          <w:szCs w:val="24"/>
          <w:lang w:val="en-GB" w:eastAsia="en-GB"/>
        </w:rPr>
        <w:lastRenderedPageBreak/>
        <w:t>Appendix A: F</w:t>
      </w:r>
      <w:r w:rsidRPr="002B695B">
        <w:rPr>
          <w:rFonts w:ascii="Calibri" w:eastAsia="Tahoma" w:hAnsi="Calibri"/>
          <w:b/>
          <w:i/>
          <w:sz w:val="24"/>
          <w:szCs w:val="24"/>
          <w:lang w:val="en-GB"/>
        </w:rPr>
        <w:t>actor</w:t>
      </w:r>
      <w:r w:rsidR="00772033" w:rsidRPr="002B695B">
        <w:rPr>
          <w:rFonts w:ascii="Calibri" w:eastAsia="Tahoma" w:hAnsi="Calibri"/>
          <w:b/>
          <w:i/>
          <w:sz w:val="24"/>
          <w:szCs w:val="24"/>
          <w:lang w:val="en-GB"/>
        </w:rPr>
        <w:t xml:space="preserve"> loadings for four-factor model</w:t>
      </w:r>
    </w:p>
    <w:p w:rsidR="002B695B" w:rsidRPr="002B695B" w:rsidRDefault="002B695B" w:rsidP="002B695B">
      <w:pPr>
        <w:widowControl/>
        <w:wordWrap/>
        <w:autoSpaceDE/>
        <w:autoSpaceDN/>
        <w:jc w:val="left"/>
        <w:rPr>
          <w:rFonts w:ascii="Calibri" w:eastAsia="Tahoma" w:hAnsi="Calibri"/>
          <w:b/>
          <w:i/>
          <w:kern w:val="0"/>
          <w:sz w:val="24"/>
          <w:szCs w:val="24"/>
          <w:lang w:val="en-GB" w:eastAsia="en-GB"/>
        </w:rPr>
      </w:pPr>
    </w:p>
    <w:tbl>
      <w:tblPr>
        <w:tblStyle w:val="TableGrid"/>
        <w:tblW w:w="12616" w:type="dxa"/>
        <w:tblInd w:w="108" w:type="dxa"/>
        <w:tblLayout w:type="fixed"/>
        <w:tblLook w:val="04A0" w:firstRow="1" w:lastRow="0" w:firstColumn="1" w:lastColumn="0" w:noHBand="0" w:noVBand="1"/>
      </w:tblPr>
      <w:tblGrid>
        <w:gridCol w:w="8222"/>
        <w:gridCol w:w="1098"/>
        <w:gridCol w:w="1099"/>
        <w:gridCol w:w="1098"/>
        <w:gridCol w:w="1099"/>
      </w:tblGrid>
      <w:tr w:rsidR="00437766" w:rsidRPr="002229EB" w:rsidTr="0044588A">
        <w:tc>
          <w:tcPr>
            <w:tcW w:w="8222" w:type="dxa"/>
            <w:tcBorders>
              <w:top w:val="single" w:sz="4" w:space="0" w:color="auto"/>
              <w:left w:val="nil"/>
              <w:bottom w:val="double" w:sz="4" w:space="0" w:color="auto"/>
              <w:right w:val="nil"/>
            </w:tcBorders>
          </w:tcPr>
          <w:p w:rsidR="00437766" w:rsidRPr="002229EB" w:rsidRDefault="00437766" w:rsidP="007E7D9B">
            <w:pPr>
              <w:wordWrap/>
              <w:spacing w:line="276" w:lineRule="auto"/>
              <w:jc w:val="left"/>
              <w:rPr>
                <w:rFonts w:ascii="Calibri" w:hAnsi="Calibri"/>
                <w:szCs w:val="24"/>
                <w:lang w:val="en-GB"/>
              </w:rPr>
            </w:pPr>
          </w:p>
        </w:tc>
        <w:tc>
          <w:tcPr>
            <w:tcW w:w="1098" w:type="dxa"/>
            <w:tcBorders>
              <w:top w:val="single" w:sz="4" w:space="0" w:color="auto"/>
              <w:left w:val="nil"/>
              <w:bottom w:val="double" w:sz="4" w:space="0" w:color="auto"/>
              <w:right w:val="nil"/>
            </w:tcBorders>
          </w:tcPr>
          <w:p w:rsidR="00437766" w:rsidRPr="002229EB" w:rsidRDefault="00437766" w:rsidP="007E7D9B">
            <w:pPr>
              <w:wordWrap/>
              <w:spacing w:line="276" w:lineRule="auto"/>
              <w:jc w:val="center"/>
              <w:rPr>
                <w:rFonts w:ascii="Calibri" w:hAnsi="Calibri"/>
                <w:b/>
                <w:sz w:val="24"/>
                <w:szCs w:val="24"/>
                <w:lang w:val="en-GB"/>
              </w:rPr>
            </w:pPr>
            <w:r w:rsidRPr="002229EB">
              <w:rPr>
                <w:rFonts w:ascii="Calibri" w:hAnsi="Calibri"/>
                <w:b/>
                <w:sz w:val="24"/>
                <w:szCs w:val="24"/>
                <w:lang w:val="en-GB"/>
              </w:rPr>
              <w:t>F1</w:t>
            </w:r>
          </w:p>
        </w:tc>
        <w:tc>
          <w:tcPr>
            <w:tcW w:w="1099" w:type="dxa"/>
            <w:tcBorders>
              <w:top w:val="single" w:sz="4" w:space="0" w:color="auto"/>
              <w:left w:val="nil"/>
              <w:bottom w:val="double" w:sz="4" w:space="0" w:color="auto"/>
              <w:right w:val="nil"/>
            </w:tcBorders>
          </w:tcPr>
          <w:p w:rsidR="00437766" w:rsidRPr="002229EB" w:rsidRDefault="00437766" w:rsidP="007E7D9B">
            <w:pPr>
              <w:wordWrap/>
              <w:spacing w:line="276" w:lineRule="auto"/>
              <w:jc w:val="center"/>
              <w:rPr>
                <w:rFonts w:ascii="Calibri" w:hAnsi="Calibri"/>
                <w:b/>
                <w:sz w:val="24"/>
                <w:szCs w:val="24"/>
                <w:lang w:val="en-GB"/>
              </w:rPr>
            </w:pPr>
            <w:r w:rsidRPr="002229EB">
              <w:rPr>
                <w:rFonts w:ascii="Calibri" w:hAnsi="Calibri"/>
                <w:b/>
                <w:sz w:val="24"/>
                <w:szCs w:val="24"/>
                <w:lang w:val="en-GB"/>
              </w:rPr>
              <w:t>F2</w:t>
            </w:r>
          </w:p>
        </w:tc>
        <w:tc>
          <w:tcPr>
            <w:tcW w:w="1098" w:type="dxa"/>
            <w:tcBorders>
              <w:top w:val="single" w:sz="4" w:space="0" w:color="auto"/>
              <w:left w:val="nil"/>
              <w:bottom w:val="double" w:sz="4" w:space="0" w:color="auto"/>
              <w:right w:val="nil"/>
            </w:tcBorders>
          </w:tcPr>
          <w:p w:rsidR="00437766" w:rsidRPr="002229EB" w:rsidRDefault="00437766" w:rsidP="007E7D9B">
            <w:pPr>
              <w:wordWrap/>
              <w:spacing w:line="276" w:lineRule="auto"/>
              <w:jc w:val="center"/>
              <w:rPr>
                <w:rFonts w:ascii="Calibri" w:hAnsi="Calibri"/>
                <w:b/>
                <w:sz w:val="24"/>
                <w:szCs w:val="24"/>
                <w:lang w:val="en-GB"/>
              </w:rPr>
            </w:pPr>
            <w:r w:rsidRPr="002229EB">
              <w:rPr>
                <w:rFonts w:ascii="Calibri" w:hAnsi="Calibri"/>
                <w:b/>
                <w:sz w:val="24"/>
                <w:szCs w:val="24"/>
                <w:lang w:val="en-GB"/>
              </w:rPr>
              <w:t>F3</w:t>
            </w:r>
          </w:p>
        </w:tc>
        <w:tc>
          <w:tcPr>
            <w:tcW w:w="1099" w:type="dxa"/>
            <w:tcBorders>
              <w:top w:val="single" w:sz="4" w:space="0" w:color="auto"/>
              <w:left w:val="nil"/>
              <w:bottom w:val="double" w:sz="4" w:space="0" w:color="auto"/>
              <w:right w:val="nil"/>
            </w:tcBorders>
          </w:tcPr>
          <w:p w:rsidR="00437766" w:rsidRPr="002229EB" w:rsidRDefault="00437766" w:rsidP="007E7D9B">
            <w:pPr>
              <w:wordWrap/>
              <w:spacing w:line="276" w:lineRule="auto"/>
              <w:jc w:val="center"/>
              <w:rPr>
                <w:rFonts w:ascii="Calibri" w:hAnsi="Calibri"/>
                <w:b/>
                <w:sz w:val="24"/>
                <w:szCs w:val="24"/>
                <w:lang w:val="en-GB"/>
              </w:rPr>
            </w:pPr>
            <w:r w:rsidRPr="002229EB">
              <w:rPr>
                <w:rFonts w:ascii="Calibri" w:hAnsi="Calibri"/>
                <w:b/>
                <w:sz w:val="24"/>
                <w:szCs w:val="24"/>
                <w:lang w:val="en-GB"/>
              </w:rPr>
              <w:t>F4</w:t>
            </w:r>
          </w:p>
        </w:tc>
      </w:tr>
      <w:tr w:rsidR="00437766" w:rsidRPr="002229EB" w:rsidTr="0044588A">
        <w:tc>
          <w:tcPr>
            <w:tcW w:w="8222" w:type="dxa"/>
            <w:tcBorders>
              <w:top w:val="double" w:sz="4" w:space="0" w:color="auto"/>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I sometimes can't sleep because I worry about how much debt I am in</w:t>
            </w:r>
          </w:p>
        </w:tc>
        <w:tc>
          <w:tcPr>
            <w:tcW w:w="1098" w:type="dxa"/>
            <w:tcBorders>
              <w:top w:val="double" w:sz="4" w:space="0" w:color="auto"/>
              <w:left w:val="nil"/>
              <w:right w:val="nil"/>
            </w:tcBorders>
          </w:tcPr>
          <w:p w:rsidR="00437766" w:rsidRPr="002229EB" w:rsidRDefault="00437766" w:rsidP="007E7D9B">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.783</w:t>
            </w:r>
          </w:p>
        </w:tc>
        <w:tc>
          <w:tcPr>
            <w:tcW w:w="1099" w:type="dxa"/>
            <w:tcBorders>
              <w:top w:val="double" w:sz="4" w:space="0" w:color="auto"/>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-.094</w:t>
            </w:r>
          </w:p>
        </w:tc>
        <w:tc>
          <w:tcPr>
            <w:tcW w:w="1098" w:type="dxa"/>
            <w:tcBorders>
              <w:top w:val="double" w:sz="4" w:space="0" w:color="auto"/>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.007</w:t>
            </w:r>
          </w:p>
        </w:tc>
        <w:tc>
          <w:tcPr>
            <w:tcW w:w="1099" w:type="dxa"/>
            <w:tcBorders>
              <w:top w:val="double" w:sz="4" w:space="0" w:color="auto"/>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.003</w:t>
            </w:r>
          </w:p>
        </w:tc>
      </w:tr>
      <w:tr w:rsidR="00437766" w:rsidRPr="002229EB" w:rsidTr="0044588A">
        <w:tc>
          <w:tcPr>
            <w:tcW w:w="8222" w:type="dxa"/>
            <w:tcBorders>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I worry about debt to the point where it affects my grades</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.778</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-.130</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-.047</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-.026</w:t>
            </w:r>
          </w:p>
        </w:tc>
      </w:tr>
      <w:tr w:rsidR="00437766" w:rsidRPr="002229EB" w:rsidTr="0044588A">
        <w:tc>
          <w:tcPr>
            <w:tcW w:w="8222" w:type="dxa"/>
            <w:tcBorders>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I feel isolated by my student debt</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.750</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-.101</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.000</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-.048</w:t>
            </w:r>
          </w:p>
        </w:tc>
      </w:tr>
      <w:tr w:rsidR="00437766" w:rsidRPr="002229EB" w:rsidTr="0044588A">
        <w:tc>
          <w:tcPr>
            <w:tcW w:w="8222" w:type="dxa"/>
            <w:tcBorders>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I worry that the repayments on my debt will become unaffordable</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.690</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.045</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.006</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-.135</w:t>
            </w:r>
          </w:p>
        </w:tc>
      </w:tr>
      <w:tr w:rsidR="00437766" w:rsidRPr="002229EB" w:rsidTr="0044588A">
        <w:tc>
          <w:tcPr>
            <w:tcW w:w="8222" w:type="dxa"/>
            <w:tcBorders>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The debt I create as a student is an unfair start to my working life</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.526</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-.001</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-.077</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-.086</w:t>
            </w:r>
          </w:p>
        </w:tc>
      </w:tr>
      <w:tr w:rsidR="00437766" w:rsidRPr="002229EB" w:rsidTr="0044588A">
        <w:tc>
          <w:tcPr>
            <w:tcW w:w="8222" w:type="dxa"/>
            <w:tcBorders>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I use debt to pay for a good social life</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.082</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-.805</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.038</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.031</w:t>
            </w:r>
          </w:p>
        </w:tc>
      </w:tr>
      <w:tr w:rsidR="00437766" w:rsidRPr="002229EB" w:rsidTr="0044588A">
        <w:tc>
          <w:tcPr>
            <w:tcW w:w="8222" w:type="dxa"/>
            <w:tcBorders>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I use debt to pay for luxuries</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.096</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-.760</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-.004</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.042</w:t>
            </w:r>
          </w:p>
        </w:tc>
      </w:tr>
      <w:tr w:rsidR="00437766" w:rsidRPr="002229EB" w:rsidTr="0044588A">
        <w:tc>
          <w:tcPr>
            <w:tcW w:w="8222" w:type="dxa"/>
            <w:tcBorders>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I use debt so I don't miss out on 'normal' student experiences</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.200</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-.652</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.132</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-.021</w:t>
            </w:r>
          </w:p>
        </w:tc>
      </w:tr>
      <w:tr w:rsidR="00437766" w:rsidRPr="002229EB" w:rsidTr="0044588A">
        <w:tc>
          <w:tcPr>
            <w:tcW w:w="8222" w:type="dxa"/>
            <w:tcBorders>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I minimize my spending to minimize my debt</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.357</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.449</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.013</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.177</w:t>
            </w:r>
          </w:p>
        </w:tc>
      </w:tr>
      <w:tr w:rsidR="00437766" w:rsidRPr="002229EB" w:rsidTr="0044588A">
        <w:tc>
          <w:tcPr>
            <w:tcW w:w="8222" w:type="dxa"/>
            <w:tcBorders>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Even though I am incurring debt now, it will be worth it in the future</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-.281</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.022</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.662</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.075</w:t>
            </w:r>
          </w:p>
        </w:tc>
      </w:tr>
      <w:tr w:rsidR="00437766" w:rsidRPr="002229EB" w:rsidTr="0044588A">
        <w:tc>
          <w:tcPr>
            <w:tcW w:w="8222" w:type="dxa"/>
            <w:tcBorders>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I have a greater chance of getting a job if I have a degree</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-.104</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.015</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.552</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.008</w:t>
            </w:r>
          </w:p>
        </w:tc>
      </w:tr>
      <w:tr w:rsidR="00437766" w:rsidRPr="002229EB" w:rsidTr="0044588A">
        <w:tc>
          <w:tcPr>
            <w:tcW w:w="8222" w:type="dxa"/>
            <w:tcBorders>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I expect to earn more in the future because I went to university</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-.138</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-.040</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.546</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-.051</w:t>
            </w:r>
          </w:p>
        </w:tc>
      </w:tr>
      <w:tr w:rsidR="00437766" w:rsidRPr="002229EB" w:rsidTr="0044588A">
        <w:tc>
          <w:tcPr>
            <w:tcW w:w="8222" w:type="dxa"/>
            <w:tcBorders>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Educational loan debt is a good investment for the future</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-.347</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-.064</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.445</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.088</w:t>
            </w:r>
          </w:p>
        </w:tc>
      </w:tr>
      <w:tr w:rsidR="00437766" w:rsidRPr="002229EB" w:rsidTr="0044588A">
        <w:tc>
          <w:tcPr>
            <w:tcW w:w="8222" w:type="dxa"/>
            <w:tcBorders>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The best use of my student debt is to pay for my university expenses</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.250</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.348</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.431</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.057</w:t>
            </w:r>
          </w:p>
        </w:tc>
      </w:tr>
      <w:tr w:rsidR="00437766" w:rsidRPr="002229EB" w:rsidTr="0044588A">
        <w:tc>
          <w:tcPr>
            <w:tcW w:w="8222" w:type="dxa"/>
            <w:tcBorders>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I will start to deal with my student debt once I leave university and get a job</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.101</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-.009</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.350</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.040</w:t>
            </w:r>
          </w:p>
        </w:tc>
      </w:tr>
      <w:tr w:rsidR="00437766" w:rsidRPr="002229EB" w:rsidTr="0044588A">
        <w:tc>
          <w:tcPr>
            <w:tcW w:w="8222" w:type="dxa"/>
            <w:tcBorders>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Debt is an expected outcome of attending university</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.153</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-.086</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.338</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-.009</w:t>
            </w:r>
          </w:p>
        </w:tc>
      </w:tr>
      <w:tr w:rsidR="00437766" w:rsidRPr="002229EB" w:rsidTr="0044588A">
        <w:tc>
          <w:tcPr>
            <w:tcW w:w="8222" w:type="dxa"/>
            <w:tcBorders>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I feel I have a good understanding of how student loans work</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-.037</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-.170</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-.070</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.872</w:t>
            </w:r>
          </w:p>
        </w:tc>
      </w:tr>
      <w:tr w:rsidR="00437766" w:rsidRPr="002229EB" w:rsidTr="0044588A">
        <w:tc>
          <w:tcPr>
            <w:tcW w:w="8222" w:type="dxa"/>
            <w:tcBorders>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I know about the repayment terms for my student loan</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-.097</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-.012</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-.093</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.780</w:t>
            </w:r>
          </w:p>
        </w:tc>
      </w:tr>
      <w:tr w:rsidR="00437766" w:rsidRPr="002229EB" w:rsidTr="0044588A">
        <w:tc>
          <w:tcPr>
            <w:tcW w:w="8222" w:type="dxa"/>
            <w:tcBorders>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I have a good idea about how much student loan debt I am incurring</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-.008</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.010</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.082</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b/>
                <w:color w:val="000000"/>
                <w:sz w:val="24"/>
                <w:szCs w:val="24"/>
                <w:lang w:val="en-GB"/>
              </w:rPr>
            </w:pPr>
            <w:r w:rsidRPr="002229EB">
              <w:rPr>
                <w:rFonts w:ascii="Calibri" w:hAnsi="Calibri" w:cs="Arial"/>
                <w:b/>
                <w:color w:val="000000"/>
                <w:sz w:val="24"/>
                <w:szCs w:val="24"/>
                <w:lang w:val="en-GB"/>
              </w:rPr>
              <w:t>.598</w:t>
            </w:r>
          </w:p>
        </w:tc>
      </w:tr>
      <w:tr w:rsidR="00437766" w:rsidRPr="002229EB" w:rsidTr="0044588A">
        <w:tc>
          <w:tcPr>
            <w:tcW w:w="8222" w:type="dxa"/>
            <w:tcBorders>
              <w:left w:val="nil"/>
              <w:right w:val="nil"/>
            </w:tcBorders>
          </w:tcPr>
          <w:p w:rsidR="00437766" w:rsidRPr="002229EB" w:rsidRDefault="00437766" w:rsidP="007E7D9B">
            <w:pPr>
              <w:wordWrap/>
              <w:spacing w:line="276" w:lineRule="auto"/>
              <w:jc w:val="left"/>
              <w:rPr>
                <w:rFonts w:ascii="Calibri" w:hAnsi="Calibri"/>
                <w:sz w:val="24"/>
                <w:szCs w:val="18"/>
                <w:lang w:val="en-GB"/>
              </w:rPr>
            </w:pPr>
            <w:r w:rsidRPr="002229EB">
              <w:rPr>
                <w:rFonts w:ascii="Calibri" w:hAnsi="Calibri"/>
                <w:sz w:val="24"/>
                <w:szCs w:val="18"/>
                <w:lang w:val="en-GB"/>
              </w:rPr>
              <w:t>I have a good idea about how much credit card and overdraft debt I am incurring</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.009</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.128</w:t>
            </w:r>
          </w:p>
        </w:tc>
        <w:tc>
          <w:tcPr>
            <w:tcW w:w="1098"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.060</w:t>
            </w:r>
          </w:p>
        </w:tc>
        <w:tc>
          <w:tcPr>
            <w:tcW w:w="1099" w:type="dxa"/>
            <w:tcBorders>
              <w:left w:val="nil"/>
              <w:right w:val="nil"/>
            </w:tcBorders>
          </w:tcPr>
          <w:p w:rsidR="00437766" w:rsidRPr="002229EB" w:rsidRDefault="00437766" w:rsidP="007E7D9B">
            <w:pPr>
              <w:wordWrap/>
              <w:spacing w:line="276" w:lineRule="auto"/>
              <w:jc w:val="center"/>
              <w:rPr>
                <w:rFonts w:ascii="Calibri" w:hAnsi="Calibri" w:cs="Arial"/>
                <w:color w:val="000000"/>
                <w:sz w:val="24"/>
                <w:szCs w:val="24"/>
                <w:lang w:val="en-GB"/>
              </w:rPr>
            </w:pPr>
            <w:r w:rsidRPr="002229EB">
              <w:rPr>
                <w:rFonts w:ascii="Calibri" w:hAnsi="Calibri" w:cs="Arial"/>
                <w:color w:val="000000"/>
                <w:sz w:val="24"/>
                <w:szCs w:val="24"/>
                <w:lang w:val="en-GB"/>
              </w:rPr>
              <w:t>.367</w:t>
            </w:r>
          </w:p>
        </w:tc>
      </w:tr>
    </w:tbl>
    <w:p w:rsidR="00F9779B" w:rsidRPr="002229EB" w:rsidRDefault="00435436" w:rsidP="009C3AC7">
      <w:pPr>
        <w:pStyle w:val="ParaAttribute0"/>
        <w:wordWrap/>
        <w:spacing w:line="276" w:lineRule="auto"/>
        <w:rPr>
          <w:rFonts w:ascii="Calibri" w:eastAsia="Tahoma" w:hAnsi="Calibri"/>
          <w:sz w:val="24"/>
          <w:szCs w:val="24"/>
        </w:rPr>
      </w:pPr>
      <w:r w:rsidRPr="002229EB">
        <w:rPr>
          <w:rFonts w:ascii="Calibri" w:eastAsia="Tahoma" w:hAnsi="Calibri"/>
          <w:sz w:val="24"/>
          <w:szCs w:val="24"/>
        </w:rPr>
        <w:t>Loadings of over .400 are highlighted</w:t>
      </w:r>
    </w:p>
    <w:sectPr w:rsidR="00F9779B" w:rsidRPr="002229EB" w:rsidSect="002B695B">
      <w:pgSz w:w="16838" w:h="11906" w:orient="landscape" w:code="9"/>
      <w:pgMar w:top="1134" w:right="1134" w:bottom="1134" w:left="1134" w:header="851" w:footer="992" w:gutter="0"/>
      <w:cols w:space="720"/>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2A" w:rsidRDefault="003A352A" w:rsidP="00E0123B">
      <w:r>
        <w:separator/>
      </w:r>
    </w:p>
  </w:endnote>
  <w:endnote w:type="continuationSeparator" w:id="0">
    <w:p w:rsidR="003A352A" w:rsidRDefault="003A352A" w:rsidP="00E0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vOT40514f85">
    <w:panose1 w:val="00000000000000000000"/>
    <w:charset w:val="00"/>
    <w:family w:val="roman"/>
    <w:notTrueType/>
    <w:pitch w:val="default"/>
    <w:sig w:usb0="00000003" w:usb1="00000000" w:usb2="00000000" w:usb3="00000000" w:csb0="00000001" w:csb1="00000000"/>
  </w:font>
  <w:font w:name="SerifaStd-Ligh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DF3" w:rsidRPr="00C34DF3" w:rsidRDefault="00C34DF3" w:rsidP="00C34DF3">
    <w:pPr>
      <w:pStyle w:val="Footer"/>
    </w:pPr>
    <w:r w:rsidRPr="00C34DF3">
      <w:rPr>
        <w:lang w:val="en-GB"/>
      </w:rPr>
      <w:drawing>
        <wp:inline distT="0" distB="0" distL="0" distR="0" wp14:anchorId="0A81F0A5" wp14:editId="35F99E51">
          <wp:extent cx="838200" cy="295275"/>
          <wp:effectExtent l="0" t="0" r="0" b="9525"/>
          <wp:docPr id="1" name="Picture 1"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C34DF3">
      <w:t xml:space="preserve"> This work is licensed under the CC BY-NC-ND 4.0 International License. To view a copy of this license, visit http://creativecommons.org/licenses/by-nc-nd/4.0/. </w:t>
    </w:r>
  </w:p>
  <w:p w:rsidR="00C34DF3" w:rsidRDefault="00C34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2A" w:rsidRDefault="003A352A" w:rsidP="00E0123B">
      <w:r>
        <w:separator/>
      </w:r>
    </w:p>
  </w:footnote>
  <w:footnote w:type="continuationSeparator" w:id="0">
    <w:p w:rsidR="003A352A" w:rsidRDefault="003A352A" w:rsidP="00E0123B">
      <w:r>
        <w:continuationSeparator/>
      </w:r>
    </w:p>
  </w:footnote>
  <w:footnote w:id="1">
    <w:p w:rsidR="00072576" w:rsidRPr="00150793" w:rsidRDefault="00072576" w:rsidP="00150793">
      <w:pPr>
        <w:pStyle w:val="FootnoteText"/>
        <w:jc w:val="left"/>
        <w:rPr>
          <w:rFonts w:ascii="Calibri" w:hAnsi="Calibri"/>
          <w:lang w:val="en-GB"/>
        </w:rPr>
      </w:pPr>
      <w:r w:rsidRPr="00150793">
        <w:rPr>
          <w:rStyle w:val="FootnoteReference"/>
          <w:rFonts w:ascii="Calibri" w:hAnsi="Calibri"/>
        </w:rPr>
        <w:footnoteRef/>
      </w:r>
      <w:r w:rsidRPr="00150793">
        <w:rPr>
          <w:rFonts w:ascii="Calibri" w:hAnsi="Calibri"/>
        </w:rPr>
        <w:t xml:space="preserve"> </w:t>
      </w:r>
      <w:r w:rsidRPr="00150793">
        <w:rPr>
          <w:rFonts w:ascii="Calibri" w:hAnsi="Calibri"/>
          <w:lang w:val="en-GB"/>
        </w:rPr>
        <w:t xml:space="preserve">The constituent </w:t>
      </w:r>
      <w:r>
        <w:rPr>
          <w:rFonts w:ascii="Calibri" w:hAnsi="Calibri"/>
          <w:lang w:val="en-GB"/>
        </w:rPr>
        <w:t>nations within the United Kingdom have different student funding systems and levels of indebtedness.  The data in this paper and the references to social policy focus on England, which has the highest levels of average debt.  The English system is similar to those in Wales and Northern Ireland, while Scotland does not charge tuition fees and so average debt levels are much lower.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BB1"/>
    <w:multiLevelType w:val="hybridMultilevel"/>
    <w:tmpl w:val="F25EB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E030D0"/>
    <w:multiLevelType w:val="hybridMultilevel"/>
    <w:tmpl w:val="B992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8E6D1A"/>
    <w:multiLevelType w:val="hybridMultilevel"/>
    <w:tmpl w:val="A3601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9B30D4"/>
    <w:multiLevelType w:val="hybridMultilevel"/>
    <w:tmpl w:val="C568B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436625"/>
    <w:multiLevelType w:val="hybridMultilevel"/>
    <w:tmpl w:val="B0FA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771EF7"/>
    <w:multiLevelType w:val="hybridMultilevel"/>
    <w:tmpl w:val="6556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201"/>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3E"/>
    <w:rsid w:val="000169D6"/>
    <w:rsid w:val="00027A26"/>
    <w:rsid w:val="0003184F"/>
    <w:rsid w:val="000422E4"/>
    <w:rsid w:val="000425AC"/>
    <w:rsid w:val="00044B19"/>
    <w:rsid w:val="00045788"/>
    <w:rsid w:val="00072576"/>
    <w:rsid w:val="00076537"/>
    <w:rsid w:val="00076BA4"/>
    <w:rsid w:val="00097E83"/>
    <w:rsid w:val="000A0CDC"/>
    <w:rsid w:val="000A0F78"/>
    <w:rsid w:val="000A436F"/>
    <w:rsid w:val="000D2F40"/>
    <w:rsid w:val="000D778C"/>
    <w:rsid w:val="000F1867"/>
    <w:rsid w:val="001053AF"/>
    <w:rsid w:val="00150793"/>
    <w:rsid w:val="001573A9"/>
    <w:rsid w:val="00162098"/>
    <w:rsid w:val="00173561"/>
    <w:rsid w:val="00191815"/>
    <w:rsid w:val="001A240E"/>
    <w:rsid w:val="001A26D7"/>
    <w:rsid w:val="001B3668"/>
    <w:rsid w:val="001C230B"/>
    <w:rsid w:val="001C4872"/>
    <w:rsid w:val="001F2076"/>
    <w:rsid w:val="001F52DD"/>
    <w:rsid w:val="001F7E2A"/>
    <w:rsid w:val="00222323"/>
    <w:rsid w:val="002229EB"/>
    <w:rsid w:val="00253CB7"/>
    <w:rsid w:val="00254A21"/>
    <w:rsid w:val="0027327F"/>
    <w:rsid w:val="00285403"/>
    <w:rsid w:val="002A0FEC"/>
    <w:rsid w:val="002A439D"/>
    <w:rsid w:val="002B695B"/>
    <w:rsid w:val="002D5C35"/>
    <w:rsid w:val="002D778D"/>
    <w:rsid w:val="002E1836"/>
    <w:rsid w:val="002E3B68"/>
    <w:rsid w:val="0030561A"/>
    <w:rsid w:val="00305D9B"/>
    <w:rsid w:val="0037433B"/>
    <w:rsid w:val="00396715"/>
    <w:rsid w:val="003A352A"/>
    <w:rsid w:val="003A7C3E"/>
    <w:rsid w:val="003B7911"/>
    <w:rsid w:val="003C2E69"/>
    <w:rsid w:val="003D77C3"/>
    <w:rsid w:val="003F4C61"/>
    <w:rsid w:val="0040513C"/>
    <w:rsid w:val="00425A84"/>
    <w:rsid w:val="00426DF0"/>
    <w:rsid w:val="00435436"/>
    <w:rsid w:val="00437766"/>
    <w:rsid w:val="004406B1"/>
    <w:rsid w:val="00444ADD"/>
    <w:rsid w:val="0044588A"/>
    <w:rsid w:val="004558A6"/>
    <w:rsid w:val="00460411"/>
    <w:rsid w:val="00465EC8"/>
    <w:rsid w:val="004745D8"/>
    <w:rsid w:val="0048178F"/>
    <w:rsid w:val="004A66E1"/>
    <w:rsid w:val="004B44A4"/>
    <w:rsid w:val="004F7375"/>
    <w:rsid w:val="005011A7"/>
    <w:rsid w:val="005038C8"/>
    <w:rsid w:val="00522645"/>
    <w:rsid w:val="00524A59"/>
    <w:rsid w:val="005264F9"/>
    <w:rsid w:val="00527664"/>
    <w:rsid w:val="00542F6A"/>
    <w:rsid w:val="00554524"/>
    <w:rsid w:val="00556E3B"/>
    <w:rsid w:val="0056600C"/>
    <w:rsid w:val="00576DFB"/>
    <w:rsid w:val="0057762F"/>
    <w:rsid w:val="00577725"/>
    <w:rsid w:val="00595190"/>
    <w:rsid w:val="00595F35"/>
    <w:rsid w:val="005A0293"/>
    <w:rsid w:val="005A64C3"/>
    <w:rsid w:val="005B7463"/>
    <w:rsid w:val="005C4257"/>
    <w:rsid w:val="005F4229"/>
    <w:rsid w:val="00600796"/>
    <w:rsid w:val="0060198E"/>
    <w:rsid w:val="006132EE"/>
    <w:rsid w:val="006314F6"/>
    <w:rsid w:val="00641CF4"/>
    <w:rsid w:val="00651D7A"/>
    <w:rsid w:val="00673263"/>
    <w:rsid w:val="006738C3"/>
    <w:rsid w:val="00677608"/>
    <w:rsid w:val="00682352"/>
    <w:rsid w:val="00685FEA"/>
    <w:rsid w:val="00696E7A"/>
    <w:rsid w:val="006B1CE6"/>
    <w:rsid w:val="006B4118"/>
    <w:rsid w:val="006B6D59"/>
    <w:rsid w:val="006C2900"/>
    <w:rsid w:val="006C5064"/>
    <w:rsid w:val="006E0656"/>
    <w:rsid w:val="006F3E85"/>
    <w:rsid w:val="00700B16"/>
    <w:rsid w:val="00707817"/>
    <w:rsid w:val="00710E14"/>
    <w:rsid w:val="00711B55"/>
    <w:rsid w:val="00720633"/>
    <w:rsid w:val="00730A07"/>
    <w:rsid w:val="007376F4"/>
    <w:rsid w:val="00750142"/>
    <w:rsid w:val="0075086F"/>
    <w:rsid w:val="00754092"/>
    <w:rsid w:val="0075418D"/>
    <w:rsid w:val="00756BE1"/>
    <w:rsid w:val="007600C8"/>
    <w:rsid w:val="00772033"/>
    <w:rsid w:val="007817FF"/>
    <w:rsid w:val="00784311"/>
    <w:rsid w:val="00785C20"/>
    <w:rsid w:val="00795851"/>
    <w:rsid w:val="007973A9"/>
    <w:rsid w:val="007C262E"/>
    <w:rsid w:val="007E243E"/>
    <w:rsid w:val="007E7D9B"/>
    <w:rsid w:val="007F59A7"/>
    <w:rsid w:val="00812643"/>
    <w:rsid w:val="00812779"/>
    <w:rsid w:val="00824603"/>
    <w:rsid w:val="00845102"/>
    <w:rsid w:val="00847568"/>
    <w:rsid w:val="00870C58"/>
    <w:rsid w:val="00874CAA"/>
    <w:rsid w:val="00884FCC"/>
    <w:rsid w:val="00891CE5"/>
    <w:rsid w:val="008A126A"/>
    <w:rsid w:val="008A4317"/>
    <w:rsid w:val="008A46CD"/>
    <w:rsid w:val="008A58A2"/>
    <w:rsid w:val="008B4FB2"/>
    <w:rsid w:val="008C5EE7"/>
    <w:rsid w:val="008D5106"/>
    <w:rsid w:val="008E2D6A"/>
    <w:rsid w:val="008F3E6E"/>
    <w:rsid w:val="00901D6E"/>
    <w:rsid w:val="00903511"/>
    <w:rsid w:val="009177E5"/>
    <w:rsid w:val="00925F8F"/>
    <w:rsid w:val="0094474F"/>
    <w:rsid w:val="00955CB6"/>
    <w:rsid w:val="00956D2D"/>
    <w:rsid w:val="00962EA8"/>
    <w:rsid w:val="009808BD"/>
    <w:rsid w:val="00981EAC"/>
    <w:rsid w:val="009A6C60"/>
    <w:rsid w:val="009B3D84"/>
    <w:rsid w:val="009B3FBD"/>
    <w:rsid w:val="009C3AC7"/>
    <w:rsid w:val="009E408D"/>
    <w:rsid w:val="00A00C32"/>
    <w:rsid w:val="00A10196"/>
    <w:rsid w:val="00A11FB9"/>
    <w:rsid w:val="00A134AF"/>
    <w:rsid w:val="00A20D2B"/>
    <w:rsid w:val="00A46DB5"/>
    <w:rsid w:val="00A55E66"/>
    <w:rsid w:val="00A56AA6"/>
    <w:rsid w:val="00A62632"/>
    <w:rsid w:val="00A63932"/>
    <w:rsid w:val="00A70455"/>
    <w:rsid w:val="00A72E45"/>
    <w:rsid w:val="00A85616"/>
    <w:rsid w:val="00A92D48"/>
    <w:rsid w:val="00A9432E"/>
    <w:rsid w:val="00A947A2"/>
    <w:rsid w:val="00AA46CB"/>
    <w:rsid w:val="00AA5721"/>
    <w:rsid w:val="00AC18B0"/>
    <w:rsid w:val="00AD6AF6"/>
    <w:rsid w:val="00AE6DDC"/>
    <w:rsid w:val="00B01490"/>
    <w:rsid w:val="00B04E47"/>
    <w:rsid w:val="00B1385C"/>
    <w:rsid w:val="00B21C3E"/>
    <w:rsid w:val="00B2270E"/>
    <w:rsid w:val="00B63EC1"/>
    <w:rsid w:val="00B72ACA"/>
    <w:rsid w:val="00B74895"/>
    <w:rsid w:val="00B91083"/>
    <w:rsid w:val="00B9372E"/>
    <w:rsid w:val="00B96A01"/>
    <w:rsid w:val="00B97F87"/>
    <w:rsid w:val="00BA05C5"/>
    <w:rsid w:val="00BA120C"/>
    <w:rsid w:val="00BA782A"/>
    <w:rsid w:val="00BC057F"/>
    <w:rsid w:val="00BC2935"/>
    <w:rsid w:val="00BE6346"/>
    <w:rsid w:val="00BF040D"/>
    <w:rsid w:val="00C004B7"/>
    <w:rsid w:val="00C1172C"/>
    <w:rsid w:val="00C1200D"/>
    <w:rsid w:val="00C1599E"/>
    <w:rsid w:val="00C176FB"/>
    <w:rsid w:val="00C2076B"/>
    <w:rsid w:val="00C30C6D"/>
    <w:rsid w:val="00C33BC8"/>
    <w:rsid w:val="00C34DF3"/>
    <w:rsid w:val="00C45493"/>
    <w:rsid w:val="00C62588"/>
    <w:rsid w:val="00CB092C"/>
    <w:rsid w:val="00CC0E72"/>
    <w:rsid w:val="00CD1832"/>
    <w:rsid w:val="00CD48FA"/>
    <w:rsid w:val="00CD4FD2"/>
    <w:rsid w:val="00CF30AE"/>
    <w:rsid w:val="00CF79FC"/>
    <w:rsid w:val="00D24EA4"/>
    <w:rsid w:val="00D31B20"/>
    <w:rsid w:val="00D33FD6"/>
    <w:rsid w:val="00D35103"/>
    <w:rsid w:val="00D430A5"/>
    <w:rsid w:val="00D44070"/>
    <w:rsid w:val="00D44D79"/>
    <w:rsid w:val="00D47E0C"/>
    <w:rsid w:val="00D60988"/>
    <w:rsid w:val="00D60DF6"/>
    <w:rsid w:val="00D63BC2"/>
    <w:rsid w:val="00D714C9"/>
    <w:rsid w:val="00D75B79"/>
    <w:rsid w:val="00D86E26"/>
    <w:rsid w:val="00DA52FE"/>
    <w:rsid w:val="00DC047A"/>
    <w:rsid w:val="00DE082D"/>
    <w:rsid w:val="00DE3C2E"/>
    <w:rsid w:val="00DF2A31"/>
    <w:rsid w:val="00E0123B"/>
    <w:rsid w:val="00E602E6"/>
    <w:rsid w:val="00E653AA"/>
    <w:rsid w:val="00E675A0"/>
    <w:rsid w:val="00E72DB5"/>
    <w:rsid w:val="00EB014C"/>
    <w:rsid w:val="00EE00A2"/>
    <w:rsid w:val="00EF4FB6"/>
    <w:rsid w:val="00F0371B"/>
    <w:rsid w:val="00F2324F"/>
    <w:rsid w:val="00F64052"/>
    <w:rsid w:val="00F744F4"/>
    <w:rsid w:val="00F90E53"/>
    <w:rsid w:val="00F92D3C"/>
    <w:rsid w:val="00F9779B"/>
    <w:rsid w:val="00FA3C89"/>
    <w:rsid w:val="00FA5BBB"/>
    <w:rsid w:val="00FD5CB6"/>
    <w:rsid w:val="00FE47A8"/>
  </w:rsids>
  <m:mathPr>
    <m:mathFont m:val="Cambria Math"/>
    <m:brkBin m:val="before"/>
    <m:brkBinSub m:val="--"/>
    <m:smallFrac/>
    <m:dispDef/>
    <m:lMargin m:val="1440"/>
    <m:rMargin m:val="144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1C3E"/>
    <w:pPr>
      <w:widowControl w:val="0"/>
      <w:wordWrap w:val="0"/>
      <w:autoSpaceDE w:val="0"/>
      <w:autoSpaceDN w:val="0"/>
      <w:jc w:val="both"/>
    </w:pPr>
    <w:rPr>
      <w:rFonts w:ascii="Batang"/>
      <w:kern w:val="2"/>
      <w:lang w:val="en-US" w:eastAsia="ko-KR"/>
    </w:rPr>
  </w:style>
  <w:style w:type="paragraph" w:styleId="Heading1">
    <w:name w:val="heading 1"/>
    <w:basedOn w:val="Normal"/>
    <w:link w:val="Heading1Char"/>
    <w:uiPriority w:val="9"/>
    <w:qFormat/>
    <w:rsid w:val="007973A9"/>
    <w:pPr>
      <w:widowControl/>
      <w:wordWrap/>
      <w:autoSpaceDE/>
      <w:autoSpaceDN/>
      <w:spacing w:before="100" w:beforeAutospacing="1" w:after="100" w:afterAutospacing="1"/>
      <w:jc w:val="left"/>
      <w:outlineLvl w:val="0"/>
    </w:pPr>
    <w:rPr>
      <w:rFonts w:ascii="Times New Roman" w:eastAsia="Times New Roman"/>
      <w:b/>
      <w:bCs/>
      <w:kern w:val="36"/>
      <w:sz w:val="48"/>
      <w:szCs w:val="48"/>
      <w:lang w:val="en-GB" w:eastAsia="en-GB"/>
    </w:rPr>
  </w:style>
  <w:style w:type="paragraph" w:styleId="Heading3">
    <w:name w:val="heading 3"/>
    <w:basedOn w:val="Normal"/>
    <w:next w:val="Normal"/>
    <w:link w:val="Heading3Char"/>
    <w:uiPriority w:val="9"/>
    <w:unhideWhenUsed/>
    <w:qFormat/>
    <w:rsid w:val="00B9372E"/>
    <w:pPr>
      <w:keepNext/>
      <w:keepLines/>
      <w:widowControl/>
      <w:wordWrap/>
      <w:autoSpaceDE/>
      <w:autoSpaceDN/>
      <w:spacing w:before="200" w:line="276" w:lineRule="auto"/>
      <w:jc w:val="left"/>
      <w:outlineLvl w:val="2"/>
    </w:pPr>
    <w:rPr>
      <w:rFonts w:asciiTheme="majorHAnsi" w:eastAsiaTheme="majorEastAsia" w:hAnsiTheme="majorHAnsi" w:cstheme="majorBidi"/>
      <w:b/>
      <w:bCs/>
      <w:color w:val="4F81BD" w:themeColor="accent1"/>
      <w:kern w:val="0"/>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B21C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B21C3E"/>
    <w:pPr>
      <w:widowControl w:val="0"/>
      <w:wordWrap w:val="0"/>
    </w:pPr>
  </w:style>
  <w:style w:type="character" w:customStyle="1" w:styleId="CharAttribute0">
    <w:name w:val="CharAttribute0"/>
    <w:rsid w:val="00B21C3E"/>
    <w:rPr>
      <w:rFonts w:ascii="Times New Roman" w:eastAsia="Times New Roman" w:hAnsi="Times New Roman"/>
    </w:rPr>
  </w:style>
  <w:style w:type="character" w:customStyle="1" w:styleId="CharAttribute1">
    <w:name w:val="CharAttribute1"/>
    <w:rsid w:val="00B21C3E"/>
    <w:rPr>
      <w:rFonts w:ascii="Times New Roman" w:eastAsia="Times New Roman" w:hAnsi="Times New Roman"/>
      <w:sz w:val="24"/>
    </w:rPr>
  </w:style>
  <w:style w:type="character" w:customStyle="1" w:styleId="CharAttribute2">
    <w:name w:val="CharAttribute2"/>
    <w:rsid w:val="00B21C3E"/>
    <w:rPr>
      <w:rFonts w:ascii="Tahoma" w:eastAsia="Tahoma" w:hAnsi="Tahoma"/>
      <w:sz w:val="24"/>
    </w:rPr>
  </w:style>
  <w:style w:type="character" w:customStyle="1" w:styleId="CharAttribute3">
    <w:name w:val="CharAttribute3"/>
    <w:rsid w:val="00B21C3E"/>
    <w:rPr>
      <w:rFonts w:ascii="Tahoma" w:eastAsia="Tahoma" w:hAnsi="Tahoma"/>
      <w:b/>
      <w:sz w:val="24"/>
    </w:rPr>
  </w:style>
  <w:style w:type="character" w:customStyle="1" w:styleId="CharAttribute4">
    <w:name w:val="CharAttribute4"/>
    <w:rsid w:val="00B21C3E"/>
    <w:rPr>
      <w:rFonts w:ascii="Tahoma" w:eastAsia="Tahoma" w:hAnsi="Tahoma"/>
      <w:i/>
      <w:sz w:val="24"/>
    </w:rPr>
  </w:style>
  <w:style w:type="table" w:styleId="TableGrid">
    <w:name w:val="Table Grid"/>
    <w:basedOn w:val="TableNormal"/>
    <w:uiPriority w:val="59"/>
    <w:rsid w:val="00444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ADD"/>
    <w:pPr>
      <w:widowControl/>
      <w:wordWrap/>
      <w:autoSpaceDE/>
      <w:autoSpaceDN/>
      <w:spacing w:line="276" w:lineRule="auto"/>
      <w:ind w:left="720"/>
      <w:contextualSpacing/>
      <w:jc w:val="left"/>
    </w:pPr>
    <w:rPr>
      <w:rFonts w:asciiTheme="minorHAnsi" w:eastAsiaTheme="minorHAnsi" w:hAnsiTheme="minorHAnsi" w:cstheme="minorBidi"/>
      <w:kern w:val="0"/>
      <w:sz w:val="22"/>
      <w:szCs w:val="22"/>
      <w:lang w:val="en-GB" w:eastAsia="en-US"/>
    </w:rPr>
  </w:style>
  <w:style w:type="character" w:styleId="Emphasis">
    <w:name w:val="Emphasis"/>
    <w:basedOn w:val="DefaultParagraphFont"/>
    <w:uiPriority w:val="20"/>
    <w:qFormat/>
    <w:rsid w:val="00253CB7"/>
    <w:rPr>
      <w:i/>
      <w:iCs/>
    </w:rPr>
  </w:style>
  <w:style w:type="character" w:customStyle="1" w:styleId="reference-text">
    <w:name w:val="reference-text"/>
    <w:basedOn w:val="DefaultParagraphFont"/>
    <w:rsid w:val="007F59A7"/>
  </w:style>
  <w:style w:type="character" w:customStyle="1" w:styleId="citation">
    <w:name w:val="citation"/>
    <w:basedOn w:val="DefaultParagraphFont"/>
    <w:rsid w:val="00D60DF6"/>
  </w:style>
  <w:style w:type="paragraph" w:styleId="Header">
    <w:name w:val="header"/>
    <w:basedOn w:val="Normal"/>
    <w:link w:val="HeaderChar"/>
    <w:uiPriority w:val="99"/>
    <w:unhideWhenUsed/>
    <w:rsid w:val="00E0123B"/>
    <w:pPr>
      <w:tabs>
        <w:tab w:val="center" w:pos="4513"/>
        <w:tab w:val="right" w:pos="9026"/>
      </w:tabs>
    </w:pPr>
  </w:style>
  <w:style w:type="character" w:customStyle="1" w:styleId="HeaderChar">
    <w:name w:val="Header Char"/>
    <w:basedOn w:val="DefaultParagraphFont"/>
    <w:link w:val="Header"/>
    <w:uiPriority w:val="99"/>
    <w:rsid w:val="00E0123B"/>
    <w:rPr>
      <w:rFonts w:ascii="Batang"/>
      <w:kern w:val="2"/>
      <w:lang w:val="en-US" w:eastAsia="ko-KR"/>
    </w:rPr>
  </w:style>
  <w:style w:type="paragraph" w:styleId="Footer">
    <w:name w:val="footer"/>
    <w:basedOn w:val="Normal"/>
    <w:link w:val="FooterChar"/>
    <w:uiPriority w:val="99"/>
    <w:unhideWhenUsed/>
    <w:rsid w:val="00E0123B"/>
    <w:pPr>
      <w:tabs>
        <w:tab w:val="center" w:pos="4513"/>
        <w:tab w:val="right" w:pos="9026"/>
      </w:tabs>
    </w:pPr>
  </w:style>
  <w:style w:type="character" w:customStyle="1" w:styleId="FooterChar">
    <w:name w:val="Footer Char"/>
    <w:basedOn w:val="DefaultParagraphFont"/>
    <w:link w:val="Footer"/>
    <w:uiPriority w:val="99"/>
    <w:rsid w:val="00E0123B"/>
    <w:rPr>
      <w:rFonts w:ascii="Batang"/>
      <w:kern w:val="2"/>
      <w:lang w:val="en-US" w:eastAsia="ko-KR"/>
    </w:rPr>
  </w:style>
  <w:style w:type="character" w:customStyle="1" w:styleId="Heading1Char">
    <w:name w:val="Heading 1 Char"/>
    <w:basedOn w:val="DefaultParagraphFont"/>
    <w:link w:val="Heading1"/>
    <w:uiPriority w:val="9"/>
    <w:rsid w:val="007973A9"/>
    <w:rPr>
      <w:rFonts w:eastAsia="Times New Roman"/>
      <w:b/>
      <w:bCs/>
      <w:kern w:val="36"/>
      <w:sz w:val="48"/>
      <w:szCs w:val="48"/>
    </w:rPr>
  </w:style>
  <w:style w:type="character" w:customStyle="1" w:styleId="Heading3Char">
    <w:name w:val="Heading 3 Char"/>
    <w:basedOn w:val="DefaultParagraphFont"/>
    <w:link w:val="Heading3"/>
    <w:uiPriority w:val="9"/>
    <w:rsid w:val="00B9372E"/>
    <w:rPr>
      <w:rFonts w:asciiTheme="majorHAnsi" w:eastAsiaTheme="majorEastAsia" w:hAnsiTheme="majorHAnsi" w:cstheme="majorBidi"/>
      <w:b/>
      <w:bCs/>
      <w:color w:val="4F81BD" w:themeColor="accent1"/>
      <w:sz w:val="22"/>
      <w:szCs w:val="22"/>
      <w:lang w:eastAsia="en-US"/>
    </w:rPr>
  </w:style>
  <w:style w:type="character" w:customStyle="1" w:styleId="ptbrand">
    <w:name w:val="ptbrand"/>
    <w:basedOn w:val="DefaultParagraphFont"/>
    <w:rsid w:val="00B9372E"/>
  </w:style>
  <w:style w:type="paragraph" w:customStyle="1" w:styleId="Default">
    <w:name w:val="Default"/>
    <w:rsid w:val="00B9372E"/>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50793"/>
  </w:style>
  <w:style w:type="character" w:customStyle="1" w:styleId="FootnoteTextChar">
    <w:name w:val="Footnote Text Char"/>
    <w:basedOn w:val="DefaultParagraphFont"/>
    <w:link w:val="FootnoteText"/>
    <w:uiPriority w:val="99"/>
    <w:semiHidden/>
    <w:rsid w:val="00150793"/>
    <w:rPr>
      <w:rFonts w:ascii="Batang"/>
      <w:kern w:val="2"/>
      <w:lang w:val="en-US" w:eastAsia="ko-KR"/>
    </w:rPr>
  </w:style>
  <w:style w:type="character" w:styleId="FootnoteReference">
    <w:name w:val="footnote reference"/>
    <w:basedOn w:val="DefaultParagraphFont"/>
    <w:uiPriority w:val="99"/>
    <w:semiHidden/>
    <w:unhideWhenUsed/>
    <w:rsid w:val="00150793"/>
    <w:rPr>
      <w:vertAlign w:val="superscript"/>
    </w:rPr>
  </w:style>
  <w:style w:type="paragraph" w:styleId="NoSpacing">
    <w:name w:val="No Spacing"/>
    <w:uiPriority w:val="1"/>
    <w:qFormat/>
    <w:rsid w:val="002229EB"/>
    <w:rPr>
      <w:rFonts w:asciiTheme="minorHAnsi" w:eastAsiaTheme="minorHAnsi" w:hAnsiTheme="minorHAnsi" w:cstheme="minorBidi"/>
      <w:sz w:val="22"/>
      <w:szCs w:val="22"/>
      <w:lang w:val="en-US" w:eastAsia="en-US"/>
    </w:rPr>
  </w:style>
  <w:style w:type="character" w:customStyle="1" w:styleId="rwro">
    <w:name w:val="rwro"/>
    <w:basedOn w:val="DefaultParagraphFont"/>
    <w:rsid w:val="00B96A01"/>
  </w:style>
  <w:style w:type="character" w:styleId="Hyperlink">
    <w:name w:val="Hyperlink"/>
    <w:basedOn w:val="DefaultParagraphFont"/>
    <w:uiPriority w:val="99"/>
    <w:unhideWhenUsed/>
    <w:rsid w:val="00B96A01"/>
    <w:rPr>
      <w:color w:val="0000FF"/>
      <w:u w:val="single"/>
    </w:rPr>
  </w:style>
  <w:style w:type="character" w:customStyle="1" w:styleId="rwrro">
    <w:name w:val="rwrro"/>
    <w:basedOn w:val="DefaultParagraphFont"/>
    <w:rsid w:val="00B96A01"/>
  </w:style>
  <w:style w:type="paragraph" w:styleId="BalloonText">
    <w:name w:val="Balloon Text"/>
    <w:basedOn w:val="Normal"/>
    <w:link w:val="BalloonTextChar"/>
    <w:uiPriority w:val="99"/>
    <w:semiHidden/>
    <w:unhideWhenUsed/>
    <w:rsid w:val="00C34DF3"/>
    <w:rPr>
      <w:rFonts w:ascii="Tahoma" w:hAnsi="Tahoma" w:cs="Tahoma"/>
      <w:sz w:val="16"/>
      <w:szCs w:val="16"/>
    </w:rPr>
  </w:style>
  <w:style w:type="character" w:customStyle="1" w:styleId="BalloonTextChar">
    <w:name w:val="Balloon Text Char"/>
    <w:basedOn w:val="DefaultParagraphFont"/>
    <w:link w:val="BalloonText"/>
    <w:uiPriority w:val="99"/>
    <w:semiHidden/>
    <w:rsid w:val="00C34DF3"/>
    <w:rPr>
      <w:rFonts w:ascii="Tahoma" w:hAnsi="Tahoma" w:cs="Tahoma"/>
      <w:kern w:val="2"/>
      <w:sz w:val="16"/>
      <w:szCs w:val="16"/>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1C3E"/>
    <w:pPr>
      <w:widowControl w:val="0"/>
      <w:wordWrap w:val="0"/>
      <w:autoSpaceDE w:val="0"/>
      <w:autoSpaceDN w:val="0"/>
      <w:jc w:val="both"/>
    </w:pPr>
    <w:rPr>
      <w:rFonts w:ascii="Batang"/>
      <w:kern w:val="2"/>
      <w:lang w:val="en-US" w:eastAsia="ko-KR"/>
    </w:rPr>
  </w:style>
  <w:style w:type="paragraph" w:styleId="Heading1">
    <w:name w:val="heading 1"/>
    <w:basedOn w:val="Normal"/>
    <w:link w:val="Heading1Char"/>
    <w:uiPriority w:val="9"/>
    <w:qFormat/>
    <w:rsid w:val="007973A9"/>
    <w:pPr>
      <w:widowControl/>
      <w:wordWrap/>
      <w:autoSpaceDE/>
      <w:autoSpaceDN/>
      <w:spacing w:before="100" w:beforeAutospacing="1" w:after="100" w:afterAutospacing="1"/>
      <w:jc w:val="left"/>
      <w:outlineLvl w:val="0"/>
    </w:pPr>
    <w:rPr>
      <w:rFonts w:ascii="Times New Roman" w:eastAsia="Times New Roman"/>
      <w:b/>
      <w:bCs/>
      <w:kern w:val="36"/>
      <w:sz w:val="48"/>
      <w:szCs w:val="48"/>
      <w:lang w:val="en-GB" w:eastAsia="en-GB"/>
    </w:rPr>
  </w:style>
  <w:style w:type="paragraph" w:styleId="Heading3">
    <w:name w:val="heading 3"/>
    <w:basedOn w:val="Normal"/>
    <w:next w:val="Normal"/>
    <w:link w:val="Heading3Char"/>
    <w:uiPriority w:val="9"/>
    <w:unhideWhenUsed/>
    <w:qFormat/>
    <w:rsid w:val="00B9372E"/>
    <w:pPr>
      <w:keepNext/>
      <w:keepLines/>
      <w:widowControl/>
      <w:wordWrap/>
      <w:autoSpaceDE/>
      <w:autoSpaceDN/>
      <w:spacing w:before="200" w:line="276" w:lineRule="auto"/>
      <w:jc w:val="left"/>
      <w:outlineLvl w:val="2"/>
    </w:pPr>
    <w:rPr>
      <w:rFonts w:asciiTheme="majorHAnsi" w:eastAsiaTheme="majorEastAsia" w:hAnsiTheme="majorHAnsi" w:cstheme="majorBidi"/>
      <w:b/>
      <w:bCs/>
      <w:color w:val="4F81BD" w:themeColor="accent1"/>
      <w:kern w:val="0"/>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B21C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B21C3E"/>
    <w:pPr>
      <w:widowControl w:val="0"/>
      <w:wordWrap w:val="0"/>
    </w:pPr>
  </w:style>
  <w:style w:type="character" w:customStyle="1" w:styleId="CharAttribute0">
    <w:name w:val="CharAttribute0"/>
    <w:rsid w:val="00B21C3E"/>
    <w:rPr>
      <w:rFonts w:ascii="Times New Roman" w:eastAsia="Times New Roman" w:hAnsi="Times New Roman"/>
    </w:rPr>
  </w:style>
  <w:style w:type="character" w:customStyle="1" w:styleId="CharAttribute1">
    <w:name w:val="CharAttribute1"/>
    <w:rsid w:val="00B21C3E"/>
    <w:rPr>
      <w:rFonts w:ascii="Times New Roman" w:eastAsia="Times New Roman" w:hAnsi="Times New Roman"/>
      <w:sz w:val="24"/>
    </w:rPr>
  </w:style>
  <w:style w:type="character" w:customStyle="1" w:styleId="CharAttribute2">
    <w:name w:val="CharAttribute2"/>
    <w:rsid w:val="00B21C3E"/>
    <w:rPr>
      <w:rFonts w:ascii="Tahoma" w:eastAsia="Tahoma" w:hAnsi="Tahoma"/>
      <w:sz w:val="24"/>
    </w:rPr>
  </w:style>
  <w:style w:type="character" w:customStyle="1" w:styleId="CharAttribute3">
    <w:name w:val="CharAttribute3"/>
    <w:rsid w:val="00B21C3E"/>
    <w:rPr>
      <w:rFonts w:ascii="Tahoma" w:eastAsia="Tahoma" w:hAnsi="Tahoma"/>
      <w:b/>
      <w:sz w:val="24"/>
    </w:rPr>
  </w:style>
  <w:style w:type="character" w:customStyle="1" w:styleId="CharAttribute4">
    <w:name w:val="CharAttribute4"/>
    <w:rsid w:val="00B21C3E"/>
    <w:rPr>
      <w:rFonts w:ascii="Tahoma" w:eastAsia="Tahoma" w:hAnsi="Tahoma"/>
      <w:i/>
      <w:sz w:val="24"/>
    </w:rPr>
  </w:style>
  <w:style w:type="table" w:styleId="TableGrid">
    <w:name w:val="Table Grid"/>
    <w:basedOn w:val="TableNormal"/>
    <w:uiPriority w:val="59"/>
    <w:rsid w:val="00444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ADD"/>
    <w:pPr>
      <w:widowControl/>
      <w:wordWrap/>
      <w:autoSpaceDE/>
      <w:autoSpaceDN/>
      <w:spacing w:line="276" w:lineRule="auto"/>
      <w:ind w:left="720"/>
      <w:contextualSpacing/>
      <w:jc w:val="left"/>
    </w:pPr>
    <w:rPr>
      <w:rFonts w:asciiTheme="minorHAnsi" w:eastAsiaTheme="minorHAnsi" w:hAnsiTheme="minorHAnsi" w:cstheme="minorBidi"/>
      <w:kern w:val="0"/>
      <w:sz w:val="22"/>
      <w:szCs w:val="22"/>
      <w:lang w:val="en-GB" w:eastAsia="en-US"/>
    </w:rPr>
  </w:style>
  <w:style w:type="character" w:styleId="Emphasis">
    <w:name w:val="Emphasis"/>
    <w:basedOn w:val="DefaultParagraphFont"/>
    <w:uiPriority w:val="20"/>
    <w:qFormat/>
    <w:rsid w:val="00253CB7"/>
    <w:rPr>
      <w:i/>
      <w:iCs/>
    </w:rPr>
  </w:style>
  <w:style w:type="character" w:customStyle="1" w:styleId="reference-text">
    <w:name w:val="reference-text"/>
    <w:basedOn w:val="DefaultParagraphFont"/>
    <w:rsid w:val="007F59A7"/>
  </w:style>
  <w:style w:type="character" w:customStyle="1" w:styleId="citation">
    <w:name w:val="citation"/>
    <w:basedOn w:val="DefaultParagraphFont"/>
    <w:rsid w:val="00D60DF6"/>
  </w:style>
  <w:style w:type="paragraph" w:styleId="Header">
    <w:name w:val="header"/>
    <w:basedOn w:val="Normal"/>
    <w:link w:val="HeaderChar"/>
    <w:uiPriority w:val="99"/>
    <w:unhideWhenUsed/>
    <w:rsid w:val="00E0123B"/>
    <w:pPr>
      <w:tabs>
        <w:tab w:val="center" w:pos="4513"/>
        <w:tab w:val="right" w:pos="9026"/>
      </w:tabs>
    </w:pPr>
  </w:style>
  <w:style w:type="character" w:customStyle="1" w:styleId="HeaderChar">
    <w:name w:val="Header Char"/>
    <w:basedOn w:val="DefaultParagraphFont"/>
    <w:link w:val="Header"/>
    <w:uiPriority w:val="99"/>
    <w:rsid w:val="00E0123B"/>
    <w:rPr>
      <w:rFonts w:ascii="Batang"/>
      <w:kern w:val="2"/>
      <w:lang w:val="en-US" w:eastAsia="ko-KR"/>
    </w:rPr>
  </w:style>
  <w:style w:type="paragraph" w:styleId="Footer">
    <w:name w:val="footer"/>
    <w:basedOn w:val="Normal"/>
    <w:link w:val="FooterChar"/>
    <w:uiPriority w:val="99"/>
    <w:unhideWhenUsed/>
    <w:rsid w:val="00E0123B"/>
    <w:pPr>
      <w:tabs>
        <w:tab w:val="center" w:pos="4513"/>
        <w:tab w:val="right" w:pos="9026"/>
      </w:tabs>
    </w:pPr>
  </w:style>
  <w:style w:type="character" w:customStyle="1" w:styleId="FooterChar">
    <w:name w:val="Footer Char"/>
    <w:basedOn w:val="DefaultParagraphFont"/>
    <w:link w:val="Footer"/>
    <w:uiPriority w:val="99"/>
    <w:rsid w:val="00E0123B"/>
    <w:rPr>
      <w:rFonts w:ascii="Batang"/>
      <w:kern w:val="2"/>
      <w:lang w:val="en-US" w:eastAsia="ko-KR"/>
    </w:rPr>
  </w:style>
  <w:style w:type="character" w:customStyle="1" w:styleId="Heading1Char">
    <w:name w:val="Heading 1 Char"/>
    <w:basedOn w:val="DefaultParagraphFont"/>
    <w:link w:val="Heading1"/>
    <w:uiPriority w:val="9"/>
    <w:rsid w:val="007973A9"/>
    <w:rPr>
      <w:rFonts w:eastAsia="Times New Roman"/>
      <w:b/>
      <w:bCs/>
      <w:kern w:val="36"/>
      <w:sz w:val="48"/>
      <w:szCs w:val="48"/>
    </w:rPr>
  </w:style>
  <w:style w:type="character" w:customStyle="1" w:styleId="Heading3Char">
    <w:name w:val="Heading 3 Char"/>
    <w:basedOn w:val="DefaultParagraphFont"/>
    <w:link w:val="Heading3"/>
    <w:uiPriority w:val="9"/>
    <w:rsid w:val="00B9372E"/>
    <w:rPr>
      <w:rFonts w:asciiTheme="majorHAnsi" w:eastAsiaTheme="majorEastAsia" w:hAnsiTheme="majorHAnsi" w:cstheme="majorBidi"/>
      <w:b/>
      <w:bCs/>
      <w:color w:val="4F81BD" w:themeColor="accent1"/>
      <w:sz w:val="22"/>
      <w:szCs w:val="22"/>
      <w:lang w:eastAsia="en-US"/>
    </w:rPr>
  </w:style>
  <w:style w:type="character" w:customStyle="1" w:styleId="ptbrand">
    <w:name w:val="ptbrand"/>
    <w:basedOn w:val="DefaultParagraphFont"/>
    <w:rsid w:val="00B9372E"/>
  </w:style>
  <w:style w:type="paragraph" w:customStyle="1" w:styleId="Default">
    <w:name w:val="Default"/>
    <w:rsid w:val="00B9372E"/>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50793"/>
  </w:style>
  <w:style w:type="character" w:customStyle="1" w:styleId="FootnoteTextChar">
    <w:name w:val="Footnote Text Char"/>
    <w:basedOn w:val="DefaultParagraphFont"/>
    <w:link w:val="FootnoteText"/>
    <w:uiPriority w:val="99"/>
    <w:semiHidden/>
    <w:rsid w:val="00150793"/>
    <w:rPr>
      <w:rFonts w:ascii="Batang"/>
      <w:kern w:val="2"/>
      <w:lang w:val="en-US" w:eastAsia="ko-KR"/>
    </w:rPr>
  </w:style>
  <w:style w:type="character" w:styleId="FootnoteReference">
    <w:name w:val="footnote reference"/>
    <w:basedOn w:val="DefaultParagraphFont"/>
    <w:uiPriority w:val="99"/>
    <w:semiHidden/>
    <w:unhideWhenUsed/>
    <w:rsid w:val="00150793"/>
    <w:rPr>
      <w:vertAlign w:val="superscript"/>
    </w:rPr>
  </w:style>
  <w:style w:type="paragraph" w:styleId="NoSpacing">
    <w:name w:val="No Spacing"/>
    <w:uiPriority w:val="1"/>
    <w:qFormat/>
    <w:rsid w:val="002229EB"/>
    <w:rPr>
      <w:rFonts w:asciiTheme="minorHAnsi" w:eastAsiaTheme="minorHAnsi" w:hAnsiTheme="minorHAnsi" w:cstheme="minorBidi"/>
      <w:sz w:val="22"/>
      <w:szCs w:val="22"/>
      <w:lang w:val="en-US" w:eastAsia="en-US"/>
    </w:rPr>
  </w:style>
  <w:style w:type="character" w:customStyle="1" w:styleId="rwro">
    <w:name w:val="rwro"/>
    <w:basedOn w:val="DefaultParagraphFont"/>
    <w:rsid w:val="00B96A01"/>
  </w:style>
  <w:style w:type="character" w:styleId="Hyperlink">
    <w:name w:val="Hyperlink"/>
    <w:basedOn w:val="DefaultParagraphFont"/>
    <w:uiPriority w:val="99"/>
    <w:unhideWhenUsed/>
    <w:rsid w:val="00B96A01"/>
    <w:rPr>
      <w:color w:val="0000FF"/>
      <w:u w:val="single"/>
    </w:rPr>
  </w:style>
  <w:style w:type="character" w:customStyle="1" w:styleId="rwrro">
    <w:name w:val="rwrro"/>
    <w:basedOn w:val="DefaultParagraphFont"/>
    <w:rsid w:val="00B96A01"/>
  </w:style>
  <w:style w:type="paragraph" w:styleId="BalloonText">
    <w:name w:val="Balloon Text"/>
    <w:basedOn w:val="Normal"/>
    <w:link w:val="BalloonTextChar"/>
    <w:uiPriority w:val="99"/>
    <w:semiHidden/>
    <w:unhideWhenUsed/>
    <w:rsid w:val="00C34DF3"/>
    <w:rPr>
      <w:rFonts w:ascii="Tahoma" w:hAnsi="Tahoma" w:cs="Tahoma"/>
      <w:sz w:val="16"/>
      <w:szCs w:val="16"/>
    </w:rPr>
  </w:style>
  <w:style w:type="character" w:customStyle="1" w:styleId="BalloonTextChar">
    <w:name w:val="Balloon Text Char"/>
    <w:basedOn w:val="DefaultParagraphFont"/>
    <w:link w:val="BalloonText"/>
    <w:uiPriority w:val="99"/>
    <w:semiHidden/>
    <w:rsid w:val="00C34DF3"/>
    <w:rPr>
      <w:rFonts w:ascii="Tahoma" w:hAnsi="Tahoma" w:cs="Tahoma"/>
      <w:kern w:val="2"/>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14173">
      <w:bodyDiv w:val="1"/>
      <w:marLeft w:val="0"/>
      <w:marRight w:val="0"/>
      <w:marTop w:val="0"/>
      <w:marBottom w:val="0"/>
      <w:divBdr>
        <w:top w:val="none" w:sz="0" w:space="0" w:color="auto"/>
        <w:left w:val="none" w:sz="0" w:space="0" w:color="auto"/>
        <w:bottom w:val="none" w:sz="0" w:space="0" w:color="auto"/>
        <w:right w:val="none" w:sz="0" w:space="0" w:color="auto"/>
      </w:divBdr>
    </w:div>
    <w:div w:id="1873565610">
      <w:bodyDiv w:val="1"/>
      <w:marLeft w:val="0"/>
      <w:marRight w:val="0"/>
      <w:marTop w:val="0"/>
      <w:marBottom w:val="0"/>
      <w:divBdr>
        <w:top w:val="none" w:sz="0" w:space="0" w:color="auto"/>
        <w:left w:val="none" w:sz="0" w:space="0" w:color="auto"/>
        <w:bottom w:val="none" w:sz="0" w:space="0" w:color="auto"/>
        <w:right w:val="none" w:sz="0" w:space="0" w:color="auto"/>
      </w:divBdr>
    </w:div>
    <w:div w:id="203911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nd/4.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8938B79-18CF-409A-B794-297C40EF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8244</Words>
  <Characters>46996</Characters>
  <Application>Microsoft Office Word</Application>
  <DocSecurity>0</DocSecurity>
  <Lines>391</Lines>
  <Paragraphs>110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55130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Ben Jones</cp:lastModifiedBy>
  <cp:revision>2</cp:revision>
  <cp:lastPrinted>2015-08-07T14:23:00Z</cp:lastPrinted>
  <dcterms:created xsi:type="dcterms:W3CDTF">2015-08-07T14:24:00Z</dcterms:created>
  <dcterms:modified xsi:type="dcterms:W3CDTF">2015-08-07T14:24:00Z</dcterms:modified>
  <cp:version>1</cp:version>
</cp:coreProperties>
</file>