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B9D" w:rsidRPr="00802840" w:rsidRDefault="00DB6B9D" w:rsidP="00DB6B9D">
      <w:pPr>
        <w:ind w:right="-330"/>
        <w:jc w:val="center"/>
        <w:rPr>
          <w:rFonts w:ascii="Arial" w:hAnsi="Arial" w:cs="Arial"/>
          <w:b/>
          <w:sz w:val="22"/>
          <w:szCs w:val="22"/>
        </w:rPr>
      </w:pPr>
      <w:r w:rsidRPr="00802840">
        <w:rPr>
          <w:rFonts w:ascii="Arial" w:hAnsi="Arial" w:cs="Arial"/>
          <w:b/>
          <w:i/>
          <w:sz w:val="22"/>
          <w:szCs w:val="22"/>
        </w:rPr>
        <w:t xml:space="preserve">International Journal of Lifelong Education </w:t>
      </w:r>
      <w:r w:rsidRPr="00802840">
        <w:rPr>
          <w:rFonts w:ascii="Arial" w:hAnsi="Arial" w:cs="Arial"/>
          <w:b/>
          <w:sz w:val="22"/>
          <w:szCs w:val="22"/>
        </w:rPr>
        <w:t xml:space="preserve">Editorial </w:t>
      </w:r>
      <w:proofErr w:type="spellStart"/>
      <w:r w:rsidRPr="00802840">
        <w:rPr>
          <w:rFonts w:ascii="Arial" w:hAnsi="Arial" w:cs="Arial"/>
          <w:b/>
          <w:sz w:val="22"/>
          <w:szCs w:val="22"/>
        </w:rPr>
        <w:t>vol</w:t>
      </w:r>
      <w:proofErr w:type="spellEnd"/>
      <w:r w:rsidRPr="00802840">
        <w:rPr>
          <w:rFonts w:ascii="Arial" w:hAnsi="Arial" w:cs="Arial"/>
          <w:b/>
          <w:sz w:val="22"/>
          <w:szCs w:val="22"/>
        </w:rPr>
        <w:t xml:space="preserve"> 34(6) (Nov/Dec 2015)</w:t>
      </w:r>
    </w:p>
    <w:p w:rsidR="00DB6B9D" w:rsidRPr="00802840" w:rsidRDefault="00DB6B9D" w:rsidP="00DB6B9D">
      <w:pPr>
        <w:ind w:right="-330"/>
        <w:jc w:val="center"/>
        <w:rPr>
          <w:rFonts w:ascii="Arial" w:hAnsi="Arial" w:cs="Arial"/>
          <w:sz w:val="22"/>
          <w:szCs w:val="22"/>
        </w:rPr>
      </w:pPr>
    </w:p>
    <w:p w:rsidR="00DB6B9D" w:rsidRPr="00802840" w:rsidRDefault="000D6560" w:rsidP="00DB6B9D">
      <w:pPr>
        <w:ind w:right="-330"/>
        <w:rPr>
          <w:rFonts w:ascii="Arial" w:hAnsi="Arial" w:cs="Arial"/>
          <w:i/>
          <w:sz w:val="22"/>
          <w:szCs w:val="22"/>
        </w:rPr>
      </w:pPr>
      <w:r w:rsidRPr="00802840">
        <w:rPr>
          <w:rFonts w:ascii="Arial" w:hAnsi="Arial" w:cs="Arial"/>
          <w:i/>
          <w:sz w:val="22"/>
          <w:szCs w:val="22"/>
        </w:rPr>
        <w:t>Neo</w:t>
      </w:r>
      <w:bookmarkStart w:id="0" w:name="_GoBack"/>
      <w:bookmarkEnd w:id="0"/>
      <w:r w:rsidRPr="00802840">
        <w:rPr>
          <w:rFonts w:ascii="Arial" w:hAnsi="Arial" w:cs="Arial"/>
          <w:i/>
          <w:sz w:val="22"/>
          <w:szCs w:val="22"/>
        </w:rPr>
        <w:t>liberalism and the shifting</w:t>
      </w:r>
      <w:r w:rsidR="00DB6B9D" w:rsidRPr="00802840">
        <w:rPr>
          <w:rFonts w:ascii="Arial" w:hAnsi="Arial" w:cs="Arial"/>
          <w:i/>
          <w:sz w:val="22"/>
          <w:szCs w:val="22"/>
        </w:rPr>
        <w:t xml:space="preserve"> discourse of </w:t>
      </w:r>
      <w:r w:rsidR="001C511D">
        <w:rPr>
          <w:rFonts w:ascii="Arial" w:hAnsi="Arial" w:cs="Arial"/>
          <w:i/>
          <w:sz w:val="22"/>
          <w:szCs w:val="22"/>
        </w:rPr>
        <w:t>‘</w:t>
      </w:r>
      <w:r w:rsidR="00DB6B9D" w:rsidRPr="00802840">
        <w:rPr>
          <w:rFonts w:ascii="Arial" w:hAnsi="Arial" w:cs="Arial"/>
          <w:i/>
          <w:sz w:val="22"/>
          <w:szCs w:val="22"/>
        </w:rPr>
        <w:t>educational fairness</w:t>
      </w:r>
      <w:r w:rsidR="00D24298">
        <w:rPr>
          <w:rFonts w:ascii="Arial" w:hAnsi="Arial" w:cs="Arial"/>
          <w:i/>
          <w:sz w:val="22"/>
          <w:szCs w:val="22"/>
        </w:rPr>
        <w:t>’</w:t>
      </w:r>
      <w:r w:rsidR="00DB6B9D" w:rsidRPr="00802840">
        <w:rPr>
          <w:rFonts w:ascii="Arial" w:hAnsi="Arial" w:cs="Arial"/>
          <w:i/>
          <w:sz w:val="22"/>
          <w:szCs w:val="22"/>
        </w:rPr>
        <w:t xml:space="preserve"> </w:t>
      </w:r>
    </w:p>
    <w:p w:rsidR="003F18B1" w:rsidRPr="00802840" w:rsidRDefault="003F18B1" w:rsidP="00DB6B9D">
      <w:pPr>
        <w:rPr>
          <w:rFonts w:ascii="Arial" w:hAnsi="Arial" w:cs="Arial"/>
          <w:sz w:val="22"/>
          <w:szCs w:val="22"/>
        </w:rPr>
      </w:pPr>
    </w:p>
    <w:p w:rsidR="00B53E5D" w:rsidRDefault="00B53E5D" w:rsidP="00B53E5D">
      <w:pPr>
        <w:rPr>
          <w:rFonts w:ascii="Arial" w:hAnsi="Arial" w:cs="Arial"/>
          <w:sz w:val="22"/>
          <w:szCs w:val="22"/>
        </w:rPr>
      </w:pPr>
      <w:r>
        <w:rPr>
          <w:rFonts w:ascii="Arial" w:hAnsi="Arial" w:cs="Arial"/>
          <w:sz w:val="22"/>
          <w:szCs w:val="22"/>
        </w:rPr>
        <w:t xml:space="preserve">This editorial picks up and develops an issue </w:t>
      </w:r>
      <w:r w:rsidR="000C4CD4">
        <w:rPr>
          <w:rFonts w:ascii="Arial" w:hAnsi="Arial" w:cs="Arial"/>
          <w:sz w:val="22"/>
          <w:szCs w:val="22"/>
        </w:rPr>
        <w:t xml:space="preserve">we </w:t>
      </w:r>
      <w:r>
        <w:rPr>
          <w:rFonts w:ascii="Arial" w:hAnsi="Arial" w:cs="Arial"/>
          <w:sz w:val="22"/>
          <w:szCs w:val="22"/>
        </w:rPr>
        <w:t xml:space="preserve">explored a year ago (Waller </w:t>
      </w:r>
      <w:r w:rsidRPr="00CF304D">
        <w:rPr>
          <w:rFonts w:ascii="Arial" w:hAnsi="Arial" w:cs="Arial"/>
          <w:i/>
          <w:sz w:val="22"/>
          <w:szCs w:val="22"/>
        </w:rPr>
        <w:t>et al</w:t>
      </w:r>
      <w:r>
        <w:rPr>
          <w:rFonts w:ascii="Arial" w:hAnsi="Arial" w:cs="Arial"/>
          <w:sz w:val="22"/>
          <w:szCs w:val="22"/>
        </w:rPr>
        <w:t xml:space="preserve">., 2014), </w:t>
      </w:r>
      <w:r w:rsidR="000C4CD4">
        <w:rPr>
          <w:rFonts w:ascii="Arial" w:hAnsi="Arial" w:cs="Arial"/>
          <w:sz w:val="22"/>
          <w:szCs w:val="22"/>
        </w:rPr>
        <w:t xml:space="preserve">in an editorial on </w:t>
      </w:r>
      <w:r>
        <w:rPr>
          <w:rFonts w:ascii="Arial" w:hAnsi="Arial" w:cs="Arial"/>
          <w:sz w:val="22"/>
          <w:szCs w:val="22"/>
        </w:rPr>
        <w:t xml:space="preserve">the role of universities in widening participation </w:t>
      </w:r>
      <w:r w:rsidR="00F57E11">
        <w:rPr>
          <w:rFonts w:ascii="Arial" w:hAnsi="Arial" w:cs="Arial"/>
          <w:sz w:val="22"/>
          <w:szCs w:val="22"/>
        </w:rPr>
        <w:t xml:space="preserve">in education </w:t>
      </w:r>
      <w:r>
        <w:rPr>
          <w:rFonts w:ascii="Arial" w:hAnsi="Arial" w:cs="Arial"/>
          <w:sz w:val="22"/>
          <w:szCs w:val="22"/>
        </w:rPr>
        <w:t xml:space="preserve">and (generally upward) social mobility in the globalized world. </w:t>
      </w:r>
      <w:r w:rsidRPr="00802840">
        <w:rPr>
          <w:rFonts w:ascii="Arial" w:hAnsi="Arial" w:cs="Arial"/>
          <w:sz w:val="22"/>
          <w:szCs w:val="22"/>
        </w:rPr>
        <w:t xml:space="preserve">Commentators in the </w:t>
      </w:r>
      <w:r>
        <w:rPr>
          <w:rFonts w:ascii="Arial" w:hAnsi="Arial" w:cs="Arial"/>
          <w:sz w:val="22"/>
          <w:szCs w:val="22"/>
        </w:rPr>
        <w:t>global north</w:t>
      </w:r>
      <w:r w:rsidRPr="00802840">
        <w:rPr>
          <w:rFonts w:ascii="Arial" w:hAnsi="Arial" w:cs="Arial"/>
          <w:sz w:val="22"/>
          <w:szCs w:val="22"/>
        </w:rPr>
        <w:t xml:space="preserve"> have noted a </w:t>
      </w:r>
      <w:r w:rsidR="000C4CD4">
        <w:rPr>
          <w:rFonts w:ascii="Arial" w:hAnsi="Arial" w:cs="Arial"/>
          <w:sz w:val="22"/>
          <w:szCs w:val="22"/>
        </w:rPr>
        <w:t xml:space="preserve">recent </w:t>
      </w:r>
      <w:r w:rsidRPr="00802840">
        <w:rPr>
          <w:rFonts w:ascii="Arial" w:hAnsi="Arial" w:cs="Arial"/>
          <w:sz w:val="22"/>
          <w:szCs w:val="22"/>
        </w:rPr>
        <w:t xml:space="preserve">shift in both governmental rhetoric and policy direction </w:t>
      </w:r>
      <w:r w:rsidR="000C4CD4">
        <w:rPr>
          <w:rFonts w:ascii="Arial" w:hAnsi="Arial" w:cs="Arial"/>
          <w:sz w:val="22"/>
          <w:szCs w:val="22"/>
        </w:rPr>
        <w:t xml:space="preserve">on </w:t>
      </w:r>
      <w:r>
        <w:rPr>
          <w:rFonts w:ascii="Arial" w:hAnsi="Arial" w:cs="Arial"/>
          <w:sz w:val="22"/>
          <w:szCs w:val="22"/>
        </w:rPr>
        <w:t>the role of education in social change</w:t>
      </w:r>
      <w:r w:rsidRPr="00802840">
        <w:rPr>
          <w:rFonts w:ascii="Arial" w:hAnsi="Arial" w:cs="Arial"/>
          <w:sz w:val="22"/>
          <w:szCs w:val="22"/>
        </w:rPr>
        <w:t xml:space="preserve">. </w:t>
      </w:r>
      <w:r>
        <w:rPr>
          <w:rFonts w:ascii="Arial" w:hAnsi="Arial" w:cs="Arial"/>
          <w:sz w:val="22"/>
          <w:szCs w:val="22"/>
        </w:rPr>
        <w:t xml:space="preserve">The movement </w:t>
      </w:r>
      <w:r w:rsidR="000C4CD4">
        <w:rPr>
          <w:rFonts w:ascii="Arial" w:hAnsi="Arial" w:cs="Arial"/>
          <w:sz w:val="22"/>
          <w:szCs w:val="22"/>
        </w:rPr>
        <w:t xml:space="preserve">has </w:t>
      </w:r>
      <w:r>
        <w:rPr>
          <w:rFonts w:ascii="Arial" w:hAnsi="Arial" w:cs="Arial"/>
          <w:sz w:val="22"/>
          <w:szCs w:val="22"/>
        </w:rPr>
        <w:t xml:space="preserve">essentially </w:t>
      </w:r>
      <w:r w:rsidR="000C4CD4">
        <w:rPr>
          <w:rFonts w:ascii="Arial" w:hAnsi="Arial" w:cs="Arial"/>
          <w:sz w:val="22"/>
          <w:szCs w:val="22"/>
        </w:rPr>
        <w:t xml:space="preserve">been </w:t>
      </w:r>
      <w:r w:rsidR="00F57E11">
        <w:rPr>
          <w:rFonts w:ascii="Arial" w:hAnsi="Arial" w:cs="Arial"/>
          <w:sz w:val="22"/>
          <w:szCs w:val="22"/>
        </w:rPr>
        <w:t xml:space="preserve">from </w:t>
      </w:r>
      <w:r>
        <w:rPr>
          <w:rFonts w:ascii="Arial" w:hAnsi="Arial" w:cs="Arial"/>
          <w:sz w:val="22"/>
          <w:szCs w:val="22"/>
        </w:rPr>
        <w:t>education polic</w:t>
      </w:r>
      <w:r w:rsidR="00F57E11">
        <w:rPr>
          <w:rFonts w:ascii="Arial" w:hAnsi="Arial" w:cs="Arial"/>
          <w:sz w:val="22"/>
          <w:szCs w:val="22"/>
        </w:rPr>
        <w:t>ies</w:t>
      </w:r>
      <w:r>
        <w:rPr>
          <w:rFonts w:ascii="Arial" w:hAnsi="Arial" w:cs="Arial"/>
          <w:sz w:val="22"/>
          <w:szCs w:val="22"/>
        </w:rPr>
        <w:t xml:space="preserve"> designed to help the man</w:t>
      </w:r>
      <w:r w:rsidR="00F57E11">
        <w:rPr>
          <w:rFonts w:ascii="Arial" w:hAnsi="Arial" w:cs="Arial"/>
          <w:sz w:val="22"/>
          <w:szCs w:val="22"/>
        </w:rPr>
        <w:t>y</w:t>
      </w:r>
      <w:r>
        <w:rPr>
          <w:rFonts w:ascii="Arial" w:hAnsi="Arial" w:cs="Arial"/>
          <w:sz w:val="22"/>
          <w:szCs w:val="22"/>
        </w:rPr>
        <w:t xml:space="preserve"> (e.g. for socially disadvantaged groups to access higher education</w:t>
      </w:r>
      <w:r w:rsidR="00F57E11">
        <w:rPr>
          <w:rFonts w:ascii="Arial" w:hAnsi="Arial" w:cs="Arial"/>
          <w:sz w:val="22"/>
          <w:szCs w:val="22"/>
        </w:rPr>
        <w:t>)</w:t>
      </w:r>
      <w:r>
        <w:rPr>
          <w:rFonts w:ascii="Arial" w:hAnsi="Arial" w:cs="Arial"/>
          <w:sz w:val="22"/>
          <w:szCs w:val="22"/>
        </w:rPr>
        <w:t>, to th</w:t>
      </w:r>
      <w:r w:rsidR="008A585D">
        <w:rPr>
          <w:rFonts w:ascii="Arial" w:hAnsi="Arial" w:cs="Arial"/>
          <w:sz w:val="22"/>
          <w:szCs w:val="22"/>
        </w:rPr>
        <w:t>ose</w:t>
      </w:r>
      <w:r>
        <w:rPr>
          <w:rFonts w:ascii="Arial" w:hAnsi="Arial" w:cs="Arial"/>
          <w:sz w:val="22"/>
          <w:szCs w:val="22"/>
        </w:rPr>
        <w:t xml:space="preserve"> designed to help a very select (and generally more capable) few</w:t>
      </w:r>
      <w:r w:rsidR="00BB5952">
        <w:rPr>
          <w:rFonts w:ascii="Arial" w:hAnsi="Arial" w:cs="Arial"/>
          <w:sz w:val="22"/>
          <w:szCs w:val="22"/>
        </w:rPr>
        <w:t>;</w:t>
      </w:r>
      <w:r>
        <w:rPr>
          <w:rFonts w:ascii="Arial" w:hAnsi="Arial" w:cs="Arial"/>
          <w:sz w:val="22"/>
          <w:szCs w:val="22"/>
        </w:rPr>
        <w:t xml:space="preserve"> that is, to permit just </w:t>
      </w:r>
      <w:r w:rsidR="00BB5952">
        <w:rPr>
          <w:rFonts w:ascii="Arial" w:hAnsi="Arial" w:cs="Arial"/>
          <w:sz w:val="22"/>
          <w:szCs w:val="22"/>
        </w:rPr>
        <w:t>‘</w:t>
      </w:r>
      <w:r>
        <w:rPr>
          <w:rFonts w:ascii="Arial" w:hAnsi="Arial" w:cs="Arial"/>
          <w:sz w:val="22"/>
          <w:szCs w:val="22"/>
        </w:rPr>
        <w:t>the best and the brightest</w:t>
      </w:r>
      <w:r w:rsidR="00BB5952">
        <w:rPr>
          <w:rFonts w:ascii="Arial" w:hAnsi="Arial" w:cs="Arial"/>
          <w:sz w:val="22"/>
          <w:szCs w:val="22"/>
        </w:rPr>
        <w:t>’</w:t>
      </w:r>
      <w:r>
        <w:rPr>
          <w:rFonts w:ascii="Arial" w:hAnsi="Arial" w:cs="Arial"/>
          <w:sz w:val="22"/>
          <w:szCs w:val="22"/>
        </w:rPr>
        <w:t xml:space="preserve"> from that background to enter a ‘top university’</w:t>
      </w:r>
      <w:r w:rsidR="00BB5952">
        <w:rPr>
          <w:rFonts w:ascii="Arial" w:hAnsi="Arial" w:cs="Arial"/>
          <w:sz w:val="22"/>
          <w:szCs w:val="22"/>
        </w:rPr>
        <w:t xml:space="preserve"> and be the beneficiar</w:t>
      </w:r>
      <w:r w:rsidR="000C4CD4">
        <w:rPr>
          <w:rFonts w:ascii="Arial" w:hAnsi="Arial" w:cs="Arial"/>
          <w:sz w:val="22"/>
          <w:szCs w:val="22"/>
        </w:rPr>
        <w:t>ies</w:t>
      </w:r>
      <w:r w:rsidR="00BB5952">
        <w:rPr>
          <w:rFonts w:ascii="Arial" w:hAnsi="Arial" w:cs="Arial"/>
          <w:sz w:val="22"/>
          <w:szCs w:val="22"/>
        </w:rPr>
        <w:t xml:space="preserve"> of the trappings of career success</w:t>
      </w:r>
      <w:r>
        <w:rPr>
          <w:rFonts w:ascii="Arial" w:hAnsi="Arial" w:cs="Arial"/>
          <w:sz w:val="22"/>
          <w:szCs w:val="22"/>
        </w:rPr>
        <w:t>. We seek here to identify how it came to be that, for much of the developed world in particular, the discourse and policy shift around educational fairness has changed since the turn of the Millennium, and in particular since the global economic crisis of 2008 onwards</w:t>
      </w:r>
      <w:r w:rsidR="000C4CD4">
        <w:rPr>
          <w:rFonts w:ascii="Arial" w:hAnsi="Arial" w:cs="Arial"/>
          <w:sz w:val="22"/>
          <w:szCs w:val="22"/>
        </w:rPr>
        <w:t>,</w:t>
      </w:r>
      <w:r w:rsidR="00BB5952">
        <w:rPr>
          <w:rFonts w:ascii="Arial" w:hAnsi="Arial" w:cs="Arial"/>
          <w:sz w:val="22"/>
          <w:szCs w:val="22"/>
        </w:rPr>
        <w:t xml:space="preserve"> from seeking a wide-ranging good of ‘social justice’ to a narrower target of ‘social mobility’ for a far smaller number</w:t>
      </w:r>
      <w:r>
        <w:rPr>
          <w:rFonts w:ascii="Arial" w:hAnsi="Arial" w:cs="Arial"/>
          <w:sz w:val="22"/>
          <w:szCs w:val="22"/>
        </w:rPr>
        <w:t xml:space="preserve">.  </w:t>
      </w:r>
    </w:p>
    <w:p w:rsidR="00B53E5D" w:rsidRDefault="00B53E5D" w:rsidP="00E4166E">
      <w:pPr>
        <w:rPr>
          <w:rFonts w:ascii="Arial" w:hAnsi="Arial" w:cs="Arial"/>
          <w:sz w:val="22"/>
          <w:szCs w:val="22"/>
        </w:rPr>
      </w:pPr>
    </w:p>
    <w:p w:rsidR="008B4962" w:rsidRDefault="000C4CD4" w:rsidP="00E4166E">
      <w:pPr>
        <w:rPr>
          <w:rFonts w:ascii="Arial" w:hAnsi="Arial" w:cs="Arial"/>
          <w:sz w:val="22"/>
          <w:szCs w:val="22"/>
        </w:rPr>
      </w:pPr>
      <w:r>
        <w:rPr>
          <w:rFonts w:ascii="Arial" w:hAnsi="Arial" w:cs="Arial"/>
          <w:sz w:val="22"/>
          <w:szCs w:val="22"/>
        </w:rPr>
        <w:t>A l</w:t>
      </w:r>
      <w:r w:rsidR="00E4166E">
        <w:rPr>
          <w:rFonts w:ascii="Arial" w:hAnsi="Arial" w:cs="Arial"/>
          <w:sz w:val="22"/>
          <w:szCs w:val="22"/>
        </w:rPr>
        <w:t>eading writer on education and economic development</w:t>
      </w:r>
      <w:r>
        <w:rPr>
          <w:rFonts w:ascii="Arial" w:hAnsi="Arial" w:cs="Arial"/>
          <w:sz w:val="22"/>
          <w:szCs w:val="22"/>
        </w:rPr>
        <w:t>,</w:t>
      </w:r>
      <w:r w:rsidR="00E4166E">
        <w:rPr>
          <w:rFonts w:ascii="Arial" w:hAnsi="Arial" w:cs="Arial"/>
          <w:sz w:val="22"/>
          <w:szCs w:val="22"/>
        </w:rPr>
        <w:t xml:space="preserve"> Shirley Walters (2014</w:t>
      </w:r>
      <w:r w:rsidR="00B53E5D">
        <w:rPr>
          <w:rFonts w:ascii="Arial" w:hAnsi="Arial" w:cs="Arial"/>
          <w:sz w:val="22"/>
          <w:szCs w:val="22"/>
        </w:rPr>
        <w:t>:186</w:t>
      </w:r>
      <w:r w:rsidR="00E4166E">
        <w:rPr>
          <w:rFonts w:ascii="Arial" w:hAnsi="Arial" w:cs="Arial"/>
          <w:sz w:val="22"/>
          <w:szCs w:val="22"/>
        </w:rPr>
        <w:t>)</w:t>
      </w:r>
      <w:r>
        <w:rPr>
          <w:rFonts w:ascii="Arial" w:hAnsi="Arial" w:cs="Arial"/>
          <w:sz w:val="22"/>
          <w:szCs w:val="22"/>
        </w:rPr>
        <w:t>,</w:t>
      </w:r>
      <w:r w:rsidR="00E4166E">
        <w:rPr>
          <w:rFonts w:ascii="Arial" w:hAnsi="Arial" w:cs="Arial"/>
          <w:sz w:val="22"/>
          <w:szCs w:val="22"/>
        </w:rPr>
        <w:t xml:space="preserve"> recently suggested ‘Learning has become an individualized and increasingly expensive possession’ that can be traded in the market place</w:t>
      </w:r>
      <w:r w:rsidR="00D16EBD">
        <w:rPr>
          <w:rFonts w:ascii="Arial" w:hAnsi="Arial" w:cs="Arial"/>
          <w:sz w:val="22"/>
          <w:szCs w:val="22"/>
        </w:rPr>
        <w:t xml:space="preserve"> with growing ease</w:t>
      </w:r>
      <w:r w:rsidR="00E4166E">
        <w:rPr>
          <w:rFonts w:ascii="Arial" w:hAnsi="Arial" w:cs="Arial"/>
          <w:sz w:val="22"/>
          <w:szCs w:val="22"/>
        </w:rPr>
        <w:t xml:space="preserve">. This is true both nationally and internationally as globalization </w:t>
      </w:r>
      <w:r w:rsidR="00D16EBD">
        <w:rPr>
          <w:rFonts w:ascii="Arial" w:hAnsi="Arial" w:cs="Arial"/>
          <w:sz w:val="22"/>
          <w:szCs w:val="22"/>
        </w:rPr>
        <w:t>leads to enhanced opportunities</w:t>
      </w:r>
      <w:r w:rsidR="00E4166E">
        <w:rPr>
          <w:rFonts w:ascii="Arial" w:hAnsi="Arial" w:cs="Arial"/>
          <w:sz w:val="22"/>
          <w:szCs w:val="22"/>
        </w:rPr>
        <w:t xml:space="preserve"> to study </w:t>
      </w:r>
      <w:r w:rsidR="00F9074A">
        <w:rPr>
          <w:rFonts w:ascii="Arial" w:hAnsi="Arial" w:cs="Arial"/>
          <w:sz w:val="22"/>
          <w:szCs w:val="22"/>
        </w:rPr>
        <w:t xml:space="preserve">or gain employment </w:t>
      </w:r>
      <w:r w:rsidR="00E4166E">
        <w:rPr>
          <w:rFonts w:ascii="Arial" w:hAnsi="Arial" w:cs="Arial"/>
          <w:sz w:val="22"/>
          <w:szCs w:val="22"/>
        </w:rPr>
        <w:t>abroad</w:t>
      </w:r>
      <w:r w:rsidR="00F9074A">
        <w:rPr>
          <w:rFonts w:ascii="Arial" w:hAnsi="Arial" w:cs="Arial"/>
          <w:sz w:val="22"/>
          <w:szCs w:val="22"/>
        </w:rPr>
        <w:t xml:space="preserve"> for those </w:t>
      </w:r>
      <w:r w:rsidR="00BB5952">
        <w:rPr>
          <w:rFonts w:ascii="Arial" w:hAnsi="Arial" w:cs="Arial"/>
          <w:sz w:val="22"/>
          <w:szCs w:val="22"/>
        </w:rPr>
        <w:t>unencumbered by family commitments or other constraints</w:t>
      </w:r>
      <w:r w:rsidR="00E4166E">
        <w:rPr>
          <w:rFonts w:ascii="Arial" w:hAnsi="Arial" w:cs="Arial"/>
          <w:sz w:val="22"/>
          <w:szCs w:val="22"/>
        </w:rPr>
        <w:t xml:space="preserve">. </w:t>
      </w:r>
      <w:r w:rsidR="00D16EBD">
        <w:rPr>
          <w:rFonts w:ascii="Arial" w:hAnsi="Arial" w:cs="Arial"/>
          <w:sz w:val="22"/>
          <w:szCs w:val="22"/>
        </w:rPr>
        <w:t>However, t</w:t>
      </w:r>
      <w:r w:rsidR="00E4166E">
        <w:rPr>
          <w:rFonts w:ascii="Arial" w:hAnsi="Arial" w:cs="Arial"/>
          <w:sz w:val="22"/>
          <w:szCs w:val="22"/>
        </w:rPr>
        <w:t>his</w:t>
      </w:r>
      <w:r w:rsidR="00D16EBD">
        <w:rPr>
          <w:rFonts w:ascii="Arial" w:hAnsi="Arial" w:cs="Arial"/>
          <w:sz w:val="22"/>
          <w:szCs w:val="22"/>
        </w:rPr>
        <w:t xml:space="preserve"> process is not open </w:t>
      </w:r>
      <w:r w:rsidR="008A585D">
        <w:rPr>
          <w:rFonts w:ascii="Arial" w:hAnsi="Arial" w:cs="Arial"/>
          <w:sz w:val="22"/>
          <w:szCs w:val="22"/>
        </w:rPr>
        <w:t xml:space="preserve">to all citizens </w:t>
      </w:r>
      <w:r w:rsidR="00D16EBD">
        <w:rPr>
          <w:rFonts w:ascii="Arial" w:hAnsi="Arial" w:cs="Arial"/>
          <w:sz w:val="22"/>
          <w:szCs w:val="22"/>
        </w:rPr>
        <w:t>equally,</w:t>
      </w:r>
      <w:r w:rsidR="00E4166E">
        <w:rPr>
          <w:rFonts w:ascii="Arial" w:hAnsi="Arial" w:cs="Arial"/>
          <w:sz w:val="22"/>
          <w:szCs w:val="22"/>
        </w:rPr>
        <w:t xml:space="preserve"> lead</w:t>
      </w:r>
      <w:r w:rsidR="00D16EBD">
        <w:rPr>
          <w:rFonts w:ascii="Arial" w:hAnsi="Arial" w:cs="Arial"/>
          <w:sz w:val="22"/>
          <w:szCs w:val="22"/>
        </w:rPr>
        <w:t>ing</w:t>
      </w:r>
      <w:r w:rsidR="00E4166E">
        <w:rPr>
          <w:rFonts w:ascii="Arial" w:hAnsi="Arial" w:cs="Arial"/>
          <w:sz w:val="22"/>
          <w:szCs w:val="22"/>
        </w:rPr>
        <w:t xml:space="preserve"> to a widening gap between rich and poor, both international</w:t>
      </w:r>
      <w:r w:rsidR="004355D9">
        <w:rPr>
          <w:rFonts w:ascii="Arial" w:hAnsi="Arial" w:cs="Arial"/>
          <w:sz w:val="22"/>
          <w:szCs w:val="22"/>
        </w:rPr>
        <w:t>ly</w:t>
      </w:r>
      <w:r w:rsidR="00E4166E">
        <w:rPr>
          <w:rFonts w:ascii="Arial" w:hAnsi="Arial" w:cs="Arial"/>
          <w:sz w:val="22"/>
          <w:szCs w:val="22"/>
        </w:rPr>
        <w:t xml:space="preserve"> and within any given economy or society</w:t>
      </w:r>
      <w:r w:rsidR="00EE3F37">
        <w:rPr>
          <w:rFonts w:ascii="Arial" w:hAnsi="Arial" w:cs="Arial"/>
          <w:sz w:val="22"/>
          <w:szCs w:val="22"/>
        </w:rPr>
        <w:t>. M</w:t>
      </w:r>
      <w:r w:rsidR="00B53E5D">
        <w:rPr>
          <w:rFonts w:ascii="Arial" w:hAnsi="Arial" w:cs="Arial"/>
          <w:sz w:val="22"/>
          <w:szCs w:val="22"/>
        </w:rPr>
        <w:t xml:space="preserve">ost developed societies are becoming economically more polarised despite politicians and </w:t>
      </w:r>
      <w:r w:rsidR="00B933DC">
        <w:rPr>
          <w:rFonts w:ascii="Arial" w:hAnsi="Arial" w:cs="Arial"/>
          <w:sz w:val="22"/>
          <w:szCs w:val="22"/>
        </w:rPr>
        <w:t>commentators</w:t>
      </w:r>
      <w:r w:rsidR="00B53E5D">
        <w:rPr>
          <w:rFonts w:ascii="Arial" w:hAnsi="Arial" w:cs="Arial"/>
          <w:sz w:val="22"/>
          <w:szCs w:val="22"/>
        </w:rPr>
        <w:t xml:space="preserve"> paying lip service to notions of greater equality – see the clamour to </w:t>
      </w:r>
      <w:r w:rsidR="00EE3F37">
        <w:rPr>
          <w:rFonts w:ascii="Arial" w:hAnsi="Arial" w:cs="Arial"/>
          <w:sz w:val="22"/>
          <w:szCs w:val="22"/>
        </w:rPr>
        <w:t xml:space="preserve">publicly support if not actually </w:t>
      </w:r>
      <w:r w:rsidR="00BB5952">
        <w:rPr>
          <w:rFonts w:ascii="Arial" w:hAnsi="Arial" w:cs="Arial"/>
          <w:sz w:val="22"/>
          <w:szCs w:val="22"/>
        </w:rPr>
        <w:t xml:space="preserve">implement policy to advance </w:t>
      </w:r>
      <w:r w:rsidR="00B53E5D">
        <w:rPr>
          <w:rFonts w:ascii="Arial" w:hAnsi="Arial" w:cs="Arial"/>
          <w:sz w:val="22"/>
          <w:szCs w:val="22"/>
        </w:rPr>
        <w:t xml:space="preserve">the ideas of </w:t>
      </w:r>
      <w:r w:rsidR="00B53E5D">
        <w:rPr>
          <w:rFonts w:ascii="Arial" w:hAnsi="Arial" w:cs="Arial"/>
          <w:i/>
          <w:sz w:val="22"/>
          <w:szCs w:val="22"/>
        </w:rPr>
        <w:t xml:space="preserve">The Spirit Level </w:t>
      </w:r>
      <w:r w:rsidR="00B53E5D">
        <w:rPr>
          <w:rFonts w:ascii="Arial" w:hAnsi="Arial" w:cs="Arial"/>
          <w:sz w:val="22"/>
          <w:szCs w:val="22"/>
        </w:rPr>
        <w:t>for instance (</w:t>
      </w:r>
      <w:r w:rsidR="00B933DC">
        <w:rPr>
          <w:rFonts w:ascii="Arial" w:hAnsi="Arial" w:cs="Arial"/>
          <w:sz w:val="22"/>
          <w:szCs w:val="22"/>
        </w:rPr>
        <w:t>Wilkinson and Pickett, 2010)</w:t>
      </w:r>
      <w:r w:rsidR="00E4166E">
        <w:rPr>
          <w:rFonts w:ascii="Arial" w:hAnsi="Arial" w:cs="Arial"/>
          <w:sz w:val="22"/>
          <w:szCs w:val="22"/>
        </w:rPr>
        <w:t xml:space="preserve">. </w:t>
      </w:r>
      <w:r w:rsidR="00F03768">
        <w:rPr>
          <w:rFonts w:ascii="Arial" w:hAnsi="Arial" w:cs="Arial"/>
          <w:sz w:val="22"/>
          <w:szCs w:val="22"/>
        </w:rPr>
        <w:t>I</w:t>
      </w:r>
      <w:r w:rsidR="00EE3F37">
        <w:rPr>
          <w:rFonts w:ascii="Arial" w:hAnsi="Arial" w:cs="Arial"/>
          <w:sz w:val="22"/>
          <w:szCs w:val="22"/>
        </w:rPr>
        <w:t xml:space="preserve">ndividuals </w:t>
      </w:r>
      <w:r w:rsidR="00E4166E">
        <w:rPr>
          <w:rFonts w:ascii="Arial" w:hAnsi="Arial" w:cs="Arial"/>
          <w:sz w:val="22"/>
          <w:szCs w:val="22"/>
        </w:rPr>
        <w:t xml:space="preserve">with significant levels of </w:t>
      </w:r>
      <w:r w:rsidR="00F03768">
        <w:rPr>
          <w:rFonts w:ascii="Arial" w:hAnsi="Arial" w:cs="Arial"/>
          <w:sz w:val="22"/>
          <w:szCs w:val="22"/>
        </w:rPr>
        <w:t xml:space="preserve">initial </w:t>
      </w:r>
      <w:r w:rsidR="00E4166E">
        <w:rPr>
          <w:rFonts w:ascii="Arial" w:hAnsi="Arial" w:cs="Arial"/>
          <w:sz w:val="22"/>
          <w:szCs w:val="22"/>
        </w:rPr>
        <w:t>education are able to pursue opportunities for lifelong learning</w:t>
      </w:r>
      <w:r w:rsidR="00D16EBD">
        <w:rPr>
          <w:rFonts w:ascii="Arial" w:hAnsi="Arial" w:cs="Arial"/>
          <w:sz w:val="22"/>
          <w:szCs w:val="22"/>
        </w:rPr>
        <w:t xml:space="preserve"> far more readily than</w:t>
      </w:r>
      <w:r w:rsidR="00E4166E">
        <w:rPr>
          <w:rFonts w:ascii="Arial" w:hAnsi="Arial" w:cs="Arial"/>
          <w:sz w:val="22"/>
          <w:szCs w:val="22"/>
        </w:rPr>
        <w:t xml:space="preserve"> those with little or inadequate formal education. </w:t>
      </w:r>
      <w:r w:rsidR="00D632EA">
        <w:rPr>
          <w:rFonts w:ascii="Arial" w:hAnsi="Arial" w:cs="Arial"/>
          <w:sz w:val="22"/>
          <w:szCs w:val="22"/>
        </w:rPr>
        <w:t xml:space="preserve">This </w:t>
      </w:r>
      <w:r w:rsidR="00F03768">
        <w:rPr>
          <w:rFonts w:ascii="Arial" w:hAnsi="Arial" w:cs="Arial"/>
          <w:sz w:val="22"/>
          <w:szCs w:val="22"/>
        </w:rPr>
        <w:t xml:space="preserve">enhances </w:t>
      </w:r>
      <w:r w:rsidR="00D632EA">
        <w:rPr>
          <w:rFonts w:ascii="Arial" w:hAnsi="Arial" w:cs="Arial"/>
          <w:sz w:val="22"/>
          <w:szCs w:val="22"/>
        </w:rPr>
        <w:t>competition for increasingly scarce resources such as opportunities</w:t>
      </w:r>
      <w:r w:rsidR="00BB5952">
        <w:rPr>
          <w:rFonts w:ascii="Arial" w:hAnsi="Arial" w:cs="Arial"/>
          <w:sz w:val="22"/>
          <w:szCs w:val="22"/>
        </w:rPr>
        <w:t xml:space="preserve"> for educational experiences and qualifications</w:t>
      </w:r>
      <w:r w:rsidR="00D632EA">
        <w:rPr>
          <w:rFonts w:ascii="Arial" w:hAnsi="Arial" w:cs="Arial"/>
          <w:sz w:val="22"/>
          <w:szCs w:val="22"/>
        </w:rPr>
        <w:t xml:space="preserve">. </w:t>
      </w:r>
    </w:p>
    <w:p w:rsidR="008B4962" w:rsidRDefault="008B4962" w:rsidP="00E4166E">
      <w:pPr>
        <w:rPr>
          <w:rFonts w:ascii="Arial" w:hAnsi="Arial" w:cs="Arial"/>
          <w:sz w:val="22"/>
          <w:szCs w:val="22"/>
        </w:rPr>
      </w:pPr>
    </w:p>
    <w:p w:rsidR="008B4962" w:rsidRDefault="00A11EFE" w:rsidP="008B4962">
      <w:pPr>
        <w:rPr>
          <w:rFonts w:ascii="Arial" w:hAnsi="Arial" w:cs="Arial"/>
          <w:sz w:val="22"/>
          <w:szCs w:val="22"/>
        </w:rPr>
      </w:pPr>
      <w:r>
        <w:rPr>
          <w:rFonts w:ascii="Arial" w:hAnsi="Arial" w:cs="Arial"/>
          <w:sz w:val="22"/>
          <w:szCs w:val="22"/>
        </w:rPr>
        <w:t xml:space="preserve">Most </w:t>
      </w:r>
      <w:r w:rsidR="008B4962">
        <w:rPr>
          <w:rFonts w:ascii="Arial" w:hAnsi="Arial" w:cs="Arial"/>
          <w:sz w:val="22"/>
          <w:szCs w:val="22"/>
        </w:rPr>
        <w:t>commentators</w:t>
      </w:r>
      <w:r>
        <w:rPr>
          <w:rFonts w:ascii="Arial" w:hAnsi="Arial" w:cs="Arial"/>
          <w:sz w:val="22"/>
          <w:szCs w:val="22"/>
        </w:rPr>
        <w:t>, and in</w:t>
      </w:r>
      <w:r w:rsidR="008B4962">
        <w:rPr>
          <w:rFonts w:ascii="Arial" w:hAnsi="Arial" w:cs="Arial"/>
          <w:sz w:val="22"/>
          <w:szCs w:val="22"/>
        </w:rPr>
        <w:t xml:space="preserve"> </w:t>
      </w:r>
      <w:r>
        <w:rPr>
          <w:rFonts w:ascii="Arial" w:hAnsi="Arial" w:cs="Arial"/>
          <w:sz w:val="22"/>
          <w:szCs w:val="22"/>
        </w:rPr>
        <w:t>particular those f</w:t>
      </w:r>
      <w:r w:rsidR="008B4962">
        <w:rPr>
          <w:rFonts w:ascii="Arial" w:hAnsi="Arial" w:cs="Arial"/>
          <w:sz w:val="22"/>
          <w:szCs w:val="22"/>
        </w:rPr>
        <w:t>r</w:t>
      </w:r>
      <w:r>
        <w:rPr>
          <w:rFonts w:ascii="Arial" w:hAnsi="Arial" w:cs="Arial"/>
          <w:sz w:val="22"/>
          <w:szCs w:val="22"/>
        </w:rPr>
        <w:t xml:space="preserve">om the </w:t>
      </w:r>
      <w:r w:rsidR="008B4962">
        <w:rPr>
          <w:rFonts w:ascii="Arial" w:hAnsi="Arial" w:cs="Arial"/>
          <w:sz w:val="22"/>
          <w:szCs w:val="22"/>
        </w:rPr>
        <w:t xml:space="preserve">political </w:t>
      </w:r>
      <w:r>
        <w:rPr>
          <w:rFonts w:ascii="Arial" w:hAnsi="Arial" w:cs="Arial"/>
          <w:sz w:val="22"/>
          <w:szCs w:val="22"/>
        </w:rPr>
        <w:t xml:space="preserve">left, suggest the </w:t>
      </w:r>
      <w:r w:rsidR="00B933DC">
        <w:rPr>
          <w:rFonts w:ascii="Arial" w:hAnsi="Arial" w:cs="Arial"/>
          <w:sz w:val="22"/>
          <w:szCs w:val="22"/>
        </w:rPr>
        <w:t xml:space="preserve">current </w:t>
      </w:r>
      <w:r>
        <w:rPr>
          <w:rFonts w:ascii="Arial" w:hAnsi="Arial" w:cs="Arial"/>
          <w:sz w:val="22"/>
          <w:szCs w:val="22"/>
        </w:rPr>
        <w:t xml:space="preserve">world system of exchange is a </w:t>
      </w:r>
      <w:r w:rsidR="008B4962">
        <w:rPr>
          <w:rFonts w:ascii="Arial" w:hAnsi="Arial" w:cs="Arial"/>
          <w:sz w:val="22"/>
          <w:szCs w:val="22"/>
        </w:rPr>
        <w:t>‘</w:t>
      </w:r>
      <w:r>
        <w:rPr>
          <w:rFonts w:ascii="Arial" w:hAnsi="Arial" w:cs="Arial"/>
          <w:sz w:val="22"/>
          <w:szCs w:val="22"/>
        </w:rPr>
        <w:t>neo-liberal</w:t>
      </w:r>
      <w:r w:rsidR="008B4962">
        <w:rPr>
          <w:rFonts w:ascii="Arial" w:hAnsi="Arial" w:cs="Arial"/>
          <w:sz w:val="22"/>
          <w:szCs w:val="22"/>
        </w:rPr>
        <w:t>’</w:t>
      </w:r>
      <w:r w:rsidR="00BB5952">
        <w:rPr>
          <w:rFonts w:ascii="Arial" w:hAnsi="Arial" w:cs="Arial"/>
          <w:sz w:val="22"/>
          <w:szCs w:val="22"/>
        </w:rPr>
        <w:t xml:space="preserve"> capitalist</w:t>
      </w:r>
      <w:r>
        <w:rPr>
          <w:rFonts w:ascii="Arial" w:hAnsi="Arial" w:cs="Arial"/>
          <w:sz w:val="22"/>
          <w:szCs w:val="22"/>
        </w:rPr>
        <w:t xml:space="preserve"> one</w:t>
      </w:r>
      <w:r w:rsidR="008B4962">
        <w:rPr>
          <w:rFonts w:ascii="Arial" w:hAnsi="Arial" w:cs="Arial"/>
          <w:sz w:val="22"/>
          <w:szCs w:val="22"/>
        </w:rPr>
        <w:t>, which</w:t>
      </w:r>
      <w:r>
        <w:rPr>
          <w:rFonts w:ascii="Arial" w:hAnsi="Arial" w:cs="Arial"/>
          <w:sz w:val="22"/>
          <w:szCs w:val="22"/>
        </w:rPr>
        <w:t xml:space="preserve"> </w:t>
      </w:r>
      <w:r w:rsidR="00D632EA" w:rsidRPr="00D632EA">
        <w:rPr>
          <w:rFonts w:ascii="Arial" w:hAnsi="Arial" w:cs="Arial"/>
          <w:sz w:val="22"/>
          <w:szCs w:val="22"/>
        </w:rPr>
        <w:t xml:space="preserve">Flew (2014:56) </w:t>
      </w:r>
      <w:r w:rsidR="008B4962">
        <w:rPr>
          <w:rFonts w:ascii="Arial" w:hAnsi="Arial" w:cs="Arial"/>
          <w:sz w:val="22"/>
          <w:szCs w:val="22"/>
        </w:rPr>
        <w:t>characterises as ‘</w:t>
      </w:r>
      <w:r w:rsidR="00D632EA" w:rsidRPr="00D632EA">
        <w:rPr>
          <w:rFonts w:ascii="Arial" w:hAnsi="Arial" w:cs="Arial"/>
          <w:sz w:val="22"/>
          <w:szCs w:val="22"/>
        </w:rPr>
        <w:t>a political ideology associated with economic globalization and the rise of financial capitalism.’</w:t>
      </w:r>
      <w:r w:rsidR="008B4962">
        <w:rPr>
          <w:rFonts w:ascii="Arial" w:hAnsi="Arial" w:cs="Arial"/>
          <w:sz w:val="22"/>
          <w:szCs w:val="22"/>
        </w:rPr>
        <w:t xml:space="preserve"> </w:t>
      </w:r>
      <w:r w:rsidR="00C54C5E">
        <w:rPr>
          <w:rFonts w:ascii="Arial" w:hAnsi="Arial" w:cs="Arial"/>
          <w:sz w:val="22"/>
          <w:szCs w:val="22"/>
        </w:rPr>
        <w:t>In</w:t>
      </w:r>
      <w:r w:rsidR="008B4962">
        <w:rPr>
          <w:rFonts w:ascii="Arial" w:hAnsi="Arial" w:cs="Arial"/>
          <w:sz w:val="22"/>
          <w:szCs w:val="22"/>
        </w:rPr>
        <w:t xml:space="preserve"> offer</w:t>
      </w:r>
      <w:r w:rsidR="00C54C5E">
        <w:rPr>
          <w:rFonts w:ascii="Arial" w:hAnsi="Arial" w:cs="Arial"/>
          <w:sz w:val="22"/>
          <w:szCs w:val="22"/>
        </w:rPr>
        <w:t>ing</w:t>
      </w:r>
      <w:r w:rsidR="008B4962">
        <w:rPr>
          <w:rFonts w:ascii="Arial" w:hAnsi="Arial" w:cs="Arial"/>
          <w:sz w:val="22"/>
          <w:szCs w:val="22"/>
        </w:rPr>
        <w:t xml:space="preserve"> further clarification, Flew (2014:59) draws upon Brown (2006:694), who suggests ‘part of what makes neoliberalism “neo” is that it depicts free markets, free trade, and entrepreneurial rationality as achieved and normative, as promulgated through law and through social and economic policy’, with political and social spheres being ‘appropriately dominated by market concerns and as themselves organized by market rationality’.</w:t>
      </w:r>
      <w:r w:rsidR="00C54C5E">
        <w:rPr>
          <w:rFonts w:ascii="Arial" w:hAnsi="Arial" w:cs="Arial"/>
          <w:sz w:val="22"/>
          <w:szCs w:val="22"/>
        </w:rPr>
        <w:t xml:space="preserve"> It is a ‘common sense’ system hiding behind a veneer of meritocracy </w:t>
      </w:r>
      <w:r w:rsidR="00FA3F75">
        <w:rPr>
          <w:rFonts w:ascii="Arial" w:hAnsi="Arial" w:cs="Arial"/>
          <w:sz w:val="22"/>
          <w:szCs w:val="22"/>
        </w:rPr>
        <w:t>in which the most capable and hardest working are the inevitable beneficiaries; however, the reality is somewhat different.</w:t>
      </w:r>
    </w:p>
    <w:p w:rsidR="00E4166E" w:rsidRDefault="00E4166E" w:rsidP="00E4166E">
      <w:pPr>
        <w:rPr>
          <w:rFonts w:ascii="Arial" w:hAnsi="Arial" w:cs="Arial"/>
          <w:sz w:val="22"/>
          <w:szCs w:val="22"/>
        </w:rPr>
      </w:pPr>
    </w:p>
    <w:p w:rsidR="000D6560" w:rsidRPr="00D44121" w:rsidRDefault="0015655C">
      <w:pPr>
        <w:rPr>
          <w:rFonts w:ascii="Arial" w:hAnsi="Arial" w:cs="Arial"/>
          <w:sz w:val="22"/>
          <w:szCs w:val="22"/>
        </w:rPr>
      </w:pPr>
      <w:r>
        <w:rPr>
          <w:rFonts w:ascii="Arial" w:hAnsi="Arial" w:cs="Arial"/>
          <w:sz w:val="22"/>
          <w:szCs w:val="22"/>
        </w:rPr>
        <w:t>A distinct shift can be detected in terms of the focus of education policy</w:t>
      </w:r>
      <w:r w:rsidR="00BB5952">
        <w:rPr>
          <w:rFonts w:ascii="Arial" w:hAnsi="Arial" w:cs="Arial"/>
          <w:sz w:val="22"/>
          <w:szCs w:val="22"/>
        </w:rPr>
        <w:t xml:space="preserve"> </w:t>
      </w:r>
      <w:r w:rsidR="00CD72F9">
        <w:rPr>
          <w:rFonts w:ascii="Arial" w:hAnsi="Arial" w:cs="Arial"/>
          <w:sz w:val="22"/>
          <w:szCs w:val="22"/>
        </w:rPr>
        <w:t>across much of the globe in the last decade and a half.</w:t>
      </w:r>
      <w:r>
        <w:rPr>
          <w:rFonts w:ascii="Arial" w:hAnsi="Arial" w:cs="Arial"/>
          <w:sz w:val="22"/>
          <w:szCs w:val="22"/>
        </w:rPr>
        <w:t xml:space="preserve"> </w:t>
      </w:r>
      <w:r w:rsidR="00405C6F" w:rsidRPr="00802840">
        <w:rPr>
          <w:rFonts w:ascii="Arial" w:hAnsi="Arial" w:cs="Arial"/>
          <w:sz w:val="22"/>
          <w:szCs w:val="22"/>
        </w:rPr>
        <w:t>In the UK for instance, the recommendations of the</w:t>
      </w:r>
      <w:r w:rsidR="00802840">
        <w:rPr>
          <w:rFonts w:ascii="Arial" w:hAnsi="Arial" w:cs="Arial"/>
          <w:sz w:val="22"/>
          <w:szCs w:val="22"/>
        </w:rPr>
        <w:t xml:space="preserve"> reports </w:t>
      </w:r>
      <w:r w:rsidR="00CF304D">
        <w:rPr>
          <w:rFonts w:ascii="Arial" w:hAnsi="Arial" w:cs="Arial"/>
          <w:sz w:val="22"/>
          <w:szCs w:val="22"/>
        </w:rPr>
        <w:t xml:space="preserve">(2009; 2012; 2014; 2015) </w:t>
      </w:r>
      <w:r w:rsidR="00802840">
        <w:rPr>
          <w:rFonts w:ascii="Arial" w:hAnsi="Arial" w:cs="Arial"/>
          <w:sz w:val="22"/>
          <w:szCs w:val="22"/>
        </w:rPr>
        <w:t xml:space="preserve">from the </w:t>
      </w:r>
      <w:r w:rsidR="00405C6F" w:rsidRPr="00802840">
        <w:rPr>
          <w:rFonts w:ascii="Arial" w:hAnsi="Arial" w:cs="Arial"/>
          <w:i/>
          <w:sz w:val="22"/>
          <w:szCs w:val="22"/>
        </w:rPr>
        <w:t>Independent Reviewer on Social Mobility and Child Poverty</w:t>
      </w:r>
      <w:r w:rsidR="00405C6F" w:rsidRPr="00802840">
        <w:rPr>
          <w:rFonts w:ascii="Arial" w:hAnsi="Arial" w:cs="Arial"/>
          <w:sz w:val="22"/>
          <w:szCs w:val="22"/>
        </w:rPr>
        <w:t xml:space="preserve"> </w:t>
      </w:r>
      <w:r w:rsidR="0099745E">
        <w:rPr>
          <w:rFonts w:ascii="Arial" w:hAnsi="Arial" w:cs="Arial"/>
          <w:sz w:val="22"/>
          <w:szCs w:val="22"/>
        </w:rPr>
        <w:t>(</w:t>
      </w:r>
      <w:r w:rsidR="00405C6F" w:rsidRPr="00802840">
        <w:rPr>
          <w:rFonts w:ascii="Arial" w:hAnsi="Arial" w:cs="Arial"/>
          <w:sz w:val="22"/>
          <w:szCs w:val="22"/>
        </w:rPr>
        <w:t xml:space="preserve">chaired by </w:t>
      </w:r>
      <w:r w:rsidR="0099745E">
        <w:rPr>
          <w:rFonts w:ascii="Arial" w:hAnsi="Arial" w:cs="Arial"/>
          <w:sz w:val="22"/>
          <w:szCs w:val="22"/>
        </w:rPr>
        <w:t xml:space="preserve">ex-MP </w:t>
      </w:r>
      <w:r w:rsidR="00405C6F" w:rsidRPr="00802840">
        <w:rPr>
          <w:rFonts w:ascii="Arial" w:hAnsi="Arial" w:cs="Arial"/>
          <w:sz w:val="22"/>
          <w:szCs w:val="22"/>
        </w:rPr>
        <w:t xml:space="preserve">Alan </w:t>
      </w:r>
      <w:r w:rsidR="00405C6F" w:rsidRPr="00D44121">
        <w:rPr>
          <w:rFonts w:ascii="Arial" w:hAnsi="Arial" w:cs="Arial"/>
          <w:sz w:val="22"/>
          <w:szCs w:val="22"/>
        </w:rPr>
        <w:t>Milburn</w:t>
      </w:r>
      <w:r w:rsidR="0099745E">
        <w:rPr>
          <w:rFonts w:ascii="Arial" w:hAnsi="Arial" w:cs="Arial"/>
          <w:sz w:val="22"/>
          <w:szCs w:val="22"/>
        </w:rPr>
        <w:t>)</w:t>
      </w:r>
      <w:r w:rsidR="00802840" w:rsidRPr="00D44121">
        <w:rPr>
          <w:rFonts w:ascii="Arial" w:hAnsi="Arial" w:cs="Arial"/>
          <w:sz w:val="22"/>
          <w:szCs w:val="22"/>
        </w:rPr>
        <w:t>,</w:t>
      </w:r>
      <w:r w:rsidR="00405C6F" w:rsidRPr="00D44121">
        <w:rPr>
          <w:rFonts w:ascii="Arial" w:hAnsi="Arial" w:cs="Arial"/>
          <w:sz w:val="22"/>
          <w:szCs w:val="22"/>
        </w:rPr>
        <w:t xml:space="preserve"> focus on promoting social mobility</w:t>
      </w:r>
      <w:r w:rsidR="00B06B5D">
        <w:rPr>
          <w:rFonts w:ascii="Arial" w:hAnsi="Arial" w:cs="Arial"/>
          <w:sz w:val="22"/>
          <w:szCs w:val="22"/>
        </w:rPr>
        <w:t>, rather than moving towards greater equality</w:t>
      </w:r>
      <w:r w:rsidR="00C366E4">
        <w:rPr>
          <w:rFonts w:ascii="Arial" w:hAnsi="Arial" w:cs="Arial"/>
          <w:sz w:val="22"/>
          <w:szCs w:val="22"/>
        </w:rPr>
        <w:t>.</w:t>
      </w:r>
      <w:r w:rsidR="00B06B5D">
        <w:rPr>
          <w:rFonts w:ascii="Arial" w:hAnsi="Arial" w:cs="Arial"/>
          <w:sz w:val="22"/>
          <w:szCs w:val="22"/>
        </w:rPr>
        <w:t xml:space="preserve"> </w:t>
      </w:r>
      <w:r w:rsidR="00C366E4">
        <w:rPr>
          <w:rFonts w:ascii="Arial" w:hAnsi="Arial" w:cs="Arial"/>
          <w:sz w:val="22"/>
          <w:szCs w:val="22"/>
        </w:rPr>
        <w:t>E</w:t>
      </w:r>
      <w:r w:rsidR="00B06B5D">
        <w:rPr>
          <w:rFonts w:ascii="Arial" w:hAnsi="Arial" w:cs="Arial"/>
          <w:sz w:val="22"/>
          <w:szCs w:val="22"/>
        </w:rPr>
        <w:t xml:space="preserve">galitarian ideas such as </w:t>
      </w:r>
      <w:r w:rsidR="0099745E">
        <w:rPr>
          <w:rFonts w:ascii="Arial" w:hAnsi="Arial" w:cs="Arial"/>
          <w:sz w:val="22"/>
          <w:szCs w:val="22"/>
        </w:rPr>
        <w:t>‘</w:t>
      </w:r>
      <w:r w:rsidR="00B06B5D">
        <w:rPr>
          <w:rFonts w:ascii="Arial" w:hAnsi="Arial" w:cs="Arial"/>
          <w:sz w:val="22"/>
          <w:szCs w:val="22"/>
        </w:rPr>
        <w:t>social justice</w:t>
      </w:r>
      <w:r w:rsidR="0099745E">
        <w:rPr>
          <w:rFonts w:ascii="Arial" w:hAnsi="Arial" w:cs="Arial"/>
          <w:sz w:val="22"/>
          <w:szCs w:val="22"/>
        </w:rPr>
        <w:t>’</w:t>
      </w:r>
      <w:r w:rsidR="00B06B5D">
        <w:rPr>
          <w:rFonts w:ascii="Arial" w:hAnsi="Arial" w:cs="Arial"/>
          <w:sz w:val="22"/>
          <w:szCs w:val="22"/>
        </w:rPr>
        <w:t xml:space="preserve"> seem to have slipped f</w:t>
      </w:r>
      <w:r w:rsidR="0099745E">
        <w:rPr>
          <w:rFonts w:ascii="Arial" w:hAnsi="Arial" w:cs="Arial"/>
          <w:sz w:val="22"/>
          <w:szCs w:val="22"/>
        </w:rPr>
        <w:t>r</w:t>
      </w:r>
      <w:r w:rsidR="00B06B5D">
        <w:rPr>
          <w:rFonts w:ascii="Arial" w:hAnsi="Arial" w:cs="Arial"/>
          <w:sz w:val="22"/>
          <w:szCs w:val="22"/>
        </w:rPr>
        <w:t>om the policy agenda altogether in Britain and other developed nations.</w:t>
      </w:r>
      <w:r w:rsidR="00802840" w:rsidRPr="00D44121">
        <w:rPr>
          <w:rFonts w:ascii="Arial" w:hAnsi="Arial" w:cs="Arial"/>
          <w:sz w:val="22"/>
          <w:szCs w:val="22"/>
        </w:rPr>
        <w:t xml:space="preserve"> Whilst </w:t>
      </w:r>
      <w:r w:rsidR="00B06B5D">
        <w:rPr>
          <w:rFonts w:ascii="Arial" w:hAnsi="Arial" w:cs="Arial"/>
          <w:sz w:val="22"/>
          <w:szCs w:val="22"/>
        </w:rPr>
        <w:t>we may consider upward social mobility for some economically and socially disadvantaged individuals a laudable aim, i</w:t>
      </w:r>
      <w:r w:rsidR="00802840" w:rsidRPr="00D44121">
        <w:rPr>
          <w:rFonts w:ascii="Arial" w:hAnsi="Arial" w:cs="Arial"/>
          <w:sz w:val="22"/>
          <w:szCs w:val="22"/>
        </w:rPr>
        <w:t xml:space="preserve">t </w:t>
      </w:r>
      <w:r w:rsidR="00B06B5D">
        <w:rPr>
          <w:rFonts w:ascii="Arial" w:hAnsi="Arial" w:cs="Arial"/>
          <w:sz w:val="22"/>
          <w:szCs w:val="22"/>
        </w:rPr>
        <w:t xml:space="preserve">is </w:t>
      </w:r>
      <w:r w:rsidR="00405C6F" w:rsidRPr="00D44121">
        <w:rPr>
          <w:rFonts w:ascii="Arial" w:hAnsi="Arial" w:cs="Arial"/>
          <w:sz w:val="22"/>
          <w:szCs w:val="22"/>
        </w:rPr>
        <w:t xml:space="preserve">inevitably only going to </w:t>
      </w:r>
      <w:r w:rsidR="0049610D">
        <w:rPr>
          <w:rFonts w:ascii="Arial" w:hAnsi="Arial" w:cs="Arial"/>
          <w:sz w:val="22"/>
          <w:szCs w:val="22"/>
        </w:rPr>
        <w:t>benefit</w:t>
      </w:r>
      <w:r w:rsidR="00405C6F" w:rsidRPr="00D44121">
        <w:rPr>
          <w:rFonts w:ascii="Arial" w:hAnsi="Arial" w:cs="Arial"/>
          <w:sz w:val="22"/>
          <w:szCs w:val="22"/>
        </w:rPr>
        <w:t xml:space="preserve"> a small number of people</w:t>
      </w:r>
      <w:r w:rsidR="00B06B5D">
        <w:rPr>
          <w:rFonts w:ascii="Arial" w:hAnsi="Arial" w:cs="Arial"/>
          <w:sz w:val="22"/>
          <w:szCs w:val="22"/>
        </w:rPr>
        <w:t>,</w:t>
      </w:r>
      <w:r w:rsidR="00405C6F" w:rsidRPr="00D44121">
        <w:rPr>
          <w:rFonts w:ascii="Arial" w:hAnsi="Arial" w:cs="Arial"/>
          <w:sz w:val="22"/>
          <w:szCs w:val="22"/>
        </w:rPr>
        <w:t xml:space="preserve"> </w:t>
      </w:r>
      <w:r w:rsidR="00B06B5D">
        <w:rPr>
          <w:rFonts w:ascii="Arial" w:hAnsi="Arial" w:cs="Arial"/>
          <w:sz w:val="22"/>
          <w:szCs w:val="22"/>
        </w:rPr>
        <w:t xml:space="preserve">and do </w:t>
      </w:r>
      <w:r w:rsidR="0099745E">
        <w:rPr>
          <w:rFonts w:ascii="Arial" w:hAnsi="Arial" w:cs="Arial"/>
          <w:sz w:val="22"/>
          <w:szCs w:val="22"/>
        </w:rPr>
        <w:t xml:space="preserve">precious </w:t>
      </w:r>
      <w:r w:rsidR="00B06B5D">
        <w:rPr>
          <w:rFonts w:ascii="Arial" w:hAnsi="Arial" w:cs="Arial"/>
          <w:sz w:val="22"/>
          <w:szCs w:val="22"/>
        </w:rPr>
        <w:t xml:space="preserve">little for members of the wider </w:t>
      </w:r>
      <w:r w:rsidR="00405C6F" w:rsidRPr="00D44121">
        <w:rPr>
          <w:rFonts w:ascii="Arial" w:hAnsi="Arial" w:cs="Arial"/>
          <w:sz w:val="22"/>
          <w:szCs w:val="22"/>
        </w:rPr>
        <w:t>society whose income levels and life chances are below</w:t>
      </w:r>
      <w:r w:rsidR="006D6CAE">
        <w:rPr>
          <w:rFonts w:ascii="Arial" w:hAnsi="Arial" w:cs="Arial"/>
          <w:sz w:val="22"/>
          <w:szCs w:val="22"/>
        </w:rPr>
        <w:t xml:space="preserve"> average</w:t>
      </w:r>
      <w:r w:rsidR="00B06B5D">
        <w:rPr>
          <w:rFonts w:ascii="Arial" w:hAnsi="Arial" w:cs="Arial"/>
          <w:sz w:val="22"/>
          <w:szCs w:val="22"/>
        </w:rPr>
        <w:t>. This disparity between the richest and poorest is growing during times of economic austerity</w:t>
      </w:r>
      <w:r w:rsidR="00802840" w:rsidRPr="00D44121">
        <w:rPr>
          <w:rFonts w:ascii="Arial" w:hAnsi="Arial" w:cs="Arial"/>
          <w:sz w:val="22"/>
          <w:szCs w:val="22"/>
        </w:rPr>
        <w:t>, a</w:t>
      </w:r>
      <w:r w:rsidR="00B06B5D">
        <w:rPr>
          <w:rFonts w:ascii="Arial" w:hAnsi="Arial" w:cs="Arial"/>
          <w:sz w:val="22"/>
          <w:szCs w:val="22"/>
        </w:rPr>
        <w:t>gain both within and between given nation states</w:t>
      </w:r>
      <w:r w:rsidR="00405C6F" w:rsidRPr="00D44121">
        <w:rPr>
          <w:rFonts w:ascii="Arial" w:hAnsi="Arial" w:cs="Arial"/>
          <w:sz w:val="22"/>
          <w:szCs w:val="22"/>
        </w:rPr>
        <w:t xml:space="preserve">. </w:t>
      </w:r>
    </w:p>
    <w:p w:rsidR="00D07ACA" w:rsidRDefault="00D07ACA">
      <w:pPr>
        <w:rPr>
          <w:rFonts w:ascii="Arial" w:hAnsi="Arial" w:cs="Arial"/>
          <w:sz w:val="22"/>
          <w:szCs w:val="22"/>
        </w:rPr>
      </w:pPr>
    </w:p>
    <w:p w:rsidR="00802840" w:rsidRDefault="00D07ACA" w:rsidP="000722F8">
      <w:pPr>
        <w:rPr>
          <w:rFonts w:ascii="Arial" w:hAnsi="Arial" w:cs="Arial"/>
          <w:sz w:val="22"/>
          <w:szCs w:val="22"/>
        </w:rPr>
      </w:pPr>
      <w:r>
        <w:rPr>
          <w:rFonts w:ascii="Arial" w:hAnsi="Arial" w:cs="Arial"/>
          <w:sz w:val="22"/>
          <w:szCs w:val="22"/>
        </w:rPr>
        <w:lastRenderedPageBreak/>
        <w:t xml:space="preserve">Our editorial last year </w:t>
      </w:r>
      <w:r w:rsidR="00645305">
        <w:rPr>
          <w:rFonts w:ascii="Arial" w:hAnsi="Arial" w:cs="Arial"/>
          <w:sz w:val="22"/>
          <w:szCs w:val="22"/>
        </w:rPr>
        <w:t xml:space="preserve">(Waller </w:t>
      </w:r>
      <w:r w:rsidR="00645305" w:rsidRPr="00CF304D">
        <w:rPr>
          <w:rFonts w:ascii="Arial" w:hAnsi="Arial" w:cs="Arial"/>
          <w:i/>
          <w:sz w:val="22"/>
          <w:szCs w:val="22"/>
        </w:rPr>
        <w:t>et al</w:t>
      </w:r>
      <w:r w:rsidR="00645305">
        <w:rPr>
          <w:rFonts w:ascii="Arial" w:hAnsi="Arial" w:cs="Arial"/>
          <w:sz w:val="22"/>
          <w:szCs w:val="22"/>
        </w:rPr>
        <w:t xml:space="preserve">., 2014) </w:t>
      </w:r>
      <w:r>
        <w:rPr>
          <w:rFonts w:ascii="Arial" w:hAnsi="Arial" w:cs="Arial"/>
          <w:sz w:val="22"/>
          <w:szCs w:val="22"/>
        </w:rPr>
        <w:t>highlighted how, in the UK, in Europe</w:t>
      </w:r>
      <w:r w:rsidR="00E80D45">
        <w:rPr>
          <w:rFonts w:ascii="Arial" w:hAnsi="Arial" w:cs="Arial"/>
          <w:sz w:val="22"/>
          <w:szCs w:val="22"/>
        </w:rPr>
        <w:t>,</w:t>
      </w:r>
      <w:r>
        <w:rPr>
          <w:rFonts w:ascii="Arial" w:hAnsi="Arial" w:cs="Arial"/>
          <w:sz w:val="22"/>
          <w:szCs w:val="22"/>
        </w:rPr>
        <w:t xml:space="preserve"> and across the 34 OECD nations as a whole, the cost of </w:t>
      </w:r>
      <w:r w:rsidR="005F6C5B">
        <w:rPr>
          <w:rFonts w:ascii="Arial" w:hAnsi="Arial" w:cs="Arial"/>
          <w:sz w:val="22"/>
          <w:szCs w:val="22"/>
        </w:rPr>
        <w:t xml:space="preserve">providing </w:t>
      </w:r>
      <w:r>
        <w:rPr>
          <w:rFonts w:ascii="Arial" w:hAnsi="Arial" w:cs="Arial"/>
          <w:sz w:val="22"/>
          <w:szCs w:val="22"/>
        </w:rPr>
        <w:t xml:space="preserve">post-compulsory education had shifted significantly from the state to the individual, and that, despite a general increase in the numbers of people going on to higher education, </w:t>
      </w:r>
      <w:r w:rsidR="005F6C5B">
        <w:rPr>
          <w:rFonts w:ascii="Arial" w:hAnsi="Arial" w:cs="Arial"/>
          <w:sz w:val="22"/>
          <w:szCs w:val="22"/>
        </w:rPr>
        <w:t xml:space="preserve">people’s </w:t>
      </w:r>
      <w:r>
        <w:rPr>
          <w:rFonts w:ascii="Arial" w:hAnsi="Arial" w:cs="Arial"/>
          <w:sz w:val="22"/>
          <w:szCs w:val="22"/>
        </w:rPr>
        <w:t xml:space="preserve">access to educational opportunities was still determined to a large extent by their access </w:t>
      </w:r>
      <w:r w:rsidR="0049610D">
        <w:rPr>
          <w:rFonts w:ascii="Arial" w:hAnsi="Arial" w:cs="Arial"/>
          <w:sz w:val="22"/>
          <w:szCs w:val="22"/>
        </w:rPr>
        <w:t xml:space="preserve">to </w:t>
      </w:r>
      <w:r>
        <w:rPr>
          <w:rFonts w:ascii="Arial" w:hAnsi="Arial" w:cs="Arial"/>
          <w:sz w:val="22"/>
          <w:szCs w:val="22"/>
        </w:rPr>
        <w:t>economic and other forms of capital. To illustrate this phenomenon we can look to r</w:t>
      </w:r>
      <w:r w:rsidR="00802840" w:rsidRPr="00D44121">
        <w:rPr>
          <w:rFonts w:ascii="Arial" w:hAnsi="Arial" w:cs="Arial"/>
          <w:sz w:val="22"/>
          <w:szCs w:val="22"/>
        </w:rPr>
        <w:t xml:space="preserve">ecent </w:t>
      </w:r>
      <w:hyperlink r:id="rId5" w:history="1">
        <w:r w:rsidR="00802840" w:rsidRPr="00D44121">
          <w:rPr>
            <w:rStyle w:val="Hyperlink"/>
            <w:rFonts w:ascii="Arial" w:hAnsi="Arial" w:cs="Arial"/>
            <w:bCs/>
            <w:color w:val="auto"/>
            <w:sz w:val="22"/>
            <w:szCs w:val="22"/>
            <w:u w:val="none"/>
          </w:rPr>
          <w:t xml:space="preserve">data published by the </w:t>
        </w:r>
        <w:r w:rsidR="005F6C5B">
          <w:rPr>
            <w:rStyle w:val="Hyperlink"/>
            <w:rFonts w:ascii="Arial" w:hAnsi="Arial" w:cs="Arial"/>
            <w:bCs/>
            <w:color w:val="auto"/>
            <w:sz w:val="22"/>
            <w:szCs w:val="22"/>
            <w:u w:val="none"/>
          </w:rPr>
          <w:t xml:space="preserve">English </w:t>
        </w:r>
        <w:r w:rsidR="00802840" w:rsidRPr="00D44121">
          <w:rPr>
            <w:rStyle w:val="Hyperlink"/>
            <w:rFonts w:ascii="Arial" w:hAnsi="Arial" w:cs="Arial"/>
            <w:bCs/>
            <w:color w:val="auto"/>
            <w:sz w:val="22"/>
            <w:szCs w:val="22"/>
            <w:u w:val="none"/>
          </w:rPr>
          <w:t>Department for Education</w:t>
        </w:r>
      </w:hyperlink>
      <w:r w:rsidR="00802840" w:rsidRPr="00D44121">
        <w:rPr>
          <w:rStyle w:val="apple-converted-space"/>
          <w:rFonts w:ascii="Arial" w:hAnsi="Arial" w:cs="Arial"/>
          <w:sz w:val="22"/>
          <w:szCs w:val="22"/>
        </w:rPr>
        <w:t> </w:t>
      </w:r>
      <w:r w:rsidR="00D44121" w:rsidRPr="00D44121">
        <w:rPr>
          <w:rStyle w:val="apple-converted-space"/>
          <w:rFonts w:ascii="Arial" w:hAnsi="Arial" w:cs="Arial"/>
          <w:sz w:val="22"/>
          <w:szCs w:val="22"/>
        </w:rPr>
        <w:t xml:space="preserve">(2015) </w:t>
      </w:r>
      <w:r>
        <w:rPr>
          <w:rStyle w:val="apple-converted-space"/>
          <w:rFonts w:ascii="Arial" w:hAnsi="Arial" w:cs="Arial"/>
          <w:sz w:val="22"/>
          <w:szCs w:val="22"/>
        </w:rPr>
        <w:t xml:space="preserve">which </w:t>
      </w:r>
      <w:r w:rsidR="00802840" w:rsidRPr="00D44121">
        <w:rPr>
          <w:rFonts w:ascii="Arial" w:hAnsi="Arial" w:cs="Arial"/>
          <w:sz w:val="22"/>
          <w:szCs w:val="22"/>
        </w:rPr>
        <w:t>reveal</w:t>
      </w:r>
      <w:r>
        <w:rPr>
          <w:rFonts w:ascii="Arial" w:hAnsi="Arial" w:cs="Arial"/>
          <w:sz w:val="22"/>
          <w:szCs w:val="22"/>
        </w:rPr>
        <w:t>ed</w:t>
      </w:r>
      <w:r w:rsidR="00802840" w:rsidRPr="00D44121">
        <w:rPr>
          <w:rFonts w:ascii="Arial" w:hAnsi="Arial" w:cs="Arial"/>
          <w:sz w:val="22"/>
          <w:szCs w:val="22"/>
        </w:rPr>
        <w:t xml:space="preserve"> that only 5 per cent of English teenagers eligible for free school meals </w:t>
      </w:r>
      <w:r w:rsidR="0018292B">
        <w:rPr>
          <w:rFonts w:ascii="Arial" w:hAnsi="Arial" w:cs="Arial"/>
          <w:sz w:val="22"/>
          <w:szCs w:val="22"/>
        </w:rPr>
        <w:t xml:space="preserve">(i.e. those from the lowest socio-economic backgrounds) who </w:t>
      </w:r>
      <w:r w:rsidR="00802840" w:rsidRPr="00D44121">
        <w:rPr>
          <w:rFonts w:ascii="Arial" w:hAnsi="Arial" w:cs="Arial"/>
          <w:sz w:val="22"/>
          <w:szCs w:val="22"/>
        </w:rPr>
        <w:t>took A-levels or equivalent qualifications in 2012-13</w:t>
      </w:r>
      <w:r w:rsidR="00E80D45">
        <w:rPr>
          <w:rFonts w:ascii="Arial" w:hAnsi="Arial" w:cs="Arial"/>
          <w:sz w:val="22"/>
          <w:szCs w:val="22"/>
        </w:rPr>
        <w:t>,</w:t>
      </w:r>
      <w:r w:rsidR="00802840" w:rsidRPr="00D44121">
        <w:rPr>
          <w:rFonts w:ascii="Arial" w:hAnsi="Arial" w:cs="Arial"/>
          <w:sz w:val="22"/>
          <w:szCs w:val="22"/>
        </w:rPr>
        <w:t xml:space="preserve"> were admitted to the 24 research</w:t>
      </w:r>
      <w:r w:rsidR="005F6C5B">
        <w:rPr>
          <w:rFonts w:ascii="Arial" w:hAnsi="Arial" w:cs="Arial"/>
          <w:sz w:val="22"/>
          <w:szCs w:val="22"/>
        </w:rPr>
        <w:t>-</w:t>
      </w:r>
      <w:r w:rsidR="00802840" w:rsidRPr="00D44121">
        <w:rPr>
          <w:rFonts w:ascii="Arial" w:hAnsi="Arial" w:cs="Arial"/>
          <w:sz w:val="22"/>
          <w:szCs w:val="22"/>
        </w:rPr>
        <w:t xml:space="preserve">intensive </w:t>
      </w:r>
      <w:r w:rsidR="005F6C5B">
        <w:rPr>
          <w:rFonts w:ascii="Arial" w:hAnsi="Arial" w:cs="Arial"/>
          <w:sz w:val="22"/>
          <w:szCs w:val="22"/>
        </w:rPr>
        <w:t>‘</w:t>
      </w:r>
      <w:r w:rsidR="00802840" w:rsidRPr="00D44121">
        <w:rPr>
          <w:rFonts w:ascii="Arial" w:hAnsi="Arial" w:cs="Arial"/>
          <w:sz w:val="22"/>
          <w:szCs w:val="22"/>
        </w:rPr>
        <w:t>Russell Group</w:t>
      </w:r>
      <w:r w:rsidR="005F6C5B">
        <w:rPr>
          <w:rFonts w:ascii="Arial" w:hAnsi="Arial" w:cs="Arial"/>
          <w:sz w:val="22"/>
          <w:szCs w:val="22"/>
        </w:rPr>
        <w:t>’</w:t>
      </w:r>
      <w:r w:rsidR="00802840" w:rsidRPr="00D44121">
        <w:rPr>
          <w:rFonts w:ascii="Arial" w:hAnsi="Arial" w:cs="Arial"/>
          <w:sz w:val="22"/>
          <w:szCs w:val="22"/>
        </w:rPr>
        <w:t xml:space="preserve"> </w:t>
      </w:r>
      <w:r w:rsidR="00003DE7">
        <w:rPr>
          <w:rFonts w:ascii="Arial" w:hAnsi="Arial" w:cs="Arial"/>
          <w:sz w:val="22"/>
          <w:szCs w:val="22"/>
        </w:rPr>
        <w:t xml:space="preserve">of </w:t>
      </w:r>
      <w:r w:rsidR="00802840" w:rsidRPr="00D44121">
        <w:rPr>
          <w:rFonts w:ascii="Arial" w:hAnsi="Arial" w:cs="Arial"/>
          <w:sz w:val="22"/>
          <w:szCs w:val="22"/>
        </w:rPr>
        <w:t>universities (those with the most demanding entry requirements), compared to 12 per cent of all other students.</w:t>
      </w:r>
      <w:r w:rsidR="00D44121">
        <w:rPr>
          <w:rFonts w:ascii="Arial" w:hAnsi="Arial" w:cs="Arial"/>
          <w:sz w:val="22"/>
          <w:szCs w:val="22"/>
        </w:rPr>
        <w:t xml:space="preserve"> </w:t>
      </w:r>
      <w:r w:rsidR="0028326A">
        <w:rPr>
          <w:rFonts w:ascii="Arial" w:hAnsi="Arial" w:cs="Arial"/>
          <w:sz w:val="22"/>
          <w:szCs w:val="22"/>
        </w:rPr>
        <w:t xml:space="preserve">If we were to </w:t>
      </w:r>
      <w:r w:rsidR="00E80D45">
        <w:rPr>
          <w:rFonts w:ascii="Arial" w:hAnsi="Arial" w:cs="Arial"/>
          <w:sz w:val="22"/>
          <w:szCs w:val="22"/>
        </w:rPr>
        <w:t>extend this comparison to</w:t>
      </w:r>
      <w:r w:rsidR="0028326A">
        <w:rPr>
          <w:rFonts w:ascii="Arial" w:hAnsi="Arial" w:cs="Arial"/>
          <w:sz w:val="22"/>
          <w:szCs w:val="22"/>
        </w:rPr>
        <w:t xml:space="preserve"> the poorest and the wealthiest quartiles accessing the most competitive universities, the gap would be wider still. </w:t>
      </w:r>
      <w:r w:rsidR="005F6C5B">
        <w:rPr>
          <w:rFonts w:ascii="Arial" w:hAnsi="Arial" w:cs="Arial"/>
          <w:sz w:val="22"/>
          <w:szCs w:val="22"/>
        </w:rPr>
        <w:t>(T</w:t>
      </w:r>
      <w:r w:rsidR="00D44121">
        <w:rPr>
          <w:rFonts w:ascii="Arial" w:hAnsi="Arial" w:cs="Arial"/>
          <w:sz w:val="22"/>
          <w:szCs w:val="22"/>
        </w:rPr>
        <w:t xml:space="preserve">his figure </w:t>
      </w:r>
      <w:r w:rsidR="001A2DAE">
        <w:rPr>
          <w:rFonts w:ascii="Arial" w:hAnsi="Arial" w:cs="Arial"/>
          <w:sz w:val="22"/>
          <w:szCs w:val="22"/>
        </w:rPr>
        <w:t>also</w:t>
      </w:r>
      <w:r w:rsidR="00D44121">
        <w:rPr>
          <w:rFonts w:ascii="Arial" w:hAnsi="Arial" w:cs="Arial"/>
          <w:sz w:val="22"/>
          <w:szCs w:val="22"/>
        </w:rPr>
        <w:t xml:space="preserve"> masks the fact that far fewer young people eligible for free school meals stay on at school beyond the </w:t>
      </w:r>
      <w:r w:rsidR="005F6C5B">
        <w:rPr>
          <w:rFonts w:ascii="Arial" w:hAnsi="Arial" w:cs="Arial"/>
          <w:sz w:val="22"/>
          <w:szCs w:val="22"/>
        </w:rPr>
        <w:t xml:space="preserve">minimum school </w:t>
      </w:r>
      <w:r w:rsidR="00D44121">
        <w:rPr>
          <w:rFonts w:ascii="Arial" w:hAnsi="Arial" w:cs="Arial"/>
          <w:sz w:val="22"/>
          <w:szCs w:val="22"/>
        </w:rPr>
        <w:t xml:space="preserve">leaving age </w:t>
      </w:r>
      <w:r w:rsidR="005F6C5B">
        <w:rPr>
          <w:rFonts w:ascii="Arial" w:hAnsi="Arial" w:cs="Arial"/>
          <w:sz w:val="22"/>
          <w:szCs w:val="22"/>
        </w:rPr>
        <w:t xml:space="preserve">to </w:t>
      </w:r>
      <w:r w:rsidR="00D44121">
        <w:rPr>
          <w:rFonts w:ascii="Arial" w:hAnsi="Arial" w:cs="Arial"/>
          <w:sz w:val="22"/>
          <w:szCs w:val="22"/>
        </w:rPr>
        <w:t>take A Levels</w:t>
      </w:r>
      <w:r w:rsidR="00003DE7">
        <w:rPr>
          <w:rFonts w:ascii="Arial" w:hAnsi="Arial" w:cs="Arial"/>
          <w:sz w:val="22"/>
          <w:szCs w:val="22"/>
        </w:rPr>
        <w:t>)</w:t>
      </w:r>
      <w:r w:rsidR="00D44121">
        <w:rPr>
          <w:rFonts w:ascii="Arial" w:hAnsi="Arial" w:cs="Arial"/>
          <w:sz w:val="22"/>
          <w:szCs w:val="22"/>
        </w:rPr>
        <w:t>.</w:t>
      </w:r>
      <w:r w:rsidR="001A2DAE">
        <w:rPr>
          <w:rFonts w:ascii="Arial" w:hAnsi="Arial" w:cs="Arial"/>
          <w:sz w:val="22"/>
          <w:szCs w:val="22"/>
        </w:rPr>
        <w:t xml:space="preserve"> </w:t>
      </w:r>
      <w:r w:rsidR="00B122F1">
        <w:rPr>
          <w:rFonts w:ascii="Arial" w:hAnsi="Arial" w:cs="Arial"/>
          <w:sz w:val="22"/>
          <w:szCs w:val="22"/>
        </w:rPr>
        <w:t xml:space="preserve">Whilst the </w:t>
      </w:r>
      <w:r w:rsidR="00C04A90">
        <w:rPr>
          <w:rFonts w:ascii="Arial" w:hAnsi="Arial" w:cs="Arial"/>
          <w:sz w:val="22"/>
          <w:szCs w:val="22"/>
        </w:rPr>
        <w:t xml:space="preserve">total </w:t>
      </w:r>
      <w:r w:rsidR="00B122F1">
        <w:rPr>
          <w:rFonts w:ascii="Arial" w:hAnsi="Arial" w:cs="Arial"/>
          <w:sz w:val="22"/>
          <w:szCs w:val="22"/>
        </w:rPr>
        <w:t>numbers attending Russell Group universities has increased in the last few years, t</w:t>
      </w:r>
      <w:r w:rsidR="00802840" w:rsidRPr="00D44121">
        <w:rPr>
          <w:rFonts w:ascii="Arial" w:hAnsi="Arial" w:cs="Arial"/>
          <w:sz w:val="22"/>
          <w:szCs w:val="22"/>
        </w:rPr>
        <w:t>h</w:t>
      </w:r>
      <w:r w:rsidR="001A2DAE">
        <w:rPr>
          <w:rFonts w:ascii="Arial" w:hAnsi="Arial" w:cs="Arial"/>
          <w:sz w:val="22"/>
          <w:szCs w:val="22"/>
        </w:rPr>
        <w:t xml:space="preserve">e gap </w:t>
      </w:r>
      <w:r w:rsidR="00B122F1">
        <w:rPr>
          <w:rFonts w:ascii="Arial" w:hAnsi="Arial" w:cs="Arial"/>
          <w:sz w:val="22"/>
          <w:szCs w:val="22"/>
        </w:rPr>
        <w:t xml:space="preserve">between the </w:t>
      </w:r>
      <w:r w:rsidR="00C04A90">
        <w:rPr>
          <w:rFonts w:ascii="Arial" w:hAnsi="Arial" w:cs="Arial"/>
          <w:sz w:val="22"/>
          <w:szCs w:val="22"/>
        </w:rPr>
        <w:t xml:space="preserve">numbers of the </w:t>
      </w:r>
      <w:r w:rsidR="00B122F1">
        <w:rPr>
          <w:rFonts w:ascii="Arial" w:hAnsi="Arial" w:cs="Arial"/>
          <w:sz w:val="22"/>
          <w:szCs w:val="22"/>
        </w:rPr>
        <w:t>poorest UK students accessing the</w:t>
      </w:r>
      <w:r w:rsidR="00362A7C">
        <w:rPr>
          <w:rFonts w:ascii="Arial" w:hAnsi="Arial" w:cs="Arial"/>
          <w:sz w:val="22"/>
          <w:szCs w:val="22"/>
        </w:rPr>
        <w:t>m</w:t>
      </w:r>
      <w:r w:rsidR="00C04A90">
        <w:rPr>
          <w:rFonts w:ascii="Arial" w:hAnsi="Arial" w:cs="Arial"/>
          <w:sz w:val="22"/>
          <w:szCs w:val="22"/>
        </w:rPr>
        <w:t>,</w:t>
      </w:r>
      <w:r w:rsidR="00B122F1">
        <w:rPr>
          <w:rFonts w:ascii="Arial" w:hAnsi="Arial" w:cs="Arial"/>
          <w:sz w:val="22"/>
          <w:szCs w:val="22"/>
        </w:rPr>
        <w:t xml:space="preserve"> and the majority of the population doing so</w:t>
      </w:r>
      <w:r w:rsidR="00C04A90">
        <w:rPr>
          <w:rFonts w:ascii="Arial" w:hAnsi="Arial" w:cs="Arial"/>
          <w:sz w:val="22"/>
          <w:szCs w:val="22"/>
        </w:rPr>
        <w:t>,</w:t>
      </w:r>
      <w:r w:rsidR="00802840" w:rsidRPr="00D44121">
        <w:rPr>
          <w:rFonts w:ascii="Arial" w:hAnsi="Arial" w:cs="Arial"/>
          <w:sz w:val="22"/>
          <w:szCs w:val="22"/>
        </w:rPr>
        <w:t xml:space="preserve"> has</w:t>
      </w:r>
      <w:r w:rsidR="00802840" w:rsidRPr="00D44121">
        <w:rPr>
          <w:rStyle w:val="apple-converted-space"/>
          <w:rFonts w:ascii="Arial" w:hAnsi="Arial" w:cs="Arial"/>
          <w:sz w:val="22"/>
          <w:szCs w:val="22"/>
        </w:rPr>
        <w:t> </w:t>
      </w:r>
      <w:hyperlink r:id="rId6" w:history="1">
        <w:r w:rsidR="00802840" w:rsidRPr="00D44121">
          <w:rPr>
            <w:rStyle w:val="Hyperlink"/>
            <w:rFonts w:ascii="Arial" w:hAnsi="Arial" w:cs="Arial"/>
            <w:bCs/>
            <w:color w:val="auto"/>
            <w:sz w:val="22"/>
            <w:szCs w:val="22"/>
            <w:u w:val="none"/>
          </w:rPr>
          <w:t>widened</w:t>
        </w:r>
      </w:hyperlink>
      <w:r w:rsidR="00C04A90">
        <w:rPr>
          <w:rStyle w:val="Hyperlink"/>
          <w:rFonts w:ascii="Arial" w:hAnsi="Arial" w:cs="Arial"/>
          <w:bCs/>
          <w:color w:val="auto"/>
          <w:sz w:val="22"/>
          <w:szCs w:val="22"/>
          <w:u w:val="none"/>
        </w:rPr>
        <w:t xml:space="preserve">. </w:t>
      </w:r>
      <w:r w:rsidR="002E62BB">
        <w:rPr>
          <w:rStyle w:val="Hyperlink"/>
          <w:rFonts w:ascii="Arial" w:hAnsi="Arial" w:cs="Arial"/>
          <w:bCs/>
          <w:color w:val="auto"/>
          <w:sz w:val="22"/>
          <w:szCs w:val="22"/>
          <w:u w:val="none"/>
        </w:rPr>
        <w:t>(</w:t>
      </w:r>
      <w:r w:rsidR="00C04A90">
        <w:rPr>
          <w:rStyle w:val="Hyperlink"/>
          <w:rFonts w:ascii="Arial" w:hAnsi="Arial" w:cs="Arial"/>
          <w:bCs/>
          <w:color w:val="auto"/>
          <w:sz w:val="22"/>
          <w:szCs w:val="22"/>
          <w:u w:val="none"/>
        </w:rPr>
        <w:t>F</w:t>
      </w:r>
      <w:r w:rsidR="00802840" w:rsidRPr="00D44121">
        <w:rPr>
          <w:rFonts w:ascii="Arial" w:hAnsi="Arial" w:cs="Arial"/>
          <w:sz w:val="22"/>
          <w:szCs w:val="22"/>
        </w:rPr>
        <w:t xml:space="preserve">or instance in the 2010-11 cohort, </w:t>
      </w:r>
      <w:r w:rsidR="00B122F1">
        <w:rPr>
          <w:rFonts w:ascii="Arial" w:hAnsi="Arial" w:cs="Arial"/>
          <w:sz w:val="22"/>
          <w:szCs w:val="22"/>
        </w:rPr>
        <w:t xml:space="preserve">just </w:t>
      </w:r>
      <w:r w:rsidR="00802840" w:rsidRPr="00D44121">
        <w:rPr>
          <w:rFonts w:ascii="Arial" w:hAnsi="Arial" w:cs="Arial"/>
          <w:sz w:val="22"/>
          <w:szCs w:val="22"/>
        </w:rPr>
        <w:t>3 per cent of students eligible for free school meals gained a place at one of the Russell Group institutions, compared to 9 per cent of students who were not.</w:t>
      </w:r>
      <w:r w:rsidR="002E62BB">
        <w:rPr>
          <w:rFonts w:ascii="Arial" w:hAnsi="Arial" w:cs="Arial"/>
          <w:sz w:val="22"/>
          <w:szCs w:val="22"/>
        </w:rPr>
        <w:t>)</w:t>
      </w:r>
      <w:r w:rsidR="00A01789">
        <w:rPr>
          <w:rFonts w:ascii="Arial" w:hAnsi="Arial" w:cs="Arial"/>
          <w:sz w:val="22"/>
          <w:szCs w:val="22"/>
        </w:rPr>
        <w:t>.</w:t>
      </w:r>
      <w:r w:rsidR="007E4D03">
        <w:rPr>
          <w:rFonts w:ascii="Arial" w:hAnsi="Arial" w:cs="Arial"/>
          <w:sz w:val="22"/>
          <w:szCs w:val="22"/>
        </w:rPr>
        <w:t xml:space="preserve"> </w:t>
      </w:r>
    </w:p>
    <w:p w:rsidR="00506B1F" w:rsidRDefault="00506B1F" w:rsidP="000722F8">
      <w:pPr>
        <w:rPr>
          <w:rFonts w:ascii="Arial" w:hAnsi="Arial" w:cs="Arial"/>
          <w:sz w:val="22"/>
          <w:szCs w:val="22"/>
        </w:rPr>
      </w:pPr>
    </w:p>
    <w:p w:rsidR="00A27696" w:rsidRDefault="00A27696" w:rsidP="00A27696">
      <w:pPr>
        <w:rPr>
          <w:rFonts w:ascii="Arial" w:hAnsi="Arial" w:cs="Arial"/>
          <w:sz w:val="22"/>
          <w:szCs w:val="22"/>
        </w:rPr>
      </w:pPr>
      <w:r>
        <w:rPr>
          <w:rFonts w:ascii="Arial" w:hAnsi="Arial" w:cs="Arial"/>
          <w:sz w:val="22"/>
          <w:szCs w:val="22"/>
        </w:rPr>
        <w:t xml:space="preserve">Although access to elite UK universities is only a modest </w:t>
      </w:r>
      <w:r w:rsidR="002E62BB">
        <w:rPr>
          <w:rFonts w:ascii="Arial" w:hAnsi="Arial" w:cs="Arial"/>
          <w:sz w:val="22"/>
          <w:szCs w:val="22"/>
        </w:rPr>
        <w:t xml:space="preserve">– </w:t>
      </w:r>
      <w:r w:rsidR="00E80D45">
        <w:rPr>
          <w:rFonts w:ascii="Arial" w:hAnsi="Arial" w:cs="Arial"/>
          <w:sz w:val="22"/>
          <w:szCs w:val="22"/>
        </w:rPr>
        <w:t>albeit</w:t>
      </w:r>
      <w:r>
        <w:rPr>
          <w:rFonts w:ascii="Arial" w:hAnsi="Arial" w:cs="Arial"/>
          <w:sz w:val="22"/>
          <w:szCs w:val="22"/>
        </w:rPr>
        <w:t xml:space="preserve"> high</w:t>
      </w:r>
      <w:r w:rsidR="002E62BB">
        <w:rPr>
          <w:rFonts w:ascii="Arial" w:hAnsi="Arial" w:cs="Arial"/>
          <w:sz w:val="22"/>
          <w:szCs w:val="22"/>
        </w:rPr>
        <w:t>-</w:t>
      </w:r>
      <w:r>
        <w:rPr>
          <w:rFonts w:ascii="Arial" w:hAnsi="Arial" w:cs="Arial"/>
          <w:sz w:val="22"/>
          <w:szCs w:val="22"/>
        </w:rPr>
        <w:t xml:space="preserve">profile </w:t>
      </w:r>
      <w:r w:rsidR="002E62BB">
        <w:rPr>
          <w:rFonts w:ascii="Arial" w:hAnsi="Arial" w:cs="Arial"/>
          <w:sz w:val="22"/>
          <w:szCs w:val="22"/>
        </w:rPr>
        <w:t xml:space="preserve">– </w:t>
      </w:r>
      <w:r>
        <w:rPr>
          <w:rFonts w:ascii="Arial" w:hAnsi="Arial" w:cs="Arial"/>
          <w:sz w:val="22"/>
          <w:szCs w:val="22"/>
        </w:rPr>
        <w:t xml:space="preserve">component of the wider debate around fair access to limited educational resources, </w:t>
      </w:r>
      <w:r w:rsidR="002E62BB">
        <w:rPr>
          <w:rFonts w:ascii="Arial" w:hAnsi="Arial" w:cs="Arial"/>
          <w:sz w:val="22"/>
          <w:szCs w:val="22"/>
        </w:rPr>
        <w:t xml:space="preserve">it is </w:t>
      </w:r>
      <w:r>
        <w:rPr>
          <w:rFonts w:ascii="Arial" w:hAnsi="Arial" w:cs="Arial"/>
          <w:sz w:val="22"/>
          <w:szCs w:val="22"/>
        </w:rPr>
        <w:t xml:space="preserve">a reasonable if somewhat crude proxy for the wider issue. As </w:t>
      </w:r>
      <w:proofErr w:type="spellStart"/>
      <w:r>
        <w:rPr>
          <w:rFonts w:ascii="Arial" w:hAnsi="Arial" w:cs="Arial"/>
          <w:sz w:val="22"/>
          <w:szCs w:val="22"/>
        </w:rPr>
        <w:t>Thrupp</w:t>
      </w:r>
      <w:proofErr w:type="spellEnd"/>
      <w:r>
        <w:rPr>
          <w:rFonts w:ascii="Arial" w:hAnsi="Arial" w:cs="Arial"/>
          <w:sz w:val="22"/>
          <w:szCs w:val="22"/>
        </w:rPr>
        <w:t xml:space="preserve"> and Tomlinson (2005) point out, selective education policies which facilitate limited upward and effectively </w:t>
      </w:r>
      <w:r w:rsidR="00041C1A">
        <w:rPr>
          <w:rFonts w:ascii="Arial" w:hAnsi="Arial" w:cs="Arial"/>
          <w:sz w:val="22"/>
          <w:szCs w:val="22"/>
        </w:rPr>
        <w:t>prevent</w:t>
      </w:r>
      <w:r>
        <w:rPr>
          <w:rFonts w:ascii="Arial" w:hAnsi="Arial" w:cs="Arial"/>
          <w:sz w:val="22"/>
          <w:szCs w:val="22"/>
        </w:rPr>
        <w:t xml:space="preserve"> downward social mobility (e.g. see Waller, 2011; Waller </w:t>
      </w:r>
      <w:r w:rsidRPr="00415815">
        <w:rPr>
          <w:rFonts w:ascii="Arial" w:hAnsi="Arial" w:cs="Arial"/>
          <w:i/>
          <w:sz w:val="22"/>
          <w:szCs w:val="22"/>
        </w:rPr>
        <w:t>et al.</w:t>
      </w:r>
      <w:r>
        <w:rPr>
          <w:rFonts w:ascii="Arial" w:hAnsi="Arial" w:cs="Arial"/>
          <w:sz w:val="22"/>
          <w:szCs w:val="22"/>
        </w:rPr>
        <w:t xml:space="preserve"> 2014; Milburn 2015</w:t>
      </w:r>
      <w:r w:rsidR="006B0EFF">
        <w:rPr>
          <w:rFonts w:ascii="Arial" w:hAnsi="Arial" w:cs="Arial"/>
          <w:sz w:val="22"/>
          <w:szCs w:val="22"/>
        </w:rPr>
        <w:t xml:space="preserve"> for a wider discussion of this point</w:t>
      </w:r>
      <w:r>
        <w:rPr>
          <w:rFonts w:ascii="Arial" w:hAnsi="Arial" w:cs="Arial"/>
          <w:sz w:val="22"/>
          <w:szCs w:val="22"/>
        </w:rPr>
        <w:t>) do not encourage cohesive and socially just societ</w:t>
      </w:r>
      <w:r w:rsidR="009668E7">
        <w:rPr>
          <w:rFonts w:ascii="Arial" w:hAnsi="Arial" w:cs="Arial"/>
          <w:sz w:val="22"/>
          <w:szCs w:val="22"/>
        </w:rPr>
        <w:t>ies</w:t>
      </w:r>
      <w:r>
        <w:rPr>
          <w:rFonts w:ascii="Arial" w:hAnsi="Arial" w:cs="Arial"/>
          <w:sz w:val="22"/>
          <w:szCs w:val="22"/>
        </w:rPr>
        <w:t>. As such, whilst we may welcome national and international initiatives to enhance participation in higher education</w:t>
      </w:r>
      <w:r w:rsidR="00A01789">
        <w:rPr>
          <w:rFonts w:ascii="Arial" w:hAnsi="Arial" w:cs="Arial"/>
          <w:sz w:val="22"/>
          <w:szCs w:val="22"/>
        </w:rPr>
        <w:t>,</w:t>
      </w:r>
      <w:r>
        <w:rPr>
          <w:rFonts w:ascii="Arial" w:hAnsi="Arial" w:cs="Arial"/>
          <w:sz w:val="22"/>
          <w:szCs w:val="22"/>
        </w:rPr>
        <w:t xml:space="preserve"> </w:t>
      </w:r>
      <w:r w:rsidR="001B708F">
        <w:rPr>
          <w:rFonts w:ascii="Arial" w:hAnsi="Arial" w:cs="Arial"/>
          <w:sz w:val="22"/>
          <w:szCs w:val="22"/>
        </w:rPr>
        <w:t>this does little to address bigger issues of social inequality within the UK or between the UK and other</w:t>
      </w:r>
      <w:r w:rsidR="00E80D45">
        <w:rPr>
          <w:rFonts w:ascii="Arial" w:hAnsi="Arial" w:cs="Arial"/>
          <w:sz w:val="22"/>
          <w:szCs w:val="22"/>
        </w:rPr>
        <w:t>, poorer,</w:t>
      </w:r>
      <w:r w:rsidR="001B708F">
        <w:rPr>
          <w:rFonts w:ascii="Arial" w:hAnsi="Arial" w:cs="Arial"/>
          <w:sz w:val="22"/>
          <w:szCs w:val="22"/>
        </w:rPr>
        <w:t xml:space="preserve"> nations.</w:t>
      </w:r>
      <w:r>
        <w:rPr>
          <w:rFonts w:ascii="Arial" w:hAnsi="Arial" w:cs="Arial"/>
          <w:sz w:val="22"/>
          <w:szCs w:val="22"/>
        </w:rPr>
        <w:t xml:space="preserve"> </w:t>
      </w:r>
      <w:r w:rsidR="001B708F">
        <w:rPr>
          <w:rFonts w:ascii="Arial" w:hAnsi="Arial" w:cs="Arial"/>
          <w:sz w:val="22"/>
          <w:szCs w:val="22"/>
        </w:rPr>
        <w:t xml:space="preserve">What is more, this policy </w:t>
      </w:r>
      <w:r w:rsidR="00BA4B6A">
        <w:rPr>
          <w:rFonts w:ascii="Arial" w:hAnsi="Arial" w:cs="Arial"/>
          <w:sz w:val="22"/>
          <w:szCs w:val="22"/>
        </w:rPr>
        <w:t xml:space="preserve">direction </w:t>
      </w:r>
      <w:r w:rsidR="001B708F">
        <w:rPr>
          <w:rFonts w:ascii="Arial" w:hAnsi="Arial" w:cs="Arial"/>
          <w:sz w:val="22"/>
          <w:szCs w:val="22"/>
        </w:rPr>
        <w:t xml:space="preserve">has masked the shift </w:t>
      </w:r>
      <w:r w:rsidR="00BA4B6A">
        <w:rPr>
          <w:rFonts w:ascii="Arial" w:hAnsi="Arial" w:cs="Arial"/>
          <w:sz w:val="22"/>
          <w:szCs w:val="22"/>
        </w:rPr>
        <w:t xml:space="preserve">away </w:t>
      </w:r>
      <w:r w:rsidR="001B708F">
        <w:rPr>
          <w:rFonts w:ascii="Arial" w:hAnsi="Arial" w:cs="Arial"/>
          <w:sz w:val="22"/>
          <w:szCs w:val="22"/>
        </w:rPr>
        <w:t xml:space="preserve">from helping </w:t>
      </w:r>
      <w:r w:rsidR="00E80D45">
        <w:rPr>
          <w:rFonts w:ascii="Arial" w:hAnsi="Arial" w:cs="Arial"/>
          <w:sz w:val="22"/>
          <w:szCs w:val="22"/>
        </w:rPr>
        <w:t xml:space="preserve">individuals </w:t>
      </w:r>
      <w:r w:rsidR="00BA4B6A">
        <w:rPr>
          <w:rFonts w:ascii="Arial" w:hAnsi="Arial" w:cs="Arial"/>
          <w:sz w:val="22"/>
          <w:szCs w:val="22"/>
        </w:rPr>
        <w:t xml:space="preserve">across </w:t>
      </w:r>
      <w:r w:rsidR="001B708F">
        <w:rPr>
          <w:rFonts w:ascii="Arial" w:hAnsi="Arial" w:cs="Arial"/>
          <w:sz w:val="22"/>
          <w:szCs w:val="22"/>
        </w:rPr>
        <w:t>society at large towards helping a</w:t>
      </w:r>
      <w:r w:rsidR="00573D14">
        <w:rPr>
          <w:rFonts w:ascii="Arial" w:hAnsi="Arial" w:cs="Arial"/>
          <w:sz w:val="22"/>
          <w:szCs w:val="22"/>
        </w:rPr>
        <w:t xml:space="preserve"> </w:t>
      </w:r>
      <w:r w:rsidR="00E80D45">
        <w:rPr>
          <w:rFonts w:ascii="Arial" w:hAnsi="Arial" w:cs="Arial"/>
          <w:sz w:val="22"/>
          <w:szCs w:val="22"/>
        </w:rPr>
        <w:t xml:space="preserve">relatively </w:t>
      </w:r>
      <w:r w:rsidR="00BA4B6A">
        <w:rPr>
          <w:rFonts w:ascii="Arial" w:hAnsi="Arial" w:cs="Arial"/>
          <w:sz w:val="22"/>
          <w:szCs w:val="22"/>
        </w:rPr>
        <w:t xml:space="preserve">small </w:t>
      </w:r>
      <w:r w:rsidR="001B708F">
        <w:rPr>
          <w:rFonts w:ascii="Arial" w:hAnsi="Arial" w:cs="Arial"/>
          <w:sz w:val="22"/>
          <w:szCs w:val="22"/>
        </w:rPr>
        <w:t xml:space="preserve">number of talented but </w:t>
      </w:r>
      <w:r w:rsidR="006B0EFF">
        <w:rPr>
          <w:rFonts w:ascii="Arial" w:hAnsi="Arial" w:cs="Arial"/>
          <w:sz w:val="22"/>
          <w:szCs w:val="22"/>
        </w:rPr>
        <w:t xml:space="preserve">economically </w:t>
      </w:r>
      <w:r w:rsidR="001B708F">
        <w:rPr>
          <w:rFonts w:ascii="Arial" w:hAnsi="Arial" w:cs="Arial"/>
          <w:sz w:val="22"/>
          <w:szCs w:val="22"/>
        </w:rPr>
        <w:t>disadvantage</w:t>
      </w:r>
      <w:r w:rsidR="00B933DC">
        <w:rPr>
          <w:rFonts w:ascii="Arial" w:hAnsi="Arial" w:cs="Arial"/>
          <w:sz w:val="22"/>
          <w:szCs w:val="22"/>
        </w:rPr>
        <w:t>d</w:t>
      </w:r>
      <w:r w:rsidR="001B708F">
        <w:rPr>
          <w:rFonts w:ascii="Arial" w:hAnsi="Arial" w:cs="Arial"/>
          <w:sz w:val="22"/>
          <w:szCs w:val="22"/>
        </w:rPr>
        <w:t xml:space="preserve"> individuals.</w:t>
      </w:r>
    </w:p>
    <w:p w:rsidR="00506B1F" w:rsidRPr="00D44121" w:rsidRDefault="00506B1F" w:rsidP="000722F8">
      <w:pPr>
        <w:rPr>
          <w:rFonts w:ascii="Arial" w:hAnsi="Arial" w:cs="Arial"/>
          <w:sz w:val="22"/>
          <w:szCs w:val="22"/>
        </w:rPr>
      </w:pPr>
    </w:p>
    <w:p w:rsidR="00573D14" w:rsidRDefault="00573D14" w:rsidP="00573D14">
      <w:pPr>
        <w:rPr>
          <w:rFonts w:ascii="Arial" w:hAnsi="Arial" w:cs="Arial"/>
          <w:sz w:val="22"/>
          <w:szCs w:val="22"/>
        </w:rPr>
      </w:pPr>
      <w:r>
        <w:rPr>
          <w:rFonts w:ascii="Arial" w:hAnsi="Arial" w:cs="Arial"/>
          <w:sz w:val="22"/>
          <w:szCs w:val="22"/>
        </w:rPr>
        <w:t>In terms of how to tackle inequality and make a fairer society and international system of economic interdependence</w:t>
      </w:r>
      <w:r w:rsidR="00D81CD4">
        <w:rPr>
          <w:rFonts w:ascii="Arial" w:hAnsi="Arial" w:cs="Arial"/>
          <w:sz w:val="22"/>
          <w:szCs w:val="22"/>
        </w:rPr>
        <w:t xml:space="preserve"> and exchange</w:t>
      </w:r>
      <w:r>
        <w:rPr>
          <w:rFonts w:ascii="Arial" w:hAnsi="Arial" w:cs="Arial"/>
          <w:sz w:val="22"/>
          <w:szCs w:val="22"/>
        </w:rPr>
        <w:t xml:space="preserve">, we need to look beyond individual states to how the whole world economy is structured and seek to influence that </w:t>
      </w:r>
      <w:r w:rsidR="00577E63">
        <w:rPr>
          <w:rFonts w:ascii="Arial" w:hAnsi="Arial" w:cs="Arial"/>
          <w:sz w:val="22"/>
          <w:szCs w:val="22"/>
        </w:rPr>
        <w:t xml:space="preserve"> - </w:t>
      </w:r>
      <w:r>
        <w:rPr>
          <w:rFonts w:ascii="Arial" w:hAnsi="Arial" w:cs="Arial"/>
          <w:sz w:val="22"/>
          <w:szCs w:val="22"/>
        </w:rPr>
        <w:t>even if we acknowledge that our influence is inevitably limited</w:t>
      </w:r>
      <w:r w:rsidR="00B933DC">
        <w:rPr>
          <w:rFonts w:ascii="Arial" w:hAnsi="Arial" w:cs="Arial"/>
          <w:sz w:val="22"/>
          <w:szCs w:val="22"/>
        </w:rPr>
        <w:t xml:space="preserve">, and that progress </w:t>
      </w:r>
      <w:r w:rsidR="00577E63">
        <w:rPr>
          <w:rFonts w:ascii="Arial" w:hAnsi="Arial" w:cs="Arial"/>
          <w:sz w:val="22"/>
          <w:szCs w:val="22"/>
        </w:rPr>
        <w:t xml:space="preserve">may </w:t>
      </w:r>
      <w:r w:rsidR="00B933DC">
        <w:rPr>
          <w:rFonts w:ascii="Arial" w:hAnsi="Arial" w:cs="Arial"/>
          <w:sz w:val="22"/>
          <w:szCs w:val="22"/>
        </w:rPr>
        <w:t>be slow</w:t>
      </w:r>
      <w:r>
        <w:rPr>
          <w:rFonts w:ascii="Arial" w:hAnsi="Arial" w:cs="Arial"/>
          <w:sz w:val="22"/>
          <w:szCs w:val="22"/>
        </w:rPr>
        <w:t xml:space="preserve">. In </w:t>
      </w:r>
      <w:proofErr w:type="spellStart"/>
      <w:r>
        <w:rPr>
          <w:rFonts w:ascii="Arial" w:hAnsi="Arial" w:cs="Arial"/>
          <w:sz w:val="22"/>
          <w:szCs w:val="22"/>
        </w:rPr>
        <w:t>Thrupp</w:t>
      </w:r>
      <w:proofErr w:type="spellEnd"/>
      <w:r>
        <w:rPr>
          <w:rFonts w:ascii="Arial" w:hAnsi="Arial" w:cs="Arial"/>
          <w:sz w:val="22"/>
          <w:szCs w:val="22"/>
        </w:rPr>
        <w:t xml:space="preserve"> and Tomlinson’s (2005:549) terms, we </w:t>
      </w:r>
      <w:r w:rsidR="00B933DC">
        <w:rPr>
          <w:rFonts w:ascii="Arial" w:hAnsi="Arial" w:cs="Arial"/>
          <w:sz w:val="22"/>
          <w:szCs w:val="22"/>
        </w:rPr>
        <w:t xml:space="preserve">must </w:t>
      </w:r>
      <w:r>
        <w:rPr>
          <w:rFonts w:ascii="Arial" w:hAnsi="Arial" w:cs="Arial"/>
          <w:sz w:val="22"/>
          <w:szCs w:val="22"/>
        </w:rPr>
        <w:t xml:space="preserve">support a notion of social justice against policies ‘which will maintain or intensify injustices and </w:t>
      </w:r>
      <w:r w:rsidR="00577E63">
        <w:rPr>
          <w:rFonts w:ascii="Arial" w:hAnsi="Arial" w:cs="Arial"/>
          <w:sz w:val="22"/>
          <w:szCs w:val="22"/>
        </w:rPr>
        <w:t xml:space="preserve">[argue] </w:t>
      </w:r>
      <w:r>
        <w:rPr>
          <w:rFonts w:ascii="Arial" w:hAnsi="Arial" w:cs="Arial"/>
          <w:sz w:val="22"/>
          <w:szCs w:val="22"/>
        </w:rPr>
        <w:t xml:space="preserve">for policies and practices which could have </w:t>
      </w:r>
      <w:r w:rsidRPr="00073503">
        <w:rPr>
          <w:rFonts w:ascii="Arial" w:hAnsi="Arial" w:cs="Arial"/>
          <w:i/>
          <w:sz w:val="22"/>
          <w:szCs w:val="22"/>
        </w:rPr>
        <w:t>some</w:t>
      </w:r>
      <w:r>
        <w:rPr>
          <w:rFonts w:ascii="Arial" w:hAnsi="Arial" w:cs="Arial"/>
          <w:sz w:val="22"/>
          <w:szCs w:val="22"/>
        </w:rPr>
        <w:t xml:space="preserve"> impact on reducing them’ (emphasis in original).</w:t>
      </w:r>
    </w:p>
    <w:p w:rsidR="00802840" w:rsidRPr="00802840" w:rsidRDefault="00802840">
      <w:pPr>
        <w:rPr>
          <w:rFonts w:ascii="Arial" w:hAnsi="Arial" w:cs="Arial"/>
          <w:sz w:val="22"/>
          <w:szCs w:val="22"/>
        </w:rPr>
      </w:pPr>
    </w:p>
    <w:p w:rsidR="000D6560" w:rsidRPr="00607049" w:rsidRDefault="00D81CD4">
      <w:pPr>
        <w:rPr>
          <w:rFonts w:ascii="Arial" w:hAnsi="Arial" w:cs="Arial"/>
          <w:sz w:val="22"/>
          <w:szCs w:val="22"/>
        </w:rPr>
      </w:pPr>
      <w:r>
        <w:rPr>
          <w:rFonts w:ascii="Arial" w:hAnsi="Arial" w:cs="Arial"/>
          <w:sz w:val="22"/>
          <w:szCs w:val="22"/>
        </w:rPr>
        <w:t xml:space="preserve">In her writing on the role of education in economic development, </w:t>
      </w:r>
      <w:r w:rsidR="00607049">
        <w:rPr>
          <w:rFonts w:ascii="Arial" w:hAnsi="Arial" w:cs="Arial"/>
          <w:sz w:val="22"/>
          <w:szCs w:val="22"/>
        </w:rPr>
        <w:t>Walters (</w:t>
      </w:r>
      <w:r w:rsidR="0036041C">
        <w:rPr>
          <w:rFonts w:ascii="Arial" w:hAnsi="Arial" w:cs="Arial"/>
          <w:sz w:val="22"/>
          <w:szCs w:val="22"/>
        </w:rPr>
        <w:t>2014)</w:t>
      </w:r>
      <w:r w:rsidR="00607049">
        <w:rPr>
          <w:rFonts w:ascii="Arial" w:hAnsi="Arial" w:cs="Arial"/>
          <w:sz w:val="22"/>
          <w:szCs w:val="22"/>
        </w:rPr>
        <w:t xml:space="preserve"> draws upon the work of world systems analyst Immanuel Wallerstein who suggested </w:t>
      </w:r>
      <w:r w:rsidR="00B80F87">
        <w:rPr>
          <w:rFonts w:ascii="Arial" w:hAnsi="Arial" w:cs="Arial"/>
          <w:sz w:val="22"/>
          <w:szCs w:val="22"/>
        </w:rPr>
        <w:t xml:space="preserve">there are two oppositional intellectual ‘camps’ vying for supremacy in terms of replacing the economically and intellectually discredited globalised capitalist economic system. Wallerstein characterises </w:t>
      </w:r>
      <w:r>
        <w:rPr>
          <w:rFonts w:ascii="Arial" w:hAnsi="Arial" w:cs="Arial"/>
          <w:sz w:val="22"/>
          <w:szCs w:val="22"/>
        </w:rPr>
        <w:t xml:space="preserve">the first of </w:t>
      </w:r>
      <w:r w:rsidR="00B80F87">
        <w:rPr>
          <w:rFonts w:ascii="Arial" w:hAnsi="Arial" w:cs="Arial"/>
          <w:sz w:val="22"/>
          <w:szCs w:val="22"/>
        </w:rPr>
        <w:t>these two ideological strands as represent</w:t>
      </w:r>
      <w:r>
        <w:rPr>
          <w:rFonts w:ascii="Arial" w:hAnsi="Arial" w:cs="Arial"/>
          <w:sz w:val="22"/>
          <w:szCs w:val="22"/>
        </w:rPr>
        <w:t>ing</w:t>
      </w:r>
      <w:r w:rsidR="00B80F87">
        <w:rPr>
          <w:rFonts w:ascii="Arial" w:hAnsi="Arial" w:cs="Arial"/>
          <w:sz w:val="22"/>
          <w:szCs w:val="22"/>
        </w:rPr>
        <w:t xml:space="preserve"> the World Bank</w:t>
      </w:r>
      <w:r w:rsidR="00C57B9E">
        <w:rPr>
          <w:rFonts w:ascii="Arial" w:hAnsi="Arial" w:cs="Arial"/>
          <w:sz w:val="22"/>
          <w:szCs w:val="22"/>
        </w:rPr>
        <w:t>, the International Development Fund and larger transnational financial interests; he refers to this camp as ‘the spirit of Davos’</w:t>
      </w:r>
      <w:r w:rsidR="000722F8">
        <w:rPr>
          <w:rFonts w:ascii="Arial" w:hAnsi="Arial" w:cs="Arial"/>
          <w:sz w:val="22"/>
          <w:szCs w:val="22"/>
        </w:rPr>
        <w:t xml:space="preserve"> (after the </w:t>
      </w:r>
      <w:r w:rsidR="00506B1F">
        <w:rPr>
          <w:rFonts w:ascii="Arial" w:hAnsi="Arial" w:cs="Arial"/>
          <w:sz w:val="22"/>
          <w:szCs w:val="22"/>
        </w:rPr>
        <w:t xml:space="preserve">Swiss </w:t>
      </w:r>
      <w:r w:rsidR="006B0EFF">
        <w:rPr>
          <w:rFonts w:ascii="Arial" w:hAnsi="Arial" w:cs="Arial"/>
          <w:sz w:val="22"/>
          <w:szCs w:val="22"/>
        </w:rPr>
        <w:t>venue</w:t>
      </w:r>
      <w:r w:rsidR="000722F8">
        <w:rPr>
          <w:rFonts w:ascii="Arial" w:hAnsi="Arial" w:cs="Arial"/>
          <w:sz w:val="22"/>
          <w:szCs w:val="22"/>
        </w:rPr>
        <w:t xml:space="preserve"> </w:t>
      </w:r>
      <w:r w:rsidR="00506B1F">
        <w:rPr>
          <w:rFonts w:ascii="Arial" w:hAnsi="Arial" w:cs="Arial"/>
          <w:sz w:val="22"/>
          <w:szCs w:val="22"/>
        </w:rPr>
        <w:t xml:space="preserve">where </w:t>
      </w:r>
      <w:r w:rsidR="000722F8">
        <w:rPr>
          <w:rFonts w:ascii="Arial" w:hAnsi="Arial" w:cs="Arial"/>
          <w:sz w:val="22"/>
          <w:szCs w:val="22"/>
        </w:rPr>
        <w:t>the World Economic Forum</w:t>
      </w:r>
      <w:r w:rsidR="00506B1F">
        <w:rPr>
          <w:rFonts w:ascii="Arial" w:hAnsi="Arial" w:cs="Arial"/>
          <w:sz w:val="22"/>
          <w:szCs w:val="22"/>
        </w:rPr>
        <w:t xml:space="preserve"> began meeting in 1971</w:t>
      </w:r>
      <w:r w:rsidR="000722F8">
        <w:rPr>
          <w:rFonts w:ascii="Arial" w:hAnsi="Arial" w:cs="Arial"/>
          <w:sz w:val="22"/>
          <w:szCs w:val="22"/>
        </w:rPr>
        <w:t>)</w:t>
      </w:r>
      <w:r w:rsidR="00C57B9E">
        <w:rPr>
          <w:rFonts w:ascii="Arial" w:hAnsi="Arial" w:cs="Arial"/>
          <w:sz w:val="22"/>
          <w:szCs w:val="22"/>
        </w:rPr>
        <w:t>. The second he characterises as being ‘the spirit of Porto Alegre’</w:t>
      </w:r>
      <w:r w:rsidR="00506B1F">
        <w:rPr>
          <w:rFonts w:ascii="Arial" w:hAnsi="Arial" w:cs="Arial"/>
          <w:sz w:val="22"/>
          <w:szCs w:val="22"/>
        </w:rPr>
        <w:t xml:space="preserve"> (the southern Brazilian city where the anti-neoliberal World Social Forum first met in 2001)</w:t>
      </w:r>
      <w:r w:rsidR="00C57B9E">
        <w:rPr>
          <w:rFonts w:ascii="Arial" w:hAnsi="Arial" w:cs="Arial"/>
          <w:sz w:val="22"/>
          <w:szCs w:val="22"/>
        </w:rPr>
        <w:t xml:space="preserve">, </w:t>
      </w:r>
      <w:r>
        <w:rPr>
          <w:rFonts w:ascii="Arial" w:hAnsi="Arial" w:cs="Arial"/>
          <w:sz w:val="22"/>
          <w:szCs w:val="22"/>
        </w:rPr>
        <w:t>r</w:t>
      </w:r>
      <w:r w:rsidR="00C57B9E">
        <w:rPr>
          <w:rFonts w:ascii="Arial" w:hAnsi="Arial" w:cs="Arial"/>
          <w:sz w:val="22"/>
          <w:szCs w:val="22"/>
        </w:rPr>
        <w:t>epresent</w:t>
      </w:r>
      <w:r w:rsidR="00577E63">
        <w:rPr>
          <w:rFonts w:ascii="Arial" w:hAnsi="Arial" w:cs="Arial"/>
          <w:sz w:val="22"/>
          <w:szCs w:val="22"/>
        </w:rPr>
        <w:t>ing</w:t>
      </w:r>
      <w:r w:rsidR="00C57B9E">
        <w:rPr>
          <w:rFonts w:ascii="Arial" w:hAnsi="Arial" w:cs="Arial"/>
          <w:sz w:val="22"/>
          <w:szCs w:val="22"/>
        </w:rPr>
        <w:t xml:space="preserve"> the interests of </w:t>
      </w:r>
      <w:r w:rsidR="00FD1695">
        <w:rPr>
          <w:rFonts w:ascii="Arial" w:hAnsi="Arial" w:cs="Arial"/>
          <w:sz w:val="22"/>
          <w:szCs w:val="22"/>
        </w:rPr>
        <w:t>social movements and social justice activists.</w:t>
      </w:r>
      <w:r w:rsidR="00607049">
        <w:rPr>
          <w:rFonts w:ascii="Arial" w:hAnsi="Arial" w:cs="Arial"/>
          <w:sz w:val="22"/>
          <w:szCs w:val="22"/>
        </w:rPr>
        <w:t xml:space="preserve"> </w:t>
      </w:r>
      <w:r w:rsidR="00FD1695">
        <w:rPr>
          <w:rFonts w:ascii="Arial" w:hAnsi="Arial" w:cs="Arial"/>
          <w:sz w:val="22"/>
          <w:szCs w:val="22"/>
        </w:rPr>
        <w:t xml:space="preserve">As Walters suggests, this demarcation in proposed solutions to economic problems is akin to the </w:t>
      </w:r>
      <w:r w:rsidR="004A1778">
        <w:rPr>
          <w:rFonts w:ascii="Arial" w:hAnsi="Arial" w:cs="Arial"/>
          <w:sz w:val="22"/>
          <w:szCs w:val="22"/>
        </w:rPr>
        <w:t>ideological divide between the hegemonic</w:t>
      </w:r>
      <w:r w:rsidR="00024CF2">
        <w:rPr>
          <w:rFonts w:ascii="Arial" w:hAnsi="Arial" w:cs="Arial"/>
          <w:sz w:val="22"/>
          <w:szCs w:val="22"/>
        </w:rPr>
        <w:t xml:space="preserve"> ‘top-down’</w:t>
      </w:r>
      <w:r w:rsidR="004A1778">
        <w:rPr>
          <w:rFonts w:ascii="Arial" w:hAnsi="Arial" w:cs="Arial"/>
          <w:sz w:val="22"/>
          <w:szCs w:val="22"/>
        </w:rPr>
        <w:t xml:space="preserve"> form of economic development, ‘competitive globalisation’</w:t>
      </w:r>
      <w:r w:rsidR="00577E63">
        <w:rPr>
          <w:rFonts w:ascii="Arial" w:hAnsi="Arial" w:cs="Arial"/>
          <w:sz w:val="22"/>
          <w:szCs w:val="22"/>
        </w:rPr>
        <w:t>,</w:t>
      </w:r>
      <w:r w:rsidR="004A1778">
        <w:rPr>
          <w:rFonts w:ascii="Arial" w:hAnsi="Arial" w:cs="Arial"/>
          <w:sz w:val="22"/>
          <w:szCs w:val="22"/>
        </w:rPr>
        <w:t xml:space="preserve"> and</w:t>
      </w:r>
      <w:r w:rsidR="00024CF2">
        <w:rPr>
          <w:rFonts w:ascii="Arial" w:hAnsi="Arial" w:cs="Arial"/>
          <w:sz w:val="22"/>
          <w:szCs w:val="22"/>
        </w:rPr>
        <w:t xml:space="preserve"> the ‘bottom-up’ approach of </w:t>
      </w:r>
      <w:r w:rsidR="004A1778">
        <w:rPr>
          <w:rFonts w:ascii="Arial" w:hAnsi="Arial" w:cs="Arial"/>
          <w:sz w:val="22"/>
          <w:szCs w:val="22"/>
        </w:rPr>
        <w:t>‘cooperative globalisation’. The former</w:t>
      </w:r>
      <w:r w:rsidR="006B0EFF">
        <w:rPr>
          <w:rFonts w:ascii="Arial" w:hAnsi="Arial" w:cs="Arial"/>
          <w:sz w:val="22"/>
          <w:szCs w:val="22"/>
        </w:rPr>
        <w:t>,</w:t>
      </w:r>
      <w:r w:rsidR="004A1778">
        <w:rPr>
          <w:rFonts w:ascii="Arial" w:hAnsi="Arial" w:cs="Arial"/>
          <w:sz w:val="22"/>
          <w:szCs w:val="22"/>
        </w:rPr>
        <w:t xml:space="preserve"> Walters argues</w:t>
      </w:r>
      <w:r w:rsidR="006B0EFF">
        <w:rPr>
          <w:rFonts w:ascii="Arial" w:hAnsi="Arial" w:cs="Arial"/>
          <w:sz w:val="22"/>
          <w:szCs w:val="22"/>
        </w:rPr>
        <w:t>,</w:t>
      </w:r>
      <w:r w:rsidR="004A1778">
        <w:rPr>
          <w:rFonts w:ascii="Arial" w:hAnsi="Arial" w:cs="Arial"/>
          <w:sz w:val="22"/>
          <w:szCs w:val="22"/>
        </w:rPr>
        <w:t xml:space="preserve"> has as its internal logic the accumulation of capital and is akin to ‘the spirit of Davos’</w:t>
      </w:r>
      <w:r w:rsidR="00577E63">
        <w:rPr>
          <w:rFonts w:ascii="Arial" w:hAnsi="Arial" w:cs="Arial"/>
          <w:sz w:val="22"/>
          <w:szCs w:val="22"/>
        </w:rPr>
        <w:t>;</w:t>
      </w:r>
      <w:r w:rsidR="004A1778">
        <w:rPr>
          <w:rFonts w:ascii="Arial" w:hAnsi="Arial" w:cs="Arial"/>
          <w:sz w:val="22"/>
          <w:szCs w:val="22"/>
        </w:rPr>
        <w:t xml:space="preserve"> the latter </w:t>
      </w:r>
      <w:r w:rsidR="00577E63">
        <w:rPr>
          <w:rFonts w:ascii="Arial" w:hAnsi="Arial" w:cs="Arial"/>
          <w:sz w:val="22"/>
          <w:szCs w:val="22"/>
        </w:rPr>
        <w:t xml:space="preserve">has </w:t>
      </w:r>
      <w:r w:rsidR="008400E1">
        <w:rPr>
          <w:rFonts w:ascii="Arial" w:hAnsi="Arial" w:cs="Arial"/>
          <w:sz w:val="22"/>
          <w:szCs w:val="22"/>
        </w:rPr>
        <w:t xml:space="preserve">‘the accumulation of human capacities as its internal logic, and </w:t>
      </w:r>
      <w:r w:rsidR="008400E1">
        <w:rPr>
          <w:rFonts w:ascii="Arial" w:hAnsi="Arial" w:cs="Arial"/>
          <w:sz w:val="22"/>
          <w:szCs w:val="22"/>
        </w:rPr>
        <w:lastRenderedPageBreak/>
        <w:t>human development as its primary motivating force’ (p</w:t>
      </w:r>
      <w:r w:rsidR="009334C2">
        <w:rPr>
          <w:rFonts w:ascii="Arial" w:hAnsi="Arial" w:cs="Arial"/>
          <w:sz w:val="22"/>
          <w:szCs w:val="22"/>
        </w:rPr>
        <w:t>.</w:t>
      </w:r>
      <w:r w:rsidR="008400E1">
        <w:rPr>
          <w:rFonts w:ascii="Arial" w:hAnsi="Arial" w:cs="Arial"/>
          <w:sz w:val="22"/>
          <w:szCs w:val="22"/>
        </w:rPr>
        <w:t xml:space="preserve">186), aligning it with ‘the spirit of Porto Alegre’. </w:t>
      </w:r>
      <w:r w:rsidR="00FD1695">
        <w:rPr>
          <w:rFonts w:ascii="Arial" w:hAnsi="Arial" w:cs="Arial"/>
          <w:sz w:val="22"/>
          <w:szCs w:val="22"/>
        </w:rPr>
        <w:t xml:space="preserve"> </w:t>
      </w:r>
    </w:p>
    <w:p w:rsidR="000D6560" w:rsidRDefault="000D6560">
      <w:pPr>
        <w:rPr>
          <w:rFonts w:ascii="Arial" w:hAnsi="Arial" w:cs="Arial"/>
          <w:sz w:val="22"/>
          <w:szCs w:val="22"/>
        </w:rPr>
      </w:pPr>
    </w:p>
    <w:p w:rsidR="00F85F87" w:rsidRDefault="00D81CD4">
      <w:pPr>
        <w:rPr>
          <w:rFonts w:ascii="Arial" w:hAnsi="Arial" w:cs="Arial"/>
          <w:sz w:val="22"/>
          <w:szCs w:val="22"/>
        </w:rPr>
      </w:pPr>
      <w:r>
        <w:rPr>
          <w:rFonts w:ascii="Arial" w:hAnsi="Arial" w:cs="Arial"/>
          <w:sz w:val="22"/>
          <w:szCs w:val="22"/>
        </w:rPr>
        <w:t xml:space="preserve">We can apply this analysis to educational policy in a given setting. Wallerstein uses a </w:t>
      </w:r>
      <w:r w:rsidR="00BE0541">
        <w:rPr>
          <w:rFonts w:ascii="Arial" w:hAnsi="Arial" w:cs="Arial"/>
          <w:sz w:val="22"/>
          <w:szCs w:val="22"/>
        </w:rPr>
        <w:t>‘</w:t>
      </w:r>
      <w:r>
        <w:rPr>
          <w:rFonts w:ascii="Arial" w:hAnsi="Arial" w:cs="Arial"/>
          <w:sz w:val="22"/>
          <w:szCs w:val="22"/>
        </w:rPr>
        <w:t>core</w:t>
      </w:r>
      <w:r w:rsidR="00BE0541">
        <w:rPr>
          <w:rFonts w:ascii="Arial" w:hAnsi="Arial" w:cs="Arial"/>
          <w:sz w:val="22"/>
          <w:szCs w:val="22"/>
        </w:rPr>
        <w:t xml:space="preserve"> and </w:t>
      </w:r>
      <w:r>
        <w:rPr>
          <w:rFonts w:ascii="Arial" w:hAnsi="Arial" w:cs="Arial"/>
          <w:sz w:val="22"/>
          <w:szCs w:val="22"/>
        </w:rPr>
        <w:t>periphery</w:t>
      </w:r>
      <w:r w:rsidR="00BE0541">
        <w:rPr>
          <w:rFonts w:ascii="Arial" w:hAnsi="Arial" w:cs="Arial"/>
          <w:sz w:val="22"/>
          <w:szCs w:val="22"/>
        </w:rPr>
        <w:t>’</w:t>
      </w:r>
      <w:r>
        <w:rPr>
          <w:rFonts w:ascii="Arial" w:hAnsi="Arial" w:cs="Arial"/>
          <w:sz w:val="22"/>
          <w:szCs w:val="22"/>
        </w:rPr>
        <w:t xml:space="preserve"> model of developed and non-developed economies both between and within societies</w:t>
      </w:r>
      <w:r w:rsidR="00BE0541">
        <w:rPr>
          <w:rFonts w:ascii="Arial" w:hAnsi="Arial" w:cs="Arial"/>
          <w:sz w:val="22"/>
          <w:szCs w:val="22"/>
        </w:rPr>
        <w:t xml:space="preserve"> – the societies have individual members who are </w:t>
      </w:r>
      <w:r w:rsidR="00B933DC">
        <w:rPr>
          <w:rFonts w:ascii="Arial" w:hAnsi="Arial" w:cs="Arial"/>
          <w:sz w:val="22"/>
          <w:szCs w:val="22"/>
        </w:rPr>
        <w:t>‘</w:t>
      </w:r>
      <w:r w:rsidR="00BE0541">
        <w:rPr>
          <w:rFonts w:ascii="Arial" w:hAnsi="Arial" w:cs="Arial"/>
          <w:sz w:val="22"/>
          <w:szCs w:val="22"/>
        </w:rPr>
        <w:t>core</w:t>
      </w:r>
      <w:r w:rsidR="00B933DC">
        <w:rPr>
          <w:rFonts w:ascii="Arial" w:hAnsi="Arial" w:cs="Arial"/>
          <w:sz w:val="22"/>
          <w:szCs w:val="22"/>
        </w:rPr>
        <w:t>’</w:t>
      </w:r>
      <w:r w:rsidR="00BE0541">
        <w:rPr>
          <w:rFonts w:ascii="Arial" w:hAnsi="Arial" w:cs="Arial"/>
          <w:sz w:val="22"/>
          <w:szCs w:val="22"/>
        </w:rPr>
        <w:t xml:space="preserve"> or </w:t>
      </w:r>
      <w:r w:rsidR="00B933DC">
        <w:rPr>
          <w:rFonts w:ascii="Arial" w:hAnsi="Arial" w:cs="Arial"/>
          <w:sz w:val="22"/>
          <w:szCs w:val="22"/>
        </w:rPr>
        <w:t>‘</w:t>
      </w:r>
      <w:r w:rsidR="00BE0541">
        <w:rPr>
          <w:rFonts w:ascii="Arial" w:hAnsi="Arial" w:cs="Arial"/>
          <w:sz w:val="22"/>
          <w:szCs w:val="22"/>
        </w:rPr>
        <w:t>peripheral</w:t>
      </w:r>
      <w:r w:rsidR="00B933DC">
        <w:rPr>
          <w:rFonts w:ascii="Arial" w:hAnsi="Arial" w:cs="Arial"/>
          <w:sz w:val="22"/>
          <w:szCs w:val="22"/>
        </w:rPr>
        <w:t>’</w:t>
      </w:r>
      <w:r w:rsidR="00BE0541">
        <w:rPr>
          <w:rFonts w:ascii="Arial" w:hAnsi="Arial" w:cs="Arial"/>
          <w:sz w:val="22"/>
          <w:szCs w:val="22"/>
        </w:rPr>
        <w:t xml:space="preserve"> to economic activity as the societies themselves are</w:t>
      </w:r>
      <w:r w:rsidR="00A01789">
        <w:rPr>
          <w:rFonts w:ascii="Arial" w:hAnsi="Arial" w:cs="Arial"/>
          <w:sz w:val="22"/>
          <w:szCs w:val="22"/>
        </w:rPr>
        <w:t xml:space="preserve"> on the wider stage</w:t>
      </w:r>
      <w:r>
        <w:rPr>
          <w:rFonts w:ascii="Arial" w:hAnsi="Arial" w:cs="Arial"/>
          <w:sz w:val="22"/>
          <w:szCs w:val="22"/>
        </w:rPr>
        <w:t xml:space="preserve">. </w:t>
      </w:r>
      <w:r w:rsidR="00D632EA">
        <w:rPr>
          <w:rFonts w:ascii="Arial" w:hAnsi="Arial" w:cs="Arial"/>
          <w:sz w:val="22"/>
          <w:szCs w:val="22"/>
        </w:rPr>
        <w:t>For instance, i</w:t>
      </w:r>
      <w:r w:rsidR="00F85F87">
        <w:rPr>
          <w:rFonts w:ascii="Arial" w:hAnsi="Arial" w:cs="Arial"/>
          <w:sz w:val="22"/>
          <w:szCs w:val="22"/>
        </w:rPr>
        <w:t xml:space="preserve">n a damning critique of contemporary neo-liberal </w:t>
      </w:r>
      <w:r w:rsidR="00E80D45">
        <w:rPr>
          <w:rFonts w:ascii="Arial" w:hAnsi="Arial" w:cs="Arial"/>
          <w:sz w:val="22"/>
          <w:szCs w:val="22"/>
        </w:rPr>
        <w:t xml:space="preserve">British </w:t>
      </w:r>
      <w:r w:rsidR="00F85F87">
        <w:rPr>
          <w:rFonts w:ascii="Arial" w:hAnsi="Arial" w:cs="Arial"/>
          <w:sz w:val="22"/>
          <w:szCs w:val="22"/>
        </w:rPr>
        <w:t xml:space="preserve">society, </w:t>
      </w:r>
      <w:r w:rsidR="00EF6F6C">
        <w:rPr>
          <w:rFonts w:ascii="Arial" w:hAnsi="Arial" w:cs="Arial"/>
          <w:sz w:val="22"/>
          <w:szCs w:val="22"/>
        </w:rPr>
        <w:t xml:space="preserve">Owen Jones (2011) highlights how media discourse in the UK – and we can apply that more widely across the developed world – refers to people </w:t>
      </w:r>
      <w:r w:rsidR="007451C4">
        <w:rPr>
          <w:rFonts w:ascii="Arial" w:hAnsi="Arial" w:cs="Arial"/>
          <w:sz w:val="22"/>
          <w:szCs w:val="22"/>
        </w:rPr>
        <w:t>being</w:t>
      </w:r>
      <w:r w:rsidR="00EF6F6C">
        <w:rPr>
          <w:rFonts w:ascii="Arial" w:hAnsi="Arial" w:cs="Arial"/>
          <w:sz w:val="22"/>
          <w:szCs w:val="22"/>
        </w:rPr>
        <w:t xml:space="preserve"> at the bottom of the socio-economic system </w:t>
      </w:r>
      <w:r w:rsidR="006B0EFF">
        <w:rPr>
          <w:rFonts w:ascii="Arial" w:hAnsi="Arial" w:cs="Arial"/>
          <w:sz w:val="22"/>
          <w:szCs w:val="22"/>
        </w:rPr>
        <w:t xml:space="preserve">(i.e. </w:t>
      </w:r>
      <w:r w:rsidR="00E80D45">
        <w:rPr>
          <w:rFonts w:ascii="Arial" w:hAnsi="Arial" w:cs="Arial"/>
          <w:sz w:val="22"/>
          <w:szCs w:val="22"/>
        </w:rPr>
        <w:t xml:space="preserve">those considered </w:t>
      </w:r>
      <w:r w:rsidR="006B0EFF">
        <w:rPr>
          <w:rFonts w:ascii="Arial" w:hAnsi="Arial" w:cs="Arial"/>
          <w:sz w:val="22"/>
          <w:szCs w:val="22"/>
        </w:rPr>
        <w:t xml:space="preserve">economically ‘peripheral’) </w:t>
      </w:r>
      <w:r w:rsidR="00EF6F6C">
        <w:rPr>
          <w:rFonts w:ascii="Arial" w:hAnsi="Arial" w:cs="Arial"/>
          <w:sz w:val="22"/>
          <w:szCs w:val="22"/>
        </w:rPr>
        <w:t xml:space="preserve">as a consequence of </w:t>
      </w:r>
      <w:r w:rsidR="00B933DC">
        <w:rPr>
          <w:rFonts w:ascii="Arial" w:hAnsi="Arial" w:cs="Arial"/>
          <w:sz w:val="22"/>
          <w:szCs w:val="22"/>
        </w:rPr>
        <w:t xml:space="preserve">their failure </w:t>
      </w:r>
      <w:r w:rsidR="00EF6F6C">
        <w:rPr>
          <w:rFonts w:ascii="Arial" w:hAnsi="Arial" w:cs="Arial"/>
          <w:sz w:val="22"/>
          <w:szCs w:val="22"/>
        </w:rPr>
        <w:t>to take the opportunities for self-advancement presented to them</w:t>
      </w:r>
      <w:r w:rsidR="007451C4">
        <w:rPr>
          <w:rFonts w:ascii="Arial" w:hAnsi="Arial" w:cs="Arial"/>
          <w:sz w:val="22"/>
          <w:szCs w:val="22"/>
        </w:rPr>
        <w:t>; that th</w:t>
      </w:r>
      <w:r w:rsidR="00E80D45">
        <w:rPr>
          <w:rFonts w:ascii="Arial" w:hAnsi="Arial" w:cs="Arial"/>
          <w:sz w:val="22"/>
          <w:szCs w:val="22"/>
        </w:rPr>
        <w:t xml:space="preserve">ey </w:t>
      </w:r>
      <w:r w:rsidR="007451C4">
        <w:rPr>
          <w:rFonts w:ascii="Arial" w:hAnsi="Arial" w:cs="Arial"/>
          <w:sz w:val="22"/>
          <w:szCs w:val="22"/>
        </w:rPr>
        <w:t>‘only had themselves to blame’ (p</w:t>
      </w:r>
      <w:r w:rsidR="00577E63">
        <w:rPr>
          <w:rFonts w:ascii="Arial" w:hAnsi="Arial" w:cs="Arial"/>
          <w:sz w:val="22"/>
          <w:szCs w:val="22"/>
        </w:rPr>
        <w:t xml:space="preserve">. </w:t>
      </w:r>
      <w:r w:rsidR="007451C4">
        <w:rPr>
          <w:rFonts w:ascii="Arial" w:hAnsi="Arial" w:cs="Arial"/>
          <w:sz w:val="22"/>
          <w:szCs w:val="22"/>
        </w:rPr>
        <w:t>249)</w:t>
      </w:r>
      <w:r w:rsidR="00EF6F6C">
        <w:rPr>
          <w:rFonts w:ascii="Arial" w:hAnsi="Arial" w:cs="Arial"/>
          <w:sz w:val="22"/>
          <w:szCs w:val="22"/>
        </w:rPr>
        <w:t xml:space="preserve">. </w:t>
      </w:r>
      <w:r w:rsidR="00B933DC">
        <w:rPr>
          <w:rFonts w:ascii="Arial" w:hAnsi="Arial" w:cs="Arial"/>
          <w:sz w:val="22"/>
          <w:szCs w:val="22"/>
        </w:rPr>
        <w:t xml:space="preserve">Just as the financial burden of higher education in particular has shifted from the public to the private purse, the responsibility for </w:t>
      </w:r>
      <w:r w:rsidR="00B933DC" w:rsidRPr="00E80D45">
        <w:rPr>
          <w:rFonts w:ascii="Arial" w:hAnsi="Arial" w:cs="Arial"/>
          <w:i/>
          <w:sz w:val="22"/>
          <w:szCs w:val="22"/>
        </w:rPr>
        <w:t>failing to succeed</w:t>
      </w:r>
      <w:r w:rsidR="00B933DC">
        <w:rPr>
          <w:rFonts w:ascii="Arial" w:hAnsi="Arial" w:cs="Arial"/>
          <w:sz w:val="22"/>
          <w:szCs w:val="22"/>
        </w:rPr>
        <w:t xml:space="preserve"> is now that of </w:t>
      </w:r>
      <w:r w:rsidR="00B933DC" w:rsidRPr="00B933DC">
        <w:rPr>
          <w:rFonts w:ascii="Arial" w:hAnsi="Arial" w:cs="Arial"/>
          <w:sz w:val="22"/>
          <w:szCs w:val="22"/>
        </w:rPr>
        <w:t>individual</w:t>
      </w:r>
      <w:r w:rsidR="00577E63">
        <w:rPr>
          <w:rFonts w:ascii="Arial" w:hAnsi="Arial" w:cs="Arial"/>
          <w:sz w:val="22"/>
          <w:szCs w:val="22"/>
        </w:rPr>
        <w:t>s</w:t>
      </w:r>
      <w:r w:rsidR="00B933DC">
        <w:rPr>
          <w:rFonts w:ascii="Arial" w:hAnsi="Arial" w:cs="Arial"/>
          <w:sz w:val="22"/>
          <w:szCs w:val="22"/>
        </w:rPr>
        <w:t xml:space="preserve"> themselves, rather than the consequence of any systemic failure or unfairness. </w:t>
      </w:r>
      <w:r w:rsidR="003C7D46" w:rsidRPr="003C7D46">
        <w:rPr>
          <w:rFonts w:ascii="Arial" w:hAnsi="Arial" w:cs="Arial"/>
          <w:sz w:val="22"/>
          <w:szCs w:val="22"/>
        </w:rPr>
        <w:t>Flew (2014:52) draws upon the work of radical educationalist theorist Giroux (2010:1) in outlining how, under one dominant understanding of neo</w:t>
      </w:r>
      <w:r w:rsidR="00A01789">
        <w:rPr>
          <w:rFonts w:ascii="Arial" w:hAnsi="Arial" w:cs="Arial"/>
          <w:sz w:val="22"/>
          <w:szCs w:val="22"/>
        </w:rPr>
        <w:t>-</w:t>
      </w:r>
      <w:r w:rsidR="003C7D46" w:rsidRPr="003C7D46">
        <w:rPr>
          <w:rFonts w:ascii="Arial" w:hAnsi="Arial" w:cs="Arial"/>
          <w:sz w:val="22"/>
          <w:szCs w:val="22"/>
        </w:rPr>
        <w:t>liberalism, ‘…the welfare state is dismantled…and social protections and either eliminated or fatally weakened’.</w:t>
      </w:r>
      <w:r w:rsidR="00E80D45">
        <w:rPr>
          <w:rFonts w:ascii="Arial" w:hAnsi="Arial" w:cs="Arial"/>
          <w:sz w:val="22"/>
          <w:szCs w:val="22"/>
        </w:rPr>
        <w:t xml:space="preserve"> And the reality is that societies have largely closed down the avenues of support for people seeking such advancement through education.</w:t>
      </w:r>
      <w:r w:rsidR="003C7D46" w:rsidRPr="003C7D46">
        <w:rPr>
          <w:rFonts w:ascii="Arial" w:hAnsi="Arial" w:cs="Arial"/>
          <w:sz w:val="22"/>
          <w:szCs w:val="22"/>
        </w:rPr>
        <w:t xml:space="preserve"> </w:t>
      </w:r>
      <w:r w:rsidR="00B933DC">
        <w:rPr>
          <w:rFonts w:ascii="Arial" w:hAnsi="Arial" w:cs="Arial"/>
          <w:sz w:val="22"/>
          <w:szCs w:val="22"/>
        </w:rPr>
        <w:t xml:space="preserve"> </w:t>
      </w:r>
    </w:p>
    <w:p w:rsidR="00506B1F" w:rsidRDefault="00506B1F">
      <w:pPr>
        <w:rPr>
          <w:rFonts w:ascii="Arial" w:hAnsi="Arial" w:cs="Arial"/>
          <w:sz w:val="22"/>
          <w:szCs w:val="22"/>
        </w:rPr>
      </w:pPr>
    </w:p>
    <w:p w:rsidR="000D6560" w:rsidRDefault="00435D0A">
      <w:pPr>
        <w:rPr>
          <w:rFonts w:ascii="Arial" w:hAnsi="Arial" w:cs="Arial"/>
          <w:sz w:val="22"/>
          <w:szCs w:val="22"/>
        </w:rPr>
      </w:pPr>
      <w:r>
        <w:rPr>
          <w:rFonts w:ascii="Arial" w:hAnsi="Arial" w:cs="Arial"/>
          <w:sz w:val="22"/>
          <w:szCs w:val="22"/>
        </w:rPr>
        <w:t xml:space="preserve">In terms of a </w:t>
      </w:r>
      <w:r w:rsidR="003E0AC7">
        <w:rPr>
          <w:rFonts w:ascii="Arial" w:hAnsi="Arial" w:cs="Arial"/>
          <w:sz w:val="22"/>
          <w:szCs w:val="22"/>
        </w:rPr>
        <w:t xml:space="preserve">local </w:t>
      </w:r>
      <w:r>
        <w:rPr>
          <w:rFonts w:ascii="Arial" w:hAnsi="Arial" w:cs="Arial"/>
          <w:sz w:val="22"/>
          <w:szCs w:val="22"/>
        </w:rPr>
        <w:t xml:space="preserve">solution to the issues identified here, </w:t>
      </w:r>
      <w:r w:rsidR="007320D5">
        <w:rPr>
          <w:rFonts w:ascii="Arial" w:hAnsi="Arial" w:cs="Arial"/>
          <w:sz w:val="22"/>
          <w:szCs w:val="22"/>
        </w:rPr>
        <w:t xml:space="preserve">on a national level </w:t>
      </w:r>
      <w:r w:rsidR="00F85F87">
        <w:rPr>
          <w:rFonts w:ascii="Arial" w:hAnsi="Arial" w:cs="Arial"/>
          <w:sz w:val="22"/>
          <w:szCs w:val="22"/>
        </w:rPr>
        <w:t>Jones (2011: 258)</w:t>
      </w:r>
      <w:r w:rsidR="00ED21CD">
        <w:rPr>
          <w:rFonts w:ascii="Arial" w:hAnsi="Arial" w:cs="Arial"/>
          <w:sz w:val="22"/>
          <w:szCs w:val="22"/>
        </w:rPr>
        <w:t xml:space="preserve"> </w:t>
      </w:r>
      <w:r w:rsidR="007320D5">
        <w:rPr>
          <w:rFonts w:ascii="Arial" w:hAnsi="Arial" w:cs="Arial"/>
          <w:sz w:val="22"/>
          <w:szCs w:val="22"/>
        </w:rPr>
        <w:t>suggests that</w:t>
      </w:r>
      <w:r w:rsidR="00F85F87">
        <w:rPr>
          <w:rFonts w:ascii="Arial" w:hAnsi="Arial" w:cs="Arial"/>
          <w:sz w:val="22"/>
          <w:szCs w:val="22"/>
        </w:rPr>
        <w:t xml:space="preserve"> ‘</w:t>
      </w:r>
      <w:r w:rsidR="00577E63">
        <w:rPr>
          <w:rFonts w:ascii="Arial" w:hAnsi="Arial" w:cs="Arial"/>
          <w:sz w:val="22"/>
          <w:szCs w:val="22"/>
        </w:rPr>
        <w:t>t</w:t>
      </w:r>
      <w:r w:rsidR="00F85F87">
        <w:rPr>
          <w:rFonts w:ascii="Arial" w:hAnsi="Arial" w:cs="Arial"/>
          <w:sz w:val="22"/>
          <w:szCs w:val="22"/>
        </w:rPr>
        <w:t>he new aspiration must be about improving people’s communities and bettering the conditions of the working class as a whole, rather than simply lifting able individuals up the ladder’.</w:t>
      </w:r>
      <w:r w:rsidR="00EF6F6C">
        <w:rPr>
          <w:rFonts w:ascii="Arial" w:hAnsi="Arial" w:cs="Arial"/>
          <w:sz w:val="22"/>
          <w:szCs w:val="22"/>
        </w:rPr>
        <w:t xml:space="preserve"> </w:t>
      </w:r>
      <w:r w:rsidR="00ED21CD">
        <w:rPr>
          <w:rFonts w:ascii="Arial" w:hAnsi="Arial" w:cs="Arial"/>
          <w:sz w:val="22"/>
          <w:szCs w:val="22"/>
        </w:rPr>
        <w:t xml:space="preserve">Jones refers to the </w:t>
      </w:r>
      <w:proofErr w:type="gramStart"/>
      <w:r w:rsidR="00ED21CD">
        <w:rPr>
          <w:rFonts w:ascii="Arial" w:hAnsi="Arial" w:cs="Arial"/>
          <w:sz w:val="22"/>
          <w:szCs w:val="22"/>
        </w:rPr>
        <w:t>‘strip</w:t>
      </w:r>
      <w:r w:rsidR="00577E63">
        <w:rPr>
          <w:rFonts w:ascii="Arial" w:hAnsi="Arial" w:cs="Arial"/>
          <w:sz w:val="22"/>
          <w:szCs w:val="22"/>
        </w:rPr>
        <w:t>[</w:t>
      </w:r>
      <w:proofErr w:type="gramEnd"/>
      <w:r w:rsidR="00ED21CD">
        <w:rPr>
          <w:rFonts w:ascii="Arial" w:hAnsi="Arial" w:cs="Arial"/>
          <w:sz w:val="22"/>
          <w:szCs w:val="22"/>
        </w:rPr>
        <w:t>ping</w:t>
      </w:r>
      <w:r w:rsidR="00577E63">
        <w:rPr>
          <w:rFonts w:ascii="Arial" w:hAnsi="Arial" w:cs="Arial"/>
          <w:sz w:val="22"/>
          <w:szCs w:val="22"/>
        </w:rPr>
        <w:t>]</w:t>
      </w:r>
      <w:r w:rsidR="00ED21CD">
        <w:rPr>
          <w:rFonts w:ascii="Arial" w:hAnsi="Arial" w:cs="Arial"/>
          <w:sz w:val="22"/>
          <w:szCs w:val="22"/>
        </w:rPr>
        <w:t xml:space="preserve"> out from the notion of aspiration any communitarian element’</w:t>
      </w:r>
      <w:r w:rsidR="006B0EFF">
        <w:rPr>
          <w:rFonts w:ascii="Arial" w:hAnsi="Arial" w:cs="Arial"/>
          <w:sz w:val="22"/>
          <w:szCs w:val="22"/>
        </w:rPr>
        <w:t xml:space="preserve">, and </w:t>
      </w:r>
      <w:r w:rsidR="000637C9">
        <w:rPr>
          <w:rFonts w:ascii="Arial" w:hAnsi="Arial" w:cs="Arial"/>
          <w:sz w:val="22"/>
          <w:szCs w:val="22"/>
        </w:rPr>
        <w:t>the deliberate destruction of</w:t>
      </w:r>
      <w:r w:rsidR="00ED21CD">
        <w:rPr>
          <w:rFonts w:ascii="Arial" w:hAnsi="Arial" w:cs="Arial"/>
          <w:sz w:val="22"/>
          <w:szCs w:val="22"/>
        </w:rPr>
        <w:t xml:space="preserve"> ‘any sense of duty, obligation, any something that unites people</w:t>
      </w:r>
      <w:r w:rsidR="000637C9">
        <w:rPr>
          <w:rFonts w:ascii="Arial" w:hAnsi="Arial" w:cs="Arial"/>
          <w:sz w:val="22"/>
          <w:szCs w:val="22"/>
        </w:rPr>
        <w:t>’</w:t>
      </w:r>
      <w:r w:rsidR="006B0EFF">
        <w:rPr>
          <w:rFonts w:ascii="Arial" w:hAnsi="Arial" w:cs="Arial"/>
          <w:sz w:val="22"/>
          <w:szCs w:val="22"/>
        </w:rPr>
        <w:t xml:space="preserve">. A consequence of this, </w:t>
      </w:r>
      <w:r w:rsidR="00E75C5C">
        <w:rPr>
          <w:rFonts w:ascii="Arial" w:hAnsi="Arial" w:cs="Arial"/>
          <w:sz w:val="22"/>
          <w:szCs w:val="22"/>
        </w:rPr>
        <w:t>he</w:t>
      </w:r>
      <w:r w:rsidR="006B0EFF">
        <w:rPr>
          <w:rFonts w:ascii="Arial" w:hAnsi="Arial" w:cs="Arial"/>
          <w:sz w:val="22"/>
          <w:szCs w:val="22"/>
        </w:rPr>
        <w:t xml:space="preserve"> argues, is t</w:t>
      </w:r>
      <w:r w:rsidR="000637C9">
        <w:rPr>
          <w:rFonts w:ascii="Arial" w:hAnsi="Arial" w:cs="Arial"/>
          <w:sz w:val="22"/>
          <w:szCs w:val="22"/>
        </w:rPr>
        <w:t>he unbridled promotion of ‘</w:t>
      </w:r>
      <w:r w:rsidR="00ED21CD">
        <w:rPr>
          <w:rFonts w:ascii="Arial" w:hAnsi="Arial" w:cs="Arial"/>
          <w:sz w:val="22"/>
          <w:szCs w:val="22"/>
        </w:rPr>
        <w:t>this dominant, atomized, consuming, acquisitive self (p.258)</w:t>
      </w:r>
      <w:r w:rsidR="000637C9">
        <w:rPr>
          <w:rFonts w:ascii="Arial" w:hAnsi="Arial" w:cs="Arial"/>
          <w:sz w:val="22"/>
          <w:szCs w:val="22"/>
        </w:rPr>
        <w:t>’</w:t>
      </w:r>
      <w:r w:rsidR="001C66A8">
        <w:rPr>
          <w:rFonts w:ascii="Arial" w:hAnsi="Arial" w:cs="Arial"/>
          <w:sz w:val="22"/>
          <w:szCs w:val="22"/>
        </w:rPr>
        <w:t>; the archetypal neo-liberal subject</w:t>
      </w:r>
      <w:r w:rsidR="006B0EFF">
        <w:rPr>
          <w:rFonts w:ascii="Arial" w:hAnsi="Arial" w:cs="Arial"/>
          <w:sz w:val="22"/>
          <w:szCs w:val="22"/>
        </w:rPr>
        <w:t>, free floating in their wider social setting, and buffeted by the whims and vagaries of economic forces and wider social policies</w:t>
      </w:r>
      <w:r w:rsidR="00ED21CD">
        <w:rPr>
          <w:rFonts w:ascii="Arial" w:hAnsi="Arial" w:cs="Arial"/>
          <w:sz w:val="22"/>
          <w:szCs w:val="22"/>
        </w:rPr>
        <w:t xml:space="preserve">. </w:t>
      </w:r>
      <w:r w:rsidR="00EF6F6C">
        <w:rPr>
          <w:rFonts w:ascii="Arial" w:hAnsi="Arial" w:cs="Arial"/>
          <w:sz w:val="22"/>
          <w:szCs w:val="22"/>
        </w:rPr>
        <w:t xml:space="preserve"> </w:t>
      </w:r>
    </w:p>
    <w:p w:rsidR="00EF6F6C" w:rsidRDefault="00EF6F6C">
      <w:pPr>
        <w:rPr>
          <w:rFonts w:ascii="Arial" w:hAnsi="Arial" w:cs="Arial"/>
          <w:sz w:val="22"/>
          <w:szCs w:val="22"/>
        </w:rPr>
      </w:pPr>
    </w:p>
    <w:p w:rsidR="00F648AF" w:rsidRDefault="00F648AF">
      <w:pPr>
        <w:rPr>
          <w:rFonts w:ascii="Arial" w:hAnsi="Arial" w:cs="Arial"/>
          <w:sz w:val="22"/>
          <w:szCs w:val="22"/>
        </w:rPr>
      </w:pPr>
    </w:p>
    <w:p w:rsidR="000D6560" w:rsidRPr="00E4166E" w:rsidRDefault="00D05E91">
      <w:pPr>
        <w:rPr>
          <w:rFonts w:ascii="Arial" w:hAnsi="Arial" w:cs="Arial"/>
          <w:b/>
          <w:sz w:val="22"/>
          <w:szCs w:val="22"/>
        </w:rPr>
      </w:pPr>
      <w:r w:rsidRPr="00E4166E">
        <w:rPr>
          <w:rFonts w:ascii="Arial" w:hAnsi="Arial" w:cs="Arial"/>
          <w:b/>
          <w:sz w:val="22"/>
          <w:szCs w:val="22"/>
        </w:rPr>
        <w:t>References</w:t>
      </w:r>
    </w:p>
    <w:p w:rsidR="00D05E91" w:rsidRPr="00E4166E" w:rsidRDefault="00D44121" w:rsidP="00D44121">
      <w:pPr>
        <w:ind w:left="284" w:hanging="284"/>
        <w:rPr>
          <w:rFonts w:ascii="Arial" w:hAnsi="Arial" w:cs="Arial"/>
          <w:sz w:val="22"/>
          <w:szCs w:val="22"/>
        </w:rPr>
      </w:pPr>
      <w:proofErr w:type="spellStart"/>
      <w:r w:rsidRPr="00E4166E">
        <w:rPr>
          <w:rFonts w:ascii="Arial" w:hAnsi="Arial" w:cs="Arial"/>
          <w:sz w:val="22"/>
          <w:szCs w:val="22"/>
        </w:rPr>
        <w:t>DfE</w:t>
      </w:r>
      <w:proofErr w:type="spellEnd"/>
      <w:r w:rsidRPr="00E4166E">
        <w:rPr>
          <w:rFonts w:ascii="Arial" w:hAnsi="Arial" w:cs="Arial"/>
          <w:sz w:val="22"/>
          <w:szCs w:val="22"/>
        </w:rPr>
        <w:t xml:space="preserve"> (2015) Department for Education </w:t>
      </w:r>
      <w:r w:rsidRPr="00E4166E">
        <w:rPr>
          <w:rFonts w:ascii="Arial" w:hAnsi="Arial" w:cs="Arial"/>
          <w:i/>
          <w:sz w:val="22"/>
          <w:szCs w:val="22"/>
        </w:rPr>
        <w:t>SFR 40/2015: 20 October 2015</w:t>
      </w:r>
      <w:r w:rsidRPr="00E4166E">
        <w:rPr>
          <w:sz w:val="22"/>
          <w:szCs w:val="22"/>
        </w:rPr>
        <w:t xml:space="preserve"> </w:t>
      </w:r>
      <w:r w:rsidR="00D05E91" w:rsidRPr="00E4166E">
        <w:rPr>
          <w:rFonts w:ascii="Arial" w:hAnsi="Arial" w:cs="Arial"/>
          <w:sz w:val="22"/>
          <w:szCs w:val="22"/>
        </w:rPr>
        <w:t>ttps://www.gov.uk/government/uploads/system/uploads/attachment_data/file/469390/SFR40-2015_Destination_Measures_2013-14_Final_20151019.pdf</w:t>
      </w:r>
    </w:p>
    <w:p w:rsidR="009A3F46" w:rsidRPr="00E4166E" w:rsidRDefault="009A3F46" w:rsidP="009A3F46">
      <w:pPr>
        <w:pStyle w:val="NoSpacing"/>
        <w:ind w:left="284" w:right="-330" w:hanging="284"/>
        <w:rPr>
          <w:rFonts w:ascii="Arial" w:hAnsi="Arial" w:cs="Arial"/>
          <w:sz w:val="22"/>
          <w:szCs w:val="22"/>
        </w:rPr>
      </w:pPr>
      <w:r w:rsidRPr="00E4166E">
        <w:rPr>
          <w:rFonts w:ascii="Arial" w:hAnsi="Arial" w:cs="Arial"/>
          <w:sz w:val="22"/>
          <w:szCs w:val="22"/>
        </w:rPr>
        <w:t xml:space="preserve">Brown, W. (2006) American Nightmare: Neo-liberalism, neo-conservatism and de-democratization. Political Theory 34(6) pp.690-714 in T. Flew (2014) </w:t>
      </w:r>
      <w:r w:rsidRPr="00E4166E">
        <w:rPr>
          <w:rFonts w:ascii="Arial" w:hAnsi="Arial" w:cs="Arial"/>
          <w:i/>
          <w:sz w:val="22"/>
          <w:szCs w:val="22"/>
        </w:rPr>
        <w:t xml:space="preserve">Six Theories of Neoliberalism </w:t>
      </w:r>
      <w:r w:rsidRPr="00E4166E">
        <w:rPr>
          <w:rFonts w:ascii="Arial" w:hAnsi="Arial" w:cs="Arial"/>
          <w:sz w:val="22"/>
          <w:szCs w:val="22"/>
        </w:rPr>
        <w:t>Thesis Eleven 122(1) pp.49-71</w:t>
      </w:r>
    </w:p>
    <w:p w:rsidR="0080575F" w:rsidRPr="00E4166E" w:rsidRDefault="0080575F" w:rsidP="00D05E91">
      <w:pPr>
        <w:pStyle w:val="NoSpacing"/>
        <w:ind w:left="284" w:right="-330" w:hanging="284"/>
        <w:rPr>
          <w:rFonts w:ascii="Arial" w:hAnsi="Arial" w:cs="Arial"/>
          <w:sz w:val="22"/>
          <w:szCs w:val="22"/>
        </w:rPr>
      </w:pPr>
      <w:r w:rsidRPr="00E4166E">
        <w:rPr>
          <w:rFonts w:ascii="Arial" w:hAnsi="Arial" w:cs="Arial"/>
          <w:sz w:val="22"/>
          <w:szCs w:val="22"/>
        </w:rPr>
        <w:t xml:space="preserve">Flew, T. (2014) </w:t>
      </w:r>
      <w:r w:rsidRPr="00E4166E">
        <w:rPr>
          <w:rFonts w:ascii="Arial" w:hAnsi="Arial" w:cs="Arial"/>
          <w:i/>
          <w:sz w:val="22"/>
          <w:szCs w:val="22"/>
        </w:rPr>
        <w:t xml:space="preserve">Six Theories of Neoliberalism </w:t>
      </w:r>
      <w:r w:rsidRPr="00E4166E">
        <w:rPr>
          <w:rFonts w:ascii="Arial" w:hAnsi="Arial" w:cs="Arial"/>
          <w:sz w:val="22"/>
          <w:szCs w:val="22"/>
        </w:rPr>
        <w:t>Thesis Eleven 122(1) pp.49-71</w:t>
      </w:r>
    </w:p>
    <w:p w:rsidR="0080575F" w:rsidRPr="00E4166E" w:rsidRDefault="0080575F" w:rsidP="00D05E91">
      <w:pPr>
        <w:pStyle w:val="NoSpacing"/>
        <w:ind w:left="284" w:right="-330" w:hanging="284"/>
        <w:rPr>
          <w:rFonts w:ascii="Arial" w:hAnsi="Arial" w:cs="Arial"/>
          <w:sz w:val="22"/>
          <w:szCs w:val="22"/>
        </w:rPr>
      </w:pPr>
      <w:r w:rsidRPr="00E4166E">
        <w:rPr>
          <w:rFonts w:ascii="Arial" w:hAnsi="Arial" w:cs="Arial"/>
          <w:sz w:val="22"/>
          <w:szCs w:val="22"/>
        </w:rPr>
        <w:t xml:space="preserve">Giroux, H. (2010) ‘Public Values, Higher Education and the Scourge of Neoliberalism’ Culture Machine, November in T. Flew (2014) </w:t>
      </w:r>
      <w:r w:rsidRPr="00E4166E">
        <w:rPr>
          <w:rFonts w:ascii="Arial" w:hAnsi="Arial" w:cs="Arial"/>
          <w:i/>
          <w:sz w:val="22"/>
          <w:szCs w:val="22"/>
        </w:rPr>
        <w:t xml:space="preserve">Six Theories of Neoliberalism </w:t>
      </w:r>
      <w:r w:rsidRPr="00E4166E">
        <w:rPr>
          <w:rFonts w:ascii="Arial" w:hAnsi="Arial" w:cs="Arial"/>
          <w:sz w:val="22"/>
          <w:szCs w:val="22"/>
        </w:rPr>
        <w:t>Thesis Eleven 122(1) pp.49-71</w:t>
      </w:r>
    </w:p>
    <w:p w:rsidR="00EF6F6C" w:rsidRPr="00E4166E" w:rsidRDefault="00EF6F6C" w:rsidP="00D05E91">
      <w:pPr>
        <w:pStyle w:val="NoSpacing"/>
        <w:ind w:left="284" w:right="-330" w:hanging="284"/>
        <w:rPr>
          <w:rFonts w:ascii="Arial" w:hAnsi="Arial" w:cs="Arial"/>
          <w:sz w:val="22"/>
          <w:szCs w:val="22"/>
        </w:rPr>
      </w:pPr>
      <w:r w:rsidRPr="00E4166E">
        <w:rPr>
          <w:rFonts w:ascii="Arial" w:hAnsi="Arial" w:cs="Arial"/>
          <w:sz w:val="22"/>
          <w:szCs w:val="22"/>
        </w:rPr>
        <w:t xml:space="preserve">Jones, O. (2011) </w:t>
      </w:r>
      <w:r w:rsidRPr="00E4166E">
        <w:rPr>
          <w:rFonts w:ascii="Arial" w:hAnsi="Arial" w:cs="Arial"/>
          <w:i/>
          <w:sz w:val="22"/>
          <w:szCs w:val="22"/>
        </w:rPr>
        <w:t>Chavs: The demonization of the working class</w:t>
      </w:r>
      <w:r w:rsidRPr="00E4166E">
        <w:rPr>
          <w:rFonts w:ascii="Arial" w:hAnsi="Arial" w:cs="Arial"/>
          <w:sz w:val="22"/>
          <w:szCs w:val="22"/>
        </w:rPr>
        <w:t xml:space="preserve"> London: Verso </w:t>
      </w:r>
    </w:p>
    <w:p w:rsidR="00D05E91" w:rsidRPr="00E4166E" w:rsidRDefault="00D05E91" w:rsidP="00D05E91">
      <w:pPr>
        <w:pStyle w:val="NoSpacing"/>
        <w:ind w:left="284" w:right="-330" w:hanging="284"/>
        <w:rPr>
          <w:rFonts w:ascii="Arial" w:hAnsi="Arial" w:cs="Arial"/>
          <w:sz w:val="22"/>
          <w:szCs w:val="22"/>
        </w:rPr>
      </w:pPr>
      <w:r w:rsidRPr="00E4166E">
        <w:rPr>
          <w:rFonts w:ascii="Arial" w:hAnsi="Arial" w:cs="Arial"/>
          <w:sz w:val="22"/>
          <w:szCs w:val="22"/>
        </w:rPr>
        <w:t xml:space="preserve">Milburn, A. (2009) </w:t>
      </w:r>
      <w:r w:rsidRPr="00E4166E">
        <w:rPr>
          <w:rFonts w:ascii="Arial" w:hAnsi="Arial" w:cs="Arial"/>
          <w:i/>
          <w:sz w:val="22"/>
          <w:szCs w:val="22"/>
        </w:rPr>
        <w:t>Unleashing aspiration: the final report of the Panel on Fair Access to the Professions</w:t>
      </w:r>
      <w:r w:rsidRPr="00E4166E">
        <w:rPr>
          <w:rFonts w:ascii="Arial" w:hAnsi="Arial" w:cs="Arial"/>
          <w:sz w:val="22"/>
          <w:szCs w:val="22"/>
        </w:rPr>
        <w:t xml:space="preserve"> (also known as the Milburn Report).  London: Cabinet Office.</w:t>
      </w:r>
    </w:p>
    <w:p w:rsidR="00D05E91" w:rsidRPr="00E4166E" w:rsidRDefault="00D05E91" w:rsidP="00D05E91">
      <w:pPr>
        <w:pStyle w:val="NoSpacing"/>
        <w:ind w:left="284" w:right="-330" w:hanging="284"/>
        <w:rPr>
          <w:rFonts w:ascii="Arial" w:hAnsi="Arial" w:cs="Arial"/>
          <w:b/>
          <w:sz w:val="22"/>
          <w:szCs w:val="22"/>
        </w:rPr>
      </w:pPr>
      <w:proofErr w:type="gramStart"/>
      <w:r w:rsidRPr="00E4166E">
        <w:rPr>
          <w:rFonts w:ascii="Arial" w:hAnsi="Arial" w:cs="Arial"/>
          <w:sz w:val="22"/>
          <w:szCs w:val="22"/>
        </w:rPr>
        <w:t>Milburn, A.</w:t>
      </w:r>
      <w:proofErr w:type="gramEnd"/>
      <w:r w:rsidRPr="00E4166E">
        <w:rPr>
          <w:rFonts w:ascii="Arial" w:hAnsi="Arial" w:cs="Arial"/>
          <w:sz w:val="22"/>
          <w:szCs w:val="22"/>
        </w:rPr>
        <w:t xml:space="preserve">  (2012) </w:t>
      </w:r>
      <w:r w:rsidRPr="00E4166E">
        <w:rPr>
          <w:rFonts w:ascii="Arial" w:hAnsi="Arial" w:cs="Arial"/>
          <w:i/>
          <w:color w:val="000000"/>
          <w:sz w:val="22"/>
          <w:szCs w:val="22"/>
        </w:rPr>
        <w:t>Fair Access to Professional Careers: A</w:t>
      </w:r>
      <w:r w:rsidRPr="00E4166E">
        <w:rPr>
          <w:rFonts w:ascii="Arial" w:hAnsi="Arial" w:cs="Arial"/>
          <w:i/>
          <w:sz w:val="22"/>
          <w:szCs w:val="22"/>
        </w:rPr>
        <w:t xml:space="preserve"> progress report by the Independent Reviewer on Social Mobility and Child Poverty</w:t>
      </w:r>
      <w:r w:rsidRPr="00E4166E">
        <w:rPr>
          <w:rFonts w:ascii="Arial" w:hAnsi="Arial" w:cs="Arial"/>
          <w:sz w:val="22"/>
          <w:szCs w:val="22"/>
        </w:rPr>
        <w:t>.  London: Cabinet Office.</w:t>
      </w:r>
    </w:p>
    <w:p w:rsidR="00D05E91" w:rsidRPr="00E4166E" w:rsidRDefault="00D05E91" w:rsidP="000A0C75">
      <w:pPr>
        <w:pStyle w:val="NoSpacing"/>
        <w:ind w:left="284" w:right="-330" w:hanging="284"/>
        <w:rPr>
          <w:rFonts w:ascii="Arial" w:hAnsi="Arial" w:cs="Arial"/>
          <w:b/>
          <w:sz w:val="22"/>
          <w:szCs w:val="22"/>
        </w:rPr>
      </w:pPr>
      <w:proofErr w:type="gramStart"/>
      <w:r w:rsidRPr="00E4166E">
        <w:rPr>
          <w:rFonts w:ascii="Arial" w:hAnsi="Arial" w:cs="Arial"/>
          <w:sz w:val="22"/>
          <w:szCs w:val="22"/>
        </w:rPr>
        <w:t>Milburn, A.</w:t>
      </w:r>
      <w:proofErr w:type="gramEnd"/>
      <w:r w:rsidRPr="00E4166E">
        <w:rPr>
          <w:rFonts w:ascii="Arial" w:hAnsi="Arial" w:cs="Arial"/>
          <w:sz w:val="22"/>
          <w:szCs w:val="22"/>
        </w:rPr>
        <w:t xml:space="preserve">  </w:t>
      </w:r>
      <w:proofErr w:type="gramStart"/>
      <w:r w:rsidRPr="00E4166E">
        <w:rPr>
          <w:rFonts w:ascii="Arial" w:hAnsi="Arial" w:cs="Arial"/>
          <w:sz w:val="22"/>
          <w:szCs w:val="22"/>
        </w:rPr>
        <w:t xml:space="preserve">(2014) </w:t>
      </w:r>
      <w:r w:rsidRPr="00E4166E">
        <w:rPr>
          <w:rFonts w:ascii="Arial" w:hAnsi="Arial" w:cs="Arial"/>
          <w:i/>
          <w:sz w:val="22"/>
          <w:szCs w:val="22"/>
        </w:rPr>
        <w:t>Elitist Britain?</w:t>
      </w:r>
      <w:proofErr w:type="gramEnd"/>
      <w:r w:rsidRPr="00E4166E">
        <w:rPr>
          <w:rFonts w:ascii="Arial" w:hAnsi="Arial" w:cs="Arial"/>
          <w:sz w:val="22"/>
          <w:szCs w:val="22"/>
        </w:rPr>
        <w:t xml:space="preserve"> </w:t>
      </w:r>
      <w:r w:rsidRPr="00E4166E">
        <w:rPr>
          <w:rFonts w:ascii="Arial" w:hAnsi="Arial" w:cs="Arial"/>
          <w:i/>
          <w:color w:val="000000"/>
          <w:sz w:val="22"/>
          <w:szCs w:val="22"/>
        </w:rPr>
        <w:t>A</w:t>
      </w:r>
      <w:r w:rsidRPr="00E4166E">
        <w:rPr>
          <w:rFonts w:ascii="Arial" w:hAnsi="Arial" w:cs="Arial"/>
          <w:i/>
          <w:sz w:val="22"/>
          <w:szCs w:val="22"/>
        </w:rPr>
        <w:t xml:space="preserve"> report by the Independent Reviewer on Social Mobility and Child Poverty</w:t>
      </w:r>
      <w:r w:rsidRPr="00E4166E">
        <w:rPr>
          <w:rFonts w:ascii="Arial" w:hAnsi="Arial" w:cs="Arial"/>
          <w:sz w:val="22"/>
          <w:szCs w:val="22"/>
        </w:rPr>
        <w:t>.  London: Cabinet Office.</w:t>
      </w:r>
    </w:p>
    <w:p w:rsidR="000D6560" w:rsidRPr="00E4166E" w:rsidRDefault="00D05E91" w:rsidP="000A0C75">
      <w:pPr>
        <w:ind w:left="284" w:hanging="284"/>
        <w:rPr>
          <w:rFonts w:ascii="Arial" w:hAnsi="Arial" w:cs="Arial"/>
          <w:sz w:val="22"/>
          <w:szCs w:val="22"/>
        </w:rPr>
      </w:pPr>
      <w:proofErr w:type="gramStart"/>
      <w:r w:rsidRPr="00E4166E">
        <w:rPr>
          <w:rFonts w:ascii="Arial" w:hAnsi="Arial" w:cs="Arial"/>
          <w:sz w:val="22"/>
          <w:szCs w:val="22"/>
        </w:rPr>
        <w:t>Milburn, A.</w:t>
      </w:r>
      <w:proofErr w:type="gramEnd"/>
      <w:r w:rsidRPr="00E4166E">
        <w:rPr>
          <w:rFonts w:ascii="Arial" w:hAnsi="Arial" w:cs="Arial"/>
          <w:sz w:val="22"/>
          <w:szCs w:val="22"/>
        </w:rPr>
        <w:t xml:space="preserve">  </w:t>
      </w:r>
      <w:proofErr w:type="gramStart"/>
      <w:r w:rsidRPr="00E4166E">
        <w:rPr>
          <w:rFonts w:ascii="Arial" w:hAnsi="Arial" w:cs="Arial"/>
          <w:sz w:val="22"/>
          <w:szCs w:val="22"/>
        </w:rPr>
        <w:t>(2015)</w:t>
      </w:r>
      <w:r w:rsidR="00F36753" w:rsidRPr="00E4166E">
        <w:rPr>
          <w:rFonts w:ascii="Arial" w:hAnsi="Arial" w:cs="Arial"/>
          <w:sz w:val="22"/>
          <w:szCs w:val="22"/>
        </w:rPr>
        <w:t xml:space="preserve"> </w:t>
      </w:r>
      <w:r w:rsidR="000A0C75" w:rsidRPr="00E4166E">
        <w:rPr>
          <w:rFonts w:ascii="Arial" w:hAnsi="Arial" w:cs="Arial"/>
          <w:i/>
          <w:sz w:val="22"/>
          <w:szCs w:val="22"/>
        </w:rPr>
        <w:t>Downward Mobility, Opportunity Hoarding and the Glass Floor.</w:t>
      </w:r>
      <w:proofErr w:type="gramEnd"/>
      <w:r w:rsidR="000A0C75" w:rsidRPr="00E4166E">
        <w:rPr>
          <w:rFonts w:ascii="Arial" w:hAnsi="Arial" w:cs="Arial"/>
          <w:sz w:val="22"/>
          <w:szCs w:val="22"/>
        </w:rPr>
        <w:t xml:space="preserve"> London: Cabinet Office.</w:t>
      </w:r>
    </w:p>
    <w:p w:rsidR="003B652F" w:rsidRPr="00E4166E" w:rsidRDefault="003B652F" w:rsidP="000A0C75">
      <w:pPr>
        <w:ind w:left="284" w:hanging="284"/>
        <w:rPr>
          <w:rFonts w:ascii="Arial" w:hAnsi="Arial" w:cs="Arial"/>
          <w:sz w:val="22"/>
          <w:szCs w:val="22"/>
        </w:rPr>
      </w:pPr>
      <w:proofErr w:type="spellStart"/>
      <w:r w:rsidRPr="00E4166E">
        <w:rPr>
          <w:rFonts w:ascii="Arial" w:hAnsi="Arial" w:cs="Arial"/>
          <w:sz w:val="22"/>
          <w:szCs w:val="22"/>
        </w:rPr>
        <w:t>Thrupp</w:t>
      </w:r>
      <w:proofErr w:type="spellEnd"/>
      <w:r w:rsidRPr="00E4166E">
        <w:rPr>
          <w:rFonts w:ascii="Arial" w:hAnsi="Arial" w:cs="Arial"/>
          <w:sz w:val="22"/>
          <w:szCs w:val="22"/>
        </w:rPr>
        <w:t xml:space="preserve">, M. and Tomlinson, S. (2005) ‘Introduction: Education policy, social justice and ‘complex hope’’ </w:t>
      </w:r>
      <w:r w:rsidRPr="00E4166E">
        <w:rPr>
          <w:rFonts w:ascii="Arial" w:hAnsi="Arial" w:cs="Arial"/>
          <w:i/>
          <w:sz w:val="22"/>
          <w:szCs w:val="22"/>
        </w:rPr>
        <w:t>British Educational Research Journal</w:t>
      </w:r>
      <w:r w:rsidRPr="00E4166E">
        <w:rPr>
          <w:rFonts w:ascii="Arial" w:hAnsi="Arial" w:cs="Arial"/>
          <w:sz w:val="22"/>
          <w:szCs w:val="22"/>
        </w:rPr>
        <w:t xml:space="preserve"> 31(5) pp. 549-556</w:t>
      </w:r>
    </w:p>
    <w:p w:rsidR="00542C1A" w:rsidRPr="00542C1A" w:rsidRDefault="00542C1A" w:rsidP="00542C1A">
      <w:pPr>
        <w:ind w:left="284" w:right="-330" w:hanging="284"/>
        <w:rPr>
          <w:rFonts w:ascii="Arial" w:hAnsi="Arial" w:cs="Arial"/>
          <w:sz w:val="22"/>
          <w:szCs w:val="22"/>
        </w:rPr>
      </w:pPr>
      <w:r w:rsidRPr="00542C1A">
        <w:rPr>
          <w:rFonts w:ascii="Arial" w:hAnsi="Arial" w:cs="Arial"/>
          <w:sz w:val="22"/>
          <w:szCs w:val="22"/>
        </w:rPr>
        <w:t xml:space="preserve">Waller, R. (2011) The Sociology of Education, in B. </w:t>
      </w:r>
      <w:proofErr w:type="spellStart"/>
      <w:r w:rsidRPr="00542C1A">
        <w:rPr>
          <w:rFonts w:ascii="Arial" w:hAnsi="Arial" w:cs="Arial"/>
          <w:sz w:val="22"/>
          <w:szCs w:val="22"/>
        </w:rPr>
        <w:t>Dufour</w:t>
      </w:r>
      <w:proofErr w:type="spellEnd"/>
      <w:r w:rsidRPr="00542C1A">
        <w:rPr>
          <w:rFonts w:ascii="Arial" w:hAnsi="Arial" w:cs="Arial"/>
          <w:sz w:val="22"/>
          <w:szCs w:val="22"/>
        </w:rPr>
        <w:t xml:space="preserve"> &amp; W. Curtis (eds.) </w:t>
      </w:r>
      <w:r w:rsidRPr="00542C1A">
        <w:rPr>
          <w:rFonts w:ascii="Arial" w:hAnsi="Arial" w:cs="Arial"/>
          <w:i/>
          <w:sz w:val="22"/>
          <w:szCs w:val="22"/>
        </w:rPr>
        <w:t xml:space="preserve">Studying Education: Key disciplines in education studies </w:t>
      </w:r>
      <w:r w:rsidRPr="00542C1A">
        <w:rPr>
          <w:rFonts w:ascii="Arial" w:hAnsi="Arial" w:cs="Arial"/>
          <w:sz w:val="22"/>
          <w:szCs w:val="22"/>
        </w:rPr>
        <w:t xml:space="preserve">Maidenhead: Open University Press </w:t>
      </w:r>
    </w:p>
    <w:p w:rsidR="00D2773D" w:rsidRPr="00E4166E" w:rsidRDefault="00D2773D" w:rsidP="000A0C75">
      <w:pPr>
        <w:ind w:left="284" w:hanging="284"/>
        <w:rPr>
          <w:rFonts w:ascii="Arial" w:hAnsi="Arial" w:cs="Arial"/>
          <w:sz w:val="22"/>
          <w:szCs w:val="22"/>
        </w:rPr>
      </w:pPr>
      <w:r w:rsidRPr="00E4166E">
        <w:rPr>
          <w:rFonts w:ascii="Arial" w:hAnsi="Arial" w:cs="Arial"/>
          <w:sz w:val="22"/>
          <w:szCs w:val="22"/>
        </w:rPr>
        <w:lastRenderedPageBreak/>
        <w:t>Waller</w:t>
      </w:r>
      <w:r w:rsidR="00A91342" w:rsidRPr="00E4166E">
        <w:rPr>
          <w:rFonts w:ascii="Arial" w:hAnsi="Arial" w:cs="Arial"/>
          <w:sz w:val="22"/>
          <w:szCs w:val="22"/>
        </w:rPr>
        <w:t xml:space="preserve">, R., </w:t>
      </w:r>
      <w:proofErr w:type="spellStart"/>
      <w:r w:rsidR="00A91342" w:rsidRPr="00E4166E">
        <w:rPr>
          <w:rFonts w:ascii="Arial" w:hAnsi="Arial" w:cs="Arial"/>
          <w:bCs/>
          <w:sz w:val="22"/>
          <w:szCs w:val="22"/>
        </w:rPr>
        <w:t>Holford</w:t>
      </w:r>
      <w:proofErr w:type="spellEnd"/>
      <w:r w:rsidR="00A91342" w:rsidRPr="00E4166E">
        <w:rPr>
          <w:rFonts w:ascii="Arial" w:hAnsi="Arial" w:cs="Arial"/>
          <w:bCs/>
          <w:sz w:val="22"/>
          <w:szCs w:val="22"/>
        </w:rPr>
        <w:t xml:space="preserve">, J., Jarvis, P., </w:t>
      </w:r>
      <w:proofErr w:type="spellStart"/>
      <w:r w:rsidR="00A91342" w:rsidRPr="00E4166E">
        <w:rPr>
          <w:rFonts w:ascii="Arial" w:hAnsi="Arial" w:cs="Arial"/>
          <w:bCs/>
          <w:sz w:val="22"/>
          <w:szCs w:val="22"/>
        </w:rPr>
        <w:t>Milana</w:t>
      </w:r>
      <w:proofErr w:type="spellEnd"/>
      <w:r w:rsidR="00A91342" w:rsidRPr="00E4166E">
        <w:rPr>
          <w:rFonts w:ascii="Arial" w:hAnsi="Arial" w:cs="Arial"/>
          <w:bCs/>
          <w:sz w:val="22"/>
          <w:szCs w:val="22"/>
        </w:rPr>
        <w:t xml:space="preserve">, M. and Webb, S. ‘Widening participation, social mobility and the role of universities in a globalized world’, </w:t>
      </w:r>
      <w:r w:rsidR="00A91342" w:rsidRPr="00E4166E">
        <w:rPr>
          <w:rFonts w:ascii="Arial" w:hAnsi="Arial" w:cs="Arial"/>
          <w:bCs/>
          <w:i/>
          <w:sz w:val="22"/>
          <w:szCs w:val="22"/>
        </w:rPr>
        <w:t xml:space="preserve">International Journal of Lifelong Education </w:t>
      </w:r>
      <w:r w:rsidR="00A91342" w:rsidRPr="00E4166E">
        <w:rPr>
          <w:rFonts w:ascii="Arial" w:hAnsi="Arial" w:cs="Arial"/>
          <w:bCs/>
          <w:sz w:val="22"/>
          <w:szCs w:val="22"/>
        </w:rPr>
        <w:t xml:space="preserve">33 (6), pp. 701-704 </w:t>
      </w:r>
    </w:p>
    <w:p w:rsidR="000D6560" w:rsidRPr="00E4166E" w:rsidRDefault="00F36753" w:rsidP="000A0C75">
      <w:pPr>
        <w:ind w:left="284" w:hanging="284"/>
        <w:rPr>
          <w:rFonts w:ascii="Arial" w:hAnsi="Arial" w:cs="Arial"/>
          <w:sz w:val="22"/>
          <w:szCs w:val="22"/>
        </w:rPr>
      </w:pPr>
      <w:r w:rsidRPr="00E4166E">
        <w:rPr>
          <w:rFonts w:ascii="Arial" w:hAnsi="Arial" w:cs="Arial"/>
          <w:sz w:val="22"/>
          <w:szCs w:val="22"/>
        </w:rPr>
        <w:t xml:space="preserve">Walters, S. (2014) ‘Globalisation, adult education and development’ in N. </w:t>
      </w:r>
      <w:proofErr w:type="spellStart"/>
      <w:r w:rsidRPr="00E4166E">
        <w:rPr>
          <w:rFonts w:ascii="Arial" w:hAnsi="Arial" w:cs="Arial"/>
          <w:sz w:val="22"/>
          <w:szCs w:val="22"/>
        </w:rPr>
        <w:t>Stromquist</w:t>
      </w:r>
      <w:proofErr w:type="spellEnd"/>
      <w:r w:rsidRPr="00E4166E">
        <w:rPr>
          <w:rFonts w:ascii="Arial" w:hAnsi="Arial" w:cs="Arial"/>
          <w:sz w:val="22"/>
          <w:szCs w:val="22"/>
        </w:rPr>
        <w:t xml:space="preserve"> and K. </w:t>
      </w:r>
      <w:proofErr w:type="spellStart"/>
      <w:r w:rsidRPr="00E4166E">
        <w:rPr>
          <w:rFonts w:ascii="Arial" w:hAnsi="Arial" w:cs="Arial"/>
          <w:sz w:val="22"/>
          <w:szCs w:val="22"/>
        </w:rPr>
        <w:t>Monkman</w:t>
      </w:r>
      <w:proofErr w:type="spellEnd"/>
      <w:r w:rsidRPr="00E4166E">
        <w:rPr>
          <w:rFonts w:ascii="Arial" w:hAnsi="Arial" w:cs="Arial"/>
          <w:sz w:val="22"/>
          <w:szCs w:val="22"/>
        </w:rPr>
        <w:t xml:space="preserve"> </w:t>
      </w:r>
      <w:r w:rsidRPr="00E4166E">
        <w:rPr>
          <w:rFonts w:ascii="Arial" w:hAnsi="Arial" w:cs="Arial"/>
          <w:i/>
          <w:sz w:val="22"/>
          <w:szCs w:val="22"/>
        </w:rPr>
        <w:t>Globalisation and Education: Integration and contestation across cultures</w:t>
      </w:r>
      <w:r w:rsidRPr="00E4166E">
        <w:rPr>
          <w:rFonts w:ascii="Arial" w:hAnsi="Arial" w:cs="Arial"/>
          <w:sz w:val="22"/>
          <w:szCs w:val="22"/>
        </w:rPr>
        <w:t xml:space="preserve"> 2</w:t>
      </w:r>
      <w:r w:rsidRPr="00E4166E">
        <w:rPr>
          <w:rFonts w:ascii="Arial" w:hAnsi="Arial" w:cs="Arial"/>
          <w:sz w:val="22"/>
          <w:szCs w:val="22"/>
          <w:vertAlign w:val="superscript"/>
        </w:rPr>
        <w:t>nd</w:t>
      </w:r>
      <w:r w:rsidRPr="00E4166E">
        <w:rPr>
          <w:rFonts w:ascii="Arial" w:hAnsi="Arial" w:cs="Arial"/>
          <w:sz w:val="22"/>
          <w:szCs w:val="22"/>
        </w:rPr>
        <w:t xml:space="preserve"> </w:t>
      </w:r>
      <w:proofErr w:type="spellStart"/>
      <w:proofErr w:type="gramStart"/>
      <w:r w:rsidRPr="00E4166E">
        <w:rPr>
          <w:rFonts w:ascii="Arial" w:hAnsi="Arial" w:cs="Arial"/>
          <w:sz w:val="22"/>
          <w:szCs w:val="22"/>
        </w:rPr>
        <w:t>ed</w:t>
      </w:r>
      <w:proofErr w:type="spellEnd"/>
      <w:proofErr w:type="gramEnd"/>
      <w:r w:rsidRPr="00E4166E">
        <w:rPr>
          <w:rFonts w:ascii="Arial" w:hAnsi="Arial" w:cs="Arial"/>
          <w:sz w:val="22"/>
          <w:szCs w:val="22"/>
        </w:rPr>
        <w:t xml:space="preserve"> pp. 185-200 Kindle edition</w:t>
      </w:r>
    </w:p>
    <w:p w:rsidR="0087227A" w:rsidRPr="0087227A" w:rsidRDefault="0087227A" w:rsidP="0087227A">
      <w:pPr>
        <w:ind w:left="284" w:hanging="284"/>
        <w:rPr>
          <w:rFonts w:ascii="Arial" w:hAnsi="Arial" w:cs="Arial"/>
          <w:sz w:val="22"/>
          <w:szCs w:val="22"/>
        </w:rPr>
      </w:pPr>
      <w:r>
        <w:rPr>
          <w:rFonts w:ascii="Arial" w:hAnsi="Arial" w:cs="Arial"/>
          <w:sz w:val="22"/>
          <w:szCs w:val="22"/>
        </w:rPr>
        <w:t xml:space="preserve">Wilkinson, R. and Pickett, K. (2010) </w:t>
      </w:r>
      <w:r>
        <w:rPr>
          <w:rFonts w:ascii="Arial" w:hAnsi="Arial" w:cs="Arial"/>
          <w:i/>
          <w:sz w:val="22"/>
          <w:szCs w:val="22"/>
        </w:rPr>
        <w:t xml:space="preserve">The Spirit Level: Why equality is better for everyone </w:t>
      </w:r>
      <w:proofErr w:type="spellStart"/>
      <w:r>
        <w:rPr>
          <w:rFonts w:ascii="Arial" w:hAnsi="Arial" w:cs="Arial"/>
          <w:sz w:val="22"/>
          <w:szCs w:val="22"/>
        </w:rPr>
        <w:t>Harmondsworth</w:t>
      </w:r>
      <w:proofErr w:type="spellEnd"/>
      <w:r>
        <w:rPr>
          <w:rFonts w:ascii="Arial" w:hAnsi="Arial" w:cs="Arial"/>
          <w:sz w:val="22"/>
          <w:szCs w:val="22"/>
        </w:rPr>
        <w:t>: Penguin</w:t>
      </w:r>
      <w:r>
        <w:rPr>
          <w:rFonts w:ascii="Arial" w:hAnsi="Arial" w:cs="Arial"/>
          <w:i/>
          <w:sz w:val="22"/>
          <w:szCs w:val="22"/>
        </w:rPr>
        <w:t xml:space="preserve"> </w:t>
      </w:r>
    </w:p>
    <w:p w:rsidR="000D6560" w:rsidRDefault="000D6560">
      <w:pPr>
        <w:rPr>
          <w:rFonts w:ascii="Arial" w:hAnsi="Arial" w:cs="Arial"/>
          <w:sz w:val="22"/>
          <w:szCs w:val="22"/>
        </w:rPr>
      </w:pPr>
    </w:p>
    <w:p w:rsidR="000D6560" w:rsidRDefault="000D6560">
      <w:pPr>
        <w:rPr>
          <w:rFonts w:ascii="Arial" w:hAnsi="Arial" w:cs="Arial"/>
          <w:sz w:val="22"/>
          <w:szCs w:val="22"/>
        </w:rPr>
      </w:pPr>
    </w:p>
    <w:p w:rsidR="000D6560" w:rsidRDefault="000D6560">
      <w:pPr>
        <w:rPr>
          <w:rFonts w:ascii="Arial" w:hAnsi="Arial" w:cs="Arial"/>
          <w:sz w:val="22"/>
          <w:szCs w:val="22"/>
        </w:rPr>
      </w:pPr>
    </w:p>
    <w:p w:rsidR="000D6560" w:rsidRDefault="000D6560">
      <w:pPr>
        <w:rPr>
          <w:rFonts w:ascii="Arial" w:hAnsi="Arial" w:cs="Arial"/>
          <w:sz w:val="22"/>
          <w:szCs w:val="22"/>
        </w:rPr>
      </w:pPr>
    </w:p>
    <w:p w:rsidR="000D6560" w:rsidRPr="000D6560" w:rsidRDefault="009C08E6">
      <w:pPr>
        <w:rPr>
          <w:rFonts w:ascii="Arial" w:hAnsi="Arial" w:cs="Arial"/>
          <w:sz w:val="22"/>
          <w:szCs w:val="22"/>
        </w:rPr>
      </w:pPr>
      <w:r>
        <w:rPr>
          <w:rFonts w:ascii="Arial" w:hAnsi="Arial" w:cs="Arial"/>
          <w:sz w:val="22"/>
          <w:szCs w:val="22"/>
        </w:rPr>
        <w:t xml:space="preserve">By: </w:t>
      </w:r>
      <w:r w:rsidRPr="00654590">
        <w:rPr>
          <w:rFonts w:ascii="Arial" w:hAnsi="Arial" w:cs="Arial"/>
          <w:sz w:val="22"/>
          <w:szCs w:val="22"/>
        </w:rPr>
        <w:t>Richard Waller</w:t>
      </w:r>
      <w:r>
        <w:rPr>
          <w:rFonts w:ascii="Arial" w:hAnsi="Arial" w:cs="Arial"/>
          <w:sz w:val="22"/>
          <w:szCs w:val="22"/>
        </w:rPr>
        <w:t>,</w:t>
      </w:r>
      <w:r w:rsidRPr="00654590">
        <w:rPr>
          <w:rFonts w:ascii="Arial" w:hAnsi="Arial" w:cs="Arial"/>
          <w:sz w:val="22"/>
          <w:szCs w:val="22"/>
        </w:rPr>
        <w:t xml:space="preserve"> John </w:t>
      </w:r>
      <w:proofErr w:type="spellStart"/>
      <w:r w:rsidRPr="00654590">
        <w:rPr>
          <w:rFonts w:ascii="Arial" w:hAnsi="Arial" w:cs="Arial"/>
          <w:sz w:val="22"/>
          <w:szCs w:val="22"/>
        </w:rPr>
        <w:t>Holford</w:t>
      </w:r>
      <w:proofErr w:type="spellEnd"/>
      <w:r>
        <w:rPr>
          <w:rFonts w:ascii="Arial" w:hAnsi="Arial" w:cs="Arial"/>
          <w:sz w:val="22"/>
          <w:szCs w:val="22"/>
        </w:rPr>
        <w:t>, Peter</w:t>
      </w:r>
      <w:r w:rsidRPr="00654590">
        <w:rPr>
          <w:rFonts w:ascii="Arial" w:hAnsi="Arial" w:cs="Arial"/>
          <w:sz w:val="22"/>
          <w:szCs w:val="22"/>
        </w:rPr>
        <w:t xml:space="preserve"> Jarvis</w:t>
      </w:r>
      <w:r>
        <w:rPr>
          <w:rFonts w:ascii="Arial" w:hAnsi="Arial" w:cs="Arial"/>
          <w:sz w:val="22"/>
          <w:szCs w:val="22"/>
        </w:rPr>
        <w:t>, Mar</w:t>
      </w:r>
      <w:r w:rsidRPr="00654590">
        <w:rPr>
          <w:rFonts w:ascii="Arial" w:hAnsi="Arial" w:cs="Arial"/>
          <w:sz w:val="22"/>
          <w:szCs w:val="22"/>
        </w:rPr>
        <w:t xml:space="preserve">cella </w:t>
      </w:r>
      <w:proofErr w:type="spellStart"/>
      <w:r w:rsidRPr="00654590">
        <w:rPr>
          <w:rFonts w:ascii="Arial" w:hAnsi="Arial" w:cs="Arial"/>
          <w:sz w:val="22"/>
          <w:szCs w:val="22"/>
        </w:rPr>
        <w:t>Milana</w:t>
      </w:r>
      <w:proofErr w:type="spellEnd"/>
      <w:r>
        <w:rPr>
          <w:rFonts w:ascii="Arial" w:hAnsi="Arial" w:cs="Arial"/>
          <w:sz w:val="22"/>
          <w:szCs w:val="22"/>
        </w:rPr>
        <w:t xml:space="preserve"> and </w:t>
      </w:r>
      <w:r w:rsidRPr="00654590">
        <w:rPr>
          <w:rFonts w:ascii="Arial" w:hAnsi="Arial" w:cs="Arial"/>
          <w:sz w:val="22"/>
          <w:szCs w:val="22"/>
        </w:rPr>
        <w:t>Sue Webb</w:t>
      </w:r>
    </w:p>
    <w:sectPr w:rsidR="000D6560" w:rsidRPr="000D6560" w:rsidSect="00CF304D">
      <w:pgSz w:w="11906" w:h="16838"/>
      <w:pgMar w:top="1134"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987"/>
    <w:rsid w:val="00003DE7"/>
    <w:rsid w:val="00024CF2"/>
    <w:rsid w:val="00041C1A"/>
    <w:rsid w:val="000637C9"/>
    <w:rsid w:val="000722F8"/>
    <w:rsid w:val="00073503"/>
    <w:rsid w:val="000A0C75"/>
    <w:rsid w:val="000C4CD4"/>
    <w:rsid w:val="000D6560"/>
    <w:rsid w:val="000F5BF2"/>
    <w:rsid w:val="0011205F"/>
    <w:rsid w:val="0012204F"/>
    <w:rsid w:val="00147FBA"/>
    <w:rsid w:val="0015655C"/>
    <w:rsid w:val="0018292B"/>
    <w:rsid w:val="001A2DAE"/>
    <w:rsid w:val="001B708F"/>
    <w:rsid w:val="001C511D"/>
    <w:rsid w:val="001C66A8"/>
    <w:rsid w:val="0028326A"/>
    <w:rsid w:val="002D3987"/>
    <w:rsid w:val="002E62BB"/>
    <w:rsid w:val="0030558B"/>
    <w:rsid w:val="0036041C"/>
    <w:rsid w:val="00362A7C"/>
    <w:rsid w:val="003B652F"/>
    <w:rsid w:val="003C7D46"/>
    <w:rsid w:val="003E0AC7"/>
    <w:rsid w:val="003F18B1"/>
    <w:rsid w:val="00405C6F"/>
    <w:rsid w:val="00415815"/>
    <w:rsid w:val="004355D9"/>
    <w:rsid w:val="00435D0A"/>
    <w:rsid w:val="0045462B"/>
    <w:rsid w:val="0049610D"/>
    <w:rsid w:val="004A1778"/>
    <w:rsid w:val="00506B1F"/>
    <w:rsid w:val="00515833"/>
    <w:rsid w:val="00517E8E"/>
    <w:rsid w:val="00542C1A"/>
    <w:rsid w:val="00573D14"/>
    <w:rsid w:val="00577E63"/>
    <w:rsid w:val="0059325C"/>
    <w:rsid w:val="005C0228"/>
    <w:rsid w:val="005F6C5B"/>
    <w:rsid w:val="00607049"/>
    <w:rsid w:val="00645305"/>
    <w:rsid w:val="006A1755"/>
    <w:rsid w:val="006B0EFF"/>
    <w:rsid w:val="006D6CAE"/>
    <w:rsid w:val="007320D5"/>
    <w:rsid w:val="007451C4"/>
    <w:rsid w:val="007E4D03"/>
    <w:rsid w:val="00802840"/>
    <w:rsid w:val="0080575F"/>
    <w:rsid w:val="00834C53"/>
    <w:rsid w:val="008400E1"/>
    <w:rsid w:val="0087227A"/>
    <w:rsid w:val="008A585D"/>
    <w:rsid w:val="008B26D6"/>
    <w:rsid w:val="008B4962"/>
    <w:rsid w:val="009334C2"/>
    <w:rsid w:val="00965687"/>
    <w:rsid w:val="009668E7"/>
    <w:rsid w:val="0099745E"/>
    <w:rsid w:val="009A13CD"/>
    <w:rsid w:val="009A3F46"/>
    <w:rsid w:val="009C08E6"/>
    <w:rsid w:val="00A01789"/>
    <w:rsid w:val="00A11EFE"/>
    <w:rsid w:val="00A27696"/>
    <w:rsid w:val="00A91342"/>
    <w:rsid w:val="00B0539F"/>
    <w:rsid w:val="00B06B5D"/>
    <w:rsid w:val="00B122F1"/>
    <w:rsid w:val="00B3124E"/>
    <w:rsid w:val="00B53E5D"/>
    <w:rsid w:val="00B61491"/>
    <w:rsid w:val="00B80F87"/>
    <w:rsid w:val="00B933DC"/>
    <w:rsid w:val="00BA4B6A"/>
    <w:rsid w:val="00BB5952"/>
    <w:rsid w:val="00BB7AE1"/>
    <w:rsid w:val="00BC6F90"/>
    <w:rsid w:val="00BE0541"/>
    <w:rsid w:val="00C04A90"/>
    <w:rsid w:val="00C366E4"/>
    <w:rsid w:val="00C4267E"/>
    <w:rsid w:val="00C54C5E"/>
    <w:rsid w:val="00C57B9E"/>
    <w:rsid w:val="00CD72F9"/>
    <w:rsid w:val="00CF304D"/>
    <w:rsid w:val="00D05E91"/>
    <w:rsid w:val="00D07ACA"/>
    <w:rsid w:val="00D16EBD"/>
    <w:rsid w:val="00D24298"/>
    <w:rsid w:val="00D2773D"/>
    <w:rsid w:val="00D44121"/>
    <w:rsid w:val="00D632EA"/>
    <w:rsid w:val="00D81CD4"/>
    <w:rsid w:val="00DB3AAF"/>
    <w:rsid w:val="00DB6B9D"/>
    <w:rsid w:val="00DF7779"/>
    <w:rsid w:val="00E4166E"/>
    <w:rsid w:val="00E75C5C"/>
    <w:rsid w:val="00E80D45"/>
    <w:rsid w:val="00ED21CD"/>
    <w:rsid w:val="00EE3F37"/>
    <w:rsid w:val="00EF6F6C"/>
    <w:rsid w:val="00F03768"/>
    <w:rsid w:val="00F36753"/>
    <w:rsid w:val="00F57E11"/>
    <w:rsid w:val="00F648AF"/>
    <w:rsid w:val="00F64B67"/>
    <w:rsid w:val="00F77D88"/>
    <w:rsid w:val="00F85F87"/>
    <w:rsid w:val="00F9074A"/>
    <w:rsid w:val="00FA3F75"/>
    <w:rsid w:val="00FC0DFB"/>
    <w:rsid w:val="00FD1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B9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840"/>
    <w:pPr>
      <w:spacing w:before="100" w:beforeAutospacing="1" w:after="100" w:afterAutospacing="1"/>
    </w:pPr>
  </w:style>
  <w:style w:type="character" w:styleId="Hyperlink">
    <w:name w:val="Hyperlink"/>
    <w:basedOn w:val="DefaultParagraphFont"/>
    <w:uiPriority w:val="99"/>
    <w:unhideWhenUsed/>
    <w:rsid w:val="00802840"/>
    <w:rPr>
      <w:color w:val="0000FF"/>
      <w:u w:val="single"/>
    </w:rPr>
  </w:style>
  <w:style w:type="character" w:customStyle="1" w:styleId="apple-converted-space">
    <w:name w:val="apple-converted-space"/>
    <w:basedOn w:val="DefaultParagraphFont"/>
    <w:rsid w:val="00802840"/>
  </w:style>
  <w:style w:type="paragraph" w:styleId="NoSpacing">
    <w:name w:val="No Spacing"/>
    <w:uiPriority w:val="1"/>
    <w:qFormat/>
    <w:rsid w:val="00D05E91"/>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57E11"/>
    <w:rPr>
      <w:rFonts w:ascii="Tahoma" w:hAnsi="Tahoma" w:cs="Tahoma"/>
      <w:sz w:val="16"/>
      <w:szCs w:val="16"/>
    </w:rPr>
  </w:style>
  <w:style w:type="character" w:customStyle="1" w:styleId="BalloonTextChar">
    <w:name w:val="Balloon Text Char"/>
    <w:basedOn w:val="DefaultParagraphFont"/>
    <w:link w:val="BalloonText"/>
    <w:uiPriority w:val="99"/>
    <w:semiHidden/>
    <w:rsid w:val="00F57E11"/>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C366E4"/>
    <w:rPr>
      <w:sz w:val="16"/>
      <w:szCs w:val="16"/>
    </w:rPr>
  </w:style>
  <w:style w:type="paragraph" w:styleId="CommentText">
    <w:name w:val="annotation text"/>
    <w:basedOn w:val="Normal"/>
    <w:link w:val="CommentTextChar"/>
    <w:uiPriority w:val="99"/>
    <w:semiHidden/>
    <w:unhideWhenUsed/>
    <w:rsid w:val="00C366E4"/>
    <w:rPr>
      <w:sz w:val="20"/>
      <w:szCs w:val="20"/>
    </w:rPr>
  </w:style>
  <w:style w:type="character" w:customStyle="1" w:styleId="CommentTextChar">
    <w:name w:val="Comment Text Char"/>
    <w:basedOn w:val="DefaultParagraphFont"/>
    <w:link w:val="CommentText"/>
    <w:uiPriority w:val="99"/>
    <w:semiHidden/>
    <w:rsid w:val="00C366E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366E4"/>
    <w:rPr>
      <w:b/>
      <w:bCs/>
    </w:rPr>
  </w:style>
  <w:style w:type="character" w:customStyle="1" w:styleId="CommentSubjectChar">
    <w:name w:val="Comment Subject Char"/>
    <w:basedOn w:val="CommentTextChar"/>
    <w:link w:val="CommentSubject"/>
    <w:uiPriority w:val="99"/>
    <w:semiHidden/>
    <w:rsid w:val="00C366E4"/>
    <w:rPr>
      <w:rFonts w:ascii="Times New Roman" w:eastAsia="Times New Roman" w:hAnsi="Times New Roman" w:cs="Times New Roman"/>
      <w:b/>
      <w:bCs/>
      <w:sz w:val="20"/>
      <w:szCs w:val="20"/>
      <w:lang w:eastAsia="en-GB"/>
    </w:rPr>
  </w:style>
  <w:style w:type="paragraph" w:styleId="Revision">
    <w:name w:val="Revision"/>
    <w:hidden/>
    <w:uiPriority w:val="99"/>
    <w:semiHidden/>
    <w:rsid w:val="00515833"/>
    <w:pPr>
      <w:spacing w:after="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B9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840"/>
    <w:pPr>
      <w:spacing w:before="100" w:beforeAutospacing="1" w:after="100" w:afterAutospacing="1"/>
    </w:pPr>
  </w:style>
  <w:style w:type="character" w:styleId="Hyperlink">
    <w:name w:val="Hyperlink"/>
    <w:basedOn w:val="DefaultParagraphFont"/>
    <w:uiPriority w:val="99"/>
    <w:unhideWhenUsed/>
    <w:rsid w:val="00802840"/>
    <w:rPr>
      <w:color w:val="0000FF"/>
      <w:u w:val="single"/>
    </w:rPr>
  </w:style>
  <w:style w:type="character" w:customStyle="1" w:styleId="apple-converted-space">
    <w:name w:val="apple-converted-space"/>
    <w:basedOn w:val="DefaultParagraphFont"/>
    <w:rsid w:val="00802840"/>
  </w:style>
  <w:style w:type="paragraph" w:styleId="NoSpacing">
    <w:name w:val="No Spacing"/>
    <w:uiPriority w:val="1"/>
    <w:qFormat/>
    <w:rsid w:val="00D05E91"/>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57E11"/>
    <w:rPr>
      <w:rFonts w:ascii="Tahoma" w:hAnsi="Tahoma" w:cs="Tahoma"/>
      <w:sz w:val="16"/>
      <w:szCs w:val="16"/>
    </w:rPr>
  </w:style>
  <w:style w:type="character" w:customStyle="1" w:styleId="BalloonTextChar">
    <w:name w:val="Balloon Text Char"/>
    <w:basedOn w:val="DefaultParagraphFont"/>
    <w:link w:val="BalloonText"/>
    <w:uiPriority w:val="99"/>
    <w:semiHidden/>
    <w:rsid w:val="00F57E11"/>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C366E4"/>
    <w:rPr>
      <w:sz w:val="16"/>
      <w:szCs w:val="16"/>
    </w:rPr>
  </w:style>
  <w:style w:type="paragraph" w:styleId="CommentText">
    <w:name w:val="annotation text"/>
    <w:basedOn w:val="Normal"/>
    <w:link w:val="CommentTextChar"/>
    <w:uiPriority w:val="99"/>
    <w:semiHidden/>
    <w:unhideWhenUsed/>
    <w:rsid w:val="00C366E4"/>
    <w:rPr>
      <w:sz w:val="20"/>
      <w:szCs w:val="20"/>
    </w:rPr>
  </w:style>
  <w:style w:type="character" w:customStyle="1" w:styleId="CommentTextChar">
    <w:name w:val="Comment Text Char"/>
    <w:basedOn w:val="DefaultParagraphFont"/>
    <w:link w:val="CommentText"/>
    <w:uiPriority w:val="99"/>
    <w:semiHidden/>
    <w:rsid w:val="00C366E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366E4"/>
    <w:rPr>
      <w:b/>
      <w:bCs/>
    </w:rPr>
  </w:style>
  <w:style w:type="character" w:customStyle="1" w:styleId="CommentSubjectChar">
    <w:name w:val="Comment Subject Char"/>
    <w:basedOn w:val="CommentTextChar"/>
    <w:link w:val="CommentSubject"/>
    <w:uiPriority w:val="99"/>
    <w:semiHidden/>
    <w:rsid w:val="00C366E4"/>
    <w:rPr>
      <w:rFonts w:ascii="Times New Roman" w:eastAsia="Times New Roman" w:hAnsi="Times New Roman" w:cs="Times New Roman"/>
      <w:b/>
      <w:bCs/>
      <w:sz w:val="20"/>
      <w:szCs w:val="20"/>
      <w:lang w:eastAsia="en-GB"/>
    </w:rPr>
  </w:style>
  <w:style w:type="paragraph" w:styleId="Revision">
    <w:name w:val="Revision"/>
    <w:hidden/>
    <w:uiPriority w:val="99"/>
    <w:semiHidden/>
    <w:rsid w:val="00515833"/>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22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timeshighereducation.com/news/free-school-meal-pupils-half-as-likely-to-attend-russell-group-university/2018231.article" TargetMode="External"/><Relationship Id="rId5" Type="http://schemas.openxmlformats.org/officeDocument/2006/relationships/hyperlink" Target="https://www.gov.uk/government/uploads/system/uploads/attachment_data/file/469390/SFR40-2015_Destination_Measures_2013-14_Final_2015101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2099</Words>
  <Characters>11969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cp:lastModifiedBy>
  <cp:revision>2</cp:revision>
  <cp:lastPrinted>2015-10-26T17:15:00Z</cp:lastPrinted>
  <dcterms:created xsi:type="dcterms:W3CDTF">2016-01-12T21:59:00Z</dcterms:created>
  <dcterms:modified xsi:type="dcterms:W3CDTF">2016-01-12T21:59:00Z</dcterms:modified>
</cp:coreProperties>
</file>