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A2119" w14:textId="77777777" w:rsidR="00A5674E" w:rsidRDefault="00A5674E">
      <w:pPr>
        <w:pStyle w:val="Heading1"/>
        <w:spacing w:before="120"/>
        <w:jc w:val="center"/>
        <w:rPr>
          <w:rFonts w:ascii="Bookman Old Style" w:hAnsi="Bookman Old Style"/>
          <w:color w:val="00000A"/>
          <w:sz w:val="32"/>
          <w:szCs w:val="24"/>
          <w:lang w:val="en-US"/>
        </w:rPr>
      </w:pPr>
    </w:p>
    <w:p w14:paraId="72D3C6DA" w14:textId="77777777" w:rsidR="00B11E19" w:rsidRPr="00DC5A3B" w:rsidRDefault="00B11E19" w:rsidP="00DC5A3B">
      <w:pPr>
        <w:pStyle w:val="BodyText"/>
        <w:rPr>
          <w:lang w:val="en-US"/>
        </w:rPr>
      </w:pPr>
    </w:p>
    <w:p w14:paraId="2C1469F1" w14:textId="77777777" w:rsidR="00A5674E" w:rsidRPr="008D13EC" w:rsidRDefault="00A5674E">
      <w:pPr>
        <w:pStyle w:val="Heading1"/>
        <w:spacing w:before="120"/>
        <w:jc w:val="center"/>
        <w:rPr>
          <w:rFonts w:ascii="Bookman Old Style" w:hAnsi="Bookman Old Style"/>
          <w:color w:val="00000A"/>
          <w:sz w:val="32"/>
          <w:szCs w:val="24"/>
          <w:lang w:val="en-US"/>
        </w:rPr>
      </w:pPr>
    </w:p>
    <w:p w14:paraId="2630FC53" w14:textId="77777777" w:rsidR="00A5674E" w:rsidRPr="008D13EC" w:rsidRDefault="00FE370C">
      <w:pPr>
        <w:pStyle w:val="Heading1"/>
        <w:spacing w:before="120"/>
        <w:jc w:val="center"/>
        <w:rPr>
          <w:lang w:val="en-US"/>
        </w:rPr>
      </w:pPr>
      <w:r w:rsidRPr="008D13EC">
        <w:rPr>
          <w:rFonts w:ascii="Bookman Old Style" w:hAnsi="Bookman Old Style"/>
          <w:color w:val="00000A"/>
          <w:sz w:val="32"/>
          <w:szCs w:val="24"/>
          <w:lang w:val="en-US"/>
        </w:rPr>
        <w:t>Impact of board independence on community disclosure quality</w:t>
      </w:r>
    </w:p>
    <w:p w14:paraId="404CB15A" w14:textId="77777777" w:rsidR="00A5674E" w:rsidRPr="008D13EC" w:rsidRDefault="00A5674E">
      <w:pPr>
        <w:ind w:firstLine="567"/>
        <w:jc w:val="both"/>
        <w:rPr>
          <w:lang w:val="en-US"/>
        </w:rPr>
      </w:pPr>
    </w:p>
    <w:p w14:paraId="593CA22F" w14:textId="77777777" w:rsidR="00A5674E" w:rsidRPr="008D13EC" w:rsidRDefault="00A5674E">
      <w:pPr>
        <w:ind w:firstLine="567"/>
        <w:jc w:val="both"/>
        <w:rPr>
          <w:lang w:val="en-US"/>
        </w:rPr>
      </w:pPr>
    </w:p>
    <w:p w14:paraId="0626D2C6" w14:textId="77777777" w:rsidR="00A5674E" w:rsidRPr="008D13EC" w:rsidRDefault="00A5674E">
      <w:pPr>
        <w:ind w:firstLine="567"/>
        <w:jc w:val="both"/>
        <w:rPr>
          <w:lang w:val="en-US"/>
        </w:rPr>
      </w:pPr>
    </w:p>
    <w:p w14:paraId="1A70A669" w14:textId="77777777" w:rsidR="00A5674E" w:rsidRPr="008D13EC" w:rsidRDefault="00A5674E">
      <w:pPr>
        <w:ind w:firstLine="567"/>
        <w:jc w:val="both"/>
        <w:rPr>
          <w:lang w:val="en-US"/>
        </w:rPr>
      </w:pPr>
    </w:p>
    <w:p w14:paraId="6EACD1A0" w14:textId="77777777" w:rsidR="00A5674E" w:rsidRPr="008D13EC" w:rsidRDefault="00A5674E">
      <w:pPr>
        <w:ind w:firstLine="567"/>
        <w:jc w:val="both"/>
        <w:rPr>
          <w:lang w:val="en-US"/>
        </w:rPr>
      </w:pPr>
    </w:p>
    <w:p w14:paraId="76F2CBE7" w14:textId="77777777" w:rsidR="00A5674E" w:rsidRPr="008D13EC" w:rsidRDefault="00FE370C">
      <w:pPr>
        <w:ind w:left="567" w:right="567" w:firstLine="153"/>
        <w:jc w:val="center"/>
        <w:rPr>
          <w:b/>
          <w:lang w:val="en-US"/>
        </w:rPr>
      </w:pPr>
      <w:r w:rsidRPr="008D13EC">
        <w:rPr>
          <w:b/>
          <w:lang w:val="en-US"/>
        </w:rPr>
        <w:t>Abstract</w:t>
      </w:r>
    </w:p>
    <w:p w14:paraId="5B854298" w14:textId="77777777" w:rsidR="00A5674E" w:rsidRPr="008D13EC" w:rsidRDefault="00A5674E">
      <w:pPr>
        <w:ind w:left="567" w:right="567" w:firstLine="153"/>
        <w:jc w:val="center"/>
        <w:rPr>
          <w:b/>
          <w:lang w:val="en-US"/>
        </w:rPr>
      </w:pPr>
    </w:p>
    <w:p w14:paraId="2258ADCB" w14:textId="5B87F645" w:rsidR="00A5674E" w:rsidRPr="008D13EC" w:rsidRDefault="00FE370C">
      <w:pPr>
        <w:ind w:left="567" w:right="567"/>
        <w:jc w:val="both"/>
        <w:rPr>
          <w:lang w:val="en-US"/>
        </w:rPr>
      </w:pPr>
      <w:r w:rsidRPr="008D13EC">
        <w:rPr>
          <w:rFonts w:eastAsia="Calibri"/>
          <w:sz w:val="23"/>
          <w:szCs w:val="23"/>
          <w:lang w:val="en-US"/>
        </w:rPr>
        <w:t xml:space="preserve">This study investigates the link between board independence and the quality of community disclosures in annual reports. Using content analysis and a panel dataset from UK FTSE 350 companies the results indicate a statistically significant relationship between board independence, </w:t>
      </w:r>
      <w:r w:rsidR="008D13EC">
        <w:rPr>
          <w:rFonts w:eastAsia="Calibri"/>
          <w:sz w:val="23"/>
          <w:szCs w:val="23"/>
          <w:lang w:val="en-US"/>
        </w:rPr>
        <w:t xml:space="preserve">as </w:t>
      </w:r>
      <w:r w:rsidRPr="008D13EC">
        <w:rPr>
          <w:rFonts w:eastAsia="Calibri"/>
          <w:sz w:val="23"/>
          <w:szCs w:val="23"/>
          <w:lang w:val="en-US"/>
        </w:rPr>
        <w:t>measured by the proportion of nonexecutive directors</w:t>
      </w:r>
      <w:r w:rsidR="008D13EC">
        <w:rPr>
          <w:rFonts w:eastAsia="Calibri"/>
          <w:sz w:val="23"/>
          <w:szCs w:val="23"/>
          <w:lang w:val="en-US"/>
        </w:rPr>
        <w:t>,</w:t>
      </w:r>
      <w:r w:rsidRPr="008D13EC">
        <w:rPr>
          <w:rFonts w:eastAsia="Calibri"/>
          <w:sz w:val="23"/>
          <w:szCs w:val="23"/>
          <w:lang w:val="en-US"/>
        </w:rPr>
        <w:t xml:space="preserve"> and the quality of community disclosures, while </w:t>
      </w:r>
      <w:r w:rsidR="008D13EC">
        <w:rPr>
          <w:rFonts w:eastAsia="Calibri"/>
          <w:sz w:val="23"/>
          <w:szCs w:val="23"/>
          <w:lang w:val="en-US"/>
        </w:rPr>
        <w:t xml:space="preserve">holding constant </w:t>
      </w:r>
      <w:r w:rsidRPr="008D13EC">
        <w:rPr>
          <w:rFonts w:eastAsia="Calibri"/>
          <w:sz w:val="23"/>
          <w:szCs w:val="23"/>
          <w:lang w:val="en-US"/>
        </w:rPr>
        <w:t>other corporate governance and firm specific variables. The study indicates that companies with more non</w:t>
      </w:r>
      <w:r w:rsidR="00DC5A3B">
        <w:rPr>
          <w:rFonts w:eastAsia="Calibri"/>
          <w:sz w:val="23"/>
          <w:szCs w:val="23"/>
          <w:lang w:val="en-US"/>
        </w:rPr>
        <w:t>-</w:t>
      </w:r>
      <w:r w:rsidRPr="008D13EC">
        <w:rPr>
          <w:rFonts w:eastAsia="Calibri"/>
          <w:sz w:val="23"/>
          <w:szCs w:val="23"/>
          <w:lang w:val="en-US"/>
        </w:rPr>
        <w:t xml:space="preserve">executive directors are likely to disclose higher quality information on their community activities than others. This </w:t>
      </w:r>
      <w:r w:rsidR="00DC5A3B">
        <w:rPr>
          <w:rFonts w:eastAsia="Calibri"/>
          <w:sz w:val="23"/>
          <w:szCs w:val="23"/>
          <w:lang w:val="en-US"/>
        </w:rPr>
        <w:t xml:space="preserve">finding </w:t>
      </w:r>
      <w:r w:rsidRPr="008D13EC">
        <w:rPr>
          <w:rFonts w:eastAsia="Calibri"/>
          <w:sz w:val="23"/>
          <w:szCs w:val="23"/>
          <w:lang w:val="en-US"/>
        </w:rPr>
        <w:t xml:space="preserve">offers important insights to policy makers who are interested in achieving optimal board composition and furthers </w:t>
      </w:r>
      <w:r w:rsidR="00DC5A3B">
        <w:rPr>
          <w:rFonts w:eastAsia="Calibri"/>
          <w:sz w:val="23"/>
          <w:szCs w:val="23"/>
          <w:lang w:val="en-US"/>
        </w:rPr>
        <w:t xml:space="preserve">our </w:t>
      </w:r>
      <w:r w:rsidRPr="008D13EC">
        <w:rPr>
          <w:rFonts w:eastAsia="Calibri"/>
          <w:sz w:val="23"/>
          <w:szCs w:val="23"/>
          <w:lang w:val="en-US"/>
        </w:rPr>
        <w:t>understanding of the</w:t>
      </w:r>
      <w:r w:rsidR="00DC5A3B">
        <w:rPr>
          <w:rFonts w:eastAsia="Calibri"/>
          <w:sz w:val="23"/>
          <w:szCs w:val="23"/>
          <w:lang w:val="en-US"/>
        </w:rPr>
        <w:t xml:space="preserve"> firm’s</w:t>
      </w:r>
      <w:r w:rsidRPr="008D13EC">
        <w:rPr>
          <w:rFonts w:eastAsia="Calibri"/>
          <w:sz w:val="23"/>
          <w:szCs w:val="23"/>
          <w:lang w:val="en-US"/>
        </w:rPr>
        <w:t xml:space="preserve"> interaction with its corporate and extended environment through high-quality disclosures. The originality of this paper </w:t>
      </w:r>
      <w:r w:rsidR="008D13EC">
        <w:rPr>
          <w:rFonts w:eastAsia="Calibri"/>
          <w:sz w:val="23"/>
          <w:szCs w:val="23"/>
          <w:lang w:val="en-US"/>
        </w:rPr>
        <w:t>lies</w:t>
      </w:r>
      <w:r w:rsidR="008D13EC" w:rsidRPr="008D13EC">
        <w:rPr>
          <w:rFonts w:eastAsia="Calibri"/>
          <w:sz w:val="23"/>
          <w:szCs w:val="23"/>
          <w:lang w:val="en-US"/>
        </w:rPr>
        <w:t xml:space="preserve"> </w:t>
      </w:r>
      <w:r w:rsidRPr="008D13EC">
        <w:rPr>
          <w:rFonts w:eastAsia="Calibri"/>
          <w:sz w:val="23"/>
          <w:szCs w:val="23"/>
          <w:lang w:val="en-US"/>
        </w:rPr>
        <w:t>in the fact that it is the first to specifically examine the relationship between outside directors and community disclosures in annual reports. The paper contributes both to the corporate governance and community disclosure literature.</w:t>
      </w:r>
    </w:p>
    <w:p w14:paraId="3F0FFFCA" w14:textId="77777777" w:rsidR="00A5674E" w:rsidRPr="008D13EC" w:rsidRDefault="00A5674E">
      <w:pPr>
        <w:spacing w:line="276" w:lineRule="auto"/>
        <w:jc w:val="both"/>
        <w:rPr>
          <w:lang w:val="en-US"/>
        </w:rPr>
      </w:pPr>
    </w:p>
    <w:p w14:paraId="63D4C751" w14:textId="77777777" w:rsidR="00A5674E" w:rsidRPr="008D13EC" w:rsidRDefault="00A5674E">
      <w:pPr>
        <w:spacing w:line="276" w:lineRule="auto"/>
        <w:jc w:val="both"/>
        <w:rPr>
          <w:lang w:val="en-US"/>
        </w:rPr>
      </w:pPr>
    </w:p>
    <w:p w14:paraId="74EF4D95" w14:textId="77777777" w:rsidR="00A5674E" w:rsidRPr="008D13EC" w:rsidRDefault="00FE370C">
      <w:pPr>
        <w:spacing w:line="276" w:lineRule="auto"/>
        <w:jc w:val="both"/>
        <w:rPr>
          <w:b/>
          <w:lang w:val="en-US"/>
        </w:rPr>
      </w:pPr>
      <w:r w:rsidRPr="008D13EC">
        <w:rPr>
          <w:b/>
          <w:lang w:val="en-US"/>
        </w:rPr>
        <w:t>JEL codes</w:t>
      </w:r>
      <w:r w:rsidRPr="008D13EC">
        <w:rPr>
          <w:lang w:val="en-US"/>
        </w:rPr>
        <w:t>: M1; M14; L21</w:t>
      </w:r>
    </w:p>
    <w:p w14:paraId="1B804132" w14:textId="77777777" w:rsidR="00A5674E" w:rsidRPr="008D13EC" w:rsidRDefault="00A5674E">
      <w:pPr>
        <w:spacing w:line="276" w:lineRule="auto"/>
        <w:jc w:val="both"/>
        <w:rPr>
          <w:b/>
          <w:lang w:val="en-US"/>
        </w:rPr>
      </w:pPr>
    </w:p>
    <w:p w14:paraId="2251DC94" w14:textId="77777777" w:rsidR="00A5674E" w:rsidRPr="008D13EC" w:rsidRDefault="00A5674E">
      <w:pPr>
        <w:spacing w:line="276" w:lineRule="auto"/>
        <w:jc w:val="both"/>
        <w:rPr>
          <w:b/>
          <w:lang w:val="en-US"/>
        </w:rPr>
      </w:pPr>
    </w:p>
    <w:p w14:paraId="3987E332" w14:textId="61326F76" w:rsidR="00A5674E" w:rsidRPr="008D13EC" w:rsidRDefault="00FE370C">
      <w:pPr>
        <w:spacing w:line="276" w:lineRule="auto"/>
        <w:jc w:val="both"/>
        <w:rPr>
          <w:lang w:val="en-US"/>
        </w:rPr>
      </w:pPr>
      <w:r w:rsidRPr="008D13EC">
        <w:rPr>
          <w:b/>
          <w:lang w:val="en-US"/>
        </w:rPr>
        <w:t>Keywords:</w:t>
      </w:r>
      <w:r w:rsidRPr="008D13EC">
        <w:rPr>
          <w:lang w:val="en-US"/>
        </w:rPr>
        <w:t xml:space="preserve"> Corporate Governance; </w:t>
      </w:r>
      <w:r w:rsidR="004D2823">
        <w:rPr>
          <w:lang w:val="en-US"/>
        </w:rPr>
        <w:t xml:space="preserve">Non-Executive Directors; </w:t>
      </w:r>
      <w:r w:rsidRPr="008D13EC">
        <w:rPr>
          <w:lang w:val="en-US"/>
        </w:rPr>
        <w:t>Board Composition; Disclosure Quality; Community Disclosures; Stakeholders Theory; Panel Study</w:t>
      </w:r>
      <w:r w:rsidR="004D2823">
        <w:rPr>
          <w:lang w:val="en-US"/>
        </w:rPr>
        <w:t>.</w:t>
      </w:r>
    </w:p>
    <w:p w14:paraId="2D23CF4E" w14:textId="77777777" w:rsidR="00A5674E" w:rsidRPr="008D13EC" w:rsidRDefault="00A5674E">
      <w:pPr>
        <w:spacing w:line="276" w:lineRule="auto"/>
        <w:jc w:val="both"/>
        <w:rPr>
          <w:lang w:val="en-US"/>
        </w:rPr>
      </w:pPr>
    </w:p>
    <w:p w14:paraId="51D4AA84" w14:textId="77777777" w:rsidR="00A5674E" w:rsidRPr="008D13EC" w:rsidRDefault="00A5674E">
      <w:pPr>
        <w:spacing w:line="276" w:lineRule="auto"/>
        <w:ind w:firstLine="567"/>
        <w:jc w:val="both"/>
        <w:rPr>
          <w:lang w:val="en-US"/>
        </w:rPr>
      </w:pPr>
    </w:p>
    <w:p w14:paraId="669E7938" w14:textId="77777777" w:rsidR="00A5674E" w:rsidRPr="008D13EC" w:rsidRDefault="00A5674E">
      <w:pPr>
        <w:spacing w:line="276" w:lineRule="auto"/>
        <w:ind w:firstLine="567"/>
        <w:jc w:val="both"/>
        <w:rPr>
          <w:lang w:val="en-US"/>
        </w:rPr>
      </w:pPr>
    </w:p>
    <w:p w14:paraId="689D4F6E" w14:textId="77777777" w:rsidR="00A5674E" w:rsidRPr="008D13EC" w:rsidRDefault="00A5674E">
      <w:pPr>
        <w:spacing w:line="276" w:lineRule="auto"/>
        <w:ind w:firstLine="567"/>
        <w:jc w:val="both"/>
        <w:rPr>
          <w:lang w:val="en-US"/>
        </w:rPr>
      </w:pPr>
    </w:p>
    <w:p w14:paraId="75FD12FD" w14:textId="77777777" w:rsidR="00A5674E" w:rsidRPr="008D13EC" w:rsidRDefault="00A5674E">
      <w:pPr>
        <w:spacing w:line="276" w:lineRule="auto"/>
        <w:ind w:firstLine="567"/>
        <w:jc w:val="both"/>
        <w:rPr>
          <w:lang w:val="en-US"/>
        </w:rPr>
      </w:pPr>
    </w:p>
    <w:p w14:paraId="08CE608F" w14:textId="77777777" w:rsidR="00A5674E" w:rsidRPr="00C921CA" w:rsidRDefault="00A5674E">
      <w:pPr>
        <w:spacing w:line="276" w:lineRule="auto"/>
        <w:ind w:firstLine="567"/>
        <w:jc w:val="both"/>
        <w:rPr>
          <w:sz w:val="23"/>
          <w:szCs w:val="23"/>
          <w:lang w:val="en-US"/>
        </w:rPr>
      </w:pPr>
    </w:p>
    <w:p w14:paraId="384E2EAA" w14:textId="08DFC3C2" w:rsidR="00C921CA" w:rsidRPr="00C921CA" w:rsidRDefault="00C921CA" w:rsidP="00C921CA">
      <w:pPr>
        <w:jc w:val="both"/>
        <w:rPr>
          <w:sz w:val="23"/>
          <w:szCs w:val="23"/>
        </w:rPr>
      </w:pPr>
      <w:r w:rsidRPr="00C921CA">
        <w:rPr>
          <w:b/>
          <w:sz w:val="23"/>
          <w:szCs w:val="23"/>
        </w:rPr>
        <w:t>Acknowledgements:</w:t>
      </w:r>
      <w:r w:rsidRPr="00C921CA">
        <w:rPr>
          <w:sz w:val="23"/>
          <w:szCs w:val="23"/>
        </w:rPr>
        <w:t xml:space="preserve"> The authors are most grateful to the anonymous reviewers for their useful comments on the earlier versions of this paper. We are also grateful for the constructive criticisms and comments received from the participants at the 2014 annual GARI conference on “Corporate Governance and Integrated Thinking” at the Henley Business school, University of Reading and the 2015 Annual BAFA conference at the University of Manchester.</w:t>
      </w:r>
    </w:p>
    <w:p w14:paraId="705B101C" w14:textId="77777777" w:rsidR="00A5674E" w:rsidRPr="00C921CA" w:rsidRDefault="00A5674E">
      <w:pPr>
        <w:spacing w:line="276" w:lineRule="auto"/>
        <w:ind w:firstLine="567"/>
        <w:jc w:val="both"/>
        <w:rPr>
          <w:sz w:val="23"/>
          <w:szCs w:val="23"/>
          <w:lang w:val="en-US"/>
        </w:rPr>
      </w:pPr>
    </w:p>
    <w:p w14:paraId="7085EAEB" w14:textId="77777777" w:rsidR="00A5674E" w:rsidRPr="008D13EC" w:rsidRDefault="00A5674E">
      <w:pPr>
        <w:spacing w:line="276" w:lineRule="auto"/>
        <w:ind w:firstLine="567"/>
        <w:jc w:val="both"/>
        <w:rPr>
          <w:lang w:val="en-US"/>
        </w:rPr>
      </w:pPr>
    </w:p>
    <w:p w14:paraId="0C96F4B1" w14:textId="529145F9" w:rsidR="00A5674E" w:rsidRPr="00D018E3" w:rsidRDefault="00D018E3">
      <w:pPr>
        <w:pStyle w:val="ListParagraph"/>
        <w:numPr>
          <w:ilvl w:val="0"/>
          <w:numId w:val="1"/>
        </w:numPr>
        <w:spacing w:line="480" w:lineRule="auto"/>
        <w:ind w:left="284" w:hanging="284"/>
        <w:jc w:val="left"/>
        <w:rPr>
          <w:b/>
          <w:color w:val="auto"/>
          <w:szCs w:val="24"/>
          <w:lang w:val="en-US"/>
        </w:rPr>
      </w:pPr>
      <w:r>
        <w:rPr>
          <w:b/>
          <w:color w:val="auto"/>
          <w:szCs w:val="24"/>
          <w:lang w:val="en-US"/>
        </w:rPr>
        <w:lastRenderedPageBreak/>
        <w:t>Introduction</w:t>
      </w:r>
    </w:p>
    <w:p w14:paraId="29B6DDED" w14:textId="4C3BA6C3" w:rsidR="00074304" w:rsidRPr="00D018E3" w:rsidRDefault="008776A2" w:rsidP="0009720C">
      <w:pPr>
        <w:autoSpaceDE w:val="0"/>
        <w:autoSpaceDN w:val="0"/>
        <w:adjustRightInd w:val="0"/>
        <w:spacing w:line="480" w:lineRule="auto"/>
        <w:ind w:firstLine="567"/>
        <w:jc w:val="both"/>
        <w:rPr>
          <w:color w:val="auto"/>
          <w:lang w:val="en-US"/>
        </w:rPr>
      </w:pPr>
      <w:r w:rsidRPr="00D018E3">
        <w:rPr>
          <w:color w:val="auto"/>
          <w:lang w:val="en-US"/>
        </w:rPr>
        <w:t xml:space="preserve">This study examines the impact of board composition on </w:t>
      </w:r>
      <w:r w:rsidR="005A6FA2" w:rsidRPr="00D018E3">
        <w:rPr>
          <w:color w:val="auto"/>
          <w:lang w:val="en-US"/>
        </w:rPr>
        <w:t>corporate community involvement disclosure</w:t>
      </w:r>
      <w:r w:rsidR="0009720C" w:rsidRPr="00D018E3">
        <w:rPr>
          <w:color w:val="auto"/>
          <w:lang w:val="en-US"/>
        </w:rPr>
        <w:t xml:space="preserve"> (CCID)</w:t>
      </w:r>
      <w:r w:rsidR="005A6FA2" w:rsidRPr="00D018E3">
        <w:rPr>
          <w:color w:val="auto"/>
          <w:lang w:val="en-US"/>
        </w:rPr>
        <w:t xml:space="preserve"> for a sample of UK listed companies. </w:t>
      </w:r>
      <w:r w:rsidR="00FE370C" w:rsidRPr="00D018E3">
        <w:rPr>
          <w:color w:val="auto"/>
          <w:lang w:val="en-US"/>
        </w:rPr>
        <w:t xml:space="preserve">The composition of the board of directors in a company is crucial in providing strategic direction </w:t>
      </w:r>
      <w:r w:rsidR="00B57BD9" w:rsidRPr="00D018E3">
        <w:rPr>
          <w:color w:val="auto"/>
          <w:lang w:val="en-US"/>
        </w:rPr>
        <w:t>(</w:t>
      </w:r>
      <w:r w:rsidR="00D41559" w:rsidRPr="00D018E3">
        <w:rPr>
          <w:color w:val="auto"/>
          <w:lang w:val="en-US"/>
        </w:rPr>
        <w:t xml:space="preserve">Chen </w:t>
      </w:r>
      <w:r w:rsidR="00E66ADC">
        <w:rPr>
          <w:color w:val="auto"/>
          <w:lang w:val="en-US"/>
        </w:rPr>
        <w:t>and</w:t>
      </w:r>
      <w:r w:rsidR="00D41559" w:rsidRPr="00D018E3">
        <w:rPr>
          <w:color w:val="auto"/>
          <w:lang w:val="en-US"/>
        </w:rPr>
        <w:t xml:space="preserve"> </w:t>
      </w:r>
      <w:proofErr w:type="spellStart"/>
      <w:r w:rsidR="00D41559" w:rsidRPr="00D018E3">
        <w:rPr>
          <w:color w:val="auto"/>
          <w:lang w:val="en-US"/>
        </w:rPr>
        <w:t>Jaggi</w:t>
      </w:r>
      <w:proofErr w:type="spellEnd"/>
      <w:r w:rsidR="00D41559" w:rsidRPr="00D018E3">
        <w:rPr>
          <w:color w:val="auto"/>
          <w:lang w:val="en-US"/>
        </w:rPr>
        <w:t xml:space="preserve">, 2000; </w:t>
      </w:r>
      <w:r w:rsidR="00B57BD9" w:rsidRPr="00D018E3">
        <w:rPr>
          <w:color w:val="auto"/>
          <w:lang w:val="en-US"/>
        </w:rPr>
        <w:t xml:space="preserve">Gul </w:t>
      </w:r>
      <w:r w:rsidR="00E66ADC">
        <w:rPr>
          <w:color w:val="auto"/>
          <w:lang w:val="en-US"/>
        </w:rPr>
        <w:t>and</w:t>
      </w:r>
      <w:r w:rsidR="00D41559" w:rsidRPr="00D018E3">
        <w:rPr>
          <w:color w:val="auto"/>
          <w:lang w:val="en-US"/>
        </w:rPr>
        <w:t xml:space="preserve"> </w:t>
      </w:r>
      <w:r w:rsidR="00B57BD9" w:rsidRPr="00D018E3">
        <w:rPr>
          <w:color w:val="auto"/>
          <w:lang w:val="en-US"/>
        </w:rPr>
        <w:t>Leung, 2004).</w:t>
      </w:r>
      <w:r w:rsidR="00FE370C" w:rsidRPr="00D018E3">
        <w:rPr>
          <w:color w:val="auto"/>
          <w:lang w:val="en-US"/>
        </w:rPr>
        <w:t xml:space="preserve"> It is therefore not surprising that there have been significant increases in regulation and corporate governance </w:t>
      </w:r>
      <w:r w:rsidR="003F7F9D" w:rsidRPr="00D018E3">
        <w:rPr>
          <w:color w:val="auto"/>
          <w:lang w:val="en-US"/>
        </w:rPr>
        <w:t xml:space="preserve">(CG) </w:t>
      </w:r>
      <w:r w:rsidR="00FE370C" w:rsidRPr="00D018E3">
        <w:rPr>
          <w:color w:val="auto"/>
          <w:lang w:val="en-US"/>
        </w:rPr>
        <w:t xml:space="preserve">reforms focusing on board composition following various corporate scandals in the past decades. </w:t>
      </w:r>
    </w:p>
    <w:p w14:paraId="2C9DE08D" w14:textId="5D49B56E" w:rsidR="002A66CC" w:rsidRPr="00D018E3" w:rsidRDefault="005A6FA2" w:rsidP="0009720C">
      <w:pPr>
        <w:autoSpaceDE w:val="0"/>
        <w:autoSpaceDN w:val="0"/>
        <w:adjustRightInd w:val="0"/>
        <w:spacing w:line="480" w:lineRule="auto"/>
        <w:ind w:firstLine="567"/>
        <w:jc w:val="both"/>
        <w:rPr>
          <w:color w:val="auto"/>
        </w:rPr>
      </w:pPr>
      <w:r w:rsidRPr="00D018E3">
        <w:rPr>
          <w:color w:val="auto"/>
        </w:rPr>
        <w:t>B</w:t>
      </w:r>
      <w:r w:rsidR="002A3575" w:rsidRPr="00D018E3">
        <w:rPr>
          <w:color w:val="auto"/>
        </w:rPr>
        <w:t>oards o</w:t>
      </w:r>
      <w:r w:rsidR="00D26AA6" w:rsidRPr="00D018E3">
        <w:rPr>
          <w:color w:val="auto"/>
        </w:rPr>
        <w:t>f</w:t>
      </w:r>
      <w:r w:rsidR="002A3575" w:rsidRPr="00D018E3">
        <w:rPr>
          <w:color w:val="auto"/>
        </w:rPr>
        <w:t xml:space="preserve"> profit-orientated companies are </w:t>
      </w:r>
      <w:r w:rsidRPr="00D018E3">
        <w:rPr>
          <w:color w:val="auto"/>
        </w:rPr>
        <w:t xml:space="preserve">usually </w:t>
      </w:r>
      <w:r w:rsidR="002A3575" w:rsidRPr="00D018E3">
        <w:rPr>
          <w:color w:val="auto"/>
        </w:rPr>
        <w:t xml:space="preserve">composed of individuals that bring considerable expertise, experience and skills, each one within their own specialist field, such as financial </w:t>
      </w:r>
      <w:r w:rsidR="00D26AA6" w:rsidRPr="00D018E3">
        <w:rPr>
          <w:color w:val="auto"/>
        </w:rPr>
        <w:t>experts</w:t>
      </w:r>
      <w:r w:rsidR="002A3575" w:rsidRPr="00D018E3">
        <w:rPr>
          <w:color w:val="auto"/>
        </w:rPr>
        <w:t>, lawyers, marketing specialists, top management of other firms and community leaders (</w:t>
      </w:r>
      <w:r w:rsidR="00D41559" w:rsidRPr="00D018E3">
        <w:rPr>
          <w:rFonts w:eastAsia="Calibri"/>
          <w:bCs/>
          <w:color w:val="auto"/>
          <w:lang w:eastAsia="en-GB"/>
        </w:rPr>
        <w:t xml:space="preserve">Hillman </w:t>
      </w:r>
      <w:r w:rsidR="00E66ADC">
        <w:rPr>
          <w:rFonts w:eastAsia="Calibri"/>
          <w:color w:val="auto"/>
          <w:lang w:eastAsia="en-GB"/>
        </w:rPr>
        <w:t>and</w:t>
      </w:r>
      <w:r w:rsidR="00D41559" w:rsidRPr="00D018E3">
        <w:rPr>
          <w:rFonts w:eastAsia="Calibri"/>
          <w:bCs/>
          <w:color w:val="auto"/>
          <w:lang w:eastAsia="en-GB"/>
        </w:rPr>
        <w:t xml:space="preserve"> Dalziel, 2003; </w:t>
      </w:r>
      <w:r w:rsidR="002A3575" w:rsidRPr="00D018E3">
        <w:rPr>
          <w:rFonts w:eastAsia="Calibri"/>
          <w:bCs/>
          <w:color w:val="auto"/>
          <w:lang w:eastAsia="en-GB"/>
        </w:rPr>
        <w:t xml:space="preserve">Mitchell </w:t>
      </w:r>
      <w:r w:rsidR="002A3575" w:rsidRPr="00AC5578">
        <w:rPr>
          <w:rFonts w:eastAsia="Calibri"/>
          <w:bCs/>
          <w:color w:val="auto"/>
          <w:lang w:eastAsia="en-GB"/>
        </w:rPr>
        <w:t>et al</w:t>
      </w:r>
      <w:r w:rsidR="002A3575" w:rsidRPr="00D018E3">
        <w:rPr>
          <w:rFonts w:eastAsia="Calibri"/>
          <w:bCs/>
          <w:color w:val="auto"/>
          <w:lang w:eastAsia="en-GB"/>
        </w:rPr>
        <w:t xml:space="preserve">., 1997). </w:t>
      </w:r>
      <w:r w:rsidR="00E81CF2" w:rsidRPr="00D018E3">
        <w:rPr>
          <w:color w:val="auto"/>
          <w:lang w:val="en-US"/>
        </w:rPr>
        <w:t xml:space="preserve">Similarly, </w:t>
      </w:r>
      <w:r w:rsidR="00E81CF2" w:rsidRPr="00D018E3">
        <w:rPr>
          <w:color w:val="auto"/>
        </w:rPr>
        <w:t>based</w:t>
      </w:r>
      <w:r w:rsidR="002A66CC" w:rsidRPr="00D018E3">
        <w:rPr>
          <w:color w:val="auto"/>
        </w:rPr>
        <w:t xml:space="preserve"> on the taxonomy of directors proposed by Hillman </w:t>
      </w:r>
      <w:r w:rsidR="002A66CC" w:rsidRPr="00AC5578">
        <w:rPr>
          <w:color w:val="auto"/>
        </w:rPr>
        <w:t>et al</w:t>
      </w:r>
      <w:r w:rsidR="002A66CC" w:rsidRPr="00E66ADC">
        <w:rPr>
          <w:i/>
          <w:color w:val="auto"/>
        </w:rPr>
        <w:t>.</w:t>
      </w:r>
      <w:r w:rsidR="002A66CC" w:rsidRPr="00D018E3">
        <w:rPr>
          <w:color w:val="auto"/>
        </w:rPr>
        <w:t xml:space="preserve"> (2000)</w:t>
      </w:r>
      <w:r w:rsidR="007B6FFE" w:rsidRPr="00D018E3">
        <w:rPr>
          <w:color w:val="auto"/>
        </w:rPr>
        <w:t xml:space="preserve">, some corporate boards also </w:t>
      </w:r>
      <w:r w:rsidR="00BF0EAE" w:rsidRPr="00D018E3">
        <w:rPr>
          <w:color w:val="auto"/>
        </w:rPr>
        <w:t>compose</w:t>
      </w:r>
      <w:r w:rsidR="007B6FFE" w:rsidRPr="00D018E3">
        <w:rPr>
          <w:color w:val="auto"/>
        </w:rPr>
        <w:t xml:space="preserve"> of community</w:t>
      </w:r>
      <w:r w:rsidR="002A66CC" w:rsidRPr="00D018E3">
        <w:rPr>
          <w:color w:val="auto"/>
        </w:rPr>
        <w:t xml:space="preserve"> </w:t>
      </w:r>
      <w:r w:rsidR="007B6FFE" w:rsidRPr="00D018E3">
        <w:rPr>
          <w:color w:val="auto"/>
        </w:rPr>
        <w:t>leaders. This</w:t>
      </w:r>
      <w:r w:rsidR="00BF0EAE" w:rsidRPr="00D018E3">
        <w:rPr>
          <w:color w:val="auto"/>
        </w:rPr>
        <w:t xml:space="preserve"> type </w:t>
      </w:r>
      <w:r w:rsidR="007B6FFE" w:rsidRPr="00D018E3">
        <w:rPr>
          <w:color w:val="auto"/>
        </w:rPr>
        <w:t xml:space="preserve"> of Non-Executive Directors </w:t>
      </w:r>
      <w:r w:rsidR="0062647D" w:rsidRPr="00D018E3">
        <w:rPr>
          <w:color w:val="auto"/>
        </w:rPr>
        <w:t xml:space="preserve">(NEDs) </w:t>
      </w:r>
      <w:r w:rsidR="007B6FFE" w:rsidRPr="00D018E3">
        <w:rPr>
          <w:color w:val="auto"/>
        </w:rPr>
        <w:t xml:space="preserve">are important </w:t>
      </w:r>
      <w:r w:rsidR="0062647D" w:rsidRPr="00D018E3">
        <w:rPr>
          <w:color w:val="auto"/>
        </w:rPr>
        <w:t xml:space="preserve">to the corporation </w:t>
      </w:r>
      <w:r w:rsidR="007B6FFE" w:rsidRPr="00D018E3">
        <w:rPr>
          <w:color w:val="auto"/>
        </w:rPr>
        <w:t xml:space="preserve">because they </w:t>
      </w:r>
      <w:r w:rsidR="002A66CC" w:rsidRPr="00D018E3">
        <w:rPr>
          <w:color w:val="auto"/>
        </w:rPr>
        <w:t>can provide immense information and experience on the impact of organisational activities o</w:t>
      </w:r>
      <w:r w:rsidR="00D26AA6" w:rsidRPr="00D018E3">
        <w:rPr>
          <w:color w:val="auto"/>
        </w:rPr>
        <w:t>n</w:t>
      </w:r>
      <w:r w:rsidR="002A66CC" w:rsidRPr="00D018E3">
        <w:rPr>
          <w:color w:val="auto"/>
        </w:rPr>
        <w:t xml:space="preserve"> the </w:t>
      </w:r>
      <w:proofErr w:type="gramStart"/>
      <w:r w:rsidR="002A66CC" w:rsidRPr="00D018E3">
        <w:rPr>
          <w:color w:val="auto"/>
        </w:rPr>
        <w:t>society</w:t>
      </w:r>
      <w:proofErr w:type="gramEnd"/>
      <w:r w:rsidR="002A66CC" w:rsidRPr="00D018E3">
        <w:rPr>
          <w:color w:val="auto"/>
        </w:rPr>
        <w:t xml:space="preserve"> at large and its relationships with powerful community groups. To this extent, it can be argued that the presence of community leaders on corporate boards can contribute enormously </w:t>
      </w:r>
      <w:r w:rsidR="00E81CF2" w:rsidRPr="00D018E3">
        <w:rPr>
          <w:color w:val="auto"/>
        </w:rPr>
        <w:t>to</w:t>
      </w:r>
      <w:r w:rsidR="002A66CC" w:rsidRPr="00D018E3">
        <w:rPr>
          <w:color w:val="auto"/>
        </w:rPr>
        <w:t xml:space="preserve"> corporate legitimacy</w:t>
      </w:r>
      <w:r w:rsidR="00D41559" w:rsidRPr="00D018E3">
        <w:rPr>
          <w:color w:val="auto"/>
        </w:rPr>
        <w:t xml:space="preserve"> </w:t>
      </w:r>
      <w:r w:rsidR="000D6CFA" w:rsidRPr="00D018E3">
        <w:rPr>
          <w:color w:val="auto"/>
          <w:vertAlign w:val="superscript"/>
        </w:rPr>
        <w:t>[</w:t>
      </w:r>
      <w:r w:rsidR="00217DF1" w:rsidRPr="00D018E3">
        <w:rPr>
          <w:color w:val="auto"/>
          <w:vertAlign w:val="superscript"/>
        </w:rPr>
        <w:t>1</w:t>
      </w:r>
      <w:r w:rsidR="000D6CFA" w:rsidRPr="00D018E3">
        <w:rPr>
          <w:color w:val="auto"/>
          <w:vertAlign w:val="superscript"/>
        </w:rPr>
        <w:t>]</w:t>
      </w:r>
      <w:r w:rsidR="002A66CC" w:rsidRPr="00D018E3">
        <w:rPr>
          <w:color w:val="auto"/>
        </w:rPr>
        <w:t xml:space="preserve"> by facilitating</w:t>
      </w:r>
      <w:r w:rsidR="006E3B11" w:rsidRPr="00D018E3">
        <w:rPr>
          <w:color w:val="auto"/>
        </w:rPr>
        <w:t xml:space="preserve"> the</w:t>
      </w:r>
      <w:r w:rsidR="002A66CC" w:rsidRPr="00D018E3">
        <w:rPr>
          <w:color w:val="auto"/>
        </w:rPr>
        <w:t xml:space="preserve"> acceptance of the company’s operation</w:t>
      </w:r>
      <w:r w:rsidR="007B6FFE" w:rsidRPr="00D018E3">
        <w:rPr>
          <w:color w:val="auto"/>
        </w:rPr>
        <w:t>s</w:t>
      </w:r>
      <w:r w:rsidR="002A66CC" w:rsidRPr="00D018E3">
        <w:rPr>
          <w:color w:val="auto"/>
        </w:rPr>
        <w:t xml:space="preserve"> by its external environment, i.e. the community, ensuring necessary corporate survival and success (</w:t>
      </w:r>
      <w:r w:rsidR="009B3801" w:rsidRPr="00D018E3">
        <w:rPr>
          <w:color w:val="auto"/>
        </w:rPr>
        <w:t xml:space="preserve">Hillman </w:t>
      </w:r>
      <w:r w:rsidR="009B3801" w:rsidRPr="00AC5578">
        <w:rPr>
          <w:color w:val="auto"/>
        </w:rPr>
        <w:t>et al</w:t>
      </w:r>
      <w:r w:rsidR="009B3801" w:rsidRPr="00E66ADC">
        <w:rPr>
          <w:i/>
          <w:color w:val="auto"/>
        </w:rPr>
        <w:t>.</w:t>
      </w:r>
      <w:r w:rsidR="009B3801">
        <w:rPr>
          <w:i/>
          <w:color w:val="auto"/>
        </w:rPr>
        <w:t>,</w:t>
      </w:r>
      <w:r w:rsidR="009B3801" w:rsidRPr="00D018E3">
        <w:rPr>
          <w:color w:val="auto"/>
        </w:rPr>
        <w:t xml:space="preserve"> 2000</w:t>
      </w:r>
      <w:r w:rsidR="009B3801">
        <w:rPr>
          <w:color w:val="auto"/>
        </w:rPr>
        <w:t>;</w:t>
      </w:r>
      <w:r w:rsidR="009B3801" w:rsidRPr="00D018E3">
        <w:rPr>
          <w:color w:val="auto"/>
        </w:rPr>
        <w:t xml:space="preserve"> </w:t>
      </w:r>
      <w:r w:rsidR="009B3801" w:rsidRPr="00D018E3">
        <w:rPr>
          <w:rFonts w:eastAsia="Calibri"/>
          <w:bCs/>
          <w:color w:val="auto"/>
          <w:lang w:eastAsia="en-GB"/>
        </w:rPr>
        <w:t xml:space="preserve">Hillman </w:t>
      </w:r>
      <w:r w:rsidR="009B3801">
        <w:rPr>
          <w:rFonts w:eastAsia="Calibri"/>
          <w:color w:val="auto"/>
          <w:lang w:eastAsia="en-GB"/>
        </w:rPr>
        <w:t>and</w:t>
      </w:r>
      <w:r w:rsidR="009B3801" w:rsidRPr="00D018E3">
        <w:rPr>
          <w:rFonts w:eastAsia="Calibri"/>
          <w:bCs/>
          <w:color w:val="auto"/>
          <w:lang w:eastAsia="en-GB"/>
        </w:rPr>
        <w:t xml:space="preserve"> Dalziel, 2003</w:t>
      </w:r>
      <w:r w:rsidR="002A66CC" w:rsidRPr="00D018E3">
        <w:rPr>
          <w:rFonts w:eastAsia="Calibri"/>
          <w:color w:val="auto"/>
          <w:lang w:eastAsia="en-GB"/>
        </w:rPr>
        <w:t xml:space="preserve">). </w:t>
      </w:r>
    </w:p>
    <w:p w14:paraId="5484E9F3" w14:textId="77777777" w:rsidR="00A629E5" w:rsidRDefault="00E81CF2" w:rsidP="009261B7">
      <w:pPr>
        <w:autoSpaceDE w:val="0"/>
        <w:autoSpaceDN w:val="0"/>
        <w:adjustRightInd w:val="0"/>
        <w:spacing w:line="480" w:lineRule="auto"/>
        <w:ind w:firstLine="567"/>
        <w:jc w:val="both"/>
        <w:rPr>
          <w:rFonts w:eastAsia="Calibri"/>
          <w:color w:val="auto"/>
          <w:lang w:eastAsia="en-GB"/>
        </w:rPr>
      </w:pPr>
      <w:r w:rsidRPr="00D018E3">
        <w:rPr>
          <w:color w:val="auto"/>
        </w:rPr>
        <w:t>Furthermore, e</w:t>
      </w:r>
      <w:r w:rsidR="002A66CC" w:rsidRPr="00D018E3">
        <w:rPr>
          <w:color w:val="auto"/>
        </w:rPr>
        <w:t xml:space="preserve">vidence on the growing importance of community leaders in the board’s </w:t>
      </w:r>
      <w:r w:rsidR="00C51BEB" w:rsidRPr="00D018E3">
        <w:rPr>
          <w:color w:val="auto"/>
        </w:rPr>
        <w:t xml:space="preserve">strategic </w:t>
      </w:r>
      <w:r w:rsidR="002A66CC" w:rsidRPr="00D018E3">
        <w:rPr>
          <w:color w:val="auto"/>
        </w:rPr>
        <w:t>decision making has started to emerge</w:t>
      </w:r>
      <w:r w:rsidR="004F2E44" w:rsidRPr="00D018E3">
        <w:rPr>
          <w:color w:val="auto"/>
        </w:rPr>
        <w:t xml:space="preserve"> </w:t>
      </w:r>
      <w:r w:rsidR="000D6CFA" w:rsidRPr="00D018E3">
        <w:rPr>
          <w:color w:val="auto"/>
          <w:vertAlign w:val="superscript"/>
        </w:rPr>
        <w:t>[</w:t>
      </w:r>
      <w:r w:rsidR="00217DF1" w:rsidRPr="00D018E3">
        <w:rPr>
          <w:color w:val="auto"/>
          <w:vertAlign w:val="superscript"/>
        </w:rPr>
        <w:t>2</w:t>
      </w:r>
      <w:r w:rsidR="000D6CFA" w:rsidRPr="00D018E3">
        <w:rPr>
          <w:color w:val="auto"/>
          <w:vertAlign w:val="superscript"/>
        </w:rPr>
        <w:t>]</w:t>
      </w:r>
      <w:r w:rsidR="002A66CC" w:rsidRPr="00D018E3">
        <w:rPr>
          <w:color w:val="auto"/>
        </w:rPr>
        <w:t xml:space="preserve">. For example, in a study of the impact of environmental changes on board composition, Hillman </w:t>
      </w:r>
      <w:r w:rsidR="002A66CC" w:rsidRPr="00AC5578">
        <w:rPr>
          <w:color w:val="auto"/>
        </w:rPr>
        <w:t>et al</w:t>
      </w:r>
      <w:r w:rsidR="002A66CC" w:rsidRPr="00D018E3">
        <w:rPr>
          <w:color w:val="auto"/>
        </w:rPr>
        <w:t xml:space="preserve">. (2000) show that during shifts from a regulated to a deregulated environment, where business uncertainty increases, firms tend to increase the number of community influential figures </w:t>
      </w:r>
      <w:r w:rsidR="00963384" w:rsidRPr="00D018E3">
        <w:rPr>
          <w:color w:val="auto"/>
        </w:rPr>
        <w:t>o</w:t>
      </w:r>
      <w:r w:rsidR="002A66CC" w:rsidRPr="00D018E3">
        <w:rPr>
          <w:color w:val="auto"/>
        </w:rPr>
        <w:t xml:space="preserve">n their boards. As the authors suggest </w:t>
      </w:r>
      <w:r w:rsidR="002A66CC" w:rsidRPr="00D018E3">
        <w:rPr>
          <w:rFonts w:eastAsia="Calibri"/>
          <w:color w:val="auto"/>
          <w:lang w:eastAsia="en-GB"/>
        </w:rPr>
        <w:t xml:space="preserve">(Hillman </w:t>
      </w:r>
      <w:r w:rsidR="002A66CC" w:rsidRPr="00AC5578">
        <w:rPr>
          <w:rFonts w:eastAsia="Calibri"/>
          <w:color w:val="auto"/>
          <w:lang w:eastAsia="en-GB"/>
        </w:rPr>
        <w:t>et al</w:t>
      </w:r>
      <w:r w:rsidR="002A66CC" w:rsidRPr="00D018E3">
        <w:rPr>
          <w:rFonts w:eastAsia="Calibri"/>
          <w:i/>
          <w:color w:val="auto"/>
          <w:lang w:eastAsia="en-GB"/>
        </w:rPr>
        <w:t>.,</w:t>
      </w:r>
      <w:r w:rsidR="002A66CC" w:rsidRPr="00D018E3">
        <w:rPr>
          <w:rFonts w:eastAsia="Calibri"/>
          <w:color w:val="auto"/>
          <w:lang w:eastAsia="en-GB"/>
        </w:rPr>
        <w:t xml:space="preserve"> 2000, p.252)</w:t>
      </w:r>
      <w:r w:rsidR="002A66CC" w:rsidRPr="00D018E3">
        <w:rPr>
          <w:color w:val="auto"/>
        </w:rPr>
        <w:t xml:space="preserve">, </w:t>
      </w:r>
      <w:r w:rsidR="002A66CC" w:rsidRPr="00D018E3">
        <w:rPr>
          <w:color w:val="auto"/>
        </w:rPr>
        <w:lastRenderedPageBreak/>
        <w:t>“</w:t>
      </w:r>
      <w:r w:rsidR="002A66CC" w:rsidRPr="00D018E3">
        <w:rPr>
          <w:rFonts w:eastAsia="Calibri"/>
          <w:i/>
          <w:color w:val="auto"/>
          <w:lang w:eastAsia="en-GB"/>
        </w:rPr>
        <w:t>Environmental jolts such as deregulation change the nature of the interdependencies and resource needs faced by the firm, thus altering the needs with respect to the extra-governance roles of directors</w:t>
      </w:r>
      <w:r w:rsidR="002A66CC" w:rsidRPr="00D018E3">
        <w:rPr>
          <w:rFonts w:eastAsia="Calibri"/>
          <w:color w:val="auto"/>
          <w:lang w:eastAsia="en-GB"/>
        </w:rPr>
        <w:t xml:space="preserve">”. </w:t>
      </w:r>
    </w:p>
    <w:p w14:paraId="3FBC4EA0" w14:textId="232F0A61" w:rsidR="002A66CC" w:rsidRPr="00D018E3" w:rsidRDefault="002A66CC" w:rsidP="009261B7">
      <w:pPr>
        <w:autoSpaceDE w:val="0"/>
        <w:autoSpaceDN w:val="0"/>
        <w:adjustRightInd w:val="0"/>
        <w:spacing w:line="480" w:lineRule="auto"/>
        <w:ind w:firstLine="567"/>
        <w:jc w:val="both"/>
        <w:rPr>
          <w:color w:val="auto"/>
          <w:lang w:val="en-US"/>
        </w:rPr>
      </w:pPr>
      <w:r w:rsidRPr="00D018E3">
        <w:rPr>
          <w:rFonts w:eastAsia="Calibri"/>
          <w:color w:val="auto"/>
          <w:lang w:eastAsia="en-GB"/>
        </w:rPr>
        <w:t xml:space="preserve">This strategic move of including community influential figures </w:t>
      </w:r>
      <w:r w:rsidR="00D26AA6" w:rsidRPr="00D018E3">
        <w:rPr>
          <w:rFonts w:eastAsia="Calibri"/>
          <w:color w:val="auto"/>
          <w:lang w:eastAsia="en-GB"/>
        </w:rPr>
        <w:t>o</w:t>
      </w:r>
      <w:r w:rsidRPr="00D018E3">
        <w:rPr>
          <w:rFonts w:eastAsia="Calibri"/>
          <w:color w:val="auto"/>
          <w:lang w:eastAsia="en-GB"/>
        </w:rPr>
        <w:t xml:space="preserve">n the board stems from firms’ </w:t>
      </w:r>
      <w:r w:rsidR="00D26AA6" w:rsidRPr="00D018E3">
        <w:rPr>
          <w:rFonts w:eastAsia="Calibri"/>
          <w:color w:val="auto"/>
          <w:lang w:eastAsia="en-GB"/>
        </w:rPr>
        <w:t>increasing</w:t>
      </w:r>
      <w:r w:rsidRPr="00D018E3">
        <w:rPr>
          <w:rFonts w:eastAsia="Calibri"/>
          <w:color w:val="auto"/>
          <w:lang w:eastAsia="en-GB"/>
        </w:rPr>
        <w:t xml:space="preserve"> need to adjust promptly to an uncertain business environment by allowing non-business perspectives and ideas to be hear</w:t>
      </w:r>
      <w:r w:rsidR="00C51BEB" w:rsidRPr="00D018E3">
        <w:rPr>
          <w:rFonts w:eastAsia="Calibri"/>
          <w:color w:val="auto"/>
          <w:lang w:eastAsia="en-GB"/>
        </w:rPr>
        <w:t>d</w:t>
      </w:r>
      <w:r w:rsidRPr="00D018E3">
        <w:rPr>
          <w:rFonts w:eastAsia="Calibri"/>
          <w:color w:val="auto"/>
          <w:lang w:eastAsia="en-GB"/>
        </w:rPr>
        <w:t xml:space="preserve">; as well as, utilising the directors’ influence on various community groups  (Hillman </w:t>
      </w:r>
      <w:r w:rsidRPr="00AC5578">
        <w:rPr>
          <w:rFonts w:eastAsia="Calibri"/>
          <w:color w:val="auto"/>
          <w:lang w:eastAsia="en-GB"/>
        </w:rPr>
        <w:t>et al</w:t>
      </w:r>
      <w:r w:rsidRPr="00D018E3">
        <w:rPr>
          <w:rFonts w:eastAsia="Calibri"/>
          <w:color w:val="auto"/>
          <w:lang w:eastAsia="en-GB"/>
        </w:rPr>
        <w:t>., 2000). These results</w:t>
      </w:r>
      <w:r w:rsidR="004F2E44" w:rsidRPr="00D018E3">
        <w:rPr>
          <w:rFonts w:eastAsia="Calibri"/>
          <w:color w:val="auto"/>
          <w:lang w:eastAsia="en-GB"/>
        </w:rPr>
        <w:t>,</w:t>
      </w:r>
      <w:r w:rsidRPr="00D018E3">
        <w:rPr>
          <w:rFonts w:eastAsia="Calibri"/>
          <w:color w:val="auto"/>
          <w:lang w:eastAsia="en-GB"/>
        </w:rPr>
        <w:t xml:space="preserve"> on the influence and growing importance of community representatives on the </w:t>
      </w:r>
      <w:r w:rsidR="00C51BEB" w:rsidRPr="00D018E3">
        <w:rPr>
          <w:rFonts w:eastAsia="Calibri"/>
          <w:color w:val="auto"/>
          <w:lang w:eastAsia="en-GB"/>
        </w:rPr>
        <w:t>board</w:t>
      </w:r>
      <w:r w:rsidR="00D26AA6" w:rsidRPr="00D018E3">
        <w:rPr>
          <w:rFonts w:eastAsia="Calibri"/>
          <w:color w:val="auto"/>
          <w:lang w:eastAsia="en-GB"/>
        </w:rPr>
        <w:t>,</w:t>
      </w:r>
      <w:r w:rsidR="00C51BEB" w:rsidRPr="00D018E3">
        <w:rPr>
          <w:rFonts w:eastAsia="Calibri"/>
          <w:color w:val="auto"/>
          <w:lang w:eastAsia="en-GB"/>
        </w:rPr>
        <w:t xml:space="preserve"> </w:t>
      </w:r>
      <w:r w:rsidRPr="00D018E3">
        <w:rPr>
          <w:rFonts w:eastAsia="Calibri"/>
          <w:color w:val="auto"/>
          <w:lang w:eastAsia="en-GB"/>
        </w:rPr>
        <w:t xml:space="preserve">are further corroborated by Hillman and </w:t>
      </w:r>
      <w:proofErr w:type="spellStart"/>
      <w:r w:rsidRPr="00D018E3">
        <w:rPr>
          <w:rFonts w:eastAsia="Calibri"/>
          <w:color w:val="auto"/>
          <w:lang w:eastAsia="en-GB"/>
        </w:rPr>
        <w:t>Keim</w:t>
      </w:r>
      <w:proofErr w:type="spellEnd"/>
      <w:r w:rsidRPr="00D018E3">
        <w:rPr>
          <w:rFonts w:eastAsia="Calibri"/>
          <w:color w:val="auto"/>
          <w:lang w:eastAsia="en-GB"/>
        </w:rPr>
        <w:t xml:space="preserve"> (2001) who show a statistically significant</w:t>
      </w:r>
      <w:r w:rsidR="004633F0" w:rsidRPr="00D018E3">
        <w:rPr>
          <w:rFonts w:eastAsia="Calibri"/>
          <w:color w:val="auto"/>
          <w:lang w:eastAsia="en-GB"/>
        </w:rPr>
        <w:t xml:space="preserve"> positive</w:t>
      </w:r>
      <w:r w:rsidRPr="00D018E3">
        <w:rPr>
          <w:rFonts w:eastAsia="Calibri"/>
          <w:color w:val="auto"/>
          <w:lang w:eastAsia="en-GB"/>
        </w:rPr>
        <w:t xml:space="preserve"> relationship between the number of community directors and firm’s performance on aspects of </w:t>
      </w:r>
      <w:r w:rsidR="00D25757" w:rsidRPr="00D018E3">
        <w:rPr>
          <w:rFonts w:eastAsia="Calibri"/>
          <w:color w:val="auto"/>
          <w:lang w:eastAsia="en-GB"/>
        </w:rPr>
        <w:t>diversity</w:t>
      </w:r>
      <w:r w:rsidR="00A629E5">
        <w:rPr>
          <w:rFonts w:eastAsia="Calibri"/>
          <w:color w:val="auto"/>
          <w:lang w:eastAsia="en-GB"/>
        </w:rPr>
        <w:t xml:space="preserve"> </w:t>
      </w:r>
      <w:r w:rsidR="00D25757" w:rsidRPr="00D018E3">
        <w:rPr>
          <w:rFonts w:eastAsia="Calibri"/>
          <w:color w:val="auto"/>
          <w:vertAlign w:val="superscript"/>
          <w:lang w:eastAsia="en-GB"/>
        </w:rPr>
        <w:t>[</w:t>
      </w:r>
      <w:r w:rsidR="00217DF1" w:rsidRPr="00D018E3">
        <w:rPr>
          <w:rFonts w:eastAsia="Calibri"/>
          <w:color w:val="auto"/>
          <w:vertAlign w:val="superscript"/>
          <w:lang w:eastAsia="en-GB"/>
        </w:rPr>
        <w:t>3</w:t>
      </w:r>
      <w:r w:rsidR="000D6CFA" w:rsidRPr="00D018E3">
        <w:rPr>
          <w:rFonts w:eastAsia="Calibri"/>
          <w:color w:val="auto"/>
          <w:vertAlign w:val="superscript"/>
          <w:lang w:eastAsia="en-GB"/>
        </w:rPr>
        <w:t>]</w:t>
      </w:r>
      <w:r w:rsidR="00C51BEB" w:rsidRPr="00D018E3">
        <w:rPr>
          <w:rFonts w:eastAsia="Calibri"/>
          <w:color w:val="auto"/>
          <w:lang w:eastAsia="en-GB"/>
        </w:rPr>
        <w:t xml:space="preserve">. </w:t>
      </w:r>
    </w:p>
    <w:p w14:paraId="2BD424B1" w14:textId="574B52D8" w:rsidR="002710FF" w:rsidRPr="00D60086" w:rsidRDefault="00FE370C" w:rsidP="009261B7">
      <w:pPr>
        <w:spacing w:line="480" w:lineRule="auto"/>
        <w:ind w:firstLine="567"/>
        <w:jc w:val="both"/>
        <w:rPr>
          <w:color w:val="auto"/>
        </w:rPr>
      </w:pPr>
      <w:r w:rsidRPr="00D60086">
        <w:rPr>
          <w:color w:val="auto"/>
          <w:lang w:val="en-US"/>
        </w:rPr>
        <w:t xml:space="preserve">One of the areas in which </w:t>
      </w:r>
      <w:r w:rsidR="00C51BEB" w:rsidRPr="00D60086">
        <w:rPr>
          <w:color w:val="auto"/>
          <w:lang w:val="en-US"/>
        </w:rPr>
        <w:t xml:space="preserve">community leaders </w:t>
      </w:r>
      <w:r w:rsidRPr="00D60086">
        <w:rPr>
          <w:color w:val="auto"/>
          <w:lang w:val="en-US"/>
        </w:rPr>
        <w:t>on the board could influence corporate actions is Corporate Community Involvement Disclosure (CCID</w:t>
      </w:r>
      <w:r w:rsidR="00217DF1" w:rsidRPr="00D60086">
        <w:rPr>
          <w:color w:val="auto"/>
          <w:lang w:val="en-US"/>
        </w:rPr>
        <w:t>)</w:t>
      </w:r>
      <w:r w:rsidR="00217DF1" w:rsidRPr="00D60086">
        <w:rPr>
          <w:color w:val="auto"/>
          <w:vertAlign w:val="superscript"/>
          <w:lang w:val="en-US"/>
        </w:rPr>
        <w:t xml:space="preserve"> </w:t>
      </w:r>
      <w:r w:rsidR="000D6CFA" w:rsidRPr="00D60086">
        <w:rPr>
          <w:color w:val="auto"/>
          <w:vertAlign w:val="superscript"/>
          <w:lang w:val="en-US"/>
        </w:rPr>
        <w:t>[</w:t>
      </w:r>
      <w:r w:rsidR="00217DF1" w:rsidRPr="00D60086">
        <w:rPr>
          <w:color w:val="auto"/>
          <w:vertAlign w:val="superscript"/>
          <w:lang w:val="en-US"/>
        </w:rPr>
        <w:t>4</w:t>
      </w:r>
      <w:r w:rsidR="000D6CFA" w:rsidRPr="00D60086">
        <w:rPr>
          <w:color w:val="auto"/>
          <w:vertAlign w:val="superscript"/>
          <w:lang w:val="en-US"/>
        </w:rPr>
        <w:t>]</w:t>
      </w:r>
      <w:r w:rsidRPr="00D60086">
        <w:rPr>
          <w:color w:val="auto"/>
          <w:lang w:val="en-US"/>
        </w:rPr>
        <w:t xml:space="preserve">. </w:t>
      </w:r>
      <w:r w:rsidR="006E3B11" w:rsidRPr="00D60086">
        <w:rPr>
          <w:color w:val="auto"/>
          <w:lang w:val="en-US"/>
        </w:rPr>
        <w:t xml:space="preserve"> </w:t>
      </w:r>
      <w:r w:rsidRPr="00D60086">
        <w:rPr>
          <w:color w:val="auto"/>
          <w:lang w:val="en-US"/>
        </w:rPr>
        <w:t xml:space="preserve">CCID is the disclosure, in annual reports, of the involvement of corporations in social initiatives in the communities in which they operate (Moon </w:t>
      </w:r>
      <w:r w:rsidR="00E66ADC" w:rsidRPr="00D60086">
        <w:rPr>
          <w:rFonts w:eastAsia="Calibri"/>
          <w:color w:val="auto"/>
          <w:lang w:eastAsia="en-GB"/>
        </w:rPr>
        <w:t>and</w:t>
      </w:r>
      <w:r w:rsidRPr="00D60086">
        <w:rPr>
          <w:color w:val="auto"/>
          <w:lang w:val="en-US"/>
        </w:rPr>
        <w:t xml:space="preserve"> </w:t>
      </w:r>
      <w:proofErr w:type="spellStart"/>
      <w:r w:rsidRPr="00D60086">
        <w:rPr>
          <w:color w:val="auto"/>
          <w:lang w:val="en-US"/>
        </w:rPr>
        <w:t>Muthuri</w:t>
      </w:r>
      <w:proofErr w:type="spellEnd"/>
      <w:r w:rsidRPr="00D60086">
        <w:rPr>
          <w:color w:val="auto"/>
          <w:lang w:val="en-US"/>
        </w:rPr>
        <w:t xml:space="preserve">, 2006). </w:t>
      </w:r>
      <w:r w:rsidR="00DF7EB5" w:rsidRPr="00D60086">
        <w:rPr>
          <w:color w:val="auto"/>
          <w:lang w:val="en-US"/>
        </w:rPr>
        <w:t>Marquis et</w:t>
      </w:r>
      <w:r w:rsidR="004F2E44" w:rsidRPr="00D60086">
        <w:rPr>
          <w:color w:val="auto"/>
          <w:lang w:val="en-US"/>
        </w:rPr>
        <w:t xml:space="preserve"> </w:t>
      </w:r>
      <w:r w:rsidR="00DF7EB5" w:rsidRPr="00D60086">
        <w:rPr>
          <w:color w:val="auto"/>
          <w:lang w:val="en-US"/>
        </w:rPr>
        <w:t>al</w:t>
      </w:r>
      <w:r w:rsidR="004F2E44" w:rsidRPr="00D60086">
        <w:rPr>
          <w:color w:val="auto"/>
          <w:lang w:val="en-US"/>
        </w:rPr>
        <w:t>.</w:t>
      </w:r>
      <w:r w:rsidR="00BC385B" w:rsidRPr="00D60086">
        <w:rPr>
          <w:color w:val="auto"/>
          <w:lang w:val="en-US"/>
        </w:rPr>
        <w:t xml:space="preserve"> </w:t>
      </w:r>
      <w:r w:rsidR="00DF7EB5" w:rsidRPr="00D60086">
        <w:rPr>
          <w:color w:val="auto"/>
          <w:lang w:val="en-US"/>
        </w:rPr>
        <w:t>(2007</w:t>
      </w:r>
      <w:r w:rsidR="00963384" w:rsidRPr="00D60086">
        <w:rPr>
          <w:color w:val="auto"/>
          <w:lang w:val="en-US"/>
        </w:rPr>
        <w:t>, p.</w:t>
      </w:r>
      <w:r w:rsidR="00DF7EB5" w:rsidRPr="00D60086">
        <w:rPr>
          <w:color w:val="auto"/>
          <w:lang w:val="en-US"/>
        </w:rPr>
        <w:t>926)</w:t>
      </w:r>
      <w:r w:rsidR="00D41559" w:rsidRPr="00D60086">
        <w:rPr>
          <w:color w:val="auto"/>
          <w:lang w:val="en-US"/>
        </w:rPr>
        <w:t xml:space="preserve"> </w:t>
      </w:r>
      <w:r w:rsidR="000D6CFA" w:rsidRPr="00D60086">
        <w:rPr>
          <w:color w:val="auto"/>
          <w:vertAlign w:val="superscript"/>
          <w:lang w:val="en-US"/>
        </w:rPr>
        <w:t>[</w:t>
      </w:r>
      <w:r w:rsidR="00217DF1" w:rsidRPr="00D60086">
        <w:rPr>
          <w:color w:val="auto"/>
          <w:vertAlign w:val="superscript"/>
          <w:lang w:val="en-US"/>
        </w:rPr>
        <w:t>5</w:t>
      </w:r>
      <w:r w:rsidR="000D6CFA" w:rsidRPr="00D60086">
        <w:rPr>
          <w:color w:val="auto"/>
          <w:vertAlign w:val="superscript"/>
          <w:lang w:val="en-US"/>
        </w:rPr>
        <w:t>]</w:t>
      </w:r>
      <w:r w:rsidR="00DF7EB5" w:rsidRPr="00D60086">
        <w:rPr>
          <w:color w:val="auto"/>
          <w:lang w:val="en-US"/>
        </w:rPr>
        <w:t xml:space="preserve">, </w:t>
      </w:r>
      <w:r w:rsidR="00BC385B" w:rsidRPr="00D60086">
        <w:rPr>
          <w:color w:val="auto"/>
          <w:lang w:val="en-US"/>
        </w:rPr>
        <w:t xml:space="preserve">refer to the same idea as corporate social action, </w:t>
      </w:r>
      <w:r w:rsidR="00DF7EB5" w:rsidRPr="00D60086">
        <w:rPr>
          <w:color w:val="auto"/>
          <w:lang w:val="en-US"/>
        </w:rPr>
        <w:t>describing it as  “behaviors and practices that extend beyond immediate profit maximization goals and are intended to increase social benefits or mitigate social problems for constituencies external to the firm”.</w:t>
      </w:r>
      <w:r w:rsidR="00150621" w:rsidRPr="00D60086">
        <w:rPr>
          <w:color w:val="auto"/>
          <w:lang w:val="en-US"/>
        </w:rPr>
        <w:t xml:space="preserve"> Similarly,</w:t>
      </w:r>
      <w:r w:rsidR="00DF7EB5" w:rsidRPr="00D60086">
        <w:rPr>
          <w:color w:val="auto"/>
          <w:lang w:val="en-US"/>
        </w:rPr>
        <w:t xml:space="preserve"> </w:t>
      </w:r>
      <w:r w:rsidR="00B57BD9" w:rsidRPr="00D60086">
        <w:rPr>
          <w:noProof/>
          <w:color w:val="auto"/>
        </w:rPr>
        <w:t xml:space="preserve">Moon </w:t>
      </w:r>
      <w:r w:rsidR="004F2E44" w:rsidRPr="00D60086">
        <w:rPr>
          <w:noProof/>
          <w:color w:val="auto"/>
        </w:rPr>
        <w:t>and</w:t>
      </w:r>
      <w:r w:rsidR="00B57BD9" w:rsidRPr="00D60086">
        <w:rPr>
          <w:noProof/>
          <w:color w:val="auto"/>
        </w:rPr>
        <w:t xml:space="preserve"> Muthuri (2006)</w:t>
      </w:r>
      <w:r w:rsidR="00B57BD9" w:rsidRPr="00D60086">
        <w:rPr>
          <w:color w:val="auto"/>
        </w:rPr>
        <w:t xml:space="preserve"> </w:t>
      </w:r>
      <w:r w:rsidR="00C16EF1" w:rsidRPr="00D60086">
        <w:rPr>
          <w:color w:val="auto"/>
        </w:rPr>
        <w:t>argue that</w:t>
      </w:r>
      <w:r w:rsidR="008E0614" w:rsidRPr="00D60086">
        <w:rPr>
          <w:color w:val="auto"/>
        </w:rPr>
        <w:t xml:space="preserve"> </w:t>
      </w:r>
      <w:r w:rsidR="00B57BD9" w:rsidRPr="00D60086">
        <w:rPr>
          <w:color w:val="auto"/>
          <w:lang w:val="en-US"/>
        </w:rPr>
        <w:t>Corporate Community Involvement</w:t>
      </w:r>
      <w:r w:rsidR="00763E68" w:rsidRPr="00D60086">
        <w:rPr>
          <w:color w:val="auto"/>
        </w:rPr>
        <w:t xml:space="preserve"> </w:t>
      </w:r>
      <w:r w:rsidR="00FC386C" w:rsidRPr="00D60086">
        <w:rPr>
          <w:color w:val="auto"/>
        </w:rPr>
        <w:t>(</w:t>
      </w:r>
      <w:r w:rsidR="00B57BD9" w:rsidRPr="00D60086">
        <w:rPr>
          <w:color w:val="auto"/>
        </w:rPr>
        <w:t>CCI</w:t>
      </w:r>
      <w:r w:rsidR="00FC386C" w:rsidRPr="00D60086">
        <w:rPr>
          <w:color w:val="auto"/>
        </w:rPr>
        <w:t>)</w:t>
      </w:r>
      <w:r w:rsidR="00B57BD9" w:rsidRPr="00D60086">
        <w:rPr>
          <w:color w:val="auto"/>
        </w:rPr>
        <w:t xml:space="preserve"> goes beyond donations to charities to include committing significant time </w:t>
      </w:r>
      <w:r w:rsidR="00283EF1" w:rsidRPr="00D60086">
        <w:rPr>
          <w:color w:val="auto"/>
        </w:rPr>
        <w:t>and other</w:t>
      </w:r>
      <w:r w:rsidR="009261B7" w:rsidRPr="00D60086">
        <w:rPr>
          <w:color w:val="auto"/>
        </w:rPr>
        <w:t xml:space="preserve"> </w:t>
      </w:r>
      <w:r w:rsidR="00B57BD9" w:rsidRPr="00D60086">
        <w:rPr>
          <w:color w:val="auto"/>
        </w:rPr>
        <w:t>company’s resources</w:t>
      </w:r>
      <w:r w:rsidR="009261B7" w:rsidRPr="00D60086">
        <w:rPr>
          <w:color w:val="auto"/>
        </w:rPr>
        <w:t xml:space="preserve"> such as</w:t>
      </w:r>
      <w:r w:rsidR="00C16EF1" w:rsidRPr="00D60086">
        <w:rPr>
          <w:color w:val="auto"/>
        </w:rPr>
        <w:t xml:space="preserve"> money, skills and expertise</w:t>
      </w:r>
      <w:r w:rsidR="00B57BD9" w:rsidRPr="00D60086">
        <w:rPr>
          <w:color w:val="auto"/>
        </w:rPr>
        <w:t xml:space="preserve"> to community projects</w:t>
      </w:r>
      <w:r w:rsidR="00FC386C" w:rsidRPr="00D60086">
        <w:rPr>
          <w:color w:val="auto"/>
        </w:rPr>
        <w:t xml:space="preserve"> and developments</w:t>
      </w:r>
      <w:r w:rsidR="00150621" w:rsidRPr="00D60086">
        <w:rPr>
          <w:color w:val="auto"/>
        </w:rPr>
        <w:t xml:space="preserve">, including but not </w:t>
      </w:r>
      <w:r w:rsidR="00DF7EB5" w:rsidRPr="00D60086">
        <w:rPr>
          <w:color w:val="auto"/>
        </w:rPr>
        <w:t>limited to</w:t>
      </w:r>
      <w:r w:rsidR="00150621" w:rsidRPr="00D60086">
        <w:rPr>
          <w:color w:val="auto"/>
        </w:rPr>
        <w:t xml:space="preserve"> arts, housing, the environment, poverty eradication, health and wellbeing, welfare and general improvement</w:t>
      </w:r>
      <w:r w:rsidR="009261B7" w:rsidRPr="00D60086">
        <w:rPr>
          <w:color w:val="auto"/>
        </w:rPr>
        <w:t>s</w:t>
      </w:r>
      <w:r w:rsidR="00150621" w:rsidRPr="00D60086">
        <w:rPr>
          <w:color w:val="auto"/>
        </w:rPr>
        <w:t xml:space="preserve"> in the quality of life of the community</w:t>
      </w:r>
      <w:r w:rsidR="00C16EF1" w:rsidRPr="00D60086">
        <w:rPr>
          <w:color w:val="auto"/>
        </w:rPr>
        <w:t xml:space="preserve">. These CCI activities are undertaken not as a responsibility but as recognition of a deserving action by the corporation to its community of operations (Marquis </w:t>
      </w:r>
      <w:r w:rsidR="004F2E44" w:rsidRPr="00D60086">
        <w:rPr>
          <w:color w:val="auto"/>
        </w:rPr>
        <w:t>et al.,</w:t>
      </w:r>
      <w:r w:rsidR="00C16EF1" w:rsidRPr="00D60086">
        <w:rPr>
          <w:color w:val="auto"/>
        </w:rPr>
        <w:t xml:space="preserve"> 2007)</w:t>
      </w:r>
      <w:r w:rsidR="00A5042B" w:rsidRPr="00D60086">
        <w:rPr>
          <w:color w:val="auto"/>
        </w:rPr>
        <w:t xml:space="preserve">. </w:t>
      </w:r>
    </w:p>
    <w:p w14:paraId="63FF3BB7" w14:textId="0421A6C6" w:rsidR="005A6FA2" w:rsidRPr="00D018E3" w:rsidRDefault="00A5042B">
      <w:pPr>
        <w:spacing w:line="480" w:lineRule="auto"/>
        <w:ind w:firstLine="567"/>
        <w:jc w:val="both"/>
        <w:rPr>
          <w:color w:val="auto"/>
        </w:rPr>
      </w:pPr>
      <w:r w:rsidRPr="00D60086">
        <w:rPr>
          <w:color w:val="auto"/>
        </w:rPr>
        <w:t>The importance of CCI can be</w:t>
      </w:r>
      <w:r w:rsidR="00AE3942" w:rsidRPr="00D60086">
        <w:rPr>
          <w:color w:val="auto"/>
        </w:rPr>
        <w:t xml:space="preserve"> traced to </w:t>
      </w:r>
      <w:r w:rsidR="004633F0" w:rsidRPr="00D60086">
        <w:rPr>
          <w:color w:val="auto"/>
        </w:rPr>
        <w:t>the mid-20th</w:t>
      </w:r>
      <w:r w:rsidR="00AE3942" w:rsidRPr="00D60086">
        <w:rPr>
          <w:color w:val="auto"/>
        </w:rPr>
        <w:t xml:space="preserve"> century following the end of the war.  </w:t>
      </w:r>
      <w:proofErr w:type="spellStart"/>
      <w:r w:rsidR="008C74AC" w:rsidRPr="00D60086">
        <w:rPr>
          <w:color w:val="auto"/>
        </w:rPr>
        <w:t>Tallon</w:t>
      </w:r>
      <w:proofErr w:type="spellEnd"/>
      <w:r w:rsidR="008C74AC" w:rsidRPr="00D60086">
        <w:rPr>
          <w:color w:val="auto"/>
        </w:rPr>
        <w:t xml:space="preserve"> (2010) </w:t>
      </w:r>
      <w:r w:rsidR="00AE3942" w:rsidRPr="00D60086">
        <w:rPr>
          <w:color w:val="auto"/>
        </w:rPr>
        <w:t>argue</w:t>
      </w:r>
      <w:r w:rsidR="004F2E44" w:rsidRPr="00D60086">
        <w:rPr>
          <w:color w:val="auto"/>
        </w:rPr>
        <w:t>s</w:t>
      </w:r>
      <w:r w:rsidR="008C74AC" w:rsidRPr="00D60086">
        <w:rPr>
          <w:color w:val="auto"/>
        </w:rPr>
        <w:t xml:space="preserve"> that </w:t>
      </w:r>
      <w:r w:rsidR="00B57BD9" w:rsidRPr="00D60086">
        <w:rPr>
          <w:color w:val="auto"/>
        </w:rPr>
        <w:t xml:space="preserve">CCI was one of the strategies adopted for economic and social regeneration </w:t>
      </w:r>
      <w:r w:rsidR="00B57BD9" w:rsidRPr="00D60086">
        <w:rPr>
          <w:color w:val="auto"/>
        </w:rPr>
        <w:lastRenderedPageBreak/>
        <w:t>by the UK</w:t>
      </w:r>
      <w:r w:rsidR="008C74AC" w:rsidRPr="00D60086">
        <w:rPr>
          <w:color w:val="auto"/>
        </w:rPr>
        <w:t xml:space="preserve">, US and other </w:t>
      </w:r>
      <w:r w:rsidR="00B57BD9" w:rsidRPr="00D60086">
        <w:rPr>
          <w:color w:val="auto"/>
        </w:rPr>
        <w:t>government</w:t>
      </w:r>
      <w:r w:rsidR="008C74AC" w:rsidRPr="00D60086">
        <w:rPr>
          <w:color w:val="auto"/>
        </w:rPr>
        <w:t>s</w:t>
      </w:r>
      <w:r w:rsidR="00B57BD9" w:rsidRPr="00D60086">
        <w:rPr>
          <w:color w:val="auto"/>
        </w:rPr>
        <w:t xml:space="preserve"> between the late 1940s and early 1960s</w:t>
      </w:r>
      <w:r w:rsidR="004633F0" w:rsidRPr="00D60086">
        <w:rPr>
          <w:color w:val="auto"/>
        </w:rPr>
        <w:t xml:space="preserve"> </w:t>
      </w:r>
      <w:r w:rsidR="00AE3942" w:rsidRPr="00D60086">
        <w:rPr>
          <w:color w:val="auto"/>
        </w:rPr>
        <w:t>due to</w:t>
      </w:r>
      <w:r w:rsidR="002E44F6" w:rsidRPr="00D60086">
        <w:rPr>
          <w:color w:val="auto"/>
        </w:rPr>
        <w:t xml:space="preserve"> </w:t>
      </w:r>
      <w:r w:rsidR="00B57BD9" w:rsidRPr="00D60086">
        <w:rPr>
          <w:color w:val="auto"/>
        </w:rPr>
        <w:t xml:space="preserve">the devastating effects of the World War II, such as poverty, unemployment and homelessness </w:t>
      </w:r>
      <w:r w:rsidR="00B57BD9" w:rsidRPr="00D60086">
        <w:rPr>
          <w:color w:val="auto"/>
        </w:rPr>
        <w:fldChar w:fldCharType="begin" w:fldLock="1"/>
      </w:r>
      <w:r w:rsidR="00B57BD9" w:rsidRPr="00D60086">
        <w:rPr>
          <w:color w:val="auto"/>
        </w:rPr>
        <w:instrText>ADDIN CSL_CITATION { "citationItems" : [ { "id" : "ITEM-1", "itemData" : { "author" : [ { "dropping-particle" : "", "family" : "Bush", "given" : "Geoffrey", "non-dropping-particle" : "", "parse-names" : false, "suffix" : "" }, { "dropping-particle" : "", "family" : "Grayson", "given" : "David", "non-dropping-particle" : "", "parse-names" : false, "suffix" : "" }, { "dropping-particle" : "", "family" : "Jordan", "given" : "Amanda", "non-dropping-particle" : "", "parse-names" : false, "suffix" : "" }, { "dropping-particle" : "", "family" : "Nelson", "given" : "Jane", "non-dropping-particle" : "", "parse-names" : false, "suffix" : "" } ], "id" : "ITEM-1", "issued" : { "date-parts" : [ [ "2008" ] ] }, "page" : "1-76", "publisher" : "The Smith Institute", "title" : "Engaging business in the community \u2013 not a quick fix", "type" : "report" }, "uris" : [ "http://www.mendeley.com/documents/?uuid=9505a43e-c8d1-43d7-85d5-9c9979d2ca4d" ] } ], "mendeley" : { "manualFormatting" : "(Bush, Grayson, Jordan, &amp; Nelson, 2008:6-9)", "previouslyFormattedCitation" : "(Bush, Grayson, Jordan, &amp; Nelson, 2008)" }, "properties" : { "noteIndex" : 0 }, "schema" : "https://github.com/citation-style-language/schema/raw/master/csl-citation.json" }</w:instrText>
      </w:r>
      <w:r w:rsidR="00B57BD9" w:rsidRPr="00D60086">
        <w:rPr>
          <w:color w:val="auto"/>
        </w:rPr>
        <w:fldChar w:fldCharType="separate"/>
      </w:r>
      <w:r w:rsidR="00B57BD9" w:rsidRPr="00D60086">
        <w:rPr>
          <w:noProof/>
          <w:color w:val="auto"/>
        </w:rPr>
        <w:t>(Bush et al., 2008)</w:t>
      </w:r>
      <w:r w:rsidR="00B57BD9" w:rsidRPr="00D60086">
        <w:rPr>
          <w:color w:val="auto"/>
        </w:rPr>
        <w:fldChar w:fldCharType="end"/>
      </w:r>
      <w:r w:rsidR="00B57BD9" w:rsidRPr="00D60086">
        <w:rPr>
          <w:color w:val="auto"/>
        </w:rPr>
        <w:t xml:space="preserve">. </w:t>
      </w:r>
      <w:r w:rsidR="008C74AC" w:rsidRPr="00D60086">
        <w:rPr>
          <w:color w:val="auto"/>
        </w:rPr>
        <w:t>B</w:t>
      </w:r>
      <w:r w:rsidR="00B57BD9" w:rsidRPr="00D60086">
        <w:rPr>
          <w:color w:val="auto"/>
        </w:rPr>
        <w:t>usinesses</w:t>
      </w:r>
      <w:r w:rsidR="008C74AC" w:rsidRPr="00D60086">
        <w:rPr>
          <w:color w:val="auto"/>
        </w:rPr>
        <w:t xml:space="preserve"> </w:t>
      </w:r>
      <w:r w:rsidR="00B57BD9" w:rsidRPr="00D60086">
        <w:rPr>
          <w:color w:val="auto"/>
        </w:rPr>
        <w:t>were</w:t>
      </w:r>
      <w:r w:rsidR="005A6FA2" w:rsidRPr="00D60086">
        <w:rPr>
          <w:color w:val="auto"/>
        </w:rPr>
        <w:t xml:space="preserve"> therefore</w:t>
      </w:r>
      <w:r w:rsidR="00B57BD9" w:rsidRPr="00D60086">
        <w:rPr>
          <w:color w:val="auto"/>
        </w:rPr>
        <w:t xml:space="preserve"> encouraged to get involved </w:t>
      </w:r>
      <w:r w:rsidR="00B11E19" w:rsidRPr="00D60086">
        <w:rPr>
          <w:color w:val="auto"/>
        </w:rPr>
        <w:t>in</w:t>
      </w:r>
      <w:r w:rsidR="00B57BD9" w:rsidRPr="00D60086">
        <w:rPr>
          <w:color w:val="auto"/>
        </w:rPr>
        <w:t xml:space="preserve"> community development with the intention of increasing the rate of industrial and economic growth (Moon </w:t>
      </w:r>
      <w:r w:rsidR="00E66ADC" w:rsidRPr="00D60086">
        <w:rPr>
          <w:rFonts w:eastAsia="Calibri"/>
          <w:color w:val="auto"/>
          <w:lang w:eastAsia="en-GB"/>
        </w:rPr>
        <w:t>and</w:t>
      </w:r>
      <w:r w:rsidR="00B57BD9" w:rsidRPr="00D60086">
        <w:rPr>
          <w:color w:val="auto"/>
        </w:rPr>
        <w:t xml:space="preserve"> </w:t>
      </w:r>
      <w:proofErr w:type="spellStart"/>
      <w:r w:rsidR="00B57BD9" w:rsidRPr="00D60086">
        <w:rPr>
          <w:color w:val="auto"/>
        </w:rPr>
        <w:t>Muthuri</w:t>
      </w:r>
      <w:proofErr w:type="spellEnd"/>
      <w:r w:rsidR="00B57BD9" w:rsidRPr="00D60086">
        <w:rPr>
          <w:color w:val="auto"/>
        </w:rPr>
        <w:t>, 2006). Consequently, corporations moved from philanthropic activities prior to World War II, to actual involvement in community development</w:t>
      </w:r>
      <w:r w:rsidR="00AE3942" w:rsidRPr="00D60086">
        <w:rPr>
          <w:color w:val="auto"/>
        </w:rPr>
        <w:t xml:space="preserve"> and social rebuilding after the war through corporate social actions</w:t>
      </w:r>
      <w:r w:rsidR="00B57BD9" w:rsidRPr="00D60086">
        <w:rPr>
          <w:color w:val="auto"/>
        </w:rPr>
        <w:t xml:space="preserve"> (</w:t>
      </w:r>
      <w:r w:rsidR="00B57BD9" w:rsidRPr="00D60086">
        <w:rPr>
          <w:color w:val="auto"/>
          <w:lang w:eastAsia="en-GB"/>
        </w:rPr>
        <w:t>Bush et al.</w:t>
      </w:r>
      <w:r w:rsidR="00741A4E" w:rsidRPr="00D60086">
        <w:rPr>
          <w:color w:val="auto"/>
          <w:lang w:eastAsia="en-GB"/>
        </w:rPr>
        <w:t>,</w:t>
      </w:r>
      <w:r w:rsidR="00B57BD9" w:rsidRPr="00D60086">
        <w:rPr>
          <w:color w:val="auto"/>
          <w:lang w:eastAsia="en-GB"/>
        </w:rPr>
        <w:t xml:space="preserve"> 2</w:t>
      </w:r>
      <w:r w:rsidR="00B57BD9" w:rsidRPr="00D60086">
        <w:rPr>
          <w:color w:val="auto"/>
        </w:rPr>
        <w:t xml:space="preserve">008). </w:t>
      </w:r>
      <w:r w:rsidR="002401F9" w:rsidRPr="00D60086">
        <w:rPr>
          <w:color w:val="auto"/>
        </w:rPr>
        <w:t>In this sense</w:t>
      </w:r>
      <w:r w:rsidR="00606E58" w:rsidRPr="00D60086">
        <w:rPr>
          <w:color w:val="auto"/>
        </w:rPr>
        <w:t>, Matten and Crane’s (2005) exposition</w:t>
      </w:r>
      <w:r w:rsidR="002401F9" w:rsidRPr="00D60086">
        <w:rPr>
          <w:color w:val="auto"/>
        </w:rPr>
        <w:t>s</w:t>
      </w:r>
      <w:r w:rsidR="00606E58" w:rsidRPr="00D60086">
        <w:rPr>
          <w:color w:val="auto"/>
        </w:rPr>
        <w:t xml:space="preserve"> on the </w:t>
      </w:r>
      <w:r w:rsidR="00B11E19" w:rsidRPr="00D60086">
        <w:rPr>
          <w:color w:val="auto"/>
        </w:rPr>
        <w:t xml:space="preserve">pervading </w:t>
      </w:r>
      <w:r w:rsidR="00606E58" w:rsidRPr="00D60086">
        <w:rPr>
          <w:color w:val="auto"/>
        </w:rPr>
        <w:t>role</w:t>
      </w:r>
      <w:r w:rsidR="003325E7" w:rsidRPr="00D60086">
        <w:rPr>
          <w:color w:val="auto"/>
        </w:rPr>
        <w:t>s</w:t>
      </w:r>
      <w:r w:rsidR="00606E58" w:rsidRPr="00D60086">
        <w:rPr>
          <w:color w:val="auto"/>
        </w:rPr>
        <w:t xml:space="preserve"> of corporation</w:t>
      </w:r>
      <w:r w:rsidR="003325E7" w:rsidRPr="00D60086">
        <w:rPr>
          <w:color w:val="auto"/>
        </w:rPr>
        <w:t>s</w:t>
      </w:r>
      <w:r w:rsidR="00606E58" w:rsidRPr="00D60086">
        <w:rPr>
          <w:color w:val="auto"/>
        </w:rPr>
        <w:t xml:space="preserve"> in </w:t>
      </w:r>
      <w:r w:rsidR="00A22870" w:rsidRPr="00D60086">
        <w:rPr>
          <w:color w:val="auto"/>
        </w:rPr>
        <w:t>discharging state-like responsibilities such as protecting, enabling and implementing citizenship right,</w:t>
      </w:r>
      <w:r w:rsidR="00606E58" w:rsidRPr="00D60086">
        <w:rPr>
          <w:color w:val="auto"/>
        </w:rPr>
        <w:t xml:space="preserve"> and Scherer and Palazzo’s</w:t>
      </w:r>
      <w:r w:rsidR="004F2E44" w:rsidRPr="00D60086">
        <w:rPr>
          <w:color w:val="auto"/>
        </w:rPr>
        <w:t xml:space="preserve"> </w:t>
      </w:r>
      <w:r w:rsidR="00606E58" w:rsidRPr="00D60086">
        <w:rPr>
          <w:color w:val="auto"/>
        </w:rPr>
        <w:t>(2011) argument</w:t>
      </w:r>
      <w:r w:rsidR="002401F9" w:rsidRPr="00D60086">
        <w:rPr>
          <w:color w:val="auto"/>
        </w:rPr>
        <w:t>s</w:t>
      </w:r>
      <w:r w:rsidR="00606E58" w:rsidRPr="00D60086">
        <w:rPr>
          <w:color w:val="auto"/>
        </w:rPr>
        <w:t xml:space="preserve"> on the growing political role of firms </w:t>
      </w:r>
      <w:r w:rsidR="002401F9" w:rsidRPr="00D60086">
        <w:rPr>
          <w:color w:val="auto"/>
        </w:rPr>
        <w:t>are</w:t>
      </w:r>
      <w:r w:rsidR="00606E58" w:rsidRPr="00D60086">
        <w:rPr>
          <w:color w:val="auto"/>
        </w:rPr>
        <w:t xml:space="preserve"> indicative of the</w:t>
      </w:r>
      <w:r w:rsidR="00A53ADC" w:rsidRPr="00D60086">
        <w:rPr>
          <w:color w:val="auto"/>
        </w:rPr>
        <w:t xml:space="preserve"> importance of CCI and the</w:t>
      </w:r>
      <w:r w:rsidR="00606E58" w:rsidRPr="00D60086">
        <w:rPr>
          <w:color w:val="auto"/>
        </w:rPr>
        <w:t xml:space="preserve"> </w:t>
      </w:r>
      <w:r w:rsidR="005A6FA2" w:rsidRPr="00D60086">
        <w:rPr>
          <w:color w:val="auto"/>
        </w:rPr>
        <w:t xml:space="preserve">significant </w:t>
      </w:r>
      <w:r w:rsidR="00A53ADC" w:rsidRPr="00D60086">
        <w:rPr>
          <w:color w:val="auto"/>
        </w:rPr>
        <w:t xml:space="preserve">roles </w:t>
      </w:r>
      <w:r w:rsidR="005A6FA2" w:rsidRPr="00D60086">
        <w:rPr>
          <w:color w:val="auto"/>
        </w:rPr>
        <w:t>of firms in the life of their community of operation</w:t>
      </w:r>
      <w:r w:rsidR="007B4324" w:rsidRPr="00D60086">
        <w:rPr>
          <w:color w:val="auto"/>
        </w:rPr>
        <w:t>s</w:t>
      </w:r>
      <w:r w:rsidR="005A6FA2" w:rsidRPr="00D60086">
        <w:rPr>
          <w:color w:val="auto"/>
        </w:rPr>
        <w:t>.</w:t>
      </w:r>
      <w:r w:rsidR="005A6FA2" w:rsidRPr="00D018E3">
        <w:rPr>
          <w:color w:val="auto"/>
        </w:rPr>
        <w:t xml:space="preserve"> </w:t>
      </w:r>
    </w:p>
    <w:p w14:paraId="04FAEF06" w14:textId="61E74D0D" w:rsidR="001B08F9" w:rsidRPr="00D018E3" w:rsidRDefault="00DE68E8" w:rsidP="0005460C">
      <w:pPr>
        <w:spacing w:line="480" w:lineRule="auto"/>
        <w:jc w:val="both"/>
        <w:rPr>
          <w:color w:val="auto"/>
        </w:rPr>
      </w:pPr>
      <w:r w:rsidRPr="00D018E3">
        <w:rPr>
          <w:color w:val="auto"/>
        </w:rPr>
        <w:t xml:space="preserve">             </w:t>
      </w:r>
      <w:r w:rsidR="000B2662" w:rsidRPr="00D018E3">
        <w:rPr>
          <w:color w:val="auto"/>
        </w:rPr>
        <w:t>Prior studies have suggested that social disclosure is positively related with increased social concern</w:t>
      </w:r>
      <w:r w:rsidR="009B69EA" w:rsidRPr="00D018E3">
        <w:rPr>
          <w:color w:val="auto"/>
        </w:rPr>
        <w:t xml:space="preserve"> by the firm</w:t>
      </w:r>
      <w:r w:rsidR="000B2662" w:rsidRPr="00D018E3">
        <w:rPr>
          <w:color w:val="auto"/>
        </w:rPr>
        <w:t xml:space="preserve"> (</w:t>
      </w:r>
      <w:r w:rsidR="00D41559" w:rsidRPr="00D018E3">
        <w:rPr>
          <w:color w:val="auto"/>
        </w:rPr>
        <w:t xml:space="preserve">Cho </w:t>
      </w:r>
      <w:r w:rsidR="00E66ADC">
        <w:rPr>
          <w:rFonts w:eastAsia="Calibri"/>
          <w:color w:val="auto"/>
          <w:lang w:eastAsia="en-GB"/>
        </w:rPr>
        <w:t>and</w:t>
      </w:r>
      <w:r w:rsidR="00D41559" w:rsidRPr="00D018E3">
        <w:rPr>
          <w:color w:val="auto"/>
        </w:rPr>
        <w:t xml:space="preserve"> Patten, 2007; </w:t>
      </w:r>
      <w:r w:rsidR="00E01B15" w:rsidRPr="00D018E3">
        <w:rPr>
          <w:color w:val="auto"/>
        </w:rPr>
        <w:t>Patten, 2002</w:t>
      </w:r>
      <w:r w:rsidR="000B2662" w:rsidRPr="00D018E3">
        <w:rPr>
          <w:color w:val="auto"/>
        </w:rPr>
        <w:t>)</w:t>
      </w:r>
      <w:r w:rsidR="00E01B15" w:rsidRPr="00D018E3">
        <w:rPr>
          <w:color w:val="auto"/>
        </w:rPr>
        <w:t>.</w:t>
      </w:r>
      <w:r w:rsidR="000B2662" w:rsidRPr="00D018E3">
        <w:rPr>
          <w:color w:val="auto"/>
        </w:rPr>
        <w:t xml:space="preserve"> Evidently, one of the most important tools for providing corporate legitimacy is the use of corporate disclosure and especially social reporting (Cho </w:t>
      </w:r>
      <w:r w:rsidR="00E66ADC">
        <w:rPr>
          <w:rFonts w:eastAsia="Calibri"/>
          <w:color w:val="auto"/>
          <w:lang w:eastAsia="en-GB"/>
        </w:rPr>
        <w:t>and</w:t>
      </w:r>
      <w:r w:rsidR="000B2662" w:rsidRPr="00D018E3">
        <w:rPr>
          <w:color w:val="auto"/>
        </w:rPr>
        <w:t xml:space="preserve"> Patten, 2007; Parker, 2011). </w:t>
      </w:r>
      <w:r w:rsidR="00933FCA" w:rsidRPr="00D018E3">
        <w:rPr>
          <w:color w:val="auto"/>
        </w:rPr>
        <w:t>Consequently</w:t>
      </w:r>
      <w:r w:rsidR="00E01B15" w:rsidRPr="00D018E3">
        <w:rPr>
          <w:color w:val="auto"/>
        </w:rPr>
        <w:t>, we</w:t>
      </w:r>
      <w:r w:rsidR="000C662B" w:rsidRPr="00D018E3">
        <w:rPr>
          <w:color w:val="auto"/>
        </w:rPr>
        <w:t xml:space="preserve"> </w:t>
      </w:r>
      <w:r w:rsidR="00AE516F" w:rsidRPr="00D018E3">
        <w:rPr>
          <w:color w:val="auto"/>
        </w:rPr>
        <w:t xml:space="preserve">argue </w:t>
      </w:r>
      <w:r w:rsidR="0017246A" w:rsidRPr="00D018E3">
        <w:rPr>
          <w:color w:val="auto"/>
        </w:rPr>
        <w:t>that</w:t>
      </w:r>
      <w:r w:rsidR="00AE516F" w:rsidRPr="00D018E3">
        <w:rPr>
          <w:color w:val="auto"/>
        </w:rPr>
        <w:t>,</w:t>
      </w:r>
      <w:r w:rsidR="0017246A" w:rsidRPr="00D018E3">
        <w:rPr>
          <w:color w:val="auto"/>
        </w:rPr>
        <w:t xml:space="preserve"> </w:t>
      </w:r>
      <w:r w:rsidR="001B08F9" w:rsidRPr="00D018E3">
        <w:rPr>
          <w:color w:val="auto"/>
        </w:rPr>
        <w:t>pragmatically</w:t>
      </w:r>
      <w:r w:rsidR="00AE516F" w:rsidRPr="00D018E3">
        <w:rPr>
          <w:color w:val="auto"/>
        </w:rPr>
        <w:t>,</w:t>
      </w:r>
      <w:r w:rsidR="001B08F9" w:rsidRPr="00D018E3">
        <w:rPr>
          <w:color w:val="auto"/>
        </w:rPr>
        <w:t xml:space="preserve"> firms need to constantly renew their legitimacy with their community of operation and this is achieved through effective communication</w:t>
      </w:r>
      <w:r w:rsidR="00551851" w:rsidRPr="00D018E3">
        <w:rPr>
          <w:color w:val="auto"/>
        </w:rPr>
        <w:t xml:space="preserve"> (e.g. through corporate disclosure)</w:t>
      </w:r>
      <w:r w:rsidR="001B08F9" w:rsidRPr="00D018E3">
        <w:rPr>
          <w:color w:val="auto"/>
        </w:rPr>
        <w:t xml:space="preserve">. </w:t>
      </w:r>
      <w:r w:rsidR="00551851" w:rsidRPr="00D018E3">
        <w:rPr>
          <w:color w:val="auto"/>
        </w:rPr>
        <w:t>Distrust</w:t>
      </w:r>
      <w:r w:rsidR="00961DCF" w:rsidRPr="00D018E3">
        <w:rPr>
          <w:color w:val="auto"/>
        </w:rPr>
        <w:t xml:space="preserve"> could arise between a firm and its important stakeholders due </w:t>
      </w:r>
      <w:r w:rsidR="00BB1E67" w:rsidRPr="00D018E3">
        <w:rPr>
          <w:color w:val="auto"/>
        </w:rPr>
        <w:t>to poor</w:t>
      </w:r>
      <w:r w:rsidR="00C0250B" w:rsidRPr="00D018E3">
        <w:rPr>
          <w:color w:val="auto"/>
        </w:rPr>
        <w:t xml:space="preserve"> communication (</w:t>
      </w:r>
      <w:proofErr w:type="spellStart"/>
      <w:r w:rsidR="00C0250B" w:rsidRPr="00D018E3">
        <w:rPr>
          <w:color w:val="auto"/>
        </w:rPr>
        <w:t>Suchman</w:t>
      </w:r>
      <w:proofErr w:type="spellEnd"/>
      <w:r w:rsidR="00C0250B" w:rsidRPr="00D018E3">
        <w:rPr>
          <w:color w:val="auto"/>
        </w:rPr>
        <w:t>, 1995) that could be counterproductive to the achievement of corporate goals (</w:t>
      </w:r>
      <w:proofErr w:type="spellStart"/>
      <w:r w:rsidR="00C0250B" w:rsidRPr="00D018E3">
        <w:rPr>
          <w:color w:val="auto"/>
        </w:rPr>
        <w:t>Bebbington</w:t>
      </w:r>
      <w:proofErr w:type="spellEnd"/>
      <w:r w:rsidR="00C0250B" w:rsidRPr="00D018E3">
        <w:rPr>
          <w:color w:val="auto"/>
        </w:rPr>
        <w:t xml:space="preserve"> </w:t>
      </w:r>
      <w:r w:rsidR="00C0250B" w:rsidRPr="00AC5578">
        <w:rPr>
          <w:color w:val="auto"/>
        </w:rPr>
        <w:t>et al</w:t>
      </w:r>
      <w:r w:rsidR="00C0250B" w:rsidRPr="00D018E3">
        <w:rPr>
          <w:color w:val="auto"/>
        </w:rPr>
        <w:t xml:space="preserve">., 2008; Mitchell </w:t>
      </w:r>
      <w:r w:rsidR="00C0250B" w:rsidRPr="00AC5578">
        <w:rPr>
          <w:color w:val="auto"/>
        </w:rPr>
        <w:t>et al</w:t>
      </w:r>
      <w:r w:rsidR="00C0250B" w:rsidRPr="00D018E3">
        <w:rPr>
          <w:color w:val="auto"/>
        </w:rPr>
        <w:t>., 1997). This is because</w:t>
      </w:r>
      <w:r w:rsidR="001B08F9" w:rsidRPr="00D018E3">
        <w:rPr>
          <w:color w:val="auto"/>
        </w:rPr>
        <w:t>,</w:t>
      </w:r>
      <w:r w:rsidR="00C0250B" w:rsidRPr="00D018E3">
        <w:rPr>
          <w:color w:val="auto"/>
        </w:rPr>
        <w:t xml:space="preserve"> according to Clarkson (1995), the community is viewed as an important member of the stakeholder system that can disrupt the corporation’s operations (for example, through sabotage or lack of patronage) if their expectations are not met. </w:t>
      </w:r>
    </w:p>
    <w:p w14:paraId="405C39F5" w14:textId="07A50D24" w:rsidR="00C0250B" w:rsidRPr="00EB1886" w:rsidRDefault="00DE68E8" w:rsidP="0005460C">
      <w:pPr>
        <w:spacing w:line="480" w:lineRule="auto"/>
        <w:jc w:val="both"/>
        <w:rPr>
          <w:color w:val="FF0000"/>
        </w:rPr>
      </w:pPr>
      <w:r w:rsidRPr="00D018E3">
        <w:rPr>
          <w:color w:val="auto"/>
        </w:rPr>
        <w:t xml:space="preserve">         </w:t>
      </w:r>
      <w:r w:rsidR="00E01B15" w:rsidRPr="00D018E3">
        <w:rPr>
          <w:color w:val="auto"/>
        </w:rPr>
        <w:t>Moreover</w:t>
      </w:r>
      <w:r w:rsidR="00CC0F28" w:rsidRPr="00D018E3">
        <w:rPr>
          <w:color w:val="auto"/>
        </w:rPr>
        <w:t xml:space="preserve">, </w:t>
      </w:r>
      <w:proofErr w:type="spellStart"/>
      <w:r w:rsidR="00CC0F28" w:rsidRPr="00D018E3">
        <w:rPr>
          <w:color w:val="auto"/>
        </w:rPr>
        <w:t>Bebbington</w:t>
      </w:r>
      <w:proofErr w:type="spellEnd"/>
      <w:r w:rsidR="00C0250B" w:rsidRPr="00D018E3">
        <w:rPr>
          <w:color w:val="auto"/>
        </w:rPr>
        <w:t xml:space="preserve"> </w:t>
      </w:r>
      <w:r w:rsidR="00C0250B" w:rsidRPr="00AC5578">
        <w:rPr>
          <w:color w:val="auto"/>
        </w:rPr>
        <w:t>et al</w:t>
      </w:r>
      <w:r w:rsidR="00C0250B" w:rsidRPr="00D018E3">
        <w:rPr>
          <w:color w:val="auto"/>
        </w:rPr>
        <w:t>. (2008) stress that neglecting the expectation</w:t>
      </w:r>
      <w:r w:rsidR="001B08F9" w:rsidRPr="00D018E3">
        <w:rPr>
          <w:color w:val="auto"/>
        </w:rPr>
        <w:t>s</w:t>
      </w:r>
      <w:r w:rsidR="00C0250B" w:rsidRPr="00D018E3">
        <w:rPr>
          <w:color w:val="auto"/>
        </w:rPr>
        <w:t xml:space="preserve"> of the community can constitute reputation risk</w:t>
      </w:r>
      <w:r w:rsidR="001B08F9" w:rsidRPr="00D018E3">
        <w:rPr>
          <w:color w:val="auto"/>
        </w:rPr>
        <w:t xml:space="preserve"> to the firm</w:t>
      </w:r>
      <w:r w:rsidR="00CC0F28" w:rsidRPr="00D018E3">
        <w:rPr>
          <w:color w:val="auto"/>
        </w:rPr>
        <w:t>.</w:t>
      </w:r>
      <w:r w:rsidR="00C0250B" w:rsidRPr="00D018E3">
        <w:rPr>
          <w:color w:val="auto"/>
        </w:rPr>
        <w:t xml:space="preserve"> </w:t>
      </w:r>
      <w:proofErr w:type="spellStart"/>
      <w:r w:rsidR="00C0250B" w:rsidRPr="00D018E3">
        <w:rPr>
          <w:color w:val="auto"/>
        </w:rPr>
        <w:t>Suchman</w:t>
      </w:r>
      <w:proofErr w:type="spellEnd"/>
      <w:r w:rsidR="00C0250B" w:rsidRPr="00D018E3">
        <w:rPr>
          <w:color w:val="auto"/>
        </w:rPr>
        <w:t xml:space="preserve"> (1995) also argue</w:t>
      </w:r>
      <w:r w:rsidR="008620CF" w:rsidRPr="00D018E3">
        <w:rPr>
          <w:color w:val="auto"/>
        </w:rPr>
        <w:t>s</w:t>
      </w:r>
      <w:r w:rsidR="00C0250B" w:rsidRPr="00D018E3">
        <w:rPr>
          <w:color w:val="auto"/>
        </w:rPr>
        <w:t xml:space="preserve"> that companies have to continuously maintain their societal legitimacy and mitigate the threats to it. Stressing the importance of frequent </w:t>
      </w:r>
      <w:r w:rsidR="00C0250B" w:rsidRPr="00D018E3">
        <w:rPr>
          <w:color w:val="auto"/>
        </w:rPr>
        <w:lastRenderedPageBreak/>
        <w:t xml:space="preserve">interaction between the company and its conferring public, </w:t>
      </w:r>
      <w:proofErr w:type="spellStart"/>
      <w:r w:rsidR="00C0250B" w:rsidRPr="00D018E3">
        <w:rPr>
          <w:color w:val="auto"/>
        </w:rPr>
        <w:t>Suchman</w:t>
      </w:r>
      <w:proofErr w:type="spellEnd"/>
      <w:r w:rsidR="00C0250B" w:rsidRPr="00D018E3">
        <w:rPr>
          <w:color w:val="auto"/>
        </w:rPr>
        <w:t xml:space="preserve"> (1995</w:t>
      </w:r>
      <w:r w:rsidR="00D41559" w:rsidRPr="00D018E3">
        <w:rPr>
          <w:color w:val="auto"/>
        </w:rPr>
        <w:t>, p.</w:t>
      </w:r>
      <w:r w:rsidR="00C0250B" w:rsidRPr="00D018E3">
        <w:rPr>
          <w:color w:val="auto"/>
        </w:rPr>
        <w:t>596) note</w:t>
      </w:r>
      <w:r w:rsidR="008620CF" w:rsidRPr="00D018E3">
        <w:rPr>
          <w:color w:val="auto"/>
        </w:rPr>
        <w:t>s</w:t>
      </w:r>
      <w:r w:rsidR="00C0250B" w:rsidRPr="00D018E3">
        <w:rPr>
          <w:color w:val="auto"/>
        </w:rPr>
        <w:t xml:space="preserve"> that </w:t>
      </w:r>
      <w:r w:rsidR="008620CF" w:rsidRPr="00D018E3">
        <w:rPr>
          <w:color w:val="auto"/>
        </w:rPr>
        <w:t>“</w:t>
      </w:r>
      <w:r w:rsidR="00C0250B" w:rsidRPr="00D018E3">
        <w:rPr>
          <w:i/>
          <w:color w:val="auto"/>
        </w:rPr>
        <w:t>frequent and intense interaction creates dense meaning that can resist, survive and repair disruption in individuals’ strands of understanding</w:t>
      </w:r>
      <w:r w:rsidR="00C0250B" w:rsidRPr="00D018E3">
        <w:rPr>
          <w:color w:val="auto"/>
        </w:rPr>
        <w:t xml:space="preserve">”. The firm needs to strengthen its societal acceptance through effective interaction with the society in which it operates (Ramadan </w:t>
      </w:r>
      <w:r w:rsidR="00E66ADC">
        <w:rPr>
          <w:rFonts w:eastAsia="Calibri"/>
          <w:color w:val="auto"/>
          <w:lang w:eastAsia="en-GB"/>
        </w:rPr>
        <w:t>and</w:t>
      </w:r>
      <w:r w:rsidR="00C0250B" w:rsidRPr="00D018E3">
        <w:rPr>
          <w:color w:val="auto"/>
        </w:rPr>
        <w:t xml:space="preserve"> </w:t>
      </w:r>
      <w:proofErr w:type="spellStart"/>
      <w:r w:rsidR="00C0250B" w:rsidRPr="00D018E3">
        <w:rPr>
          <w:color w:val="auto"/>
        </w:rPr>
        <w:t>Majdalany</w:t>
      </w:r>
      <w:proofErr w:type="spellEnd"/>
      <w:r w:rsidR="00C0250B" w:rsidRPr="00D018E3">
        <w:rPr>
          <w:color w:val="auto"/>
        </w:rPr>
        <w:t xml:space="preserve">, 2013). </w:t>
      </w:r>
      <w:r w:rsidR="00C0250B" w:rsidRPr="00855E1C">
        <w:rPr>
          <w:color w:val="auto"/>
        </w:rPr>
        <w:t xml:space="preserve">This paper thus argues that the composition of the board provides an important mechanism </w:t>
      </w:r>
      <w:r w:rsidR="002E6DF8" w:rsidRPr="00855E1C">
        <w:rPr>
          <w:color w:val="auto"/>
        </w:rPr>
        <w:t>in enhancing CCID and thereby improving the interactions between the firm and its community of operations</w:t>
      </w:r>
      <w:r w:rsidR="00C0250B" w:rsidRPr="00855E1C">
        <w:rPr>
          <w:color w:val="auto"/>
        </w:rPr>
        <w:t>.</w:t>
      </w:r>
      <w:r w:rsidR="00C0250B" w:rsidRPr="00D018E3">
        <w:rPr>
          <w:color w:val="auto"/>
        </w:rPr>
        <w:t xml:space="preserve"> </w:t>
      </w:r>
      <w:r w:rsidR="00EB1886" w:rsidRPr="00855E1C">
        <w:rPr>
          <w:color w:val="auto"/>
        </w:rPr>
        <w:t>This is consistent with findings from previous studies on other form of corporate disclosures (</w:t>
      </w:r>
      <w:proofErr w:type="spellStart"/>
      <w:r w:rsidR="00855E1C" w:rsidRPr="00855E1C">
        <w:rPr>
          <w:color w:val="auto"/>
        </w:rPr>
        <w:t>Brammer</w:t>
      </w:r>
      <w:proofErr w:type="spellEnd"/>
      <w:r w:rsidR="00855E1C" w:rsidRPr="00855E1C">
        <w:rPr>
          <w:color w:val="auto"/>
        </w:rPr>
        <w:t xml:space="preserve"> and </w:t>
      </w:r>
      <w:proofErr w:type="spellStart"/>
      <w:r w:rsidR="00855E1C" w:rsidRPr="00855E1C">
        <w:rPr>
          <w:color w:val="auto"/>
        </w:rPr>
        <w:t>Pavelin</w:t>
      </w:r>
      <w:proofErr w:type="spellEnd"/>
      <w:r w:rsidR="00855E1C" w:rsidRPr="00855E1C">
        <w:rPr>
          <w:color w:val="auto"/>
        </w:rPr>
        <w:t xml:space="preserve">, 2006; Li, Pike, &amp; </w:t>
      </w:r>
      <w:proofErr w:type="spellStart"/>
      <w:r w:rsidR="00855E1C" w:rsidRPr="00855E1C">
        <w:rPr>
          <w:color w:val="auto"/>
        </w:rPr>
        <w:t>Haniffa</w:t>
      </w:r>
      <w:proofErr w:type="spellEnd"/>
      <w:r w:rsidR="00855E1C" w:rsidRPr="00855E1C">
        <w:rPr>
          <w:color w:val="auto"/>
        </w:rPr>
        <w:t>, 2008; Liao et al., 2014</w:t>
      </w:r>
      <w:r w:rsidR="00EB1886" w:rsidRPr="00855E1C">
        <w:rPr>
          <w:color w:val="auto"/>
        </w:rPr>
        <w:t>).</w:t>
      </w:r>
      <w:r w:rsidR="00EB1886" w:rsidRPr="00855E1C">
        <w:rPr>
          <w:b/>
          <w:color w:val="auto"/>
        </w:rPr>
        <w:t xml:space="preserve"> </w:t>
      </w:r>
      <w:bookmarkStart w:id="0" w:name="_GoBack"/>
      <w:bookmarkEnd w:id="0"/>
    </w:p>
    <w:p w14:paraId="13D36DA0" w14:textId="1D39C184" w:rsidR="00202663" w:rsidRPr="00D018E3" w:rsidRDefault="00FE370C" w:rsidP="000D5115">
      <w:pPr>
        <w:spacing w:line="480" w:lineRule="auto"/>
        <w:ind w:firstLine="567"/>
        <w:jc w:val="both"/>
        <w:rPr>
          <w:color w:val="auto"/>
          <w:lang w:val="en-US"/>
        </w:rPr>
      </w:pPr>
      <w:r w:rsidRPr="00D018E3">
        <w:rPr>
          <w:color w:val="auto"/>
          <w:lang w:val="en-US"/>
        </w:rPr>
        <w:t xml:space="preserve">This present study can be differentiated from the wealth of literature on corporate governance </w:t>
      </w:r>
      <w:r w:rsidR="003F7F9D" w:rsidRPr="00D018E3">
        <w:rPr>
          <w:color w:val="auto"/>
          <w:lang w:val="en-US"/>
        </w:rPr>
        <w:t xml:space="preserve">(CG) </w:t>
      </w:r>
      <w:r w:rsidRPr="00D018E3">
        <w:rPr>
          <w:color w:val="auto"/>
          <w:lang w:val="en-US"/>
        </w:rPr>
        <w:t xml:space="preserve">and disclosure studies. </w:t>
      </w:r>
      <w:r w:rsidR="00B57BD9" w:rsidRPr="00D018E3">
        <w:rPr>
          <w:color w:val="auto"/>
          <w:lang w:val="en-US"/>
        </w:rPr>
        <w:t>First</w:t>
      </w:r>
      <w:r w:rsidR="00DA3E04" w:rsidRPr="00D018E3">
        <w:rPr>
          <w:color w:val="auto"/>
          <w:lang w:val="en-US"/>
        </w:rPr>
        <w:t>ly</w:t>
      </w:r>
      <w:r w:rsidR="00DD71A7" w:rsidRPr="00D018E3">
        <w:rPr>
          <w:color w:val="auto"/>
          <w:lang w:val="en-US"/>
        </w:rPr>
        <w:t xml:space="preserve">, </w:t>
      </w:r>
      <w:r w:rsidR="00763E68" w:rsidRPr="00D018E3">
        <w:rPr>
          <w:color w:val="auto"/>
          <w:lang w:val="en-US"/>
        </w:rPr>
        <w:t>previous studies</w:t>
      </w:r>
      <w:r w:rsidR="00FC532B" w:rsidRPr="00D018E3">
        <w:rPr>
          <w:color w:val="auto"/>
          <w:lang w:val="en-US"/>
        </w:rPr>
        <w:t xml:space="preserve"> </w:t>
      </w:r>
      <w:r w:rsidR="00DA3E04" w:rsidRPr="00D018E3">
        <w:rPr>
          <w:color w:val="auto"/>
          <w:lang w:val="en-US"/>
        </w:rPr>
        <w:t>focus</w:t>
      </w:r>
      <w:r w:rsidR="00763E68" w:rsidRPr="00D018E3">
        <w:rPr>
          <w:color w:val="auto"/>
          <w:lang w:val="en-US"/>
        </w:rPr>
        <w:t xml:space="preserve"> on </w:t>
      </w:r>
      <w:r w:rsidR="00013BAC" w:rsidRPr="00D018E3">
        <w:rPr>
          <w:color w:val="auto"/>
          <w:lang w:val="en-US"/>
        </w:rPr>
        <w:t xml:space="preserve">the role of </w:t>
      </w:r>
      <w:r w:rsidR="0058652F" w:rsidRPr="00D018E3">
        <w:rPr>
          <w:color w:val="auto"/>
          <w:lang w:val="en-US"/>
        </w:rPr>
        <w:t>CG</w:t>
      </w:r>
      <w:r w:rsidR="00013BAC" w:rsidRPr="00D018E3">
        <w:rPr>
          <w:color w:val="auto"/>
          <w:lang w:val="en-US"/>
        </w:rPr>
        <w:t xml:space="preserve"> in other types of </w:t>
      </w:r>
      <w:r w:rsidR="00763E68" w:rsidRPr="00D018E3">
        <w:rPr>
          <w:color w:val="auto"/>
          <w:lang w:val="en-US"/>
        </w:rPr>
        <w:t xml:space="preserve">voluntary disclosures </w:t>
      </w:r>
      <w:r w:rsidR="00013BAC" w:rsidRPr="00D018E3">
        <w:rPr>
          <w:color w:val="auto"/>
          <w:lang w:val="en-US"/>
        </w:rPr>
        <w:t>such as;</w:t>
      </w:r>
      <w:r w:rsidR="006077A4" w:rsidRPr="00D018E3">
        <w:rPr>
          <w:color w:val="auto"/>
          <w:lang w:val="en-US"/>
        </w:rPr>
        <w:t xml:space="preserve"> </w:t>
      </w:r>
      <w:r w:rsidR="003F5B72" w:rsidRPr="00D018E3">
        <w:rPr>
          <w:color w:val="auto"/>
          <w:lang w:val="en-US"/>
        </w:rPr>
        <w:t>environmental disclosure (</w:t>
      </w:r>
      <w:proofErr w:type="spellStart"/>
      <w:r w:rsidR="003F5B72" w:rsidRPr="00D018E3">
        <w:rPr>
          <w:color w:val="auto"/>
          <w:lang w:val="en-US"/>
        </w:rPr>
        <w:t>Brammer</w:t>
      </w:r>
      <w:proofErr w:type="spellEnd"/>
      <w:r w:rsidR="003F5B72" w:rsidRPr="00D018E3">
        <w:rPr>
          <w:color w:val="auto"/>
          <w:lang w:val="en-US"/>
        </w:rPr>
        <w:t xml:space="preserve"> </w:t>
      </w:r>
      <w:r w:rsidR="00E66ADC">
        <w:rPr>
          <w:rFonts w:eastAsia="Calibri"/>
          <w:color w:val="auto"/>
          <w:lang w:eastAsia="en-GB"/>
        </w:rPr>
        <w:t>and</w:t>
      </w:r>
      <w:r w:rsidR="003F5B72" w:rsidRPr="00D018E3">
        <w:rPr>
          <w:color w:val="auto"/>
          <w:lang w:val="en-US"/>
        </w:rPr>
        <w:t xml:space="preserve"> </w:t>
      </w:r>
      <w:proofErr w:type="spellStart"/>
      <w:r w:rsidR="003F5B72" w:rsidRPr="00D018E3">
        <w:rPr>
          <w:color w:val="auto"/>
          <w:lang w:val="en-US"/>
        </w:rPr>
        <w:t>Pavelin</w:t>
      </w:r>
      <w:proofErr w:type="spellEnd"/>
      <w:r w:rsidR="003F5B72" w:rsidRPr="00D018E3">
        <w:rPr>
          <w:color w:val="auto"/>
          <w:lang w:val="en-US"/>
        </w:rPr>
        <w:t xml:space="preserve">, 2006), Greenhouses </w:t>
      </w:r>
      <w:r w:rsidR="0010125A" w:rsidRPr="00D018E3">
        <w:rPr>
          <w:color w:val="auto"/>
          <w:lang w:val="en-US"/>
        </w:rPr>
        <w:t>gas disclosure (</w:t>
      </w:r>
      <w:r w:rsidR="00DB52E0">
        <w:rPr>
          <w:color w:val="auto"/>
          <w:lang w:val="en-US"/>
        </w:rPr>
        <w:t xml:space="preserve">Liao </w:t>
      </w:r>
      <w:r w:rsidR="00DB52E0" w:rsidRPr="00AC5578">
        <w:rPr>
          <w:color w:val="auto"/>
          <w:lang w:val="en-US"/>
        </w:rPr>
        <w:t>et al</w:t>
      </w:r>
      <w:r w:rsidR="00DB52E0">
        <w:rPr>
          <w:color w:val="auto"/>
          <w:lang w:val="en-US"/>
        </w:rPr>
        <w:t>., 2014</w:t>
      </w:r>
      <w:r w:rsidR="0010125A" w:rsidRPr="00D018E3">
        <w:rPr>
          <w:color w:val="auto"/>
          <w:lang w:val="en-US"/>
        </w:rPr>
        <w:t xml:space="preserve">), </w:t>
      </w:r>
      <w:r w:rsidR="00830523" w:rsidRPr="00D018E3">
        <w:rPr>
          <w:color w:val="auto"/>
          <w:lang w:val="en-US"/>
        </w:rPr>
        <w:t xml:space="preserve">intellectual capital </w:t>
      </w:r>
      <w:r w:rsidR="00467638" w:rsidRPr="00D018E3">
        <w:rPr>
          <w:color w:val="auto"/>
          <w:lang w:val="en-US"/>
        </w:rPr>
        <w:t>disclosures (</w:t>
      </w:r>
      <w:r w:rsidR="00286B14" w:rsidRPr="00D018E3">
        <w:rPr>
          <w:color w:val="auto"/>
          <w:lang w:val="en-US"/>
        </w:rPr>
        <w:t xml:space="preserve">Li et al., 2008; </w:t>
      </w:r>
      <w:r w:rsidR="00DE68E8" w:rsidRPr="00D018E3">
        <w:rPr>
          <w:color w:val="auto"/>
          <w:lang w:val="en-US"/>
        </w:rPr>
        <w:t xml:space="preserve">Ramadan </w:t>
      </w:r>
      <w:r w:rsidR="00E66ADC">
        <w:rPr>
          <w:rFonts w:eastAsia="Calibri"/>
          <w:color w:val="auto"/>
          <w:lang w:eastAsia="en-GB"/>
        </w:rPr>
        <w:t>and</w:t>
      </w:r>
      <w:r w:rsidR="00DE68E8" w:rsidRPr="00D018E3">
        <w:rPr>
          <w:color w:val="auto"/>
          <w:lang w:val="en-US"/>
        </w:rPr>
        <w:t xml:space="preserve"> </w:t>
      </w:r>
      <w:proofErr w:type="spellStart"/>
      <w:r w:rsidR="00DE68E8" w:rsidRPr="00D018E3">
        <w:rPr>
          <w:color w:val="auto"/>
          <w:lang w:val="en-US"/>
        </w:rPr>
        <w:t>Majdalany</w:t>
      </w:r>
      <w:proofErr w:type="spellEnd"/>
      <w:r w:rsidR="00DE68E8" w:rsidRPr="00D018E3">
        <w:rPr>
          <w:color w:val="auto"/>
          <w:lang w:val="en-US"/>
        </w:rPr>
        <w:t>, 2013</w:t>
      </w:r>
      <w:r w:rsidR="00830523" w:rsidRPr="00D018E3">
        <w:rPr>
          <w:color w:val="auto"/>
          <w:lang w:val="en-US"/>
        </w:rPr>
        <w:t>),</w:t>
      </w:r>
      <w:r w:rsidR="00467638" w:rsidRPr="00D018E3">
        <w:rPr>
          <w:color w:val="auto"/>
          <w:lang w:val="en-US"/>
        </w:rPr>
        <w:t xml:space="preserve"> amongst many others. These studies have generated important insights on the nature of </w:t>
      </w:r>
      <w:r w:rsidR="001B1DD4" w:rsidRPr="00D018E3">
        <w:rPr>
          <w:color w:val="auto"/>
          <w:lang w:val="en-US"/>
        </w:rPr>
        <w:t xml:space="preserve">the </w:t>
      </w:r>
      <w:r w:rsidR="00467638" w:rsidRPr="00D018E3">
        <w:rPr>
          <w:color w:val="auto"/>
          <w:lang w:val="en-US"/>
        </w:rPr>
        <w:t xml:space="preserve">interaction between the firm and the society resulting, for example, into better understanding of </w:t>
      </w:r>
      <w:r w:rsidR="001B1DD4" w:rsidRPr="00D018E3">
        <w:rPr>
          <w:color w:val="auto"/>
          <w:lang w:val="en-US"/>
        </w:rPr>
        <w:t>stakeholders’ management</w:t>
      </w:r>
      <w:r w:rsidR="00467638" w:rsidRPr="00D018E3">
        <w:rPr>
          <w:color w:val="auto"/>
          <w:lang w:val="en-US"/>
        </w:rPr>
        <w:t xml:space="preserve">.  However, such understandings are issues </w:t>
      </w:r>
      <w:r w:rsidR="001B1DD4" w:rsidRPr="00D018E3">
        <w:rPr>
          <w:color w:val="auto"/>
          <w:lang w:val="en-US"/>
        </w:rPr>
        <w:t>specific, and although they all fall under a broad category of social and environmental accounting</w:t>
      </w:r>
      <w:r w:rsidR="00F335FC" w:rsidRPr="00D018E3">
        <w:rPr>
          <w:color w:val="auto"/>
          <w:lang w:val="en-US"/>
        </w:rPr>
        <w:t xml:space="preserve"> (Campbell et al</w:t>
      </w:r>
      <w:r w:rsidR="00DA3E04" w:rsidRPr="00D018E3">
        <w:rPr>
          <w:color w:val="auto"/>
          <w:lang w:val="en-US"/>
        </w:rPr>
        <w:t>.,</w:t>
      </w:r>
      <w:r w:rsidR="00F335FC" w:rsidRPr="00D018E3">
        <w:rPr>
          <w:color w:val="auto"/>
          <w:lang w:val="en-US"/>
        </w:rPr>
        <w:t xml:space="preserve"> 2006)</w:t>
      </w:r>
      <w:r w:rsidR="001B1DD4" w:rsidRPr="00D018E3">
        <w:rPr>
          <w:color w:val="auto"/>
          <w:lang w:val="en-US"/>
        </w:rPr>
        <w:t>, each subset of this broad category are unique.  Campbell et al</w:t>
      </w:r>
      <w:r w:rsidR="00DA3E04" w:rsidRPr="00D018E3">
        <w:rPr>
          <w:color w:val="auto"/>
          <w:lang w:val="en-US"/>
        </w:rPr>
        <w:t>.,</w:t>
      </w:r>
      <w:r w:rsidR="001B1DD4" w:rsidRPr="00D018E3">
        <w:rPr>
          <w:color w:val="auto"/>
          <w:lang w:val="en-US"/>
        </w:rPr>
        <w:t xml:space="preserve"> (2006</w:t>
      </w:r>
      <w:r w:rsidR="00D41559" w:rsidRPr="00D018E3">
        <w:rPr>
          <w:color w:val="auto"/>
          <w:lang w:val="en-US"/>
        </w:rPr>
        <w:t>, p.</w:t>
      </w:r>
      <w:r w:rsidR="001B1DD4" w:rsidRPr="00D018E3">
        <w:rPr>
          <w:color w:val="auto"/>
          <w:lang w:val="en-US"/>
        </w:rPr>
        <w:t>97) argue that community disclosure is grossly under</w:t>
      </w:r>
      <w:r w:rsidR="00DA3E04" w:rsidRPr="00D018E3">
        <w:rPr>
          <w:color w:val="auto"/>
          <w:lang w:val="en-US"/>
        </w:rPr>
        <w:t>-</w:t>
      </w:r>
      <w:r w:rsidR="001B1DD4" w:rsidRPr="00D018E3">
        <w:rPr>
          <w:color w:val="auto"/>
          <w:lang w:val="en-US"/>
        </w:rPr>
        <w:t>research</w:t>
      </w:r>
      <w:r w:rsidR="00DA3E04" w:rsidRPr="00D018E3">
        <w:rPr>
          <w:color w:val="auto"/>
          <w:lang w:val="en-US"/>
        </w:rPr>
        <w:t>ed</w:t>
      </w:r>
      <w:r w:rsidR="001B1DD4" w:rsidRPr="00D018E3">
        <w:rPr>
          <w:color w:val="auto"/>
          <w:lang w:val="en-US"/>
        </w:rPr>
        <w:t xml:space="preserve"> “</w:t>
      </w:r>
      <w:r w:rsidR="001B1DD4" w:rsidRPr="00D018E3">
        <w:rPr>
          <w:i/>
          <w:color w:val="auto"/>
          <w:lang w:val="en-US"/>
        </w:rPr>
        <w:t>despite its importance as a broadly conceived stakeholder group</w:t>
      </w:r>
      <w:r w:rsidR="001B1DD4" w:rsidRPr="00D018E3">
        <w:rPr>
          <w:color w:val="auto"/>
          <w:lang w:val="en-US"/>
        </w:rPr>
        <w:t>”</w:t>
      </w:r>
      <w:r w:rsidR="00387B54" w:rsidRPr="00D018E3">
        <w:rPr>
          <w:color w:val="auto"/>
          <w:lang w:val="en-US"/>
        </w:rPr>
        <w:t xml:space="preserve">. </w:t>
      </w:r>
      <w:r w:rsidR="00830523" w:rsidRPr="00D018E3">
        <w:rPr>
          <w:color w:val="auto"/>
          <w:lang w:val="en-US"/>
        </w:rPr>
        <w:t>Yet the</w:t>
      </w:r>
      <w:r w:rsidR="00202663" w:rsidRPr="00D018E3">
        <w:rPr>
          <w:color w:val="auto"/>
          <w:lang w:val="en-US"/>
        </w:rPr>
        <w:t xml:space="preserve"> literature clearly recognizes the growing importance of </w:t>
      </w:r>
      <w:r w:rsidR="00387B54" w:rsidRPr="00D018E3">
        <w:rPr>
          <w:color w:val="auto"/>
          <w:lang w:val="en-US"/>
        </w:rPr>
        <w:t>CCI</w:t>
      </w:r>
      <w:r w:rsidR="003108BD" w:rsidRPr="00D018E3">
        <w:rPr>
          <w:color w:val="auto"/>
          <w:lang w:val="en-US"/>
        </w:rPr>
        <w:t xml:space="preserve"> </w:t>
      </w:r>
      <w:r w:rsidR="00801BEB" w:rsidRPr="00D018E3">
        <w:rPr>
          <w:color w:val="auto"/>
          <w:lang w:val="en-US"/>
        </w:rPr>
        <w:t>(</w:t>
      </w:r>
      <w:r w:rsidR="00D41559" w:rsidRPr="00D018E3">
        <w:rPr>
          <w:color w:val="auto"/>
          <w:lang w:val="en-US"/>
        </w:rPr>
        <w:t xml:space="preserve">Marquis </w:t>
      </w:r>
      <w:r w:rsidR="00D41559" w:rsidRPr="00AC5578">
        <w:rPr>
          <w:color w:val="auto"/>
          <w:lang w:val="en-US"/>
        </w:rPr>
        <w:t>et al</w:t>
      </w:r>
      <w:r w:rsidR="00D41559" w:rsidRPr="00D018E3">
        <w:rPr>
          <w:color w:val="auto"/>
          <w:lang w:val="en-US"/>
        </w:rPr>
        <w:t xml:space="preserve">., 2007; </w:t>
      </w:r>
      <w:r w:rsidR="00DA3E04" w:rsidRPr="00D018E3">
        <w:rPr>
          <w:color w:val="auto"/>
          <w:lang w:val="en-US"/>
        </w:rPr>
        <w:t xml:space="preserve">Matten </w:t>
      </w:r>
      <w:r w:rsidR="00E66ADC">
        <w:rPr>
          <w:rFonts w:eastAsia="Calibri"/>
          <w:color w:val="auto"/>
          <w:lang w:eastAsia="en-GB"/>
        </w:rPr>
        <w:t>and</w:t>
      </w:r>
      <w:r w:rsidR="00DA3E04" w:rsidRPr="00D018E3">
        <w:rPr>
          <w:color w:val="auto"/>
          <w:lang w:val="en-US"/>
        </w:rPr>
        <w:t xml:space="preserve"> Crane, 2005;</w:t>
      </w:r>
      <w:r w:rsidR="00D41559" w:rsidRPr="00D018E3">
        <w:rPr>
          <w:color w:val="auto"/>
          <w:lang w:val="en-US"/>
        </w:rPr>
        <w:t xml:space="preserve"> </w:t>
      </w:r>
      <w:r w:rsidR="00202663" w:rsidRPr="00D018E3">
        <w:rPr>
          <w:color w:val="auto"/>
          <w:lang w:val="en-US"/>
        </w:rPr>
        <w:t xml:space="preserve">Scherer </w:t>
      </w:r>
      <w:r w:rsidR="00E66ADC">
        <w:rPr>
          <w:rFonts w:eastAsia="Calibri"/>
          <w:color w:val="auto"/>
          <w:lang w:eastAsia="en-GB"/>
        </w:rPr>
        <w:t>and</w:t>
      </w:r>
      <w:r w:rsidR="00202663" w:rsidRPr="00D018E3">
        <w:rPr>
          <w:color w:val="auto"/>
          <w:lang w:val="en-US"/>
        </w:rPr>
        <w:t xml:space="preserve"> Palazzo, 2011). </w:t>
      </w:r>
      <w:r w:rsidR="00387B54" w:rsidRPr="00D018E3">
        <w:rPr>
          <w:color w:val="auto"/>
          <w:lang w:val="en-US"/>
        </w:rPr>
        <w:t>Although studies on CCID started to emerge (e.g. Campbell et al</w:t>
      </w:r>
      <w:r w:rsidR="00DA3E04" w:rsidRPr="00D018E3">
        <w:rPr>
          <w:color w:val="auto"/>
          <w:lang w:val="en-US"/>
        </w:rPr>
        <w:t>.,</w:t>
      </w:r>
      <w:r w:rsidR="00DA3E04" w:rsidRPr="00D018E3">
        <w:rPr>
          <w:i/>
          <w:color w:val="auto"/>
          <w:lang w:val="en-US"/>
        </w:rPr>
        <w:t xml:space="preserve"> </w:t>
      </w:r>
      <w:r w:rsidR="00387B54" w:rsidRPr="00D018E3">
        <w:rPr>
          <w:color w:val="auto"/>
          <w:lang w:val="en-US"/>
        </w:rPr>
        <w:t xml:space="preserve">2006; </w:t>
      </w:r>
      <w:proofErr w:type="spellStart"/>
      <w:r w:rsidR="00387B54" w:rsidRPr="00D018E3">
        <w:rPr>
          <w:color w:val="auto"/>
          <w:lang w:val="en-US"/>
        </w:rPr>
        <w:t>Yekini</w:t>
      </w:r>
      <w:proofErr w:type="spellEnd"/>
      <w:r w:rsidR="00387B54" w:rsidRPr="00D018E3">
        <w:rPr>
          <w:color w:val="auto"/>
          <w:lang w:val="en-US"/>
        </w:rPr>
        <w:t xml:space="preserve"> </w:t>
      </w:r>
      <w:r w:rsidR="00E66ADC">
        <w:rPr>
          <w:rFonts w:eastAsia="Calibri"/>
          <w:color w:val="auto"/>
          <w:lang w:eastAsia="en-GB"/>
        </w:rPr>
        <w:t>and</w:t>
      </w:r>
      <w:r w:rsidR="00387B54" w:rsidRPr="00D018E3">
        <w:rPr>
          <w:color w:val="auto"/>
          <w:lang w:val="en-US"/>
        </w:rPr>
        <w:t xml:space="preserve"> </w:t>
      </w:r>
      <w:proofErr w:type="spellStart"/>
      <w:r w:rsidR="00387B54" w:rsidRPr="00D018E3">
        <w:rPr>
          <w:color w:val="auto"/>
          <w:lang w:val="en-US"/>
        </w:rPr>
        <w:t>Jallow</w:t>
      </w:r>
      <w:proofErr w:type="spellEnd"/>
      <w:r w:rsidR="00387B54" w:rsidRPr="00D018E3">
        <w:rPr>
          <w:color w:val="auto"/>
          <w:lang w:val="en-US"/>
        </w:rPr>
        <w:t>, 2012), there is still a considerable gap in the literature on the nature of CCID. I</w:t>
      </w:r>
      <w:r w:rsidR="003108BD" w:rsidRPr="00D018E3">
        <w:rPr>
          <w:color w:val="auto"/>
          <w:lang w:val="en-US"/>
        </w:rPr>
        <w:t>t is therefore imperative to understand the determinants of this unique disclosure, but more specifically to understand the impact of board composition in this regard.</w:t>
      </w:r>
    </w:p>
    <w:p w14:paraId="2851B492" w14:textId="3EB77C7B" w:rsidR="00A5674E" w:rsidRPr="00D018E3" w:rsidRDefault="00763E68" w:rsidP="0021554B">
      <w:pPr>
        <w:spacing w:line="480" w:lineRule="auto"/>
        <w:ind w:firstLine="567"/>
        <w:jc w:val="both"/>
        <w:rPr>
          <w:bCs/>
          <w:color w:val="auto"/>
          <w:lang w:val="en-US"/>
        </w:rPr>
      </w:pPr>
      <w:r w:rsidRPr="00D018E3">
        <w:rPr>
          <w:color w:val="auto"/>
          <w:lang w:val="en-US"/>
        </w:rPr>
        <w:lastRenderedPageBreak/>
        <w:t xml:space="preserve">Secondly, </w:t>
      </w:r>
      <w:r w:rsidR="0005460C" w:rsidRPr="00D018E3">
        <w:rPr>
          <w:color w:val="auto"/>
          <w:lang w:val="en-US"/>
        </w:rPr>
        <w:t>prior</w:t>
      </w:r>
      <w:r w:rsidR="00B57BD9" w:rsidRPr="00D018E3">
        <w:rPr>
          <w:color w:val="auto"/>
          <w:lang w:val="en-US"/>
        </w:rPr>
        <w:t xml:space="preserve"> </w:t>
      </w:r>
      <w:r w:rsidR="003F7F9D" w:rsidRPr="00D018E3">
        <w:rPr>
          <w:color w:val="auto"/>
          <w:lang w:val="en-US"/>
        </w:rPr>
        <w:t>CG</w:t>
      </w:r>
      <w:r w:rsidR="00B57BD9" w:rsidRPr="00D018E3">
        <w:rPr>
          <w:color w:val="auto"/>
          <w:lang w:val="en-US"/>
        </w:rPr>
        <w:t xml:space="preserve"> literature, especially the subset of this literature that focuses on board composition/NEDs </w:t>
      </w:r>
      <w:r w:rsidR="001744F9" w:rsidRPr="00D018E3">
        <w:rPr>
          <w:color w:val="auto"/>
          <w:lang w:val="en-US"/>
        </w:rPr>
        <w:t>(</w:t>
      </w:r>
      <w:proofErr w:type="spellStart"/>
      <w:r w:rsidR="00D41559" w:rsidRPr="00D018E3">
        <w:rPr>
          <w:color w:val="auto"/>
          <w:lang w:val="en-US"/>
        </w:rPr>
        <w:t>Ajinkya</w:t>
      </w:r>
      <w:proofErr w:type="spellEnd"/>
      <w:r w:rsidR="00D41559" w:rsidRPr="00D018E3">
        <w:rPr>
          <w:color w:val="auto"/>
          <w:lang w:val="en-US"/>
        </w:rPr>
        <w:t xml:space="preserve"> et al., 2005; </w:t>
      </w:r>
      <w:r w:rsidR="0018780B" w:rsidRPr="00D018E3">
        <w:rPr>
          <w:color w:val="auto"/>
          <w:lang w:val="en-US"/>
        </w:rPr>
        <w:t xml:space="preserve">Chen </w:t>
      </w:r>
      <w:r w:rsidR="00E66ADC">
        <w:rPr>
          <w:rFonts w:eastAsia="Calibri"/>
          <w:color w:val="auto"/>
          <w:lang w:eastAsia="en-GB"/>
        </w:rPr>
        <w:t>and</w:t>
      </w:r>
      <w:r w:rsidR="0018780B" w:rsidRPr="00D018E3">
        <w:rPr>
          <w:color w:val="auto"/>
          <w:lang w:val="en-US"/>
        </w:rPr>
        <w:t xml:space="preserve"> </w:t>
      </w:r>
      <w:proofErr w:type="spellStart"/>
      <w:r w:rsidR="0018780B" w:rsidRPr="00D018E3">
        <w:rPr>
          <w:color w:val="auto"/>
          <w:lang w:val="en-US"/>
        </w:rPr>
        <w:t>Jaggi</w:t>
      </w:r>
      <w:proofErr w:type="spellEnd"/>
      <w:r w:rsidR="0018780B" w:rsidRPr="00D018E3">
        <w:rPr>
          <w:color w:val="auto"/>
          <w:lang w:val="en-US"/>
        </w:rPr>
        <w:t>, 2000; Peng, 2004</w:t>
      </w:r>
      <w:r w:rsidR="001744F9" w:rsidRPr="00D018E3">
        <w:rPr>
          <w:color w:val="auto"/>
          <w:lang w:val="en-US"/>
        </w:rPr>
        <w:t>)</w:t>
      </w:r>
      <w:r w:rsidR="00FE370C" w:rsidRPr="00D018E3">
        <w:rPr>
          <w:color w:val="auto"/>
          <w:lang w:val="en-US"/>
        </w:rPr>
        <w:t xml:space="preserve"> concentrates on how board composition can ensure corporate financial performance</w:t>
      </w:r>
      <w:r w:rsidR="00E07557" w:rsidRPr="00D018E3">
        <w:rPr>
          <w:color w:val="auto"/>
          <w:lang w:val="en-US"/>
        </w:rPr>
        <w:t>.</w:t>
      </w:r>
      <w:r w:rsidR="00FE370C" w:rsidRPr="00D018E3">
        <w:rPr>
          <w:color w:val="auto"/>
          <w:lang w:val="en-US"/>
        </w:rPr>
        <w:t xml:space="preserve"> </w:t>
      </w:r>
      <w:r w:rsidR="00D745A3" w:rsidRPr="00D018E3">
        <w:rPr>
          <w:color w:val="auto"/>
          <w:lang w:val="en-US"/>
        </w:rPr>
        <w:t xml:space="preserve">Also </w:t>
      </w:r>
      <w:r w:rsidR="00B851B8" w:rsidRPr="00D018E3">
        <w:rPr>
          <w:color w:val="auto"/>
          <w:lang w:val="en-US"/>
        </w:rPr>
        <w:t>a key feature of these studies is</w:t>
      </w:r>
      <w:r w:rsidR="00AC3BF4" w:rsidRPr="00D018E3">
        <w:rPr>
          <w:color w:val="auto"/>
          <w:lang w:val="en-US"/>
        </w:rPr>
        <w:t xml:space="preserve"> the use of US, Singapore</w:t>
      </w:r>
      <w:r w:rsidR="00D745A3" w:rsidRPr="00D018E3">
        <w:rPr>
          <w:color w:val="auto"/>
          <w:lang w:val="en-US"/>
        </w:rPr>
        <w:t>, China</w:t>
      </w:r>
      <w:r w:rsidR="00AC3BF4" w:rsidRPr="00D018E3">
        <w:rPr>
          <w:color w:val="auto"/>
          <w:lang w:val="en-US"/>
        </w:rPr>
        <w:t xml:space="preserve"> or Hong Kong data. </w:t>
      </w:r>
      <w:r w:rsidR="00E07557" w:rsidRPr="00D018E3">
        <w:rPr>
          <w:color w:val="auto"/>
        </w:rPr>
        <w:t xml:space="preserve">On the contrary, using a sample of UK firms, this </w:t>
      </w:r>
      <w:r w:rsidR="00D745A3" w:rsidRPr="00D018E3">
        <w:rPr>
          <w:color w:val="auto"/>
        </w:rPr>
        <w:t xml:space="preserve">current </w:t>
      </w:r>
      <w:r w:rsidR="00E07557" w:rsidRPr="00D018E3">
        <w:rPr>
          <w:color w:val="auto"/>
        </w:rPr>
        <w:t>study focuses on the issue of social performance, and especially the alignment of interests between the corporation and its community of operation</w:t>
      </w:r>
    </w:p>
    <w:p w14:paraId="61891D61" w14:textId="4F0A883D" w:rsidR="00C74EFF" w:rsidRPr="00D018E3" w:rsidRDefault="00DE7010">
      <w:pPr>
        <w:spacing w:line="480" w:lineRule="auto"/>
        <w:ind w:firstLine="567"/>
        <w:jc w:val="both"/>
        <w:rPr>
          <w:bCs/>
          <w:color w:val="auto"/>
          <w:lang w:val="en-US"/>
        </w:rPr>
      </w:pPr>
      <w:r w:rsidRPr="00D018E3">
        <w:rPr>
          <w:bCs/>
          <w:color w:val="auto"/>
          <w:lang w:val="en-US"/>
        </w:rPr>
        <w:t xml:space="preserve">Furthermore, CCID is a distinctive form of corporate social disclosure </w:t>
      </w:r>
      <w:r w:rsidR="00E07B59" w:rsidRPr="00D018E3">
        <w:rPr>
          <w:bCs/>
          <w:color w:val="auto"/>
          <w:lang w:val="en-US"/>
        </w:rPr>
        <w:t xml:space="preserve">as </w:t>
      </w:r>
      <w:r w:rsidR="0021554B" w:rsidRPr="00D018E3">
        <w:rPr>
          <w:bCs/>
          <w:color w:val="auto"/>
          <w:lang w:val="en-US"/>
        </w:rPr>
        <w:t>it</w:t>
      </w:r>
      <w:r w:rsidR="00FE370C" w:rsidRPr="00D018E3">
        <w:rPr>
          <w:bCs/>
          <w:color w:val="auto"/>
          <w:lang w:val="en-US"/>
        </w:rPr>
        <w:t xml:space="preserve"> relate</w:t>
      </w:r>
      <w:r w:rsidR="0021554B" w:rsidRPr="00D018E3">
        <w:rPr>
          <w:bCs/>
          <w:color w:val="auto"/>
          <w:lang w:val="en-US"/>
        </w:rPr>
        <w:t>s</w:t>
      </w:r>
      <w:r w:rsidR="00FE370C" w:rsidRPr="00D018E3">
        <w:rPr>
          <w:bCs/>
          <w:color w:val="auto"/>
          <w:lang w:val="en-US"/>
        </w:rPr>
        <w:t xml:space="preserve"> to the actual and tangible interaction between the corporation and their community of operation as opposed to the usual broad and general characterization of CSR</w:t>
      </w:r>
      <w:r w:rsidR="002C79A1" w:rsidRPr="00D018E3">
        <w:rPr>
          <w:bCs/>
          <w:color w:val="auto"/>
          <w:lang w:val="en-US"/>
        </w:rPr>
        <w:t xml:space="preserve"> (Campbell et al</w:t>
      </w:r>
      <w:r w:rsidR="0018780B" w:rsidRPr="00D018E3">
        <w:rPr>
          <w:bCs/>
          <w:color w:val="auto"/>
          <w:lang w:val="en-US"/>
        </w:rPr>
        <w:t>.,</w:t>
      </w:r>
      <w:r w:rsidR="002C79A1" w:rsidRPr="00D018E3">
        <w:rPr>
          <w:bCs/>
          <w:color w:val="auto"/>
          <w:lang w:val="en-US"/>
        </w:rPr>
        <w:t xml:space="preserve"> 2006)</w:t>
      </w:r>
      <w:r w:rsidR="00FE370C" w:rsidRPr="00D018E3">
        <w:rPr>
          <w:bCs/>
          <w:color w:val="auto"/>
          <w:lang w:val="en-US"/>
        </w:rPr>
        <w:t>. Given that previous studies (</w:t>
      </w:r>
      <w:proofErr w:type="spellStart"/>
      <w:r w:rsidR="00D41559" w:rsidRPr="00D018E3">
        <w:rPr>
          <w:color w:val="auto"/>
          <w:lang w:val="en-US"/>
        </w:rPr>
        <w:t>Bebbington</w:t>
      </w:r>
      <w:proofErr w:type="spellEnd"/>
      <w:r w:rsidR="00D41559" w:rsidRPr="00D018E3">
        <w:rPr>
          <w:color w:val="auto"/>
          <w:lang w:val="en-US"/>
        </w:rPr>
        <w:t xml:space="preserve"> et al., 2008; </w:t>
      </w:r>
      <w:r w:rsidR="0018780B" w:rsidRPr="00D018E3">
        <w:rPr>
          <w:bCs/>
          <w:color w:val="auto"/>
          <w:lang w:val="en-US"/>
        </w:rPr>
        <w:t xml:space="preserve">Gray et al., 1995; </w:t>
      </w:r>
      <w:r w:rsidR="00D41559" w:rsidRPr="00D018E3">
        <w:rPr>
          <w:bCs/>
          <w:color w:val="auto"/>
          <w:lang w:val="en-US"/>
        </w:rPr>
        <w:t xml:space="preserve">Guthrie et al., 2004; </w:t>
      </w:r>
      <w:proofErr w:type="spellStart"/>
      <w:r w:rsidR="0018780B" w:rsidRPr="00D018E3">
        <w:rPr>
          <w:bCs/>
          <w:color w:val="auto"/>
          <w:lang w:val="en-US"/>
        </w:rPr>
        <w:t>Hackston</w:t>
      </w:r>
      <w:proofErr w:type="spellEnd"/>
      <w:r w:rsidR="0018780B" w:rsidRPr="00D018E3">
        <w:rPr>
          <w:bCs/>
          <w:color w:val="auto"/>
          <w:lang w:val="en-US"/>
        </w:rPr>
        <w:t xml:space="preserve"> </w:t>
      </w:r>
      <w:r w:rsidR="00E66ADC">
        <w:rPr>
          <w:rFonts w:eastAsia="Calibri"/>
          <w:color w:val="auto"/>
          <w:lang w:eastAsia="en-GB"/>
        </w:rPr>
        <w:t>and</w:t>
      </w:r>
      <w:r w:rsidR="0018780B" w:rsidRPr="00D018E3">
        <w:rPr>
          <w:bCs/>
          <w:color w:val="auto"/>
          <w:lang w:val="en-US"/>
        </w:rPr>
        <w:t xml:space="preserve"> Milne 1996;</w:t>
      </w:r>
      <w:r w:rsidR="0018780B" w:rsidRPr="00D018E3">
        <w:rPr>
          <w:color w:val="auto"/>
          <w:lang w:val="en-US"/>
        </w:rPr>
        <w:t xml:space="preserve"> </w:t>
      </w:r>
      <w:proofErr w:type="spellStart"/>
      <w:r w:rsidR="00D41559" w:rsidRPr="00D018E3">
        <w:rPr>
          <w:color w:val="auto"/>
          <w:lang w:val="en-US"/>
        </w:rPr>
        <w:t>Hasseldine</w:t>
      </w:r>
      <w:proofErr w:type="spellEnd"/>
      <w:r w:rsidR="00D41559" w:rsidRPr="00D018E3">
        <w:rPr>
          <w:color w:val="auto"/>
          <w:lang w:val="en-US"/>
        </w:rPr>
        <w:t xml:space="preserve"> et al., 2005; </w:t>
      </w:r>
      <w:r w:rsidR="0018780B" w:rsidRPr="00D018E3">
        <w:rPr>
          <w:color w:val="auto"/>
          <w:lang w:val="en-US"/>
        </w:rPr>
        <w:t>Toms, 2002</w:t>
      </w:r>
      <w:r w:rsidR="00FE370C" w:rsidRPr="00D018E3">
        <w:rPr>
          <w:bCs/>
          <w:color w:val="auto"/>
          <w:lang w:val="en-US"/>
        </w:rPr>
        <w:t xml:space="preserve">) argue that loose and general definitions and descriptions of CSR make it vague and allow companies to engage in ‘Greenwash’ (green talk and lack of walk), examining the specific aspects of firm interactions with their environment provides a clearer indication of their corporate social performance. Moreover, understanding the factors that affect such specific disclosure </w:t>
      </w:r>
      <w:r w:rsidR="00A07043" w:rsidRPr="00D018E3">
        <w:rPr>
          <w:color w:val="auto"/>
        </w:rPr>
        <w:t xml:space="preserve">through the lenses of the stakeholder theory </w:t>
      </w:r>
      <w:r w:rsidR="00FE370C" w:rsidRPr="00D018E3">
        <w:rPr>
          <w:bCs/>
          <w:color w:val="auto"/>
          <w:lang w:val="en-US"/>
        </w:rPr>
        <w:t>is crucial, more so now than before, for the achievement of corporate objectives, due to the growing sophistication in stakeholder social performance disclosure demands (</w:t>
      </w:r>
      <w:r w:rsidR="00D41559" w:rsidRPr="00D018E3">
        <w:rPr>
          <w:bCs/>
          <w:color w:val="auto"/>
          <w:lang w:val="en-US"/>
        </w:rPr>
        <w:t xml:space="preserve">Cooper </w:t>
      </w:r>
      <w:r w:rsidR="00E66ADC">
        <w:rPr>
          <w:rFonts w:eastAsia="Calibri"/>
          <w:color w:val="auto"/>
          <w:lang w:eastAsia="en-GB"/>
        </w:rPr>
        <w:t>and</w:t>
      </w:r>
      <w:r w:rsidR="00D41559" w:rsidRPr="00D018E3">
        <w:rPr>
          <w:bCs/>
          <w:color w:val="auto"/>
          <w:lang w:val="en-US"/>
        </w:rPr>
        <w:t xml:space="preserve"> Owen 2007; </w:t>
      </w:r>
      <w:r w:rsidR="0018780B" w:rsidRPr="00D018E3">
        <w:rPr>
          <w:color w:val="auto"/>
          <w:lang w:val="en-US"/>
        </w:rPr>
        <w:t>Gray et al., 1988</w:t>
      </w:r>
      <w:r w:rsidR="00FE370C" w:rsidRPr="00D018E3">
        <w:rPr>
          <w:bCs/>
          <w:color w:val="auto"/>
          <w:lang w:val="en-US"/>
        </w:rPr>
        <w:t>).</w:t>
      </w:r>
      <w:r w:rsidR="009E5F7D" w:rsidRPr="00D018E3">
        <w:rPr>
          <w:bCs/>
          <w:color w:val="auto"/>
          <w:lang w:val="en-US"/>
        </w:rPr>
        <w:t xml:space="preserve"> </w:t>
      </w:r>
    </w:p>
    <w:p w14:paraId="02BF630D" w14:textId="77777777" w:rsidR="009F4FAA" w:rsidRDefault="00715101" w:rsidP="00E06E08">
      <w:pPr>
        <w:spacing w:line="480" w:lineRule="auto"/>
        <w:ind w:firstLine="567"/>
        <w:jc w:val="both"/>
        <w:rPr>
          <w:color w:val="auto"/>
          <w:lang w:val="en-US"/>
        </w:rPr>
      </w:pPr>
      <w:r w:rsidRPr="00D018E3">
        <w:rPr>
          <w:color w:val="auto"/>
          <w:lang w:val="en-US"/>
        </w:rPr>
        <w:t xml:space="preserve">Our </w:t>
      </w:r>
      <w:r w:rsidR="00C74EFF" w:rsidRPr="00D018E3">
        <w:rPr>
          <w:color w:val="auto"/>
          <w:lang w:val="en-US"/>
        </w:rPr>
        <w:t xml:space="preserve">paper contributes to the </w:t>
      </w:r>
      <w:r w:rsidR="003F7F9D" w:rsidRPr="00D018E3">
        <w:rPr>
          <w:color w:val="auto"/>
          <w:lang w:val="en-US"/>
        </w:rPr>
        <w:t>CG</w:t>
      </w:r>
      <w:r w:rsidR="00554C9E" w:rsidRPr="00D018E3">
        <w:rPr>
          <w:color w:val="auto"/>
          <w:lang w:val="en-US"/>
        </w:rPr>
        <w:t>,</w:t>
      </w:r>
      <w:r w:rsidR="00C74EFF" w:rsidRPr="00D018E3">
        <w:rPr>
          <w:color w:val="auto"/>
          <w:lang w:val="en-US"/>
        </w:rPr>
        <w:t xml:space="preserve"> CCI </w:t>
      </w:r>
      <w:r w:rsidR="00554C9E" w:rsidRPr="00D018E3">
        <w:rPr>
          <w:color w:val="auto"/>
          <w:lang w:val="en-US"/>
        </w:rPr>
        <w:t xml:space="preserve">and </w:t>
      </w:r>
      <w:r w:rsidR="00C74EFF" w:rsidRPr="00D018E3">
        <w:rPr>
          <w:color w:val="auto"/>
          <w:lang w:val="en-US"/>
        </w:rPr>
        <w:t xml:space="preserve">disclosure </w:t>
      </w:r>
      <w:r w:rsidR="00BA15E5" w:rsidRPr="00D018E3">
        <w:rPr>
          <w:color w:val="auto"/>
          <w:lang w:val="en-US"/>
        </w:rPr>
        <w:t xml:space="preserve">quality </w:t>
      </w:r>
      <w:r w:rsidR="00C74EFF" w:rsidRPr="00D018E3">
        <w:rPr>
          <w:color w:val="auto"/>
          <w:lang w:val="en-US"/>
        </w:rPr>
        <w:t xml:space="preserve">literature. We find that good </w:t>
      </w:r>
      <w:r w:rsidR="003F7F9D" w:rsidRPr="00D018E3">
        <w:rPr>
          <w:color w:val="auto"/>
          <w:lang w:val="en-US"/>
        </w:rPr>
        <w:t>CG</w:t>
      </w:r>
      <w:r w:rsidR="00C74EFF" w:rsidRPr="00D018E3">
        <w:rPr>
          <w:color w:val="auto"/>
          <w:lang w:val="en-US"/>
        </w:rPr>
        <w:t xml:space="preserve"> characterized by more outside directors encouraged more transparent </w:t>
      </w:r>
      <w:r w:rsidR="000A2C0D" w:rsidRPr="00D018E3">
        <w:rPr>
          <w:color w:val="auto"/>
          <w:lang w:val="en-US"/>
        </w:rPr>
        <w:t xml:space="preserve">CCI </w:t>
      </w:r>
      <w:r w:rsidR="00C74EFF" w:rsidRPr="00D018E3">
        <w:rPr>
          <w:color w:val="auto"/>
          <w:lang w:val="en-US"/>
        </w:rPr>
        <w:t>disclosure</w:t>
      </w:r>
      <w:r w:rsidR="000A2C0D" w:rsidRPr="00D018E3">
        <w:rPr>
          <w:color w:val="auto"/>
          <w:lang w:val="en-US"/>
        </w:rPr>
        <w:t xml:space="preserve"> measured by </w:t>
      </w:r>
      <w:r w:rsidR="00BA15E5" w:rsidRPr="00D018E3">
        <w:rPr>
          <w:color w:val="auto"/>
          <w:lang w:val="en-US"/>
        </w:rPr>
        <w:t>the quality of the disclosure</w:t>
      </w:r>
      <w:r w:rsidR="00C74EFF" w:rsidRPr="00D018E3">
        <w:rPr>
          <w:color w:val="auto"/>
          <w:lang w:val="en-US"/>
        </w:rPr>
        <w:t>.</w:t>
      </w:r>
      <w:r w:rsidR="00554C9E" w:rsidRPr="00D018E3">
        <w:rPr>
          <w:color w:val="auto"/>
          <w:lang w:val="en-US"/>
        </w:rPr>
        <w:t xml:space="preserve"> </w:t>
      </w:r>
      <w:r w:rsidR="00BA15E5" w:rsidRPr="00D018E3">
        <w:rPr>
          <w:color w:val="auto"/>
          <w:lang w:val="en-US"/>
        </w:rPr>
        <w:t>M</w:t>
      </w:r>
      <w:r w:rsidR="00554C9E" w:rsidRPr="00D018E3">
        <w:rPr>
          <w:color w:val="auto"/>
          <w:lang w:val="en-US"/>
        </w:rPr>
        <w:t>easuring</w:t>
      </w:r>
      <w:r w:rsidR="00BA15E5" w:rsidRPr="00D018E3">
        <w:rPr>
          <w:color w:val="auto"/>
          <w:lang w:val="en-US"/>
        </w:rPr>
        <w:t xml:space="preserve"> </w:t>
      </w:r>
      <w:r w:rsidR="00554C9E" w:rsidRPr="00D018E3">
        <w:rPr>
          <w:color w:val="auto"/>
          <w:lang w:val="en-US"/>
        </w:rPr>
        <w:t>disclosure quality remains a highly contentious issue in the disclosure literature, in which a variety of definitions and measurement exist (</w:t>
      </w:r>
      <w:r w:rsidR="0022689C" w:rsidRPr="00D018E3">
        <w:rPr>
          <w:color w:val="auto"/>
          <w:lang w:val="en-US"/>
        </w:rPr>
        <w:t xml:space="preserve">Beattie </w:t>
      </w:r>
      <w:r w:rsidR="0022689C" w:rsidRPr="00D018E3">
        <w:rPr>
          <w:iCs/>
          <w:color w:val="auto"/>
          <w:lang w:val="en-US"/>
        </w:rPr>
        <w:t>et al.</w:t>
      </w:r>
      <w:r w:rsidR="0022689C" w:rsidRPr="00D018E3">
        <w:rPr>
          <w:color w:val="auto"/>
          <w:lang w:val="en-US"/>
        </w:rPr>
        <w:t xml:space="preserve">, 2004; </w:t>
      </w:r>
      <w:r w:rsidR="00203906" w:rsidRPr="00D018E3">
        <w:rPr>
          <w:color w:val="auto"/>
          <w:lang w:val="en-US"/>
        </w:rPr>
        <w:t>Beretta</w:t>
      </w:r>
      <w:r w:rsidR="00203906">
        <w:rPr>
          <w:color w:val="auto"/>
          <w:lang w:val="en-US"/>
        </w:rPr>
        <w:t xml:space="preserve"> </w:t>
      </w:r>
      <w:r w:rsidR="007742F4">
        <w:rPr>
          <w:color w:val="auto"/>
          <w:lang w:val="en-US"/>
        </w:rPr>
        <w:t>and</w:t>
      </w:r>
      <w:r w:rsidR="00554C9E" w:rsidRPr="00D018E3">
        <w:rPr>
          <w:color w:val="auto"/>
          <w:lang w:val="en-US"/>
        </w:rPr>
        <w:t xml:space="preserve"> </w:t>
      </w:r>
      <w:proofErr w:type="spellStart"/>
      <w:r w:rsidR="00554C9E" w:rsidRPr="00D018E3">
        <w:rPr>
          <w:color w:val="auto"/>
          <w:lang w:val="en-US"/>
        </w:rPr>
        <w:t>Bozzolan</w:t>
      </w:r>
      <w:proofErr w:type="spellEnd"/>
      <w:r w:rsidR="00554C9E" w:rsidRPr="00D018E3">
        <w:rPr>
          <w:color w:val="auto"/>
          <w:lang w:val="en-US"/>
        </w:rPr>
        <w:t xml:space="preserve">, 2008; </w:t>
      </w:r>
      <w:proofErr w:type="spellStart"/>
      <w:r w:rsidR="00D41559" w:rsidRPr="00D018E3">
        <w:rPr>
          <w:color w:val="auto"/>
          <w:lang w:val="en-US"/>
        </w:rPr>
        <w:t>Khiari</w:t>
      </w:r>
      <w:proofErr w:type="spellEnd"/>
      <w:r w:rsidR="00D41559" w:rsidRPr="00D018E3">
        <w:rPr>
          <w:color w:val="auto"/>
          <w:lang w:val="en-US"/>
        </w:rPr>
        <w:t>, 2013</w:t>
      </w:r>
      <w:r w:rsidR="00554C9E" w:rsidRPr="00D018E3">
        <w:rPr>
          <w:color w:val="auto"/>
          <w:lang w:val="en-US"/>
        </w:rPr>
        <w:t xml:space="preserve">). This </w:t>
      </w:r>
      <w:r w:rsidR="00BA15E5" w:rsidRPr="00D018E3">
        <w:rPr>
          <w:color w:val="auto"/>
          <w:lang w:val="en-US"/>
        </w:rPr>
        <w:t xml:space="preserve">current </w:t>
      </w:r>
      <w:r w:rsidR="00554C9E" w:rsidRPr="00D018E3">
        <w:rPr>
          <w:color w:val="auto"/>
          <w:lang w:val="en-US"/>
        </w:rPr>
        <w:t xml:space="preserve">study contributes to the debate by suggesting a three-process measure of CCI disclosure quality that is based on </w:t>
      </w:r>
      <w:proofErr w:type="spellStart"/>
      <w:r w:rsidR="0022689C" w:rsidRPr="00D018E3">
        <w:rPr>
          <w:color w:val="auto"/>
          <w:lang w:val="en-US"/>
        </w:rPr>
        <w:t>i</w:t>
      </w:r>
      <w:proofErr w:type="spellEnd"/>
      <w:r w:rsidR="00554C9E" w:rsidRPr="00D018E3">
        <w:rPr>
          <w:color w:val="auto"/>
          <w:lang w:val="en-US"/>
        </w:rPr>
        <w:t xml:space="preserve">) specific project identification, </w:t>
      </w:r>
      <w:r w:rsidR="0022689C" w:rsidRPr="00D018E3">
        <w:rPr>
          <w:color w:val="auto"/>
          <w:lang w:val="en-US"/>
        </w:rPr>
        <w:t>ii</w:t>
      </w:r>
      <w:r w:rsidR="00554C9E" w:rsidRPr="00D018E3">
        <w:rPr>
          <w:color w:val="auto"/>
          <w:lang w:val="en-US"/>
        </w:rPr>
        <w:t xml:space="preserve">) </w:t>
      </w:r>
      <w:r w:rsidR="00554C9E" w:rsidRPr="00855E1C">
        <w:rPr>
          <w:color w:val="auto"/>
          <w:lang w:val="en-US"/>
        </w:rPr>
        <w:t>clear and traceable evidence and</w:t>
      </w:r>
      <w:r w:rsidR="00554C9E" w:rsidRPr="00D018E3">
        <w:rPr>
          <w:color w:val="auto"/>
          <w:lang w:val="en-US"/>
        </w:rPr>
        <w:t xml:space="preserve"> </w:t>
      </w:r>
      <w:r w:rsidR="0022689C" w:rsidRPr="00D018E3">
        <w:rPr>
          <w:color w:val="auto"/>
          <w:lang w:val="en-US"/>
        </w:rPr>
        <w:t>iii</w:t>
      </w:r>
      <w:r w:rsidR="00554C9E" w:rsidRPr="00D018E3">
        <w:rPr>
          <w:color w:val="auto"/>
          <w:lang w:val="en-US"/>
        </w:rPr>
        <w:t xml:space="preserve">) disclosure location. This approach synthesizes previous efforts </w:t>
      </w:r>
      <w:r w:rsidR="00554C9E" w:rsidRPr="00D018E3">
        <w:rPr>
          <w:color w:val="auto"/>
          <w:lang w:val="en-US"/>
        </w:rPr>
        <w:lastRenderedPageBreak/>
        <w:t>(</w:t>
      </w:r>
      <w:r w:rsidR="0022689C" w:rsidRPr="00D018E3">
        <w:rPr>
          <w:color w:val="auto"/>
          <w:lang w:val="en-US"/>
        </w:rPr>
        <w:t xml:space="preserve">Beattie </w:t>
      </w:r>
      <w:r w:rsidR="0022689C" w:rsidRPr="00D018E3">
        <w:rPr>
          <w:iCs/>
          <w:color w:val="auto"/>
          <w:lang w:val="en-US"/>
        </w:rPr>
        <w:t>et al.</w:t>
      </w:r>
      <w:r w:rsidR="0022689C" w:rsidRPr="00D018E3">
        <w:rPr>
          <w:color w:val="auto"/>
          <w:lang w:val="en-US"/>
        </w:rPr>
        <w:t xml:space="preserve">, 2004; </w:t>
      </w:r>
      <w:r w:rsidR="00554C9E" w:rsidRPr="00D018E3">
        <w:rPr>
          <w:color w:val="auto"/>
          <w:lang w:val="en-US"/>
        </w:rPr>
        <w:t xml:space="preserve">Beretta </w:t>
      </w:r>
      <w:r w:rsidR="007742F4">
        <w:rPr>
          <w:color w:val="auto"/>
          <w:lang w:val="en-US"/>
        </w:rPr>
        <w:t>and</w:t>
      </w:r>
      <w:r w:rsidR="00554C9E" w:rsidRPr="00D018E3">
        <w:rPr>
          <w:color w:val="auto"/>
          <w:lang w:val="en-US"/>
        </w:rPr>
        <w:t xml:space="preserve"> </w:t>
      </w:r>
      <w:proofErr w:type="spellStart"/>
      <w:r w:rsidR="00554C9E" w:rsidRPr="00D018E3">
        <w:rPr>
          <w:color w:val="auto"/>
          <w:lang w:val="en-US"/>
        </w:rPr>
        <w:t>Bozzolan</w:t>
      </w:r>
      <w:proofErr w:type="spellEnd"/>
      <w:r w:rsidR="00554C9E" w:rsidRPr="00D018E3">
        <w:rPr>
          <w:color w:val="auto"/>
          <w:lang w:val="en-US"/>
        </w:rPr>
        <w:t xml:space="preserve">, 2008; </w:t>
      </w:r>
      <w:proofErr w:type="spellStart"/>
      <w:r w:rsidR="00554C9E" w:rsidRPr="00D018E3">
        <w:rPr>
          <w:color w:val="auto"/>
          <w:lang w:val="en-US"/>
        </w:rPr>
        <w:t>Hasseldine</w:t>
      </w:r>
      <w:proofErr w:type="spellEnd"/>
      <w:r w:rsidR="00554C9E" w:rsidRPr="00D018E3">
        <w:rPr>
          <w:color w:val="auto"/>
          <w:lang w:val="en-US"/>
        </w:rPr>
        <w:t xml:space="preserve"> </w:t>
      </w:r>
      <w:r w:rsidR="00554C9E" w:rsidRPr="00D018E3">
        <w:rPr>
          <w:iCs/>
          <w:color w:val="auto"/>
          <w:lang w:val="en-US"/>
        </w:rPr>
        <w:t xml:space="preserve">et al., </w:t>
      </w:r>
      <w:r w:rsidR="00554C9E" w:rsidRPr="00D018E3">
        <w:rPr>
          <w:color w:val="auto"/>
          <w:lang w:val="en-US"/>
        </w:rPr>
        <w:t>2005; Toms, 2002) to improve disclosure quality and enhances empirical disclosure studies.</w:t>
      </w:r>
      <w:r w:rsidR="00BA15E5" w:rsidRPr="00D018E3">
        <w:rPr>
          <w:color w:val="auto"/>
          <w:lang w:val="en-US"/>
        </w:rPr>
        <w:t xml:space="preserve"> </w:t>
      </w:r>
      <w:r w:rsidR="00C74EFF" w:rsidRPr="00D018E3">
        <w:rPr>
          <w:color w:val="auto"/>
          <w:lang w:val="en-US"/>
        </w:rPr>
        <w:t xml:space="preserve"> </w:t>
      </w:r>
    </w:p>
    <w:p w14:paraId="1B7759F1" w14:textId="0347A42C" w:rsidR="00A5674E" w:rsidRDefault="00FE370C" w:rsidP="00E06E08">
      <w:pPr>
        <w:spacing w:line="480" w:lineRule="auto"/>
        <w:ind w:firstLine="567"/>
        <w:jc w:val="both"/>
        <w:rPr>
          <w:color w:val="auto"/>
          <w:lang w:val="en-US"/>
        </w:rPr>
      </w:pPr>
      <w:r w:rsidRPr="00D018E3">
        <w:rPr>
          <w:color w:val="auto"/>
          <w:lang w:val="en-US"/>
        </w:rPr>
        <w:t>The rest of the paper is organized as follows; the next section presents a brief review of the literature and theoretical underpinnings, which also leads to the development of the hypothesis to be tested, while section three discusses the methodology employed. The findings from the study are discussed in section four, while section five summarizes and concludes the study.</w:t>
      </w:r>
    </w:p>
    <w:p w14:paraId="7A79DCB6" w14:textId="77777777" w:rsidR="007101C2" w:rsidRPr="00D018E3" w:rsidRDefault="007101C2" w:rsidP="00E06E08">
      <w:pPr>
        <w:spacing w:line="480" w:lineRule="auto"/>
        <w:ind w:firstLine="567"/>
        <w:jc w:val="both"/>
        <w:rPr>
          <w:color w:val="auto"/>
          <w:lang w:val="en-US"/>
        </w:rPr>
      </w:pPr>
    </w:p>
    <w:p w14:paraId="51EB8D2D" w14:textId="761E13D5" w:rsidR="00A5674E" w:rsidRPr="00350DF5" w:rsidRDefault="00537BDC">
      <w:pPr>
        <w:pStyle w:val="ListParagraph"/>
        <w:numPr>
          <w:ilvl w:val="0"/>
          <w:numId w:val="1"/>
        </w:numPr>
        <w:spacing w:line="480" w:lineRule="auto"/>
        <w:ind w:left="284" w:hanging="284"/>
        <w:jc w:val="left"/>
        <w:rPr>
          <w:b/>
          <w:i/>
          <w:color w:val="auto"/>
          <w:szCs w:val="24"/>
          <w:lang w:val="en-US"/>
        </w:rPr>
      </w:pPr>
      <w:r w:rsidRPr="00350DF5">
        <w:rPr>
          <w:b/>
          <w:bCs/>
          <w:color w:val="auto"/>
          <w:szCs w:val="24"/>
          <w:lang w:val="en-US"/>
        </w:rPr>
        <w:t>Previous Studies</w:t>
      </w:r>
      <w:r w:rsidR="00FE370C" w:rsidRPr="00350DF5">
        <w:rPr>
          <w:b/>
          <w:bCs/>
          <w:color w:val="auto"/>
          <w:szCs w:val="24"/>
          <w:lang w:val="en-US"/>
        </w:rPr>
        <w:t>, Theory and Hypothes</w:t>
      </w:r>
      <w:r w:rsidR="002C79A1" w:rsidRPr="00350DF5">
        <w:rPr>
          <w:b/>
          <w:bCs/>
          <w:color w:val="auto"/>
          <w:szCs w:val="24"/>
          <w:lang w:val="en-US"/>
        </w:rPr>
        <w:t>i</w:t>
      </w:r>
      <w:r w:rsidR="00FE370C" w:rsidRPr="00350DF5">
        <w:rPr>
          <w:b/>
          <w:bCs/>
          <w:color w:val="auto"/>
          <w:szCs w:val="24"/>
          <w:lang w:val="en-US"/>
        </w:rPr>
        <w:t>s</w:t>
      </w:r>
    </w:p>
    <w:p w14:paraId="5493D921" w14:textId="77777777" w:rsidR="00A5674E" w:rsidRPr="00350DF5" w:rsidRDefault="00FE370C">
      <w:pPr>
        <w:pStyle w:val="ListParagraph"/>
        <w:numPr>
          <w:ilvl w:val="1"/>
          <w:numId w:val="1"/>
        </w:numPr>
        <w:spacing w:line="480" w:lineRule="auto"/>
        <w:ind w:left="624" w:hanging="397"/>
        <w:rPr>
          <w:color w:val="auto"/>
          <w:szCs w:val="24"/>
          <w:lang w:val="en-US"/>
        </w:rPr>
      </w:pPr>
      <w:r w:rsidRPr="00350DF5">
        <w:rPr>
          <w:b/>
          <w:i/>
          <w:color w:val="auto"/>
          <w:szCs w:val="24"/>
          <w:lang w:val="en-US"/>
        </w:rPr>
        <w:t>Extant studies on Disclosures/NEDs</w:t>
      </w:r>
    </w:p>
    <w:p w14:paraId="46FDA267" w14:textId="7CA5F28E" w:rsidR="00A5674E" w:rsidRPr="00350DF5" w:rsidRDefault="0005460C" w:rsidP="00741A4E">
      <w:pPr>
        <w:spacing w:line="480" w:lineRule="auto"/>
        <w:ind w:firstLine="567"/>
        <w:jc w:val="both"/>
        <w:rPr>
          <w:color w:val="auto"/>
          <w:lang w:val="en-US"/>
        </w:rPr>
      </w:pPr>
      <w:r w:rsidRPr="00350DF5">
        <w:rPr>
          <w:color w:val="auto"/>
          <w:lang w:val="en-US"/>
        </w:rPr>
        <w:t>Prior</w:t>
      </w:r>
      <w:r w:rsidR="00FE370C" w:rsidRPr="00350DF5">
        <w:rPr>
          <w:color w:val="auto"/>
          <w:lang w:val="en-US"/>
        </w:rPr>
        <w:t xml:space="preserve"> studies </w:t>
      </w:r>
      <w:r w:rsidR="00B57BD9" w:rsidRPr="00350DF5">
        <w:rPr>
          <w:color w:val="auto"/>
          <w:lang w:val="en-US"/>
        </w:rPr>
        <w:t>(</w:t>
      </w:r>
      <w:proofErr w:type="spellStart"/>
      <w:r w:rsidR="00B57BD9" w:rsidRPr="00D018E3">
        <w:rPr>
          <w:color w:val="auto"/>
          <w:lang w:val="en-US"/>
        </w:rPr>
        <w:t>Ajinkya</w:t>
      </w:r>
      <w:proofErr w:type="spellEnd"/>
      <w:r w:rsidR="00B57BD9" w:rsidRPr="00D018E3">
        <w:rPr>
          <w:color w:val="auto"/>
          <w:lang w:val="en-US"/>
        </w:rPr>
        <w:t xml:space="preserve"> et al., 2005; </w:t>
      </w:r>
      <w:r w:rsidR="00D018E3" w:rsidRPr="00D018E3">
        <w:rPr>
          <w:color w:val="auto"/>
          <w:lang w:val="en-US"/>
        </w:rPr>
        <w:t xml:space="preserve">Chen </w:t>
      </w:r>
      <w:r w:rsidR="00E66ADC">
        <w:rPr>
          <w:rFonts w:eastAsia="Calibri"/>
          <w:color w:val="auto"/>
          <w:lang w:eastAsia="en-GB"/>
        </w:rPr>
        <w:t>and</w:t>
      </w:r>
      <w:r w:rsidR="00D018E3" w:rsidRPr="00D018E3">
        <w:rPr>
          <w:color w:val="auto"/>
          <w:lang w:val="en-US"/>
        </w:rPr>
        <w:t xml:space="preserve"> </w:t>
      </w:r>
      <w:proofErr w:type="spellStart"/>
      <w:r w:rsidR="00D018E3" w:rsidRPr="00D018E3">
        <w:rPr>
          <w:color w:val="auto"/>
          <w:lang w:val="en-US"/>
        </w:rPr>
        <w:t>Jaggi</w:t>
      </w:r>
      <w:proofErr w:type="spellEnd"/>
      <w:r w:rsidR="00D018E3" w:rsidRPr="00D018E3">
        <w:rPr>
          <w:color w:val="auto"/>
          <w:lang w:val="en-US"/>
        </w:rPr>
        <w:t xml:space="preserve">, 2000; </w:t>
      </w:r>
      <w:proofErr w:type="spellStart"/>
      <w:r w:rsidR="00B57BD9" w:rsidRPr="00D018E3">
        <w:rPr>
          <w:color w:val="auto"/>
          <w:lang w:val="en-US"/>
        </w:rPr>
        <w:t>Peasnell</w:t>
      </w:r>
      <w:proofErr w:type="spellEnd"/>
      <w:r w:rsidR="00B57BD9" w:rsidRPr="00D018E3">
        <w:rPr>
          <w:color w:val="auto"/>
          <w:lang w:val="en-US"/>
        </w:rPr>
        <w:t xml:space="preserve"> et al., 2005; Peng, 2004</w:t>
      </w:r>
      <w:r w:rsidR="00B57BD9" w:rsidRPr="00350DF5">
        <w:rPr>
          <w:color w:val="auto"/>
          <w:lang w:val="en-US"/>
        </w:rPr>
        <w:t>)</w:t>
      </w:r>
      <w:r w:rsidR="00064BB1" w:rsidRPr="00350DF5">
        <w:rPr>
          <w:color w:val="auto"/>
          <w:lang w:val="en-US"/>
        </w:rPr>
        <w:t xml:space="preserve"> </w:t>
      </w:r>
      <w:r w:rsidR="00FE370C" w:rsidRPr="00350DF5">
        <w:rPr>
          <w:color w:val="auto"/>
          <w:lang w:val="en-US"/>
        </w:rPr>
        <w:t>suggest several reasons why board composition could influence corporate disclosure. These can be broadly categorized as the mo</w:t>
      </w:r>
      <w:r w:rsidR="00A178A1" w:rsidRPr="00350DF5">
        <w:rPr>
          <w:color w:val="auto"/>
          <w:lang w:val="en-US"/>
        </w:rPr>
        <w:t>nitoring and the human capital/</w:t>
      </w:r>
      <w:r w:rsidR="00FE370C" w:rsidRPr="00350DF5">
        <w:rPr>
          <w:color w:val="auto"/>
          <w:lang w:val="en-US"/>
        </w:rPr>
        <w:t>litigation risk hypotheses</w:t>
      </w:r>
      <w:r w:rsidR="00064BB1" w:rsidRPr="00350DF5">
        <w:rPr>
          <w:color w:val="auto"/>
          <w:lang w:val="en-US"/>
        </w:rPr>
        <w:t xml:space="preserve"> </w:t>
      </w:r>
      <w:r w:rsidR="00B57BD9" w:rsidRPr="00350DF5">
        <w:rPr>
          <w:color w:val="auto"/>
          <w:lang w:val="en-US"/>
        </w:rPr>
        <w:t>(</w:t>
      </w:r>
      <w:proofErr w:type="spellStart"/>
      <w:r w:rsidR="00C70CE0" w:rsidRPr="00350DF5">
        <w:rPr>
          <w:color w:val="auto"/>
          <w:lang w:val="en-US"/>
        </w:rPr>
        <w:t>Fama</w:t>
      </w:r>
      <w:proofErr w:type="spellEnd"/>
      <w:r w:rsidR="00C70CE0" w:rsidRPr="00350DF5">
        <w:rPr>
          <w:color w:val="auto"/>
          <w:lang w:val="en-US"/>
        </w:rPr>
        <w:t xml:space="preserve"> 1980; </w:t>
      </w:r>
      <w:proofErr w:type="spellStart"/>
      <w:r w:rsidR="00C70CE0" w:rsidRPr="00350DF5">
        <w:rPr>
          <w:color w:val="auto"/>
          <w:lang w:val="en-US"/>
        </w:rPr>
        <w:t>Fama</w:t>
      </w:r>
      <w:proofErr w:type="spellEnd"/>
      <w:r w:rsidR="00C70CE0" w:rsidRPr="00350DF5">
        <w:rPr>
          <w:color w:val="auto"/>
          <w:lang w:val="en-US"/>
        </w:rPr>
        <w:t xml:space="preserve"> </w:t>
      </w:r>
      <w:r w:rsidR="00E66ADC">
        <w:rPr>
          <w:rFonts w:eastAsia="Calibri"/>
          <w:color w:val="auto"/>
          <w:lang w:eastAsia="en-GB"/>
        </w:rPr>
        <w:t>and</w:t>
      </w:r>
      <w:r w:rsidR="00C70CE0" w:rsidRPr="00350DF5">
        <w:rPr>
          <w:color w:val="auto"/>
          <w:lang w:val="en-US"/>
        </w:rPr>
        <w:t xml:space="preserve"> Jens</w:t>
      </w:r>
      <w:r w:rsidR="004901C5">
        <w:rPr>
          <w:color w:val="auto"/>
          <w:lang w:val="en-US"/>
        </w:rPr>
        <w:t>e</w:t>
      </w:r>
      <w:r w:rsidR="00C70CE0" w:rsidRPr="00350DF5">
        <w:rPr>
          <w:color w:val="auto"/>
          <w:lang w:val="en-US"/>
        </w:rPr>
        <w:t>n, 1983</w:t>
      </w:r>
      <w:r w:rsidRPr="00350DF5">
        <w:rPr>
          <w:color w:val="auto"/>
          <w:lang w:val="en-US"/>
        </w:rPr>
        <w:t xml:space="preserve">; </w:t>
      </w:r>
      <w:proofErr w:type="spellStart"/>
      <w:r w:rsidRPr="00350DF5">
        <w:rPr>
          <w:color w:val="auto"/>
          <w:lang w:val="en-US"/>
        </w:rPr>
        <w:t>Peasnell</w:t>
      </w:r>
      <w:proofErr w:type="spellEnd"/>
      <w:r w:rsidRPr="00350DF5">
        <w:rPr>
          <w:color w:val="auto"/>
          <w:lang w:val="en-US"/>
        </w:rPr>
        <w:t xml:space="preserve"> et al., 2005</w:t>
      </w:r>
      <w:r w:rsidR="00B57BD9" w:rsidRPr="00350DF5">
        <w:rPr>
          <w:color w:val="auto"/>
          <w:lang w:val="en-US"/>
        </w:rPr>
        <w:t>)</w:t>
      </w:r>
      <w:r w:rsidR="00FE370C" w:rsidRPr="00350DF5">
        <w:rPr>
          <w:color w:val="auto"/>
          <w:lang w:val="en-US"/>
        </w:rPr>
        <w:t xml:space="preserve">. </w:t>
      </w:r>
      <w:r w:rsidR="00064BB1" w:rsidRPr="00350DF5">
        <w:rPr>
          <w:color w:val="auto"/>
          <w:lang w:val="en-US"/>
        </w:rPr>
        <w:t xml:space="preserve">These </w:t>
      </w:r>
      <w:r w:rsidR="00FE370C" w:rsidRPr="00350DF5">
        <w:rPr>
          <w:color w:val="auto"/>
          <w:lang w:val="en-US"/>
        </w:rPr>
        <w:t>studies argue that NEDs represent the interest of various stakeholders on the board and provide monitoring oversight of management</w:t>
      </w:r>
      <w:r w:rsidR="00064BB1" w:rsidRPr="00350DF5">
        <w:rPr>
          <w:color w:val="auto"/>
          <w:lang w:val="en-US"/>
        </w:rPr>
        <w:t xml:space="preserve"> </w:t>
      </w:r>
      <w:r w:rsidR="00B57BD9" w:rsidRPr="00350DF5">
        <w:rPr>
          <w:color w:val="auto"/>
          <w:lang w:val="en-US"/>
        </w:rPr>
        <w:t>(</w:t>
      </w:r>
      <w:proofErr w:type="spellStart"/>
      <w:r w:rsidRPr="00350DF5">
        <w:rPr>
          <w:color w:val="auto"/>
          <w:lang w:val="en-US"/>
        </w:rPr>
        <w:t>Ajinkya</w:t>
      </w:r>
      <w:proofErr w:type="spellEnd"/>
      <w:r w:rsidRPr="00350DF5">
        <w:rPr>
          <w:color w:val="auto"/>
          <w:lang w:val="en-US"/>
        </w:rPr>
        <w:t xml:space="preserve"> et al., 2005; </w:t>
      </w:r>
      <w:proofErr w:type="spellStart"/>
      <w:r w:rsidR="00C70CE0" w:rsidRPr="00350DF5">
        <w:rPr>
          <w:color w:val="auto"/>
          <w:lang w:val="en-US"/>
        </w:rPr>
        <w:t>Peasnell</w:t>
      </w:r>
      <w:proofErr w:type="spellEnd"/>
      <w:r w:rsidR="00C70CE0" w:rsidRPr="00350DF5">
        <w:rPr>
          <w:color w:val="auto"/>
          <w:lang w:val="en-US"/>
        </w:rPr>
        <w:t xml:space="preserve"> et al., 2005</w:t>
      </w:r>
      <w:r w:rsidR="00B57BD9" w:rsidRPr="00350DF5">
        <w:rPr>
          <w:color w:val="auto"/>
          <w:lang w:val="en-US"/>
        </w:rPr>
        <w:t>)</w:t>
      </w:r>
      <w:r w:rsidR="00FE370C" w:rsidRPr="00350DF5">
        <w:rPr>
          <w:color w:val="auto"/>
          <w:lang w:val="en-US"/>
        </w:rPr>
        <w:t xml:space="preserve">. Consequently, as custodians of the company, it is expected that the NEDs on the board, acting individually and collectively, would, as part of their responsibilities, monitor the type and nature of communication emanating from the firm. </w:t>
      </w:r>
      <w:r w:rsidR="00F950BC" w:rsidRPr="00350DF5">
        <w:rPr>
          <w:color w:val="auto"/>
          <w:lang w:val="en-US"/>
        </w:rPr>
        <w:t xml:space="preserve">This is because they have ultimate responsibility for corporate communication. </w:t>
      </w:r>
      <w:r w:rsidR="00FE370C" w:rsidRPr="00350DF5">
        <w:rPr>
          <w:color w:val="auto"/>
          <w:lang w:val="en-US"/>
        </w:rPr>
        <w:t>Furthermore, NEDs are likely to suffer human capital depletion if they serve on the board of a company with poor or damaging corporate disclosure (</w:t>
      </w:r>
      <w:proofErr w:type="spellStart"/>
      <w:r w:rsidR="00D018E3" w:rsidRPr="00D018E3">
        <w:rPr>
          <w:color w:val="auto"/>
          <w:lang w:val="en-US"/>
        </w:rPr>
        <w:t>Bebbington</w:t>
      </w:r>
      <w:proofErr w:type="spellEnd"/>
      <w:r w:rsidR="00D018E3" w:rsidRPr="00D018E3">
        <w:rPr>
          <w:color w:val="auto"/>
          <w:lang w:val="en-US"/>
        </w:rPr>
        <w:t xml:space="preserve"> et al., 2008; </w:t>
      </w:r>
      <w:proofErr w:type="spellStart"/>
      <w:r w:rsidRPr="00D018E3">
        <w:rPr>
          <w:color w:val="auto"/>
          <w:lang w:val="en-US"/>
        </w:rPr>
        <w:t>Fama</w:t>
      </w:r>
      <w:proofErr w:type="spellEnd"/>
      <w:r w:rsidRPr="00D018E3">
        <w:rPr>
          <w:color w:val="auto"/>
          <w:lang w:val="en-US"/>
        </w:rPr>
        <w:t xml:space="preserve"> </w:t>
      </w:r>
      <w:r w:rsidR="00E66ADC">
        <w:rPr>
          <w:rFonts w:eastAsia="Calibri"/>
          <w:color w:val="auto"/>
          <w:lang w:eastAsia="en-GB"/>
        </w:rPr>
        <w:t>and</w:t>
      </w:r>
      <w:r w:rsidRPr="00D018E3">
        <w:rPr>
          <w:color w:val="auto"/>
          <w:lang w:val="en-US"/>
        </w:rPr>
        <w:t xml:space="preserve"> Jensen 1983</w:t>
      </w:r>
      <w:r w:rsidR="00FE370C" w:rsidRPr="00D018E3">
        <w:rPr>
          <w:color w:val="auto"/>
          <w:lang w:val="en-US"/>
        </w:rPr>
        <w:t>). This could also lead to litigation with serious consequences from the point of view of the social and reputational risks</w:t>
      </w:r>
      <w:r w:rsidR="00064BB1" w:rsidRPr="00D018E3">
        <w:rPr>
          <w:color w:val="auto"/>
          <w:lang w:val="en-US"/>
        </w:rPr>
        <w:t xml:space="preserve"> (</w:t>
      </w:r>
      <w:proofErr w:type="spellStart"/>
      <w:r w:rsidR="00064BB1" w:rsidRPr="00D018E3">
        <w:rPr>
          <w:color w:val="auto"/>
          <w:lang w:val="en-US"/>
        </w:rPr>
        <w:t>Bebbington</w:t>
      </w:r>
      <w:proofErr w:type="spellEnd"/>
      <w:r w:rsidR="00064BB1" w:rsidRPr="00D018E3">
        <w:rPr>
          <w:color w:val="auto"/>
          <w:lang w:val="en-US"/>
        </w:rPr>
        <w:t xml:space="preserve"> et al., 2008).</w:t>
      </w:r>
      <w:r w:rsidR="00FE370C" w:rsidRPr="00D018E3">
        <w:rPr>
          <w:color w:val="auto"/>
          <w:lang w:val="en-US"/>
        </w:rPr>
        <w:t xml:space="preserve"> It is therefor</w:t>
      </w:r>
      <w:r w:rsidR="00FE370C" w:rsidRPr="00350DF5">
        <w:rPr>
          <w:color w:val="auto"/>
          <w:lang w:val="en-US"/>
        </w:rPr>
        <w:t xml:space="preserve">e reasonable to expect that the NEDs would be interested in and have an impact on the content of corporate disclosures. </w:t>
      </w:r>
    </w:p>
    <w:p w14:paraId="22C59400" w14:textId="393F9924" w:rsidR="00A5674E" w:rsidRPr="00350DF5" w:rsidRDefault="00C70CE0" w:rsidP="003B591E">
      <w:pPr>
        <w:spacing w:line="480" w:lineRule="auto"/>
        <w:ind w:firstLine="567"/>
        <w:jc w:val="both"/>
        <w:rPr>
          <w:color w:val="auto"/>
          <w:lang w:val="en-US"/>
        </w:rPr>
      </w:pPr>
      <w:r w:rsidRPr="00350DF5">
        <w:rPr>
          <w:color w:val="auto"/>
        </w:rPr>
        <w:lastRenderedPageBreak/>
        <w:t>Moreover</w:t>
      </w:r>
      <w:r w:rsidR="002C79A1" w:rsidRPr="00350DF5">
        <w:rPr>
          <w:color w:val="auto"/>
        </w:rPr>
        <w:t xml:space="preserve">, </w:t>
      </w:r>
      <w:r w:rsidR="002F3ACC" w:rsidRPr="00350DF5">
        <w:rPr>
          <w:color w:val="auto"/>
        </w:rPr>
        <w:t>the board</w:t>
      </w:r>
      <w:r w:rsidR="00F950BC" w:rsidRPr="00350DF5">
        <w:rPr>
          <w:color w:val="auto"/>
        </w:rPr>
        <w:t xml:space="preserve">, being composed of people </w:t>
      </w:r>
      <w:r w:rsidR="008F0F86" w:rsidRPr="00350DF5">
        <w:rPr>
          <w:color w:val="auto"/>
        </w:rPr>
        <w:t xml:space="preserve">that are independent of the management and </w:t>
      </w:r>
      <w:r w:rsidR="00F950BC" w:rsidRPr="00350DF5">
        <w:rPr>
          <w:color w:val="auto"/>
        </w:rPr>
        <w:t>without financial relationship with the firm</w:t>
      </w:r>
      <w:r w:rsidR="008F0F86" w:rsidRPr="00350DF5">
        <w:rPr>
          <w:color w:val="auto"/>
        </w:rPr>
        <w:t xml:space="preserve"> (</w:t>
      </w:r>
      <w:proofErr w:type="spellStart"/>
      <w:r w:rsidRPr="00350DF5">
        <w:rPr>
          <w:color w:val="auto"/>
        </w:rPr>
        <w:t>Peasnell</w:t>
      </w:r>
      <w:proofErr w:type="spellEnd"/>
      <w:r w:rsidRPr="00350DF5">
        <w:rPr>
          <w:color w:val="auto"/>
        </w:rPr>
        <w:t xml:space="preserve"> et al., 2005</w:t>
      </w:r>
      <w:r w:rsidR="008F0F86" w:rsidRPr="00350DF5">
        <w:rPr>
          <w:color w:val="auto"/>
        </w:rPr>
        <w:t>)</w:t>
      </w:r>
      <w:r w:rsidR="00F950BC" w:rsidRPr="00350DF5">
        <w:rPr>
          <w:color w:val="auto"/>
        </w:rPr>
        <w:t>, is</w:t>
      </w:r>
      <w:r w:rsidR="002F3ACC" w:rsidRPr="00350DF5">
        <w:rPr>
          <w:color w:val="auto"/>
        </w:rPr>
        <w:t xml:space="preserve"> a very crucial internal control mechanism since it </w:t>
      </w:r>
      <w:r w:rsidR="008F0F86" w:rsidRPr="00350DF5">
        <w:rPr>
          <w:color w:val="auto"/>
        </w:rPr>
        <w:t>protects the interests of the shareholders</w:t>
      </w:r>
      <w:r w:rsidR="002F3ACC" w:rsidRPr="00350DF5">
        <w:rPr>
          <w:color w:val="auto"/>
        </w:rPr>
        <w:t xml:space="preserve"> </w:t>
      </w:r>
      <w:r w:rsidR="008F0F86" w:rsidRPr="00350DF5">
        <w:rPr>
          <w:color w:val="auto"/>
        </w:rPr>
        <w:t xml:space="preserve">through its oversight </w:t>
      </w:r>
      <w:r w:rsidR="008F0F86" w:rsidRPr="00D018E3">
        <w:rPr>
          <w:color w:val="auto"/>
        </w:rPr>
        <w:t>functions on the management including corporate communications</w:t>
      </w:r>
      <w:r w:rsidR="002F3ACC" w:rsidRPr="00D018E3">
        <w:rPr>
          <w:color w:val="auto"/>
        </w:rPr>
        <w:t xml:space="preserve">. </w:t>
      </w:r>
      <w:r w:rsidR="00F950BC" w:rsidRPr="00D018E3">
        <w:rPr>
          <w:color w:val="auto"/>
        </w:rPr>
        <w:t>From a</w:t>
      </w:r>
      <w:r w:rsidR="00CC0E21" w:rsidRPr="00D018E3">
        <w:rPr>
          <w:color w:val="auto"/>
        </w:rPr>
        <w:t xml:space="preserve"> stakeholder perspective</w:t>
      </w:r>
      <w:r w:rsidR="005B7B04" w:rsidRPr="00D018E3">
        <w:rPr>
          <w:color w:val="auto"/>
        </w:rPr>
        <w:t>,</w:t>
      </w:r>
      <w:r w:rsidR="002F3ACC" w:rsidRPr="00D018E3">
        <w:rPr>
          <w:color w:val="auto"/>
        </w:rPr>
        <w:t xml:space="preserve"> Mitchell et al., (1997) argue that NEDs possess power and legitimacy to influence managers’ activities including</w:t>
      </w:r>
      <w:r w:rsidR="002F3ACC" w:rsidRPr="00350DF5">
        <w:rPr>
          <w:color w:val="auto"/>
        </w:rPr>
        <w:t xml:space="preserve"> the adequacy of both financial and narrative disclosures. </w:t>
      </w:r>
      <w:r w:rsidR="008F0F86" w:rsidRPr="00350DF5">
        <w:rPr>
          <w:color w:val="auto"/>
        </w:rPr>
        <w:t>Empirical evidence supports the existence of relationship between NEDs and corporate disclosures</w:t>
      </w:r>
      <w:r w:rsidRPr="00350DF5">
        <w:rPr>
          <w:color w:val="auto"/>
        </w:rPr>
        <w:t xml:space="preserve"> even if inconclusive</w:t>
      </w:r>
      <w:r w:rsidR="008F0F86" w:rsidRPr="00350DF5">
        <w:rPr>
          <w:color w:val="auto"/>
        </w:rPr>
        <w:t>. For example</w:t>
      </w:r>
      <w:r w:rsidR="003B591E" w:rsidRPr="00350DF5">
        <w:rPr>
          <w:color w:val="auto"/>
        </w:rPr>
        <w:t xml:space="preserve">, </w:t>
      </w:r>
      <w:r w:rsidR="00FE370C" w:rsidRPr="00350DF5">
        <w:rPr>
          <w:color w:val="auto"/>
          <w:lang w:val="en-US"/>
        </w:rPr>
        <w:t xml:space="preserve">Chen and </w:t>
      </w:r>
      <w:proofErr w:type="spellStart"/>
      <w:r w:rsidR="00FE370C" w:rsidRPr="00350DF5">
        <w:rPr>
          <w:color w:val="auto"/>
          <w:lang w:val="en-US"/>
        </w:rPr>
        <w:t>Jaggi</w:t>
      </w:r>
      <w:proofErr w:type="spellEnd"/>
      <w:r w:rsidR="00FE370C" w:rsidRPr="00350DF5">
        <w:rPr>
          <w:color w:val="auto"/>
          <w:lang w:val="en-US"/>
        </w:rPr>
        <w:t xml:space="preserve"> (2000), in a study of Hong Kong listed firms, report a positive relationship between the proportion of NEDs on the board and the comprehensiveness of the mandatory financial disclosures.</w:t>
      </w:r>
      <w:r w:rsidR="005D2481" w:rsidRPr="00350DF5">
        <w:rPr>
          <w:color w:val="auto"/>
          <w:lang w:val="en-US"/>
        </w:rPr>
        <w:t xml:space="preserve"> They conclude that NEDs precipitate more comprehensive financial disclosure by management in companies with low family ownership and control.</w:t>
      </w:r>
      <w:r w:rsidR="00FE370C" w:rsidRPr="00350DF5">
        <w:rPr>
          <w:color w:val="auto"/>
          <w:lang w:val="en-US"/>
        </w:rPr>
        <w:t xml:space="preserve"> Similarly, </w:t>
      </w:r>
      <w:proofErr w:type="spellStart"/>
      <w:r w:rsidR="00FE370C" w:rsidRPr="00350DF5">
        <w:rPr>
          <w:color w:val="auto"/>
          <w:lang w:val="en-US"/>
        </w:rPr>
        <w:t>Patelli</w:t>
      </w:r>
      <w:proofErr w:type="spellEnd"/>
      <w:r w:rsidR="00FE370C" w:rsidRPr="00350DF5">
        <w:rPr>
          <w:color w:val="auto"/>
          <w:lang w:val="en-US"/>
        </w:rPr>
        <w:t xml:space="preserve"> and </w:t>
      </w:r>
      <w:proofErr w:type="spellStart"/>
      <w:r w:rsidR="00FE370C" w:rsidRPr="00350DF5">
        <w:rPr>
          <w:color w:val="auto"/>
          <w:lang w:val="en-US"/>
        </w:rPr>
        <w:t>Prencipe</w:t>
      </w:r>
      <w:proofErr w:type="spellEnd"/>
      <w:r w:rsidR="00FE370C" w:rsidRPr="00350DF5">
        <w:rPr>
          <w:color w:val="auto"/>
          <w:lang w:val="en-US"/>
        </w:rPr>
        <w:t xml:space="preserve"> (2007) </w:t>
      </w:r>
      <w:r w:rsidR="00D018E3">
        <w:rPr>
          <w:color w:val="auto"/>
          <w:lang w:val="en-US"/>
        </w:rPr>
        <w:t>show</w:t>
      </w:r>
      <w:r w:rsidR="00FE370C" w:rsidRPr="00350DF5">
        <w:rPr>
          <w:color w:val="auto"/>
          <w:lang w:val="en-US"/>
        </w:rPr>
        <w:t xml:space="preserve"> a positive relationship between voluntary disclosures and the proportion of independent directors, in the presence of a dominant shareholder, for a sample of nonfinancial listed firms on the Italian Stock exchange. </w:t>
      </w:r>
      <w:r w:rsidR="008D13EC" w:rsidRPr="00350DF5">
        <w:rPr>
          <w:color w:val="auto"/>
          <w:lang w:val="en-US"/>
        </w:rPr>
        <w:t>Conversely</w:t>
      </w:r>
      <w:r w:rsidR="00FE370C" w:rsidRPr="00350DF5">
        <w:rPr>
          <w:color w:val="auto"/>
          <w:lang w:val="en-US"/>
        </w:rPr>
        <w:t xml:space="preserve">, </w:t>
      </w:r>
      <w:proofErr w:type="spellStart"/>
      <w:r w:rsidR="00FE370C" w:rsidRPr="00350DF5">
        <w:rPr>
          <w:color w:val="auto"/>
          <w:lang w:val="en-US"/>
        </w:rPr>
        <w:t>Eng</w:t>
      </w:r>
      <w:proofErr w:type="spellEnd"/>
      <w:r w:rsidR="00FE370C" w:rsidRPr="00350DF5">
        <w:rPr>
          <w:color w:val="auto"/>
          <w:lang w:val="en-US"/>
        </w:rPr>
        <w:t xml:space="preserve"> and </w:t>
      </w:r>
      <w:proofErr w:type="spellStart"/>
      <w:r w:rsidR="00FE370C" w:rsidRPr="00350DF5">
        <w:rPr>
          <w:color w:val="auto"/>
          <w:lang w:val="en-US"/>
        </w:rPr>
        <w:t>Mak</w:t>
      </w:r>
      <w:proofErr w:type="spellEnd"/>
      <w:r w:rsidR="00FE370C" w:rsidRPr="00350DF5">
        <w:rPr>
          <w:color w:val="auto"/>
          <w:lang w:val="en-US"/>
        </w:rPr>
        <w:t xml:space="preserve"> (2003) </w:t>
      </w:r>
      <w:r w:rsidR="00D018E3">
        <w:rPr>
          <w:color w:val="auto"/>
          <w:lang w:val="en-US"/>
        </w:rPr>
        <w:t>demonstrate</w:t>
      </w:r>
      <w:r w:rsidR="00FE370C" w:rsidRPr="00350DF5">
        <w:rPr>
          <w:color w:val="auto"/>
          <w:lang w:val="en-US"/>
        </w:rPr>
        <w:t xml:space="preserve"> that an increase in NEDs leads to lower voluntary disclosure for a sample of companies listed on the Singapore stock exchange based on 1995 data. They </w:t>
      </w:r>
      <w:r w:rsidR="00683DD7">
        <w:rPr>
          <w:color w:val="auto"/>
          <w:lang w:val="en-US"/>
        </w:rPr>
        <w:t xml:space="preserve">suggest </w:t>
      </w:r>
      <w:r w:rsidR="00FE370C" w:rsidRPr="00350DF5">
        <w:rPr>
          <w:color w:val="auto"/>
          <w:lang w:val="en-US"/>
        </w:rPr>
        <w:t>that there is a substitution effect between the outside director and disclosure by monitoring managers for their stud</w:t>
      </w:r>
      <w:r w:rsidR="00683DD7">
        <w:rPr>
          <w:color w:val="auto"/>
          <w:lang w:val="en-US"/>
        </w:rPr>
        <w:t>ied</w:t>
      </w:r>
      <w:r w:rsidR="00FE370C" w:rsidRPr="00350DF5">
        <w:rPr>
          <w:color w:val="auto"/>
          <w:lang w:val="en-US"/>
        </w:rPr>
        <w:t xml:space="preserve"> sample.  However, none of these studies </w:t>
      </w:r>
      <w:r w:rsidR="00683DD7">
        <w:rPr>
          <w:color w:val="auto"/>
          <w:lang w:val="en-US"/>
        </w:rPr>
        <w:t>considers</w:t>
      </w:r>
      <w:r w:rsidR="00FE370C" w:rsidRPr="00350DF5">
        <w:rPr>
          <w:color w:val="auto"/>
          <w:lang w:val="en-US"/>
        </w:rPr>
        <w:t xml:space="preserve"> the relationship between NEDs and CCI disclosure.</w:t>
      </w:r>
      <w:r w:rsidR="005D2481" w:rsidRPr="00350DF5">
        <w:rPr>
          <w:color w:val="auto"/>
          <w:lang w:val="en-US"/>
        </w:rPr>
        <w:t xml:space="preserve"> CCID are </w:t>
      </w:r>
      <w:r w:rsidR="00683DD7">
        <w:rPr>
          <w:color w:val="auto"/>
          <w:lang w:val="en-US"/>
        </w:rPr>
        <w:t xml:space="preserve">fundamentally </w:t>
      </w:r>
      <w:r w:rsidR="005D2481" w:rsidRPr="00350DF5">
        <w:rPr>
          <w:color w:val="auto"/>
          <w:lang w:val="en-US"/>
        </w:rPr>
        <w:t xml:space="preserve">different from conventional financial disclosures </w:t>
      </w:r>
      <w:r w:rsidR="00683DD7">
        <w:rPr>
          <w:color w:val="auto"/>
          <w:lang w:val="en-US"/>
        </w:rPr>
        <w:t>with regards to t</w:t>
      </w:r>
      <w:r w:rsidR="005D2481" w:rsidRPr="00350DF5">
        <w:rPr>
          <w:color w:val="auto"/>
          <w:lang w:val="en-US"/>
        </w:rPr>
        <w:t>heir</w:t>
      </w:r>
      <w:r w:rsidR="00683DD7">
        <w:rPr>
          <w:color w:val="auto"/>
          <w:lang w:val="en-US"/>
        </w:rPr>
        <w:t xml:space="preserve"> underlying</w:t>
      </w:r>
      <w:r w:rsidR="005D2481" w:rsidRPr="00350DF5">
        <w:rPr>
          <w:color w:val="auto"/>
          <w:lang w:val="en-US"/>
        </w:rPr>
        <w:t xml:space="preserve"> motive and targeted audience.</w:t>
      </w:r>
    </w:p>
    <w:p w14:paraId="10CB9287" w14:textId="47370C31" w:rsidR="00A5674E" w:rsidRDefault="00FE370C">
      <w:pPr>
        <w:spacing w:line="480" w:lineRule="auto"/>
        <w:ind w:firstLine="567"/>
        <w:jc w:val="both"/>
        <w:rPr>
          <w:color w:val="auto"/>
          <w:lang w:val="en-US"/>
        </w:rPr>
      </w:pPr>
      <w:proofErr w:type="spellStart"/>
      <w:r w:rsidRPr="00350DF5">
        <w:rPr>
          <w:color w:val="auto"/>
          <w:lang w:val="en-US"/>
        </w:rPr>
        <w:t>Forker</w:t>
      </w:r>
      <w:proofErr w:type="spellEnd"/>
      <w:r w:rsidRPr="00350DF5">
        <w:rPr>
          <w:color w:val="auto"/>
          <w:lang w:val="en-US"/>
        </w:rPr>
        <w:t xml:space="preserve"> (1992)</w:t>
      </w:r>
      <w:r w:rsidR="008D13EC" w:rsidRPr="00350DF5">
        <w:rPr>
          <w:color w:val="auto"/>
          <w:lang w:val="en-US"/>
        </w:rPr>
        <w:t>,</w:t>
      </w:r>
      <w:r w:rsidRPr="00350DF5">
        <w:rPr>
          <w:color w:val="auto"/>
          <w:lang w:val="en-US"/>
        </w:rPr>
        <w:t xml:space="preserve"> </w:t>
      </w:r>
      <w:proofErr w:type="spellStart"/>
      <w:r w:rsidRPr="00350DF5">
        <w:rPr>
          <w:color w:val="auto"/>
          <w:lang w:val="en-US"/>
        </w:rPr>
        <w:t>Haniffa</w:t>
      </w:r>
      <w:proofErr w:type="spellEnd"/>
      <w:r w:rsidRPr="00350DF5">
        <w:rPr>
          <w:color w:val="auto"/>
          <w:lang w:val="en-US"/>
        </w:rPr>
        <w:t xml:space="preserve"> and Cooke (2002)</w:t>
      </w:r>
      <w:r w:rsidR="008D13EC" w:rsidRPr="00350DF5">
        <w:rPr>
          <w:color w:val="auto"/>
          <w:lang w:val="en-US"/>
        </w:rPr>
        <w:t>,</w:t>
      </w:r>
      <w:r w:rsidRPr="00350DF5">
        <w:rPr>
          <w:color w:val="auto"/>
          <w:lang w:val="en-US"/>
        </w:rPr>
        <w:t xml:space="preserve"> Ho and Wong (2001)</w:t>
      </w:r>
      <w:r w:rsidR="008D13EC" w:rsidRPr="00350DF5">
        <w:rPr>
          <w:color w:val="auto"/>
          <w:lang w:val="en-US"/>
        </w:rPr>
        <w:t>, and</w:t>
      </w:r>
      <w:r w:rsidRPr="00350DF5">
        <w:rPr>
          <w:color w:val="auto"/>
          <w:lang w:val="en-US"/>
        </w:rPr>
        <w:t xml:space="preserve"> Webb (2004) all argue that because NEDs are considered outsiders, it is generally believed that their presence on the board represents the interests of other stakeholders such as the local community, employees, suppliers and government agencies rather than just the shareholders. Thus, they will have more effective monitoring power (</w:t>
      </w:r>
      <w:proofErr w:type="spellStart"/>
      <w:r w:rsidRPr="00350DF5">
        <w:rPr>
          <w:color w:val="auto"/>
          <w:lang w:val="en-US"/>
        </w:rPr>
        <w:t>Fama</w:t>
      </w:r>
      <w:proofErr w:type="spellEnd"/>
      <w:r w:rsidRPr="00350DF5">
        <w:rPr>
          <w:color w:val="auto"/>
          <w:lang w:val="en-US"/>
        </w:rPr>
        <w:t xml:space="preserve">, 1980) and hence have a greater influence on the level and quality of disclosures in </w:t>
      </w:r>
      <w:r w:rsidRPr="00350DF5">
        <w:rPr>
          <w:color w:val="auto"/>
          <w:lang w:val="en-US"/>
        </w:rPr>
        <w:lastRenderedPageBreak/>
        <w:t>annual reports regarding other groups of stakeholders (</w:t>
      </w:r>
      <w:proofErr w:type="spellStart"/>
      <w:r w:rsidRPr="00350DF5">
        <w:rPr>
          <w:color w:val="auto"/>
          <w:lang w:val="en-US"/>
        </w:rPr>
        <w:t>Forker</w:t>
      </w:r>
      <w:proofErr w:type="spellEnd"/>
      <w:r w:rsidRPr="00350DF5">
        <w:rPr>
          <w:color w:val="auto"/>
          <w:lang w:val="en-US"/>
        </w:rPr>
        <w:t xml:space="preserve">, 1992; </w:t>
      </w:r>
      <w:proofErr w:type="spellStart"/>
      <w:r w:rsidRPr="00350DF5">
        <w:rPr>
          <w:color w:val="auto"/>
          <w:lang w:val="en-US"/>
        </w:rPr>
        <w:t>Mangena</w:t>
      </w:r>
      <w:proofErr w:type="spellEnd"/>
      <w:r w:rsidRPr="00350DF5">
        <w:rPr>
          <w:color w:val="auto"/>
          <w:lang w:val="en-US"/>
        </w:rPr>
        <w:t xml:space="preserve"> </w:t>
      </w:r>
      <w:r w:rsidR="00E66ADC">
        <w:rPr>
          <w:rFonts w:eastAsia="Calibri"/>
          <w:color w:val="auto"/>
          <w:lang w:eastAsia="en-GB"/>
        </w:rPr>
        <w:t>and</w:t>
      </w:r>
      <w:r w:rsidRPr="00350DF5">
        <w:rPr>
          <w:color w:val="auto"/>
          <w:lang w:val="en-US"/>
        </w:rPr>
        <w:t xml:space="preserve"> Pike, 2005)</w:t>
      </w:r>
      <w:r w:rsidR="000D6CFA" w:rsidRPr="00350DF5">
        <w:rPr>
          <w:color w:val="auto"/>
          <w:lang w:val="en-US"/>
        </w:rPr>
        <w:t xml:space="preserve"> </w:t>
      </w:r>
      <w:r w:rsidR="000D6CFA" w:rsidRPr="00350DF5">
        <w:rPr>
          <w:color w:val="auto"/>
          <w:vertAlign w:val="superscript"/>
          <w:lang w:val="en-US"/>
        </w:rPr>
        <w:t>[</w:t>
      </w:r>
      <w:r w:rsidR="00217DF1" w:rsidRPr="00350DF5">
        <w:rPr>
          <w:color w:val="auto"/>
          <w:vertAlign w:val="superscript"/>
          <w:lang w:val="en-US"/>
        </w:rPr>
        <w:t>6</w:t>
      </w:r>
      <w:r w:rsidR="000D6CFA" w:rsidRPr="00350DF5">
        <w:rPr>
          <w:color w:val="auto"/>
          <w:vertAlign w:val="superscript"/>
          <w:lang w:val="en-US"/>
        </w:rPr>
        <w:t>]</w:t>
      </w:r>
      <w:r w:rsidRPr="00350DF5">
        <w:rPr>
          <w:color w:val="auto"/>
          <w:lang w:val="en-US"/>
        </w:rPr>
        <w:t>. Furthermore, the responsibility for corporate continuity falls with the board of directors, and as Gul and Leung (2004</w:t>
      </w:r>
      <w:r w:rsidR="00683DD7">
        <w:rPr>
          <w:color w:val="auto"/>
          <w:lang w:val="en-US"/>
        </w:rPr>
        <w:t>, p.</w:t>
      </w:r>
      <w:r w:rsidRPr="00350DF5">
        <w:rPr>
          <w:color w:val="auto"/>
          <w:lang w:val="en-US"/>
        </w:rPr>
        <w:t>354) argue, “</w:t>
      </w:r>
      <w:r w:rsidRPr="00683DD7">
        <w:rPr>
          <w:i/>
          <w:color w:val="auto"/>
          <w:lang w:val="en-US"/>
        </w:rPr>
        <w:t>Corporate disclosure is primarily a decision that emanates from the board</w:t>
      </w:r>
      <w:r w:rsidRPr="00350DF5">
        <w:rPr>
          <w:color w:val="auto"/>
          <w:lang w:val="en-US"/>
        </w:rPr>
        <w:t xml:space="preserve">”.  However, they also note that many disclosure studies often fail to account for the impact of </w:t>
      </w:r>
      <w:r w:rsidR="003F7F9D" w:rsidRPr="00350DF5">
        <w:rPr>
          <w:color w:val="auto"/>
          <w:lang w:val="en-US"/>
        </w:rPr>
        <w:t>CG</w:t>
      </w:r>
      <w:r w:rsidRPr="00350DF5">
        <w:rPr>
          <w:color w:val="auto"/>
          <w:lang w:val="en-US"/>
        </w:rPr>
        <w:t xml:space="preserve">, particularly NEDs in their quest to understand the determinants of corporate disclosures. Gaps thus exist in our collective knowledge of the impact of </w:t>
      </w:r>
      <w:r w:rsidR="003F7F9D" w:rsidRPr="00350DF5">
        <w:rPr>
          <w:color w:val="auto"/>
          <w:lang w:val="en-US"/>
        </w:rPr>
        <w:t>CG</w:t>
      </w:r>
      <w:r w:rsidRPr="00350DF5">
        <w:rPr>
          <w:color w:val="auto"/>
          <w:lang w:val="en-US"/>
        </w:rPr>
        <w:t xml:space="preserve"> on corporate disclosure generally but also on CCI disclosure in particular. It is therefore important to establish if, indeed, there are any relationships between the quality of CCI disclosures and board independence, defined as the proportion of NEDs to the total board size. Therefore, the research question posed by this study is: </w:t>
      </w:r>
    </w:p>
    <w:p w14:paraId="2C822B96" w14:textId="77777777" w:rsidR="006F5D7B" w:rsidRDefault="006F5D7B" w:rsidP="006F5D7B">
      <w:pPr>
        <w:spacing w:line="276" w:lineRule="auto"/>
        <w:rPr>
          <w:b/>
          <w:color w:val="auto"/>
          <w:lang w:val="en-US"/>
        </w:rPr>
      </w:pPr>
    </w:p>
    <w:p w14:paraId="16E17870" w14:textId="1948B0AE" w:rsidR="003B3186" w:rsidRDefault="00FE370C" w:rsidP="006F5D7B">
      <w:pPr>
        <w:spacing w:line="276" w:lineRule="auto"/>
        <w:rPr>
          <w:b/>
          <w:color w:val="auto"/>
          <w:lang w:val="en-US"/>
        </w:rPr>
      </w:pPr>
      <w:r w:rsidRPr="00350DF5">
        <w:rPr>
          <w:b/>
          <w:color w:val="auto"/>
          <w:lang w:val="en-US"/>
        </w:rPr>
        <w:t xml:space="preserve">What impact do </w:t>
      </w:r>
      <w:r w:rsidR="00715101" w:rsidRPr="00350DF5">
        <w:rPr>
          <w:b/>
          <w:color w:val="auto"/>
          <w:lang w:val="en-US"/>
        </w:rPr>
        <w:t xml:space="preserve">independent </w:t>
      </w:r>
      <w:r w:rsidRPr="00350DF5">
        <w:rPr>
          <w:b/>
          <w:color w:val="auto"/>
          <w:lang w:val="en-US"/>
        </w:rPr>
        <w:t>non</w:t>
      </w:r>
      <w:r w:rsidR="00715101" w:rsidRPr="00350DF5">
        <w:rPr>
          <w:b/>
          <w:color w:val="auto"/>
          <w:lang w:val="en-US"/>
        </w:rPr>
        <w:t>-</w:t>
      </w:r>
      <w:r w:rsidRPr="00350DF5">
        <w:rPr>
          <w:b/>
          <w:color w:val="auto"/>
          <w:lang w:val="en-US"/>
        </w:rPr>
        <w:t xml:space="preserve">executive directors have on the quality of CCI disclosures? </w:t>
      </w:r>
    </w:p>
    <w:p w14:paraId="14AEB438" w14:textId="77777777" w:rsidR="006F5D7B" w:rsidRPr="006F5D7B" w:rsidRDefault="006F5D7B" w:rsidP="006F5D7B">
      <w:pPr>
        <w:spacing w:line="480" w:lineRule="auto"/>
        <w:ind w:firstLine="567"/>
        <w:jc w:val="both"/>
        <w:rPr>
          <w:b/>
          <w:color w:val="auto"/>
          <w:lang w:val="en-US"/>
        </w:rPr>
      </w:pPr>
    </w:p>
    <w:p w14:paraId="4D2BDA43" w14:textId="18CEE1CD" w:rsidR="00520003" w:rsidRDefault="00FE370C" w:rsidP="006F5D7B">
      <w:pPr>
        <w:spacing w:line="480" w:lineRule="auto"/>
        <w:ind w:firstLine="567"/>
        <w:jc w:val="both"/>
        <w:rPr>
          <w:color w:val="auto"/>
          <w:lang w:val="en-US"/>
        </w:rPr>
      </w:pPr>
      <w:r w:rsidRPr="00350DF5">
        <w:rPr>
          <w:color w:val="auto"/>
          <w:lang w:val="en-US"/>
        </w:rPr>
        <w:t>To answer this question, we contextuali</w:t>
      </w:r>
      <w:r w:rsidR="008D13EC" w:rsidRPr="00350DF5">
        <w:rPr>
          <w:color w:val="auto"/>
          <w:lang w:val="en-US"/>
        </w:rPr>
        <w:t>z</w:t>
      </w:r>
      <w:r w:rsidRPr="00350DF5">
        <w:rPr>
          <w:color w:val="auto"/>
          <w:lang w:val="en-US"/>
        </w:rPr>
        <w:t xml:space="preserve">ed the influence of NEDs on </w:t>
      </w:r>
      <w:r w:rsidR="00715101" w:rsidRPr="00350DF5">
        <w:rPr>
          <w:color w:val="auto"/>
          <w:lang w:val="en-US"/>
        </w:rPr>
        <w:t xml:space="preserve">CCID </w:t>
      </w:r>
      <w:r w:rsidRPr="00350DF5">
        <w:rPr>
          <w:color w:val="auto"/>
          <w:lang w:val="en-US"/>
        </w:rPr>
        <w:t xml:space="preserve">through the lenses of </w:t>
      </w:r>
      <w:r w:rsidR="003B3186" w:rsidRPr="00350DF5">
        <w:rPr>
          <w:color w:val="auto"/>
        </w:rPr>
        <w:t>stakeholder normative theory and especially its integrative and ethical dimensions (</w:t>
      </w:r>
      <w:r w:rsidR="003B3186" w:rsidRPr="00350DF5">
        <w:rPr>
          <w:rFonts w:eastAsia="Calibri"/>
          <w:color w:val="auto"/>
          <w:lang w:eastAsia="en-GB"/>
        </w:rPr>
        <w:t xml:space="preserve">Donaldson </w:t>
      </w:r>
      <w:r w:rsidR="00E66ADC">
        <w:rPr>
          <w:rFonts w:eastAsia="Calibri"/>
          <w:color w:val="auto"/>
          <w:lang w:eastAsia="en-GB"/>
        </w:rPr>
        <w:t>and</w:t>
      </w:r>
      <w:r w:rsidR="003B3186" w:rsidRPr="00350DF5">
        <w:rPr>
          <w:rFonts w:eastAsia="Calibri"/>
          <w:color w:val="auto"/>
          <w:lang w:eastAsia="en-GB"/>
        </w:rPr>
        <w:t xml:space="preserve"> Preston, 1995; </w:t>
      </w:r>
      <w:r w:rsidR="00683DD7" w:rsidRPr="00350DF5">
        <w:rPr>
          <w:rFonts w:eastAsia="Calibri"/>
          <w:color w:val="auto"/>
          <w:lang w:eastAsia="en-GB"/>
        </w:rPr>
        <w:t xml:space="preserve">Freeman </w:t>
      </w:r>
      <w:r w:rsidR="00E66ADC">
        <w:rPr>
          <w:rFonts w:eastAsia="Calibri"/>
          <w:color w:val="auto"/>
          <w:lang w:eastAsia="en-GB"/>
        </w:rPr>
        <w:t>and</w:t>
      </w:r>
      <w:r w:rsidR="00683DD7" w:rsidRPr="00350DF5">
        <w:rPr>
          <w:rFonts w:eastAsia="Calibri"/>
          <w:color w:val="auto"/>
          <w:lang w:eastAsia="en-GB"/>
        </w:rPr>
        <w:t xml:space="preserve"> Philips, 2002</w:t>
      </w:r>
      <w:r w:rsidR="00683DD7">
        <w:rPr>
          <w:rFonts w:eastAsia="Calibri"/>
          <w:color w:val="auto"/>
          <w:lang w:eastAsia="en-GB"/>
        </w:rPr>
        <w:t xml:space="preserve">; </w:t>
      </w:r>
      <w:r w:rsidR="003B3186" w:rsidRPr="00350DF5">
        <w:rPr>
          <w:rFonts w:eastAsia="Calibri"/>
          <w:color w:val="auto"/>
          <w:lang w:eastAsia="en-GB"/>
        </w:rPr>
        <w:t>Mitchell et al., 1997; Rowley, 1</w:t>
      </w:r>
      <w:r w:rsidR="00EC5295" w:rsidRPr="00350DF5">
        <w:rPr>
          <w:rFonts w:eastAsia="Calibri"/>
          <w:color w:val="auto"/>
          <w:lang w:eastAsia="en-GB"/>
        </w:rPr>
        <w:t>998</w:t>
      </w:r>
      <w:r w:rsidR="00403F48" w:rsidRPr="00350DF5">
        <w:rPr>
          <w:rFonts w:eastAsia="Calibri"/>
          <w:color w:val="auto"/>
          <w:lang w:eastAsia="en-GB"/>
        </w:rPr>
        <w:t>)</w:t>
      </w:r>
      <w:r w:rsidR="00403F48" w:rsidRPr="00350DF5">
        <w:rPr>
          <w:color w:val="auto"/>
          <w:lang w:eastAsia="en-GB"/>
        </w:rPr>
        <w:t xml:space="preserve"> </w:t>
      </w:r>
      <w:r w:rsidR="00403F48" w:rsidRPr="00350DF5">
        <w:rPr>
          <w:color w:val="auto"/>
          <w:lang w:val="en-US"/>
        </w:rPr>
        <w:t>discussed</w:t>
      </w:r>
      <w:r w:rsidR="00715101" w:rsidRPr="00350DF5">
        <w:rPr>
          <w:color w:val="auto"/>
          <w:lang w:val="en-US"/>
        </w:rPr>
        <w:t xml:space="preserve"> in section 2.2 below. </w:t>
      </w:r>
    </w:p>
    <w:p w14:paraId="2899FB63" w14:textId="77777777" w:rsidR="006F5D7B" w:rsidRPr="006F5D7B" w:rsidRDefault="006F5D7B" w:rsidP="006F5D7B">
      <w:pPr>
        <w:spacing w:line="480" w:lineRule="auto"/>
        <w:ind w:firstLine="567"/>
        <w:jc w:val="both"/>
        <w:rPr>
          <w:color w:val="FF0000"/>
          <w:lang w:val="en-US"/>
        </w:rPr>
      </w:pPr>
    </w:p>
    <w:p w14:paraId="26611129" w14:textId="77777777" w:rsidR="00A5674E" w:rsidRPr="00134E8B" w:rsidRDefault="00FE370C">
      <w:pPr>
        <w:pStyle w:val="ListParagraph"/>
        <w:numPr>
          <w:ilvl w:val="1"/>
          <w:numId w:val="1"/>
        </w:numPr>
        <w:spacing w:line="480" w:lineRule="auto"/>
        <w:ind w:left="624" w:hanging="397"/>
        <w:rPr>
          <w:color w:val="auto"/>
          <w:szCs w:val="24"/>
          <w:lang w:val="en-US"/>
        </w:rPr>
      </w:pPr>
      <w:r w:rsidRPr="00134E8B">
        <w:rPr>
          <w:b/>
          <w:i/>
          <w:color w:val="auto"/>
          <w:szCs w:val="24"/>
          <w:lang w:val="en-US"/>
        </w:rPr>
        <w:t>Theoretical context</w:t>
      </w:r>
    </w:p>
    <w:p w14:paraId="74DC1D0B" w14:textId="30CB2635" w:rsidR="00177C74" w:rsidRPr="00350DF5" w:rsidRDefault="00FE370C" w:rsidP="007704A9">
      <w:pPr>
        <w:autoSpaceDE w:val="0"/>
        <w:autoSpaceDN w:val="0"/>
        <w:adjustRightInd w:val="0"/>
        <w:spacing w:line="480" w:lineRule="auto"/>
        <w:ind w:firstLine="567"/>
        <w:jc w:val="both"/>
        <w:rPr>
          <w:rFonts w:eastAsia="Calibri"/>
          <w:color w:val="auto"/>
          <w:lang w:eastAsia="en-GB"/>
        </w:rPr>
      </w:pPr>
      <w:r w:rsidRPr="00134E8B">
        <w:rPr>
          <w:color w:val="auto"/>
          <w:lang w:val="en-US"/>
        </w:rPr>
        <w:t>Undoubtedly, stakeholder theory has been extensively reviewed in the literature and various schools of thought have emerged on the subject (</w:t>
      </w:r>
      <w:r w:rsidR="00134E8B" w:rsidRPr="00134E8B">
        <w:rPr>
          <w:color w:val="auto"/>
          <w:lang w:val="en-US"/>
        </w:rPr>
        <w:t xml:space="preserve">Altman, 2000; Clarkson, 1995; Donaldson </w:t>
      </w:r>
      <w:r w:rsidR="00E66ADC">
        <w:rPr>
          <w:color w:val="auto"/>
          <w:lang w:val="en-US"/>
        </w:rPr>
        <w:t>and</w:t>
      </w:r>
      <w:r w:rsidR="00134E8B" w:rsidRPr="00134E8B">
        <w:rPr>
          <w:color w:val="auto"/>
          <w:lang w:val="en-US"/>
        </w:rPr>
        <w:t xml:space="preserve"> Preston, 1995; </w:t>
      </w:r>
      <w:r w:rsidRPr="00134E8B">
        <w:rPr>
          <w:color w:val="auto"/>
          <w:lang w:val="en-US"/>
        </w:rPr>
        <w:t xml:space="preserve">Freeman, 1984; </w:t>
      </w:r>
      <w:r w:rsidR="00134E8B" w:rsidRPr="00134E8B">
        <w:rPr>
          <w:color w:val="auto"/>
          <w:lang w:val="en-US"/>
        </w:rPr>
        <w:t>Jensen, 2001;</w:t>
      </w:r>
      <w:r w:rsidR="00134E8B">
        <w:rPr>
          <w:color w:val="auto"/>
          <w:lang w:val="en-US"/>
        </w:rPr>
        <w:t xml:space="preserve"> </w:t>
      </w:r>
      <w:r w:rsidRPr="00134E8B">
        <w:rPr>
          <w:color w:val="auto"/>
          <w:lang w:val="en-US"/>
        </w:rPr>
        <w:t xml:space="preserve">Mitchell </w:t>
      </w:r>
      <w:r w:rsidRPr="00AC5578">
        <w:rPr>
          <w:color w:val="auto"/>
          <w:lang w:val="en-US"/>
        </w:rPr>
        <w:t>et al</w:t>
      </w:r>
      <w:r w:rsidRPr="00134E8B">
        <w:rPr>
          <w:color w:val="auto"/>
          <w:lang w:val="en-US"/>
        </w:rPr>
        <w:t xml:space="preserve">., 1997). </w:t>
      </w:r>
      <w:r w:rsidR="00177C74" w:rsidRPr="00134E8B">
        <w:rPr>
          <w:color w:val="auto"/>
        </w:rPr>
        <w:t xml:space="preserve">In its broad sense, stakeholder theory deals with the relationship between the firm and all groups (stakeholders) that have a vested interest in the firm’s activities or product. As such, relevant </w:t>
      </w:r>
      <w:r w:rsidR="00177C74" w:rsidRPr="00350DF5">
        <w:rPr>
          <w:color w:val="auto"/>
        </w:rPr>
        <w:t>stakeholders can be any person, group, organisation, institution, society, etc. (</w:t>
      </w:r>
      <w:r w:rsidR="00177C74" w:rsidRPr="00350DF5">
        <w:rPr>
          <w:rFonts w:eastAsia="Calibri"/>
          <w:color w:val="auto"/>
          <w:lang w:eastAsia="en-GB"/>
        </w:rPr>
        <w:t xml:space="preserve">Donaldson </w:t>
      </w:r>
      <w:r w:rsidR="00E66ADC">
        <w:rPr>
          <w:color w:val="auto"/>
          <w:lang w:val="en-US"/>
        </w:rPr>
        <w:t>and</w:t>
      </w:r>
      <w:r w:rsidR="00177C74" w:rsidRPr="00350DF5">
        <w:rPr>
          <w:rFonts w:eastAsia="Calibri"/>
          <w:color w:val="auto"/>
          <w:lang w:eastAsia="en-GB"/>
        </w:rPr>
        <w:t xml:space="preserve"> Preston, 1995</w:t>
      </w:r>
      <w:r w:rsidR="006129F6" w:rsidRPr="00350DF5">
        <w:rPr>
          <w:rFonts w:eastAsia="Calibri"/>
          <w:color w:val="auto"/>
          <w:lang w:eastAsia="en-GB"/>
        </w:rPr>
        <w:t>).</w:t>
      </w:r>
      <w:r w:rsidR="00177C74" w:rsidRPr="00350DF5">
        <w:rPr>
          <w:rFonts w:eastAsia="Calibri"/>
          <w:color w:val="auto"/>
          <w:lang w:eastAsia="en-GB"/>
        </w:rPr>
        <w:t xml:space="preserve"> Moreover, these various </w:t>
      </w:r>
      <w:r w:rsidR="00177C74" w:rsidRPr="00350DF5">
        <w:rPr>
          <w:rFonts w:eastAsia="Calibri"/>
          <w:color w:val="auto"/>
          <w:lang w:eastAsia="en-GB"/>
        </w:rPr>
        <w:lastRenderedPageBreak/>
        <w:t>stakeholder groups often have diverse and conflicting objectives, hence</w:t>
      </w:r>
      <w:r w:rsidR="006129F6" w:rsidRPr="00350DF5">
        <w:rPr>
          <w:rFonts w:eastAsia="Calibri"/>
          <w:color w:val="auto"/>
          <w:lang w:eastAsia="en-GB"/>
        </w:rPr>
        <w:t>, it</w:t>
      </w:r>
      <w:r w:rsidR="00177C74" w:rsidRPr="00350DF5">
        <w:rPr>
          <w:rFonts w:eastAsia="Calibri"/>
          <w:color w:val="auto"/>
          <w:lang w:eastAsia="en-GB"/>
        </w:rPr>
        <w:t xml:space="preserve"> is often companies’ management that decide</w:t>
      </w:r>
      <w:r w:rsidR="007704A9" w:rsidRPr="00350DF5">
        <w:rPr>
          <w:rFonts w:eastAsia="Calibri"/>
          <w:color w:val="auto"/>
          <w:lang w:eastAsia="en-GB"/>
        </w:rPr>
        <w:t>s</w:t>
      </w:r>
      <w:r w:rsidR="00177C74" w:rsidRPr="00350DF5">
        <w:rPr>
          <w:rFonts w:eastAsia="Calibri"/>
          <w:color w:val="auto"/>
          <w:lang w:eastAsia="en-GB"/>
        </w:rPr>
        <w:t xml:space="preserve"> on the various trade-offs between alternative demands under the normative principle of value </w:t>
      </w:r>
      <w:r w:rsidR="000D6CFA" w:rsidRPr="00350DF5">
        <w:rPr>
          <w:rFonts w:eastAsia="Calibri"/>
          <w:color w:val="auto"/>
          <w:lang w:eastAsia="en-GB"/>
        </w:rPr>
        <w:t>maximisation</w:t>
      </w:r>
      <w:r w:rsidR="000D6CFA" w:rsidRPr="00350DF5">
        <w:rPr>
          <w:rFonts w:eastAsia="Calibri"/>
          <w:color w:val="auto"/>
          <w:vertAlign w:val="superscript"/>
          <w:lang w:eastAsia="en-GB"/>
        </w:rPr>
        <w:t xml:space="preserve"> [</w:t>
      </w:r>
      <w:r w:rsidR="00217DF1" w:rsidRPr="00350DF5">
        <w:rPr>
          <w:rFonts w:eastAsia="Calibri"/>
          <w:color w:val="auto"/>
          <w:vertAlign w:val="superscript"/>
          <w:lang w:eastAsia="en-GB"/>
        </w:rPr>
        <w:t>7</w:t>
      </w:r>
      <w:r w:rsidR="000D6CFA" w:rsidRPr="00350DF5">
        <w:rPr>
          <w:rFonts w:eastAsia="Calibri"/>
          <w:color w:val="auto"/>
          <w:vertAlign w:val="superscript"/>
          <w:lang w:eastAsia="en-GB"/>
        </w:rPr>
        <w:t>]</w:t>
      </w:r>
      <w:r w:rsidR="00177C74" w:rsidRPr="00350DF5">
        <w:rPr>
          <w:rFonts w:eastAsia="Calibri"/>
          <w:color w:val="auto"/>
          <w:lang w:eastAsia="en-GB"/>
        </w:rPr>
        <w:t xml:space="preserve"> (</w:t>
      </w:r>
      <w:r w:rsidR="0005460C" w:rsidRPr="00350DF5">
        <w:rPr>
          <w:rFonts w:eastAsia="Calibri"/>
          <w:color w:val="auto"/>
          <w:lang w:eastAsia="en-GB"/>
        </w:rPr>
        <w:t xml:space="preserve">Donaldson </w:t>
      </w:r>
      <w:r w:rsidR="00E66ADC">
        <w:rPr>
          <w:color w:val="auto"/>
          <w:lang w:val="en-US"/>
        </w:rPr>
        <w:t>and</w:t>
      </w:r>
      <w:r w:rsidR="0005460C" w:rsidRPr="00350DF5">
        <w:rPr>
          <w:rFonts w:eastAsia="Calibri"/>
          <w:color w:val="auto"/>
          <w:lang w:eastAsia="en-GB"/>
        </w:rPr>
        <w:t xml:space="preserve"> Preston, 1995; </w:t>
      </w:r>
      <w:r w:rsidR="00177C74" w:rsidRPr="00350DF5">
        <w:rPr>
          <w:rFonts w:eastAsia="Calibri"/>
          <w:color w:val="auto"/>
          <w:lang w:eastAsia="en-GB"/>
        </w:rPr>
        <w:t xml:space="preserve">Jensen, 2001). </w:t>
      </w:r>
      <w:r w:rsidR="007704A9" w:rsidRPr="00350DF5">
        <w:rPr>
          <w:rFonts w:eastAsia="Calibri"/>
          <w:color w:val="auto"/>
          <w:lang w:eastAsia="en-GB"/>
        </w:rPr>
        <w:t>Early expositions of</w:t>
      </w:r>
      <w:r w:rsidR="00177C74" w:rsidRPr="00350DF5">
        <w:rPr>
          <w:rFonts w:eastAsia="Calibri"/>
          <w:color w:val="auto"/>
          <w:lang w:eastAsia="en-GB"/>
        </w:rPr>
        <w:t xml:space="preserve"> the stakeholder theory by Freeman (1984) fail to </w:t>
      </w:r>
      <w:r w:rsidR="00CC0E21" w:rsidRPr="00350DF5">
        <w:rPr>
          <w:rFonts w:eastAsia="Calibri"/>
          <w:color w:val="auto"/>
          <w:lang w:eastAsia="en-GB"/>
        </w:rPr>
        <w:t xml:space="preserve">suggest a strategy for dealing with </w:t>
      </w:r>
      <w:proofErr w:type="gramStart"/>
      <w:r w:rsidR="00CC0E21" w:rsidRPr="00350DF5">
        <w:rPr>
          <w:rFonts w:eastAsia="Calibri"/>
          <w:color w:val="auto"/>
          <w:lang w:eastAsia="en-GB"/>
        </w:rPr>
        <w:t xml:space="preserve">these </w:t>
      </w:r>
      <w:r w:rsidR="00177C74" w:rsidRPr="00350DF5">
        <w:rPr>
          <w:rFonts w:eastAsia="Calibri"/>
          <w:color w:val="auto"/>
          <w:lang w:eastAsia="en-GB"/>
        </w:rPr>
        <w:t>trade-</w:t>
      </w:r>
      <w:proofErr w:type="gramEnd"/>
      <w:r w:rsidR="00177C74" w:rsidRPr="00350DF5">
        <w:rPr>
          <w:rFonts w:eastAsia="Calibri"/>
          <w:color w:val="auto"/>
          <w:lang w:eastAsia="en-GB"/>
        </w:rPr>
        <w:t>offs leaving adequate space for criticism (Mitchell et al., 1997; Rowley, 1998</w:t>
      </w:r>
      <w:r w:rsidR="0005460C" w:rsidRPr="00350DF5">
        <w:rPr>
          <w:rFonts w:eastAsia="Calibri"/>
          <w:color w:val="auto"/>
          <w:lang w:eastAsia="en-GB"/>
        </w:rPr>
        <w:t>).</w:t>
      </w:r>
      <w:r w:rsidR="00177C74" w:rsidRPr="00350DF5">
        <w:rPr>
          <w:rFonts w:eastAsia="Calibri"/>
          <w:color w:val="auto"/>
          <w:lang w:eastAsia="en-GB"/>
        </w:rPr>
        <w:t xml:space="preserve"> In addition, as managerial time and resources are often limited, companies most often are unable to fully engage and manage relationship with all stakeholder groups, limiting the practical usefulness of this theoretical framework. </w:t>
      </w:r>
    </w:p>
    <w:p w14:paraId="3B533651" w14:textId="220FC5CA" w:rsidR="00177C74" w:rsidRPr="00350DF5" w:rsidRDefault="00177C74" w:rsidP="00177C74">
      <w:pPr>
        <w:autoSpaceDE w:val="0"/>
        <w:autoSpaceDN w:val="0"/>
        <w:adjustRightInd w:val="0"/>
        <w:spacing w:line="480" w:lineRule="auto"/>
        <w:ind w:firstLine="567"/>
        <w:jc w:val="both"/>
        <w:rPr>
          <w:color w:val="auto"/>
          <w:lang w:eastAsia="en-GB"/>
        </w:rPr>
      </w:pPr>
      <w:r w:rsidRPr="00350DF5">
        <w:rPr>
          <w:rFonts w:eastAsia="Calibri"/>
          <w:color w:val="auto"/>
          <w:lang w:eastAsia="en-GB"/>
        </w:rPr>
        <w:t xml:space="preserve">To solve this problem, Mitchell et al. (1997) narrow down the definition of relevant stakeholder groups by proposing a dynamic framework </w:t>
      </w:r>
      <w:r w:rsidRPr="00350DF5">
        <w:rPr>
          <w:color w:val="auto"/>
          <w:lang w:eastAsia="en-GB"/>
        </w:rPr>
        <w:t xml:space="preserve">of instrumental stakeholder identification and salience. As the authors suggest, salience accorded to specific stakeholders’ claims should be a function of three key attributes, namely </w:t>
      </w:r>
      <w:proofErr w:type="spellStart"/>
      <w:r w:rsidRPr="00350DF5">
        <w:rPr>
          <w:color w:val="auto"/>
          <w:lang w:eastAsia="en-GB"/>
        </w:rPr>
        <w:t>i</w:t>
      </w:r>
      <w:proofErr w:type="spellEnd"/>
      <w:r w:rsidRPr="00350DF5">
        <w:rPr>
          <w:color w:val="auto"/>
          <w:lang w:eastAsia="en-GB"/>
        </w:rPr>
        <w:t xml:space="preserve">) power to influence the firm, ii) a legitimate relationship with the firm, and/or, iii) urgency of those claims on the firm. Depending on these attributes, stakeholder groups’ salience may be low, moderate or high. Managers ought to know what groups or entities in their environment have the power to influence the corporation and as such </w:t>
      </w:r>
      <w:r w:rsidRPr="00350DF5">
        <w:rPr>
          <w:i/>
          <w:color w:val="auto"/>
          <w:lang w:eastAsia="en-GB"/>
        </w:rPr>
        <w:t xml:space="preserve">“power and urgency </w:t>
      </w:r>
      <w:r w:rsidRPr="00350DF5">
        <w:rPr>
          <w:i/>
          <w:iCs/>
          <w:color w:val="auto"/>
          <w:lang w:eastAsia="en-GB"/>
        </w:rPr>
        <w:t>must be attended to if managers were to serve the legal and moral interests of legitimate stakeholders”</w:t>
      </w:r>
      <w:r w:rsidRPr="00350DF5">
        <w:rPr>
          <w:color w:val="auto"/>
          <w:lang w:eastAsia="en-GB"/>
        </w:rPr>
        <w:t xml:space="preserve"> (Mitchell </w:t>
      </w:r>
      <w:r w:rsidRPr="00134E8B">
        <w:rPr>
          <w:color w:val="auto"/>
          <w:lang w:eastAsia="en-GB"/>
        </w:rPr>
        <w:t>et al.</w:t>
      </w:r>
      <w:r w:rsidRPr="00350DF5">
        <w:rPr>
          <w:color w:val="auto"/>
          <w:lang w:eastAsia="en-GB"/>
        </w:rPr>
        <w:t>, 1997</w:t>
      </w:r>
      <w:r w:rsidR="00134E8B">
        <w:rPr>
          <w:color w:val="auto"/>
          <w:lang w:eastAsia="en-GB"/>
        </w:rPr>
        <w:t>, p.</w:t>
      </w:r>
      <w:r w:rsidRPr="00350DF5">
        <w:rPr>
          <w:color w:val="auto"/>
          <w:lang w:eastAsia="en-GB"/>
        </w:rPr>
        <w:t>882). Based on this framework, stakeholders can be distinguished amongst seven typologies (</w:t>
      </w:r>
      <w:r w:rsidRPr="00350DF5">
        <w:rPr>
          <w:color w:val="auto"/>
        </w:rPr>
        <w:t xml:space="preserve">Figure 1 below) </w:t>
      </w:r>
      <w:r w:rsidRPr="00350DF5">
        <w:rPr>
          <w:color w:val="auto"/>
          <w:lang w:eastAsia="en-GB"/>
        </w:rPr>
        <w:t xml:space="preserve">ranging from </w:t>
      </w:r>
      <w:r w:rsidRPr="00350DF5">
        <w:rPr>
          <w:i/>
          <w:color w:val="auto"/>
          <w:lang w:eastAsia="en-GB"/>
        </w:rPr>
        <w:t>dormant stakeholders</w:t>
      </w:r>
      <w:r w:rsidRPr="00350DF5">
        <w:rPr>
          <w:color w:val="auto"/>
          <w:lang w:eastAsia="en-GB"/>
        </w:rPr>
        <w:t xml:space="preserve"> which are those that possess only the attribute of power and can exercise it via coercive, utilitarian or symbolic means but no urgency of legitimate relationship with the firm, to that of </w:t>
      </w:r>
      <w:r w:rsidRPr="00350DF5">
        <w:rPr>
          <w:i/>
          <w:color w:val="auto"/>
          <w:lang w:eastAsia="en-GB"/>
        </w:rPr>
        <w:t>definite stakeholders,</w:t>
      </w:r>
      <w:r w:rsidRPr="00350DF5">
        <w:rPr>
          <w:color w:val="auto"/>
          <w:lang w:eastAsia="en-GB"/>
        </w:rPr>
        <w:t xml:space="preserve"> that possesses all three attributes and require urgent attention and engagement from companies’ management. </w:t>
      </w:r>
    </w:p>
    <w:p w14:paraId="02579D11" w14:textId="52239C84" w:rsidR="00177C74" w:rsidRDefault="00177C74" w:rsidP="00177C74">
      <w:pPr>
        <w:autoSpaceDE w:val="0"/>
        <w:autoSpaceDN w:val="0"/>
        <w:adjustRightInd w:val="0"/>
        <w:spacing w:line="480" w:lineRule="auto"/>
        <w:ind w:firstLine="567"/>
        <w:jc w:val="both"/>
        <w:rPr>
          <w:color w:val="auto"/>
          <w:lang w:eastAsia="en-GB"/>
        </w:rPr>
      </w:pPr>
      <w:r w:rsidRPr="00350DF5">
        <w:rPr>
          <w:color w:val="auto"/>
          <w:lang w:eastAsia="en-GB"/>
        </w:rPr>
        <w:t xml:space="preserve">Furthermore, the dynamic nature of this framework allows every stakeholder group to move from one category to another given the situation. For example a typical </w:t>
      </w:r>
      <w:r w:rsidRPr="00350DF5">
        <w:rPr>
          <w:i/>
          <w:color w:val="auto"/>
          <w:lang w:eastAsia="en-GB"/>
        </w:rPr>
        <w:t>dependent stakeholder</w:t>
      </w:r>
      <w:r w:rsidRPr="00350DF5">
        <w:rPr>
          <w:color w:val="auto"/>
          <w:lang w:eastAsia="en-GB"/>
        </w:rPr>
        <w:t xml:space="preserve"> that possesses the attributes of legitimacy and urgency such as a community group can easily become </w:t>
      </w:r>
      <w:r w:rsidRPr="00350DF5">
        <w:rPr>
          <w:i/>
          <w:color w:val="auto"/>
          <w:lang w:eastAsia="en-GB"/>
        </w:rPr>
        <w:t xml:space="preserve">definite </w:t>
      </w:r>
      <w:r w:rsidRPr="00350DF5">
        <w:rPr>
          <w:i/>
          <w:color w:val="auto"/>
          <w:lang w:eastAsia="en-GB"/>
        </w:rPr>
        <w:lastRenderedPageBreak/>
        <w:t>stakeholder</w:t>
      </w:r>
      <w:r w:rsidRPr="00350DF5">
        <w:rPr>
          <w:color w:val="auto"/>
          <w:lang w:eastAsia="en-GB"/>
        </w:rPr>
        <w:t xml:space="preserve"> after acquiring the attribute of power via the acquisition of government support if current conditions dictate to do so</w:t>
      </w:r>
      <w:r w:rsidR="00134E8B">
        <w:rPr>
          <w:color w:val="auto"/>
          <w:lang w:eastAsia="en-GB"/>
        </w:rPr>
        <w:t xml:space="preserve"> </w:t>
      </w:r>
      <w:r w:rsidR="000D6CFA" w:rsidRPr="00350DF5">
        <w:rPr>
          <w:color w:val="auto"/>
          <w:vertAlign w:val="superscript"/>
          <w:lang w:eastAsia="en-GB"/>
        </w:rPr>
        <w:t>[</w:t>
      </w:r>
      <w:r w:rsidR="00217DF1" w:rsidRPr="00350DF5">
        <w:rPr>
          <w:color w:val="auto"/>
          <w:vertAlign w:val="superscript"/>
          <w:lang w:eastAsia="en-GB"/>
        </w:rPr>
        <w:t>8</w:t>
      </w:r>
      <w:r w:rsidR="000D6CFA" w:rsidRPr="00350DF5">
        <w:rPr>
          <w:color w:val="auto"/>
          <w:vertAlign w:val="superscript"/>
          <w:lang w:eastAsia="en-GB"/>
        </w:rPr>
        <w:t>]</w:t>
      </w:r>
      <w:r w:rsidRPr="00350DF5">
        <w:rPr>
          <w:color w:val="auto"/>
          <w:lang w:eastAsia="en-GB"/>
        </w:rPr>
        <w:t xml:space="preserve">. </w:t>
      </w:r>
    </w:p>
    <w:p w14:paraId="5C9496A4" w14:textId="77777777" w:rsidR="00177C74" w:rsidRDefault="00177C74" w:rsidP="00177C74">
      <w:pPr>
        <w:autoSpaceDE w:val="0"/>
        <w:autoSpaceDN w:val="0"/>
        <w:adjustRightInd w:val="0"/>
        <w:spacing w:line="480" w:lineRule="auto"/>
        <w:ind w:firstLine="567"/>
        <w:jc w:val="center"/>
        <w:rPr>
          <w:rFonts w:eastAsia="Calibri"/>
          <w:color w:val="auto"/>
          <w:lang w:eastAsia="en-GB"/>
        </w:rPr>
      </w:pPr>
      <w:r w:rsidRPr="00350DF5">
        <w:rPr>
          <w:rFonts w:eastAsia="Calibri"/>
          <w:b/>
          <w:bCs/>
          <w:color w:val="auto"/>
          <w:lang w:eastAsia="en-GB"/>
        </w:rPr>
        <w:t xml:space="preserve">&lt;&lt;&lt; Insert Figure 1 about here </w:t>
      </w:r>
      <w:r w:rsidRPr="00350DF5">
        <w:rPr>
          <w:rFonts w:eastAsia="Calibri"/>
          <w:color w:val="auto"/>
          <w:lang w:eastAsia="en-GB"/>
        </w:rPr>
        <w:t>&gt;&gt;&gt;</w:t>
      </w:r>
    </w:p>
    <w:p w14:paraId="53B933D0" w14:textId="77777777" w:rsidR="006F5D7B" w:rsidRPr="00350DF5" w:rsidRDefault="006F5D7B" w:rsidP="00177C74">
      <w:pPr>
        <w:autoSpaceDE w:val="0"/>
        <w:autoSpaceDN w:val="0"/>
        <w:adjustRightInd w:val="0"/>
        <w:spacing w:line="480" w:lineRule="auto"/>
        <w:ind w:firstLine="567"/>
        <w:jc w:val="center"/>
        <w:rPr>
          <w:rFonts w:eastAsia="Calibri"/>
          <w:color w:val="auto"/>
          <w:lang w:eastAsia="en-GB"/>
        </w:rPr>
      </w:pPr>
    </w:p>
    <w:p w14:paraId="5659165E" w14:textId="5151DD84" w:rsidR="00177C74" w:rsidRPr="00350DF5" w:rsidRDefault="00177C74" w:rsidP="00177C74">
      <w:pPr>
        <w:autoSpaceDE w:val="0"/>
        <w:autoSpaceDN w:val="0"/>
        <w:adjustRightInd w:val="0"/>
        <w:spacing w:line="480" w:lineRule="auto"/>
        <w:ind w:firstLine="567"/>
        <w:jc w:val="both"/>
        <w:rPr>
          <w:rFonts w:eastAsia="Calibri"/>
          <w:color w:val="auto"/>
          <w:lang w:eastAsia="en-GB"/>
        </w:rPr>
      </w:pPr>
      <w:r w:rsidRPr="00350DF5">
        <w:rPr>
          <w:rFonts w:eastAsia="Calibri"/>
          <w:color w:val="auto"/>
          <w:lang w:eastAsia="en-GB"/>
        </w:rPr>
        <w:t>As regards the role of community within this theoretical framework, under the economic context</w:t>
      </w:r>
      <w:r w:rsidR="007704A9" w:rsidRPr="00350DF5">
        <w:rPr>
          <w:rFonts w:eastAsia="Calibri"/>
          <w:color w:val="auto"/>
          <w:lang w:eastAsia="en-GB"/>
        </w:rPr>
        <w:t>,</w:t>
      </w:r>
      <w:r w:rsidRPr="00350DF5">
        <w:rPr>
          <w:rFonts w:eastAsia="Calibri"/>
          <w:color w:val="auto"/>
          <w:lang w:eastAsia="en-GB"/>
        </w:rPr>
        <w:t xml:space="preserve"> its importance appears to be secondary following all those stakeholder groups that have a priority of claims to the organisation (</w:t>
      </w:r>
      <w:r w:rsidR="00134E8B" w:rsidRPr="00350DF5">
        <w:rPr>
          <w:rFonts w:eastAsia="Calibri"/>
          <w:color w:val="auto"/>
          <w:lang w:eastAsia="en-GB"/>
        </w:rPr>
        <w:t>Clarkson, 1995</w:t>
      </w:r>
      <w:r w:rsidR="00134E8B">
        <w:rPr>
          <w:rFonts w:eastAsia="Calibri"/>
          <w:color w:val="auto"/>
          <w:lang w:eastAsia="en-GB"/>
        </w:rPr>
        <w:t xml:space="preserve">; </w:t>
      </w:r>
      <w:r w:rsidRPr="00350DF5">
        <w:rPr>
          <w:rFonts w:eastAsia="Calibri"/>
          <w:color w:val="auto"/>
          <w:lang w:eastAsia="en-GB"/>
        </w:rPr>
        <w:t>Freeman, 1984). Nonetheless, subsequent literature especially the one investigating the normative aspects of the theory</w:t>
      </w:r>
      <w:r w:rsidR="007704A9" w:rsidRPr="00350DF5">
        <w:rPr>
          <w:rFonts w:eastAsia="Calibri"/>
          <w:color w:val="auto"/>
          <w:lang w:eastAsia="en-GB"/>
        </w:rPr>
        <w:t>,</w:t>
      </w:r>
      <w:r w:rsidRPr="00350DF5">
        <w:rPr>
          <w:rFonts w:eastAsia="Calibri"/>
          <w:color w:val="auto"/>
          <w:lang w:eastAsia="en-GB"/>
        </w:rPr>
        <w:t xml:space="preserve"> views community as equal to the rest of the key stakeholders, and with legitimate interests, driven theoretically from philosophical concepts such as moral ethics, common good, freedom, fairness and justice (Donaldson </w:t>
      </w:r>
      <w:r w:rsidR="00E66ADC">
        <w:rPr>
          <w:color w:val="auto"/>
          <w:lang w:val="en-US"/>
        </w:rPr>
        <w:t>and</w:t>
      </w:r>
      <w:r w:rsidRPr="00350DF5">
        <w:rPr>
          <w:rFonts w:eastAsia="Calibri"/>
          <w:color w:val="auto"/>
          <w:lang w:eastAsia="en-GB"/>
        </w:rPr>
        <w:t xml:space="preserve"> Preston, 1995; </w:t>
      </w:r>
      <w:r w:rsidR="00134E8B" w:rsidRPr="00350DF5">
        <w:rPr>
          <w:rFonts w:eastAsia="Calibri"/>
          <w:color w:val="auto"/>
          <w:lang w:eastAsia="en-GB"/>
        </w:rPr>
        <w:t xml:space="preserve">Freeman </w:t>
      </w:r>
      <w:r w:rsidR="00E66ADC">
        <w:rPr>
          <w:color w:val="auto"/>
          <w:lang w:val="en-US"/>
        </w:rPr>
        <w:t>and</w:t>
      </w:r>
      <w:r w:rsidR="00134E8B" w:rsidRPr="00350DF5">
        <w:rPr>
          <w:rFonts w:eastAsia="Calibri"/>
          <w:color w:val="auto"/>
          <w:lang w:eastAsia="en-GB"/>
        </w:rPr>
        <w:t xml:space="preserve"> Philips, 2002</w:t>
      </w:r>
      <w:r w:rsidRPr="00350DF5">
        <w:rPr>
          <w:rFonts w:eastAsia="Calibri"/>
          <w:color w:val="auto"/>
          <w:lang w:eastAsia="en-GB"/>
        </w:rPr>
        <w:t xml:space="preserve">). Moreover, as corporate management </w:t>
      </w:r>
      <w:r w:rsidR="0028639C" w:rsidRPr="00350DF5">
        <w:rPr>
          <w:rFonts w:eastAsia="Calibri"/>
          <w:color w:val="auto"/>
          <w:lang w:eastAsia="en-GB"/>
        </w:rPr>
        <w:t>face</w:t>
      </w:r>
      <w:r w:rsidR="005220E9" w:rsidRPr="00350DF5">
        <w:rPr>
          <w:rFonts w:eastAsia="Calibri"/>
          <w:color w:val="auto"/>
          <w:lang w:eastAsia="en-GB"/>
        </w:rPr>
        <w:t>s</w:t>
      </w:r>
      <w:r w:rsidRPr="00350DF5">
        <w:rPr>
          <w:rFonts w:eastAsia="Calibri"/>
          <w:color w:val="auto"/>
          <w:lang w:eastAsia="en-GB"/>
        </w:rPr>
        <w:t xml:space="preserve"> increased pressure </w:t>
      </w:r>
      <w:r w:rsidR="0028639C" w:rsidRPr="00350DF5">
        <w:rPr>
          <w:rFonts w:eastAsia="Calibri"/>
          <w:color w:val="auto"/>
          <w:lang w:eastAsia="en-GB"/>
        </w:rPr>
        <w:t xml:space="preserve">from </w:t>
      </w:r>
      <w:r w:rsidRPr="00350DF5">
        <w:rPr>
          <w:rFonts w:eastAsia="Calibri"/>
          <w:color w:val="auto"/>
          <w:lang w:eastAsia="en-GB"/>
        </w:rPr>
        <w:t xml:space="preserve">governments, media, communities and non-governmental organisation (NGOs), the </w:t>
      </w:r>
      <w:r w:rsidR="0028639C" w:rsidRPr="00350DF5">
        <w:rPr>
          <w:rFonts w:eastAsia="Calibri"/>
          <w:color w:val="auto"/>
          <w:lang w:eastAsia="en-GB"/>
        </w:rPr>
        <w:t xml:space="preserve">broad </w:t>
      </w:r>
      <w:r w:rsidRPr="00350DF5">
        <w:rPr>
          <w:rFonts w:eastAsia="Calibri"/>
          <w:color w:val="auto"/>
          <w:lang w:eastAsia="en-GB"/>
        </w:rPr>
        <w:t xml:space="preserve">issue of corporate social responsibility has become essential in the corporate agenda with </w:t>
      </w:r>
      <w:r w:rsidR="0028639C" w:rsidRPr="00350DF5">
        <w:rPr>
          <w:rFonts w:eastAsia="Calibri"/>
          <w:color w:val="auto"/>
          <w:lang w:eastAsia="en-GB"/>
        </w:rPr>
        <w:t xml:space="preserve">actual social </w:t>
      </w:r>
      <w:r w:rsidRPr="00350DF5">
        <w:rPr>
          <w:rFonts w:eastAsia="Calibri"/>
          <w:color w:val="auto"/>
          <w:lang w:eastAsia="en-GB"/>
        </w:rPr>
        <w:t>performance and disclosures playing an important role (</w:t>
      </w:r>
      <w:r w:rsidR="00134E8B" w:rsidRPr="00350DF5">
        <w:rPr>
          <w:rFonts w:eastAsia="Calibri"/>
          <w:color w:val="auto"/>
          <w:lang w:eastAsia="en-GB"/>
        </w:rPr>
        <w:t>Campbell et al</w:t>
      </w:r>
      <w:r w:rsidR="00134E8B">
        <w:rPr>
          <w:rFonts w:eastAsia="Calibri"/>
          <w:color w:val="auto"/>
          <w:lang w:eastAsia="en-GB"/>
        </w:rPr>
        <w:t>.,</w:t>
      </w:r>
      <w:r w:rsidR="00134E8B" w:rsidRPr="00350DF5">
        <w:rPr>
          <w:rFonts w:eastAsia="Calibri"/>
          <w:color w:val="auto"/>
          <w:lang w:eastAsia="en-GB"/>
        </w:rPr>
        <w:t xml:space="preserve"> 2006</w:t>
      </w:r>
      <w:r w:rsidR="00134E8B">
        <w:rPr>
          <w:rFonts w:eastAsia="Calibri"/>
          <w:color w:val="auto"/>
          <w:lang w:eastAsia="en-GB"/>
        </w:rPr>
        <w:t xml:space="preserve">; </w:t>
      </w:r>
      <w:proofErr w:type="spellStart"/>
      <w:r w:rsidR="00134E8B" w:rsidRPr="00350DF5">
        <w:rPr>
          <w:rFonts w:eastAsia="Calibri"/>
          <w:color w:val="auto"/>
          <w:lang w:eastAsia="en-GB"/>
        </w:rPr>
        <w:t>Doh</w:t>
      </w:r>
      <w:proofErr w:type="spellEnd"/>
      <w:r w:rsidR="00134E8B" w:rsidRPr="00350DF5">
        <w:rPr>
          <w:rFonts w:eastAsia="Calibri"/>
          <w:color w:val="auto"/>
          <w:lang w:eastAsia="en-GB"/>
        </w:rPr>
        <w:t xml:space="preserve"> </w:t>
      </w:r>
      <w:r w:rsidR="00134E8B" w:rsidRPr="00134E8B">
        <w:rPr>
          <w:rFonts w:eastAsia="Calibri"/>
          <w:color w:val="auto"/>
          <w:lang w:eastAsia="en-GB"/>
        </w:rPr>
        <w:t>et al.,</w:t>
      </w:r>
      <w:r w:rsidR="00134E8B" w:rsidRPr="00350DF5">
        <w:rPr>
          <w:rFonts w:eastAsia="Calibri"/>
          <w:color w:val="auto"/>
          <w:lang w:eastAsia="en-GB"/>
        </w:rPr>
        <w:t xml:space="preserve"> 2010</w:t>
      </w:r>
      <w:r w:rsidR="00134E8B">
        <w:rPr>
          <w:rFonts w:eastAsia="Calibri"/>
          <w:color w:val="auto"/>
          <w:lang w:eastAsia="en-GB"/>
        </w:rPr>
        <w:t xml:space="preserve">; </w:t>
      </w:r>
      <w:r w:rsidR="005220E9" w:rsidRPr="00350DF5">
        <w:rPr>
          <w:rFonts w:eastAsia="Calibri"/>
          <w:color w:val="auto"/>
          <w:lang w:eastAsia="en-GB"/>
        </w:rPr>
        <w:t>Marquis et al</w:t>
      </w:r>
      <w:r w:rsidR="00134E8B">
        <w:rPr>
          <w:rFonts w:eastAsia="Calibri"/>
          <w:color w:val="auto"/>
          <w:lang w:eastAsia="en-GB"/>
        </w:rPr>
        <w:t>.,</w:t>
      </w:r>
      <w:r w:rsidR="005220E9" w:rsidRPr="00350DF5">
        <w:rPr>
          <w:rFonts w:eastAsia="Calibri"/>
          <w:color w:val="auto"/>
          <w:lang w:eastAsia="en-GB"/>
        </w:rPr>
        <w:t xml:space="preserve"> 2007; </w:t>
      </w:r>
      <w:proofErr w:type="spellStart"/>
      <w:r w:rsidRPr="00350DF5">
        <w:rPr>
          <w:rFonts w:eastAsia="Calibri"/>
          <w:color w:val="auto"/>
          <w:lang w:eastAsia="en-GB"/>
        </w:rPr>
        <w:t>Trudel</w:t>
      </w:r>
      <w:proofErr w:type="spellEnd"/>
      <w:r w:rsidRPr="00350DF5">
        <w:rPr>
          <w:rFonts w:eastAsia="Calibri"/>
          <w:color w:val="auto"/>
          <w:lang w:eastAsia="en-GB"/>
        </w:rPr>
        <w:t xml:space="preserve"> </w:t>
      </w:r>
      <w:r w:rsidR="00E66ADC">
        <w:rPr>
          <w:color w:val="auto"/>
          <w:lang w:val="en-US"/>
        </w:rPr>
        <w:t>and</w:t>
      </w:r>
      <w:r w:rsidRPr="00350DF5">
        <w:rPr>
          <w:rFonts w:eastAsia="Calibri"/>
          <w:color w:val="auto"/>
          <w:lang w:eastAsia="en-GB"/>
        </w:rPr>
        <w:t xml:space="preserve"> </w:t>
      </w:r>
      <w:proofErr w:type="spellStart"/>
      <w:r w:rsidRPr="00350DF5">
        <w:rPr>
          <w:rFonts w:eastAsia="Calibri"/>
          <w:color w:val="auto"/>
          <w:lang w:eastAsia="en-GB"/>
        </w:rPr>
        <w:t>Cotte</w:t>
      </w:r>
      <w:proofErr w:type="spellEnd"/>
      <w:r w:rsidRPr="00350DF5">
        <w:rPr>
          <w:rFonts w:eastAsia="Calibri"/>
          <w:color w:val="auto"/>
          <w:lang w:eastAsia="en-GB"/>
        </w:rPr>
        <w:t xml:space="preserve">, 2009). This importance is demonstrated by the increasing participation of community influential individuals as NEDs within corporate boards, aiming to increase independence and inevitably corporate accountability </w:t>
      </w:r>
      <w:r w:rsidR="005A7004" w:rsidRPr="00350DF5">
        <w:rPr>
          <w:rFonts w:eastAsia="Calibri"/>
          <w:color w:val="auto"/>
          <w:lang w:eastAsia="en-GB"/>
        </w:rPr>
        <w:t>(</w:t>
      </w:r>
      <w:proofErr w:type="spellStart"/>
      <w:r w:rsidR="00134E8B" w:rsidRPr="00350DF5">
        <w:rPr>
          <w:rFonts w:eastAsia="Calibri"/>
          <w:color w:val="auto"/>
          <w:lang w:eastAsia="en-GB"/>
        </w:rPr>
        <w:t>Haniffa</w:t>
      </w:r>
      <w:proofErr w:type="spellEnd"/>
      <w:r w:rsidR="00134E8B" w:rsidRPr="00350DF5">
        <w:rPr>
          <w:rFonts w:eastAsia="Calibri"/>
          <w:color w:val="auto"/>
          <w:lang w:eastAsia="en-GB"/>
        </w:rPr>
        <w:t xml:space="preserve"> </w:t>
      </w:r>
      <w:r w:rsidR="00E66ADC">
        <w:rPr>
          <w:color w:val="auto"/>
          <w:lang w:val="en-US"/>
        </w:rPr>
        <w:t>and</w:t>
      </w:r>
      <w:r w:rsidR="00134E8B" w:rsidRPr="00350DF5">
        <w:rPr>
          <w:rFonts w:eastAsia="Calibri"/>
          <w:color w:val="auto"/>
          <w:lang w:eastAsia="en-GB"/>
        </w:rPr>
        <w:t xml:space="preserve"> Cooke, 200</w:t>
      </w:r>
      <w:r w:rsidR="00471AE6">
        <w:rPr>
          <w:rFonts w:eastAsia="Calibri"/>
          <w:color w:val="auto"/>
          <w:lang w:eastAsia="en-GB"/>
        </w:rPr>
        <w:t>2</w:t>
      </w:r>
      <w:r w:rsidR="00134E8B">
        <w:rPr>
          <w:rFonts w:eastAsia="Calibri"/>
          <w:color w:val="auto"/>
          <w:lang w:eastAsia="en-GB"/>
        </w:rPr>
        <w:t xml:space="preserve">; </w:t>
      </w:r>
      <w:r w:rsidR="00134E8B" w:rsidRPr="00350DF5">
        <w:rPr>
          <w:rFonts w:eastAsia="Calibri"/>
          <w:color w:val="auto"/>
          <w:lang w:eastAsia="en-GB"/>
        </w:rPr>
        <w:t>Hillman et al.</w:t>
      </w:r>
      <w:r w:rsidR="00134E8B">
        <w:rPr>
          <w:rFonts w:eastAsia="Calibri"/>
          <w:color w:val="auto"/>
          <w:lang w:eastAsia="en-GB"/>
        </w:rPr>
        <w:t>,</w:t>
      </w:r>
      <w:r w:rsidR="00134E8B" w:rsidRPr="00350DF5">
        <w:rPr>
          <w:rFonts w:eastAsia="Calibri"/>
          <w:color w:val="auto"/>
          <w:lang w:eastAsia="en-GB"/>
        </w:rPr>
        <w:t xml:space="preserve"> 2000;</w:t>
      </w:r>
      <w:r w:rsidR="00134E8B">
        <w:rPr>
          <w:rFonts w:eastAsia="Calibri"/>
          <w:color w:val="auto"/>
          <w:lang w:eastAsia="en-GB"/>
        </w:rPr>
        <w:t xml:space="preserve"> </w:t>
      </w:r>
      <w:proofErr w:type="spellStart"/>
      <w:r w:rsidR="005A7004" w:rsidRPr="00350DF5">
        <w:rPr>
          <w:color w:val="auto"/>
        </w:rPr>
        <w:t>Spitzeck</w:t>
      </w:r>
      <w:proofErr w:type="spellEnd"/>
      <w:r w:rsidR="0028639C" w:rsidRPr="00350DF5">
        <w:rPr>
          <w:rFonts w:eastAsia="Calibri"/>
          <w:color w:val="auto"/>
          <w:lang w:eastAsia="en-GB"/>
        </w:rPr>
        <w:t xml:space="preserve"> </w:t>
      </w:r>
      <w:r w:rsidR="00E66ADC">
        <w:rPr>
          <w:color w:val="auto"/>
          <w:lang w:val="en-US"/>
        </w:rPr>
        <w:t>and</w:t>
      </w:r>
      <w:r w:rsidR="0028639C" w:rsidRPr="00350DF5">
        <w:rPr>
          <w:rFonts w:eastAsia="Calibri"/>
          <w:color w:val="auto"/>
          <w:lang w:eastAsia="en-GB"/>
        </w:rPr>
        <w:t xml:space="preserve"> </w:t>
      </w:r>
      <w:r w:rsidR="0028639C" w:rsidRPr="00855E1C">
        <w:rPr>
          <w:rFonts w:eastAsia="Calibri"/>
          <w:color w:val="auto"/>
          <w:lang w:eastAsia="en-GB"/>
        </w:rPr>
        <w:t>Hansen, 2010</w:t>
      </w:r>
      <w:r w:rsidR="000D6CFA" w:rsidRPr="00855E1C">
        <w:rPr>
          <w:rFonts w:eastAsia="Calibri"/>
          <w:color w:val="auto"/>
          <w:lang w:eastAsia="en-GB"/>
        </w:rPr>
        <w:t>)</w:t>
      </w:r>
      <w:r w:rsidR="000D6CFA" w:rsidRPr="00855E1C">
        <w:rPr>
          <w:rFonts w:eastAsia="Calibri"/>
          <w:color w:val="auto"/>
          <w:vertAlign w:val="superscript"/>
          <w:lang w:eastAsia="en-GB"/>
        </w:rPr>
        <w:t xml:space="preserve"> [</w:t>
      </w:r>
      <w:r w:rsidR="00217DF1" w:rsidRPr="00855E1C">
        <w:rPr>
          <w:rFonts w:eastAsia="Calibri"/>
          <w:color w:val="auto"/>
          <w:vertAlign w:val="superscript"/>
          <w:lang w:eastAsia="en-GB"/>
        </w:rPr>
        <w:t>9</w:t>
      </w:r>
      <w:r w:rsidR="000D6CFA" w:rsidRPr="00855E1C">
        <w:rPr>
          <w:rFonts w:eastAsia="Calibri"/>
          <w:color w:val="auto"/>
          <w:vertAlign w:val="superscript"/>
          <w:lang w:eastAsia="en-GB"/>
        </w:rPr>
        <w:t>]</w:t>
      </w:r>
      <w:r w:rsidRPr="00855E1C">
        <w:rPr>
          <w:rFonts w:eastAsia="Calibri"/>
          <w:color w:val="auto"/>
          <w:lang w:eastAsia="en-GB"/>
        </w:rPr>
        <w:t xml:space="preserve">. </w:t>
      </w:r>
      <w:r w:rsidR="00E244B7" w:rsidRPr="00855E1C">
        <w:rPr>
          <w:color w:val="auto"/>
        </w:rPr>
        <w:t>Stressing the importance of community influential NEDs, Hillman et al</w:t>
      </w:r>
      <w:r w:rsidR="00E244B7" w:rsidRPr="00855E1C">
        <w:rPr>
          <w:i/>
          <w:color w:val="auto"/>
        </w:rPr>
        <w:t>.,</w:t>
      </w:r>
      <w:r w:rsidR="00E244B7" w:rsidRPr="00855E1C">
        <w:rPr>
          <w:color w:val="auto"/>
        </w:rPr>
        <w:t xml:space="preserve"> (2000), argued that such NEDs possesses immense information and experience on the impact of organisational activities on community of operation and the expectations of powerful community groups. Suffice to say therefore that the presence of these NEDs on corporate boards can contribute enormously to corporate legitimacy by facilitating the disclosure of the company’s community activities within its community of operation</w:t>
      </w:r>
      <w:r w:rsidR="00E244B7" w:rsidRPr="00855E1C">
        <w:rPr>
          <w:rFonts w:eastAsia="Calibri"/>
          <w:color w:val="auto"/>
          <w:lang w:eastAsia="en-GB"/>
        </w:rPr>
        <w:t xml:space="preserve">. </w:t>
      </w:r>
      <w:r w:rsidRPr="00855E1C">
        <w:rPr>
          <w:rFonts w:eastAsia="Calibri"/>
          <w:color w:val="auto"/>
          <w:lang w:eastAsia="en-GB"/>
        </w:rPr>
        <w:t xml:space="preserve">The key task of this type of NEDs is to ensure sufficient </w:t>
      </w:r>
      <w:r w:rsidRPr="00855E1C">
        <w:rPr>
          <w:rFonts w:eastAsia="Calibri"/>
          <w:color w:val="auto"/>
          <w:lang w:eastAsia="en-GB"/>
        </w:rPr>
        <w:lastRenderedPageBreak/>
        <w:t xml:space="preserve">corporate </w:t>
      </w:r>
      <w:r w:rsidR="00AB6000" w:rsidRPr="00855E1C">
        <w:rPr>
          <w:rFonts w:eastAsia="Calibri"/>
          <w:color w:val="auto"/>
          <w:lang w:eastAsia="en-GB"/>
        </w:rPr>
        <w:t xml:space="preserve">social action </w:t>
      </w:r>
      <w:r w:rsidR="005220E9" w:rsidRPr="00855E1C">
        <w:rPr>
          <w:rFonts w:eastAsia="Calibri"/>
          <w:color w:val="auto"/>
          <w:lang w:eastAsia="en-GB"/>
        </w:rPr>
        <w:t>by</w:t>
      </w:r>
      <w:r w:rsidRPr="00855E1C">
        <w:rPr>
          <w:rFonts w:eastAsia="Calibri"/>
          <w:color w:val="auto"/>
          <w:lang w:eastAsia="en-GB"/>
        </w:rPr>
        <w:t xml:space="preserve"> the company </w:t>
      </w:r>
      <w:r w:rsidR="00E244B7" w:rsidRPr="00855E1C">
        <w:rPr>
          <w:rFonts w:eastAsia="Calibri"/>
          <w:color w:val="auto"/>
          <w:lang w:eastAsia="en-GB"/>
        </w:rPr>
        <w:t xml:space="preserve">and </w:t>
      </w:r>
      <w:r w:rsidR="00D60086" w:rsidRPr="00855E1C">
        <w:rPr>
          <w:rFonts w:eastAsia="Calibri"/>
          <w:color w:val="auto"/>
          <w:lang w:eastAsia="en-GB"/>
        </w:rPr>
        <w:t xml:space="preserve">communication of </w:t>
      </w:r>
      <w:r w:rsidR="00E244B7" w:rsidRPr="00855E1C">
        <w:rPr>
          <w:rFonts w:eastAsia="Calibri"/>
          <w:color w:val="auto"/>
          <w:lang w:eastAsia="en-GB"/>
        </w:rPr>
        <w:t xml:space="preserve">same </w:t>
      </w:r>
      <w:r w:rsidR="00D60086" w:rsidRPr="00855E1C">
        <w:rPr>
          <w:rFonts w:eastAsia="Calibri"/>
          <w:color w:val="auto"/>
          <w:lang w:eastAsia="en-GB"/>
        </w:rPr>
        <w:t xml:space="preserve">through quality disclosure </w:t>
      </w:r>
      <w:r w:rsidR="00E244B7" w:rsidRPr="00855E1C">
        <w:rPr>
          <w:rFonts w:eastAsia="Calibri"/>
          <w:color w:val="auto"/>
          <w:lang w:eastAsia="en-GB"/>
        </w:rPr>
        <w:t xml:space="preserve">in the annual reports, thus, </w:t>
      </w:r>
      <w:r w:rsidR="00E244B7">
        <w:rPr>
          <w:rFonts w:eastAsia="Calibri"/>
          <w:color w:val="auto"/>
          <w:lang w:eastAsia="en-GB"/>
        </w:rPr>
        <w:t>leading</w:t>
      </w:r>
      <w:r w:rsidRPr="00350DF5">
        <w:rPr>
          <w:rFonts w:eastAsia="Calibri"/>
          <w:color w:val="auto"/>
          <w:lang w:eastAsia="en-GB"/>
        </w:rPr>
        <w:t xml:space="preserve"> to a good relationship between the firm and the society</w:t>
      </w:r>
      <w:r w:rsidR="0028639C" w:rsidRPr="00350DF5">
        <w:rPr>
          <w:rFonts w:eastAsia="Calibri"/>
          <w:color w:val="auto"/>
          <w:lang w:eastAsia="en-GB"/>
        </w:rPr>
        <w:t xml:space="preserve">. </w:t>
      </w:r>
      <w:r w:rsidRPr="00350DF5">
        <w:rPr>
          <w:rFonts w:eastAsia="Calibri"/>
          <w:color w:val="auto"/>
          <w:lang w:eastAsia="en-GB"/>
        </w:rPr>
        <w:t xml:space="preserve"> </w:t>
      </w:r>
    </w:p>
    <w:p w14:paraId="32BBE526" w14:textId="73129D61" w:rsidR="00177C74" w:rsidRPr="00D057B6" w:rsidRDefault="00D057B6" w:rsidP="0028639C">
      <w:pPr>
        <w:autoSpaceDE w:val="0"/>
        <w:autoSpaceDN w:val="0"/>
        <w:adjustRightInd w:val="0"/>
        <w:spacing w:line="480" w:lineRule="auto"/>
        <w:ind w:firstLine="567"/>
        <w:jc w:val="both"/>
        <w:rPr>
          <w:color w:val="auto"/>
          <w:lang w:eastAsia="en-GB"/>
        </w:rPr>
      </w:pPr>
      <w:r w:rsidRPr="00D057B6">
        <w:rPr>
          <w:rFonts w:eastAsia="Calibri"/>
          <w:color w:val="auto"/>
          <w:lang w:eastAsia="en-GB"/>
        </w:rPr>
        <w:t xml:space="preserve">Therefore, </w:t>
      </w:r>
      <w:r w:rsidR="00177C74" w:rsidRPr="00D057B6">
        <w:rPr>
          <w:rFonts w:eastAsia="Calibri"/>
          <w:color w:val="auto"/>
          <w:lang w:eastAsia="en-GB"/>
        </w:rPr>
        <w:t>the ethical and integrating dimensions</w:t>
      </w:r>
      <w:r w:rsidRPr="00D057B6">
        <w:rPr>
          <w:rFonts w:eastAsia="Calibri"/>
          <w:color w:val="auto"/>
          <w:lang w:eastAsia="en-GB"/>
        </w:rPr>
        <w:t xml:space="preserve"> </w:t>
      </w:r>
      <w:r w:rsidR="00177C74" w:rsidRPr="00D057B6">
        <w:rPr>
          <w:rFonts w:eastAsia="Calibri"/>
          <w:color w:val="auto"/>
          <w:lang w:eastAsia="en-GB"/>
        </w:rPr>
        <w:t xml:space="preserve">of stakeholder’s theory </w:t>
      </w:r>
      <w:r w:rsidRPr="00D057B6">
        <w:rPr>
          <w:rFonts w:eastAsia="Calibri"/>
          <w:color w:val="auto"/>
          <w:lang w:eastAsia="en-GB"/>
        </w:rPr>
        <w:t xml:space="preserve">discussed above </w:t>
      </w:r>
      <w:r w:rsidR="00A2154E" w:rsidRPr="00D057B6">
        <w:rPr>
          <w:rFonts w:eastAsia="Calibri"/>
          <w:color w:val="auto"/>
          <w:lang w:eastAsia="en-GB"/>
        </w:rPr>
        <w:t>offer</w:t>
      </w:r>
      <w:r w:rsidR="00177C74" w:rsidRPr="00D057B6">
        <w:rPr>
          <w:rFonts w:eastAsia="Calibri"/>
          <w:color w:val="auto"/>
          <w:lang w:eastAsia="en-GB"/>
        </w:rPr>
        <w:t xml:space="preserve"> </w:t>
      </w:r>
      <w:r w:rsidR="00A2154E">
        <w:rPr>
          <w:rFonts w:eastAsia="Calibri"/>
          <w:color w:val="auto"/>
          <w:lang w:eastAsia="en-GB"/>
        </w:rPr>
        <w:t>the</w:t>
      </w:r>
      <w:r w:rsidR="00177C74" w:rsidRPr="00D057B6">
        <w:rPr>
          <w:rFonts w:eastAsia="Calibri"/>
          <w:color w:val="auto"/>
          <w:lang w:eastAsia="en-GB"/>
        </w:rPr>
        <w:t xml:space="preserve"> </w:t>
      </w:r>
      <w:r w:rsidR="00177C74" w:rsidRPr="00D057B6">
        <w:rPr>
          <w:color w:val="auto"/>
          <w:lang w:eastAsia="en-GB"/>
        </w:rPr>
        <w:t>appropriate theoretical support for the effective evaluation of C</w:t>
      </w:r>
      <w:r w:rsidR="00AB6000" w:rsidRPr="00D057B6">
        <w:rPr>
          <w:color w:val="auto"/>
          <w:lang w:eastAsia="en-GB"/>
        </w:rPr>
        <w:t>CI</w:t>
      </w:r>
      <w:r w:rsidR="00177C74" w:rsidRPr="00D057B6">
        <w:rPr>
          <w:color w:val="auto"/>
          <w:lang w:eastAsia="en-GB"/>
        </w:rPr>
        <w:t xml:space="preserve"> performance and disclosures</w:t>
      </w:r>
      <w:r w:rsidR="004F2977" w:rsidRPr="00D057B6">
        <w:rPr>
          <w:color w:val="auto"/>
          <w:lang w:eastAsia="en-GB"/>
        </w:rPr>
        <w:t xml:space="preserve">. This also provides </w:t>
      </w:r>
      <w:r w:rsidR="006663F7" w:rsidRPr="00D057B6">
        <w:rPr>
          <w:color w:val="auto"/>
          <w:lang w:eastAsia="en-GB"/>
        </w:rPr>
        <w:t>the relevant</w:t>
      </w:r>
      <w:r w:rsidR="00177C74" w:rsidRPr="00D057B6">
        <w:rPr>
          <w:color w:val="auto"/>
        </w:rPr>
        <w:t xml:space="preserve"> conceptual framework for this study which lends itself well to establishing the importance of disclosing quality information regarding this </w:t>
      </w:r>
      <w:r w:rsidR="00A2154E">
        <w:rPr>
          <w:color w:val="auto"/>
        </w:rPr>
        <w:t xml:space="preserve">particular </w:t>
      </w:r>
      <w:r w:rsidR="00177C74" w:rsidRPr="00D057B6">
        <w:rPr>
          <w:color w:val="auto"/>
        </w:rPr>
        <w:t>group of stakeholders</w:t>
      </w:r>
      <w:r w:rsidR="00A2154E">
        <w:rPr>
          <w:color w:val="auto"/>
        </w:rPr>
        <w:t>, i.e. the society</w:t>
      </w:r>
      <w:r w:rsidR="00177C74" w:rsidRPr="00D057B6">
        <w:rPr>
          <w:color w:val="auto"/>
        </w:rPr>
        <w:t xml:space="preserve">. </w:t>
      </w:r>
      <w:r w:rsidR="00177C74" w:rsidRPr="00D057B6">
        <w:rPr>
          <w:iCs/>
          <w:color w:val="auto"/>
          <w:lang w:eastAsia="en-GB"/>
        </w:rPr>
        <w:t xml:space="preserve">Consequently, to answer our research question, our conjecture based on </w:t>
      </w:r>
      <w:r w:rsidR="00A2154E">
        <w:rPr>
          <w:iCs/>
          <w:color w:val="auto"/>
          <w:lang w:eastAsia="en-GB"/>
        </w:rPr>
        <w:t xml:space="preserve">the above </w:t>
      </w:r>
      <w:r w:rsidR="00177C74" w:rsidRPr="00D057B6">
        <w:rPr>
          <w:iCs/>
          <w:color w:val="auto"/>
          <w:lang w:eastAsia="en-GB"/>
        </w:rPr>
        <w:t>theoretical literature is that</w:t>
      </w:r>
      <w:r w:rsidR="00177C74" w:rsidRPr="00D057B6">
        <w:rPr>
          <w:color w:val="auto"/>
          <w:lang w:eastAsia="en-GB"/>
        </w:rPr>
        <w:t xml:space="preserve">: </w:t>
      </w:r>
    </w:p>
    <w:p w14:paraId="420073D8" w14:textId="77777777" w:rsidR="005220E9" w:rsidRPr="004A27F7" w:rsidRDefault="005220E9" w:rsidP="004A27F7">
      <w:pPr>
        <w:spacing w:line="276" w:lineRule="auto"/>
        <w:jc w:val="both"/>
        <w:rPr>
          <w:b/>
          <w:i/>
        </w:rPr>
      </w:pPr>
    </w:p>
    <w:p w14:paraId="1664626C" w14:textId="7CA6C0F8" w:rsidR="00177C74" w:rsidRDefault="00177C74" w:rsidP="004A27F7">
      <w:pPr>
        <w:spacing w:line="276" w:lineRule="auto"/>
        <w:jc w:val="both"/>
        <w:rPr>
          <w:b/>
          <w:i/>
        </w:rPr>
      </w:pPr>
      <w:r w:rsidRPr="004A27F7">
        <w:rPr>
          <w:b/>
          <w:i/>
        </w:rPr>
        <w:t xml:space="preserve">H1: Higher number of NEDs leads to higher quality of </w:t>
      </w:r>
      <w:r w:rsidR="005956D3">
        <w:rPr>
          <w:b/>
          <w:i/>
        </w:rPr>
        <w:t>corporate community involvement (</w:t>
      </w:r>
      <w:r w:rsidRPr="004A27F7">
        <w:rPr>
          <w:b/>
          <w:i/>
        </w:rPr>
        <w:t>CCI</w:t>
      </w:r>
      <w:r w:rsidR="005956D3">
        <w:rPr>
          <w:b/>
          <w:i/>
        </w:rPr>
        <w:t>)</w:t>
      </w:r>
      <w:r w:rsidRPr="004A27F7">
        <w:rPr>
          <w:b/>
          <w:i/>
        </w:rPr>
        <w:t xml:space="preserve"> activities and disclosures measured by </w:t>
      </w:r>
      <w:r w:rsidR="005956D3">
        <w:rPr>
          <w:b/>
          <w:i/>
        </w:rPr>
        <w:t xml:space="preserve">total </w:t>
      </w:r>
      <w:r w:rsidR="005956D3" w:rsidRPr="00350DF5">
        <w:rPr>
          <w:b/>
          <w:i/>
          <w:color w:val="auto"/>
          <w:lang w:val="en-US"/>
        </w:rPr>
        <w:t xml:space="preserve">Community Disclosure Quality </w:t>
      </w:r>
      <w:r w:rsidRPr="004A27F7">
        <w:rPr>
          <w:b/>
          <w:i/>
        </w:rPr>
        <w:t xml:space="preserve">Score </w:t>
      </w:r>
      <w:r w:rsidR="005956D3">
        <w:rPr>
          <w:b/>
          <w:i/>
        </w:rPr>
        <w:t xml:space="preserve">(CCIDQ) </w:t>
      </w:r>
      <w:r w:rsidRPr="004A27F7">
        <w:rPr>
          <w:b/>
          <w:i/>
        </w:rPr>
        <w:t>in annual reports ceteris paribus.</w:t>
      </w:r>
    </w:p>
    <w:p w14:paraId="03059133" w14:textId="77777777" w:rsidR="006F5D7B" w:rsidRDefault="006F5D7B" w:rsidP="004A27F7">
      <w:pPr>
        <w:spacing w:line="276" w:lineRule="auto"/>
        <w:jc w:val="both"/>
        <w:rPr>
          <w:b/>
          <w:i/>
        </w:rPr>
      </w:pPr>
    </w:p>
    <w:p w14:paraId="07A014D1" w14:textId="77777777" w:rsidR="006F5D7B" w:rsidRPr="004A27F7" w:rsidRDefault="006F5D7B" w:rsidP="004A27F7">
      <w:pPr>
        <w:spacing w:line="276" w:lineRule="auto"/>
        <w:jc w:val="both"/>
        <w:rPr>
          <w:b/>
          <w:i/>
        </w:rPr>
      </w:pPr>
    </w:p>
    <w:p w14:paraId="1081FF95" w14:textId="77777777" w:rsidR="00A5674E" w:rsidRPr="00350DF5" w:rsidRDefault="00FE370C">
      <w:pPr>
        <w:pStyle w:val="ListParagraph"/>
        <w:numPr>
          <w:ilvl w:val="1"/>
          <w:numId w:val="1"/>
        </w:numPr>
        <w:spacing w:line="480" w:lineRule="auto"/>
        <w:ind w:left="624" w:hanging="397"/>
        <w:rPr>
          <w:b/>
          <w:i/>
          <w:color w:val="auto"/>
          <w:szCs w:val="24"/>
          <w:lang w:val="en-US"/>
        </w:rPr>
      </w:pPr>
      <w:bookmarkStart w:id="1" w:name="_Toc303601642"/>
      <w:r w:rsidRPr="00350DF5">
        <w:rPr>
          <w:b/>
          <w:i/>
          <w:color w:val="auto"/>
          <w:szCs w:val="24"/>
          <w:lang w:val="en-US"/>
        </w:rPr>
        <w:t>Measuring Community Disclosure Quality</w:t>
      </w:r>
      <w:bookmarkEnd w:id="1"/>
      <w:r w:rsidRPr="00350DF5">
        <w:rPr>
          <w:b/>
          <w:i/>
          <w:color w:val="auto"/>
          <w:szCs w:val="24"/>
          <w:lang w:val="en-US"/>
        </w:rPr>
        <w:t xml:space="preserve"> (CCIDQ)</w:t>
      </w:r>
    </w:p>
    <w:p w14:paraId="6636A728" w14:textId="361C3530" w:rsidR="00A5674E" w:rsidRPr="00350DF5" w:rsidRDefault="00FE370C" w:rsidP="001947C6">
      <w:pPr>
        <w:spacing w:line="480" w:lineRule="auto"/>
        <w:ind w:firstLine="567"/>
        <w:jc w:val="both"/>
        <w:rPr>
          <w:color w:val="auto"/>
          <w:lang w:val="en-US"/>
        </w:rPr>
      </w:pPr>
      <w:r w:rsidRPr="00350DF5">
        <w:rPr>
          <w:color w:val="auto"/>
          <w:lang w:val="en-US"/>
        </w:rPr>
        <w:t>There is a growing body of literature on how to measure or define disclosure quality (</w:t>
      </w:r>
      <w:r w:rsidR="0092354B" w:rsidRPr="0092354B">
        <w:rPr>
          <w:color w:val="auto"/>
          <w:lang w:val="en-US"/>
        </w:rPr>
        <w:t xml:space="preserve">Beattie </w:t>
      </w:r>
      <w:r w:rsidR="0092354B" w:rsidRPr="0092354B">
        <w:rPr>
          <w:iCs/>
          <w:color w:val="auto"/>
          <w:lang w:val="en-US"/>
        </w:rPr>
        <w:t>et al</w:t>
      </w:r>
      <w:r w:rsidR="0092354B">
        <w:rPr>
          <w:iCs/>
          <w:color w:val="auto"/>
          <w:lang w:val="en-US"/>
        </w:rPr>
        <w:t>.</w:t>
      </w:r>
      <w:r w:rsidR="0092354B" w:rsidRPr="0092354B">
        <w:rPr>
          <w:color w:val="auto"/>
          <w:lang w:val="en-US"/>
        </w:rPr>
        <w:t xml:space="preserve">, 2004; Beretta </w:t>
      </w:r>
      <w:r w:rsidR="007742F4">
        <w:rPr>
          <w:color w:val="auto"/>
          <w:lang w:val="en-US"/>
        </w:rPr>
        <w:t>and</w:t>
      </w:r>
      <w:r w:rsidR="0092354B" w:rsidRPr="0092354B">
        <w:rPr>
          <w:color w:val="auto"/>
          <w:lang w:val="en-US"/>
        </w:rPr>
        <w:t xml:space="preserve"> </w:t>
      </w:r>
      <w:proofErr w:type="spellStart"/>
      <w:r w:rsidR="0092354B" w:rsidRPr="0092354B">
        <w:rPr>
          <w:color w:val="auto"/>
          <w:lang w:val="en-US"/>
        </w:rPr>
        <w:t>Bozzolan</w:t>
      </w:r>
      <w:proofErr w:type="spellEnd"/>
      <w:r w:rsidR="0092354B" w:rsidRPr="0092354B">
        <w:rPr>
          <w:color w:val="auto"/>
          <w:lang w:val="en-US"/>
        </w:rPr>
        <w:t>, 2008</w:t>
      </w:r>
      <w:r w:rsidRPr="00350DF5">
        <w:rPr>
          <w:color w:val="auto"/>
          <w:lang w:val="en-US"/>
        </w:rPr>
        <w:t xml:space="preserve">).  Consequently, various methods of measurement </w:t>
      </w:r>
      <w:r w:rsidR="0092354B">
        <w:rPr>
          <w:color w:val="auto"/>
          <w:lang w:val="en-US"/>
        </w:rPr>
        <w:t>are</w:t>
      </w:r>
      <w:r w:rsidRPr="00350DF5">
        <w:rPr>
          <w:color w:val="auto"/>
          <w:lang w:val="en-US"/>
        </w:rPr>
        <w:t xml:space="preserve"> used in the literature as a measure of disclosure quality. While some</w:t>
      </w:r>
      <w:r w:rsidR="0092354B">
        <w:rPr>
          <w:color w:val="auto"/>
          <w:lang w:val="en-US"/>
        </w:rPr>
        <w:t xml:space="preserve"> authors</w:t>
      </w:r>
      <w:r w:rsidRPr="00350DF5">
        <w:rPr>
          <w:color w:val="auto"/>
          <w:lang w:val="en-US"/>
        </w:rPr>
        <w:t xml:space="preserve"> </w:t>
      </w:r>
      <w:r w:rsidR="0092354B">
        <w:rPr>
          <w:color w:val="auto"/>
          <w:lang w:val="en-US"/>
        </w:rPr>
        <w:t>use</w:t>
      </w:r>
      <w:r w:rsidRPr="00350DF5">
        <w:rPr>
          <w:color w:val="auto"/>
          <w:lang w:val="en-US"/>
        </w:rPr>
        <w:t xml:space="preserve"> analyst ratings (</w:t>
      </w:r>
      <w:proofErr w:type="spellStart"/>
      <w:r w:rsidR="0092354B" w:rsidRPr="00350DF5">
        <w:rPr>
          <w:color w:val="auto"/>
          <w:lang w:val="en-US"/>
        </w:rPr>
        <w:t>Hasseldine</w:t>
      </w:r>
      <w:proofErr w:type="spellEnd"/>
      <w:r w:rsidR="0092354B" w:rsidRPr="00350DF5">
        <w:rPr>
          <w:color w:val="auto"/>
          <w:lang w:val="en-US"/>
        </w:rPr>
        <w:t xml:space="preserve"> </w:t>
      </w:r>
      <w:r w:rsidR="0092354B" w:rsidRPr="0092354B">
        <w:rPr>
          <w:iCs/>
          <w:color w:val="auto"/>
          <w:lang w:val="en-US"/>
        </w:rPr>
        <w:t>et al.,</w:t>
      </w:r>
      <w:r w:rsidR="0092354B" w:rsidRPr="00350DF5">
        <w:rPr>
          <w:i/>
          <w:iCs/>
          <w:color w:val="auto"/>
          <w:lang w:val="en-US"/>
        </w:rPr>
        <w:t xml:space="preserve"> </w:t>
      </w:r>
      <w:r w:rsidR="0092354B" w:rsidRPr="00350DF5">
        <w:rPr>
          <w:color w:val="auto"/>
          <w:lang w:val="en-US"/>
        </w:rPr>
        <w:t>2005</w:t>
      </w:r>
      <w:r w:rsidR="0092354B">
        <w:rPr>
          <w:color w:val="auto"/>
          <w:lang w:val="en-US"/>
        </w:rPr>
        <w:t xml:space="preserve">; </w:t>
      </w:r>
      <w:r w:rsidRPr="00350DF5">
        <w:rPr>
          <w:color w:val="auto"/>
          <w:lang w:val="en-US"/>
        </w:rPr>
        <w:t>Toms, 2002), others have constructed their own index (</w:t>
      </w:r>
      <w:r w:rsidR="0092354B" w:rsidRPr="0092354B">
        <w:rPr>
          <w:color w:val="auto"/>
          <w:lang w:val="en-US"/>
        </w:rPr>
        <w:t xml:space="preserve">Beattie </w:t>
      </w:r>
      <w:r w:rsidR="0092354B" w:rsidRPr="0092354B">
        <w:rPr>
          <w:iCs/>
          <w:color w:val="auto"/>
          <w:lang w:val="en-US"/>
        </w:rPr>
        <w:t xml:space="preserve">et al., </w:t>
      </w:r>
      <w:r w:rsidR="0092354B" w:rsidRPr="0092354B">
        <w:rPr>
          <w:color w:val="auto"/>
          <w:lang w:val="en-US"/>
        </w:rPr>
        <w:t xml:space="preserve">2004; Freedman </w:t>
      </w:r>
      <w:r w:rsidR="00E66ADC">
        <w:rPr>
          <w:color w:val="auto"/>
          <w:lang w:val="en-US"/>
        </w:rPr>
        <w:t>and</w:t>
      </w:r>
      <w:r w:rsidR="0092354B" w:rsidRPr="0092354B">
        <w:rPr>
          <w:color w:val="auto"/>
          <w:lang w:val="en-US"/>
        </w:rPr>
        <w:t xml:space="preserve"> </w:t>
      </w:r>
      <w:proofErr w:type="spellStart"/>
      <w:r w:rsidR="0092354B" w:rsidRPr="0092354B">
        <w:rPr>
          <w:color w:val="auto"/>
          <w:lang w:val="en-US"/>
        </w:rPr>
        <w:t>Stagliano</w:t>
      </w:r>
      <w:proofErr w:type="spellEnd"/>
      <w:r w:rsidR="0092354B" w:rsidRPr="0092354B">
        <w:rPr>
          <w:color w:val="auto"/>
          <w:lang w:val="en-US"/>
        </w:rPr>
        <w:t xml:space="preserve">, </w:t>
      </w:r>
      <w:r w:rsidR="00F858F7">
        <w:rPr>
          <w:color w:val="auto"/>
          <w:lang w:val="en-US"/>
        </w:rPr>
        <w:t xml:space="preserve">1992 and </w:t>
      </w:r>
      <w:r w:rsidR="0092354B" w:rsidRPr="0092354B">
        <w:rPr>
          <w:color w:val="auto"/>
          <w:lang w:val="en-US"/>
        </w:rPr>
        <w:t xml:space="preserve">2008; </w:t>
      </w:r>
      <w:r w:rsidRPr="0092354B">
        <w:rPr>
          <w:color w:val="auto"/>
          <w:lang w:val="en-US"/>
        </w:rPr>
        <w:t xml:space="preserve">Walden </w:t>
      </w:r>
      <w:r w:rsidR="00E66ADC">
        <w:rPr>
          <w:color w:val="auto"/>
          <w:lang w:val="en-US"/>
        </w:rPr>
        <w:t>and</w:t>
      </w:r>
      <w:r w:rsidRPr="0092354B">
        <w:rPr>
          <w:color w:val="auto"/>
          <w:lang w:val="en-US"/>
        </w:rPr>
        <w:t xml:space="preserve"> Schwartz, 1997; </w:t>
      </w:r>
      <w:proofErr w:type="spellStart"/>
      <w:r w:rsidRPr="0092354B">
        <w:rPr>
          <w:color w:val="auto"/>
          <w:lang w:val="en-US"/>
        </w:rPr>
        <w:t>Yekini</w:t>
      </w:r>
      <w:proofErr w:type="spellEnd"/>
      <w:r w:rsidRPr="0092354B">
        <w:rPr>
          <w:color w:val="auto"/>
          <w:lang w:val="en-US"/>
        </w:rPr>
        <w:t xml:space="preserve"> </w:t>
      </w:r>
      <w:r w:rsidR="00E66ADC">
        <w:rPr>
          <w:color w:val="auto"/>
          <w:lang w:val="en-US"/>
        </w:rPr>
        <w:t>and</w:t>
      </w:r>
      <w:r w:rsidRPr="0092354B">
        <w:rPr>
          <w:color w:val="auto"/>
          <w:lang w:val="en-US"/>
        </w:rPr>
        <w:t xml:space="preserve"> </w:t>
      </w:r>
      <w:proofErr w:type="spellStart"/>
      <w:r w:rsidRPr="0092354B">
        <w:rPr>
          <w:color w:val="auto"/>
          <w:lang w:val="en-US"/>
        </w:rPr>
        <w:t>Jallow</w:t>
      </w:r>
      <w:proofErr w:type="spellEnd"/>
      <w:r w:rsidRPr="0092354B">
        <w:rPr>
          <w:color w:val="auto"/>
          <w:lang w:val="en-US"/>
        </w:rPr>
        <w:t xml:space="preserve">, 2012), taking a great deal of factors into consideration. </w:t>
      </w:r>
      <w:r w:rsidRPr="0092354B">
        <w:rPr>
          <w:bCs/>
          <w:color w:val="auto"/>
          <w:lang w:val="en-US"/>
        </w:rPr>
        <w:t xml:space="preserve">For example, </w:t>
      </w:r>
      <w:r w:rsidR="008D13EC" w:rsidRPr="0092354B">
        <w:rPr>
          <w:bCs/>
          <w:color w:val="auto"/>
          <w:lang w:val="en-US"/>
        </w:rPr>
        <w:t xml:space="preserve">whereas </w:t>
      </w:r>
      <w:r w:rsidRPr="0092354B">
        <w:rPr>
          <w:bCs/>
          <w:color w:val="auto"/>
          <w:lang w:val="en-US"/>
        </w:rPr>
        <w:t>Walden and</w:t>
      </w:r>
      <w:r w:rsidRPr="00350DF5">
        <w:rPr>
          <w:bCs/>
          <w:color w:val="auto"/>
          <w:lang w:val="en-US"/>
        </w:rPr>
        <w:t xml:space="preserve"> Schwartz (1997)</w:t>
      </w:r>
      <w:r w:rsidRPr="00350DF5">
        <w:rPr>
          <w:color w:val="auto"/>
          <w:lang w:val="en-US"/>
        </w:rPr>
        <w:t xml:space="preserve"> </w:t>
      </w:r>
      <w:r w:rsidR="0092354B" w:rsidRPr="00350DF5">
        <w:rPr>
          <w:color w:val="auto"/>
          <w:lang w:val="en-US"/>
        </w:rPr>
        <w:t>buil</w:t>
      </w:r>
      <w:r w:rsidR="0092354B">
        <w:rPr>
          <w:color w:val="auto"/>
          <w:lang w:val="en-US"/>
        </w:rPr>
        <w:t>d</w:t>
      </w:r>
      <w:r w:rsidRPr="00350DF5">
        <w:rPr>
          <w:color w:val="auto"/>
          <w:lang w:val="en-US"/>
        </w:rPr>
        <w:t xml:space="preserve"> their definition of disclosure quality on the location of disclosure, the evidence of items disclosed </w:t>
      </w:r>
      <w:r w:rsidRPr="00350DF5">
        <w:rPr>
          <w:bCs/>
          <w:color w:val="auto"/>
          <w:lang w:val="en-US"/>
        </w:rPr>
        <w:t>– that is, monetary or nonmonetary</w:t>
      </w:r>
      <w:r w:rsidRPr="00350DF5">
        <w:rPr>
          <w:color w:val="auto"/>
          <w:lang w:val="en-US"/>
        </w:rPr>
        <w:t xml:space="preserve"> – and the timing of disclosure, </w:t>
      </w:r>
      <w:r w:rsidR="0092354B">
        <w:rPr>
          <w:color w:val="auto"/>
          <w:lang w:val="en-US"/>
        </w:rPr>
        <w:t xml:space="preserve">studies by </w:t>
      </w:r>
      <w:r w:rsidRPr="00350DF5">
        <w:rPr>
          <w:color w:val="auto"/>
          <w:lang w:val="en-US"/>
        </w:rPr>
        <w:t>Deegan and Gordon (1996)</w:t>
      </w:r>
      <w:r w:rsidRPr="00350DF5">
        <w:rPr>
          <w:bCs/>
          <w:color w:val="auto"/>
          <w:lang w:val="en-US"/>
        </w:rPr>
        <w:t xml:space="preserve"> and Deegan and Rankin (1996) define quality by the nature of the news in the disclosure. On the other hand, Gray </w:t>
      </w:r>
      <w:r w:rsidRPr="0092354B">
        <w:rPr>
          <w:bCs/>
          <w:color w:val="auto"/>
          <w:lang w:val="en-US"/>
        </w:rPr>
        <w:t>et al.</w:t>
      </w:r>
      <w:r w:rsidRPr="00350DF5">
        <w:rPr>
          <w:bCs/>
          <w:color w:val="auto"/>
          <w:lang w:val="en-US"/>
        </w:rPr>
        <w:t xml:space="preserve"> (1995); </w:t>
      </w:r>
      <w:proofErr w:type="spellStart"/>
      <w:r w:rsidRPr="00350DF5">
        <w:rPr>
          <w:bCs/>
          <w:color w:val="auto"/>
          <w:lang w:val="en-US"/>
        </w:rPr>
        <w:t>Hackston</w:t>
      </w:r>
      <w:proofErr w:type="spellEnd"/>
      <w:r w:rsidRPr="00350DF5">
        <w:rPr>
          <w:bCs/>
          <w:color w:val="auto"/>
          <w:lang w:val="en-US"/>
        </w:rPr>
        <w:t xml:space="preserve"> and Milne (1996) and Guthrie</w:t>
      </w:r>
      <w:r w:rsidRPr="0092354B">
        <w:rPr>
          <w:bCs/>
          <w:color w:val="auto"/>
          <w:lang w:val="en-US"/>
        </w:rPr>
        <w:t xml:space="preserve"> et al.</w:t>
      </w:r>
      <w:r w:rsidRPr="00350DF5">
        <w:rPr>
          <w:bCs/>
          <w:color w:val="auto"/>
          <w:lang w:val="en-US"/>
        </w:rPr>
        <w:t xml:space="preserve"> (2004) all have in common a definition of quality that includes themes of disclosure, amount (volume) of disclosure and evidence of disclosure. Beattie </w:t>
      </w:r>
      <w:r w:rsidRPr="0092354B">
        <w:rPr>
          <w:bCs/>
          <w:color w:val="auto"/>
          <w:lang w:val="en-US"/>
        </w:rPr>
        <w:t xml:space="preserve">et </w:t>
      </w:r>
      <w:r w:rsidRPr="0092354B">
        <w:rPr>
          <w:bCs/>
          <w:color w:val="auto"/>
          <w:lang w:val="en-US"/>
        </w:rPr>
        <w:lastRenderedPageBreak/>
        <w:t>al</w:t>
      </w:r>
      <w:r w:rsidR="000F4E6E" w:rsidRPr="0092354B">
        <w:rPr>
          <w:bCs/>
          <w:color w:val="auto"/>
          <w:lang w:val="en-US"/>
        </w:rPr>
        <w:t>.</w:t>
      </w:r>
      <w:r w:rsidR="0092354B">
        <w:rPr>
          <w:bCs/>
          <w:color w:val="auto"/>
          <w:lang w:val="en-US"/>
        </w:rPr>
        <w:t xml:space="preserve"> (2004, p.</w:t>
      </w:r>
      <w:r w:rsidRPr="00350DF5">
        <w:rPr>
          <w:bCs/>
          <w:color w:val="auto"/>
          <w:lang w:val="en-US"/>
        </w:rPr>
        <w:t xml:space="preserve">227) </w:t>
      </w:r>
      <w:r w:rsidRPr="00350DF5">
        <w:rPr>
          <w:color w:val="auto"/>
          <w:lang w:val="en-US"/>
        </w:rPr>
        <w:t>describe disclosure quality as a complex and “</w:t>
      </w:r>
      <w:r w:rsidRPr="00350DF5">
        <w:rPr>
          <w:i/>
          <w:color w:val="auto"/>
          <w:lang w:val="en-US"/>
        </w:rPr>
        <w:t>multi-faceted concept”</w:t>
      </w:r>
      <w:r w:rsidRPr="00350DF5">
        <w:rPr>
          <w:color w:val="auto"/>
          <w:lang w:val="en-US"/>
        </w:rPr>
        <w:t xml:space="preserve"> while also </w:t>
      </w:r>
      <w:r w:rsidRPr="00350DF5">
        <w:rPr>
          <w:bCs/>
          <w:color w:val="auto"/>
          <w:lang w:val="en-US"/>
        </w:rPr>
        <w:t>defining it in terms of its attributes:</w:t>
      </w:r>
      <w:r w:rsidRPr="00350DF5">
        <w:rPr>
          <w:color w:val="auto"/>
          <w:lang w:val="en-US"/>
        </w:rPr>
        <w:t xml:space="preserve"> historical/forward-looking, financial/non-financial and quantitative/ non-quantitative.</w:t>
      </w:r>
    </w:p>
    <w:p w14:paraId="5619E9DF" w14:textId="283550BF" w:rsidR="00344D38" w:rsidRPr="00855E1C" w:rsidRDefault="00FE370C" w:rsidP="001947C6">
      <w:pPr>
        <w:spacing w:line="480" w:lineRule="auto"/>
        <w:ind w:firstLine="567"/>
        <w:jc w:val="both"/>
        <w:rPr>
          <w:color w:val="auto"/>
          <w:lang w:eastAsia="en-GB"/>
        </w:rPr>
      </w:pPr>
      <w:r w:rsidRPr="00350DF5">
        <w:rPr>
          <w:color w:val="auto"/>
          <w:lang w:val="en-US"/>
        </w:rPr>
        <w:t xml:space="preserve">Following the </w:t>
      </w:r>
      <w:r w:rsidR="0092354B" w:rsidRPr="00350DF5">
        <w:rPr>
          <w:color w:val="auto"/>
          <w:lang w:val="en-US"/>
        </w:rPr>
        <w:t xml:space="preserve">above </w:t>
      </w:r>
      <w:r w:rsidRPr="00350DF5">
        <w:rPr>
          <w:color w:val="auto"/>
          <w:lang w:val="en-US"/>
        </w:rPr>
        <w:t>discussions, measuring the quality of CCI information disclosed in annual reports therefore depends on a number of factors: first, the form of disclosure</w:t>
      </w:r>
      <w:r w:rsidR="00B229CF" w:rsidRPr="00350DF5">
        <w:rPr>
          <w:color w:val="auto"/>
          <w:lang w:val="en-US"/>
        </w:rPr>
        <w:t xml:space="preserve"> (</w:t>
      </w:r>
      <w:r w:rsidR="00B229CF" w:rsidRPr="00350DF5">
        <w:rPr>
          <w:i/>
          <w:color w:val="auto"/>
          <w:lang w:val="en-US"/>
        </w:rPr>
        <w:t>factual</w:t>
      </w:r>
      <w:r w:rsidR="00B229CF" w:rsidRPr="00350DF5">
        <w:rPr>
          <w:color w:val="auto"/>
          <w:lang w:val="en-US"/>
        </w:rPr>
        <w:t xml:space="preserve"> or narrative)</w:t>
      </w:r>
      <w:r w:rsidRPr="00350DF5">
        <w:rPr>
          <w:color w:val="auto"/>
          <w:lang w:val="en-US"/>
        </w:rPr>
        <w:t xml:space="preserve"> – </w:t>
      </w:r>
      <w:r w:rsidR="004B551E" w:rsidRPr="00350DF5">
        <w:rPr>
          <w:color w:val="auto"/>
          <w:lang w:val="en-US"/>
        </w:rPr>
        <w:t xml:space="preserve">that is, </w:t>
      </w:r>
      <w:r w:rsidRPr="00350DF5">
        <w:rPr>
          <w:color w:val="auto"/>
          <w:lang w:val="en-US"/>
        </w:rPr>
        <w:t>whether financial, physical, or just narrative (</w:t>
      </w:r>
      <w:r w:rsidR="0092354B" w:rsidRPr="0092354B">
        <w:rPr>
          <w:color w:val="auto"/>
          <w:lang w:val="en-US"/>
        </w:rPr>
        <w:t xml:space="preserve">Gray et al., 1995; </w:t>
      </w:r>
      <w:proofErr w:type="spellStart"/>
      <w:r w:rsidR="0092354B" w:rsidRPr="0092354B">
        <w:rPr>
          <w:color w:val="auto"/>
          <w:lang w:val="en-US"/>
        </w:rPr>
        <w:t>Hackston</w:t>
      </w:r>
      <w:proofErr w:type="spellEnd"/>
      <w:r w:rsidR="0092354B" w:rsidRPr="0092354B">
        <w:rPr>
          <w:color w:val="auto"/>
          <w:lang w:val="en-US"/>
        </w:rPr>
        <w:t xml:space="preserve"> </w:t>
      </w:r>
      <w:r w:rsidR="00E66ADC">
        <w:rPr>
          <w:color w:val="auto"/>
          <w:lang w:val="en-US"/>
        </w:rPr>
        <w:t>and</w:t>
      </w:r>
      <w:r w:rsidR="0092354B">
        <w:rPr>
          <w:color w:val="auto"/>
          <w:lang w:val="en-US"/>
        </w:rPr>
        <w:t xml:space="preserve"> </w:t>
      </w:r>
      <w:r w:rsidR="0092354B" w:rsidRPr="0092354B">
        <w:rPr>
          <w:color w:val="auto"/>
          <w:lang w:val="en-US"/>
        </w:rPr>
        <w:t xml:space="preserve">Milne, 1996; </w:t>
      </w:r>
      <w:r w:rsidRPr="00350DF5">
        <w:rPr>
          <w:color w:val="auto"/>
          <w:lang w:val="en-US"/>
        </w:rPr>
        <w:t xml:space="preserve">Ingram </w:t>
      </w:r>
      <w:r w:rsidR="00E66ADC">
        <w:rPr>
          <w:color w:val="auto"/>
          <w:lang w:val="en-US"/>
        </w:rPr>
        <w:t>and</w:t>
      </w:r>
      <w:r w:rsidRPr="00350DF5">
        <w:rPr>
          <w:color w:val="auto"/>
          <w:lang w:val="en-US"/>
        </w:rPr>
        <w:t xml:space="preserve"> Frazier, 1980; Toms, 2002)</w:t>
      </w:r>
      <w:r w:rsidR="004B551E" w:rsidRPr="00350DF5">
        <w:rPr>
          <w:color w:val="auto"/>
          <w:lang w:val="en-US"/>
        </w:rPr>
        <w:t>.</w:t>
      </w:r>
      <w:r w:rsidRPr="00350DF5">
        <w:rPr>
          <w:color w:val="auto"/>
          <w:lang w:val="en-US"/>
        </w:rPr>
        <w:t xml:space="preserve"> </w:t>
      </w:r>
      <w:r w:rsidR="004B551E" w:rsidRPr="00350DF5">
        <w:rPr>
          <w:color w:val="auto"/>
          <w:lang w:val="en-US"/>
        </w:rPr>
        <w:t xml:space="preserve">Disclosure is </w:t>
      </w:r>
      <w:r w:rsidR="004B551E" w:rsidRPr="00350DF5">
        <w:rPr>
          <w:i/>
          <w:color w:val="auto"/>
          <w:lang w:val="en-US"/>
        </w:rPr>
        <w:t>Physical</w:t>
      </w:r>
      <w:r w:rsidR="004B551E" w:rsidRPr="00350DF5">
        <w:rPr>
          <w:color w:val="auto"/>
          <w:lang w:val="en-US"/>
        </w:rPr>
        <w:t xml:space="preserve"> where </w:t>
      </w:r>
      <w:r w:rsidR="000737FE" w:rsidRPr="00855E1C">
        <w:rPr>
          <w:color w:val="auto"/>
          <w:lang w:val="en-US"/>
        </w:rPr>
        <w:t xml:space="preserve">traceable evidence in the form </w:t>
      </w:r>
      <w:r w:rsidR="000737FE">
        <w:rPr>
          <w:color w:val="auto"/>
          <w:lang w:val="en-US"/>
        </w:rPr>
        <w:t xml:space="preserve">of </w:t>
      </w:r>
      <w:r w:rsidR="004B551E" w:rsidRPr="00350DF5">
        <w:rPr>
          <w:color w:val="auto"/>
          <w:lang w:val="en-US"/>
        </w:rPr>
        <w:t xml:space="preserve">actual picture of the community activity is displayed to support the narrative or financial disclosure. The inclusion of pictures in a quality measure is considered vital for the purpose of this study. Wilmshurst and Frost (2000) argue that a picture is worth more than a thousand words and will convey more messages than words. </w:t>
      </w:r>
      <w:r w:rsidR="00011639" w:rsidRPr="00350DF5">
        <w:rPr>
          <w:color w:val="auto"/>
          <w:lang w:eastAsia="en-GB"/>
        </w:rPr>
        <w:t>They maintain that pictures might be used by management to convey the corporation’s approach to environmental issues and therefore regard its exclusion from their study as a limitation.</w:t>
      </w:r>
      <w:r w:rsidR="00423EE1" w:rsidRPr="00350DF5">
        <w:rPr>
          <w:color w:val="auto"/>
          <w:lang w:eastAsia="en-GB"/>
        </w:rPr>
        <w:t xml:space="preserve"> </w:t>
      </w:r>
      <w:r w:rsidR="00161D8E" w:rsidRPr="00350DF5">
        <w:rPr>
          <w:color w:val="auto"/>
          <w:lang w:eastAsia="en-GB"/>
        </w:rPr>
        <w:t>We</w:t>
      </w:r>
      <w:r w:rsidR="00344D38" w:rsidRPr="00350DF5">
        <w:rPr>
          <w:color w:val="auto"/>
          <w:lang w:eastAsia="en-GB"/>
        </w:rPr>
        <w:t xml:space="preserve"> consider picture as an important part of CCI disclosure</w:t>
      </w:r>
      <w:r w:rsidR="0021269E" w:rsidRPr="00855E1C">
        <w:rPr>
          <w:color w:val="auto"/>
          <w:lang w:eastAsia="en-GB"/>
        </w:rPr>
        <w:t xml:space="preserve">, </w:t>
      </w:r>
      <w:r w:rsidR="00EB1886" w:rsidRPr="00855E1C">
        <w:rPr>
          <w:color w:val="auto"/>
          <w:lang w:eastAsia="en-GB"/>
        </w:rPr>
        <w:t>and include its disclosure in our measure of CCID. This is a major departure from previous studies, and fills an important void in the literature.</w:t>
      </w:r>
    </w:p>
    <w:p w14:paraId="72B2E89A" w14:textId="31B23610" w:rsidR="001947C6" w:rsidRPr="00350DF5" w:rsidRDefault="004B551E" w:rsidP="00344D38">
      <w:pPr>
        <w:spacing w:line="480" w:lineRule="auto"/>
        <w:ind w:firstLine="567"/>
        <w:jc w:val="both"/>
        <w:rPr>
          <w:color w:val="auto"/>
          <w:lang w:val="en-US"/>
        </w:rPr>
      </w:pPr>
      <w:r w:rsidRPr="00350DF5">
        <w:rPr>
          <w:color w:val="auto"/>
          <w:lang w:val="en-US"/>
        </w:rPr>
        <w:t>Second,</w:t>
      </w:r>
      <w:r w:rsidR="00FE370C" w:rsidRPr="00350DF5">
        <w:rPr>
          <w:color w:val="auto"/>
          <w:lang w:val="en-US"/>
        </w:rPr>
        <w:t xml:space="preserve"> the </w:t>
      </w:r>
      <w:r w:rsidR="00FE370C" w:rsidRPr="00350DF5">
        <w:rPr>
          <w:i/>
          <w:color w:val="auto"/>
          <w:lang w:val="en-US"/>
        </w:rPr>
        <w:t>relevance</w:t>
      </w:r>
      <w:r w:rsidR="00FE370C" w:rsidRPr="00350DF5">
        <w:rPr>
          <w:color w:val="auto"/>
          <w:lang w:val="en-US"/>
        </w:rPr>
        <w:t xml:space="preserve"> and </w:t>
      </w:r>
      <w:r w:rsidR="00FE370C" w:rsidRPr="00350DF5">
        <w:rPr>
          <w:i/>
          <w:color w:val="auto"/>
          <w:lang w:val="en-US"/>
        </w:rPr>
        <w:t>importance</w:t>
      </w:r>
      <w:r w:rsidR="00FE370C" w:rsidRPr="00350DF5">
        <w:rPr>
          <w:color w:val="auto"/>
          <w:lang w:val="en-US"/>
        </w:rPr>
        <w:t xml:space="preserve"> attached to </w:t>
      </w:r>
      <w:r w:rsidRPr="00350DF5">
        <w:rPr>
          <w:color w:val="auto"/>
          <w:lang w:val="en-US"/>
        </w:rPr>
        <w:t>the disclosure</w:t>
      </w:r>
      <w:r w:rsidR="00FE370C" w:rsidRPr="00350DF5">
        <w:rPr>
          <w:color w:val="auto"/>
          <w:lang w:val="en-US"/>
        </w:rPr>
        <w:t>, measured by the location of the inf</w:t>
      </w:r>
      <w:r w:rsidR="001947C6" w:rsidRPr="00350DF5">
        <w:rPr>
          <w:color w:val="auto"/>
          <w:lang w:val="en-US"/>
        </w:rPr>
        <w:t xml:space="preserve">ormation in the annual reports. </w:t>
      </w:r>
      <w:r w:rsidR="0045715E" w:rsidRPr="0045715E">
        <w:rPr>
          <w:color w:val="auto"/>
          <w:lang w:val="en-US"/>
        </w:rPr>
        <w:t>Gray et al. (1995)</w:t>
      </w:r>
      <w:r w:rsidR="0045715E">
        <w:rPr>
          <w:color w:val="auto"/>
          <w:lang w:val="en-US"/>
        </w:rPr>
        <w:t xml:space="preserve">, </w:t>
      </w:r>
      <w:proofErr w:type="spellStart"/>
      <w:r w:rsidR="0045715E" w:rsidRPr="0045715E">
        <w:rPr>
          <w:color w:val="auto"/>
          <w:lang w:val="en-US"/>
        </w:rPr>
        <w:t>Kirkman</w:t>
      </w:r>
      <w:proofErr w:type="spellEnd"/>
      <w:r w:rsidR="0045715E" w:rsidRPr="0045715E">
        <w:rPr>
          <w:color w:val="auto"/>
          <w:lang w:val="en-US"/>
        </w:rPr>
        <w:t xml:space="preserve"> and Hope (1992)</w:t>
      </w:r>
      <w:r w:rsidR="0045715E">
        <w:rPr>
          <w:color w:val="auto"/>
          <w:lang w:val="en-US"/>
        </w:rPr>
        <w:t xml:space="preserve"> and</w:t>
      </w:r>
      <w:r w:rsidR="0045715E" w:rsidRPr="0045715E">
        <w:rPr>
          <w:color w:val="auto"/>
          <w:lang w:val="en-US"/>
        </w:rPr>
        <w:t xml:space="preserve"> </w:t>
      </w:r>
      <w:r w:rsidR="00FC0EF4" w:rsidRPr="00350DF5">
        <w:rPr>
          <w:color w:val="auto"/>
          <w:lang w:val="en-US"/>
        </w:rPr>
        <w:t xml:space="preserve">Walden and Schwartz (1997) all argue </w:t>
      </w:r>
      <w:r w:rsidR="001947C6" w:rsidRPr="00350DF5">
        <w:rPr>
          <w:color w:val="auto"/>
          <w:lang w:val="en-US"/>
        </w:rPr>
        <w:t>that information located in the chairman’s statements or a separate section of the annual report</w:t>
      </w:r>
      <w:r w:rsidR="00011639" w:rsidRPr="00350DF5">
        <w:rPr>
          <w:color w:val="auto"/>
          <w:lang w:val="en-US"/>
        </w:rPr>
        <w:t>s</w:t>
      </w:r>
      <w:r w:rsidR="001947C6" w:rsidRPr="00350DF5">
        <w:rPr>
          <w:color w:val="auto"/>
          <w:lang w:val="en-US"/>
        </w:rPr>
        <w:t xml:space="preserve"> demonstrates the importance and weight attached to that information</w:t>
      </w:r>
      <w:r w:rsidR="00FC0EF4" w:rsidRPr="00350DF5">
        <w:rPr>
          <w:color w:val="auto"/>
          <w:lang w:val="en-US"/>
        </w:rPr>
        <w:t xml:space="preserve"> and </w:t>
      </w:r>
      <w:r w:rsidR="001947C6" w:rsidRPr="00350DF5">
        <w:rPr>
          <w:color w:val="auto"/>
          <w:lang w:val="en-US"/>
        </w:rPr>
        <w:t>the desire of management to have it widely read by all</w:t>
      </w:r>
      <w:r w:rsidR="00161D8E" w:rsidRPr="00350DF5">
        <w:rPr>
          <w:color w:val="auto"/>
          <w:lang w:val="en-US"/>
        </w:rPr>
        <w:t xml:space="preserve">. </w:t>
      </w:r>
      <w:r w:rsidR="006663F7" w:rsidRPr="00350DF5">
        <w:rPr>
          <w:color w:val="auto"/>
          <w:lang w:val="en-US"/>
        </w:rPr>
        <w:t>They argue that</w:t>
      </w:r>
      <w:r w:rsidR="00FC0EF4" w:rsidRPr="00350DF5">
        <w:rPr>
          <w:color w:val="auto"/>
          <w:lang w:val="en-US"/>
        </w:rPr>
        <w:t xml:space="preserve"> </w:t>
      </w:r>
      <w:r w:rsidR="001947C6" w:rsidRPr="00350DF5">
        <w:rPr>
          <w:color w:val="auto"/>
          <w:lang w:val="en-US"/>
        </w:rPr>
        <w:t>items disclosed under the chairman’s statement are more likely to be read than any other narrative section of the annual reports.</w:t>
      </w:r>
      <w:r w:rsidR="00FC0EF4" w:rsidRPr="00350DF5">
        <w:rPr>
          <w:color w:val="auto"/>
          <w:lang w:val="en-US"/>
        </w:rPr>
        <w:t xml:space="preserve"> </w:t>
      </w:r>
      <w:r w:rsidR="0045715E">
        <w:rPr>
          <w:color w:val="auto"/>
          <w:lang w:val="en-US"/>
        </w:rPr>
        <w:t xml:space="preserve">Hence, </w:t>
      </w:r>
      <w:r w:rsidR="00FC0EF4" w:rsidRPr="00350DF5">
        <w:rPr>
          <w:color w:val="auto"/>
          <w:lang w:eastAsia="en-GB"/>
        </w:rPr>
        <w:t xml:space="preserve">information located in the director’s report and/or review of the year section is </w:t>
      </w:r>
      <w:r w:rsidR="00011639" w:rsidRPr="00350DF5">
        <w:rPr>
          <w:color w:val="auto"/>
          <w:lang w:eastAsia="en-GB"/>
        </w:rPr>
        <w:t xml:space="preserve">an </w:t>
      </w:r>
      <w:r w:rsidR="00FC0EF4" w:rsidRPr="00350DF5">
        <w:rPr>
          <w:color w:val="auto"/>
          <w:lang w:eastAsia="en-GB"/>
        </w:rPr>
        <w:t>indicati</w:t>
      </w:r>
      <w:r w:rsidR="00011639" w:rsidRPr="00350DF5">
        <w:rPr>
          <w:color w:val="auto"/>
          <w:lang w:eastAsia="en-GB"/>
        </w:rPr>
        <w:t>o</w:t>
      </w:r>
      <w:r w:rsidR="00FC0EF4" w:rsidRPr="00350DF5">
        <w:rPr>
          <w:color w:val="auto"/>
          <w:lang w:eastAsia="en-GB"/>
        </w:rPr>
        <w:t xml:space="preserve">n that such issues are integrated into the mainstream activity or within the core competence of the corporation and thus </w:t>
      </w:r>
      <w:r w:rsidR="00FC0EF4" w:rsidRPr="00350DF5">
        <w:rPr>
          <w:i/>
          <w:color w:val="auto"/>
          <w:lang w:eastAsia="en-GB"/>
        </w:rPr>
        <w:t>relevant</w:t>
      </w:r>
      <w:r w:rsidR="00FC0EF4" w:rsidRPr="00350DF5">
        <w:rPr>
          <w:color w:val="auto"/>
          <w:lang w:eastAsia="en-GB"/>
        </w:rPr>
        <w:t xml:space="preserve"> to the business of the corporation (</w:t>
      </w:r>
      <w:proofErr w:type="spellStart"/>
      <w:r w:rsidR="00FC0EF4" w:rsidRPr="0045715E">
        <w:rPr>
          <w:color w:val="auto"/>
          <w:lang w:eastAsia="en-GB"/>
        </w:rPr>
        <w:t>Gray</w:t>
      </w:r>
      <w:proofErr w:type="spellEnd"/>
      <w:r w:rsidR="00FC0EF4" w:rsidRPr="0045715E">
        <w:rPr>
          <w:color w:val="auto"/>
          <w:lang w:eastAsia="en-GB"/>
        </w:rPr>
        <w:t xml:space="preserve"> et al.,</w:t>
      </w:r>
      <w:r w:rsidR="00FC0EF4" w:rsidRPr="00350DF5">
        <w:rPr>
          <w:color w:val="auto"/>
          <w:lang w:eastAsia="en-GB"/>
        </w:rPr>
        <w:t xml:space="preserve"> 1995). </w:t>
      </w:r>
      <w:r w:rsidR="0045715E">
        <w:rPr>
          <w:color w:val="auto"/>
          <w:lang w:eastAsia="en-GB"/>
        </w:rPr>
        <w:t xml:space="preserve">Furthermore, </w:t>
      </w:r>
      <w:proofErr w:type="spellStart"/>
      <w:r w:rsidR="00FC0EF4" w:rsidRPr="00350DF5">
        <w:rPr>
          <w:color w:val="auto"/>
          <w:lang w:eastAsia="en-GB"/>
        </w:rPr>
        <w:t>Kirkman</w:t>
      </w:r>
      <w:proofErr w:type="spellEnd"/>
      <w:r w:rsidR="00FC0EF4" w:rsidRPr="00350DF5">
        <w:rPr>
          <w:color w:val="auto"/>
          <w:lang w:eastAsia="en-GB"/>
        </w:rPr>
        <w:t xml:space="preserve"> and Hope </w:t>
      </w:r>
      <w:r w:rsidR="00FC0EF4" w:rsidRPr="00350DF5">
        <w:rPr>
          <w:color w:val="auto"/>
          <w:lang w:eastAsia="en-GB"/>
        </w:rPr>
        <w:lastRenderedPageBreak/>
        <w:t xml:space="preserve">(1992) </w:t>
      </w:r>
      <w:r w:rsidR="0045715E">
        <w:rPr>
          <w:color w:val="auto"/>
          <w:lang w:eastAsia="en-GB"/>
        </w:rPr>
        <w:t>suggest</w:t>
      </w:r>
      <w:r w:rsidR="00FC0EF4" w:rsidRPr="00350DF5">
        <w:rPr>
          <w:color w:val="auto"/>
          <w:lang w:eastAsia="en-GB"/>
        </w:rPr>
        <w:t xml:space="preserve"> that issues that are given the same priority as those of the mainstream of the organisation and are as such fully integrated into the mainstream activities will normally be disclosed in the Directors report and/or the Review of the year sections of the report.</w:t>
      </w:r>
      <w:r w:rsidR="00011639" w:rsidRPr="00350DF5">
        <w:rPr>
          <w:color w:val="auto"/>
          <w:lang w:eastAsia="en-GB"/>
        </w:rPr>
        <w:t xml:space="preserve"> </w:t>
      </w:r>
      <w:r w:rsidR="00161D8E" w:rsidRPr="00350DF5">
        <w:rPr>
          <w:color w:val="auto"/>
          <w:lang w:eastAsia="en-GB"/>
        </w:rPr>
        <w:t>Our view is</w:t>
      </w:r>
      <w:r w:rsidR="00EB47A7" w:rsidRPr="00350DF5">
        <w:rPr>
          <w:color w:val="auto"/>
          <w:lang w:eastAsia="en-GB"/>
        </w:rPr>
        <w:t xml:space="preserve"> </w:t>
      </w:r>
      <w:r w:rsidR="00011639" w:rsidRPr="00350DF5">
        <w:rPr>
          <w:color w:val="auto"/>
          <w:lang w:eastAsia="en-GB"/>
        </w:rPr>
        <w:t xml:space="preserve">that the quality of information disclosed in annual report can be measured by </w:t>
      </w:r>
      <w:r w:rsidR="00EB47A7" w:rsidRPr="00350DF5">
        <w:rPr>
          <w:color w:val="auto"/>
          <w:lang w:eastAsia="en-GB"/>
        </w:rPr>
        <w:t xml:space="preserve">whether the information is </w:t>
      </w:r>
      <w:r w:rsidR="00011639" w:rsidRPr="00350DF5">
        <w:rPr>
          <w:i/>
          <w:color w:val="auto"/>
          <w:lang w:eastAsia="en-GB"/>
        </w:rPr>
        <w:t>factual</w:t>
      </w:r>
      <w:r w:rsidR="00011639" w:rsidRPr="00350DF5">
        <w:rPr>
          <w:color w:val="auto"/>
          <w:lang w:eastAsia="en-GB"/>
        </w:rPr>
        <w:t xml:space="preserve"> </w:t>
      </w:r>
      <w:r w:rsidR="00EB47A7" w:rsidRPr="00350DF5">
        <w:rPr>
          <w:color w:val="auto"/>
          <w:lang w:eastAsia="en-GB"/>
        </w:rPr>
        <w:t xml:space="preserve">and by the </w:t>
      </w:r>
      <w:r w:rsidR="00011639" w:rsidRPr="00350DF5">
        <w:rPr>
          <w:i/>
          <w:color w:val="auto"/>
          <w:lang w:eastAsia="en-GB"/>
        </w:rPr>
        <w:t>importan</w:t>
      </w:r>
      <w:r w:rsidR="00EB47A7" w:rsidRPr="00350DF5">
        <w:rPr>
          <w:i/>
          <w:color w:val="auto"/>
          <w:lang w:eastAsia="en-GB"/>
        </w:rPr>
        <w:t>ce</w:t>
      </w:r>
      <w:r w:rsidR="00011639" w:rsidRPr="00350DF5">
        <w:rPr>
          <w:color w:val="auto"/>
          <w:lang w:eastAsia="en-GB"/>
        </w:rPr>
        <w:t xml:space="preserve"> and </w:t>
      </w:r>
      <w:r w:rsidR="00011639" w:rsidRPr="00350DF5">
        <w:rPr>
          <w:i/>
          <w:color w:val="auto"/>
          <w:lang w:eastAsia="en-GB"/>
        </w:rPr>
        <w:t>relevan</w:t>
      </w:r>
      <w:r w:rsidR="00EB47A7" w:rsidRPr="00350DF5">
        <w:rPr>
          <w:i/>
          <w:color w:val="auto"/>
          <w:lang w:eastAsia="en-GB"/>
        </w:rPr>
        <w:t>ce</w:t>
      </w:r>
      <w:r w:rsidR="00011639" w:rsidRPr="00350DF5">
        <w:rPr>
          <w:color w:val="auto"/>
          <w:lang w:eastAsia="en-GB"/>
        </w:rPr>
        <w:t xml:space="preserve"> </w:t>
      </w:r>
      <w:r w:rsidR="00EB47A7" w:rsidRPr="00350DF5">
        <w:rPr>
          <w:color w:val="auto"/>
          <w:lang w:eastAsia="en-GB"/>
        </w:rPr>
        <w:t xml:space="preserve">attached to </w:t>
      </w:r>
      <w:r w:rsidR="00344D38" w:rsidRPr="00350DF5">
        <w:rPr>
          <w:color w:val="auto"/>
          <w:lang w:eastAsia="en-GB"/>
        </w:rPr>
        <w:t>it</w:t>
      </w:r>
    </w:p>
    <w:p w14:paraId="54923F4D" w14:textId="5BB45F10" w:rsidR="00A5674E" w:rsidRPr="00350DF5" w:rsidRDefault="001947C6">
      <w:pPr>
        <w:spacing w:line="480" w:lineRule="auto"/>
        <w:ind w:firstLine="567"/>
        <w:jc w:val="both"/>
        <w:rPr>
          <w:color w:val="auto"/>
          <w:lang w:val="en-US"/>
        </w:rPr>
      </w:pPr>
      <w:r w:rsidRPr="00350DF5">
        <w:rPr>
          <w:color w:val="auto"/>
          <w:lang w:val="en-US"/>
        </w:rPr>
        <w:t>Finally</w:t>
      </w:r>
      <w:r w:rsidR="00FE370C" w:rsidRPr="00350DF5">
        <w:rPr>
          <w:color w:val="auto"/>
          <w:lang w:val="en-US"/>
        </w:rPr>
        <w:t xml:space="preserve">, </w:t>
      </w:r>
      <w:r w:rsidR="00655EBC" w:rsidRPr="00350DF5">
        <w:rPr>
          <w:color w:val="auto"/>
          <w:lang w:val="en-US"/>
        </w:rPr>
        <w:t xml:space="preserve">given the developmental nature of CCI activities, </w:t>
      </w:r>
      <w:r w:rsidR="00FE370C" w:rsidRPr="00350DF5">
        <w:rPr>
          <w:color w:val="auto"/>
          <w:lang w:val="en-US"/>
        </w:rPr>
        <w:t>a detailed description of the specific CCI activities undertaken by the companies within the community of operation</w:t>
      </w:r>
      <w:r w:rsidR="00655EBC" w:rsidRPr="00350DF5">
        <w:rPr>
          <w:color w:val="auto"/>
          <w:lang w:val="en-US"/>
        </w:rPr>
        <w:t xml:space="preserve"> </w:t>
      </w:r>
      <w:r w:rsidR="00161D8E" w:rsidRPr="00350DF5">
        <w:rPr>
          <w:color w:val="auto"/>
          <w:lang w:val="en-US"/>
        </w:rPr>
        <w:t>is important in</w:t>
      </w:r>
      <w:r w:rsidR="00655EBC" w:rsidRPr="00350DF5">
        <w:rPr>
          <w:color w:val="auto"/>
          <w:lang w:val="en-US"/>
        </w:rPr>
        <w:t xml:space="preserve"> measuring the quality of its disclosure</w:t>
      </w:r>
      <w:r w:rsidR="00FE370C" w:rsidRPr="00350DF5">
        <w:rPr>
          <w:color w:val="auto"/>
          <w:lang w:val="en-US"/>
        </w:rPr>
        <w:t xml:space="preserve">. </w:t>
      </w:r>
      <w:r w:rsidR="00EB47A7" w:rsidRPr="00350DF5">
        <w:rPr>
          <w:color w:val="auto"/>
          <w:lang w:val="en-US"/>
        </w:rPr>
        <w:t>C</w:t>
      </w:r>
      <w:r w:rsidR="00FE370C" w:rsidRPr="00350DF5">
        <w:rPr>
          <w:color w:val="auto"/>
          <w:lang w:val="en-US"/>
        </w:rPr>
        <w:t>ontrary</w:t>
      </w:r>
      <w:r w:rsidR="00EB47A7" w:rsidRPr="00350DF5">
        <w:rPr>
          <w:color w:val="auto"/>
          <w:lang w:val="en-US"/>
        </w:rPr>
        <w:t xml:space="preserve"> </w:t>
      </w:r>
      <w:r w:rsidR="00FE370C" w:rsidRPr="00350DF5">
        <w:rPr>
          <w:color w:val="auto"/>
          <w:lang w:val="en-US"/>
        </w:rPr>
        <w:t xml:space="preserve">to </w:t>
      </w:r>
      <w:r w:rsidR="00FE370C" w:rsidRPr="0045715E">
        <w:rPr>
          <w:color w:val="auto"/>
          <w:lang w:val="en-US"/>
        </w:rPr>
        <w:t>Beattie et al</w:t>
      </w:r>
      <w:r w:rsidR="008D13EC" w:rsidRPr="0045715E">
        <w:rPr>
          <w:color w:val="auto"/>
          <w:lang w:val="en-US"/>
        </w:rPr>
        <w:t>.</w:t>
      </w:r>
      <w:r w:rsidR="00FE370C" w:rsidRPr="0045715E">
        <w:rPr>
          <w:color w:val="auto"/>
          <w:lang w:val="en-US"/>
        </w:rPr>
        <w:t>'s</w:t>
      </w:r>
      <w:r w:rsidR="00FE370C" w:rsidRPr="00350DF5">
        <w:rPr>
          <w:color w:val="auto"/>
          <w:lang w:val="en-US"/>
        </w:rPr>
        <w:t xml:space="preserve"> (2004</w:t>
      </w:r>
      <w:r w:rsidR="0045715E">
        <w:rPr>
          <w:color w:val="auto"/>
          <w:lang w:val="en-US"/>
        </w:rPr>
        <w:t>, p.2</w:t>
      </w:r>
      <w:r w:rsidR="00FE370C" w:rsidRPr="00350DF5">
        <w:rPr>
          <w:color w:val="auto"/>
          <w:lang w:val="en-US"/>
        </w:rPr>
        <w:t>30) argument that “</w:t>
      </w:r>
      <w:r w:rsidR="00FE370C" w:rsidRPr="0045715E">
        <w:rPr>
          <w:i/>
          <w:color w:val="auto"/>
          <w:lang w:val="en-US"/>
        </w:rPr>
        <w:t>Companies that say relatively more can be expected to provide disclosure of higher quality</w:t>
      </w:r>
      <w:r w:rsidR="00FE370C" w:rsidRPr="00350DF5">
        <w:rPr>
          <w:color w:val="auto"/>
          <w:lang w:val="en-US"/>
        </w:rPr>
        <w:t xml:space="preserve">”, </w:t>
      </w:r>
      <w:proofErr w:type="spellStart"/>
      <w:r w:rsidR="00FE370C" w:rsidRPr="00350DF5">
        <w:rPr>
          <w:color w:val="auto"/>
          <w:lang w:val="en-US"/>
        </w:rPr>
        <w:t>Yekini</w:t>
      </w:r>
      <w:proofErr w:type="spellEnd"/>
      <w:r w:rsidR="00FE370C" w:rsidRPr="00350DF5">
        <w:rPr>
          <w:color w:val="auto"/>
          <w:lang w:val="en-US"/>
        </w:rPr>
        <w:t xml:space="preserve"> and </w:t>
      </w:r>
      <w:proofErr w:type="spellStart"/>
      <w:r w:rsidR="00FE370C" w:rsidRPr="00350DF5">
        <w:rPr>
          <w:color w:val="auto"/>
          <w:lang w:val="en-US"/>
        </w:rPr>
        <w:t>Jallow</w:t>
      </w:r>
      <w:proofErr w:type="spellEnd"/>
      <w:r w:rsidR="00FE370C" w:rsidRPr="00350DF5">
        <w:rPr>
          <w:color w:val="auto"/>
          <w:lang w:val="en-US"/>
        </w:rPr>
        <w:t xml:space="preserve"> (2012) indicate that specificity and substance rather than the amount of disclosure should </w:t>
      </w:r>
      <w:proofErr w:type="spellStart"/>
      <w:r w:rsidR="00FE370C" w:rsidRPr="00350DF5">
        <w:rPr>
          <w:color w:val="auto"/>
          <w:lang w:val="en-US"/>
        </w:rPr>
        <w:t>characteri</w:t>
      </w:r>
      <w:r w:rsidR="0045715E">
        <w:rPr>
          <w:color w:val="auto"/>
          <w:lang w:val="en-US"/>
        </w:rPr>
        <w:t>s</w:t>
      </w:r>
      <w:r w:rsidR="00FE370C" w:rsidRPr="00350DF5">
        <w:rPr>
          <w:color w:val="auto"/>
          <w:lang w:val="en-US"/>
        </w:rPr>
        <w:t>e</w:t>
      </w:r>
      <w:proofErr w:type="spellEnd"/>
      <w:r w:rsidR="00FE370C" w:rsidRPr="00350DF5">
        <w:rPr>
          <w:color w:val="auto"/>
          <w:lang w:val="en-US"/>
        </w:rPr>
        <w:t xml:space="preserve"> quality.  Consequently, in this paper, volume is not considered as one of the measures of quality. Because CCI disclosure requires actual involvement in community development, this paper argues that the quality of such disclosure should include a </w:t>
      </w:r>
      <w:r w:rsidR="00FE370C" w:rsidRPr="00350DF5">
        <w:rPr>
          <w:bCs/>
          <w:i/>
          <w:color w:val="auto"/>
          <w:lang w:val="en-US"/>
        </w:rPr>
        <w:t>specific</w:t>
      </w:r>
      <w:r w:rsidR="00FE370C" w:rsidRPr="00350DF5">
        <w:rPr>
          <w:bCs/>
          <w:color w:val="auto"/>
          <w:lang w:val="en-US"/>
        </w:rPr>
        <w:t xml:space="preserve"> description of CCI projects undertaken with evidence provided – financial or photographic wherever possible</w:t>
      </w:r>
      <w:r w:rsidR="009E663C" w:rsidRPr="00350DF5">
        <w:rPr>
          <w:bCs/>
          <w:color w:val="auto"/>
          <w:lang w:val="en-US"/>
        </w:rPr>
        <w:t xml:space="preserve"> (</w:t>
      </w:r>
      <w:r w:rsidR="0045715E" w:rsidRPr="0045715E">
        <w:rPr>
          <w:color w:val="auto"/>
          <w:lang w:val="en-US"/>
        </w:rPr>
        <w:t xml:space="preserve">Campbell et al., 2006; </w:t>
      </w:r>
      <w:proofErr w:type="spellStart"/>
      <w:r w:rsidR="0045715E" w:rsidRPr="0045715E">
        <w:rPr>
          <w:color w:val="auto"/>
          <w:lang w:val="en-US"/>
        </w:rPr>
        <w:t>Hasseldine</w:t>
      </w:r>
      <w:proofErr w:type="spellEnd"/>
      <w:r w:rsidR="0045715E" w:rsidRPr="0045715E">
        <w:rPr>
          <w:color w:val="auto"/>
          <w:lang w:val="en-US"/>
        </w:rPr>
        <w:t xml:space="preserve"> et al., 2005</w:t>
      </w:r>
      <w:r w:rsidR="0045715E">
        <w:rPr>
          <w:color w:val="auto"/>
          <w:lang w:val="en-US"/>
        </w:rPr>
        <w:t xml:space="preserve">; </w:t>
      </w:r>
      <w:proofErr w:type="spellStart"/>
      <w:r w:rsidR="009E663C" w:rsidRPr="00350DF5">
        <w:rPr>
          <w:color w:val="auto"/>
          <w:lang w:val="en-US"/>
        </w:rPr>
        <w:t>Yekini</w:t>
      </w:r>
      <w:proofErr w:type="spellEnd"/>
      <w:r w:rsidR="009E663C" w:rsidRPr="00350DF5">
        <w:rPr>
          <w:color w:val="auto"/>
          <w:lang w:val="en-US"/>
        </w:rPr>
        <w:t xml:space="preserve"> </w:t>
      </w:r>
      <w:r w:rsidR="00E66ADC">
        <w:rPr>
          <w:color w:val="auto"/>
          <w:lang w:val="en-US"/>
        </w:rPr>
        <w:t>and</w:t>
      </w:r>
      <w:r w:rsidR="009E663C" w:rsidRPr="00350DF5">
        <w:rPr>
          <w:color w:val="auto"/>
          <w:lang w:val="en-US"/>
        </w:rPr>
        <w:t xml:space="preserve"> </w:t>
      </w:r>
      <w:proofErr w:type="spellStart"/>
      <w:r w:rsidR="009E663C" w:rsidRPr="00350DF5">
        <w:rPr>
          <w:color w:val="auto"/>
          <w:lang w:val="en-US"/>
        </w:rPr>
        <w:t>Jallow</w:t>
      </w:r>
      <w:proofErr w:type="spellEnd"/>
      <w:r w:rsidR="009E663C" w:rsidRPr="00350DF5">
        <w:rPr>
          <w:color w:val="auto"/>
          <w:lang w:val="en-US"/>
        </w:rPr>
        <w:t>, 2012)</w:t>
      </w:r>
      <w:r w:rsidR="009E663C" w:rsidRPr="00350DF5">
        <w:rPr>
          <w:bCs/>
          <w:color w:val="auto"/>
          <w:lang w:val="en-US"/>
        </w:rPr>
        <w:t>.</w:t>
      </w:r>
      <w:r w:rsidR="00FE370C" w:rsidRPr="00350DF5">
        <w:rPr>
          <w:bCs/>
          <w:color w:val="auto"/>
          <w:lang w:val="en-US"/>
        </w:rPr>
        <w:t xml:space="preserve"> </w:t>
      </w:r>
      <w:r w:rsidR="00FE370C" w:rsidRPr="00350DF5">
        <w:rPr>
          <w:color w:val="auto"/>
          <w:lang w:val="en-US"/>
        </w:rPr>
        <w:t xml:space="preserve">Measuring disclosure quality will therefore require a </w:t>
      </w:r>
      <w:r w:rsidR="00161D8E" w:rsidRPr="00350DF5">
        <w:rPr>
          <w:color w:val="auto"/>
          <w:lang w:val="en-US"/>
        </w:rPr>
        <w:t xml:space="preserve">weighted </w:t>
      </w:r>
      <w:r w:rsidR="00FE370C" w:rsidRPr="00350DF5">
        <w:rPr>
          <w:color w:val="auto"/>
          <w:lang w:val="en-US"/>
        </w:rPr>
        <w:t>scoring system that allows us to give a higher score to verifiable disclosures and a lower score to general statements that have little or no substance in them (</w:t>
      </w:r>
      <w:proofErr w:type="spellStart"/>
      <w:r w:rsidR="00FE370C" w:rsidRPr="00350DF5">
        <w:rPr>
          <w:color w:val="auto"/>
          <w:lang w:val="en-US"/>
        </w:rPr>
        <w:t>Hasseldine</w:t>
      </w:r>
      <w:proofErr w:type="spellEnd"/>
      <w:r w:rsidR="00FE370C" w:rsidRPr="00350DF5">
        <w:rPr>
          <w:color w:val="auto"/>
          <w:lang w:val="en-US"/>
        </w:rPr>
        <w:t xml:space="preserve"> </w:t>
      </w:r>
      <w:r w:rsidR="00FE370C" w:rsidRPr="0045715E">
        <w:rPr>
          <w:color w:val="auto"/>
          <w:lang w:val="en-US"/>
        </w:rPr>
        <w:t>et al.,</w:t>
      </w:r>
      <w:r w:rsidR="00FE370C" w:rsidRPr="00350DF5">
        <w:rPr>
          <w:color w:val="auto"/>
          <w:lang w:val="en-US"/>
        </w:rPr>
        <w:t xml:space="preserve"> 2005). </w:t>
      </w:r>
    </w:p>
    <w:p w14:paraId="0993416C" w14:textId="25DB627A" w:rsidR="00A5674E" w:rsidRPr="00350DF5" w:rsidRDefault="00FE370C">
      <w:pPr>
        <w:spacing w:line="480" w:lineRule="auto"/>
        <w:ind w:firstLine="567"/>
        <w:jc w:val="both"/>
        <w:rPr>
          <w:color w:val="auto"/>
          <w:lang w:val="en-US"/>
        </w:rPr>
      </w:pPr>
      <w:r w:rsidRPr="00350DF5">
        <w:rPr>
          <w:color w:val="auto"/>
          <w:lang w:val="en-US"/>
        </w:rPr>
        <w:t>The vast CSR disclosure literature provides no guidance as to the scoring or allocation of points to classify disclosure such as this. Moreover, Marston and Shrives (1991</w:t>
      </w:r>
      <w:r w:rsidR="0045715E">
        <w:rPr>
          <w:color w:val="auto"/>
          <w:lang w:val="en-US"/>
        </w:rPr>
        <w:t>, p.</w:t>
      </w:r>
      <w:r w:rsidRPr="00350DF5">
        <w:rPr>
          <w:color w:val="auto"/>
          <w:lang w:val="en-US"/>
        </w:rPr>
        <w:t xml:space="preserve">207), in their comprehensive review of studies that have used </w:t>
      </w:r>
      <w:r w:rsidR="0045715E">
        <w:rPr>
          <w:color w:val="auto"/>
          <w:lang w:val="en-US"/>
        </w:rPr>
        <w:t>a</w:t>
      </w:r>
      <w:r w:rsidRPr="00350DF5">
        <w:rPr>
          <w:color w:val="auto"/>
          <w:lang w:val="en-US"/>
        </w:rPr>
        <w:t xml:space="preserve"> scoring system in accounting disclosure research, conclude that most scoring systems involve </w:t>
      </w:r>
      <w:r w:rsidRPr="00350DF5">
        <w:rPr>
          <w:i/>
          <w:color w:val="auto"/>
          <w:lang w:val="en-US"/>
        </w:rPr>
        <w:t>“subjective judgment on the part of the researchers”</w:t>
      </w:r>
      <w:r w:rsidRPr="00350DF5">
        <w:rPr>
          <w:color w:val="auto"/>
          <w:lang w:val="en-US"/>
        </w:rPr>
        <w:t xml:space="preserve"> and could only measure the extent rather than the quality of disclosures. Nevertheless, to measure quality, </w:t>
      </w:r>
      <w:proofErr w:type="spellStart"/>
      <w:r w:rsidRPr="00350DF5">
        <w:rPr>
          <w:color w:val="auto"/>
          <w:lang w:val="en-US"/>
        </w:rPr>
        <w:t>Yekini</w:t>
      </w:r>
      <w:proofErr w:type="spellEnd"/>
      <w:r w:rsidRPr="00350DF5">
        <w:rPr>
          <w:color w:val="auto"/>
          <w:lang w:val="en-US"/>
        </w:rPr>
        <w:t xml:space="preserve"> and </w:t>
      </w:r>
      <w:proofErr w:type="spellStart"/>
      <w:r w:rsidRPr="00350DF5">
        <w:rPr>
          <w:color w:val="auto"/>
          <w:lang w:val="en-US"/>
        </w:rPr>
        <w:t>Jallow</w:t>
      </w:r>
      <w:proofErr w:type="spellEnd"/>
      <w:r w:rsidRPr="00350DF5">
        <w:rPr>
          <w:color w:val="auto"/>
          <w:lang w:val="en-US"/>
        </w:rPr>
        <w:t xml:space="preserve"> (2012) argue that a differential weighting scheme can be justified by the fact that some classifications of disclosure contain more information than others. Consequently, in this paper, </w:t>
      </w:r>
      <w:r w:rsidR="00C00E74" w:rsidRPr="00350DF5">
        <w:rPr>
          <w:color w:val="auto"/>
          <w:lang w:val="en-US"/>
        </w:rPr>
        <w:lastRenderedPageBreak/>
        <w:t xml:space="preserve">we measure </w:t>
      </w:r>
      <w:r w:rsidRPr="00350DF5">
        <w:rPr>
          <w:color w:val="auto"/>
          <w:lang w:val="en-US"/>
        </w:rPr>
        <w:t>the quality of CCI disclosure usi</w:t>
      </w:r>
      <w:r w:rsidR="00655EBC" w:rsidRPr="00350DF5">
        <w:rPr>
          <w:color w:val="auto"/>
          <w:lang w:val="en-US"/>
        </w:rPr>
        <w:t>ng a quality score obtained on the</w:t>
      </w:r>
      <w:r w:rsidRPr="00350DF5">
        <w:rPr>
          <w:color w:val="auto"/>
          <w:lang w:val="en-US"/>
        </w:rPr>
        <w:t xml:space="preserve"> five-element index</w:t>
      </w:r>
      <w:r w:rsidR="00B229CF" w:rsidRPr="00350DF5">
        <w:rPr>
          <w:color w:val="auto"/>
          <w:lang w:val="en-US"/>
        </w:rPr>
        <w:t xml:space="preserve">; </w:t>
      </w:r>
      <w:r w:rsidR="00B229CF" w:rsidRPr="00350DF5">
        <w:rPr>
          <w:i/>
          <w:color w:val="auto"/>
          <w:lang w:eastAsia="en-GB"/>
        </w:rPr>
        <w:t>specific, factual, important, relevant</w:t>
      </w:r>
      <w:r w:rsidR="00B229CF" w:rsidRPr="00350DF5">
        <w:rPr>
          <w:color w:val="auto"/>
          <w:lang w:eastAsia="en-GB"/>
        </w:rPr>
        <w:t xml:space="preserve"> and </w:t>
      </w:r>
      <w:r w:rsidR="00B229CF" w:rsidRPr="00350DF5">
        <w:rPr>
          <w:i/>
          <w:color w:val="auto"/>
          <w:lang w:eastAsia="en-GB"/>
        </w:rPr>
        <w:t>general</w:t>
      </w:r>
      <w:r w:rsidR="00655EBC" w:rsidRPr="00350DF5">
        <w:rPr>
          <w:color w:val="auto"/>
          <w:lang w:val="en-US"/>
        </w:rPr>
        <w:t xml:space="preserve"> as discussed </w:t>
      </w:r>
      <w:r w:rsidR="0045715E">
        <w:rPr>
          <w:color w:val="auto"/>
          <w:lang w:val="en-US"/>
        </w:rPr>
        <w:t>earlier</w:t>
      </w:r>
      <w:r w:rsidRPr="00350DF5">
        <w:rPr>
          <w:color w:val="auto"/>
          <w:lang w:val="en-US"/>
        </w:rPr>
        <w:t xml:space="preserve">. </w:t>
      </w:r>
    </w:p>
    <w:p w14:paraId="7141748B" w14:textId="77777777" w:rsidR="00A5674E" w:rsidRDefault="00A5674E" w:rsidP="006F5D7B">
      <w:pPr>
        <w:spacing w:before="120" w:after="120" w:line="480" w:lineRule="auto"/>
        <w:ind w:firstLine="720"/>
        <w:jc w:val="both"/>
        <w:rPr>
          <w:color w:val="auto"/>
          <w:lang w:val="en-US"/>
        </w:rPr>
      </w:pPr>
    </w:p>
    <w:p w14:paraId="234B4DC0" w14:textId="77777777" w:rsidR="006F5D7B" w:rsidRDefault="006F5D7B" w:rsidP="006F5D7B">
      <w:pPr>
        <w:spacing w:before="120" w:after="120" w:line="480" w:lineRule="auto"/>
        <w:ind w:firstLine="720"/>
        <w:jc w:val="both"/>
        <w:rPr>
          <w:color w:val="auto"/>
          <w:lang w:val="en-US"/>
        </w:rPr>
      </w:pPr>
    </w:p>
    <w:p w14:paraId="7720EE0E" w14:textId="77777777" w:rsidR="00A5674E" w:rsidRPr="00051170" w:rsidRDefault="00FE370C">
      <w:pPr>
        <w:pStyle w:val="ListParagraph"/>
        <w:numPr>
          <w:ilvl w:val="0"/>
          <w:numId w:val="1"/>
        </w:numPr>
        <w:spacing w:line="480" w:lineRule="auto"/>
        <w:ind w:left="284" w:hanging="284"/>
        <w:jc w:val="left"/>
        <w:rPr>
          <w:b/>
          <w:color w:val="auto"/>
          <w:szCs w:val="24"/>
          <w:lang w:val="en-US"/>
        </w:rPr>
      </w:pPr>
      <w:r w:rsidRPr="00051170">
        <w:rPr>
          <w:b/>
          <w:bCs/>
          <w:color w:val="auto"/>
          <w:szCs w:val="24"/>
          <w:lang w:val="en-US"/>
        </w:rPr>
        <w:t>Research Method</w:t>
      </w:r>
    </w:p>
    <w:p w14:paraId="45598F23" w14:textId="77777777" w:rsidR="00A5674E" w:rsidRPr="00051170" w:rsidRDefault="00FE370C" w:rsidP="00051170">
      <w:pPr>
        <w:pStyle w:val="ListParagraph"/>
        <w:numPr>
          <w:ilvl w:val="1"/>
          <w:numId w:val="1"/>
        </w:numPr>
        <w:spacing w:line="480" w:lineRule="auto"/>
        <w:ind w:left="426" w:hanging="426"/>
        <w:rPr>
          <w:b/>
          <w:i/>
          <w:color w:val="auto"/>
          <w:szCs w:val="24"/>
          <w:lang w:val="en-US" w:eastAsia="en-US" w:bidi="en-US"/>
        </w:rPr>
      </w:pPr>
      <w:r w:rsidRPr="00051170">
        <w:rPr>
          <w:b/>
          <w:i/>
          <w:color w:val="auto"/>
          <w:szCs w:val="24"/>
          <w:lang w:val="en-US"/>
        </w:rPr>
        <w:t>Sample Design</w:t>
      </w:r>
    </w:p>
    <w:p w14:paraId="17D51BE4" w14:textId="11DBA338" w:rsidR="008F61F7" w:rsidRPr="00350DF5" w:rsidRDefault="00FE370C">
      <w:pPr>
        <w:spacing w:line="480" w:lineRule="auto"/>
        <w:ind w:firstLine="567"/>
        <w:jc w:val="both"/>
        <w:rPr>
          <w:color w:val="auto"/>
          <w:lang w:val="en-US"/>
        </w:rPr>
      </w:pPr>
      <w:r w:rsidRPr="00FD7D4A">
        <w:rPr>
          <w:color w:val="auto"/>
          <w:lang w:val="en-US" w:eastAsia="en-US" w:bidi="en-US"/>
        </w:rPr>
        <w:t>The sampling frame for this study is the list of the FTSE 350</w:t>
      </w:r>
      <w:r w:rsidR="001E619D" w:rsidRPr="00FD7D4A">
        <w:rPr>
          <w:color w:val="auto"/>
          <w:vertAlign w:val="superscript"/>
          <w:lang w:val="en-US" w:eastAsia="en-US" w:bidi="en-US"/>
        </w:rPr>
        <w:t>[1</w:t>
      </w:r>
      <w:r w:rsidR="00237F15" w:rsidRPr="00FD7D4A">
        <w:rPr>
          <w:color w:val="auto"/>
          <w:vertAlign w:val="superscript"/>
          <w:lang w:val="en-US" w:eastAsia="en-US" w:bidi="en-US"/>
        </w:rPr>
        <w:t>0</w:t>
      </w:r>
      <w:r w:rsidR="001E619D" w:rsidRPr="00FD7D4A">
        <w:rPr>
          <w:color w:val="auto"/>
          <w:vertAlign w:val="superscript"/>
          <w:lang w:val="en-US" w:eastAsia="en-US" w:bidi="en-US"/>
        </w:rPr>
        <w:t xml:space="preserve">] </w:t>
      </w:r>
      <w:r w:rsidRPr="00FD7D4A">
        <w:rPr>
          <w:color w:val="auto"/>
          <w:lang w:val="en-US"/>
        </w:rPr>
        <w:t>companies. Th</w:t>
      </w:r>
      <w:r w:rsidR="00F13ECA">
        <w:rPr>
          <w:color w:val="auto"/>
          <w:lang w:val="en-US"/>
        </w:rPr>
        <w:t>is</w:t>
      </w:r>
      <w:r w:rsidRPr="00FD7D4A">
        <w:rPr>
          <w:color w:val="auto"/>
          <w:lang w:val="en-US"/>
        </w:rPr>
        <w:t xml:space="preserve"> list </w:t>
      </w:r>
      <w:r w:rsidR="00F13ECA">
        <w:rPr>
          <w:color w:val="auto"/>
          <w:lang w:val="en-US"/>
        </w:rPr>
        <w:t>is</w:t>
      </w:r>
      <w:r w:rsidRPr="00FD7D4A">
        <w:rPr>
          <w:color w:val="auto"/>
          <w:lang w:val="en-US"/>
        </w:rPr>
        <w:t xml:space="preserve"> used to ensure representativeness. </w:t>
      </w:r>
      <w:r w:rsidR="00F13ECA">
        <w:rPr>
          <w:color w:val="auto"/>
          <w:lang w:val="en-US"/>
        </w:rPr>
        <w:t>All</w:t>
      </w:r>
      <w:r w:rsidRPr="00FD7D4A">
        <w:rPr>
          <w:color w:val="auto"/>
          <w:lang w:val="en-US"/>
        </w:rPr>
        <w:t xml:space="preserve"> companies on the list </w:t>
      </w:r>
      <w:r w:rsidR="00F13ECA">
        <w:rPr>
          <w:color w:val="auto"/>
          <w:lang w:val="en-US"/>
        </w:rPr>
        <w:t xml:space="preserve">are classified </w:t>
      </w:r>
      <w:r w:rsidRPr="00FD7D4A">
        <w:rPr>
          <w:color w:val="auto"/>
          <w:lang w:val="en-US"/>
        </w:rPr>
        <w:t xml:space="preserve">into ten </w:t>
      </w:r>
      <w:r w:rsidR="00F545FB" w:rsidRPr="00FD7D4A">
        <w:rPr>
          <w:color w:val="auto"/>
          <w:lang w:val="en-US"/>
        </w:rPr>
        <w:t>strata</w:t>
      </w:r>
      <w:r w:rsidR="00F13ECA">
        <w:rPr>
          <w:color w:val="auto"/>
          <w:lang w:val="en-US"/>
        </w:rPr>
        <w:t xml:space="preserve"> </w:t>
      </w:r>
      <w:r w:rsidR="00F545FB" w:rsidRPr="00FD7D4A">
        <w:rPr>
          <w:color w:val="auto"/>
          <w:vertAlign w:val="superscript"/>
          <w:lang w:val="en-US"/>
        </w:rPr>
        <w:t>[</w:t>
      </w:r>
      <w:r w:rsidR="00237F15" w:rsidRPr="00FD7D4A">
        <w:rPr>
          <w:color w:val="auto"/>
          <w:vertAlign w:val="superscript"/>
          <w:lang w:val="en-US"/>
        </w:rPr>
        <w:t>11</w:t>
      </w:r>
      <w:r w:rsidRPr="00FD7D4A">
        <w:rPr>
          <w:color w:val="auto"/>
          <w:vertAlign w:val="superscript"/>
          <w:lang w:val="en-US"/>
        </w:rPr>
        <w:t>]</w:t>
      </w:r>
      <w:r w:rsidRPr="00FD7D4A">
        <w:rPr>
          <w:color w:val="auto"/>
          <w:lang w:val="en-US"/>
        </w:rPr>
        <w:t xml:space="preserve"> using the Industrial Classification Benchmark (ICB</w:t>
      </w:r>
      <w:r w:rsidR="004358DA" w:rsidRPr="00FD7D4A">
        <w:rPr>
          <w:color w:val="auto"/>
          <w:lang w:val="en-US"/>
        </w:rPr>
        <w:t>)</w:t>
      </w:r>
      <w:r w:rsidR="004358DA" w:rsidRPr="00FD7D4A">
        <w:rPr>
          <w:color w:val="auto"/>
          <w:vertAlign w:val="superscript"/>
          <w:lang w:val="en-US"/>
        </w:rPr>
        <w:t xml:space="preserve"> [</w:t>
      </w:r>
      <w:r w:rsidR="00237F15" w:rsidRPr="00FD7D4A">
        <w:rPr>
          <w:color w:val="auto"/>
          <w:vertAlign w:val="superscript"/>
          <w:lang w:val="en-US"/>
        </w:rPr>
        <w:t>12</w:t>
      </w:r>
      <w:r w:rsidRPr="00FD7D4A">
        <w:rPr>
          <w:color w:val="auto"/>
          <w:vertAlign w:val="superscript"/>
          <w:lang w:val="en-US"/>
        </w:rPr>
        <w:t>]</w:t>
      </w:r>
      <w:r w:rsidRPr="00FD7D4A">
        <w:rPr>
          <w:color w:val="auto"/>
          <w:lang w:val="en-US"/>
        </w:rPr>
        <w:t xml:space="preserve"> structure and code index. The</w:t>
      </w:r>
      <w:r w:rsidR="00F13ECA">
        <w:rPr>
          <w:color w:val="auto"/>
          <w:lang w:val="en-US"/>
        </w:rPr>
        <w:t>se</w:t>
      </w:r>
      <w:r w:rsidRPr="00FD7D4A">
        <w:rPr>
          <w:color w:val="auto"/>
          <w:lang w:val="en-US"/>
        </w:rPr>
        <w:t xml:space="preserve"> ten industries </w:t>
      </w:r>
      <w:r w:rsidRPr="00350DF5">
        <w:rPr>
          <w:color w:val="auto"/>
          <w:lang w:val="en-US"/>
        </w:rPr>
        <w:t xml:space="preserve">include: Oil and Gas, Basic Materials, Industrials, Consumer goods, Health care, Consumer services, Telecommunications, Utilities, Financials and Technology. Each of the ten industrial sectors </w:t>
      </w:r>
      <w:r w:rsidR="00F13ECA">
        <w:rPr>
          <w:color w:val="auto"/>
          <w:lang w:val="en-US"/>
        </w:rPr>
        <w:t>is</w:t>
      </w:r>
      <w:r w:rsidRPr="00350DF5">
        <w:rPr>
          <w:color w:val="auto"/>
          <w:lang w:val="en-US"/>
        </w:rPr>
        <w:t xml:space="preserve"> represented in our sample. However, only companies listed before January 2002 </w:t>
      </w:r>
      <w:r w:rsidR="00F13ECA">
        <w:rPr>
          <w:color w:val="auto"/>
          <w:lang w:val="en-US"/>
        </w:rPr>
        <w:t>are</w:t>
      </w:r>
      <w:r w:rsidRPr="00350DF5">
        <w:rPr>
          <w:color w:val="auto"/>
          <w:lang w:val="en-US"/>
        </w:rPr>
        <w:t xml:space="preserve"> included in the sample, as the investigation covers the period 2002 to 2012 inclusive. Ten companies </w:t>
      </w:r>
      <w:r w:rsidR="00F13ECA">
        <w:rPr>
          <w:color w:val="auto"/>
          <w:lang w:val="en-US"/>
        </w:rPr>
        <w:t>are</w:t>
      </w:r>
      <w:r w:rsidRPr="00350DF5">
        <w:rPr>
          <w:color w:val="auto"/>
          <w:lang w:val="en-US"/>
        </w:rPr>
        <w:t xml:space="preserve"> randomly selected from industries consisting of more than ten companies, while all companies </w:t>
      </w:r>
      <w:r w:rsidR="00F13ECA">
        <w:rPr>
          <w:color w:val="auto"/>
          <w:lang w:val="en-US"/>
        </w:rPr>
        <w:t>are</w:t>
      </w:r>
      <w:r w:rsidRPr="00350DF5">
        <w:rPr>
          <w:color w:val="auto"/>
          <w:lang w:val="en-US"/>
        </w:rPr>
        <w:t xml:space="preserve"> selected from industries with ten or fewer companies. For example, all companies under the Health </w:t>
      </w:r>
      <w:r w:rsidR="00F13ECA">
        <w:rPr>
          <w:color w:val="auto"/>
          <w:lang w:val="en-US"/>
        </w:rPr>
        <w:t>c</w:t>
      </w:r>
      <w:r w:rsidRPr="00350DF5">
        <w:rPr>
          <w:color w:val="auto"/>
          <w:lang w:val="en-US"/>
        </w:rPr>
        <w:t xml:space="preserve">are, Telecommunications and Utilities categories </w:t>
      </w:r>
      <w:r w:rsidR="00F13ECA">
        <w:rPr>
          <w:color w:val="auto"/>
          <w:lang w:val="en-US"/>
        </w:rPr>
        <w:t>are</w:t>
      </w:r>
      <w:r w:rsidRPr="00350DF5">
        <w:rPr>
          <w:color w:val="auto"/>
          <w:lang w:val="en-US"/>
        </w:rPr>
        <w:t xml:space="preserve"> selected for this reason. This </w:t>
      </w:r>
      <w:r w:rsidR="00F13ECA">
        <w:rPr>
          <w:color w:val="auto"/>
          <w:lang w:val="en-US"/>
        </w:rPr>
        <w:t xml:space="preserve">selection procedure gives an </w:t>
      </w:r>
      <w:r w:rsidRPr="00350DF5">
        <w:rPr>
          <w:color w:val="auto"/>
          <w:lang w:val="en-US"/>
        </w:rPr>
        <w:t>initial 95 companies in total</w:t>
      </w:r>
      <w:r w:rsidR="00F13ECA">
        <w:rPr>
          <w:color w:val="auto"/>
          <w:lang w:val="en-US"/>
        </w:rPr>
        <w:t xml:space="preserve">. However, </w:t>
      </w:r>
      <w:r w:rsidR="00CF661E">
        <w:rPr>
          <w:color w:val="auto"/>
          <w:lang w:val="en-US"/>
        </w:rPr>
        <w:t xml:space="preserve">a total of </w:t>
      </w:r>
      <w:r w:rsidR="00F13ECA">
        <w:rPr>
          <w:color w:val="auto"/>
          <w:lang w:val="en-US"/>
        </w:rPr>
        <w:t>22 companies need to be excluded</w:t>
      </w:r>
      <w:r w:rsidR="00CF661E">
        <w:rPr>
          <w:color w:val="auto"/>
          <w:lang w:val="en-US"/>
        </w:rPr>
        <w:t xml:space="preserve">; </w:t>
      </w:r>
      <w:r w:rsidR="00F13ECA">
        <w:rPr>
          <w:color w:val="auto"/>
          <w:lang w:val="en-US"/>
        </w:rPr>
        <w:t>7</w:t>
      </w:r>
      <w:r w:rsidRPr="00350DF5">
        <w:rPr>
          <w:color w:val="auto"/>
          <w:lang w:val="en-US"/>
        </w:rPr>
        <w:t xml:space="preserve"> companies due to </w:t>
      </w:r>
      <w:r w:rsidR="00F13ECA">
        <w:rPr>
          <w:color w:val="auto"/>
          <w:lang w:val="en-US"/>
        </w:rPr>
        <w:t xml:space="preserve">their </w:t>
      </w:r>
      <w:r w:rsidRPr="00350DF5">
        <w:rPr>
          <w:color w:val="auto"/>
          <w:lang w:val="en-US"/>
        </w:rPr>
        <w:t>listing date</w:t>
      </w:r>
      <w:r w:rsidR="00E01288" w:rsidRPr="00350DF5">
        <w:rPr>
          <w:color w:val="auto"/>
          <w:lang w:val="en-US"/>
        </w:rPr>
        <w:t>s</w:t>
      </w:r>
      <w:r w:rsidRPr="00350DF5">
        <w:rPr>
          <w:color w:val="auto"/>
          <w:lang w:val="en-US"/>
        </w:rPr>
        <w:t xml:space="preserve"> </w:t>
      </w:r>
      <w:r w:rsidR="00F13ECA">
        <w:rPr>
          <w:color w:val="auto"/>
          <w:lang w:val="en-US"/>
        </w:rPr>
        <w:t xml:space="preserve">been </w:t>
      </w:r>
      <w:r w:rsidR="00E01288" w:rsidRPr="00350DF5">
        <w:rPr>
          <w:color w:val="auto"/>
          <w:lang w:val="en-US"/>
        </w:rPr>
        <w:t>outside</w:t>
      </w:r>
      <w:r w:rsidRPr="00350DF5">
        <w:rPr>
          <w:color w:val="auto"/>
          <w:lang w:val="en-US"/>
        </w:rPr>
        <w:t xml:space="preserve"> the specification mentioned above, </w:t>
      </w:r>
      <w:r w:rsidR="00E01288" w:rsidRPr="00350DF5">
        <w:rPr>
          <w:color w:val="auto"/>
          <w:lang w:val="en-US"/>
        </w:rPr>
        <w:t xml:space="preserve">and </w:t>
      </w:r>
      <w:r w:rsidRPr="00350DF5">
        <w:rPr>
          <w:color w:val="auto"/>
          <w:lang w:val="en-US"/>
        </w:rPr>
        <w:t xml:space="preserve">15 </w:t>
      </w:r>
      <w:r w:rsidR="00E01288" w:rsidRPr="00350DF5">
        <w:rPr>
          <w:color w:val="auto"/>
          <w:lang w:val="en-US"/>
        </w:rPr>
        <w:t xml:space="preserve">more </w:t>
      </w:r>
      <w:r w:rsidRPr="00350DF5">
        <w:rPr>
          <w:color w:val="auto"/>
          <w:lang w:val="en-US"/>
        </w:rPr>
        <w:t xml:space="preserve">companies due to </w:t>
      </w:r>
      <w:r w:rsidR="00CF661E">
        <w:rPr>
          <w:color w:val="auto"/>
          <w:lang w:val="en-US"/>
        </w:rPr>
        <w:t>problems of data availability</w:t>
      </w:r>
      <w:r w:rsidRPr="00350DF5">
        <w:rPr>
          <w:color w:val="auto"/>
          <w:lang w:val="en-US"/>
        </w:rPr>
        <w:t xml:space="preserve">.  </w:t>
      </w:r>
      <w:r w:rsidR="00CF661E">
        <w:rPr>
          <w:color w:val="auto"/>
          <w:lang w:val="en-US"/>
        </w:rPr>
        <w:t>Our final sample consists of</w:t>
      </w:r>
      <w:r w:rsidRPr="00350DF5">
        <w:rPr>
          <w:color w:val="auto"/>
          <w:lang w:val="en-US"/>
        </w:rPr>
        <w:t xml:space="preserve"> 73 compan</w:t>
      </w:r>
      <w:r w:rsidR="00CF661E">
        <w:rPr>
          <w:color w:val="auto"/>
          <w:lang w:val="en-US"/>
        </w:rPr>
        <w:t xml:space="preserve">ies </w:t>
      </w:r>
      <w:r w:rsidRPr="00350DF5">
        <w:rPr>
          <w:color w:val="auto"/>
          <w:lang w:val="en-US"/>
        </w:rPr>
        <w:t xml:space="preserve">covering eleven years from 2002 to 2012 (inclusive) giving a total of 803 </w:t>
      </w:r>
      <w:r w:rsidR="00E01288" w:rsidRPr="00350DF5">
        <w:rPr>
          <w:color w:val="auto"/>
          <w:lang w:val="en-US"/>
        </w:rPr>
        <w:t xml:space="preserve">firm-year </w:t>
      </w:r>
      <w:r w:rsidRPr="00350DF5">
        <w:rPr>
          <w:color w:val="auto"/>
          <w:lang w:val="en-US"/>
        </w:rPr>
        <w:t xml:space="preserve">observations. </w:t>
      </w:r>
    </w:p>
    <w:p w14:paraId="659BBC10" w14:textId="6F29801B" w:rsidR="008F61F7" w:rsidRPr="00350DF5" w:rsidRDefault="00E3240E">
      <w:pPr>
        <w:spacing w:line="480" w:lineRule="auto"/>
        <w:ind w:firstLine="567"/>
        <w:jc w:val="both"/>
        <w:rPr>
          <w:color w:val="auto"/>
          <w:lang w:val="en-US"/>
        </w:rPr>
      </w:pPr>
      <w:r w:rsidRPr="00350DF5">
        <w:rPr>
          <w:color w:val="auto"/>
          <w:lang w:val="en-US"/>
        </w:rPr>
        <w:t xml:space="preserve">We use only the annual report of companies </w:t>
      </w:r>
      <w:r w:rsidR="00E01288" w:rsidRPr="00350DF5">
        <w:rPr>
          <w:color w:val="auto"/>
          <w:lang w:val="en-US"/>
        </w:rPr>
        <w:t xml:space="preserve">because we take the view that </w:t>
      </w:r>
      <w:r w:rsidRPr="00350DF5">
        <w:rPr>
          <w:color w:val="auto"/>
          <w:lang w:val="en-US"/>
        </w:rPr>
        <w:t>although firms now have variety of ways to communicate their involvement with the community of operation, the annual report remains the only mandatory and official source of corporate information to many stakeholders.</w:t>
      </w:r>
      <w:r w:rsidR="008F61F7" w:rsidRPr="00350DF5">
        <w:rPr>
          <w:color w:val="auto"/>
          <w:lang w:val="en-US"/>
        </w:rPr>
        <w:t xml:space="preserve"> </w:t>
      </w:r>
      <w:r w:rsidRPr="00350DF5">
        <w:rPr>
          <w:color w:val="auto"/>
          <w:lang w:val="en-US" w:eastAsia="en-US" w:bidi="en-US"/>
        </w:rPr>
        <w:lastRenderedPageBreak/>
        <w:t>F</w:t>
      </w:r>
      <w:r w:rsidR="008F61F7" w:rsidRPr="00350DF5">
        <w:rPr>
          <w:color w:val="auto"/>
          <w:lang w:val="en-US" w:eastAsia="en-US" w:bidi="en-US"/>
        </w:rPr>
        <w:t xml:space="preserve">ormal disclosure of CSR activities on firm’s annual reports still functions as a </w:t>
      </w:r>
      <w:r w:rsidR="00E448BD" w:rsidRPr="00350DF5">
        <w:rPr>
          <w:color w:val="auto"/>
          <w:lang w:val="en-US" w:eastAsia="en-US" w:bidi="en-US"/>
        </w:rPr>
        <w:t>signaling</w:t>
      </w:r>
      <w:r w:rsidR="008F61F7" w:rsidRPr="00350DF5">
        <w:rPr>
          <w:color w:val="auto"/>
          <w:lang w:val="en-US" w:eastAsia="en-US" w:bidi="en-US"/>
        </w:rPr>
        <w:t xml:space="preserve"> tool of company’s future intentions and past engagement with society at large as this form of disclosure is often demanded by key corporate stakeholders such as shareholders, community pressure groups, etc. (</w:t>
      </w:r>
      <w:r w:rsidR="00C034AD" w:rsidRPr="00350DF5">
        <w:rPr>
          <w:color w:val="auto"/>
          <w:lang w:val="en-US" w:eastAsia="en-US" w:bidi="en-US"/>
        </w:rPr>
        <w:t>Campbell et al</w:t>
      </w:r>
      <w:r w:rsidR="00C034AD">
        <w:rPr>
          <w:color w:val="auto"/>
          <w:lang w:val="en-US" w:eastAsia="en-US" w:bidi="en-US"/>
        </w:rPr>
        <w:t>.</w:t>
      </w:r>
      <w:r w:rsidR="00C034AD" w:rsidRPr="00350DF5">
        <w:rPr>
          <w:color w:val="auto"/>
          <w:lang w:val="en-US" w:eastAsia="en-US" w:bidi="en-US"/>
        </w:rPr>
        <w:t>, 2006</w:t>
      </w:r>
      <w:r w:rsidR="008F61F7" w:rsidRPr="00350DF5">
        <w:rPr>
          <w:color w:val="auto"/>
          <w:lang w:val="en-US" w:eastAsia="en-US" w:bidi="en-US"/>
        </w:rPr>
        <w:t>).</w:t>
      </w:r>
    </w:p>
    <w:p w14:paraId="228AA188" w14:textId="3EB9CDCF" w:rsidR="0069281B" w:rsidRPr="00EF201C" w:rsidRDefault="00FE370C" w:rsidP="00491DDA">
      <w:pPr>
        <w:spacing w:line="480" w:lineRule="auto"/>
        <w:ind w:firstLine="567"/>
        <w:jc w:val="both"/>
        <w:rPr>
          <w:color w:val="auto"/>
          <w:lang w:val="en-US"/>
        </w:rPr>
      </w:pPr>
      <w:r w:rsidRPr="00EF201C">
        <w:rPr>
          <w:color w:val="auto"/>
          <w:lang w:val="en-US"/>
        </w:rPr>
        <w:t xml:space="preserve">All data collected </w:t>
      </w:r>
      <w:r w:rsidR="00C034AD" w:rsidRPr="00EF201C">
        <w:rPr>
          <w:color w:val="auto"/>
          <w:lang w:val="en-US"/>
        </w:rPr>
        <w:t>are</w:t>
      </w:r>
      <w:r w:rsidRPr="00EF201C">
        <w:rPr>
          <w:color w:val="auto"/>
          <w:lang w:val="en-US"/>
        </w:rPr>
        <w:t xml:space="preserve"> of a panel nature. </w:t>
      </w:r>
      <w:r w:rsidR="00B57BD9" w:rsidRPr="00EF201C">
        <w:rPr>
          <w:color w:val="auto"/>
          <w:lang w:val="en-US" w:eastAsia="en-US" w:bidi="en-US"/>
        </w:rPr>
        <w:t>A panel dataset consist</w:t>
      </w:r>
      <w:r w:rsidR="00C034AD" w:rsidRPr="00EF201C">
        <w:rPr>
          <w:color w:val="auto"/>
          <w:lang w:val="en-US" w:eastAsia="en-US" w:bidi="en-US"/>
        </w:rPr>
        <w:t>s</w:t>
      </w:r>
      <w:r w:rsidR="00B57BD9" w:rsidRPr="00EF201C">
        <w:rPr>
          <w:color w:val="auto"/>
          <w:lang w:val="en-US" w:eastAsia="en-US" w:bidi="en-US"/>
        </w:rPr>
        <w:t xml:space="preserve"> of both cross-sectional and </w:t>
      </w:r>
      <w:r w:rsidR="00E3240E" w:rsidRPr="00EF201C">
        <w:rPr>
          <w:color w:val="auto"/>
          <w:lang w:val="en-US" w:eastAsia="en-US" w:bidi="en-US"/>
        </w:rPr>
        <w:t>time series</w:t>
      </w:r>
      <w:r w:rsidR="00B57BD9" w:rsidRPr="00EF201C">
        <w:rPr>
          <w:color w:val="auto"/>
          <w:lang w:val="en-US" w:eastAsia="en-US" w:bidi="en-US"/>
        </w:rPr>
        <w:t xml:space="preserve"> </w:t>
      </w:r>
      <w:r w:rsidR="00E3240E" w:rsidRPr="00EF201C">
        <w:rPr>
          <w:color w:val="auto"/>
          <w:lang w:val="en-US" w:eastAsia="en-US" w:bidi="en-US"/>
        </w:rPr>
        <w:t>elements</w:t>
      </w:r>
      <w:r w:rsidR="00B57BD9" w:rsidRPr="00EF201C">
        <w:rPr>
          <w:color w:val="auto"/>
          <w:lang w:val="en-US" w:eastAsia="en-US" w:bidi="en-US"/>
        </w:rPr>
        <w:t xml:space="preserve"> and offers the advantage of controlling for any unobserved heterogeneity that could also affect CCID, which could otherwise be omitted if only cross-section or only time series data </w:t>
      </w:r>
      <w:r w:rsidR="00C034AD" w:rsidRPr="00EF201C">
        <w:rPr>
          <w:color w:val="auto"/>
          <w:lang w:val="en-US" w:eastAsia="en-US" w:bidi="en-US"/>
        </w:rPr>
        <w:t>are</w:t>
      </w:r>
      <w:r w:rsidR="00B57BD9" w:rsidRPr="00EF201C">
        <w:rPr>
          <w:color w:val="auto"/>
          <w:lang w:val="en-US" w:eastAsia="en-US" w:bidi="en-US"/>
        </w:rPr>
        <w:t xml:space="preserve"> used (</w:t>
      </w:r>
      <w:proofErr w:type="spellStart"/>
      <w:r w:rsidR="00B57BD9" w:rsidRPr="00EF201C">
        <w:rPr>
          <w:color w:val="auto"/>
          <w:lang w:val="en-US" w:eastAsia="en-US" w:bidi="en-US"/>
        </w:rPr>
        <w:t>Baltagi</w:t>
      </w:r>
      <w:proofErr w:type="spellEnd"/>
      <w:r w:rsidR="00B57BD9" w:rsidRPr="00EF201C">
        <w:rPr>
          <w:color w:val="auto"/>
          <w:lang w:val="en-US" w:eastAsia="en-US" w:bidi="en-US"/>
        </w:rPr>
        <w:t>, 2005</w:t>
      </w:r>
      <w:r w:rsidR="00F75827">
        <w:rPr>
          <w:color w:val="auto"/>
          <w:lang w:val="en-US" w:eastAsia="en-US" w:bidi="en-US"/>
        </w:rPr>
        <w:t>; Halaby, 2004</w:t>
      </w:r>
      <w:r w:rsidR="00B57BD9" w:rsidRPr="00EF201C">
        <w:rPr>
          <w:color w:val="auto"/>
          <w:lang w:val="en-US" w:eastAsia="en-US" w:bidi="en-US"/>
        </w:rPr>
        <w:t>). The panel dataset also lends itself well to rigorous statistical analysis such as the</w:t>
      </w:r>
      <w:r w:rsidR="00491DDA" w:rsidRPr="00EF201C">
        <w:rPr>
          <w:color w:val="auto"/>
          <w:lang w:val="en-US" w:eastAsia="en-US" w:bidi="en-US"/>
        </w:rPr>
        <w:t xml:space="preserve"> Fixed </w:t>
      </w:r>
      <w:r w:rsidR="006663F7" w:rsidRPr="00EF201C">
        <w:rPr>
          <w:color w:val="auto"/>
          <w:lang w:val="en-US" w:eastAsia="en-US" w:bidi="en-US"/>
        </w:rPr>
        <w:t>effect (</w:t>
      </w:r>
      <w:r w:rsidR="00491DDA" w:rsidRPr="00EF201C">
        <w:rPr>
          <w:color w:val="auto"/>
          <w:lang w:val="en-US" w:eastAsia="en-US" w:bidi="en-US"/>
        </w:rPr>
        <w:t>FE) and the</w:t>
      </w:r>
      <w:r w:rsidR="00B57BD9" w:rsidRPr="00EF201C">
        <w:rPr>
          <w:color w:val="auto"/>
          <w:lang w:val="en-US" w:eastAsia="en-US" w:bidi="en-US"/>
        </w:rPr>
        <w:t xml:space="preserve"> Random-Effect (RE). </w:t>
      </w:r>
      <w:r w:rsidR="00491DDA" w:rsidRPr="00EF201C">
        <w:rPr>
          <w:color w:val="auto"/>
          <w:lang w:val="en-US" w:eastAsia="en-US" w:bidi="en-US"/>
        </w:rPr>
        <w:t>Unlike a normal pooled regression, both the FE and RE</w:t>
      </w:r>
      <w:r w:rsidR="006800E4" w:rsidRPr="00EF201C">
        <w:rPr>
          <w:color w:val="auto"/>
          <w:lang w:val="en-US" w:eastAsia="en-US" w:bidi="en-US"/>
        </w:rPr>
        <w:t xml:space="preserve"> account for</w:t>
      </w:r>
      <w:r w:rsidR="00491DDA" w:rsidRPr="00EF201C">
        <w:rPr>
          <w:color w:val="auto"/>
          <w:lang w:val="en-US" w:eastAsia="en-US" w:bidi="en-US"/>
        </w:rPr>
        <w:t xml:space="preserve"> individual heterogeneity in the investigation. However, while FE assumes constant individual effects over time, RE in addition assumes the possibility of a time-varying individual heterogeneity (</w:t>
      </w:r>
      <w:proofErr w:type="spellStart"/>
      <w:r w:rsidR="00491DDA" w:rsidRPr="00EF201C">
        <w:rPr>
          <w:color w:val="auto"/>
          <w:lang w:val="en-US" w:eastAsia="en-US" w:bidi="en-US"/>
        </w:rPr>
        <w:t>Baltagi</w:t>
      </w:r>
      <w:proofErr w:type="spellEnd"/>
      <w:r w:rsidR="00491DDA" w:rsidRPr="00EF201C">
        <w:rPr>
          <w:color w:val="auto"/>
          <w:lang w:val="en-US" w:eastAsia="en-US" w:bidi="en-US"/>
        </w:rPr>
        <w:t>, 2005</w:t>
      </w:r>
      <w:r w:rsidR="006800E4" w:rsidRPr="00EF201C">
        <w:rPr>
          <w:color w:val="auto"/>
          <w:lang w:val="en-US" w:eastAsia="en-US" w:bidi="en-US"/>
        </w:rPr>
        <w:t xml:space="preserve">; </w:t>
      </w:r>
      <w:r w:rsidR="00F75827">
        <w:rPr>
          <w:color w:val="auto"/>
          <w:lang w:val="en-US" w:eastAsia="en-US" w:bidi="en-US"/>
        </w:rPr>
        <w:t xml:space="preserve">Halaby, 2004; </w:t>
      </w:r>
      <w:r w:rsidR="006800E4" w:rsidRPr="00EF201C">
        <w:rPr>
          <w:color w:val="auto"/>
          <w:lang w:val="en-US" w:eastAsia="en-US" w:bidi="en-US"/>
        </w:rPr>
        <w:t>Wooldridge, 2009)</w:t>
      </w:r>
      <w:r w:rsidR="00491DDA" w:rsidRPr="00EF201C">
        <w:rPr>
          <w:color w:val="auto"/>
          <w:lang w:val="en-US" w:eastAsia="en-US" w:bidi="en-US"/>
        </w:rPr>
        <w:t xml:space="preserve">. </w:t>
      </w:r>
      <w:r w:rsidR="00B57BD9" w:rsidRPr="00EF201C">
        <w:rPr>
          <w:color w:val="auto"/>
          <w:lang w:val="en-US" w:eastAsia="en-US" w:bidi="en-US"/>
        </w:rPr>
        <w:t>For example, the unobserved endogenous variables (e.g. management leadership style) that may emanate from the very specific culture of the firm and might not have been observed in the course of data collection (Singer and Willett, 2003) can be accounted for using panel study. Controlling for such variables would ensure the validity of our results</w:t>
      </w:r>
      <w:r w:rsidR="00CF686B" w:rsidRPr="00EF201C">
        <w:rPr>
          <w:color w:val="auto"/>
          <w:lang w:val="en-US" w:eastAsia="en-US" w:bidi="en-US"/>
        </w:rPr>
        <w:t>.</w:t>
      </w:r>
      <w:r w:rsidR="00B57BD9" w:rsidRPr="00EF201C">
        <w:rPr>
          <w:color w:val="auto"/>
          <w:lang w:val="en-US" w:eastAsia="en-US" w:bidi="en-US"/>
        </w:rPr>
        <w:t xml:space="preserve"> </w:t>
      </w:r>
    </w:p>
    <w:p w14:paraId="3B63B194" w14:textId="21C86C0B" w:rsidR="00A5674E" w:rsidRPr="00EF201C" w:rsidRDefault="00FE370C">
      <w:pPr>
        <w:spacing w:line="480" w:lineRule="auto"/>
        <w:ind w:firstLine="567"/>
        <w:jc w:val="both"/>
        <w:rPr>
          <w:color w:val="auto"/>
          <w:lang w:val="en-US"/>
        </w:rPr>
      </w:pPr>
      <w:r w:rsidRPr="00EF201C">
        <w:rPr>
          <w:color w:val="auto"/>
          <w:lang w:val="en-US" w:eastAsia="en-US" w:bidi="en-US"/>
        </w:rPr>
        <w:t>Table</w:t>
      </w:r>
      <w:r w:rsidR="008D13EC" w:rsidRPr="00EF201C">
        <w:rPr>
          <w:color w:val="auto"/>
          <w:lang w:val="en-US" w:eastAsia="en-US" w:bidi="en-US"/>
        </w:rPr>
        <w:t xml:space="preserve"> </w:t>
      </w:r>
      <w:r w:rsidRPr="00EF201C">
        <w:rPr>
          <w:color w:val="auto"/>
          <w:lang w:val="en-US" w:eastAsia="en-US" w:bidi="en-US"/>
        </w:rPr>
        <w:t xml:space="preserve">1 </w:t>
      </w:r>
      <w:r w:rsidRPr="00EF201C">
        <w:rPr>
          <w:color w:val="auto"/>
          <w:lang w:val="en-US"/>
        </w:rPr>
        <w:t xml:space="preserve">below presents the industry classification and number of companies selected from each industry, </w:t>
      </w:r>
      <w:r w:rsidR="008D13EC" w:rsidRPr="00EF201C">
        <w:rPr>
          <w:color w:val="auto"/>
          <w:lang w:val="en-US"/>
        </w:rPr>
        <w:t xml:space="preserve">and </w:t>
      </w:r>
      <w:r w:rsidRPr="00EF201C">
        <w:rPr>
          <w:color w:val="auto"/>
          <w:lang w:val="en-US"/>
        </w:rPr>
        <w:t xml:space="preserve">the list of companies included in the study is presented in Appendix A. </w:t>
      </w:r>
    </w:p>
    <w:p w14:paraId="7AA04611" w14:textId="77777777" w:rsidR="00A5674E" w:rsidRPr="00EF201C" w:rsidRDefault="00A5674E">
      <w:pPr>
        <w:spacing w:line="480" w:lineRule="auto"/>
        <w:ind w:firstLine="567"/>
        <w:jc w:val="both"/>
        <w:rPr>
          <w:color w:val="auto"/>
          <w:lang w:val="en-US"/>
        </w:rPr>
      </w:pPr>
    </w:p>
    <w:p w14:paraId="71ACE911" w14:textId="77777777" w:rsidR="00A5674E" w:rsidRPr="00EF201C" w:rsidRDefault="00FE370C">
      <w:pPr>
        <w:spacing w:line="480" w:lineRule="auto"/>
        <w:ind w:firstLine="567"/>
        <w:jc w:val="center"/>
        <w:rPr>
          <w:color w:val="auto"/>
          <w:lang w:val="en-US"/>
        </w:rPr>
      </w:pPr>
      <w:r w:rsidRPr="00EF201C">
        <w:rPr>
          <w:rFonts w:eastAsia="Calibri"/>
          <w:b/>
          <w:bCs/>
          <w:color w:val="auto"/>
          <w:lang w:val="en-US"/>
        </w:rPr>
        <w:t xml:space="preserve">&lt;&lt;&lt; Table 1 about here – </w:t>
      </w:r>
      <w:r w:rsidRPr="00EF201C">
        <w:rPr>
          <w:rFonts w:eastAsia="Calibri"/>
          <w:bCs/>
          <w:color w:val="auto"/>
          <w:lang w:val="en-US"/>
        </w:rPr>
        <w:t>Industrial Classification</w:t>
      </w:r>
      <w:r w:rsidRPr="00EF201C">
        <w:rPr>
          <w:rFonts w:eastAsia="Calibri"/>
          <w:color w:val="auto"/>
          <w:lang w:val="en-US"/>
        </w:rPr>
        <w:t>&gt;&gt;&gt;</w:t>
      </w:r>
    </w:p>
    <w:p w14:paraId="11762ACA" w14:textId="77777777" w:rsidR="00A5674E" w:rsidRPr="00EF201C" w:rsidRDefault="00A5674E">
      <w:pPr>
        <w:spacing w:line="480" w:lineRule="auto"/>
        <w:ind w:firstLine="567"/>
        <w:jc w:val="both"/>
        <w:rPr>
          <w:color w:val="auto"/>
          <w:lang w:val="en-US"/>
        </w:rPr>
      </w:pPr>
    </w:p>
    <w:p w14:paraId="7D54335D" w14:textId="1FEA8BBA" w:rsidR="00A5674E" w:rsidRDefault="00FE370C">
      <w:pPr>
        <w:spacing w:line="480" w:lineRule="auto"/>
        <w:ind w:firstLine="567"/>
        <w:jc w:val="both"/>
        <w:rPr>
          <w:color w:val="auto"/>
          <w:lang w:val="en-US" w:eastAsia="en-US" w:bidi="en-US"/>
        </w:rPr>
      </w:pPr>
      <w:r w:rsidRPr="00EF201C">
        <w:rPr>
          <w:color w:val="auto"/>
          <w:lang w:val="en-US"/>
        </w:rPr>
        <w:t>Table 1</w:t>
      </w:r>
      <w:r w:rsidR="008D13EC" w:rsidRPr="00EF201C">
        <w:rPr>
          <w:color w:val="auto"/>
          <w:lang w:val="en-US"/>
        </w:rPr>
        <w:t>,</w:t>
      </w:r>
      <w:r w:rsidRPr="00EF201C">
        <w:rPr>
          <w:color w:val="auto"/>
          <w:lang w:val="en-US"/>
        </w:rPr>
        <w:t xml:space="preserve"> however, </w:t>
      </w:r>
      <w:r w:rsidRPr="00EF201C">
        <w:rPr>
          <w:color w:val="auto"/>
          <w:lang w:val="en-US" w:eastAsia="en-US" w:bidi="en-US"/>
        </w:rPr>
        <w:t xml:space="preserve">indicates an uneven distribution between the ten industrial classifications; for instance, </w:t>
      </w:r>
      <w:r w:rsidR="008D13EC" w:rsidRPr="00EF201C">
        <w:rPr>
          <w:color w:val="auto"/>
          <w:lang w:val="en-US" w:eastAsia="en-US" w:bidi="en-US"/>
        </w:rPr>
        <w:t xml:space="preserve">though </w:t>
      </w:r>
      <w:r w:rsidRPr="00EF201C">
        <w:rPr>
          <w:color w:val="auto"/>
          <w:lang w:val="en-US" w:eastAsia="en-US" w:bidi="en-US"/>
        </w:rPr>
        <w:t xml:space="preserve">Consumer Goods has as many as ten companies and Industrials has nine companies, Telecommunications has only five companies analyzed. In addition, </w:t>
      </w:r>
      <w:r w:rsidR="008D13EC" w:rsidRPr="00EF201C">
        <w:rPr>
          <w:color w:val="auto"/>
          <w:lang w:val="en-US" w:eastAsia="en-US" w:bidi="en-US"/>
        </w:rPr>
        <w:t xml:space="preserve">though </w:t>
      </w:r>
      <w:r w:rsidRPr="00EF201C">
        <w:rPr>
          <w:color w:val="auto"/>
          <w:lang w:val="en-US" w:eastAsia="en-US" w:bidi="en-US"/>
        </w:rPr>
        <w:t xml:space="preserve">Consumer Services, </w:t>
      </w:r>
      <w:r w:rsidRPr="00EF201C">
        <w:rPr>
          <w:color w:val="auto"/>
          <w:lang w:val="en-US" w:eastAsia="en-US" w:bidi="en-US"/>
        </w:rPr>
        <w:lastRenderedPageBreak/>
        <w:t xml:space="preserve">Financials and Technology </w:t>
      </w:r>
      <w:r w:rsidR="008D13EC" w:rsidRPr="00EF201C">
        <w:rPr>
          <w:color w:val="auto"/>
          <w:lang w:val="en-US" w:eastAsia="en-US" w:bidi="en-US"/>
        </w:rPr>
        <w:t>have</w:t>
      </w:r>
      <w:r w:rsidRPr="00EF201C">
        <w:rPr>
          <w:color w:val="auto"/>
          <w:lang w:val="en-US" w:eastAsia="en-US" w:bidi="en-US"/>
        </w:rPr>
        <w:t xml:space="preserve"> eight companies </w:t>
      </w:r>
      <w:r w:rsidR="008D13EC" w:rsidRPr="00EF201C">
        <w:rPr>
          <w:color w:val="auto"/>
          <w:lang w:val="en-US" w:eastAsia="en-US" w:bidi="en-US"/>
        </w:rPr>
        <w:t xml:space="preserve">each </w:t>
      </w:r>
      <w:r w:rsidRPr="00EF201C">
        <w:rPr>
          <w:color w:val="auto"/>
          <w:lang w:val="en-US" w:eastAsia="en-US" w:bidi="en-US"/>
        </w:rPr>
        <w:t xml:space="preserve">analyzed, three other industries – Basic Materials, Health Care and Oil and Gas – have six companies each analyzed, and Utilities has seven companies. However, this imbalance </w:t>
      </w:r>
      <w:r w:rsidR="00917F69" w:rsidRPr="00EF201C">
        <w:rPr>
          <w:color w:val="auto"/>
          <w:lang w:val="en-US" w:eastAsia="en-US" w:bidi="en-US"/>
        </w:rPr>
        <w:t>does not</w:t>
      </w:r>
      <w:r w:rsidRPr="00EF201C">
        <w:rPr>
          <w:color w:val="auto"/>
          <w:lang w:val="en-US" w:eastAsia="en-US" w:bidi="en-US"/>
        </w:rPr>
        <w:t xml:space="preserve"> affect the analysis </w:t>
      </w:r>
      <w:r w:rsidR="008D13EC" w:rsidRPr="00EF201C">
        <w:rPr>
          <w:color w:val="auto"/>
          <w:lang w:val="en-US" w:eastAsia="en-US" w:bidi="en-US"/>
        </w:rPr>
        <w:t>because</w:t>
      </w:r>
      <w:r w:rsidRPr="00EF201C">
        <w:rPr>
          <w:color w:val="auto"/>
          <w:lang w:val="en-US" w:eastAsia="en-US" w:bidi="en-US"/>
        </w:rPr>
        <w:t xml:space="preserve"> </w:t>
      </w:r>
      <w:r w:rsidR="00917F69" w:rsidRPr="00EF201C">
        <w:rPr>
          <w:color w:val="auto"/>
          <w:lang w:val="en-US" w:eastAsia="en-US" w:bidi="en-US"/>
        </w:rPr>
        <w:t xml:space="preserve">the use of </w:t>
      </w:r>
      <w:r w:rsidRPr="00EF201C">
        <w:rPr>
          <w:color w:val="auto"/>
          <w:lang w:val="en-US" w:eastAsia="en-US" w:bidi="en-US"/>
        </w:rPr>
        <w:t>a panel dataset corrects for this inadequacy (</w:t>
      </w:r>
      <w:proofErr w:type="spellStart"/>
      <w:r w:rsidRPr="00EF201C">
        <w:rPr>
          <w:rFonts w:eastAsia="Times-Roman"/>
          <w:color w:val="auto"/>
          <w:lang w:val="en-US"/>
        </w:rPr>
        <w:t>Baltagi</w:t>
      </w:r>
      <w:proofErr w:type="spellEnd"/>
      <w:r w:rsidRPr="00EF201C">
        <w:rPr>
          <w:rFonts w:eastAsia="Times-Roman"/>
          <w:color w:val="auto"/>
          <w:lang w:val="en-US"/>
        </w:rPr>
        <w:t>, 2005)</w:t>
      </w:r>
      <w:r w:rsidRPr="00EF201C">
        <w:rPr>
          <w:color w:val="auto"/>
          <w:lang w:val="en-US" w:eastAsia="en-US" w:bidi="en-US"/>
        </w:rPr>
        <w:t>.</w:t>
      </w:r>
    </w:p>
    <w:p w14:paraId="22436887" w14:textId="77777777" w:rsidR="00A5674E" w:rsidRPr="00EF201C" w:rsidRDefault="00FE370C" w:rsidP="00051170">
      <w:pPr>
        <w:pStyle w:val="ListParagraph"/>
        <w:numPr>
          <w:ilvl w:val="1"/>
          <w:numId w:val="1"/>
        </w:numPr>
        <w:spacing w:line="480" w:lineRule="auto"/>
        <w:ind w:left="426" w:hanging="426"/>
        <w:rPr>
          <w:b/>
          <w:i/>
          <w:color w:val="auto"/>
          <w:szCs w:val="24"/>
          <w:lang w:val="en-US"/>
        </w:rPr>
      </w:pPr>
      <w:r w:rsidRPr="00EF201C">
        <w:rPr>
          <w:b/>
          <w:i/>
          <w:color w:val="auto"/>
          <w:szCs w:val="24"/>
          <w:lang w:val="en-US"/>
        </w:rPr>
        <w:t xml:space="preserve">Data Collection Method </w:t>
      </w:r>
    </w:p>
    <w:p w14:paraId="060F94F1" w14:textId="38A41FF4" w:rsidR="004C0177" w:rsidRPr="00EF201C" w:rsidRDefault="00917F69" w:rsidP="00C74B11">
      <w:pPr>
        <w:pStyle w:val="ListParagraph"/>
        <w:spacing w:line="480" w:lineRule="auto"/>
        <w:ind w:left="0" w:firstLine="567"/>
        <w:rPr>
          <w:color w:val="auto"/>
          <w:szCs w:val="24"/>
          <w:lang w:val="en-US"/>
        </w:rPr>
      </w:pPr>
      <w:r w:rsidRPr="00EF201C">
        <w:rPr>
          <w:color w:val="auto"/>
          <w:szCs w:val="24"/>
          <w:lang w:val="en-US"/>
        </w:rPr>
        <w:t xml:space="preserve">For the purpose of this </w:t>
      </w:r>
      <w:r w:rsidR="00221607" w:rsidRPr="00EF201C">
        <w:rPr>
          <w:color w:val="auto"/>
          <w:szCs w:val="24"/>
          <w:lang w:val="en-US"/>
        </w:rPr>
        <w:t>study</w:t>
      </w:r>
      <w:r w:rsidRPr="00EF201C">
        <w:rPr>
          <w:color w:val="auto"/>
          <w:szCs w:val="24"/>
          <w:lang w:val="en-US"/>
        </w:rPr>
        <w:t xml:space="preserve">, we </w:t>
      </w:r>
      <w:r w:rsidR="00221607" w:rsidRPr="00EF201C">
        <w:rPr>
          <w:color w:val="auto"/>
          <w:szCs w:val="24"/>
          <w:lang w:val="en-US"/>
        </w:rPr>
        <w:t>adopt a content analysis data collection method. Weber (1988) describe</w:t>
      </w:r>
      <w:r w:rsidRPr="00EF201C">
        <w:rPr>
          <w:color w:val="auto"/>
          <w:szCs w:val="24"/>
          <w:lang w:val="en-US"/>
        </w:rPr>
        <w:t>s</w:t>
      </w:r>
      <w:r w:rsidR="00221607" w:rsidRPr="00EF201C">
        <w:rPr>
          <w:color w:val="auto"/>
          <w:szCs w:val="24"/>
          <w:lang w:val="en-US"/>
        </w:rPr>
        <w:t xml:space="preserve"> content analysis as a </w:t>
      </w:r>
      <w:r w:rsidR="00221607" w:rsidRPr="00EF201C">
        <w:rPr>
          <w:i/>
          <w:color w:val="auto"/>
          <w:szCs w:val="24"/>
          <w:lang w:val="en-US"/>
        </w:rPr>
        <w:t>data collection method</w:t>
      </w:r>
      <w:r w:rsidR="00221607" w:rsidRPr="00EF201C">
        <w:rPr>
          <w:color w:val="auto"/>
          <w:szCs w:val="24"/>
          <w:lang w:val="en-US"/>
        </w:rPr>
        <w:t xml:space="preserve"> of codifying the content of a narrative report using selected criteria or decision rules, thereby deriving a quantitative scale, which then permits further analysis. Previous studies on social disclosure (for example, </w:t>
      </w:r>
      <w:r w:rsidRPr="00EF201C">
        <w:rPr>
          <w:color w:val="auto"/>
          <w:szCs w:val="24"/>
          <w:lang w:val="en-US"/>
        </w:rPr>
        <w:t xml:space="preserve">Beattie et al., 2004; </w:t>
      </w:r>
      <w:r w:rsidR="00221607" w:rsidRPr="00EF201C">
        <w:rPr>
          <w:color w:val="auto"/>
          <w:szCs w:val="24"/>
          <w:lang w:val="en-US"/>
        </w:rPr>
        <w:t xml:space="preserve">Ernst </w:t>
      </w:r>
      <w:r w:rsidR="00E66ADC">
        <w:rPr>
          <w:color w:val="auto"/>
          <w:szCs w:val="24"/>
          <w:lang w:val="en-US" w:eastAsia="en-US" w:bidi="en-US"/>
        </w:rPr>
        <w:t>and</w:t>
      </w:r>
      <w:r w:rsidR="00221607" w:rsidRPr="00EF201C">
        <w:rPr>
          <w:color w:val="auto"/>
          <w:szCs w:val="24"/>
          <w:lang w:val="en-US"/>
        </w:rPr>
        <w:t xml:space="preserve"> Ernst, 1978; </w:t>
      </w:r>
      <w:r w:rsidRPr="00EF201C">
        <w:rPr>
          <w:color w:val="auto"/>
          <w:szCs w:val="24"/>
          <w:lang w:val="en-US"/>
        </w:rPr>
        <w:t xml:space="preserve">Gray et al., 1995; Guthrie et al., 2004; </w:t>
      </w:r>
      <w:proofErr w:type="spellStart"/>
      <w:r w:rsidRPr="00EF201C">
        <w:rPr>
          <w:color w:val="auto"/>
          <w:szCs w:val="24"/>
          <w:lang w:val="en-US"/>
        </w:rPr>
        <w:t>Hackston</w:t>
      </w:r>
      <w:proofErr w:type="spellEnd"/>
      <w:r w:rsidRPr="00EF201C">
        <w:rPr>
          <w:color w:val="auto"/>
          <w:szCs w:val="24"/>
          <w:lang w:val="en-US"/>
        </w:rPr>
        <w:t xml:space="preserve"> </w:t>
      </w:r>
      <w:r w:rsidR="00E66ADC">
        <w:rPr>
          <w:color w:val="auto"/>
          <w:szCs w:val="24"/>
          <w:lang w:val="en-US" w:eastAsia="en-US" w:bidi="en-US"/>
        </w:rPr>
        <w:t>and</w:t>
      </w:r>
      <w:r w:rsidRPr="00EF201C">
        <w:rPr>
          <w:color w:val="auto"/>
          <w:szCs w:val="24"/>
          <w:lang w:val="en-US"/>
        </w:rPr>
        <w:t xml:space="preserve"> Milne, 1996; Hooks </w:t>
      </w:r>
      <w:r w:rsidR="00E66ADC">
        <w:rPr>
          <w:color w:val="auto"/>
          <w:szCs w:val="24"/>
          <w:lang w:val="en-US" w:eastAsia="en-US" w:bidi="en-US"/>
        </w:rPr>
        <w:t>and</w:t>
      </w:r>
      <w:r w:rsidRPr="00EF201C">
        <w:rPr>
          <w:color w:val="auto"/>
          <w:szCs w:val="24"/>
          <w:lang w:val="en-US"/>
        </w:rPr>
        <w:t xml:space="preserve"> van </w:t>
      </w:r>
      <w:proofErr w:type="spellStart"/>
      <w:r w:rsidRPr="00EF201C">
        <w:rPr>
          <w:color w:val="auto"/>
          <w:szCs w:val="24"/>
          <w:lang w:val="en-US"/>
        </w:rPr>
        <w:t>Staden</w:t>
      </w:r>
      <w:proofErr w:type="spellEnd"/>
      <w:r w:rsidRPr="00EF201C">
        <w:rPr>
          <w:color w:val="auto"/>
          <w:szCs w:val="24"/>
          <w:lang w:val="en-US"/>
        </w:rPr>
        <w:t>, 2011;</w:t>
      </w:r>
      <w:r w:rsidR="00221607" w:rsidRPr="00EF201C">
        <w:rPr>
          <w:color w:val="auto"/>
          <w:szCs w:val="24"/>
          <w:lang w:val="en-US"/>
        </w:rPr>
        <w:t xml:space="preserve"> Milne </w:t>
      </w:r>
      <w:r w:rsidR="00E66ADC">
        <w:rPr>
          <w:color w:val="auto"/>
          <w:szCs w:val="24"/>
          <w:lang w:val="en-US" w:eastAsia="en-US" w:bidi="en-US"/>
        </w:rPr>
        <w:t>and</w:t>
      </w:r>
      <w:r w:rsidR="00221607" w:rsidRPr="00EF201C">
        <w:rPr>
          <w:color w:val="auto"/>
          <w:szCs w:val="24"/>
          <w:lang w:val="en-US"/>
        </w:rPr>
        <w:t xml:space="preserve"> Adler</w:t>
      </w:r>
      <w:r w:rsidRPr="00EF201C">
        <w:rPr>
          <w:color w:val="auto"/>
          <w:szCs w:val="24"/>
          <w:lang w:val="en-US"/>
        </w:rPr>
        <w:t>, 1999)</w:t>
      </w:r>
      <w:r w:rsidR="00221607" w:rsidRPr="00EF201C">
        <w:rPr>
          <w:color w:val="auto"/>
          <w:szCs w:val="24"/>
          <w:lang w:val="en-US"/>
        </w:rPr>
        <w:t xml:space="preserve"> have used content analysis as a method of collecting and analyzing data. Content analysis </w:t>
      </w:r>
      <w:r w:rsidRPr="00EF201C">
        <w:rPr>
          <w:color w:val="auto"/>
          <w:szCs w:val="24"/>
          <w:lang w:val="en-US"/>
        </w:rPr>
        <w:t>is</w:t>
      </w:r>
      <w:r w:rsidR="00221607" w:rsidRPr="00EF201C">
        <w:rPr>
          <w:color w:val="auto"/>
          <w:szCs w:val="24"/>
          <w:lang w:val="en-US"/>
        </w:rPr>
        <w:t xml:space="preserve"> been used in diverse ways to analyze narrative contents in annual reports; these include: sentence count (</w:t>
      </w:r>
      <w:r w:rsidRPr="00EF201C">
        <w:rPr>
          <w:color w:val="auto"/>
          <w:szCs w:val="24"/>
          <w:lang w:val="en-US"/>
        </w:rPr>
        <w:t xml:space="preserve">Deegan et al., 2000; </w:t>
      </w:r>
      <w:proofErr w:type="spellStart"/>
      <w:r w:rsidR="00221607" w:rsidRPr="00EF201C">
        <w:rPr>
          <w:color w:val="auto"/>
          <w:szCs w:val="24"/>
          <w:lang w:val="en-US"/>
        </w:rPr>
        <w:t>Hackston</w:t>
      </w:r>
      <w:proofErr w:type="spellEnd"/>
      <w:r w:rsidR="00221607" w:rsidRPr="00EF201C">
        <w:rPr>
          <w:color w:val="auto"/>
          <w:szCs w:val="24"/>
          <w:lang w:val="en-US"/>
        </w:rPr>
        <w:t xml:space="preserve"> </w:t>
      </w:r>
      <w:r w:rsidR="00E66ADC">
        <w:rPr>
          <w:color w:val="auto"/>
          <w:szCs w:val="24"/>
          <w:lang w:val="en-US" w:eastAsia="en-US" w:bidi="en-US"/>
        </w:rPr>
        <w:t>and</w:t>
      </w:r>
      <w:r w:rsidR="00221607" w:rsidRPr="00EF201C">
        <w:rPr>
          <w:color w:val="auto"/>
          <w:szCs w:val="24"/>
          <w:lang w:val="en-US"/>
        </w:rPr>
        <w:t xml:space="preserve"> Milne, 1996); word count (</w:t>
      </w:r>
      <w:r w:rsidRPr="00EF201C">
        <w:rPr>
          <w:color w:val="auto"/>
          <w:szCs w:val="24"/>
          <w:lang w:val="en-US"/>
        </w:rPr>
        <w:t xml:space="preserve">Campbell et al., 2006; </w:t>
      </w:r>
      <w:r w:rsidR="00221607" w:rsidRPr="00EF201C">
        <w:rPr>
          <w:color w:val="auto"/>
          <w:szCs w:val="24"/>
          <w:lang w:val="en-US"/>
        </w:rPr>
        <w:t xml:space="preserve">Gray et al., 1995; </w:t>
      </w:r>
      <w:proofErr w:type="spellStart"/>
      <w:r w:rsidR="00221607" w:rsidRPr="00EF201C">
        <w:rPr>
          <w:color w:val="auto"/>
          <w:szCs w:val="24"/>
          <w:lang w:val="en-US"/>
        </w:rPr>
        <w:t>Yekini</w:t>
      </w:r>
      <w:proofErr w:type="spellEnd"/>
      <w:r w:rsidR="00221607" w:rsidRPr="00EF201C">
        <w:rPr>
          <w:color w:val="auto"/>
          <w:szCs w:val="24"/>
          <w:lang w:val="en-US"/>
        </w:rPr>
        <w:t xml:space="preserve"> </w:t>
      </w:r>
      <w:r w:rsidR="00E66ADC">
        <w:rPr>
          <w:color w:val="auto"/>
          <w:szCs w:val="24"/>
          <w:lang w:val="en-US" w:eastAsia="en-US" w:bidi="en-US"/>
        </w:rPr>
        <w:t>and</w:t>
      </w:r>
      <w:r w:rsidR="00221607" w:rsidRPr="00EF201C">
        <w:rPr>
          <w:color w:val="auto"/>
          <w:szCs w:val="24"/>
          <w:lang w:val="en-US"/>
        </w:rPr>
        <w:t xml:space="preserve"> </w:t>
      </w:r>
      <w:proofErr w:type="spellStart"/>
      <w:r w:rsidR="00221607" w:rsidRPr="00EF201C">
        <w:rPr>
          <w:color w:val="auto"/>
          <w:szCs w:val="24"/>
          <w:lang w:val="en-US"/>
        </w:rPr>
        <w:t>Jallow</w:t>
      </w:r>
      <w:proofErr w:type="spellEnd"/>
      <w:r w:rsidR="00221607" w:rsidRPr="00EF201C">
        <w:rPr>
          <w:color w:val="auto"/>
          <w:szCs w:val="24"/>
          <w:lang w:val="en-US"/>
        </w:rPr>
        <w:t xml:space="preserve">, 2012) and the constructing </w:t>
      </w:r>
      <w:r w:rsidR="00866C93" w:rsidRPr="00EF201C">
        <w:rPr>
          <w:color w:val="auto"/>
          <w:szCs w:val="24"/>
          <w:lang w:val="en-US"/>
        </w:rPr>
        <w:t xml:space="preserve">of </w:t>
      </w:r>
      <w:r w:rsidR="00221607" w:rsidRPr="00EF201C">
        <w:rPr>
          <w:color w:val="auto"/>
          <w:szCs w:val="24"/>
          <w:lang w:val="en-US"/>
        </w:rPr>
        <w:t>quality score index (</w:t>
      </w:r>
      <w:r w:rsidRPr="00EF201C">
        <w:rPr>
          <w:color w:val="auto"/>
          <w:szCs w:val="24"/>
          <w:lang w:val="en-US"/>
        </w:rPr>
        <w:t xml:space="preserve">Freedman </w:t>
      </w:r>
      <w:r w:rsidR="00E66ADC">
        <w:rPr>
          <w:color w:val="auto"/>
          <w:szCs w:val="24"/>
          <w:lang w:val="en-US" w:eastAsia="en-US" w:bidi="en-US"/>
        </w:rPr>
        <w:t>and</w:t>
      </w:r>
      <w:r w:rsidRPr="00EF201C">
        <w:rPr>
          <w:color w:val="auto"/>
          <w:szCs w:val="24"/>
          <w:lang w:val="en-US"/>
        </w:rPr>
        <w:t xml:space="preserve"> </w:t>
      </w:r>
      <w:proofErr w:type="spellStart"/>
      <w:r w:rsidRPr="00EF201C">
        <w:rPr>
          <w:color w:val="auto"/>
          <w:szCs w:val="24"/>
          <w:lang w:val="en-US"/>
        </w:rPr>
        <w:t>Stagliano</w:t>
      </w:r>
      <w:proofErr w:type="spellEnd"/>
      <w:r w:rsidRPr="00EF201C">
        <w:rPr>
          <w:color w:val="auto"/>
          <w:szCs w:val="24"/>
          <w:lang w:val="en-US"/>
        </w:rPr>
        <w:t>, 2008;</w:t>
      </w:r>
      <w:r w:rsidRPr="00EF201C">
        <w:rPr>
          <w:bCs/>
          <w:color w:val="auto"/>
          <w:szCs w:val="24"/>
          <w:lang w:val="en-US"/>
        </w:rPr>
        <w:t xml:space="preserve"> </w:t>
      </w:r>
      <w:r w:rsidR="00221607" w:rsidRPr="00EF201C">
        <w:rPr>
          <w:color w:val="auto"/>
          <w:szCs w:val="24"/>
          <w:lang w:val="en-US"/>
        </w:rPr>
        <w:t xml:space="preserve">Walden </w:t>
      </w:r>
      <w:r w:rsidR="00E66ADC">
        <w:rPr>
          <w:color w:val="auto"/>
          <w:szCs w:val="24"/>
          <w:lang w:val="en-US" w:eastAsia="en-US" w:bidi="en-US"/>
        </w:rPr>
        <w:t>and</w:t>
      </w:r>
      <w:r w:rsidR="00221607" w:rsidRPr="00EF201C">
        <w:rPr>
          <w:color w:val="auto"/>
          <w:szCs w:val="24"/>
          <w:lang w:val="en-US"/>
        </w:rPr>
        <w:t xml:space="preserve"> Schwartz, 1997; </w:t>
      </w:r>
      <w:proofErr w:type="spellStart"/>
      <w:r w:rsidR="00221607" w:rsidRPr="00EF201C">
        <w:rPr>
          <w:bCs/>
          <w:color w:val="auto"/>
          <w:szCs w:val="24"/>
          <w:lang w:val="en-US"/>
        </w:rPr>
        <w:t>Yekini</w:t>
      </w:r>
      <w:proofErr w:type="spellEnd"/>
      <w:r w:rsidR="00221607" w:rsidRPr="00EF201C">
        <w:rPr>
          <w:bCs/>
          <w:color w:val="auto"/>
          <w:szCs w:val="24"/>
          <w:lang w:val="en-US"/>
        </w:rPr>
        <w:t xml:space="preserve"> </w:t>
      </w:r>
      <w:r w:rsidR="00E66ADC">
        <w:rPr>
          <w:color w:val="auto"/>
          <w:szCs w:val="24"/>
          <w:lang w:val="en-US" w:eastAsia="en-US" w:bidi="en-US"/>
        </w:rPr>
        <w:t>and</w:t>
      </w:r>
      <w:r w:rsidR="00221607" w:rsidRPr="00EF201C">
        <w:rPr>
          <w:bCs/>
          <w:color w:val="auto"/>
          <w:szCs w:val="24"/>
          <w:lang w:val="en-US"/>
        </w:rPr>
        <w:t xml:space="preserve"> </w:t>
      </w:r>
      <w:proofErr w:type="spellStart"/>
      <w:r w:rsidR="00221607" w:rsidRPr="00EF201C">
        <w:rPr>
          <w:bCs/>
          <w:color w:val="auto"/>
          <w:szCs w:val="24"/>
          <w:lang w:val="en-US"/>
        </w:rPr>
        <w:t>Jallow</w:t>
      </w:r>
      <w:proofErr w:type="spellEnd"/>
      <w:r w:rsidR="00221607" w:rsidRPr="00EF201C">
        <w:rPr>
          <w:bCs/>
          <w:color w:val="auto"/>
          <w:szCs w:val="24"/>
          <w:lang w:val="en-US"/>
        </w:rPr>
        <w:t>, 2012)</w:t>
      </w:r>
      <w:r w:rsidR="00221607" w:rsidRPr="00EF201C">
        <w:rPr>
          <w:color w:val="auto"/>
          <w:szCs w:val="24"/>
          <w:lang w:val="en-US"/>
        </w:rPr>
        <w:t>.</w:t>
      </w:r>
      <w:r w:rsidR="00B760E3" w:rsidRPr="00EF201C">
        <w:rPr>
          <w:color w:val="auto"/>
          <w:szCs w:val="24"/>
          <w:lang w:val="en-US"/>
        </w:rPr>
        <w:t xml:space="preserve"> We </w:t>
      </w:r>
      <w:r w:rsidR="002861F8" w:rsidRPr="00EF201C">
        <w:rPr>
          <w:color w:val="auto"/>
          <w:szCs w:val="24"/>
          <w:lang w:val="en-US"/>
        </w:rPr>
        <w:t>follow Milne</w:t>
      </w:r>
      <w:r w:rsidR="00221607" w:rsidRPr="00EF201C">
        <w:rPr>
          <w:color w:val="auto"/>
          <w:szCs w:val="24"/>
          <w:lang w:val="en-US"/>
        </w:rPr>
        <w:t xml:space="preserve"> and Adler</w:t>
      </w:r>
      <w:r w:rsidR="00B760E3" w:rsidRPr="00EF201C">
        <w:rPr>
          <w:color w:val="auto"/>
          <w:szCs w:val="24"/>
          <w:lang w:val="en-US"/>
        </w:rPr>
        <w:t>’s</w:t>
      </w:r>
      <w:r w:rsidR="00221607" w:rsidRPr="00EF201C">
        <w:rPr>
          <w:color w:val="auto"/>
          <w:szCs w:val="24"/>
          <w:lang w:val="en-US"/>
        </w:rPr>
        <w:t xml:space="preserve"> (1999)</w:t>
      </w:r>
      <w:r w:rsidR="00C74B11" w:rsidRPr="00EF201C">
        <w:rPr>
          <w:color w:val="auto"/>
          <w:szCs w:val="24"/>
          <w:lang w:val="en-US"/>
        </w:rPr>
        <w:t>, advice</w:t>
      </w:r>
      <w:r w:rsidR="00B760E3" w:rsidRPr="00EF201C">
        <w:rPr>
          <w:color w:val="auto"/>
          <w:szCs w:val="24"/>
          <w:lang w:val="en-US"/>
        </w:rPr>
        <w:t xml:space="preserve"> on maintaining clear coding instructions to enhance reliability of </w:t>
      </w:r>
      <w:r w:rsidR="0038698D">
        <w:rPr>
          <w:color w:val="auto"/>
          <w:szCs w:val="24"/>
          <w:lang w:val="en-US"/>
        </w:rPr>
        <w:t xml:space="preserve">this </w:t>
      </w:r>
      <w:r w:rsidR="00B760E3" w:rsidRPr="00EF201C">
        <w:rPr>
          <w:color w:val="auto"/>
          <w:szCs w:val="24"/>
          <w:lang w:val="en-US"/>
        </w:rPr>
        <w:t>stud</w:t>
      </w:r>
      <w:r w:rsidR="0038698D">
        <w:rPr>
          <w:color w:val="auto"/>
          <w:szCs w:val="24"/>
          <w:lang w:val="en-US"/>
        </w:rPr>
        <w:t>y</w:t>
      </w:r>
      <w:r w:rsidR="00B760E3" w:rsidRPr="00EF201C">
        <w:rPr>
          <w:color w:val="auto"/>
          <w:szCs w:val="24"/>
          <w:lang w:val="en-US"/>
        </w:rPr>
        <w:t xml:space="preserve"> based on content analysis.</w:t>
      </w:r>
      <w:r w:rsidR="002861F8" w:rsidRPr="00EF201C">
        <w:rPr>
          <w:color w:val="auto"/>
          <w:szCs w:val="24"/>
          <w:lang w:val="en-US"/>
        </w:rPr>
        <w:t xml:space="preserve"> Coding </w:t>
      </w:r>
      <w:r w:rsidRPr="00EF201C">
        <w:rPr>
          <w:color w:val="auto"/>
          <w:szCs w:val="24"/>
          <w:lang w:val="en-US"/>
        </w:rPr>
        <w:t>was</w:t>
      </w:r>
      <w:r w:rsidR="002861F8" w:rsidRPr="00EF201C">
        <w:rPr>
          <w:color w:val="auto"/>
          <w:szCs w:val="24"/>
          <w:lang w:val="en-US"/>
        </w:rPr>
        <w:t xml:space="preserve"> undertaken by three experienced researchers who are particularly familiar with content analysis</w:t>
      </w:r>
      <w:r w:rsidRPr="00EF201C">
        <w:rPr>
          <w:color w:val="auto"/>
          <w:szCs w:val="24"/>
          <w:lang w:val="en-US"/>
        </w:rPr>
        <w:t>-</w:t>
      </w:r>
      <w:r w:rsidR="002861F8" w:rsidRPr="00EF201C">
        <w:rPr>
          <w:color w:val="auto"/>
          <w:szCs w:val="24"/>
          <w:lang w:val="en-US"/>
        </w:rPr>
        <w:t>based investigations</w:t>
      </w:r>
      <w:r w:rsidRPr="00EF201C">
        <w:rPr>
          <w:color w:val="auto"/>
          <w:szCs w:val="24"/>
          <w:lang w:val="en-US"/>
        </w:rPr>
        <w:t xml:space="preserve"> and </w:t>
      </w:r>
      <w:r w:rsidR="003463DB" w:rsidRPr="00EF201C">
        <w:rPr>
          <w:color w:val="auto"/>
          <w:szCs w:val="24"/>
          <w:lang w:val="en-US"/>
        </w:rPr>
        <w:t>was done</w:t>
      </w:r>
      <w:r w:rsidR="002861F8" w:rsidRPr="00EF201C">
        <w:rPr>
          <w:color w:val="auto"/>
          <w:szCs w:val="24"/>
          <w:lang w:val="en-US"/>
        </w:rPr>
        <w:t xml:space="preserve"> over several months</w:t>
      </w:r>
      <w:r w:rsidR="003463DB" w:rsidRPr="00EF201C">
        <w:rPr>
          <w:color w:val="auto"/>
          <w:szCs w:val="24"/>
          <w:lang w:val="en-US"/>
        </w:rPr>
        <w:t xml:space="preserve"> allowing for greater accuracy and consistency. </w:t>
      </w:r>
      <w:r w:rsidR="002861F8" w:rsidRPr="00EF201C">
        <w:rPr>
          <w:color w:val="auto"/>
          <w:szCs w:val="24"/>
          <w:lang w:val="en-US"/>
        </w:rPr>
        <w:t xml:space="preserve"> </w:t>
      </w:r>
      <w:r w:rsidR="00C74B11" w:rsidRPr="00EF201C">
        <w:rPr>
          <w:color w:val="auto"/>
          <w:szCs w:val="24"/>
          <w:lang w:val="en-US"/>
        </w:rPr>
        <w:t>Inter-coder</w:t>
      </w:r>
      <w:r w:rsidR="002861F8" w:rsidRPr="00EF201C">
        <w:rPr>
          <w:color w:val="auto"/>
          <w:szCs w:val="24"/>
          <w:lang w:val="en-US"/>
        </w:rPr>
        <w:t xml:space="preserve"> agreement </w:t>
      </w:r>
      <w:r w:rsidR="004C0177" w:rsidRPr="00EF201C">
        <w:rPr>
          <w:color w:val="auto"/>
          <w:szCs w:val="24"/>
          <w:lang w:val="en-US"/>
        </w:rPr>
        <w:t xml:space="preserve">(alpha co-efficient) </w:t>
      </w:r>
      <w:r w:rsidR="002861F8" w:rsidRPr="00EF201C">
        <w:rPr>
          <w:color w:val="auto"/>
          <w:szCs w:val="24"/>
          <w:lang w:val="en-US"/>
        </w:rPr>
        <w:t xml:space="preserve">calculated based on </w:t>
      </w:r>
      <w:r w:rsidR="00C74B11" w:rsidRPr="00EF201C">
        <w:rPr>
          <w:color w:val="auto"/>
          <w:szCs w:val="24"/>
          <w:lang w:val="en-US"/>
        </w:rPr>
        <w:t xml:space="preserve">the </w:t>
      </w:r>
      <w:r w:rsidR="004C0177" w:rsidRPr="00EF201C">
        <w:rPr>
          <w:color w:val="auto"/>
          <w:szCs w:val="24"/>
          <w:lang w:val="en-US"/>
        </w:rPr>
        <w:t xml:space="preserve">method outlined in </w:t>
      </w:r>
      <w:proofErr w:type="spellStart"/>
      <w:r w:rsidR="004C0177" w:rsidRPr="00EF201C">
        <w:rPr>
          <w:color w:val="auto"/>
          <w:szCs w:val="24"/>
          <w:lang w:val="en-US"/>
        </w:rPr>
        <w:t>Krippendorff</w:t>
      </w:r>
      <w:proofErr w:type="spellEnd"/>
      <w:r w:rsidR="00266946" w:rsidRPr="00EF201C">
        <w:rPr>
          <w:color w:val="auto"/>
          <w:szCs w:val="24"/>
          <w:lang w:val="en-US"/>
        </w:rPr>
        <w:t xml:space="preserve"> </w:t>
      </w:r>
      <w:r w:rsidR="004C0177" w:rsidRPr="00EF201C">
        <w:rPr>
          <w:color w:val="auto"/>
          <w:szCs w:val="24"/>
          <w:lang w:val="en-US"/>
        </w:rPr>
        <w:t xml:space="preserve">(1980. Pp138-139) </w:t>
      </w:r>
      <w:r w:rsidRPr="00EF201C">
        <w:rPr>
          <w:color w:val="auto"/>
          <w:szCs w:val="24"/>
          <w:lang w:val="en-US"/>
        </w:rPr>
        <w:t>is</w:t>
      </w:r>
      <w:r w:rsidR="004C0177" w:rsidRPr="00EF201C">
        <w:rPr>
          <w:color w:val="auto"/>
          <w:szCs w:val="24"/>
          <w:lang w:val="en-US"/>
        </w:rPr>
        <w:t xml:space="preserve"> over 8</w:t>
      </w:r>
      <w:r w:rsidR="00C74B11" w:rsidRPr="00EF201C">
        <w:rPr>
          <w:color w:val="auto"/>
          <w:szCs w:val="24"/>
          <w:lang w:val="en-US"/>
        </w:rPr>
        <w:t>5</w:t>
      </w:r>
      <w:r w:rsidR="004C0177" w:rsidRPr="00EF201C">
        <w:rPr>
          <w:color w:val="auto"/>
          <w:szCs w:val="24"/>
          <w:lang w:val="en-US"/>
        </w:rPr>
        <w:t xml:space="preserve">%. </w:t>
      </w:r>
    </w:p>
    <w:p w14:paraId="09B3FBDE" w14:textId="087D7A83" w:rsidR="00EF201C" w:rsidRDefault="00221607" w:rsidP="005956D3">
      <w:pPr>
        <w:pStyle w:val="ListParagraph"/>
        <w:spacing w:line="480" w:lineRule="auto"/>
        <w:ind w:left="0" w:firstLine="567"/>
        <w:rPr>
          <w:color w:val="auto"/>
          <w:szCs w:val="24"/>
          <w:lang w:eastAsia="en-GB"/>
        </w:rPr>
      </w:pPr>
      <w:r w:rsidRPr="00EF201C">
        <w:rPr>
          <w:color w:val="auto"/>
          <w:szCs w:val="24"/>
          <w:lang w:eastAsia="en-GB"/>
        </w:rPr>
        <w:t xml:space="preserve">Content analysis is particularly useful in this study as it enables the construction of analytical categories of the content of CCID in each annual report and thus allow for the quantitative analysis of each category of CCID. </w:t>
      </w:r>
      <w:r w:rsidR="00866C93" w:rsidRPr="00EF201C">
        <w:rPr>
          <w:color w:val="auto"/>
          <w:szCs w:val="24"/>
          <w:lang w:eastAsia="en-GB"/>
        </w:rPr>
        <w:t xml:space="preserve">The categories of CCID </w:t>
      </w:r>
      <w:r w:rsidR="00917F69" w:rsidRPr="00EF201C">
        <w:rPr>
          <w:color w:val="auto"/>
          <w:szCs w:val="24"/>
          <w:lang w:eastAsia="en-GB"/>
        </w:rPr>
        <w:t>are</w:t>
      </w:r>
      <w:r w:rsidR="00866C93" w:rsidRPr="00EF201C">
        <w:rPr>
          <w:color w:val="auto"/>
          <w:szCs w:val="24"/>
          <w:lang w:eastAsia="en-GB"/>
        </w:rPr>
        <w:t xml:space="preserve"> patterned after </w:t>
      </w:r>
      <w:r w:rsidR="00866C93" w:rsidRPr="00EF201C">
        <w:rPr>
          <w:color w:val="auto"/>
          <w:szCs w:val="24"/>
          <w:lang w:val="en-US"/>
        </w:rPr>
        <w:t xml:space="preserve">Ernst and Ernst, 1978 and Gray et al., 1995 (Appendix B). </w:t>
      </w:r>
      <w:r w:rsidRPr="00EF201C">
        <w:rPr>
          <w:color w:val="auto"/>
          <w:szCs w:val="24"/>
          <w:lang w:eastAsia="en-GB"/>
        </w:rPr>
        <w:t xml:space="preserve">This is to ensure that the categories are mutually exclusive and that </w:t>
      </w:r>
      <w:r w:rsidRPr="00EF201C">
        <w:rPr>
          <w:color w:val="auto"/>
          <w:szCs w:val="24"/>
          <w:lang w:eastAsia="en-GB"/>
        </w:rPr>
        <w:lastRenderedPageBreak/>
        <w:t>classifications into categories are not discretionary (</w:t>
      </w:r>
      <w:proofErr w:type="spellStart"/>
      <w:r w:rsidR="00917F69" w:rsidRPr="00EF201C">
        <w:rPr>
          <w:color w:val="auto"/>
          <w:szCs w:val="24"/>
          <w:lang w:eastAsia="en-GB"/>
        </w:rPr>
        <w:t>Bryman</w:t>
      </w:r>
      <w:proofErr w:type="spellEnd"/>
      <w:r w:rsidR="00917F69" w:rsidRPr="00EF201C">
        <w:rPr>
          <w:color w:val="auto"/>
          <w:szCs w:val="24"/>
          <w:lang w:eastAsia="en-GB"/>
        </w:rPr>
        <w:t xml:space="preserve"> </w:t>
      </w:r>
      <w:r w:rsidR="00E66ADC">
        <w:rPr>
          <w:color w:val="auto"/>
          <w:szCs w:val="24"/>
          <w:lang w:eastAsia="en-GB"/>
        </w:rPr>
        <w:t>and</w:t>
      </w:r>
      <w:r w:rsidR="00917F69" w:rsidRPr="00EF201C">
        <w:rPr>
          <w:color w:val="auto"/>
          <w:szCs w:val="24"/>
          <w:lang w:eastAsia="en-GB"/>
        </w:rPr>
        <w:t xml:space="preserve"> Bell, 2007; </w:t>
      </w:r>
      <w:r w:rsidRPr="00EF201C">
        <w:rPr>
          <w:color w:val="auto"/>
          <w:szCs w:val="24"/>
          <w:lang w:eastAsia="en-GB"/>
        </w:rPr>
        <w:t xml:space="preserve">Ingram </w:t>
      </w:r>
      <w:r w:rsidR="00E66ADC">
        <w:rPr>
          <w:color w:val="auto"/>
          <w:szCs w:val="24"/>
          <w:lang w:val="en-US" w:eastAsia="en-US" w:bidi="en-US"/>
        </w:rPr>
        <w:t>and</w:t>
      </w:r>
      <w:r w:rsidRPr="00EF201C">
        <w:rPr>
          <w:color w:val="auto"/>
          <w:szCs w:val="24"/>
          <w:lang w:eastAsia="en-GB"/>
        </w:rPr>
        <w:t xml:space="preserve"> Frazier, 1980) and </w:t>
      </w:r>
      <w:r w:rsidR="00866C93" w:rsidRPr="00EF201C">
        <w:rPr>
          <w:color w:val="auto"/>
          <w:szCs w:val="24"/>
          <w:lang w:eastAsia="en-GB"/>
        </w:rPr>
        <w:t>thus allow for reproducibility.</w:t>
      </w:r>
    </w:p>
    <w:p w14:paraId="50D1BB4C" w14:textId="77777777" w:rsidR="005956D3" w:rsidRPr="005956D3" w:rsidRDefault="005956D3" w:rsidP="005956D3">
      <w:pPr>
        <w:pStyle w:val="ListParagraph"/>
        <w:spacing w:line="480" w:lineRule="auto"/>
        <w:ind w:left="0" w:firstLine="567"/>
        <w:rPr>
          <w:color w:val="auto"/>
          <w:szCs w:val="24"/>
          <w:lang w:val="en-US"/>
        </w:rPr>
      </w:pPr>
    </w:p>
    <w:p w14:paraId="58D22327" w14:textId="190B25EF" w:rsidR="00EF201C" w:rsidRDefault="00FE370C" w:rsidP="00C12923">
      <w:pPr>
        <w:pStyle w:val="Caption1"/>
        <w:spacing w:after="0" w:line="480" w:lineRule="auto"/>
        <w:jc w:val="center"/>
        <w:rPr>
          <w:rFonts w:eastAsia="Calibri"/>
          <w:color w:val="auto"/>
          <w:sz w:val="24"/>
          <w:szCs w:val="24"/>
          <w:lang w:val="en-US"/>
        </w:rPr>
      </w:pPr>
      <w:r w:rsidRPr="00EF201C">
        <w:rPr>
          <w:rFonts w:eastAsia="Calibri"/>
          <w:b w:val="0"/>
          <w:bCs w:val="0"/>
          <w:color w:val="auto"/>
          <w:sz w:val="24"/>
          <w:szCs w:val="24"/>
          <w:lang w:val="en-US"/>
        </w:rPr>
        <w:t>&lt;&lt;&lt;</w:t>
      </w:r>
      <w:r w:rsidRPr="00EF201C">
        <w:rPr>
          <w:rFonts w:eastAsia="Calibri"/>
          <w:bCs w:val="0"/>
          <w:color w:val="auto"/>
          <w:sz w:val="24"/>
          <w:szCs w:val="24"/>
          <w:lang w:val="en-US"/>
        </w:rPr>
        <w:t>Table 2 about here</w:t>
      </w:r>
      <w:r w:rsidRPr="00EF201C">
        <w:rPr>
          <w:rFonts w:eastAsia="Calibri"/>
          <w:b w:val="0"/>
          <w:bCs w:val="0"/>
          <w:color w:val="auto"/>
          <w:sz w:val="24"/>
          <w:szCs w:val="24"/>
          <w:lang w:val="en-US"/>
        </w:rPr>
        <w:t xml:space="preserve"> – </w:t>
      </w:r>
      <w:r w:rsidRPr="00EF201C">
        <w:rPr>
          <w:b w:val="0"/>
          <w:color w:val="auto"/>
          <w:sz w:val="24"/>
          <w:szCs w:val="24"/>
          <w:lang w:val="en-US"/>
        </w:rPr>
        <w:t>Community Involvement Disclosure (Quality measure)</w:t>
      </w:r>
      <w:r w:rsidRPr="00EF201C">
        <w:rPr>
          <w:rFonts w:eastAsia="Calibri"/>
          <w:color w:val="auto"/>
          <w:sz w:val="24"/>
          <w:szCs w:val="24"/>
          <w:lang w:val="en-US"/>
        </w:rPr>
        <w:t>&gt;&gt;&gt;</w:t>
      </w:r>
    </w:p>
    <w:p w14:paraId="08AFDEF5" w14:textId="7A1DC160" w:rsidR="00A5674E" w:rsidRPr="00EF201C" w:rsidRDefault="008D13EC">
      <w:pPr>
        <w:spacing w:line="480" w:lineRule="auto"/>
        <w:ind w:firstLine="567"/>
        <w:jc w:val="both"/>
        <w:rPr>
          <w:color w:val="auto"/>
          <w:lang w:val="en-US"/>
        </w:rPr>
      </w:pPr>
      <w:r w:rsidRPr="00EF201C">
        <w:rPr>
          <w:bCs/>
          <w:color w:val="auto"/>
          <w:lang w:val="en-US"/>
        </w:rPr>
        <w:t xml:space="preserve">Data </w:t>
      </w:r>
      <w:r w:rsidR="00917F69" w:rsidRPr="00EF201C">
        <w:rPr>
          <w:bCs/>
          <w:color w:val="auto"/>
          <w:lang w:val="en-US"/>
        </w:rPr>
        <w:t>are</w:t>
      </w:r>
      <w:r w:rsidRPr="00EF201C">
        <w:rPr>
          <w:bCs/>
          <w:color w:val="auto"/>
          <w:lang w:val="en-US"/>
        </w:rPr>
        <w:t xml:space="preserve"> </w:t>
      </w:r>
      <w:r w:rsidR="00FE370C" w:rsidRPr="00EF201C">
        <w:rPr>
          <w:bCs/>
          <w:color w:val="auto"/>
          <w:lang w:val="en-US"/>
        </w:rPr>
        <w:t xml:space="preserve">collected on CCI activities as disclosed in the annual reports of sampled companies based on the five-element index displayed in Table 2 above. </w:t>
      </w:r>
      <w:r w:rsidR="00EF615B" w:rsidRPr="00EF201C">
        <w:rPr>
          <w:color w:val="auto"/>
          <w:lang w:eastAsia="en-GB"/>
        </w:rPr>
        <w:t xml:space="preserve">The index </w:t>
      </w:r>
      <w:r w:rsidR="00AF0EF5" w:rsidRPr="00EF201C">
        <w:rPr>
          <w:color w:val="auto"/>
          <w:lang w:eastAsia="en-GB"/>
        </w:rPr>
        <w:t>is</w:t>
      </w:r>
      <w:r w:rsidR="00EF615B" w:rsidRPr="00EF201C">
        <w:rPr>
          <w:color w:val="auto"/>
          <w:lang w:eastAsia="en-GB"/>
        </w:rPr>
        <w:t xml:space="preserve"> constructed using content analysis and patterned after </w:t>
      </w:r>
      <w:r w:rsidR="00EF615B" w:rsidRPr="00EF201C">
        <w:rPr>
          <w:bCs/>
          <w:color w:val="auto"/>
          <w:lang w:eastAsia="en-GB"/>
        </w:rPr>
        <w:t xml:space="preserve">Freedman and </w:t>
      </w:r>
      <w:proofErr w:type="spellStart"/>
      <w:r w:rsidR="00EF615B" w:rsidRPr="00EF201C">
        <w:rPr>
          <w:bCs/>
          <w:color w:val="auto"/>
          <w:lang w:eastAsia="en-GB"/>
        </w:rPr>
        <w:t>Stagliano</w:t>
      </w:r>
      <w:proofErr w:type="spellEnd"/>
      <w:r w:rsidR="00EF615B" w:rsidRPr="00EF201C">
        <w:rPr>
          <w:bCs/>
          <w:color w:val="auto"/>
          <w:lang w:eastAsia="en-GB"/>
        </w:rPr>
        <w:t>, (1992</w:t>
      </w:r>
      <w:r w:rsidR="00AF0EF5" w:rsidRPr="00EF201C">
        <w:rPr>
          <w:bCs/>
          <w:color w:val="auto"/>
          <w:lang w:eastAsia="en-GB"/>
        </w:rPr>
        <w:t>, p.</w:t>
      </w:r>
      <w:r w:rsidR="00EF615B" w:rsidRPr="00EF201C">
        <w:rPr>
          <w:bCs/>
          <w:color w:val="auto"/>
          <w:lang w:eastAsia="en-GB"/>
        </w:rPr>
        <w:t xml:space="preserve">115 </w:t>
      </w:r>
      <w:r w:rsidR="00E66ADC">
        <w:rPr>
          <w:bCs/>
          <w:color w:val="auto"/>
          <w:lang w:eastAsia="en-GB"/>
        </w:rPr>
        <w:t>and</w:t>
      </w:r>
      <w:r w:rsidR="00EF615B" w:rsidRPr="00EF201C">
        <w:rPr>
          <w:bCs/>
          <w:color w:val="auto"/>
          <w:lang w:eastAsia="en-GB"/>
        </w:rPr>
        <w:t xml:space="preserve"> 2008</w:t>
      </w:r>
      <w:r w:rsidR="00AF0EF5" w:rsidRPr="00EF201C">
        <w:rPr>
          <w:bCs/>
          <w:color w:val="auto"/>
          <w:lang w:eastAsia="en-GB"/>
        </w:rPr>
        <w:t>, p.</w:t>
      </w:r>
      <w:r w:rsidR="00EF615B" w:rsidRPr="00EF201C">
        <w:rPr>
          <w:bCs/>
          <w:color w:val="auto"/>
          <w:lang w:eastAsia="en-GB"/>
        </w:rPr>
        <w:t>480-481)</w:t>
      </w:r>
      <w:r w:rsidR="00EF615B" w:rsidRPr="00EF201C">
        <w:rPr>
          <w:color w:val="auto"/>
          <w:lang w:eastAsia="en-GB"/>
        </w:rPr>
        <w:t xml:space="preserve"> and Walden and Schwartz, (1997</w:t>
      </w:r>
      <w:r w:rsidR="00AF0EF5" w:rsidRPr="00EF201C">
        <w:rPr>
          <w:color w:val="auto"/>
          <w:lang w:eastAsia="en-GB"/>
        </w:rPr>
        <w:t>, p.</w:t>
      </w:r>
      <w:r w:rsidR="00EF615B" w:rsidRPr="00EF201C">
        <w:rPr>
          <w:color w:val="auto"/>
          <w:lang w:eastAsia="en-GB"/>
        </w:rPr>
        <w:t>151). Similarly, the f</w:t>
      </w:r>
      <w:r w:rsidR="00266946" w:rsidRPr="00EF201C">
        <w:rPr>
          <w:color w:val="auto"/>
          <w:lang w:eastAsia="en-GB"/>
        </w:rPr>
        <w:t>ive</w:t>
      </w:r>
      <w:r w:rsidR="00EF615B" w:rsidRPr="00EF201C">
        <w:rPr>
          <w:color w:val="auto"/>
          <w:lang w:eastAsia="en-GB"/>
        </w:rPr>
        <w:t xml:space="preserve"> measures of quality</w:t>
      </w:r>
      <w:r w:rsidR="0087741B" w:rsidRPr="00EF201C">
        <w:rPr>
          <w:color w:val="auto"/>
          <w:lang w:eastAsia="en-GB"/>
        </w:rPr>
        <w:t xml:space="preserve"> described as</w:t>
      </w:r>
      <w:r w:rsidR="00EF615B" w:rsidRPr="00EF201C">
        <w:rPr>
          <w:color w:val="auto"/>
          <w:lang w:eastAsia="en-GB"/>
        </w:rPr>
        <w:t xml:space="preserve"> </w:t>
      </w:r>
      <w:r w:rsidR="00EF615B" w:rsidRPr="00EF201C">
        <w:rPr>
          <w:i/>
          <w:color w:val="auto"/>
          <w:lang w:eastAsia="en-GB"/>
        </w:rPr>
        <w:t>specific</w:t>
      </w:r>
      <w:r w:rsidR="00EF615B" w:rsidRPr="00EF201C">
        <w:rPr>
          <w:color w:val="auto"/>
          <w:lang w:eastAsia="en-GB"/>
        </w:rPr>
        <w:t xml:space="preserve">, </w:t>
      </w:r>
      <w:r w:rsidR="00EF615B" w:rsidRPr="00EF201C">
        <w:rPr>
          <w:i/>
          <w:color w:val="auto"/>
          <w:lang w:eastAsia="en-GB"/>
        </w:rPr>
        <w:t>factual</w:t>
      </w:r>
      <w:r w:rsidR="00EF615B" w:rsidRPr="00EF201C">
        <w:rPr>
          <w:color w:val="auto"/>
          <w:lang w:eastAsia="en-GB"/>
        </w:rPr>
        <w:t xml:space="preserve">, </w:t>
      </w:r>
      <w:r w:rsidR="00EF615B" w:rsidRPr="00EF201C">
        <w:rPr>
          <w:i/>
          <w:color w:val="auto"/>
          <w:lang w:eastAsia="en-GB"/>
        </w:rPr>
        <w:t>important</w:t>
      </w:r>
      <w:r w:rsidR="00266946" w:rsidRPr="00EF201C">
        <w:rPr>
          <w:i/>
          <w:color w:val="auto"/>
          <w:lang w:eastAsia="en-GB"/>
        </w:rPr>
        <w:t>,</w:t>
      </w:r>
      <w:r w:rsidR="00EF615B" w:rsidRPr="00EF201C">
        <w:rPr>
          <w:color w:val="auto"/>
          <w:lang w:eastAsia="en-GB"/>
        </w:rPr>
        <w:t xml:space="preserve"> </w:t>
      </w:r>
      <w:r w:rsidR="00EF615B" w:rsidRPr="00EF201C">
        <w:rPr>
          <w:i/>
          <w:color w:val="auto"/>
          <w:lang w:eastAsia="en-GB"/>
        </w:rPr>
        <w:t>relevant</w:t>
      </w:r>
      <w:r w:rsidR="00266946" w:rsidRPr="00EF201C">
        <w:rPr>
          <w:i/>
          <w:color w:val="auto"/>
          <w:lang w:eastAsia="en-GB"/>
        </w:rPr>
        <w:t xml:space="preserve"> and general</w:t>
      </w:r>
      <w:r w:rsidR="00EF615B" w:rsidRPr="00EF201C">
        <w:rPr>
          <w:i/>
          <w:color w:val="auto"/>
          <w:lang w:eastAsia="en-GB"/>
        </w:rPr>
        <w:t xml:space="preserve">; </w:t>
      </w:r>
      <w:r w:rsidR="009858D4" w:rsidRPr="00EF201C">
        <w:rPr>
          <w:color w:val="auto"/>
          <w:lang w:eastAsia="en-GB"/>
        </w:rPr>
        <w:t>although unique</w:t>
      </w:r>
      <w:r w:rsidR="00EF615B" w:rsidRPr="00EF201C">
        <w:rPr>
          <w:color w:val="auto"/>
          <w:lang w:eastAsia="en-GB"/>
        </w:rPr>
        <w:t xml:space="preserve"> to this study</w:t>
      </w:r>
      <w:r w:rsidR="00AF0EF5" w:rsidRPr="00EF201C">
        <w:rPr>
          <w:color w:val="auto"/>
          <w:lang w:eastAsia="en-GB"/>
        </w:rPr>
        <w:t>, they</w:t>
      </w:r>
      <w:r w:rsidR="00EF615B" w:rsidRPr="00EF201C">
        <w:rPr>
          <w:color w:val="auto"/>
          <w:lang w:eastAsia="en-GB"/>
        </w:rPr>
        <w:t xml:space="preserve"> </w:t>
      </w:r>
      <w:r w:rsidR="00AF0EF5" w:rsidRPr="00EF201C">
        <w:rPr>
          <w:color w:val="auto"/>
          <w:lang w:eastAsia="en-GB"/>
        </w:rPr>
        <w:t>are</w:t>
      </w:r>
      <w:r w:rsidR="0087741B" w:rsidRPr="00EF201C">
        <w:rPr>
          <w:color w:val="auto"/>
          <w:lang w:eastAsia="en-GB"/>
        </w:rPr>
        <w:t xml:space="preserve"> </w:t>
      </w:r>
      <w:r w:rsidR="00EF615B" w:rsidRPr="00EF201C">
        <w:rPr>
          <w:color w:val="auto"/>
          <w:lang w:eastAsia="en-GB"/>
        </w:rPr>
        <w:t xml:space="preserve">adopted from the definition of quality measures discussed in </w:t>
      </w:r>
      <w:r w:rsidR="00655EBC" w:rsidRPr="00EF201C">
        <w:rPr>
          <w:color w:val="auto"/>
          <w:lang w:eastAsia="en-GB"/>
        </w:rPr>
        <w:t xml:space="preserve">detail in </w:t>
      </w:r>
      <w:r w:rsidR="00EF615B" w:rsidRPr="00EF201C">
        <w:rPr>
          <w:color w:val="auto"/>
          <w:lang w:eastAsia="en-GB"/>
        </w:rPr>
        <w:t xml:space="preserve">Section 2.3 above. </w:t>
      </w:r>
      <w:r w:rsidR="0087741B" w:rsidRPr="00EF201C">
        <w:rPr>
          <w:color w:val="auto"/>
          <w:lang w:eastAsia="en-GB"/>
        </w:rPr>
        <w:t>To collect the data, t</w:t>
      </w:r>
      <w:r w:rsidR="00FE370C" w:rsidRPr="00EF201C">
        <w:rPr>
          <w:color w:val="auto"/>
          <w:lang w:val="en-US"/>
        </w:rPr>
        <w:t xml:space="preserve">he authors identified the specific mention of the CCI activity undertaken </w:t>
      </w:r>
      <w:r w:rsidR="00866C93" w:rsidRPr="00EF201C">
        <w:rPr>
          <w:color w:val="auto"/>
          <w:lang w:val="en-US"/>
        </w:rPr>
        <w:t xml:space="preserve">as described in the decision rules (Appendix B) </w:t>
      </w:r>
      <w:r w:rsidR="00FE370C" w:rsidRPr="00EF201C">
        <w:rPr>
          <w:color w:val="auto"/>
          <w:lang w:val="en-US"/>
        </w:rPr>
        <w:t>and awarded one point for each category described. In addition, t</w:t>
      </w:r>
      <w:r w:rsidR="00FE370C" w:rsidRPr="00EF201C">
        <w:rPr>
          <w:bCs/>
          <w:color w:val="auto"/>
          <w:lang w:val="en-US"/>
        </w:rPr>
        <w:t xml:space="preserve">he presence of each sub-element of the </w:t>
      </w:r>
      <w:r w:rsidR="00FE370C" w:rsidRPr="00EF201C">
        <w:rPr>
          <w:bCs/>
          <w:i/>
          <w:color w:val="auto"/>
          <w:lang w:val="en-US"/>
        </w:rPr>
        <w:t>Factual</w:t>
      </w:r>
      <w:r w:rsidR="00FE370C" w:rsidRPr="00EF201C">
        <w:rPr>
          <w:bCs/>
          <w:color w:val="auto"/>
          <w:lang w:val="en-US"/>
        </w:rPr>
        <w:t xml:space="preserve">, </w:t>
      </w:r>
      <w:r w:rsidR="00FE370C" w:rsidRPr="00EF201C">
        <w:rPr>
          <w:bCs/>
          <w:i/>
          <w:color w:val="auto"/>
          <w:lang w:val="en-US"/>
        </w:rPr>
        <w:t>Importance</w:t>
      </w:r>
      <w:r w:rsidR="00FE370C" w:rsidRPr="00EF201C">
        <w:rPr>
          <w:bCs/>
          <w:color w:val="auto"/>
          <w:lang w:val="en-US"/>
        </w:rPr>
        <w:t xml:space="preserve"> and </w:t>
      </w:r>
      <w:r w:rsidR="00FE370C" w:rsidRPr="00EF201C">
        <w:rPr>
          <w:bCs/>
          <w:i/>
          <w:color w:val="auto"/>
          <w:lang w:val="en-US"/>
        </w:rPr>
        <w:t>Relevant</w:t>
      </w:r>
      <w:r w:rsidR="00FE370C" w:rsidRPr="00EF201C">
        <w:rPr>
          <w:bCs/>
          <w:color w:val="auto"/>
          <w:lang w:val="en-US"/>
        </w:rPr>
        <w:t xml:space="preserve"> measures </w:t>
      </w:r>
      <w:r w:rsidR="00AF0EF5" w:rsidRPr="00EF201C">
        <w:rPr>
          <w:bCs/>
          <w:color w:val="auto"/>
          <w:lang w:val="en-US"/>
        </w:rPr>
        <w:t>are</w:t>
      </w:r>
      <w:r w:rsidR="00FE370C" w:rsidRPr="00EF201C">
        <w:rPr>
          <w:bCs/>
          <w:color w:val="auto"/>
          <w:lang w:val="en-US"/>
        </w:rPr>
        <w:t xml:space="preserve"> awarded one point each. Therefore, </w:t>
      </w:r>
      <w:r w:rsidR="00FE370C" w:rsidRPr="00EF201C">
        <w:rPr>
          <w:color w:val="auto"/>
          <w:lang w:val="en-US"/>
        </w:rPr>
        <w:t>each CCI disclosure in a particular annual report can receive a minimum of zero points and a maximum of ten points. The</w:t>
      </w:r>
      <w:r w:rsidR="00AF0EF5" w:rsidRPr="00EF201C">
        <w:rPr>
          <w:color w:val="auto"/>
          <w:lang w:val="en-US"/>
        </w:rPr>
        <w:t>se</w:t>
      </w:r>
      <w:r w:rsidR="00FE370C" w:rsidRPr="00EF201C">
        <w:rPr>
          <w:color w:val="auto"/>
          <w:lang w:val="en-US"/>
        </w:rPr>
        <w:t xml:space="preserve"> scores </w:t>
      </w:r>
      <w:r w:rsidR="00AF0EF5" w:rsidRPr="00EF201C">
        <w:rPr>
          <w:color w:val="auto"/>
          <w:lang w:val="en-US"/>
        </w:rPr>
        <w:t>are</w:t>
      </w:r>
      <w:r w:rsidR="00FE370C" w:rsidRPr="00EF201C">
        <w:rPr>
          <w:color w:val="auto"/>
          <w:lang w:val="en-US"/>
        </w:rPr>
        <w:t xml:space="preserve"> then summed to obtain the variable </w:t>
      </w:r>
      <w:r w:rsidR="00FE370C" w:rsidRPr="00EF201C">
        <w:rPr>
          <w:i/>
          <w:color w:val="auto"/>
          <w:lang w:val="en-US"/>
        </w:rPr>
        <w:t>CCI Disclosure Quality</w:t>
      </w:r>
      <w:r w:rsidR="0087741B" w:rsidRPr="00EF201C">
        <w:rPr>
          <w:i/>
          <w:color w:val="auto"/>
          <w:lang w:val="en-US"/>
        </w:rPr>
        <w:t xml:space="preserve"> (CCIDQ)</w:t>
      </w:r>
      <w:r w:rsidR="00FE370C" w:rsidRPr="00EF201C">
        <w:rPr>
          <w:color w:val="auto"/>
          <w:lang w:val="en-US"/>
        </w:rPr>
        <w:t xml:space="preserve">. </w:t>
      </w:r>
    </w:p>
    <w:p w14:paraId="491BB19B" w14:textId="77777777" w:rsidR="00C12923" w:rsidRPr="00EF201C" w:rsidRDefault="00C12923" w:rsidP="008117B1">
      <w:pPr>
        <w:spacing w:line="480" w:lineRule="auto"/>
        <w:ind w:firstLine="567"/>
        <w:jc w:val="both"/>
        <w:rPr>
          <w:color w:val="auto"/>
          <w:lang w:val="en-US"/>
        </w:rPr>
      </w:pPr>
    </w:p>
    <w:p w14:paraId="1FE92C68" w14:textId="77777777" w:rsidR="008117B1" w:rsidRPr="00EF201C" w:rsidRDefault="008117B1" w:rsidP="00051170">
      <w:pPr>
        <w:pStyle w:val="ListParagraph"/>
        <w:numPr>
          <w:ilvl w:val="1"/>
          <w:numId w:val="1"/>
        </w:numPr>
        <w:spacing w:line="480" w:lineRule="auto"/>
        <w:ind w:left="426" w:hanging="426"/>
        <w:rPr>
          <w:b/>
          <w:i/>
          <w:color w:val="auto"/>
          <w:szCs w:val="24"/>
          <w:lang w:val="en-US"/>
        </w:rPr>
      </w:pPr>
      <w:r w:rsidRPr="00EF201C">
        <w:rPr>
          <w:b/>
          <w:i/>
          <w:color w:val="auto"/>
          <w:szCs w:val="24"/>
          <w:lang w:val="en-US"/>
        </w:rPr>
        <w:t xml:space="preserve">Control variables </w:t>
      </w:r>
    </w:p>
    <w:p w14:paraId="2F7ABE5F" w14:textId="3B3B4EE5" w:rsidR="008117B1" w:rsidRPr="00EF201C" w:rsidRDefault="008117B1" w:rsidP="008117B1">
      <w:pPr>
        <w:spacing w:line="480" w:lineRule="auto"/>
        <w:ind w:firstLine="567"/>
        <w:jc w:val="both"/>
        <w:rPr>
          <w:color w:val="auto"/>
          <w:lang w:val="en-US"/>
        </w:rPr>
      </w:pPr>
      <w:r w:rsidRPr="00EF201C">
        <w:rPr>
          <w:color w:val="auto"/>
          <w:lang w:val="en-US"/>
        </w:rPr>
        <w:t xml:space="preserve">To test the hypothesis, we control for other </w:t>
      </w:r>
      <w:r w:rsidR="00F8014E" w:rsidRPr="00EF201C">
        <w:rPr>
          <w:color w:val="auto"/>
          <w:lang w:val="en-US"/>
        </w:rPr>
        <w:t xml:space="preserve">CG </w:t>
      </w:r>
      <w:r w:rsidRPr="00EF201C">
        <w:rPr>
          <w:color w:val="auto"/>
          <w:lang w:val="en-US"/>
        </w:rPr>
        <w:t xml:space="preserve">variables </w:t>
      </w:r>
      <w:r w:rsidR="00D711C9" w:rsidRPr="00EF201C">
        <w:rPr>
          <w:color w:val="auto"/>
          <w:lang w:val="en-US"/>
        </w:rPr>
        <w:t>demonstrated</w:t>
      </w:r>
      <w:r w:rsidRPr="00EF201C">
        <w:rPr>
          <w:color w:val="auto"/>
          <w:lang w:val="en-US"/>
        </w:rPr>
        <w:t xml:space="preserve"> </w:t>
      </w:r>
      <w:r w:rsidR="00B26560">
        <w:rPr>
          <w:color w:val="auto"/>
          <w:lang w:val="en-US"/>
        </w:rPr>
        <w:t>as</w:t>
      </w:r>
      <w:r w:rsidR="00B26560" w:rsidRPr="00EF201C">
        <w:rPr>
          <w:color w:val="auto"/>
          <w:lang w:val="en-US"/>
        </w:rPr>
        <w:t xml:space="preserve"> important in determining corporate disclosures in general </w:t>
      </w:r>
      <w:r w:rsidRPr="00EF201C">
        <w:rPr>
          <w:color w:val="auto"/>
          <w:lang w:val="en-US"/>
        </w:rPr>
        <w:t xml:space="preserve">in previous </w:t>
      </w:r>
      <w:r w:rsidR="008829CB" w:rsidRPr="00EF201C">
        <w:rPr>
          <w:color w:val="auto"/>
          <w:lang w:val="en-US"/>
        </w:rPr>
        <w:t xml:space="preserve">studies </w:t>
      </w:r>
      <w:r w:rsidR="00C05F4B">
        <w:rPr>
          <w:color w:val="auto"/>
          <w:lang w:val="en-US"/>
        </w:rPr>
        <w:t xml:space="preserve">such as </w:t>
      </w:r>
      <w:r w:rsidR="003463DB" w:rsidRPr="00EF201C">
        <w:rPr>
          <w:color w:val="auto"/>
          <w:lang w:val="en-US"/>
        </w:rPr>
        <w:t xml:space="preserve">Song </w:t>
      </w:r>
      <w:r w:rsidR="00E66ADC">
        <w:rPr>
          <w:color w:val="auto"/>
          <w:lang w:val="en-US" w:eastAsia="en-US" w:bidi="en-US"/>
        </w:rPr>
        <w:t>and</w:t>
      </w:r>
      <w:r w:rsidR="003463DB" w:rsidRPr="00EF201C">
        <w:rPr>
          <w:color w:val="auto"/>
          <w:lang w:val="en-US"/>
        </w:rPr>
        <w:t xml:space="preserve"> </w:t>
      </w:r>
      <w:proofErr w:type="spellStart"/>
      <w:r w:rsidR="003463DB" w:rsidRPr="00EF201C">
        <w:rPr>
          <w:color w:val="auto"/>
          <w:lang w:val="en-US"/>
        </w:rPr>
        <w:t>Windram</w:t>
      </w:r>
      <w:proofErr w:type="spellEnd"/>
      <w:r w:rsidR="00C05F4B">
        <w:rPr>
          <w:color w:val="auto"/>
          <w:lang w:val="en-US"/>
        </w:rPr>
        <w:t xml:space="preserve"> (2004)</w:t>
      </w:r>
      <w:r w:rsidR="003463DB" w:rsidRPr="00EF201C">
        <w:rPr>
          <w:color w:val="auto"/>
          <w:lang w:val="en-US"/>
        </w:rPr>
        <w:t xml:space="preserve">; </w:t>
      </w:r>
      <w:r w:rsidR="00D711C9" w:rsidRPr="00EF201C">
        <w:rPr>
          <w:color w:val="auto"/>
          <w:lang w:val="en-US"/>
        </w:rPr>
        <w:t xml:space="preserve">Webb </w:t>
      </w:r>
      <w:r w:rsidR="00C05F4B">
        <w:rPr>
          <w:color w:val="auto"/>
          <w:lang w:val="en-US"/>
        </w:rPr>
        <w:t>(</w:t>
      </w:r>
      <w:r w:rsidR="00D711C9" w:rsidRPr="00EF201C">
        <w:rPr>
          <w:color w:val="auto"/>
          <w:lang w:val="en-US"/>
        </w:rPr>
        <w:t>2004</w:t>
      </w:r>
      <w:r w:rsidR="00C05F4B">
        <w:rPr>
          <w:color w:val="auto"/>
          <w:lang w:val="en-US"/>
        </w:rPr>
        <w:t>)</w:t>
      </w:r>
      <w:r w:rsidR="00D711C9" w:rsidRPr="00EF201C">
        <w:rPr>
          <w:color w:val="auto"/>
          <w:lang w:val="en-US"/>
        </w:rPr>
        <w:t xml:space="preserve">; </w:t>
      </w:r>
      <w:proofErr w:type="spellStart"/>
      <w:r w:rsidR="003463DB" w:rsidRPr="00EF201C">
        <w:rPr>
          <w:color w:val="auto"/>
          <w:lang w:val="en-US"/>
        </w:rPr>
        <w:t>Yermack</w:t>
      </w:r>
      <w:proofErr w:type="spellEnd"/>
      <w:r w:rsidR="003463DB" w:rsidRPr="00EF201C">
        <w:rPr>
          <w:color w:val="auto"/>
          <w:lang w:val="en-US"/>
        </w:rPr>
        <w:t xml:space="preserve"> </w:t>
      </w:r>
      <w:r w:rsidR="00C05F4B">
        <w:rPr>
          <w:color w:val="auto"/>
          <w:lang w:val="en-US"/>
        </w:rPr>
        <w:t>(</w:t>
      </w:r>
      <w:r w:rsidR="003463DB" w:rsidRPr="00EF201C">
        <w:rPr>
          <w:color w:val="auto"/>
          <w:lang w:val="en-US"/>
        </w:rPr>
        <w:t>1996)</w:t>
      </w:r>
      <w:r w:rsidRPr="00EF201C">
        <w:rPr>
          <w:color w:val="auto"/>
          <w:lang w:val="en-US"/>
        </w:rPr>
        <w:t>. These include measures of board activities and efficiency such as board size, board meeting frequency, audit committee size, audit committee meeting frequency and the existence of other standing committee</w:t>
      </w:r>
      <w:r w:rsidR="00D711C9" w:rsidRPr="00EF201C">
        <w:rPr>
          <w:color w:val="auto"/>
          <w:lang w:val="en-US"/>
        </w:rPr>
        <w:t>s</w:t>
      </w:r>
      <w:r w:rsidRPr="00EF201C">
        <w:rPr>
          <w:color w:val="auto"/>
          <w:lang w:val="en-US"/>
        </w:rPr>
        <w:t xml:space="preserve">. </w:t>
      </w:r>
    </w:p>
    <w:p w14:paraId="1FD7F50B" w14:textId="11E7135B" w:rsidR="00F40EC4" w:rsidRDefault="008117B1" w:rsidP="008117B1">
      <w:pPr>
        <w:spacing w:line="480" w:lineRule="auto"/>
        <w:ind w:firstLine="567"/>
        <w:jc w:val="both"/>
        <w:rPr>
          <w:color w:val="auto"/>
          <w:lang w:val="en-US"/>
        </w:rPr>
      </w:pPr>
      <w:r w:rsidRPr="00EF201C">
        <w:rPr>
          <w:color w:val="auto"/>
          <w:lang w:val="en-US"/>
        </w:rPr>
        <w:t xml:space="preserve">Board size represents board monitoring capacity and the potential for varied expertise on the board (Song </w:t>
      </w:r>
      <w:r w:rsidR="00E66ADC">
        <w:rPr>
          <w:color w:val="auto"/>
          <w:lang w:val="en-US" w:eastAsia="en-US" w:bidi="en-US"/>
        </w:rPr>
        <w:t>and</w:t>
      </w:r>
      <w:r w:rsidRPr="00EF201C">
        <w:rPr>
          <w:color w:val="auto"/>
          <w:lang w:val="en-US"/>
        </w:rPr>
        <w:t xml:space="preserve"> </w:t>
      </w:r>
      <w:proofErr w:type="spellStart"/>
      <w:r w:rsidRPr="00EF201C">
        <w:rPr>
          <w:color w:val="auto"/>
          <w:lang w:val="en-US"/>
        </w:rPr>
        <w:t>Windram</w:t>
      </w:r>
      <w:proofErr w:type="spellEnd"/>
      <w:r w:rsidRPr="00EF201C">
        <w:rPr>
          <w:color w:val="auto"/>
          <w:lang w:val="en-US"/>
        </w:rPr>
        <w:t xml:space="preserve"> 2004; </w:t>
      </w:r>
      <w:proofErr w:type="spellStart"/>
      <w:r w:rsidRPr="00EF201C">
        <w:rPr>
          <w:color w:val="auto"/>
          <w:lang w:val="en-US"/>
        </w:rPr>
        <w:t>Yermack</w:t>
      </w:r>
      <w:proofErr w:type="spellEnd"/>
      <w:r w:rsidRPr="00EF201C">
        <w:rPr>
          <w:color w:val="auto"/>
          <w:lang w:val="en-US"/>
        </w:rPr>
        <w:t xml:space="preserve"> 1996). </w:t>
      </w:r>
      <w:r w:rsidR="00D711C9" w:rsidRPr="00EF201C">
        <w:rPr>
          <w:color w:val="auto"/>
          <w:lang w:val="en-US"/>
        </w:rPr>
        <w:t>Ceteris paribus</w:t>
      </w:r>
      <w:r w:rsidRPr="00EF201C">
        <w:rPr>
          <w:color w:val="auto"/>
          <w:lang w:val="en-US"/>
        </w:rPr>
        <w:t xml:space="preserve">, a larger board size is primarily </w:t>
      </w:r>
      <w:r w:rsidRPr="00EF201C">
        <w:rPr>
          <w:color w:val="auto"/>
          <w:lang w:val="en-US"/>
        </w:rPr>
        <w:lastRenderedPageBreak/>
        <w:t xml:space="preserve">indicative of larger board capacity but could also be indicative of the diversity in the skills and expertise that can be brought to the board in its deliberation, as well as in the discharge of its oversight functions. However, a larger board could be counterproductive due to process loss arising from extended discussions and red tape, which may lead to a sluggish decision-making process (Song </w:t>
      </w:r>
      <w:r w:rsidR="00E66ADC">
        <w:rPr>
          <w:color w:val="auto"/>
          <w:lang w:val="en-US" w:eastAsia="en-US" w:bidi="en-US"/>
        </w:rPr>
        <w:t>and</w:t>
      </w:r>
      <w:r w:rsidRPr="00EF201C">
        <w:rPr>
          <w:color w:val="auto"/>
          <w:lang w:val="en-US"/>
        </w:rPr>
        <w:t xml:space="preserve"> </w:t>
      </w:r>
      <w:proofErr w:type="spellStart"/>
      <w:r w:rsidRPr="00EF201C">
        <w:rPr>
          <w:color w:val="auto"/>
          <w:lang w:val="en-US"/>
        </w:rPr>
        <w:t>Windram</w:t>
      </w:r>
      <w:proofErr w:type="spellEnd"/>
      <w:r w:rsidRPr="00EF201C">
        <w:rPr>
          <w:color w:val="auto"/>
          <w:lang w:val="en-US"/>
        </w:rPr>
        <w:t xml:space="preserve">, 2004; </w:t>
      </w:r>
      <w:proofErr w:type="spellStart"/>
      <w:r w:rsidRPr="00EF201C">
        <w:rPr>
          <w:color w:val="auto"/>
          <w:lang w:val="en-US"/>
        </w:rPr>
        <w:t>Yermack</w:t>
      </w:r>
      <w:proofErr w:type="spellEnd"/>
      <w:r w:rsidRPr="00EF201C">
        <w:rPr>
          <w:color w:val="auto"/>
          <w:lang w:val="en-US"/>
        </w:rPr>
        <w:t xml:space="preserve">, 1996).  Previous studies </w:t>
      </w:r>
      <w:r w:rsidR="00D711C9" w:rsidRPr="00EF201C">
        <w:rPr>
          <w:color w:val="auto"/>
          <w:lang w:val="en-US"/>
        </w:rPr>
        <w:t>report</w:t>
      </w:r>
      <w:r w:rsidRPr="00EF201C">
        <w:rPr>
          <w:color w:val="auto"/>
          <w:lang w:val="en-US"/>
        </w:rPr>
        <w:t xml:space="preserve"> conflicting </w:t>
      </w:r>
      <w:r w:rsidR="00BA3981" w:rsidRPr="00EF201C">
        <w:rPr>
          <w:color w:val="auto"/>
          <w:lang w:val="en-US"/>
        </w:rPr>
        <w:t>results</w:t>
      </w:r>
      <w:r w:rsidRPr="00EF201C">
        <w:rPr>
          <w:color w:val="auto"/>
          <w:lang w:val="en-US"/>
        </w:rPr>
        <w:t xml:space="preserve"> on the impact of board size on corporate disclosure. For instance, Webb (2004) provide</w:t>
      </w:r>
      <w:r w:rsidR="00D711C9" w:rsidRPr="00EF201C">
        <w:rPr>
          <w:color w:val="auto"/>
          <w:lang w:val="en-US"/>
        </w:rPr>
        <w:t>s</w:t>
      </w:r>
      <w:r w:rsidRPr="00EF201C">
        <w:rPr>
          <w:color w:val="auto"/>
          <w:lang w:val="en-US"/>
        </w:rPr>
        <w:t xml:space="preserve"> evidence that larger boards are more effective in CG processes and could therefore help to ensure thorough consideration of CSR issues. </w:t>
      </w:r>
      <w:r w:rsidR="00D711C9" w:rsidRPr="00EF201C">
        <w:rPr>
          <w:color w:val="auto"/>
          <w:lang w:val="en-US"/>
        </w:rPr>
        <w:t>Other s</w:t>
      </w:r>
      <w:r w:rsidRPr="00EF201C">
        <w:rPr>
          <w:color w:val="auto"/>
          <w:lang w:val="en-US"/>
        </w:rPr>
        <w:t>tudies such as</w:t>
      </w:r>
      <w:r w:rsidR="00D711C9" w:rsidRPr="00EF201C">
        <w:rPr>
          <w:color w:val="auto"/>
          <w:lang w:val="en-US"/>
        </w:rPr>
        <w:t xml:space="preserve"> those of</w:t>
      </w:r>
      <w:r w:rsidRPr="00EF201C">
        <w:rPr>
          <w:color w:val="auto"/>
          <w:lang w:val="en-US"/>
        </w:rPr>
        <w:t xml:space="preserve"> Song and </w:t>
      </w:r>
      <w:proofErr w:type="spellStart"/>
      <w:r w:rsidRPr="00EF201C">
        <w:rPr>
          <w:color w:val="auto"/>
          <w:lang w:val="en-US"/>
        </w:rPr>
        <w:t>Windram</w:t>
      </w:r>
      <w:proofErr w:type="spellEnd"/>
      <w:r w:rsidRPr="00EF201C">
        <w:rPr>
          <w:color w:val="auto"/>
          <w:lang w:val="en-US"/>
        </w:rPr>
        <w:t xml:space="preserve"> (2004) and </w:t>
      </w:r>
      <w:proofErr w:type="spellStart"/>
      <w:r w:rsidRPr="00EF201C">
        <w:rPr>
          <w:color w:val="auto"/>
          <w:lang w:val="en-US"/>
        </w:rPr>
        <w:t>Yermack</w:t>
      </w:r>
      <w:proofErr w:type="spellEnd"/>
      <w:r w:rsidRPr="00EF201C">
        <w:rPr>
          <w:color w:val="auto"/>
          <w:lang w:val="en-US"/>
        </w:rPr>
        <w:t xml:space="preserve"> (1996) argue that smaller board sizes are more effective on the grounds that they allow for smarter and faster decision making compared to large boards. We anticipate a </w:t>
      </w:r>
      <w:r w:rsidR="00BA3981">
        <w:rPr>
          <w:color w:val="auto"/>
          <w:lang w:val="en-US"/>
        </w:rPr>
        <w:t xml:space="preserve">statistically </w:t>
      </w:r>
      <w:r w:rsidRPr="00EF201C">
        <w:rPr>
          <w:color w:val="auto"/>
          <w:lang w:val="en-US"/>
        </w:rPr>
        <w:t xml:space="preserve">positive relationship between board size and CCID disclosure. Similarly, there is a theoretical expectation of a relationship between board meeting frequency and disclosure. Board meeting frequency could be indicative of board diligence, and this could have a direct impact on monitoring effectiveness. Board meeting frequency </w:t>
      </w:r>
      <w:r w:rsidR="00D711C9" w:rsidRPr="00EF201C">
        <w:rPr>
          <w:color w:val="auto"/>
          <w:lang w:val="en-US"/>
        </w:rPr>
        <w:t>is</w:t>
      </w:r>
      <w:r w:rsidRPr="00EF201C">
        <w:rPr>
          <w:color w:val="auto"/>
          <w:lang w:val="en-US"/>
        </w:rPr>
        <w:t xml:space="preserve"> used in many previous studies (Cormier et al., 2010; Evans et al., 2002; </w:t>
      </w:r>
      <w:proofErr w:type="spellStart"/>
      <w:r w:rsidRPr="00EF201C">
        <w:rPr>
          <w:color w:val="auto"/>
          <w:lang w:val="en-US"/>
        </w:rPr>
        <w:t>Vafeas</w:t>
      </w:r>
      <w:proofErr w:type="spellEnd"/>
      <w:r w:rsidRPr="00EF201C">
        <w:rPr>
          <w:color w:val="auto"/>
          <w:lang w:val="en-US"/>
        </w:rPr>
        <w:t xml:space="preserve">, 1999; Webb, 2004) as an important measure of board diligence and effectiveness. Following the argument that boards with outside directors tend to meet more frequently (Jensen, 1993; </w:t>
      </w:r>
      <w:proofErr w:type="spellStart"/>
      <w:r w:rsidRPr="00EF201C">
        <w:rPr>
          <w:color w:val="auto"/>
          <w:lang w:val="en-US"/>
        </w:rPr>
        <w:t>Vafeas</w:t>
      </w:r>
      <w:proofErr w:type="spellEnd"/>
      <w:r w:rsidRPr="00EF201C">
        <w:rPr>
          <w:color w:val="auto"/>
          <w:lang w:val="en-US"/>
        </w:rPr>
        <w:t xml:space="preserve">, 1999) and are thus more effective in handling social issues, we control for board meeting frequency and anticipate a </w:t>
      </w:r>
      <w:r w:rsidR="00BA3981">
        <w:rPr>
          <w:color w:val="auto"/>
          <w:lang w:val="en-US"/>
        </w:rPr>
        <w:t xml:space="preserve">statistically </w:t>
      </w:r>
      <w:r w:rsidRPr="00EF201C">
        <w:rPr>
          <w:color w:val="auto"/>
          <w:lang w:val="en-US"/>
        </w:rPr>
        <w:t>positive relationship with CCID.</w:t>
      </w:r>
      <w:r w:rsidR="00941C8C">
        <w:rPr>
          <w:color w:val="auto"/>
          <w:lang w:val="en-US"/>
        </w:rPr>
        <w:t xml:space="preserve"> </w:t>
      </w:r>
    </w:p>
    <w:p w14:paraId="218132DE" w14:textId="07907D95" w:rsidR="008117B1" w:rsidRPr="00EF201C" w:rsidRDefault="008117B1" w:rsidP="000F0849">
      <w:pPr>
        <w:spacing w:line="480" w:lineRule="auto"/>
        <w:ind w:firstLine="567"/>
        <w:jc w:val="both"/>
        <w:rPr>
          <w:color w:val="auto"/>
          <w:lang w:val="en-US"/>
        </w:rPr>
      </w:pPr>
      <w:r w:rsidRPr="00EF201C">
        <w:rPr>
          <w:color w:val="auto"/>
          <w:lang w:val="en-US"/>
        </w:rPr>
        <w:t xml:space="preserve">The audit committee is an important part of the internal CG mechanism in the firm, with oversight function on management. This is primarily in financial reporting and auditing but also in the issues surrounding internal control and risk management. The impact of audit committee characteristics such as size and meeting frequency </w:t>
      </w:r>
      <w:r w:rsidR="000F0849" w:rsidRPr="00EF201C">
        <w:rPr>
          <w:color w:val="auto"/>
          <w:lang w:val="en-US"/>
        </w:rPr>
        <w:t>is</w:t>
      </w:r>
      <w:r w:rsidRPr="00EF201C">
        <w:rPr>
          <w:color w:val="auto"/>
          <w:lang w:val="en-US"/>
        </w:rPr>
        <w:t xml:space="preserve"> researched extensively in studies on financial reporting and auditing. However, there </w:t>
      </w:r>
      <w:r w:rsidR="000F0849" w:rsidRPr="00EF201C">
        <w:rPr>
          <w:color w:val="auto"/>
          <w:lang w:val="en-US"/>
        </w:rPr>
        <w:t xml:space="preserve">are a handful of </w:t>
      </w:r>
      <w:r w:rsidRPr="00EF201C">
        <w:rPr>
          <w:color w:val="auto"/>
          <w:lang w:val="en-US"/>
        </w:rPr>
        <w:t xml:space="preserve">studies that </w:t>
      </w:r>
      <w:r w:rsidR="000F0849" w:rsidRPr="00EF201C">
        <w:rPr>
          <w:color w:val="auto"/>
          <w:lang w:val="en-US"/>
        </w:rPr>
        <w:t>consider</w:t>
      </w:r>
      <w:r w:rsidRPr="00EF201C">
        <w:rPr>
          <w:color w:val="auto"/>
          <w:lang w:val="en-US"/>
        </w:rPr>
        <w:t xml:space="preserve"> the impact of the audit committee on corporate social disclosures. This may be because the</w:t>
      </w:r>
      <w:r w:rsidR="000F0849" w:rsidRPr="00EF201C">
        <w:rPr>
          <w:color w:val="auto"/>
          <w:lang w:val="en-US"/>
        </w:rPr>
        <w:t xml:space="preserve">y are </w:t>
      </w:r>
      <w:r w:rsidRPr="00EF201C">
        <w:rPr>
          <w:color w:val="auto"/>
          <w:lang w:val="en-US"/>
        </w:rPr>
        <w:t xml:space="preserve">perceived not to be directly related to </w:t>
      </w:r>
      <w:r w:rsidRPr="00EF201C">
        <w:rPr>
          <w:color w:val="auto"/>
          <w:lang w:val="en-US"/>
        </w:rPr>
        <w:lastRenderedPageBreak/>
        <w:t>corporate financial performance. However, there are several extant studies (</w:t>
      </w:r>
      <w:proofErr w:type="spellStart"/>
      <w:r w:rsidR="000F0849" w:rsidRPr="00EF201C">
        <w:rPr>
          <w:color w:val="auto"/>
          <w:lang w:val="en-US"/>
        </w:rPr>
        <w:t>Bebbington</w:t>
      </w:r>
      <w:proofErr w:type="spellEnd"/>
      <w:r w:rsidR="000F0849" w:rsidRPr="00EF201C">
        <w:rPr>
          <w:color w:val="auto"/>
          <w:lang w:val="en-US"/>
        </w:rPr>
        <w:t xml:space="preserve"> et al., 2008; </w:t>
      </w:r>
      <w:r w:rsidRPr="00EF201C">
        <w:rPr>
          <w:color w:val="auto"/>
          <w:lang w:val="en-US"/>
        </w:rPr>
        <w:t>Mitchell et al., 1997; Clarkson, 199</w:t>
      </w:r>
      <w:r w:rsidR="000F0849" w:rsidRPr="00EF201C">
        <w:rPr>
          <w:color w:val="auto"/>
          <w:lang w:val="en-US"/>
        </w:rPr>
        <w:t xml:space="preserve">5) that </w:t>
      </w:r>
      <w:r w:rsidRPr="00EF201C">
        <w:rPr>
          <w:color w:val="auto"/>
          <w:lang w:val="en-US"/>
        </w:rPr>
        <w:t xml:space="preserve">highlight the importance of corporate </w:t>
      </w:r>
      <w:r w:rsidR="00FE66AF">
        <w:rPr>
          <w:color w:val="auto"/>
          <w:lang w:val="en-US"/>
        </w:rPr>
        <w:t>social</w:t>
      </w:r>
      <w:r w:rsidRPr="00EF201C">
        <w:rPr>
          <w:color w:val="auto"/>
          <w:lang w:val="en-US"/>
        </w:rPr>
        <w:t xml:space="preserve"> activities and disclosures</w:t>
      </w:r>
      <w:r w:rsidR="000F0849" w:rsidRPr="00EF201C">
        <w:rPr>
          <w:color w:val="auto"/>
          <w:lang w:val="en-US"/>
        </w:rPr>
        <w:t>,</w:t>
      </w:r>
      <w:r w:rsidRPr="00EF201C">
        <w:rPr>
          <w:color w:val="auto"/>
          <w:lang w:val="en-US"/>
        </w:rPr>
        <w:t xml:space="preserve"> especially </w:t>
      </w:r>
      <w:r w:rsidR="000F0849" w:rsidRPr="00EF201C">
        <w:rPr>
          <w:color w:val="auto"/>
          <w:lang w:val="en-US"/>
        </w:rPr>
        <w:t xml:space="preserve">in relation to </w:t>
      </w:r>
      <w:r w:rsidRPr="00EF201C">
        <w:rPr>
          <w:color w:val="auto"/>
          <w:lang w:val="en-US"/>
        </w:rPr>
        <w:t>corporate risk management, which is one of the remits of the committee.  Although there is a dearth of empirical evidence on the impact of audit committee size on CSR disclosures, the evidence on the impact of audit committee size on disclosures in annual reports is genera</w:t>
      </w:r>
      <w:r w:rsidR="000F0849" w:rsidRPr="00EF201C">
        <w:rPr>
          <w:color w:val="auto"/>
          <w:lang w:val="en-US"/>
        </w:rPr>
        <w:t xml:space="preserve">lly mixed. While some studies report </w:t>
      </w:r>
      <w:r w:rsidRPr="00EF201C">
        <w:rPr>
          <w:color w:val="auto"/>
          <w:lang w:val="en-US"/>
        </w:rPr>
        <w:t>no significant relationship (Abbott et al</w:t>
      </w:r>
      <w:r w:rsidR="000F0849" w:rsidRPr="00EF201C">
        <w:rPr>
          <w:color w:val="auto"/>
          <w:lang w:val="en-US"/>
        </w:rPr>
        <w:t>.</w:t>
      </w:r>
      <w:r w:rsidRPr="00EF201C">
        <w:rPr>
          <w:color w:val="auto"/>
          <w:lang w:val="en-US"/>
        </w:rPr>
        <w:t xml:space="preserve">, 2004; </w:t>
      </w:r>
      <w:proofErr w:type="spellStart"/>
      <w:r w:rsidRPr="00EF201C">
        <w:rPr>
          <w:color w:val="auto"/>
          <w:lang w:val="en-US"/>
        </w:rPr>
        <w:t>Bedard</w:t>
      </w:r>
      <w:proofErr w:type="spellEnd"/>
      <w:r w:rsidRPr="00EF201C">
        <w:rPr>
          <w:color w:val="auto"/>
          <w:lang w:val="en-US"/>
        </w:rPr>
        <w:t xml:space="preserve"> et al</w:t>
      </w:r>
      <w:r w:rsidR="000F0849" w:rsidRPr="00EF201C">
        <w:rPr>
          <w:color w:val="auto"/>
          <w:lang w:val="en-US"/>
        </w:rPr>
        <w:t>.</w:t>
      </w:r>
      <w:r w:rsidRPr="00EF201C">
        <w:rPr>
          <w:color w:val="auto"/>
          <w:lang w:val="en-US"/>
        </w:rPr>
        <w:t xml:space="preserve">, 2004; </w:t>
      </w:r>
      <w:proofErr w:type="spellStart"/>
      <w:r w:rsidRPr="00EF201C">
        <w:rPr>
          <w:color w:val="auto"/>
          <w:lang w:val="en-US"/>
        </w:rPr>
        <w:t>Mangena</w:t>
      </w:r>
      <w:proofErr w:type="spellEnd"/>
      <w:r w:rsidRPr="00EF201C">
        <w:rPr>
          <w:color w:val="auto"/>
          <w:lang w:val="en-US"/>
        </w:rPr>
        <w:t xml:space="preserve"> </w:t>
      </w:r>
      <w:r w:rsidR="00E66ADC">
        <w:rPr>
          <w:color w:val="auto"/>
          <w:lang w:val="en-US" w:eastAsia="en-US" w:bidi="en-US"/>
        </w:rPr>
        <w:t>and</w:t>
      </w:r>
      <w:r w:rsidRPr="00EF201C">
        <w:rPr>
          <w:color w:val="auto"/>
          <w:lang w:val="en-US"/>
        </w:rPr>
        <w:t xml:space="preserve"> Pike, 2005), some </w:t>
      </w:r>
      <w:r w:rsidR="000F0849" w:rsidRPr="00EF201C">
        <w:rPr>
          <w:color w:val="auto"/>
          <w:lang w:val="en-US"/>
        </w:rPr>
        <w:t>suggest</w:t>
      </w:r>
      <w:r w:rsidRPr="00EF201C">
        <w:rPr>
          <w:color w:val="auto"/>
          <w:lang w:val="en-US"/>
        </w:rPr>
        <w:t xml:space="preserve"> a positive </w:t>
      </w:r>
      <w:r w:rsidR="000F0849" w:rsidRPr="00EF201C">
        <w:rPr>
          <w:color w:val="auto"/>
          <w:lang w:val="en-US"/>
        </w:rPr>
        <w:t>relationship</w:t>
      </w:r>
      <w:r w:rsidRPr="00EF201C">
        <w:rPr>
          <w:color w:val="auto"/>
          <w:lang w:val="en-US"/>
        </w:rPr>
        <w:t xml:space="preserve"> (</w:t>
      </w:r>
      <w:proofErr w:type="spellStart"/>
      <w:r w:rsidRPr="00EF201C">
        <w:rPr>
          <w:color w:val="auto"/>
          <w:lang w:val="en-US"/>
        </w:rPr>
        <w:t>Forker</w:t>
      </w:r>
      <w:proofErr w:type="spellEnd"/>
      <w:r w:rsidRPr="00EF201C">
        <w:rPr>
          <w:color w:val="auto"/>
          <w:lang w:val="en-US"/>
        </w:rPr>
        <w:t xml:space="preserve">, 1992; Persons, 2009) and Song and </w:t>
      </w:r>
      <w:proofErr w:type="spellStart"/>
      <w:r w:rsidRPr="00EF201C">
        <w:rPr>
          <w:color w:val="auto"/>
          <w:lang w:val="en-US"/>
        </w:rPr>
        <w:t>Windram</w:t>
      </w:r>
      <w:proofErr w:type="spellEnd"/>
      <w:r w:rsidRPr="00EF201C">
        <w:rPr>
          <w:color w:val="auto"/>
          <w:lang w:val="en-US"/>
        </w:rPr>
        <w:t>, (2004) report</w:t>
      </w:r>
      <w:r w:rsidR="000F0849" w:rsidRPr="00EF201C">
        <w:rPr>
          <w:color w:val="auto"/>
          <w:lang w:val="en-US"/>
        </w:rPr>
        <w:t xml:space="preserve"> a negative one</w:t>
      </w:r>
      <w:r w:rsidRPr="00EF201C">
        <w:rPr>
          <w:color w:val="auto"/>
          <w:lang w:val="en-US"/>
        </w:rPr>
        <w:t>. Nevertheless, we control for audit committee size following the recommendation of both the Blue Ribbon Committee</w:t>
      </w:r>
      <w:r w:rsidR="000F0849" w:rsidRPr="00EF201C">
        <w:rPr>
          <w:color w:val="auto"/>
          <w:lang w:val="en-US"/>
        </w:rPr>
        <w:t xml:space="preserve"> </w:t>
      </w:r>
      <w:r w:rsidRPr="00EF201C">
        <w:rPr>
          <w:color w:val="auto"/>
          <w:lang w:val="en-US"/>
        </w:rPr>
        <w:t xml:space="preserve">(1999) and the Smith committee (2003). Both recommend that audit committees should contain at least three (3) outside directors. We anticipate a </w:t>
      </w:r>
      <w:r w:rsidR="00BB363A">
        <w:rPr>
          <w:color w:val="auto"/>
          <w:lang w:val="en-US"/>
        </w:rPr>
        <w:t xml:space="preserve">statistically </w:t>
      </w:r>
      <w:r w:rsidRPr="00EF201C">
        <w:rPr>
          <w:color w:val="auto"/>
          <w:lang w:val="en-US"/>
        </w:rPr>
        <w:t>positive relationship between this proxy and CCID.</w:t>
      </w:r>
    </w:p>
    <w:p w14:paraId="0BEE1DB7" w14:textId="095DCC6F" w:rsidR="00941C8C" w:rsidRPr="00EF201C" w:rsidRDefault="008117B1" w:rsidP="008117B1">
      <w:pPr>
        <w:spacing w:line="480" w:lineRule="auto"/>
        <w:ind w:firstLine="567"/>
        <w:jc w:val="both"/>
        <w:rPr>
          <w:color w:val="auto"/>
          <w:lang w:val="en-US"/>
        </w:rPr>
      </w:pPr>
      <w:r w:rsidRPr="00EF201C">
        <w:rPr>
          <w:color w:val="auto"/>
          <w:lang w:val="en-US"/>
        </w:rPr>
        <w:t xml:space="preserve">Furthermore, the frequency of meetings of the audit committees </w:t>
      </w:r>
      <w:r w:rsidR="000F0849" w:rsidRPr="00EF201C">
        <w:rPr>
          <w:color w:val="auto"/>
          <w:lang w:val="en-US"/>
        </w:rPr>
        <w:t xml:space="preserve">is </w:t>
      </w:r>
      <w:r w:rsidRPr="00EF201C">
        <w:rPr>
          <w:color w:val="auto"/>
          <w:lang w:val="en-US"/>
        </w:rPr>
        <w:t xml:space="preserve">found to have a great effect on the committee effectiveness. For instance, Abbott et al. (2004) </w:t>
      </w:r>
      <w:r w:rsidR="000F0849" w:rsidRPr="00EF201C">
        <w:rPr>
          <w:color w:val="auto"/>
          <w:lang w:val="en-US"/>
        </w:rPr>
        <w:t>suggest</w:t>
      </w:r>
      <w:r w:rsidRPr="00EF201C">
        <w:rPr>
          <w:color w:val="auto"/>
          <w:lang w:val="en-US"/>
        </w:rPr>
        <w:t xml:space="preserve"> that audit committees that meet at least four times annually are more effective in reducing financial reporting re</w:t>
      </w:r>
      <w:r w:rsidR="000F0849" w:rsidRPr="00EF201C">
        <w:rPr>
          <w:color w:val="auto"/>
          <w:lang w:val="en-US"/>
        </w:rPr>
        <w:t>-</w:t>
      </w:r>
      <w:r w:rsidRPr="00EF201C">
        <w:rPr>
          <w:color w:val="auto"/>
          <w:lang w:val="en-US"/>
        </w:rPr>
        <w:t>statements than those with lower meeting frequency</w:t>
      </w:r>
      <w:r w:rsidR="000F0849" w:rsidRPr="00EF201C">
        <w:rPr>
          <w:color w:val="auto"/>
          <w:lang w:val="en-US"/>
        </w:rPr>
        <w:t>. Similarly, Persons (2009) finds</w:t>
      </w:r>
      <w:r w:rsidRPr="00EF201C">
        <w:rPr>
          <w:color w:val="auto"/>
          <w:lang w:val="en-US"/>
        </w:rPr>
        <w:t xml:space="preserve"> that firms with earlier voluntary ethics disclosures are those for which audit committees met at least four times annually, with at least three audit committee members. </w:t>
      </w:r>
      <w:proofErr w:type="spellStart"/>
      <w:r w:rsidRPr="00EF201C">
        <w:rPr>
          <w:color w:val="auto"/>
          <w:lang w:val="en-US"/>
        </w:rPr>
        <w:t>Carcello</w:t>
      </w:r>
      <w:proofErr w:type="spellEnd"/>
      <w:r w:rsidRPr="00EF201C">
        <w:rPr>
          <w:color w:val="auto"/>
          <w:lang w:val="en-US"/>
        </w:rPr>
        <w:t xml:space="preserve"> (2008) argue</w:t>
      </w:r>
      <w:r w:rsidR="000F0849" w:rsidRPr="00EF201C">
        <w:rPr>
          <w:color w:val="auto"/>
          <w:lang w:val="en-US"/>
        </w:rPr>
        <w:t>s</w:t>
      </w:r>
      <w:r w:rsidRPr="00EF201C">
        <w:rPr>
          <w:color w:val="auto"/>
          <w:lang w:val="en-US"/>
        </w:rPr>
        <w:t xml:space="preserve"> that audit committee meeting frequency can be a good measure of audit committee diligence and effectiveness in the monitoring of management activities and call</w:t>
      </w:r>
      <w:r w:rsidR="000F0849" w:rsidRPr="00EF201C">
        <w:rPr>
          <w:color w:val="auto"/>
          <w:lang w:val="en-US"/>
        </w:rPr>
        <w:t>s</w:t>
      </w:r>
      <w:r w:rsidRPr="00EF201C">
        <w:rPr>
          <w:color w:val="auto"/>
          <w:lang w:val="en-US"/>
        </w:rPr>
        <w:t xml:space="preserve"> into question the diligence of an audit committee that rarely meets. Li et al. (2008)</w:t>
      </w:r>
      <w:r w:rsidRPr="00EF201C">
        <w:rPr>
          <w:bCs/>
          <w:color w:val="auto"/>
          <w:lang w:val="en-US"/>
        </w:rPr>
        <w:t xml:space="preserve"> also f</w:t>
      </w:r>
      <w:r w:rsidR="000F0849" w:rsidRPr="00EF201C">
        <w:rPr>
          <w:bCs/>
          <w:color w:val="auto"/>
          <w:lang w:val="en-US"/>
        </w:rPr>
        <w:t xml:space="preserve">inds </w:t>
      </w:r>
      <w:r w:rsidRPr="00EF201C">
        <w:rPr>
          <w:bCs/>
          <w:color w:val="auto"/>
          <w:lang w:val="en-US"/>
        </w:rPr>
        <w:t>a strong association between the disclosure of intellectual capital and both audit committee size and audit committee meeting</w:t>
      </w:r>
      <w:r w:rsidR="000F0849" w:rsidRPr="00EF201C">
        <w:rPr>
          <w:bCs/>
          <w:color w:val="auto"/>
          <w:lang w:val="en-US"/>
        </w:rPr>
        <w:t>s’</w:t>
      </w:r>
      <w:r w:rsidRPr="00EF201C">
        <w:rPr>
          <w:bCs/>
          <w:color w:val="auto"/>
          <w:lang w:val="en-US"/>
        </w:rPr>
        <w:t xml:space="preserve"> frequency. The current paper argues that the presence and activities of the audit committee should be complementary to the activities of the board in </w:t>
      </w:r>
      <w:r w:rsidR="00845C4B" w:rsidRPr="00EF201C">
        <w:rPr>
          <w:bCs/>
          <w:color w:val="auto"/>
          <w:lang w:val="en-US"/>
        </w:rPr>
        <w:t>enhancing corporate social action</w:t>
      </w:r>
      <w:r w:rsidRPr="00EF201C">
        <w:rPr>
          <w:bCs/>
          <w:color w:val="auto"/>
          <w:lang w:val="en-US"/>
        </w:rPr>
        <w:t xml:space="preserve">, thus resulting in more CCI disclosure, and therefore should be controlled for. We thus anticipate a </w:t>
      </w:r>
      <w:r w:rsidR="00BB363A">
        <w:rPr>
          <w:bCs/>
          <w:color w:val="auto"/>
          <w:lang w:val="en-US"/>
        </w:rPr>
        <w:t xml:space="preserve">statistically </w:t>
      </w:r>
      <w:r w:rsidRPr="00EF201C">
        <w:rPr>
          <w:bCs/>
          <w:color w:val="auto"/>
          <w:lang w:val="en-US"/>
        </w:rPr>
        <w:t>positive relationship between audit committee meeting frequency and CCID.</w:t>
      </w:r>
      <w:r w:rsidR="00F40EC4" w:rsidRPr="00F40EC4">
        <w:rPr>
          <w:bCs/>
          <w:lang w:eastAsia="en-GB"/>
        </w:rPr>
        <w:t xml:space="preserve"> </w:t>
      </w:r>
    </w:p>
    <w:p w14:paraId="63DD8801" w14:textId="54EC834F" w:rsidR="00670B95" w:rsidRDefault="008117B1" w:rsidP="005956D3">
      <w:pPr>
        <w:spacing w:line="480" w:lineRule="auto"/>
        <w:ind w:firstLine="567"/>
        <w:jc w:val="both"/>
        <w:rPr>
          <w:lang w:eastAsia="en-GB"/>
        </w:rPr>
      </w:pPr>
      <w:r w:rsidRPr="00EF201C">
        <w:rPr>
          <w:color w:val="auto"/>
          <w:lang w:val="en-US"/>
        </w:rPr>
        <w:lastRenderedPageBreak/>
        <w:t xml:space="preserve">Although there is a </w:t>
      </w:r>
      <w:r w:rsidR="000F0849" w:rsidRPr="00EF201C">
        <w:rPr>
          <w:color w:val="auto"/>
          <w:lang w:val="en-US"/>
        </w:rPr>
        <w:t>lack</w:t>
      </w:r>
      <w:r w:rsidRPr="00EF201C">
        <w:rPr>
          <w:color w:val="auto"/>
          <w:lang w:val="en-US"/>
        </w:rPr>
        <w:t xml:space="preserve"> of literature on the effect of the existence of other board committees on social disclosures, Cowen et al. (1987) examine the effect of the existence of social responsibility (CSR) committees, arguing that there is a higher tendency for more social disclosure with the existence of such committees. Their findings also indicate that the existence of a CSR committee </w:t>
      </w:r>
      <w:r w:rsidR="00A9344B" w:rsidRPr="00EF201C">
        <w:rPr>
          <w:color w:val="auto"/>
          <w:lang w:val="en-US"/>
        </w:rPr>
        <w:t>is</w:t>
      </w:r>
      <w:r w:rsidRPr="00EF201C">
        <w:rPr>
          <w:color w:val="auto"/>
          <w:lang w:val="en-US"/>
        </w:rPr>
        <w:t xml:space="preserve"> associated with human resource disclosure. They therefore argue that past studies on the determinants of social disclosure with the omission of this variable are misleading because different types of disclosure may be motivated by the presence of certain committees. This finding is consistent with that of </w:t>
      </w:r>
      <w:proofErr w:type="spellStart"/>
      <w:r w:rsidRPr="00EF201C">
        <w:rPr>
          <w:color w:val="auto"/>
          <w:lang w:val="en-US"/>
        </w:rPr>
        <w:t>Petrovic</w:t>
      </w:r>
      <w:proofErr w:type="spellEnd"/>
      <w:r w:rsidRPr="00EF201C">
        <w:rPr>
          <w:color w:val="auto"/>
          <w:lang w:val="en-US"/>
        </w:rPr>
        <w:t>-Lazarevic (2010), who suggest</w:t>
      </w:r>
      <w:r w:rsidR="00A9344B" w:rsidRPr="00EF201C">
        <w:rPr>
          <w:color w:val="auto"/>
          <w:lang w:val="en-US"/>
        </w:rPr>
        <w:t>s</w:t>
      </w:r>
      <w:r w:rsidRPr="00EF201C">
        <w:rPr>
          <w:color w:val="auto"/>
          <w:lang w:val="en-US"/>
        </w:rPr>
        <w:t xml:space="preserve"> an enhanced CG structure encompassing a board-level CSR committee. The author argue</w:t>
      </w:r>
      <w:r w:rsidR="00A9344B" w:rsidRPr="00EF201C">
        <w:rPr>
          <w:color w:val="auto"/>
          <w:lang w:val="en-US"/>
        </w:rPr>
        <w:t>s</w:t>
      </w:r>
      <w:r w:rsidRPr="00EF201C">
        <w:rPr>
          <w:color w:val="auto"/>
          <w:lang w:val="en-US"/>
        </w:rPr>
        <w:t xml:space="preserve"> that such a committee “</w:t>
      </w:r>
      <w:r w:rsidRPr="00EF201C">
        <w:rPr>
          <w:i/>
          <w:color w:val="auto"/>
          <w:lang w:val="en-US"/>
        </w:rPr>
        <w:t>ensures that the social values of the organization are aligned with those of the community</w:t>
      </w:r>
      <w:r w:rsidRPr="00EF201C">
        <w:rPr>
          <w:color w:val="auto"/>
          <w:lang w:val="en-US"/>
        </w:rPr>
        <w:t>” (</w:t>
      </w:r>
      <w:proofErr w:type="spellStart"/>
      <w:r w:rsidRPr="00EF201C">
        <w:rPr>
          <w:color w:val="auto"/>
          <w:lang w:val="en-US"/>
        </w:rPr>
        <w:t>Petrovic</w:t>
      </w:r>
      <w:proofErr w:type="spellEnd"/>
      <w:r w:rsidRPr="00EF201C">
        <w:rPr>
          <w:color w:val="auto"/>
          <w:lang w:val="en-US"/>
        </w:rPr>
        <w:t>-Lazarevic, 2010</w:t>
      </w:r>
      <w:r w:rsidR="00A9344B" w:rsidRPr="00EF201C">
        <w:rPr>
          <w:color w:val="auto"/>
          <w:lang w:val="en-US"/>
        </w:rPr>
        <w:t>, p.</w:t>
      </w:r>
      <w:r w:rsidRPr="00EF201C">
        <w:rPr>
          <w:color w:val="auto"/>
          <w:lang w:val="en-US"/>
        </w:rPr>
        <w:t>115) and consequently</w:t>
      </w:r>
      <w:r w:rsidR="00A9344B" w:rsidRPr="00EF201C">
        <w:rPr>
          <w:color w:val="auto"/>
          <w:lang w:val="en-US"/>
        </w:rPr>
        <w:t>,</w:t>
      </w:r>
      <w:r w:rsidRPr="00EF201C">
        <w:rPr>
          <w:color w:val="auto"/>
          <w:lang w:val="en-US"/>
        </w:rPr>
        <w:t xml:space="preserve"> the existence of a CSR committee may also influence the quality of CCI disclosures. Against this background, </w:t>
      </w:r>
      <w:r w:rsidR="00A9344B" w:rsidRPr="00EF201C">
        <w:rPr>
          <w:color w:val="auto"/>
          <w:lang w:val="en-US"/>
        </w:rPr>
        <w:t xml:space="preserve">in this study we control </w:t>
      </w:r>
      <w:r w:rsidRPr="00EF201C">
        <w:rPr>
          <w:color w:val="auto"/>
          <w:lang w:val="en-US"/>
        </w:rPr>
        <w:t xml:space="preserve">for the effect of standing committees on CCI disclosure by including the CSR, Disclosure and Risk committees in </w:t>
      </w:r>
      <w:r w:rsidR="00BB363A">
        <w:rPr>
          <w:color w:val="auto"/>
          <w:lang w:val="en-US"/>
        </w:rPr>
        <w:t>our</w:t>
      </w:r>
      <w:r w:rsidRPr="00EF201C">
        <w:rPr>
          <w:color w:val="auto"/>
          <w:lang w:val="en-US"/>
        </w:rPr>
        <w:t xml:space="preserve"> model. We anticipate a </w:t>
      </w:r>
      <w:r w:rsidR="00BB363A">
        <w:rPr>
          <w:color w:val="auto"/>
          <w:lang w:val="en-US"/>
        </w:rPr>
        <w:t xml:space="preserve">statistically </w:t>
      </w:r>
      <w:r w:rsidRPr="00EF201C">
        <w:rPr>
          <w:color w:val="auto"/>
          <w:lang w:val="en-US"/>
        </w:rPr>
        <w:t>positive relationship between the presence of these committees and CCID</w:t>
      </w:r>
      <w:r w:rsidR="00670B95">
        <w:rPr>
          <w:color w:val="auto"/>
          <w:lang w:val="en-US"/>
        </w:rPr>
        <w:t>.</w:t>
      </w:r>
      <w:r w:rsidR="004345F3">
        <w:rPr>
          <w:color w:val="auto"/>
          <w:lang w:val="en-US"/>
        </w:rPr>
        <w:t xml:space="preserve"> </w:t>
      </w:r>
      <w:r w:rsidR="00670B95" w:rsidRPr="00571984">
        <w:rPr>
          <w:lang w:eastAsia="en-GB"/>
        </w:rPr>
        <w:t>Consequently, all other things being equal</w:t>
      </w:r>
      <w:r w:rsidR="005956D3">
        <w:rPr>
          <w:lang w:eastAsia="en-GB"/>
        </w:rPr>
        <w:t>,</w:t>
      </w:r>
      <w:r w:rsidR="00670B95" w:rsidRPr="00571984">
        <w:rPr>
          <w:lang w:eastAsia="en-GB"/>
        </w:rPr>
        <w:t xml:space="preserve"> we hypothesized in the null form as follows:</w:t>
      </w:r>
    </w:p>
    <w:p w14:paraId="1076539B" w14:textId="77777777" w:rsidR="004345F3" w:rsidRPr="005956D3" w:rsidRDefault="004345F3" w:rsidP="005956D3">
      <w:pPr>
        <w:spacing w:line="480" w:lineRule="auto"/>
        <w:ind w:firstLine="567"/>
        <w:jc w:val="both"/>
        <w:rPr>
          <w:b/>
        </w:rPr>
      </w:pPr>
    </w:p>
    <w:p w14:paraId="53A3DB07" w14:textId="6E3FE75C" w:rsidR="00050780" w:rsidRDefault="00670B95" w:rsidP="00670B95">
      <w:pPr>
        <w:spacing w:line="276" w:lineRule="auto"/>
        <w:jc w:val="both"/>
        <w:rPr>
          <w:b/>
          <w:i/>
        </w:rPr>
      </w:pPr>
      <w:r w:rsidRPr="00670B95">
        <w:rPr>
          <w:b/>
          <w:i/>
        </w:rPr>
        <w:t>H2</w:t>
      </w:r>
      <w:r w:rsidR="00AE5E4B">
        <w:rPr>
          <w:b/>
          <w:i/>
        </w:rPr>
        <w:t>a</w:t>
      </w:r>
      <w:r w:rsidRPr="00670B95">
        <w:rPr>
          <w:b/>
          <w:i/>
        </w:rPr>
        <w:t xml:space="preserve">: </w:t>
      </w:r>
      <w:r w:rsidR="00050780">
        <w:rPr>
          <w:b/>
          <w:i/>
        </w:rPr>
        <w:t>There is a sta</w:t>
      </w:r>
      <w:r w:rsidRPr="00670B95">
        <w:rPr>
          <w:b/>
          <w:i/>
        </w:rPr>
        <w:t xml:space="preserve">tistically </w:t>
      </w:r>
      <w:r w:rsidR="003E267E">
        <w:rPr>
          <w:b/>
          <w:i/>
        </w:rPr>
        <w:t xml:space="preserve">significant </w:t>
      </w:r>
      <w:r w:rsidRPr="00670B95">
        <w:rPr>
          <w:b/>
          <w:i/>
        </w:rPr>
        <w:t xml:space="preserve">positive relationship between Community Disclosure Quality and </w:t>
      </w:r>
      <w:r w:rsidRPr="004A27F7">
        <w:rPr>
          <w:b/>
          <w:i/>
        </w:rPr>
        <w:t xml:space="preserve">board activities and efficiency measured by </w:t>
      </w:r>
      <w:r w:rsidR="00050780">
        <w:rPr>
          <w:b/>
          <w:i/>
        </w:rPr>
        <w:t>bo</w:t>
      </w:r>
      <w:r w:rsidR="004A27F7">
        <w:rPr>
          <w:b/>
          <w:i/>
        </w:rPr>
        <w:t>ard size</w:t>
      </w:r>
      <w:r w:rsidR="00050780">
        <w:rPr>
          <w:b/>
          <w:i/>
        </w:rPr>
        <w:t xml:space="preserve">. </w:t>
      </w:r>
    </w:p>
    <w:p w14:paraId="0C6AB6B2" w14:textId="77777777" w:rsidR="00050780" w:rsidRDefault="00050780" w:rsidP="00670B95">
      <w:pPr>
        <w:spacing w:line="276" w:lineRule="auto"/>
        <w:jc w:val="both"/>
        <w:rPr>
          <w:b/>
          <w:i/>
        </w:rPr>
      </w:pPr>
    </w:p>
    <w:p w14:paraId="4D127DAB" w14:textId="00795D66" w:rsidR="00AE5E4B" w:rsidRDefault="00AE5E4B" w:rsidP="00AE5E4B">
      <w:pPr>
        <w:spacing w:line="276" w:lineRule="auto"/>
        <w:jc w:val="both"/>
        <w:rPr>
          <w:b/>
          <w:i/>
        </w:rPr>
      </w:pPr>
      <w:r w:rsidRPr="00670B95">
        <w:rPr>
          <w:b/>
          <w:i/>
        </w:rPr>
        <w:t>H2</w:t>
      </w:r>
      <w:r>
        <w:rPr>
          <w:b/>
          <w:i/>
        </w:rPr>
        <w:t>b</w:t>
      </w:r>
      <w:r w:rsidRPr="00670B95">
        <w:rPr>
          <w:b/>
          <w:i/>
        </w:rPr>
        <w:t xml:space="preserve">: </w:t>
      </w:r>
      <w:r>
        <w:rPr>
          <w:b/>
          <w:i/>
        </w:rPr>
        <w:t>There is a sta</w:t>
      </w:r>
      <w:r w:rsidRPr="00670B95">
        <w:rPr>
          <w:b/>
          <w:i/>
        </w:rPr>
        <w:t xml:space="preserve">tistically </w:t>
      </w:r>
      <w:r w:rsidR="003E267E">
        <w:rPr>
          <w:b/>
          <w:i/>
        </w:rPr>
        <w:t xml:space="preserve">significant </w:t>
      </w:r>
      <w:r w:rsidRPr="00670B95">
        <w:rPr>
          <w:b/>
          <w:i/>
        </w:rPr>
        <w:t xml:space="preserve">positive relationship between Community Disclosure Quality and </w:t>
      </w:r>
      <w:r w:rsidRPr="004A27F7">
        <w:rPr>
          <w:b/>
          <w:i/>
        </w:rPr>
        <w:t xml:space="preserve">board activities and efficiency measured by </w:t>
      </w:r>
      <w:r>
        <w:rPr>
          <w:b/>
          <w:i/>
        </w:rPr>
        <w:t>the f</w:t>
      </w:r>
      <w:r w:rsidRPr="00670B95">
        <w:rPr>
          <w:b/>
          <w:i/>
        </w:rPr>
        <w:t>requency</w:t>
      </w:r>
      <w:r>
        <w:rPr>
          <w:b/>
          <w:i/>
        </w:rPr>
        <w:t xml:space="preserve"> of board meetings. </w:t>
      </w:r>
    </w:p>
    <w:p w14:paraId="1B956363" w14:textId="77777777" w:rsidR="00AE5E4B" w:rsidRDefault="00AE5E4B" w:rsidP="00670B95">
      <w:pPr>
        <w:spacing w:line="276" w:lineRule="auto"/>
        <w:jc w:val="both"/>
        <w:rPr>
          <w:b/>
          <w:i/>
        </w:rPr>
      </w:pPr>
    </w:p>
    <w:p w14:paraId="44B787F9" w14:textId="4B00C4DB" w:rsidR="00670B95" w:rsidRDefault="00050780" w:rsidP="00670B95">
      <w:pPr>
        <w:spacing w:line="276" w:lineRule="auto"/>
        <w:jc w:val="both"/>
        <w:rPr>
          <w:b/>
          <w:i/>
        </w:rPr>
      </w:pPr>
      <w:r>
        <w:rPr>
          <w:b/>
          <w:i/>
        </w:rPr>
        <w:t>H3</w:t>
      </w:r>
      <w:r w:rsidR="00AE5E4B">
        <w:rPr>
          <w:b/>
          <w:i/>
        </w:rPr>
        <w:t>a</w:t>
      </w:r>
      <w:r>
        <w:rPr>
          <w:b/>
          <w:i/>
        </w:rPr>
        <w:t>: There is a sta</w:t>
      </w:r>
      <w:r w:rsidRPr="00670B95">
        <w:rPr>
          <w:b/>
          <w:i/>
        </w:rPr>
        <w:t xml:space="preserve">tistically </w:t>
      </w:r>
      <w:r w:rsidR="003E267E">
        <w:rPr>
          <w:b/>
          <w:i/>
        </w:rPr>
        <w:t xml:space="preserve">significant </w:t>
      </w:r>
      <w:r w:rsidRPr="00670B95">
        <w:rPr>
          <w:b/>
          <w:i/>
        </w:rPr>
        <w:t xml:space="preserve">positive relationship between Community Disclosure Quality and </w:t>
      </w:r>
      <w:r>
        <w:rPr>
          <w:b/>
          <w:i/>
        </w:rPr>
        <w:t xml:space="preserve">the </w:t>
      </w:r>
      <w:r w:rsidR="00AE5E4B">
        <w:rPr>
          <w:b/>
          <w:i/>
        </w:rPr>
        <w:t>a</w:t>
      </w:r>
      <w:r>
        <w:rPr>
          <w:b/>
          <w:i/>
        </w:rPr>
        <w:t xml:space="preserve">udit committee activity measured by </w:t>
      </w:r>
      <w:r w:rsidR="00AE5E4B">
        <w:rPr>
          <w:b/>
          <w:i/>
        </w:rPr>
        <w:t>the size of the a</w:t>
      </w:r>
      <w:r w:rsidR="00670B95" w:rsidRPr="00670B95">
        <w:rPr>
          <w:b/>
          <w:i/>
        </w:rPr>
        <w:t xml:space="preserve">udit </w:t>
      </w:r>
      <w:r w:rsidR="00AE5E4B">
        <w:rPr>
          <w:b/>
          <w:i/>
        </w:rPr>
        <w:t>c</w:t>
      </w:r>
      <w:r w:rsidR="00670B95" w:rsidRPr="00670B95">
        <w:rPr>
          <w:b/>
          <w:i/>
        </w:rPr>
        <w:t>ommittee</w:t>
      </w:r>
      <w:r w:rsidR="00AE5E4B">
        <w:rPr>
          <w:b/>
          <w:i/>
        </w:rPr>
        <w:t>.</w:t>
      </w:r>
      <w:r>
        <w:rPr>
          <w:b/>
          <w:i/>
        </w:rPr>
        <w:t xml:space="preserve"> </w:t>
      </w:r>
    </w:p>
    <w:p w14:paraId="5D260155" w14:textId="77777777" w:rsidR="00050780" w:rsidRDefault="00050780" w:rsidP="00670B95">
      <w:pPr>
        <w:spacing w:line="276" w:lineRule="auto"/>
        <w:jc w:val="both"/>
        <w:rPr>
          <w:b/>
          <w:i/>
        </w:rPr>
      </w:pPr>
    </w:p>
    <w:p w14:paraId="59B5A4A0" w14:textId="778CE53D" w:rsidR="00AE5E4B" w:rsidRDefault="00AE5E4B" w:rsidP="00AE5E4B">
      <w:pPr>
        <w:spacing w:line="276" w:lineRule="auto"/>
        <w:jc w:val="both"/>
        <w:rPr>
          <w:b/>
          <w:i/>
        </w:rPr>
      </w:pPr>
      <w:r>
        <w:rPr>
          <w:b/>
          <w:i/>
        </w:rPr>
        <w:t>H3b: There is a sta</w:t>
      </w:r>
      <w:r w:rsidRPr="00670B95">
        <w:rPr>
          <w:b/>
          <w:i/>
        </w:rPr>
        <w:t xml:space="preserve">tistically </w:t>
      </w:r>
      <w:r w:rsidR="003E267E">
        <w:rPr>
          <w:b/>
          <w:i/>
        </w:rPr>
        <w:t xml:space="preserve">significant </w:t>
      </w:r>
      <w:r w:rsidRPr="00670B95">
        <w:rPr>
          <w:b/>
          <w:i/>
        </w:rPr>
        <w:t xml:space="preserve">positive relationship between Community Disclosure Quality and </w:t>
      </w:r>
      <w:r>
        <w:rPr>
          <w:b/>
          <w:i/>
        </w:rPr>
        <w:t xml:space="preserve">the audit committee activity measured by the frequency of the audit committee’s </w:t>
      </w:r>
      <w:r w:rsidRPr="00670B95">
        <w:rPr>
          <w:b/>
          <w:i/>
        </w:rPr>
        <w:t>meetin</w:t>
      </w:r>
      <w:r>
        <w:rPr>
          <w:b/>
          <w:i/>
        </w:rPr>
        <w:t xml:space="preserve">gs. </w:t>
      </w:r>
    </w:p>
    <w:p w14:paraId="7C36B473" w14:textId="77777777" w:rsidR="00AE5E4B" w:rsidRDefault="00AE5E4B" w:rsidP="00670B95">
      <w:pPr>
        <w:spacing w:line="276" w:lineRule="auto"/>
        <w:jc w:val="both"/>
        <w:rPr>
          <w:b/>
          <w:i/>
        </w:rPr>
      </w:pPr>
    </w:p>
    <w:p w14:paraId="33943A4F" w14:textId="73435F1A" w:rsidR="00050780" w:rsidRDefault="00050780" w:rsidP="00050780">
      <w:pPr>
        <w:spacing w:line="276" w:lineRule="auto"/>
        <w:jc w:val="both"/>
        <w:rPr>
          <w:b/>
          <w:i/>
        </w:rPr>
      </w:pPr>
      <w:r>
        <w:rPr>
          <w:b/>
          <w:i/>
        </w:rPr>
        <w:lastRenderedPageBreak/>
        <w:t>H4: There is a sta</w:t>
      </w:r>
      <w:r w:rsidRPr="00670B95">
        <w:rPr>
          <w:b/>
          <w:i/>
        </w:rPr>
        <w:t>tistically</w:t>
      </w:r>
      <w:r w:rsidR="003E267E">
        <w:rPr>
          <w:b/>
          <w:i/>
        </w:rPr>
        <w:t xml:space="preserve"> significant</w:t>
      </w:r>
      <w:r w:rsidRPr="00670B95">
        <w:rPr>
          <w:b/>
          <w:i/>
        </w:rPr>
        <w:t xml:space="preserve"> positive relationship between Community Disclosure Quality and </w:t>
      </w:r>
      <w:r>
        <w:rPr>
          <w:b/>
          <w:i/>
        </w:rPr>
        <w:t xml:space="preserve">the existence of other board standings committees measured by the presence of a </w:t>
      </w:r>
      <w:r w:rsidRPr="00670B95">
        <w:rPr>
          <w:b/>
          <w:i/>
        </w:rPr>
        <w:t xml:space="preserve">Disclosure Committee, Risk Committee and CSR Committee. </w:t>
      </w:r>
    </w:p>
    <w:p w14:paraId="19326647" w14:textId="77777777" w:rsidR="00AE5E4B" w:rsidRDefault="00AE5E4B" w:rsidP="00C12923">
      <w:pPr>
        <w:spacing w:line="480" w:lineRule="auto"/>
        <w:jc w:val="both"/>
        <w:rPr>
          <w:b/>
          <w:i/>
        </w:rPr>
      </w:pPr>
    </w:p>
    <w:p w14:paraId="2D5749C7" w14:textId="450E7B9A" w:rsidR="008117B1" w:rsidRPr="00EF201C" w:rsidRDefault="001526CD" w:rsidP="001526CD">
      <w:pPr>
        <w:spacing w:line="480" w:lineRule="auto"/>
        <w:ind w:firstLine="567"/>
        <w:jc w:val="both"/>
        <w:rPr>
          <w:color w:val="auto"/>
          <w:lang w:val="en-US"/>
        </w:rPr>
      </w:pPr>
      <w:r w:rsidRPr="00EF201C">
        <w:rPr>
          <w:color w:val="auto"/>
          <w:lang w:val="en-US"/>
        </w:rPr>
        <w:t>As regards firm-specific characteristics, this study uses f</w:t>
      </w:r>
      <w:r w:rsidR="008117B1" w:rsidRPr="00EF201C">
        <w:rPr>
          <w:color w:val="auto"/>
          <w:lang w:val="en-US"/>
        </w:rPr>
        <w:t>our proxy variables – size, profitability, leverage level and listing age</w:t>
      </w:r>
      <w:r w:rsidRPr="00EF201C">
        <w:rPr>
          <w:color w:val="auto"/>
          <w:lang w:val="en-US"/>
        </w:rPr>
        <w:t xml:space="preserve">. </w:t>
      </w:r>
      <w:r w:rsidR="008117B1" w:rsidRPr="00EF201C">
        <w:rPr>
          <w:color w:val="auto"/>
          <w:lang w:val="en-US"/>
        </w:rPr>
        <w:t xml:space="preserve">These variables </w:t>
      </w:r>
      <w:r w:rsidR="007840DB" w:rsidRPr="00EF201C">
        <w:rPr>
          <w:color w:val="auto"/>
          <w:lang w:val="en-US"/>
        </w:rPr>
        <w:t>are</w:t>
      </w:r>
      <w:r w:rsidR="008117B1" w:rsidRPr="00EF201C">
        <w:rPr>
          <w:color w:val="auto"/>
          <w:lang w:val="en-US"/>
        </w:rPr>
        <w:t xml:space="preserve"> used extensively in the literature (see, for example, Deegan </w:t>
      </w:r>
      <w:r w:rsidR="00E66ADC">
        <w:rPr>
          <w:color w:val="auto"/>
          <w:lang w:val="en-US" w:eastAsia="en-US" w:bidi="en-US"/>
        </w:rPr>
        <w:t>and</w:t>
      </w:r>
      <w:r w:rsidR="008117B1" w:rsidRPr="00EF201C">
        <w:rPr>
          <w:color w:val="auto"/>
          <w:lang w:val="en-US"/>
        </w:rPr>
        <w:t xml:space="preserve"> Gordon, 1996; Garcia-Castro et al., 2010; Gray et al., 1995; </w:t>
      </w:r>
      <w:proofErr w:type="spellStart"/>
      <w:r w:rsidR="008117B1" w:rsidRPr="00EF201C">
        <w:rPr>
          <w:color w:val="auto"/>
          <w:lang w:val="en-US"/>
        </w:rPr>
        <w:t>Hackston</w:t>
      </w:r>
      <w:proofErr w:type="spellEnd"/>
      <w:r w:rsidR="008117B1" w:rsidRPr="00EF201C">
        <w:rPr>
          <w:color w:val="auto"/>
          <w:lang w:val="en-US"/>
        </w:rPr>
        <w:t xml:space="preserve"> </w:t>
      </w:r>
      <w:r w:rsidR="00E66ADC">
        <w:rPr>
          <w:color w:val="auto"/>
          <w:lang w:val="en-US" w:eastAsia="en-US" w:bidi="en-US"/>
        </w:rPr>
        <w:t>and</w:t>
      </w:r>
      <w:r w:rsidR="000A2423">
        <w:rPr>
          <w:color w:val="auto"/>
          <w:lang w:val="en-US"/>
        </w:rPr>
        <w:t xml:space="preserve"> Milne, 1996</w:t>
      </w:r>
      <w:r w:rsidR="008117B1" w:rsidRPr="00EF201C">
        <w:rPr>
          <w:color w:val="auto"/>
          <w:lang w:val="en-US"/>
        </w:rPr>
        <w:t xml:space="preserve">). These studies argue that larger firms are under more pressure to disclose social information, as it is expected that their activities will have a greater impact on society than smaller companies.  Their levels of operations are higher and consequently more likely to create more negative externalities. Additionally, the societal stake is higher for these companies as they have more visibility than smaller ones. We proxy firm size with the natural log of turnover and anticipate a </w:t>
      </w:r>
      <w:r w:rsidR="004A27F7">
        <w:rPr>
          <w:color w:val="auto"/>
          <w:lang w:val="en-US"/>
        </w:rPr>
        <w:t xml:space="preserve">statistically </w:t>
      </w:r>
      <w:r w:rsidR="008117B1" w:rsidRPr="00EF201C">
        <w:rPr>
          <w:color w:val="auto"/>
          <w:lang w:val="en-US"/>
        </w:rPr>
        <w:t>positive relationship between firm size and CCID.</w:t>
      </w:r>
    </w:p>
    <w:p w14:paraId="08B614BD" w14:textId="57A8A3E7" w:rsidR="008117B1" w:rsidRPr="00EF201C" w:rsidRDefault="008117B1" w:rsidP="008117B1">
      <w:pPr>
        <w:spacing w:line="480" w:lineRule="auto"/>
        <w:ind w:firstLine="720"/>
        <w:jc w:val="both"/>
        <w:rPr>
          <w:color w:val="auto"/>
          <w:lang w:val="en-US"/>
        </w:rPr>
      </w:pPr>
      <w:r w:rsidRPr="00EF201C">
        <w:rPr>
          <w:color w:val="auto"/>
          <w:lang w:val="en-US"/>
        </w:rPr>
        <w:t xml:space="preserve">Although findings on the relationship between firm performance and disclosure performance are </w:t>
      </w:r>
      <w:r w:rsidR="007840DB" w:rsidRPr="00EF201C">
        <w:rPr>
          <w:color w:val="auto"/>
          <w:lang w:val="en-US"/>
        </w:rPr>
        <w:t>inconclusive, some studies suggest a</w:t>
      </w:r>
      <w:r w:rsidRPr="00EF201C">
        <w:rPr>
          <w:color w:val="auto"/>
          <w:lang w:val="en-US"/>
        </w:rPr>
        <w:t>n association between performance and social disclosure (</w:t>
      </w:r>
      <w:proofErr w:type="spellStart"/>
      <w:r w:rsidR="007840DB" w:rsidRPr="00EF201C">
        <w:rPr>
          <w:color w:val="auto"/>
          <w:lang w:val="en-US"/>
        </w:rPr>
        <w:t>Galbreath</w:t>
      </w:r>
      <w:proofErr w:type="spellEnd"/>
      <w:r w:rsidR="007840DB" w:rsidRPr="00EF201C">
        <w:rPr>
          <w:color w:val="auto"/>
          <w:lang w:val="en-US"/>
        </w:rPr>
        <w:t xml:space="preserve"> et al., 2008; </w:t>
      </w:r>
      <w:proofErr w:type="spellStart"/>
      <w:r w:rsidRPr="00EF201C">
        <w:rPr>
          <w:color w:val="auto"/>
          <w:lang w:val="en-US"/>
        </w:rPr>
        <w:t>Haniffa</w:t>
      </w:r>
      <w:proofErr w:type="spellEnd"/>
      <w:r w:rsidRPr="00EF201C">
        <w:rPr>
          <w:color w:val="auto"/>
          <w:lang w:val="en-US"/>
        </w:rPr>
        <w:t xml:space="preserve"> </w:t>
      </w:r>
      <w:r w:rsidR="00E66ADC">
        <w:rPr>
          <w:color w:val="auto"/>
          <w:lang w:val="en-US" w:eastAsia="en-US" w:bidi="en-US"/>
        </w:rPr>
        <w:t>and</w:t>
      </w:r>
      <w:r w:rsidRPr="00EF201C">
        <w:rPr>
          <w:color w:val="auto"/>
          <w:lang w:val="en-US"/>
        </w:rPr>
        <w:t xml:space="preserve"> Cooke, 2002), though others did not (</w:t>
      </w:r>
      <w:proofErr w:type="spellStart"/>
      <w:r w:rsidR="007840DB" w:rsidRPr="00EF201C">
        <w:rPr>
          <w:color w:val="auto"/>
          <w:lang w:val="en-US"/>
        </w:rPr>
        <w:t>Hackston</w:t>
      </w:r>
      <w:proofErr w:type="spellEnd"/>
      <w:r w:rsidR="007840DB" w:rsidRPr="00EF201C">
        <w:rPr>
          <w:color w:val="auto"/>
          <w:lang w:val="en-US"/>
        </w:rPr>
        <w:t xml:space="preserve"> </w:t>
      </w:r>
      <w:r w:rsidR="00E66ADC">
        <w:rPr>
          <w:color w:val="auto"/>
          <w:lang w:val="en-US" w:eastAsia="en-US" w:bidi="en-US"/>
        </w:rPr>
        <w:t>and</w:t>
      </w:r>
      <w:r w:rsidR="007840DB" w:rsidRPr="00EF201C">
        <w:rPr>
          <w:color w:val="auto"/>
          <w:lang w:val="en-US"/>
        </w:rPr>
        <w:t xml:space="preserve"> Milne, 1996; </w:t>
      </w:r>
      <w:proofErr w:type="spellStart"/>
      <w:r w:rsidR="007840DB" w:rsidRPr="00EF201C">
        <w:rPr>
          <w:color w:val="auto"/>
          <w:lang w:val="en-US"/>
        </w:rPr>
        <w:t>Hasseldine</w:t>
      </w:r>
      <w:proofErr w:type="spellEnd"/>
      <w:r w:rsidR="007840DB" w:rsidRPr="00EF201C">
        <w:rPr>
          <w:color w:val="auto"/>
          <w:lang w:val="en-US"/>
        </w:rPr>
        <w:t xml:space="preserve"> et al., 2005; </w:t>
      </w:r>
      <w:r w:rsidRPr="00EF201C">
        <w:rPr>
          <w:color w:val="auto"/>
          <w:lang w:val="en-US"/>
        </w:rPr>
        <w:t xml:space="preserve">Ho </w:t>
      </w:r>
      <w:r w:rsidR="00E66ADC">
        <w:rPr>
          <w:color w:val="auto"/>
          <w:lang w:val="en-US" w:eastAsia="en-US" w:bidi="en-US"/>
        </w:rPr>
        <w:t>and</w:t>
      </w:r>
      <w:r w:rsidRPr="00EF201C">
        <w:rPr>
          <w:color w:val="auto"/>
          <w:lang w:val="en-US"/>
        </w:rPr>
        <w:t xml:space="preserve"> Wong, 2001). Nevertheless, this paper argues that good economic performance is a good incentive for more disclosure, as profitable companies have better stories to tell and are more able to afford the cost of disclosure. In addition, </w:t>
      </w:r>
      <w:proofErr w:type="spellStart"/>
      <w:r w:rsidRPr="00EF201C">
        <w:rPr>
          <w:color w:val="auto"/>
          <w:lang w:val="en-US"/>
        </w:rPr>
        <w:t>Hackston</w:t>
      </w:r>
      <w:proofErr w:type="spellEnd"/>
      <w:r w:rsidRPr="00EF201C">
        <w:rPr>
          <w:color w:val="auto"/>
          <w:lang w:val="en-US"/>
        </w:rPr>
        <w:t xml:space="preserve"> and Milne (1996) argue that a CSR/performance relationship could be an indication of management ability to respond to and meet social pressure. We proxy firm performance with return on equity and anticipate a </w:t>
      </w:r>
      <w:r w:rsidR="004A27F7">
        <w:rPr>
          <w:color w:val="auto"/>
          <w:lang w:val="en-US"/>
        </w:rPr>
        <w:t xml:space="preserve">statistically </w:t>
      </w:r>
      <w:r w:rsidRPr="00EF201C">
        <w:rPr>
          <w:color w:val="auto"/>
          <w:lang w:val="en-US"/>
        </w:rPr>
        <w:t xml:space="preserve">positive relationship between the proxy and CCID. </w:t>
      </w:r>
    </w:p>
    <w:p w14:paraId="0ABFF03A" w14:textId="0335E727" w:rsidR="0019159E" w:rsidRDefault="008117B1" w:rsidP="005956D3">
      <w:pPr>
        <w:spacing w:line="480" w:lineRule="auto"/>
        <w:ind w:firstLine="720"/>
        <w:jc w:val="both"/>
        <w:rPr>
          <w:b/>
        </w:rPr>
      </w:pPr>
      <w:r w:rsidRPr="00EF201C">
        <w:rPr>
          <w:color w:val="auto"/>
          <w:lang w:val="en-US"/>
        </w:rPr>
        <w:t xml:space="preserve">Similarly, </w:t>
      </w:r>
      <w:r w:rsidR="007840DB" w:rsidRPr="00EF201C">
        <w:rPr>
          <w:color w:val="auto"/>
          <w:lang w:val="en-US"/>
        </w:rPr>
        <w:t>prior</w:t>
      </w:r>
      <w:r w:rsidRPr="00EF201C">
        <w:rPr>
          <w:color w:val="auto"/>
          <w:lang w:val="en-US"/>
        </w:rPr>
        <w:t xml:space="preserve"> literature </w:t>
      </w:r>
      <w:r w:rsidR="007840DB" w:rsidRPr="00EF201C">
        <w:rPr>
          <w:color w:val="auto"/>
          <w:lang w:val="en-US"/>
        </w:rPr>
        <w:t xml:space="preserve">also </w:t>
      </w:r>
      <w:r w:rsidRPr="00EF201C">
        <w:rPr>
          <w:color w:val="auto"/>
          <w:lang w:val="en-US"/>
        </w:rPr>
        <w:t xml:space="preserve">reports conflicting results on the relationship between leverage and corporate disclosure. Some studies </w:t>
      </w:r>
      <w:r w:rsidR="007840DB" w:rsidRPr="00EF201C">
        <w:rPr>
          <w:color w:val="auto"/>
          <w:lang w:val="en-US"/>
        </w:rPr>
        <w:t xml:space="preserve">suggest </w:t>
      </w:r>
      <w:r w:rsidRPr="00EF201C">
        <w:rPr>
          <w:color w:val="auto"/>
          <w:lang w:val="en-US"/>
        </w:rPr>
        <w:t>a positive relationship (</w:t>
      </w:r>
      <w:proofErr w:type="spellStart"/>
      <w:r w:rsidR="007840DB" w:rsidRPr="00EF201C">
        <w:rPr>
          <w:color w:val="auto"/>
          <w:lang w:val="en-US"/>
        </w:rPr>
        <w:t>Galbreath</w:t>
      </w:r>
      <w:proofErr w:type="spellEnd"/>
      <w:r w:rsidR="007840DB" w:rsidRPr="00EF201C">
        <w:rPr>
          <w:color w:val="auto"/>
          <w:lang w:val="en-US"/>
        </w:rPr>
        <w:t xml:space="preserve"> et al., 2008; </w:t>
      </w:r>
      <w:proofErr w:type="spellStart"/>
      <w:r w:rsidRPr="00EF201C">
        <w:rPr>
          <w:color w:val="auto"/>
          <w:lang w:val="en-US"/>
        </w:rPr>
        <w:t>Tsamenyi</w:t>
      </w:r>
      <w:proofErr w:type="spellEnd"/>
      <w:r w:rsidRPr="00EF201C">
        <w:rPr>
          <w:color w:val="auto"/>
          <w:lang w:val="en-US"/>
        </w:rPr>
        <w:t xml:space="preserve"> et al., 2007</w:t>
      </w:r>
      <w:r w:rsidR="007840DB" w:rsidRPr="00EF201C">
        <w:rPr>
          <w:color w:val="auto"/>
          <w:lang w:val="en-US"/>
        </w:rPr>
        <w:t>), while others find</w:t>
      </w:r>
      <w:r w:rsidRPr="00EF201C">
        <w:rPr>
          <w:color w:val="auto"/>
          <w:lang w:val="en-US"/>
        </w:rPr>
        <w:t xml:space="preserve"> no statistical relationship at all (</w:t>
      </w:r>
      <w:r w:rsidR="007840DB" w:rsidRPr="00EF201C">
        <w:rPr>
          <w:color w:val="auto"/>
          <w:lang w:val="en-US"/>
        </w:rPr>
        <w:t xml:space="preserve">Garcia-Castro et al., 2010; </w:t>
      </w:r>
      <w:proofErr w:type="spellStart"/>
      <w:r w:rsidRPr="00EF201C">
        <w:rPr>
          <w:color w:val="auto"/>
          <w:lang w:val="en-US"/>
        </w:rPr>
        <w:t>Mangena</w:t>
      </w:r>
      <w:proofErr w:type="spellEnd"/>
      <w:r w:rsidRPr="00EF201C">
        <w:rPr>
          <w:color w:val="auto"/>
          <w:lang w:val="en-US"/>
        </w:rPr>
        <w:t xml:space="preserve"> </w:t>
      </w:r>
      <w:r w:rsidR="00E66ADC">
        <w:rPr>
          <w:color w:val="auto"/>
          <w:lang w:val="en-US" w:eastAsia="en-US" w:bidi="en-US"/>
        </w:rPr>
        <w:t>and</w:t>
      </w:r>
      <w:r w:rsidR="007840DB" w:rsidRPr="00EF201C">
        <w:rPr>
          <w:color w:val="auto"/>
          <w:lang w:val="en-US" w:eastAsia="en-US" w:bidi="en-US"/>
        </w:rPr>
        <w:t xml:space="preserve"> </w:t>
      </w:r>
      <w:r w:rsidRPr="00EF201C">
        <w:rPr>
          <w:color w:val="auto"/>
          <w:lang w:val="en-US"/>
        </w:rPr>
        <w:lastRenderedPageBreak/>
        <w:t xml:space="preserve">Pike, 2005). However, we anticipate a </w:t>
      </w:r>
      <w:r w:rsidR="004A27F7">
        <w:rPr>
          <w:color w:val="auto"/>
          <w:lang w:val="en-US"/>
        </w:rPr>
        <w:t xml:space="preserve">statistically </w:t>
      </w:r>
      <w:r w:rsidRPr="00EF201C">
        <w:rPr>
          <w:color w:val="auto"/>
          <w:lang w:val="en-US"/>
        </w:rPr>
        <w:t xml:space="preserve">positive relationship between leverage and CCID because highly geared companies are likely to disclose more to pacify their lenders and signal transparency in reporting.  Furthermore, the authors control for listing age because previous studies found a </w:t>
      </w:r>
      <w:r w:rsidR="004A27F7">
        <w:rPr>
          <w:color w:val="auto"/>
          <w:lang w:val="en-US"/>
        </w:rPr>
        <w:t xml:space="preserve">statistically </w:t>
      </w:r>
      <w:r w:rsidRPr="00EF201C">
        <w:rPr>
          <w:color w:val="auto"/>
          <w:lang w:val="en-US"/>
        </w:rPr>
        <w:t xml:space="preserve">significant relationship between disclosures in annual reports and the length of time a corporation has been listed on the stock exchange (Li </w:t>
      </w:r>
      <w:r w:rsidRPr="00AC5578">
        <w:rPr>
          <w:color w:val="auto"/>
          <w:lang w:val="en-US"/>
        </w:rPr>
        <w:t>et al</w:t>
      </w:r>
      <w:r w:rsidRPr="00EF201C">
        <w:rPr>
          <w:color w:val="auto"/>
          <w:lang w:val="en-US"/>
        </w:rPr>
        <w:t>., 2008).  However, an earlier study (</w:t>
      </w:r>
      <w:proofErr w:type="spellStart"/>
      <w:r w:rsidRPr="00EF201C">
        <w:rPr>
          <w:color w:val="auto"/>
          <w:lang w:val="en-US"/>
        </w:rPr>
        <w:t>Haniffa</w:t>
      </w:r>
      <w:proofErr w:type="spellEnd"/>
      <w:r w:rsidRPr="00EF201C">
        <w:rPr>
          <w:color w:val="auto"/>
          <w:lang w:val="en-US"/>
        </w:rPr>
        <w:t xml:space="preserve"> and Cooke, 2002) found no significant relationship between disclosures and listing age. Nevertheless, this paper argues that the age of a corporation may influence its interaction and involvement with its community of operation</w:t>
      </w:r>
      <w:r w:rsidR="00350DF5" w:rsidRPr="00EF201C">
        <w:rPr>
          <w:color w:val="auto"/>
          <w:lang w:val="en-US"/>
        </w:rPr>
        <w:t>. W</w:t>
      </w:r>
      <w:r w:rsidRPr="00EF201C">
        <w:rPr>
          <w:color w:val="auto"/>
          <w:lang w:val="en-US"/>
        </w:rPr>
        <w:t xml:space="preserve">e therefore control for this variable and anticipate a </w:t>
      </w:r>
      <w:r w:rsidR="004A27F7">
        <w:rPr>
          <w:color w:val="auto"/>
          <w:lang w:val="en-US"/>
        </w:rPr>
        <w:t xml:space="preserve">statistically </w:t>
      </w:r>
      <w:r w:rsidRPr="00EF201C">
        <w:rPr>
          <w:color w:val="auto"/>
          <w:lang w:val="en-US"/>
        </w:rPr>
        <w:t>positive relationship between listing age and CCID because older companies are more likely to take corporate social disclosure seriously and are more likely to have the mechanisms and system in place to foster this compared to younger companies.</w:t>
      </w:r>
      <w:r w:rsidR="00BA3981">
        <w:rPr>
          <w:color w:val="auto"/>
          <w:lang w:val="en-US"/>
        </w:rPr>
        <w:t xml:space="preserve"> Accordingly </w:t>
      </w:r>
      <w:r w:rsidR="00BA3981" w:rsidRPr="006D3272">
        <w:t>the hypothes</w:t>
      </w:r>
      <w:r w:rsidR="004A27F7">
        <w:t>i</w:t>
      </w:r>
      <w:r w:rsidR="00BA3981" w:rsidRPr="006D3272">
        <w:t xml:space="preserve">s for these firm specific characteristics </w:t>
      </w:r>
      <w:r w:rsidR="004A27F7">
        <w:t xml:space="preserve">is </w:t>
      </w:r>
      <w:r w:rsidR="00BA3981" w:rsidRPr="006D3272">
        <w:t>stated in null form below</w:t>
      </w:r>
      <w:r w:rsidR="00BA3981" w:rsidRPr="006D3272">
        <w:rPr>
          <w:b/>
        </w:rPr>
        <w:t>:</w:t>
      </w:r>
    </w:p>
    <w:p w14:paraId="51CE059C" w14:textId="7AA451B7" w:rsidR="0019159E" w:rsidRPr="006D3272" w:rsidRDefault="0019159E" w:rsidP="0019159E">
      <w:pPr>
        <w:spacing w:line="276" w:lineRule="auto"/>
        <w:jc w:val="both"/>
      </w:pPr>
      <w:r w:rsidRPr="006D3272">
        <w:rPr>
          <w:b/>
        </w:rPr>
        <w:t>H</w:t>
      </w:r>
      <w:r w:rsidR="00050780">
        <w:rPr>
          <w:b/>
        </w:rPr>
        <w:t>5</w:t>
      </w:r>
      <w:r w:rsidRPr="006D3272">
        <w:rPr>
          <w:b/>
        </w:rPr>
        <w:t>:</w:t>
      </w:r>
      <w:r w:rsidRPr="006D3272">
        <w:rPr>
          <w:b/>
          <w:i/>
        </w:rPr>
        <w:t xml:space="preserve"> </w:t>
      </w:r>
      <w:r w:rsidR="00050780">
        <w:rPr>
          <w:b/>
          <w:i/>
        </w:rPr>
        <w:t xml:space="preserve">There is a </w:t>
      </w:r>
      <w:r w:rsidR="00BA3981" w:rsidRPr="00670B95">
        <w:rPr>
          <w:b/>
          <w:i/>
        </w:rPr>
        <w:t xml:space="preserve">statistically </w:t>
      </w:r>
      <w:r w:rsidR="003E267E">
        <w:rPr>
          <w:b/>
          <w:i/>
        </w:rPr>
        <w:t xml:space="preserve">significant </w:t>
      </w:r>
      <w:r w:rsidR="00BA3981" w:rsidRPr="00670B95">
        <w:rPr>
          <w:b/>
          <w:i/>
        </w:rPr>
        <w:t xml:space="preserve">positive </w:t>
      </w:r>
      <w:r w:rsidRPr="006D3272">
        <w:rPr>
          <w:b/>
          <w:i/>
        </w:rPr>
        <w:t xml:space="preserve">relationship between </w:t>
      </w:r>
      <w:r>
        <w:rPr>
          <w:b/>
          <w:i/>
        </w:rPr>
        <w:t xml:space="preserve">Community Disclosure Quality </w:t>
      </w:r>
      <w:r w:rsidRPr="006D3272">
        <w:rPr>
          <w:b/>
          <w:i/>
        </w:rPr>
        <w:t>and firm</w:t>
      </w:r>
      <w:r w:rsidR="00050780">
        <w:rPr>
          <w:b/>
          <w:i/>
        </w:rPr>
        <w:t>-</w:t>
      </w:r>
      <w:r w:rsidRPr="006D3272">
        <w:rPr>
          <w:b/>
          <w:i/>
        </w:rPr>
        <w:t xml:space="preserve">specific characteristics measured by the </w:t>
      </w:r>
      <w:r w:rsidR="00050780">
        <w:rPr>
          <w:b/>
          <w:i/>
        </w:rPr>
        <w:t xml:space="preserve">companies’ </w:t>
      </w:r>
      <w:r>
        <w:rPr>
          <w:b/>
          <w:i/>
        </w:rPr>
        <w:t>S</w:t>
      </w:r>
      <w:r w:rsidRPr="006D3272">
        <w:rPr>
          <w:b/>
          <w:i/>
        </w:rPr>
        <w:t xml:space="preserve">ize, </w:t>
      </w:r>
      <w:r>
        <w:rPr>
          <w:b/>
          <w:i/>
        </w:rPr>
        <w:t>P</w:t>
      </w:r>
      <w:r w:rsidRPr="006D3272">
        <w:rPr>
          <w:b/>
          <w:i/>
        </w:rPr>
        <w:t>rofitability</w:t>
      </w:r>
      <w:r w:rsidR="004A27F7">
        <w:rPr>
          <w:b/>
          <w:i/>
        </w:rPr>
        <w:t>,</w:t>
      </w:r>
      <w:r w:rsidRPr="006D3272">
        <w:rPr>
          <w:b/>
          <w:i/>
        </w:rPr>
        <w:t xml:space="preserve"> </w:t>
      </w:r>
      <w:r w:rsidR="004A27F7">
        <w:rPr>
          <w:b/>
          <w:i/>
        </w:rPr>
        <w:t>L</w:t>
      </w:r>
      <w:r w:rsidR="004A27F7" w:rsidRPr="006D3272">
        <w:rPr>
          <w:b/>
          <w:i/>
        </w:rPr>
        <w:t>everage</w:t>
      </w:r>
      <w:r w:rsidR="004A27F7" w:rsidRPr="006D3272">
        <w:rPr>
          <w:i/>
        </w:rPr>
        <w:t xml:space="preserve"> </w:t>
      </w:r>
      <w:r w:rsidR="004A27F7">
        <w:rPr>
          <w:i/>
        </w:rPr>
        <w:t>L</w:t>
      </w:r>
      <w:r w:rsidR="004A27F7" w:rsidRPr="006D3272">
        <w:rPr>
          <w:b/>
          <w:i/>
        </w:rPr>
        <w:t xml:space="preserve">evel </w:t>
      </w:r>
      <w:r w:rsidRPr="006D3272">
        <w:rPr>
          <w:b/>
          <w:i/>
        </w:rPr>
        <w:t xml:space="preserve">and </w:t>
      </w:r>
      <w:r>
        <w:rPr>
          <w:b/>
          <w:i/>
        </w:rPr>
        <w:t>L</w:t>
      </w:r>
      <w:r w:rsidRPr="006D3272">
        <w:rPr>
          <w:b/>
          <w:i/>
        </w:rPr>
        <w:t xml:space="preserve">isting </w:t>
      </w:r>
      <w:r>
        <w:rPr>
          <w:b/>
          <w:i/>
        </w:rPr>
        <w:t>A</w:t>
      </w:r>
      <w:r w:rsidRPr="006D3272">
        <w:rPr>
          <w:b/>
          <w:i/>
        </w:rPr>
        <w:t>ge.</w:t>
      </w:r>
    </w:p>
    <w:p w14:paraId="006F8856" w14:textId="1D3B0CD1" w:rsidR="0019159E" w:rsidRPr="00EF201C" w:rsidRDefault="0019159E" w:rsidP="004A27F7">
      <w:pPr>
        <w:spacing w:line="480" w:lineRule="auto"/>
        <w:jc w:val="both"/>
        <w:rPr>
          <w:color w:val="auto"/>
          <w:lang w:val="en-US"/>
        </w:rPr>
      </w:pPr>
    </w:p>
    <w:p w14:paraId="4393BC0A" w14:textId="177241C2" w:rsidR="001526CD" w:rsidRDefault="001526CD" w:rsidP="00223808">
      <w:pPr>
        <w:spacing w:line="480" w:lineRule="auto"/>
        <w:jc w:val="both"/>
        <w:rPr>
          <w:lang w:eastAsia="en-GB"/>
        </w:rPr>
      </w:pPr>
      <w:r w:rsidRPr="00EF201C">
        <w:rPr>
          <w:lang w:eastAsia="en-GB"/>
        </w:rPr>
        <w:t xml:space="preserve">Based on the above arguments, our </w:t>
      </w:r>
      <w:r w:rsidR="00223808" w:rsidRPr="00EF201C">
        <w:rPr>
          <w:color w:val="auto"/>
          <w:lang w:val="en-US"/>
        </w:rPr>
        <w:t>RE regression model</w:t>
      </w:r>
      <w:r w:rsidRPr="00EF201C">
        <w:rPr>
          <w:lang w:eastAsia="en-GB"/>
        </w:rPr>
        <w:t xml:space="preserve"> is algebraically formulated as: </w:t>
      </w:r>
    </w:p>
    <w:p w14:paraId="3308628F" w14:textId="77777777" w:rsidR="003E267E" w:rsidRDefault="003E267E" w:rsidP="00223808">
      <w:pPr>
        <w:spacing w:line="480" w:lineRule="auto"/>
        <w:jc w:val="both"/>
        <w:rPr>
          <w:lang w:eastAsia="en-GB"/>
        </w:rPr>
      </w:pPr>
    </w:p>
    <w:p w14:paraId="50A1A17C" w14:textId="6C339358" w:rsidR="00BB368D" w:rsidRDefault="00BB368D" w:rsidP="00FD745C">
      <w:pPr>
        <w:spacing w:line="276" w:lineRule="auto"/>
        <w:rPr>
          <w:rFonts w:ascii="Cambria Math" w:hAnsi="Cambria Math"/>
          <w:lang w:eastAsia="en-GB"/>
        </w:rPr>
      </w:pPr>
      <w:proofErr w:type="spellStart"/>
      <w:r w:rsidRPr="00BB368D">
        <w:rPr>
          <w:rFonts w:ascii="Cambria Math" w:hAnsi="Cambria Math"/>
          <w:b/>
          <w:i/>
          <w:lang w:eastAsia="en-GB"/>
        </w:rPr>
        <w:t>CCIDQ</w:t>
      </w:r>
      <w:r w:rsidRPr="002050E9">
        <w:rPr>
          <w:rFonts w:ascii="Cambria Math" w:hAnsi="Cambria Math"/>
          <w:vertAlign w:val="subscript"/>
          <w:lang w:eastAsia="en-GB"/>
        </w:rPr>
        <w:t>it</w:t>
      </w:r>
      <w:proofErr w:type="spellEnd"/>
      <w:r w:rsidRPr="002050E9">
        <w:rPr>
          <w:rFonts w:ascii="Cambria Math" w:hAnsi="Cambria Math"/>
          <w:lang w:eastAsia="en-GB"/>
        </w:rPr>
        <w:t xml:space="preserve"> </w:t>
      </w:r>
      <w:r>
        <w:rPr>
          <w:rFonts w:ascii="Cambria Math" w:hAnsi="Cambria Math"/>
          <w:lang w:eastAsia="en-GB"/>
        </w:rPr>
        <w:t>=</w:t>
      </w:r>
      <w:r w:rsidRPr="002050E9">
        <w:rPr>
          <w:rFonts w:ascii="Cambria Math" w:hAnsi="Cambria Math"/>
          <w:lang w:eastAsia="en-GB"/>
        </w:rPr>
        <w:t xml:space="preserve"> </w:t>
      </w:r>
      <w:r>
        <w:rPr>
          <w:rFonts w:ascii="Cambria Math" w:hAnsi="Cambria Math"/>
          <w:lang w:eastAsia="en-GB"/>
        </w:rPr>
        <w:t>α</w:t>
      </w:r>
      <w:r w:rsidR="00CB0103">
        <w:rPr>
          <w:rFonts w:ascii="Cambria Math" w:hAnsi="Cambria Math"/>
          <w:lang w:eastAsia="en-GB"/>
        </w:rPr>
        <w:t>₀</w:t>
      </w:r>
      <w:r w:rsidR="00DB615D" w:rsidRPr="002050E9">
        <w:rPr>
          <w:rFonts w:ascii="Cambria Math" w:hAnsi="Cambria Math"/>
          <w:lang w:eastAsia="en-GB"/>
        </w:rPr>
        <w:t xml:space="preserve"> + β</w:t>
      </w:r>
      <w:r w:rsidR="00CB0103">
        <w:rPr>
          <w:rFonts w:ascii="Cambria Math" w:hAnsi="Cambria Math"/>
          <w:lang w:eastAsia="en-GB"/>
        </w:rPr>
        <w:t>₁</w:t>
      </w:r>
      <w:proofErr w:type="spellStart"/>
      <w:r w:rsidR="00DB615D" w:rsidRPr="002050E9">
        <w:rPr>
          <w:rFonts w:ascii="Cambria Math" w:hAnsi="Cambria Math"/>
          <w:lang w:eastAsia="en-GB"/>
        </w:rPr>
        <w:t>NEDs</w:t>
      </w:r>
      <w:r w:rsidR="00DB615D" w:rsidRPr="00FD745C">
        <w:rPr>
          <w:rFonts w:ascii="Cambria Math" w:hAnsi="Cambria Math"/>
          <w:vertAlign w:val="subscript"/>
          <w:lang w:eastAsia="en-GB"/>
        </w:rPr>
        <w:t>it</w:t>
      </w:r>
      <w:proofErr w:type="spellEnd"/>
      <w:r w:rsidR="00DB615D" w:rsidRPr="002050E9">
        <w:rPr>
          <w:rFonts w:ascii="Cambria Math" w:hAnsi="Cambria Math"/>
          <w:lang w:eastAsia="en-GB"/>
        </w:rPr>
        <w:t xml:space="preserve"> + β</w:t>
      </w:r>
      <w:r w:rsidR="00FD745C">
        <w:rPr>
          <w:rFonts w:ascii="Cambria Math" w:hAnsi="Cambria Math"/>
          <w:lang w:eastAsia="en-GB"/>
        </w:rPr>
        <w:t>₂</w:t>
      </w:r>
      <w:proofErr w:type="spellStart"/>
      <w:r w:rsidR="00DB615D" w:rsidRPr="002050E9">
        <w:rPr>
          <w:rFonts w:ascii="Cambria Math" w:hAnsi="Cambria Math"/>
          <w:lang w:eastAsia="en-GB"/>
        </w:rPr>
        <w:t>BoardSize</w:t>
      </w:r>
      <w:r w:rsidR="002050E9" w:rsidRPr="002050E9">
        <w:rPr>
          <w:rFonts w:ascii="Cambria Math" w:hAnsi="Cambria Math"/>
          <w:vertAlign w:val="subscript"/>
          <w:lang w:eastAsia="en-GB"/>
        </w:rPr>
        <w:t>it</w:t>
      </w:r>
      <w:proofErr w:type="spellEnd"/>
      <w:r w:rsidR="00DB615D" w:rsidRPr="002050E9">
        <w:rPr>
          <w:rFonts w:ascii="Cambria Math" w:hAnsi="Cambria Math"/>
          <w:lang w:eastAsia="en-GB"/>
        </w:rPr>
        <w:t xml:space="preserve"> + </w:t>
      </w:r>
      <w:r w:rsidR="002050E9" w:rsidRPr="002050E9">
        <w:rPr>
          <w:rFonts w:ascii="Cambria Math" w:hAnsi="Cambria Math"/>
          <w:lang w:eastAsia="en-GB"/>
        </w:rPr>
        <w:t>β</w:t>
      </w:r>
      <w:r w:rsidR="00FD745C">
        <w:rPr>
          <w:rFonts w:ascii="Cambria Math" w:hAnsi="Cambria Math"/>
          <w:lang w:eastAsia="en-GB"/>
        </w:rPr>
        <w:t>₃</w:t>
      </w:r>
      <w:proofErr w:type="spellStart"/>
      <w:r w:rsidR="00DB615D" w:rsidRPr="002050E9">
        <w:rPr>
          <w:rFonts w:ascii="Cambria Math" w:hAnsi="Cambria Math"/>
          <w:lang w:eastAsia="en-GB"/>
        </w:rPr>
        <w:t>BoardMeeting</w:t>
      </w:r>
      <w:r w:rsidR="002050E9" w:rsidRPr="002050E9">
        <w:rPr>
          <w:rFonts w:ascii="Cambria Math" w:hAnsi="Cambria Math"/>
          <w:vertAlign w:val="subscript"/>
          <w:lang w:eastAsia="en-GB"/>
        </w:rPr>
        <w:t>it</w:t>
      </w:r>
      <w:proofErr w:type="spellEnd"/>
      <w:r w:rsidR="00DB615D" w:rsidRPr="002050E9">
        <w:rPr>
          <w:rFonts w:ascii="Cambria Math" w:hAnsi="Cambria Math"/>
          <w:lang w:eastAsia="en-GB"/>
        </w:rPr>
        <w:t xml:space="preserve"> + </w:t>
      </w:r>
      <w:r w:rsidR="002050E9" w:rsidRPr="002050E9">
        <w:rPr>
          <w:rFonts w:ascii="Cambria Math" w:hAnsi="Cambria Math"/>
          <w:lang w:eastAsia="en-GB"/>
        </w:rPr>
        <w:t>β</w:t>
      </w:r>
      <w:r w:rsidR="00FD745C">
        <w:rPr>
          <w:rFonts w:ascii="Cambria Math" w:hAnsi="Cambria Math"/>
          <w:lang w:eastAsia="en-GB"/>
        </w:rPr>
        <w:t>₄</w:t>
      </w:r>
      <w:proofErr w:type="spellStart"/>
      <w:r w:rsidR="002050E9" w:rsidRPr="002050E9">
        <w:rPr>
          <w:rFonts w:ascii="Cambria Math" w:hAnsi="Cambria Math"/>
          <w:lang w:eastAsia="en-GB"/>
        </w:rPr>
        <w:t>AuditMeeting</w:t>
      </w:r>
      <w:r w:rsidR="002050E9" w:rsidRPr="002050E9">
        <w:rPr>
          <w:rFonts w:ascii="Cambria Math" w:hAnsi="Cambria Math"/>
          <w:vertAlign w:val="subscript"/>
          <w:lang w:eastAsia="en-GB"/>
        </w:rPr>
        <w:t>it</w:t>
      </w:r>
      <w:proofErr w:type="spellEnd"/>
      <w:r w:rsidR="002050E9" w:rsidRPr="002050E9">
        <w:rPr>
          <w:rFonts w:ascii="Cambria Math" w:hAnsi="Cambria Math"/>
          <w:lang w:eastAsia="en-GB"/>
        </w:rPr>
        <w:t xml:space="preserve"> + </w:t>
      </w:r>
    </w:p>
    <w:p w14:paraId="000A3139" w14:textId="1084CA4A" w:rsidR="00CB0103" w:rsidRDefault="00BB368D" w:rsidP="00FD745C">
      <w:pPr>
        <w:spacing w:line="276" w:lineRule="auto"/>
        <w:rPr>
          <w:rFonts w:ascii="Cambria Math" w:hAnsi="Cambria Math"/>
          <w:lang w:eastAsia="en-GB"/>
        </w:rPr>
      </w:pPr>
      <w:r>
        <w:rPr>
          <w:rFonts w:ascii="Cambria Math" w:hAnsi="Cambria Math"/>
          <w:lang w:eastAsia="en-GB"/>
        </w:rPr>
        <w:t xml:space="preserve">               </w:t>
      </w:r>
      <w:r w:rsidR="00CB0103">
        <w:rPr>
          <w:rFonts w:ascii="Cambria Math" w:hAnsi="Cambria Math"/>
          <w:lang w:eastAsia="en-GB"/>
        </w:rPr>
        <w:t xml:space="preserve">     </w:t>
      </w:r>
      <w:r w:rsidR="002050E9" w:rsidRPr="002050E9">
        <w:rPr>
          <w:rFonts w:ascii="Cambria Math" w:hAnsi="Cambria Math"/>
          <w:lang w:eastAsia="en-GB"/>
        </w:rPr>
        <w:t>β</w:t>
      </w:r>
      <w:r w:rsidR="00FD745C">
        <w:rPr>
          <w:rFonts w:ascii="Cambria Math" w:hAnsi="Cambria Math"/>
          <w:lang w:eastAsia="en-GB"/>
        </w:rPr>
        <w:t>₅</w:t>
      </w:r>
      <w:proofErr w:type="spellStart"/>
      <w:r w:rsidR="002050E9" w:rsidRPr="002050E9">
        <w:rPr>
          <w:rFonts w:ascii="Cambria Math" w:hAnsi="Cambria Math"/>
          <w:lang w:eastAsia="en-GB"/>
        </w:rPr>
        <w:t>AuditSize</w:t>
      </w:r>
      <w:r w:rsidR="002050E9" w:rsidRPr="002050E9">
        <w:rPr>
          <w:rFonts w:ascii="Cambria Math" w:hAnsi="Cambria Math"/>
          <w:vertAlign w:val="subscript"/>
          <w:lang w:eastAsia="en-GB"/>
        </w:rPr>
        <w:t>it</w:t>
      </w:r>
      <w:proofErr w:type="spellEnd"/>
      <w:r w:rsidR="002050E9" w:rsidRPr="002050E9">
        <w:rPr>
          <w:rFonts w:ascii="Cambria Math" w:hAnsi="Cambria Math"/>
          <w:lang w:eastAsia="en-GB"/>
        </w:rPr>
        <w:t xml:space="preserve"> + β</w:t>
      </w:r>
      <w:r w:rsidR="00FD745C">
        <w:rPr>
          <w:rFonts w:ascii="Cambria Math" w:hAnsi="Cambria Math"/>
          <w:lang w:eastAsia="en-GB"/>
        </w:rPr>
        <w:t>₆</w:t>
      </w:r>
      <w:proofErr w:type="spellStart"/>
      <w:r w:rsidR="002050E9" w:rsidRPr="002050E9">
        <w:rPr>
          <w:rFonts w:ascii="Cambria Math" w:hAnsi="Cambria Math"/>
          <w:lang w:eastAsia="en-GB"/>
        </w:rPr>
        <w:t>CSRCommittee</w:t>
      </w:r>
      <w:r w:rsidR="002050E9" w:rsidRPr="002050E9">
        <w:rPr>
          <w:rFonts w:ascii="Cambria Math" w:hAnsi="Cambria Math"/>
          <w:vertAlign w:val="subscript"/>
          <w:lang w:eastAsia="en-GB"/>
        </w:rPr>
        <w:t>it</w:t>
      </w:r>
      <w:proofErr w:type="spellEnd"/>
      <w:r w:rsidR="002050E9" w:rsidRPr="002050E9">
        <w:rPr>
          <w:rFonts w:ascii="Cambria Math" w:hAnsi="Cambria Math"/>
          <w:lang w:eastAsia="en-GB"/>
        </w:rPr>
        <w:t xml:space="preserve"> + β</w:t>
      </w:r>
      <w:r w:rsidR="00FD745C">
        <w:rPr>
          <w:rFonts w:ascii="Cambria Math" w:hAnsi="Cambria Math"/>
          <w:lang w:eastAsia="en-GB"/>
        </w:rPr>
        <w:t>₇</w:t>
      </w:r>
      <w:proofErr w:type="spellStart"/>
      <w:r w:rsidR="002050E9" w:rsidRPr="002050E9">
        <w:rPr>
          <w:rFonts w:ascii="Cambria Math" w:hAnsi="Cambria Math"/>
          <w:lang w:eastAsia="en-GB"/>
        </w:rPr>
        <w:t>DisclosureCommittee</w:t>
      </w:r>
      <w:r w:rsidR="002050E9" w:rsidRPr="002050E9">
        <w:rPr>
          <w:rFonts w:ascii="Cambria Math" w:hAnsi="Cambria Math"/>
          <w:vertAlign w:val="subscript"/>
          <w:lang w:eastAsia="en-GB"/>
        </w:rPr>
        <w:t>it</w:t>
      </w:r>
      <w:proofErr w:type="spellEnd"/>
      <w:r w:rsidR="002050E9" w:rsidRPr="002050E9">
        <w:rPr>
          <w:rFonts w:ascii="Cambria Math" w:hAnsi="Cambria Math"/>
          <w:lang w:eastAsia="en-GB"/>
        </w:rPr>
        <w:t xml:space="preserve"> + </w:t>
      </w:r>
    </w:p>
    <w:p w14:paraId="77923D91" w14:textId="6590892C" w:rsidR="00CB0103" w:rsidRDefault="00CB0103" w:rsidP="00FD745C">
      <w:pPr>
        <w:spacing w:line="276" w:lineRule="auto"/>
        <w:rPr>
          <w:rFonts w:ascii="Cambria Math" w:hAnsi="Cambria Math"/>
          <w:lang w:eastAsia="en-GB"/>
        </w:rPr>
      </w:pPr>
      <w:r>
        <w:rPr>
          <w:rFonts w:ascii="Cambria Math" w:hAnsi="Cambria Math"/>
          <w:lang w:eastAsia="en-GB"/>
        </w:rPr>
        <w:t xml:space="preserve">                    </w:t>
      </w:r>
      <w:r w:rsidR="002050E9" w:rsidRPr="002050E9">
        <w:rPr>
          <w:rFonts w:ascii="Cambria Math" w:hAnsi="Cambria Math"/>
          <w:lang w:eastAsia="en-GB"/>
        </w:rPr>
        <w:t>β</w:t>
      </w:r>
      <w:r w:rsidR="00FD745C">
        <w:rPr>
          <w:rFonts w:ascii="Cambria Math" w:hAnsi="Cambria Math"/>
          <w:lang w:eastAsia="en-GB"/>
        </w:rPr>
        <w:t>₈</w:t>
      </w:r>
      <w:proofErr w:type="spellStart"/>
      <w:r w:rsidR="002050E9" w:rsidRPr="002050E9">
        <w:rPr>
          <w:rFonts w:ascii="Cambria Math" w:hAnsi="Cambria Math"/>
          <w:lang w:eastAsia="en-GB"/>
        </w:rPr>
        <w:t>RiskCommittee</w:t>
      </w:r>
      <w:r w:rsidR="002050E9" w:rsidRPr="002050E9">
        <w:rPr>
          <w:rFonts w:ascii="Cambria Math" w:hAnsi="Cambria Math"/>
          <w:vertAlign w:val="subscript"/>
          <w:lang w:eastAsia="en-GB"/>
        </w:rPr>
        <w:t>it</w:t>
      </w:r>
      <w:proofErr w:type="spellEnd"/>
      <w:r w:rsidR="002050E9" w:rsidRPr="002050E9">
        <w:rPr>
          <w:rFonts w:ascii="Cambria Math" w:hAnsi="Cambria Math"/>
          <w:lang w:eastAsia="en-GB"/>
        </w:rPr>
        <w:t xml:space="preserve"> + β</w:t>
      </w:r>
      <w:r w:rsidR="00FD745C">
        <w:rPr>
          <w:rFonts w:ascii="Cambria Math" w:hAnsi="Cambria Math"/>
          <w:lang w:eastAsia="en-GB"/>
        </w:rPr>
        <w:t>₉</w:t>
      </w:r>
      <w:proofErr w:type="spellStart"/>
      <w:r w:rsidR="002050E9" w:rsidRPr="002050E9">
        <w:rPr>
          <w:rFonts w:ascii="Cambria Math" w:hAnsi="Cambria Math"/>
          <w:lang w:eastAsia="en-GB"/>
        </w:rPr>
        <w:t>LnTurnover</w:t>
      </w:r>
      <w:r w:rsidR="002050E9" w:rsidRPr="002050E9">
        <w:rPr>
          <w:rFonts w:ascii="Cambria Math" w:hAnsi="Cambria Math"/>
          <w:vertAlign w:val="subscript"/>
          <w:lang w:eastAsia="en-GB"/>
        </w:rPr>
        <w:t>it</w:t>
      </w:r>
      <w:proofErr w:type="spellEnd"/>
      <w:r w:rsidR="002050E9" w:rsidRPr="002050E9">
        <w:rPr>
          <w:rFonts w:ascii="Cambria Math" w:hAnsi="Cambria Math"/>
          <w:lang w:eastAsia="en-GB"/>
        </w:rPr>
        <w:t xml:space="preserve"> + β</w:t>
      </w:r>
      <w:r w:rsidR="00FD745C">
        <w:rPr>
          <w:rFonts w:ascii="Cambria Math" w:hAnsi="Cambria Math"/>
          <w:lang w:eastAsia="en-GB"/>
        </w:rPr>
        <w:t>₁₀</w:t>
      </w:r>
      <w:r w:rsidR="002050E9" w:rsidRPr="002050E9">
        <w:rPr>
          <w:rFonts w:ascii="Cambria Math" w:hAnsi="Cambria Math"/>
          <w:lang w:eastAsia="en-GB"/>
        </w:rPr>
        <w:t>ROE + β</w:t>
      </w:r>
      <w:r w:rsidR="00FD745C">
        <w:rPr>
          <w:rFonts w:ascii="Cambria Math" w:hAnsi="Cambria Math"/>
          <w:lang w:eastAsia="en-GB"/>
        </w:rPr>
        <w:t>₁₁</w:t>
      </w:r>
      <w:proofErr w:type="spellStart"/>
      <w:r w:rsidR="002050E9" w:rsidRPr="002050E9">
        <w:rPr>
          <w:rFonts w:ascii="Cambria Math" w:hAnsi="Cambria Math"/>
          <w:lang w:eastAsia="en-GB"/>
        </w:rPr>
        <w:t>Leverage</w:t>
      </w:r>
      <w:r w:rsidR="002050E9" w:rsidRPr="002050E9">
        <w:rPr>
          <w:rFonts w:ascii="Cambria Math" w:hAnsi="Cambria Math"/>
          <w:vertAlign w:val="subscript"/>
          <w:lang w:eastAsia="en-GB"/>
        </w:rPr>
        <w:t>it</w:t>
      </w:r>
      <w:proofErr w:type="spellEnd"/>
      <w:r w:rsidR="00BB368D">
        <w:rPr>
          <w:rFonts w:ascii="Cambria Math" w:hAnsi="Cambria Math"/>
          <w:lang w:eastAsia="en-GB"/>
        </w:rPr>
        <w:t xml:space="preserve"> +</w:t>
      </w:r>
    </w:p>
    <w:p w14:paraId="50BEBAEF" w14:textId="06D6FC59" w:rsidR="00DB615D" w:rsidRPr="002050E9" w:rsidRDefault="00CB0103" w:rsidP="00FD745C">
      <w:pPr>
        <w:spacing w:line="276" w:lineRule="auto"/>
        <w:rPr>
          <w:rFonts w:ascii="Cambria Math" w:hAnsi="Cambria Math"/>
          <w:lang w:eastAsia="en-GB"/>
        </w:rPr>
      </w:pPr>
      <w:r>
        <w:rPr>
          <w:rFonts w:ascii="Cambria Math" w:hAnsi="Cambria Math"/>
          <w:lang w:eastAsia="en-GB"/>
        </w:rPr>
        <w:t xml:space="preserve">                    </w:t>
      </w:r>
      <w:r w:rsidR="002050E9" w:rsidRPr="002050E9">
        <w:rPr>
          <w:rFonts w:ascii="Cambria Math" w:hAnsi="Cambria Math"/>
          <w:lang w:eastAsia="en-GB"/>
        </w:rPr>
        <w:t>β</w:t>
      </w:r>
      <w:r w:rsidR="00FD745C">
        <w:rPr>
          <w:rFonts w:ascii="Cambria Math" w:hAnsi="Cambria Math"/>
          <w:lang w:eastAsia="en-GB"/>
        </w:rPr>
        <w:t>₁₂</w:t>
      </w:r>
      <w:proofErr w:type="spellStart"/>
      <w:r w:rsidR="002050E9" w:rsidRPr="002050E9">
        <w:rPr>
          <w:rFonts w:ascii="Cambria Math" w:hAnsi="Cambria Math"/>
          <w:lang w:eastAsia="en-GB"/>
        </w:rPr>
        <w:t>Age</w:t>
      </w:r>
      <w:r w:rsidR="002050E9" w:rsidRPr="002050E9">
        <w:rPr>
          <w:rFonts w:ascii="Cambria Math" w:hAnsi="Cambria Math"/>
          <w:vertAlign w:val="subscript"/>
          <w:lang w:eastAsia="en-GB"/>
        </w:rPr>
        <w:t>it</w:t>
      </w:r>
      <w:proofErr w:type="spellEnd"/>
      <w:r w:rsidR="002050E9" w:rsidRPr="002050E9">
        <w:rPr>
          <w:rFonts w:ascii="Cambria Math" w:hAnsi="Cambria Math"/>
          <w:lang w:eastAsia="en-GB"/>
        </w:rPr>
        <w:t xml:space="preserve"> + </w:t>
      </w:r>
      <w:proofErr w:type="spellStart"/>
      <w:r w:rsidR="002050E9">
        <w:rPr>
          <w:rFonts w:ascii="Cambria Math" w:hAnsi="Cambria Math"/>
          <w:lang w:eastAsia="en-GB"/>
        </w:rPr>
        <w:t>ε</w:t>
      </w:r>
      <w:r w:rsidR="002050E9" w:rsidRPr="002050E9">
        <w:rPr>
          <w:rFonts w:ascii="Cambria Math" w:hAnsi="Cambria Math"/>
          <w:vertAlign w:val="subscript"/>
          <w:lang w:eastAsia="en-GB"/>
        </w:rPr>
        <w:t>it</w:t>
      </w:r>
      <w:proofErr w:type="spellEnd"/>
      <w:r w:rsidR="00BB368D">
        <w:rPr>
          <w:rFonts w:ascii="Cambria Math" w:hAnsi="Cambria Math"/>
          <w:vertAlign w:val="subscript"/>
          <w:lang w:eastAsia="en-GB"/>
        </w:rPr>
        <w:t xml:space="preserve">                        </w:t>
      </w:r>
      <w:r w:rsidR="00BB368D">
        <w:rPr>
          <w:color w:val="auto"/>
        </w:rPr>
        <w:t xml:space="preserve">                                </w:t>
      </w:r>
      <w:r>
        <w:rPr>
          <w:color w:val="auto"/>
        </w:rPr>
        <w:t xml:space="preserve">                                                                     </w:t>
      </w:r>
      <w:r w:rsidR="00BB368D" w:rsidRPr="00EF201C">
        <w:rPr>
          <w:color w:val="auto"/>
        </w:rPr>
        <w:t>(Eq.1)</w:t>
      </w:r>
    </w:p>
    <w:p w14:paraId="7A94B25B" w14:textId="77777777" w:rsidR="002050E9" w:rsidRPr="00DB615D" w:rsidRDefault="002050E9" w:rsidP="00223808">
      <w:pPr>
        <w:spacing w:line="480" w:lineRule="auto"/>
        <w:jc w:val="both"/>
        <w:rPr>
          <w:lang w:eastAsia="en-GB"/>
        </w:rPr>
      </w:pPr>
    </w:p>
    <w:p w14:paraId="34D26224" w14:textId="77777777" w:rsidR="00223808" w:rsidRPr="00EF201C" w:rsidRDefault="00223808" w:rsidP="00223808">
      <w:pPr>
        <w:spacing w:line="276" w:lineRule="auto"/>
        <w:rPr>
          <w:color w:val="auto"/>
        </w:rPr>
      </w:pPr>
    </w:p>
    <w:p w14:paraId="0D6879BF" w14:textId="03DF929E" w:rsidR="00223808" w:rsidRPr="00EF201C" w:rsidRDefault="003E267E" w:rsidP="00223808">
      <w:pPr>
        <w:spacing w:line="480" w:lineRule="auto"/>
        <w:jc w:val="both"/>
        <w:rPr>
          <w:lang w:eastAsia="ja-JP"/>
        </w:rPr>
      </w:pPr>
      <w:r>
        <w:rPr>
          <w:lang w:eastAsia="ja-JP"/>
        </w:rPr>
        <w:t>w</w:t>
      </w:r>
      <w:r w:rsidR="00223808" w:rsidRPr="00EF201C">
        <w:rPr>
          <w:lang w:eastAsia="ja-JP"/>
        </w:rPr>
        <w:t>here</w:t>
      </w:r>
      <w:r w:rsidR="00223808" w:rsidRPr="00EF201C">
        <w:rPr>
          <w:vertAlign w:val="superscript"/>
          <w:lang w:eastAsia="ja-JP"/>
        </w:rPr>
        <w:t xml:space="preserve"> [13]</w:t>
      </w:r>
      <w:r w:rsidR="00223808" w:rsidRPr="00EF201C">
        <w:rPr>
          <w:lang w:eastAsia="ja-JP"/>
        </w:rPr>
        <w:t xml:space="preserve">, </w:t>
      </w:r>
      <w:r w:rsidR="00223808" w:rsidRPr="00EF201C">
        <w:rPr>
          <w:i/>
        </w:rPr>
        <w:t xml:space="preserve">CCIDQ </w:t>
      </w:r>
      <w:r w:rsidR="00223808" w:rsidRPr="00EF201C">
        <w:t xml:space="preserve">is the </w:t>
      </w:r>
      <w:r w:rsidR="00C12923">
        <w:t xml:space="preserve">Corporate </w:t>
      </w:r>
      <w:r w:rsidR="00223808" w:rsidRPr="00EF201C">
        <w:rPr>
          <w:lang w:eastAsia="en-GB"/>
        </w:rPr>
        <w:t xml:space="preserve">Community Involvement Disclosure </w:t>
      </w:r>
      <w:r w:rsidR="00C12923">
        <w:rPr>
          <w:lang w:eastAsia="en-GB"/>
        </w:rPr>
        <w:t xml:space="preserve">Quality </w:t>
      </w:r>
      <w:r w:rsidR="00223808" w:rsidRPr="00EF201C">
        <w:rPr>
          <w:lang w:eastAsia="en-GB"/>
        </w:rPr>
        <w:t xml:space="preserve">score; </w:t>
      </w:r>
      <w:r w:rsidR="00223808" w:rsidRPr="00EF201C">
        <w:rPr>
          <w:i/>
        </w:rPr>
        <w:t>NEDs</w:t>
      </w:r>
      <w:r w:rsidR="00223808" w:rsidRPr="00EF201C">
        <w:t xml:space="preserve"> is the proportion of total independent non-executive directors to the total number of directors on the board; </w:t>
      </w:r>
      <w:proofErr w:type="spellStart"/>
      <w:r w:rsidR="00223808" w:rsidRPr="00EF201C">
        <w:rPr>
          <w:i/>
        </w:rPr>
        <w:t>BoardSize</w:t>
      </w:r>
      <w:proofErr w:type="spellEnd"/>
      <w:r w:rsidR="00223808" w:rsidRPr="00EF201C">
        <w:rPr>
          <w:i/>
        </w:rPr>
        <w:t xml:space="preserve"> </w:t>
      </w:r>
      <w:r w:rsidR="00223808" w:rsidRPr="00EF201C">
        <w:t xml:space="preserve">is the total number of directors on the board; </w:t>
      </w:r>
      <w:proofErr w:type="spellStart"/>
      <w:r w:rsidR="00223808" w:rsidRPr="00EF201C">
        <w:rPr>
          <w:i/>
        </w:rPr>
        <w:t>BoardMeeting</w:t>
      </w:r>
      <w:proofErr w:type="spellEnd"/>
      <w:r w:rsidR="00223808" w:rsidRPr="00EF201C">
        <w:rPr>
          <w:i/>
        </w:rPr>
        <w:t xml:space="preserve"> </w:t>
      </w:r>
      <w:r w:rsidR="00223808" w:rsidRPr="00EF201C">
        <w:t xml:space="preserve">is the number of board meetings </w:t>
      </w:r>
      <w:r w:rsidR="00223808" w:rsidRPr="00EF201C">
        <w:lastRenderedPageBreak/>
        <w:t xml:space="preserve">in a given year; </w:t>
      </w:r>
      <w:proofErr w:type="spellStart"/>
      <w:r w:rsidR="00223808" w:rsidRPr="00EF201C">
        <w:rPr>
          <w:i/>
        </w:rPr>
        <w:t>AuditMeeting</w:t>
      </w:r>
      <w:proofErr w:type="spellEnd"/>
      <w:r w:rsidR="00223808" w:rsidRPr="00EF201C">
        <w:t xml:space="preserve"> is the number of audit committee meetings in a given year; </w:t>
      </w:r>
      <w:proofErr w:type="spellStart"/>
      <w:r w:rsidR="00223808" w:rsidRPr="00EF201C">
        <w:rPr>
          <w:i/>
        </w:rPr>
        <w:t>AuditSize</w:t>
      </w:r>
      <w:proofErr w:type="spellEnd"/>
      <w:r w:rsidR="00223808" w:rsidRPr="00EF201C">
        <w:rPr>
          <w:i/>
        </w:rPr>
        <w:t xml:space="preserve"> </w:t>
      </w:r>
      <w:r w:rsidR="00223808" w:rsidRPr="00EF201C">
        <w:t xml:space="preserve">is the number of Audit committee members; </w:t>
      </w:r>
      <w:proofErr w:type="spellStart"/>
      <w:r w:rsidR="00223808" w:rsidRPr="00EF201C">
        <w:rPr>
          <w:i/>
        </w:rPr>
        <w:t>CSRCommittee</w:t>
      </w:r>
      <w:proofErr w:type="spellEnd"/>
      <w:r w:rsidR="00223808" w:rsidRPr="00EF201C">
        <w:rPr>
          <w:i/>
        </w:rPr>
        <w:t xml:space="preserve"> </w:t>
      </w:r>
      <w:r w:rsidR="00223808" w:rsidRPr="00EF201C">
        <w:t xml:space="preserve">is a dichotomous variable with 1 for a presence of a CSR committee and 0 for otherwise; </w:t>
      </w:r>
      <w:proofErr w:type="spellStart"/>
      <w:r w:rsidR="00223808" w:rsidRPr="00EF201C">
        <w:rPr>
          <w:i/>
        </w:rPr>
        <w:t>DisclosureCommittee</w:t>
      </w:r>
      <w:proofErr w:type="spellEnd"/>
      <w:r w:rsidR="00223808" w:rsidRPr="00EF201C">
        <w:t xml:space="preserve"> is a dichotomous variable with 1 for presence of a disclosure committee and 0 for otherwise; </w:t>
      </w:r>
      <w:proofErr w:type="spellStart"/>
      <w:r w:rsidR="00223808" w:rsidRPr="00EF201C">
        <w:rPr>
          <w:i/>
        </w:rPr>
        <w:t>RiskCommittee</w:t>
      </w:r>
      <w:proofErr w:type="spellEnd"/>
      <w:r w:rsidR="00223808" w:rsidRPr="00EF201C">
        <w:t xml:space="preserve"> is a dichotomous variable with 1 for presence of a stand-alone risk committee and 0 for otherwise; </w:t>
      </w:r>
      <w:proofErr w:type="spellStart"/>
      <w:r w:rsidR="00223808" w:rsidRPr="00EF201C">
        <w:rPr>
          <w:i/>
        </w:rPr>
        <w:t>LnTurnover</w:t>
      </w:r>
      <w:proofErr w:type="spellEnd"/>
      <w:r w:rsidR="00223808" w:rsidRPr="00EF201C">
        <w:t xml:space="preserve"> is a proxy of company’s size, measured by the natural logarithm of turnover (DataStream mnemonic code WC01001); </w:t>
      </w:r>
      <w:r w:rsidR="00223808" w:rsidRPr="00EF201C">
        <w:rPr>
          <w:i/>
        </w:rPr>
        <w:t>ROE</w:t>
      </w:r>
      <w:r w:rsidR="00223808" w:rsidRPr="00EF201C">
        <w:t xml:space="preserve"> is a proxy for corporate financial performance (DataStream mnemonic code of WC08301); </w:t>
      </w:r>
      <w:r w:rsidR="00223808" w:rsidRPr="00EF201C">
        <w:rPr>
          <w:i/>
        </w:rPr>
        <w:t>Leverage</w:t>
      </w:r>
      <w:r w:rsidR="00223808" w:rsidRPr="00EF201C">
        <w:t xml:space="preserve"> is the company’s gearing ratio representing their exposure to short and long term risk and measured by the ratio of total debt to total capital (DataStream mnemonic code WC08221); and finally, </w:t>
      </w:r>
      <w:r w:rsidR="00223808" w:rsidRPr="00EF201C">
        <w:rPr>
          <w:i/>
        </w:rPr>
        <w:t>Age</w:t>
      </w:r>
      <w:r w:rsidR="00223808" w:rsidRPr="00EF201C">
        <w:t xml:space="preserve"> is the number of years since a company first listed on the London Stock Exchange</w:t>
      </w:r>
      <w:r w:rsidR="00223808" w:rsidRPr="00EF201C">
        <w:rPr>
          <w:lang w:eastAsia="ja-JP"/>
        </w:rPr>
        <w:t>.</w:t>
      </w:r>
    </w:p>
    <w:p w14:paraId="1FF8409C" w14:textId="79AC9147" w:rsidR="00A5674E" w:rsidRPr="00EF201C" w:rsidRDefault="00223808">
      <w:pPr>
        <w:spacing w:line="480" w:lineRule="auto"/>
        <w:ind w:firstLine="567"/>
        <w:jc w:val="both"/>
        <w:rPr>
          <w:color w:val="auto"/>
          <w:lang w:val="en-US"/>
        </w:rPr>
      </w:pPr>
      <w:r w:rsidRPr="00EF201C">
        <w:rPr>
          <w:color w:val="auto"/>
          <w:lang w:val="en-US"/>
        </w:rPr>
        <w:t xml:space="preserve">The </w:t>
      </w:r>
      <w:r w:rsidR="00FE370C" w:rsidRPr="00EF201C">
        <w:rPr>
          <w:color w:val="auto"/>
          <w:lang w:val="en-US"/>
        </w:rPr>
        <w:t xml:space="preserve">analysis </w:t>
      </w:r>
      <w:r w:rsidR="0046507C" w:rsidRPr="00EF201C">
        <w:rPr>
          <w:color w:val="auto"/>
          <w:lang w:val="en-US"/>
        </w:rPr>
        <w:t xml:space="preserve">is </w:t>
      </w:r>
      <w:r w:rsidR="00BE2D54" w:rsidRPr="00EF201C">
        <w:rPr>
          <w:color w:val="auto"/>
          <w:lang w:val="en-US"/>
        </w:rPr>
        <w:t>carried out</w:t>
      </w:r>
      <w:r w:rsidR="00FE370C" w:rsidRPr="00EF201C">
        <w:rPr>
          <w:color w:val="auto"/>
          <w:lang w:val="en-US"/>
        </w:rPr>
        <w:t xml:space="preserve"> using the Random Effects (RE) estimator with Generalized Least Square (GLS) regression after performing the </w:t>
      </w:r>
      <w:proofErr w:type="spellStart"/>
      <w:r w:rsidR="00FE370C" w:rsidRPr="00EF201C">
        <w:rPr>
          <w:color w:val="auto"/>
          <w:lang w:val="en-US"/>
        </w:rPr>
        <w:t>Breusch</w:t>
      </w:r>
      <w:proofErr w:type="spellEnd"/>
      <w:r w:rsidR="00FE370C" w:rsidRPr="00EF201C">
        <w:rPr>
          <w:color w:val="auto"/>
          <w:lang w:val="en-US"/>
        </w:rPr>
        <w:t>-Pagan Lagrange Multiplier (LM) test</w:t>
      </w:r>
      <w:r w:rsidR="00FE370C" w:rsidRPr="00EF201C">
        <w:rPr>
          <w:rFonts w:eastAsia="Calibri"/>
          <w:color w:val="auto"/>
          <w:lang w:val="en-US"/>
        </w:rPr>
        <w:t xml:space="preserve">. </w:t>
      </w:r>
      <w:r w:rsidR="00FE370C" w:rsidRPr="00EF201C">
        <w:rPr>
          <w:color w:val="auto"/>
          <w:lang w:val="en-US"/>
        </w:rPr>
        <w:t>The test produce</w:t>
      </w:r>
      <w:r w:rsidR="00BE2D54" w:rsidRPr="00EF201C">
        <w:rPr>
          <w:color w:val="auto"/>
          <w:lang w:val="en-US"/>
        </w:rPr>
        <w:t>s</w:t>
      </w:r>
      <w:r w:rsidR="00FE370C" w:rsidRPr="00EF201C">
        <w:rPr>
          <w:color w:val="auto"/>
          <w:lang w:val="en-US"/>
        </w:rPr>
        <w:t xml:space="preserve"> a significant result at the 1% level (see Appendix C), indicating that the RE estimator is valid and efficient in handling this analysis. </w:t>
      </w:r>
      <w:r w:rsidR="00FE370C" w:rsidRPr="00EF201C">
        <w:rPr>
          <w:rFonts w:eastAsia="Calibri"/>
          <w:color w:val="auto"/>
          <w:lang w:val="en-US"/>
        </w:rPr>
        <w:t>The</w:t>
      </w:r>
      <w:r w:rsidR="00FE370C" w:rsidRPr="00EF201C">
        <w:rPr>
          <w:color w:val="auto"/>
          <w:lang w:val="en-US"/>
        </w:rPr>
        <w:t xml:space="preserve"> </w:t>
      </w:r>
      <w:proofErr w:type="spellStart"/>
      <w:r w:rsidR="00FE370C" w:rsidRPr="00EF201C">
        <w:rPr>
          <w:color w:val="auto"/>
          <w:lang w:val="en-US"/>
        </w:rPr>
        <w:t>Breusch</w:t>
      </w:r>
      <w:proofErr w:type="spellEnd"/>
      <w:r w:rsidR="00FE370C" w:rsidRPr="00EF201C">
        <w:rPr>
          <w:color w:val="auto"/>
          <w:lang w:val="en-US"/>
        </w:rPr>
        <w:t>-Pagan LM test</w:t>
      </w:r>
      <w:r w:rsidR="00FE370C" w:rsidRPr="00EF201C">
        <w:rPr>
          <w:rFonts w:eastAsia="Calibri"/>
          <w:color w:val="auto"/>
          <w:lang w:val="en-US"/>
        </w:rPr>
        <w:t xml:space="preserve"> is a diagnostic test</w:t>
      </w:r>
      <w:r w:rsidR="008D13EC" w:rsidRPr="00EF201C">
        <w:rPr>
          <w:rFonts w:eastAsia="Calibri"/>
          <w:color w:val="auto"/>
          <w:lang w:val="en-US"/>
        </w:rPr>
        <w:t xml:space="preserve"> that was</w:t>
      </w:r>
      <w:r w:rsidR="00FE370C" w:rsidRPr="00EF201C">
        <w:rPr>
          <w:rFonts w:eastAsia="Calibri"/>
          <w:color w:val="auto"/>
          <w:lang w:val="en-US"/>
        </w:rPr>
        <w:t xml:space="preserve"> specifically designed to test the appropriateness of the RE models in addressing unobserved heterogeneity (</w:t>
      </w:r>
      <w:proofErr w:type="spellStart"/>
      <w:r w:rsidR="00FE370C" w:rsidRPr="00EF201C">
        <w:rPr>
          <w:rFonts w:eastAsia="Calibri"/>
          <w:color w:val="auto"/>
          <w:lang w:val="en-US"/>
        </w:rPr>
        <w:t>Breusch</w:t>
      </w:r>
      <w:proofErr w:type="spellEnd"/>
      <w:r w:rsidR="00FE370C" w:rsidRPr="00EF201C">
        <w:rPr>
          <w:rFonts w:eastAsia="Calibri"/>
          <w:color w:val="auto"/>
          <w:lang w:val="en-US"/>
        </w:rPr>
        <w:t xml:space="preserve"> </w:t>
      </w:r>
      <w:r w:rsidR="00E66ADC">
        <w:rPr>
          <w:rFonts w:eastAsia="Calibri"/>
          <w:color w:val="auto"/>
          <w:lang w:val="en-US"/>
        </w:rPr>
        <w:t>and</w:t>
      </w:r>
      <w:r w:rsidR="00FE370C" w:rsidRPr="00EF201C">
        <w:rPr>
          <w:rFonts w:eastAsia="Calibri"/>
          <w:color w:val="auto"/>
          <w:lang w:val="en-US"/>
        </w:rPr>
        <w:t xml:space="preserve"> Pagan, 1980). Although the result of the test </w:t>
      </w:r>
      <w:r w:rsidR="00BE2D54" w:rsidRPr="00EF201C">
        <w:rPr>
          <w:rFonts w:eastAsia="Calibri"/>
          <w:color w:val="auto"/>
          <w:lang w:val="en-US"/>
        </w:rPr>
        <w:t>are</w:t>
      </w:r>
      <w:r w:rsidR="00FE370C" w:rsidRPr="00EF201C">
        <w:rPr>
          <w:rFonts w:eastAsia="Calibri"/>
          <w:color w:val="auto"/>
          <w:lang w:val="en-US"/>
        </w:rPr>
        <w:t xml:space="preserve"> significant at the 1% level in favor of the RE estimator, in addition to the </w:t>
      </w:r>
      <w:proofErr w:type="spellStart"/>
      <w:r w:rsidR="00FE370C" w:rsidRPr="00EF201C">
        <w:rPr>
          <w:rFonts w:eastAsia="Calibri"/>
          <w:color w:val="auto"/>
          <w:lang w:val="en-US"/>
        </w:rPr>
        <w:t>Breusch</w:t>
      </w:r>
      <w:proofErr w:type="spellEnd"/>
      <w:r w:rsidR="00FE370C" w:rsidRPr="00EF201C">
        <w:rPr>
          <w:rFonts w:eastAsia="Calibri"/>
          <w:color w:val="auto"/>
          <w:lang w:val="en-US"/>
        </w:rPr>
        <w:t xml:space="preserve">-Pagan LM test, the regression was run with the robust standard errors, which automatically adjust all standard errors and p-values for any possible effect of </w:t>
      </w:r>
      <w:proofErr w:type="spellStart"/>
      <w:r w:rsidR="00FE370C" w:rsidRPr="00EF201C">
        <w:rPr>
          <w:rFonts w:eastAsia="Calibri"/>
          <w:color w:val="auto"/>
          <w:lang w:val="en-US"/>
        </w:rPr>
        <w:t>heteroskedasticity</w:t>
      </w:r>
      <w:proofErr w:type="spellEnd"/>
      <w:r w:rsidR="00FE370C" w:rsidRPr="00EF201C">
        <w:rPr>
          <w:rFonts w:eastAsia="Calibri"/>
          <w:color w:val="auto"/>
          <w:lang w:val="en-US"/>
        </w:rPr>
        <w:t>, outliers and any other irregularities</w:t>
      </w:r>
      <w:r w:rsidRPr="00EF201C">
        <w:rPr>
          <w:rFonts w:eastAsia="Calibri"/>
          <w:color w:val="auto"/>
          <w:lang w:val="en-US"/>
        </w:rPr>
        <w:t>. This</w:t>
      </w:r>
      <w:r w:rsidR="00FE370C" w:rsidRPr="00EF201C">
        <w:rPr>
          <w:rFonts w:eastAsia="Calibri"/>
          <w:color w:val="auto"/>
          <w:lang w:val="en-US"/>
        </w:rPr>
        <w:t xml:space="preserve"> improve</w:t>
      </w:r>
      <w:r w:rsidRPr="00EF201C">
        <w:rPr>
          <w:rFonts w:eastAsia="Calibri"/>
          <w:color w:val="auto"/>
          <w:lang w:val="en-US"/>
        </w:rPr>
        <w:t>s</w:t>
      </w:r>
      <w:r w:rsidR="00FE370C" w:rsidRPr="00EF201C">
        <w:rPr>
          <w:rFonts w:eastAsia="Calibri"/>
          <w:color w:val="auto"/>
          <w:lang w:val="en-US"/>
        </w:rPr>
        <w:t xml:space="preserve"> the validity of our </w:t>
      </w:r>
      <w:r w:rsidR="008C774A" w:rsidRPr="00EF201C">
        <w:rPr>
          <w:rFonts w:eastAsia="Calibri"/>
          <w:color w:val="auto"/>
          <w:lang w:val="en-US"/>
        </w:rPr>
        <w:t>findings</w:t>
      </w:r>
      <w:r w:rsidR="00FE370C" w:rsidRPr="00EF201C">
        <w:rPr>
          <w:rFonts w:eastAsia="Calibri"/>
          <w:color w:val="auto"/>
          <w:lang w:val="en-US"/>
        </w:rPr>
        <w:t xml:space="preserve">. </w:t>
      </w:r>
    </w:p>
    <w:p w14:paraId="0C62C10F" w14:textId="77777777" w:rsidR="00245CF3" w:rsidRPr="00EF201C" w:rsidRDefault="00245CF3" w:rsidP="00350DF5">
      <w:pPr>
        <w:ind w:firstLine="567"/>
        <w:jc w:val="both"/>
        <w:rPr>
          <w:color w:val="auto"/>
          <w:lang w:val="en-US"/>
        </w:rPr>
      </w:pPr>
    </w:p>
    <w:p w14:paraId="747AFA06" w14:textId="77777777" w:rsidR="008D5011" w:rsidRPr="00EF201C" w:rsidRDefault="008D5011" w:rsidP="008D5011">
      <w:pPr>
        <w:jc w:val="both"/>
        <w:rPr>
          <w:color w:val="auto"/>
          <w:lang w:eastAsia="ja-JP"/>
        </w:rPr>
      </w:pPr>
    </w:p>
    <w:p w14:paraId="248FBD85" w14:textId="77777777" w:rsidR="00A5674E" w:rsidRPr="00EF201C" w:rsidRDefault="00FE370C">
      <w:pPr>
        <w:pStyle w:val="ListParagraph"/>
        <w:numPr>
          <w:ilvl w:val="0"/>
          <w:numId w:val="1"/>
        </w:numPr>
        <w:spacing w:line="480" w:lineRule="auto"/>
        <w:ind w:left="284" w:hanging="284"/>
        <w:jc w:val="left"/>
        <w:rPr>
          <w:b/>
          <w:color w:val="auto"/>
          <w:szCs w:val="24"/>
          <w:lang w:val="en-US"/>
        </w:rPr>
      </w:pPr>
      <w:bookmarkStart w:id="2" w:name="_Toc320649649"/>
      <w:r w:rsidRPr="00EF201C">
        <w:rPr>
          <w:b/>
          <w:bCs/>
          <w:color w:val="auto"/>
          <w:szCs w:val="24"/>
          <w:lang w:val="en-US"/>
        </w:rPr>
        <w:t>Results and Analysis</w:t>
      </w:r>
    </w:p>
    <w:p w14:paraId="396657FB" w14:textId="77777777" w:rsidR="00A5674E" w:rsidRPr="00EF201C" w:rsidRDefault="00FE370C" w:rsidP="00350DF5">
      <w:pPr>
        <w:pStyle w:val="ListParagraph"/>
        <w:numPr>
          <w:ilvl w:val="1"/>
          <w:numId w:val="1"/>
        </w:numPr>
        <w:spacing w:line="480" w:lineRule="auto"/>
        <w:ind w:left="567" w:hanging="567"/>
        <w:rPr>
          <w:b/>
          <w:i/>
          <w:color w:val="auto"/>
          <w:szCs w:val="24"/>
          <w:lang w:val="en-US"/>
        </w:rPr>
      </w:pPr>
      <w:r w:rsidRPr="00EF201C">
        <w:rPr>
          <w:b/>
          <w:i/>
          <w:color w:val="auto"/>
          <w:szCs w:val="24"/>
          <w:lang w:val="en-US"/>
        </w:rPr>
        <w:t>Descriptive Statistics</w:t>
      </w:r>
    </w:p>
    <w:p w14:paraId="264A08A9" w14:textId="4A5A5652" w:rsidR="00A5674E" w:rsidRPr="00EF201C" w:rsidRDefault="00FE370C">
      <w:pPr>
        <w:spacing w:line="480" w:lineRule="auto"/>
        <w:ind w:firstLine="567"/>
        <w:jc w:val="both"/>
        <w:rPr>
          <w:rFonts w:eastAsia="Calibri"/>
          <w:color w:val="auto"/>
          <w:lang w:val="en-US"/>
        </w:rPr>
      </w:pPr>
      <w:r w:rsidRPr="00EF201C">
        <w:rPr>
          <w:color w:val="auto"/>
          <w:lang w:val="en-US"/>
        </w:rPr>
        <w:lastRenderedPageBreak/>
        <w:t xml:space="preserve">The descriptive statistics for the total quality score for CCI disclosure (CCIDQ) and the proportion of NEDs by industry </w:t>
      </w:r>
      <w:r w:rsidR="009E04F9" w:rsidRPr="00EF201C">
        <w:rPr>
          <w:color w:val="auto"/>
          <w:lang w:val="en-US"/>
        </w:rPr>
        <w:t>are reported</w:t>
      </w:r>
      <w:r w:rsidRPr="00EF201C">
        <w:rPr>
          <w:color w:val="auto"/>
          <w:lang w:val="en-US"/>
        </w:rPr>
        <w:t xml:space="preserve"> in Table 3</w:t>
      </w:r>
      <w:r w:rsidR="00350DF5" w:rsidRPr="00EF201C">
        <w:rPr>
          <w:color w:val="auto"/>
          <w:lang w:val="en-US"/>
        </w:rPr>
        <w:t>,</w:t>
      </w:r>
      <w:r w:rsidRPr="00EF201C">
        <w:rPr>
          <w:color w:val="auto"/>
          <w:lang w:val="en-US"/>
        </w:rPr>
        <w:t xml:space="preserve"> </w:t>
      </w:r>
      <w:r w:rsidR="00974CB3" w:rsidRPr="00EF201C">
        <w:rPr>
          <w:color w:val="auto"/>
          <w:lang w:val="en-US"/>
        </w:rPr>
        <w:t>P</w:t>
      </w:r>
      <w:r w:rsidRPr="00EF201C">
        <w:rPr>
          <w:color w:val="auto"/>
          <w:lang w:val="en-US"/>
        </w:rPr>
        <w:t>anels A and B</w:t>
      </w:r>
      <w:r w:rsidR="009E04F9" w:rsidRPr="00EF201C">
        <w:rPr>
          <w:color w:val="auto"/>
          <w:lang w:val="en-US"/>
        </w:rPr>
        <w:t xml:space="preserve">. Similarly, </w:t>
      </w:r>
      <w:r w:rsidRPr="00EF201C">
        <w:rPr>
          <w:color w:val="auto"/>
          <w:lang w:val="en-US"/>
        </w:rPr>
        <w:t xml:space="preserve">the statistics for all continuous independent variables and the dichotomous variables are presented in Tables 4 and 5, respectively. Table 3, </w:t>
      </w:r>
      <w:r w:rsidR="00974CB3" w:rsidRPr="00EF201C">
        <w:rPr>
          <w:color w:val="auto"/>
          <w:lang w:val="en-US"/>
        </w:rPr>
        <w:t>P</w:t>
      </w:r>
      <w:r w:rsidRPr="00EF201C">
        <w:rPr>
          <w:color w:val="auto"/>
          <w:lang w:val="en-US"/>
        </w:rPr>
        <w:t>anel A reveals that a</w:t>
      </w:r>
      <w:r w:rsidRPr="00EF201C">
        <w:rPr>
          <w:color w:val="auto"/>
          <w:lang w:val="en-US" w:eastAsia="en-US" w:bidi="en-US"/>
        </w:rPr>
        <w:t xml:space="preserve"> typical company in the sample has an average </w:t>
      </w:r>
      <w:r w:rsidRPr="00EF201C">
        <w:rPr>
          <w:i/>
          <w:color w:val="auto"/>
          <w:lang w:val="en-US" w:eastAsia="en-US" w:bidi="en-US"/>
        </w:rPr>
        <w:t>CCIDQ</w:t>
      </w:r>
      <w:r w:rsidRPr="00EF201C">
        <w:rPr>
          <w:color w:val="auto"/>
          <w:lang w:val="en-US" w:eastAsia="en-US" w:bidi="en-US"/>
        </w:rPr>
        <w:t xml:space="preserve"> Score of 3.71, with companies in Technology having the lowest average score of 1.98 </w:t>
      </w:r>
      <w:r w:rsidR="009E04F9" w:rsidRPr="00EF201C">
        <w:rPr>
          <w:color w:val="auto"/>
          <w:lang w:val="en-US" w:eastAsia="en-US" w:bidi="en-US"/>
        </w:rPr>
        <w:t>(</w:t>
      </w:r>
      <w:r w:rsidRPr="00EF201C">
        <w:rPr>
          <w:color w:val="auto"/>
          <w:lang w:val="en-US" w:eastAsia="en-US" w:bidi="en-US"/>
        </w:rPr>
        <w:t>median score of 2</w:t>
      </w:r>
      <w:r w:rsidR="009E04F9" w:rsidRPr="00EF201C">
        <w:rPr>
          <w:color w:val="auto"/>
          <w:lang w:val="en-US" w:eastAsia="en-US" w:bidi="en-US"/>
        </w:rPr>
        <w:t>)</w:t>
      </w:r>
      <w:r w:rsidRPr="00EF201C">
        <w:rPr>
          <w:color w:val="auto"/>
          <w:lang w:val="en-US" w:eastAsia="en-US" w:bidi="en-US"/>
        </w:rPr>
        <w:t xml:space="preserve"> and companies in Financial having the highest average score of 4.7 </w:t>
      </w:r>
      <w:r w:rsidR="009E04F9" w:rsidRPr="00EF201C">
        <w:rPr>
          <w:color w:val="auto"/>
          <w:lang w:val="en-US" w:eastAsia="en-US" w:bidi="en-US"/>
        </w:rPr>
        <w:t>(</w:t>
      </w:r>
      <w:r w:rsidRPr="00EF201C">
        <w:rPr>
          <w:color w:val="auto"/>
          <w:lang w:val="en-US" w:eastAsia="en-US" w:bidi="en-US"/>
        </w:rPr>
        <w:t>median score of 5</w:t>
      </w:r>
      <w:r w:rsidR="009E04F9" w:rsidRPr="00EF201C">
        <w:rPr>
          <w:color w:val="auto"/>
          <w:lang w:val="en-US" w:eastAsia="en-US" w:bidi="en-US"/>
        </w:rPr>
        <w:t>)</w:t>
      </w:r>
      <w:r w:rsidRPr="00EF201C">
        <w:rPr>
          <w:color w:val="auto"/>
          <w:lang w:val="en-US" w:eastAsia="en-US" w:bidi="en-US"/>
        </w:rPr>
        <w:t xml:space="preserve">. In addition, </w:t>
      </w:r>
      <w:r w:rsidR="008D13EC" w:rsidRPr="00EF201C">
        <w:rPr>
          <w:color w:val="auto"/>
          <w:lang w:val="en-US" w:eastAsia="en-US" w:bidi="en-US"/>
        </w:rPr>
        <w:t xml:space="preserve">whereas </w:t>
      </w:r>
      <w:r w:rsidRPr="00EF201C">
        <w:rPr>
          <w:color w:val="auto"/>
          <w:lang w:val="en-US" w:eastAsia="en-US" w:bidi="en-US"/>
        </w:rPr>
        <w:t>some companies in the Consumer service industry were able to obtain the highest quality score of 10, the highest quality score obtained in the Technology industry was 6.</w:t>
      </w:r>
      <w:r w:rsidRPr="00EF201C">
        <w:rPr>
          <w:color w:val="auto"/>
          <w:lang w:val="en-US"/>
        </w:rPr>
        <w:t xml:space="preserve"> </w:t>
      </w:r>
    </w:p>
    <w:p w14:paraId="46578944" w14:textId="77777777" w:rsidR="00EF201C" w:rsidRDefault="00EF201C">
      <w:pPr>
        <w:pStyle w:val="Caption1"/>
        <w:spacing w:after="0" w:line="480" w:lineRule="auto"/>
        <w:jc w:val="center"/>
        <w:rPr>
          <w:rFonts w:eastAsia="Calibri"/>
          <w:b w:val="0"/>
          <w:bCs w:val="0"/>
          <w:color w:val="auto"/>
          <w:sz w:val="24"/>
          <w:szCs w:val="24"/>
          <w:lang w:val="en-US"/>
        </w:rPr>
      </w:pPr>
    </w:p>
    <w:p w14:paraId="4D636D40" w14:textId="77777777" w:rsidR="00A5674E" w:rsidRPr="00EF201C" w:rsidRDefault="00FE370C">
      <w:pPr>
        <w:pStyle w:val="Caption1"/>
        <w:spacing w:after="0" w:line="480" w:lineRule="auto"/>
        <w:jc w:val="center"/>
        <w:rPr>
          <w:rFonts w:eastAsia="Calibri"/>
          <w:color w:val="auto"/>
          <w:sz w:val="24"/>
          <w:szCs w:val="24"/>
          <w:lang w:val="en-US"/>
        </w:rPr>
      </w:pPr>
      <w:r w:rsidRPr="00EF201C">
        <w:rPr>
          <w:rFonts w:eastAsia="Calibri"/>
          <w:b w:val="0"/>
          <w:bCs w:val="0"/>
          <w:color w:val="auto"/>
          <w:sz w:val="24"/>
          <w:szCs w:val="24"/>
          <w:lang w:val="en-US"/>
        </w:rPr>
        <w:t xml:space="preserve">&lt;&lt;&lt; </w:t>
      </w:r>
      <w:r w:rsidRPr="00EF201C">
        <w:rPr>
          <w:rFonts w:eastAsia="Calibri"/>
          <w:bCs w:val="0"/>
          <w:color w:val="auto"/>
          <w:sz w:val="24"/>
          <w:szCs w:val="24"/>
          <w:lang w:val="en-US"/>
        </w:rPr>
        <w:t>Table 3 about here</w:t>
      </w:r>
      <w:r w:rsidRPr="00EF201C">
        <w:rPr>
          <w:rFonts w:eastAsia="Calibri"/>
          <w:b w:val="0"/>
          <w:bCs w:val="0"/>
          <w:color w:val="auto"/>
          <w:sz w:val="24"/>
          <w:szCs w:val="24"/>
          <w:lang w:val="en-US"/>
        </w:rPr>
        <w:t xml:space="preserve"> – </w:t>
      </w:r>
      <w:r w:rsidRPr="00EF201C">
        <w:rPr>
          <w:b w:val="0"/>
          <w:bCs w:val="0"/>
          <w:color w:val="auto"/>
          <w:sz w:val="24"/>
          <w:szCs w:val="24"/>
          <w:lang w:val="en-US"/>
        </w:rPr>
        <w:t>Descriptive Statistic by Industry</w:t>
      </w:r>
      <w:r w:rsidRPr="00EF201C">
        <w:rPr>
          <w:rFonts w:eastAsia="Calibri"/>
          <w:color w:val="auto"/>
          <w:sz w:val="24"/>
          <w:szCs w:val="24"/>
          <w:lang w:val="en-US"/>
        </w:rPr>
        <w:t>&gt;&gt;&gt;</w:t>
      </w:r>
    </w:p>
    <w:p w14:paraId="516C647A" w14:textId="77777777" w:rsidR="00EF201C" w:rsidRDefault="00EF201C">
      <w:pPr>
        <w:spacing w:line="480" w:lineRule="auto"/>
        <w:ind w:firstLine="567"/>
        <w:jc w:val="both"/>
        <w:rPr>
          <w:color w:val="auto"/>
          <w:lang w:val="en-US"/>
        </w:rPr>
      </w:pPr>
      <w:bookmarkStart w:id="3" w:name="_Toc320649640"/>
      <w:bookmarkEnd w:id="2"/>
    </w:p>
    <w:p w14:paraId="474451F0" w14:textId="2A37F360" w:rsidR="00A5674E" w:rsidRDefault="00FE370C">
      <w:pPr>
        <w:spacing w:line="480" w:lineRule="auto"/>
        <w:ind w:firstLine="567"/>
        <w:jc w:val="both"/>
        <w:rPr>
          <w:color w:val="auto"/>
          <w:lang w:val="en-US"/>
        </w:rPr>
      </w:pPr>
      <w:r w:rsidRPr="00EF201C">
        <w:rPr>
          <w:color w:val="auto"/>
          <w:lang w:val="en-US"/>
        </w:rPr>
        <w:t xml:space="preserve">These statistics suggest that companies in certain industries such as Consumer goods, Consumer </w:t>
      </w:r>
      <w:r w:rsidRPr="0087338F">
        <w:rPr>
          <w:color w:val="auto"/>
          <w:lang w:val="en-US"/>
        </w:rPr>
        <w:t>services and Utilities are able to make very high-quality CCI disclosures as against companies in industries such</w:t>
      </w:r>
      <w:r w:rsidR="0087338F">
        <w:rPr>
          <w:color w:val="auto"/>
          <w:lang w:val="en-US"/>
        </w:rPr>
        <w:t xml:space="preserve"> as Technology and Industrials. </w:t>
      </w:r>
      <w:r w:rsidR="0087338F" w:rsidRPr="0087338F">
        <w:rPr>
          <w:color w:val="auto"/>
          <w:lang w:val="en-US"/>
        </w:rPr>
        <w:t xml:space="preserve">This </w:t>
      </w:r>
      <w:r w:rsidR="0087338F">
        <w:rPr>
          <w:color w:val="auto"/>
          <w:lang w:val="en-US"/>
        </w:rPr>
        <w:t xml:space="preserve">could be because these industries usually locate their companies within close proximity to consumers, which </w:t>
      </w:r>
      <w:r w:rsidR="0087338F" w:rsidRPr="0087338F">
        <w:rPr>
          <w:color w:val="auto"/>
          <w:lang w:val="en-US"/>
        </w:rPr>
        <w:t xml:space="preserve">is consistent with the findings of Campbell et al., (2006) who found that </w:t>
      </w:r>
      <w:r w:rsidR="0087338F" w:rsidRPr="0087338F">
        <w:t>companies with close proximity with consumers tend to disclose more CCI</w:t>
      </w:r>
      <w:r w:rsidR="0087338F">
        <w:t>.</w:t>
      </w:r>
      <w:r w:rsidR="0087338F" w:rsidRPr="0087338F">
        <w:rPr>
          <w:color w:val="auto"/>
          <w:lang w:val="en-US"/>
        </w:rPr>
        <w:t xml:space="preserve"> </w:t>
      </w:r>
      <w:r w:rsidRPr="0087338F">
        <w:rPr>
          <w:color w:val="auto"/>
          <w:lang w:val="en-US"/>
        </w:rPr>
        <w:t>Similarly, Panel B indicates that companies in the Technology and Industrial sectors have the lowest average percentage of NEDs, thus indicating that the companies with lower quality disclosure also have a lower proportion of NEDs.</w:t>
      </w:r>
    </w:p>
    <w:p w14:paraId="1B416132" w14:textId="77777777" w:rsidR="00E47DF3" w:rsidRPr="0087338F" w:rsidRDefault="00E47DF3">
      <w:pPr>
        <w:spacing w:line="480" w:lineRule="auto"/>
        <w:ind w:firstLine="567"/>
        <w:jc w:val="both"/>
        <w:rPr>
          <w:rFonts w:eastAsia="Calibri"/>
          <w:color w:val="auto"/>
          <w:lang w:val="en-US"/>
        </w:rPr>
      </w:pPr>
    </w:p>
    <w:p w14:paraId="0BC800AC" w14:textId="77777777" w:rsidR="00A5674E" w:rsidRPr="00EF201C" w:rsidRDefault="00FE370C">
      <w:pPr>
        <w:pStyle w:val="Caption1"/>
        <w:spacing w:line="480" w:lineRule="auto"/>
        <w:jc w:val="center"/>
        <w:rPr>
          <w:color w:val="auto"/>
          <w:sz w:val="24"/>
          <w:szCs w:val="24"/>
          <w:lang w:val="en-US"/>
        </w:rPr>
      </w:pPr>
      <w:r w:rsidRPr="00EF201C">
        <w:rPr>
          <w:rFonts w:eastAsia="Calibri"/>
          <w:b w:val="0"/>
          <w:bCs w:val="0"/>
          <w:color w:val="auto"/>
          <w:sz w:val="24"/>
          <w:szCs w:val="24"/>
          <w:lang w:val="en-US"/>
        </w:rPr>
        <w:t xml:space="preserve">&lt;&lt;&lt; </w:t>
      </w:r>
      <w:r w:rsidRPr="00EF201C">
        <w:rPr>
          <w:rFonts w:eastAsia="Calibri"/>
          <w:bCs w:val="0"/>
          <w:color w:val="auto"/>
          <w:sz w:val="24"/>
          <w:szCs w:val="24"/>
          <w:lang w:val="en-US"/>
        </w:rPr>
        <w:t>Table 4 about here</w:t>
      </w:r>
      <w:r w:rsidRPr="00EF201C">
        <w:rPr>
          <w:rFonts w:eastAsia="Calibri"/>
          <w:b w:val="0"/>
          <w:bCs w:val="0"/>
          <w:color w:val="auto"/>
          <w:sz w:val="24"/>
          <w:szCs w:val="24"/>
          <w:lang w:val="en-US"/>
        </w:rPr>
        <w:t xml:space="preserve"> – </w:t>
      </w:r>
      <w:r w:rsidRPr="00EF201C">
        <w:rPr>
          <w:b w:val="0"/>
          <w:bCs w:val="0"/>
          <w:color w:val="auto"/>
          <w:sz w:val="24"/>
          <w:szCs w:val="24"/>
          <w:lang w:val="en-US"/>
        </w:rPr>
        <w:t>Descriptive Statistic for Continuous Independent Variables</w:t>
      </w:r>
      <w:r w:rsidRPr="00EF201C">
        <w:rPr>
          <w:rFonts w:eastAsia="Calibri"/>
          <w:color w:val="auto"/>
          <w:sz w:val="24"/>
          <w:szCs w:val="24"/>
          <w:lang w:val="en-US"/>
        </w:rPr>
        <w:t>&gt;&gt;&gt;</w:t>
      </w:r>
    </w:p>
    <w:bookmarkEnd w:id="3"/>
    <w:p w14:paraId="0F6DB1D9" w14:textId="77777777" w:rsidR="007101C2" w:rsidRDefault="007101C2">
      <w:pPr>
        <w:spacing w:line="480" w:lineRule="auto"/>
        <w:ind w:firstLine="567"/>
        <w:jc w:val="both"/>
        <w:rPr>
          <w:color w:val="auto"/>
          <w:lang w:val="en-US"/>
        </w:rPr>
      </w:pPr>
    </w:p>
    <w:p w14:paraId="13FBFD22" w14:textId="4E8C23DA" w:rsidR="00A5674E" w:rsidRPr="00EF201C" w:rsidRDefault="00FE370C">
      <w:pPr>
        <w:spacing w:line="480" w:lineRule="auto"/>
        <w:ind w:firstLine="567"/>
        <w:jc w:val="both"/>
        <w:rPr>
          <w:rFonts w:eastAsia="Calibri"/>
          <w:color w:val="auto"/>
          <w:lang w:val="en-US"/>
        </w:rPr>
      </w:pPr>
      <w:r w:rsidRPr="00EF201C">
        <w:rPr>
          <w:color w:val="auto"/>
          <w:lang w:val="en-US"/>
        </w:rPr>
        <w:lastRenderedPageBreak/>
        <w:t>Table 4 above indicates that the board members of the majority of the companies sampled comprise</w:t>
      </w:r>
      <w:r w:rsidR="009E04F9" w:rsidRPr="00EF201C">
        <w:rPr>
          <w:color w:val="auto"/>
          <w:lang w:val="en-US"/>
        </w:rPr>
        <w:t>s</w:t>
      </w:r>
      <w:r w:rsidRPr="00EF201C">
        <w:rPr>
          <w:color w:val="auto"/>
          <w:lang w:val="en-US"/>
        </w:rPr>
        <w:t xml:space="preserve"> </w:t>
      </w:r>
      <w:r w:rsidR="009E04F9" w:rsidRPr="00EF201C">
        <w:rPr>
          <w:color w:val="auto"/>
          <w:lang w:val="en-US"/>
        </w:rPr>
        <w:t xml:space="preserve">of </w:t>
      </w:r>
      <w:r w:rsidRPr="00EF201C">
        <w:rPr>
          <w:color w:val="auto"/>
          <w:lang w:val="en-US"/>
        </w:rPr>
        <w:t xml:space="preserve">an average of 61% NEDs, with a maximum of 93% in some companies, while </w:t>
      </w:r>
      <w:proofErr w:type="spellStart"/>
      <w:r w:rsidRPr="00EF201C">
        <w:rPr>
          <w:i/>
          <w:color w:val="auto"/>
          <w:lang w:val="en-US"/>
        </w:rPr>
        <w:t>BoardSize</w:t>
      </w:r>
      <w:proofErr w:type="spellEnd"/>
      <w:r w:rsidRPr="00EF201C">
        <w:rPr>
          <w:i/>
          <w:color w:val="auto"/>
          <w:lang w:val="en-US"/>
        </w:rPr>
        <w:t xml:space="preserve"> </w:t>
      </w:r>
      <w:r w:rsidRPr="00EF201C">
        <w:rPr>
          <w:color w:val="auto"/>
          <w:lang w:val="en-US"/>
        </w:rPr>
        <w:t xml:space="preserve">ranges from 5 to 18 members, with an average of 10 board members. Similarly, many companies in the sample have an average of 4 Audit Committee members, with some companies having as many as 8 members. The average for audit committee meetings </w:t>
      </w:r>
      <w:r w:rsidR="009E04F9" w:rsidRPr="00EF201C">
        <w:rPr>
          <w:color w:val="auto"/>
          <w:lang w:val="en-US"/>
        </w:rPr>
        <w:t>is</w:t>
      </w:r>
      <w:r w:rsidRPr="00EF201C">
        <w:rPr>
          <w:color w:val="auto"/>
          <w:lang w:val="en-US"/>
        </w:rPr>
        <w:t xml:space="preserve"> 4, with some having as many as 6 meetings in a year. Board meeting frequency ranges from 2 to 16 meetings in a year, with an average of 8 meetings per year. Turnover for companies sampled </w:t>
      </w:r>
      <w:r w:rsidR="00E10563" w:rsidRPr="00EF201C">
        <w:rPr>
          <w:color w:val="auto"/>
          <w:lang w:val="en-US"/>
        </w:rPr>
        <w:t>range</w:t>
      </w:r>
      <w:r w:rsidR="009E04F9" w:rsidRPr="00EF201C">
        <w:rPr>
          <w:color w:val="auto"/>
          <w:lang w:val="en-US"/>
        </w:rPr>
        <w:t>s</w:t>
      </w:r>
      <w:r w:rsidR="00E10563" w:rsidRPr="00EF201C">
        <w:rPr>
          <w:color w:val="auto"/>
          <w:lang w:val="en-US"/>
        </w:rPr>
        <w:t xml:space="preserve"> between £6.9m and £196</w:t>
      </w:r>
      <w:r w:rsidRPr="00EF201C">
        <w:rPr>
          <w:color w:val="auto"/>
          <w:lang w:val="en-US"/>
        </w:rPr>
        <w:t xml:space="preserve">bn, with </w:t>
      </w:r>
      <w:r w:rsidR="00E10563" w:rsidRPr="00EF201C">
        <w:rPr>
          <w:color w:val="auto"/>
          <w:lang w:val="en-US"/>
        </w:rPr>
        <w:t>the average in the region of £7</w:t>
      </w:r>
      <w:r w:rsidRPr="00EF201C">
        <w:rPr>
          <w:color w:val="auto"/>
          <w:lang w:val="en-US"/>
        </w:rPr>
        <w:t xml:space="preserve">bn. In addition, the profitability measure (ROE) </w:t>
      </w:r>
      <w:r w:rsidR="009E04F9" w:rsidRPr="00EF201C">
        <w:rPr>
          <w:color w:val="auto"/>
          <w:lang w:val="en-US"/>
        </w:rPr>
        <w:t>is</w:t>
      </w:r>
      <w:r w:rsidRPr="00EF201C">
        <w:rPr>
          <w:color w:val="auto"/>
          <w:lang w:val="en-US"/>
        </w:rPr>
        <w:t xml:space="preserve"> approximately 16% for the majority of companies in the sample. The gearing ratio for many companies </w:t>
      </w:r>
      <w:r w:rsidR="009E04F9" w:rsidRPr="00EF201C">
        <w:rPr>
          <w:color w:val="auto"/>
          <w:lang w:val="en-US"/>
        </w:rPr>
        <w:t>is</w:t>
      </w:r>
      <w:r w:rsidRPr="00EF201C">
        <w:rPr>
          <w:color w:val="auto"/>
          <w:lang w:val="en-US"/>
        </w:rPr>
        <w:t xml:space="preserve"> in the region of 39%. The average listing age of companies in the sample</w:t>
      </w:r>
      <w:r w:rsidR="009E04F9" w:rsidRPr="00EF201C">
        <w:rPr>
          <w:color w:val="auto"/>
          <w:lang w:val="en-US"/>
        </w:rPr>
        <w:t xml:space="preserve"> is</w:t>
      </w:r>
      <w:r w:rsidRPr="00EF201C">
        <w:rPr>
          <w:color w:val="auto"/>
          <w:lang w:val="en-US"/>
        </w:rPr>
        <w:t xml:space="preserve"> 23. Table 5 below reveals that approximately 32% of companies sampled </w:t>
      </w:r>
      <w:r w:rsidR="009E04F9" w:rsidRPr="00EF201C">
        <w:rPr>
          <w:color w:val="auto"/>
          <w:lang w:val="en-US"/>
        </w:rPr>
        <w:t>have</w:t>
      </w:r>
      <w:r w:rsidRPr="00EF201C">
        <w:rPr>
          <w:color w:val="auto"/>
          <w:lang w:val="en-US"/>
        </w:rPr>
        <w:t xml:space="preserve"> a CSR committee during the period covered in the investigation, while only 21% of sampled companies ha</w:t>
      </w:r>
      <w:r w:rsidR="009E04F9" w:rsidRPr="00EF201C">
        <w:rPr>
          <w:color w:val="auto"/>
          <w:lang w:val="en-US"/>
        </w:rPr>
        <w:t>ve</w:t>
      </w:r>
      <w:r w:rsidRPr="00EF201C">
        <w:rPr>
          <w:color w:val="auto"/>
          <w:lang w:val="en-US"/>
        </w:rPr>
        <w:t xml:space="preserve"> a disclosure committee and 31% </w:t>
      </w:r>
      <w:r w:rsidR="009E04F9" w:rsidRPr="00EF201C">
        <w:rPr>
          <w:color w:val="auto"/>
          <w:lang w:val="en-US"/>
        </w:rPr>
        <w:t xml:space="preserve">have </w:t>
      </w:r>
      <w:r w:rsidRPr="00EF201C">
        <w:rPr>
          <w:color w:val="auto"/>
          <w:lang w:val="en-US"/>
        </w:rPr>
        <w:t>a risk committee.</w:t>
      </w:r>
    </w:p>
    <w:p w14:paraId="452AAE3C" w14:textId="77777777" w:rsidR="00180FD7" w:rsidRPr="00EF201C" w:rsidRDefault="00180FD7">
      <w:pPr>
        <w:pStyle w:val="Caption1"/>
        <w:spacing w:line="480" w:lineRule="auto"/>
        <w:jc w:val="center"/>
        <w:rPr>
          <w:rFonts w:eastAsia="Calibri"/>
          <w:b w:val="0"/>
          <w:bCs w:val="0"/>
          <w:color w:val="auto"/>
          <w:sz w:val="24"/>
          <w:szCs w:val="24"/>
          <w:lang w:val="en-US"/>
        </w:rPr>
      </w:pPr>
    </w:p>
    <w:p w14:paraId="116B0612" w14:textId="77777777" w:rsidR="00A5674E" w:rsidRPr="00EF201C" w:rsidRDefault="00FE370C">
      <w:pPr>
        <w:pStyle w:val="Caption1"/>
        <w:spacing w:line="480" w:lineRule="auto"/>
        <w:jc w:val="center"/>
        <w:rPr>
          <w:color w:val="auto"/>
          <w:sz w:val="24"/>
          <w:szCs w:val="24"/>
          <w:lang w:val="en-US"/>
        </w:rPr>
      </w:pPr>
      <w:r w:rsidRPr="00EF201C">
        <w:rPr>
          <w:rFonts w:eastAsia="Calibri"/>
          <w:b w:val="0"/>
          <w:bCs w:val="0"/>
          <w:color w:val="auto"/>
          <w:sz w:val="24"/>
          <w:szCs w:val="24"/>
          <w:lang w:val="en-US"/>
        </w:rPr>
        <w:t xml:space="preserve">&lt;&lt;&lt; </w:t>
      </w:r>
      <w:r w:rsidRPr="00EF201C">
        <w:rPr>
          <w:rFonts w:eastAsia="Calibri"/>
          <w:bCs w:val="0"/>
          <w:color w:val="auto"/>
          <w:sz w:val="24"/>
          <w:szCs w:val="24"/>
          <w:lang w:val="en-US"/>
        </w:rPr>
        <w:t>Table 5 about here</w:t>
      </w:r>
      <w:r w:rsidRPr="00EF201C">
        <w:rPr>
          <w:rFonts w:eastAsia="Calibri"/>
          <w:b w:val="0"/>
          <w:bCs w:val="0"/>
          <w:color w:val="auto"/>
          <w:sz w:val="24"/>
          <w:szCs w:val="24"/>
          <w:lang w:val="en-US"/>
        </w:rPr>
        <w:t xml:space="preserve"> – </w:t>
      </w:r>
      <w:r w:rsidRPr="00EF201C">
        <w:rPr>
          <w:b w:val="0"/>
          <w:color w:val="auto"/>
          <w:sz w:val="24"/>
          <w:szCs w:val="24"/>
          <w:lang w:val="en-US"/>
        </w:rPr>
        <w:t>Descriptive Statistics for Dichotomous Independent Variables</w:t>
      </w:r>
      <w:r w:rsidRPr="00EF201C">
        <w:rPr>
          <w:rFonts w:eastAsia="Calibri"/>
          <w:color w:val="auto"/>
          <w:sz w:val="24"/>
          <w:szCs w:val="24"/>
          <w:lang w:val="en-US"/>
        </w:rPr>
        <w:t xml:space="preserve"> &gt;&gt;&gt;</w:t>
      </w:r>
    </w:p>
    <w:p w14:paraId="51D4A4F3" w14:textId="77777777" w:rsidR="00A5674E" w:rsidRPr="00EF201C" w:rsidRDefault="00A5674E">
      <w:pPr>
        <w:rPr>
          <w:color w:val="auto"/>
          <w:lang w:val="en-US"/>
        </w:rPr>
      </w:pPr>
    </w:p>
    <w:p w14:paraId="65C8D1E5" w14:textId="5DE0B6B0" w:rsidR="00A5674E" w:rsidRDefault="00FE370C">
      <w:pPr>
        <w:spacing w:line="480" w:lineRule="auto"/>
        <w:ind w:firstLine="567"/>
        <w:jc w:val="both"/>
        <w:rPr>
          <w:rFonts w:eastAsia="Calibri"/>
          <w:color w:val="auto"/>
          <w:lang w:val="en-US"/>
        </w:rPr>
      </w:pPr>
      <w:r w:rsidRPr="00EF201C">
        <w:rPr>
          <w:color w:val="auto"/>
          <w:lang w:val="en-US"/>
        </w:rPr>
        <w:t>Furthermore, Table 4 displays the presence of outliers</w:t>
      </w:r>
      <w:r w:rsidRPr="00EF201C">
        <w:rPr>
          <w:color w:val="auto"/>
          <w:vertAlign w:val="superscript"/>
          <w:lang w:val="en-US"/>
        </w:rPr>
        <w:t xml:space="preserve"> [</w:t>
      </w:r>
      <w:r w:rsidR="00245CF3" w:rsidRPr="00EF201C">
        <w:rPr>
          <w:color w:val="auto"/>
          <w:vertAlign w:val="superscript"/>
          <w:lang w:val="en-US"/>
        </w:rPr>
        <w:t>14</w:t>
      </w:r>
      <w:r w:rsidRPr="00EF201C">
        <w:rPr>
          <w:color w:val="auto"/>
          <w:vertAlign w:val="superscript"/>
          <w:lang w:val="en-US"/>
        </w:rPr>
        <w:t>]</w:t>
      </w:r>
      <w:r w:rsidRPr="00EF201C">
        <w:rPr>
          <w:color w:val="auto"/>
          <w:lang w:val="en-US"/>
        </w:rPr>
        <w:t xml:space="preserve"> in turnover. Further tests conducted to confirm this include plotting the box plot</w:t>
      </w:r>
      <w:r w:rsidRPr="00EF201C">
        <w:rPr>
          <w:color w:val="auto"/>
          <w:vertAlign w:val="superscript"/>
          <w:lang w:val="en-US"/>
        </w:rPr>
        <w:t xml:space="preserve"> [</w:t>
      </w:r>
      <w:r w:rsidR="00245CF3" w:rsidRPr="00EF201C">
        <w:rPr>
          <w:color w:val="auto"/>
          <w:vertAlign w:val="superscript"/>
          <w:lang w:val="en-US"/>
        </w:rPr>
        <w:t>15</w:t>
      </w:r>
      <w:r w:rsidRPr="00EF201C">
        <w:rPr>
          <w:color w:val="auto"/>
          <w:vertAlign w:val="superscript"/>
          <w:lang w:val="en-US"/>
        </w:rPr>
        <w:t>]</w:t>
      </w:r>
      <w:r w:rsidRPr="00EF201C">
        <w:rPr>
          <w:color w:val="auto"/>
          <w:lang w:val="en-US"/>
        </w:rPr>
        <w:t xml:space="preserve"> of </w:t>
      </w:r>
      <w:r w:rsidR="00037E4E">
        <w:rPr>
          <w:color w:val="auto"/>
          <w:lang w:val="en-US"/>
        </w:rPr>
        <w:t>t</w:t>
      </w:r>
      <w:r w:rsidRPr="00EF201C">
        <w:rPr>
          <w:color w:val="auto"/>
          <w:lang w:val="en-US"/>
        </w:rPr>
        <w:t xml:space="preserve">urnover data. </w:t>
      </w:r>
      <w:r w:rsidR="009E04F9" w:rsidRPr="00EF201C">
        <w:rPr>
          <w:color w:val="auto"/>
          <w:lang w:val="en-US"/>
        </w:rPr>
        <w:t>Our checks</w:t>
      </w:r>
      <w:r w:rsidRPr="00EF201C">
        <w:rPr>
          <w:color w:val="auto"/>
          <w:lang w:val="en-US"/>
        </w:rPr>
        <w:t xml:space="preserve"> confirmed the presence of outliers (see Appendix D for the graphical results of the box plot). Turnover was therefore log-transformed to correct the problem (</w:t>
      </w:r>
      <w:proofErr w:type="spellStart"/>
      <w:r w:rsidRPr="00EF201C">
        <w:rPr>
          <w:color w:val="auto"/>
          <w:lang w:val="en-US"/>
        </w:rPr>
        <w:t>Tabachnick</w:t>
      </w:r>
      <w:proofErr w:type="spellEnd"/>
      <w:r w:rsidRPr="00EF201C">
        <w:rPr>
          <w:color w:val="auto"/>
          <w:lang w:val="en-US"/>
        </w:rPr>
        <w:t xml:space="preserve"> </w:t>
      </w:r>
      <w:r w:rsidR="00E66ADC">
        <w:rPr>
          <w:color w:val="auto"/>
          <w:lang w:val="en-US"/>
        </w:rPr>
        <w:t>and</w:t>
      </w:r>
      <w:r w:rsidRPr="00EF201C">
        <w:rPr>
          <w:color w:val="auto"/>
          <w:lang w:val="en-US"/>
        </w:rPr>
        <w:t xml:space="preserve"> </w:t>
      </w:r>
      <w:proofErr w:type="spellStart"/>
      <w:r w:rsidRPr="00EF201C">
        <w:rPr>
          <w:color w:val="auto"/>
          <w:lang w:val="en-US"/>
        </w:rPr>
        <w:t>Fidell</w:t>
      </w:r>
      <w:proofErr w:type="spellEnd"/>
      <w:r w:rsidRPr="00EF201C">
        <w:rPr>
          <w:color w:val="auto"/>
          <w:lang w:val="en-US"/>
        </w:rPr>
        <w:t xml:space="preserve">, 2007). Other tests conducted to ensure the datasets meet the normality assumption included the visual analysis of the </w:t>
      </w:r>
      <w:proofErr w:type="spellStart"/>
      <w:r w:rsidRPr="00EF201C">
        <w:rPr>
          <w:color w:val="auto"/>
          <w:lang w:val="en-US"/>
        </w:rPr>
        <w:t>studenti</w:t>
      </w:r>
      <w:r w:rsidR="00350DF5" w:rsidRPr="00EF201C">
        <w:rPr>
          <w:color w:val="auto"/>
          <w:lang w:val="en-US"/>
        </w:rPr>
        <w:t>z</w:t>
      </w:r>
      <w:r w:rsidRPr="00EF201C">
        <w:rPr>
          <w:color w:val="auto"/>
          <w:lang w:val="en-US"/>
        </w:rPr>
        <w:t>ed</w:t>
      </w:r>
      <w:proofErr w:type="spellEnd"/>
      <w:r w:rsidRPr="00EF201C">
        <w:rPr>
          <w:color w:val="auto"/>
          <w:lang w:val="en-US"/>
        </w:rPr>
        <w:t xml:space="preserve"> residuals (</w:t>
      </w:r>
      <w:r w:rsidRPr="00EF201C">
        <w:rPr>
          <w:i/>
          <w:color w:val="auto"/>
          <w:lang w:val="en-US"/>
        </w:rPr>
        <w:t>r</w:t>
      </w:r>
      <w:r w:rsidRPr="00EF201C">
        <w:rPr>
          <w:color w:val="auto"/>
          <w:lang w:val="en-US"/>
        </w:rPr>
        <w:t>) using a histogram (Appendix E)</w:t>
      </w:r>
      <w:r w:rsidR="00245CF3" w:rsidRPr="00EF201C">
        <w:rPr>
          <w:color w:val="auto"/>
          <w:lang w:val="en-US"/>
        </w:rPr>
        <w:t>. The</w:t>
      </w:r>
      <w:r w:rsidRPr="00EF201C">
        <w:rPr>
          <w:color w:val="auto"/>
          <w:lang w:val="en-US"/>
        </w:rPr>
        <w:t xml:space="preserve"> </w:t>
      </w:r>
      <w:r w:rsidRPr="00EF201C">
        <w:rPr>
          <w:rFonts w:eastAsia="Calibri"/>
          <w:color w:val="auto"/>
          <w:lang w:val="en-US"/>
        </w:rPr>
        <w:t>histogram indicate</w:t>
      </w:r>
      <w:r w:rsidR="00EB6755" w:rsidRPr="00EF201C">
        <w:rPr>
          <w:rFonts w:eastAsia="Calibri"/>
          <w:color w:val="auto"/>
          <w:lang w:val="en-US"/>
        </w:rPr>
        <w:t>s</w:t>
      </w:r>
      <w:r w:rsidRPr="00EF201C">
        <w:rPr>
          <w:rFonts w:eastAsia="Calibri"/>
          <w:color w:val="auto"/>
          <w:lang w:val="en-US"/>
        </w:rPr>
        <w:t xml:space="preserve"> </w:t>
      </w:r>
      <w:r w:rsidRPr="00EF201C">
        <w:rPr>
          <w:rFonts w:eastAsia="Calibri"/>
          <w:i/>
          <w:color w:val="auto"/>
          <w:lang w:val="en-US"/>
        </w:rPr>
        <w:t>r</w:t>
      </w:r>
      <w:r w:rsidRPr="00EF201C">
        <w:rPr>
          <w:rFonts w:eastAsia="Calibri"/>
          <w:color w:val="auto"/>
          <w:lang w:val="en-US"/>
        </w:rPr>
        <w:t xml:space="preserve"> as normally distributed. </w:t>
      </w:r>
    </w:p>
    <w:p w14:paraId="363A693F" w14:textId="77777777" w:rsidR="00E47DF3" w:rsidRPr="00EF201C" w:rsidRDefault="00E47DF3">
      <w:pPr>
        <w:spacing w:line="480" w:lineRule="auto"/>
        <w:ind w:firstLine="567"/>
        <w:jc w:val="both"/>
        <w:rPr>
          <w:b/>
          <w:color w:val="auto"/>
          <w:lang w:val="en-US"/>
        </w:rPr>
      </w:pPr>
    </w:p>
    <w:p w14:paraId="1BA20D82" w14:textId="77777777" w:rsidR="00A5674E" w:rsidRPr="00EF201C" w:rsidRDefault="00FE370C" w:rsidP="00350DF5">
      <w:pPr>
        <w:pStyle w:val="ListParagraph"/>
        <w:numPr>
          <w:ilvl w:val="1"/>
          <w:numId w:val="1"/>
        </w:numPr>
        <w:spacing w:line="480" w:lineRule="auto"/>
        <w:ind w:left="567" w:hanging="567"/>
        <w:rPr>
          <w:b/>
          <w:i/>
          <w:color w:val="auto"/>
          <w:szCs w:val="24"/>
          <w:lang w:val="en-US"/>
        </w:rPr>
      </w:pPr>
      <w:r w:rsidRPr="00EF201C">
        <w:rPr>
          <w:b/>
          <w:i/>
          <w:color w:val="auto"/>
          <w:szCs w:val="24"/>
          <w:lang w:val="en-US"/>
        </w:rPr>
        <w:t>Correlation Matrix</w:t>
      </w:r>
    </w:p>
    <w:p w14:paraId="32ECE35C" w14:textId="77777777" w:rsidR="00A5674E" w:rsidRPr="00EF201C" w:rsidRDefault="00FE370C">
      <w:pPr>
        <w:spacing w:line="480" w:lineRule="auto"/>
        <w:ind w:firstLine="567"/>
        <w:jc w:val="both"/>
        <w:rPr>
          <w:color w:val="auto"/>
          <w:lang w:val="en-US"/>
        </w:rPr>
      </w:pPr>
      <w:r w:rsidRPr="00EF201C">
        <w:rPr>
          <w:color w:val="auto"/>
          <w:lang w:val="en-US"/>
        </w:rPr>
        <w:lastRenderedPageBreak/>
        <w:t>Table 6 presents the correlation matrix for the explanatory variables. The table indicates low correlation between all the variables. This is suggestive of the fact that collinearity, if at all present, should be minimal among the independent variables. Nevertheless, the variance inflation factor (VIF) was computed for all variables to check for the existence of collinearity.</w:t>
      </w:r>
    </w:p>
    <w:p w14:paraId="0037A0FC" w14:textId="77777777" w:rsidR="000D6CFA" w:rsidRPr="00EF201C" w:rsidRDefault="000D6CFA">
      <w:pPr>
        <w:spacing w:line="480" w:lineRule="auto"/>
        <w:ind w:firstLine="567"/>
        <w:jc w:val="both"/>
        <w:rPr>
          <w:rFonts w:eastAsia="Calibri"/>
          <w:color w:val="auto"/>
          <w:lang w:val="en-US"/>
        </w:rPr>
      </w:pPr>
    </w:p>
    <w:p w14:paraId="203E5F8C" w14:textId="77777777" w:rsidR="00A5674E" w:rsidRPr="00EF201C" w:rsidRDefault="00FE370C">
      <w:pPr>
        <w:pStyle w:val="Caption1"/>
        <w:spacing w:line="480" w:lineRule="auto"/>
        <w:jc w:val="center"/>
        <w:rPr>
          <w:color w:val="auto"/>
          <w:sz w:val="24"/>
          <w:szCs w:val="24"/>
          <w:lang w:val="en-US"/>
        </w:rPr>
      </w:pPr>
      <w:r w:rsidRPr="00EF201C">
        <w:rPr>
          <w:rFonts w:eastAsia="Calibri"/>
          <w:b w:val="0"/>
          <w:bCs w:val="0"/>
          <w:color w:val="auto"/>
          <w:sz w:val="24"/>
          <w:szCs w:val="24"/>
          <w:lang w:val="en-US"/>
        </w:rPr>
        <w:t xml:space="preserve">&lt;&lt;&lt; </w:t>
      </w:r>
      <w:r w:rsidRPr="00EF201C">
        <w:rPr>
          <w:rFonts w:eastAsia="Calibri"/>
          <w:bCs w:val="0"/>
          <w:color w:val="auto"/>
          <w:sz w:val="24"/>
          <w:szCs w:val="24"/>
          <w:lang w:val="en-US"/>
        </w:rPr>
        <w:t>Table 6 about here</w:t>
      </w:r>
      <w:r w:rsidRPr="00EF201C">
        <w:rPr>
          <w:rFonts w:eastAsia="Calibri"/>
          <w:b w:val="0"/>
          <w:bCs w:val="0"/>
          <w:color w:val="auto"/>
          <w:sz w:val="24"/>
          <w:szCs w:val="24"/>
          <w:lang w:val="en-US"/>
        </w:rPr>
        <w:t xml:space="preserve"> – </w:t>
      </w:r>
      <w:r w:rsidRPr="00EF201C">
        <w:rPr>
          <w:b w:val="0"/>
          <w:color w:val="auto"/>
          <w:sz w:val="24"/>
          <w:szCs w:val="24"/>
          <w:lang w:val="en-US"/>
        </w:rPr>
        <w:t>Correlation Matrix of the Explanatory Variables</w:t>
      </w:r>
      <w:r w:rsidRPr="00EF201C">
        <w:rPr>
          <w:rFonts w:eastAsia="Calibri"/>
          <w:color w:val="auto"/>
          <w:sz w:val="24"/>
          <w:szCs w:val="24"/>
          <w:lang w:val="en-US"/>
        </w:rPr>
        <w:t>&gt;&gt;&gt;</w:t>
      </w:r>
      <w:bookmarkStart w:id="4" w:name="_Toc320649597"/>
    </w:p>
    <w:p w14:paraId="13E4365C" w14:textId="77777777" w:rsidR="00A5674E" w:rsidRPr="00EF201C" w:rsidRDefault="00A5674E" w:rsidP="00350DF5">
      <w:pPr>
        <w:spacing w:line="480" w:lineRule="auto"/>
        <w:ind w:left="567" w:hanging="567"/>
        <w:rPr>
          <w:b/>
          <w:i/>
          <w:color w:val="auto"/>
          <w:lang w:val="en-US"/>
        </w:rPr>
      </w:pPr>
    </w:p>
    <w:p w14:paraId="35061940" w14:textId="77777777" w:rsidR="00A5674E" w:rsidRPr="00EF201C" w:rsidRDefault="00FE370C" w:rsidP="00350DF5">
      <w:pPr>
        <w:pStyle w:val="ListParagraph"/>
        <w:numPr>
          <w:ilvl w:val="1"/>
          <w:numId w:val="1"/>
        </w:numPr>
        <w:spacing w:line="480" w:lineRule="auto"/>
        <w:ind w:left="567" w:hanging="567"/>
        <w:rPr>
          <w:b/>
          <w:i/>
          <w:color w:val="auto"/>
          <w:szCs w:val="24"/>
          <w:lang w:val="en-US"/>
        </w:rPr>
      </w:pPr>
      <w:r w:rsidRPr="00EF201C">
        <w:rPr>
          <w:b/>
          <w:i/>
          <w:color w:val="auto"/>
          <w:szCs w:val="24"/>
          <w:lang w:val="en-US"/>
        </w:rPr>
        <w:t>Regression Results and Discussions</w:t>
      </w:r>
      <w:bookmarkEnd w:id="4"/>
    </w:p>
    <w:p w14:paraId="0F085FDE" w14:textId="502CEFA4" w:rsidR="00A5674E" w:rsidRDefault="00FE370C" w:rsidP="00CD4D3A">
      <w:pPr>
        <w:spacing w:line="480" w:lineRule="auto"/>
        <w:ind w:firstLine="567"/>
        <w:jc w:val="both"/>
        <w:rPr>
          <w:color w:val="auto"/>
          <w:lang w:val="en-US"/>
        </w:rPr>
      </w:pPr>
      <w:bookmarkStart w:id="5" w:name="_Toc320649651"/>
      <w:bookmarkStart w:id="6" w:name="_Toc302574556"/>
      <w:r w:rsidRPr="00EF201C">
        <w:rPr>
          <w:color w:val="auto"/>
          <w:lang w:val="en-US"/>
        </w:rPr>
        <w:t xml:space="preserve">The regression results </w:t>
      </w:r>
      <w:r w:rsidR="00C706C7" w:rsidRPr="00EF201C">
        <w:rPr>
          <w:color w:val="auto"/>
          <w:lang w:val="en-US"/>
        </w:rPr>
        <w:t xml:space="preserve">are presented </w:t>
      </w:r>
      <w:r w:rsidRPr="00EF201C">
        <w:rPr>
          <w:color w:val="auto"/>
          <w:lang w:val="en-US"/>
        </w:rPr>
        <w:t>in Table 7</w:t>
      </w:r>
      <w:r w:rsidR="00C706C7" w:rsidRPr="00EF201C">
        <w:rPr>
          <w:color w:val="auto"/>
          <w:lang w:val="en-US"/>
        </w:rPr>
        <w:t>.</w:t>
      </w:r>
      <w:r w:rsidR="00CD4D3A" w:rsidRPr="00EF201C">
        <w:rPr>
          <w:color w:val="auto"/>
          <w:lang w:val="en-US"/>
        </w:rPr>
        <w:t xml:space="preserve"> </w:t>
      </w:r>
      <w:r w:rsidRPr="00EF201C">
        <w:rPr>
          <w:color w:val="auto"/>
          <w:lang w:val="en-US"/>
        </w:rPr>
        <w:t>The results indicate that our model is able to explain approximately 28% of the overall variation in the quality of CCI activities disclosed in the annual reports of the sampled companies.</w:t>
      </w:r>
      <w:r w:rsidR="00CD4D3A" w:rsidRPr="00EF201C">
        <w:rPr>
          <w:color w:val="auto"/>
          <w:lang w:val="en-US"/>
        </w:rPr>
        <w:t xml:space="preserve"> </w:t>
      </w:r>
      <w:r w:rsidRPr="00EF201C">
        <w:rPr>
          <w:color w:val="auto"/>
          <w:lang w:val="en-US"/>
        </w:rPr>
        <w:t xml:space="preserve">In addition, the model is able to explain 17% of variation within an entity from one year to another and approximately 40% of the variations between one entity and another entity. The results also indicate a </w:t>
      </w:r>
      <w:r w:rsidRPr="00EF201C">
        <w:rPr>
          <w:i/>
          <w:color w:val="auto"/>
          <w:lang w:val="en-US"/>
        </w:rPr>
        <w:t>rho</w:t>
      </w:r>
      <w:r w:rsidRPr="00EF201C">
        <w:rPr>
          <w:color w:val="auto"/>
          <w:lang w:val="en-US"/>
        </w:rPr>
        <w:t xml:space="preserve"> of 0.359. The </w:t>
      </w:r>
      <w:r w:rsidRPr="00EF201C">
        <w:rPr>
          <w:i/>
          <w:color w:val="auto"/>
          <w:lang w:val="en-US"/>
        </w:rPr>
        <w:t>rho</w:t>
      </w:r>
      <w:r w:rsidRPr="00EF201C">
        <w:rPr>
          <w:color w:val="auto"/>
          <w:lang w:val="en-US"/>
        </w:rPr>
        <w:t xml:space="preserve"> measures the intergroup correlation (Greene, 2008). The results reveal that approximately 36% of variations in CCI disclosure quality cannot be explained by differences across entities.</w:t>
      </w:r>
      <w:r w:rsidR="00CD4D3A" w:rsidRPr="00EF201C">
        <w:rPr>
          <w:color w:val="auto"/>
        </w:rPr>
        <w:t xml:space="preserve"> </w:t>
      </w:r>
      <w:r w:rsidR="00CD4D3A" w:rsidRPr="00EF201C">
        <w:rPr>
          <w:color w:val="auto"/>
          <w:lang w:val="en-US"/>
        </w:rPr>
        <w:t>Whilst our overall R</w:t>
      </w:r>
      <w:r w:rsidR="00CD4D3A" w:rsidRPr="00EF201C">
        <w:rPr>
          <w:color w:val="auto"/>
          <w:vertAlign w:val="superscript"/>
          <w:lang w:val="en-US"/>
        </w:rPr>
        <w:t>2</w:t>
      </w:r>
      <w:r w:rsidR="00CD4D3A" w:rsidRPr="00EF201C">
        <w:rPr>
          <w:color w:val="auto"/>
          <w:lang w:val="en-US"/>
        </w:rPr>
        <w:t xml:space="preserve"> is low it is generally consistent with the results from previous studies in this research area. For example, </w:t>
      </w:r>
      <w:proofErr w:type="spellStart"/>
      <w:r w:rsidR="00CD4D3A" w:rsidRPr="00EF201C">
        <w:rPr>
          <w:color w:val="auto"/>
          <w:lang w:val="en-US"/>
        </w:rPr>
        <w:t>Ajinkya</w:t>
      </w:r>
      <w:proofErr w:type="spellEnd"/>
      <w:r w:rsidR="00CD4D3A" w:rsidRPr="00EF201C">
        <w:rPr>
          <w:color w:val="auto"/>
          <w:lang w:val="en-US"/>
        </w:rPr>
        <w:t xml:space="preserve"> et al. (2005); Cormier et al. (2010); Chen and </w:t>
      </w:r>
      <w:proofErr w:type="spellStart"/>
      <w:r w:rsidR="00CD4D3A" w:rsidRPr="00EF201C">
        <w:rPr>
          <w:color w:val="auto"/>
          <w:lang w:val="en-US"/>
        </w:rPr>
        <w:t>Jaggi</w:t>
      </w:r>
      <w:proofErr w:type="spellEnd"/>
      <w:r w:rsidR="00CD4D3A" w:rsidRPr="00EF201C">
        <w:rPr>
          <w:color w:val="auto"/>
          <w:lang w:val="en-US"/>
        </w:rPr>
        <w:t xml:space="preserve"> (2000) document R</w:t>
      </w:r>
      <w:r w:rsidR="00CD4D3A" w:rsidRPr="00EF201C">
        <w:rPr>
          <w:color w:val="auto"/>
          <w:vertAlign w:val="superscript"/>
          <w:lang w:val="en-US"/>
        </w:rPr>
        <w:t>2</w:t>
      </w:r>
      <w:r w:rsidR="00CD4D3A" w:rsidRPr="00EF201C">
        <w:rPr>
          <w:color w:val="auto"/>
          <w:lang w:val="en-US"/>
        </w:rPr>
        <w:t xml:space="preserve"> of 20%, 27% and 30 % respectively. The low explanatory power in our model may be due to the exploratory nature of our investigation. </w:t>
      </w:r>
      <w:r w:rsidRPr="00EF201C">
        <w:rPr>
          <w:color w:val="auto"/>
          <w:lang w:val="en-US"/>
        </w:rPr>
        <w:t xml:space="preserve"> However, before placing total reliance on these results in testing our hypothesis, further post-estimation tests were conducted to examine the validity of the results by checking the suitability of the RE GLS estimator (see discussion in section 3.3 above).</w:t>
      </w:r>
    </w:p>
    <w:p w14:paraId="7E4C9A49" w14:textId="77777777" w:rsidR="007101C2" w:rsidRPr="00EF201C" w:rsidRDefault="007101C2" w:rsidP="00CD4D3A">
      <w:pPr>
        <w:spacing w:line="480" w:lineRule="auto"/>
        <w:ind w:firstLine="567"/>
        <w:jc w:val="both"/>
        <w:rPr>
          <w:color w:val="auto"/>
          <w:lang w:val="en-US"/>
        </w:rPr>
      </w:pPr>
    </w:p>
    <w:p w14:paraId="1DFE16E3" w14:textId="66F23480" w:rsidR="00A16A57" w:rsidRDefault="00FE370C" w:rsidP="00051170">
      <w:pPr>
        <w:pStyle w:val="Caption1"/>
        <w:spacing w:line="480" w:lineRule="auto"/>
        <w:jc w:val="center"/>
        <w:rPr>
          <w:rFonts w:eastAsia="Calibri"/>
          <w:color w:val="auto"/>
          <w:sz w:val="24"/>
          <w:szCs w:val="24"/>
          <w:lang w:val="en-US"/>
        </w:rPr>
      </w:pPr>
      <w:r w:rsidRPr="00EF201C">
        <w:rPr>
          <w:rFonts w:eastAsia="Calibri"/>
          <w:b w:val="0"/>
          <w:bCs w:val="0"/>
          <w:color w:val="auto"/>
          <w:sz w:val="24"/>
          <w:szCs w:val="24"/>
          <w:lang w:val="en-US"/>
        </w:rPr>
        <w:t xml:space="preserve">&lt;&lt;&lt; </w:t>
      </w:r>
      <w:r w:rsidRPr="00EF201C">
        <w:rPr>
          <w:rFonts w:eastAsia="Calibri"/>
          <w:bCs w:val="0"/>
          <w:color w:val="auto"/>
          <w:sz w:val="24"/>
          <w:szCs w:val="24"/>
          <w:lang w:val="en-US"/>
        </w:rPr>
        <w:t>Table 7 about here</w:t>
      </w:r>
      <w:r w:rsidRPr="00EF201C">
        <w:rPr>
          <w:rFonts w:eastAsia="Calibri"/>
          <w:b w:val="0"/>
          <w:bCs w:val="0"/>
          <w:color w:val="auto"/>
          <w:sz w:val="24"/>
          <w:szCs w:val="24"/>
          <w:lang w:val="en-US"/>
        </w:rPr>
        <w:t xml:space="preserve"> – </w:t>
      </w:r>
      <w:r w:rsidRPr="00EF201C">
        <w:rPr>
          <w:b w:val="0"/>
          <w:color w:val="auto"/>
          <w:sz w:val="24"/>
          <w:szCs w:val="24"/>
          <w:lang w:val="en-US"/>
        </w:rPr>
        <w:t>GLS Regression Results with all independent variables</w:t>
      </w:r>
      <w:r w:rsidRPr="00EF201C">
        <w:rPr>
          <w:rFonts w:eastAsia="Calibri"/>
          <w:color w:val="auto"/>
          <w:sz w:val="24"/>
          <w:szCs w:val="24"/>
          <w:lang w:val="en-US"/>
        </w:rPr>
        <w:t>&gt;&gt;&gt;</w:t>
      </w:r>
      <w:bookmarkEnd w:id="5"/>
      <w:bookmarkEnd w:id="6"/>
    </w:p>
    <w:p w14:paraId="04B1FE0E" w14:textId="77777777" w:rsidR="00283C99" w:rsidRDefault="00283C99" w:rsidP="00283C99">
      <w:pPr>
        <w:pStyle w:val="Caption1"/>
        <w:jc w:val="center"/>
        <w:rPr>
          <w:rFonts w:eastAsia="Calibri"/>
          <w:color w:val="auto"/>
          <w:sz w:val="24"/>
          <w:szCs w:val="24"/>
          <w:lang w:val="en-US"/>
        </w:rPr>
      </w:pPr>
    </w:p>
    <w:p w14:paraId="7CFC054E" w14:textId="77777777" w:rsidR="00A5674E" w:rsidRPr="00EF201C" w:rsidRDefault="00FE370C" w:rsidP="00350DF5">
      <w:pPr>
        <w:pStyle w:val="ListParagraph"/>
        <w:numPr>
          <w:ilvl w:val="1"/>
          <w:numId w:val="1"/>
        </w:numPr>
        <w:spacing w:line="480" w:lineRule="auto"/>
        <w:ind w:left="567" w:hanging="567"/>
        <w:rPr>
          <w:b/>
          <w:i/>
          <w:color w:val="auto"/>
          <w:szCs w:val="24"/>
          <w:lang w:val="en-US"/>
        </w:rPr>
      </w:pPr>
      <w:r w:rsidRPr="00EF201C">
        <w:rPr>
          <w:b/>
          <w:i/>
          <w:color w:val="auto"/>
          <w:szCs w:val="24"/>
          <w:lang w:val="en-US"/>
        </w:rPr>
        <w:t>Community Disclosure Quality and Outside Directors (NEDs)</w:t>
      </w:r>
    </w:p>
    <w:p w14:paraId="6B647FF6" w14:textId="104DC688" w:rsidR="00A5674E" w:rsidRPr="00EF201C" w:rsidRDefault="00FE370C">
      <w:pPr>
        <w:spacing w:line="480" w:lineRule="auto"/>
        <w:ind w:firstLine="567"/>
        <w:jc w:val="both"/>
        <w:rPr>
          <w:color w:val="auto"/>
          <w:lang w:val="en-US"/>
        </w:rPr>
      </w:pPr>
      <w:r w:rsidRPr="00EF201C">
        <w:rPr>
          <w:color w:val="auto"/>
          <w:lang w:val="en-US"/>
        </w:rPr>
        <w:t xml:space="preserve">Our results reveal </w:t>
      </w:r>
      <w:r w:rsidR="00321F3F" w:rsidRPr="00EF201C">
        <w:rPr>
          <w:color w:val="auto"/>
          <w:lang w:val="en-US"/>
        </w:rPr>
        <w:t xml:space="preserve">that </w:t>
      </w:r>
      <w:r w:rsidRPr="00EF201C">
        <w:rPr>
          <w:color w:val="auto"/>
          <w:lang w:val="en-US"/>
        </w:rPr>
        <w:t xml:space="preserve">NEDs </w:t>
      </w:r>
      <w:r w:rsidR="00321F3F" w:rsidRPr="00EF201C">
        <w:rPr>
          <w:color w:val="auto"/>
          <w:lang w:val="en-US"/>
        </w:rPr>
        <w:t xml:space="preserve">have </w:t>
      </w:r>
      <w:r w:rsidRPr="00EF201C">
        <w:rPr>
          <w:color w:val="auto"/>
          <w:lang w:val="en-US"/>
        </w:rPr>
        <w:t xml:space="preserve">a coefficient of 2.403 indicating a strong positive relationship with </w:t>
      </w:r>
      <w:r w:rsidRPr="00EF201C">
        <w:rPr>
          <w:i/>
          <w:color w:val="auto"/>
          <w:lang w:val="en-US"/>
        </w:rPr>
        <w:t>CCIDQ</w:t>
      </w:r>
      <w:r w:rsidR="00321F3F" w:rsidRPr="00EF201C">
        <w:rPr>
          <w:i/>
          <w:color w:val="auto"/>
          <w:lang w:val="en-US"/>
        </w:rPr>
        <w:t xml:space="preserve"> </w:t>
      </w:r>
      <w:r w:rsidR="00321F3F" w:rsidRPr="00EF201C">
        <w:rPr>
          <w:color w:val="auto"/>
          <w:lang w:val="en-US"/>
        </w:rPr>
        <w:t>and</w:t>
      </w:r>
      <w:r w:rsidRPr="00EF201C">
        <w:rPr>
          <w:color w:val="auto"/>
          <w:lang w:val="en-US"/>
        </w:rPr>
        <w:t xml:space="preserve"> highly significant at the 1% level, thus confirming hypothesis H1. The positive relationship implies that companies with a board constituting a proportion of NEDs of 60% and greater are likely to disclose higher quality CCI activity than those with fewer NEDs. This explains why companies in the Technology and Industrial sectors disclosed very low-quality CCI activities as indicated by the descriptive statistics in Table 3</w:t>
      </w:r>
      <w:r w:rsidR="00321F3F" w:rsidRPr="00EF201C">
        <w:rPr>
          <w:color w:val="auto"/>
          <w:lang w:val="en-US"/>
        </w:rPr>
        <w:t>,</w:t>
      </w:r>
      <w:r w:rsidRPr="00EF201C">
        <w:rPr>
          <w:color w:val="auto"/>
          <w:lang w:val="en-US"/>
        </w:rPr>
        <w:t xml:space="preserve"> Panel A. Th</w:t>
      </w:r>
      <w:r w:rsidR="00321F3F" w:rsidRPr="00EF201C">
        <w:rPr>
          <w:color w:val="auto"/>
          <w:lang w:val="en-US"/>
        </w:rPr>
        <w:t>is</w:t>
      </w:r>
      <w:r w:rsidRPr="00EF201C">
        <w:rPr>
          <w:color w:val="auto"/>
          <w:lang w:val="en-US"/>
        </w:rPr>
        <w:t xml:space="preserve"> positive relationship i</w:t>
      </w:r>
      <w:r w:rsidR="00321F3F" w:rsidRPr="00EF201C">
        <w:rPr>
          <w:color w:val="auto"/>
          <w:lang w:val="en-US"/>
        </w:rPr>
        <w:t>s consistent with the findings of</w:t>
      </w:r>
      <w:r w:rsidRPr="00EF201C">
        <w:rPr>
          <w:color w:val="auto"/>
          <w:lang w:val="en-US"/>
        </w:rPr>
        <w:t xml:space="preserve"> previous studies such as </w:t>
      </w:r>
      <w:proofErr w:type="spellStart"/>
      <w:r w:rsidR="00321F3F" w:rsidRPr="00EF201C">
        <w:rPr>
          <w:color w:val="auto"/>
          <w:lang w:val="en-US"/>
        </w:rPr>
        <w:t>Ajinkya</w:t>
      </w:r>
      <w:proofErr w:type="spellEnd"/>
      <w:r w:rsidR="00321F3F" w:rsidRPr="00EF201C">
        <w:rPr>
          <w:color w:val="auto"/>
          <w:lang w:val="en-US"/>
        </w:rPr>
        <w:t xml:space="preserve"> et al., (2005), </w:t>
      </w:r>
      <w:r w:rsidRPr="00EF201C">
        <w:rPr>
          <w:color w:val="auto"/>
          <w:lang w:val="en-US"/>
        </w:rPr>
        <w:t>Webb (2004)</w:t>
      </w:r>
      <w:r w:rsidR="00321F3F" w:rsidRPr="00EF201C">
        <w:rPr>
          <w:color w:val="auto"/>
          <w:lang w:val="en-US"/>
        </w:rPr>
        <w:t>,</w:t>
      </w:r>
      <w:r w:rsidRPr="00EF201C">
        <w:rPr>
          <w:color w:val="auto"/>
          <w:lang w:val="en-US"/>
        </w:rPr>
        <w:t xml:space="preserve"> and</w:t>
      </w:r>
      <w:r w:rsidR="00321F3F" w:rsidRPr="00EF201C">
        <w:rPr>
          <w:color w:val="auto"/>
          <w:lang w:val="en-US"/>
        </w:rPr>
        <w:t>,</w:t>
      </w:r>
      <w:r w:rsidRPr="00EF201C">
        <w:rPr>
          <w:color w:val="auto"/>
          <w:lang w:val="en-US"/>
        </w:rPr>
        <w:t xml:space="preserve"> </w:t>
      </w:r>
      <w:proofErr w:type="spellStart"/>
      <w:r w:rsidRPr="00EF201C">
        <w:rPr>
          <w:color w:val="auto"/>
          <w:lang w:val="en-US"/>
        </w:rPr>
        <w:t>Yekini</w:t>
      </w:r>
      <w:proofErr w:type="spellEnd"/>
      <w:r w:rsidRPr="00EF201C">
        <w:rPr>
          <w:color w:val="auto"/>
          <w:lang w:val="en-US"/>
        </w:rPr>
        <w:t xml:space="preserve"> and </w:t>
      </w:r>
      <w:proofErr w:type="spellStart"/>
      <w:r w:rsidRPr="00EF201C">
        <w:rPr>
          <w:color w:val="auto"/>
          <w:lang w:val="en-US"/>
        </w:rPr>
        <w:t>Jallow</w:t>
      </w:r>
      <w:proofErr w:type="spellEnd"/>
      <w:r w:rsidRPr="00EF201C">
        <w:rPr>
          <w:color w:val="auto"/>
          <w:lang w:val="en-US"/>
        </w:rPr>
        <w:t xml:space="preserve"> (2012). The results appear to confirm the argument</w:t>
      </w:r>
      <w:r w:rsidR="00321F3F" w:rsidRPr="00EF201C">
        <w:rPr>
          <w:color w:val="auto"/>
          <w:lang w:val="en-US"/>
        </w:rPr>
        <w:t>s</w:t>
      </w:r>
      <w:r w:rsidRPr="00EF201C">
        <w:rPr>
          <w:color w:val="auto"/>
          <w:lang w:val="en-US"/>
        </w:rPr>
        <w:t xml:space="preserve"> of </w:t>
      </w:r>
      <w:proofErr w:type="spellStart"/>
      <w:r w:rsidRPr="00EF201C">
        <w:rPr>
          <w:color w:val="auto"/>
          <w:lang w:val="en-US"/>
        </w:rPr>
        <w:t>Forker</w:t>
      </w:r>
      <w:proofErr w:type="spellEnd"/>
      <w:r w:rsidRPr="00EF201C">
        <w:rPr>
          <w:color w:val="auto"/>
          <w:lang w:val="en-US"/>
        </w:rPr>
        <w:t xml:space="preserve"> (1992), </w:t>
      </w:r>
      <w:proofErr w:type="spellStart"/>
      <w:r w:rsidR="00321F3F" w:rsidRPr="00EF201C">
        <w:rPr>
          <w:color w:val="auto"/>
          <w:lang w:val="en-US"/>
        </w:rPr>
        <w:t>Galbreath</w:t>
      </w:r>
      <w:proofErr w:type="spellEnd"/>
      <w:r w:rsidR="00321F3F" w:rsidRPr="00EF201C">
        <w:rPr>
          <w:color w:val="auto"/>
          <w:lang w:val="en-US"/>
        </w:rPr>
        <w:t xml:space="preserve"> et al. (2008), </w:t>
      </w:r>
      <w:proofErr w:type="spellStart"/>
      <w:r w:rsidR="00321F3F" w:rsidRPr="00EF201C">
        <w:rPr>
          <w:color w:val="auto"/>
          <w:lang w:val="en-US"/>
        </w:rPr>
        <w:t>Haniffa</w:t>
      </w:r>
      <w:proofErr w:type="spellEnd"/>
      <w:r w:rsidR="00321F3F" w:rsidRPr="00EF201C">
        <w:rPr>
          <w:color w:val="auto"/>
          <w:lang w:val="en-US"/>
        </w:rPr>
        <w:t xml:space="preserve"> and Cooke (2002), </w:t>
      </w:r>
      <w:r w:rsidRPr="00EF201C">
        <w:rPr>
          <w:color w:val="auto"/>
          <w:lang w:val="en-US"/>
        </w:rPr>
        <w:t>Ho and Wong (2001)</w:t>
      </w:r>
      <w:r w:rsidR="00321F3F" w:rsidRPr="00EF201C">
        <w:rPr>
          <w:color w:val="auto"/>
          <w:lang w:val="en-US"/>
        </w:rPr>
        <w:t xml:space="preserve"> and</w:t>
      </w:r>
      <w:r w:rsidRPr="00EF201C">
        <w:rPr>
          <w:color w:val="auto"/>
          <w:lang w:val="en-US"/>
        </w:rPr>
        <w:t xml:space="preserve"> Webb (2004) that because directors are outsiders, they are on the board to represent the interests of other stakeholders such as community stakeholders and would therefore influence management to disclose more CCI activities in the interests of the community stakeholders. This is also consistent with the </w:t>
      </w:r>
      <w:r w:rsidR="00321F3F" w:rsidRPr="00EF201C">
        <w:rPr>
          <w:color w:val="auto"/>
          <w:lang w:val="en-US"/>
        </w:rPr>
        <w:t xml:space="preserve">argument of </w:t>
      </w:r>
      <w:r w:rsidRPr="00EF201C">
        <w:rPr>
          <w:color w:val="auto"/>
          <w:lang w:val="en-US"/>
        </w:rPr>
        <w:t xml:space="preserve">Mitchell et al. (1997) that outside directors possess </w:t>
      </w:r>
      <w:r w:rsidRPr="00EF201C">
        <w:rPr>
          <w:i/>
          <w:color w:val="auto"/>
          <w:lang w:val="en-US"/>
        </w:rPr>
        <w:t>power</w:t>
      </w:r>
      <w:r w:rsidRPr="00EF201C">
        <w:rPr>
          <w:color w:val="auto"/>
          <w:lang w:val="en-US"/>
        </w:rPr>
        <w:t xml:space="preserve"> and </w:t>
      </w:r>
      <w:r w:rsidRPr="00EF201C">
        <w:rPr>
          <w:i/>
          <w:color w:val="auto"/>
          <w:lang w:val="en-US"/>
        </w:rPr>
        <w:t>legitimacy</w:t>
      </w:r>
      <w:r w:rsidRPr="00EF201C">
        <w:rPr>
          <w:color w:val="auto"/>
          <w:lang w:val="en-US"/>
        </w:rPr>
        <w:t xml:space="preserve"> by virtue of their standing in the company and would therefore have an influence on board decisions, which was why Altman (2000) described them as the community group that cannot be </w:t>
      </w:r>
      <w:r w:rsidRPr="00EF201C">
        <w:rPr>
          <w:i/>
          <w:color w:val="auto"/>
          <w:lang w:val="en-US"/>
        </w:rPr>
        <w:t>ignored</w:t>
      </w:r>
      <w:r w:rsidRPr="00EF201C">
        <w:rPr>
          <w:color w:val="auto"/>
          <w:lang w:val="en-US"/>
        </w:rPr>
        <w:t xml:space="preserve"> in the stakeholder system.</w:t>
      </w:r>
    </w:p>
    <w:p w14:paraId="098DFFAD" w14:textId="77777777" w:rsidR="00A5674E" w:rsidRPr="00EF201C" w:rsidRDefault="00A5674E">
      <w:pPr>
        <w:spacing w:line="480" w:lineRule="auto"/>
        <w:ind w:firstLine="567"/>
        <w:jc w:val="both"/>
        <w:rPr>
          <w:color w:val="auto"/>
          <w:lang w:val="en-US"/>
        </w:rPr>
      </w:pPr>
    </w:p>
    <w:p w14:paraId="27963457" w14:textId="77777777" w:rsidR="00A5674E" w:rsidRPr="00EF201C" w:rsidRDefault="00FE370C" w:rsidP="00350DF5">
      <w:pPr>
        <w:pStyle w:val="ListParagraph"/>
        <w:numPr>
          <w:ilvl w:val="1"/>
          <w:numId w:val="1"/>
        </w:numPr>
        <w:spacing w:line="480" w:lineRule="auto"/>
        <w:ind w:left="567" w:hanging="567"/>
        <w:rPr>
          <w:b/>
          <w:i/>
          <w:color w:val="auto"/>
          <w:szCs w:val="24"/>
          <w:lang w:val="en-US"/>
        </w:rPr>
      </w:pPr>
      <w:r w:rsidRPr="00EF201C">
        <w:rPr>
          <w:b/>
          <w:i/>
          <w:color w:val="auto"/>
          <w:szCs w:val="24"/>
          <w:lang w:val="en-US"/>
        </w:rPr>
        <w:t>Other CG Measures</w:t>
      </w:r>
    </w:p>
    <w:p w14:paraId="62008E41" w14:textId="1CC837D2" w:rsidR="00050780" w:rsidRDefault="00FE370C">
      <w:pPr>
        <w:spacing w:line="480" w:lineRule="auto"/>
        <w:ind w:firstLine="567"/>
        <w:jc w:val="both"/>
        <w:rPr>
          <w:color w:val="auto"/>
          <w:lang w:val="en-US"/>
        </w:rPr>
      </w:pPr>
      <w:r w:rsidRPr="00EF201C">
        <w:rPr>
          <w:color w:val="auto"/>
          <w:lang w:val="en-US"/>
        </w:rPr>
        <w:t>The regression results indicate that board size (</w:t>
      </w:r>
      <w:proofErr w:type="spellStart"/>
      <w:r w:rsidRPr="00EF201C">
        <w:rPr>
          <w:color w:val="auto"/>
          <w:lang w:val="en-US"/>
        </w:rPr>
        <w:t>coeff</w:t>
      </w:r>
      <w:proofErr w:type="spellEnd"/>
      <w:r w:rsidRPr="00EF201C">
        <w:rPr>
          <w:color w:val="auto"/>
          <w:lang w:val="en-US"/>
        </w:rPr>
        <w:t xml:space="preserve"> 0.05; p-value 0.230) and board meetings (</w:t>
      </w:r>
      <w:proofErr w:type="spellStart"/>
      <w:r w:rsidRPr="00EF201C">
        <w:rPr>
          <w:color w:val="auto"/>
          <w:lang w:val="en-US"/>
        </w:rPr>
        <w:t>coeff</w:t>
      </w:r>
      <w:proofErr w:type="spellEnd"/>
      <w:r w:rsidRPr="00EF201C">
        <w:rPr>
          <w:color w:val="auto"/>
          <w:lang w:val="en-US"/>
        </w:rPr>
        <w:t xml:space="preserve"> -0.009; p-value 0.761) are inconsequential in CCI disclosure. Although these relationships are not statistically significant and thus require cautious interpretation, a possible explanation for the inverse relationship between board meeting frequency and </w:t>
      </w:r>
      <w:r w:rsidRPr="00EF201C">
        <w:rPr>
          <w:i/>
          <w:color w:val="auto"/>
          <w:lang w:val="en-US"/>
        </w:rPr>
        <w:t>CCIDQ</w:t>
      </w:r>
      <w:r w:rsidRPr="00EF201C">
        <w:rPr>
          <w:color w:val="auto"/>
          <w:lang w:val="en-US"/>
        </w:rPr>
        <w:t xml:space="preserve"> may be that board meetings only increase following low-quality CCI disclosures in annual reports. The result is consistent with the </w:t>
      </w:r>
      <w:r w:rsidRPr="00EF201C">
        <w:rPr>
          <w:color w:val="auto"/>
          <w:lang w:val="en-US"/>
        </w:rPr>
        <w:lastRenderedPageBreak/>
        <w:t xml:space="preserve">findings of </w:t>
      </w:r>
      <w:proofErr w:type="spellStart"/>
      <w:r w:rsidRPr="00EF201C">
        <w:rPr>
          <w:color w:val="auto"/>
          <w:lang w:val="en-US"/>
        </w:rPr>
        <w:t>Vafeas</w:t>
      </w:r>
      <w:proofErr w:type="spellEnd"/>
      <w:r w:rsidRPr="00EF201C">
        <w:rPr>
          <w:color w:val="auto"/>
          <w:lang w:val="en-US"/>
        </w:rPr>
        <w:t xml:space="preserve"> (1999) and confirms the assertion by Jensen (1993) that boards in performing corporations are generally inactive and only become active in the incidence of crisis. The positive </w:t>
      </w:r>
      <w:proofErr w:type="spellStart"/>
      <w:r w:rsidRPr="00EF201C">
        <w:rPr>
          <w:i/>
          <w:color w:val="auto"/>
          <w:lang w:val="en-US"/>
        </w:rPr>
        <w:t>BoardSize</w:t>
      </w:r>
      <w:proofErr w:type="spellEnd"/>
      <w:r w:rsidRPr="00EF201C">
        <w:rPr>
          <w:color w:val="auto"/>
          <w:lang w:val="en-US"/>
        </w:rPr>
        <w:t>/</w:t>
      </w:r>
      <w:r w:rsidRPr="00EF201C">
        <w:rPr>
          <w:i/>
          <w:color w:val="auto"/>
          <w:lang w:val="en-US"/>
        </w:rPr>
        <w:t>CCIDQ</w:t>
      </w:r>
      <w:r w:rsidRPr="00EF201C">
        <w:rPr>
          <w:color w:val="auto"/>
          <w:lang w:val="en-US"/>
        </w:rPr>
        <w:t xml:space="preserve"> relationship may be consistent with the argument that larger boards allow for rigorous debate in the consideration of issues, which lends itself to a better resolution of conflicting issues (</w:t>
      </w:r>
      <w:proofErr w:type="spellStart"/>
      <w:r w:rsidRPr="00EF201C">
        <w:rPr>
          <w:color w:val="auto"/>
          <w:lang w:val="en-US"/>
        </w:rPr>
        <w:t>Galbreath</w:t>
      </w:r>
      <w:proofErr w:type="spellEnd"/>
      <w:r w:rsidRPr="00EF201C">
        <w:rPr>
          <w:color w:val="auto"/>
          <w:lang w:val="en-US"/>
        </w:rPr>
        <w:t xml:space="preserve"> et al., 2008). Nonetheless, the result support</w:t>
      </w:r>
      <w:r w:rsidR="005F747C" w:rsidRPr="00EF201C">
        <w:rPr>
          <w:color w:val="auto"/>
          <w:lang w:val="en-US"/>
        </w:rPr>
        <w:t>s</w:t>
      </w:r>
      <w:r w:rsidRPr="00EF201C">
        <w:rPr>
          <w:color w:val="auto"/>
          <w:lang w:val="en-US"/>
        </w:rPr>
        <w:t xml:space="preserve"> the findings of Webb (2004) and </w:t>
      </w:r>
      <w:proofErr w:type="spellStart"/>
      <w:r w:rsidRPr="00EF201C">
        <w:rPr>
          <w:color w:val="auto"/>
          <w:lang w:val="en-US"/>
        </w:rPr>
        <w:t>Galbreath</w:t>
      </w:r>
      <w:proofErr w:type="spellEnd"/>
      <w:r w:rsidRPr="00EF201C">
        <w:rPr>
          <w:color w:val="auto"/>
          <w:lang w:val="en-US"/>
        </w:rPr>
        <w:t xml:space="preserve"> et al. (2008), who found evidence that larger boards are more effective in CG processes than smaller boards, as opposed to </w:t>
      </w:r>
      <w:proofErr w:type="spellStart"/>
      <w:r w:rsidRPr="00EF201C">
        <w:rPr>
          <w:color w:val="auto"/>
          <w:lang w:val="en-US"/>
        </w:rPr>
        <w:t>Yermack</w:t>
      </w:r>
      <w:proofErr w:type="spellEnd"/>
      <w:r w:rsidRPr="00EF201C">
        <w:rPr>
          <w:color w:val="auto"/>
          <w:lang w:val="en-US"/>
        </w:rPr>
        <w:t xml:space="preserve">, (1996) and Song and </w:t>
      </w:r>
      <w:proofErr w:type="spellStart"/>
      <w:r w:rsidRPr="00EF201C">
        <w:rPr>
          <w:color w:val="auto"/>
          <w:lang w:val="en-US"/>
        </w:rPr>
        <w:t>Windram</w:t>
      </w:r>
      <w:proofErr w:type="spellEnd"/>
      <w:r w:rsidRPr="00EF201C">
        <w:rPr>
          <w:color w:val="auto"/>
          <w:lang w:val="en-US"/>
        </w:rPr>
        <w:t xml:space="preserve">, (2004), whose evidence was in favor of smaller boards. </w:t>
      </w:r>
      <w:r w:rsidR="003E267E">
        <w:rPr>
          <w:color w:val="auto"/>
          <w:lang w:val="en-US"/>
        </w:rPr>
        <w:t>These empirical findings indicate that both hypotheses</w:t>
      </w:r>
      <w:r w:rsidR="00050780">
        <w:rPr>
          <w:color w:val="auto"/>
          <w:lang w:val="en-US"/>
        </w:rPr>
        <w:t xml:space="preserve"> H2</w:t>
      </w:r>
      <w:r w:rsidR="00AE5E4B">
        <w:rPr>
          <w:color w:val="auto"/>
          <w:lang w:val="en-US"/>
        </w:rPr>
        <w:t>a</w:t>
      </w:r>
      <w:r w:rsidR="00050780">
        <w:rPr>
          <w:color w:val="auto"/>
          <w:lang w:val="en-US"/>
        </w:rPr>
        <w:t xml:space="preserve"> </w:t>
      </w:r>
      <w:r w:rsidR="00AE5E4B">
        <w:rPr>
          <w:color w:val="auto"/>
          <w:lang w:val="en-US"/>
        </w:rPr>
        <w:t xml:space="preserve">and H2b </w:t>
      </w:r>
      <w:r w:rsidR="003E267E">
        <w:rPr>
          <w:color w:val="auto"/>
          <w:lang w:val="en-US"/>
        </w:rPr>
        <w:t xml:space="preserve">should be </w:t>
      </w:r>
      <w:r w:rsidR="00050780">
        <w:rPr>
          <w:color w:val="auto"/>
          <w:lang w:val="en-US"/>
        </w:rPr>
        <w:t>rejected.</w:t>
      </w:r>
    </w:p>
    <w:p w14:paraId="4862B2B0" w14:textId="34BCF2CF" w:rsidR="00A5674E" w:rsidRPr="00EF201C" w:rsidRDefault="00FE370C">
      <w:pPr>
        <w:spacing w:line="480" w:lineRule="auto"/>
        <w:ind w:firstLine="567"/>
        <w:jc w:val="both"/>
        <w:rPr>
          <w:color w:val="auto"/>
          <w:lang w:val="en-US"/>
        </w:rPr>
      </w:pPr>
      <w:r w:rsidRPr="00EF201C">
        <w:rPr>
          <w:color w:val="auto"/>
          <w:lang w:val="en-US"/>
        </w:rPr>
        <w:t>Equally, we f</w:t>
      </w:r>
      <w:r w:rsidR="005F747C" w:rsidRPr="00EF201C">
        <w:rPr>
          <w:color w:val="auto"/>
          <w:lang w:val="en-US"/>
        </w:rPr>
        <w:t>ind</w:t>
      </w:r>
      <w:r w:rsidRPr="00EF201C">
        <w:rPr>
          <w:color w:val="auto"/>
          <w:lang w:val="en-US"/>
        </w:rPr>
        <w:t xml:space="preserve"> a statistically significant negative (</w:t>
      </w:r>
      <w:proofErr w:type="spellStart"/>
      <w:r w:rsidRPr="00EF201C">
        <w:rPr>
          <w:color w:val="auto"/>
          <w:lang w:val="en-US"/>
        </w:rPr>
        <w:t>coeff</w:t>
      </w:r>
      <w:proofErr w:type="spellEnd"/>
      <w:r w:rsidRPr="00EF201C">
        <w:rPr>
          <w:color w:val="auto"/>
          <w:lang w:val="en-US"/>
        </w:rPr>
        <w:t xml:space="preserve"> -0.217; p-value 0.009***) relationship between audit committee size and </w:t>
      </w:r>
      <w:r w:rsidRPr="00EF201C">
        <w:rPr>
          <w:i/>
          <w:color w:val="auto"/>
          <w:lang w:val="en-US"/>
        </w:rPr>
        <w:t>CCIDQ</w:t>
      </w:r>
      <w:r w:rsidRPr="00EF201C">
        <w:rPr>
          <w:color w:val="auto"/>
          <w:lang w:val="en-US"/>
        </w:rPr>
        <w:t xml:space="preserve"> consistent with Song and </w:t>
      </w:r>
      <w:proofErr w:type="spellStart"/>
      <w:r w:rsidRPr="00EF201C">
        <w:rPr>
          <w:color w:val="auto"/>
          <w:lang w:val="en-US"/>
        </w:rPr>
        <w:t>Windram</w:t>
      </w:r>
      <w:proofErr w:type="spellEnd"/>
      <w:r w:rsidR="00FC4CC8" w:rsidRPr="00EF201C">
        <w:rPr>
          <w:color w:val="auto"/>
          <w:lang w:val="en-US"/>
        </w:rPr>
        <w:t xml:space="preserve"> (2004). On the other hand, we report</w:t>
      </w:r>
      <w:r w:rsidRPr="00EF201C">
        <w:rPr>
          <w:color w:val="auto"/>
          <w:lang w:val="en-US"/>
        </w:rPr>
        <w:t xml:space="preserve"> a statistically significant positive relationship between audit committee meeting frequency (</w:t>
      </w:r>
      <w:proofErr w:type="spellStart"/>
      <w:r w:rsidRPr="00EF201C">
        <w:rPr>
          <w:color w:val="auto"/>
          <w:lang w:val="en-US"/>
        </w:rPr>
        <w:t>coeff</w:t>
      </w:r>
      <w:proofErr w:type="spellEnd"/>
      <w:r w:rsidRPr="00EF201C">
        <w:rPr>
          <w:color w:val="auto"/>
          <w:lang w:val="en-US"/>
        </w:rPr>
        <w:t xml:space="preserve"> 0.223; p-value 0.003***) and </w:t>
      </w:r>
      <w:r w:rsidRPr="00EF201C">
        <w:rPr>
          <w:i/>
          <w:color w:val="auto"/>
          <w:lang w:val="en-US"/>
        </w:rPr>
        <w:t>CCIDQ</w:t>
      </w:r>
      <w:r w:rsidRPr="00EF201C">
        <w:rPr>
          <w:color w:val="auto"/>
          <w:lang w:val="en-US"/>
        </w:rPr>
        <w:t xml:space="preserve">.  This suggests that the frequency of the meeting of the committee is associated with an increase in the quality of CCI disclosures, whereas audit committee size is associated with less CCID quality. This may be because the committee is more concerned with financial reporting than corporate community involvement.  </w:t>
      </w:r>
      <w:r w:rsidR="003E267E">
        <w:rPr>
          <w:color w:val="auto"/>
          <w:lang w:val="en-US"/>
        </w:rPr>
        <w:t>Therefore,</w:t>
      </w:r>
      <w:r w:rsidR="00AE5E4B">
        <w:rPr>
          <w:color w:val="auto"/>
          <w:lang w:val="en-US"/>
        </w:rPr>
        <w:t xml:space="preserve"> </w:t>
      </w:r>
      <w:r w:rsidR="003E267E">
        <w:rPr>
          <w:color w:val="auto"/>
          <w:lang w:val="en-US"/>
        </w:rPr>
        <w:t xml:space="preserve">hypothesis </w:t>
      </w:r>
      <w:r w:rsidR="00AE5E4B">
        <w:rPr>
          <w:color w:val="auto"/>
          <w:lang w:val="en-US"/>
        </w:rPr>
        <w:t xml:space="preserve">H3a </w:t>
      </w:r>
      <w:r w:rsidR="003E267E">
        <w:rPr>
          <w:color w:val="auto"/>
          <w:lang w:val="en-US"/>
        </w:rPr>
        <w:t>is</w:t>
      </w:r>
      <w:r w:rsidR="00AE5E4B">
        <w:rPr>
          <w:color w:val="auto"/>
          <w:lang w:val="en-US"/>
        </w:rPr>
        <w:t xml:space="preserve"> rejected but </w:t>
      </w:r>
      <w:r w:rsidR="003E267E">
        <w:rPr>
          <w:color w:val="auto"/>
          <w:lang w:val="en-US"/>
        </w:rPr>
        <w:t xml:space="preserve">hypothesis </w:t>
      </w:r>
      <w:r w:rsidR="00AE5E4B">
        <w:rPr>
          <w:color w:val="auto"/>
          <w:lang w:val="en-US"/>
        </w:rPr>
        <w:t>H</w:t>
      </w:r>
      <w:r w:rsidR="00C97541">
        <w:rPr>
          <w:color w:val="auto"/>
          <w:lang w:val="en-US"/>
        </w:rPr>
        <w:t>3</w:t>
      </w:r>
      <w:r w:rsidR="00AE5E4B">
        <w:rPr>
          <w:color w:val="auto"/>
          <w:lang w:val="en-US"/>
        </w:rPr>
        <w:t xml:space="preserve">b </w:t>
      </w:r>
      <w:r w:rsidR="003E267E">
        <w:rPr>
          <w:color w:val="auto"/>
          <w:lang w:val="en-US"/>
        </w:rPr>
        <w:t xml:space="preserve">is </w:t>
      </w:r>
      <w:r w:rsidR="00AE5E4B">
        <w:rPr>
          <w:color w:val="auto"/>
          <w:lang w:val="en-US"/>
        </w:rPr>
        <w:t>accepted.</w:t>
      </w:r>
    </w:p>
    <w:p w14:paraId="71278689" w14:textId="77777777" w:rsidR="000D6CFA" w:rsidRPr="00EF201C" w:rsidRDefault="000D6CFA">
      <w:pPr>
        <w:spacing w:line="480" w:lineRule="auto"/>
        <w:ind w:firstLine="567"/>
        <w:jc w:val="both"/>
        <w:rPr>
          <w:color w:val="auto"/>
          <w:lang w:val="en-US"/>
        </w:rPr>
      </w:pPr>
    </w:p>
    <w:p w14:paraId="4E7FBBAB" w14:textId="77777777" w:rsidR="00A5674E" w:rsidRPr="00EF201C" w:rsidRDefault="00FE370C" w:rsidP="00350DF5">
      <w:pPr>
        <w:pStyle w:val="ListParagraph"/>
        <w:numPr>
          <w:ilvl w:val="1"/>
          <w:numId w:val="1"/>
        </w:numPr>
        <w:spacing w:line="480" w:lineRule="auto"/>
        <w:ind w:left="567" w:hanging="567"/>
        <w:rPr>
          <w:b/>
          <w:i/>
          <w:color w:val="auto"/>
          <w:szCs w:val="24"/>
          <w:lang w:val="en-US"/>
        </w:rPr>
      </w:pPr>
      <w:r w:rsidRPr="00EF201C">
        <w:rPr>
          <w:b/>
          <w:i/>
          <w:color w:val="auto"/>
          <w:szCs w:val="24"/>
          <w:lang w:val="en-US"/>
        </w:rPr>
        <w:t>The Existence of Other Standing Committee</w:t>
      </w:r>
    </w:p>
    <w:p w14:paraId="154F68AA" w14:textId="264E7D53" w:rsidR="00A5674E" w:rsidRPr="00EF201C" w:rsidRDefault="00FE370C">
      <w:pPr>
        <w:spacing w:line="480" w:lineRule="auto"/>
        <w:ind w:firstLine="624"/>
        <w:jc w:val="both"/>
        <w:rPr>
          <w:color w:val="auto"/>
          <w:lang w:val="en-US"/>
        </w:rPr>
      </w:pPr>
      <w:r w:rsidRPr="00EF201C">
        <w:rPr>
          <w:color w:val="auto"/>
          <w:lang w:val="en-US"/>
        </w:rPr>
        <w:t>The results indicate a significant positive relationship (at the 1% level, with a co-efficient of 0.513) between the existence of CSR comm</w:t>
      </w:r>
      <w:r w:rsidR="00967B6F">
        <w:rPr>
          <w:color w:val="auto"/>
          <w:lang w:val="en-US"/>
        </w:rPr>
        <w:t>0</w:t>
      </w:r>
      <w:r w:rsidRPr="00EF201C">
        <w:rPr>
          <w:color w:val="auto"/>
          <w:lang w:val="en-US"/>
        </w:rPr>
        <w:t xml:space="preserve">ittees and CCIDQ. The possible implication is that the CSR committees have a stronger influence on CCIDQ because they </w:t>
      </w:r>
      <w:r w:rsidR="00FC4CC8" w:rsidRPr="00EF201C">
        <w:rPr>
          <w:color w:val="auto"/>
          <w:lang w:val="en-US"/>
        </w:rPr>
        <w:t xml:space="preserve">are </w:t>
      </w:r>
      <w:r w:rsidRPr="00EF201C">
        <w:rPr>
          <w:color w:val="auto"/>
          <w:lang w:val="en-US"/>
        </w:rPr>
        <w:t>established for the administration of CSR issues. Th</w:t>
      </w:r>
      <w:r w:rsidR="00FC4CC8" w:rsidRPr="00EF201C">
        <w:rPr>
          <w:color w:val="auto"/>
          <w:lang w:val="en-US"/>
        </w:rPr>
        <w:t>is</w:t>
      </w:r>
      <w:r w:rsidRPr="00EF201C">
        <w:rPr>
          <w:color w:val="auto"/>
          <w:lang w:val="en-US"/>
        </w:rPr>
        <w:t xml:space="preserve"> result is consistent with Cowen et al. (1987), who </w:t>
      </w:r>
      <w:r w:rsidR="00FC4CC8" w:rsidRPr="00EF201C">
        <w:rPr>
          <w:color w:val="auto"/>
          <w:lang w:val="en-US"/>
        </w:rPr>
        <w:t xml:space="preserve">report </w:t>
      </w:r>
      <w:r w:rsidRPr="00EF201C">
        <w:rPr>
          <w:color w:val="auto"/>
          <w:lang w:val="en-US"/>
        </w:rPr>
        <w:t>CSR committee hav</w:t>
      </w:r>
      <w:r w:rsidR="00FC4CC8" w:rsidRPr="00EF201C">
        <w:rPr>
          <w:color w:val="auto"/>
          <w:lang w:val="en-US"/>
        </w:rPr>
        <w:t>ing</w:t>
      </w:r>
      <w:r w:rsidRPr="00EF201C">
        <w:rPr>
          <w:color w:val="auto"/>
          <w:lang w:val="en-US"/>
        </w:rPr>
        <w:t xml:space="preserve"> a strong association with human resources information. Similarly, the standalone risk </w:t>
      </w:r>
      <w:r w:rsidRPr="00EF201C">
        <w:rPr>
          <w:color w:val="auto"/>
          <w:lang w:val="en-US"/>
        </w:rPr>
        <w:lastRenderedPageBreak/>
        <w:t xml:space="preserve">committee </w:t>
      </w:r>
      <w:r w:rsidR="00FC4CC8" w:rsidRPr="00EF201C">
        <w:rPr>
          <w:color w:val="auto"/>
          <w:lang w:val="en-US"/>
        </w:rPr>
        <w:t>is</w:t>
      </w:r>
      <w:r w:rsidRPr="00EF201C">
        <w:rPr>
          <w:color w:val="auto"/>
          <w:lang w:val="en-US"/>
        </w:rPr>
        <w:t xml:space="preserve"> found to have a marginally significant positive relationship with CCIDQ. Furthermore, the existence of a disclosure committee </w:t>
      </w:r>
      <w:r w:rsidR="00FC4CC8" w:rsidRPr="00EF201C">
        <w:rPr>
          <w:color w:val="auto"/>
          <w:lang w:val="en-US"/>
        </w:rPr>
        <w:t>is</w:t>
      </w:r>
      <w:r w:rsidRPr="00EF201C">
        <w:rPr>
          <w:color w:val="auto"/>
          <w:lang w:val="en-US"/>
        </w:rPr>
        <w:t xml:space="preserve"> not significantly related to the quality of CCI disclosure. This could be because it is not a prerequisite to listing in the UK.  </w:t>
      </w:r>
      <w:r w:rsidR="003E267E">
        <w:rPr>
          <w:color w:val="auto"/>
          <w:lang w:val="en-US"/>
        </w:rPr>
        <w:t xml:space="preserve">Hence, </w:t>
      </w:r>
      <w:r w:rsidR="00AE5E4B">
        <w:rPr>
          <w:color w:val="auto"/>
          <w:lang w:val="en-US"/>
        </w:rPr>
        <w:t xml:space="preserve">H4 </w:t>
      </w:r>
      <w:r w:rsidR="003E267E">
        <w:rPr>
          <w:color w:val="auto"/>
          <w:lang w:val="en-US"/>
        </w:rPr>
        <w:t>is</w:t>
      </w:r>
      <w:r w:rsidR="00AE5E4B">
        <w:rPr>
          <w:color w:val="auto"/>
          <w:lang w:val="en-US"/>
        </w:rPr>
        <w:t xml:space="preserve"> accepted for the case of the CSR committee but rejected for the case of all other standings committees, i.e. the risk and disclosure committees.   </w:t>
      </w:r>
    </w:p>
    <w:p w14:paraId="226EF78F" w14:textId="77777777" w:rsidR="00A5674E" w:rsidRDefault="00A5674E">
      <w:pPr>
        <w:spacing w:line="480" w:lineRule="auto"/>
        <w:ind w:firstLine="624"/>
        <w:jc w:val="both"/>
        <w:rPr>
          <w:color w:val="auto"/>
          <w:lang w:val="en-US"/>
        </w:rPr>
      </w:pPr>
    </w:p>
    <w:p w14:paraId="12905A98" w14:textId="77777777" w:rsidR="006F5D7B" w:rsidRDefault="006F5D7B">
      <w:pPr>
        <w:spacing w:line="480" w:lineRule="auto"/>
        <w:ind w:firstLine="624"/>
        <w:jc w:val="both"/>
        <w:rPr>
          <w:color w:val="auto"/>
          <w:lang w:val="en-US"/>
        </w:rPr>
      </w:pPr>
    </w:p>
    <w:p w14:paraId="161BEC76" w14:textId="77777777" w:rsidR="00A5674E" w:rsidRPr="00EF201C" w:rsidRDefault="00FE370C" w:rsidP="00350DF5">
      <w:pPr>
        <w:pStyle w:val="ListParagraph"/>
        <w:numPr>
          <w:ilvl w:val="1"/>
          <w:numId w:val="1"/>
        </w:numPr>
        <w:spacing w:line="480" w:lineRule="auto"/>
        <w:ind w:left="567" w:hanging="567"/>
        <w:rPr>
          <w:b/>
          <w:i/>
          <w:color w:val="auto"/>
          <w:szCs w:val="24"/>
          <w:lang w:val="en-US"/>
        </w:rPr>
      </w:pPr>
      <w:r w:rsidRPr="00EF201C">
        <w:rPr>
          <w:b/>
          <w:i/>
          <w:color w:val="auto"/>
          <w:szCs w:val="24"/>
          <w:lang w:val="en-US"/>
        </w:rPr>
        <w:t>Firm-Specific Characteristics</w:t>
      </w:r>
    </w:p>
    <w:p w14:paraId="484B3798" w14:textId="6A5971ED" w:rsidR="00A5674E" w:rsidRDefault="00FE370C">
      <w:pPr>
        <w:spacing w:line="480" w:lineRule="auto"/>
        <w:ind w:firstLine="567"/>
        <w:jc w:val="both"/>
        <w:rPr>
          <w:color w:val="auto"/>
          <w:lang w:val="en-US"/>
        </w:rPr>
      </w:pPr>
      <w:r w:rsidRPr="00EF201C">
        <w:rPr>
          <w:color w:val="auto"/>
          <w:lang w:val="en-US"/>
        </w:rPr>
        <w:t xml:space="preserve">The result indicates that CCIDQ is significantly associated with </w:t>
      </w:r>
      <w:r w:rsidR="00037E4E">
        <w:rPr>
          <w:color w:val="auto"/>
          <w:lang w:val="en-US"/>
        </w:rPr>
        <w:t>t</w:t>
      </w:r>
      <w:r w:rsidRPr="00EF201C">
        <w:rPr>
          <w:color w:val="auto"/>
          <w:lang w:val="en-US"/>
        </w:rPr>
        <w:t xml:space="preserve">urnover and listing age at the 1% and 5% significance levels, with coefficients </w:t>
      </w:r>
      <w:r w:rsidR="00FC4CC8" w:rsidRPr="00EF201C">
        <w:rPr>
          <w:color w:val="auto"/>
          <w:lang w:val="en-US"/>
        </w:rPr>
        <w:t xml:space="preserve">of </w:t>
      </w:r>
      <w:r w:rsidRPr="00EF201C">
        <w:rPr>
          <w:color w:val="auto"/>
          <w:lang w:val="en-US"/>
        </w:rPr>
        <w:t>0.423 and 0.021 respectively. We f</w:t>
      </w:r>
      <w:r w:rsidR="00FC4CC8" w:rsidRPr="00EF201C">
        <w:rPr>
          <w:color w:val="auto"/>
          <w:lang w:val="en-US"/>
        </w:rPr>
        <w:t>ind</w:t>
      </w:r>
      <w:r w:rsidRPr="00EF201C">
        <w:rPr>
          <w:color w:val="auto"/>
          <w:lang w:val="en-US"/>
        </w:rPr>
        <w:t xml:space="preserve"> no significant relationship between CCIDQ and leverage and firm performance. The regression results indicate an insignificant relationship with ROE and leverage. This could mean larger firms that are well established will more likely disclose high-quality CCI activities than younger and smaller ones who are highly geared and less profitable. Nevertheless, the insignificant CCIDQ/ROE relationship is consistent with studies such as </w:t>
      </w:r>
      <w:proofErr w:type="spellStart"/>
      <w:r w:rsidRPr="00EF201C">
        <w:rPr>
          <w:color w:val="auto"/>
          <w:lang w:val="en-US"/>
        </w:rPr>
        <w:t>Hackston</w:t>
      </w:r>
      <w:proofErr w:type="spellEnd"/>
      <w:r w:rsidRPr="00EF201C">
        <w:rPr>
          <w:color w:val="auto"/>
          <w:lang w:val="en-US"/>
        </w:rPr>
        <w:t xml:space="preserve"> and Milne (1996); Ho and Wong (2001); </w:t>
      </w:r>
      <w:proofErr w:type="spellStart"/>
      <w:r w:rsidRPr="00EF201C">
        <w:rPr>
          <w:color w:val="auto"/>
          <w:lang w:val="en-US"/>
        </w:rPr>
        <w:t>Hasseldine</w:t>
      </w:r>
      <w:proofErr w:type="spellEnd"/>
      <w:r w:rsidRPr="00EF201C">
        <w:rPr>
          <w:color w:val="auto"/>
          <w:lang w:val="en-US"/>
        </w:rPr>
        <w:t xml:space="preserve"> et al. (2005); </w:t>
      </w:r>
      <w:proofErr w:type="spellStart"/>
      <w:r w:rsidRPr="00EF201C">
        <w:rPr>
          <w:color w:val="auto"/>
          <w:lang w:val="en-US"/>
        </w:rPr>
        <w:t>Yekini</w:t>
      </w:r>
      <w:proofErr w:type="spellEnd"/>
      <w:r w:rsidRPr="00EF201C">
        <w:rPr>
          <w:color w:val="auto"/>
          <w:lang w:val="en-US"/>
        </w:rPr>
        <w:t xml:space="preserve"> and </w:t>
      </w:r>
      <w:proofErr w:type="spellStart"/>
      <w:r w:rsidRPr="00EF201C">
        <w:rPr>
          <w:color w:val="auto"/>
          <w:lang w:val="en-US"/>
        </w:rPr>
        <w:t>Jallow</w:t>
      </w:r>
      <w:proofErr w:type="spellEnd"/>
      <w:r w:rsidRPr="00EF201C">
        <w:rPr>
          <w:color w:val="auto"/>
          <w:lang w:val="en-US"/>
        </w:rPr>
        <w:t xml:space="preserve"> (2012), who also documented no statistical relationship. Similarly, the positive Age/disclosure relationship is consistent with the findings in </w:t>
      </w:r>
      <w:proofErr w:type="spellStart"/>
      <w:r w:rsidRPr="00EF201C">
        <w:rPr>
          <w:color w:val="auto"/>
          <w:lang w:val="en-US"/>
        </w:rPr>
        <w:t>Haniffa</w:t>
      </w:r>
      <w:proofErr w:type="spellEnd"/>
      <w:r w:rsidRPr="00EF201C">
        <w:rPr>
          <w:color w:val="auto"/>
          <w:lang w:val="en-US"/>
        </w:rPr>
        <w:t xml:space="preserve"> and Cooke (2002) and </w:t>
      </w:r>
      <w:proofErr w:type="spellStart"/>
      <w:r w:rsidRPr="00EF201C">
        <w:rPr>
          <w:color w:val="auto"/>
          <w:lang w:val="en-US"/>
        </w:rPr>
        <w:t>Galbreath</w:t>
      </w:r>
      <w:proofErr w:type="spellEnd"/>
      <w:r w:rsidRPr="00EF201C">
        <w:rPr>
          <w:color w:val="auto"/>
          <w:lang w:val="en-US"/>
        </w:rPr>
        <w:t xml:space="preserve"> et al. (2008), although these studies reported no statistical relationship between social disclosure and listing age. Furthermore, the positive but insignificant leverage/disclosure relationship is consistent with findings from </w:t>
      </w:r>
      <w:proofErr w:type="spellStart"/>
      <w:r w:rsidRPr="00EF201C">
        <w:rPr>
          <w:color w:val="auto"/>
          <w:lang w:val="en-US"/>
        </w:rPr>
        <w:t>Tsamenyi</w:t>
      </w:r>
      <w:proofErr w:type="spellEnd"/>
      <w:r w:rsidRPr="00EF201C">
        <w:rPr>
          <w:color w:val="auto"/>
          <w:lang w:val="en-US"/>
        </w:rPr>
        <w:t xml:space="preserve"> et al</w:t>
      </w:r>
      <w:r w:rsidR="000F4E6E" w:rsidRPr="00EF201C">
        <w:rPr>
          <w:color w:val="auto"/>
          <w:lang w:val="en-US"/>
        </w:rPr>
        <w:t>.</w:t>
      </w:r>
      <w:r w:rsidRPr="00EF201C">
        <w:rPr>
          <w:color w:val="auto"/>
          <w:lang w:val="en-US"/>
        </w:rPr>
        <w:t xml:space="preserve"> (2007) and </w:t>
      </w:r>
      <w:proofErr w:type="spellStart"/>
      <w:r w:rsidRPr="00EF201C">
        <w:rPr>
          <w:color w:val="auto"/>
          <w:lang w:val="en-US"/>
        </w:rPr>
        <w:t>Galbreath</w:t>
      </w:r>
      <w:proofErr w:type="spellEnd"/>
      <w:r w:rsidRPr="00EF201C">
        <w:rPr>
          <w:color w:val="auto"/>
          <w:lang w:val="en-US"/>
        </w:rPr>
        <w:t xml:space="preserve"> et al. (2008). These results are indicative of the ambiguity in the relationship between firm-specific variables and disclosure measures.  </w:t>
      </w:r>
      <w:r w:rsidR="003E267E">
        <w:rPr>
          <w:color w:val="auto"/>
          <w:lang w:val="en-US"/>
        </w:rPr>
        <w:t>Based on these findings</w:t>
      </w:r>
      <w:r w:rsidR="00AE5E4B">
        <w:rPr>
          <w:color w:val="auto"/>
          <w:lang w:val="en-US"/>
        </w:rPr>
        <w:t xml:space="preserve">, H5 </w:t>
      </w:r>
      <w:r w:rsidR="003E267E">
        <w:rPr>
          <w:color w:val="auto"/>
          <w:lang w:val="en-US"/>
        </w:rPr>
        <w:t>is</w:t>
      </w:r>
      <w:r w:rsidR="00AE5E4B">
        <w:rPr>
          <w:color w:val="auto"/>
          <w:lang w:val="en-US"/>
        </w:rPr>
        <w:t xml:space="preserve"> rejected. </w:t>
      </w:r>
    </w:p>
    <w:p w14:paraId="295260AB" w14:textId="77777777" w:rsidR="00AC5578" w:rsidRPr="00EF201C" w:rsidRDefault="00AC5578">
      <w:pPr>
        <w:spacing w:line="480" w:lineRule="auto"/>
        <w:ind w:firstLine="567"/>
        <w:jc w:val="both"/>
        <w:rPr>
          <w:color w:val="auto"/>
          <w:lang w:val="en-US"/>
        </w:rPr>
      </w:pPr>
    </w:p>
    <w:p w14:paraId="148FBD20" w14:textId="77777777" w:rsidR="00A5674E" w:rsidRPr="00EF201C" w:rsidRDefault="00FE370C">
      <w:pPr>
        <w:pStyle w:val="ListParagraph"/>
        <w:numPr>
          <w:ilvl w:val="0"/>
          <w:numId w:val="1"/>
        </w:numPr>
        <w:spacing w:line="480" w:lineRule="auto"/>
        <w:ind w:left="284" w:hanging="284"/>
        <w:jc w:val="left"/>
        <w:rPr>
          <w:b/>
          <w:color w:val="auto"/>
          <w:szCs w:val="24"/>
          <w:lang w:val="en-US"/>
        </w:rPr>
      </w:pPr>
      <w:r w:rsidRPr="00EF201C">
        <w:rPr>
          <w:b/>
          <w:bCs/>
          <w:color w:val="auto"/>
          <w:szCs w:val="24"/>
          <w:lang w:val="en-US"/>
        </w:rPr>
        <w:t>Summary and Conclusion</w:t>
      </w:r>
    </w:p>
    <w:p w14:paraId="1AEB5B71" w14:textId="20E54E21" w:rsidR="00CD7816" w:rsidRDefault="00FE370C" w:rsidP="00612F8E">
      <w:pPr>
        <w:spacing w:line="480" w:lineRule="auto"/>
        <w:ind w:firstLine="567"/>
        <w:jc w:val="both"/>
        <w:rPr>
          <w:color w:val="auto"/>
          <w:lang w:val="en-US"/>
        </w:rPr>
      </w:pPr>
      <w:r w:rsidRPr="00EF201C">
        <w:rPr>
          <w:color w:val="auto"/>
          <w:lang w:val="en-US"/>
        </w:rPr>
        <w:lastRenderedPageBreak/>
        <w:t xml:space="preserve">The primary aim of this study is to investigate the relationship between nonexecutive directors, also known as outside directors, and the quality of the CCI activities disclosed in annual reports. This was necessitated by the fact that outside directors constitute for the most part </w:t>
      </w:r>
      <w:r w:rsidRPr="00EF201C">
        <w:rPr>
          <w:bCs/>
          <w:color w:val="auto"/>
          <w:lang w:val="en-US"/>
        </w:rPr>
        <w:t>community leaders in the majority of large corporations (Mitchell et al</w:t>
      </w:r>
      <w:r w:rsidR="000F4E6E" w:rsidRPr="00EF201C">
        <w:rPr>
          <w:bCs/>
          <w:color w:val="auto"/>
          <w:lang w:val="en-US"/>
        </w:rPr>
        <w:t>.</w:t>
      </w:r>
      <w:r w:rsidRPr="00EF201C">
        <w:rPr>
          <w:bCs/>
          <w:color w:val="auto"/>
          <w:lang w:val="en-US"/>
        </w:rPr>
        <w:t>, 1997). Accordingly, Mitchell et al</w:t>
      </w:r>
      <w:r w:rsidR="000F4E6E" w:rsidRPr="00EF201C">
        <w:rPr>
          <w:bCs/>
          <w:color w:val="auto"/>
          <w:lang w:val="en-US"/>
        </w:rPr>
        <w:t>.</w:t>
      </w:r>
      <w:r w:rsidRPr="00EF201C">
        <w:rPr>
          <w:bCs/>
          <w:color w:val="auto"/>
          <w:lang w:val="en-US"/>
        </w:rPr>
        <w:t xml:space="preserve"> (1997) argue</w:t>
      </w:r>
      <w:r w:rsidR="008D13EC" w:rsidRPr="00EF201C">
        <w:rPr>
          <w:bCs/>
          <w:color w:val="auto"/>
          <w:lang w:val="en-US"/>
        </w:rPr>
        <w:t>d</w:t>
      </w:r>
      <w:r w:rsidRPr="00EF201C">
        <w:rPr>
          <w:bCs/>
          <w:color w:val="auto"/>
          <w:lang w:val="en-US"/>
        </w:rPr>
        <w:t xml:space="preserve"> that it is their responsibility to represent the interests of their community at the board level and </w:t>
      </w:r>
      <w:r w:rsidR="008D13EC" w:rsidRPr="00EF201C">
        <w:rPr>
          <w:bCs/>
          <w:color w:val="auto"/>
          <w:lang w:val="en-US"/>
        </w:rPr>
        <w:t xml:space="preserve">to </w:t>
      </w:r>
      <w:r w:rsidRPr="00EF201C">
        <w:rPr>
          <w:bCs/>
          <w:i/>
          <w:color w:val="auto"/>
          <w:lang w:val="en-US"/>
        </w:rPr>
        <w:t>“maintain good relationships”</w:t>
      </w:r>
      <w:r w:rsidRPr="00EF201C">
        <w:rPr>
          <w:bCs/>
          <w:color w:val="auto"/>
          <w:lang w:val="en-US"/>
        </w:rPr>
        <w:t xml:space="preserve"> between the corporation and its local community and the government (Mitchell et al., 1997</w:t>
      </w:r>
      <w:r w:rsidR="00B6739E" w:rsidRPr="00EF201C">
        <w:rPr>
          <w:bCs/>
          <w:color w:val="auto"/>
          <w:lang w:val="en-US"/>
        </w:rPr>
        <w:t>, p.</w:t>
      </w:r>
      <w:r w:rsidRPr="00EF201C">
        <w:rPr>
          <w:bCs/>
          <w:color w:val="auto"/>
          <w:lang w:val="en-US"/>
        </w:rPr>
        <w:t>877). Therefore, the authors expected a relationship to exist between outside directors and not just with the extent of CCI disclosure but also with the quality of CCI disclosure. The findings from this study not only confirm th</w:t>
      </w:r>
      <w:r w:rsidR="00B6739E" w:rsidRPr="00EF201C">
        <w:rPr>
          <w:bCs/>
          <w:color w:val="auto"/>
          <w:lang w:val="en-US"/>
        </w:rPr>
        <w:t>is</w:t>
      </w:r>
      <w:r w:rsidRPr="00EF201C">
        <w:rPr>
          <w:bCs/>
          <w:color w:val="auto"/>
          <w:lang w:val="en-US"/>
        </w:rPr>
        <w:t xml:space="preserve"> expectation but also </w:t>
      </w:r>
      <w:r w:rsidRPr="00EF201C">
        <w:rPr>
          <w:color w:val="auto"/>
          <w:lang w:val="en-US"/>
        </w:rPr>
        <w:t xml:space="preserve">suggest that </w:t>
      </w:r>
      <w:proofErr w:type="gramStart"/>
      <w:r w:rsidRPr="00EF201C">
        <w:rPr>
          <w:i/>
          <w:color w:val="auto"/>
          <w:lang w:val="en-US"/>
        </w:rPr>
        <w:t>CCIDQ</w:t>
      </w:r>
      <w:r w:rsidRPr="00EF201C">
        <w:rPr>
          <w:color w:val="auto"/>
          <w:lang w:val="en-US"/>
        </w:rPr>
        <w:t>,</w:t>
      </w:r>
      <w:proofErr w:type="gramEnd"/>
      <w:r w:rsidRPr="00EF201C">
        <w:rPr>
          <w:color w:val="auto"/>
          <w:lang w:val="en-US"/>
        </w:rPr>
        <w:t xml:space="preserve"> respond</w:t>
      </w:r>
      <w:r w:rsidR="00B6739E" w:rsidRPr="00EF201C">
        <w:rPr>
          <w:color w:val="auto"/>
          <w:lang w:val="en-US"/>
        </w:rPr>
        <w:t>s</w:t>
      </w:r>
      <w:r w:rsidRPr="00EF201C">
        <w:rPr>
          <w:color w:val="auto"/>
          <w:lang w:val="en-US"/>
        </w:rPr>
        <w:t xml:space="preserve"> to other CG monitoring mechanisms such as audit committee activities and the existence of other standing committees</w:t>
      </w:r>
      <w:r w:rsidR="002B543D">
        <w:rPr>
          <w:color w:val="auto"/>
          <w:lang w:val="en-US"/>
        </w:rPr>
        <w:t xml:space="preserve">. Indeed the study revealed </w:t>
      </w:r>
      <w:r w:rsidRPr="00EF201C">
        <w:rPr>
          <w:color w:val="auto"/>
          <w:lang w:val="en-US"/>
        </w:rPr>
        <w:t xml:space="preserve">that </w:t>
      </w:r>
      <w:r w:rsidRPr="00EF201C">
        <w:rPr>
          <w:i/>
          <w:color w:val="auto"/>
          <w:lang w:val="en-US"/>
        </w:rPr>
        <w:t>CCIDQ</w:t>
      </w:r>
      <w:r w:rsidRPr="00EF201C">
        <w:rPr>
          <w:color w:val="auto"/>
          <w:lang w:val="en-US"/>
        </w:rPr>
        <w:t xml:space="preserve"> respond</w:t>
      </w:r>
      <w:r w:rsidR="00B6739E" w:rsidRPr="00EF201C">
        <w:rPr>
          <w:color w:val="auto"/>
          <w:lang w:val="en-US"/>
        </w:rPr>
        <w:t>s</w:t>
      </w:r>
      <w:r w:rsidRPr="00EF201C">
        <w:rPr>
          <w:color w:val="auto"/>
          <w:lang w:val="en-US"/>
        </w:rPr>
        <w:t xml:space="preserve"> more to </w:t>
      </w:r>
      <w:r w:rsidR="00F837BF">
        <w:rPr>
          <w:color w:val="auto"/>
          <w:lang w:val="en-US"/>
        </w:rPr>
        <w:t xml:space="preserve">some of the </w:t>
      </w:r>
      <w:r w:rsidRPr="00EF201C">
        <w:rPr>
          <w:color w:val="auto"/>
          <w:lang w:val="en-US"/>
        </w:rPr>
        <w:t>standing committees</w:t>
      </w:r>
      <w:r w:rsidR="00F837BF">
        <w:rPr>
          <w:color w:val="auto"/>
          <w:lang w:val="en-US"/>
        </w:rPr>
        <w:t xml:space="preserve">, </w:t>
      </w:r>
      <w:r w:rsidRPr="00EF201C">
        <w:rPr>
          <w:color w:val="auto"/>
          <w:lang w:val="en-US"/>
        </w:rPr>
        <w:t>such as the CSR committee</w:t>
      </w:r>
      <w:r w:rsidR="00F837BF">
        <w:rPr>
          <w:color w:val="auto"/>
          <w:lang w:val="en-US"/>
        </w:rPr>
        <w:t xml:space="preserve">, </w:t>
      </w:r>
      <w:r w:rsidRPr="00EF201C">
        <w:rPr>
          <w:color w:val="auto"/>
          <w:lang w:val="en-US"/>
        </w:rPr>
        <w:t xml:space="preserve">than to board activities. The plausible explanation for this may be in line with the argument of </w:t>
      </w:r>
      <w:proofErr w:type="spellStart"/>
      <w:r w:rsidRPr="00EF201C">
        <w:rPr>
          <w:color w:val="auto"/>
          <w:lang w:val="en-US"/>
        </w:rPr>
        <w:t>Vafeas</w:t>
      </w:r>
      <w:proofErr w:type="spellEnd"/>
      <w:r w:rsidRPr="00EF201C">
        <w:rPr>
          <w:color w:val="auto"/>
          <w:lang w:val="en-US"/>
        </w:rPr>
        <w:t xml:space="preserve"> (1999) that many of the monitoring tasks of the board have been delegated to the standing committees; therefore, the boards are left with the coordination of standing committee activities rather than the direct monitoring of management, which explains why outside directors was the only significant variable among the other variables measuring board activities. </w:t>
      </w:r>
    </w:p>
    <w:p w14:paraId="767DE6B3" w14:textId="6ED92E4D" w:rsidR="006D2326" w:rsidRPr="00335869" w:rsidRDefault="00FE370C" w:rsidP="00612F8E">
      <w:pPr>
        <w:spacing w:line="480" w:lineRule="auto"/>
        <w:ind w:firstLine="567"/>
        <w:jc w:val="both"/>
        <w:rPr>
          <w:b/>
          <w:color w:val="FF0000"/>
          <w:lang w:val="en-US"/>
        </w:rPr>
      </w:pPr>
      <w:r w:rsidRPr="00EF201C">
        <w:rPr>
          <w:color w:val="auto"/>
          <w:lang w:val="en-US"/>
        </w:rPr>
        <w:t>The paper is novel in that it is the first to examine specifically the link between outside directors and C</w:t>
      </w:r>
      <w:r w:rsidR="00B6739E" w:rsidRPr="00EF201C">
        <w:rPr>
          <w:color w:val="auto"/>
          <w:lang w:val="en-US"/>
        </w:rPr>
        <w:t xml:space="preserve">CI disclosure in annual reports and </w:t>
      </w:r>
      <w:r w:rsidRPr="00EF201C">
        <w:rPr>
          <w:color w:val="auto"/>
          <w:lang w:val="en-US"/>
        </w:rPr>
        <w:t xml:space="preserve">contributes both to the </w:t>
      </w:r>
      <w:r w:rsidR="003F7F9D" w:rsidRPr="00EF201C">
        <w:rPr>
          <w:color w:val="auto"/>
          <w:lang w:val="en-US"/>
        </w:rPr>
        <w:t>CG</w:t>
      </w:r>
      <w:r w:rsidRPr="00EF201C">
        <w:rPr>
          <w:color w:val="auto"/>
          <w:lang w:val="en-US"/>
        </w:rPr>
        <w:t xml:space="preserve"> and CCI disclosure literature. We find that good </w:t>
      </w:r>
      <w:r w:rsidR="003F7F9D" w:rsidRPr="00EF201C">
        <w:rPr>
          <w:color w:val="auto"/>
          <w:lang w:val="en-US"/>
        </w:rPr>
        <w:t>CG</w:t>
      </w:r>
      <w:r w:rsidRPr="00EF201C">
        <w:rPr>
          <w:color w:val="auto"/>
          <w:lang w:val="en-US"/>
        </w:rPr>
        <w:t xml:space="preserve"> </w:t>
      </w:r>
      <w:proofErr w:type="spellStart"/>
      <w:r w:rsidRPr="00EF201C">
        <w:rPr>
          <w:color w:val="auto"/>
          <w:lang w:val="en-US"/>
        </w:rPr>
        <w:t>characteri</w:t>
      </w:r>
      <w:r w:rsidR="00B6739E" w:rsidRPr="00EF201C">
        <w:rPr>
          <w:color w:val="auto"/>
          <w:lang w:val="en-US"/>
        </w:rPr>
        <w:t>s</w:t>
      </w:r>
      <w:r w:rsidRPr="00EF201C">
        <w:rPr>
          <w:color w:val="auto"/>
          <w:lang w:val="en-US"/>
        </w:rPr>
        <w:t>ed</w:t>
      </w:r>
      <w:proofErr w:type="spellEnd"/>
      <w:r w:rsidRPr="00EF201C">
        <w:rPr>
          <w:color w:val="auto"/>
          <w:lang w:val="en-US"/>
        </w:rPr>
        <w:t xml:space="preserve"> by more outside directors encouraged more transparent disclosure</w:t>
      </w:r>
      <w:r w:rsidR="007A3C31">
        <w:rPr>
          <w:color w:val="auto"/>
          <w:lang w:val="en-US"/>
        </w:rPr>
        <w:t xml:space="preserve"> </w:t>
      </w:r>
      <w:r w:rsidR="007A3C31" w:rsidRPr="00855E1C">
        <w:rPr>
          <w:color w:val="auto"/>
          <w:lang w:val="en-US"/>
        </w:rPr>
        <w:t>measured by the quality of the disclosure</w:t>
      </w:r>
      <w:r w:rsidRPr="00855E1C">
        <w:rPr>
          <w:color w:val="auto"/>
          <w:lang w:val="en-US"/>
        </w:rPr>
        <w:t xml:space="preserve">. </w:t>
      </w:r>
      <w:r w:rsidR="00673CC8" w:rsidRPr="00855E1C">
        <w:rPr>
          <w:color w:val="auto"/>
          <w:lang w:val="en-US"/>
        </w:rPr>
        <w:t xml:space="preserve"> Our study also provides a clear synthesis of previous disclosure studies, and contributes to disclosure measurement by proposing </w:t>
      </w:r>
      <w:r w:rsidR="007A3C31" w:rsidRPr="00855E1C">
        <w:rPr>
          <w:color w:val="auto"/>
          <w:lang w:val="en-US"/>
        </w:rPr>
        <w:t>a three-process measure</w:t>
      </w:r>
      <w:r w:rsidR="00673CC8" w:rsidRPr="00855E1C">
        <w:rPr>
          <w:color w:val="auto"/>
          <w:lang w:val="en-US"/>
        </w:rPr>
        <w:t>ment</w:t>
      </w:r>
      <w:r w:rsidR="007A3C31" w:rsidRPr="00855E1C">
        <w:rPr>
          <w:color w:val="auto"/>
          <w:lang w:val="en-US"/>
        </w:rPr>
        <w:t xml:space="preserve"> of CCI disclosure quality that is based on specific project identification, clear and traceable evidence and disclosure location. </w:t>
      </w:r>
      <w:r w:rsidR="006D2326" w:rsidRPr="00855E1C">
        <w:rPr>
          <w:color w:val="auto"/>
          <w:lang w:val="en-US"/>
        </w:rPr>
        <w:t>Future disclosure studies should consider using this three-process approach in arriving at a disclosure quality measurement.</w:t>
      </w:r>
      <w:r w:rsidR="006D2326" w:rsidRPr="00855E1C">
        <w:rPr>
          <w:b/>
          <w:color w:val="auto"/>
          <w:lang w:val="en-US"/>
        </w:rPr>
        <w:t xml:space="preserve"> </w:t>
      </w:r>
    </w:p>
    <w:p w14:paraId="5A91CFC0" w14:textId="77777777" w:rsidR="00612F8E" w:rsidRPr="00612F8E" w:rsidRDefault="00FE370C" w:rsidP="00612F8E">
      <w:pPr>
        <w:spacing w:line="480" w:lineRule="auto"/>
        <w:ind w:firstLine="567"/>
        <w:jc w:val="both"/>
        <w:rPr>
          <w:color w:val="auto"/>
        </w:rPr>
      </w:pPr>
      <w:r w:rsidRPr="00EF201C">
        <w:rPr>
          <w:color w:val="auto"/>
          <w:lang w:val="en-US"/>
        </w:rPr>
        <w:lastRenderedPageBreak/>
        <w:t xml:space="preserve">In addition, given the recent global demand for transparency in governance and accountability, this paper is timely </w:t>
      </w:r>
      <w:r w:rsidR="003A2AD0">
        <w:rPr>
          <w:color w:val="auto"/>
          <w:lang w:val="en-US"/>
        </w:rPr>
        <w:t xml:space="preserve">as it </w:t>
      </w:r>
      <w:r w:rsidRPr="00EF201C">
        <w:rPr>
          <w:color w:val="auto"/>
          <w:lang w:val="en-US"/>
        </w:rPr>
        <w:t>addresses the issue of governance structure, pointing to the need and importance of including more independent non</w:t>
      </w:r>
      <w:r w:rsidR="00B6739E" w:rsidRPr="00EF201C">
        <w:rPr>
          <w:color w:val="auto"/>
          <w:lang w:val="en-US"/>
        </w:rPr>
        <w:t>-</w:t>
      </w:r>
      <w:r w:rsidRPr="00EF201C">
        <w:rPr>
          <w:color w:val="auto"/>
          <w:lang w:val="en-US"/>
        </w:rPr>
        <w:t xml:space="preserve">executive directors in the governance process. </w:t>
      </w:r>
      <w:r w:rsidR="00612F8E">
        <w:rPr>
          <w:color w:val="auto"/>
          <w:lang w:val="en-US"/>
        </w:rPr>
        <w:t>Furthermore</w:t>
      </w:r>
      <w:r w:rsidR="00F1583C">
        <w:rPr>
          <w:color w:val="auto"/>
          <w:lang w:val="en-US"/>
        </w:rPr>
        <w:t xml:space="preserve">, it </w:t>
      </w:r>
      <w:r w:rsidR="001229D8" w:rsidRPr="00612F8E">
        <w:rPr>
          <w:color w:val="auto"/>
        </w:rPr>
        <w:t>offers</w:t>
      </w:r>
      <w:r w:rsidR="00795E3E">
        <w:rPr>
          <w:color w:val="auto"/>
        </w:rPr>
        <w:t xml:space="preserve"> rich and </w:t>
      </w:r>
      <w:r w:rsidR="00795E3E" w:rsidRPr="00612F8E">
        <w:rPr>
          <w:color w:val="auto"/>
        </w:rPr>
        <w:t>important</w:t>
      </w:r>
      <w:r w:rsidR="00612F8E" w:rsidRPr="00612F8E">
        <w:rPr>
          <w:color w:val="auto"/>
        </w:rPr>
        <w:t xml:space="preserve"> insight to policy makers who are interested in achievin</w:t>
      </w:r>
      <w:r w:rsidR="00612F8E">
        <w:rPr>
          <w:color w:val="auto"/>
        </w:rPr>
        <w:t xml:space="preserve">g optimal board composition and those </w:t>
      </w:r>
      <w:r w:rsidR="00612F8E" w:rsidRPr="00612F8E">
        <w:rPr>
          <w:color w:val="auto"/>
        </w:rPr>
        <w:t xml:space="preserve">who are interested in </w:t>
      </w:r>
      <w:r w:rsidR="00612F8E">
        <w:rPr>
          <w:color w:val="auto"/>
        </w:rPr>
        <w:t xml:space="preserve">the </w:t>
      </w:r>
      <w:r w:rsidR="00612F8E" w:rsidRPr="00612F8E">
        <w:rPr>
          <w:color w:val="auto"/>
        </w:rPr>
        <w:t>interaction of the firm with its corporate and extended environment through high quality disclosures.</w:t>
      </w:r>
    </w:p>
    <w:p w14:paraId="4F98FFE4" w14:textId="7BF6FD63" w:rsidR="00A5674E" w:rsidRPr="00855E1C" w:rsidRDefault="00FE370C" w:rsidP="00D177FB">
      <w:pPr>
        <w:spacing w:line="480" w:lineRule="auto"/>
        <w:ind w:firstLine="567"/>
        <w:jc w:val="both"/>
        <w:rPr>
          <w:color w:val="auto"/>
          <w:lang w:val="en-US"/>
        </w:rPr>
      </w:pPr>
      <w:r w:rsidRPr="00EF201C">
        <w:rPr>
          <w:color w:val="auto"/>
          <w:lang w:val="en-US"/>
        </w:rPr>
        <w:t xml:space="preserve">One limitation </w:t>
      </w:r>
      <w:r w:rsidR="003A2AD0">
        <w:rPr>
          <w:color w:val="auto"/>
          <w:lang w:val="en-US"/>
        </w:rPr>
        <w:t xml:space="preserve">of this study, however, </w:t>
      </w:r>
      <w:r w:rsidRPr="00EF201C">
        <w:rPr>
          <w:color w:val="auto"/>
          <w:lang w:val="en-US"/>
        </w:rPr>
        <w:t>is the fact that th</w:t>
      </w:r>
      <w:r w:rsidR="003A2AD0">
        <w:rPr>
          <w:color w:val="auto"/>
          <w:lang w:val="en-US"/>
        </w:rPr>
        <w:t>e</w:t>
      </w:r>
      <w:r w:rsidRPr="00EF201C">
        <w:rPr>
          <w:color w:val="auto"/>
          <w:lang w:val="en-US"/>
        </w:rPr>
        <w:t xml:space="preserve"> study focused on disclosures in annual reports alone</w:t>
      </w:r>
      <w:r w:rsidR="003A2AD0">
        <w:rPr>
          <w:color w:val="auto"/>
          <w:lang w:val="en-US"/>
        </w:rPr>
        <w:t xml:space="preserve">. </w:t>
      </w:r>
      <w:r w:rsidR="003A2AD0" w:rsidRPr="00EF201C">
        <w:rPr>
          <w:color w:val="auto"/>
          <w:lang w:val="en-US"/>
        </w:rPr>
        <w:t>F</w:t>
      </w:r>
      <w:r w:rsidRPr="00EF201C">
        <w:rPr>
          <w:color w:val="auto"/>
          <w:lang w:val="en-US"/>
        </w:rPr>
        <w:t>uture</w:t>
      </w:r>
      <w:r w:rsidR="003A2AD0">
        <w:rPr>
          <w:color w:val="auto"/>
          <w:lang w:val="en-US"/>
        </w:rPr>
        <w:t xml:space="preserve"> </w:t>
      </w:r>
      <w:r w:rsidRPr="00EF201C">
        <w:rPr>
          <w:color w:val="auto"/>
          <w:lang w:val="en-US"/>
        </w:rPr>
        <w:t xml:space="preserve">research may consider </w:t>
      </w:r>
      <w:r w:rsidR="003A2AD0">
        <w:rPr>
          <w:color w:val="auto"/>
          <w:lang w:val="en-US"/>
        </w:rPr>
        <w:t xml:space="preserve">data from </w:t>
      </w:r>
      <w:r w:rsidRPr="00EF201C">
        <w:rPr>
          <w:color w:val="auto"/>
          <w:lang w:val="en-US"/>
        </w:rPr>
        <w:t xml:space="preserve">other </w:t>
      </w:r>
      <w:r w:rsidR="003A2AD0">
        <w:rPr>
          <w:color w:val="auto"/>
          <w:lang w:val="en-US"/>
        </w:rPr>
        <w:t xml:space="preserve">corporate </w:t>
      </w:r>
      <w:r w:rsidRPr="00EF201C">
        <w:rPr>
          <w:color w:val="auto"/>
          <w:lang w:val="en-US"/>
        </w:rPr>
        <w:t>communication media</w:t>
      </w:r>
      <w:r w:rsidR="003A2AD0">
        <w:rPr>
          <w:color w:val="auto"/>
          <w:lang w:val="en-US"/>
        </w:rPr>
        <w:t xml:space="preserve"> such as standalone CSR reports or press releases</w:t>
      </w:r>
      <w:r w:rsidRPr="00EF201C">
        <w:rPr>
          <w:color w:val="auto"/>
          <w:lang w:val="en-US"/>
        </w:rPr>
        <w:t>. Again, the study concentrate</w:t>
      </w:r>
      <w:r w:rsidR="00B6739E" w:rsidRPr="00EF201C">
        <w:rPr>
          <w:color w:val="auto"/>
          <w:lang w:val="en-US"/>
        </w:rPr>
        <w:t>s</w:t>
      </w:r>
      <w:r w:rsidRPr="00EF201C">
        <w:rPr>
          <w:color w:val="auto"/>
          <w:lang w:val="en-US"/>
        </w:rPr>
        <w:t xml:space="preserve"> on UK companies alone and therefore may not be applicable to other countries, especially developing countries</w:t>
      </w:r>
      <w:r w:rsidR="00D177FB">
        <w:rPr>
          <w:color w:val="auto"/>
          <w:lang w:val="en-US"/>
        </w:rPr>
        <w:t xml:space="preserve">, which are </w:t>
      </w:r>
      <w:proofErr w:type="spellStart"/>
      <w:r w:rsidR="00D177FB">
        <w:rPr>
          <w:color w:val="auto"/>
          <w:lang w:val="en-US"/>
        </w:rPr>
        <w:t>characterised</w:t>
      </w:r>
      <w:proofErr w:type="spellEnd"/>
      <w:r w:rsidR="00D177FB">
        <w:rPr>
          <w:color w:val="auto"/>
          <w:lang w:val="en-US"/>
        </w:rPr>
        <w:t xml:space="preserve"> by </w:t>
      </w:r>
      <w:r w:rsidR="00CD7816">
        <w:rPr>
          <w:color w:val="auto"/>
          <w:lang w:val="en-US"/>
        </w:rPr>
        <w:t>little or no CG structure in place. This is because m</w:t>
      </w:r>
      <w:r w:rsidR="00D177FB">
        <w:rPr>
          <w:color w:val="auto"/>
          <w:lang w:val="en-US"/>
        </w:rPr>
        <w:t xml:space="preserve">ost markets and institutions in </w:t>
      </w:r>
      <w:r w:rsidR="00D177FB" w:rsidRPr="00D177FB">
        <w:rPr>
          <w:color w:val="auto"/>
          <w:lang w:val="en-US"/>
        </w:rPr>
        <w:t>developing</w:t>
      </w:r>
      <w:r w:rsidR="00D177FB">
        <w:rPr>
          <w:color w:val="auto"/>
          <w:lang w:val="en-US"/>
        </w:rPr>
        <w:t xml:space="preserve"> </w:t>
      </w:r>
      <w:r w:rsidR="00D177FB" w:rsidRPr="00D177FB">
        <w:rPr>
          <w:color w:val="auto"/>
          <w:lang w:val="en-US"/>
        </w:rPr>
        <w:t xml:space="preserve">countries are </w:t>
      </w:r>
      <w:r w:rsidR="00D177FB">
        <w:rPr>
          <w:color w:val="auto"/>
          <w:lang w:val="en-US"/>
        </w:rPr>
        <w:t xml:space="preserve">informal and </w:t>
      </w:r>
      <w:r w:rsidR="00D177FB" w:rsidRPr="00D177FB">
        <w:rPr>
          <w:color w:val="auto"/>
          <w:lang w:val="en-US"/>
        </w:rPr>
        <w:t>quite different from market</w:t>
      </w:r>
      <w:r w:rsidR="00D177FB">
        <w:rPr>
          <w:color w:val="auto"/>
          <w:lang w:val="en-US"/>
        </w:rPr>
        <w:t>s and institutions in developed countries like</w:t>
      </w:r>
      <w:r w:rsidR="00F837BF">
        <w:rPr>
          <w:color w:val="auto"/>
          <w:lang w:val="en-US"/>
        </w:rPr>
        <w:t xml:space="preserve"> the</w:t>
      </w:r>
      <w:r w:rsidR="00D177FB">
        <w:rPr>
          <w:color w:val="auto"/>
          <w:lang w:val="en-US"/>
        </w:rPr>
        <w:t xml:space="preserve"> UK</w:t>
      </w:r>
      <w:r w:rsidR="00CD7816">
        <w:rPr>
          <w:color w:val="auto"/>
          <w:lang w:val="en-US"/>
        </w:rPr>
        <w:t xml:space="preserve">. </w:t>
      </w:r>
      <w:r w:rsidR="003A2AD0">
        <w:rPr>
          <w:color w:val="auto"/>
          <w:lang w:val="en-US"/>
        </w:rPr>
        <w:t xml:space="preserve">We </w:t>
      </w:r>
      <w:r w:rsidR="00CD7816">
        <w:rPr>
          <w:color w:val="auto"/>
          <w:lang w:val="en-US"/>
        </w:rPr>
        <w:t xml:space="preserve">therefore </w:t>
      </w:r>
      <w:r w:rsidR="003A2AD0">
        <w:rPr>
          <w:color w:val="auto"/>
          <w:lang w:val="en-US"/>
        </w:rPr>
        <w:t>suggest that</w:t>
      </w:r>
      <w:r w:rsidR="003A2AD0">
        <w:rPr>
          <w:color w:val="auto"/>
        </w:rPr>
        <w:t xml:space="preserve"> future research </w:t>
      </w:r>
      <w:r w:rsidR="003A2AD0" w:rsidRPr="00EF201C">
        <w:rPr>
          <w:color w:val="auto"/>
          <w:lang w:val="en-US"/>
        </w:rPr>
        <w:t xml:space="preserve">examine the link between </w:t>
      </w:r>
      <w:r w:rsidR="003A2AD0" w:rsidRPr="00EF201C">
        <w:rPr>
          <w:i/>
          <w:color w:val="auto"/>
          <w:lang w:val="en-US"/>
        </w:rPr>
        <w:t>CCIDQ</w:t>
      </w:r>
      <w:r w:rsidR="003A2AD0" w:rsidRPr="00EF201C">
        <w:rPr>
          <w:color w:val="auto"/>
          <w:lang w:val="en-US"/>
        </w:rPr>
        <w:t xml:space="preserve"> and outside directors using samples from developing countries. </w:t>
      </w:r>
      <w:r w:rsidRPr="00EF201C">
        <w:rPr>
          <w:color w:val="auto"/>
          <w:lang w:val="en-US"/>
        </w:rPr>
        <w:t>Finally, other factors might have influenced CCI disclosure, which we have not considered</w:t>
      </w:r>
      <w:r w:rsidRPr="00855E1C">
        <w:rPr>
          <w:color w:val="auto"/>
          <w:lang w:val="en-US"/>
        </w:rPr>
        <w:t xml:space="preserve">. </w:t>
      </w:r>
      <w:r w:rsidR="00C40879" w:rsidRPr="00855E1C">
        <w:rPr>
          <w:color w:val="auto"/>
          <w:lang w:val="en-US"/>
        </w:rPr>
        <w:t xml:space="preserve">Overall, this study shows that good CG characteristics are important for CCI disclosures. </w:t>
      </w:r>
    </w:p>
    <w:p w14:paraId="3B9DBFF2" w14:textId="4EDA81C4" w:rsidR="00A5674E" w:rsidRDefault="00A5674E">
      <w:pPr>
        <w:spacing w:line="276" w:lineRule="auto"/>
        <w:jc w:val="both"/>
        <w:rPr>
          <w:color w:val="auto"/>
          <w:lang w:val="en-US"/>
        </w:rPr>
      </w:pPr>
    </w:p>
    <w:p w14:paraId="36123AED" w14:textId="77777777" w:rsidR="00AC5578" w:rsidRDefault="00AC5578">
      <w:pPr>
        <w:spacing w:line="276" w:lineRule="auto"/>
        <w:jc w:val="both"/>
        <w:rPr>
          <w:color w:val="auto"/>
          <w:lang w:val="en-US"/>
        </w:rPr>
      </w:pPr>
    </w:p>
    <w:p w14:paraId="70F091DB" w14:textId="77777777" w:rsidR="00A5674E" w:rsidRPr="00B6739E" w:rsidRDefault="00FE370C" w:rsidP="00350DF5">
      <w:pPr>
        <w:pStyle w:val="ListParagraph"/>
        <w:spacing w:before="28" w:after="100" w:line="276" w:lineRule="auto"/>
        <w:ind w:left="284" w:hanging="142"/>
        <w:rPr>
          <w:color w:val="auto"/>
          <w:sz w:val="20"/>
          <w:vertAlign w:val="superscript"/>
          <w:lang w:val="en-US"/>
        </w:rPr>
      </w:pPr>
      <w:r w:rsidRPr="00B6739E">
        <w:rPr>
          <w:b/>
          <w:bCs/>
          <w:color w:val="auto"/>
          <w:sz w:val="20"/>
          <w:lang w:val="en-US"/>
        </w:rPr>
        <w:t>NOTES</w:t>
      </w:r>
    </w:p>
    <w:p w14:paraId="71EAC637" w14:textId="746B63F2" w:rsidR="00237F15" w:rsidRPr="00AC5578" w:rsidRDefault="00340A2B" w:rsidP="00AC5578">
      <w:pPr>
        <w:autoSpaceDE w:val="0"/>
        <w:autoSpaceDN w:val="0"/>
        <w:adjustRightInd w:val="0"/>
        <w:ind w:left="284" w:hanging="142"/>
        <w:jc w:val="both"/>
        <w:rPr>
          <w:color w:val="auto"/>
          <w:sz w:val="20"/>
          <w:szCs w:val="20"/>
        </w:rPr>
      </w:pPr>
      <w:r w:rsidRPr="00B6739E">
        <w:rPr>
          <w:color w:val="auto"/>
          <w:sz w:val="20"/>
          <w:szCs w:val="20"/>
          <w:vertAlign w:val="superscript"/>
        </w:rPr>
        <w:t>1</w:t>
      </w:r>
      <w:r w:rsidRPr="00B6739E">
        <w:rPr>
          <w:color w:val="auto"/>
          <w:sz w:val="20"/>
          <w:szCs w:val="20"/>
        </w:rPr>
        <w:t xml:space="preserve"> The term corporate legitimacy as elegantly defined by </w:t>
      </w:r>
      <w:proofErr w:type="spellStart"/>
      <w:r w:rsidRPr="00B6739E">
        <w:rPr>
          <w:rFonts w:eastAsia="Calibri"/>
          <w:color w:val="auto"/>
          <w:sz w:val="20"/>
          <w:szCs w:val="20"/>
          <w:lang w:eastAsia="en-GB"/>
        </w:rPr>
        <w:t>Suchman</w:t>
      </w:r>
      <w:proofErr w:type="spellEnd"/>
      <w:r w:rsidRPr="00B6739E">
        <w:rPr>
          <w:rFonts w:eastAsia="Calibri"/>
          <w:color w:val="auto"/>
          <w:sz w:val="20"/>
          <w:szCs w:val="20"/>
          <w:lang w:eastAsia="en-GB"/>
        </w:rPr>
        <w:t xml:space="preserve"> (1995, p.574) “ is a generalised perception or assumption that the actions of an entity are desirable, proper, or appropriate within some socially constructed system of norms, values, beliefs and definitions”.</w:t>
      </w:r>
    </w:p>
    <w:p w14:paraId="56C31CBF" w14:textId="57E171F4" w:rsidR="00237F15" w:rsidRPr="00AC5578" w:rsidRDefault="00340A2B" w:rsidP="00AC5578">
      <w:pPr>
        <w:pStyle w:val="FootnoteText1"/>
        <w:spacing w:line="276" w:lineRule="auto"/>
        <w:ind w:left="284" w:hanging="142"/>
        <w:jc w:val="both"/>
        <w:rPr>
          <w:color w:val="auto"/>
        </w:rPr>
      </w:pPr>
      <w:r w:rsidRPr="00B6739E">
        <w:rPr>
          <w:rStyle w:val="FootnoteReference"/>
          <w:color w:val="auto"/>
        </w:rPr>
        <w:t>2</w:t>
      </w:r>
      <w:r w:rsidRPr="00B6739E">
        <w:rPr>
          <w:color w:val="auto"/>
        </w:rPr>
        <w:t xml:space="preserve"> In contrast to the literature on board composition for profit-orientated organisations, the role and contribution of community leaders in non-profit organisations is well documented (</w:t>
      </w:r>
      <w:proofErr w:type="spellStart"/>
      <w:r w:rsidRPr="00B6739E">
        <w:rPr>
          <w:color w:val="auto"/>
        </w:rPr>
        <w:t>Provan</w:t>
      </w:r>
      <w:proofErr w:type="spellEnd"/>
      <w:r w:rsidRPr="00B6739E">
        <w:rPr>
          <w:color w:val="auto"/>
        </w:rPr>
        <w:t xml:space="preserve">, 1980; </w:t>
      </w:r>
      <w:proofErr w:type="spellStart"/>
      <w:r w:rsidRPr="00B6739E">
        <w:rPr>
          <w:rFonts w:eastAsia="Calibri"/>
          <w:color w:val="auto"/>
          <w:lang w:eastAsia="en-GB"/>
        </w:rPr>
        <w:t>Garonzik</w:t>
      </w:r>
      <w:proofErr w:type="spellEnd"/>
      <w:r w:rsidRPr="00B6739E">
        <w:rPr>
          <w:rFonts w:eastAsia="Calibri"/>
          <w:color w:val="auto"/>
          <w:lang w:eastAsia="en-GB"/>
        </w:rPr>
        <w:t xml:space="preserve">, 1999; </w:t>
      </w:r>
      <w:r w:rsidRPr="00B6739E">
        <w:rPr>
          <w:color w:val="auto"/>
        </w:rPr>
        <w:t>Alexand</w:t>
      </w:r>
      <w:r w:rsidR="00AC5578">
        <w:rPr>
          <w:color w:val="auto"/>
        </w:rPr>
        <w:t>er et al., 2000; Ingram, 2003).</w:t>
      </w:r>
    </w:p>
    <w:p w14:paraId="1632B377" w14:textId="7EDD8A95" w:rsidR="00237F15" w:rsidRPr="00AC5578" w:rsidRDefault="00340A2B" w:rsidP="00AC5578">
      <w:pPr>
        <w:autoSpaceDE w:val="0"/>
        <w:autoSpaceDN w:val="0"/>
        <w:adjustRightInd w:val="0"/>
        <w:ind w:left="284" w:hanging="142"/>
        <w:jc w:val="both"/>
        <w:rPr>
          <w:color w:val="auto"/>
          <w:sz w:val="20"/>
          <w:szCs w:val="20"/>
        </w:rPr>
      </w:pPr>
      <w:r w:rsidRPr="00B6739E">
        <w:rPr>
          <w:color w:val="auto"/>
          <w:sz w:val="20"/>
          <w:szCs w:val="20"/>
          <w:vertAlign w:val="superscript"/>
        </w:rPr>
        <w:t>3</w:t>
      </w:r>
      <w:r w:rsidRPr="00B6739E">
        <w:rPr>
          <w:color w:val="auto"/>
          <w:sz w:val="20"/>
          <w:szCs w:val="20"/>
        </w:rPr>
        <w:t xml:space="preserve"> In the study of Hillman and </w:t>
      </w:r>
      <w:proofErr w:type="spellStart"/>
      <w:r w:rsidRPr="00B6739E">
        <w:rPr>
          <w:color w:val="auto"/>
          <w:sz w:val="20"/>
          <w:szCs w:val="20"/>
        </w:rPr>
        <w:t>Keim</w:t>
      </w:r>
      <w:proofErr w:type="spellEnd"/>
      <w:r w:rsidRPr="00B6739E">
        <w:rPr>
          <w:color w:val="auto"/>
          <w:sz w:val="20"/>
          <w:szCs w:val="20"/>
        </w:rPr>
        <w:t xml:space="preserve"> (2001), the variable ‘Diversity’ reflects issues such as the </w:t>
      </w:r>
      <w:r w:rsidRPr="00B6739E">
        <w:rPr>
          <w:rFonts w:eastAsia="Calibri"/>
          <w:color w:val="auto"/>
          <w:sz w:val="20"/>
          <w:szCs w:val="20"/>
          <w:lang w:eastAsia="en-GB"/>
        </w:rPr>
        <w:t>employment of women and minorities, existence of outstanding benefit programs addressing work/family concerns, taking over of innovative hiring initiatives or other programs directed at employment of the disabled, etc.</w:t>
      </w:r>
    </w:p>
    <w:p w14:paraId="321B9B2C" w14:textId="56D5A5A4" w:rsidR="00237F15" w:rsidRPr="00AC5578" w:rsidRDefault="00340A2B" w:rsidP="00AC5578">
      <w:pPr>
        <w:pStyle w:val="FootnoteText"/>
        <w:ind w:left="284" w:hanging="142"/>
        <w:jc w:val="both"/>
        <w:rPr>
          <w:lang w:val="en-GB"/>
        </w:rPr>
      </w:pPr>
      <w:r w:rsidRPr="00B6739E">
        <w:rPr>
          <w:rStyle w:val="FootnoteReference"/>
        </w:rPr>
        <w:t>4</w:t>
      </w:r>
      <w:r w:rsidRPr="00B6739E">
        <w:t xml:space="preserve"> </w:t>
      </w:r>
      <w:r w:rsidRPr="00B6739E">
        <w:rPr>
          <w:lang w:val="en-GB"/>
        </w:rPr>
        <w:t>Other ways through which community leaders could impact corporate action include corporate philanthropic decisions, appreciation of the impact of corporate action on community of operation and consequently leading t</w:t>
      </w:r>
      <w:r w:rsidR="00AC5578">
        <w:rPr>
          <w:lang w:val="en-GB"/>
        </w:rPr>
        <w:t>o change in corporate strategy.</w:t>
      </w:r>
    </w:p>
    <w:p w14:paraId="681CB0A3" w14:textId="0B92481B" w:rsidR="00237F15" w:rsidRPr="00AC5578" w:rsidRDefault="00340A2B" w:rsidP="00AC5578">
      <w:pPr>
        <w:pStyle w:val="FootnoteText"/>
        <w:ind w:left="284" w:hanging="142"/>
        <w:jc w:val="both"/>
        <w:rPr>
          <w:lang w:val="en-GB"/>
        </w:rPr>
      </w:pPr>
      <w:r w:rsidRPr="00B6739E">
        <w:rPr>
          <w:rStyle w:val="FootnoteReference"/>
        </w:rPr>
        <w:lastRenderedPageBreak/>
        <w:t>5</w:t>
      </w:r>
      <w:r w:rsidRPr="00B6739E">
        <w:t xml:space="preserve"> </w:t>
      </w:r>
      <w:r w:rsidRPr="00B6739E">
        <w:rPr>
          <w:lang w:val="en-GB"/>
        </w:rPr>
        <w:t>We used corporate community involvement and corporate social action interchangeably in this paper because they essentially are referring to the same is</w:t>
      </w:r>
      <w:r w:rsidR="00AC5578">
        <w:rPr>
          <w:lang w:val="en-GB"/>
        </w:rPr>
        <w:t>sue(s).</w:t>
      </w:r>
    </w:p>
    <w:p w14:paraId="2FB14C43" w14:textId="37BAE203" w:rsidR="00237F15" w:rsidRPr="00B6739E" w:rsidRDefault="00340A2B" w:rsidP="00AC5578">
      <w:pPr>
        <w:pStyle w:val="FootnoteText1"/>
        <w:spacing w:line="276" w:lineRule="auto"/>
        <w:ind w:left="284" w:hanging="142"/>
        <w:jc w:val="both"/>
        <w:rPr>
          <w:color w:val="auto"/>
        </w:rPr>
      </w:pPr>
      <w:r w:rsidRPr="00B6739E">
        <w:rPr>
          <w:rStyle w:val="FootnoteReference"/>
          <w:color w:val="auto"/>
        </w:rPr>
        <w:t>6</w:t>
      </w:r>
      <w:r w:rsidRPr="00B6739E">
        <w:rPr>
          <w:color w:val="auto"/>
        </w:rPr>
        <w:t xml:space="preserve"> This is consistent with their classification as dominant stakeholders by Mitchell </w:t>
      </w:r>
      <w:r w:rsidRPr="00AC5578">
        <w:rPr>
          <w:color w:val="auto"/>
        </w:rPr>
        <w:t>et al</w:t>
      </w:r>
      <w:r w:rsidRPr="00B6739E">
        <w:rPr>
          <w:i/>
          <w:color w:val="auto"/>
        </w:rPr>
        <w:t>.</w:t>
      </w:r>
      <w:r w:rsidRPr="00B6739E">
        <w:rPr>
          <w:color w:val="auto"/>
        </w:rPr>
        <w:t xml:space="preserve"> </w:t>
      </w:r>
      <w:r w:rsidR="00AC5578">
        <w:rPr>
          <w:color w:val="auto"/>
        </w:rPr>
        <w:t>(1997) examined in section 2.2.</w:t>
      </w:r>
    </w:p>
    <w:p w14:paraId="3FC76129" w14:textId="177D71CC" w:rsidR="00237F15" w:rsidRPr="00AC5578" w:rsidRDefault="00340A2B" w:rsidP="00AC5578">
      <w:pPr>
        <w:pStyle w:val="FootnoteText1"/>
        <w:spacing w:line="276" w:lineRule="auto"/>
        <w:ind w:left="284" w:hanging="142"/>
        <w:jc w:val="both"/>
        <w:rPr>
          <w:color w:val="auto"/>
          <w:vertAlign w:val="superscript"/>
          <w:lang w:val="en-US"/>
        </w:rPr>
      </w:pPr>
      <w:r w:rsidRPr="00B6739E">
        <w:rPr>
          <w:rStyle w:val="FootnoteReference"/>
          <w:color w:val="auto"/>
        </w:rPr>
        <w:t>7</w:t>
      </w:r>
      <w:r w:rsidRPr="00B6739E">
        <w:rPr>
          <w:color w:val="auto"/>
        </w:rPr>
        <w:t xml:space="preserve"> As Jensen (2001) argues, at theoretical level </w:t>
      </w:r>
      <w:r w:rsidRPr="00B6739E">
        <w:rPr>
          <w:rFonts w:eastAsia="Calibri"/>
          <w:color w:val="auto"/>
          <w:lang w:eastAsia="en-GB"/>
        </w:rPr>
        <w:t>stakeholder theory appears to be consistent with the</w:t>
      </w:r>
      <w:r w:rsidRPr="00B6739E">
        <w:rPr>
          <w:color w:val="auto"/>
        </w:rPr>
        <w:t xml:space="preserve"> value maximisation principle. This principle dictates that any additional $1 spent should result in a minimum of $1 long-term value added to the business. Hence, under the stakeholder theory framework any amount spent by the company on each constituent should aim to maximise the financial benefit of this expenditure in the long term.</w:t>
      </w:r>
    </w:p>
    <w:p w14:paraId="5EE72BEC" w14:textId="43BC0DE3" w:rsidR="00237F15" w:rsidRPr="00B6739E" w:rsidRDefault="00340A2B" w:rsidP="00AC5578">
      <w:pPr>
        <w:pStyle w:val="FootnoteText"/>
        <w:ind w:left="284" w:hanging="142"/>
        <w:jc w:val="both"/>
      </w:pPr>
      <w:r w:rsidRPr="00B6739E">
        <w:rPr>
          <w:rStyle w:val="FootnoteReference"/>
        </w:rPr>
        <w:t>8</w:t>
      </w:r>
      <w:r w:rsidRPr="00B6739E">
        <w:t xml:space="preserve"> A characteristic example is the case of British Petroleum Plc where the company was forced by the US government to set up a $20bl Trust Fund and already has paid $11bl to individuals and local businesses that are affected by the Deepwater Horizon oil spill disaster</w:t>
      </w:r>
      <w:r w:rsidR="00AC5578">
        <w:t xml:space="preserve"> in the Gulf of Mexico in 2010.</w:t>
      </w:r>
    </w:p>
    <w:p w14:paraId="69B6F88D" w14:textId="206D9BA7" w:rsidR="00237F15" w:rsidRPr="00AC5578" w:rsidRDefault="00340A2B" w:rsidP="00AC5578">
      <w:pPr>
        <w:autoSpaceDE w:val="0"/>
        <w:autoSpaceDN w:val="0"/>
        <w:adjustRightInd w:val="0"/>
        <w:ind w:left="284" w:hanging="142"/>
        <w:jc w:val="both"/>
        <w:rPr>
          <w:color w:val="auto"/>
          <w:sz w:val="20"/>
          <w:szCs w:val="20"/>
        </w:rPr>
      </w:pPr>
      <w:r w:rsidRPr="00B6739E">
        <w:rPr>
          <w:rStyle w:val="FootnoteReference"/>
          <w:color w:val="auto"/>
          <w:sz w:val="20"/>
          <w:szCs w:val="20"/>
        </w:rPr>
        <w:t>9</w:t>
      </w:r>
      <w:r w:rsidRPr="00B6739E">
        <w:rPr>
          <w:color w:val="auto"/>
          <w:sz w:val="20"/>
          <w:szCs w:val="20"/>
        </w:rPr>
        <w:t xml:space="preserve"> A more recent example is the case of Ireland </w:t>
      </w:r>
      <w:r w:rsidRPr="00B6739E">
        <w:rPr>
          <w:rFonts w:eastAsia="Calibri"/>
          <w:color w:val="auto"/>
          <w:sz w:val="20"/>
          <w:szCs w:val="20"/>
          <w:lang w:eastAsia="en-GB"/>
        </w:rPr>
        <w:t xml:space="preserve">where following the financial crisis of 2007, the government introduced, via the Credit Institutions Financial Support Scheme 2008, compulsory ‘public interest directors’ to all institutions that needed government’s financial support. Their task was to enhance independence in the corporate decision by aligning the views of the existing </w:t>
      </w:r>
      <w:proofErr w:type="spellStart"/>
      <w:r w:rsidRPr="00B6739E">
        <w:rPr>
          <w:rFonts w:eastAsia="Calibri"/>
          <w:color w:val="auto"/>
          <w:sz w:val="20"/>
          <w:szCs w:val="20"/>
          <w:lang w:eastAsia="en-GB"/>
        </w:rPr>
        <w:t>BoDs</w:t>
      </w:r>
      <w:proofErr w:type="spellEnd"/>
      <w:r w:rsidRPr="00B6739E">
        <w:rPr>
          <w:rFonts w:eastAsia="Calibri"/>
          <w:color w:val="auto"/>
          <w:sz w:val="20"/>
          <w:szCs w:val="20"/>
          <w:lang w:eastAsia="en-GB"/>
        </w:rPr>
        <w:t xml:space="preserve"> to that of the outside stakeholders (</w:t>
      </w:r>
      <w:proofErr w:type="spellStart"/>
      <w:r w:rsidRPr="00B6739E">
        <w:rPr>
          <w:rFonts w:eastAsia="Calibri"/>
          <w:color w:val="auto"/>
          <w:sz w:val="20"/>
          <w:szCs w:val="20"/>
          <w:lang w:eastAsia="en-GB"/>
        </w:rPr>
        <w:t>Spitzeck</w:t>
      </w:r>
      <w:proofErr w:type="spellEnd"/>
      <w:r w:rsidRPr="00B6739E">
        <w:rPr>
          <w:rFonts w:eastAsia="Calibri"/>
          <w:color w:val="auto"/>
          <w:sz w:val="20"/>
          <w:szCs w:val="20"/>
          <w:lang w:eastAsia="en-GB"/>
        </w:rPr>
        <w:t xml:space="preserve"> and Hansen, 2010).  </w:t>
      </w:r>
    </w:p>
    <w:p w14:paraId="2B6A2B7D" w14:textId="27F91582" w:rsidR="00237F15" w:rsidRPr="00B6739E" w:rsidRDefault="00FE370C" w:rsidP="00AC5578">
      <w:pPr>
        <w:pStyle w:val="FootnoteText1"/>
        <w:spacing w:line="276" w:lineRule="auto"/>
        <w:ind w:left="284" w:hanging="142"/>
        <w:jc w:val="both"/>
        <w:rPr>
          <w:color w:val="auto"/>
          <w:lang w:val="en-US"/>
        </w:rPr>
      </w:pPr>
      <w:r w:rsidRPr="00B6739E">
        <w:rPr>
          <w:color w:val="auto"/>
          <w:vertAlign w:val="superscript"/>
          <w:lang w:val="en-US"/>
        </w:rPr>
        <w:t>1</w:t>
      </w:r>
      <w:r w:rsidR="00237F15" w:rsidRPr="00B6739E">
        <w:rPr>
          <w:color w:val="auto"/>
          <w:vertAlign w:val="superscript"/>
          <w:lang w:val="en-US"/>
        </w:rPr>
        <w:t>0</w:t>
      </w:r>
      <w:r w:rsidRPr="00B6739E">
        <w:rPr>
          <w:color w:val="auto"/>
          <w:lang w:val="en-US"/>
        </w:rPr>
        <w:t xml:space="preserve"> The FTSE indices are produced quarterly by the FTSE Group. The group is owned jointly by the Financial Times and the London Stock Exchange. The indices are intended to provide investors, financial advisers, fund managers, etc. with information to enable them to identify and track market trends and make investment decisions. The companies in the FTSE 350 index are ranked as the largest 350 UK companies, with their primary listing on the LSE based on their market capitalization. </w:t>
      </w:r>
      <w:r w:rsidRPr="00B6739E">
        <w:rPr>
          <w:rStyle w:val="EndnoteReference1"/>
          <w:color w:val="auto"/>
          <w:vertAlign w:val="baseline"/>
          <w:lang w:val="en-US"/>
        </w:rPr>
        <w:t>Only compan</w:t>
      </w:r>
      <w:r w:rsidRPr="00B6739E">
        <w:rPr>
          <w:color w:val="auto"/>
          <w:lang w:val="en-US"/>
        </w:rPr>
        <w:t>ies</w:t>
      </w:r>
      <w:r w:rsidRPr="00B6739E">
        <w:rPr>
          <w:rStyle w:val="EndnoteReference1"/>
          <w:color w:val="auto"/>
          <w:vertAlign w:val="baseline"/>
          <w:lang w:val="en-US"/>
        </w:rPr>
        <w:t xml:space="preserve"> with </w:t>
      </w:r>
      <w:r w:rsidRPr="00B6739E">
        <w:rPr>
          <w:color w:val="auto"/>
          <w:lang w:val="en-US"/>
        </w:rPr>
        <w:t xml:space="preserve">a </w:t>
      </w:r>
      <w:r w:rsidRPr="00B6739E">
        <w:rPr>
          <w:rStyle w:val="EndnoteReference1"/>
          <w:color w:val="auto"/>
          <w:vertAlign w:val="baseline"/>
          <w:lang w:val="en-US"/>
        </w:rPr>
        <w:t xml:space="preserve">full listing on the LSE are eligible to be included </w:t>
      </w:r>
      <w:r w:rsidRPr="00B6739E">
        <w:rPr>
          <w:color w:val="auto"/>
          <w:lang w:val="en-US"/>
        </w:rPr>
        <w:t>i</w:t>
      </w:r>
      <w:r w:rsidRPr="00B6739E">
        <w:rPr>
          <w:rStyle w:val="EndnoteReference1"/>
          <w:color w:val="auto"/>
          <w:vertAlign w:val="baseline"/>
          <w:lang w:val="en-US"/>
        </w:rPr>
        <w:t>n the ranking</w:t>
      </w:r>
      <w:r w:rsidRPr="00B6739E">
        <w:rPr>
          <w:color w:val="auto"/>
          <w:lang w:val="en-US"/>
        </w:rPr>
        <w:t>.</w:t>
      </w:r>
      <w:r w:rsidRPr="00B6739E">
        <w:rPr>
          <w:rStyle w:val="EndnoteReference1"/>
          <w:color w:val="auto"/>
          <w:vertAlign w:val="baseline"/>
          <w:lang w:val="en-US"/>
        </w:rPr>
        <w:t xml:space="preserve"> </w:t>
      </w:r>
    </w:p>
    <w:p w14:paraId="23133454" w14:textId="19BAECC7" w:rsidR="00237F15" w:rsidRPr="00B6739E" w:rsidRDefault="00237F15" w:rsidP="00AC5578">
      <w:pPr>
        <w:pStyle w:val="NormalWeb"/>
        <w:spacing w:before="0" w:after="0" w:line="276" w:lineRule="auto"/>
        <w:ind w:left="284" w:hanging="142"/>
        <w:jc w:val="both"/>
        <w:rPr>
          <w:color w:val="auto"/>
          <w:sz w:val="20"/>
          <w:szCs w:val="20"/>
          <w:lang w:val="en-US"/>
        </w:rPr>
      </w:pPr>
      <w:r w:rsidRPr="00B6739E">
        <w:rPr>
          <w:rStyle w:val="EndnoteReference1"/>
          <w:color w:val="auto"/>
          <w:sz w:val="20"/>
          <w:szCs w:val="20"/>
          <w:lang w:val="en-US"/>
        </w:rPr>
        <w:t xml:space="preserve">11 </w:t>
      </w:r>
      <w:r w:rsidR="00FE370C" w:rsidRPr="00B6739E">
        <w:rPr>
          <w:color w:val="auto"/>
          <w:sz w:val="20"/>
          <w:szCs w:val="20"/>
          <w:lang w:val="en-US"/>
        </w:rPr>
        <w:t>This method of sampling is referred to as the Stratified Sampling technique; it involves dividing the population into homogeneous subgroups and then taking a simple random sample in each subgroup (</w:t>
      </w:r>
      <w:proofErr w:type="spellStart"/>
      <w:r w:rsidR="00FE370C" w:rsidRPr="00B6739E">
        <w:rPr>
          <w:color w:val="auto"/>
          <w:sz w:val="20"/>
          <w:szCs w:val="20"/>
          <w:lang w:val="en-US"/>
        </w:rPr>
        <w:t>Trochim</w:t>
      </w:r>
      <w:proofErr w:type="spellEnd"/>
      <w:r w:rsidR="00FE370C" w:rsidRPr="00B6739E">
        <w:rPr>
          <w:color w:val="auto"/>
          <w:sz w:val="20"/>
          <w:szCs w:val="20"/>
          <w:lang w:val="en-US"/>
        </w:rPr>
        <w:t xml:space="preserve">, 2006). </w:t>
      </w:r>
    </w:p>
    <w:p w14:paraId="6B3AB5B3" w14:textId="331A4BE3" w:rsidR="00A5674E" w:rsidRPr="00B6739E" w:rsidRDefault="00237F15" w:rsidP="00AC5578">
      <w:pPr>
        <w:pStyle w:val="FootnoteText1"/>
        <w:spacing w:line="276" w:lineRule="auto"/>
        <w:ind w:left="284" w:hanging="142"/>
        <w:jc w:val="both"/>
        <w:rPr>
          <w:color w:val="auto"/>
          <w:lang w:val="en-US"/>
        </w:rPr>
      </w:pPr>
      <w:r w:rsidRPr="00B6739E">
        <w:rPr>
          <w:rStyle w:val="EndnoteReference1"/>
          <w:color w:val="auto"/>
          <w:lang w:val="en-US"/>
        </w:rPr>
        <w:t>12</w:t>
      </w:r>
      <w:r w:rsidR="00FE370C" w:rsidRPr="00B6739E">
        <w:rPr>
          <w:color w:val="auto"/>
          <w:lang w:val="en-US"/>
        </w:rPr>
        <w:t xml:space="preserve"> The Industry Classification Benchmark (ICB) is jointly owned by the FTSE International Ltd and the Dow Jones and Co (DJ). The ICB structure and code index is used in both the FTSE and DJ indices for the classification of companies into sectors and industries. For the purposes of this study, the structure and code was accessed on 7 October 2012 and downloaded from </w:t>
      </w:r>
      <w:hyperlink r:id="rId9" w:history="1">
        <w:r w:rsidR="00FE370C" w:rsidRPr="00B6739E">
          <w:rPr>
            <w:rStyle w:val="Hyperlink"/>
            <w:color w:val="auto"/>
            <w:lang w:val="en-US"/>
          </w:rPr>
          <w:t>http://www.icbenchmark.com/Site/ICB_Structure</w:t>
        </w:r>
      </w:hyperlink>
    </w:p>
    <w:p w14:paraId="72AA2F02" w14:textId="12DE02C8" w:rsidR="00A5674E" w:rsidRPr="00AC5578" w:rsidRDefault="00237F15" w:rsidP="00AC5578">
      <w:pPr>
        <w:spacing w:line="276" w:lineRule="auto"/>
        <w:ind w:left="284" w:hanging="142"/>
        <w:jc w:val="both"/>
        <w:rPr>
          <w:color w:val="auto"/>
          <w:sz w:val="20"/>
          <w:szCs w:val="20"/>
          <w:lang w:val="en-US"/>
        </w:rPr>
      </w:pPr>
      <w:r w:rsidRPr="00B6739E">
        <w:rPr>
          <w:color w:val="auto"/>
          <w:sz w:val="20"/>
          <w:szCs w:val="20"/>
          <w:vertAlign w:val="superscript"/>
          <w:lang w:val="en-US"/>
        </w:rPr>
        <w:t>13</w:t>
      </w:r>
      <w:r w:rsidRPr="00B6739E">
        <w:rPr>
          <w:color w:val="auto"/>
          <w:sz w:val="20"/>
          <w:szCs w:val="20"/>
          <w:lang w:val="en-US"/>
        </w:rPr>
        <w:t xml:space="preserve">All </w:t>
      </w:r>
      <w:r w:rsidR="00FE370C" w:rsidRPr="00B6739E">
        <w:rPr>
          <w:color w:val="auto"/>
          <w:sz w:val="20"/>
          <w:szCs w:val="20"/>
          <w:lang w:val="en-US"/>
        </w:rPr>
        <w:t xml:space="preserve">data were sourced from company annual reports, Thompson Reuters </w:t>
      </w:r>
      <w:proofErr w:type="spellStart"/>
      <w:r w:rsidR="00FE370C" w:rsidRPr="00B6739E">
        <w:rPr>
          <w:color w:val="auto"/>
          <w:sz w:val="20"/>
          <w:szCs w:val="20"/>
          <w:lang w:val="en-US"/>
        </w:rPr>
        <w:t>Datastream</w:t>
      </w:r>
      <w:proofErr w:type="spellEnd"/>
      <w:r w:rsidR="00FE370C" w:rsidRPr="00B6739E">
        <w:rPr>
          <w:color w:val="auto"/>
          <w:sz w:val="20"/>
          <w:szCs w:val="20"/>
          <w:lang w:val="en-US"/>
        </w:rPr>
        <w:t xml:space="preserve"> and Lexis Library.</w:t>
      </w:r>
    </w:p>
    <w:p w14:paraId="221B47C4" w14:textId="6A1D78C9" w:rsidR="00A5674E" w:rsidRPr="00B6739E" w:rsidRDefault="00245CF3" w:rsidP="00AC5578">
      <w:pPr>
        <w:pStyle w:val="EndnoteText1"/>
        <w:spacing w:line="276" w:lineRule="auto"/>
        <w:ind w:left="284" w:hanging="142"/>
        <w:jc w:val="both"/>
        <w:rPr>
          <w:color w:val="auto"/>
          <w:lang w:val="en-US"/>
        </w:rPr>
      </w:pPr>
      <w:r w:rsidRPr="00B6739E">
        <w:rPr>
          <w:rStyle w:val="EndnoteReference1"/>
          <w:color w:val="auto"/>
          <w:lang w:val="en-US"/>
        </w:rPr>
        <w:t>14</w:t>
      </w:r>
      <w:r w:rsidR="00FE370C" w:rsidRPr="00B6739E">
        <w:rPr>
          <w:color w:val="auto"/>
          <w:lang w:val="en-US"/>
        </w:rPr>
        <w:t xml:space="preserve">Outliers are unusual observations found in datasets due to the existence of very large and very small data with very wide and unequal variations. The presence of outliers in datasets may lead to the violation of some of the assumptions of the </w:t>
      </w:r>
      <w:r w:rsidR="00FE370C" w:rsidRPr="00B6739E">
        <w:rPr>
          <w:rFonts w:eastAsia="Calibri"/>
          <w:color w:val="auto"/>
          <w:lang w:val="en-US"/>
        </w:rPr>
        <w:t>least squares regression.</w:t>
      </w:r>
    </w:p>
    <w:p w14:paraId="0B9CDCB5" w14:textId="54B5C326" w:rsidR="00A5674E" w:rsidRPr="00B6739E" w:rsidRDefault="00245CF3" w:rsidP="00350DF5">
      <w:pPr>
        <w:pStyle w:val="FootnoteText1"/>
        <w:spacing w:line="276" w:lineRule="auto"/>
        <w:ind w:left="284" w:hanging="142"/>
        <w:jc w:val="both"/>
        <w:rPr>
          <w:color w:val="auto"/>
          <w:lang w:val="en-US"/>
        </w:rPr>
      </w:pPr>
      <w:r w:rsidRPr="00B6739E">
        <w:rPr>
          <w:rStyle w:val="EndnoteReference1"/>
          <w:color w:val="auto"/>
          <w:lang w:val="en-US"/>
        </w:rPr>
        <w:t>15</w:t>
      </w:r>
      <w:r w:rsidR="00FE370C" w:rsidRPr="00B6739E">
        <w:rPr>
          <w:color w:val="auto"/>
          <w:lang w:val="en-US"/>
        </w:rPr>
        <w:t xml:space="preserve"> A box plot summarizes the 25</w:t>
      </w:r>
      <w:r w:rsidR="00FE370C" w:rsidRPr="00B6739E">
        <w:rPr>
          <w:color w:val="auto"/>
          <w:vertAlign w:val="superscript"/>
          <w:lang w:val="en-US"/>
        </w:rPr>
        <w:t>th</w:t>
      </w:r>
      <w:r w:rsidR="00FE370C" w:rsidRPr="00B6739E">
        <w:rPr>
          <w:color w:val="auto"/>
          <w:lang w:val="en-US"/>
        </w:rPr>
        <w:t xml:space="preserve"> percentile (that is the 1</w:t>
      </w:r>
      <w:r w:rsidR="00FE370C" w:rsidRPr="00B6739E">
        <w:rPr>
          <w:color w:val="auto"/>
          <w:vertAlign w:val="superscript"/>
          <w:lang w:val="en-US"/>
        </w:rPr>
        <w:t>st</w:t>
      </w:r>
      <w:r w:rsidR="00FE370C" w:rsidRPr="00B6739E">
        <w:rPr>
          <w:color w:val="auto"/>
          <w:lang w:val="en-US"/>
        </w:rPr>
        <w:t xml:space="preserve"> quartile), the 50</w:t>
      </w:r>
      <w:r w:rsidR="00FE370C" w:rsidRPr="00B6739E">
        <w:rPr>
          <w:color w:val="auto"/>
          <w:vertAlign w:val="superscript"/>
          <w:lang w:val="en-US"/>
        </w:rPr>
        <w:t>th</w:t>
      </w:r>
      <w:r w:rsidR="00FE370C" w:rsidRPr="00B6739E">
        <w:rPr>
          <w:color w:val="auto"/>
          <w:lang w:val="en-US"/>
        </w:rPr>
        <w:t xml:space="preserve"> percentile, also known as the median, and the 75</w:t>
      </w:r>
      <w:r w:rsidR="00FE370C" w:rsidRPr="00B6739E">
        <w:rPr>
          <w:color w:val="auto"/>
          <w:vertAlign w:val="superscript"/>
          <w:lang w:val="en-US"/>
        </w:rPr>
        <w:t>th</w:t>
      </w:r>
      <w:r w:rsidR="00FE370C" w:rsidRPr="00B6739E">
        <w:rPr>
          <w:color w:val="auto"/>
          <w:lang w:val="en-US"/>
        </w:rPr>
        <w:t xml:space="preserve"> percentile (the 3</w:t>
      </w:r>
      <w:r w:rsidR="00FE370C" w:rsidRPr="00B6739E">
        <w:rPr>
          <w:color w:val="auto"/>
          <w:vertAlign w:val="superscript"/>
          <w:lang w:val="en-US"/>
        </w:rPr>
        <w:t>rd</w:t>
      </w:r>
      <w:r w:rsidR="00FE370C" w:rsidRPr="00B6739E">
        <w:rPr>
          <w:color w:val="auto"/>
          <w:lang w:val="en-US"/>
        </w:rPr>
        <w:t xml:space="preserve"> quartile) using a box and lines. A normally distributed variable will have its 25</w:t>
      </w:r>
      <w:r w:rsidR="00FE370C" w:rsidRPr="00B6739E">
        <w:rPr>
          <w:color w:val="auto"/>
          <w:vertAlign w:val="superscript"/>
          <w:lang w:val="en-US"/>
        </w:rPr>
        <w:t>th</w:t>
      </w:r>
      <w:r w:rsidR="00FE370C" w:rsidRPr="00B6739E">
        <w:rPr>
          <w:color w:val="auto"/>
          <w:lang w:val="en-US"/>
        </w:rPr>
        <w:t xml:space="preserve"> and 75</w:t>
      </w:r>
      <w:r w:rsidR="00FE370C" w:rsidRPr="00B6739E">
        <w:rPr>
          <w:color w:val="auto"/>
          <w:vertAlign w:val="superscript"/>
          <w:lang w:val="en-US"/>
        </w:rPr>
        <w:t>th</w:t>
      </w:r>
      <w:r w:rsidR="00FE370C" w:rsidRPr="00B6739E">
        <w:rPr>
          <w:color w:val="auto"/>
          <w:lang w:val="en-US"/>
        </w:rPr>
        <w:t xml:space="preserve"> percentile symmetrical, while its median and mean will be located at the same point in the center of the box (Park, 2008).</w:t>
      </w:r>
    </w:p>
    <w:p w14:paraId="1BCBCF91" w14:textId="77777777" w:rsidR="00A5674E" w:rsidRPr="00350DF5" w:rsidRDefault="00A5674E" w:rsidP="00350DF5">
      <w:pPr>
        <w:pStyle w:val="FootnoteText1"/>
        <w:spacing w:line="276" w:lineRule="auto"/>
        <w:ind w:left="284" w:hanging="142"/>
        <w:rPr>
          <w:color w:val="auto"/>
          <w:sz w:val="24"/>
          <w:szCs w:val="24"/>
          <w:lang w:val="en-US"/>
        </w:rPr>
      </w:pPr>
    </w:p>
    <w:p w14:paraId="152C0AAB" w14:textId="77777777" w:rsidR="00A5674E" w:rsidRDefault="00A5674E">
      <w:pPr>
        <w:spacing w:before="28" w:after="100" w:line="276" w:lineRule="auto"/>
        <w:rPr>
          <w:b/>
          <w:bCs/>
          <w:color w:val="auto"/>
          <w:lang w:val="en-US"/>
        </w:rPr>
      </w:pPr>
    </w:p>
    <w:p w14:paraId="0934D226" w14:textId="77777777" w:rsidR="00B6739E" w:rsidRDefault="00B6739E">
      <w:pPr>
        <w:spacing w:before="28" w:after="100" w:line="276" w:lineRule="auto"/>
        <w:rPr>
          <w:b/>
          <w:bCs/>
          <w:color w:val="auto"/>
          <w:lang w:val="en-US"/>
        </w:rPr>
      </w:pPr>
    </w:p>
    <w:p w14:paraId="55A20FBF" w14:textId="77777777" w:rsidR="00A5674E" w:rsidRDefault="00FE370C">
      <w:pPr>
        <w:pStyle w:val="ListParagraph"/>
        <w:spacing w:before="28" w:after="100" w:line="276" w:lineRule="auto"/>
        <w:ind w:left="113"/>
        <w:rPr>
          <w:b/>
          <w:bCs/>
          <w:szCs w:val="24"/>
          <w:lang w:val="en-US"/>
        </w:rPr>
      </w:pPr>
      <w:r w:rsidRPr="008D13EC">
        <w:rPr>
          <w:b/>
          <w:bCs/>
          <w:szCs w:val="24"/>
          <w:lang w:val="en-US"/>
        </w:rPr>
        <w:t>APPENDICES</w:t>
      </w:r>
    </w:p>
    <w:p w14:paraId="765D63B1" w14:textId="77777777" w:rsidR="00FE66AF" w:rsidRDefault="00FE66AF">
      <w:pPr>
        <w:spacing w:line="276" w:lineRule="auto"/>
        <w:rPr>
          <w:rFonts w:eastAsia="Calibri"/>
          <w:b/>
          <w:lang w:val="en-US"/>
        </w:rPr>
      </w:pPr>
    </w:p>
    <w:p w14:paraId="4542F31F" w14:textId="77777777" w:rsidR="00A5674E" w:rsidRPr="008D13EC" w:rsidRDefault="00FE370C">
      <w:pPr>
        <w:spacing w:line="276" w:lineRule="auto"/>
        <w:rPr>
          <w:bCs/>
          <w:sz w:val="23"/>
          <w:szCs w:val="23"/>
          <w:lang w:val="en-US"/>
        </w:rPr>
      </w:pPr>
      <w:r w:rsidRPr="008D13EC">
        <w:rPr>
          <w:rFonts w:eastAsia="Calibri"/>
          <w:b/>
          <w:lang w:val="en-US"/>
        </w:rPr>
        <w:t>Appendix A: Companies Included in the Final Sample</w:t>
      </w:r>
    </w:p>
    <w:tbl>
      <w:tblPr>
        <w:tblW w:w="0" w:type="auto"/>
        <w:tblLayout w:type="fixed"/>
        <w:tblLook w:val="0000" w:firstRow="0" w:lastRow="0" w:firstColumn="0" w:lastColumn="0" w:noHBand="0" w:noVBand="0"/>
      </w:tblPr>
      <w:tblGrid>
        <w:gridCol w:w="708"/>
        <w:gridCol w:w="3402"/>
        <w:gridCol w:w="849"/>
        <w:gridCol w:w="3120"/>
      </w:tblGrid>
      <w:tr w:rsidR="00A5674E" w:rsidRPr="008D13EC" w14:paraId="6FF74A17" w14:textId="77777777">
        <w:trPr>
          <w:trHeight w:val="315"/>
        </w:trPr>
        <w:tc>
          <w:tcPr>
            <w:tcW w:w="708" w:type="dxa"/>
            <w:tcBorders>
              <w:top w:val="single" w:sz="4" w:space="0" w:color="000000"/>
              <w:left w:val="single" w:sz="4" w:space="0" w:color="000000"/>
            </w:tcBorders>
            <w:shd w:val="clear" w:color="auto" w:fill="auto"/>
            <w:vAlign w:val="center"/>
          </w:tcPr>
          <w:p w14:paraId="3475B2D8" w14:textId="77777777" w:rsidR="00A5674E" w:rsidRPr="008D13EC" w:rsidRDefault="00FE370C">
            <w:pPr>
              <w:spacing w:line="276" w:lineRule="auto"/>
              <w:jc w:val="center"/>
              <w:rPr>
                <w:sz w:val="23"/>
                <w:szCs w:val="23"/>
                <w:lang w:val="en-US"/>
              </w:rPr>
            </w:pPr>
            <w:r w:rsidRPr="008D13EC">
              <w:rPr>
                <w:bCs/>
                <w:sz w:val="23"/>
                <w:szCs w:val="23"/>
                <w:lang w:val="en-US"/>
              </w:rPr>
              <w:t xml:space="preserve"> 1</w:t>
            </w:r>
          </w:p>
        </w:tc>
        <w:tc>
          <w:tcPr>
            <w:tcW w:w="3402" w:type="dxa"/>
            <w:tcBorders>
              <w:top w:val="single" w:sz="4" w:space="0" w:color="000000"/>
            </w:tcBorders>
            <w:shd w:val="clear" w:color="auto" w:fill="auto"/>
            <w:vAlign w:val="center"/>
          </w:tcPr>
          <w:p w14:paraId="225AE65B" w14:textId="77777777" w:rsidR="00A5674E" w:rsidRPr="008D13EC" w:rsidRDefault="00FE370C">
            <w:pPr>
              <w:spacing w:line="276" w:lineRule="auto"/>
              <w:rPr>
                <w:sz w:val="23"/>
                <w:szCs w:val="23"/>
                <w:lang w:val="en-US"/>
              </w:rPr>
            </w:pPr>
            <w:r w:rsidRPr="008D13EC">
              <w:rPr>
                <w:sz w:val="23"/>
                <w:szCs w:val="23"/>
                <w:lang w:val="en-US"/>
              </w:rPr>
              <w:t>3i Group</w:t>
            </w:r>
          </w:p>
        </w:tc>
        <w:tc>
          <w:tcPr>
            <w:tcW w:w="849" w:type="dxa"/>
            <w:tcBorders>
              <w:top w:val="single" w:sz="4" w:space="0" w:color="000000"/>
            </w:tcBorders>
            <w:shd w:val="clear" w:color="auto" w:fill="auto"/>
            <w:vAlign w:val="center"/>
          </w:tcPr>
          <w:p w14:paraId="1443FB64" w14:textId="77777777" w:rsidR="00A5674E" w:rsidRPr="008D13EC" w:rsidRDefault="00FE370C">
            <w:pPr>
              <w:spacing w:line="276" w:lineRule="auto"/>
              <w:jc w:val="center"/>
              <w:rPr>
                <w:sz w:val="23"/>
                <w:szCs w:val="23"/>
                <w:lang w:val="en-US"/>
              </w:rPr>
            </w:pPr>
            <w:r w:rsidRPr="008D13EC">
              <w:rPr>
                <w:sz w:val="23"/>
                <w:szCs w:val="23"/>
                <w:lang w:val="en-US"/>
              </w:rPr>
              <w:t>38</w:t>
            </w:r>
          </w:p>
        </w:tc>
        <w:tc>
          <w:tcPr>
            <w:tcW w:w="3120" w:type="dxa"/>
            <w:tcBorders>
              <w:top w:val="single" w:sz="4" w:space="0" w:color="000000"/>
              <w:right w:val="single" w:sz="4" w:space="0" w:color="000000"/>
            </w:tcBorders>
            <w:shd w:val="clear" w:color="auto" w:fill="auto"/>
            <w:vAlign w:val="bottom"/>
          </w:tcPr>
          <w:p w14:paraId="0F0FE600" w14:textId="77777777" w:rsidR="00A5674E" w:rsidRPr="008D13EC" w:rsidRDefault="00FE370C">
            <w:pPr>
              <w:spacing w:line="276" w:lineRule="auto"/>
              <w:rPr>
                <w:lang w:val="en-US"/>
              </w:rPr>
            </w:pPr>
            <w:r w:rsidRPr="008D13EC">
              <w:rPr>
                <w:sz w:val="23"/>
                <w:szCs w:val="23"/>
                <w:lang w:val="en-US"/>
              </w:rPr>
              <w:t>Marks and Spencer Group</w:t>
            </w:r>
          </w:p>
        </w:tc>
      </w:tr>
      <w:tr w:rsidR="00A5674E" w:rsidRPr="008D13EC" w14:paraId="0BC7F34A" w14:textId="77777777">
        <w:trPr>
          <w:trHeight w:val="315"/>
        </w:trPr>
        <w:tc>
          <w:tcPr>
            <w:tcW w:w="708" w:type="dxa"/>
            <w:tcBorders>
              <w:left w:val="single" w:sz="4" w:space="0" w:color="000000"/>
            </w:tcBorders>
            <w:shd w:val="clear" w:color="auto" w:fill="auto"/>
            <w:vAlign w:val="center"/>
          </w:tcPr>
          <w:p w14:paraId="7CE2481E" w14:textId="77777777" w:rsidR="00A5674E" w:rsidRPr="008D13EC" w:rsidRDefault="00FE370C">
            <w:pPr>
              <w:spacing w:line="276" w:lineRule="auto"/>
              <w:jc w:val="center"/>
              <w:rPr>
                <w:sz w:val="23"/>
                <w:szCs w:val="23"/>
                <w:lang w:val="en-US"/>
              </w:rPr>
            </w:pPr>
            <w:r w:rsidRPr="008D13EC">
              <w:rPr>
                <w:sz w:val="23"/>
                <w:szCs w:val="23"/>
                <w:lang w:val="en-US"/>
              </w:rPr>
              <w:t>2</w:t>
            </w:r>
          </w:p>
        </w:tc>
        <w:tc>
          <w:tcPr>
            <w:tcW w:w="3402" w:type="dxa"/>
            <w:shd w:val="clear" w:color="auto" w:fill="auto"/>
            <w:vAlign w:val="bottom"/>
          </w:tcPr>
          <w:p w14:paraId="0FF5992B" w14:textId="77777777" w:rsidR="00A5674E" w:rsidRPr="008D13EC" w:rsidRDefault="00FE370C">
            <w:pPr>
              <w:spacing w:line="276" w:lineRule="auto"/>
              <w:rPr>
                <w:sz w:val="23"/>
                <w:szCs w:val="23"/>
                <w:lang w:val="en-US"/>
              </w:rPr>
            </w:pPr>
            <w:proofErr w:type="spellStart"/>
            <w:r w:rsidRPr="008D13EC">
              <w:rPr>
                <w:sz w:val="23"/>
                <w:szCs w:val="23"/>
                <w:lang w:val="en-US"/>
              </w:rPr>
              <w:t>Amec</w:t>
            </w:r>
            <w:proofErr w:type="spellEnd"/>
          </w:p>
        </w:tc>
        <w:tc>
          <w:tcPr>
            <w:tcW w:w="849" w:type="dxa"/>
            <w:shd w:val="clear" w:color="auto" w:fill="auto"/>
            <w:vAlign w:val="center"/>
          </w:tcPr>
          <w:p w14:paraId="5C01BA3F" w14:textId="77777777" w:rsidR="00A5674E" w:rsidRPr="008D13EC" w:rsidRDefault="00FE370C">
            <w:pPr>
              <w:spacing w:line="276" w:lineRule="auto"/>
              <w:jc w:val="center"/>
              <w:rPr>
                <w:sz w:val="23"/>
                <w:szCs w:val="23"/>
                <w:lang w:val="en-US"/>
              </w:rPr>
            </w:pPr>
            <w:r w:rsidRPr="008D13EC">
              <w:rPr>
                <w:sz w:val="23"/>
                <w:szCs w:val="23"/>
                <w:lang w:val="en-US"/>
              </w:rPr>
              <w:t>39</w:t>
            </w:r>
          </w:p>
        </w:tc>
        <w:tc>
          <w:tcPr>
            <w:tcW w:w="3120" w:type="dxa"/>
            <w:tcBorders>
              <w:right w:val="single" w:sz="4" w:space="0" w:color="000000"/>
            </w:tcBorders>
            <w:shd w:val="clear" w:color="auto" w:fill="auto"/>
            <w:vAlign w:val="bottom"/>
          </w:tcPr>
          <w:p w14:paraId="4952E27F" w14:textId="77777777" w:rsidR="00A5674E" w:rsidRPr="008D13EC" w:rsidRDefault="00FE370C">
            <w:pPr>
              <w:spacing w:line="276" w:lineRule="auto"/>
              <w:rPr>
                <w:lang w:val="en-US"/>
              </w:rPr>
            </w:pPr>
            <w:r w:rsidRPr="008D13EC">
              <w:rPr>
                <w:sz w:val="23"/>
                <w:szCs w:val="23"/>
                <w:lang w:val="en-US"/>
              </w:rPr>
              <w:t>Melrose Resources</w:t>
            </w:r>
          </w:p>
        </w:tc>
      </w:tr>
      <w:tr w:rsidR="00A5674E" w:rsidRPr="008D13EC" w14:paraId="1221824E" w14:textId="77777777">
        <w:trPr>
          <w:trHeight w:val="315"/>
        </w:trPr>
        <w:tc>
          <w:tcPr>
            <w:tcW w:w="708" w:type="dxa"/>
            <w:tcBorders>
              <w:left w:val="single" w:sz="4" w:space="0" w:color="000000"/>
            </w:tcBorders>
            <w:shd w:val="clear" w:color="auto" w:fill="auto"/>
            <w:vAlign w:val="center"/>
          </w:tcPr>
          <w:p w14:paraId="10CD067F" w14:textId="77777777" w:rsidR="00A5674E" w:rsidRPr="008D13EC" w:rsidRDefault="00FE370C">
            <w:pPr>
              <w:spacing w:line="276" w:lineRule="auto"/>
              <w:jc w:val="center"/>
              <w:rPr>
                <w:sz w:val="23"/>
                <w:szCs w:val="23"/>
                <w:lang w:val="en-US"/>
              </w:rPr>
            </w:pPr>
            <w:r w:rsidRPr="008D13EC">
              <w:rPr>
                <w:sz w:val="23"/>
                <w:szCs w:val="23"/>
                <w:lang w:val="en-US"/>
              </w:rPr>
              <w:t>3</w:t>
            </w:r>
          </w:p>
        </w:tc>
        <w:tc>
          <w:tcPr>
            <w:tcW w:w="3402" w:type="dxa"/>
            <w:shd w:val="clear" w:color="auto" w:fill="auto"/>
            <w:vAlign w:val="bottom"/>
          </w:tcPr>
          <w:p w14:paraId="247EFAD9" w14:textId="77777777" w:rsidR="00A5674E" w:rsidRPr="008D13EC" w:rsidRDefault="00FE370C">
            <w:pPr>
              <w:spacing w:line="276" w:lineRule="auto"/>
              <w:rPr>
                <w:sz w:val="23"/>
                <w:szCs w:val="23"/>
                <w:lang w:val="en-US"/>
              </w:rPr>
            </w:pPr>
            <w:r w:rsidRPr="008D13EC">
              <w:rPr>
                <w:sz w:val="23"/>
                <w:szCs w:val="23"/>
                <w:lang w:val="en-US"/>
              </w:rPr>
              <w:t>Antofagasta</w:t>
            </w:r>
          </w:p>
        </w:tc>
        <w:tc>
          <w:tcPr>
            <w:tcW w:w="849" w:type="dxa"/>
            <w:shd w:val="clear" w:color="auto" w:fill="auto"/>
            <w:vAlign w:val="center"/>
          </w:tcPr>
          <w:p w14:paraId="366A1FF7" w14:textId="77777777" w:rsidR="00A5674E" w:rsidRPr="008D13EC" w:rsidRDefault="00FE370C">
            <w:pPr>
              <w:spacing w:line="276" w:lineRule="auto"/>
              <w:jc w:val="center"/>
              <w:rPr>
                <w:sz w:val="23"/>
                <w:szCs w:val="23"/>
                <w:lang w:val="en-US"/>
              </w:rPr>
            </w:pPr>
            <w:r w:rsidRPr="008D13EC">
              <w:rPr>
                <w:sz w:val="23"/>
                <w:szCs w:val="23"/>
                <w:lang w:val="en-US"/>
              </w:rPr>
              <w:t>40</w:t>
            </w:r>
          </w:p>
        </w:tc>
        <w:tc>
          <w:tcPr>
            <w:tcW w:w="3120" w:type="dxa"/>
            <w:tcBorders>
              <w:right w:val="single" w:sz="4" w:space="0" w:color="000000"/>
            </w:tcBorders>
            <w:shd w:val="clear" w:color="auto" w:fill="auto"/>
            <w:vAlign w:val="center"/>
          </w:tcPr>
          <w:p w14:paraId="20590500" w14:textId="77777777" w:rsidR="00A5674E" w:rsidRPr="008D13EC" w:rsidRDefault="00FE370C">
            <w:pPr>
              <w:spacing w:line="276" w:lineRule="auto"/>
              <w:rPr>
                <w:lang w:val="en-US"/>
              </w:rPr>
            </w:pPr>
            <w:r w:rsidRPr="008D13EC">
              <w:rPr>
                <w:sz w:val="23"/>
                <w:szCs w:val="23"/>
                <w:lang w:val="en-US"/>
              </w:rPr>
              <w:t xml:space="preserve">National Grid </w:t>
            </w:r>
          </w:p>
        </w:tc>
      </w:tr>
      <w:tr w:rsidR="00A5674E" w:rsidRPr="008D13EC" w14:paraId="15039DAB" w14:textId="77777777">
        <w:trPr>
          <w:trHeight w:val="315"/>
        </w:trPr>
        <w:tc>
          <w:tcPr>
            <w:tcW w:w="708" w:type="dxa"/>
            <w:tcBorders>
              <w:left w:val="single" w:sz="4" w:space="0" w:color="000000"/>
            </w:tcBorders>
            <w:shd w:val="clear" w:color="auto" w:fill="auto"/>
            <w:vAlign w:val="center"/>
          </w:tcPr>
          <w:p w14:paraId="2A90B1BF" w14:textId="77777777" w:rsidR="00A5674E" w:rsidRPr="008D13EC" w:rsidRDefault="00FE370C">
            <w:pPr>
              <w:spacing w:line="276" w:lineRule="auto"/>
              <w:jc w:val="center"/>
              <w:rPr>
                <w:sz w:val="23"/>
                <w:szCs w:val="23"/>
                <w:lang w:val="en-US"/>
              </w:rPr>
            </w:pPr>
            <w:r w:rsidRPr="008D13EC">
              <w:rPr>
                <w:sz w:val="23"/>
                <w:szCs w:val="23"/>
                <w:lang w:val="en-US"/>
              </w:rPr>
              <w:t>4</w:t>
            </w:r>
          </w:p>
        </w:tc>
        <w:tc>
          <w:tcPr>
            <w:tcW w:w="3402" w:type="dxa"/>
            <w:shd w:val="clear" w:color="auto" w:fill="auto"/>
            <w:vAlign w:val="bottom"/>
          </w:tcPr>
          <w:p w14:paraId="0BFFA3D6" w14:textId="77777777" w:rsidR="00A5674E" w:rsidRPr="008D13EC" w:rsidRDefault="00FE370C">
            <w:pPr>
              <w:spacing w:line="276" w:lineRule="auto"/>
              <w:rPr>
                <w:sz w:val="23"/>
                <w:szCs w:val="23"/>
                <w:lang w:val="en-US"/>
              </w:rPr>
            </w:pPr>
            <w:r w:rsidRPr="008D13EC">
              <w:rPr>
                <w:sz w:val="23"/>
                <w:szCs w:val="23"/>
                <w:lang w:val="en-US"/>
              </w:rPr>
              <w:t>ARM Holdings</w:t>
            </w:r>
          </w:p>
        </w:tc>
        <w:tc>
          <w:tcPr>
            <w:tcW w:w="849" w:type="dxa"/>
            <w:shd w:val="clear" w:color="auto" w:fill="auto"/>
            <w:vAlign w:val="center"/>
          </w:tcPr>
          <w:p w14:paraId="693D0C1A" w14:textId="77777777" w:rsidR="00A5674E" w:rsidRPr="008D13EC" w:rsidRDefault="00FE370C">
            <w:pPr>
              <w:spacing w:line="276" w:lineRule="auto"/>
              <w:jc w:val="center"/>
              <w:rPr>
                <w:sz w:val="23"/>
                <w:szCs w:val="23"/>
                <w:lang w:val="en-US"/>
              </w:rPr>
            </w:pPr>
            <w:r w:rsidRPr="008D13EC">
              <w:rPr>
                <w:sz w:val="23"/>
                <w:szCs w:val="23"/>
                <w:lang w:val="en-US"/>
              </w:rPr>
              <w:t>41</w:t>
            </w:r>
          </w:p>
        </w:tc>
        <w:tc>
          <w:tcPr>
            <w:tcW w:w="3120" w:type="dxa"/>
            <w:tcBorders>
              <w:right w:val="single" w:sz="4" w:space="0" w:color="000000"/>
            </w:tcBorders>
            <w:shd w:val="clear" w:color="auto" w:fill="auto"/>
            <w:vAlign w:val="bottom"/>
          </w:tcPr>
          <w:p w14:paraId="66062699" w14:textId="77777777" w:rsidR="00A5674E" w:rsidRPr="008D13EC" w:rsidRDefault="00FE370C">
            <w:pPr>
              <w:spacing w:line="276" w:lineRule="auto"/>
              <w:rPr>
                <w:lang w:val="en-US"/>
              </w:rPr>
            </w:pPr>
            <w:r w:rsidRPr="008D13EC">
              <w:rPr>
                <w:sz w:val="23"/>
                <w:szCs w:val="23"/>
                <w:lang w:val="en-US"/>
              </w:rPr>
              <w:t>Pace</w:t>
            </w:r>
          </w:p>
        </w:tc>
      </w:tr>
      <w:tr w:rsidR="00A5674E" w:rsidRPr="008D13EC" w14:paraId="0AC71971" w14:textId="77777777">
        <w:trPr>
          <w:trHeight w:val="315"/>
        </w:trPr>
        <w:tc>
          <w:tcPr>
            <w:tcW w:w="708" w:type="dxa"/>
            <w:tcBorders>
              <w:left w:val="single" w:sz="4" w:space="0" w:color="000000"/>
            </w:tcBorders>
            <w:shd w:val="clear" w:color="auto" w:fill="auto"/>
            <w:vAlign w:val="center"/>
          </w:tcPr>
          <w:p w14:paraId="46C453AE" w14:textId="77777777" w:rsidR="00A5674E" w:rsidRPr="008D13EC" w:rsidRDefault="00FE370C">
            <w:pPr>
              <w:spacing w:line="276" w:lineRule="auto"/>
              <w:jc w:val="center"/>
              <w:rPr>
                <w:sz w:val="23"/>
                <w:szCs w:val="23"/>
                <w:lang w:val="en-US"/>
              </w:rPr>
            </w:pPr>
            <w:r w:rsidRPr="008D13EC">
              <w:rPr>
                <w:sz w:val="23"/>
                <w:szCs w:val="23"/>
                <w:lang w:val="en-US"/>
              </w:rPr>
              <w:t>5</w:t>
            </w:r>
          </w:p>
        </w:tc>
        <w:tc>
          <w:tcPr>
            <w:tcW w:w="3402" w:type="dxa"/>
            <w:shd w:val="clear" w:color="auto" w:fill="auto"/>
            <w:vAlign w:val="bottom"/>
          </w:tcPr>
          <w:p w14:paraId="74CB1AA4" w14:textId="77777777" w:rsidR="00A5674E" w:rsidRPr="008D13EC" w:rsidRDefault="00FE370C">
            <w:pPr>
              <w:spacing w:line="276" w:lineRule="auto"/>
              <w:rPr>
                <w:sz w:val="23"/>
                <w:szCs w:val="23"/>
                <w:lang w:val="en-US"/>
              </w:rPr>
            </w:pPr>
            <w:r w:rsidRPr="008D13EC">
              <w:rPr>
                <w:sz w:val="23"/>
                <w:szCs w:val="23"/>
                <w:lang w:val="en-US"/>
              </w:rPr>
              <w:t>AstraZeneca</w:t>
            </w:r>
          </w:p>
        </w:tc>
        <w:tc>
          <w:tcPr>
            <w:tcW w:w="849" w:type="dxa"/>
            <w:shd w:val="clear" w:color="auto" w:fill="auto"/>
            <w:vAlign w:val="center"/>
          </w:tcPr>
          <w:p w14:paraId="2EC9FD04" w14:textId="77777777" w:rsidR="00A5674E" w:rsidRPr="008D13EC" w:rsidRDefault="00FE370C">
            <w:pPr>
              <w:spacing w:line="276" w:lineRule="auto"/>
              <w:jc w:val="center"/>
              <w:rPr>
                <w:sz w:val="23"/>
                <w:szCs w:val="23"/>
                <w:lang w:val="en-US"/>
              </w:rPr>
            </w:pPr>
            <w:r w:rsidRPr="008D13EC">
              <w:rPr>
                <w:sz w:val="23"/>
                <w:szCs w:val="23"/>
                <w:lang w:val="en-US"/>
              </w:rPr>
              <w:t>42</w:t>
            </w:r>
          </w:p>
        </w:tc>
        <w:tc>
          <w:tcPr>
            <w:tcW w:w="3120" w:type="dxa"/>
            <w:tcBorders>
              <w:right w:val="single" w:sz="4" w:space="0" w:color="000000"/>
            </w:tcBorders>
            <w:shd w:val="clear" w:color="auto" w:fill="auto"/>
            <w:vAlign w:val="bottom"/>
          </w:tcPr>
          <w:p w14:paraId="15FC4A9D" w14:textId="77777777" w:rsidR="00A5674E" w:rsidRPr="008D13EC" w:rsidRDefault="00FE370C">
            <w:pPr>
              <w:spacing w:line="276" w:lineRule="auto"/>
              <w:rPr>
                <w:lang w:val="en-US"/>
              </w:rPr>
            </w:pPr>
            <w:r w:rsidRPr="008D13EC">
              <w:rPr>
                <w:sz w:val="23"/>
                <w:szCs w:val="23"/>
                <w:lang w:val="en-US"/>
              </w:rPr>
              <w:t>Pearson</w:t>
            </w:r>
          </w:p>
        </w:tc>
      </w:tr>
      <w:tr w:rsidR="00A5674E" w:rsidRPr="008D13EC" w14:paraId="1C4DB6FE" w14:textId="77777777">
        <w:trPr>
          <w:trHeight w:val="315"/>
        </w:trPr>
        <w:tc>
          <w:tcPr>
            <w:tcW w:w="708" w:type="dxa"/>
            <w:tcBorders>
              <w:left w:val="single" w:sz="4" w:space="0" w:color="000000"/>
            </w:tcBorders>
            <w:shd w:val="clear" w:color="auto" w:fill="auto"/>
            <w:vAlign w:val="center"/>
          </w:tcPr>
          <w:p w14:paraId="1327C491" w14:textId="77777777" w:rsidR="00A5674E" w:rsidRPr="008D13EC" w:rsidRDefault="00FE370C">
            <w:pPr>
              <w:spacing w:line="276" w:lineRule="auto"/>
              <w:jc w:val="center"/>
              <w:rPr>
                <w:sz w:val="23"/>
                <w:szCs w:val="23"/>
                <w:lang w:val="en-US"/>
              </w:rPr>
            </w:pPr>
            <w:r w:rsidRPr="008D13EC">
              <w:rPr>
                <w:sz w:val="23"/>
                <w:szCs w:val="23"/>
                <w:lang w:val="en-US"/>
              </w:rPr>
              <w:t>6</w:t>
            </w:r>
          </w:p>
        </w:tc>
        <w:tc>
          <w:tcPr>
            <w:tcW w:w="3402" w:type="dxa"/>
            <w:shd w:val="clear" w:color="auto" w:fill="auto"/>
            <w:vAlign w:val="bottom"/>
          </w:tcPr>
          <w:p w14:paraId="77ACB136" w14:textId="77777777" w:rsidR="00A5674E" w:rsidRPr="008D13EC" w:rsidRDefault="00FE370C">
            <w:pPr>
              <w:spacing w:line="276" w:lineRule="auto"/>
              <w:rPr>
                <w:sz w:val="23"/>
                <w:szCs w:val="23"/>
                <w:lang w:val="en-US"/>
              </w:rPr>
            </w:pPr>
            <w:proofErr w:type="spellStart"/>
            <w:r w:rsidRPr="008D13EC">
              <w:rPr>
                <w:sz w:val="23"/>
                <w:szCs w:val="23"/>
                <w:lang w:val="en-US"/>
              </w:rPr>
              <w:t>Aveva</w:t>
            </w:r>
            <w:proofErr w:type="spellEnd"/>
            <w:r w:rsidRPr="008D13EC">
              <w:rPr>
                <w:sz w:val="23"/>
                <w:szCs w:val="23"/>
                <w:lang w:val="en-US"/>
              </w:rPr>
              <w:t xml:space="preserve"> Group</w:t>
            </w:r>
          </w:p>
        </w:tc>
        <w:tc>
          <w:tcPr>
            <w:tcW w:w="849" w:type="dxa"/>
            <w:shd w:val="clear" w:color="auto" w:fill="auto"/>
            <w:vAlign w:val="center"/>
          </w:tcPr>
          <w:p w14:paraId="371749D9" w14:textId="77777777" w:rsidR="00A5674E" w:rsidRPr="008D13EC" w:rsidRDefault="00FE370C">
            <w:pPr>
              <w:spacing w:line="276" w:lineRule="auto"/>
              <w:jc w:val="center"/>
              <w:rPr>
                <w:sz w:val="23"/>
                <w:szCs w:val="23"/>
                <w:lang w:val="en-US"/>
              </w:rPr>
            </w:pPr>
            <w:r w:rsidRPr="008D13EC">
              <w:rPr>
                <w:sz w:val="23"/>
                <w:szCs w:val="23"/>
                <w:lang w:val="en-US"/>
              </w:rPr>
              <w:t>43</w:t>
            </w:r>
          </w:p>
        </w:tc>
        <w:tc>
          <w:tcPr>
            <w:tcW w:w="3120" w:type="dxa"/>
            <w:tcBorders>
              <w:right w:val="single" w:sz="4" w:space="0" w:color="000000"/>
            </w:tcBorders>
            <w:shd w:val="clear" w:color="auto" w:fill="auto"/>
            <w:vAlign w:val="bottom"/>
          </w:tcPr>
          <w:p w14:paraId="1378CC99" w14:textId="77777777" w:rsidR="00A5674E" w:rsidRPr="008D13EC" w:rsidRDefault="00FE370C">
            <w:pPr>
              <w:spacing w:line="276" w:lineRule="auto"/>
              <w:rPr>
                <w:lang w:val="en-US"/>
              </w:rPr>
            </w:pPr>
            <w:r w:rsidRPr="008D13EC">
              <w:rPr>
                <w:sz w:val="23"/>
                <w:szCs w:val="23"/>
                <w:lang w:val="en-US"/>
              </w:rPr>
              <w:t>Pennon</w:t>
            </w:r>
          </w:p>
        </w:tc>
      </w:tr>
      <w:tr w:rsidR="00A5674E" w:rsidRPr="008D13EC" w14:paraId="0F01D479" w14:textId="77777777">
        <w:trPr>
          <w:trHeight w:val="315"/>
        </w:trPr>
        <w:tc>
          <w:tcPr>
            <w:tcW w:w="708" w:type="dxa"/>
            <w:tcBorders>
              <w:left w:val="single" w:sz="4" w:space="0" w:color="000000"/>
            </w:tcBorders>
            <w:shd w:val="clear" w:color="auto" w:fill="auto"/>
            <w:vAlign w:val="center"/>
          </w:tcPr>
          <w:p w14:paraId="6C71E498" w14:textId="77777777" w:rsidR="00A5674E" w:rsidRPr="008D13EC" w:rsidRDefault="00FE370C">
            <w:pPr>
              <w:spacing w:line="276" w:lineRule="auto"/>
              <w:jc w:val="center"/>
              <w:rPr>
                <w:sz w:val="23"/>
                <w:szCs w:val="23"/>
                <w:lang w:val="en-US"/>
              </w:rPr>
            </w:pPr>
            <w:r w:rsidRPr="008D13EC">
              <w:rPr>
                <w:sz w:val="23"/>
                <w:szCs w:val="23"/>
                <w:lang w:val="en-US"/>
              </w:rPr>
              <w:t>7</w:t>
            </w:r>
          </w:p>
        </w:tc>
        <w:tc>
          <w:tcPr>
            <w:tcW w:w="3402" w:type="dxa"/>
            <w:shd w:val="clear" w:color="auto" w:fill="auto"/>
            <w:vAlign w:val="bottom"/>
          </w:tcPr>
          <w:p w14:paraId="685B8F81" w14:textId="77777777" w:rsidR="00A5674E" w:rsidRPr="008D13EC" w:rsidRDefault="00FE370C">
            <w:pPr>
              <w:spacing w:line="276" w:lineRule="auto"/>
              <w:rPr>
                <w:sz w:val="23"/>
                <w:szCs w:val="23"/>
                <w:lang w:val="en-US"/>
              </w:rPr>
            </w:pPr>
            <w:r w:rsidRPr="008D13EC">
              <w:rPr>
                <w:sz w:val="23"/>
                <w:szCs w:val="23"/>
                <w:lang w:val="en-US"/>
              </w:rPr>
              <w:t>Barclays</w:t>
            </w:r>
          </w:p>
        </w:tc>
        <w:tc>
          <w:tcPr>
            <w:tcW w:w="849" w:type="dxa"/>
            <w:shd w:val="clear" w:color="auto" w:fill="auto"/>
            <w:vAlign w:val="center"/>
          </w:tcPr>
          <w:p w14:paraId="1B9D4479" w14:textId="77777777" w:rsidR="00A5674E" w:rsidRPr="008D13EC" w:rsidRDefault="00FE370C">
            <w:pPr>
              <w:spacing w:line="276" w:lineRule="auto"/>
              <w:jc w:val="center"/>
              <w:rPr>
                <w:sz w:val="23"/>
                <w:szCs w:val="23"/>
                <w:lang w:val="en-US"/>
              </w:rPr>
            </w:pPr>
            <w:r w:rsidRPr="008D13EC">
              <w:rPr>
                <w:sz w:val="23"/>
                <w:szCs w:val="23"/>
                <w:lang w:val="en-US"/>
              </w:rPr>
              <w:t>44</w:t>
            </w:r>
          </w:p>
        </w:tc>
        <w:tc>
          <w:tcPr>
            <w:tcW w:w="3120" w:type="dxa"/>
            <w:tcBorders>
              <w:right w:val="single" w:sz="4" w:space="0" w:color="000000"/>
            </w:tcBorders>
            <w:shd w:val="clear" w:color="auto" w:fill="auto"/>
            <w:vAlign w:val="bottom"/>
          </w:tcPr>
          <w:p w14:paraId="7B588C0D" w14:textId="77777777" w:rsidR="00A5674E" w:rsidRPr="008D13EC" w:rsidRDefault="00FE370C">
            <w:pPr>
              <w:spacing w:line="276" w:lineRule="auto"/>
              <w:rPr>
                <w:lang w:val="en-US"/>
              </w:rPr>
            </w:pPr>
            <w:r w:rsidRPr="008D13EC">
              <w:rPr>
                <w:sz w:val="23"/>
                <w:szCs w:val="23"/>
                <w:lang w:val="en-US"/>
              </w:rPr>
              <w:t>Premier Oil</w:t>
            </w:r>
          </w:p>
        </w:tc>
      </w:tr>
      <w:tr w:rsidR="00A5674E" w:rsidRPr="008D13EC" w14:paraId="5C44C0DC" w14:textId="77777777">
        <w:trPr>
          <w:trHeight w:val="315"/>
        </w:trPr>
        <w:tc>
          <w:tcPr>
            <w:tcW w:w="708" w:type="dxa"/>
            <w:tcBorders>
              <w:left w:val="single" w:sz="4" w:space="0" w:color="000000"/>
            </w:tcBorders>
            <w:shd w:val="clear" w:color="auto" w:fill="auto"/>
            <w:vAlign w:val="center"/>
          </w:tcPr>
          <w:p w14:paraId="5440E246" w14:textId="77777777" w:rsidR="00A5674E" w:rsidRPr="008D13EC" w:rsidRDefault="00FE370C">
            <w:pPr>
              <w:spacing w:line="276" w:lineRule="auto"/>
              <w:jc w:val="center"/>
              <w:rPr>
                <w:sz w:val="23"/>
                <w:szCs w:val="23"/>
                <w:lang w:val="en-US"/>
              </w:rPr>
            </w:pPr>
            <w:r w:rsidRPr="008D13EC">
              <w:rPr>
                <w:sz w:val="23"/>
                <w:szCs w:val="23"/>
                <w:lang w:val="en-US"/>
              </w:rPr>
              <w:lastRenderedPageBreak/>
              <w:t>8</w:t>
            </w:r>
          </w:p>
        </w:tc>
        <w:tc>
          <w:tcPr>
            <w:tcW w:w="3402" w:type="dxa"/>
            <w:shd w:val="clear" w:color="auto" w:fill="auto"/>
            <w:vAlign w:val="bottom"/>
          </w:tcPr>
          <w:p w14:paraId="583579BC" w14:textId="77777777" w:rsidR="00A5674E" w:rsidRPr="008D13EC" w:rsidRDefault="00FE370C">
            <w:pPr>
              <w:spacing w:line="276" w:lineRule="auto"/>
              <w:rPr>
                <w:sz w:val="23"/>
                <w:szCs w:val="23"/>
                <w:lang w:val="en-US"/>
              </w:rPr>
            </w:pPr>
            <w:r w:rsidRPr="008D13EC">
              <w:rPr>
                <w:sz w:val="23"/>
                <w:szCs w:val="23"/>
                <w:lang w:val="en-US"/>
              </w:rPr>
              <w:t>BBA Aviation</w:t>
            </w:r>
          </w:p>
        </w:tc>
        <w:tc>
          <w:tcPr>
            <w:tcW w:w="849" w:type="dxa"/>
            <w:shd w:val="clear" w:color="auto" w:fill="auto"/>
            <w:vAlign w:val="center"/>
          </w:tcPr>
          <w:p w14:paraId="168C0721" w14:textId="77777777" w:rsidR="00A5674E" w:rsidRPr="008D13EC" w:rsidRDefault="00FE370C">
            <w:pPr>
              <w:spacing w:line="276" w:lineRule="auto"/>
              <w:jc w:val="center"/>
              <w:rPr>
                <w:sz w:val="23"/>
                <w:szCs w:val="23"/>
                <w:lang w:val="en-US"/>
              </w:rPr>
            </w:pPr>
            <w:r w:rsidRPr="008D13EC">
              <w:rPr>
                <w:sz w:val="23"/>
                <w:szCs w:val="23"/>
                <w:lang w:val="en-US"/>
              </w:rPr>
              <w:t>45</w:t>
            </w:r>
          </w:p>
        </w:tc>
        <w:tc>
          <w:tcPr>
            <w:tcW w:w="3120" w:type="dxa"/>
            <w:tcBorders>
              <w:right w:val="single" w:sz="4" w:space="0" w:color="000000"/>
            </w:tcBorders>
            <w:shd w:val="clear" w:color="auto" w:fill="auto"/>
            <w:vAlign w:val="bottom"/>
          </w:tcPr>
          <w:p w14:paraId="14FA2AB3" w14:textId="77777777" w:rsidR="00A5674E" w:rsidRPr="008D13EC" w:rsidRDefault="00FE370C">
            <w:pPr>
              <w:spacing w:line="276" w:lineRule="auto"/>
              <w:rPr>
                <w:lang w:val="en-US"/>
              </w:rPr>
            </w:pPr>
            <w:r w:rsidRPr="008D13EC">
              <w:rPr>
                <w:sz w:val="23"/>
                <w:szCs w:val="23"/>
                <w:lang w:val="en-US"/>
              </w:rPr>
              <w:t>Provident Financial</w:t>
            </w:r>
          </w:p>
        </w:tc>
      </w:tr>
      <w:tr w:rsidR="00A5674E" w:rsidRPr="008D13EC" w14:paraId="7C37A7F8" w14:textId="77777777">
        <w:trPr>
          <w:trHeight w:val="315"/>
        </w:trPr>
        <w:tc>
          <w:tcPr>
            <w:tcW w:w="708" w:type="dxa"/>
            <w:tcBorders>
              <w:left w:val="single" w:sz="4" w:space="0" w:color="000000"/>
            </w:tcBorders>
            <w:shd w:val="clear" w:color="auto" w:fill="auto"/>
            <w:vAlign w:val="center"/>
          </w:tcPr>
          <w:p w14:paraId="54A79BBA" w14:textId="77777777" w:rsidR="00A5674E" w:rsidRPr="008D13EC" w:rsidRDefault="00FE370C">
            <w:pPr>
              <w:spacing w:line="276" w:lineRule="auto"/>
              <w:jc w:val="center"/>
              <w:rPr>
                <w:sz w:val="23"/>
                <w:szCs w:val="23"/>
                <w:lang w:val="en-US"/>
              </w:rPr>
            </w:pPr>
            <w:r w:rsidRPr="008D13EC">
              <w:rPr>
                <w:sz w:val="23"/>
                <w:szCs w:val="23"/>
                <w:lang w:val="en-US"/>
              </w:rPr>
              <w:t>9</w:t>
            </w:r>
          </w:p>
        </w:tc>
        <w:tc>
          <w:tcPr>
            <w:tcW w:w="3402" w:type="dxa"/>
            <w:shd w:val="clear" w:color="auto" w:fill="auto"/>
            <w:vAlign w:val="bottom"/>
          </w:tcPr>
          <w:p w14:paraId="3D0E0650" w14:textId="77777777" w:rsidR="00A5674E" w:rsidRPr="008D13EC" w:rsidRDefault="00FE370C">
            <w:pPr>
              <w:spacing w:line="276" w:lineRule="auto"/>
              <w:rPr>
                <w:sz w:val="23"/>
                <w:szCs w:val="23"/>
                <w:lang w:val="en-US"/>
              </w:rPr>
            </w:pPr>
            <w:r w:rsidRPr="008D13EC">
              <w:rPr>
                <w:sz w:val="23"/>
                <w:szCs w:val="23"/>
                <w:lang w:val="en-US"/>
              </w:rPr>
              <w:t>BHP</w:t>
            </w:r>
          </w:p>
        </w:tc>
        <w:tc>
          <w:tcPr>
            <w:tcW w:w="849" w:type="dxa"/>
            <w:shd w:val="clear" w:color="auto" w:fill="auto"/>
            <w:vAlign w:val="center"/>
          </w:tcPr>
          <w:p w14:paraId="5E14F970" w14:textId="77777777" w:rsidR="00A5674E" w:rsidRPr="008D13EC" w:rsidRDefault="00FE370C">
            <w:pPr>
              <w:spacing w:line="276" w:lineRule="auto"/>
              <w:jc w:val="center"/>
              <w:rPr>
                <w:sz w:val="23"/>
                <w:szCs w:val="23"/>
                <w:lang w:val="en-US"/>
              </w:rPr>
            </w:pPr>
            <w:r w:rsidRPr="008D13EC">
              <w:rPr>
                <w:sz w:val="23"/>
                <w:szCs w:val="23"/>
                <w:lang w:val="en-US"/>
              </w:rPr>
              <w:t>46</w:t>
            </w:r>
          </w:p>
        </w:tc>
        <w:tc>
          <w:tcPr>
            <w:tcW w:w="3120" w:type="dxa"/>
            <w:tcBorders>
              <w:right w:val="single" w:sz="4" w:space="0" w:color="000000"/>
            </w:tcBorders>
            <w:shd w:val="clear" w:color="auto" w:fill="auto"/>
            <w:vAlign w:val="bottom"/>
          </w:tcPr>
          <w:p w14:paraId="65B21760" w14:textId="77777777" w:rsidR="00A5674E" w:rsidRPr="008D13EC" w:rsidRDefault="00FE370C">
            <w:pPr>
              <w:spacing w:line="276" w:lineRule="auto"/>
              <w:rPr>
                <w:lang w:val="en-US"/>
              </w:rPr>
            </w:pPr>
            <w:r w:rsidRPr="008D13EC">
              <w:rPr>
                <w:sz w:val="23"/>
                <w:szCs w:val="23"/>
                <w:lang w:val="en-US"/>
              </w:rPr>
              <w:t>Prudential</w:t>
            </w:r>
          </w:p>
        </w:tc>
      </w:tr>
      <w:tr w:rsidR="00A5674E" w:rsidRPr="008D13EC" w14:paraId="15E13E37" w14:textId="77777777">
        <w:trPr>
          <w:trHeight w:val="315"/>
        </w:trPr>
        <w:tc>
          <w:tcPr>
            <w:tcW w:w="708" w:type="dxa"/>
            <w:tcBorders>
              <w:left w:val="single" w:sz="4" w:space="0" w:color="000000"/>
            </w:tcBorders>
            <w:shd w:val="clear" w:color="auto" w:fill="auto"/>
            <w:vAlign w:val="center"/>
          </w:tcPr>
          <w:p w14:paraId="7E33DD16" w14:textId="77777777" w:rsidR="00A5674E" w:rsidRPr="008D13EC" w:rsidRDefault="00FE370C">
            <w:pPr>
              <w:spacing w:line="276" w:lineRule="auto"/>
              <w:jc w:val="center"/>
              <w:rPr>
                <w:sz w:val="23"/>
                <w:szCs w:val="23"/>
                <w:lang w:val="en-US"/>
              </w:rPr>
            </w:pPr>
            <w:r w:rsidRPr="008D13EC">
              <w:rPr>
                <w:sz w:val="23"/>
                <w:szCs w:val="23"/>
                <w:lang w:val="en-US"/>
              </w:rPr>
              <w:t>10</w:t>
            </w:r>
          </w:p>
        </w:tc>
        <w:tc>
          <w:tcPr>
            <w:tcW w:w="3402" w:type="dxa"/>
            <w:shd w:val="clear" w:color="auto" w:fill="auto"/>
            <w:vAlign w:val="bottom"/>
          </w:tcPr>
          <w:p w14:paraId="26B588E8" w14:textId="77777777" w:rsidR="00A5674E" w:rsidRPr="008D13EC" w:rsidRDefault="00FE370C">
            <w:pPr>
              <w:spacing w:line="276" w:lineRule="auto"/>
              <w:rPr>
                <w:sz w:val="23"/>
                <w:szCs w:val="23"/>
                <w:lang w:val="en-US"/>
              </w:rPr>
            </w:pPr>
            <w:r w:rsidRPr="008D13EC">
              <w:rPr>
                <w:sz w:val="23"/>
                <w:szCs w:val="23"/>
                <w:lang w:val="en-US"/>
              </w:rPr>
              <w:t xml:space="preserve">BP </w:t>
            </w:r>
          </w:p>
        </w:tc>
        <w:tc>
          <w:tcPr>
            <w:tcW w:w="849" w:type="dxa"/>
            <w:shd w:val="clear" w:color="auto" w:fill="auto"/>
            <w:vAlign w:val="center"/>
          </w:tcPr>
          <w:p w14:paraId="1D52061F" w14:textId="77777777" w:rsidR="00A5674E" w:rsidRPr="008D13EC" w:rsidRDefault="00FE370C">
            <w:pPr>
              <w:spacing w:line="276" w:lineRule="auto"/>
              <w:jc w:val="center"/>
              <w:rPr>
                <w:sz w:val="23"/>
                <w:szCs w:val="23"/>
                <w:lang w:val="en-US"/>
              </w:rPr>
            </w:pPr>
            <w:r w:rsidRPr="008D13EC">
              <w:rPr>
                <w:sz w:val="23"/>
                <w:szCs w:val="23"/>
                <w:lang w:val="en-US"/>
              </w:rPr>
              <w:t>47</w:t>
            </w:r>
          </w:p>
        </w:tc>
        <w:tc>
          <w:tcPr>
            <w:tcW w:w="3120" w:type="dxa"/>
            <w:tcBorders>
              <w:right w:val="single" w:sz="4" w:space="0" w:color="000000"/>
            </w:tcBorders>
            <w:shd w:val="clear" w:color="auto" w:fill="auto"/>
            <w:vAlign w:val="bottom"/>
          </w:tcPr>
          <w:p w14:paraId="6EC1A4EE" w14:textId="77777777" w:rsidR="00A5674E" w:rsidRPr="008D13EC" w:rsidRDefault="00FE370C">
            <w:pPr>
              <w:spacing w:line="276" w:lineRule="auto"/>
              <w:rPr>
                <w:lang w:val="en-US"/>
              </w:rPr>
            </w:pPr>
            <w:r w:rsidRPr="008D13EC">
              <w:rPr>
                <w:sz w:val="23"/>
                <w:szCs w:val="23"/>
                <w:lang w:val="en-US"/>
              </w:rPr>
              <w:t>Rio Tinto</w:t>
            </w:r>
          </w:p>
        </w:tc>
      </w:tr>
      <w:tr w:rsidR="00A5674E" w:rsidRPr="008D13EC" w14:paraId="1EAF1652" w14:textId="77777777">
        <w:trPr>
          <w:trHeight w:val="315"/>
        </w:trPr>
        <w:tc>
          <w:tcPr>
            <w:tcW w:w="708" w:type="dxa"/>
            <w:tcBorders>
              <w:left w:val="single" w:sz="4" w:space="0" w:color="000000"/>
            </w:tcBorders>
            <w:shd w:val="clear" w:color="auto" w:fill="auto"/>
            <w:vAlign w:val="center"/>
          </w:tcPr>
          <w:p w14:paraId="7D1C9247" w14:textId="77777777" w:rsidR="00A5674E" w:rsidRPr="008D13EC" w:rsidRDefault="00FE370C">
            <w:pPr>
              <w:spacing w:line="276" w:lineRule="auto"/>
              <w:jc w:val="center"/>
              <w:rPr>
                <w:sz w:val="23"/>
                <w:szCs w:val="23"/>
                <w:lang w:val="en-US"/>
              </w:rPr>
            </w:pPr>
            <w:r w:rsidRPr="008D13EC">
              <w:rPr>
                <w:sz w:val="23"/>
                <w:szCs w:val="23"/>
                <w:lang w:val="en-US"/>
              </w:rPr>
              <w:t>11</w:t>
            </w:r>
          </w:p>
        </w:tc>
        <w:tc>
          <w:tcPr>
            <w:tcW w:w="3402" w:type="dxa"/>
            <w:shd w:val="clear" w:color="auto" w:fill="auto"/>
            <w:vAlign w:val="bottom"/>
          </w:tcPr>
          <w:p w14:paraId="4C24A6E0" w14:textId="77777777" w:rsidR="00A5674E" w:rsidRPr="008D13EC" w:rsidRDefault="00FE370C">
            <w:pPr>
              <w:spacing w:line="276" w:lineRule="auto"/>
              <w:rPr>
                <w:sz w:val="23"/>
                <w:szCs w:val="23"/>
                <w:lang w:val="en-US"/>
              </w:rPr>
            </w:pPr>
            <w:r w:rsidRPr="008D13EC">
              <w:rPr>
                <w:sz w:val="23"/>
                <w:szCs w:val="23"/>
                <w:lang w:val="en-US"/>
              </w:rPr>
              <w:t>British Airways</w:t>
            </w:r>
          </w:p>
        </w:tc>
        <w:tc>
          <w:tcPr>
            <w:tcW w:w="849" w:type="dxa"/>
            <w:shd w:val="clear" w:color="auto" w:fill="auto"/>
            <w:vAlign w:val="center"/>
          </w:tcPr>
          <w:p w14:paraId="3522CD98" w14:textId="77777777" w:rsidR="00A5674E" w:rsidRPr="008D13EC" w:rsidRDefault="00FE370C">
            <w:pPr>
              <w:spacing w:line="276" w:lineRule="auto"/>
              <w:jc w:val="center"/>
              <w:rPr>
                <w:sz w:val="23"/>
                <w:szCs w:val="23"/>
                <w:lang w:val="en-US"/>
              </w:rPr>
            </w:pPr>
            <w:r w:rsidRPr="008D13EC">
              <w:rPr>
                <w:sz w:val="23"/>
                <w:szCs w:val="23"/>
                <w:lang w:val="en-US"/>
              </w:rPr>
              <w:t>48</w:t>
            </w:r>
          </w:p>
        </w:tc>
        <w:tc>
          <w:tcPr>
            <w:tcW w:w="3120" w:type="dxa"/>
            <w:tcBorders>
              <w:right w:val="single" w:sz="4" w:space="0" w:color="000000"/>
            </w:tcBorders>
            <w:shd w:val="clear" w:color="auto" w:fill="auto"/>
            <w:vAlign w:val="bottom"/>
          </w:tcPr>
          <w:p w14:paraId="1336217B" w14:textId="77777777" w:rsidR="00A5674E" w:rsidRPr="008D13EC" w:rsidRDefault="00FE370C">
            <w:pPr>
              <w:spacing w:line="276" w:lineRule="auto"/>
              <w:rPr>
                <w:lang w:val="en-US"/>
              </w:rPr>
            </w:pPr>
            <w:r w:rsidRPr="008D13EC">
              <w:rPr>
                <w:sz w:val="23"/>
                <w:szCs w:val="23"/>
                <w:lang w:val="en-US"/>
              </w:rPr>
              <w:t>Rolls-Royce Group</w:t>
            </w:r>
          </w:p>
        </w:tc>
      </w:tr>
      <w:tr w:rsidR="00A5674E" w:rsidRPr="008D13EC" w14:paraId="181ED2BF" w14:textId="77777777">
        <w:trPr>
          <w:trHeight w:val="315"/>
        </w:trPr>
        <w:tc>
          <w:tcPr>
            <w:tcW w:w="708" w:type="dxa"/>
            <w:tcBorders>
              <w:left w:val="single" w:sz="4" w:space="0" w:color="000000"/>
            </w:tcBorders>
            <w:shd w:val="clear" w:color="auto" w:fill="auto"/>
            <w:vAlign w:val="center"/>
          </w:tcPr>
          <w:p w14:paraId="3DF808D4" w14:textId="77777777" w:rsidR="00A5674E" w:rsidRPr="008D13EC" w:rsidRDefault="00FE370C">
            <w:pPr>
              <w:spacing w:line="276" w:lineRule="auto"/>
              <w:jc w:val="center"/>
              <w:rPr>
                <w:sz w:val="23"/>
                <w:szCs w:val="23"/>
                <w:lang w:val="en-US"/>
              </w:rPr>
            </w:pPr>
            <w:r w:rsidRPr="008D13EC">
              <w:rPr>
                <w:sz w:val="23"/>
                <w:szCs w:val="23"/>
                <w:lang w:val="en-US"/>
              </w:rPr>
              <w:t>12</w:t>
            </w:r>
          </w:p>
        </w:tc>
        <w:tc>
          <w:tcPr>
            <w:tcW w:w="3402" w:type="dxa"/>
            <w:shd w:val="clear" w:color="auto" w:fill="auto"/>
            <w:vAlign w:val="center"/>
          </w:tcPr>
          <w:p w14:paraId="6F7779F7" w14:textId="77777777" w:rsidR="00A5674E" w:rsidRPr="008D13EC" w:rsidRDefault="00FE370C">
            <w:pPr>
              <w:spacing w:line="276" w:lineRule="auto"/>
              <w:rPr>
                <w:sz w:val="23"/>
                <w:szCs w:val="23"/>
                <w:lang w:val="en-US"/>
              </w:rPr>
            </w:pPr>
            <w:r w:rsidRPr="008D13EC">
              <w:rPr>
                <w:sz w:val="23"/>
                <w:szCs w:val="23"/>
                <w:lang w:val="en-US"/>
              </w:rPr>
              <w:t xml:space="preserve">British American Tobacco </w:t>
            </w:r>
          </w:p>
        </w:tc>
        <w:tc>
          <w:tcPr>
            <w:tcW w:w="849" w:type="dxa"/>
            <w:shd w:val="clear" w:color="auto" w:fill="auto"/>
            <w:vAlign w:val="center"/>
          </w:tcPr>
          <w:p w14:paraId="558EE779" w14:textId="77777777" w:rsidR="00A5674E" w:rsidRPr="008D13EC" w:rsidRDefault="00FE370C">
            <w:pPr>
              <w:spacing w:line="276" w:lineRule="auto"/>
              <w:jc w:val="center"/>
              <w:rPr>
                <w:sz w:val="23"/>
                <w:szCs w:val="23"/>
                <w:lang w:val="en-US"/>
              </w:rPr>
            </w:pPr>
            <w:r w:rsidRPr="008D13EC">
              <w:rPr>
                <w:sz w:val="23"/>
                <w:szCs w:val="23"/>
                <w:lang w:val="en-US"/>
              </w:rPr>
              <w:t>49</w:t>
            </w:r>
          </w:p>
        </w:tc>
        <w:tc>
          <w:tcPr>
            <w:tcW w:w="3120" w:type="dxa"/>
            <w:tcBorders>
              <w:right w:val="single" w:sz="4" w:space="0" w:color="000000"/>
            </w:tcBorders>
            <w:shd w:val="clear" w:color="auto" w:fill="auto"/>
            <w:vAlign w:val="bottom"/>
          </w:tcPr>
          <w:p w14:paraId="6652F8C7" w14:textId="77777777" w:rsidR="00A5674E" w:rsidRPr="008D13EC" w:rsidRDefault="00FE370C">
            <w:pPr>
              <w:spacing w:line="276" w:lineRule="auto"/>
              <w:rPr>
                <w:lang w:val="en-US"/>
              </w:rPr>
            </w:pPr>
            <w:r w:rsidRPr="008D13EC">
              <w:rPr>
                <w:sz w:val="23"/>
                <w:szCs w:val="23"/>
                <w:lang w:val="en-US"/>
              </w:rPr>
              <w:t>RSA Insurance Group</w:t>
            </w:r>
          </w:p>
        </w:tc>
      </w:tr>
      <w:tr w:rsidR="00A5674E" w:rsidRPr="008D13EC" w14:paraId="60E4571B" w14:textId="77777777">
        <w:trPr>
          <w:trHeight w:val="315"/>
        </w:trPr>
        <w:tc>
          <w:tcPr>
            <w:tcW w:w="708" w:type="dxa"/>
            <w:tcBorders>
              <w:left w:val="single" w:sz="4" w:space="0" w:color="000000"/>
            </w:tcBorders>
            <w:shd w:val="clear" w:color="auto" w:fill="auto"/>
            <w:vAlign w:val="center"/>
          </w:tcPr>
          <w:p w14:paraId="7187A4CD" w14:textId="77777777" w:rsidR="00A5674E" w:rsidRPr="008D13EC" w:rsidRDefault="00FE370C">
            <w:pPr>
              <w:spacing w:line="276" w:lineRule="auto"/>
              <w:jc w:val="center"/>
              <w:rPr>
                <w:sz w:val="23"/>
                <w:szCs w:val="23"/>
                <w:lang w:val="en-US"/>
              </w:rPr>
            </w:pPr>
            <w:r w:rsidRPr="008D13EC">
              <w:rPr>
                <w:sz w:val="23"/>
                <w:szCs w:val="23"/>
                <w:lang w:val="en-US"/>
              </w:rPr>
              <w:t>13</w:t>
            </w:r>
          </w:p>
        </w:tc>
        <w:tc>
          <w:tcPr>
            <w:tcW w:w="3402" w:type="dxa"/>
            <w:shd w:val="clear" w:color="auto" w:fill="auto"/>
            <w:vAlign w:val="bottom"/>
          </w:tcPr>
          <w:p w14:paraId="7BCA4E3F" w14:textId="77777777" w:rsidR="00A5674E" w:rsidRPr="008D13EC" w:rsidRDefault="00FE370C">
            <w:pPr>
              <w:spacing w:line="276" w:lineRule="auto"/>
              <w:rPr>
                <w:sz w:val="23"/>
                <w:szCs w:val="23"/>
                <w:lang w:val="en-US"/>
              </w:rPr>
            </w:pPr>
            <w:r w:rsidRPr="008D13EC">
              <w:rPr>
                <w:sz w:val="23"/>
                <w:szCs w:val="23"/>
                <w:lang w:val="en-US"/>
              </w:rPr>
              <w:t xml:space="preserve">BT GROUP                           </w:t>
            </w:r>
          </w:p>
        </w:tc>
        <w:tc>
          <w:tcPr>
            <w:tcW w:w="849" w:type="dxa"/>
            <w:shd w:val="clear" w:color="auto" w:fill="auto"/>
            <w:vAlign w:val="center"/>
          </w:tcPr>
          <w:p w14:paraId="1B28B7CE" w14:textId="77777777" w:rsidR="00A5674E" w:rsidRPr="008D13EC" w:rsidRDefault="00FE370C">
            <w:pPr>
              <w:spacing w:line="276" w:lineRule="auto"/>
              <w:jc w:val="center"/>
              <w:rPr>
                <w:sz w:val="23"/>
                <w:szCs w:val="23"/>
                <w:lang w:val="en-US"/>
              </w:rPr>
            </w:pPr>
            <w:r w:rsidRPr="008D13EC">
              <w:rPr>
                <w:sz w:val="23"/>
                <w:szCs w:val="23"/>
                <w:lang w:val="en-US"/>
              </w:rPr>
              <w:t>50</w:t>
            </w:r>
          </w:p>
        </w:tc>
        <w:tc>
          <w:tcPr>
            <w:tcW w:w="3120" w:type="dxa"/>
            <w:tcBorders>
              <w:right w:val="single" w:sz="4" w:space="0" w:color="000000"/>
            </w:tcBorders>
            <w:shd w:val="clear" w:color="auto" w:fill="auto"/>
            <w:vAlign w:val="bottom"/>
          </w:tcPr>
          <w:p w14:paraId="0420297D" w14:textId="77777777" w:rsidR="00A5674E" w:rsidRPr="008D13EC" w:rsidRDefault="00FE370C">
            <w:pPr>
              <w:spacing w:line="276" w:lineRule="auto"/>
              <w:rPr>
                <w:lang w:val="en-US"/>
              </w:rPr>
            </w:pPr>
            <w:r w:rsidRPr="008D13EC">
              <w:rPr>
                <w:sz w:val="23"/>
                <w:szCs w:val="23"/>
                <w:lang w:val="en-US"/>
              </w:rPr>
              <w:t>SABMiller</w:t>
            </w:r>
          </w:p>
        </w:tc>
      </w:tr>
      <w:tr w:rsidR="00A5674E" w:rsidRPr="008D13EC" w14:paraId="0ECF8F4A" w14:textId="77777777">
        <w:trPr>
          <w:trHeight w:val="315"/>
        </w:trPr>
        <w:tc>
          <w:tcPr>
            <w:tcW w:w="708" w:type="dxa"/>
            <w:tcBorders>
              <w:left w:val="single" w:sz="4" w:space="0" w:color="000000"/>
            </w:tcBorders>
            <w:shd w:val="clear" w:color="auto" w:fill="auto"/>
            <w:vAlign w:val="center"/>
          </w:tcPr>
          <w:p w14:paraId="32EE9794" w14:textId="77777777" w:rsidR="00A5674E" w:rsidRPr="008D13EC" w:rsidRDefault="00FE370C">
            <w:pPr>
              <w:spacing w:line="276" w:lineRule="auto"/>
              <w:jc w:val="center"/>
              <w:rPr>
                <w:sz w:val="23"/>
                <w:szCs w:val="23"/>
                <w:lang w:val="en-US"/>
              </w:rPr>
            </w:pPr>
            <w:r w:rsidRPr="008D13EC">
              <w:rPr>
                <w:sz w:val="23"/>
                <w:szCs w:val="23"/>
                <w:lang w:val="en-US"/>
              </w:rPr>
              <w:t>14</w:t>
            </w:r>
          </w:p>
        </w:tc>
        <w:tc>
          <w:tcPr>
            <w:tcW w:w="3402" w:type="dxa"/>
            <w:shd w:val="clear" w:color="auto" w:fill="auto"/>
            <w:vAlign w:val="bottom"/>
          </w:tcPr>
          <w:p w14:paraId="0639CA68" w14:textId="77777777" w:rsidR="00A5674E" w:rsidRPr="008D13EC" w:rsidRDefault="00FE370C">
            <w:pPr>
              <w:spacing w:line="276" w:lineRule="auto"/>
              <w:rPr>
                <w:sz w:val="23"/>
                <w:szCs w:val="23"/>
                <w:lang w:val="en-US"/>
              </w:rPr>
            </w:pPr>
            <w:r w:rsidRPr="008D13EC">
              <w:rPr>
                <w:sz w:val="23"/>
                <w:szCs w:val="23"/>
                <w:lang w:val="en-US"/>
              </w:rPr>
              <w:t>BTG</w:t>
            </w:r>
          </w:p>
        </w:tc>
        <w:tc>
          <w:tcPr>
            <w:tcW w:w="849" w:type="dxa"/>
            <w:shd w:val="clear" w:color="auto" w:fill="auto"/>
            <w:vAlign w:val="center"/>
          </w:tcPr>
          <w:p w14:paraId="7216AFC0" w14:textId="77777777" w:rsidR="00A5674E" w:rsidRPr="008D13EC" w:rsidRDefault="00FE370C">
            <w:pPr>
              <w:spacing w:line="276" w:lineRule="auto"/>
              <w:jc w:val="center"/>
              <w:rPr>
                <w:sz w:val="23"/>
                <w:szCs w:val="23"/>
                <w:lang w:val="en-US"/>
              </w:rPr>
            </w:pPr>
            <w:r w:rsidRPr="008D13EC">
              <w:rPr>
                <w:sz w:val="23"/>
                <w:szCs w:val="23"/>
                <w:lang w:val="en-US"/>
              </w:rPr>
              <w:t>51</w:t>
            </w:r>
          </w:p>
        </w:tc>
        <w:tc>
          <w:tcPr>
            <w:tcW w:w="3120" w:type="dxa"/>
            <w:tcBorders>
              <w:right w:val="single" w:sz="4" w:space="0" w:color="000000"/>
            </w:tcBorders>
            <w:shd w:val="clear" w:color="auto" w:fill="auto"/>
            <w:vAlign w:val="bottom"/>
          </w:tcPr>
          <w:p w14:paraId="6B614CE3" w14:textId="77777777" w:rsidR="00A5674E" w:rsidRPr="008D13EC" w:rsidRDefault="00FE370C">
            <w:pPr>
              <w:spacing w:line="276" w:lineRule="auto"/>
              <w:rPr>
                <w:lang w:val="en-US"/>
              </w:rPr>
            </w:pPr>
            <w:r w:rsidRPr="008D13EC">
              <w:rPr>
                <w:sz w:val="23"/>
                <w:szCs w:val="23"/>
                <w:lang w:val="en-US"/>
              </w:rPr>
              <w:t>Severn Trent</w:t>
            </w:r>
          </w:p>
        </w:tc>
      </w:tr>
      <w:tr w:rsidR="00A5674E" w:rsidRPr="008D13EC" w14:paraId="16BF7C64" w14:textId="77777777">
        <w:trPr>
          <w:trHeight w:val="315"/>
        </w:trPr>
        <w:tc>
          <w:tcPr>
            <w:tcW w:w="708" w:type="dxa"/>
            <w:tcBorders>
              <w:left w:val="single" w:sz="4" w:space="0" w:color="000000"/>
            </w:tcBorders>
            <w:shd w:val="clear" w:color="auto" w:fill="auto"/>
            <w:vAlign w:val="center"/>
          </w:tcPr>
          <w:p w14:paraId="4BB8AFDF" w14:textId="77777777" w:rsidR="00A5674E" w:rsidRPr="008D13EC" w:rsidRDefault="00FE370C">
            <w:pPr>
              <w:spacing w:line="276" w:lineRule="auto"/>
              <w:jc w:val="center"/>
              <w:rPr>
                <w:sz w:val="23"/>
                <w:szCs w:val="23"/>
                <w:lang w:val="en-US"/>
              </w:rPr>
            </w:pPr>
            <w:r w:rsidRPr="008D13EC">
              <w:rPr>
                <w:sz w:val="23"/>
                <w:szCs w:val="23"/>
                <w:lang w:val="en-US"/>
              </w:rPr>
              <w:t>15</w:t>
            </w:r>
          </w:p>
        </w:tc>
        <w:tc>
          <w:tcPr>
            <w:tcW w:w="3402" w:type="dxa"/>
            <w:shd w:val="clear" w:color="auto" w:fill="auto"/>
            <w:vAlign w:val="bottom"/>
          </w:tcPr>
          <w:p w14:paraId="073FDB60" w14:textId="77777777" w:rsidR="00A5674E" w:rsidRPr="008D13EC" w:rsidRDefault="00FE370C">
            <w:pPr>
              <w:spacing w:line="276" w:lineRule="auto"/>
              <w:rPr>
                <w:sz w:val="23"/>
                <w:szCs w:val="23"/>
                <w:lang w:val="en-US"/>
              </w:rPr>
            </w:pPr>
            <w:r w:rsidRPr="008D13EC">
              <w:rPr>
                <w:sz w:val="23"/>
                <w:szCs w:val="23"/>
                <w:lang w:val="en-US"/>
              </w:rPr>
              <w:t>Cairn Energy</w:t>
            </w:r>
          </w:p>
        </w:tc>
        <w:tc>
          <w:tcPr>
            <w:tcW w:w="849" w:type="dxa"/>
            <w:shd w:val="clear" w:color="auto" w:fill="auto"/>
            <w:vAlign w:val="center"/>
          </w:tcPr>
          <w:p w14:paraId="37CFB1CA" w14:textId="77777777" w:rsidR="00A5674E" w:rsidRPr="008D13EC" w:rsidRDefault="00FE370C">
            <w:pPr>
              <w:spacing w:line="276" w:lineRule="auto"/>
              <w:jc w:val="center"/>
              <w:rPr>
                <w:sz w:val="23"/>
                <w:szCs w:val="23"/>
                <w:lang w:val="en-US"/>
              </w:rPr>
            </w:pPr>
            <w:r w:rsidRPr="008D13EC">
              <w:rPr>
                <w:sz w:val="23"/>
                <w:szCs w:val="23"/>
                <w:lang w:val="en-US"/>
              </w:rPr>
              <w:t>52</w:t>
            </w:r>
          </w:p>
        </w:tc>
        <w:tc>
          <w:tcPr>
            <w:tcW w:w="3120" w:type="dxa"/>
            <w:tcBorders>
              <w:right w:val="single" w:sz="4" w:space="0" w:color="000000"/>
            </w:tcBorders>
            <w:shd w:val="clear" w:color="auto" w:fill="auto"/>
            <w:vAlign w:val="center"/>
          </w:tcPr>
          <w:p w14:paraId="35E469E6" w14:textId="77777777" w:rsidR="00A5674E" w:rsidRPr="008D13EC" w:rsidRDefault="00FE370C">
            <w:pPr>
              <w:spacing w:line="276" w:lineRule="auto"/>
              <w:rPr>
                <w:lang w:val="en-US"/>
              </w:rPr>
            </w:pPr>
            <w:r w:rsidRPr="008D13EC">
              <w:rPr>
                <w:sz w:val="23"/>
                <w:szCs w:val="23"/>
                <w:lang w:val="en-US"/>
              </w:rPr>
              <w:t>Shire</w:t>
            </w:r>
          </w:p>
        </w:tc>
      </w:tr>
      <w:tr w:rsidR="00A5674E" w:rsidRPr="008D13EC" w14:paraId="4529A506" w14:textId="77777777">
        <w:trPr>
          <w:trHeight w:val="315"/>
        </w:trPr>
        <w:tc>
          <w:tcPr>
            <w:tcW w:w="708" w:type="dxa"/>
            <w:tcBorders>
              <w:left w:val="single" w:sz="4" w:space="0" w:color="000000"/>
            </w:tcBorders>
            <w:shd w:val="clear" w:color="auto" w:fill="auto"/>
            <w:vAlign w:val="center"/>
          </w:tcPr>
          <w:p w14:paraId="4B13C804" w14:textId="77777777" w:rsidR="00A5674E" w:rsidRPr="008D13EC" w:rsidRDefault="00FE370C">
            <w:pPr>
              <w:spacing w:line="276" w:lineRule="auto"/>
              <w:jc w:val="center"/>
              <w:rPr>
                <w:sz w:val="23"/>
                <w:szCs w:val="23"/>
                <w:lang w:val="en-US"/>
              </w:rPr>
            </w:pPr>
            <w:r w:rsidRPr="008D13EC">
              <w:rPr>
                <w:sz w:val="23"/>
                <w:szCs w:val="23"/>
                <w:lang w:val="en-US"/>
              </w:rPr>
              <w:t>16</w:t>
            </w:r>
          </w:p>
        </w:tc>
        <w:tc>
          <w:tcPr>
            <w:tcW w:w="3402" w:type="dxa"/>
            <w:shd w:val="clear" w:color="auto" w:fill="auto"/>
            <w:vAlign w:val="bottom"/>
          </w:tcPr>
          <w:p w14:paraId="50ED2A6D" w14:textId="77777777" w:rsidR="00A5674E" w:rsidRPr="008D13EC" w:rsidRDefault="00FE370C">
            <w:pPr>
              <w:spacing w:line="276" w:lineRule="auto"/>
              <w:rPr>
                <w:sz w:val="23"/>
                <w:szCs w:val="23"/>
                <w:lang w:val="en-US"/>
              </w:rPr>
            </w:pPr>
            <w:r w:rsidRPr="008D13EC">
              <w:rPr>
                <w:sz w:val="23"/>
                <w:szCs w:val="23"/>
                <w:lang w:val="en-US"/>
              </w:rPr>
              <w:t>Carillion</w:t>
            </w:r>
          </w:p>
        </w:tc>
        <w:tc>
          <w:tcPr>
            <w:tcW w:w="849" w:type="dxa"/>
            <w:shd w:val="clear" w:color="auto" w:fill="auto"/>
            <w:vAlign w:val="center"/>
          </w:tcPr>
          <w:p w14:paraId="358183CC" w14:textId="77777777" w:rsidR="00A5674E" w:rsidRPr="008D13EC" w:rsidRDefault="00FE370C">
            <w:pPr>
              <w:spacing w:line="276" w:lineRule="auto"/>
              <w:jc w:val="center"/>
              <w:rPr>
                <w:sz w:val="23"/>
                <w:szCs w:val="23"/>
                <w:lang w:val="en-US"/>
              </w:rPr>
            </w:pPr>
            <w:r w:rsidRPr="008D13EC">
              <w:rPr>
                <w:sz w:val="23"/>
                <w:szCs w:val="23"/>
                <w:lang w:val="en-US"/>
              </w:rPr>
              <w:t>53</w:t>
            </w:r>
          </w:p>
        </w:tc>
        <w:tc>
          <w:tcPr>
            <w:tcW w:w="3120" w:type="dxa"/>
            <w:tcBorders>
              <w:right w:val="single" w:sz="4" w:space="0" w:color="000000"/>
            </w:tcBorders>
            <w:shd w:val="clear" w:color="auto" w:fill="auto"/>
            <w:vAlign w:val="bottom"/>
          </w:tcPr>
          <w:p w14:paraId="44A9E7AD" w14:textId="77777777" w:rsidR="00A5674E" w:rsidRPr="008D13EC" w:rsidRDefault="00FE370C">
            <w:pPr>
              <w:spacing w:line="276" w:lineRule="auto"/>
              <w:rPr>
                <w:lang w:val="en-US"/>
              </w:rPr>
            </w:pPr>
            <w:r w:rsidRPr="008D13EC">
              <w:rPr>
                <w:sz w:val="23"/>
                <w:szCs w:val="23"/>
                <w:lang w:val="en-US"/>
              </w:rPr>
              <w:t>Smith and Nephew</w:t>
            </w:r>
          </w:p>
        </w:tc>
      </w:tr>
      <w:tr w:rsidR="00A5674E" w:rsidRPr="008D13EC" w14:paraId="2D9089C1" w14:textId="77777777">
        <w:trPr>
          <w:trHeight w:val="315"/>
        </w:trPr>
        <w:tc>
          <w:tcPr>
            <w:tcW w:w="708" w:type="dxa"/>
            <w:tcBorders>
              <w:left w:val="single" w:sz="4" w:space="0" w:color="000000"/>
            </w:tcBorders>
            <w:shd w:val="clear" w:color="auto" w:fill="auto"/>
            <w:vAlign w:val="center"/>
          </w:tcPr>
          <w:p w14:paraId="69ACB477" w14:textId="77777777" w:rsidR="00A5674E" w:rsidRPr="008D13EC" w:rsidRDefault="00FE370C">
            <w:pPr>
              <w:spacing w:line="276" w:lineRule="auto"/>
              <w:jc w:val="center"/>
              <w:rPr>
                <w:sz w:val="23"/>
                <w:szCs w:val="23"/>
                <w:lang w:val="en-US"/>
              </w:rPr>
            </w:pPr>
            <w:r w:rsidRPr="008D13EC">
              <w:rPr>
                <w:sz w:val="23"/>
                <w:szCs w:val="23"/>
                <w:lang w:val="en-US"/>
              </w:rPr>
              <w:t>17</w:t>
            </w:r>
          </w:p>
        </w:tc>
        <w:tc>
          <w:tcPr>
            <w:tcW w:w="3402" w:type="dxa"/>
            <w:shd w:val="clear" w:color="auto" w:fill="auto"/>
            <w:vAlign w:val="bottom"/>
          </w:tcPr>
          <w:p w14:paraId="2194188B" w14:textId="77777777" w:rsidR="00A5674E" w:rsidRPr="008D13EC" w:rsidRDefault="00FE370C">
            <w:pPr>
              <w:spacing w:line="276" w:lineRule="auto"/>
              <w:rPr>
                <w:sz w:val="23"/>
                <w:szCs w:val="23"/>
                <w:lang w:val="en-US"/>
              </w:rPr>
            </w:pPr>
            <w:r w:rsidRPr="008D13EC">
              <w:rPr>
                <w:sz w:val="23"/>
                <w:szCs w:val="23"/>
                <w:lang w:val="en-US"/>
              </w:rPr>
              <w:t>Centrica</w:t>
            </w:r>
          </w:p>
        </w:tc>
        <w:tc>
          <w:tcPr>
            <w:tcW w:w="849" w:type="dxa"/>
            <w:shd w:val="clear" w:color="auto" w:fill="auto"/>
            <w:vAlign w:val="center"/>
          </w:tcPr>
          <w:p w14:paraId="497E41C5" w14:textId="77777777" w:rsidR="00A5674E" w:rsidRPr="008D13EC" w:rsidRDefault="00FE370C">
            <w:pPr>
              <w:spacing w:line="276" w:lineRule="auto"/>
              <w:jc w:val="center"/>
              <w:rPr>
                <w:sz w:val="23"/>
                <w:szCs w:val="23"/>
                <w:lang w:val="en-US"/>
              </w:rPr>
            </w:pPr>
            <w:r w:rsidRPr="008D13EC">
              <w:rPr>
                <w:sz w:val="23"/>
                <w:szCs w:val="23"/>
                <w:lang w:val="en-US"/>
              </w:rPr>
              <w:t>54</w:t>
            </w:r>
          </w:p>
        </w:tc>
        <w:tc>
          <w:tcPr>
            <w:tcW w:w="3120" w:type="dxa"/>
            <w:tcBorders>
              <w:right w:val="single" w:sz="4" w:space="0" w:color="000000"/>
            </w:tcBorders>
            <w:shd w:val="clear" w:color="auto" w:fill="auto"/>
            <w:vAlign w:val="bottom"/>
          </w:tcPr>
          <w:p w14:paraId="0BAE0207" w14:textId="77777777" w:rsidR="00A5674E" w:rsidRPr="008D13EC" w:rsidRDefault="00FE370C">
            <w:pPr>
              <w:spacing w:line="276" w:lineRule="auto"/>
              <w:rPr>
                <w:lang w:val="en-US"/>
              </w:rPr>
            </w:pPr>
            <w:proofErr w:type="spellStart"/>
            <w:r w:rsidRPr="008D13EC">
              <w:rPr>
                <w:sz w:val="23"/>
                <w:szCs w:val="23"/>
                <w:lang w:val="en-US"/>
              </w:rPr>
              <w:t>Soco</w:t>
            </w:r>
            <w:proofErr w:type="spellEnd"/>
            <w:r w:rsidRPr="008D13EC">
              <w:rPr>
                <w:sz w:val="23"/>
                <w:szCs w:val="23"/>
                <w:lang w:val="en-US"/>
              </w:rPr>
              <w:t xml:space="preserve"> International</w:t>
            </w:r>
          </w:p>
        </w:tc>
      </w:tr>
      <w:tr w:rsidR="00A5674E" w:rsidRPr="008D13EC" w14:paraId="3E0179FD" w14:textId="77777777">
        <w:trPr>
          <w:trHeight w:val="315"/>
        </w:trPr>
        <w:tc>
          <w:tcPr>
            <w:tcW w:w="708" w:type="dxa"/>
            <w:tcBorders>
              <w:left w:val="single" w:sz="4" w:space="0" w:color="000000"/>
            </w:tcBorders>
            <w:shd w:val="clear" w:color="auto" w:fill="auto"/>
            <w:vAlign w:val="center"/>
          </w:tcPr>
          <w:p w14:paraId="1D018855" w14:textId="77777777" w:rsidR="00A5674E" w:rsidRPr="008D13EC" w:rsidRDefault="00FE370C">
            <w:pPr>
              <w:spacing w:line="276" w:lineRule="auto"/>
              <w:jc w:val="center"/>
              <w:rPr>
                <w:sz w:val="23"/>
                <w:szCs w:val="23"/>
                <w:lang w:val="en-US"/>
              </w:rPr>
            </w:pPr>
            <w:r w:rsidRPr="008D13EC">
              <w:rPr>
                <w:sz w:val="23"/>
                <w:szCs w:val="23"/>
                <w:lang w:val="en-US"/>
              </w:rPr>
              <w:t>18</w:t>
            </w:r>
          </w:p>
        </w:tc>
        <w:tc>
          <w:tcPr>
            <w:tcW w:w="3402" w:type="dxa"/>
            <w:shd w:val="clear" w:color="auto" w:fill="auto"/>
            <w:vAlign w:val="bottom"/>
          </w:tcPr>
          <w:p w14:paraId="5ED7E8D6" w14:textId="77777777" w:rsidR="00A5674E" w:rsidRPr="008D13EC" w:rsidRDefault="00FE370C">
            <w:pPr>
              <w:spacing w:line="276" w:lineRule="auto"/>
              <w:rPr>
                <w:sz w:val="23"/>
                <w:szCs w:val="23"/>
                <w:lang w:val="en-US"/>
              </w:rPr>
            </w:pPr>
            <w:r w:rsidRPr="008D13EC">
              <w:rPr>
                <w:sz w:val="23"/>
                <w:szCs w:val="23"/>
                <w:lang w:val="en-US"/>
              </w:rPr>
              <w:t>Computacenter</w:t>
            </w:r>
          </w:p>
        </w:tc>
        <w:tc>
          <w:tcPr>
            <w:tcW w:w="849" w:type="dxa"/>
            <w:shd w:val="clear" w:color="auto" w:fill="auto"/>
            <w:vAlign w:val="center"/>
          </w:tcPr>
          <w:p w14:paraId="1C0C5048" w14:textId="77777777" w:rsidR="00A5674E" w:rsidRPr="008D13EC" w:rsidRDefault="00FE370C">
            <w:pPr>
              <w:spacing w:line="276" w:lineRule="auto"/>
              <w:jc w:val="center"/>
              <w:rPr>
                <w:sz w:val="23"/>
                <w:szCs w:val="23"/>
                <w:lang w:val="en-US"/>
              </w:rPr>
            </w:pPr>
            <w:r w:rsidRPr="008D13EC">
              <w:rPr>
                <w:sz w:val="23"/>
                <w:szCs w:val="23"/>
                <w:lang w:val="en-US"/>
              </w:rPr>
              <w:t>55</w:t>
            </w:r>
          </w:p>
        </w:tc>
        <w:tc>
          <w:tcPr>
            <w:tcW w:w="3120" w:type="dxa"/>
            <w:tcBorders>
              <w:right w:val="single" w:sz="4" w:space="0" w:color="000000"/>
            </w:tcBorders>
            <w:shd w:val="clear" w:color="auto" w:fill="auto"/>
            <w:vAlign w:val="bottom"/>
          </w:tcPr>
          <w:p w14:paraId="1F709B45" w14:textId="77777777" w:rsidR="00A5674E" w:rsidRPr="008D13EC" w:rsidRDefault="00FE370C">
            <w:pPr>
              <w:spacing w:line="276" w:lineRule="auto"/>
              <w:rPr>
                <w:lang w:val="en-US"/>
              </w:rPr>
            </w:pPr>
            <w:proofErr w:type="spellStart"/>
            <w:r w:rsidRPr="008D13EC">
              <w:rPr>
                <w:sz w:val="23"/>
                <w:szCs w:val="23"/>
                <w:lang w:val="en-US"/>
              </w:rPr>
              <w:t>Spectris</w:t>
            </w:r>
            <w:proofErr w:type="spellEnd"/>
          </w:p>
        </w:tc>
      </w:tr>
      <w:tr w:rsidR="00A5674E" w:rsidRPr="008D13EC" w14:paraId="5ECF192D" w14:textId="77777777">
        <w:trPr>
          <w:trHeight w:val="315"/>
        </w:trPr>
        <w:tc>
          <w:tcPr>
            <w:tcW w:w="708" w:type="dxa"/>
            <w:tcBorders>
              <w:left w:val="single" w:sz="4" w:space="0" w:color="000000"/>
            </w:tcBorders>
            <w:shd w:val="clear" w:color="auto" w:fill="auto"/>
            <w:vAlign w:val="center"/>
          </w:tcPr>
          <w:p w14:paraId="59B1A32B" w14:textId="77777777" w:rsidR="00A5674E" w:rsidRPr="008D13EC" w:rsidRDefault="00FE370C">
            <w:pPr>
              <w:spacing w:line="276" w:lineRule="auto"/>
              <w:jc w:val="center"/>
              <w:rPr>
                <w:sz w:val="23"/>
                <w:szCs w:val="23"/>
                <w:lang w:val="en-US"/>
              </w:rPr>
            </w:pPr>
            <w:r w:rsidRPr="008D13EC">
              <w:rPr>
                <w:sz w:val="23"/>
                <w:szCs w:val="23"/>
                <w:lang w:val="en-US"/>
              </w:rPr>
              <w:t>19</w:t>
            </w:r>
          </w:p>
        </w:tc>
        <w:tc>
          <w:tcPr>
            <w:tcW w:w="3402" w:type="dxa"/>
            <w:shd w:val="clear" w:color="auto" w:fill="auto"/>
            <w:vAlign w:val="bottom"/>
          </w:tcPr>
          <w:p w14:paraId="0ECD94AC" w14:textId="77777777" w:rsidR="00A5674E" w:rsidRPr="008D13EC" w:rsidRDefault="00FE370C">
            <w:pPr>
              <w:spacing w:line="276" w:lineRule="auto"/>
              <w:rPr>
                <w:sz w:val="23"/>
                <w:szCs w:val="23"/>
                <w:lang w:val="en-US"/>
              </w:rPr>
            </w:pPr>
            <w:r w:rsidRPr="008D13EC">
              <w:rPr>
                <w:sz w:val="23"/>
                <w:szCs w:val="23"/>
                <w:lang w:val="en-US"/>
              </w:rPr>
              <w:t>Cookson Group</w:t>
            </w:r>
          </w:p>
        </w:tc>
        <w:tc>
          <w:tcPr>
            <w:tcW w:w="849" w:type="dxa"/>
            <w:shd w:val="clear" w:color="auto" w:fill="auto"/>
            <w:vAlign w:val="center"/>
          </w:tcPr>
          <w:p w14:paraId="7FCD3B1C" w14:textId="77777777" w:rsidR="00A5674E" w:rsidRPr="008D13EC" w:rsidRDefault="00FE370C">
            <w:pPr>
              <w:spacing w:line="276" w:lineRule="auto"/>
              <w:jc w:val="center"/>
              <w:rPr>
                <w:sz w:val="23"/>
                <w:szCs w:val="23"/>
                <w:lang w:val="en-US"/>
              </w:rPr>
            </w:pPr>
            <w:r w:rsidRPr="008D13EC">
              <w:rPr>
                <w:sz w:val="23"/>
                <w:szCs w:val="23"/>
                <w:lang w:val="en-US"/>
              </w:rPr>
              <w:t>56</w:t>
            </w:r>
          </w:p>
        </w:tc>
        <w:tc>
          <w:tcPr>
            <w:tcW w:w="3120" w:type="dxa"/>
            <w:tcBorders>
              <w:right w:val="single" w:sz="4" w:space="0" w:color="000000"/>
            </w:tcBorders>
            <w:shd w:val="clear" w:color="auto" w:fill="auto"/>
            <w:vAlign w:val="bottom"/>
          </w:tcPr>
          <w:p w14:paraId="7F619CF3" w14:textId="77777777" w:rsidR="00A5674E" w:rsidRPr="008D13EC" w:rsidRDefault="00FE370C">
            <w:pPr>
              <w:spacing w:line="276" w:lineRule="auto"/>
              <w:rPr>
                <w:lang w:val="en-US"/>
              </w:rPr>
            </w:pPr>
            <w:r w:rsidRPr="008D13EC">
              <w:rPr>
                <w:sz w:val="23"/>
                <w:szCs w:val="23"/>
                <w:lang w:val="en-US"/>
              </w:rPr>
              <w:t>SSL International</w:t>
            </w:r>
          </w:p>
        </w:tc>
      </w:tr>
      <w:tr w:rsidR="00A5674E" w:rsidRPr="008D13EC" w14:paraId="6F3258E0" w14:textId="77777777">
        <w:trPr>
          <w:trHeight w:val="315"/>
        </w:trPr>
        <w:tc>
          <w:tcPr>
            <w:tcW w:w="708" w:type="dxa"/>
            <w:tcBorders>
              <w:left w:val="single" w:sz="4" w:space="0" w:color="000000"/>
            </w:tcBorders>
            <w:shd w:val="clear" w:color="auto" w:fill="auto"/>
            <w:vAlign w:val="center"/>
          </w:tcPr>
          <w:p w14:paraId="4A05B9C6" w14:textId="77777777" w:rsidR="00A5674E" w:rsidRPr="008D13EC" w:rsidRDefault="00FE370C">
            <w:pPr>
              <w:spacing w:line="276" w:lineRule="auto"/>
              <w:jc w:val="center"/>
              <w:rPr>
                <w:sz w:val="23"/>
                <w:szCs w:val="23"/>
                <w:lang w:val="en-US"/>
              </w:rPr>
            </w:pPr>
            <w:r w:rsidRPr="008D13EC">
              <w:rPr>
                <w:sz w:val="23"/>
                <w:szCs w:val="23"/>
                <w:lang w:val="en-US"/>
              </w:rPr>
              <w:t>20</w:t>
            </w:r>
          </w:p>
        </w:tc>
        <w:tc>
          <w:tcPr>
            <w:tcW w:w="3402" w:type="dxa"/>
            <w:shd w:val="clear" w:color="auto" w:fill="auto"/>
            <w:vAlign w:val="bottom"/>
          </w:tcPr>
          <w:p w14:paraId="58B4C662" w14:textId="77777777" w:rsidR="00A5674E" w:rsidRPr="008D13EC" w:rsidRDefault="00FE370C">
            <w:pPr>
              <w:spacing w:line="276" w:lineRule="auto"/>
              <w:rPr>
                <w:sz w:val="23"/>
                <w:szCs w:val="23"/>
                <w:lang w:val="en-US"/>
              </w:rPr>
            </w:pPr>
            <w:r w:rsidRPr="008D13EC">
              <w:rPr>
                <w:sz w:val="23"/>
                <w:szCs w:val="23"/>
                <w:lang w:val="en-US"/>
              </w:rPr>
              <w:t>Dairy Crest Group</w:t>
            </w:r>
          </w:p>
        </w:tc>
        <w:tc>
          <w:tcPr>
            <w:tcW w:w="849" w:type="dxa"/>
            <w:shd w:val="clear" w:color="auto" w:fill="auto"/>
            <w:vAlign w:val="center"/>
          </w:tcPr>
          <w:p w14:paraId="2A2B7532" w14:textId="77777777" w:rsidR="00A5674E" w:rsidRPr="008D13EC" w:rsidRDefault="00FE370C">
            <w:pPr>
              <w:spacing w:line="276" w:lineRule="auto"/>
              <w:jc w:val="center"/>
              <w:rPr>
                <w:sz w:val="23"/>
                <w:szCs w:val="23"/>
                <w:lang w:val="en-US"/>
              </w:rPr>
            </w:pPr>
            <w:r w:rsidRPr="008D13EC">
              <w:rPr>
                <w:sz w:val="23"/>
                <w:szCs w:val="23"/>
                <w:lang w:val="en-US"/>
              </w:rPr>
              <w:t>57</w:t>
            </w:r>
          </w:p>
        </w:tc>
        <w:tc>
          <w:tcPr>
            <w:tcW w:w="3120" w:type="dxa"/>
            <w:tcBorders>
              <w:right w:val="single" w:sz="4" w:space="0" w:color="000000"/>
            </w:tcBorders>
            <w:shd w:val="clear" w:color="auto" w:fill="auto"/>
            <w:vAlign w:val="bottom"/>
          </w:tcPr>
          <w:p w14:paraId="603BBF9A" w14:textId="77777777" w:rsidR="00A5674E" w:rsidRPr="008D13EC" w:rsidRDefault="00FE370C">
            <w:pPr>
              <w:spacing w:line="276" w:lineRule="auto"/>
              <w:rPr>
                <w:lang w:val="en-US"/>
              </w:rPr>
            </w:pPr>
            <w:r w:rsidRPr="008D13EC">
              <w:rPr>
                <w:sz w:val="23"/>
                <w:szCs w:val="23"/>
                <w:lang w:val="en-US"/>
              </w:rPr>
              <w:t>Tate and Lyle</w:t>
            </w:r>
          </w:p>
        </w:tc>
      </w:tr>
      <w:tr w:rsidR="00A5674E" w:rsidRPr="008D13EC" w14:paraId="33E5B648" w14:textId="77777777">
        <w:trPr>
          <w:trHeight w:val="300"/>
        </w:trPr>
        <w:tc>
          <w:tcPr>
            <w:tcW w:w="708" w:type="dxa"/>
            <w:tcBorders>
              <w:left w:val="single" w:sz="4" w:space="0" w:color="000000"/>
            </w:tcBorders>
            <w:shd w:val="clear" w:color="auto" w:fill="auto"/>
            <w:vAlign w:val="center"/>
          </w:tcPr>
          <w:p w14:paraId="798872B9" w14:textId="77777777" w:rsidR="00A5674E" w:rsidRPr="008D13EC" w:rsidRDefault="00FE370C">
            <w:pPr>
              <w:spacing w:line="276" w:lineRule="auto"/>
              <w:jc w:val="center"/>
              <w:rPr>
                <w:sz w:val="23"/>
                <w:szCs w:val="23"/>
                <w:lang w:val="en-US"/>
              </w:rPr>
            </w:pPr>
            <w:r w:rsidRPr="008D13EC">
              <w:rPr>
                <w:sz w:val="23"/>
                <w:szCs w:val="23"/>
                <w:lang w:val="en-US"/>
              </w:rPr>
              <w:t>21</w:t>
            </w:r>
          </w:p>
        </w:tc>
        <w:tc>
          <w:tcPr>
            <w:tcW w:w="3402" w:type="dxa"/>
            <w:shd w:val="clear" w:color="auto" w:fill="auto"/>
            <w:vAlign w:val="bottom"/>
          </w:tcPr>
          <w:p w14:paraId="02A60C09" w14:textId="77777777" w:rsidR="00A5674E" w:rsidRPr="008D13EC" w:rsidRDefault="00FE370C">
            <w:pPr>
              <w:spacing w:line="276" w:lineRule="auto"/>
              <w:rPr>
                <w:sz w:val="23"/>
                <w:szCs w:val="23"/>
                <w:lang w:val="en-US"/>
              </w:rPr>
            </w:pPr>
            <w:r w:rsidRPr="008D13EC">
              <w:rPr>
                <w:sz w:val="23"/>
                <w:szCs w:val="23"/>
                <w:lang w:val="en-US"/>
              </w:rPr>
              <w:t>Diageo</w:t>
            </w:r>
          </w:p>
        </w:tc>
        <w:tc>
          <w:tcPr>
            <w:tcW w:w="849" w:type="dxa"/>
            <w:shd w:val="clear" w:color="auto" w:fill="auto"/>
            <w:vAlign w:val="center"/>
          </w:tcPr>
          <w:p w14:paraId="37286D3E" w14:textId="77777777" w:rsidR="00A5674E" w:rsidRPr="008D13EC" w:rsidRDefault="00FE370C">
            <w:pPr>
              <w:spacing w:line="276" w:lineRule="auto"/>
              <w:jc w:val="center"/>
              <w:rPr>
                <w:sz w:val="23"/>
                <w:szCs w:val="23"/>
                <w:lang w:val="en-US"/>
              </w:rPr>
            </w:pPr>
            <w:r w:rsidRPr="008D13EC">
              <w:rPr>
                <w:sz w:val="23"/>
                <w:szCs w:val="23"/>
                <w:lang w:val="en-US"/>
              </w:rPr>
              <w:t>58</w:t>
            </w:r>
          </w:p>
        </w:tc>
        <w:tc>
          <w:tcPr>
            <w:tcW w:w="3120" w:type="dxa"/>
            <w:tcBorders>
              <w:right w:val="single" w:sz="4" w:space="0" w:color="000000"/>
            </w:tcBorders>
            <w:shd w:val="clear" w:color="auto" w:fill="auto"/>
            <w:vAlign w:val="bottom"/>
          </w:tcPr>
          <w:p w14:paraId="24F3B14E" w14:textId="77777777" w:rsidR="00A5674E" w:rsidRPr="008D13EC" w:rsidRDefault="00FE370C">
            <w:pPr>
              <w:spacing w:line="276" w:lineRule="auto"/>
              <w:rPr>
                <w:lang w:val="en-US"/>
              </w:rPr>
            </w:pPr>
            <w:r w:rsidRPr="008D13EC">
              <w:rPr>
                <w:sz w:val="23"/>
                <w:szCs w:val="23"/>
                <w:lang w:val="en-US"/>
              </w:rPr>
              <w:t>Tesco</w:t>
            </w:r>
          </w:p>
        </w:tc>
      </w:tr>
      <w:tr w:rsidR="00A5674E" w:rsidRPr="008D13EC" w14:paraId="396279BD" w14:textId="77777777">
        <w:trPr>
          <w:trHeight w:val="315"/>
        </w:trPr>
        <w:tc>
          <w:tcPr>
            <w:tcW w:w="708" w:type="dxa"/>
            <w:tcBorders>
              <w:left w:val="single" w:sz="4" w:space="0" w:color="000000"/>
            </w:tcBorders>
            <w:shd w:val="clear" w:color="auto" w:fill="auto"/>
            <w:vAlign w:val="center"/>
          </w:tcPr>
          <w:p w14:paraId="0E8EC3CC" w14:textId="77777777" w:rsidR="00A5674E" w:rsidRPr="008D13EC" w:rsidRDefault="00FE370C">
            <w:pPr>
              <w:spacing w:line="276" w:lineRule="auto"/>
              <w:jc w:val="center"/>
              <w:rPr>
                <w:sz w:val="23"/>
                <w:szCs w:val="23"/>
                <w:lang w:val="en-US"/>
              </w:rPr>
            </w:pPr>
            <w:r w:rsidRPr="008D13EC">
              <w:rPr>
                <w:sz w:val="23"/>
                <w:szCs w:val="23"/>
                <w:lang w:val="en-US"/>
              </w:rPr>
              <w:t>22</w:t>
            </w:r>
          </w:p>
        </w:tc>
        <w:tc>
          <w:tcPr>
            <w:tcW w:w="3402" w:type="dxa"/>
            <w:shd w:val="clear" w:color="auto" w:fill="auto"/>
            <w:vAlign w:val="bottom"/>
          </w:tcPr>
          <w:p w14:paraId="15FA2235" w14:textId="77777777" w:rsidR="00A5674E" w:rsidRPr="008D13EC" w:rsidRDefault="00FE370C">
            <w:pPr>
              <w:spacing w:line="276" w:lineRule="auto"/>
              <w:rPr>
                <w:sz w:val="23"/>
                <w:szCs w:val="23"/>
                <w:lang w:val="en-US"/>
              </w:rPr>
            </w:pPr>
            <w:r w:rsidRPr="008D13EC">
              <w:rPr>
                <w:sz w:val="23"/>
                <w:szCs w:val="23"/>
                <w:lang w:val="en-US"/>
              </w:rPr>
              <w:t>Dimension Data Holdings</w:t>
            </w:r>
          </w:p>
        </w:tc>
        <w:tc>
          <w:tcPr>
            <w:tcW w:w="849" w:type="dxa"/>
            <w:shd w:val="clear" w:color="auto" w:fill="auto"/>
            <w:vAlign w:val="center"/>
          </w:tcPr>
          <w:p w14:paraId="37FF0E77" w14:textId="77777777" w:rsidR="00A5674E" w:rsidRPr="008D13EC" w:rsidRDefault="00FE370C">
            <w:pPr>
              <w:spacing w:line="276" w:lineRule="auto"/>
              <w:jc w:val="center"/>
              <w:rPr>
                <w:sz w:val="23"/>
                <w:szCs w:val="23"/>
                <w:lang w:val="en-US"/>
              </w:rPr>
            </w:pPr>
            <w:r w:rsidRPr="008D13EC">
              <w:rPr>
                <w:sz w:val="23"/>
                <w:szCs w:val="23"/>
                <w:lang w:val="en-US"/>
              </w:rPr>
              <w:t>59</w:t>
            </w:r>
          </w:p>
        </w:tc>
        <w:tc>
          <w:tcPr>
            <w:tcW w:w="3120" w:type="dxa"/>
            <w:tcBorders>
              <w:right w:val="single" w:sz="4" w:space="0" w:color="000000"/>
            </w:tcBorders>
            <w:shd w:val="clear" w:color="auto" w:fill="auto"/>
            <w:vAlign w:val="bottom"/>
          </w:tcPr>
          <w:p w14:paraId="4EDAC272" w14:textId="77777777" w:rsidR="00A5674E" w:rsidRPr="008D13EC" w:rsidRDefault="00FE370C">
            <w:pPr>
              <w:spacing w:line="276" w:lineRule="auto"/>
              <w:rPr>
                <w:lang w:val="en-US"/>
              </w:rPr>
            </w:pPr>
            <w:r w:rsidRPr="008D13EC">
              <w:rPr>
                <w:sz w:val="23"/>
                <w:szCs w:val="23"/>
                <w:lang w:val="en-US"/>
              </w:rPr>
              <w:t>Tomkins</w:t>
            </w:r>
          </w:p>
        </w:tc>
      </w:tr>
      <w:tr w:rsidR="00A5674E" w:rsidRPr="008D13EC" w14:paraId="05D2A1AD" w14:textId="77777777">
        <w:trPr>
          <w:trHeight w:val="315"/>
        </w:trPr>
        <w:tc>
          <w:tcPr>
            <w:tcW w:w="708" w:type="dxa"/>
            <w:tcBorders>
              <w:left w:val="single" w:sz="4" w:space="0" w:color="000000"/>
            </w:tcBorders>
            <w:shd w:val="clear" w:color="auto" w:fill="auto"/>
            <w:vAlign w:val="center"/>
          </w:tcPr>
          <w:p w14:paraId="11E517D6" w14:textId="77777777" w:rsidR="00A5674E" w:rsidRPr="008D13EC" w:rsidRDefault="00FE370C">
            <w:pPr>
              <w:spacing w:line="276" w:lineRule="auto"/>
              <w:jc w:val="center"/>
              <w:rPr>
                <w:sz w:val="23"/>
                <w:szCs w:val="23"/>
                <w:lang w:val="en-US"/>
              </w:rPr>
            </w:pPr>
            <w:r w:rsidRPr="008D13EC">
              <w:rPr>
                <w:sz w:val="23"/>
                <w:szCs w:val="23"/>
                <w:lang w:val="en-US"/>
              </w:rPr>
              <w:t>23</w:t>
            </w:r>
          </w:p>
        </w:tc>
        <w:tc>
          <w:tcPr>
            <w:tcW w:w="3402" w:type="dxa"/>
            <w:shd w:val="clear" w:color="auto" w:fill="auto"/>
            <w:vAlign w:val="bottom"/>
          </w:tcPr>
          <w:p w14:paraId="1CD02DDB" w14:textId="77777777" w:rsidR="00A5674E" w:rsidRPr="008D13EC" w:rsidRDefault="00FE370C">
            <w:pPr>
              <w:spacing w:line="276" w:lineRule="auto"/>
              <w:rPr>
                <w:sz w:val="23"/>
                <w:szCs w:val="23"/>
                <w:lang w:val="en-US"/>
              </w:rPr>
            </w:pPr>
            <w:proofErr w:type="spellStart"/>
            <w:r w:rsidRPr="008D13EC">
              <w:rPr>
                <w:sz w:val="23"/>
                <w:szCs w:val="23"/>
                <w:lang w:val="en-US"/>
              </w:rPr>
              <w:t>Dominos</w:t>
            </w:r>
            <w:proofErr w:type="spellEnd"/>
            <w:r w:rsidRPr="008D13EC">
              <w:rPr>
                <w:sz w:val="23"/>
                <w:szCs w:val="23"/>
                <w:lang w:val="en-US"/>
              </w:rPr>
              <w:t xml:space="preserve"> Pizza</w:t>
            </w:r>
          </w:p>
        </w:tc>
        <w:tc>
          <w:tcPr>
            <w:tcW w:w="849" w:type="dxa"/>
            <w:shd w:val="clear" w:color="auto" w:fill="auto"/>
            <w:vAlign w:val="center"/>
          </w:tcPr>
          <w:p w14:paraId="797BFE7A" w14:textId="77777777" w:rsidR="00A5674E" w:rsidRPr="008D13EC" w:rsidRDefault="00FE370C">
            <w:pPr>
              <w:spacing w:line="276" w:lineRule="auto"/>
              <w:jc w:val="center"/>
              <w:rPr>
                <w:sz w:val="23"/>
                <w:szCs w:val="23"/>
                <w:lang w:val="en-US"/>
              </w:rPr>
            </w:pPr>
            <w:r w:rsidRPr="008D13EC">
              <w:rPr>
                <w:sz w:val="23"/>
                <w:szCs w:val="23"/>
                <w:lang w:val="en-US"/>
              </w:rPr>
              <w:t>60</w:t>
            </w:r>
          </w:p>
        </w:tc>
        <w:tc>
          <w:tcPr>
            <w:tcW w:w="3120" w:type="dxa"/>
            <w:tcBorders>
              <w:right w:val="single" w:sz="4" w:space="0" w:color="000000"/>
            </w:tcBorders>
            <w:shd w:val="clear" w:color="auto" w:fill="auto"/>
            <w:vAlign w:val="bottom"/>
          </w:tcPr>
          <w:p w14:paraId="24DE78F2" w14:textId="77777777" w:rsidR="00A5674E" w:rsidRPr="008D13EC" w:rsidRDefault="00FE370C">
            <w:pPr>
              <w:spacing w:line="276" w:lineRule="auto"/>
              <w:rPr>
                <w:lang w:val="en-US"/>
              </w:rPr>
            </w:pPr>
            <w:r w:rsidRPr="008D13EC">
              <w:rPr>
                <w:sz w:val="23"/>
                <w:szCs w:val="23"/>
                <w:lang w:val="en-US"/>
              </w:rPr>
              <w:t>Unilever</w:t>
            </w:r>
          </w:p>
        </w:tc>
      </w:tr>
      <w:tr w:rsidR="00A5674E" w:rsidRPr="008D13EC" w14:paraId="2C4E53A6" w14:textId="77777777">
        <w:trPr>
          <w:trHeight w:val="315"/>
        </w:trPr>
        <w:tc>
          <w:tcPr>
            <w:tcW w:w="708" w:type="dxa"/>
            <w:tcBorders>
              <w:left w:val="single" w:sz="4" w:space="0" w:color="000000"/>
            </w:tcBorders>
            <w:shd w:val="clear" w:color="auto" w:fill="auto"/>
            <w:vAlign w:val="center"/>
          </w:tcPr>
          <w:p w14:paraId="7C912171" w14:textId="77777777" w:rsidR="00A5674E" w:rsidRPr="008D13EC" w:rsidRDefault="00FE370C">
            <w:pPr>
              <w:spacing w:line="276" w:lineRule="auto"/>
              <w:jc w:val="center"/>
              <w:rPr>
                <w:sz w:val="23"/>
                <w:szCs w:val="23"/>
                <w:lang w:val="en-US"/>
              </w:rPr>
            </w:pPr>
            <w:r w:rsidRPr="008D13EC">
              <w:rPr>
                <w:sz w:val="23"/>
                <w:szCs w:val="23"/>
                <w:lang w:val="en-US"/>
              </w:rPr>
              <w:t>24</w:t>
            </w:r>
          </w:p>
        </w:tc>
        <w:tc>
          <w:tcPr>
            <w:tcW w:w="3402" w:type="dxa"/>
            <w:shd w:val="clear" w:color="auto" w:fill="auto"/>
            <w:vAlign w:val="bottom"/>
          </w:tcPr>
          <w:p w14:paraId="66BCE3B6" w14:textId="77777777" w:rsidR="00A5674E" w:rsidRPr="008D13EC" w:rsidRDefault="00FE370C">
            <w:pPr>
              <w:spacing w:line="276" w:lineRule="auto"/>
              <w:rPr>
                <w:sz w:val="23"/>
                <w:szCs w:val="23"/>
                <w:lang w:val="en-US"/>
              </w:rPr>
            </w:pPr>
            <w:proofErr w:type="spellStart"/>
            <w:r w:rsidRPr="008D13EC">
              <w:rPr>
                <w:sz w:val="23"/>
                <w:szCs w:val="23"/>
                <w:lang w:val="en-US"/>
              </w:rPr>
              <w:t>Fidessa</w:t>
            </w:r>
            <w:proofErr w:type="spellEnd"/>
          </w:p>
        </w:tc>
        <w:tc>
          <w:tcPr>
            <w:tcW w:w="849" w:type="dxa"/>
            <w:shd w:val="clear" w:color="auto" w:fill="auto"/>
            <w:vAlign w:val="center"/>
          </w:tcPr>
          <w:p w14:paraId="77789A1A" w14:textId="77777777" w:rsidR="00A5674E" w:rsidRPr="008D13EC" w:rsidRDefault="00FE370C">
            <w:pPr>
              <w:spacing w:line="276" w:lineRule="auto"/>
              <w:jc w:val="center"/>
              <w:rPr>
                <w:sz w:val="23"/>
                <w:szCs w:val="23"/>
                <w:lang w:val="en-US"/>
              </w:rPr>
            </w:pPr>
            <w:r w:rsidRPr="008D13EC">
              <w:rPr>
                <w:sz w:val="23"/>
                <w:szCs w:val="23"/>
                <w:lang w:val="en-US"/>
              </w:rPr>
              <w:t>61</w:t>
            </w:r>
          </w:p>
        </w:tc>
        <w:tc>
          <w:tcPr>
            <w:tcW w:w="3120" w:type="dxa"/>
            <w:tcBorders>
              <w:right w:val="single" w:sz="4" w:space="0" w:color="000000"/>
            </w:tcBorders>
            <w:shd w:val="clear" w:color="auto" w:fill="auto"/>
            <w:vAlign w:val="bottom"/>
          </w:tcPr>
          <w:p w14:paraId="68BCC13E" w14:textId="77777777" w:rsidR="00A5674E" w:rsidRPr="008D13EC" w:rsidRDefault="00FE370C">
            <w:pPr>
              <w:spacing w:line="276" w:lineRule="auto"/>
              <w:rPr>
                <w:lang w:val="en-US"/>
              </w:rPr>
            </w:pPr>
            <w:r w:rsidRPr="008D13EC">
              <w:rPr>
                <w:sz w:val="23"/>
                <w:szCs w:val="23"/>
                <w:lang w:val="en-US"/>
              </w:rPr>
              <w:t>United Utilities Group</w:t>
            </w:r>
          </w:p>
        </w:tc>
      </w:tr>
      <w:tr w:rsidR="00A5674E" w:rsidRPr="008D13EC" w14:paraId="657C8946" w14:textId="77777777">
        <w:trPr>
          <w:trHeight w:val="315"/>
        </w:trPr>
        <w:tc>
          <w:tcPr>
            <w:tcW w:w="708" w:type="dxa"/>
            <w:tcBorders>
              <w:left w:val="single" w:sz="4" w:space="0" w:color="000000"/>
            </w:tcBorders>
            <w:shd w:val="clear" w:color="auto" w:fill="auto"/>
            <w:vAlign w:val="center"/>
          </w:tcPr>
          <w:p w14:paraId="53EBBEE7" w14:textId="77777777" w:rsidR="00A5674E" w:rsidRPr="008D13EC" w:rsidRDefault="00FE370C">
            <w:pPr>
              <w:spacing w:line="276" w:lineRule="auto"/>
              <w:jc w:val="center"/>
              <w:rPr>
                <w:sz w:val="23"/>
                <w:szCs w:val="23"/>
                <w:lang w:val="en-US"/>
              </w:rPr>
            </w:pPr>
            <w:r w:rsidRPr="008D13EC">
              <w:rPr>
                <w:sz w:val="23"/>
                <w:szCs w:val="23"/>
                <w:lang w:val="en-US"/>
              </w:rPr>
              <w:t>25</w:t>
            </w:r>
          </w:p>
        </w:tc>
        <w:tc>
          <w:tcPr>
            <w:tcW w:w="3402" w:type="dxa"/>
            <w:shd w:val="clear" w:color="auto" w:fill="auto"/>
            <w:vAlign w:val="bottom"/>
          </w:tcPr>
          <w:p w14:paraId="16077538" w14:textId="77777777" w:rsidR="00A5674E" w:rsidRPr="008D13EC" w:rsidRDefault="00FE370C">
            <w:pPr>
              <w:spacing w:line="276" w:lineRule="auto"/>
              <w:rPr>
                <w:sz w:val="23"/>
                <w:szCs w:val="23"/>
                <w:lang w:val="en-US"/>
              </w:rPr>
            </w:pPr>
            <w:r w:rsidRPr="008D13EC">
              <w:rPr>
                <w:sz w:val="23"/>
                <w:szCs w:val="23"/>
                <w:lang w:val="en-US"/>
              </w:rPr>
              <w:t>FirstGroup</w:t>
            </w:r>
          </w:p>
        </w:tc>
        <w:tc>
          <w:tcPr>
            <w:tcW w:w="849" w:type="dxa"/>
            <w:shd w:val="clear" w:color="auto" w:fill="auto"/>
            <w:vAlign w:val="center"/>
          </w:tcPr>
          <w:p w14:paraId="37289BE4" w14:textId="77777777" w:rsidR="00A5674E" w:rsidRPr="008D13EC" w:rsidRDefault="00FE370C">
            <w:pPr>
              <w:spacing w:line="276" w:lineRule="auto"/>
              <w:jc w:val="center"/>
              <w:rPr>
                <w:sz w:val="23"/>
                <w:szCs w:val="23"/>
                <w:lang w:val="en-US"/>
              </w:rPr>
            </w:pPr>
            <w:r w:rsidRPr="008D13EC">
              <w:rPr>
                <w:sz w:val="23"/>
                <w:szCs w:val="23"/>
                <w:lang w:val="en-US"/>
              </w:rPr>
              <w:t>62</w:t>
            </w:r>
          </w:p>
        </w:tc>
        <w:tc>
          <w:tcPr>
            <w:tcW w:w="3120" w:type="dxa"/>
            <w:tcBorders>
              <w:right w:val="single" w:sz="4" w:space="0" w:color="000000"/>
            </w:tcBorders>
            <w:shd w:val="clear" w:color="auto" w:fill="auto"/>
            <w:vAlign w:val="bottom"/>
          </w:tcPr>
          <w:p w14:paraId="2BF15CA9" w14:textId="77777777" w:rsidR="00A5674E" w:rsidRPr="008D13EC" w:rsidRDefault="00FE370C">
            <w:pPr>
              <w:spacing w:line="276" w:lineRule="auto"/>
              <w:rPr>
                <w:lang w:val="en-US"/>
              </w:rPr>
            </w:pPr>
            <w:r w:rsidRPr="008D13EC">
              <w:rPr>
                <w:sz w:val="23"/>
                <w:szCs w:val="23"/>
                <w:lang w:val="en-US"/>
              </w:rPr>
              <w:t>Vodafone Group</w:t>
            </w:r>
          </w:p>
        </w:tc>
      </w:tr>
      <w:tr w:rsidR="00A5674E" w:rsidRPr="008D13EC" w14:paraId="77F0367A" w14:textId="77777777">
        <w:trPr>
          <w:trHeight w:val="315"/>
        </w:trPr>
        <w:tc>
          <w:tcPr>
            <w:tcW w:w="708" w:type="dxa"/>
            <w:tcBorders>
              <w:left w:val="single" w:sz="4" w:space="0" w:color="000000"/>
            </w:tcBorders>
            <w:shd w:val="clear" w:color="auto" w:fill="auto"/>
            <w:vAlign w:val="center"/>
          </w:tcPr>
          <w:p w14:paraId="75AB2003" w14:textId="77777777" w:rsidR="00A5674E" w:rsidRPr="008D13EC" w:rsidRDefault="00FE370C">
            <w:pPr>
              <w:spacing w:line="276" w:lineRule="auto"/>
              <w:jc w:val="center"/>
              <w:rPr>
                <w:sz w:val="23"/>
                <w:szCs w:val="23"/>
                <w:lang w:val="en-US"/>
              </w:rPr>
            </w:pPr>
            <w:r w:rsidRPr="008D13EC">
              <w:rPr>
                <w:sz w:val="23"/>
                <w:szCs w:val="23"/>
                <w:lang w:val="en-US"/>
              </w:rPr>
              <w:t>26</w:t>
            </w:r>
          </w:p>
        </w:tc>
        <w:tc>
          <w:tcPr>
            <w:tcW w:w="3402" w:type="dxa"/>
            <w:shd w:val="clear" w:color="auto" w:fill="auto"/>
            <w:vAlign w:val="bottom"/>
          </w:tcPr>
          <w:p w14:paraId="40F80E46" w14:textId="77777777" w:rsidR="00A5674E" w:rsidRPr="008D13EC" w:rsidRDefault="00FE370C">
            <w:pPr>
              <w:spacing w:line="276" w:lineRule="auto"/>
              <w:rPr>
                <w:sz w:val="23"/>
                <w:szCs w:val="23"/>
                <w:lang w:val="en-US"/>
              </w:rPr>
            </w:pPr>
            <w:r w:rsidRPr="008D13EC">
              <w:rPr>
                <w:sz w:val="23"/>
                <w:szCs w:val="23"/>
                <w:lang w:val="en-US"/>
              </w:rPr>
              <w:t>GlaxoSmithKline</w:t>
            </w:r>
          </w:p>
        </w:tc>
        <w:tc>
          <w:tcPr>
            <w:tcW w:w="849" w:type="dxa"/>
            <w:shd w:val="clear" w:color="auto" w:fill="auto"/>
            <w:vAlign w:val="center"/>
          </w:tcPr>
          <w:p w14:paraId="07485E96" w14:textId="77777777" w:rsidR="00A5674E" w:rsidRPr="008D13EC" w:rsidRDefault="00FE370C">
            <w:pPr>
              <w:spacing w:line="276" w:lineRule="auto"/>
              <w:jc w:val="center"/>
              <w:rPr>
                <w:sz w:val="23"/>
                <w:szCs w:val="23"/>
                <w:lang w:val="en-US"/>
              </w:rPr>
            </w:pPr>
            <w:r w:rsidRPr="008D13EC">
              <w:rPr>
                <w:sz w:val="23"/>
                <w:szCs w:val="23"/>
                <w:lang w:val="en-US"/>
              </w:rPr>
              <w:t>63</w:t>
            </w:r>
          </w:p>
        </w:tc>
        <w:tc>
          <w:tcPr>
            <w:tcW w:w="3120" w:type="dxa"/>
            <w:tcBorders>
              <w:right w:val="single" w:sz="4" w:space="0" w:color="000000"/>
            </w:tcBorders>
            <w:shd w:val="clear" w:color="auto" w:fill="auto"/>
            <w:vAlign w:val="bottom"/>
          </w:tcPr>
          <w:p w14:paraId="7E615B15" w14:textId="77777777" w:rsidR="00A5674E" w:rsidRPr="008D13EC" w:rsidRDefault="00FE370C">
            <w:pPr>
              <w:spacing w:line="276" w:lineRule="auto"/>
              <w:rPr>
                <w:lang w:val="en-US"/>
              </w:rPr>
            </w:pPr>
            <w:r w:rsidRPr="008D13EC">
              <w:rPr>
                <w:sz w:val="23"/>
                <w:szCs w:val="23"/>
                <w:lang w:val="en-US"/>
              </w:rPr>
              <w:t>Whitbread</w:t>
            </w:r>
          </w:p>
        </w:tc>
      </w:tr>
      <w:tr w:rsidR="00A5674E" w:rsidRPr="008D13EC" w14:paraId="0E0631B6" w14:textId="77777777">
        <w:trPr>
          <w:trHeight w:val="315"/>
        </w:trPr>
        <w:tc>
          <w:tcPr>
            <w:tcW w:w="708" w:type="dxa"/>
            <w:tcBorders>
              <w:left w:val="single" w:sz="4" w:space="0" w:color="000000"/>
            </w:tcBorders>
            <w:shd w:val="clear" w:color="auto" w:fill="auto"/>
            <w:vAlign w:val="center"/>
          </w:tcPr>
          <w:p w14:paraId="5566DE48" w14:textId="77777777" w:rsidR="00A5674E" w:rsidRPr="008D13EC" w:rsidRDefault="00FE370C">
            <w:pPr>
              <w:spacing w:line="276" w:lineRule="auto"/>
              <w:jc w:val="center"/>
              <w:rPr>
                <w:sz w:val="23"/>
                <w:szCs w:val="23"/>
                <w:lang w:val="en-US"/>
              </w:rPr>
            </w:pPr>
            <w:r w:rsidRPr="008D13EC">
              <w:rPr>
                <w:sz w:val="23"/>
                <w:szCs w:val="23"/>
                <w:lang w:val="en-US"/>
              </w:rPr>
              <w:t>27</w:t>
            </w:r>
          </w:p>
        </w:tc>
        <w:tc>
          <w:tcPr>
            <w:tcW w:w="3402" w:type="dxa"/>
            <w:shd w:val="clear" w:color="auto" w:fill="auto"/>
            <w:vAlign w:val="bottom"/>
          </w:tcPr>
          <w:p w14:paraId="666A42A6" w14:textId="77777777" w:rsidR="00A5674E" w:rsidRPr="008D13EC" w:rsidRDefault="00FE370C">
            <w:pPr>
              <w:spacing w:line="276" w:lineRule="auto"/>
              <w:rPr>
                <w:sz w:val="23"/>
                <w:szCs w:val="23"/>
                <w:lang w:val="en-US"/>
              </w:rPr>
            </w:pPr>
            <w:r w:rsidRPr="008D13EC">
              <w:rPr>
                <w:sz w:val="23"/>
                <w:szCs w:val="23"/>
                <w:lang w:val="en-US"/>
              </w:rPr>
              <w:t>Helical Bar</w:t>
            </w:r>
          </w:p>
        </w:tc>
        <w:tc>
          <w:tcPr>
            <w:tcW w:w="849" w:type="dxa"/>
            <w:shd w:val="clear" w:color="auto" w:fill="auto"/>
            <w:vAlign w:val="center"/>
          </w:tcPr>
          <w:p w14:paraId="158BD9FC" w14:textId="77777777" w:rsidR="00A5674E" w:rsidRPr="008D13EC" w:rsidRDefault="00FE370C">
            <w:pPr>
              <w:spacing w:line="276" w:lineRule="auto"/>
              <w:jc w:val="center"/>
              <w:rPr>
                <w:sz w:val="23"/>
                <w:szCs w:val="23"/>
                <w:lang w:val="en-US"/>
              </w:rPr>
            </w:pPr>
            <w:r w:rsidRPr="008D13EC">
              <w:rPr>
                <w:sz w:val="23"/>
                <w:szCs w:val="23"/>
                <w:lang w:val="en-US"/>
              </w:rPr>
              <w:t>64</w:t>
            </w:r>
          </w:p>
        </w:tc>
        <w:tc>
          <w:tcPr>
            <w:tcW w:w="3120" w:type="dxa"/>
            <w:tcBorders>
              <w:right w:val="single" w:sz="4" w:space="0" w:color="000000"/>
            </w:tcBorders>
            <w:shd w:val="clear" w:color="auto" w:fill="auto"/>
            <w:vAlign w:val="bottom"/>
          </w:tcPr>
          <w:p w14:paraId="31365FCE" w14:textId="77777777" w:rsidR="00A5674E" w:rsidRPr="008D13EC" w:rsidRDefault="00FE370C">
            <w:pPr>
              <w:spacing w:line="276" w:lineRule="auto"/>
              <w:rPr>
                <w:lang w:val="en-US"/>
              </w:rPr>
            </w:pPr>
            <w:r w:rsidRPr="008D13EC">
              <w:rPr>
                <w:sz w:val="23"/>
                <w:szCs w:val="23"/>
                <w:lang w:val="en-US"/>
              </w:rPr>
              <w:t>WPP</w:t>
            </w:r>
          </w:p>
        </w:tc>
      </w:tr>
      <w:tr w:rsidR="00A5674E" w:rsidRPr="008D13EC" w14:paraId="4C697D9C" w14:textId="77777777">
        <w:trPr>
          <w:trHeight w:val="315"/>
        </w:trPr>
        <w:tc>
          <w:tcPr>
            <w:tcW w:w="708" w:type="dxa"/>
            <w:tcBorders>
              <w:left w:val="single" w:sz="4" w:space="0" w:color="000000"/>
            </w:tcBorders>
            <w:shd w:val="clear" w:color="auto" w:fill="auto"/>
            <w:vAlign w:val="center"/>
          </w:tcPr>
          <w:p w14:paraId="1EADDEB9" w14:textId="77777777" w:rsidR="00A5674E" w:rsidRPr="008D13EC" w:rsidRDefault="00FE370C">
            <w:pPr>
              <w:spacing w:line="276" w:lineRule="auto"/>
              <w:jc w:val="center"/>
              <w:rPr>
                <w:sz w:val="23"/>
                <w:szCs w:val="23"/>
                <w:lang w:val="en-US"/>
              </w:rPr>
            </w:pPr>
            <w:r w:rsidRPr="008D13EC">
              <w:rPr>
                <w:sz w:val="23"/>
                <w:szCs w:val="23"/>
                <w:lang w:val="en-US"/>
              </w:rPr>
              <w:t>28</w:t>
            </w:r>
          </w:p>
        </w:tc>
        <w:tc>
          <w:tcPr>
            <w:tcW w:w="3402" w:type="dxa"/>
            <w:shd w:val="clear" w:color="auto" w:fill="auto"/>
            <w:vAlign w:val="bottom"/>
          </w:tcPr>
          <w:p w14:paraId="0F461D40" w14:textId="77777777" w:rsidR="00A5674E" w:rsidRPr="008D13EC" w:rsidRDefault="00FE370C">
            <w:pPr>
              <w:spacing w:line="276" w:lineRule="auto"/>
              <w:rPr>
                <w:sz w:val="23"/>
                <w:szCs w:val="23"/>
                <w:lang w:val="en-US"/>
              </w:rPr>
            </w:pPr>
            <w:proofErr w:type="spellStart"/>
            <w:r w:rsidRPr="008D13EC">
              <w:rPr>
                <w:sz w:val="23"/>
                <w:szCs w:val="23"/>
                <w:lang w:val="en-US"/>
              </w:rPr>
              <w:t>Homeserve</w:t>
            </w:r>
            <w:proofErr w:type="spellEnd"/>
          </w:p>
        </w:tc>
        <w:tc>
          <w:tcPr>
            <w:tcW w:w="849" w:type="dxa"/>
            <w:shd w:val="clear" w:color="auto" w:fill="auto"/>
            <w:vAlign w:val="center"/>
          </w:tcPr>
          <w:p w14:paraId="0FDCE304" w14:textId="77777777" w:rsidR="00A5674E" w:rsidRPr="008D13EC" w:rsidRDefault="00FE370C">
            <w:pPr>
              <w:spacing w:line="276" w:lineRule="auto"/>
              <w:jc w:val="center"/>
              <w:rPr>
                <w:sz w:val="23"/>
                <w:szCs w:val="23"/>
                <w:lang w:val="en-US"/>
              </w:rPr>
            </w:pPr>
            <w:r w:rsidRPr="008D13EC">
              <w:rPr>
                <w:sz w:val="23"/>
                <w:szCs w:val="23"/>
                <w:lang w:val="en-US"/>
              </w:rPr>
              <w:t>65</w:t>
            </w:r>
          </w:p>
        </w:tc>
        <w:tc>
          <w:tcPr>
            <w:tcW w:w="3120" w:type="dxa"/>
            <w:tcBorders>
              <w:right w:val="single" w:sz="4" w:space="0" w:color="000000"/>
            </w:tcBorders>
            <w:shd w:val="clear" w:color="auto" w:fill="auto"/>
            <w:vAlign w:val="bottom"/>
          </w:tcPr>
          <w:p w14:paraId="27FDBDDD" w14:textId="77777777" w:rsidR="00A5674E" w:rsidRPr="008D13EC" w:rsidRDefault="00FE370C">
            <w:pPr>
              <w:spacing w:line="276" w:lineRule="auto"/>
              <w:rPr>
                <w:lang w:val="en-US"/>
              </w:rPr>
            </w:pPr>
            <w:r w:rsidRPr="008D13EC">
              <w:rPr>
                <w:sz w:val="23"/>
                <w:szCs w:val="23"/>
                <w:lang w:val="en-US"/>
              </w:rPr>
              <w:t>Aquarius Platinum</w:t>
            </w:r>
          </w:p>
        </w:tc>
      </w:tr>
      <w:tr w:rsidR="00A5674E" w:rsidRPr="008D13EC" w14:paraId="43E77DB8" w14:textId="77777777">
        <w:trPr>
          <w:trHeight w:val="315"/>
        </w:trPr>
        <w:tc>
          <w:tcPr>
            <w:tcW w:w="708" w:type="dxa"/>
            <w:tcBorders>
              <w:left w:val="single" w:sz="4" w:space="0" w:color="000000"/>
            </w:tcBorders>
            <w:shd w:val="clear" w:color="auto" w:fill="auto"/>
            <w:vAlign w:val="center"/>
          </w:tcPr>
          <w:p w14:paraId="0604979A" w14:textId="77777777" w:rsidR="00A5674E" w:rsidRPr="008D13EC" w:rsidRDefault="00FE370C">
            <w:pPr>
              <w:spacing w:line="276" w:lineRule="auto"/>
              <w:jc w:val="center"/>
              <w:rPr>
                <w:sz w:val="23"/>
                <w:szCs w:val="23"/>
                <w:lang w:val="en-US"/>
              </w:rPr>
            </w:pPr>
            <w:r w:rsidRPr="008D13EC">
              <w:rPr>
                <w:sz w:val="23"/>
                <w:szCs w:val="23"/>
                <w:lang w:val="en-US"/>
              </w:rPr>
              <w:t>29</w:t>
            </w:r>
          </w:p>
        </w:tc>
        <w:tc>
          <w:tcPr>
            <w:tcW w:w="3402" w:type="dxa"/>
            <w:shd w:val="clear" w:color="auto" w:fill="auto"/>
            <w:vAlign w:val="bottom"/>
          </w:tcPr>
          <w:p w14:paraId="79389ED2" w14:textId="77777777" w:rsidR="00A5674E" w:rsidRPr="008D13EC" w:rsidRDefault="00FE370C">
            <w:pPr>
              <w:spacing w:line="276" w:lineRule="auto"/>
              <w:rPr>
                <w:sz w:val="23"/>
                <w:szCs w:val="23"/>
                <w:lang w:val="en-US"/>
              </w:rPr>
            </w:pPr>
            <w:r w:rsidRPr="008D13EC">
              <w:rPr>
                <w:sz w:val="23"/>
                <w:szCs w:val="23"/>
                <w:lang w:val="en-US"/>
              </w:rPr>
              <w:t>Imagination Technologies Group</w:t>
            </w:r>
          </w:p>
        </w:tc>
        <w:tc>
          <w:tcPr>
            <w:tcW w:w="849" w:type="dxa"/>
            <w:shd w:val="clear" w:color="auto" w:fill="auto"/>
            <w:vAlign w:val="center"/>
          </w:tcPr>
          <w:p w14:paraId="0C31E11E" w14:textId="77777777" w:rsidR="00A5674E" w:rsidRPr="008D13EC" w:rsidRDefault="00FE370C">
            <w:pPr>
              <w:spacing w:line="276" w:lineRule="auto"/>
              <w:jc w:val="center"/>
              <w:rPr>
                <w:sz w:val="23"/>
                <w:szCs w:val="23"/>
                <w:lang w:val="en-US"/>
              </w:rPr>
            </w:pPr>
            <w:r w:rsidRPr="008D13EC">
              <w:rPr>
                <w:sz w:val="23"/>
                <w:szCs w:val="23"/>
                <w:lang w:val="en-US"/>
              </w:rPr>
              <w:t>66</w:t>
            </w:r>
          </w:p>
        </w:tc>
        <w:tc>
          <w:tcPr>
            <w:tcW w:w="3120" w:type="dxa"/>
            <w:tcBorders>
              <w:right w:val="single" w:sz="4" w:space="0" w:color="000000"/>
            </w:tcBorders>
            <w:shd w:val="clear" w:color="auto" w:fill="auto"/>
            <w:vAlign w:val="bottom"/>
          </w:tcPr>
          <w:p w14:paraId="7095F511" w14:textId="77777777" w:rsidR="00A5674E" w:rsidRPr="008D13EC" w:rsidRDefault="00FE370C">
            <w:pPr>
              <w:spacing w:line="276" w:lineRule="auto"/>
              <w:rPr>
                <w:lang w:val="en-US"/>
              </w:rPr>
            </w:pPr>
            <w:r w:rsidRPr="008D13EC">
              <w:rPr>
                <w:sz w:val="23"/>
                <w:szCs w:val="23"/>
                <w:lang w:val="en-US"/>
              </w:rPr>
              <w:t>Cadbury</w:t>
            </w:r>
          </w:p>
        </w:tc>
      </w:tr>
      <w:tr w:rsidR="00A5674E" w:rsidRPr="008D13EC" w14:paraId="714302F7" w14:textId="77777777">
        <w:trPr>
          <w:trHeight w:val="315"/>
        </w:trPr>
        <w:tc>
          <w:tcPr>
            <w:tcW w:w="708" w:type="dxa"/>
            <w:tcBorders>
              <w:left w:val="single" w:sz="4" w:space="0" w:color="000000"/>
            </w:tcBorders>
            <w:shd w:val="clear" w:color="auto" w:fill="auto"/>
            <w:vAlign w:val="center"/>
          </w:tcPr>
          <w:p w14:paraId="22CECF17" w14:textId="77777777" w:rsidR="00A5674E" w:rsidRPr="008D13EC" w:rsidRDefault="00FE370C">
            <w:pPr>
              <w:spacing w:line="276" w:lineRule="auto"/>
              <w:jc w:val="center"/>
              <w:rPr>
                <w:sz w:val="23"/>
                <w:szCs w:val="23"/>
                <w:lang w:val="en-US"/>
              </w:rPr>
            </w:pPr>
            <w:r w:rsidRPr="008D13EC">
              <w:rPr>
                <w:sz w:val="23"/>
                <w:szCs w:val="23"/>
                <w:lang w:val="en-US"/>
              </w:rPr>
              <w:t>30</w:t>
            </w:r>
          </w:p>
        </w:tc>
        <w:tc>
          <w:tcPr>
            <w:tcW w:w="3402" w:type="dxa"/>
            <w:shd w:val="clear" w:color="auto" w:fill="auto"/>
            <w:vAlign w:val="bottom"/>
          </w:tcPr>
          <w:p w14:paraId="72EB77A0" w14:textId="77777777" w:rsidR="00A5674E" w:rsidRPr="008D13EC" w:rsidRDefault="00FE370C">
            <w:pPr>
              <w:spacing w:line="276" w:lineRule="auto"/>
              <w:rPr>
                <w:sz w:val="23"/>
                <w:szCs w:val="23"/>
                <w:lang w:val="en-US"/>
              </w:rPr>
            </w:pPr>
            <w:r w:rsidRPr="008D13EC">
              <w:rPr>
                <w:sz w:val="23"/>
                <w:szCs w:val="23"/>
                <w:lang w:val="en-US"/>
              </w:rPr>
              <w:t>IMI</w:t>
            </w:r>
          </w:p>
        </w:tc>
        <w:tc>
          <w:tcPr>
            <w:tcW w:w="849" w:type="dxa"/>
            <w:shd w:val="clear" w:color="auto" w:fill="auto"/>
            <w:vAlign w:val="center"/>
          </w:tcPr>
          <w:p w14:paraId="4E591FE6" w14:textId="77777777" w:rsidR="00A5674E" w:rsidRPr="008D13EC" w:rsidRDefault="00FE370C">
            <w:pPr>
              <w:spacing w:line="276" w:lineRule="auto"/>
              <w:jc w:val="center"/>
              <w:rPr>
                <w:sz w:val="23"/>
                <w:szCs w:val="23"/>
                <w:lang w:val="en-US"/>
              </w:rPr>
            </w:pPr>
            <w:r w:rsidRPr="008D13EC">
              <w:rPr>
                <w:sz w:val="23"/>
                <w:szCs w:val="23"/>
                <w:lang w:val="en-US"/>
              </w:rPr>
              <w:t>67</w:t>
            </w:r>
          </w:p>
        </w:tc>
        <w:tc>
          <w:tcPr>
            <w:tcW w:w="3120" w:type="dxa"/>
            <w:tcBorders>
              <w:right w:val="single" w:sz="4" w:space="0" w:color="000000"/>
            </w:tcBorders>
            <w:shd w:val="clear" w:color="auto" w:fill="auto"/>
            <w:vAlign w:val="bottom"/>
          </w:tcPr>
          <w:p w14:paraId="4C298E40" w14:textId="77777777" w:rsidR="00A5674E" w:rsidRPr="008D13EC" w:rsidRDefault="00FE370C">
            <w:pPr>
              <w:spacing w:line="276" w:lineRule="auto"/>
              <w:rPr>
                <w:lang w:val="en-US"/>
              </w:rPr>
            </w:pPr>
            <w:proofErr w:type="spellStart"/>
            <w:r w:rsidRPr="008D13EC">
              <w:rPr>
                <w:sz w:val="23"/>
                <w:szCs w:val="23"/>
                <w:lang w:val="en-US"/>
              </w:rPr>
              <w:t>Carphone</w:t>
            </w:r>
            <w:proofErr w:type="spellEnd"/>
            <w:r w:rsidRPr="008D13EC">
              <w:rPr>
                <w:sz w:val="23"/>
                <w:szCs w:val="23"/>
                <w:lang w:val="en-US"/>
              </w:rPr>
              <w:t xml:space="preserve"> Warehouse Group</w:t>
            </w:r>
          </w:p>
        </w:tc>
      </w:tr>
      <w:tr w:rsidR="00A5674E" w:rsidRPr="008D13EC" w14:paraId="0F9459A6" w14:textId="77777777">
        <w:trPr>
          <w:trHeight w:val="315"/>
        </w:trPr>
        <w:tc>
          <w:tcPr>
            <w:tcW w:w="708" w:type="dxa"/>
            <w:tcBorders>
              <w:left w:val="single" w:sz="4" w:space="0" w:color="000000"/>
            </w:tcBorders>
            <w:shd w:val="clear" w:color="auto" w:fill="auto"/>
            <w:vAlign w:val="center"/>
          </w:tcPr>
          <w:p w14:paraId="32D5B624" w14:textId="77777777" w:rsidR="00A5674E" w:rsidRPr="008D13EC" w:rsidRDefault="00FE370C">
            <w:pPr>
              <w:spacing w:line="276" w:lineRule="auto"/>
              <w:jc w:val="center"/>
              <w:rPr>
                <w:sz w:val="23"/>
                <w:szCs w:val="23"/>
                <w:lang w:val="en-US"/>
              </w:rPr>
            </w:pPr>
            <w:r w:rsidRPr="008D13EC">
              <w:rPr>
                <w:sz w:val="23"/>
                <w:szCs w:val="23"/>
                <w:lang w:val="en-US"/>
              </w:rPr>
              <w:t>31</w:t>
            </w:r>
          </w:p>
        </w:tc>
        <w:tc>
          <w:tcPr>
            <w:tcW w:w="3402" w:type="dxa"/>
            <w:shd w:val="clear" w:color="auto" w:fill="auto"/>
            <w:vAlign w:val="bottom"/>
          </w:tcPr>
          <w:p w14:paraId="4BB95905" w14:textId="77777777" w:rsidR="00A5674E" w:rsidRPr="008D13EC" w:rsidRDefault="00FE370C">
            <w:pPr>
              <w:spacing w:line="276" w:lineRule="auto"/>
              <w:rPr>
                <w:sz w:val="23"/>
                <w:szCs w:val="23"/>
                <w:lang w:val="en-US"/>
              </w:rPr>
            </w:pPr>
            <w:r w:rsidRPr="008D13EC">
              <w:rPr>
                <w:sz w:val="23"/>
                <w:szCs w:val="23"/>
                <w:lang w:val="en-US"/>
              </w:rPr>
              <w:t>Imperial Tobacco Group</w:t>
            </w:r>
          </w:p>
        </w:tc>
        <w:tc>
          <w:tcPr>
            <w:tcW w:w="849" w:type="dxa"/>
            <w:shd w:val="clear" w:color="auto" w:fill="auto"/>
            <w:vAlign w:val="center"/>
          </w:tcPr>
          <w:p w14:paraId="2098FBC5" w14:textId="77777777" w:rsidR="00A5674E" w:rsidRPr="008D13EC" w:rsidRDefault="00FE370C">
            <w:pPr>
              <w:spacing w:line="276" w:lineRule="auto"/>
              <w:jc w:val="center"/>
              <w:rPr>
                <w:sz w:val="23"/>
                <w:szCs w:val="23"/>
                <w:lang w:val="en-US"/>
              </w:rPr>
            </w:pPr>
            <w:r w:rsidRPr="008D13EC">
              <w:rPr>
                <w:sz w:val="23"/>
                <w:szCs w:val="23"/>
                <w:lang w:val="en-US"/>
              </w:rPr>
              <w:t>68</w:t>
            </w:r>
          </w:p>
        </w:tc>
        <w:tc>
          <w:tcPr>
            <w:tcW w:w="3120" w:type="dxa"/>
            <w:tcBorders>
              <w:right w:val="single" w:sz="4" w:space="0" w:color="000000"/>
            </w:tcBorders>
            <w:shd w:val="clear" w:color="auto" w:fill="auto"/>
            <w:vAlign w:val="bottom"/>
          </w:tcPr>
          <w:p w14:paraId="27FF7E13" w14:textId="77777777" w:rsidR="00A5674E" w:rsidRPr="008D13EC" w:rsidRDefault="00FE370C">
            <w:pPr>
              <w:spacing w:line="276" w:lineRule="auto"/>
              <w:rPr>
                <w:lang w:val="en-US"/>
              </w:rPr>
            </w:pPr>
            <w:r w:rsidRPr="008D13EC">
              <w:rPr>
                <w:sz w:val="23"/>
                <w:szCs w:val="23"/>
                <w:lang w:val="en-US"/>
              </w:rPr>
              <w:t>COLT Telecom Group SA</w:t>
            </w:r>
          </w:p>
        </w:tc>
      </w:tr>
      <w:tr w:rsidR="00A5674E" w:rsidRPr="008D13EC" w14:paraId="43D8CEBB" w14:textId="77777777">
        <w:trPr>
          <w:trHeight w:val="315"/>
        </w:trPr>
        <w:tc>
          <w:tcPr>
            <w:tcW w:w="708" w:type="dxa"/>
            <w:tcBorders>
              <w:left w:val="single" w:sz="4" w:space="0" w:color="000000"/>
            </w:tcBorders>
            <w:shd w:val="clear" w:color="auto" w:fill="auto"/>
            <w:vAlign w:val="center"/>
          </w:tcPr>
          <w:p w14:paraId="493FF85E" w14:textId="77777777" w:rsidR="00A5674E" w:rsidRPr="008D13EC" w:rsidRDefault="00FE370C">
            <w:pPr>
              <w:spacing w:line="276" w:lineRule="auto"/>
              <w:jc w:val="center"/>
              <w:rPr>
                <w:sz w:val="23"/>
                <w:szCs w:val="23"/>
                <w:lang w:val="en-US"/>
              </w:rPr>
            </w:pPr>
            <w:r w:rsidRPr="008D13EC">
              <w:rPr>
                <w:sz w:val="23"/>
                <w:szCs w:val="23"/>
                <w:lang w:val="en-US"/>
              </w:rPr>
              <w:t>32</w:t>
            </w:r>
          </w:p>
        </w:tc>
        <w:tc>
          <w:tcPr>
            <w:tcW w:w="3402" w:type="dxa"/>
            <w:shd w:val="clear" w:color="auto" w:fill="auto"/>
            <w:vAlign w:val="bottom"/>
          </w:tcPr>
          <w:p w14:paraId="3627F76E" w14:textId="77777777" w:rsidR="00A5674E" w:rsidRPr="008D13EC" w:rsidRDefault="00FE370C">
            <w:pPr>
              <w:spacing w:line="276" w:lineRule="auto"/>
              <w:rPr>
                <w:sz w:val="23"/>
                <w:szCs w:val="23"/>
                <w:lang w:val="en-US"/>
              </w:rPr>
            </w:pPr>
            <w:r w:rsidRPr="008D13EC">
              <w:rPr>
                <w:sz w:val="23"/>
                <w:szCs w:val="23"/>
                <w:lang w:val="en-US"/>
              </w:rPr>
              <w:t>International Power</w:t>
            </w:r>
          </w:p>
        </w:tc>
        <w:tc>
          <w:tcPr>
            <w:tcW w:w="849" w:type="dxa"/>
            <w:shd w:val="clear" w:color="auto" w:fill="auto"/>
            <w:vAlign w:val="center"/>
          </w:tcPr>
          <w:p w14:paraId="364C032A" w14:textId="77777777" w:rsidR="00A5674E" w:rsidRPr="008D13EC" w:rsidRDefault="00FE370C">
            <w:pPr>
              <w:spacing w:line="276" w:lineRule="auto"/>
              <w:jc w:val="center"/>
              <w:rPr>
                <w:sz w:val="23"/>
                <w:szCs w:val="23"/>
                <w:lang w:val="en-US"/>
              </w:rPr>
            </w:pPr>
            <w:r w:rsidRPr="008D13EC">
              <w:rPr>
                <w:sz w:val="23"/>
                <w:szCs w:val="23"/>
                <w:lang w:val="en-US"/>
              </w:rPr>
              <w:t>69</w:t>
            </w:r>
          </w:p>
        </w:tc>
        <w:tc>
          <w:tcPr>
            <w:tcW w:w="3120" w:type="dxa"/>
            <w:tcBorders>
              <w:right w:val="single" w:sz="4" w:space="0" w:color="000000"/>
            </w:tcBorders>
            <w:shd w:val="clear" w:color="auto" w:fill="auto"/>
            <w:vAlign w:val="bottom"/>
          </w:tcPr>
          <w:p w14:paraId="1D2231AF" w14:textId="77777777" w:rsidR="00A5674E" w:rsidRPr="008D13EC" w:rsidRDefault="00FE370C">
            <w:pPr>
              <w:spacing w:line="276" w:lineRule="auto"/>
              <w:rPr>
                <w:lang w:val="en-US"/>
              </w:rPr>
            </w:pPr>
            <w:r w:rsidRPr="008D13EC">
              <w:rPr>
                <w:sz w:val="23"/>
                <w:szCs w:val="23"/>
                <w:lang w:val="en-US"/>
              </w:rPr>
              <w:t>Genus</w:t>
            </w:r>
          </w:p>
        </w:tc>
      </w:tr>
      <w:tr w:rsidR="00A5674E" w:rsidRPr="008D13EC" w14:paraId="13FE4B1C" w14:textId="77777777">
        <w:trPr>
          <w:trHeight w:val="315"/>
        </w:trPr>
        <w:tc>
          <w:tcPr>
            <w:tcW w:w="708" w:type="dxa"/>
            <w:tcBorders>
              <w:left w:val="single" w:sz="4" w:space="0" w:color="000000"/>
            </w:tcBorders>
            <w:shd w:val="clear" w:color="auto" w:fill="auto"/>
            <w:vAlign w:val="center"/>
          </w:tcPr>
          <w:p w14:paraId="6F7FB2B3" w14:textId="77777777" w:rsidR="00A5674E" w:rsidRPr="008D13EC" w:rsidRDefault="00FE370C">
            <w:pPr>
              <w:spacing w:line="276" w:lineRule="auto"/>
              <w:jc w:val="center"/>
              <w:rPr>
                <w:sz w:val="23"/>
                <w:szCs w:val="23"/>
                <w:lang w:val="en-US"/>
              </w:rPr>
            </w:pPr>
            <w:r w:rsidRPr="008D13EC">
              <w:rPr>
                <w:sz w:val="23"/>
                <w:szCs w:val="23"/>
                <w:lang w:val="en-US"/>
              </w:rPr>
              <w:t>33</w:t>
            </w:r>
          </w:p>
        </w:tc>
        <w:tc>
          <w:tcPr>
            <w:tcW w:w="3402" w:type="dxa"/>
            <w:shd w:val="clear" w:color="auto" w:fill="auto"/>
            <w:vAlign w:val="bottom"/>
          </w:tcPr>
          <w:p w14:paraId="10F763E8" w14:textId="77777777" w:rsidR="00A5674E" w:rsidRPr="008D13EC" w:rsidRDefault="00FE370C">
            <w:pPr>
              <w:spacing w:line="276" w:lineRule="auto"/>
              <w:rPr>
                <w:sz w:val="23"/>
                <w:szCs w:val="23"/>
                <w:lang w:val="en-US"/>
              </w:rPr>
            </w:pPr>
            <w:r w:rsidRPr="008D13EC">
              <w:rPr>
                <w:sz w:val="23"/>
                <w:szCs w:val="23"/>
                <w:lang w:val="en-US"/>
              </w:rPr>
              <w:t>Invensys</w:t>
            </w:r>
          </w:p>
        </w:tc>
        <w:tc>
          <w:tcPr>
            <w:tcW w:w="849" w:type="dxa"/>
            <w:shd w:val="clear" w:color="auto" w:fill="auto"/>
            <w:vAlign w:val="center"/>
          </w:tcPr>
          <w:p w14:paraId="7DC07DE4" w14:textId="77777777" w:rsidR="00A5674E" w:rsidRPr="008D13EC" w:rsidRDefault="00FE370C">
            <w:pPr>
              <w:spacing w:line="276" w:lineRule="auto"/>
              <w:jc w:val="center"/>
              <w:rPr>
                <w:sz w:val="23"/>
                <w:szCs w:val="23"/>
                <w:lang w:val="en-US"/>
              </w:rPr>
            </w:pPr>
            <w:r w:rsidRPr="008D13EC">
              <w:rPr>
                <w:sz w:val="23"/>
                <w:szCs w:val="23"/>
                <w:lang w:val="en-US"/>
              </w:rPr>
              <w:t>70</w:t>
            </w:r>
          </w:p>
        </w:tc>
        <w:tc>
          <w:tcPr>
            <w:tcW w:w="3120" w:type="dxa"/>
            <w:tcBorders>
              <w:right w:val="single" w:sz="4" w:space="0" w:color="000000"/>
            </w:tcBorders>
            <w:shd w:val="clear" w:color="auto" w:fill="auto"/>
            <w:vAlign w:val="bottom"/>
          </w:tcPr>
          <w:p w14:paraId="5CAA8006" w14:textId="77777777" w:rsidR="00A5674E" w:rsidRPr="008D13EC" w:rsidRDefault="00FE370C">
            <w:pPr>
              <w:spacing w:line="276" w:lineRule="auto"/>
              <w:rPr>
                <w:lang w:val="en-US"/>
              </w:rPr>
            </w:pPr>
            <w:r w:rsidRPr="008D13EC">
              <w:rPr>
                <w:sz w:val="23"/>
                <w:szCs w:val="23"/>
                <w:lang w:val="en-US"/>
              </w:rPr>
              <w:t>Inmarsat</w:t>
            </w:r>
          </w:p>
        </w:tc>
      </w:tr>
      <w:tr w:rsidR="00A5674E" w:rsidRPr="008D13EC" w14:paraId="3A4593CA" w14:textId="77777777">
        <w:trPr>
          <w:trHeight w:val="315"/>
        </w:trPr>
        <w:tc>
          <w:tcPr>
            <w:tcW w:w="708" w:type="dxa"/>
            <w:tcBorders>
              <w:left w:val="single" w:sz="4" w:space="0" w:color="000000"/>
            </w:tcBorders>
            <w:shd w:val="clear" w:color="auto" w:fill="auto"/>
            <w:vAlign w:val="center"/>
          </w:tcPr>
          <w:p w14:paraId="1D943E5A" w14:textId="77777777" w:rsidR="00A5674E" w:rsidRPr="008D13EC" w:rsidRDefault="00FE370C">
            <w:pPr>
              <w:spacing w:line="276" w:lineRule="auto"/>
              <w:jc w:val="center"/>
              <w:rPr>
                <w:sz w:val="23"/>
                <w:szCs w:val="23"/>
                <w:lang w:val="en-US"/>
              </w:rPr>
            </w:pPr>
            <w:r w:rsidRPr="008D13EC">
              <w:rPr>
                <w:sz w:val="23"/>
                <w:szCs w:val="23"/>
                <w:lang w:val="en-US"/>
              </w:rPr>
              <w:t>34</w:t>
            </w:r>
          </w:p>
        </w:tc>
        <w:tc>
          <w:tcPr>
            <w:tcW w:w="3402" w:type="dxa"/>
            <w:shd w:val="clear" w:color="auto" w:fill="auto"/>
            <w:vAlign w:val="bottom"/>
          </w:tcPr>
          <w:p w14:paraId="5B28B99E" w14:textId="77777777" w:rsidR="00A5674E" w:rsidRPr="008D13EC" w:rsidRDefault="00FE370C">
            <w:pPr>
              <w:spacing w:line="276" w:lineRule="auto"/>
              <w:rPr>
                <w:sz w:val="23"/>
                <w:szCs w:val="23"/>
                <w:lang w:val="en-US"/>
              </w:rPr>
            </w:pPr>
            <w:r w:rsidRPr="008D13EC">
              <w:rPr>
                <w:sz w:val="23"/>
                <w:szCs w:val="23"/>
                <w:lang w:val="en-US"/>
              </w:rPr>
              <w:t>Johnson Matthey PLC</w:t>
            </w:r>
          </w:p>
        </w:tc>
        <w:tc>
          <w:tcPr>
            <w:tcW w:w="849" w:type="dxa"/>
            <w:shd w:val="clear" w:color="auto" w:fill="auto"/>
            <w:vAlign w:val="center"/>
          </w:tcPr>
          <w:p w14:paraId="4465C1B5" w14:textId="77777777" w:rsidR="00A5674E" w:rsidRPr="008D13EC" w:rsidRDefault="00FE370C">
            <w:pPr>
              <w:spacing w:line="276" w:lineRule="auto"/>
              <w:jc w:val="center"/>
              <w:rPr>
                <w:sz w:val="23"/>
                <w:szCs w:val="23"/>
                <w:lang w:val="en-US"/>
              </w:rPr>
            </w:pPr>
            <w:r w:rsidRPr="008D13EC">
              <w:rPr>
                <w:sz w:val="23"/>
                <w:szCs w:val="23"/>
                <w:lang w:val="en-US"/>
              </w:rPr>
              <w:t>71</w:t>
            </w:r>
          </w:p>
        </w:tc>
        <w:tc>
          <w:tcPr>
            <w:tcW w:w="3120" w:type="dxa"/>
            <w:tcBorders>
              <w:right w:val="single" w:sz="4" w:space="0" w:color="000000"/>
            </w:tcBorders>
            <w:shd w:val="clear" w:color="auto" w:fill="auto"/>
            <w:vAlign w:val="bottom"/>
          </w:tcPr>
          <w:p w14:paraId="0EC51865" w14:textId="77777777" w:rsidR="00A5674E" w:rsidRPr="008D13EC" w:rsidRDefault="00FE370C">
            <w:pPr>
              <w:spacing w:line="276" w:lineRule="auto"/>
              <w:rPr>
                <w:lang w:val="en-US"/>
              </w:rPr>
            </w:pPr>
            <w:r w:rsidRPr="008D13EC">
              <w:rPr>
                <w:sz w:val="23"/>
                <w:szCs w:val="23"/>
                <w:lang w:val="en-US"/>
              </w:rPr>
              <w:t>Morgan Sindall</w:t>
            </w:r>
          </w:p>
        </w:tc>
      </w:tr>
      <w:tr w:rsidR="00A5674E" w:rsidRPr="008D13EC" w14:paraId="2657C0F3" w14:textId="77777777">
        <w:trPr>
          <w:trHeight w:val="315"/>
        </w:trPr>
        <w:tc>
          <w:tcPr>
            <w:tcW w:w="708" w:type="dxa"/>
            <w:tcBorders>
              <w:left w:val="single" w:sz="4" w:space="0" w:color="000000"/>
            </w:tcBorders>
            <w:shd w:val="clear" w:color="auto" w:fill="auto"/>
            <w:vAlign w:val="center"/>
          </w:tcPr>
          <w:p w14:paraId="1A436F99" w14:textId="77777777" w:rsidR="00A5674E" w:rsidRPr="008D13EC" w:rsidRDefault="00FE370C">
            <w:pPr>
              <w:spacing w:line="276" w:lineRule="auto"/>
              <w:jc w:val="center"/>
              <w:rPr>
                <w:sz w:val="23"/>
                <w:szCs w:val="23"/>
                <w:lang w:val="en-US"/>
              </w:rPr>
            </w:pPr>
            <w:r w:rsidRPr="008D13EC">
              <w:rPr>
                <w:sz w:val="23"/>
                <w:szCs w:val="23"/>
                <w:lang w:val="en-US"/>
              </w:rPr>
              <w:t>35</w:t>
            </w:r>
          </w:p>
        </w:tc>
        <w:tc>
          <w:tcPr>
            <w:tcW w:w="3402" w:type="dxa"/>
            <w:shd w:val="clear" w:color="auto" w:fill="auto"/>
            <w:vAlign w:val="center"/>
          </w:tcPr>
          <w:p w14:paraId="281CF170" w14:textId="77777777" w:rsidR="00A5674E" w:rsidRPr="008D13EC" w:rsidRDefault="00FE370C">
            <w:pPr>
              <w:spacing w:line="276" w:lineRule="auto"/>
              <w:rPr>
                <w:sz w:val="23"/>
                <w:szCs w:val="23"/>
                <w:lang w:val="en-US"/>
              </w:rPr>
            </w:pPr>
            <w:r w:rsidRPr="008D13EC">
              <w:rPr>
                <w:sz w:val="23"/>
                <w:szCs w:val="23"/>
                <w:lang w:val="en-US"/>
              </w:rPr>
              <w:t>Liberty International</w:t>
            </w:r>
          </w:p>
        </w:tc>
        <w:tc>
          <w:tcPr>
            <w:tcW w:w="849" w:type="dxa"/>
            <w:shd w:val="clear" w:color="auto" w:fill="auto"/>
            <w:vAlign w:val="center"/>
          </w:tcPr>
          <w:p w14:paraId="796719A5" w14:textId="77777777" w:rsidR="00A5674E" w:rsidRPr="008D13EC" w:rsidRDefault="00FE370C">
            <w:pPr>
              <w:spacing w:line="276" w:lineRule="auto"/>
              <w:jc w:val="center"/>
              <w:rPr>
                <w:sz w:val="23"/>
                <w:szCs w:val="23"/>
                <w:lang w:val="en-US"/>
              </w:rPr>
            </w:pPr>
            <w:r w:rsidRPr="008D13EC">
              <w:rPr>
                <w:sz w:val="23"/>
                <w:szCs w:val="23"/>
                <w:lang w:val="en-US"/>
              </w:rPr>
              <w:t>72</w:t>
            </w:r>
          </w:p>
        </w:tc>
        <w:tc>
          <w:tcPr>
            <w:tcW w:w="3120" w:type="dxa"/>
            <w:tcBorders>
              <w:right w:val="single" w:sz="4" w:space="0" w:color="000000"/>
            </w:tcBorders>
            <w:shd w:val="clear" w:color="auto" w:fill="auto"/>
            <w:vAlign w:val="bottom"/>
          </w:tcPr>
          <w:p w14:paraId="034FC57B" w14:textId="77777777" w:rsidR="00A5674E" w:rsidRPr="008D13EC" w:rsidRDefault="00FE370C">
            <w:pPr>
              <w:spacing w:line="276" w:lineRule="auto"/>
              <w:rPr>
                <w:lang w:val="en-US"/>
              </w:rPr>
            </w:pPr>
            <w:r w:rsidRPr="008D13EC">
              <w:rPr>
                <w:sz w:val="23"/>
                <w:szCs w:val="23"/>
                <w:lang w:val="en-US"/>
              </w:rPr>
              <w:t>Northumbrian Water Group</w:t>
            </w:r>
          </w:p>
        </w:tc>
      </w:tr>
      <w:tr w:rsidR="00A5674E" w:rsidRPr="008D13EC" w14:paraId="710412DD" w14:textId="77777777">
        <w:trPr>
          <w:trHeight w:val="315"/>
        </w:trPr>
        <w:tc>
          <w:tcPr>
            <w:tcW w:w="708" w:type="dxa"/>
            <w:tcBorders>
              <w:left w:val="single" w:sz="4" w:space="0" w:color="000000"/>
            </w:tcBorders>
            <w:shd w:val="clear" w:color="auto" w:fill="auto"/>
            <w:vAlign w:val="center"/>
          </w:tcPr>
          <w:p w14:paraId="0F91E5C7" w14:textId="77777777" w:rsidR="00A5674E" w:rsidRPr="008D13EC" w:rsidRDefault="00FE370C">
            <w:pPr>
              <w:spacing w:line="276" w:lineRule="auto"/>
              <w:jc w:val="center"/>
              <w:rPr>
                <w:sz w:val="23"/>
                <w:szCs w:val="23"/>
                <w:lang w:val="en-US"/>
              </w:rPr>
            </w:pPr>
            <w:r w:rsidRPr="008D13EC">
              <w:rPr>
                <w:sz w:val="23"/>
                <w:szCs w:val="23"/>
                <w:lang w:val="en-US"/>
              </w:rPr>
              <w:t>36</w:t>
            </w:r>
          </w:p>
        </w:tc>
        <w:tc>
          <w:tcPr>
            <w:tcW w:w="3402" w:type="dxa"/>
            <w:shd w:val="clear" w:color="auto" w:fill="auto"/>
            <w:vAlign w:val="bottom"/>
          </w:tcPr>
          <w:p w14:paraId="6B28AFF3" w14:textId="77777777" w:rsidR="00A5674E" w:rsidRPr="008D13EC" w:rsidRDefault="00FE370C">
            <w:pPr>
              <w:spacing w:line="276" w:lineRule="auto"/>
              <w:rPr>
                <w:sz w:val="23"/>
                <w:szCs w:val="23"/>
                <w:lang w:val="en-US"/>
              </w:rPr>
            </w:pPr>
            <w:r w:rsidRPr="008D13EC">
              <w:rPr>
                <w:sz w:val="23"/>
                <w:szCs w:val="23"/>
                <w:lang w:val="en-US"/>
              </w:rPr>
              <w:t>Lloyds Banking Group</w:t>
            </w:r>
          </w:p>
        </w:tc>
        <w:tc>
          <w:tcPr>
            <w:tcW w:w="849" w:type="dxa"/>
            <w:shd w:val="clear" w:color="auto" w:fill="auto"/>
            <w:vAlign w:val="center"/>
          </w:tcPr>
          <w:p w14:paraId="12F2E103" w14:textId="77777777" w:rsidR="00A5674E" w:rsidRPr="008D13EC" w:rsidRDefault="00FE370C">
            <w:pPr>
              <w:spacing w:line="276" w:lineRule="auto"/>
              <w:jc w:val="center"/>
              <w:rPr>
                <w:sz w:val="23"/>
                <w:szCs w:val="23"/>
                <w:lang w:val="en-US"/>
              </w:rPr>
            </w:pPr>
            <w:r w:rsidRPr="008D13EC">
              <w:rPr>
                <w:sz w:val="23"/>
                <w:szCs w:val="23"/>
                <w:lang w:val="en-US"/>
              </w:rPr>
              <w:t>73</w:t>
            </w:r>
          </w:p>
        </w:tc>
        <w:tc>
          <w:tcPr>
            <w:tcW w:w="3120" w:type="dxa"/>
            <w:tcBorders>
              <w:right w:val="single" w:sz="4" w:space="0" w:color="000000"/>
            </w:tcBorders>
            <w:shd w:val="clear" w:color="auto" w:fill="auto"/>
            <w:vAlign w:val="bottom"/>
          </w:tcPr>
          <w:p w14:paraId="0AAEDA94" w14:textId="77777777" w:rsidR="00A5674E" w:rsidRPr="008D13EC" w:rsidRDefault="00FE370C">
            <w:pPr>
              <w:spacing w:line="276" w:lineRule="auto"/>
              <w:rPr>
                <w:lang w:val="en-US"/>
              </w:rPr>
            </w:pPr>
            <w:r w:rsidRPr="008D13EC">
              <w:rPr>
                <w:sz w:val="23"/>
                <w:szCs w:val="23"/>
                <w:lang w:val="en-US"/>
              </w:rPr>
              <w:t>Robert Wiseman Dairies</w:t>
            </w:r>
          </w:p>
        </w:tc>
      </w:tr>
      <w:tr w:rsidR="00A5674E" w:rsidRPr="008D13EC" w14:paraId="67B44F25" w14:textId="77777777">
        <w:trPr>
          <w:trHeight w:val="315"/>
        </w:trPr>
        <w:tc>
          <w:tcPr>
            <w:tcW w:w="708" w:type="dxa"/>
            <w:tcBorders>
              <w:left w:val="single" w:sz="4" w:space="0" w:color="000000"/>
              <w:bottom w:val="single" w:sz="4" w:space="0" w:color="000000"/>
            </w:tcBorders>
            <w:shd w:val="clear" w:color="auto" w:fill="auto"/>
            <w:vAlign w:val="center"/>
          </w:tcPr>
          <w:p w14:paraId="4454A3D8" w14:textId="77777777" w:rsidR="00A5674E" w:rsidRPr="008D13EC" w:rsidRDefault="00FE370C">
            <w:pPr>
              <w:spacing w:line="276" w:lineRule="auto"/>
              <w:jc w:val="center"/>
              <w:rPr>
                <w:sz w:val="23"/>
                <w:szCs w:val="23"/>
                <w:lang w:val="en-US"/>
              </w:rPr>
            </w:pPr>
            <w:r w:rsidRPr="008D13EC">
              <w:rPr>
                <w:sz w:val="23"/>
                <w:szCs w:val="23"/>
                <w:lang w:val="en-US"/>
              </w:rPr>
              <w:t>37</w:t>
            </w:r>
          </w:p>
        </w:tc>
        <w:tc>
          <w:tcPr>
            <w:tcW w:w="3402" w:type="dxa"/>
            <w:tcBorders>
              <w:bottom w:val="single" w:sz="4" w:space="0" w:color="000000"/>
            </w:tcBorders>
            <w:shd w:val="clear" w:color="auto" w:fill="auto"/>
            <w:vAlign w:val="bottom"/>
          </w:tcPr>
          <w:p w14:paraId="7E1E5D2C" w14:textId="77777777" w:rsidR="00A5674E" w:rsidRPr="008D13EC" w:rsidRDefault="00FE370C">
            <w:pPr>
              <w:spacing w:line="276" w:lineRule="auto"/>
              <w:rPr>
                <w:sz w:val="23"/>
                <w:szCs w:val="23"/>
                <w:lang w:val="en-US"/>
              </w:rPr>
            </w:pPr>
            <w:proofErr w:type="spellStart"/>
            <w:r w:rsidRPr="008D13EC">
              <w:rPr>
                <w:sz w:val="23"/>
                <w:szCs w:val="23"/>
                <w:lang w:val="en-US"/>
              </w:rPr>
              <w:t>Lonmin</w:t>
            </w:r>
            <w:proofErr w:type="spellEnd"/>
          </w:p>
        </w:tc>
        <w:tc>
          <w:tcPr>
            <w:tcW w:w="849" w:type="dxa"/>
            <w:tcBorders>
              <w:bottom w:val="single" w:sz="4" w:space="0" w:color="000000"/>
            </w:tcBorders>
            <w:shd w:val="clear" w:color="auto" w:fill="auto"/>
            <w:vAlign w:val="center"/>
          </w:tcPr>
          <w:p w14:paraId="6DE95AAA" w14:textId="77777777" w:rsidR="00A5674E" w:rsidRPr="008D13EC" w:rsidRDefault="00A5674E">
            <w:pPr>
              <w:spacing w:line="276" w:lineRule="auto"/>
              <w:jc w:val="center"/>
              <w:rPr>
                <w:sz w:val="23"/>
                <w:szCs w:val="23"/>
                <w:lang w:val="en-US"/>
              </w:rPr>
            </w:pPr>
          </w:p>
        </w:tc>
        <w:tc>
          <w:tcPr>
            <w:tcW w:w="3120" w:type="dxa"/>
            <w:tcBorders>
              <w:bottom w:val="single" w:sz="4" w:space="0" w:color="000000"/>
              <w:right w:val="single" w:sz="4" w:space="0" w:color="000000"/>
            </w:tcBorders>
            <w:shd w:val="clear" w:color="auto" w:fill="auto"/>
            <w:vAlign w:val="bottom"/>
          </w:tcPr>
          <w:p w14:paraId="2C482B5D" w14:textId="77777777" w:rsidR="00A5674E" w:rsidRPr="008D13EC" w:rsidRDefault="00A5674E">
            <w:pPr>
              <w:spacing w:line="276" w:lineRule="auto"/>
              <w:rPr>
                <w:sz w:val="23"/>
                <w:szCs w:val="23"/>
                <w:lang w:val="en-US"/>
              </w:rPr>
            </w:pPr>
          </w:p>
        </w:tc>
      </w:tr>
    </w:tbl>
    <w:p w14:paraId="77C6696B" w14:textId="77777777" w:rsidR="00FE66AF" w:rsidRDefault="00FE66AF" w:rsidP="00D91D29">
      <w:pPr>
        <w:pStyle w:val="Caption1"/>
        <w:rPr>
          <w:rFonts w:eastAsia="Calibri"/>
          <w:color w:val="00000A"/>
          <w:sz w:val="24"/>
          <w:szCs w:val="24"/>
          <w:lang w:val="en-US"/>
        </w:rPr>
      </w:pPr>
      <w:bookmarkStart w:id="7" w:name="_Toc320561141"/>
      <w:bookmarkStart w:id="8" w:name="_Toc305772611"/>
    </w:p>
    <w:p w14:paraId="2D942FAD" w14:textId="4DF17FFA" w:rsidR="00D91D29" w:rsidRDefault="00FE370C" w:rsidP="00D91D29">
      <w:pPr>
        <w:pStyle w:val="Caption1"/>
        <w:rPr>
          <w:color w:val="00000A"/>
          <w:sz w:val="24"/>
          <w:szCs w:val="24"/>
          <w:lang w:val="en-US"/>
        </w:rPr>
      </w:pPr>
      <w:r w:rsidRPr="008D13EC">
        <w:rPr>
          <w:rFonts w:eastAsia="Calibri"/>
          <w:color w:val="00000A"/>
          <w:sz w:val="24"/>
          <w:szCs w:val="24"/>
          <w:lang w:val="en-US"/>
        </w:rPr>
        <w:t xml:space="preserve">Appendix B: </w:t>
      </w:r>
      <w:r w:rsidR="00D91D29">
        <w:rPr>
          <w:color w:val="00000A"/>
          <w:sz w:val="24"/>
          <w:szCs w:val="24"/>
          <w:lang w:val="en-US"/>
        </w:rPr>
        <w:t xml:space="preserve">Decision </w:t>
      </w:r>
      <w:r w:rsidR="003602A4">
        <w:rPr>
          <w:color w:val="00000A"/>
          <w:sz w:val="24"/>
          <w:szCs w:val="24"/>
          <w:lang w:val="en-US"/>
        </w:rPr>
        <w:t>R</w:t>
      </w:r>
      <w:r w:rsidR="00D91D29">
        <w:rPr>
          <w:color w:val="00000A"/>
          <w:sz w:val="24"/>
          <w:szCs w:val="24"/>
          <w:lang w:val="en-US"/>
        </w:rPr>
        <w:t xml:space="preserve">ule and </w:t>
      </w:r>
      <w:r w:rsidR="00D91D29" w:rsidRPr="00104E18">
        <w:rPr>
          <w:color w:val="auto"/>
          <w:sz w:val="24"/>
          <w:szCs w:val="24"/>
        </w:rPr>
        <w:t xml:space="preserve">Classification Scheme for Content </w:t>
      </w:r>
      <w:r w:rsidR="00D91D29">
        <w:rPr>
          <w:color w:val="auto"/>
          <w:sz w:val="24"/>
          <w:szCs w:val="24"/>
        </w:rPr>
        <w:t>a</w:t>
      </w:r>
      <w:r w:rsidR="00D91D29" w:rsidRPr="00104E18">
        <w:rPr>
          <w:color w:val="auto"/>
          <w:sz w:val="24"/>
          <w:szCs w:val="24"/>
        </w:rPr>
        <w:t>nalysis</w:t>
      </w:r>
      <w:r w:rsidR="00D91D29" w:rsidRPr="008D13EC">
        <w:rPr>
          <w:color w:val="00000A"/>
          <w:sz w:val="24"/>
          <w:szCs w:val="24"/>
          <w:lang w:val="en-US"/>
        </w:rPr>
        <w:t xml:space="preserve"> </w:t>
      </w:r>
      <w:bookmarkEnd w:id="7"/>
      <w:bookmarkEnd w:id="8"/>
    </w:p>
    <w:tbl>
      <w:tblPr>
        <w:tblStyle w:val="LightList-Accent13"/>
        <w:tblW w:w="8080" w:type="dxa"/>
        <w:tblInd w:w="-23" w:type="dxa"/>
        <w:tblBorders>
          <w:top w:val="single" w:sz="18" w:space="0" w:color="5B9BD5" w:themeColor="accent1"/>
          <w:left w:val="single" w:sz="18" w:space="0" w:color="5B9BD5" w:themeColor="accent1"/>
          <w:bottom w:val="single" w:sz="18" w:space="0" w:color="5B9BD5" w:themeColor="accent1"/>
          <w:right w:val="single" w:sz="18" w:space="0" w:color="5B9BD5" w:themeColor="accent1"/>
        </w:tblBorders>
        <w:tblLayout w:type="fixed"/>
        <w:tblLook w:val="06A0" w:firstRow="1" w:lastRow="0" w:firstColumn="1" w:lastColumn="0" w:noHBand="1" w:noVBand="1"/>
      </w:tblPr>
      <w:tblGrid>
        <w:gridCol w:w="649"/>
        <w:gridCol w:w="131"/>
        <w:gridCol w:w="7300"/>
      </w:tblGrid>
      <w:tr w:rsidR="00D91D29" w:rsidRPr="0052798B" w14:paraId="712574F0" w14:textId="77777777" w:rsidTr="008D15C1">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780" w:type="dxa"/>
            <w:gridSpan w:val="2"/>
            <w:tcBorders>
              <w:top w:val="single" w:sz="18" w:space="0" w:color="5B9BD5" w:themeColor="accent1"/>
              <w:bottom w:val="single" w:sz="4" w:space="0" w:color="auto"/>
            </w:tcBorders>
            <w:shd w:val="clear" w:color="auto" w:fill="D5DCE4" w:themeFill="text2" w:themeFillTint="33"/>
          </w:tcPr>
          <w:p w14:paraId="28F5C1C9" w14:textId="77777777" w:rsidR="00D91D29" w:rsidRPr="0052798B" w:rsidRDefault="00D91D29" w:rsidP="00A178A1">
            <w:pPr>
              <w:autoSpaceDE w:val="0"/>
              <w:autoSpaceDN w:val="0"/>
              <w:adjustRightInd w:val="0"/>
              <w:rPr>
                <w:color w:val="auto"/>
                <w:szCs w:val="21"/>
              </w:rPr>
            </w:pPr>
            <w:r w:rsidRPr="0052798B">
              <w:rPr>
                <w:color w:val="auto"/>
                <w:szCs w:val="21"/>
              </w:rPr>
              <w:t>No.</w:t>
            </w:r>
          </w:p>
        </w:tc>
        <w:tc>
          <w:tcPr>
            <w:tcW w:w="7300" w:type="dxa"/>
            <w:tcBorders>
              <w:top w:val="single" w:sz="18" w:space="0" w:color="5B9BD5" w:themeColor="accent1"/>
              <w:bottom w:val="single" w:sz="4" w:space="0" w:color="auto"/>
            </w:tcBorders>
            <w:shd w:val="clear" w:color="auto" w:fill="D5DCE4" w:themeFill="text2" w:themeFillTint="33"/>
          </w:tcPr>
          <w:p w14:paraId="77180FDC" w14:textId="77777777" w:rsidR="00D91D29" w:rsidRPr="0052798B" w:rsidRDefault="00D91D29" w:rsidP="00A178A1">
            <w:pPr>
              <w:autoSpaceDE w:val="0"/>
              <w:autoSpaceDN w:val="0"/>
              <w:adjustRightInd w:val="0"/>
              <w:cnfStyle w:val="100000000000" w:firstRow="1" w:lastRow="0" w:firstColumn="0" w:lastColumn="0" w:oddVBand="0" w:evenVBand="0" w:oddHBand="0" w:evenHBand="0" w:firstRowFirstColumn="0" w:firstRowLastColumn="0" w:lastRowFirstColumn="0" w:lastRowLastColumn="0"/>
              <w:rPr>
                <w:color w:val="auto"/>
                <w:szCs w:val="21"/>
              </w:rPr>
            </w:pPr>
            <w:r w:rsidRPr="0052798B">
              <w:rPr>
                <w:color w:val="auto"/>
                <w:szCs w:val="21"/>
              </w:rPr>
              <w:t xml:space="preserve">Description of Information for content analysis </w:t>
            </w:r>
          </w:p>
        </w:tc>
      </w:tr>
      <w:tr w:rsidR="00D91D29" w:rsidRPr="0052798B" w14:paraId="1F961171" w14:textId="77777777" w:rsidTr="008D15C1">
        <w:trPr>
          <w:trHeight w:val="357"/>
        </w:trPr>
        <w:tc>
          <w:tcPr>
            <w:cnfStyle w:val="001000000000" w:firstRow="0" w:lastRow="0" w:firstColumn="1" w:lastColumn="0" w:oddVBand="0" w:evenVBand="0" w:oddHBand="0" w:evenHBand="0" w:firstRowFirstColumn="0" w:firstRowLastColumn="0" w:lastRowFirstColumn="0" w:lastRowLastColumn="0"/>
            <w:tcW w:w="780" w:type="dxa"/>
            <w:gridSpan w:val="2"/>
            <w:tcBorders>
              <w:top w:val="single" w:sz="4" w:space="0" w:color="auto"/>
            </w:tcBorders>
          </w:tcPr>
          <w:p w14:paraId="45040B81" w14:textId="77777777" w:rsidR="00D91D29" w:rsidRPr="00350DF5" w:rsidRDefault="00D91D29" w:rsidP="008E3C14">
            <w:pPr>
              <w:rPr>
                <w:sz w:val="22"/>
                <w:szCs w:val="22"/>
              </w:rPr>
            </w:pPr>
            <w:r w:rsidRPr="00350DF5">
              <w:rPr>
                <w:sz w:val="22"/>
                <w:szCs w:val="22"/>
              </w:rPr>
              <w:t>1.</w:t>
            </w:r>
          </w:p>
        </w:tc>
        <w:tc>
          <w:tcPr>
            <w:tcW w:w="7300" w:type="dxa"/>
            <w:tcBorders>
              <w:top w:val="single" w:sz="4" w:space="0" w:color="auto"/>
            </w:tcBorders>
          </w:tcPr>
          <w:p w14:paraId="473A387E" w14:textId="77777777" w:rsidR="00D91D29" w:rsidRPr="00350DF5" w:rsidRDefault="00D91D29" w:rsidP="008E3C14">
            <w:pPr>
              <w:cnfStyle w:val="000000000000" w:firstRow="0" w:lastRow="0" w:firstColumn="0" w:lastColumn="0" w:oddVBand="0" w:evenVBand="0" w:oddHBand="0" w:evenHBand="0" w:firstRowFirstColumn="0" w:firstRowLastColumn="0" w:lastRowFirstColumn="0" w:lastRowLastColumn="0"/>
              <w:rPr>
                <w:b/>
                <w:sz w:val="22"/>
                <w:szCs w:val="22"/>
              </w:rPr>
            </w:pPr>
            <w:r w:rsidRPr="00350DF5">
              <w:rPr>
                <w:b/>
                <w:sz w:val="22"/>
                <w:szCs w:val="22"/>
              </w:rPr>
              <w:t>Company name.</w:t>
            </w:r>
          </w:p>
        </w:tc>
      </w:tr>
      <w:tr w:rsidR="00D91D29" w:rsidRPr="0052798B" w14:paraId="5A302FC9" w14:textId="77777777" w:rsidTr="008D15C1">
        <w:trPr>
          <w:trHeight w:val="361"/>
        </w:trPr>
        <w:tc>
          <w:tcPr>
            <w:cnfStyle w:val="001000000000" w:firstRow="0" w:lastRow="0" w:firstColumn="1" w:lastColumn="0" w:oddVBand="0" w:evenVBand="0" w:oddHBand="0" w:evenHBand="0" w:firstRowFirstColumn="0" w:firstRowLastColumn="0" w:lastRowFirstColumn="0" w:lastRowLastColumn="0"/>
            <w:tcW w:w="780" w:type="dxa"/>
            <w:gridSpan w:val="2"/>
          </w:tcPr>
          <w:p w14:paraId="5B27E375" w14:textId="77777777" w:rsidR="00D91D29" w:rsidRPr="00350DF5" w:rsidRDefault="00D91D29" w:rsidP="008E3C14">
            <w:pPr>
              <w:autoSpaceDE w:val="0"/>
              <w:autoSpaceDN w:val="0"/>
              <w:adjustRightInd w:val="0"/>
              <w:rPr>
                <w:sz w:val="22"/>
                <w:szCs w:val="22"/>
              </w:rPr>
            </w:pPr>
            <w:r w:rsidRPr="00350DF5">
              <w:rPr>
                <w:sz w:val="22"/>
                <w:szCs w:val="22"/>
              </w:rPr>
              <w:t>2.</w:t>
            </w:r>
          </w:p>
        </w:tc>
        <w:tc>
          <w:tcPr>
            <w:tcW w:w="7300" w:type="dxa"/>
          </w:tcPr>
          <w:p w14:paraId="244DDD51" w14:textId="77777777" w:rsidR="00D91D29" w:rsidRPr="00350DF5" w:rsidRDefault="00D91D29" w:rsidP="008E3C14">
            <w:pPr>
              <w:cnfStyle w:val="000000000000" w:firstRow="0" w:lastRow="0" w:firstColumn="0" w:lastColumn="0" w:oddVBand="0" w:evenVBand="0" w:oddHBand="0" w:evenHBand="0" w:firstRowFirstColumn="0" w:firstRowLastColumn="0" w:lastRowFirstColumn="0" w:lastRowLastColumn="0"/>
              <w:rPr>
                <w:b/>
                <w:sz w:val="22"/>
                <w:szCs w:val="22"/>
              </w:rPr>
            </w:pPr>
            <w:r w:rsidRPr="00350DF5">
              <w:rPr>
                <w:b/>
                <w:sz w:val="22"/>
                <w:szCs w:val="22"/>
              </w:rPr>
              <w:t>Year of report.</w:t>
            </w:r>
          </w:p>
        </w:tc>
      </w:tr>
      <w:tr w:rsidR="00D91D29" w:rsidRPr="0052798B" w14:paraId="0CA1BE1A" w14:textId="77777777" w:rsidTr="008D15C1">
        <w:trPr>
          <w:trHeight w:val="256"/>
        </w:trPr>
        <w:tc>
          <w:tcPr>
            <w:cnfStyle w:val="001000000000" w:firstRow="0" w:lastRow="0" w:firstColumn="1" w:lastColumn="0" w:oddVBand="0" w:evenVBand="0" w:oddHBand="0" w:evenHBand="0" w:firstRowFirstColumn="0" w:firstRowLastColumn="0" w:lastRowFirstColumn="0" w:lastRowLastColumn="0"/>
            <w:tcW w:w="780" w:type="dxa"/>
            <w:gridSpan w:val="2"/>
          </w:tcPr>
          <w:p w14:paraId="05A6172D" w14:textId="77777777" w:rsidR="00D91D29" w:rsidRPr="00350DF5" w:rsidRDefault="00D91D29" w:rsidP="008E3C14">
            <w:pPr>
              <w:autoSpaceDE w:val="0"/>
              <w:autoSpaceDN w:val="0"/>
              <w:adjustRightInd w:val="0"/>
              <w:rPr>
                <w:sz w:val="22"/>
                <w:szCs w:val="22"/>
              </w:rPr>
            </w:pPr>
            <w:r w:rsidRPr="00350DF5">
              <w:rPr>
                <w:sz w:val="22"/>
                <w:szCs w:val="22"/>
              </w:rPr>
              <w:t>3.</w:t>
            </w:r>
          </w:p>
        </w:tc>
        <w:tc>
          <w:tcPr>
            <w:tcW w:w="7300" w:type="dxa"/>
          </w:tcPr>
          <w:p w14:paraId="4FD3D511" w14:textId="77777777" w:rsidR="00D91D29" w:rsidRPr="00350DF5" w:rsidRDefault="00D91D29" w:rsidP="008E3C14">
            <w:pPr>
              <w:cnfStyle w:val="000000000000" w:firstRow="0" w:lastRow="0" w:firstColumn="0" w:lastColumn="0" w:oddVBand="0" w:evenVBand="0" w:oddHBand="0" w:evenHBand="0" w:firstRowFirstColumn="0" w:firstRowLastColumn="0" w:lastRowFirstColumn="0" w:lastRowLastColumn="0"/>
              <w:rPr>
                <w:b/>
                <w:sz w:val="22"/>
                <w:szCs w:val="22"/>
              </w:rPr>
            </w:pPr>
            <w:r w:rsidRPr="00350DF5">
              <w:rPr>
                <w:b/>
                <w:sz w:val="22"/>
                <w:szCs w:val="22"/>
              </w:rPr>
              <w:t>Quality of community disclosure</w:t>
            </w:r>
          </w:p>
        </w:tc>
      </w:tr>
      <w:tr w:rsidR="00D91D29" w:rsidRPr="0052798B" w14:paraId="28A3F68D" w14:textId="77777777" w:rsidTr="008D15C1">
        <w:trPr>
          <w:trHeight w:val="256"/>
        </w:trPr>
        <w:tc>
          <w:tcPr>
            <w:cnfStyle w:val="001000000000" w:firstRow="0" w:lastRow="0" w:firstColumn="1" w:lastColumn="0" w:oddVBand="0" w:evenVBand="0" w:oddHBand="0" w:evenHBand="0" w:firstRowFirstColumn="0" w:firstRowLastColumn="0" w:lastRowFirstColumn="0" w:lastRowLastColumn="0"/>
            <w:tcW w:w="780" w:type="dxa"/>
            <w:gridSpan w:val="2"/>
          </w:tcPr>
          <w:p w14:paraId="3406A584" w14:textId="77777777" w:rsidR="00D91D29" w:rsidRPr="00E448BD" w:rsidRDefault="00D91D29" w:rsidP="008E3C14">
            <w:pPr>
              <w:autoSpaceDE w:val="0"/>
              <w:autoSpaceDN w:val="0"/>
              <w:adjustRightInd w:val="0"/>
              <w:rPr>
                <w:b w:val="0"/>
                <w:sz w:val="21"/>
                <w:szCs w:val="21"/>
              </w:rPr>
            </w:pPr>
            <w:r w:rsidRPr="00E448BD">
              <w:rPr>
                <w:sz w:val="21"/>
                <w:szCs w:val="21"/>
              </w:rPr>
              <w:t xml:space="preserve">     a)</w:t>
            </w:r>
          </w:p>
        </w:tc>
        <w:tc>
          <w:tcPr>
            <w:tcW w:w="7300" w:type="dxa"/>
          </w:tcPr>
          <w:p w14:paraId="7E088A06" w14:textId="5C0C5BAD" w:rsidR="00EE58DC" w:rsidRPr="00E448BD" w:rsidRDefault="00D91D29" w:rsidP="008E3C14">
            <w:pPr>
              <w:cnfStyle w:val="000000000000" w:firstRow="0" w:lastRow="0" w:firstColumn="0" w:lastColumn="0" w:oddVBand="0" w:evenVBand="0" w:oddHBand="0" w:evenHBand="0" w:firstRowFirstColumn="0" w:firstRowLastColumn="0" w:lastRowFirstColumn="0" w:lastRowLastColumn="0"/>
              <w:rPr>
                <w:sz w:val="21"/>
                <w:szCs w:val="21"/>
              </w:rPr>
            </w:pPr>
            <w:r w:rsidRPr="00E448BD">
              <w:rPr>
                <w:b/>
                <w:sz w:val="21"/>
                <w:szCs w:val="21"/>
              </w:rPr>
              <w:t>Specific</w:t>
            </w:r>
            <w:r w:rsidRPr="00E448BD">
              <w:rPr>
                <w:sz w:val="21"/>
                <w:szCs w:val="21"/>
              </w:rPr>
              <w:t xml:space="preserve"> mention of any item of community activity</w:t>
            </w:r>
            <w:r w:rsidR="00E24F71" w:rsidRPr="00E448BD">
              <w:rPr>
                <w:sz w:val="21"/>
                <w:szCs w:val="21"/>
              </w:rPr>
              <w:t xml:space="preserve"> as described below:</w:t>
            </w:r>
            <w:r w:rsidRPr="00E448BD">
              <w:rPr>
                <w:sz w:val="21"/>
                <w:szCs w:val="21"/>
              </w:rPr>
              <w:t xml:space="preserve"> </w:t>
            </w:r>
          </w:p>
        </w:tc>
      </w:tr>
      <w:tr w:rsidR="00EE58DC" w:rsidRPr="0052798B" w14:paraId="6D51AC15" w14:textId="77777777" w:rsidTr="008D15C1">
        <w:trPr>
          <w:trHeight w:val="256"/>
        </w:trPr>
        <w:tc>
          <w:tcPr>
            <w:cnfStyle w:val="001000000000" w:firstRow="0" w:lastRow="0" w:firstColumn="1" w:lastColumn="0" w:oddVBand="0" w:evenVBand="0" w:oddHBand="0" w:evenHBand="0" w:firstRowFirstColumn="0" w:firstRowLastColumn="0" w:lastRowFirstColumn="0" w:lastRowLastColumn="0"/>
            <w:tcW w:w="780" w:type="dxa"/>
            <w:gridSpan w:val="2"/>
          </w:tcPr>
          <w:p w14:paraId="35364821" w14:textId="77777777" w:rsidR="00EE58DC" w:rsidRPr="00350DF5" w:rsidRDefault="00EE58DC" w:rsidP="008E3C14">
            <w:pPr>
              <w:autoSpaceDE w:val="0"/>
              <w:autoSpaceDN w:val="0"/>
              <w:adjustRightInd w:val="0"/>
              <w:rPr>
                <w:sz w:val="20"/>
                <w:szCs w:val="20"/>
              </w:rPr>
            </w:pPr>
          </w:p>
        </w:tc>
        <w:tc>
          <w:tcPr>
            <w:tcW w:w="7300" w:type="dxa"/>
          </w:tcPr>
          <w:p w14:paraId="7E79E9B5" w14:textId="5AE8C27B" w:rsidR="00EE58DC" w:rsidRPr="00350DF5" w:rsidRDefault="00E911EB" w:rsidP="008E3C14">
            <w:pPr>
              <w:jc w:val="both"/>
              <w:cnfStyle w:val="000000000000" w:firstRow="0" w:lastRow="0" w:firstColumn="0" w:lastColumn="0" w:oddVBand="0" w:evenVBand="0" w:oddHBand="0" w:evenHBand="0" w:firstRowFirstColumn="0" w:firstRowLastColumn="0" w:lastRowFirstColumn="0" w:lastRowLastColumn="0"/>
              <w:rPr>
                <w:b/>
                <w:bCs/>
                <w:sz w:val="20"/>
                <w:szCs w:val="20"/>
                <w:lang w:eastAsia="en-GB"/>
              </w:rPr>
            </w:pPr>
            <w:r>
              <w:rPr>
                <w:b/>
                <w:bCs/>
                <w:sz w:val="20"/>
                <w:szCs w:val="20"/>
                <w:lang w:eastAsia="en-GB"/>
              </w:rPr>
              <w:t xml:space="preserve">  </w:t>
            </w:r>
            <w:r w:rsidR="00EE58DC" w:rsidRPr="00350DF5">
              <w:rPr>
                <w:b/>
                <w:bCs/>
                <w:sz w:val="20"/>
                <w:szCs w:val="20"/>
                <w:lang w:eastAsia="en-GB"/>
              </w:rPr>
              <w:t>Community projects:</w:t>
            </w:r>
          </w:p>
          <w:p w14:paraId="2607CF26" w14:textId="77777777" w:rsidR="00EE58DC" w:rsidRPr="00350DF5" w:rsidRDefault="00EE58DC" w:rsidP="008E3C14">
            <w:pPr>
              <w:pStyle w:val="ListParagraph"/>
              <w:numPr>
                <w:ilvl w:val="0"/>
                <w:numId w:val="7"/>
              </w:numPr>
              <w:suppressAutoHyphens w:val="0"/>
              <w:contextualSpacing/>
              <w:cnfStyle w:val="000000000000" w:firstRow="0" w:lastRow="0" w:firstColumn="0" w:lastColumn="0" w:oddVBand="0" w:evenVBand="0" w:oddHBand="0" w:evenHBand="0" w:firstRowFirstColumn="0" w:firstRowLastColumn="0" w:lastRowFirstColumn="0" w:lastRowLastColumn="0"/>
              <w:rPr>
                <w:bCs/>
                <w:sz w:val="20"/>
              </w:rPr>
            </w:pPr>
            <w:r w:rsidRPr="00350DF5">
              <w:rPr>
                <w:sz w:val="20"/>
              </w:rPr>
              <w:t>Donations of cash, products or employee services to support established community activities, events and organisations</w:t>
            </w:r>
          </w:p>
          <w:p w14:paraId="14A2AB2A" w14:textId="77777777" w:rsidR="00EE58DC" w:rsidRPr="00350DF5" w:rsidRDefault="00EE58DC" w:rsidP="008E3C14">
            <w:pPr>
              <w:pStyle w:val="ListParagraph"/>
              <w:numPr>
                <w:ilvl w:val="0"/>
                <w:numId w:val="7"/>
              </w:numPr>
              <w:suppressAutoHyphens w:val="0"/>
              <w:contextualSpacing/>
              <w:cnfStyle w:val="000000000000" w:firstRow="0" w:lastRow="0" w:firstColumn="0" w:lastColumn="0" w:oddVBand="0" w:evenVBand="0" w:oddHBand="0" w:evenHBand="0" w:firstRowFirstColumn="0" w:firstRowLastColumn="0" w:lastRowFirstColumn="0" w:lastRowLastColumn="0"/>
              <w:rPr>
                <w:bCs/>
                <w:sz w:val="20"/>
              </w:rPr>
            </w:pPr>
            <w:r w:rsidRPr="00350DF5">
              <w:rPr>
                <w:sz w:val="20"/>
              </w:rPr>
              <w:lastRenderedPageBreak/>
              <w:t>Donation of premises or office equipment for community programmes</w:t>
            </w:r>
          </w:p>
          <w:p w14:paraId="3F8D333D" w14:textId="77777777" w:rsidR="00EE58DC" w:rsidRPr="00350DF5" w:rsidRDefault="00EE58DC" w:rsidP="008E3C14">
            <w:pPr>
              <w:pStyle w:val="ListParagraph"/>
              <w:numPr>
                <w:ilvl w:val="0"/>
                <w:numId w:val="7"/>
              </w:numPr>
              <w:suppressAutoHyphens w:val="0"/>
              <w:contextualSpacing/>
              <w:cnfStyle w:val="000000000000" w:firstRow="0" w:lastRow="0" w:firstColumn="0" w:lastColumn="0" w:oddVBand="0" w:evenVBand="0" w:oddHBand="0" w:evenHBand="0" w:firstRowFirstColumn="0" w:firstRowLastColumn="0" w:lastRowFirstColumn="0" w:lastRowLastColumn="0"/>
              <w:rPr>
                <w:bCs/>
                <w:sz w:val="20"/>
              </w:rPr>
            </w:pPr>
            <w:r w:rsidRPr="00350DF5">
              <w:rPr>
                <w:sz w:val="20"/>
              </w:rPr>
              <w:t>Developing and patronising local suppliers of goods and services</w:t>
            </w:r>
          </w:p>
          <w:p w14:paraId="26F381DB" w14:textId="77777777" w:rsidR="00EE58DC" w:rsidRPr="00350DF5" w:rsidRDefault="00EE58DC" w:rsidP="008E3C14">
            <w:pPr>
              <w:pStyle w:val="ListParagraph"/>
              <w:numPr>
                <w:ilvl w:val="0"/>
                <w:numId w:val="7"/>
              </w:numPr>
              <w:suppressAutoHyphens w:val="0"/>
              <w:contextualSpacing/>
              <w:cnfStyle w:val="000000000000" w:firstRow="0" w:lastRow="0" w:firstColumn="0" w:lastColumn="0" w:oddVBand="0" w:evenVBand="0" w:oddHBand="0" w:evenHBand="0" w:firstRowFirstColumn="0" w:firstRowLastColumn="0" w:lastRowFirstColumn="0" w:lastRowLastColumn="0"/>
              <w:rPr>
                <w:bCs/>
                <w:sz w:val="20"/>
              </w:rPr>
            </w:pPr>
            <w:r w:rsidRPr="00350DF5">
              <w:rPr>
                <w:sz w:val="20"/>
              </w:rPr>
              <w:t>Provision of local employment and infrastructures</w:t>
            </w:r>
          </w:p>
          <w:p w14:paraId="66C9681A" w14:textId="77777777" w:rsidR="00EE58DC" w:rsidRPr="00350DF5" w:rsidRDefault="00EE58DC" w:rsidP="008E3C14">
            <w:pPr>
              <w:pStyle w:val="ListParagraph"/>
              <w:numPr>
                <w:ilvl w:val="0"/>
                <w:numId w:val="7"/>
              </w:numPr>
              <w:suppressAutoHyphens w:val="0"/>
              <w:contextualSpacing/>
              <w:cnfStyle w:val="000000000000" w:firstRow="0" w:lastRow="0" w:firstColumn="0" w:lastColumn="0" w:oddVBand="0" w:evenVBand="0" w:oddHBand="0" w:evenHBand="0" w:firstRowFirstColumn="0" w:firstRowLastColumn="0" w:lastRowFirstColumn="0" w:lastRowLastColumn="0"/>
              <w:rPr>
                <w:bCs/>
                <w:sz w:val="20"/>
              </w:rPr>
            </w:pPr>
            <w:r w:rsidRPr="00350DF5">
              <w:rPr>
                <w:sz w:val="20"/>
              </w:rPr>
              <w:t>Provision of summer or part-time employment for students</w:t>
            </w:r>
          </w:p>
          <w:p w14:paraId="57AB9A77" w14:textId="77777777" w:rsidR="00EE58DC" w:rsidRPr="00350DF5" w:rsidRDefault="00EE58DC" w:rsidP="008E3C14">
            <w:pPr>
              <w:pStyle w:val="ListParagraph"/>
              <w:numPr>
                <w:ilvl w:val="0"/>
                <w:numId w:val="7"/>
              </w:numPr>
              <w:suppressAutoHyphens w:val="0"/>
              <w:contextualSpacing/>
              <w:cnfStyle w:val="000000000000" w:firstRow="0" w:lastRow="0" w:firstColumn="0" w:lastColumn="0" w:oddVBand="0" w:evenVBand="0" w:oddHBand="0" w:evenHBand="0" w:firstRowFirstColumn="0" w:firstRowLastColumn="0" w:lastRowFirstColumn="0" w:lastRowLastColumn="0"/>
              <w:rPr>
                <w:bCs/>
                <w:sz w:val="20"/>
              </w:rPr>
            </w:pPr>
            <w:r w:rsidRPr="00350DF5">
              <w:rPr>
                <w:sz w:val="20"/>
              </w:rPr>
              <w:t>Provision of livelihood and income generation schemes for local residence e.g. micro-credit.</w:t>
            </w:r>
          </w:p>
        </w:tc>
      </w:tr>
      <w:tr w:rsidR="00EE58DC" w:rsidRPr="0052798B" w14:paraId="565E57DA" w14:textId="77777777" w:rsidTr="008D15C1">
        <w:trPr>
          <w:trHeight w:val="256"/>
        </w:trPr>
        <w:tc>
          <w:tcPr>
            <w:cnfStyle w:val="001000000000" w:firstRow="0" w:lastRow="0" w:firstColumn="1" w:lastColumn="0" w:oddVBand="0" w:evenVBand="0" w:oddHBand="0" w:evenHBand="0" w:firstRowFirstColumn="0" w:firstRowLastColumn="0" w:lastRowFirstColumn="0" w:lastRowLastColumn="0"/>
            <w:tcW w:w="780" w:type="dxa"/>
            <w:gridSpan w:val="2"/>
          </w:tcPr>
          <w:p w14:paraId="71438E33" w14:textId="77777777" w:rsidR="00EE58DC" w:rsidRPr="00350DF5" w:rsidRDefault="00EE58DC" w:rsidP="008E3C14">
            <w:pPr>
              <w:autoSpaceDE w:val="0"/>
              <w:autoSpaceDN w:val="0"/>
              <w:adjustRightInd w:val="0"/>
              <w:rPr>
                <w:b w:val="0"/>
                <w:sz w:val="20"/>
                <w:szCs w:val="20"/>
              </w:rPr>
            </w:pPr>
            <w:r w:rsidRPr="00350DF5">
              <w:rPr>
                <w:sz w:val="20"/>
                <w:szCs w:val="20"/>
              </w:rPr>
              <w:lastRenderedPageBreak/>
              <w:t xml:space="preserve">    </w:t>
            </w:r>
          </w:p>
        </w:tc>
        <w:tc>
          <w:tcPr>
            <w:tcW w:w="7300" w:type="dxa"/>
          </w:tcPr>
          <w:p w14:paraId="47B31C02" w14:textId="11E02C91" w:rsidR="00EE58DC" w:rsidRPr="00350DF5" w:rsidRDefault="00E911EB" w:rsidP="008E3C14">
            <w:pPr>
              <w:jc w:val="both"/>
              <w:cnfStyle w:val="000000000000" w:firstRow="0" w:lastRow="0" w:firstColumn="0" w:lastColumn="0" w:oddVBand="0" w:evenVBand="0" w:oddHBand="0" w:evenHBand="0" w:firstRowFirstColumn="0" w:firstRowLastColumn="0" w:lastRowFirstColumn="0" w:lastRowLastColumn="0"/>
              <w:rPr>
                <w:b/>
                <w:bCs/>
                <w:sz w:val="20"/>
                <w:szCs w:val="20"/>
                <w:lang w:eastAsia="en-GB"/>
              </w:rPr>
            </w:pPr>
            <w:r>
              <w:rPr>
                <w:b/>
                <w:bCs/>
                <w:sz w:val="20"/>
                <w:szCs w:val="20"/>
                <w:lang w:eastAsia="en-GB"/>
              </w:rPr>
              <w:t xml:space="preserve">  </w:t>
            </w:r>
            <w:r w:rsidR="00EE58DC" w:rsidRPr="00350DF5">
              <w:rPr>
                <w:b/>
                <w:bCs/>
                <w:sz w:val="20"/>
                <w:szCs w:val="20"/>
                <w:lang w:eastAsia="en-GB"/>
              </w:rPr>
              <w:t>Health and related activities:</w:t>
            </w:r>
          </w:p>
          <w:p w14:paraId="3D465EB4" w14:textId="77777777" w:rsidR="00EE58DC" w:rsidRPr="00350DF5" w:rsidRDefault="00EE58DC" w:rsidP="008E3C14">
            <w:pPr>
              <w:pStyle w:val="ListParagraph"/>
              <w:numPr>
                <w:ilvl w:val="0"/>
                <w:numId w:val="7"/>
              </w:numPr>
              <w:suppressAutoHyphens w:val="0"/>
              <w:contextualSpacing/>
              <w:cnfStyle w:val="000000000000" w:firstRow="0" w:lastRow="0" w:firstColumn="0" w:lastColumn="0" w:oddVBand="0" w:evenVBand="0" w:oddHBand="0" w:evenHBand="0" w:firstRowFirstColumn="0" w:firstRowLastColumn="0" w:lastRowFirstColumn="0" w:lastRowLastColumn="0"/>
              <w:rPr>
                <w:bCs/>
                <w:sz w:val="20"/>
              </w:rPr>
            </w:pPr>
            <w:r w:rsidRPr="00350DF5">
              <w:rPr>
                <w:sz w:val="20"/>
              </w:rPr>
              <w:t>Sponsoring public health projects</w:t>
            </w:r>
          </w:p>
          <w:p w14:paraId="4FAC0165" w14:textId="77777777" w:rsidR="00EE58DC" w:rsidRPr="00350DF5" w:rsidRDefault="00EE58DC" w:rsidP="008E3C14">
            <w:pPr>
              <w:pStyle w:val="ListParagraph"/>
              <w:numPr>
                <w:ilvl w:val="0"/>
                <w:numId w:val="7"/>
              </w:numPr>
              <w:suppressAutoHyphens w:val="0"/>
              <w:contextualSpacing/>
              <w:cnfStyle w:val="000000000000" w:firstRow="0" w:lastRow="0" w:firstColumn="0" w:lastColumn="0" w:oddVBand="0" w:evenVBand="0" w:oddHBand="0" w:evenHBand="0" w:firstRowFirstColumn="0" w:firstRowLastColumn="0" w:lastRowFirstColumn="0" w:lastRowLastColumn="0"/>
              <w:rPr>
                <w:bCs/>
                <w:sz w:val="20"/>
              </w:rPr>
            </w:pPr>
            <w:r w:rsidRPr="00350DF5">
              <w:rPr>
                <w:sz w:val="20"/>
              </w:rPr>
              <w:t>Aiding medical research</w:t>
            </w:r>
          </w:p>
          <w:p w14:paraId="14BE7003" w14:textId="77777777" w:rsidR="00EE58DC" w:rsidRPr="00350DF5" w:rsidRDefault="00EE58DC" w:rsidP="008E3C14">
            <w:pPr>
              <w:pStyle w:val="ListParagraph"/>
              <w:numPr>
                <w:ilvl w:val="0"/>
                <w:numId w:val="7"/>
              </w:numPr>
              <w:suppressAutoHyphens w:val="0"/>
              <w:contextualSpacing/>
              <w:cnfStyle w:val="000000000000" w:firstRow="0" w:lastRow="0" w:firstColumn="0" w:lastColumn="0" w:oddVBand="0" w:evenVBand="0" w:oddHBand="0" w:evenHBand="0" w:firstRowFirstColumn="0" w:firstRowLastColumn="0" w:lastRowFirstColumn="0" w:lastRowLastColumn="0"/>
              <w:rPr>
                <w:bCs/>
                <w:sz w:val="20"/>
              </w:rPr>
            </w:pPr>
            <w:r w:rsidRPr="00350DF5">
              <w:rPr>
                <w:sz w:val="20"/>
              </w:rPr>
              <w:t>Provision of health facilities</w:t>
            </w:r>
          </w:p>
          <w:p w14:paraId="68DBE147" w14:textId="77777777" w:rsidR="00EE58DC" w:rsidRPr="00350DF5" w:rsidRDefault="00EE58DC" w:rsidP="008E3C14">
            <w:pPr>
              <w:pStyle w:val="ListParagraph"/>
              <w:numPr>
                <w:ilvl w:val="0"/>
                <w:numId w:val="7"/>
              </w:numPr>
              <w:suppressAutoHyphens w:val="0"/>
              <w:contextualSpacing/>
              <w:cnfStyle w:val="000000000000" w:firstRow="0" w:lastRow="0" w:firstColumn="0" w:lastColumn="0" w:oddVBand="0" w:evenVBand="0" w:oddHBand="0" w:evenHBand="0" w:firstRowFirstColumn="0" w:firstRowLastColumn="0" w:lastRowFirstColumn="0" w:lastRowLastColumn="0"/>
              <w:rPr>
                <w:bCs/>
                <w:sz w:val="20"/>
              </w:rPr>
            </w:pPr>
            <w:r w:rsidRPr="00350DF5">
              <w:rPr>
                <w:sz w:val="20"/>
              </w:rPr>
              <w:t>Environmental sanitation.</w:t>
            </w:r>
          </w:p>
        </w:tc>
      </w:tr>
      <w:tr w:rsidR="00EE58DC" w:rsidRPr="0052798B" w14:paraId="154B1643" w14:textId="77777777" w:rsidTr="008D15C1">
        <w:trPr>
          <w:trHeight w:val="256"/>
        </w:trPr>
        <w:tc>
          <w:tcPr>
            <w:cnfStyle w:val="001000000000" w:firstRow="0" w:lastRow="0" w:firstColumn="1" w:lastColumn="0" w:oddVBand="0" w:evenVBand="0" w:oddHBand="0" w:evenHBand="0" w:firstRowFirstColumn="0" w:firstRowLastColumn="0" w:lastRowFirstColumn="0" w:lastRowLastColumn="0"/>
            <w:tcW w:w="780" w:type="dxa"/>
            <w:gridSpan w:val="2"/>
          </w:tcPr>
          <w:p w14:paraId="7C5D3815" w14:textId="77777777" w:rsidR="00EE58DC" w:rsidRPr="00350DF5" w:rsidRDefault="00EE58DC" w:rsidP="008E3C14">
            <w:pPr>
              <w:autoSpaceDE w:val="0"/>
              <w:autoSpaceDN w:val="0"/>
              <w:adjustRightInd w:val="0"/>
              <w:rPr>
                <w:b w:val="0"/>
                <w:sz w:val="20"/>
                <w:szCs w:val="20"/>
              </w:rPr>
            </w:pPr>
            <w:r w:rsidRPr="00350DF5">
              <w:rPr>
                <w:sz w:val="20"/>
                <w:szCs w:val="20"/>
              </w:rPr>
              <w:t xml:space="preserve">     </w:t>
            </w:r>
          </w:p>
        </w:tc>
        <w:tc>
          <w:tcPr>
            <w:tcW w:w="7300" w:type="dxa"/>
          </w:tcPr>
          <w:p w14:paraId="1F3D816E" w14:textId="601A7F5B" w:rsidR="00EE58DC" w:rsidRPr="00350DF5" w:rsidRDefault="00E911EB" w:rsidP="008E3C14">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lang w:eastAsia="en-GB"/>
              </w:rPr>
              <w:t xml:space="preserve"> </w:t>
            </w:r>
            <w:r w:rsidR="00EE58DC" w:rsidRPr="00350DF5">
              <w:rPr>
                <w:b/>
                <w:bCs/>
                <w:sz w:val="20"/>
                <w:szCs w:val="20"/>
                <w:lang w:eastAsia="en-GB"/>
              </w:rPr>
              <w:t>Education and the arts:</w:t>
            </w:r>
          </w:p>
          <w:p w14:paraId="159B1FEC" w14:textId="77777777" w:rsidR="00EE58DC" w:rsidRPr="00350DF5" w:rsidRDefault="00EE58DC" w:rsidP="008E3C14">
            <w:pPr>
              <w:pStyle w:val="ListParagraph"/>
              <w:numPr>
                <w:ilvl w:val="0"/>
                <w:numId w:val="7"/>
              </w:numPr>
              <w:suppressAutoHyphens w:val="0"/>
              <w:contextualSpacing/>
              <w:cnfStyle w:val="000000000000" w:firstRow="0" w:lastRow="0" w:firstColumn="0" w:lastColumn="0" w:oddVBand="0" w:evenVBand="0" w:oddHBand="0" w:evenHBand="0" w:firstRowFirstColumn="0" w:firstRowLastColumn="0" w:lastRowFirstColumn="0" w:lastRowLastColumn="0"/>
              <w:rPr>
                <w:bCs/>
                <w:sz w:val="20"/>
                <w:lang w:eastAsia="en-US"/>
              </w:rPr>
            </w:pPr>
            <w:r w:rsidRPr="00350DF5">
              <w:rPr>
                <w:sz w:val="20"/>
              </w:rPr>
              <w:t>Sponsoring educational conferences, seminars or art exhibits</w:t>
            </w:r>
          </w:p>
          <w:p w14:paraId="7B2454BB" w14:textId="77777777" w:rsidR="00EE58DC" w:rsidRPr="00350DF5" w:rsidRDefault="00EE58DC" w:rsidP="008E3C14">
            <w:pPr>
              <w:pStyle w:val="ListParagraph"/>
              <w:numPr>
                <w:ilvl w:val="0"/>
                <w:numId w:val="7"/>
              </w:numPr>
              <w:suppressAutoHyphens w:val="0"/>
              <w:contextualSpacing/>
              <w:cnfStyle w:val="000000000000" w:firstRow="0" w:lastRow="0" w:firstColumn="0" w:lastColumn="0" w:oddVBand="0" w:evenVBand="0" w:oddHBand="0" w:evenHBand="0" w:firstRowFirstColumn="0" w:firstRowLastColumn="0" w:lastRowFirstColumn="0" w:lastRowLastColumn="0"/>
              <w:rPr>
                <w:bCs/>
                <w:sz w:val="20"/>
                <w:lang w:eastAsia="en-US"/>
              </w:rPr>
            </w:pPr>
            <w:r w:rsidRPr="00350DF5">
              <w:rPr>
                <w:sz w:val="20"/>
              </w:rPr>
              <w:t>Offering University scholarship for local residents</w:t>
            </w:r>
          </w:p>
          <w:p w14:paraId="3BD38C62" w14:textId="77777777" w:rsidR="00EE58DC" w:rsidRPr="00350DF5" w:rsidRDefault="00EE58DC" w:rsidP="008E3C14">
            <w:pPr>
              <w:pStyle w:val="ListParagraph"/>
              <w:numPr>
                <w:ilvl w:val="0"/>
                <w:numId w:val="7"/>
              </w:numPr>
              <w:suppressAutoHyphens w:val="0"/>
              <w:contextualSpacing/>
              <w:cnfStyle w:val="000000000000" w:firstRow="0" w:lastRow="0" w:firstColumn="0" w:lastColumn="0" w:oddVBand="0" w:evenVBand="0" w:oddHBand="0" w:evenHBand="0" w:firstRowFirstColumn="0" w:firstRowLastColumn="0" w:lastRowFirstColumn="0" w:lastRowLastColumn="0"/>
              <w:rPr>
                <w:bCs/>
                <w:sz w:val="20"/>
                <w:lang w:eastAsia="en-US"/>
              </w:rPr>
            </w:pPr>
            <w:r w:rsidRPr="00350DF5">
              <w:rPr>
                <w:sz w:val="20"/>
              </w:rPr>
              <w:t>Provision of education facilities and skills training</w:t>
            </w:r>
          </w:p>
          <w:p w14:paraId="3DBD6E95" w14:textId="77777777" w:rsidR="00EE58DC" w:rsidRPr="00350DF5" w:rsidRDefault="00EE58DC" w:rsidP="008E3C14">
            <w:pPr>
              <w:pStyle w:val="ListParagraph"/>
              <w:numPr>
                <w:ilvl w:val="0"/>
                <w:numId w:val="7"/>
              </w:numPr>
              <w:suppressAutoHyphens w:val="0"/>
              <w:contextualSpacing/>
              <w:cnfStyle w:val="000000000000" w:firstRow="0" w:lastRow="0" w:firstColumn="0" w:lastColumn="0" w:oddVBand="0" w:evenVBand="0" w:oddHBand="0" w:evenHBand="0" w:firstRowFirstColumn="0" w:firstRowLastColumn="0" w:lastRowFirstColumn="0" w:lastRowLastColumn="0"/>
              <w:rPr>
                <w:bCs/>
                <w:sz w:val="20"/>
                <w:lang w:eastAsia="en-US"/>
              </w:rPr>
            </w:pPr>
            <w:r w:rsidRPr="00350DF5">
              <w:rPr>
                <w:sz w:val="20"/>
              </w:rPr>
              <w:t>Apprenticeship program to provide on the job training for local residents</w:t>
            </w:r>
          </w:p>
          <w:p w14:paraId="274821F2" w14:textId="77777777" w:rsidR="00EE58DC" w:rsidRPr="00350DF5" w:rsidRDefault="00EE58DC" w:rsidP="008E3C14">
            <w:pPr>
              <w:pStyle w:val="ListParagraph"/>
              <w:numPr>
                <w:ilvl w:val="0"/>
                <w:numId w:val="7"/>
              </w:numPr>
              <w:suppressAutoHyphens w:val="0"/>
              <w:contextualSpacing/>
              <w:cnfStyle w:val="000000000000" w:firstRow="0" w:lastRow="0" w:firstColumn="0" w:lastColumn="0" w:oddVBand="0" w:evenVBand="0" w:oddHBand="0" w:evenHBand="0" w:firstRowFirstColumn="0" w:firstRowLastColumn="0" w:lastRowFirstColumn="0" w:lastRowLastColumn="0"/>
              <w:rPr>
                <w:bCs/>
                <w:sz w:val="20"/>
                <w:lang w:eastAsia="en-US"/>
              </w:rPr>
            </w:pPr>
            <w:r w:rsidRPr="00350DF5">
              <w:rPr>
                <w:sz w:val="20"/>
              </w:rPr>
              <w:t>Provision of opportunity for students placements.</w:t>
            </w:r>
          </w:p>
        </w:tc>
      </w:tr>
      <w:tr w:rsidR="00EE58DC" w:rsidRPr="0052798B" w14:paraId="2299BC1B" w14:textId="77777777" w:rsidTr="008D15C1">
        <w:trPr>
          <w:trHeight w:val="619"/>
        </w:trPr>
        <w:tc>
          <w:tcPr>
            <w:cnfStyle w:val="001000000000" w:firstRow="0" w:lastRow="0" w:firstColumn="1" w:lastColumn="0" w:oddVBand="0" w:evenVBand="0" w:oddHBand="0" w:evenHBand="0" w:firstRowFirstColumn="0" w:firstRowLastColumn="0" w:lastRowFirstColumn="0" w:lastRowLastColumn="0"/>
            <w:tcW w:w="780" w:type="dxa"/>
            <w:gridSpan w:val="2"/>
          </w:tcPr>
          <w:p w14:paraId="7CA1B78B" w14:textId="77777777" w:rsidR="00EE58DC" w:rsidRPr="00350DF5" w:rsidRDefault="00EE58DC" w:rsidP="008E3C14">
            <w:pPr>
              <w:autoSpaceDE w:val="0"/>
              <w:autoSpaceDN w:val="0"/>
              <w:adjustRightInd w:val="0"/>
              <w:rPr>
                <w:b w:val="0"/>
                <w:sz w:val="20"/>
                <w:szCs w:val="20"/>
              </w:rPr>
            </w:pPr>
          </w:p>
        </w:tc>
        <w:tc>
          <w:tcPr>
            <w:tcW w:w="7300" w:type="dxa"/>
          </w:tcPr>
          <w:p w14:paraId="630B39F8" w14:textId="7394A73D" w:rsidR="00EE58DC" w:rsidRPr="00350DF5" w:rsidRDefault="00E911EB" w:rsidP="008E3C14">
            <w:pPr>
              <w:jc w:val="both"/>
              <w:cnfStyle w:val="000000000000" w:firstRow="0" w:lastRow="0" w:firstColumn="0" w:lastColumn="0" w:oddVBand="0" w:evenVBand="0" w:oddHBand="0" w:evenHBand="0" w:firstRowFirstColumn="0" w:firstRowLastColumn="0" w:lastRowFirstColumn="0" w:lastRowLastColumn="0"/>
              <w:rPr>
                <w:b/>
                <w:bCs/>
                <w:sz w:val="20"/>
                <w:szCs w:val="20"/>
                <w:lang w:eastAsia="en-GB"/>
              </w:rPr>
            </w:pPr>
            <w:r>
              <w:rPr>
                <w:b/>
                <w:bCs/>
                <w:sz w:val="20"/>
                <w:szCs w:val="20"/>
                <w:lang w:eastAsia="en-GB"/>
              </w:rPr>
              <w:t xml:space="preserve"> </w:t>
            </w:r>
            <w:r w:rsidR="00EE58DC" w:rsidRPr="00350DF5">
              <w:rPr>
                <w:b/>
                <w:bCs/>
                <w:sz w:val="20"/>
                <w:szCs w:val="20"/>
                <w:lang w:eastAsia="en-GB"/>
              </w:rPr>
              <w:t>Other community activities:</w:t>
            </w:r>
          </w:p>
          <w:p w14:paraId="40BBBD47" w14:textId="77777777" w:rsidR="00EE58DC" w:rsidRPr="00350DF5" w:rsidRDefault="00EE58DC" w:rsidP="008E3C14">
            <w:pPr>
              <w:pStyle w:val="ListParagraph"/>
              <w:numPr>
                <w:ilvl w:val="0"/>
                <w:numId w:val="7"/>
              </w:numPr>
              <w:suppressAutoHyphens w:val="0"/>
              <w:contextualSpacing/>
              <w:cnfStyle w:val="000000000000" w:firstRow="0" w:lastRow="0" w:firstColumn="0" w:lastColumn="0" w:oddVBand="0" w:evenVBand="0" w:oddHBand="0" w:evenHBand="0" w:firstRowFirstColumn="0" w:firstRowLastColumn="0" w:lastRowFirstColumn="0" w:lastRowLastColumn="0"/>
              <w:rPr>
                <w:bCs/>
                <w:sz w:val="20"/>
              </w:rPr>
            </w:pPr>
            <w:r w:rsidRPr="00350DF5">
              <w:rPr>
                <w:sz w:val="20"/>
              </w:rPr>
              <w:t>Other special community related activities, e.g. opening the company’s facilities to the public</w:t>
            </w:r>
          </w:p>
          <w:p w14:paraId="7D5932FE" w14:textId="77777777" w:rsidR="00EE58DC" w:rsidRPr="00350DF5" w:rsidRDefault="00EE58DC" w:rsidP="008E3C14">
            <w:pPr>
              <w:pStyle w:val="ListParagraph"/>
              <w:numPr>
                <w:ilvl w:val="0"/>
                <w:numId w:val="7"/>
              </w:numPr>
              <w:suppressAutoHyphens w:val="0"/>
              <w:contextualSpacing/>
              <w:cnfStyle w:val="000000000000" w:firstRow="0" w:lastRow="0" w:firstColumn="0" w:lastColumn="0" w:oddVBand="0" w:evenVBand="0" w:oddHBand="0" w:evenHBand="0" w:firstRowFirstColumn="0" w:firstRowLastColumn="0" w:lastRowFirstColumn="0" w:lastRowLastColumn="0"/>
              <w:rPr>
                <w:bCs/>
                <w:sz w:val="20"/>
              </w:rPr>
            </w:pPr>
            <w:r w:rsidRPr="00350DF5">
              <w:rPr>
                <w:sz w:val="20"/>
              </w:rPr>
              <w:t>Supporting and sponsoring sporting activities</w:t>
            </w:r>
          </w:p>
          <w:p w14:paraId="6206312F" w14:textId="77777777" w:rsidR="00312070" w:rsidRPr="00350DF5" w:rsidRDefault="00EE58DC" w:rsidP="008E3C14">
            <w:pPr>
              <w:pStyle w:val="ListParagraph"/>
              <w:numPr>
                <w:ilvl w:val="0"/>
                <w:numId w:val="7"/>
              </w:numPr>
              <w:suppressAutoHyphens w:val="0"/>
              <w:contextualSpacing/>
              <w:cnfStyle w:val="000000000000" w:firstRow="0" w:lastRow="0" w:firstColumn="0" w:lastColumn="0" w:oddVBand="0" w:evenVBand="0" w:oddHBand="0" w:evenHBand="0" w:firstRowFirstColumn="0" w:firstRowLastColumn="0" w:lastRowFirstColumn="0" w:lastRowLastColumn="0"/>
              <w:rPr>
                <w:b/>
                <w:bCs/>
                <w:sz w:val="20"/>
              </w:rPr>
            </w:pPr>
            <w:r w:rsidRPr="00350DF5">
              <w:rPr>
                <w:sz w:val="20"/>
              </w:rPr>
              <w:t>Supporting national pride/government sponsored campaigns.</w:t>
            </w:r>
          </w:p>
        </w:tc>
      </w:tr>
      <w:tr w:rsidR="00312070" w:rsidRPr="0052798B" w14:paraId="7FF377CD" w14:textId="77777777" w:rsidTr="008D15C1">
        <w:trPr>
          <w:trHeight w:val="256"/>
        </w:trPr>
        <w:tc>
          <w:tcPr>
            <w:cnfStyle w:val="001000000000" w:firstRow="0" w:lastRow="0" w:firstColumn="1" w:lastColumn="0" w:oddVBand="0" w:evenVBand="0" w:oddHBand="0" w:evenHBand="0" w:firstRowFirstColumn="0" w:firstRowLastColumn="0" w:lastRowFirstColumn="0" w:lastRowLastColumn="0"/>
            <w:tcW w:w="780" w:type="dxa"/>
            <w:gridSpan w:val="2"/>
          </w:tcPr>
          <w:p w14:paraId="7ED21E16" w14:textId="77777777" w:rsidR="00312070" w:rsidRPr="00350DF5" w:rsidRDefault="00312070" w:rsidP="008E3C14">
            <w:pPr>
              <w:autoSpaceDE w:val="0"/>
              <w:autoSpaceDN w:val="0"/>
              <w:adjustRightInd w:val="0"/>
              <w:rPr>
                <w:b w:val="0"/>
                <w:sz w:val="20"/>
                <w:szCs w:val="20"/>
              </w:rPr>
            </w:pPr>
            <w:r w:rsidRPr="00350DF5">
              <w:rPr>
                <w:sz w:val="20"/>
                <w:szCs w:val="20"/>
              </w:rPr>
              <w:t xml:space="preserve">    </w:t>
            </w:r>
            <w:r w:rsidR="0052798B" w:rsidRPr="00350DF5">
              <w:rPr>
                <w:sz w:val="20"/>
                <w:szCs w:val="20"/>
              </w:rPr>
              <w:t xml:space="preserve">  </w:t>
            </w:r>
            <w:r w:rsidRPr="00350DF5">
              <w:rPr>
                <w:sz w:val="20"/>
                <w:szCs w:val="20"/>
              </w:rPr>
              <w:t xml:space="preserve"> b)</w:t>
            </w:r>
          </w:p>
        </w:tc>
        <w:tc>
          <w:tcPr>
            <w:tcW w:w="7300" w:type="dxa"/>
          </w:tcPr>
          <w:p w14:paraId="5DD940BB" w14:textId="77777777" w:rsidR="00312070" w:rsidRPr="00E448BD" w:rsidRDefault="00312070" w:rsidP="008E3C14">
            <w:pPr>
              <w:cnfStyle w:val="000000000000" w:firstRow="0" w:lastRow="0" w:firstColumn="0" w:lastColumn="0" w:oddVBand="0" w:evenVBand="0" w:oddHBand="0" w:evenHBand="0" w:firstRowFirstColumn="0" w:firstRowLastColumn="0" w:lastRowFirstColumn="0" w:lastRowLastColumn="0"/>
              <w:rPr>
                <w:sz w:val="21"/>
                <w:szCs w:val="21"/>
              </w:rPr>
            </w:pPr>
            <w:r w:rsidRPr="00E448BD">
              <w:rPr>
                <w:b/>
                <w:sz w:val="21"/>
                <w:szCs w:val="21"/>
              </w:rPr>
              <w:t>Factual</w:t>
            </w:r>
            <w:r w:rsidRPr="00E448BD">
              <w:rPr>
                <w:sz w:val="21"/>
                <w:szCs w:val="21"/>
              </w:rPr>
              <w:t xml:space="preserve"> information on community involvement disclosed;</w:t>
            </w:r>
          </w:p>
          <w:p w14:paraId="729520D2" w14:textId="77777777" w:rsidR="00312070" w:rsidRPr="00350DF5" w:rsidRDefault="00312070" w:rsidP="008E3C14">
            <w:pPr>
              <w:pStyle w:val="ListParagraph"/>
              <w:numPr>
                <w:ilvl w:val="0"/>
                <w:numId w:val="3"/>
              </w:numPr>
              <w:suppressAutoHyphens w:val="0"/>
              <w:ind w:left="697" w:hanging="340"/>
              <w:contextualSpacing/>
              <w:jc w:val="left"/>
              <w:cnfStyle w:val="000000000000" w:firstRow="0" w:lastRow="0" w:firstColumn="0" w:lastColumn="0" w:oddVBand="0" w:evenVBand="0" w:oddHBand="0" w:evenHBand="0" w:firstRowFirstColumn="0" w:firstRowLastColumn="0" w:lastRowFirstColumn="0" w:lastRowLastColumn="0"/>
              <w:rPr>
                <w:sz w:val="20"/>
              </w:rPr>
            </w:pPr>
            <w:r w:rsidRPr="00350DF5">
              <w:rPr>
                <w:sz w:val="20"/>
              </w:rPr>
              <w:t xml:space="preserve">Financial information given </w:t>
            </w:r>
          </w:p>
          <w:p w14:paraId="5E18FECA" w14:textId="77777777" w:rsidR="00312070" w:rsidRPr="00350DF5" w:rsidRDefault="00312070" w:rsidP="008E3C14">
            <w:pPr>
              <w:pStyle w:val="ListParagraph"/>
              <w:numPr>
                <w:ilvl w:val="0"/>
                <w:numId w:val="3"/>
              </w:numPr>
              <w:suppressAutoHyphens w:val="0"/>
              <w:ind w:left="697" w:hanging="340"/>
              <w:contextualSpacing/>
              <w:jc w:val="left"/>
              <w:cnfStyle w:val="000000000000" w:firstRow="0" w:lastRow="0" w:firstColumn="0" w:lastColumn="0" w:oddVBand="0" w:evenVBand="0" w:oddHBand="0" w:evenHBand="0" w:firstRowFirstColumn="0" w:firstRowLastColumn="0" w:lastRowFirstColumn="0" w:lastRowLastColumn="0"/>
              <w:rPr>
                <w:sz w:val="20"/>
              </w:rPr>
            </w:pPr>
            <w:r w:rsidRPr="00350DF5">
              <w:rPr>
                <w:sz w:val="20"/>
              </w:rPr>
              <w:t>Physical information in form of pictures</w:t>
            </w:r>
          </w:p>
        </w:tc>
      </w:tr>
      <w:tr w:rsidR="00312070" w:rsidRPr="0052798B" w14:paraId="7F73B7B7" w14:textId="77777777" w:rsidTr="008D15C1">
        <w:trPr>
          <w:trHeight w:val="256"/>
        </w:trPr>
        <w:tc>
          <w:tcPr>
            <w:cnfStyle w:val="001000000000" w:firstRow="0" w:lastRow="0" w:firstColumn="1" w:lastColumn="0" w:oddVBand="0" w:evenVBand="0" w:oddHBand="0" w:evenHBand="0" w:firstRowFirstColumn="0" w:firstRowLastColumn="0" w:lastRowFirstColumn="0" w:lastRowLastColumn="0"/>
            <w:tcW w:w="649" w:type="dxa"/>
          </w:tcPr>
          <w:p w14:paraId="3A47ED4F" w14:textId="0B2DF296" w:rsidR="00312070" w:rsidRPr="00350DF5" w:rsidRDefault="00312070" w:rsidP="008E3C14">
            <w:pPr>
              <w:autoSpaceDE w:val="0"/>
              <w:autoSpaceDN w:val="0"/>
              <w:adjustRightInd w:val="0"/>
              <w:rPr>
                <w:b w:val="0"/>
                <w:sz w:val="20"/>
                <w:szCs w:val="20"/>
              </w:rPr>
            </w:pPr>
            <w:r w:rsidRPr="00350DF5">
              <w:rPr>
                <w:sz w:val="20"/>
                <w:szCs w:val="20"/>
              </w:rPr>
              <w:t xml:space="preserve">     </w:t>
            </w:r>
            <w:r w:rsidR="00E911EB">
              <w:rPr>
                <w:b w:val="0"/>
                <w:sz w:val="20"/>
                <w:szCs w:val="20"/>
              </w:rPr>
              <w:t xml:space="preserve"> </w:t>
            </w:r>
            <w:r w:rsidRPr="00350DF5">
              <w:rPr>
                <w:sz w:val="20"/>
                <w:szCs w:val="20"/>
              </w:rPr>
              <w:t>c)</w:t>
            </w:r>
          </w:p>
        </w:tc>
        <w:tc>
          <w:tcPr>
            <w:tcW w:w="7431" w:type="dxa"/>
            <w:gridSpan w:val="2"/>
          </w:tcPr>
          <w:p w14:paraId="7467B0A9" w14:textId="77777777" w:rsidR="00312070" w:rsidRPr="00E448BD" w:rsidRDefault="00312070" w:rsidP="008E3C14">
            <w:pPr>
              <w:cnfStyle w:val="000000000000" w:firstRow="0" w:lastRow="0" w:firstColumn="0" w:lastColumn="0" w:oddVBand="0" w:evenVBand="0" w:oddHBand="0" w:evenHBand="0" w:firstRowFirstColumn="0" w:firstRowLastColumn="0" w:lastRowFirstColumn="0" w:lastRowLastColumn="0"/>
              <w:rPr>
                <w:b/>
                <w:sz w:val="21"/>
                <w:szCs w:val="21"/>
              </w:rPr>
            </w:pPr>
            <w:r w:rsidRPr="00350DF5">
              <w:rPr>
                <w:sz w:val="20"/>
                <w:szCs w:val="20"/>
              </w:rPr>
              <w:t xml:space="preserve">   </w:t>
            </w:r>
            <w:r w:rsidRPr="00E448BD">
              <w:rPr>
                <w:b/>
                <w:sz w:val="21"/>
                <w:szCs w:val="21"/>
              </w:rPr>
              <w:t>Important</w:t>
            </w:r>
          </w:p>
          <w:p w14:paraId="48F12FBE" w14:textId="77777777" w:rsidR="00312070" w:rsidRPr="00350DF5" w:rsidRDefault="00312070" w:rsidP="008E3C14">
            <w:pPr>
              <w:pStyle w:val="ListParagraph"/>
              <w:numPr>
                <w:ilvl w:val="0"/>
                <w:numId w:val="4"/>
              </w:numPr>
              <w:suppressAutoHyphens w:val="0"/>
              <w:ind w:left="697" w:hanging="340"/>
              <w:contextualSpacing/>
              <w:jc w:val="left"/>
              <w:cnfStyle w:val="000000000000" w:firstRow="0" w:lastRow="0" w:firstColumn="0" w:lastColumn="0" w:oddVBand="0" w:evenVBand="0" w:oddHBand="0" w:evenHBand="0" w:firstRowFirstColumn="0" w:firstRowLastColumn="0" w:lastRowFirstColumn="0" w:lastRowLastColumn="0"/>
              <w:rPr>
                <w:sz w:val="20"/>
              </w:rPr>
            </w:pPr>
            <w:r w:rsidRPr="00350DF5">
              <w:rPr>
                <w:sz w:val="20"/>
              </w:rPr>
              <w:t>Located under chairman’s statements</w:t>
            </w:r>
          </w:p>
          <w:p w14:paraId="67C158AC" w14:textId="77777777" w:rsidR="00312070" w:rsidRPr="00350DF5" w:rsidRDefault="00312070" w:rsidP="008E3C14">
            <w:pPr>
              <w:pStyle w:val="ListParagraph"/>
              <w:numPr>
                <w:ilvl w:val="0"/>
                <w:numId w:val="4"/>
              </w:numPr>
              <w:suppressAutoHyphens w:val="0"/>
              <w:ind w:left="697" w:hanging="340"/>
              <w:contextualSpacing/>
              <w:jc w:val="left"/>
              <w:cnfStyle w:val="000000000000" w:firstRow="0" w:lastRow="0" w:firstColumn="0" w:lastColumn="0" w:oddVBand="0" w:evenVBand="0" w:oddHBand="0" w:evenHBand="0" w:firstRowFirstColumn="0" w:firstRowLastColumn="0" w:lastRowFirstColumn="0" w:lastRowLastColumn="0"/>
              <w:rPr>
                <w:sz w:val="20"/>
              </w:rPr>
            </w:pPr>
            <w:r w:rsidRPr="00350DF5">
              <w:rPr>
                <w:sz w:val="20"/>
              </w:rPr>
              <w:t>Located in a separate section of annual reports</w:t>
            </w:r>
          </w:p>
        </w:tc>
      </w:tr>
      <w:tr w:rsidR="00312070" w:rsidRPr="0052798B" w14:paraId="5D52CB75" w14:textId="77777777" w:rsidTr="008D15C1">
        <w:trPr>
          <w:trHeight w:val="619"/>
        </w:trPr>
        <w:tc>
          <w:tcPr>
            <w:cnfStyle w:val="001000000000" w:firstRow="0" w:lastRow="0" w:firstColumn="1" w:lastColumn="0" w:oddVBand="0" w:evenVBand="0" w:oddHBand="0" w:evenHBand="0" w:firstRowFirstColumn="0" w:firstRowLastColumn="0" w:lastRowFirstColumn="0" w:lastRowLastColumn="0"/>
            <w:tcW w:w="649" w:type="dxa"/>
          </w:tcPr>
          <w:p w14:paraId="155BE3A4" w14:textId="70E5B0F1" w:rsidR="00312070" w:rsidRPr="00350DF5" w:rsidRDefault="00312070" w:rsidP="008E3C14">
            <w:pPr>
              <w:autoSpaceDE w:val="0"/>
              <w:autoSpaceDN w:val="0"/>
              <w:adjustRightInd w:val="0"/>
              <w:rPr>
                <w:b w:val="0"/>
                <w:sz w:val="20"/>
                <w:szCs w:val="20"/>
              </w:rPr>
            </w:pPr>
            <w:r w:rsidRPr="00350DF5">
              <w:rPr>
                <w:sz w:val="20"/>
                <w:szCs w:val="20"/>
              </w:rPr>
              <w:t xml:space="preserve">     d)</w:t>
            </w:r>
          </w:p>
        </w:tc>
        <w:tc>
          <w:tcPr>
            <w:tcW w:w="7431" w:type="dxa"/>
            <w:gridSpan w:val="2"/>
          </w:tcPr>
          <w:p w14:paraId="0138BD4F" w14:textId="77777777" w:rsidR="00312070" w:rsidRPr="00E448BD" w:rsidRDefault="00312070" w:rsidP="008E3C14">
            <w:pPr>
              <w:cnfStyle w:val="000000000000" w:firstRow="0" w:lastRow="0" w:firstColumn="0" w:lastColumn="0" w:oddVBand="0" w:evenVBand="0" w:oddHBand="0" w:evenHBand="0" w:firstRowFirstColumn="0" w:firstRowLastColumn="0" w:lastRowFirstColumn="0" w:lastRowLastColumn="0"/>
              <w:rPr>
                <w:b/>
                <w:sz w:val="21"/>
                <w:szCs w:val="21"/>
              </w:rPr>
            </w:pPr>
            <w:r w:rsidRPr="00350DF5">
              <w:rPr>
                <w:b/>
                <w:sz w:val="20"/>
                <w:szCs w:val="20"/>
              </w:rPr>
              <w:t xml:space="preserve">   </w:t>
            </w:r>
            <w:r w:rsidRPr="00E448BD">
              <w:rPr>
                <w:b/>
                <w:sz w:val="21"/>
                <w:szCs w:val="21"/>
              </w:rPr>
              <w:t xml:space="preserve">Relevant </w:t>
            </w:r>
          </w:p>
          <w:p w14:paraId="78C3320C" w14:textId="77777777" w:rsidR="00312070" w:rsidRPr="00350DF5" w:rsidRDefault="00312070" w:rsidP="008E3C14">
            <w:pPr>
              <w:pStyle w:val="ListParagraph"/>
              <w:numPr>
                <w:ilvl w:val="0"/>
                <w:numId w:val="5"/>
              </w:numPr>
              <w:suppressAutoHyphens w:val="0"/>
              <w:contextualSpacing/>
              <w:jc w:val="left"/>
              <w:cnfStyle w:val="000000000000" w:firstRow="0" w:lastRow="0" w:firstColumn="0" w:lastColumn="0" w:oddVBand="0" w:evenVBand="0" w:oddHBand="0" w:evenHBand="0" w:firstRowFirstColumn="0" w:firstRowLastColumn="0" w:lastRowFirstColumn="0" w:lastRowLastColumn="0"/>
              <w:rPr>
                <w:sz w:val="20"/>
              </w:rPr>
            </w:pPr>
            <w:r w:rsidRPr="00350DF5">
              <w:rPr>
                <w:sz w:val="20"/>
              </w:rPr>
              <w:t>Located in the review of the year section</w:t>
            </w:r>
          </w:p>
          <w:p w14:paraId="7363F8F5" w14:textId="77777777" w:rsidR="00312070" w:rsidRPr="00350DF5" w:rsidRDefault="00312070" w:rsidP="008E3C14">
            <w:pPr>
              <w:pStyle w:val="ListParagraph"/>
              <w:numPr>
                <w:ilvl w:val="0"/>
                <w:numId w:val="5"/>
              </w:numPr>
              <w:suppressAutoHyphens w:val="0"/>
              <w:contextualSpacing/>
              <w:jc w:val="left"/>
              <w:cnfStyle w:val="000000000000" w:firstRow="0" w:lastRow="0" w:firstColumn="0" w:lastColumn="0" w:oddVBand="0" w:evenVBand="0" w:oddHBand="0" w:evenHBand="0" w:firstRowFirstColumn="0" w:firstRowLastColumn="0" w:lastRowFirstColumn="0" w:lastRowLastColumn="0"/>
              <w:rPr>
                <w:sz w:val="20"/>
              </w:rPr>
            </w:pPr>
            <w:r w:rsidRPr="00350DF5">
              <w:rPr>
                <w:sz w:val="20"/>
              </w:rPr>
              <w:t>Located in directors report</w:t>
            </w:r>
          </w:p>
        </w:tc>
      </w:tr>
      <w:tr w:rsidR="00EE58DC" w:rsidRPr="0052798B" w14:paraId="68BA6F63" w14:textId="77777777" w:rsidTr="008D15C1">
        <w:trPr>
          <w:trHeight w:val="256"/>
        </w:trPr>
        <w:tc>
          <w:tcPr>
            <w:cnfStyle w:val="001000000000" w:firstRow="0" w:lastRow="0" w:firstColumn="1" w:lastColumn="0" w:oddVBand="0" w:evenVBand="0" w:oddHBand="0" w:evenHBand="0" w:firstRowFirstColumn="0" w:firstRowLastColumn="0" w:lastRowFirstColumn="0" w:lastRowLastColumn="0"/>
            <w:tcW w:w="780" w:type="dxa"/>
            <w:gridSpan w:val="2"/>
          </w:tcPr>
          <w:p w14:paraId="4C543C77" w14:textId="6125D1A4" w:rsidR="00EE58DC" w:rsidRPr="00350DF5" w:rsidRDefault="00E911EB" w:rsidP="008E3C14">
            <w:pPr>
              <w:autoSpaceDE w:val="0"/>
              <w:autoSpaceDN w:val="0"/>
              <w:adjustRightInd w:val="0"/>
              <w:rPr>
                <w:sz w:val="22"/>
                <w:szCs w:val="22"/>
              </w:rPr>
            </w:pPr>
            <w:r w:rsidRPr="00350DF5">
              <w:rPr>
                <w:sz w:val="22"/>
                <w:szCs w:val="22"/>
              </w:rPr>
              <w:t>4</w:t>
            </w:r>
            <w:r w:rsidR="00EE58DC" w:rsidRPr="00350DF5">
              <w:rPr>
                <w:sz w:val="22"/>
                <w:szCs w:val="22"/>
              </w:rPr>
              <w:t>.</w:t>
            </w:r>
          </w:p>
        </w:tc>
        <w:tc>
          <w:tcPr>
            <w:tcW w:w="7300" w:type="dxa"/>
          </w:tcPr>
          <w:p w14:paraId="56A08FD3" w14:textId="77777777" w:rsidR="00EE58DC" w:rsidRPr="00350DF5" w:rsidRDefault="00EE58DC" w:rsidP="008E3C14">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sz w:val="22"/>
                <w:szCs w:val="22"/>
              </w:rPr>
            </w:pPr>
            <w:r w:rsidRPr="00350DF5">
              <w:rPr>
                <w:b/>
                <w:sz w:val="22"/>
                <w:szCs w:val="22"/>
              </w:rPr>
              <w:t>Corporate governance information:</w:t>
            </w:r>
          </w:p>
        </w:tc>
      </w:tr>
      <w:tr w:rsidR="0087741B" w:rsidRPr="0052798B" w14:paraId="32260F9B" w14:textId="77777777" w:rsidTr="008D15C1">
        <w:trPr>
          <w:trHeight w:val="256"/>
        </w:trPr>
        <w:tc>
          <w:tcPr>
            <w:cnfStyle w:val="001000000000" w:firstRow="0" w:lastRow="0" w:firstColumn="1" w:lastColumn="0" w:oddVBand="0" w:evenVBand="0" w:oddHBand="0" w:evenHBand="0" w:firstRowFirstColumn="0" w:firstRowLastColumn="0" w:lastRowFirstColumn="0" w:lastRowLastColumn="0"/>
            <w:tcW w:w="780" w:type="dxa"/>
            <w:gridSpan w:val="2"/>
          </w:tcPr>
          <w:p w14:paraId="53500BB8" w14:textId="77777777" w:rsidR="0087741B" w:rsidRPr="00350DF5" w:rsidRDefault="0087741B" w:rsidP="008E3C14">
            <w:pPr>
              <w:autoSpaceDE w:val="0"/>
              <w:autoSpaceDN w:val="0"/>
              <w:adjustRightInd w:val="0"/>
              <w:rPr>
                <w:b w:val="0"/>
                <w:sz w:val="20"/>
                <w:szCs w:val="20"/>
              </w:rPr>
            </w:pPr>
            <w:r w:rsidRPr="00350DF5">
              <w:rPr>
                <w:sz w:val="20"/>
                <w:szCs w:val="20"/>
              </w:rPr>
              <w:t xml:space="preserve">      a)</w:t>
            </w:r>
          </w:p>
        </w:tc>
        <w:tc>
          <w:tcPr>
            <w:tcW w:w="7300" w:type="dxa"/>
          </w:tcPr>
          <w:p w14:paraId="40DE7B1E" w14:textId="77777777" w:rsidR="0087741B" w:rsidRPr="00350DF5" w:rsidRDefault="00B229CF" w:rsidP="008E3C14">
            <w:pPr>
              <w:jc w:val="both"/>
              <w:cnfStyle w:val="000000000000" w:firstRow="0" w:lastRow="0" w:firstColumn="0" w:lastColumn="0" w:oddVBand="0" w:evenVBand="0" w:oddHBand="0" w:evenHBand="0" w:firstRowFirstColumn="0" w:firstRowLastColumn="0" w:lastRowFirstColumn="0" w:lastRowLastColumn="0"/>
              <w:rPr>
                <w:b/>
                <w:i/>
                <w:sz w:val="20"/>
                <w:szCs w:val="20"/>
                <w:lang w:val="en-US"/>
              </w:rPr>
            </w:pPr>
            <w:r w:rsidRPr="00350DF5">
              <w:rPr>
                <w:sz w:val="20"/>
                <w:szCs w:val="20"/>
                <w:lang w:val="en-US"/>
              </w:rPr>
              <w:t xml:space="preserve">NEDs (measured by </w:t>
            </w:r>
            <w:r w:rsidR="0087741B" w:rsidRPr="00350DF5">
              <w:rPr>
                <w:sz w:val="20"/>
                <w:szCs w:val="20"/>
                <w:lang w:val="en-US"/>
              </w:rPr>
              <w:t>proportion of total independent non</w:t>
            </w:r>
            <w:r w:rsidRPr="00350DF5">
              <w:rPr>
                <w:sz w:val="20"/>
                <w:szCs w:val="20"/>
                <w:lang w:val="en-US"/>
              </w:rPr>
              <w:t>-</w:t>
            </w:r>
            <w:r w:rsidR="0087741B" w:rsidRPr="00350DF5">
              <w:rPr>
                <w:sz w:val="20"/>
                <w:szCs w:val="20"/>
                <w:lang w:val="en-US"/>
              </w:rPr>
              <w:t>executive</w:t>
            </w:r>
            <w:r w:rsidRPr="00350DF5">
              <w:rPr>
                <w:sz w:val="20"/>
                <w:szCs w:val="20"/>
                <w:lang w:val="en-US"/>
              </w:rPr>
              <w:t xml:space="preserve"> </w:t>
            </w:r>
            <w:r w:rsidR="0087741B" w:rsidRPr="00350DF5">
              <w:rPr>
                <w:sz w:val="20"/>
                <w:szCs w:val="20"/>
                <w:lang w:val="en-US"/>
              </w:rPr>
              <w:t>directors to total directors on the board</w:t>
            </w:r>
          </w:p>
        </w:tc>
      </w:tr>
      <w:tr w:rsidR="00EE58DC" w:rsidRPr="0052798B" w14:paraId="1E0AEFBC" w14:textId="77777777" w:rsidTr="008D15C1">
        <w:trPr>
          <w:trHeight w:val="256"/>
        </w:trPr>
        <w:tc>
          <w:tcPr>
            <w:cnfStyle w:val="001000000000" w:firstRow="0" w:lastRow="0" w:firstColumn="1" w:lastColumn="0" w:oddVBand="0" w:evenVBand="0" w:oddHBand="0" w:evenHBand="0" w:firstRowFirstColumn="0" w:firstRowLastColumn="0" w:lastRowFirstColumn="0" w:lastRowLastColumn="0"/>
            <w:tcW w:w="780" w:type="dxa"/>
            <w:gridSpan w:val="2"/>
          </w:tcPr>
          <w:p w14:paraId="793181C0" w14:textId="77777777" w:rsidR="00EE58DC" w:rsidRPr="00350DF5" w:rsidRDefault="00B229CF" w:rsidP="008E3C14">
            <w:pPr>
              <w:autoSpaceDE w:val="0"/>
              <w:autoSpaceDN w:val="0"/>
              <w:adjustRightInd w:val="0"/>
              <w:rPr>
                <w:b w:val="0"/>
                <w:sz w:val="20"/>
                <w:szCs w:val="20"/>
              </w:rPr>
            </w:pPr>
            <w:r w:rsidRPr="00350DF5">
              <w:rPr>
                <w:sz w:val="20"/>
                <w:szCs w:val="20"/>
              </w:rPr>
              <w:t xml:space="preserve">     b</w:t>
            </w:r>
            <w:r w:rsidR="00EE58DC" w:rsidRPr="00350DF5">
              <w:rPr>
                <w:sz w:val="20"/>
                <w:szCs w:val="20"/>
              </w:rPr>
              <w:t>)</w:t>
            </w:r>
          </w:p>
        </w:tc>
        <w:tc>
          <w:tcPr>
            <w:tcW w:w="7300" w:type="dxa"/>
          </w:tcPr>
          <w:p w14:paraId="7B4B97C9" w14:textId="77777777" w:rsidR="00EE58DC" w:rsidRPr="00350DF5" w:rsidRDefault="00EE58DC" w:rsidP="008E3C14">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350DF5">
              <w:rPr>
                <w:sz w:val="20"/>
                <w:szCs w:val="20"/>
              </w:rPr>
              <w:t>Board activities (m</w:t>
            </w:r>
            <w:r w:rsidR="00312070" w:rsidRPr="00350DF5">
              <w:rPr>
                <w:sz w:val="20"/>
                <w:szCs w:val="20"/>
              </w:rPr>
              <w:t>easured by board meetings and size</w:t>
            </w:r>
            <w:r w:rsidRPr="00350DF5">
              <w:rPr>
                <w:sz w:val="20"/>
                <w:szCs w:val="20"/>
              </w:rPr>
              <w:t xml:space="preserve">) </w:t>
            </w:r>
          </w:p>
        </w:tc>
      </w:tr>
      <w:tr w:rsidR="00EE58DC" w:rsidRPr="0052798B" w14:paraId="09663438" w14:textId="77777777" w:rsidTr="008D15C1">
        <w:trPr>
          <w:trHeight w:val="256"/>
        </w:trPr>
        <w:tc>
          <w:tcPr>
            <w:cnfStyle w:val="001000000000" w:firstRow="0" w:lastRow="0" w:firstColumn="1" w:lastColumn="0" w:oddVBand="0" w:evenVBand="0" w:oddHBand="0" w:evenHBand="0" w:firstRowFirstColumn="0" w:firstRowLastColumn="0" w:lastRowFirstColumn="0" w:lastRowLastColumn="0"/>
            <w:tcW w:w="780" w:type="dxa"/>
            <w:gridSpan w:val="2"/>
          </w:tcPr>
          <w:p w14:paraId="249BC090" w14:textId="77777777" w:rsidR="00EE58DC" w:rsidRPr="00350DF5" w:rsidRDefault="00B229CF" w:rsidP="008E3C14">
            <w:pPr>
              <w:autoSpaceDE w:val="0"/>
              <w:autoSpaceDN w:val="0"/>
              <w:adjustRightInd w:val="0"/>
              <w:rPr>
                <w:b w:val="0"/>
                <w:sz w:val="20"/>
                <w:szCs w:val="20"/>
              </w:rPr>
            </w:pPr>
            <w:r w:rsidRPr="00350DF5">
              <w:rPr>
                <w:sz w:val="20"/>
                <w:szCs w:val="20"/>
              </w:rPr>
              <w:t xml:space="preserve">     c</w:t>
            </w:r>
            <w:r w:rsidR="00EE58DC" w:rsidRPr="00350DF5">
              <w:rPr>
                <w:sz w:val="20"/>
                <w:szCs w:val="20"/>
              </w:rPr>
              <w:t>)</w:t>
            </w:r>
          </w:p>
        </w:tc>
        <w:tc>
          <w:tcPr>
            <w:tcW w:w="7300" w:type="dxa"/>
          </w:tcPr>
          <w:p w14:paraId="06370FCF" w14:textId="77777777" w:rsidR="00EE58DC" w:rsidRPr="00350DF5" w:rsidRDefault="00EE58DC" w:rsidP="008E3C14">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350DF5">
              <w:rPr>
                <w:sz w:val="20"/>
                <w:szCs w:val="20"/>
              </w:rPr>
              <w:t>Audit committee activities (measured by audit committee meetings and size)</w:t>
            </w:r>
          </w:p>
        </w:tc>
      </w:tr>
      <w:tr w:rsidR="00EE58DC" w:rsidRPr="0052798B" w14:paraId="73253B92" w14:textId="77777777" w:rsidTr="008D15C1">
        <w:trPr>
          <w:trHeight w:val="256"/>
        </w:trPr>
        <w:tc>
          <w:tcPr>
            <w:cnfStyle w:val="001000000000" w:firstRow="0" w:lastRow="0" w:firstColumn="1" w:lastColumn="0" w:oddVBand="0" w:evenVBand="0" w:oddHBand="0" w:evenHBand="0" w:firstRowFirstColumn="0" w:firstRowLastColumn="0" w:lastRowFirstColumn="0" w:lastRowLastColumn="0"/>
            <w:tcW w:w="780" w:type="dxa"/>
            <w:gridSpan w:val="2"/>
          </w:tcPr>
          <w:p w14:paraId="30EE0EC7" w14:textId="77777777" w:rsidR="00EE58DC" w:rsidRPr="00350DF5" w:rsidRDefault="00B229CF" w:rsidP="008E3C14">
            <w:pPr>
              <w:autoSpaceDE w:val="0"/>
              <w:autoSpaceDN w:val="0"/>
              <w:adjustRightInd w:val="0"/>
              <w:rPr>
                <w:b w:val="0"/>
                <w:sz w:val="20"/>
                <w:szCs w:val="20"/>
              </w:rPr>
            </w:pPr>
            <w:r w:rsidRPr="00350DF5">
              <w:rPr>
                <w:sz w:val="20"/>
                <w:szCs w:val="20"/>
              </w:rPr>
              <w:t xml:space="preserve">     d</w:t>
            </w:r>
            <w:r w:rsidR="00EE58DC" w:rsidRPr="00350DF5">
              <w:rPr>
                <w:sz w:val="20"/>
                <w:szCs w:val="20"/>
              </w:rPr>
              <w:t>)</w:t>
            </w:r>
          </w:p>
          <w:p w14:paraId="37B9B83E" w14:textId="77777777" w:rsidR="00EE58DC" w:rsidRPr="00350DF5" w:rsidRDefault="00EE58DC" w:rsidP="008E3C14">
            <w:pPr>
              <w:autoSpaceDE w:val="0"/>
              <w:autoSpaceDN w:val="0"/>
              <w:adjustRightInd w:val="0"/>
              <w:rPr>
                <w:b w:val="0"/>
                <w:sz w:val="20"/>
                <w:szCs w:val="20"/>
              </w:rPr>
            </w:pPr>
            <w:r w:rsidRPr="00350DF5">
              <w:rPr>
                <w:sz w:val="20"/>
                <w:szCs w:val="20"/>
              </w:rPr>
              <w:t xml:space="preserve">     </w:t>
            </w:r>
          </w:p>
        </w:tc>
        <w:tc>
          <w:tcPr>
            <w:tcW w:w="7300" w:type="dxa"/>
          </w:tcPr>
          <w:p w14:paraId="60107A00" w14:textId="02E85999" w:rsidR="0052798B" w:rsidRPr="00350DF5" w:rsidRDefault="00312070" w:rsidP="008E3C14">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350DF5">
              <w:rPr>
                <w:sz w:val="20"/>
                <w:szCs w:val="20"/>
              </w:rPr>
              <w:t>Other standing committees (CSR, Risk, and Disclosure committees</w:t>
            </w:r>
            <w:r w:rsidR="0052798B" w:rsidRPr="00350DF5">
              <w:rPr>
                <w:sz w:val="20"/>
                <w:szCs w:val="20"/>
              </w:rPr>
              <w:t xml:space="preserve"> were dichotomous variables where 1 = Presence and 0 = otherwise</w:t>
            </w:r>
            <w:r w:rsidRPr="00350DF5">
              <w:rPr>
                <w:sz w:val="20"/>
                <w:szCs w:val="20"/>
              </w:rPr>
              <w:t>)</w:t>
            </w:r>
          </w:p>
        </w:tc>
      </w:tr>
    </w:tbl>
    <w:p w14:paraId="2BCE067E" w14:textId="77777777" w:rsidR="008E3C14" w:rsidRDefault="008E3C14" w:rsidP="00D91D29">
      <w:pPr>
        <w:autoSpaceDE w:val="0"/>
        <w:autoSpaceDN w:val="0"/>
        <w:adjustRightInd w:val="0"/>
        <w:rPr>
          <w:rFonts w:eastAsia="Calibri"/>
          <w:sz w:val="16"/>
          <w:szCs w:val="16"/>
          <w:lang w:eastAsia="en-GB"/>
        </w:rPr>
      </w:pPr>
    </w:p>
    <w:p w14:paraId="766B4D9E" w14:textId="1CD0D4BD" w:rsidR="00D91D29" w:rsidRPr="00790CEA" w:rsidRDefault="00D91D29" w:rsidP="00D91D29">
      <w:pPr>
        <w:autoSpaceDE w:val="0"/>
        <w:autoSpaceDN w:val="0"/>
        <w:adjustRightInd w:val="0"/>
        <w:rPr>
          <w:rFonts w:eastAsia="Calibri"/>
          <w:sz w:val="16"/>
          <w:szCs w:val="16"/>
          <w:lang w:eastAsia="en-GB"/>
        </w:rPr>
      </w:pPr>
      <w:r w:rsidRPr="00790CEA">
        <w:rPr>
          <w:rFonts w:eastAsia="Calibri"/>
          <w:sz w:val="16"/>
          <w:szCs w:val="16"/>
          <w:lang w:eastAsia="en-GB"/>
        </w:rPr>
        <w:t>Adapted from: (</w:t>
      </w:r>
      <w:r w:rsidR="003602A4" w:rsidRPr="00790CEA">
        <w:rPr>
          <w:rFonts w:eastAsia="Calibri"/>
          <w:sz w:val="16"/>
          <w:szCs w:val="16"/>
          <w:lang w:eastAsia="en-GB"/>
        </w:rPr>
        <w:t xml:space="preserve">Deegan </w:t>
      </w:r>
      <w:r w:rsidR="00E66ADC">
        <w:rPr>
          <w:sz w:val="16"/>
          <w:szCs w:val="16"/>
          <w:lang w:eastAsia="en-GB"/>
        </w:rPr>
        <w:t>and</w:t>
      </w:r>
      <w:r w:rsidR="003602A4" w:rsidRPr="00790CEA">
        <w:rPr>
          <w:rFonts w:eastAsia="Calibri"/>
          <w:sz w:val="16"/>
          <w:szCs w:val="16"/>
          <w:lang w:eastAsia="en-GB"/>
        </w:rPr>
        <w:t xml:space="preserve"> Gordon, 1996; </w:t>
      </w:r>
      <w:proofErr w:type="spellStart"/>
      <w:r w:rsidR="003602A4" w:rsidRPr="00790CEA">
        <w:rPr>
          <w:rFonts w:eastAsia="Calibri"/>
          <w:sz w:val="16"/>
          <w:szCs w:val="16"/>
          <w:lang w:eastAsia="en-GB"/>
        </w:rPr>
        <w:t>Gray</w:t>
      </w:r>
      <w:proofErr w:type="spellEnd"/>
      <w:r w:rsidR="003602A4" w:rsidRPr="00790CEA">
        <w:rPr>
          <w:rFonts w:eastAsia="Calibri"/>
          <w:sz w:val="16"/>
          <w:szCs w:val="16"/>
          <w:lang w:eastAsia="en-GB"/>
        </w:rPr>
        <w:t xml:space="preserve">, </w:t>
      </w:r>
      <w:r w:rsidR="003602A4" w:rsidRPr="00AC5578">
        <w:rPr>
          <w:rFonts w:eastAsia="Calibri"/>
          <w:sz w:val="16"/>
          <w:szCs w:val="16"/>
          <w:lang w:eastAsia="en-GB"/>
        </w:rPr>
        <w:t>et al</w:t>
      </w:r>
      <w:r w:rsidR="003602A4" w:rsidRPr="00790CEA">
        <w:rPr>
          <w:rFonts w:eastAsia="Calibri"/>
          <w:sz w:val="16"/>
          <w:szCs w:val="16"/>
          <w:lang w:eastAsia="en-GB"/>
        </w:rPr>
        <w:t xml:space="preserve">., 1995; </w:t>
      </w:r>
      <w:proofErr w:type="spellStart"/>
      <w:r w:rsidR="003602A4" w:rsidRPr="00790CEA">
        <w:rPr>
          <w:rFonts w:eastAsia="Calibri"/>
          <w:sz w:val="16"/>
          <w:szCs w:val="16"/>
          <w:lang w:eastAsia="en-GB"/>
        </w:rPr>
        <w:t>Hackston</w:t>
      </w:r>
      <w:proofErr w:type="spellEnd"/>
      <w:r w:rsidR="003602A4" w:rsidRPr="00790CEA">
        <w:rPr>
          <w:rFonts w:eastAsia="Calibri"/>
          <w:sz w:val="16"/>
          <w:szCs w:val="16"/>
          <w:lang w:eastAsia="en-GB"/>
        </w:rPr>
        <w:t xml:space="preserve"> </w:t>
      </w:r>
      <w:r w:rsidR="00E66ADC">
        <w:rPr>
          <w:sz w:val="16"/>
          <w:szCs w:val="16"/>
          <w:lang w:eastAsia="en-GB"/>
        </w:rPr>
        <w:t>and</w:t>
      </w:r>
      <w:r w:rsidR="003602A4" w:rsidRPr="00790CEA">
        <w:rPr>
          <w:rFonts w:eastAsia="Calibri"/>
          <w:sz w:val="16"/>
          <w:szCs w:val="16"/>
          <w:lang w:eastAsia="en-GB"/>
        </w:rPr>
        <w:t xml:space="preserve"> Milne, 1996</w:t>
      </w:r>
      <w:r w:rsidR="003602A4">
        <w:rPr>
          <w:rFonts w:eastAsia="Calibri"/>
          <w:sz w:val="16"/>
          <w:szCs w:val="16"/>
          <w:lang w:eastAsia="en-GB"/>
        </w:rPr>
        <w:t xml:space="preserve">; </w:t>
      </w:r>
      <w:r w:rsidRPr="00790CEA">
        <w:rPr>
          <w:sz w:val="16"/>
          <w:szCs w:val="16"/>
          <w:lang w:eastAsia="en-GB"/>
        </w:rPr>
        <w:t xml:space="preserve">Ingram </w:t>
      </w:r>
      <w:r w:rsidR="00E66ADC">
        <w:rPr>
          <w:sz w:val="16"/>
          <w:szCs w:val="16"/>
          <w:lang w:eastAsia="en-GB"/>
        </w:rPr>
        <w:t>and</w:t>
      </w:r>
      <w:r w:rsidRPr="00790CEA">
        <w:rPr>
          <w:sz w:val="16"/>
          <w:szCs w:val="16"/>
          <w:lang w:eastAsia="en-GB"/>
        </w:rPr>
        <w:t xml:space="preserve"> Frazier, 1980</w:t>
      </w:r>
      <w:r w:rsidRPr="00790CEA">
        <w:rPr>
          <w:rFonts w:eastAsia="Calibri"/>
          <w:sz w:val="16"/>
          <w:szCs w:val="16"/>
          <w:lang w:eastAsia="en-GB"/>
        </w:rPr>
        <w:t>)</w:t>
      </w:r>
    </w:p>
    <w:p w14:paraId="7842BB4A" w14:textId="77777777" w:rsidR="00A5674E" w:rsidRDefault="00FE370C">
      <w:pPr>
        <w:spacing w:line="276" w:lineRule="auto"/>
        <w:rPr>
          <w:rFonts w:eastAsia="Calibri"/>
          <w:b/>
          <w:lang w:val="en-US"/>
        </w:rPr>
      </w:pPr>
      <w:r w:rsidRPr="008D13EC">
        <w:rPr>
          <w:rFonts w:eastAsia="Calibri"/>
          <w:b/>
          <w:lang w:val="en-US"/>
        </w:rPr>
        <w:t xml:space="preserve">Appendix C: </w:t>
      </w:r>
      <w:proofErr w:type="spellStart"/>
      <w:r w:rsidRPr="008D13EC">
        <w:rPr>
          <w:rFonts w:eastAsia="Calibri"/>
          <w:b/>
          <w:lang w:val="en-US"/>
        </w:rPr>
        <w:t>Breusch</w:t>
      </w:r>
      <w:proofErr w:type="spellEnd"/>
      <w:r w:rsidRPr="008D13EC">
        <w:rPr>
          <w:rFonts w:eastAsia="Calibri"/>
          <w:b/>
          <w:lang w:val="en-US"/>
        </w:rPr>
        <w:t xml:space="preserve"> and Pagan LM Test for Random Effects</w:t>
      </w:r>
    </w:p>
    <w:p w14:paraId="3317F0E2" w14:textId="77777777" w:rsidR="00A5674E" w:rsidRPr="008D13EC" w:rsidRDefault="0026483E">
      <w:pPr>
        <w:spacing w:line="276" w:lineRule="auto"/>
        <w:rPr>
          <w:lang w:val="en-US"/>
        </w:rPr>
      </w:pPr>
      <w:r>
        <w:rPr>
          <w:noProof/>
          <w:lang w:eastAsia="en-GB"/>
        </w:rPr>
        <w:lastRenderedPageBreak/>
        <w:drawing>
          <wp:inline distT="0" distB="0" distL="0" distR="0" wp14:anchorId="38E3FAF3" wp14:editId="1D1EFD8B">
            <wp:extent cx="4629150" cy="1828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629150" cy="1828800"/>
                    </a:xfrm>
                    <a:prstGeom prst="rect">
                      <a:avLst/>
                    </a:prstGeom>
                    <a:solidFill>
                      <a:srgbClr val="FFFFFF"/>
                    </a:solidFill>
                    <a:ln w="9525">
                      <a:noFill/>
                      <a:miter lim="800000"/>
                      <a:headEnd/>
                      <a:tailEnd/>
                    </a:ln>
                  </pic:spPr>
                </pic:pic>
              </a:graphicData>
            </a:graphic>
          </wp:inline>
        </w:drawing>
      </w:r>
    </w:p>
    <w:p w14:paraId="34E5239C" w14:textId="77777777" w:rsidR="00AE5E4B" w:rsidRDefault="00AE5E4B">
      <w:pPr>
        <w:pStyle w:val="ListParagraph"/>
        <w:spacing w:line="276" w:lineRule="auto"/>
        <w:ind w:left="0"/>
        <w:rPr>
          <w:rFonts w:eastAsia="Calibri"/>
          <w:szCs w:val="24"/>
          <w:lang w:val="en-US"/>
        </w:rPr>
      </w:pPr>
    </w:p>
    <w:p w14:paraId="012BE0A7" w14:textId="17D744F9" w:rsidR="00A5674E" w:rsidRDefault="00FE370C">
      <w:pPr>
        <w:spacing w:line="276" w:lineRule="auto"/>
        <w:rPr>
          <w:rFonts w:eastAsia="Calibri"/>
          <w:b/>
          <w:lang w:val="en-US"/>
        </w:rPr>
      </w:pPr>
      <w:r w:rsidRPr="008D13EC">
        <w:rPr>
          <w:rFonts w:eastAsia="Calibri"/>
          <w:b/>
          <w:lang w:val="en-US"/>
        </w:rPr>
        <w:t xml:space="preserve">Appendix D: Box Plot of </w:t>
      </w:r>
      <w:r w:rsidR="003602A4">
        <w:rPr>
          <w:rFonts w:eastAsia="Calibri"/>
          <w:b/>
          <w:lang w:val="en-US"/>
        </w:rPr>
        <w:t>V</w:t>
      </w:r>
      <w:r w:rsidRPr="008D13EC">
        <w:rPr>
          <w:rFonts w:eastAsia="Calibri"/>
          <w:b/>
          <w:lang w:val="en-US"/>
        </w:rPr>
        <w:t xml:space="preserve">ariables </w:t>
      </w:r>
      <w:r w:rsidR="003602A4">
        <w:rPr>
          <w:rFonts w:eastAsia="Calibri"/>
          <w:b/>
          <w:lang w:val="en-US"/>
        </w:rPr>
        <w:t>B</w:t>
      </w:r>
      <w:r w:rsidRPr="008D13EC">
        <w:rPr>
          <w:rFonts w:eastAsia="Calibri"/>
          <w:b/>
          <w:lang w:val="en-US"/>
        </w:rPr>
        <w:t xml:space="preserve">efore and </w:t>
      </w:r>
      <w:r w:rsidR="003602A4">
        <w:rPr>
          <w:rFonts w:eastAsia="Calibri"/>
          <w:b/>
          <w:lang w:val="en-US"/>
        </w:rPr>
        <w:t>A</w:t>
      </w:r>
      <w:r w:rsidRPr="008D13EC">
        <w:rPr>
          <w:rFonts w:eastAsia="Calibri"/>
          <w:b/>
          <w:lang w:val="en-US"/>
        </w:rPr>
        <w:t xml:space="preserve">fter </w:t>
      </w:r>
      <w:r w:rsidR="003602A4">
        <w:rPr>
          <w:rFonts w:eastAsia="Calibri"/>
          <w:b/>
          <w:lang w:val="en-US"/>
        </w:rPr>
        <w:t>T</w:t>
      </w:r>
      <w:r w:rsidRPr="008D13EC">
        <w:rPr>
          <w:rFonts w:eastAsia="Calibri"/>
          <w:b/>
          <w:lang w:val="en-US"/>
        </w:rPr>
        <w:t>ransformation</w:t>
      </w:r>
    </w:p>
    <w:p w14:paraId="7EF9C8D9" w14:textId="77777777" w:rsidR="00A5674E" w:rsidRPr="008D13EC" w:rsidRDefault="0026483E">
      <w:pPr>
        <w:spacing w:line="276" w:lineRule="auto"/>
        <w:jc w:val="both"/>
        <w:rPr>
          <w:rFonts w:eastAsia="Calibri"/>
          <w:b/>
          <w:lang w:val="en-US"/>
        </w:rPr>
      </w:pPr>
      <w:r>
        <w:rPr>
          <w:noProof/>
          <w:lang w:eastAsia="en-GB"/>
        </w:rPr>
        <w:drawing>
          <wp:inline distT="0" distB="0" distL="0" distR="0" wp14:anchorId="48F178FD" wp14:editId="72BB644A">
            <wp:extent cx="2819400" cy="23145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819400" cy="2314575"/>
                    </a:xfrm>
                    <a:prstGeom prst="rect">
                      <a:avLst/>
                    </a:prstGeom>
                    <a:solidFill>
                      <a:srgbClr val="FFFFFF"/>
                    </a:solidFill>
                    <a:ln w="9525">
                      <a:noFill/>
                      <a:miter lim="800000"/>
                      <a:headEnd/>
                      <a:tailEnd/>
                    </a:ln>
                  </pic:spPr>
                </pic:pic>
              </a:graphicData>
            </a:graphic>
          </wp:inline>
        </w:drawing>
      </w:r>
      <w:r w:rsidR="00FE370C" w:rsidRPr="008D13EC">
        <w:rPr>
          <w:lang w:val="en-US"/>
        </w:rPr>
        <w:t xml:space="preserve"> </w:t>
      </w:r>
      <w:r>
        <w:rPr>
          <w:noProof/>
          <w:lang w:eastAsia="en-GB"/>
        </w:rPr>
        <w:drawing>
          <wp:inline distT="0" distB="0" distL="0" distR="0" wp14:anchorId="1A0357AE" wp14:editId="0D477E2A">
            <wp:extent cx="2819400" cy="23241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819400" cy="2324100"/>
                    </a:xfrm>
                    <a:prstGeom prst="rect">
                      <a:avLst/>
                    </a:prstGeom>
                    <a:solidFill>
                      <a:srgbClr val="FFFFFF"/>
                    </a:solidFill>
                    <a:ln w="9525">
                      <a:noFill/>
                      <a:miter lim="800000"/>
                      <a:headEnd/>
                      <a:tailEnd/>
                    </a:ln>
                  </pic:spPr>
                </pic:pic>
              </a:graphicData>
            </a:graphic>
          </wp:inline>
        </w:drawing>
      </w:r>
    </w:p>
    <w:p w14:paraId="4F9B202F" w14:textId="77777777" w:rsidR="00A5674E" w:rsidRDefault="00A5674E">
      <w:pPr>
        <w:spacing w:line="276" w:lineRule="auto"/>
        <w:rPr>
          <w:rFonts w:eastAsia="Calibri"/>
          <w:b/>
          <w:lang w:val="en-US"/>
        </w:rPr>
      </w:pPr>
    </w:p>
    <w:p w14:paraId="5F36D5ED" w14:textId="77777777" w:rsidR="00120167" w:rsidRPr="008D13EC" w:rsidRDefault="00120167">
      <w:pPr>
        <w:spacing w:line="276" w:lineRule="auto"/>
        <w:rPr>
          <w:rFonts w:eastAsia="Calibri"/>
          <w:b/>
          <w:lang w:val="en-US"/>
        </w:rPr>
      </w:pPr>
    </w:p>
    <w:p w14:paraId="4D770DA0" w14:textId="77777777" w:rsidR="00A5674E" w:rsidRDefault="00FE370C">
      <w:pPr>
        <w:spacing w:line="276" w:lineRule="auto"/>
        <w:rPr>
          <w:rFonts w:eastAsia="Calibri"/>
          <w:b/>
          <w:lang w:val="en-US"/>
        </w:rPr>
      </w:pPr>
      <w:r w:rsidRPr="008D13EC">
        <w:rPr>
          <w:rFonts w:eastAsia="Calibri"/>
          <w:b/>
          <w:lang w:val="en-US"/>
        </w:rPr>
        <w:t>Appendix E: Histogram of Residuals</w:t>
      </w:r>
    </w:p>
    <w:p w14:paraId="5BA8925D" w14:textId="77777777" w:rsidR="00A5674E" w:rsidRPr="008D13EC" w:rsidRDefault="0026483E">
      <w:pPr>
        <w:spacing w:line="276" w:lineRule="auto"/>
        <w:jc w:val="both"/>
        <w:rPr>
          <w:lang w:val="en-US"/>
        </w:rPr>
      </w:pPr>
      <w:r>
        <w:rPr>
          <w:noProof/>
          <w:lang w:eastAsia="en-GB"/>
        </w:rPr>
        <w:drawing>
          <wp:inline distT="0" distB="0" distL="0" distR="0" wp14:anchorId="0ABFBD78" wp14:editId="03C8403E">
            <wp:extent cx="3886200" cy="266505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898853" cy="2673735"/>
                    </a:xfrm>
                    <a:prstGeom prst="rect">
                      <a:avLst/>
                    </a:prstGeom>
                    <a:solidFill>
                      <a:srgbClr val="FFFFFF"/>
                    </a:solidFill>
                    <a:ln w="9525">
                      <a:noFill/>
                      <a:miter lim="800000"/>
                      <a:headEnd/>
                      <a:tailEnd/>
                    </a:ln>
                  </pic:spPr>
                </pic:pic>
              </a:graphicData>
            </a:graphic>
          </wp:inline>
        </w:drawing>
      </w:r>
    </w:p>
    <w:p w14:paraId="608323A6" w14:textId="77777777" w:rsidR="00A5674E" w:rsidRPr="00B82085" w:rsidRDefault="00FE370C">
      <w:pPr>
        <w:pStyle w:val="ListParagraph"/>
        <w:spacing w:before="28" w:after="100" w:line="276" w:lineRule="auto"/>
        <w:ind w:left="113"/>
        <w:rPr>
          <w:color w:val="auto"/>
          <w:szCs w:val="24"/>
          <w:lang w:val="en-US"/>
        </w:rPr>
      </w:pPr>
      <w:r w:rsidRPr="00B82085">
        <w:rPr>
          <w:b/>
          <w:bCs/>
          <w:color w:val="auto"/>
          <w:szCs w:val="24"/>
          <w:lang w:val="en-US"/>
        </w:rPr>
        <w:t>References</w:t>
      </w:r>
    </w:p>
    <w:p w14:paraId="21FB79C3" w14:textId="40A7ADCD" w:rsidR="00A5674E" w:rsidRPr="00517DA1" w:rsidRDefault="00FE370C">
      <w:pPr>
        <w:pStyle w:val="NormalWeb"/>
        <w:spacing w:before="0" w:after="100"/>
        <w:ind w:left="454" w:hanging="454"/>
        <w:rPr>
          <w:color w:val="auto"/>
          <w:lang w:val="en-US"/>
        </w:rPr>
      </w:pPr>
      <w:r w:rsidRPr="00517DA1">
        <w:rPr>
          <w:color w:val="auto"/>
          <w:lang w:val="en-US"/>
        </w:rPr>
        <w:lastRenderedPageBreak/>
        <w:t xml:space="preserve">Abbott, L.J., Parker, S. and Peters, G.F. (2004), “Audit committee characteristics and restatements: a study of efficacy of certain Blue Ribbon Committee recommendations”, </w:t>
      </w:r>
      <w:r w:rsidRPr="00517DA1">
        <w:rPr>
          <w:i/>
          <w:color w:val="auto"/>
          <w:lang w:val="en-US"/>
        </w:rPr>
        <w:t>A Journal of Practice and Theory</w:t>
      </w:r>
      <w:r w:rsidRPr="00517DA1">
        <w:rPr>
          <w:color w:val="auto"/>
          <w:lang w:val="en-US"/>
        </w:rPr>
        <w:t>, 23</w:t>
      </w:r>
      <w:r w:rsidR="00537832" w:rsidRPr="00517DA1">
        <w:rPr>
          <w:color w:val="auto"/>
          <w:lang w:val="en-US"/>
        </w:rPr>
        <w:t>(</w:t>
      </w:r>
      <w:r w:rsidRPr="00517DA1">
        <w:rPr>
          <w:color w:val="auto"/>
          <w:lang w:val="en-US"/>
        </w:rPr>
        <w:t>1</w:t>
      </w:r>
      <w:r w:rsidR="00537832" w:rsidRPr="00517DA1">
        <w:rPr>
          <w:color w:val="auto"/>
          <w:lang w:val="en-US"/>
        </w:rPr>
        <w:t>)</w:t>
      </w:r>
      <w:r w:rsidRPr="00517DA1">
        <w:rPr>
          <w:color w:val="auto"/>
          <w:lang w:val="en-US"/>
        </w:rPr>
        <w:t>, 69-87.</w:t>
      </w:r>
    </w:p>
    <w:p w14:paraId="2F48D5DA" w14:textId="34E5EE3D" w:rsidR="00730CD9" w:rsidRPr="00517DA1" w:rsidRDefault="00FE370C" w:rsidP="00730CD9">
      <w:pPr>
        <w:pStyle w:val="NormalWeb"/>
        <w:spacing w:before="0" w:after="100"/>
        <w:ind w:left="454" w:hanging="454"/>
        <w:rPr>
          <w:color w:val="auto"/>
          <w:lang w:val="en-US"/>
        </w:rPr>
      </w:pPr>
      <w:proofErr w:type="spellStart"/>
      <w:proofErr w:type="gramStart"/>
      <w:r w:rsidRPr="00517DA1">
        <w:rPr>
          <w:color w:val="auto"/>
          <w:lang w:val="en-US"/>
        </w:rPr>
        <w:t>Ajinkya</w:t>
      </w:r>
      <w:proofErr w:type="spellEnd"/>
      <w:r w:rsidRPr="00517DA1">
        <w:rPr>
          <w:color w:val="auto"/>
          <w:lang w:val="en-US"/>
        </w:rPr>
        <w:t xml:space="preserve">, B., </w:t>
      </w:r>
      <w:proofErr w:type="spellStart"/>
      <w:r w:rsidRPr="00517DA1">
        <w:rPr>
          <w:color w:val="auto"/>
          <w:lang w:val="en-US"/>
        </w:rPr>
        <w:t>Bhojraj</w:t>
      </w:r>
      <w:proofErr w:type="spellEnd"/>
      <w:r w:rsidRPr="00517DA1">
        <w:rPr>
          <w:color w:val="auto"/>
          <w:lang w:val="en-US"/>
        </w:rPr>
        <w:t xml:space="preserve">, S. and </w:t>
      </w:r>
      <w:proofErr w:type="spellStart"/>
      <w:r w:rsidRPr="00517DA1">
        <w:rPr>
          <w:color w:val="auto"/>
          <w:lang w:val="en-US"/>
        </w:rPr>
        <w:t>Sengupta</w:t>
      </w:r>
      <w:proofErr w:type="spellEnd"/>
      <w:r w:rsidRPr="00517DA1">
        <w:rPr>
          <w:color w:val="auto"/>
          <w:lang w:val="en-US"/>
        </w:rPr>
        <w:t>, P. (2005).</w:t>
      </w:r>
      <w:proofErr w:type="gramEnd"/>
      <w:r w:rsidRPr="00517DA1">
        <w:rPr>
          <w:color w:val="auto"/>
          <w:lang w:val="en-US"/>
        </w:rPr>
        <w:t xml:space="preserve"> </w:t>
      </w:r>
      <w:proofErr w:type="gramStart"/>
      <w:r w:rsidRPr="00517DA1">
        <w:rPr>
          <w:color w:val="auto"/>
          <w:lang w:val="en-US"/>
        </w:rPr>
        <w:t xml:space="preserve">The Association between Outside </w:t>
      </w:r>
      <w:r w:rsidR="003F7F9D" w:rsidRPr="00517DA1">
        <w:rPr>
          <w:color w:val="auto"/>
          <w:lang w:val="en-US"/>
        </w:rPr>
        <w:t>Directors,</w:t>
      </w:r>
      <w:r w:rsidRPr="00517DA1">
        <w:rPr>
          <w:color w:val="auto"/>
          <w:lang w:val="en-US"/>
        </w:rPr>
        <w:t xml:space="preserve"> Institutional Investors and the Properties of Management Earnings Forecasts.</w:t>
      </w:r>
      <w:proofErr w:type="gramEnd"/>
      <w:r w:rsidRPr="00517DA1">
        <w:rPr>
          <w:color w:val="auto"/>
          <w:lang w:val="en-US"/>
        </w:rPr>
        <w:t xml:space="preserve"> </w:t>
      </w:r>
      <w:r w:rsidRPr="00517DA1">
        <w:rPr>
          <w:i/>
          <w:iCs/>
          <w:color w:val="auto"/>
          <w:lang w:val="en-US"/>
        </w:rPr>
        <w:t>Journal of Accounting Research</w:t>
      </w:r>
      <w:r w:rsidRPr="00517DA1">
        <w:rPr>
          <w:color w:val="auto"/>
          <w:lang w:val="en-US"/>
        </w:rPr>
        <w:t xml:space="preserve">, </w:t>
      </w:r>
      <w:r w:rsidRPr="00517DA1">
        <w:rPr>
          <w:iCs/>
          <w:color w:val="auto"/>
          <w:lang w:val="en-US"/>
        </w:rPr>
        <w:t>43</w:t>
      </w:r>
      <w:r w:rsidRPr="00517DA1">
        <w:rPr>
          <w:color w:val="auto"/>
          <w:lang w:val="en-US"/>
        </w:rPr>
        <w:t xml:space="preserve">(3), 343–376. </w:t>
      </w:r>
    </w:p>
    <w:p w14:paraId="49810638" w14:textId="77777777" w:rsidR="00730CD9" w:rsidRPr="00517DA1" w:rsidRDefault="00730CD9" w:rsidP="00730CD9">
      <w:pPr>
        <w:pStyle w:val="NormalWeb"/>
        <w:spacing w:before="0" w:after="100"/>
        <w:ind w:left="454" w:hanging="454"/>
        <w:rPr>
          <w:rStyle w:val="HTMLCite"/>
        </w:rPr>
      </w:pPr>
      <w:proofErr w:type="gramStart"/>
      <w:r w:rsidRPr="00517DA1">
        <w:rPr>
          <w:rStyle w:val="HTMLCite"/>
          <w:i w:val="0"/>
        </w:rPr>
        <w:t xml:space="preserve">Alexander, J. A., Weiner, B. J. and </w:t>
      </w:r>
      <w:proofErr w:type="spellStart"/>
      <w:r w:rsidRPr="00517DA1">
        <w:rPr>
          <w:rStyle w:val="HTMLCite"/>
          <w:i w:val="0"/>
        </w:rPr>
        <w:t>Succi</w:t>
      </w:r>
      <w:proofErr w:type="spellEnd"/>
      <w:r w:rsidRPr="00517DA1">
        <w:rPr>
          <w:rStyle w:val="HTMLCite"/>
          <w:i w:val="0"/>
        </w:rPr>
        <w:t>, M.</w:t>
      </w:r>
      <w:r w:rsidRPr="00517DA1">
        <w:rPr>
          <w:rStyle w:val="HTMLCite"/>
        </w:rPr>
        <w:t xml:space="preserve"> (</w:t>
      </w:r>
      <w:r w:rsidRPr="00517DA1">
        <w:rPr>
          <w:rStyle w:val="cit-pub-date"/>
          <w:iCs/>
        </w:rPr>
        <w:t>2000</w:t>
      </w:r>
      <w:r w:rsidRPr="00517DA1">
        <w:rPr>
          <w:rStyle w:val="HTMLCite"/>
        </w:rPr>
        <w:t>).</w:t>
      </w:r>
      <w:proofErr w:type="gramEnd"/>
      <w:r w:rsidRPr="00517DA1">
        <w:rPr>
          <w:rStyle w:val="HTMLCite"/>
        </w:rPr>
        <w:t xml:space="preserve"> </w:t>
      </w:r>
      <w:r w:rsidRPr="00517DA1">
        <w:rPr>
          <w:rStyle w:val="HTMLCite"/>
          <w:i w:val="0"/>
        </w:rPr>
        <w:t>Community accountability among hospitals affiliated with health care systems</w:t>
      </w:r>
      <w:r w:rsidRPr="00517DA1">
        <w:rPr>
          <w:rStyle w:val="HTMLCite"/>
        </w:rPr>
        <w:t xml:space="preserve">. </w:t>
      </w:r>
      <w:r w:rsidRPr="00517DA1">
        <w:rPr>
          <w:rStyle w:val="cit-source"/>
          <w:i/>
          <w:iCs/>
        </w:rPr>
        <w:t>The Milbank Quarterly</w:t>
      </w:r>
      <w:r w:rsidRPr="00517DA1">
        <w:rPr>
          <w:rStyle w:val="HTMLCite"/>
        </w:rPr>
        <w:t xml:space="preserve">, </w:t>
      </w:r>
      <w:r w:rsidRPr="00517DA1">
        <w:rPr>
          <w:rStyle w:val="cit-vol5"/>
          <w:iCs/>
        </w:rPr>
        <w:t>78</w:t>
      </w:r>
      <w:r w:rsidRPr="00517DA1">
        <w:rPr>
          <w:rStyle w:val="HTMLCite"/>
        </w:rPr>
        <w:t xml:space="preserve">, </w:t>
      </w:r>
      <w:r w:rsidRPr="00517DA1">
        <w:rPr>
          <w:rStyle w:val="cit-fpage"/>
          <w:iCs/>
        </w:rPr>
        <w:t>157</w:t>
      </w:r>
      <w:r w:rsidRPr="00517DA1">
        <w:rPr>
          <w:rStyle w:val="HTMLCite"/>
        </w:rPr>
        <w:t>-184.</w:t>
      </w:r>
    </w:p>
    <w:p w14:paraId="694260A4" w14:textId="75D874DF" w:rsidR="00A5674E" w:rsidRPr="00517DA1" w:rsidRDefault="00FE370C" w:rsidP="00730CD9">
      <w:pPr>
        <w:pStyle w:val="NormalWeb"/>
        <w:spacing w:before="0" w:after="100"/>
        <w:ind w:left="454" w:hanging="454"/>
        <w:rPr>
          <w:color w:val="auto"/>
          <w:lang w:val="en-US"/>
        </w:rPr>
      </w:pPr>
      <w:r w:rsidRPr="00517DA1">
        <w:rPr>
          <w:color w:val="auto"/>
          <w:lang w:val="en-US"/>
        </w:rPr>
        <w:t xml:space="preserve">Altman, B. W. (2000). Defining “Community as Stakeholder” and Community Stakeholder Management: A Theory Elaboration Study. . </w:t>
      </w:r>
      <w:r w:rsidRPr="00517DA1">
        <w:rPr>
          <w:i/>
          <w:iCs/>
          <w:color w:val="auto"/>
          <w:lang w:val="en-US"/>
        </w:rPr>
        <w:t>Research in Stakeholder Theory 1997-1998</w:t>
      </w:r>
      <w:r w:rsidR="003F7F9D" w:rsidRPr="00517DA1">
        <w:rPr>
          <w:i/>
          <w:iCs/>
          <w:color w:val="auto"/>
          <w:lang w:val="en-US"/>
        </w:rPr>
        <w:t>,</w:t>
      </w:r>
      <w:r w:rsidRPr="00517DA1">
        <w:rPr>
          <w:color w:val="auto"/>
          <w:lang w:val="en-US"/>
        </w:rPr>
        <w:t xml:space="preserve"> Clarkson Centre for Business Ethics 2000</w:t>
      </w:r>
      <w:r w:rsidR="003F7F9D" w:rsidRPr="00517DA1">
        <w:rPr>
          <w:color w:val="auto"/>
          <w:lang w:val="en-US"/>
        </w:rPr>
        <w:t>:</w:t>
      </w:r>
      <w:r w:rsidRPr="00517DA1">
        <w:rPr>
          <w:color w:val="auto"/>
          <w:lang w:val="en-US"/>
        </w:rPr>
        <w:t xml:space="preserve"> University of Toronto. </w:t>
      </w:r>
      <w:proofErr w:type="gramStart"/>
      <w:r w:rsidRPr="00517DA1">
        <w:rPr>
          <w:color w:val="auto"/>
          <w:lang w:val="en-US"/>
        </w:rPr>
        <w:t>ISBN 0-7727-8610-0 (paper).</w:t>
      </w:r>
      <w:proofErr w:type="gramEnd"/>
    </w:p>
    <w:p w14:paraId="32825057" w14:textId="77777777" w:rsidR="00A5674E" w:rsidRPr="00517DA1" w:rsidRDefault="00FE370C">
      <w:pPr>
        <w:pStyle w:val="NormalWeb"/>
        <w:spacing w:before="0" w:after="100"/>
        <w:ind w:left="454" w:hanging="454"/>
        <w:rPr>
          <w:color w:val="auto"/>
          <w:lang w:val="en-US"/>
        </w:rPr>
      </w:pPr>
      <w:proofErr w:type="spellStart"/>
      <w:r w:rsidRPr="00517DA1">
        <w:rPr>
          <w:color w:val="auto"/>
          <w:lang w:val="en-US"/>
        </w:rPr>
        <w:t>Baltagi</w:t>
      </w:r>
      <w:proofErr w:type="spellEnd"/>
      <w:r w:rsidRPr="00517DA1">
        <w:rPr>
          <w:color w:val="auto"/>
          <w:lang w:val="en-US"/>
        </w:rPr>
        <w:t xml:space="preserve">, B. H. (2005) </w:t>
      </w:r>
      <w:r w:rsidRPr="00517DA1">
        <w:rPr>
          <w:i/>
          <w:color w:val="auto"/>
          <w:lang w:val="en-US"/>
        </w:rPr>
        <w:t>Econometric analysis of panel data</w:t>
      </w:r>
      <w:r w:rsidRPr="00517DA1">
        <w:rPr>
          <w:color w:val="auto"/>
          <w:lang w:val="en-US"/>
        </w:rPr>
        <w:t xml:space="preserve"> — 3rd ed. John Wiley and Sons</w:t>
      </w:r>
    </w:p>
    <w:p w14:paraId="4C50EE80" w14:textId="77777777" w:rsidR="00A5674E" w:rsidRPr="00517DA1" w:rsidRDefault="00FE370C">
      <w:pPr>
        <w:pStyle w:val="NormalWeb"/>
        <w:spacing w:before="0" w:after="100"/>
        <w:ind w:left="454" w:hanging="454"/>
        <w:rPr>
          <w:color w:val="auto"/>
          <w:lang w:val="en-US"/>
        </w:rPr>
      </w:pPr>
      <w:r w:rsidRPr="00517DA1">
        <w:rPr>
          <w:color w:val="auto"/>
          <w:lang w:val="en-US"/>
        </w:rPr>
        <w:t xml:space="preserve">Beattie, V., </w:t>
      </w:r>
      <w:proofErr w:type="spellStart"/>
      <w:r w:rsidRPr="00517DA1">
        <w:rPr>
          <w:color w:val="auto"/>
          <w:lang w:val="en-US"/>
        </w:rPr>
        <w:t>McInnes</w:t>
      </w:r>
      <w:proofErr w:type="spellEnd"/>
      <w:r w:rsidRPr="00517DA1">
        <w:rPr>
          <w:color w:val="auto"/>
          <w:lang w:val="en-US"/>
        </w:rPr>
        <w:t xml:space="preserve">, B., and </w:t>
      </w:r>
      <w:proofErr w:type="spellStart"/>
      <w:r w:rsidRPr="00517DA1">
        <w:rPr>
          <w:color w:val="auto"/>
          <w:lang w:val="en-US"/>
        </w:rPr>
        <w:t>Fearnley</w:t>
      </w:r>
      <w:proofErr w:type="spellEnd"/>
      <w:r w:rsidRPr="00517DA1">
        <w:rPr>
          <w:color w:val="auto"/>
          <w:lang w:val="en-US"/>
        </w:rPr>
        <w:t xml:space="preserve">, S. (2004). A methodology for </w:t>
      </w:r>
      <w:proofErr w:type="spellStart"/>
      <w:r w:rsidRPr="00517DA1">
        <w:rPr>
          <w:color w:val="auto"/>
          <w:lang w:val="en-US"/>
        </w:rPr>
        <w:t>analysing</w:t>
      </w:r>
      <w:proofErr w:type="spellEnd"/>
      <w:r w:rsidRPr="00517DA1">
        <w:rPr>
          <w:color w:val="auto"/>
          <w:lang w:val="en-US"/>
        </w:rPr>
        <w:t xml:space="preserve"> and evaluating narratives in annual reports: a comprehensive descriptive profile and metrics for disclosure quality attributes. </w:t>
      </w:r>
      <w:proofErr w:type="gramStart"/>
      <w:r w:rsidRPr="00517DA1">
        <w:rPr>
          <w:i/>
          <w:iCs/>
          <w:color w:val="auto"/>
          <w:lang w:val="en-US"/>
        </w:rPr>
        <w:t>Accounting Forum</w:t>
      </w:r>
      <w:r w:rsidRPr="00517DA1">
        <w:rPr>
          <w:color w:val="auto"/>
          <w:lang w:val="en-US"/>
        </w:rPr>
        <w:t xml:space="preserve">, </w:t>
      </w:r>
      <w:r w:rsidRPr="00517DA1">
        <w:rPr>
          <w:i/>
          <w:iCs/>
          <w:color w:val="auto"/>
          <w:lang w:val="en-US"/>
        </w:rPr>
        <w:t>28</w:t>
      </w:r>
      <w:r w:rsidRPr="00517DA1">
        <w:rPr>
          <w:color w:val="auto"/>
          <w:lang w:val="en-US"/>
        </w:rPr>
        <w:t>(3), 205–236.</w:t>
      </w:r>
      <w:proofErr w:type="gramEnd"/>
      <w:r w:rsidRPr="00517DA1">
        <w:rPr>
          <w:color w:val="auto"/>
          <w:lang w:val="en-US"/>
        </w:rPr>
        <w:t xml:space="preserve"> </w:t>
      </w:r>
    </w:p>
    <w:p w14:paraId="57DA769F" w14:textId="77777777" w:rsidR="00A5674E" w:rsidRPr="00517DA1" w:rsidRDefault="00FE370C">
      <w:pPr>
        <w:pStyle w:val="NormalWeb"/>
        <w:spacing w:before="0" w:after="100"/>
        <w:ind w:left="454" w:hanging="454"/>
        <w:rPr>
          <w:color w:val="auto"/>
          <w:lang w:val="en-US"/>
        </w:rPr>
      </w:pPr>
      <w:proofErr w:type="spellStart"/>
      <w:proofErr w:type="gramStart"/>
      <w:r w:rsidRPr="00517DA1">
        <w:rPr>
          <w:color w:val="auto"/>
          <w:lang w:val="en-US"/>
        </w:rPr>
        <w:t>Bebbington</w:t>
      </w:r>
      <w:proofErr w:type="spellEnd"/>
      <w:r w:rsidRPr="00517DA1">
        <w:rPr>
          <w:color w:val="auto"/>
          <w:lang w:val="en-US"/>
        </w:rPr>
        <w:t xml:space="preserve">, J., Larrinaga-González, C., and </w:t>
      </w:r>
      <w:proofErr w:type="spellStart"/>
      <w:r w:rsidRPr="00517DA1">
        <w:rPr>
          <w:color w:val="auto"/>
          <w:lang w:val="en-US"/>
        </w:rPr>
        <w:t>Moneva-Abadía</w:t>
      </w:r>
      <w:proofErr w:type="spellEnd"/>
      <w:r w:rsidRPr="00517DA1">
        <w:rPr>
          <w:color w:val="auto"/>
          <w:lang w:val="en-US"/>
        </w:rPr>
        <w:t>, J. M. (2008).</w:t>
      </w:r>
      <w:proofErr w:type="gramEnd"/>
      <w:r w:rsidRPr="00517DA1">
        <w:rPr>
          <w:color w:val="auto"/>
          <w:lang w:val="en-US"/>
        </w:rPr>
        <w:t xml:space="preserve"> Corporate social reporting and reputation risk management. </w:t>
      </w:r>
      <w:proofErr w:type="gramStart"/>
      <w:r w:rsidRPr="00517DA1">
        <w:rPr>
          <w:i/>
          <w:iCs/>
          <w:color w:val="auto"/>
          <w:lang w:val="en-US"/>
        </w:rPr>
        <w:t>Accounting, Auditing and Accountability Journal</w:t>
      </w:r>
      <w:r w:rsidRPr="00517DA1">
        <w:rPr>
          <w:color w:val="auto"/>
          <w:lang w:val="en-US"/>
        </w:rPr>
        <w:t xml:space="preserve">, </w:t>
      </w:r>
      <w:r w:rsidRPr="00517DA1">
        <w:rPr>
          <w:i/>
          <w:iCs/>
          <w:color w:val="auto"/>
          <w:lang w:val="en-US"/>
        </w:rPr>
        <w:t>21</w:t>
      </w:r>
      <w:r w:rsidRPr="00517DA1">
        <w:rPr>
          <w:color w:val="auto"/>
          <w:lang w:val="en-US"/>
        </w:rPr>
        <w:t>(3), 337–361.</w:t>
      </w:r>
      <w:proofErr w:type="gramEnd"/>
      <w:r w:rsidRPr="00517DA1">
        <w:rPr>
          <w:color w:val="auto"/>
          <w:lang w:val="en-US"/>
        </w:rPr>
        <w:t xml:space="preserve"> </w:t>
      </w:r>
    </w:p>
    <w:p w14:paraId="22266691" w14:textId="77777777" w:rsidR="00A5674E" w:rsidRPr="00517DA1" w:rsidRDefault="00FE370C">
      <w:pPr>
        <w:spacing w:after="240"/>
        <w:ind w:left="720" w:hanging="720"/>
        <w:rPr>
          <w:color w:val="auto"/>
          <w:lang w:val="en-US"/>
        </w:rPr>
      </w:pPr>
      <w:proofErr w:type="gramStart"/>
      <w:r w:rsidRPr="00517DA1">
        <w:rPr>
          <w:color w:val="auto"/>
          <w:lang w:val="en-US"/>
        </w:rPr>
        <w:t xml:space="preserve">Beretta, S., and S. </w:t>
      </w:r>
      <w:proofErr w:type="spellStart"/>
      <w:r w:rsidRPr="00517DA1">
        <w:rPr>
          <w:color w:val="auto"/>
          <w:lang w:val="en-US"/>
        </w:rPr>
        <w:t>Bozzolan</w:t>
      </w:r>
      <w:proofErr w:type="spellEnd"/>
      <w:r w:rsidRPr="00517DA1">
        <w:rPr>
          <w:color w:val="auto"/>
          <w:lang w:val="en-US"/>
        </w:rPr>
        <w:t>.</w:t>
      </w:r>
      <w:proofErr w:type="gramEnd"/>
      <w:r w:rsidRPr="00517DA1">
        <w:rPr>
          <w:color w:val="auto"/>
          <w:lang w:val="en-US"/>
        </w:rPr>
        <w:t xml:space="preserve"> (2008) “Quality versus quantity: The case of forward-looking disclosure” </w:t>
      </w:r>
      <w:r w:rsidRPr="00517DA1">
        <w:rPr>
          <w:i/>
          <w:iCs/>
          <w:color w:val="auto"/>
          <w:lang w:val="en-US"/>
        </w:rPr>
        <w:t xml:space="preserve">Journal of Accounting, Auditing and Finance </w:t>
      </w:r>
      <w:r w:rsidRPr="00517DA1">
        <w:rPr>
          <w:color w:val="auto"/>
          <w:lang w:val="en-US"/>
        </w:rPr>
        <w:t>23(3), 333-375</w:t>
      </w:r>
    </w:p>
    <w:p w14:paraId="07E84A42" w14:textId="77777777" w:rsidR="005B1A56" w:rsidRPr="00517DA1" w:rsidRDefault="00FE370C" w:rsidP="005B1A56">
      <w:pPr>
        <w:spacing w:after="240"/>
        <w:ind w:left="720" w:hanging="720"/>
        <w:rPr>
          <w:color w:val="auto"/>
          <w:lang w:val="en-US"/>
        </w:rPr>
      </w:pPr>
      <w:r w:rsidRPr="00517DA1">
        <w:rPr>
          <w:color w:val="auto"/>
          <w:lang w:val="en-US"/>
        </w:rPr>
        <w:t xml:space="preserve">Blue Ribbon Committee (1999), </w:t>
      </w:r>
      <w:r w:rsidRPr="00517DA1">
        <w:rPr>
          <w:i/>
          <w:color w:val="auto"/>
          <w:lang w:val="en-US"/>
        </w:rPr>
        <w:t>Reports and Recommendations of the Blue Ribbon Committee on Improving the Effectiveness of Corporate Audit Committees</w:t>
      </w:r>
      <w:r w:rsidRPr="00517DA1">
        <w:rPr>
          <w:color w:val="auto"/>
          <w:lang w:val="en-US"/>
        </w:rPr>
        <w:t xml:space="preserve">, New York Stock Exchange, New York, NY. </w:t>
      </w:r>
    </w:p>
    <w:p w14:paraId="2715DCCF" w14:textId="75757627" w:rsidR="00E66ADC" w:rsidRPr="00517DA1" w:rsidRDefault="00FE370C" w:rsidP="005B1A56">
      <w:pPr>
        <w:spacing w:after="240"/>
        <w:ind w:left="720" w:hanging="720"/>
        <w:rPr>
          <w:color w:val="auto"/>
          <w:lang w:val="en-US"/>
        </w:rPr>
      </w:pPr>
      <w:proofErr w:type="spellStart"/>
      <w:r w:rsidRPr="00517DA1">
        <w:rPr>
          <w:color w:val="auto"/>
          <w:lang w:val="en-US"/>
        </w:rPr>
        <w:t>Breusch</w:t>
      </w:r>
      <w:proofErr w:type="spellEnd"/>
      <w:r w:rsidRPr="00517DA1">
        <w:rPr>
          <w:color w:val="auto"/>
          <w:lang w:val="en-US"/>
        </w:rPr>
        <w:t xml:space="preserve"> T.S. and Pagan A.R. (1980), “The Lagrange Multiplier Test and its Applications to Model Specification in Econometrics”, </w:t>
      </w:r>
      <w:r w:rsidRPr="00517DA1">
        <w:rPr>
          <w:i/>
          <w:color w:val="auto"/>
          <w:lang w:val="en-US"/>
        </w:rPr>
        <w:t>Review of Economic Studies</w:t>
      </w:r>
      <w:r w:rsidRPr="00517DA1">
        <w:rPr>
          <w:color w:val="auto"/>
          <w:lang w:val="en-US"/>
        </w:rPr>
        <w:t>, 47, 239-254.</w:t>
      </w:r>
    </w:p>
    <w:p w14:paraId="0D4F0F32" w14:textId="77777777" w:rsidR="00895897" w:rsidRPr="00517DA1" w:rsidRDefault="00E66ADC" w:rsidP="00895897">
      <w:pPr>
        <w:pStyle w:val="NormalWeb"/>
        <w:spacing w:before="0" w:after="100"/>
        <w:ind w:left="454" w:hanging="454"/>
        <w:rPr>
          <w:color w:val="auto"/>
        </w:rPr>
      </w:pPr>
      <w:proofErr w:type="spellStart"/>
      <w:r w:rsidRPr="00517DA1">
        <w:rPr>
          <w:color w:val="auto"/>
        </w:rPr>
        <w:t>Bryman</w:t>
      </w:r>
      <w:proofErr w:type="spellEnd"/>
      <w:r w:rsidRPr="00517DA1">
        <w:rPr>
          <w:color w:val="auto"/>
        </w:rPr>
        <w:t xml:space="preserve">, A. and Bell, E., (2007), </w:t>
      </w:r>
      <w:r w:rsidRPr="00517DA1">
        <w:rPr>
          <w:i/>
          <w:color w:val="auto"/>
        </w:rPr>
        <w:t>Business Research Methods</w:t>
      </w:r>
      <w:r w:rsidRPr="00517DA1">
        <w:rPr>
          <w:color w:val="auto"/>
        </w:rPr>
        <w:t>, (2nd Ed) Oxford: Oxford University Press</w:t>
      </w:r>
    </w:p>
    <w:p w14:paraId="0D58BDE4" w14:textId="2D06B02E" w:rsidR="00895897" w:rsidRPr="00517DA1" w:rsidRDefault="00895897" w:rsidP="00895897">
      <w:pPr>
        <w:pStyle w:val="NormalWeb"/>
        <w:spacing w:before="0" w:after="100"/>
        <w:ind w:left="454" w:hanging="454"/>
        <w:rPr>
          <w:color w:val="auto"/>
          <w:lang w:val="en-US"/>
        </w:rPr>
      </w:pPr>
      <w:proofErr w:type="gramStart"/>
      <w:r w:rsidRPr="00517DA1">
        <w:t>Bush, G., Grayson, D., Jordan, A., and Nelson, J. (2008) “Engaging business in the community – not a quick fix” The Smith Institute monograph.</w:t>
      </w:r>
      <w:proofErr w:type="gramEnd"/>
      <w:r w:rsidRPr="00517DA1">
        <w:t xml:space="preserve"> ISBN 1 905370 30 X</w:t>
      </w:r>
    </w:p>
    <w:p w14:paraId="704C7F33" w14:textId="77777777" w:rsidR="00A5674E" w:rsidRPr="00517DA1" w:rsidRDefault="00FE370C">
      <w:pPr>
        <w:pStyle w:val="NormalWeb"/>
        <w:spacing w:before="0" w:after="100"/>
        <w:ind w:left="454" w:hanging="454"/>
        <w:rPr>
          <w:color w:val="auto"/>
          <w:lang w:val="en-US"/>
        </w:rPr>
      </w:pPr>
      <w:r w:rsidRPr="00517DA1">
        <w:rPr>
          <w:color w:val="auto"/>
          <w:lang w:val="en-US"/>
        </w:rPr>
        <w:t xml:space="preserve">Campbell, D. J., Moore, G., and Shrives, P. (2006). </w:t>
      </w:r>
      <w:proofErr w:type="gramStart"/>
      <w:r w:rsidRPr="00517DA1">
        <w:rPr>
          <w:color w:val="auto"/>
          <w:lang w:val="en-US"/>
        </w:rPr>
        <w:t>Cross-sectional effects in community disclosure.</w:t>
      </w:r>
      <w:proofErr w:type="gramEnd"/>
      <w:r w:rsidRPr="00517DA1">
        <w:rPr>
          <w:color w:val="auto"/>
          <w:lang w:val="en-US"/>
        </w:rPr>
        <w:t xml:space="preserve"> </w:t>
      </w:r>
      <w:proofErr w:type="gramStart"/>
      <w:r w:rsidRPr="00517DA1">
        <w:rPr>
          <w:i/>
          <w:iCs/>
          <w:color w:val="auto"/>
          <w:lang w:val="en-US"/>
        </w:rPr>
        <w:t>Accounting, Auditing and Accountability Journal</w:t>
      </w:r>
      <w:r w:rsidRPr="00517DA1">
        <w:rPr>
          <w:color w:val="auto"/>
          <w:lang w:val="en-US"/>
        </w:rPr>
        <w:t xml:space="preserve">, </w:t>
      </w:r>
      <w:r w:rsidRPr="00517DA1">
        <w:rPr>
          <w:i/>
          <w:iCs/>
          <w:color w:val="auto"/>
          <w:lang w:val="en-US"/>
        </w:rPr>
        <w:t>19</w:t>
      </w:r>
      <w:r w:rsidRPr="00517DA1">
        <w:rPr>
          <w:color w:val="auto"/>
          <w:lang w:val="en-US"/>
        </w:rPr>
        <w:t>(1), 96–114.</w:t>
      </w:r>
      <w:proofErr w:type="gramEnd"/>
      <w:r w:rsidRPr="00517DA1">
        <w:rPr>
          <w:color w:val="auto"/>
          <w:lang w:val="en-US"/>
        </w:rPr>
        <w:t xml:space="preserve"> </w:t>
      </w:r>
    </w:p>
    <w:p w14:paraId="41B8B1C7" w14:textId="77777777" w:rsidR="00A5674E" w:rsidRPr="00517DA1" w:rsidRDefault="00FE370C">
      <w:pPr>
        <w:pStyle w:val="NormalWeb"/>
        <w:spacing w:before="0" w:after="100"/>
        <w:ind w:left="454" w:hanging="454"/>
        <w:rPr>
          <w:color w:val="auto"/>
          <w:lang w:val="en-US"/>
        </w:rPr>
      </w:pPr>
      <w:proofErr w:type="spellStart"/>
      <w:r w:rsidRPr="00517DA1">
        <w:rPr>
          <w:color w:val="auto"/>
          <w:lang w:val="en-US"/>
        </w:rPr>
        <w:t>Carcello</w:t>
      </w:r>
      <w:proofErr w:type="spellEnd"/>
      <w:r w:rsidRPr="00517DA1">
        <w:rPr>
          <w:color w:val="auto"/>
          <w:lang w:val="en-US"/>
        </w:rPr>
        <w:t xml:space="preserve">, J. V. (2008). </w:t>
      </w:r>
      <w:proofErr w:type="gramStart"/>
      <w:r w:rsidRPr="00517DA1">
        <w:rPr>
          <w:color w:val="auto"/>
          <w:lang w:val="en-US"/>
        </w:rPr>
        <w:t>Governance and the Common Good.</w:t>
      </w:r>
      <w:proofErr w:type="gramEnd"/>
      <w:r w:rsidRPr="00517DA1">
        <w:rPr>
          <w:color w:val="auto"/>
          <w:lang w:val="en-US"/>
        </w:rPr>
        <w:t xml:space="preserve"> </w:t>
      </w:r>
      <w:r w:rsidRPr="00517DA1">
        <w:rPr>
          <w:i/>
          <w:iCs/>
          <w:color w:val="auto"/>
          <w:lang w:val="en-US"/>
        </w:rPr>
        <w:t>Journal of Business Ethics</w:t>
      </w:r>
      <w:r w:rsidRPr="00517DA1">
        <w:rPr>
          <w:color w:val="auto"/>
          <w:lang w:val="en-US"/>
        </w:rPr>
        <w:t xml:space="preserve">, </w:t>
      </w:r>
      <w:r w:rsidRPr="00517DA1">
        <w:rPr>
          <w:i/>
          <w:iCs/>
          <w:color w:val="auto"/>
          <w:lang w:val="en-US"/>
        </w:rPr>
        <w:t>89</w:t>
      </w:r>
      <w:r w:rsidRPr="00517DA1">
        <w:rPr>
          <w:color w:val="auto"/>
          <w:lang w:val="en-US"/>
        </w:rPr>
        <w:t>(S1), 11–18.</w:t>
      </w:r>
    </w:p>
    <w:p w14:paraId="6588E8A5" w14:textId="40CAE861" w:rsidR="00A5674E" w:rsidRPr="00517DA1" w:rsidRDefault="00FE370C">
      <w:pPr>
        <w:pStyle w:val="NormalWeb"/>
        <w:spacing w:before="0" w:after="100"/>
        <w:ind w:left="454" w:hanging="454"/>
        <w:rPr>
          <w:color w:val="auto"/>
          <w:lang w:val="en-US"/>
        </w:rPr>
      </w:pPr>
      <w:r w:rsidRPr="00517DA1">
        <w:rPr>
          <w:color w:val="auto"/>
          <w:lang w:val="en-US"/>
        </w:rPr>
        <w:t>Chen, C.J.P.</w:t>
      </w:r>
      <w:r w:rsidR="00B82085" w:rsidRPr="00517DA1">
        <w:rPr>
          <w:color w:val="auto"/>
          <w:lang w:val="en-US"/>
        </w:rPr>
        <w:t xml:space="preserve"> and</w:t>
      </w:r>
      <w:r w:rsidRPr="00517DA1">
        <w:rPr>
          <w:color w:val="auto"/>
          <w:lang w:val="en-US"/>
        </w:rPr>
        <w:t xml:space="preserve"> </w:t>
      </w:r>
      <w:proofErr w:type="spellStart"/>
      <w:r w:rsidRPr="00517DA1">
        <w:rPr>
          <w:color w:val="auto"/>
          <w:lang w:val="en-US"/>
        </w:rPr>
        <w:t>Jaggi</w:t>
      </w:r>
      <w:proofErr w:type="spellEnd"/>
      <w:r w:rsidRPr="00517DA1">
        <w:rPr>
          <w:color w:val="auto"/>
          <w:lang w:val="en-US"/>
        </w:rPr>
        <w:t xml:space="preserve">, B., (2000). </w:t>
      </w:r>
      <w:proofErr w:type="gramStart"/>
      <w:r w:rsidRPr="00517DA1">
        <w:rPr>
          <w:color w:val="auto"/>
          <w:lang w:val="en-US"/>
        </w:rPr>
        <w:t>Association between independent non-executive directors, family control and ﬁnancial disclosure in Hong Kong.</w:t>
      </w:r>
      <w:proofErr w:type="gramEnd"/>
      <w:r w:rsidRPr="00517DA1">
        <w:rPr>
          <w:color w:val="auto"/>
          <w:lang w:val="en-US"/>
        </w:rPr>
        <w:t xml:space="preserve"> </w:t>
      </w:r>
      <w:proofErr w:type="gramStart"/>
      <w:r w:rsidRPr="00517DA1">
        <w:rPr>
          <w:i/>
          <w:color w:val="auto"/>
          <w:lang w:val="en-US"/>
        </w:rPr>
        <w:t xml:space="preserve">Journal of Accounting and Public Policy </w:t>
      </w:r>
      <w:r w:rsidRPr="00517DA1">
        <w:rPr>
          <w:color w:val="auto"/>
          <w:lang w:val="en-US"/>
        </w:rPr>
        <w:t>19,285–310.</w:t>
      </w:r>
      <w:proofErr w:type="gramEnd"/>
    </w:p>
    <w:p w14:paraId="4D95DAEC" w14:textId="77777777" w:rsidR="00570B15" w:rsidRPr="00517DA1" w:rsidRDefault="00570B15">
      <w:pPr>
        <w:pStyle w:val="NormalWeb"/>
        <w:spacing w:before="0" w:after="100"/>
        <w:ind w:left="454" w:hanging="454"/>
      </w:pPr>
      <w:r w:rsidRPr="00517DA1">
        <w:t xml:space="preserve">Cho, C.H. and Patten, D.M. (2007) </w:t>
      </w:r>
      <w:proofErr w:type="gramStart"/>
      <w:r w:rsidRPr="00517DA1">
        <w:t>The</w:t>
      </w:r>
      <w:proofErr w:type="gramEnd"/>
      <w:r w:rsidRPr="00517DA1">
        <w:t xml:space="preserve"> role of environmental disclosures as tools of legitimacy: A research note. </w:t>
      </w:r>
      <w:r w:rsidRPr="00517DA1">
        <w:rPr>
          <w:i/>
        </w:rPr>
        <w:t>Accounting, Organizations and Society</w:t>
      </w:r>
      <w:r w:rsidRPr="00517DA1">
        <w:t>, 32, 639–647</w:t>
      </w:r>
    </w:p>
    <w:p w14:paraId="5051FB79" w14:textId="08FC65AE" w:rsidR="00A5674E" w:rsidRPr="00517DA1" w:rsidRDefault="00FE370C">
      <w:pPr>
        <w:pStyle w:val="NormalWeb"/>
        <w:spacing w:before="0" w:after="100"/>
        <w:ind w:left="454" w:hanging="454"/>
        <w:rPr>
          <w:bCs/>
          <w:color w:val="auto"/>
          <w:lang w:val="en-US"/>
        </w:rPr>
      </w:pPr>
      <w:r w:rsidRPr="00517DA1">
        <w:rPr>
          <w:color w:val="auto"/>
          <w:lang w:val="en-US"/>
        </w:rPr>
        <w:t xml:space="preserve">Clarkson, M. E. (1995) “A stakeholder framework for </w:t>
      </w:r>
      <w:proofErr w:type="spellStart"/>
      <w:r w:rsidRPr="00517DA1">
        <w:rPr>
          <w:color w:val="auto"/>
          <w:lang w:val="en-US"/>
        </w:rPr>
        <w:t>analysing</w:t>
      </w:r>
      <w:proofErr w:type="spellEnd"/>
      <w:r w:rsidRPr="00517DA1">
        <w:rPr>
          <w:color w:val="auto"/>
          <w:lang w:val="en-US"/>
        </w:rPr>
        <w:t xml:space="preserve"> and evaluating corporate social performance” </w:t>
      </w:r>
      <w:r w:rsidRPr="00517DA1">
        <w:rPr>
          <w:i/>
          <w:color w:val="auto"/>
          <w:lang w:val="en-US"/>
        </w:rPr>
        <w:t>Academy</w:t>
      </w:r>
      <w:r w:rsidRPr="00517DA1">
        <w:rPr>
          <w:i/>
          <w:iCs/>
          <w:color w:val="auto"/>
          <w:lang w:val="en-US"/>
        </w:rPr>
        <w:t xml:space="preserve"> of Management Review </w:t>
      </w:r>
      <w:r w:rsidRPr="00517DA1">
        <w:rPr>
          <w:iCs/>
          <w:color w:val="auto"/>
          <w:lang w:val="en-US"/>
        </w:rPr>
        <w:t>20</w:t>
      </w:r>
      <w:r w:rsidRPr="00517DA1">
        <w:rPr>
          <w:color w:val="auto"/>
          <w:lang w:val="en-US"/>
        </w:rPr>
        <w:t>(1), 92-117</w:t>
      </w:r>
    </w:p>
    <w:p w14:paraId="7429429F" w14:textId="77777777" w:rsidR="00A5674E" w:rsidRPr="00517DA1" w:rsidRDefault="00FE370C">
      <w:pPr>
        <w:pStyle w:val="NormalWeb"/>
        <w:spacing w:before="0" w:after="100"/>
        <w:ind w:left="454" w:hanging="454"/>
        <w:rPr>
          <w:color w:val="auto"/>
          <w:lang w:val="en-US"/>
        </w:rPr>
      </w:pPr>
      <w:r w:rsidRPr="00517DA1">
        <w:rPr>
          <w:bCs/>
          <w:color w:val="auto"/>
          <w:lang w:val="en-US"/>
        </w:rPr>
        <w:lastRenderedPageBreak/>
        <w:t xml:space="preserve">Cooper, S., and Owen, D. (2007) “Corporate social reporting and stakeholder accountability: The missing link”. </w:t>
      </w:r>
      <w:r w:rsidRPr="00517DA1">
        <w:rPr>
          <w:bCs/>
          <w:i/>
          <w:color w:val="auto"/>
          <w:lang w:val="en-US"/>
        </w:rPr>
        <w:t xml:space="preserve">Accounting, </w:t>
      </w:r>
      <w:proofErr w:type="spellStart"/>
      <w:r w:rsidRPr="00517DA1">
        <w:rPr>
          <w:bCs/>
          <w:i/>
          <w:color w:val="auto"/>
          <w:lang w:val="en-US"/>
        </w:rPr>
        <w:t>organisations</w:t>
      </w:r>
      <w:proofErr w:type="spellEnd"/>
      <w:r w:rsidRPr="00517DA1">
        <w:rPr>
          <w:bCs/>
          <w:i/>
          <w:color w:val="auto"/>
          <w:lang w:val="en-US"/>
        </w:rPr>
        <w:t xml:space="preserve"> and society</w:t>
      </w:r>
      <w:r w:rsidRPr="00517DA1">
        <w:rPr>
          <w:bCs/>
          <w:color w:val="auto"/>
          <w:lang w:val="en-US"/>
        </w:rPr>
        <w:t>, 32(7-8), 649-667</w:t>
      </w:r>
    </w:p>
    <w:p w14:paraId="6DEDBCA7" w14:textId="1B60EB2C" w:rsidR="00A5674E" w:rsidRPr="00517DA1" w:rsidRDefault="00B22A9B">
      <w:pPr>
        <w:pStyle w:val="NormalWeb"/>
        <w:spacing w:before="0" w:after="100"/>
        <w:ind w:left="454" w:hanging="454"/>
        <w:rPr>
          <w:color w:val="auto"/>
          <w:lang w:val="en-US"/>
        </w:rPr>
      </w:pPr>
      <w:proofErr w:type="gramStart"/>
      <w:r w:rsidRPr="00517DA1">
        <w:rPr>
          <w:color w:val="auto"/>
          <w:lang w:val="en-US"/>
        </w:rPr>
        <w:t xml:space="preserve">Cormier, D., </w:t>
      </w:r>
      <w:proofErr w:type="spellStart"/>
      <w:r w:rsidRPr="00517DA1">
        <w:rPr>
          <w:color w:val="auto"/>
          <w:lang w:val="en-US"/>
        </w:rPr>
        <w:t>Ledoux</w:t>
      </w:r>
      <w:proofErr w:type="spellEnd"/>
      <w:r w:rsidRPr="00517DA1">
        <w:rPr>
          <w:color w:val="auto"/>
          <w:lang w:val="en-US"/>
        </w:rPr>
        <w:t>, M. J.</w:t>
      </w:r>
      <w:r w:rsidR="00FE370C" w:rsidRPr="00517DA1">
        <w:rPr>
          <w:color w:val="auto"/>
          <w:lang w:val="en-US"/>
        </w:rPr>
        <w:t xml:space="preserve">, </w:t>
      </w:r>
      <w:proofErr w:type="spellStart"/>
      <w:r w:rsidR="00FE370C" w:rsidRPr="00517DA1">
        <w:rPr>
          <w:color w:val="auto"/>
          <w:lang w:val="en-US"/>
        </w:rPr>
        <w:t>Magnan</w:t>
      </w:r>
      <w:proofErr w:type="spellEnd"/>
      <w:r w:rsidR="00FE370C" w:rsidRPr="00517DA1">
        <w:rPr>
          <w:color w:val="auto"/>
          <w:lang w:val="en-US"/>
        </w:rPr>
        <w:t xml:space="preserve">, M., and </w:t>
      </w:r>
      <w:proofErr w:type="spellStart"/>
      <w:r w:rsidR="00FE370C" w:rsidRPr="00517DA1">
        <w:rPr>
          <w:color w:val="auto"/>
          <w:lang w:val="en-US"/>
        </w:rPr>
        <w:t>Aerts</w:t>
      </w:r>
      <w:proofErr w:type="spellEnd"/>
      <w:r w:rsidR="00FE370C" w:rsidRPr="00517DA1">
        <w:rPr>
          <w:color w:val="auto"/>
          <w:lang w:val="en-US"/>
        </w:rPr>
        <w:t>, W. (2010).</w:t>
      </w:r>
      <w:proofErr w:type="gramEnd"/>
      <w:r w:rsidR="00FE370C" w:rsidRPr="00517DA1">
        <w:rPr>
          <w:color w:val="auto"/>
          <w:lang w:val="en-US"/>
        </w:rPr>
        <w:t xml:space="preserve"> </w:t>
      </w:r>
      <w:proofErr w:type="gramStart"/>
      <w:r w:rsidR="00FE370C" w:rsidRPr="00517DA1">
        <w:rPr>
          <w:color w:val="auto"/>
          <w:lang w:val="en-US"/>
        </w:rPr>
        <w:t>Corporate governance and information asymmetry between managers and investors.</w:t>
      </w:r>
      <w:proofErr w:type="gramEnd"/>
      <w:r w:rsidR="00FE370C" w:rsidRPr="00517DA1">
        <w:rPr>
          <w:color w:val="auto"/>
          <w:lang w:val="en-US"/>
        </w:rPr>
        <w:t xml:space="preserve"> </w:t>
      </w:r>
      <w:r w:rsidR="00FE370C" w:rsidRPr="00517DA1">
        <w:rPr>
          <w:i/>
          <w:iCs/>
          <w:color w:val="auto"/>
          <w:lang w:val="en-US"/>
        </w:rPr>
        <w:t>Corporate Governance</w:t>
      </w:r>
      <w:r w:rsidR="00FE370C" w:rsidRPr="00517DA1">
        <w:rPr>
          <w:color w:val="auto"/>
          <w:lang w:val="en-US"/>
        </w:rPr>
        <w:t xml:space="preserve">, </w:t>
      </w:r>
      <w:r w:rsidR="00FE370C" w:rsidRPr="00517DA1">
        <w:rPr>
          <w:iCs/>
          <w:color w:val="auto"/>
          <w:lang w:val="en-US"/>
        </w:rPr>
        <w:t>10</w:t>
      </w:r>
      <w:r w:rsidR="00FE370C" w:rsidRPr="00517DA1">
        <w:rPr>
          <w:color w:val="auto"/>
          <w:lang w:val="en-US"/>
        </w:rPr>
        <w:t xml:space="preserve">(5), 574–589. </w:t>
      </w:r>
    </w:p>
    <w:p w14:paraId="546B4C47" w14:textId="702ABD31" w:rsidR="00A5674E" w:rsidRPr="00517DA1" w:rsidRDefault="00FE370C">
      <w:pPr>
        <w:pStyle w:val="NormalWeb"/>
        <w:spacing w:before="0" w:after="100"/>
        <w:ind w:left="454" w:hanging="454"/>
        <w:rPr>
          <w:color w:val="auto"/>
          <w:lang w:val="en-US"/>
        </w:rPr>
      </w:pPr>
      <w:proofErr w:type="gramStart"/>
      <w:r w:rsidRPr="00517DA1">
        <w:rPr>
          <w:color w:val="auto"/>
          <w:lang w:val="en-US"/>
        </w:rPr>
        <w:t xml:space="preserve">Cowen, S. S., </w:t>
      </w:r>
      <w:proofErr w:type="spellStart"/>
      <w:r w:rsidRPr="00517DA1">
        <w:rPr>
          <w:color w:val="auto"/>
          <w:lang w:val="en-US"/>
        </w:rPr>
        <w:t>Ferreri</w:t>
      </w:r>
      <w:proofErr w:type="spellEnd"/>
      <w:r w:rsidRPr="00517DA1">
        <w:rPr>
          <w:color w:val="auto"/>
          <w:lang w:val="en-US"/>
        </w:rPr>
        <w:t>, L. B. and Parker, L. D. (1987).</w:t>
      </w:r>
      <w:proofErr w:type="gramEnd"/>
      <w:r w:rsidRPr="00517DA1">
        <w:rPr>
          <w:color w:val="auto"/>
          <w:lang w:val="en-US"/>
        </w:rPr>
        <w:t xml:space="preserve"> The Impact of Corporate Characteristics on Social Responsibility Disclosure : A Typology </w:t>
      </w:r>
      <w:r w:rsidR="003F7F9D" w:rsidRPr="00517DA1">
        <w:rPr>
          <w:color w:val="auto"/>
          <w:lang w:val="en-US"/>
        </w:rPr>
        <w:t>and</w:t>
      </w:r>
      <w:r w:rsidRPr="00517DA1">
        <w:rPr>
          <w:color w:val="auto"/>
          <w:lang w:val="en-US"/>
        </w:rPr>
        <w:t xml:space="preserve"> Frequency-Based Analysis. </w:t>
      </w:r>
      <w:r w:rsidRPr="00517DA1">
        <w:rPr>
          <w:i/>
          <w:iCs/>
          <w:color w:val="auto"/>
          <w:lang w:val="en-US"/>
        </w:rPr>
        <w:t>Accounting, Organizations and Society</w:t>
      </w:r>
      <w:r w:rsidRPr="00517DA1">
        <w:rPr>
          <w:color w:val="auto"/>
          <w:lang w:val="en-US"/>
        </w:rPr>
        <w:t xml:space="preserve">, </w:t>
      </w:r>
      <w:r w:rsidRPr="00517DA1">
        <w:rPr>
          <w:iCs/>
          <w:color w:val="auto"/>
          <w:lang w:val="en-US"/>
        </w:rPr>
        <w:t>12</w:t>
      </w:r>
      <w:r w:rsidRPr="00517DA1">
        <w:rPr>
          <w:color w:val="auto"/>
          <w:lang w:val="en-US"/>
        </w:rPr>
        <w:t xml:space="preserve">(2), 111–122. </w:t>
      </w:r>
    </w:p>
    <w:p w14:paraId="2176BA75" w14:textId="4A4704B0" w:rsidR="00A5674E" w:rsidRPr="00517DA1" w:rsidRDefault="00B82085">
      <w:pPr>
        <w:pStyle w:val="NormalWeb"/>
        <w:spacing w:before="0" w:after="100"/>
        <w:ind w:left="454" w:hanging="454"/>
        <w:rPr>
          <w:color w:val="auto"/>
          <w:lang w:val="en-US"/>
        </w:rPr>
      </w:pPr>
      <w:proofErr w:type="gramStart"/>
      <w:r w:rsidRPr="00517DA1">
        <w:rPr>
          <w:color w:val="auto"/>
          <w:lang w:val="en-US"/>
        </w:rPr>
        <w:t>Deegan, C.</w:t>
      </w:r>
      <w:r w:rsidR="00FE370C" w:rsidRPr="00517DA1">
        <w:rPr>
          <w:color w:val="auto"/>
          <w:lang w:val="en-US"/>
        </w:rPr>
        <w:t xml:space="preserve"> and Gordon, B. (1996).</w:t>
      </w:r>
      <w:proofErr w:type="gramEnd"/>
      <w:r w:rsidR="00FE370C" w:rsidRPr="00517DA1">
        <w:rPr>
          <w:color w:val="auto"/>
          <w:lang w:val="en-US"/>
        </w:rPr>
        <w:t xml:space="preserve"> </w:t>
      </w:r>
      <w:proofErr w:type="gramStart"/>
      <w:r w:rsidR="00FE370C" w:rsidRPr="00517DA1">
        <w:rPr>
          <w:color w:val="auto"/>
          <w:lang w:val="en-US"/>
        </w:rPr>
        <w:t>A Study of the Environmental Disclosure Practices of Australian Corporations.</w:t>
      </w:r>
      <w:proofErr w:type="gramEnd"/>
      <w:r w:rsidR="00FE370C" w:rsidRPr="00517DA1">
        <w:rPr>
          <w:color w:val="auto"/>
          <w:lang w:val="en-US"/>
        </w:rPr>
        <w:t xml:space="preserve"> </w:t>
      </w:r>
      <w:r w:rsidR="00FE370C" w:rsidRPr="00517DA1">
        <w:rPr>
          <w:i/>
          <w:iCs/>
          <w:color w:val="auto"/>
          <w:lang w:val="en-US"/>
        </w:rPr>
        <w:t>Accounting and Business Research</w:t>
      </w:r>
      <w:r w:rsidR="00FE370C" w:rsidRPr="00517DA1">
        <w:rPr>
          <w:color w:val="auto"/>
          <w:lang w:val="en-US"/>
        </w:rPr>
        <w:t xml:space="preserve">, </w:t>
      </w:r>
      <w:r w:rsidR="00FE370C" w:rsidRPr="00517DA1">
        <w:rPr>
          <w:iCs/>
          <w:color w:val="auto"/>
          <w:lang w:val="en-US"/>
        </w:rPr>
        <w:t>26</w:t>
      </w:r>
      <w:r w:rsidR="00FE370C" w:rsidRPr="00517DA1">
        <w:rPr>
          <w:color w:val="auto"/>
          <w:lang w:val="en-US"/>
        </w:rPr>
        <w:t xml:space="preserve">(3), 187–199. </w:t>
      </w:r>
    </w:p>
    <w:p w14:paraId="62DBEA00" w14:textId="218BA011" w:rsidR="00A5674E" w:rsidRPr="00517DA1" w:rsidRDefault="00FE370C">
      <w:pPr>
        <w:pStyle w:val="NormalWeb"/>
        <w:spacing w:before="0" w:after="100"/>
        <w:ind w:left="454" w:hanging="454"/>
        <w:rPr>
          <w:color w:val="auto"/>
          <w:lang w:val="en-US"/>
        </w:rPr>
      </w:pPr>
      <w:proofErr w:type="gramStart"/>
      <w:r w:rsidRPr="00517DA1">
        <w:rPr>
          <w:color w:val="auto"/>
          <w:lang w:val="en-US"/>
        </w:rPr>
        <w:t>Deegan, C. and Rankin, M. (1996).</w:t>
      </w:r>
      <w:proofErr w:type="gramEnd"/>
      <w:r w:rsidRPr="00517DA1">
        <w:rPr>
          <w:color w:val="auto"/>
          <w:lang w:val="en-US"/>
        </w:rPr>
        <w:t xml:space="preserve"> Do Australian companies report environmental news objectively? </w:t>
      </w:r>
      <w:proofErr w:type="gramStart"/>
      <w:r w:rsidRPr="00517DA1">
        <w:rPr>
          <w:color w:val="auto"/>
          <w:lang w:val="en-US"/>
        </w:rPr>
        <w:t>An analysis of environmental disclosures by firms prosecuted successfully by the Environmental Protection Authority.</w:t>
      </w:r>
      <w:proofErr w:type="gramEnd"/>
      <w:r w:rsidRPr="00517DA1">
        <w:rPr>
          <w:color w:val="auto"/>
          <w:lang w:val="en-US"/>
        </w:rPr>
        <w:t xml:space="preserve"> </w:t>
      </w:r>
      <w:proofErr w:type="gramStart"/>
      <w:r w:rsidRPr="00517DA1">
        <w:rPr>
          <w:i/>
          <w:iCs/>
          <w:color w:val="auto"/>
          <w:lang w:val="en-US"/>
        </w:rPr>
        <w:t>Accounting, Auditing and Accountability Journal</w:t>
      </w:r>
      <w:r w:rsidRPr="00517DA1">
        <w:rPr>
          <w:color w:val="auto"/>
          <w:lang w:val="en-US"/>
        </w:rPr>
        <w:t xml:space="preserve">, </w:t>
      </w:r>
      <w:r w:rsidRPr="00517DA1">
        <w:rPr>
          <w:iCs/>
          <w:color w:val="auto"/>
          <w:lang w:val="en-US"/>
        </w:rPr>
        <w:t>9</w:t>
      </w:r>
      <w:r w:rsidRPr="00517DA1">
        <w:rPr>
          <w:color w:val="auto"/>
          <w:lang w:val="en-US"/>
        </w:rPr>
        <w:t>(2), 52–69.</w:t>
      </w:r>
      <w:proofErr w:type="gramEnd"/>
      <w:r w:rsidRPr="00517DA1">
        <w:rPr>
          <w:color w:val="auto"/>
          <w:lang w:val="en-US"/>
        </w:rPr>
        <w:t xml:space="preserve"> </w:t>
      </w:r>
    </w:p>
    <w:p w14:paraId="35C58809" w14:textId="048874A3" w:rsidR="006B74BE" w:rsidRPr="00517DA1" w:rsidRDefault="00FE370C" w:rsidP="006B74BE">
      <w:pPr>
        <w:spacing w:after="100"/>
        <w:ind w:left="454" w:hanging="454"/>
        <w:jc w:val="both"/>
        <w:rPr>
          <w:color w:val="auto"/>
          <w:lang w:val="en-US"/>
        </w:rPr>
      </w:pPr>
      <w:proofErr w:type="gramStart"/>
      <w:r w:rsidRPr="00517DA1">
        <w:rPr>
          <w:color w:val="auto"/>
          <w:lang w:val="en-US"/>
        </w:rPr>
        <w:t xml:space="preserve">Deegan, C., Rankin, M. and </w:t>
      </w:r>
      <w:proofErr w:type="spellStart"/>
      <w:r w:rsidRPr="00517DA1">
        <w:rPr>
          <w:color w:val="auto"/>
          <w:lang w:val="en-US"/>
        </w:rPr>
        <w:t>Voght</w:t>
      </w:r>
      <w:proofErr w:type="spellEnd"/>
      <w:r w:rsidRPr="00517DA1">
        <w:rPr>
          <w:color w:val="auto"/>
          <w:lang w:val="en-US"/>
        </w:rPr>
        <w:t>, P. (2000).</w:t>
      </w:r>
      <w:proofErr w:type="gramEnd"/>
      <w:r w:rsidRPr="00517DA1">
        <w:rPr>
          <w:color w:val="auto"/>
          <w:lang w:val="en-US"/>
        </w:rPr>
        <w:t xml:space="preserve"> Feature article </w:t>
      </w:r>
      <w:r w:rsidR="003F7F9D" w:rsidRPr="00517DA1">
        <w:rPr>
          <w:color w:val="auto"/>
          <w:lang w:val="en-US"/>
        </w:rPr>
        <w:t>Firms’</w:t>
      </w:r>
      <w:r w:rsidRPr="00517DA1">
        <w:rPr>
          <w:color w:val="auto"/>
          <w:lang w:val="en-US"/>
        </w:rPr>
        <w:t xml:space="preserve"> disclosure reactions to major social incidents : Australian evidence.</w:t>
      </w:r>
      <w:r w:rsidRPr="00517DA1">
        <w:rPr>
          <w:i/>
          <w:color w:val="auto"/>
          <w:lang w:val="en-US"/>
        </w:rPr>
        <w:t xml:space="preserve"> Accounting Forum</w:t>
      </w:r>
      <w:r w:rsidRPr="00517DA1">
        <w:rPr>
          <w:color w:val="auto"/>
          <w:lang w:val="en-US"/>
        </w:rPr>
        <w:t>, 24(1), 101-30</w:t>
      </w:r>
    </w:p>
    <w:p w14:paraId="637B50D2" w14:textId="760097E2" w:rsidR="006B74BE" w:rsidRPr="00517DA1" w:rsidRDefault="006B74BE" w:rsidP="006B74BE">
      <w:pPr>
        <w:spacing w:after="100"/>
        <w:ind w:left="454" w:hanging="454"/>
        <w:jc w:val="both"/>
        <w:rPr>
          <w:color w:val="auto"/>
          <w:lang w:val="en-US"/>
        </w:rPr>
      </w:pPr>
      <w:proofErr w:type="spellStart"/>
      <w:r w:rsidRPr="00517DA1">
        <w:t>Doh</w:t>
      </w:r>
      <w:proofErr w:type="spellEnd"/>
      <w:r w:rsidRPr="00517DA1">
        <w:t xml:space="preserve">, J.P., </w:t>
      </w:r>
      <w:proofErr w:type="spellStart"/>
      <w:r w:rsidRPr="00517DA1">
        <w:t>Howton</w:t>
      </w:r>
      <w:proofErr w:type="spellEnd"/>
      <w:r w:rsidRPr="00517DA1">
        <w:t xml:space="preserve">, S.D., </w:t>
      </w:r>
      <w:proofErr w:type="spellStart"/>
      <w:r w:rsidRPr="00517DA1">
        <w:t>Howton</w:t>
      </w:r>
      <w:proofErr w:type="spellEnd"/>
      <w:r w:rsidRPr="00517DA1">
        <w:t xml:space="preserve">, S.W. and D.S. Siegel (2010) </w:t>
      </w:r>
      <w:proofErr w:type="gramStart"/>
      <w:r w:rsidRPr="00517DA1">
        <w:t>Does</w:t>
      </w:r>
      <w:proofErr w:type="gramEnd"/>
      <w:r w:rsidRPr="00517DA1">
        <w:t xml:space="preserve"> the market respond to an endorsement of social responsibility? The role of institutions, information, and legitimacy, </w:t>
      </w:r>
      <w:r w:rsidRPr="00517DA1">
        <w:rPr>
          <w:i/>
        </w:rPr>
        <w:t>Journal of Management</w:t>
      </w:r>
      <w:r w:rsidRPr="00517DA1">
        <w:t>, 36(6):1461–85.</w:t>
      </w:r>
    </w:p>
    <w:p w14:paraId="6B9F490E" w14:textId="01EF3722" w:rsidR="00A5674E" w:rsidRPr="00517DA1" w:rsidRDefault="00FE370C">
      <w:pPr>
        <w:spacing w:after="100"/>
        <w:ind w:left="454" w:hanging="454"/>
        <w:jc w:val="both"/>
        <w:rPr>
          <w:color w:val="auto"/>
          <w:lang w:val="en-US"/>
        </w:rPr>
      </w:pPr>
      <w:r w:rsidRPr="00517DA1">
        <w:rPr>
          <w:color w:val="auto"/>
          <w:lang w:val="en-US"/>
        </w:rPr>
        <w:t>Donaldson, T. and Preston, L. E. (1995), “The Stakeholder Theory of the Corporation: Concepts, Evidence, and Implications” Academy of Management Review, 20(1), 65-91.</w:t>
      </w:r>
    </w:p>
    <w:p w14:paraId="58C28556" w14:textId="77777777" w:rsidR="00A5674E" w:rsidRPr="00517DA1" w:rsidRDefault="00FE370C">
      <w:pPr>
        <w:pStyle w:val="NormalWeb"/>
        <w:spacing w:before="0" w:after="100"/>
        <w:ind w:left="454" w:hanging="454"/>
        <w:rPr>
          <w:color w:val="auto"/>
          <w:lang w:val="en-US"/>
        </w:rPr>
      </w:pPr>
      <w:proofErr w:type="spellStart"/>
      <w:r w:rsidRPr="00517DA1">
        <w:rPr>
          <w:color w:val="auto"/>
          <w:lang w:val="en-US"/>
        </w:rPr>
        <w:t>Eng</w:t>
      </w:r>
      <w:proofErr w:type="spellEnd"/>
      <w:r w:rsidRPr="00517DA1">
        <w:rPr>
          <w:color w:val="auto"/>
          <w:lang w:val="en-US"/>
        </w:rPr>
        <w:t xml:space="preserve">, L. L. and </w:t>
      </w:r>
      <w:proofErr w:type="spellStart"/>
      <w:r w:rsidRPr="00517DA1">
        <w:rPr>
          <w:color w:val="auto"/>
          <w:lang w:val="en-US"/>
        </w:rPr>
        <w:t>Mak</w:t>
      </w:r>
      <w:proofErr w:type="spellEnd"/>
      <w:r w:rsidRPr="00517DA1">
        <w:rPr>
          <w:color w:val="auto"/>
          <w:lang w:val="en-US"/>
        </w:rPr>
        <w:t xml:space="preserve">, Y. T. (2003) Corporate governance and voluntary disclosure, </w:t>
      </w:r>
      <w:r w:rsidRPr="00517DA1">
        <w:rPr>
          <w:i/>
          <w:color w:val="auto"/>
          <w:lang w:val="en-US"/>
        </w:rPr>
        <w:t>Journal of Accounting and Public Policy,</w:t>
      </w:r>
      <w:r w:rsidRPr="00517DA1">
        <w:rPr>
          <w:color w:val="auto"/>
          <w:lang w:val="en-US"/>
        </w:rPr>
        <w:t xml:space="preserve"> 22: 325–46.</w:t>
      </w:r>
    </w:p>
    <w:p w14:paraId="398219C5" w14:textId="77777777" w:rsidR="00A5674E" w:rsidRPr="00517DA1" w:rsidRDefault="00FE370C">
      <w:pPr>
        <w:pStyle w:val="NormalWeb"/>
        <w:spacing w:before="0" w:after="100"/>
        <w:ind w:left="454" w:hanging="454"/>
        <w:rPr>
          <w:color w:val="auto"/>
          <w:lang w:val="en-US"/>
        </w:rPr>
      </w:pPr>
      <w:r w:rsidRPr="00517DA1">
        <w:rPr>
          <w:color w:val="auto"/>
          <w:lang w:val="en-US"/>
        </w:rPr>
        <w:t xml:space="preserve">Ernst and Ernst, (1978), </w:t>
      </w:r>
      <w:r w:rsidRPr="00517DA1">
        <w:rPr>
          <w:i/>
          <w:color w:val="auto"/>
          <w:lang w:val="en-US"/>
        </w:rPr>
        <w:t>Social Responsibility Disclosure, 1978 Survey</w:t>
      </w:r>
      <w:r w:rsidRPr="00517DA1">
        <w:rPr>
          <w:color w:val="auto"/>
          <w:lang w:val="en-US"/>
        </w:rPr>
        <w:t>, Ernst and Ernst, Cleveland, OH</w:t>
      </w:r>
    </w:p>
    <w:p w14:paraId="4F237920" w14:textId="77777777" w:rsidR="00A5674E" w:rsidRPr="00517DA1" w:rsidRDefault="00FE370C">
      <w:pPr>
        <w:pStyle w:val="NormalWeb"/>
        <w:spacing w:before="0" w:after="100"/>
        <w:ind w:left="454" w:hanging="454"/>
        <w:rPr>
          <w:color w:val="auto"/>
          <w:lang w:val="en-US"/>
        </w:rPr>
      </w:pPr>
      <w:r w:rsidRPr="00517DA1">
        <w:rPr>
          <w:color w:val="auto"/>
          <w:lang w:val="en-US"/>
        </w:rPr>
        <w:t xml:space="preserve">Evans, J., Evans, R. and </w:t>
      </w:r>
      <w:proofErr w:type="spellStart"/>
      <w:r w:rsidRPr="00517DA1">
        <w:rPr>
          <w:color w:val="auto"/>
          <w:lang w:val="en-US"/>
        </w:rPr>
        <w:t>Loh</w:t>
      </w:r>
      <w:proofErr w:type="spellEnd"/>
      <w:r w:rsidRPr="00517DA1">
        <w:rPr>
          <w:color w:val="auto"/>
          <w:lang w:val="en-US"/>
        </w:rPr>
        <w:t xml:space="preserve">, S., (2002), “Corporate Governance and Declining Firm Performance” </w:t>
      </w:r>
      <w:r w:rsidRPr="00517DA1">
        <w:rPr>
          <w:i/>
          <w:color w:val="auto"/>
          <w:lang w:val="en-US"/>
        </w:rPr>
        <w:t>International Journal of Business Studies,</w:t>
      </w:r>
      <w:r w:rsidRPr="00517DA1">
        <w:rPr>
          <w:color w:val="auto"/>
          <w:lang w:val="en-US"/>
        </w:rPr>
        <w:t xml:space="preserve"> 10(1), 1-18</w:t>
      </w:r>
    </w:p>
    <w:p w14:paraId="1EEAA34F" w14:textId="77777777" w:rsidR="00A5674E" w:rsidRPr="00517DA1" w:rsidRDefault="00FE370C">
      <w:pPr>
        <w:pStyle w:val="NormalWeb"/>
        <w:spacing w:before="0" w:after="100"/>
        <w:ind w:left="454" w:hanging="454"/>
        <w:rPr>
          <w:color w:val="auto"/>
          <w:lang w:val="en-US"/>
        </w:rPr>
      </w:pPr>
      <w:proofErr w:type="spellStart"/>
      <w:r w:rsidRPr="00517DA1">
        <w:rPr>
          <w:color w:val="auto"/>
          <w:lang w:val="en-US"/>
        </w:rPr>
        <w:t>Fama</w:t>
      </w:r>
      <w:proofErr w:type="spellEnd"/>
      <w:r w:rsidRPr="00517DA1">
        <w:rPr>
          <w:color w:val="auto"/>
          <w:lang w:val="en-US"/>
        </w:rPr>
        <w:t xml:space="preserve">, E. F. (1980). </w:t>
      </w:r>
      <w:proofErr w:type="gramStart"/>
      <w:r w:rsidRPr="00517DA1">
        <w:rPr>
          <w:color w:val="auto"/>
          <w:lang w:val="en-US"/>
        </w:rPr>
        <w:t>Agency Problems and the theory of the Firm.</w:t>
      </w:r>
      <w:proofErr w:type="gramEnd"/>
      <w:r w:rsidRPr="00517DA1">
        <w:rPr>
          <w:color w:val="auto"/>
          <w:lang w:val="en-US"/>
        </w:rPr>
        <w:t xml:space="preserve"> </w:t>
      </w:r>
      <w:r w:rsidRPr="00517DA1">
        <w:rPr>
          <w:i/>
          <w:iCs/>
          <w:color w:val="auto"/>
          <w:lang w:val="en-US"/>
        </w:rPr>
        <w:t>Journal of Political Economy</w:t>
      </w:r>
      <w:r w:rsidRPr="00517DA1">
        <w:rPr>
          <w:color w:val="auto"/>
          <w:lang w:val="en-US"/>
        </w:rPr>
        <w:t xml:space="preserve">, </w:t>
      </w:r>
      <w:r w:rsidRPr="00517DA1">
        <w:rPr>
          <w:iCs/>
          <w:color w:val="auto"/>
          <w:lang w:val="en-US"/>
        </w:rPr>
        <w:t>88</w:t>
      </w:r>
      <w:r w:rsidRPr="00517DA1">
        <w:rPr>
          <w:color w:val="auto"/>
          <w:lang w:val="en-US"/>
        </w:rPr>
        <w:t>(2), 288–307.</w:t>
      </w:r>
    </w:p>
    <w:p w14:paraId="2A87C9A5" w14:textId="77777777" w:rsidR="00A5674E" w:rsidRPr="00517DA1" w:rsidRDefault="00FE370C">
      <w:pPr>
        <w:pStyle w:val="NormalWeb"/>
        <w:spacing w:before="0" w:after="100"/>
        <w:ind w:left="454" w:hanging="454"/>
        <w:rPr>
          <w:color w:val="auto"/>
          <w:lang w:val="en-US"/>
        </w:rPr>
      </w:pPr>
      <w:proofErr w:type="spellStart"/>
      <w:r w:rsidRPr="00517DA1">
        <w:rPr>
          <w:color w:val="auto"/>
          <w:lang w:val="en-US"/>
        </w:rPr>
        <w:t>Fama</w:t>
      </w:r>
      <w:proofErr w:type="spellEnd"/>
      <w:r w:rsidRPr="00517DA1">
        <w:rPr>
          <w:color w:val="auto"/>
          <w:lang w:val="en-US"/>
        </w:rPr>
        <w:t xml:space="preserve">, E. F. and M. Jensen: (1983), ‘Separation of Ownership and Control’, </w:t>
      </w:r>
      <w:r w:rsidRPr="00517DA1">
        <w:rPr>
          <w:i/>
          <w:color w:val="auto"/>
          <w:lang w:val="en-US"/>
        </w:rPr>
        <w:t xml:space="preserve">Journal of Law and Economics </w:t>
      </w:r>
      <w:r w:rsidRPr="00517DA1">
        <w:rPr>
          <w:color w:val="auto"/>
          <w:lang w:val="en-US"/>
        </w:rPr>
        <w:t>26, 301–325.</w:t>
      </w:r>
    </w:p>
    <w:p w14:paraId="1074C751" w14:textId="77777777" w:rsidR="00F858F7" w:rsidRPr="00517DA1" w:rsidRDefault="00FE370C" w:rsidP="00F858F7">
      <w:pPr>
        <w:pStyle w:val="NormalWeb"/>
        <w:spacing w:before="0" w:after="100"/>
        <w:ind w:left="454" w:hanging="454"/>
        <w:rPr>
          <w:color w:val="auto"/>
          <w:lang w:val="en-US"/>
        </w:rPr>
      </w:pPr>
      <w:proofErr w:type="spellStart"/>
      <w:proofErr w:type="gramStart"/>
      <w:r w:rsidRPr="00517DA1">
        <w:rPr>
          <w:color w:val="auto"/>
          <w:lang w:val="en-US"/>
        </w:rPr>
        <w:t>Forker</w:t>
      </w:r>
      <w:proofErr w:type="spellEnd"/>
      <w:r w:rsidRPr="00517DA1">
        <w:rPr>
          <w:color w:val="auto"/>
          <w:lang w:val="en-US"/>
        </w:rPr>
        <w:t>, J. J. (1992).</w:t>
      </w:r>
      <w:proofErr w:type="gramEnd"/>
      <w:r w:rsidRPr="00517DA1">
        <w:rPr>
          <w:color w:val="auto"/>
          <w:lang w:val="en-US"/>
        </w:rPr>
        <w:t xml:space="preserve"> </w:t>
      </w:r>
      <w:proofErr w:type="gramStart"/>
      <w:r w:rsidRPr="00517DA1">
        <w:rPr>
          <w:color w:val="auto"/>
          <w:lang w:val="en-US"/>
        </w:rPr>
        <w:t>Corporate Governance and Disclosure Quality.</w:t>
      </w:r>
      <w:proofErr w:type="gramEnd"/>
      <w:r w:rsidRPr="00517DA1">
        <w:rPr>
          <w:color w:val="auto"/>
          <w:lang w:val="en-US"/>
        </w:rPr>
        <w:t xml:space="preserve"> </w:t>
      </w:r>
      <w:proofErr w:type="gramStart"/>
      <w:r w:rsidRPr="00517DA1">
        <w:rPr>
          <w:i/>
          <w:iCs/>
          <w:color w:val="auto"/>
          <w:lang w:val="en-US"/>
        </w:rPr>
        <w:t>Accounting and Business Research</w:t>
      </w:r>
      <w:r w:rsidRPr="00517DA1">
        <w:rPr>
          <w:color w:val="auto"/>
          <w:lang w:val="en-US"/>
        </w:rPr>
        <w:t xml:space="preserve">, </w:t>
      </w:r>
      <w:r w:rsidRPr="00517DA1">
        <w:rPr>
          <w:iCs/>
          <w:color w:val="auto"/>
          <w:lang w:val="en-US"/>
        </w:rPr>
        <w:t>22</w:t>
      </w:r>
      <w:r w:rsidRPr="00517DA1">
        <w:rPr>
          <w:color w:val="auto"/>
          <w:lang w:val="en-US"/>
        </w:rPr>
        <w:t>(86), 111–124.</w:t>
      </w:r>
      <w:proofErr w:type="gramEnd"/>
      <w:r w:rsidRPr="00517DA1">
        <w:rPr>
          <w:color w:val="auto"/>
          <w:lang w:val="en-US"/>
        </w:rPr>
        <w:t xml:space="preserve"> </w:t>
      </w:r>
    </w:p>
    <w:p w14:paraId="440297AD" w14:textId="6B0F1E61" w:rsidR="00F858F7" w:rsidRPr="00517DA1" w:rsidRDefault="00F858F7" w:rsidP="00F858F7">
      <w:pPr>
        <w:pStyle w:val="NormalWeb"/>
        <w:spacing w:before="0" w:after="100"/>
        <w:ind w:left="454" w:hanging="454"/>
        <w:rPr>
          <w:color w:val="auto"/>
          <w:lang w:val="en-US"/>
        </w:rPr>
      </w:pPr>
      <w:r w:rsidRPr="00517DA1">
        <w:t xml:space="preserve">Freedman, M. and </w:t>
      </w:r>
      <w:proofErr w:type="spellStart"/>
      <w:r w:rsidRPr="00517DA1">
        <w:t>Stagliano</w:t>
      </w:r>
      <w:proofErr w:type="spellEnd"/>
      <w:r w:rsidRPr="00517DA1">
        <w:t>, A. J. (1992) “European unification, accounting harmonization, and social disclosures” The International Journal of Accounting 27(2), 112-122</w:t>
      </w:r>
    </w:p>
    <w:p w14:paraId="22B12FDA" w14:textId="13FAEA31" w:rsidR="00A5674E" w:rsidRPr="00517DA1" w:rsidRDefault="00B82085">
      <w:pPr>
        <w:pStyle w:val="NormalWeb"/>
        <w:spacing w:before="0" w:after="100"/>
        <w:ind w:left="454" w:hanging="454"/>
        <w:rPr>
          <w:color w:val="auto"/>
          <w:lang w:val="en-US"/>
        </w:rPr>
      </w:pPr>
      <w:proofErr w:type="gramStart"/>
      <w:r w:rsidRPr="00517DA1">
        <w:rPr>
          <w:color w:val="auto"/>
          <w:lang w:val="en-US"/>
        </w:rPr>
        <w:t>Freedman, M.</w:t>
      </w:r>
      <w:r w:rsidR="00FE370C" w:rsidRPr="00517DA1">
        <w:rPr>
          <w:color w:val="auto"/>
          <w:lang w:val="en-US"/>
        </w:rPr>
        <w:t xml:space="preserve"> and </w:t>
      </w:r>
      <w:proofErr w:type="spellStart"/>
      <w:r w:rsidR="00FE370C" w:rsidRPr="00517DA1">
        <w:rPr>
          <w:color w:val="auto"/>
          <w:lang w:val="en-US"/>
        </w:rPr>
        <w:t>Stagliano</w:t>
      </w:r>
      <w:proofErr w:type="spellEnd"/>
      <w:r w:rsidR="00FE370C" w:rsidRPr="00517DA1">
        <w:rPr>
          <w:color w:val="auto"/>
          <w:lang w:val="en-US"/>
        </w:rPr>
        <w:t xml:space="preserve">, </w:t>
      </w:r>
      <w:r w:rsidR="00B22A9B" w:rsidRPr="00517DA1">
        <w:rPr>
          <w:color w:val="auto"/>
          <w:lang w:val="en-US"/>
        </w:rPr>
        <w:t>A</w:t>
      </w:r>
      <w:r w:rsidR="00FE370C" w:rsidRPr="00517DA1">
        <w:rPr>
          <w:color w:val="auto"/>
          <w:lang w:val="en-US"/>
        </w:rPr>
        <w:t>. J. (2008).</w:t>
      </w:r>
      <w:proofErr w:type="gramEnd"/>
      <w:r w:rsidR="00FE370C" w:rsidRPr="00517DA1">
        <w:rPr>
          <w:color w:val="auto"/>
          <w:lang w:val="en-US"/>
        </w:rPr>
        <w:t xml:space="preserve"> </w:t>
      </w:r>
      <w:proofErr w:type="gramStart"/>
      <w:r w:rsidR="00FE370C" w:rsidRPr="00517DA1">
        <w:rPr>
          <w:color w:val="auto"/>
          <w:lang w:val="en-US"/>
        </w:rPr>
        <w:t>Accounting Disclosures of Toxics Release Inventory for 2002.</w:t>
      </w:r>
      <w:proofErr w:type="gramEnd"/>
      <w:r w:rsidR="00FE370C" w:rsidRPr="00517DA1">
        <w:rPr>
          <w:color w:val="auto"/>
          <w:lang w:val="en-US"/>
        </w:rPr>
        <w:t xml:space="preserve"> </w:t>
      </w:r>
      <w:r w:rsidR="00FE370C" w:rsidRPr="00517DA1">
        <w:rPr>
          <w:i/>
          <w:iCs/>
          <w:color w:val="auto"/>
          <w:lang w:val="en-US"/>
        </w:rPr>
        <w:t>Accounting and the Public Interest</w:t>
      </w:r>
      <w:r w:rsidR="00FE370C" w:rsidRPr="00517DA1">
        <w:rPr>
          <w:color w:val="auto"/>
          <w:lang w:val="en-US"/>
        </w:rPr>
        <w:t xml:space="preserve">, </w:t>
      </w:r>
      <w:r w:rsidR="00FE370C" w:rsidRPr="00517DA1">
        <w:rPr>
          <w:iCs/>
          <w:color w:val="auto"/>
          <w:lang w:val="en-US"/>
        </w:rPr>
        <w:t>8</w:t>
      </w:r>
      <w:r w:rsidR="00FE370C" w:rsidRPr="00517DA1">
        <w:rPr>
          <w:color w:val="auto"/>
          <w:lang w:val="en-US"/>
        </w:rPr>
        <w:t xml:space="preserve">(1), 21–38. </w:t>
      </w:r>
    </w:p>
    <w:p w14:paraId="02859065" w14:textId="125D74B9" w:rsidR="00A5674E" w:rsidRPr="00517DA1" w:rsidRDefault="00FE370C">
      <w:pPr>
        <w:pStyle w:val="NormalWeb"/>
        <w:spacing w:before="0" w:after="100"/>
        <w:ind w:left="454" w:hanging="454"/>
        <w:rPr>
          <w:color w:val="auto"/>
          <w:lang w:val="en-US"/>
        </w:rPr>
      </w:pPr>
      <w:r w:rsidRPr="00517DA1">
        <w:rPr>
          <w:color w:val="auto"/>
          <w:lang w:val="en-US"/>
        </w:rPr>
        <w:t xml:space="preserve">Freeman, R. E. and R. Phillips, (2002), Stakeholder theory: A libertarian </w:t>
      </w:r>
      <w:r w:rsidR="00537832" w:rsidRPr="00517DA1">
        <w:rPr>
          <w:color w:val="auto"/>
          <w:lang w:val="en-US"/>
        </w:rPr>
        <w:t>defense</w:t>
      </w:r>
      <w:r w:rsidRPr="00517DA1">
        <w:rPr>
          <w:color w:val="auto"/>
          <w:lang w:val="en-US"/>
        </w:rPr>
        <w:t>. Business Ethics Quarterly, 12(3), 331–350</w:t>
      </w:r>
    </w:p>
    <w:p w14:paraId="59013022" w14:textId="77777777" w:rsidR="00A5674E" w:rsidRPr="00517DA1" w:rsidRDefault="00FE370C">
      <w:pPr>
        <w:pStyle w:val="NormalWeb"/>
        <w:spacing w:before="0" w:after="100"/>
        <w:ind w:left="454" w:hanging="454"/>
        <w:rPr>
          <w:rFonts w:eastAsia="Calibri"/>
          <w:color w:val="auto"/>
          <w:lang w:val="en-US"/>
        </w:rPr>
      </w:pPr>
      <w:r w:rsidRPr="00517DA1">
        <w:rPr>
          <w:color w:val="auto"/>
          <w:lang w:val="en-US"/>
        </w:rPr>
        <w:t xml:space="preserve">Freeman, R. E., (1984) </w:t>
      </w:r>
      <w:r w:rsidRPr="00517DA1">
        <w:rPr>
          <w:i/>
          <w:color w:val="auto"/>
          <w:lang w:val="en-US"/>
        </w:rPr>
        <w:t>Strategic Management: A Stakeholder Approach</w:t>
      </w:r>
      <w:r w:rsidRPr="00517DA1">
        <w:rPr>
          <w:color w:val="auto"/>
          <w:lang w:val="en-US"/>
        </w:rPr>
        <w:t>. Boston, MA: Pitman.</w:t>
      </w:r>
    </w:p>
    <w:p w14:paraId="1DA06019" w14:textId="77777777" w:rsidR="00A5674E" w:rsidRPr="00517DA1" w:rsidRDefault="00FE370C">
      <w:pPr>
        <w:pStyle w:val="NormalWeb"/>
        <w:spacing w:before="0" w:after="100"/>
        <w:ind w:left="454" w:hanging="454"/>
        <w:rPr>
          <w:color w:val="auto"/>
          <w:lang w:val="en-US"/>
        </w:rPr>
      </w:pPr>
      <w:proofErr w:type="spellStart"/>
      <w:proofErr w:type="gramStart"/>
      <w:r w:rsidRPr="00517DA1">
        <w:rPr>
          <w:rFonts w:eastAsia="Calibri"/>
          <w:color w:val="auto"/>
          <w:lang w:val="en-US"/>
        </w:rPr>
        <w:t>Galbreath</w:t>
      </w:r>
      <w:proofErr w:type="spellEnd"/>
      <w:r w:rsidRPr="00517DA1">
        <w:rPr>
          <w:rFonts w:eastAsia="Calibri"/>
          <w:color w:val="auto"/>
          <w:lang w:val="en-US"/>
        </w:rPr>
        <w:t>, J., Singh, I. and Van Der Zahn, J-L.</w:t>
      </w:r>
      <w:proofErr w:type="gramEnd"/>
      <w:r w:rsidRPr="00517DA1">
        <w:rPr>
          <w:rFonts w:eastAsia="Calibri"/>
          <w:color w:val="auto"/>
          <w:lang w:val="en-US"/>
        </w:rPr>
        <w:t xml:space="preserve"> W. M., (2008) </w:t>
      </w:r>
      <w:r w:rsidRPr="00517DA1">
        <w:rPr>
          <w:rFonts w:eastAsia="Calibri"/>
          <w:i/>
          <w:color w:val="auto"/>
          <w:lang w:val="en-US"/>
        </w:rPr>
        <w:t>“The link between corporate governance and sustainability: Evidence from the oil and gas industry”,</w:t>
      </w:r>
      <w:r w:rsidRPr="00517DA1">
        <w:rPr>
          <w:rFonts w:eastAsia="Calibri"/>
          <w:color w:val="auto"/>
          <w:lang w:val="en-US"/>
        </w:rPr>
        <w:t xml:space="preserve"> Graduate School of Business Working </w:t>
      </w:r>
      <w:r w:rsidRPr="00517DA1">
        <w:rPr>
          <w:rFonts w:eastAsia="Calibri"/>
          <w:color w:val="auto"/>
          <w:lang w:val="en-US"/>
        </w:rPr>
        <w:lastRenderedPageBreak/>
        <w:t xml:space="preserve">Paper Series: no. 72, Curtin University of Technology, School of Accounting. Retrieved June 24, 2010 from </w:t>
      </w:r>
      <w:hyperlink r:id="rId14" w:history="1">
        <w:r w:rsidRPr="00517DA1">
          <w:rPr>
            <w:rStyle w:val="Hyperlink"/>
            <w:rFonts w:eastAsia="Calibri"/>
            <w:color w:val="auto"/>
            <w:lang w:val="en-US"/>
          </w:rPr>
          <w:t>http://espace.library.curtin.edu.au/R?func=dbin_jump_fullandobject_id=20539</w:t>
        </w:r>
      </w:hyperlink>
    </w:p>
    <w:p w14:paraId="6BB78CAD" w14:textId="70F712C2" w:rsidR="00730CD9" w:rsidRPr="00517DA1" w:rsidRDefault="00FE370C" w:rsidP="00730CD9">
      <w:pPr>
        <w:pStyle w:val="NormalWeb"/>
        <w:spacing w:before="0" w:after="100"/>
        <w:ind w:left="454" w:hanging="454"/>
        <w:rPr>
          <w:color w:val="auto"/>
          <w:lang w:val="en-US"/>
        </w:rPr>
      </w:pPr>
      <w:proofErr w:type="spellStart"/>
      <w:r w:rsidRPr="00517DA1">
        <w:rPr>
          <w:color w:val="auto"/>
          <w:lang w:val="es-ES_tradnl"/>
        </w:rPr>
        <w:t>Garcia</w:t>
      </w:r>
      <w:proofErr w:type="spellEnd"/>
      <w:r w:rsidRPr="00517DA1">
        <w:rPr>
          <w:color w:val="auto"/>
          <w:lang w:val="es-ES_tradnl"/>
        </w:rPr>
        <w:t>-Castro,</w:t>
      </w:r>
      <w:r w:rsidR="00B82085" w:rsidRPr="00517DA1">
        <w:rPr>
          <w:color w:val="auto"/>
          <w:lang w:val="es-ES_tradnl"/>
        </w:rPr>
        <w:t xml:space="preserve"> R., </w:t>
      </w:r>
      <w:proofErr w:type="spellStart"/>
      <w:r w:rsidR="00B82085" w:rsidRPr="00517DA1">
        <w:rPr>
          <w:color w:val="auto"/>
          <w:lang w:val="es-ES_tradnl"/>
        </w:rPr>
        <w:t>Ariño</w:t>
      </w:r>
      <w:proofErr w:type="spellEnd"/>
      <w:r w:rsidR="00B82085" w:rsidRPr="00517DA1">
        <w:rPr>
          <w:color w:val="auto"/>
          <w:lang w:val="es-ES_tradnl"/>
        </w:rPr>
        <w:t>, M. A.</w:t>
      </w:r>
      <w:r w:rsidRPr="00517DA1">
        <w:rPr>
          <w:color w:val="auto"/>
          <w:lang w:val="es-ES_tradnl"/>
        </w:rPr>
        <w:t xml:space="preserve"> and Canela, M. </w:t>
      </w:r>
      <w:r w:rsidR="00B82085" w:rsidRPr="00517DA1">
        <w:rPr>
          <w:color w:val="auto"/>
          <w:lang w:val="es-ES_tradnl"/>
        </w:rPr>
        <w:t>A</w:t>
      </w:r>
      <w:r w:rsidRPr="00517DA1">
        <w:rPr>
          <w:color w:val="auto"/>
          <w:lang w:val="es-ES_tradnl"/>
        </w:rPr>
        <w:t xml:space="preserve">. (2010). </w:t>
      </w:r>
      <w:r w:rsidRPr="00517DA1">
        <w:rPr>
          <w:color w:val="auto"/>
          <w:lang w:val="en-US"/>
        </w:rPr>
        <w:t xml:space="preserve">Does Social Performance Really Lead to Financial Performance? </w:t>
      </w:r>
      <w:proofErr w:type="gramStart"/>
      <w:r w:rsidRPr="00517DA1">
        <w:rPr>
          <w:color w:val="auto"/>
          <w:lang w:val="en-US"/>
        </w:rPr>
        <w:t xml:space="preserve">Accounting for </w:t>
      </w:r>
      <w:proofErr w:type="spellStart"/>
      <w:r w:rsidRPr="00517DA1">
        <w:rPr>
          <w:color w:val="auto"/>
          <w:lang w:val="en-US"/>
        </w:rPr>
        <w:t>Endogeneity</w:t>
      </w:r>
      <w:proofErr w:type="spellEnd"/>
      <w:r w:rsidRPr="00517DA1">
        <w:rPr>
          <w:color w:val="auto"/>
          <w:lang w:val="en-US"/>
        </w:rPr>
        <w:t>.</w:t>
      </w:r>
      <w:proofErr w:type="gramEnd"/>
      <w:r w:rsidRPr="00517DA1">
        <w:rPr>
          <w:color w:val="auto"/>
          <w:lang w:val="en-US"/>
        </w:rPr>
        <w:t xml:space="preserve"> </w:t>
      </w:r>
      <w:r w:rsidRPr="00517DA1">
        <w:rPr>
          <w:i/>
          <w:iCs/>
          <w:color w:val="auto"/>
          <w:lang w:val="en-US"/>
        </w:rPr>
        <w:t>Journal of Business Ethics</w:t>
      </w:r>
      <w:r w:rsidRPr="00517DA1">
        <w:rPr>
          <w:color w:val="auto"/>
          <w:lang w:val="en-US"/>
        </w:rPr>
        <w:t xml:space="preserve">, </w:t>
      </w:r>
      <w:r w:rsidRPr="00517DA1">
        <w:rPr>
          <w:iCs/>
          <w:color w:val="auto"/>
          <w:lang w:val="en-US"/>
        </w:rPr>
        <w:t>92</w:t>
      </w:r>
      <w:r w:rsidRPr="00517DA1">
        <w:rPr>
          <w:color w:val="auto"/>
          <w:lang w:val="en-US"/>
        </w:rPr>
        <w:t>(1), 107–126.</w:t>
      </w:r>
    </w:p>
    <w:p w14:paraId="3E992C3E" w14:textId="7B9CCA9F" w:rsidR="00730CD9" w:rsidRPr="00517DA1" w:rsidRDefault="00730CD9" w:rsidP="00730CD9">
      <w:pPr>
        <w:pStyle w:val="NormalWeb"/>
        <w:spacing w:before="0" w:after="100"/>
        <w:ind w:left="454" w:hanging="454"/>
        <w:rPr>
          <w:color w:val="auto"/>
          <w:lang w:val="en-US"/>
        </w:rPr>
      </w:pPr>
      <w:proofErr w:type="spellStart"/>
      <w:r w:rsidRPr="00517DA1">
        <w:rPr>
          <w:rFonts w:eastAsia="Calibri"/>
          <w:lang w:eastAsia="en-GB"/>
        </w:rPr>
        <w:t>Garonzik</w:t>
      </w:r>
      <w:proofErr w:type="spellEnd"/>
      <w:r w:rsidRPr="00517DA1">
        <w:rPr>
          <w:rFonts w:eastAsia="Calibri"/>
          <w:lang w:eastAsia="en-GB"/>
        </w:rPr>
        <w:t xml:space="preserve">, E. (1999). </w:t>
      </w:r>
      <w:proofErr w:type="gramStart"/>
      <w:r w:rsidRPr="00517DA1">
        <w:rPr>
          <w:rFonts w:eastAsia="Calibri"/>
          <w:lang w:eastAsia="en-GB"/>
        </w:rPr>
        <w:t>Community foundation and civil society.</w:t>
      </w:r>
      <w:proofErr w:type="gramEnd"/>
      <w:r w:rsidRPr="00517DA1">
        <w:rPr>
          <w:rFonts w:eastAsia="Calibri"/>
          <w:lang w:eastAsia="en-GB"/>
        </w:rPr>
        <w:t xml:space="preserve"> </w:t>
      </w:r>
      <w:proofErr w:type="gramStart"/>
      <w:r w:rsidRPr="00517DA1">
        <w:rPr>
          <w:rFonts w:eastAsia="Calibri"/>
          <w:lang w:eastAsia="en-GB"/>
        </w:rPr>
        <w:t xml:space="preserve">In P. </w:t>
      </w:r>
      <w:proofErr w:type="spellStart"/>
      <w:r w:rsidRPr="00517DA1">
        <w:rPr>
          <w:rFonts w:eastAsia="Calibri"/>
          <w:lang w:eastAsia="en-GB"/>
        </w:rPr>
        <w:t>Walkenhorst</w:t>
      </w:r>
      <w:proofErr w:type="spellEnd"/>
      <w:r w:rsidRPr="00517DA1">
        <w:rPr>
          <w:rFonts w:eastAsia="Calibri"/>
          <w:lang w:eastAsia="en-GB"/>
        </w:rPr>
        <w:t xml:space="preserve"> (Ed.), </w:t>
      </w:r>
      <w:r w:rsidRPr="00517DA1">
        <w:rPr>
          <w:rFonts w:eastAsia="Calibri"/>
          <w:i/>
          <w:iCs/>
          <w:lang w:eastAsia="en-GB"/>
        </w:rPr>
        <w:t>Community foundations in civil society</w:t>
      </w:r>
      <w:r w:rsidRPr="00517DA1">
        <w:rPr>
          <w:rFonts w:eastAsia="Calibri"/>
          <w:iCs/>
          <w:lang w:eastAsia="en-GB"/>
        </w:rPr>
        <w:t xml:space="preserve"> </w:t>
      </w:r>
      <w:r w:rsidRPr="00517DA1">
        <w:rPr>
          <w:rFonts w:eastAsia="Calibri"/>
          <w:lang w:eastAsia="en-GB"/>
        </w:rPr>
        <w:t>(pp. 16-20).</w:t>
      </w:r>
      <w:proofErr w:type="gramEnd"/>
      <w:r w:rsidRPr="00517DA1">
        <w:rPr>
          <w:rFonts w:eastAsia="Calibri"/>
          <w:lang w:eastAsia="en-GB"/>
        </w:rPr>
        <w:t xml:space="preserve"> </w:t>
      </w:r>
      <w:proofErr w:type="spellStart"/>
      <w:r w:rsidRPr="00517DA1">
        <w:rPr>
          <w:rFonts w:eastAsia="Calibri"/>
          <w:lang w:eastAsia="en-GB"/>
        </w:rPr>
        <w:t>Gütersloh</w:t>
      </w:r>
      <w:proofErr w:type="spellEnd"/>
      <w:r w:rsidRPr="00517DA1">
        <w:rPr>
          <w:rFonts w:eastAsia="Calibri"/>
          <w:lang w:eastAsia="en-GB"/>
        </w:rPr>
        <w:t>, Germany: Bertelsmann Foundation.</w:t>
      </w:r>
    </w:p>
    <w:p w14:paraId="5380A550" w14:textId="77777777" w:rsidR="00A5674E" w:rsidRPr="00517DA1" w:rsidRDefault="00FE370C">
      <w:pPr>
        <w:pStyle w:val="NormalWeb"/>
        <w:spacing w:before="0" w:after="100"/>
        <w:ind w:left="454" w:hanging="454"/>
        <w:rPr>
          <w:color w:val="auto"/>
          <w:lang w:val="en-US"/>
        </w:rPr>
      </w:pPr>
      <w:r w:rsidRPr="00517DA1">
        <w:rPr>
          <w:color w:val="auto"/>
          <w:lang w:val="en-US"/>
        </w:rPr>
        <w:t xml:space="preserve">Gray, R, Owen, D. and Maunders, K. (1988) “Corporate Social Reporting: emerging trends in accountability and the social contract” </w:t>
      </w:r>
      <w:r w:rsidRPr="00517DA1">
        <w:rPr>
          <w:i/>
          <w:color w:val="auto"/>
          <w:lang w:val="en-US"/>
        </w:rPr>
        <w:t>Accounting, Auditing and Accountability Journal</w:t>
      </w:r>
      <w:r w:rsidRPr="00517DA1">
        <w:rPr>
          <w:color w:val="auto"/>
          <w:lang w:val="en-US"/>
        </w:rPr>
        <w:t xml:space="preserve"> 1(1), 6-20</w:t>
      </w:r>
    </w:p>
    <w:p w14:paraId="48F3CD45" w14:textId="16540E38" w:rsidR="006B44D8" w:rsidRPr="00517DA1" w:rsidRDefault="006B44D8" w:rsidP="006B44D8">
      <w:pPr>
        <w:pStyle w:val="NormalWeb"/>
        <w:spacing w:before="0" w:after="100"/>
        <w:ind w:left="454" w:hanging="454"/>
        <w:rPr>
          <w:color w:val="auto"/>
          <w:lang w:val="en-US"/>
        </w:rPr>
      </w:pPr>
      <w:r w:rsidRPr="00517DA1">
        <w:rPr>
          <w:color w:val="auto"/>
          <w:lang w:val="en-US"/>
        </w:rPr>
        <w:t xml:space="preserve">Gray, R., </w:t>
      </w:r>
      <w:proofErr w:type="spellStart"/>
      <w:r w:rsidRPr="00517DA1">
        <w:rPr>
          <w:color w:val="auto"/>
          <w:lang w:val="en-US"/>
        </w:rPr>
        <w:t>Kouhy</w:t>
      </w:r>
      <w:proofErr w:type="spellEnd"/>
      <w:r w:rsidRPr="00517DA1">
        <w:rPr>
          <w:color w:val="auto"/>
          <w:lang w:val="en-US"/>
        </w:rPr>
        <w:t>, R. and Lavers, S. (1995) “Methodological themes: constructing a research database of social and environmental reporting by UK companies</w:t>
      </w:r>
      <w:r w:rsidRPr="00517DA1">
        <w:rPr>
          <w:i/>
          <w:color w:val="auto"/>
          <w:lang w:val="en-US"/>
        </w:rPr>
        <w:t>”, Accounting, Auditing and Accountability Journal</w:t>
      </w:r>
      <w:r w:rsidRPr="00517DA1">
        <w:rPr>
          <w:color w:val="auto"/>
          <w:lang w:val="en-US"/>
        </w:rPr>
        <w:t>, 8(2), 78-101.</w:t>
      </w:r>
    </w:p>
    <w:p w14:paraId="4C16A6FC" w14:textId="77777777" w:rsidR="00A5674E" w:rsidRPr="00517DA1" w:rsidRDefault="00FE370C">
      <w:pPr>
        <w:pStyle w:val="NormalWeb"/>
        <w:spacing w:before="0" w:after="100"/>
        <w:ind w:left="454" w:hanging="454"/>
        <w:rPr>
          <w:color w:val="auto"/>
          <w:lang w:val="en-US"/>
        </w:rPr>
      </w:pPr>
      <w:r w:rsidRPr="00517DA1">
        <w:rPr>
          <w:color w:val="auto"/>
          <w:lang w:val="en-US"/>
        </w:rPr>
        <w:t xml:space="preserve">Greene, W. H., (2008) </w:t>
      </w:r>
      <w:r w:rsidRPr="00517DA1">
        <w:rPr>
          <w:i/>
          <w:color w:val="auto"/>
          <w:lang w:val="en-US"/>
        </w:rPr>
        <w:t xml:space="preserve">Econometric Analysis, </w:t>
      </w:r>
      <w:r w:rsidRPr="00517DA1">
        <w:rPr>
          <w:color w:val="auto"/>
          <w:lang w:val="en-US"/>
        </w:rPr>
        <w:t>6th Edition Upper Saddle River, N.J. Prentice Hall</w:t>
      </w:r>
    </w:p>
    <w:p w14:paraId="1C10E000" w14:textId="6DABE936" w:rsidR="00A5674E" w:rsidRPr="00517DA1" w:rsidRDefault="00FE370C">
      <w:pPr>
        <w:pStyle w:val="NormalWeb"/>
        <w:spacing w:before="0" w:after="100"/>
        <w:ind w:left="454" w:hanging="454"/>
        <w:rPr>
          <w:color w:val="auto"/>
          <w:lang w:val="en-US"/>
        </w:rPr>
      </w:pPr>
      <w:r w:rsidRPr="00517DA1">
        <w:rPr>
          <w:color w:val="auto"/>
          <w:lang w:val="en-US"/>
        </w:rPr>
        <w:t xml:space="preserve">Gul, F. A. and Leung, S. (2004) Board leadership, outside directors’ expertise and voluntary corporate disclosures, </w:t>
      </w:r>
      <w:r w:rsidRPr="00517DA1">
        <w:rPr>
          <w:i/>
          <w:color w:val="auto"/>
          <w:lang w:val="en-US"/>
        </w:rPr>
        <w:t>Journal of Accounting and Public Policy</w:t>
      </w:r>
      <w:r w:rsidRPr="00517DA1">
        <w:rPr>
          <w:color w:val="auto"/>
          <w:lang w:val="en-US"/>
        </w:rPr>
        <w:t>, 23</w:t>
      </w:r>
      <w:r w:rsidR="00537832" w:rsidRPr="00517DA1">
        <w:rPr>
          <w:color w:val="auto"/>
          <w:lang w:val="en-US"/>
        </w:rPr>
        <w:t>,</w:t>
      </w:r>
      <w:r w:rsidRPr="00517DA1">
        <w:rPr>
          <w:color w:val="auto"/>
          <w:lang w:val="en-US"/>
        </w:rPr>
        <w:t xml:space="preserve"> 351–79.</w:t>
      </w:r>
    </w:p>
    <w:p w14:paraId="70F39539" w14:textId="3F209F71" w:rsidR="00A5674E" w:rsidRPr="00517DA1" w:rsidRDefault="00FE370C">
      <w:pPr>
        <w:pStyle w:val="NormalWeb"/>
        <w:spacing w:before="0" w:after="100"/>
        <w:ind w:left="454" w:hanging="454"/>
        <w:rPr>
          <w:color w:val="auto"/>
          <w:lang w:val="en-US"/>
        </w:rPr>
      </w:pPr>
      <w:proofErr w:type="gramStart"/>
      <w:r w:rsidRPr="00517DA1">
        <w:rPr>
          <w:color w:val="auto"/>
          <w:lang w:val="en-US"/>
        </w:rPr>
        <w:t>Guthrie</w:t>
      </w:r>
      <w:r w:rsidR="00B82085" w:rsidRPr="00517DA1">
        <w:rPr>
          <w:color w:val="auto"/>
          <w:lang w:val="en-US"/>
        </w:rPr>
        <w:t xml:space="preserve">, J., Petty, R., </w:t>
      </w:r>
      <w:proofErr w:type="spellStart"/>
      <w:r w:rsidR="00B82085" w:rsidRPr="00517DA1">
        <w:rPr>
          <w:color w:val="auto"/>
          <w:lang w:val="en-US"/>
        </w:rPr>
        <w:t>Yongvanich</w:t>
      </w:r>
      <w:proofErr w:type="spellEnd"/>
      <w:r w:rsidR="00B82085" w:rsidRPr="00517DA1">
        <w:rPr>
          <w:color w:val="auto"/>
          <w:lang w:val="en-US"/>
        </w:rPr>
        <w:t>, K.</w:t>
      </w:r>
      <w:r w:rsidRPr="00517DA1">
        <w:rPr>
          <w:color w:val="auto"/>
          <w:lang w:val="en-US"/>
        </w:rPr>
        <w:t xml:space="preserve"> and </w:t>
      </w:r>
      <w:proofErr w:type="spellStart"/>
      <w:r w:rsidRPr="00517DA1">
        <w:rPr>
          <w:color w:val="auto"/>
          <w:lang w:val="en-US"/>
        </w:rPr>
        <w:t>Ricceri</w:t>
      </w:r>
      <w:proofErr w:type="spellEnd"/>
      <w:r w:rsidRPr="00517DA1">
        <w:rPr>
          <w:color w:val="auto"/>
          <w:lang w:val="en-US"/>
        </w:rPr>
        <w:t>, F. (2004).</w:t>
      </w:r>
      <w:proofErr w:type="gramEnd"/>
      <w:r w:rsidRPr="00517DA1">
        <w:rPr>
          <w:color w:val="auto"/>
          <w:lang w:val="en-US"/>
        </w:rPr>
        <w:t xml:space="preserve"> </w:t>
      </w:r>
      <w:proofErr w:type="gramStart"/>
      <w:r w:rsidRPr="00517DA1">
        <w:rPr>
          <w:color w:val="auto"/>
          <w:lang w:val="en-US"/>
        </w:rPr>
        <w:t>Using content analysis as a research method to inquire into intellectual capital reporting.</w:t>
      </w:r>
      <w:proofErr w:type="gramEnd"/>
      <w:r w:rsidRPr="00517DA1">
        <w:rPr>
          <w:color w:val="auto"/>
          <w:lang w:val="en-US"/>
        </w:rPr>
        <w:t xml:space="preserve"> </w:t>
      </w:r>
      <w:r w:rsidRPr="00517DA1">
        <w:rPr>
          <w:i/>
          <w:iCs/>
          <w:color w:val="auto"/>
          <w:lang w:val="en-US"/>
        </w:rPr>
        <w:t>Journal of Intellectual Capital</w:t>
      </w:r>
      <w:r w:rsidRPr="00517DA1">
        <w:rPr>
          <w:color w:val="auto"/>
          <w:lang w:val="en-US"/>
        </w:rPr>
        <w:t xml:space="preserve">, </w:t>
      </w:r>
      <w:r w:rsidRPr="00517DA1">
        <w:rPr>
          <w:iCs/>
          <w:color w:val="auto"/>
          <w:lang w:val="en-US"/>
        </w:rPr>
        <w:t>5</w:t>
      </w:r>
      <w:r w:rsidRPr="00517DA1">
        <w:rPr>
          <w:color w:val="auto"/>
          <w:lang w:val="en-US"/>
        </w:rPr>
        <w:t xml:space="preserve">(2), 282–293. </w:t>
      </w:r>
    </w:p>
    <w:p w14:paraId="4BB08DB6" w14:textId="28D88E2E" w:rsidR="00A5674E" w:rsidRPr="00517DA1" w:rsidRDefault="00B82085">
      <w:pPr>
        <w:pStyle w:val="NormalWeb"/>
        <w:spacing w:before="0" w:after="100"/>
        <w:ind w:left="454" w:hanging="454"/>
        <w:rPr>
          <w:color w:val="auto"/>
          <w:lang w:val="en-US"/>
        </w:rPr>
      </w:pPr>
      <w:proofErr w:type="spellStart"/>
      <w:proofErr w:type="gramStart"/>
      <w:r w:rsidRPr="00517DA1">
        <w:rPr>
          <w:color w:val="auto"/>
          <w:lang w:val="en-US"/>
        </w:rPr>
        <w:t>Hackston</w:t>
      </w:r>
      <w:proofErr w:type="spellEnd"/>
      <w:r w:rsidRPr="00517DA1">
        <w:rPr>
          <w:color w:val="auto"/>
          <w:lang w:val="en-US"/>
        </w:rPr>
        <w:t>, D.</w:t>
      </w:r>
      <w:r w:rsidR="00FE370C" w:rsidRPr="00517DA1">
        <w:rPr>
          <w:color w:val="auto"/>
          <w:lang w:val="en-US"/>
        </w:rPr>
        <w:t xml:space="preserve"> and Milne, M. J. (1996).</w:t>
      </w:r>
      <w:proofErr w:type="gramEnd"/>
      <w:r w:rsidR="00FE370C" w:rsidRPr="00517DA1">
        <w:rPr>
          <w:color w:val="auto"/>
          <w:lang w:val="en-US"/>
        </w:rPr>
        <w:t xml:space="preserve"> </w:t>
      </w:r>
      <w:proofErr w:type="gramStart"/>
      <w:r w:rsidR="00FE370C" w:rsidRPr="00517DA1">
        <w:rPr>
          <w:color w:val="auto"/>
          <w:lang w:val="en-US"/>
        </w:rPr>
        <w:t>Some determinants of social and environmental disclosures in New Zealand companies.</w:t>
      </w:r>
      <w:proofErr w:type="gramEnd"/>
      <w:r w:rsidR="00FE370C" w:rsidRPr="00517DA1">
        <w:rPr>
          <w:color w:val="auto"/>
          <w:lang w:val="en-US"/>
        </w:rPr>
        <w:t xml:space="preserve"> </w:t>
      </w:r>
      <w:proofErr w:type="gramStart"/>
      <w:r w:rsidR="00FE370C" w:rsidRPr="00517DA1">
        <w:rPr>
          <w:i/>
          <w:iCs/>
          <w:color w:val="auto"/>
          <w:lang w:val="en-US"/>
        </w:rPr>
        <w:t>Accounting, Auditing and Accountability Journal</w:t>
      </w:r>
      <w:r w:rsidR="00FE370C" w:rsidRPr="00517DA1">
        <w:rPr>
          <w:color w:val="auto"/>
          <w:lang w:val="en-US"/>
        </w:rPr>
        <w:t xml:space="preserve">, </w:t>
      </w:r>
      <w:r w:rsidR="00FE370C" w:rsidRPr="00517DA1">
        <w:rPr>
          <w:iCs/>
          <w:color w:val="auto"/>
          <w:lang w:val="en-US"/>
        </w:rPr>
        <w:t>9</w:t>
      </w:r>
      <w:r w:rsidR="00FE370C" w:rsidRPr="00517DA1">
        <w:rPr>
          <w:color w:val="auto"/>
          <w:lang w:val="en-US"/>
        </w:rPr>
        <w:t>(1), 77–108.</w:t>
      </w:r>
      <w:proofErr w:type="gramEnd"/>
      <w:r w:rsidR="00FE370C" w:rsidRPr="00517DA1">
        <w:rPr>
          <w:color w:val="auto"/>
          <w:lang w:val="en-US"/>
        </w:rPr>
        <w:t xml:space="preserve"> </w:t>
      </w:r>
    </w:p>
    <w:p w14:paraId="4F396F6F" w14:textId="77777777" w:rsidR="00A5674E" w:rsidRPr="00517DA1" w:rsidRDefault="00FE370C">
      <w:pPr>
        <w:pStyle w:val="NormalWeb"/>
        <w:spacing w:before="0" w:after="100"/>
        <w:ind w:left="454" w:hanging="454"/>
        <w:rPr>
          <w:color w:val="auto"/>
          <w:lang w:val="en-US"/>
        </w:rPr>
      </w:pPr>
      <w:r w:rsidRPr="00517DA1">
        <w:rPr>
          <w:color w:val="auto"/>
          <w:lang w:val="en-US"/>
        </w:rPr>
        <w:t xml:space="preserve">Halaby, C. N. (2004). Panel Models in Sociological Research: Theory into Practice. </w:t>
      </w:r>
      <w:r w:rsidRPr="00517DA1">
        <w:rPr>
          <w:i/>
          <w:iCs/>
          <w:color w:val="auto"/>
          <w:lang w:val="en-US"/>
        </w:rPr>
        <w:t>Annual Review of Sociology</w:t>
      </w:r>
      <w:r w:rsidRPr="00517DA1">
        <w:rPr>
          <w:color w:val="auto"/>
          <w:lang w:val="en-US"/>
        </w:rPr>
        <w:t xml:space="preserve">, </w:t>
      </w:r>
      <w:r w:rsidRPr="00517DA1">
        <w:rPr>
          <w:iCs/>
          <w:color w:val="auto"/>
          <w:lang w:val="en-US"/>
        </w:rPr>
        <w:t>30</w:t>
      </w:r>
      <w:r w:rsidRPr="00517DA1">
        <w:rPr>
          <w:color w:val="auto"/>
          <w:lang w:val="en-US"/>
        </w:rPr>
        <w:t>(1), 507–544.</w:t>
      </w:r>
    </w:p>
    <w:p w14:paraId="6974D9E0" w14:textId="16D351A1" w:rsidR="00A5674E" w:rsidRPr="00517DA1" w:rsidRDefault="00FE370C">
      <w:pPr>
        <w:pStyle w:val="NormalWeb"/>
        <w:spacing w:before="0" w:after="100"/>
        <w:ind w:left="454" w:hanging="454"/>
        <w:rPr>
          <w:color w:val="auto"/>
          <w:lang w:val="en-US"/>
        </w:rPr>
      </w:pPr>
      <w:proofErr w:type="spellStart"/>
      <w:proofErr w:type="gramStart"/>
      <w:r w:rsidRPr="00517DA1">
        <w:rPr>
          <w:color w:val="auto"/>
          <w:lang w:val="en-US"/>
        </w:rPr>
        <w:t>Haniffa</w:t>
      </w:r>
      <w:proofErr w:type="spellEnd"/>
      <w:r w:rsidRPr="00517DA1">
        <w:rPr>
          <w:color w:val="auto"/>
          <w:lang w:val="en-US"/>
        </w:rPr>
        <w:t>, R. M. and Cooke, T. E. (2002).</w:t>
      </w:r>
      <w:proofErr w:type="gramEnd"/>
      <w:r w:rsidRPr="00517DA1">
        <w:rPr>
          <w:color w:val="auto"/>
          <w:lang w:val="en-US"/>
        </w:rPr>
        <w:t xml:space="preserve"> </w:t>
      </w:r>
      <w:proofErr w:type="gramStart"/>
      <w:r w:rsidRPr="00517DA1">
        <w:rPr>
          <w:color w:val="auto"/>
          <w:lang w:val="en-US"/>
        </w:rPr>
        <w:t>Culture, Corporate Governance and Disclosure in Malaysian Corporations.</w:t>
      </w:r>
      <w:proofErr w:type="gramEnd"/>
      <w:r w:rsidRPr="00517DA1">
        <w:rPr>
          <w:color w:val="auto"/>
          <w:lang w:val="en-US"/>
        </w:rPr>
        <w:t xml:space="preserve"> </w:t>
      </w:r>
      <w:r w:rsidRPr="00517DA1">
        <w:rPr>
          <w:i/>
          <w:iCs/>
          <w:color w:val="auto"/>
          <w:lang w:val="en-US"/>
        </w:rPr>
        <w:t>Abacus</w:t>
      </w:r>
      <w:r w:rsidRPr="00517DA1">
        <w:rPr>
          <w:color w:val="auto"/>
          <w:lang w:val="en-US"/>
        </w:rPr>
        <w:t xml:space="preserve">, </w:t>
      </w:r>
      <w:r w:rsidRPr="00517DA1">
        <w:rPr>
          <w:iCs/>
          <w:color w:val="auto"/>
          <w:lang w:val="en-US"/>
        </w:rPr>
        <w:t>38</w:t>
      </w:r>
      <w:r w:rsidRPr="00517DA1">
        <w:rPr>
          <w:color w:val="auto"/>
          <w:lang w:val="en-US"/>
        </w:rPr>
        <w:t xml:space="preserve">(3), 317–349. </w:t>
      </w:r>
    </w:p>
    <w:p w14:paraId="558985CB" w14:textId="50A6E6D8" w:rsidR="00FD70EB" w:rsidRPr="00517DA1" w:rsidRDefault="00FE370C" w:rsidP="00FD70EB">
      <w:pPr>
        <w:pStyle w:val="NormalWeb"/>
        <w:spacing w:before="0" w:after="100"/>
        <w:ind w:left="454" w:hanging="454"/>
        <w:rPr>
          <w:color w:val="auto"/>
          <w:lang w:val="en-US"/>
        </w:rPr>
      </w:pPr>
      <w:proofErr w:type="spellStart"/>
      <w:proofErr w:type="gramStart"/>
      <w:r w:rsidRPr="00517DA1">
        <w:rPr>
          <w:color w:val="auto"/>
          <w:lang w:val="en-US"/>
        </w:rPr>
        <w:t>Hasseldine</w:t>
      </w:r>
      <w:proofErr w:type="spellEnd"/>
      <w:r w:rsidRPr="00517DA1">
        <w:rPr>
          <w:color w:val="auto"/>
          <w:lang w:val="en-US"/>
        </w:rPr>
        <w:t xml:space="preserve">, J., </w:t>
      </w:r>
      <w:proofErr w:type="spellStart"/>
      <w:r w:rsidRPr="00517DA1">
        <w:rPr>
          <w:color w:val="auto"/>
          <w:lang w:val="en-US"/>
        </w:rPr>
        <w:t>Salama</w:t>
      </w:r>
      <w:proofErr w:type="spellEnd"/>
      <w:r w:rsidRPr="00517DA1">
        <w:rPr>
          <w:color w:val="auto"/>
          <w:lang w:val="en-US"/>
        </w:rPr>
        <w:t xml:space="preserve">, </w:t>
      </w:r>
      <w:r w:rsidR="00B82085" w:rsidRPr="00517DA1">
        <w:rPr>
          <w:color w:val="auto"/>
          <w:lang w:val="en-US"/>
        </w:rPr>
        <w:t>A</w:t>
      </w:r>
      <w:r w:rsidRPr="00517DA1">
        <w:rPr>
          <w:color w:val="auto"/>
          <w:lang w:val="en-US"/>
        </w:rPr>
        <w:t>. I. I., and Toms, J. S. S. (2005).</w:t>
      </w:r>
      <w:proofErr w:type="gramEnd"/>
      <w:r w:rsidRPr="00517DA1">
        <w:rPr>
          <w:color w:val="auto"/>
          <w:lang w:val="en-US"/>
        </w:rPr>
        <w:t xml:space="preserve"> Quantity versus quality: the impact of environmental disclosures on the reputations of UK </w:t>
      </w:r>
      <w:proofErr w:type="spellStart"/>
      <w:r w:rsidRPr="00517DA1">
        <w:rPr>
          <w:color w:val="auto"/>
          <w:lang w:val="en-US"/>
        </w:rPr>
        <w:t>Plcs</w:t>
      </w:r>
      <w:proofErr w:type="spellEnd"/>
      <w:r w:rsidRPr="00517DA1">
        <w:rPr>
          <w:color w:val="auto"/>
          <w:lang w:val="en-US"/>
        </w:rPr>
        <w:t xml:space="preserve">. </w:t>
      </w:r>
      <w:r w:rsidRPr="00517DA1">
        <w:rPr>
          <w:i/>
          <w:iCs/>
          <w:color w:val="auto"/>
          <w:lang w:val="en-US"/>
        </w:rPr>
        <w:t>The British Accounting Review</w:t>
      </w:r>
      <w:r w:rsidRPr="00517DA1">
        <w:rPr>
          <w:color w:val="auto"/>
          <w:lang w:val="en-US"/>
        </w:rPr>
        <w:t xml:space="preserve">, </w:t>
      </w:r>
      <w:r w:rsidRPr="00517DA1">
        <w:rPr>
          <w:iCs/>
          <w:color w:val="auto"/>
          <w:lang w:val="en-US"/>
        </w:rPr>
        <w:t>37</w:t>
      </w:r>
      <w:r w:rsidRPr="00517DA1">
        <w:rPr>
          <w:color w:val="auto"/>
          <w:lang w:val="en-US"/>
        </w:rPr>
        <w:t xml:space="preserve">(2), 231–248. </w:t>
      </w:r>
    </w:p>
    <w:p w14:paraId="4CFC67EB" w14:textId="77777777" w:rsidR="00FD70EB" w:rsidRPr="00517DA1" w:rsidRDefault="00FD70EB" w:rsidP="00FD70EB">
      <w:pPr>
        <w:pStyle w:val="NormalWeb"/>
        <w:spacing w:before="0" w:after="100"/>
        <w:ind w:left="454" w:hanging="454"/>
        <w:rPr>
          <w:lang w:eastAsia="en-GB"/>
        </w:rPr>
      </w:pPr>
      <w:proofErr w:type="gramStart"/>
      <w:r w:rsidRPr="00517DA1">
        <w:rPr>
          <w:lang w:eastAsia="en-GB"/>
        </w:rPr>
        <w:t xml:space="preserve">Hillman, A.J., </w:t>
      </w:r>
      <w:proofErr w:type="spellStart"/>
      <w:r w:rsidRPr="00517DA1">
        <w:rPr>
          <w:lang w:eastAsia="en-GB"/>
        </w:rPr>
        <w:t>Cannella</w:t>
      </w:r>
      <w:proofErr w:type="spellEnd"/>
      <w:r w:rsidRPr="00517DA1">
        <w:rPr>
          <w:lang w:eastAsia="en-GB"/>
        </w:rPr>
        <w:t xml:space="preserve">, A.A. and R.L. </w:t>
      </w:r>
      <w:proofErr w:type="spellStart"/>
      <w:r w:rsidRPr="00517DA1">
        <w:rPr>
          <w:lang w:eastAsia="en-GB"/>
        </w:rPr>
        <w:t>Paetzold</w:t>
      </w:r>
      <w:proofErr w:type="spellEnd"/>
      <w:r w:rsidRPr="00517DA1">
        <w:rPr>
          <w:lang w:eastAsia="en-GB"/>
        </w:rPr>
        <w:t xml:space="preserve"> (2000).</w:t>
      </w:r>
      <w:proofErr w:type="gramEnd"/>
      <w:r w:rsidRPr="00517DA1">
        <w:rPr>
          <w:lang w:eastAsia="en-GB"/>
        </w:rPr>
        <w:t xml:space="preserve"> The resource dependence role of corporate directors: Strategic adaptation of board composition in response to environmental change. </w:t>
      </w:r>
      <w:r w:rsidRPr="00517DA1">
        <w:rPr>
          <w:i/>
          <w:iCs/>
          <w:lang w:eastAsia="en-GB"/>
        </w:rPr>
        <w:t>Journal of Management Studies</w:t>
      </w:r>
      <w:r w:rsidRPr="00517DA1">
        <w:rPr>
          <w:lang w:eastAsia="en-GB"/>
        </w:rPr>
        <w:t xml:space="preserve">, </w:t>
      </w:r>
      <w:r w:rsidRPr="00517DA1">
        <w:rPr>
          <w:iCs/>
          <w:lang w:eastAsia="en-GB"/>
        </w:rPr>
        <w:t>37</w:t>
      </w:r>
      <w:r w:rsidRPr="00517DA1">
        <w:rPr>
          <w:lang w:eastAsia="en-GB"/>
        </w:rPr>
        <w:t>(2), 235-256.</w:t>
      </w:r>
    </w:p>
    <w:p w14:paraId="0AF799E8" w14:textId="60107AF5" w:rsidR="00FD70EB" w:rsidRPr="00517DA1" w:rsidRDefault="00FD70EB" w:rsidP="00FD70EB">
      <w:pPr>
        <w:pStyle w:val="NormalWeb"/>
        <w:spacing w:before="0" w:after="100"/>
        <w:ind w:left="454" w:hanging="454"/>
        <w:rPr>
          <w:color w:val="auto"/>
          <w:lang w:val="en-US"/>
        </w:rPr>
      </w:pPr>
      <w:proofErr w:type="gramStart"/>
      <w:r w:rsidRPr="00517DA1">
        <w:t xml:space="preserve">Hillman, A.J. and G.D. </w:t>
      </w:r>
      <w:proofErr w:type="spellStart"/>
      <w:r w:rsidRPr="00517DA1">
        <w:t>Keim</w:t>
      </w:r>
      <w:proofErr w:type="spellEnd"/>
      <w:r w:rsidRPr="00517DA1">
        <w:t xml:space="preserve"> (2001) 'Shareholder Value.</w:t>
      </w:r>
      <w:proofErr w:type="gramEnd"/>
      <w:r w:rsidRPr="00517DA1">
        <w:t xml:space="preserve"> Stakeholder Management and Social Issues: What's the Bottom Line?</w:t>
      </w:r>
      <w:r w:rsidR="00B82085" w:rsidRPr="00517DA1">
        <w:t>’</w:t>
      </w:r>
      <w:r w:rsidRPr="00517DA1">
        <w:t xml:space="preserve"> </w:t>
      </w:r>
      <w:r w:rsidRPr="00517DA1">
        <w:rPr>
          <w:i/>
          <w:iCs/>
        </w:rPr>
        <w:t xml:space="preserve">Strategic Management Journal </w:t>
      </w:r>
      <w:r w:rsidRPr="00517DA1">
        <w:t>22(2), 125-139.</w:t>
      </w:r>
    </w:p>
    <w:p w14:paraId="14E19200" w14:textId="7349E29E" w:rsidR="00FD70EB" w:rsidRPr="00517DA1" w:rsidRDefault="00FD70EB" w:rsidP="00FD70EB">
      <w:pPr>
        <w:pStyle w:val="NormalWeb"/>
        <w:spacing w:before="0" w:after="100"/>
        <w:ind w:left="454" w:hanging="454"/>
        <w:rPr>
          <w:lang w:eastAsia="en-GB"/>
        </w:rPr>
      </w:pPr>
      <w:proofErr w:type="gramStart"/>
      <w:r w:rsidRPr="00517DA1">
        <w:rPr>
          <w:lang w:eastAsia="en-GB"/>
        </w:rPr>
        <w:t>Hillman, A.J. and T. Dalziel (2003).</w:t>
      </w:r>
      <w:proofErr w:type="gramEnd"/>
      <w:r w:rsidRPr="00517DA1">
        <w:rPr>
          <w:lang w:eastAsia="en-GB"/>
        </w:rPr>
        <w:t xml:space="preserve"> Boards of directors and firm performance: Integrating agency and resource dependence perspectives. </w:t>
      </w:r>
      <w:r w:rsidRPr="00517DA1">
        <w:rPr>
          <w:i/>
          <w:iCs/>
          <w:lang w:eastAsia="en-GB"/>
        </w:rPr>
        <w:t>Academy of Management Review</w:t>
      </w:r>
      <w:r w:rsidRPr="00517DA1">
        <w:rPr>
          <w:lang w:eastAsia="en-GB"/>
        </w:rPr>
        <w:t xml:space="preserve">, </w:t>
      </w:r>
      <w:r w:rsidRPr="00517DA1">
        <w:rPr>
          <w:iCs/>
          <w:lang w:eastAsia="en-GB"/>
        </w:rPr>
        <w:t>28</w:t>
      </w:r>
      <w:r w:rsidRPr="00517DA1">
        <w:rPr>
          <w:lang w:eastAsia="en-GB"/>
        </w:rPr>
        <w:t>(3), 383-396</w:t>
      </w:r>
    </w:p>
    <w:p w14:paraId="5B285D37" w14:textId="70914548" w:rsidR="00A5674E" w:rsidRPr="00517DA1" w:rsidRDefault="00B22A9B" w:rsidP="00FD70EB">
      <w:pPr>
        <w:pStyle w:val="NormalWeb"/>
        <w:spacing w:before="0" w:after="100"/>
        <w:ind w:left="454" w:hanging="454"/>
        <w:rPr>
          <w:color w:val="auto"/>
          <w:lang w:val="en-US"/>
        </w:rPr>
      </w:pPr>
      <w:r w:rsidRPr="00517DA1">
        <w:rPr>
          <w:color w:val="auto"/>
          <w:lang w:val="en-US"/>
        </w:rPr>
        <w:t>Ho, S. S. M.</w:t>
      </w:r>
      <w:r w:rsidR="00FE370C" w:rsidRPr="00517DA1">
        <w:rPr>
          <w:color w:val="auto"/>
          <w:lang w:val="en-US"/>
        </w:rPr>
        <w:t xml:space="preserve"> and Wong, K. S. (2001). </w:t>
      </w:r>
      <w:proofErr w:type="gramStart"/>
      <w:r w:rsidR="00FE370C" w:rsidRPr="00517DA1">
        <w:rPr>
          <w:color w:val="auto"/>
          <w:lang w:val="en-US"/>
        </w:rPr>
        <w:t>A study of the relationship between corporate governance structures and the extent of voluntary disclosure.</w:t>
      </w:r>
      <w:proofErr w:type="gramEnd"/>
      <w:r w:rsidR="00FE370C" w:rsidRPr="00517DA1">
        <w:rPr>
          <w:color w:val="auto"/>
          <w:lang w:val="en-US"/>
        </w:rPr>
        <w:t xml:space="preserve"> </w:t>
      </w:r>
      <w:proofErr w:type="gramStart"/>
      <w:r w:rsidR="00FE370C" w:rsidRPr="00517DA1">
        <w:rPr>
          <w:i/>
          <w:iCs/>
          <w:color w:val="auto"/>
          <w:lang w:val="en-US"/>
        </w:rPr>
        <w:t>Journal of International Accounting Auditing and Taxation</w:t>
      </w:r>
      <w:r w:rsidR="00FE370C" w:rsidRPr="00517DA1">
        <w:rPr>
          <w:color w:val="auto"/>
          <w:lang w:val="en-US"/>
        </w:rPr>
        <w:t xml:space="preserve">, </w:t>
      </w:r>
      <w:r w:rsidR="00FE370C" w:rsidRPr="00517DA1">
        <w:rPr>
          <w:iCs/>
          <w:color w:val="auto"/>
          <w:lang w:val="en-US"/>
        </w:rPr>
        <w:t>10</w:t>
      </w:r>
      <w:r w:rsidR="00FE370C" w:rsidRPr="00517DA1">
        <w:rPr>
          <w:color w:val="auto"/>
          <w:lang w:val="en-US"/>
        </w:rPr>
        <w:t>, 139–156.</w:t>
      </w:r>
      <w:proofErr w:type="gramEnd"/>
    </w:p>
    <w:p w14:paraId="368CE46B" w14:textId="2DF2D273" w:rsidR="00A5674E" w:rsidRPr="00517DA1" w:rsidRDefault="00FE370C">
      <w:pPr>
        <w:pStyle w:val="NormalWeb"/>
        <w:spacing w:before="0" w:after="100"/>
        <w:ind w:left="454" w:hanging="454"/>
        <w:rPr>
          <w:color w:val="auto"/>
          <w:lang w:val="en-US"/>
        </w:rPr>
      </w:pPr>
      <w:proofErr w:type="gramStart"/>
      <w:r w:rsidRPr="00517DA1">
        <w:rPr>
          <w:color w:val="auto"/>
          <w:lang w:val="en-US"/>
        </w:rPr>
        <w:t xml:space="preserve">Hooks, J. and van </w:t>
      </w:r>
      <w:proofErr w:type="spellStart"/>
      <w:r w:rsidRPr="00517DA1">
        <w:rPr>
          <w:color w:val="auto"/>
          <w:lang w:val="en-US"/>
        </w:rPr>
        <w:t>Staden</w:t>
      </w:r>
      <w:proofErr w:type="spellEnd"/>
      <w:r w:rsidRPr="00517DA1">
        <w:rPr>
          <w:color w:val="auto"/>
          <w:lang w:val="en-US"/>
        </w:rPr>
        <w:t>, C. J. (2011).</w:t>
      </w:r>
      <w:proofErr w:type="gramEnd"/>
      <w:r w:rsidRPr="00517DA1">
        <w:rPr>
          <w:color w:val="auto"/>
          <w:lang w:val="en-US"/>
        </w:rPr>
        <w:t xml:space="preserve"> </w:t>
      </w:r>
      <w:proofErr w:type="gramStart"/>
      <w:r w:rsidRPr="00517DA1">
        <w:rPr>
          <w:color w:val="auto"/>
          <w:lang w:val="en-US"/>
        </w:rPr>
        <w:t>Evaluating environmental disclosures: The relationship between quality and extent measures.</w:t>
      </w:r>
      <w:proofErr w:type="gramEnd"/>
      <w:r w:rsidRPr="00517DA1">
        <w:rPr>
          <w:color w:val="auto"/>
          <w:lang w:val="en-US"/>
        </w:rPr>
        <w:t xml:space="preserve"> </w:t>
      </w:r>
      <w:r w:rsidRPr="00517DA1">
        <w:rPr>
          <w:i/>
          <w:iCs/>
          <w:color w:val="auto"/>
          <w:lang w:val="en-US"/>
        </w:rPr>
        <w:t>The British Accounting Review</w:t>
      </w:r>
      <w:r w:rsidRPr="00517DA1">
        <w:rPr>
          <w:color w:val="auto"/>
          <w:lang w:val="en-US"/>
        </w:rPr>
        <w:t xml:space="preserve">, </w:t>
      </w:r>
      <w:r w:rsidRPr="00517DA1">
        <w:rPr>
          <w:iCs/>
          <w:color w:val="auto"/>
          <w:lang w:val="en-US"/>
        </w:rPr>
        <w:t>43</w:t>
      </w:r>
      <w:r w:rsidRPr="00517DA1">
        <w:rPr>
          <w:color w:val="auto"/>
          <w:lang w:val="en-US"/>
        </w:rPr>
        <w:t xml:space="preserve">(3), 200–213. </w:t>
      </w:r>
    </w:p>
    <w:p w14:paraId="79D0C219" w14:textId="77777777" w:rsidR="00730CD9" w:rsidRPr="00517DA1" w:rsidRDefault="00730CD9">
      <w:pPr>
        <w:pStyle w:val="NormalWeb"/>
        <w:spacing w:before="0" w:after="100"/>
        <w:ind w:left="454" w:hanging="454"/>
        <w:rPr>
          <w:color w:val="auto"/>
          <w:lang w:val="en-US"/>
        </w:rPr>
      </w:pPr>
      <w:r w:rsidRPr="00517DA1">
        <w:t xml:space="preserve">Ingram, R.T. (2003) </w:t>
      </w:r>
      <w:proofErr w:type="gramStart"/>
      <w:r w:rsidRPr="00517DA1">
        <w:rPr>
          <w:i/>
          <w:iCs/>
        </w:rPr>
        <w:t>Ten</w:t>
      </w:r>
      <w:proofErr w:type="gramEnd"/>
      <w:r w:rsidRPr="00517DA1">
        <w:rPr>
          <w:i/>
          <w:iCs/>
        </w:rPr>
        <w:t xml:space="preserve"> basic responsibilities of non-profit boards</w:t>
      </w:r>
      <w:r w:rsidRPr="00517DA1">
        <w:t xml:space="preserve">. Washington, DC: National </w:t>
      </w:r>
      <w:proofErr w:type="spellStart"/>
      <w:r w:rsidRPr="00517DA1">
        <w:t>Center</w:t>
      </w:r>
      <w:proofErr w:type="spellEnd"/>
      <w:r w:rsidRPr="00517DA1">
        <w:t xml:space="preserve"> for Non-profit Boards</w:t>
      </w:r>
      <w:r w:rsidRPr="00517DA1">
        <w:rPr>
          <w:color w:val="auto"/>
          <w:lang w:val="en-US"/>
        </w:rPr>
        <w:t xml:space="preserve"> </w:t>
      </w:r>
    </w:p>
    <w:p w14:paraId="5623A3C1" w14:textId="5780416B" w:rsidR="00A5674E" w:rsidRPr="00517DA1" w:rsidRDefault="00FE370C">
      <w:pPr>
        <w:pStyle w:val="NormalWeb"/>
        <w:spacing w:before="0" w:after="100"/>
        <w:ind w:left="454" w:hanging="454"/>
        <w:rPr>
          <w:color w:val="auto"/>
          <w:lang w:val="en-US"/>
        </w:rPr>
      </w:pPr>
      <w:proofErr w:type="gramStart"/>
      <w:r w:rsidRPr="00517DA1">
        <w:rPr>
          <w:color w:val="auto"/>
          <w:lang w:val="en-US"/>
        </w:rPr>
        <w:lastRenderedPageBreak/>
        <w:t>Ingram, R. W. and Frazier, K. B. (1980).</w:t>
      </w:r>
      <w:proofErr w:type="gramEnd"/>
      <w:r w:rsidRPr="00517DA1">
        <w:rPr>
          <w:color w:val="auto"/>
          <w:lang w:val="en-US"/>
        </w:rPr>
        <w:t xml:space="preserve"> </w:t>
      </w:r>
      <w:proofErr w:type="gramStart"/>
      <w:r w:rsidRPr="00517DA1">
        <w:rPr>
          <w:color w:val="auto"/>
          <w:lang w:val="en-US"/>
        </w:rPr>
        <w:t>Environmental Performance and Corporate Disclosure.</w:t>
      </w:r>
      <w:proofErr w:type="gramEnd"/>
      <w:r w:rsidRPr="00517DA1">
        <w:rPr>
          <w:color w:val="auto"/>
          <w:lang w:val="en-US"/>
        </w:rPr>
        <w:t xml:space="preserve"> </w:t>
      </w:r>
      <w:r w:rsidRPr="00517DA1">
        <w:rPr>
          <w:i/>
          <w:iCs/>
          <w:color w:val="auto"/>
          <w:lang w:val="en-US"/>
        </w:rPr>
        <w:t>Journal of Accounting Research</w:t>
      </w:r>
      <w:r w:rsidRPr="00517DA1">
        <w:rPr>
          <w:color w:val="auto"/>
          <w:lang w:val="en-US"/>
        </w:rPr>
        <w:t xml:space="preserve">, </w:t>
      </w:r>
      <w:r w:rsidRPr="00517DA1">
        <w:rPr>
          <w:iCs/>
          <w:color w:val="auto"/>
          <w:lang w:val="en-US"/>
        </w:rPr>
        <w:t>18</w:t>
      </w:r>
      <w:r w:rsidRPr="00517DA1">
        <w:rPr>
          <w:color w:val="auto"/>
          <w:lang w:val="en-US"/>
        </w:rPr>
        <w:t>(2), 614–622.</w:t>
      </w:r>
    </w:p>
    <w:p w14:paraId="304DF682" w14:textId="77777777" w:rsidR="00A5674E" w:rsidRPr="00517DA1" w:rsidRDefault="00FE370C">
      <w:pPr>
        <w:spacing w:after="100"/>
        <w:ind w:left="454" w:hanging="454"/>
        <w:jc w:val="both"/>
        <w:rPr>
          <w:color w:val="auto"/>
          <w:lang w:val="en-US"/>
        </w:rPr>
      </w:pPr>
      <w:r w:rsidRPr="00517DA1">
        <w:rPr>
          <w:color w:val="auto"/>
          <w:lang w:val="en-US"/>
        </w:rPr>
        <w:t xml:space="preserve">Jensen, M. C., (1993), “The modern industrial revolution, exit, and the failure of internal control systems, </w:t>
      </w:r>
      <w:r w:rsidRPr="00517DA1">
        <w:rPr>
          <w:i/>
          <w:color w:val="auto"/>
          <w:lang w:val="en-US"/>
        </w:rPr>
        <w:t>Journal of Finance</w:t>
      </w:r>
      <w:r w:rsidRPr="00517DA1">
        <w:rPr>
          <w:color w:val="auto"/>
          <w:lang w:val="en-US"/>
        </w:rPr>
        <w:t>, 48, 831-880</w:t>
      </w:r>
    </w:p>
    <w:p w14:paraId="39F6B96F" w14:textId="77777777" w:rsidR="00A5674E" w:rsidRPr="00517DA1" w:rsidRDefault="00FE370C">
      <w:pPr>
        <w:spacing w:after="100"/>
        <w:ind w:left="454" w:hanging="454"/>
        <w:jc w:val="both"/>
        <w:rPr>
          <w:color w:val="auto"/>
          <w:lang w:val="en-US"/>
        </w:rPr>
      </w:pPr>
      <w:r w:rsidRPr="00517DA1">
        <w:rPr>
          <w:color w:val="auto"/>
          <w:lang w:val="en-US"/>
        </w:rPr>
        <w:t>Jensen M. C., (2001), “Value Maximization, Stakeholder Theory, and the Corporate Objective Function, Journal of Applied Corporate Finance, 14(3), 8–22</w:t>
      </w:r>
    </w:p>
    <w:p w14:paraId="1E54F7C3" w14:textId="77777777" w:rsidR="00500108" w:rsidRPr="00517DA1" w:rsidRDefault="00B57BD9" w:rsidP="00500108">
      <w:pPr>
        <w:pStyle w:val="NormalWeb"/>
        <w:spacing w:before="0" w:after="100"/>
        <w:ind w:left="454" w:hanging="454"/>
        <w:rPr>
          <w:color w:val="auto"/>
          <w:lang w:val="en-US"/>
        </w:rPr>
      </w:pPr>
      <w:proofErr w:type="spellStart"/>
      <w:proofErr w:type="gramStart"/>
      <w:r w:rsidRPr="00517DA1">
        <w:rPr>
          <w:color w:val="auto"/>
          <w:lang w:val="en-US"/>
        </w:rPr>
        <w:t>Khiari</w:t>
      </w:r>
      <w:proofErr w:type="spellEnd"/>
      <w:r w:rsidRPr="00517DA1">
        <w:rPr>
          <w:color w:val="auto"/>
          <w:lang w:val="en-US"/>
        </w:rPr>
        <w:t>, W. (2013).</w:t>
      </w:r>
      <w:proofErr w:type="gramEnd"/>
      <w:r w:rsidRPr="00517DA1">
        <w:rPr>
          <w:color w:val="auto"/>
          <w:lang w:val="en-US"/>
        </w:rPr>
        <w:t xml:space="preserve"> Corporate governance and disclosure quality: Taxonomy of </w:t>
      </w:r>
      <w:r w:rsidR="003F7F9D" w:rsidRPr="00517DA1">
        <w:rPr>
          <w:color w:val="auto"/>
          <w:lang w:val="en-US"/>
        </w:rPr>
        <w:t>Tunisian</w:t>
      </w:r>
      <w:r w:rsidRPr="00517DA1">
        <w:rPr>
          <w:color w:val="auto"/>
          <w:lang w:val="en-US"/>
        </w:rPr>
        <w:t xml:space="preserve"> listed firms using the decision tree method based approach. </w:t>
      </w:r>
      <w:proofErr w:type="gramStart"/>
      <w:r w:rsidRPr="00517DA1">
        <w:rPr>
          <w:i/>
          <w:color w:val="auto"/>
          <w:lang w:val="en-US"/>
        </w:rPr>
        <w:t>Emerging Markets Journal,</w:t>
      </w:r>
      <w:r w:rsidRPr="00517DA1">
        <w:rPr>
          <w:color w:val="auto"/>
          <w:lang w:val="en-US"/>
        </w:rPr>
        <w:t xml:space="preserve"> 3(2), 46.</w:t>
      </w:r>
      <w:proofErr w:type="gramEnd"/>
      <w:r w:rsidR="00FE370C" w:rsidRPr="00517DA1">
        <w:rPr>
          <w:color w:val="auto"/>
          <w:lang w:val="en-US"/>
        </w:rPr>
        <w:t xml:space="preserve"> </w:t>
      </w:r>
    </w:p>
    <w:p w14:paraId="05D98AB9" w14:textId="3CB1C058" w:rsidR="00500108" w:rsidRPr="00517DA1" w:rsidRDefault="00500108" w:rsidP="00500108">
      <w:pPr>
        <w:pStyle w:val="NormalWeb"/>
        <w:spacing w:before="0" w:after="100"/>
        <w:ind w:left="454" w:hanging="454"/>
        <w:rPr>
          <w:color w:val="auto"/>
          <w:lang w:val="en-US"/>
        </w:rPr>
      </w:pPr>
      <w:proofErr w:type="spellStart"/>
      <w:r w:rsidRPr="00517DA1">
        <w:t>Kirkman</w:t>
      </w:r>
      <w:proofErr w:type="spellEnd"/>
      <w:r w:rsidRPr="00517DA1">
        <w:t>, P. and Hope, C., (1992) “Environmental Disclosure in UK Company Annual Reports” Cambridge University Press, Cambridge</w:t>
      </w:r>
    </w:p>
    <w:p w14:paraId="36D6B58A" w14:textId="715F5519" w:rsidR="00286B14" w:rsidRPr="00517DA1" w:rsidRDefault="00286B14" w:rsidP="00286B14">
      <w:pPr>
        <w:pStyle w:val="NormalWeb"/>
        <w:spacing w:before="0" w:after="100"/>
        <w:ind w:left="454" w:hanging="454"/>
        <w:rPr>
          <w:color w:val="auto"/>
          <w:lang w:val="en-US"/>
        </w:rPr>
      </w:pPr>
      <w:proofErr w:type="spellStart"/>
      <w:r w:rsidRPr="00517DA1">
        <w:t>Krippendorff</w:t>
      </w:r>
      <w:proofErr w:type="spellEnd"/>
      <w:r w:rsidRPr="00517DA1">
        <w:t>, K., (1980) “</w:t>
      </w:r>
      <w:r w:rsidRPr="00517DA1">
        <w:rPr>
          <w:i/>
        </w:rPr>
        <w:t xml:space="preserve">Content Analysis: An Introduction to its Methodology”, </w:t>
      </w:r>
      <w:r w:rsidRPr="00517DA1">
        <w:t>Sage, London</w:t>
      </w:r>
    </w:p>
    <w:p w14:paraId="6ACFD8F0" w14:textId="6E5A9630" w:rsidR="00A5674E" w:rsidRPr="00517DA1" w:rsidRDefault="00FE370C">
      <w:pPr>
        <w:pStyle w:val="NormalWeb"/>
        <w:spacing w:before="0" w:after="100"/>
        <w:ind w:left="454" w:hanging="454"/>
        <w:rPr>
          <w:color w:val="auto"/>
          <w:lang w:val="en-US"/>
        </w:rPr>
      </w:pPr>
      <w:proofErr w:type="gramStart"/>
      <w:r w:rsidRPr="00517DA1">
        <w:rPr>
          <w:color w:val="auto"/>
          <w:lang w:val="en-US"/>
        </w:rPr>
        <w:t xml:space="preserve">Li, J., Pike, R. and </w:t>
      </w:r>
      <w:proofErr w:type="spellStart"/>
      <w:r w:rsidRPr="00517DA1">
        <w:rPr>
          <w:color w:val="auto"/>
          <w:lang w:val="en-US"/>
        </w:rPr>
        <w:t>Haniffa</w:t>
      </w:r>
      <w:proofErr w:type="spellEnd"/>
      <w:r w:rsidRPr="00517DA1">
        <w:rPr>
          <w:color w:val="auto"/>
          <w:lang w:val="en-US"/>
        </w:rPr>
        <w:t>, R. (2008).</w:t>
      </w:r>
      <w:proofErr w:type="gramEnd"/>
      <w:r w:rsidRPr="00517DA1">
        <w:rPr>
          <w:color w:val="auto"/>
          <w:lang w:val="en-US"/>
        </w:rPr>
        <w:t xml:space="preserve"> Intellectual capital disclosure and corporate governance structure in UK firms. </w:t>
      </w:r>
      <w:r w:rsidRPr="00517DA1">
        <w:rPr>
          <w:i/>
          <w:iCs/>
          <w:color w:val="auto"/>
          <w:lang w:val="en-US"/>
        </w:rPr>
        <w:t>Accounting and Business Research</w:t>
      </w:r>
      <w:r w:rsidRPr="00517DA1">
        <w:rPr>
          <w:color w:val="auto"/>
          <w:lang w:val="en-US"/>
        </w:rPr>
        <w:t xml:space="preserve">, </w:t>
      </w:r>
      <w:r w:rsidRPr="00517DA1">
        <w:rPr>
          <w:iCs/>
          <w:color w:val="auto"/>
          <w:lang w:val="en-US"/>
        </w:rPr>
        <w:t>38</w:t>
      </w:r>
      <w:r w:rsidRPr="00517DA1">
        <w:rPr>
          <w:color w:val="auto"/>
          <w:lang w:val="en-US"/>
        </w:rPr>
        <w:t xml:space="preserve">(2), 137–159. </w:t>
      </w:r>
    </w:p>
    <w:p w14:paraId="42C26ECA" w14:textId="5C7A481F" w:rsidR="00A5674E" w:rsidRPr="00517DA1" w:rsidRDefault="00B82085">
      <w:pPr>
        <w:pStyle w:val="NormalWeb"/>
        <w:spacing w:before="0" w:after="100"/>
        <w:ind w:left="454" w:hanging="454"/>
        <w:rPr>
          <w:color w:val="auto"/>
          <w:lang w:val="en-US"/>
        </w:rPr>
      </w:pPr>
      <w:proofErr w:type="spellStart"/>
      <w:proofErr w:type="gramStart"/>
      <w:r w:rsidRPr="00517DA1">
        <w:rPr>
          <w:color w:val="auto"/>
          <w:lang w:val="en-US"/>
        </w:rPr>
        <w:t>Mangena</w:t>
      </w:r>
      <w:proofErr w:type="spellEnd"/>
      <w:r w:rsidRPr="00517DA1">
        <w:rPr>
          <w:color w:val="auto"/>
          <w:lang w:val="en-US"/>
        </w:rPr>
        <w:t>, M.</w:t>
      </w:r>
      <w:r w:rsidR="00FE370C" w:rsidRPr="00517DA1">
        <w:rPr>
          <w:color w:val="auto"/>
          <w:lang w:val="en-US"/>
        </w:rPr>
        <w:t xml:space="preserve"> and Pike, R. (2005).</w:t>
      </w:r>
      <w:proofErr w:type="gramEnd"/>
      <w:r w:rsidR="00FE370C" w:rsidRPr="00517DA1">
        <w:rPr>
          <w:color w:val="auto"/>
          <w:lang w:val="en-US"/>
        </w:rPr>
        <w:t xml:space="preserve"> </w:t>
      </w:r>
      <w:proofErr w:type="gramStart"/>
      <w:r w:rsidR="00FE370C" w:rsidRPr="00517DA1">
        <w:rPr>
          <w:color w:val="auto"/>
          <w:lang w:val="en-US"/>
        </w:rPr>
        <w:t>The effect of audit committee shareholding, financial expertise and size on interim financial disclosures.</w:t>
      </w:r>
      <w:proofErr w:type="gramEnd"/>
      <w:r w:rsidR="00FE370C" w:rsidRPr="00517DA1">
        <w:rPr>
          <w:color w:val="auto"/>
          <w:lang w:val="en-US"/>
        </w:rPr>
        <w:t xml:space="preserve"> </w:t>
      </w:r>
      <w:r w:rsidR="00FE370C" w:rsidRPr="00517DA1">
        <w:rPr>
          <w:i/>
          <w:iCs/>
          <w:color w:val="auto"/>
          <w:lang w:val="en-US"/>
        </w:rPr>
        <w:t>Accounting and Business Research</w:t>
      </w:r>
      <w:r w:rsidR="00FE370C" w:rsidRPr="00517DA1">
        <w:rPr>
          <w:color w:val="auto"/>
          <w:lang w:val="en-US"/>
        </w:rPr>
        <w:t xml:space="preserve">, </w:t>
      </w:r>
      <w:r w:rsidR="00FE370C" w:rsidRPr="00517DA1">
        <w:rPr>
          <w:iCs/>
          <w:color w:val="auto"/>
          <w:lang w:val="en-US"/>
        </w:rPr>
        <w:t>35</w:t>
      </w:r>
      <w:r w:rsidR="00FE370C" w:rsidRPr="00517DA1">
        <w:rPr>
          <w:color w:val="auto"/>
          <w:lang w:val="en-US"/>
        </w:rPr>
        <w:t xml:space="preserve">(4), 327–349. </w:t>
      </w:r>
    </w:p>
    <w:p w14:paraId="3821221C" w14:textId="5A2DA6BA" w:rsidR="00A5674E" w:rsidRPr="00517DA1" w:rsidRDefault="00FE370C">
      <w:pPr>
        <w:pStyle w:val="NormalWeb"/>
        <w:spacing w:before="0" w:after="100"/>
        <w:ind w:left="454" w:hanging="454"/>
        <w:rPr>
          <w:color w:val="auto"/>
          <w:lang w:val="en-US"/>
        </w:rPr>
      </w:pPr>
      <w:r w:rsidRPr="00517DA1">
        <w:rPr>
          <w:color w:val="auto"/>
          <w:lang w:val="en-US"/>
        </w:rPr>
        <w:t xml:space="preserve">Marston, C. L. and Shrives, P. J. (1991). “The use of disclosure indices in accounting research: a review article”. </w:t>
      </w:r>
      <w:r w:rsidRPr="00517DA1">
        <w:rPr>
          <w:i/>
          <w:color w:val="auto"/>
          <w:lang w:val="en-US"/>
        </w:rPr>
        <w:t>British Accounting Review</w:t>
      </w:r>
      <w:r w:rsidRPr="00517DA1">
        <w:rPr>
          <w:color w:val="auto"/>
          <w:lang w:val="en-US"/>
        </w:rPr>
        <w:t>, 23(3), 195–210</w:t>
      </w:r>
    </w:p>
    <w:p w14:paraId="6A266722" w14:textId="246202C4" w:rsidR="00A5674E" w:rsidRPr="00517DA1" w:rsidRDefault="00FE370C">
      <w:pPr>
        <w:pStyle w:val="NormalWeb"/>
        <w:spacing w:before="0" w:after="100"/>
        <w:ind w:left="454" w:hanging="454"/>
        <w:rPr>
          <w:color w:val="auto"/>
          <w:lang w:val="en-US"/>
        </w:rPr>
      </w:pPr>
      <w:proofErr w:type="gramStart"/>
      <w:r w:rsidRPr="00517DA1">
        <w:rPr>
          <w:color w:val="auto"/>
          <w:lang w:val="en-US"/>
        </w:rPr>
        <w:t>Milne, M. J. and Adler, R. W. (1999).</w:t>
      </w:r>
      <w:proofErr w:type="gramEnd"/>
      <w:r w:rsidRPr="00517DA1">
        <w:rPr>
          <w:color w:val="auto"/>
          <w:lang w:val="en-US"/>
        </w:rPr>
        <w:t xml:space="preserve"> </w:t>
      </w:r>
      <w:proofErr w:type="gramStart"/>
      <w:r w:rsidRPr="00517DA1">
        <w:rPr>
          <w:color w:val="auto"/>
          <w:lang w:val="en-US"/>
        </w:rPr>
        <w:t>Exploring the reliability of social and environmental disclosures content analysis.</w:t>
      </w:r>
      <w:proofErr w:type="gramEnd"/>
      <w:r w:rsidRPr="00517DA1">
        <w:rPr>
          <w:color w:val="auto"/>
          <w:lang w:val="en-US"/>
        </w:rPr>
        <w:t xml:space="preserve"> </w:t>
      </w:r>
      <w:proofErr w:type="gramStart"/>
      <w:r w:rsidRPr="00517DA1">
        <w:rPr>
          <w:i/>
          <w:iCs/>
          <w:color w:val="auto"/>
          <w:lang w:val="en-US"/>
        </w:rPr>
        <w:t>Accounting, Auditing and Accountability Journal</w:t>
      </w:r>
      <w:r w:rsidRPr="00517DA1">
        <w:rPr>
          <w:color w:val="auto"/>
          <w:lang w:val="en-US"/>
        </w:rPr>
        <w:t xml:space="preserve">, </w:t>
      </w:r>
      <w:r w:rsidRPr="00517DA1">
        <w:rPr>
          <w:iCs/>
          <w:color w:val="auto"/>
          <w:lang w:val="en-US"/>
        </w:rPr>
        <w:t>12</w:t>
      </w:r>
      <w:r w:rsidRPr="00517DA1">
        <w:rPr>
          <w:color w:val="auto"/>
          <w:lang w:val="en-US"/>
        </w:rPr>
        <w:t>(2), 237–256.</w:t>
      </w:r>
      <w:proofErr w:type="gramEnd"/>
      <w:r w:rsidRPr="00517DA1">
        <w:rPr>
          <w:color w:val="auto"/>
          <w:lang w:val="en-US"/>
        </w:rPr>
        <w:t xml:space="preserve"> </w:t>
      </w:r>
    </w:p>
    <w:p w14:paraId="5E4F70D2" w14:textId="5F10E0D5" w:rsidR="00A5674E" w:rsidRPr="00517DA1" w:rsidRDefault="00FE370C">
      <w:pPr>
        <w:pStyle w:val="NormalWeb"/>
        <w:spacing w:before="0" w:after="100"/>
        <w:ind w:left="454" w:hanging="454"/>
        <w:rPr>
          <w:color w:val="auto"/>
          <w:lang w:val="en-US"/>
        </w:rPr>
      </w:pPr>
      <w:proofErr w:type="gramStart"/>
      <w:r w:rsidRPr="00517DA1">
        <w:rPr>
          <w:color w:val="auto"/>
          <w:lang w:val="en-US"/>
        </w:rPr>
        <w:t xml:space="preserve">Mitchell, R. K., </w:t>
      </w:r>
      <w:proofErr w:type="spellStart"/>
      <w:r w:rsidRPr="00517DA1">
        <w:rPr>
          <w:color w:val="auto"/>
          <w:lang w:val="en-US"/>
        </w:rPr>
        <w:t>Agle</w:t>
      </w:r>
      <w:proofErr w:type="spellEnd"/>
      <w:r w:rsidRPr="00517DA1">
        <w:rPr>
          <w:color w:val="auto"/>
          <w:lang w:val="en-US"/>
        </w:rPr>
        <w:t>, B. R. and Wood, D. J. (1997).</w:t>
      </w:r>
      <w:proofErr w:type="gramEnd"/>
      <w:r w:rsidRPr="00517DA1">
        <w:rPr>
          <w:color w:val="auto"/>
          <w:lang w:val="en-US"/>
        </w:rPr>
        <w:t xml:space="preserve"> Toward A Theory of Stakeholder Identification and Salience: Defining the Principle of </w:t>
      </w:r>
      <w:proofErr w:type="gramStart"/>
      <w:r w:rsidRPr="00517DA1">
        <w:rPr>
          <w:color w:val="auto"/>
          <w:lang w:val="en-US"/>
        </w:rPr>
        <w:t>Who</w:t>
      </w:r>
      <w:proofErr w:type="gramEnd"/>
      <w:r w:rsidRPr="00517DA1">
        <w:rPr>
          <w:color w:val="auto"/>
          <w:lang w:val="en-US"/>
        </w:rPr>
        <w:t xml:space="preserve"> and What Really Counts. </w:t>
      </w:r>
      <w:r w:rsidRPr="00517DA1">
        <w:rPr>
          <w:i/>
          <w:iCs/>
          <w:color w:val="auto"/>
          <w:lang w:val="en-US"/>
        </w:rPr>
        <w:t>Academy of Management Review</w:t>
      </w:r>
      <w:r w:rsidRPr="00517DA1">
        <w:rPr>
          <w:color w:val="auto"/>
          <w:lang w:val="en-US"/>
        </w:rPr>
        <w:t xml:space="preserve">, </w:t>
      </w:r>
      <w:r w:rsidRPr="00517DA1">
        <w:rPr>
          <w:i/>
          <w:iCs/>
          <w:color w:val="auto"/>
          <w:lang w:val="en-US"/>
        </w:rPr>
        <w:t>22</w:t>
      </w:r>
      <w:r w:rsidRPr="00517DA1">
        <w:rPr>
          <w:color w:val="auto"/>
          <w:lang w:val="en-US"/>
        </w:rPr>
        <w:t xml:space="preserve">(4), 853–886. </w:t>
      </w:r>
    </w:p>
    <w:p w14:paraId="28A81097" w14:textId="1FDE2446" w:rsidR="00A5674E" w:rsidRPr="00517DA1" w:rsidRDefault="00537832">
      <w:pPr>
        <w:pStyle w:val="NormalWeb"/>
        <w:spacing w:before="0" w:after="100"/>
        <w:ind w:left="454" w:hanging="454"/>
        <w:rPr>
          <w:color w:val="auto"/>
          <w:lang w:val="en-US"/>
        </w:rPr>
      </w:pPr>
      <w:r w:rsidRPr="00517DA1">
        <w:t xml:space="preserve">Moon, J. and </w:t>
      </w:r>
      <w:proofErr w:type="spellStart"/>
      <w:r w:rsidRPr="00517DA1">
        <w:t>Mathuri</w:t>
      </w:r>
      <w:proofErr w:type="spellEnd"/>
      <w:r w:rsidRPr="00517DA1">
        <w:t xml:space="preserve">, J.N. (2006) “An evaluation of corporate community investment in the UK: Current developments, future challenges”. </w:t>
      </w:r>
      <w:proofErr w:type="gramStart"/>
      <w:r w:rsidRPr="00517DA1">
        <w:rPr>
          <w:i/>
        </w:rPr>
        <w:t>A report of Charities Aid Foundation</w:t>
      </w:r>
      <w:r w:rsidRPr="00517DA1">
        <w:t>, United Kingdom</w:t>
      </w:r>
      <w:r w:rsidRPr="00517DA1">
        <w:rPr>
          <w:color w:val="auto"/>
          <w:lang w:val="en-US"/>
        </w:rPr>
        <w:t xml:space="preserve"> </w:t>
      </w:r>
      <w:r w:rsidR="00FE370C" w:rsidRPr="00517DA1">
        <w:rPr>
          <w:color w:val="auto"/>
          <w:lang w:val="en-US"/>
        </w:rPr>
        <w:t>(pp. 1–24).</w:t>
      </w:r>
      <w:proofErr w:type="gramEnd"/>
    </w:p>
    <w:p w14:paraId="1A517BB7" w14:textId="2498E4A2" w:rsidR="00CC0FDF" w:rsidRPr="00517DA1" w:rsidRDefault="00DD32A3" w:rsidP="00CC0FDF">
      <w:pPr>
        <w:pStyle w:val="NormalWeb"/>
        <w:spacing w:before="0" w:after="100"/>
        <w:ind w:left="454" w:hanging="454"/>
        <w:rPr>
          <w:color w:val="auto"/>
          <w:lang w:val="en-US"/>
        </w:rPr>
      </w:pPr>
      <w:proofErr w:type="gramStart"/>
      <w:r w:rsidRPr="00517DA1">
        <w:t xml:space="preserve">Park, H. M. (2008) “Univariate Analysis and Normality Test Using SAS, Stata, and SPSS” </w:t>
      </w:r>
      <w:r w:rsidRPr="00517DA1">
        <w:rPr>
          <w:i/>
        </w:rPr>
        <w:t>Working Paper, The University Information Technology Services (UITS) Centre for Statistical and Mathematical Computing, Indiana University</w:t>
      </w:r>
      <w:r w:rsidRPr="00517DA1">
        <w:t xml:space="preserve">” Retrieved May 10, 2011 from </w:t>
      </w:r>
      <w:hyperlink r:id="rId15" w:history="1">
        <w:r w:rsidRPr="00517DA1">
          <w:rPr>
            <w:rStyle w:val="Hyperlink"/>
            <w:color w:val="auto"/>
          </w:rPr>
          <w:t>http://www.indiana.edu/~statmath/stat/all/normality/index.html</w:t>
        </w:r>
      </w:hyperlink>
      <w:r w:rsidR="003F7F9D" w:rsidRPr="00517DA1">
        <w:rPr>
          <w:color w:val="auto"/>
          <w:lang w:val="en-US"/>
        </w:rPr>
        <w:t>.</w:t>
      </w:r>
      <w:proofErr w:type="gramEnd"/>
    </w:p>
    <w:p w14:paraId="3C5CBE2E" w14:textId="4303C870" w:rsidR="00CC0FDF" w:rsidRPr="00517DA1" w:rsidRDefault="00CC0FDF" w:rsidP="00CC0FDF">
      <w:pPr>
        <w:pStyle w:val="NormalWeb"/>
        <w:spacing w:before="0" w:after="100"/>
        <w:ind w:left="454" w:hanging="454"/>
        <w:rPr>
          <w:color w:val="auto"/>
          <w:lang w:val="en-US"/>
        </w:rPr>
      </w:pPr>
      <w:r w:rsidRPr="00517DA1">
        <w:t xml:space="preserve">Parker, L.D. (2011) Twenty-one years of social and environmental accountability research: A coming of age. </w:t>
      </w:r>
      <w:proofErr w:type="gramStart"/>
      <w:r w:rsidRPr="00517DA1">
        <w:rPr>
          <w:i/>
        </w:rPr>
        <w:t>Accounting Forum</w:t>
      </w:r>
      <w:r w:rsidRPr="00517DA1">
        <w:t>, 35, 1–10.</w:t>
      </w:r>
      <w:proofErr w:type="gramEnd"/>
    </w:p>
    <w:p w14:paraId="0B12488E" w14:textId="323BE20D" w:rsidR="00855E45" w:rsidRPr="00517DA1" w:rsidRDefault="00FE370C" w:rsidP="00855E45">
      <w:pPr>
        <w:pStyle w:val="NormalWeb"/>
        <w:spacing w:before="0" w:after="100"/>
        <w:ind w:left="454" w:hanging="454"/>
        <w:rPr>
          <w:color w:val="auto"/>
          <w:lang w:val="en-US"/>
        </w:rPr>
      </w:pPr>
      <w:proofErr w:type="spellStart"/>
      <w:proofErr w:type="gramStart"/>
      <w:r w:rsidRPr="00517DA1">
        <w:rPr>
          <w:color w:val="auto"/>
          <w:lang w:val="en-US"/>
        </w:rPr>
        <w:t>Patelli</w:t>
      </w:r>
      <w:proofErr w:type="spellEnd"/>
      <w:r w:rsidRPr="00517DA1">
        <w:rPr>
          <w:color w:val="auto"/>
          <w:lang w:val="en-US"/>
        </w:rPr>
        <w:t xml:space="preserve">, L. and A. </w:t>
      </w:r>
      <w:proofErr w:type="spellStart"/>
      <w:r w:rsidRPr="00517DA1">
        <w:rPr>
          <w:color w:val="auto"/>
          <w:lang w:val="en-US"/>
        </w:rPr>
        <w:t>Prencipe</w:t>
      </w:r>
      <w:proofErr w:type="spellEnd"/>
      <w:r w:rsidRPr="00517DA1">
        <w:rPr>
          <w:color w:val="auto"/>
          <w:lang w:val="en-US"/>
        </w:rPr>
        <w:t>.</w:t>
      </w:r>
      <w:proofErr w:type="gramEnd"/>
      <w:r w:rsidRPr="00517DA1">
        <w:rPr>
          <w:color w:val="auto"/>
          <w:lang w:val="en-US"/>
        </w:rPr>
        <w:t xml:space="preserve"> 2007. “The relationship between voluntary disclosure and independent directors in the presence of a dominant shareholder.” </w:t>
      </w:r>
      <w:r w:rsidRPr="00517DA1">
        <w:rPr>
          <w:i/>
          <w:color w:val="auto"/>
          <w:lang w:val="en-US"/>
        </w:rPr>
        <w:t>European Accounting Review</w:t>
      </w:r>
      <w:r w:rsidRPr="00517DA1">
        <w:rPr>
          <w:color w:val="auto"/>
          <w:lang w:val="en-US"/>
        </w:rPr>
        <w:t xml:space="preserve"> 16</w:t>
      </w:r>
      <w:r w:rsidR="00DD32A3" w:rsidRPr="00517DA1">
        <w:rPr>
          <w:color w:val="auto"/>
          <w:lang w:val="en-US"/>
        </w:rPr>
        <w:t>,</w:t>
      </w:r>
      <w:r w:rsidRPr="00517DA1">
        <w:rPr>
          <w:color w:val="auto"/>
          <w:lang w:val="en-US"/>
        </w:rPr>
        <w:t xml:space="preserve"> 5-33.</w:t>
      </w:r>
    </w:p>
    <w:p w14:paraId="0C8D8619" w14:textId="577632CC" w:rsidR="00855E45" w:rsidRPr="00517DA1" w:rsidRDefault="00855E45" w:rsidP="00855E45">
      <w:pPr>
        <w:pStyle w:val="NormalWeb"/>
        <w:spacing w:before="0" w:after="100"/>
        <w:ind w:left="454" w:hanging="454"/>
        <w:rPr>
          <w:color w:val="auto"/>
          <w:lang w:val="en-US"/>
        </w:rPr>
      </w:pPr>
      <w:r w:rsidRPr="00517DA1">
        <w:t xml:space="preserve">Patten, D.M. (2002) </w:t>
      </w:r>
      <w:proofErr w:type="gramStart"/>
      <w:r w:rsidRPr="00517DA1">
        <w:t>The</w:t>
      </w:r>
      <w:proofErr w:type="gramEnd"/>
      <w:r w:rsidRPr="00517DA1">
        <w:t xml:space="preserve"> relation between environmental performance and environmental disclosure: A research note. </w:t>
      </w:r>
      <w:r w:rsidRPr="00517DA1">
        <w:rPr>
          <w:i/>
        </w:rPr>
        <w:t>Accounting, Organizations and Society</w:t>
      </w:r>
      <w:r w:rsidRPr="00517DA1">
        <w:t>, 27(8), 763–773.</w:t>
      </w:r>
    </w:p>
    <w:p w14:paraId="563BB0DB" w14:textId="5619EFE4" w:rsidR="00A5674E" w:rsidRPr="00517DA1" w:rsidRDefault="00FE370C">
      <w:pPr>
        <w:pStyle w:val="NormalWeb"/>
        <w:spacing w:before="0" w:after="100"/>
        <w:ind w:left="454" w:hanging="454"/>
        <w:rPr>
          <w:color w:val="auto"/>
          <w:lang w:val="en-US"/>
        </w:rPr>
      </w:pPr>
      <w:proofErr w:type="spellStart"/>
      <w:r w:rsidRPr="00517DA1">
        <w:rPr>
          <w:color w:val="auto"/>
          <w:lang w:val="en-US"/>
        </w:rPr>
        <w:t>Peasnell</w:t>
      </w:r>
      <w:proofErr w:type="spellEnd"/>
      <w:r w:rsidRPr="00517DA1">
        <w:rPr>
          <w:color w:val="auto"/>
          <w:lang w:val="en-US"/>
        </w:rPr>
        <w:t xml:space="preserve">, K. V., Pope, P. F. and Young, S. (2005), ‘Board monitoring and earnings management: Do outside </w:t>
      </w:r>
      <w:r w:rsidR="00DD32A3" w:rsidRPr="00517DA1">
        <w:rPr>
          <w:color w:val="auto"/>
          <w:lang w:val="en-US"/>
        </w:rPr>
        <w:t>directors’</w:t>
      </w:r>
      <w:r w:rsidRPr="00517DA1">
        <w:rPr>
          <w:color w:val="auto"/>
          <w:lang w:val="en-US"/>
        </w:rPr>
        <w:t xml:space="preserve"> influence abnormal accruals?’ </w:t>
      </w:r>
      <w:proofErr w:type="gramStart"/>
      <w:r w:rsidRPr="00517DA1">
        <w:rPr>
          <w:i/>
          <w:color w:val="auto"/>
          <w:lang w:val="en-US"/>
        </w:rPr>
        <w:t>Journal of Business Finance and Accounting,</w:t>
      </w:r>
      <w:r w:rsidRPr="00517DA1">
        <w:rPr>
          <w:color w:val="auto"/>
          <w:lang w:val="en-US"/>
        </w:rPr>
        <w:t xml:space="preserve"> 32</w:t>
      </w:r>
      <w:r w:rsidR="00DD32A3" w:rsidRPr="00517DA1">
        <w:rPr>
          <w:color w:val="auto"/>
          <w:lang w:val="en-US"/>
        </w:rPr>
        <w:t>(</w:t>
      </w:r>
      <w:r w:rsidRPr="00517DA1">
        <w:rPr>
          <w:color w:val="auto"/>
          <w:lang w:val="en-US"/>
        </w:rPr>
        <w:t>7</w:t>
      </w:r>
      <w:r w:rsidR="00DD32A3" w:rsidRPr="00517DA1">
        <w:rPr>
          <w:color w:val="auto"/>
          <w:lang w:val="en-US"/>
        </w:rPr>
        <w:t>-</w:t>
      </w:r>
      <w:r w:rsidRPr="00517DA1">
        <w:rPr>
          <w:color w:val="auto"/>
          <w:lang w:val="en-US"/>
        </w:rPr>
        <w:t>8</w:t>
      </w:r>
      <w:r w:rsidR="00DD32A3" w:rsidRPr="00517DA1">
        <w:rPr>
          <w:color w:val="auto"/>
          <w:lang w:val="en-US"/>
        </w:rPr>
        <w:t>)</w:t>
      </w:r>
      <w:r w:rsidRPr="00517DA1">
        <w:rPr>
          <w:color w:val="auto"/>
          <w:lang w:val="en-US"/>
        </w:rPr>
        <w:t>, 1311–</w:t>
      </w:r>
      <w:r w:rsidR="00DD32A3" w:rsidRPr="00517DA1">
        <w:rPr>
          <w:color w:val="auto"/>
          <w:lang w:val="en-US"/>
        </w:rPr>
        <w:t xml:space="preserve"> 13</w:t>
      </w:r>
      <w:r w:rsidRPr="00517DA1">
        <w:rPr>
          <w:color w:val="auto"/>
          <w:lang w:val="en-US"/>
        </w:rPr>
        <w:t>46.</w:t>
      </w:r>
      <w:proofErr w:type="gramEnd"/>
    </w:p>
    <w:p w14:paraId="4AFC9A80" w14:textId="796183CC" w:rsidR="00A5674E" w:rsidRPr="00517DA1" w:rsidRDefault="00FE370C">
      <w:pPr>
        <w:pStyle w:val="NormalWeb"/>
        <w:spacing w:before="0" w:after="100"/>
        <w:ind w:left="454" w:hanging="454"/>
        <w:rPr>
          <w:color w:val="auto"/>
          <w:lang w:val="en-US"/>
        </w:rPr>
      </w:pPr>
      <w:r w:rsidRPr="00517DA1">
        <w:rPr>
          <w:color w:val="auto"/>
          <w:lang w:val="en-US"/>
        </w:rPr>
        <w:t xml:space="preserve">Peng, M. W. (2004). </w:t>
      </w:r>
      <w:proofErr w:type="gramStart"/>
      <w:r w:rsidRPr="00517DA1">
        <w:rPr>
          <w:color w:val="auto"/>
          <w:lang w:val="en-US"/>
        </w:rPr>
        <w:t>Outside directors and ﬁrm performance during institutional transitions.</w:t>
      </w:r>
      <w:proofErr w:type="gramEnd"/>
      <w:r w:rsidRPr="00517DA1">
        <w:rPr>
          <w:color w:val="auto"/>
          <w:lang w:val="en-US"/>
        </w:rPr>
        <w:t xml:space="preserve"> </w:t>
      </w:r>
      <w:proofErr w:type="gramStart"/>
      <w:r w:rsidRPr="00517DA1">
        <w:rPr>
          <w:i/>
          <w:color w:val="auto"/>
          <w:lang w:val="en-US"/>
        </w:rPr>
        <w:t>Strategic Management Journal.</w:t>
      </w:r>
      <w:proofErr w:type="gramEnd"/>
      <w:r w:rsidRPr="00517DA1">
        <w:rPr>
          <w:color w:val="auto"/>
          <w:lang w:val="en-US"/>
        </w:rPr>
        <w:t xml:space="preserve"> 25, 453-470</w:t>
      </w:r>
    </w:p>
    <w:p w14:paraId="57BFEB47" w14:textId="77777777" w:rsidR="00A5674E" w:rsidRPr="00517DA1" w:rsidRDefault="00FE370C">
      <w:pPr>
        <w:pStyle w:val="NormalWeb"/>
        <w:spacing w:before="0" w:after="100"/>
        <w:ind w:left="454" w:hanging="454"/>
        <w:rPr>
          <w:color w:val="auto"/>
          <w:lang w:val="en-US"/>
        </w:rPr>
      </w:pPr>
      <w:proofErr w:type="gramStart"/>
      <w:r w:rsidRPr="00517DA1">
        <w:rPr>
          <w:color w:val="auto"/>
          <w:lang w:val="en-US"/>
        </w:rPr>
        <w:lastRenderedPageBreak/>
        <w:t>Persons, O. S. (2009).</w:t>
      </w:r>
      <w:proofErr w:type="gramEnd"/>
      <w:r w:rsidRPr="00517DA1">
        <w:rPr>
          <w:color w:val="auto"/>
          <w:lang w:val="en-US"/>
        </w:rPr>
        <w:t xml:space="preserve"> </w:t>
      </w:r>
      <w:proofErr w:type="gramStart"/>
      <w:r w:rsidRPr="00517DA1">
        <w:rPr>
          <w:color w:val="auto"/>
          <w:lang w:val="en-US"/>
        </w:rPr>
        <w:t>Audit committee characteristics and earlier voluntary ethics disclosure among fraud and no-fraud firms.</w:t>
      </w:r>
      <w:proofErr w:type="gramEnd"/>
      <w:r w:rsidRPr="00517DA1">
        <w:rPr>
          <w:color w:val="auto"/>
          <w:lang w:val="en-US"/>
        </w:rPr>
        <w:t xml:space="preserve"> </w:t>
      </w:r>
      <w:r w:rsidRPr="00517DA1">
        <w:rPr>
          <w:i/>
          <w:iCs/>
          <w:color w:val="auto"/>
          <w:lang w:val="en-US"/>
        </w:rPr>
        <w:t>International Journal of Disclosure and Governance</w:t>
      </w:r>
      <w:r w:rsidRPr="00517DA1">
        <w:rPr>
          <w:color w:val="auto"/>
          <w:lang w:val="en-US"/>
        </w:rPr>
        <w:t xml:space="preserve">, </w:t>
      </w:r>
      <w:r w:rsidRPr="00517DA1">
        <w:rPr>
          <w:iCs/>
          <w:color w:val="auto"/>
          <w:lang w:val="en-US"/>
        </w:rPr>
        <w:t>6</w:t>
      </w:r>
      <w:r w:rsidRPr="00517DA1">
        <w:rPr>
          <w:color w:val="auto"/>
          <w:lang w:val="en-US"/>
        </w:rPr>
        <w:t xml:space="preserve">(4), 284–297. </w:t>
      </w:r>
    </w:p>
    <w:p w14:paraId="6E4F25E3" w14:textId="77777777" w:rsidR="00730CD9" w:rsidRPr="00517DA1" w:rsidRDefault="00FE370C" w:rsidP="00730CD9">
      <w:pPr>
        <w:pStyle w:val="NormalWeb"/>
        <w:spacing w:before="0" w:after="100"/>
        <w:ind w:left="454" w:hanging="454"/>
        <w:rPr>
          <w:color w:val="auto"/>
          <w:lang w:val="en-US"/>
        </w:rPr>
      </w:pPr>
      <w:proofErr w:type="spellStart"/>
      <w:proofErr w:type="gramStart"/>
      <w:r w:rsidRPr="00517DA1">
        <w:rPr>
          <w:color w:val="auto"/>
          <w:lang w:val="en-US"/>
        </w:rPr>
        <w:t>Petrovic</w:t>
      </w:r>
      <w:proofErr w:type="spellEnd"/>
      <w:r w:rsidRPr="00517DA1">
        <w:rPr>
          <w:color w:val="auto"/>
          <w:lang w:val="en-US"/>
        </w:rPr>
        <w:t>-Lazarevic, S. (2010).</w:t>
      </w:r>
      <w:proofErr w:type="gramEnd"/>
      <w:r w:rsidRPr="00517DA1">
        <w:rPr>
          <w:color w:val="auto"/>
          <w:lang w:val="en-US"/>
        </w:rPr>
        <w:t xml:space="preserve"> Good corporate citizenship in the Australian construction industry. </w:t>
      </w:r>
      <w:r w:rsidRPr="00517DA1">
        <w:rPr>
          <w:i/>
          <w:iCs/>
          <w:color w:val="auto"/>
          <w:lang w:val="en-US"/>
        </w:rPr>
        <w:t>Corporate Governance</w:t>
      </w:r>
      <w:r w:rsidRPr="00517DA1">
        <w:rPr>
          <w:color w:val="auto"/>
          <w:lang w:val="en-US"/>
        </w:rPr>
        <w:t xml:space="preserve">, </w:t>
      </w:r>
      <w:r w:rsidRPr="00517DA1">
        <w:rPr>
          <w:iCs/>
          <w:color w:val="auto"/>
          <w:lang w:val="en-US"/>
        </w:rPr>
        <w:t>10</w:t>
      </w:r>
      <w:r w:rsidRPr="00517DA1">
        <w:rPr>
          <w:color w:val="auto"/>
          <w:lang w:val="en-US"/>
        </w:rPr>
        <w:t xml:space="preserve">(2), 115–128. </w:t>
      </w:r>
    </w:p>
    <w:p w14:paraId="524F4A2D" w14:textId="6D6D5BF7" w:rsidR="00730CD9" w:rsidRPr="00517DA1" w:rsidRDefault="00730CD9" w:rsidP="00730CD9">
      <w:pPr>
        <w:pStyle w:val="NormalWeb"/>
        <w:spacing w:before="0" w:after="100"/>
        <w:ind w:left="454" w:hanging="454"/>
      </w:pPr>
      <w:proofErr w:type="spellStart"/>
      <w:proofErr w:type="gramStart"/>
      <w:r w:rsidRPr="00517DA1">
        <w:t>Provan</w:t>
      </w:r>
      <w:proofErr w:type="spellEnd"/>
      <w:r w:rsidRPr="00517DA1">
        <w:t>, K.G. (1980).</w:t>
      </w:r>
      <w:proofErr w:type="gramEnd"/>
      <w:r w:rsidRPr="00517DA1">
        <w:t xml:space="preserve"> </w:t>
      </w:r>
      <w:proofErr w:type="gramStart"/>
      <w:r w:rsidRPr="00517DA1">
        <w:t>Board power and organizational effectiveness among human service agencies.</w:t>
      </w:r>
      <w:proofErr w:type="gramEnd"/>
      <w:r w:rsidRPr="00517DA1">
        <w:t xml:space="preserve"> </w:t>
      </w:r>
      <w:r w:rsidRPr="00517DA1">
        <w:rPr>
          <w:i/>
          <w:iCs/>
        </w:rPr>
        <w:t>Academy of Management Journal</w:t>
      </w:r>
      <w:r w:rsidRPr="00517DA1">
        <w:t xml:space="preserve">, </w:t>
      </w:r>
      <w:r w:rsidRPr="00517DA1">
        <w:rPr>
          <w:i/>
          <w:iCs/>
        </w:rPr>
        <w:t>23</w:t>
      </w:r>
      <w:r w:rsidRPr="00517DA1">
        <w:t>, 221-236.</w:t>
      </w:r>
    </w:p>
    <w:p w14:paraId="5F6827CA" w14:textId="33B2DDE3" w:rsidR="00C12937" w:rsidRPr="00517DA1" w:rsidRDefault="00FE370C" w:rsidP="00C12937">
      <w:pPr>
        <w:pStyle w:val="NormalWeb"/>
        <w:spacing w:before="0" w:after="100"/>
        <w:ind w:left="454" w:hanging="454"/>
        <w:rPr>
          <w:color w:val="auto"/>
          <w:lang w:val="en-US"/>
        </w:rPr>
      </w:pPr>
      <w:r w:rsidRPr="00517DA1">
        <w:rPr>
          <w:color w:val="auto"/>
          <w:lang w:val="en-US"/>
        </w:rPr>
        <w:t xml:space="preserve">Ramadan, M. and </w:t>
      </w:r>
      <w:proofErr w:type="spellStart"/>
      <w:r w:rsidRPr="00517DA1">
        <w:rPr>
          <w:color w:val="auto"/>
          <w:lang w:val="en-US"/>
        </w:rPr>
        <w:t>Majdalany</w:t>
      </w:r>
      <w:proofErr w:type="spellEnd"/>
      <w:r w:rsidRPr="00517DA1">
        <w:rPr>
          <w:color w:val="auto"/>
          <w:lang w:val="en-US"/>
        </w:rPr>
        <w:t xml:space="preserve">, G. (2013) </w:t>
      </w:r>
      <w:proofErr w:type="gramStart"/>
      <w:r w:rsidRPr="00517DA1">
        <w:rPr>
          <w:color w:val="auto"/>
          <w:lang w:val="en-US"/>
        </w:rPr>
        <w:t>The</w:t>
      </w:r>
      <w:proofErr w:type="gramEnd"/>
      <w:r w:rsidRPr="00517DA1">
        <w:rPr>
          <w:color w:val="auto"/>
          <w:lang w:val="en-US"/>
        </w:rPr>
        <w:t xml:space="preserve"> impact of corporate governance indicators on intellectual capital disclosure: An empirical analysis from the banking sector in the </w:t>
      </w:r>
      <w:r w:rsidR="003F7F9D" w:rsidRPr="00517DA1">
        <w:rPr>
          <w:color w:val="auto"/>
          <w:lang w:val="en-US"/>
        </w:rPr>
        <w:t>United Arab Emirates</w:t>
      </w:r>
      <w:r w:rsidRPr="00517DA1">
        <w:rPr>
          <w:color w:val="auto"/>
          <w:lang w:val="en-US"/>
        </w:rPr>
        <w:t xml:space="preserve">. </w:t>
      </w:r>
      <w:r w:rsidRPr="00517DA1">
        <w:rPr>
          <w:i/>
          <w:color w:val="auto"/>
          <w:lang w:val="en-US"/>
        </w:rPr>
        <w:t>Paper presented at the 351-XIII</w:t>
      </w:r>
      <w:r w:rsidRPr="00517DA1">
        <w:rPr>
          <w:color w:val="auto"/>
          <w:lang w:val="en-US"/>
        </w:rPr>
        <w:t xml:space="preserve">. Retrieved from </w:t>
      </w:r>
      <w:hyperlink r:id="rId16" w:history="1">
        <w:r w:rsidR="00C12937" w:rsidRPr="00517DA1">
          <w:rPr>
            <w:rStyle w:val="Hyperlink"/>
            <w:lang w:val="en-US"/>
          </w:rPr>
          <w:t>http://search.proquest.com/docview/1368589598?accountid=10472</w:t>
        </w:r>
      </w:hyperlink>
    </w:p>
    <w:p w14:paraId="751AE6B3" w14:textId="7434FAA0" w:rsidR="000A2423" w:rsidRPr="00517DA1" w:rsidRDefault="000A2423" w:rsidP="00C12937">
      <w:pPr>
        <w:pStyle w:val="NormalWeb"/>
        <w:spacing w:before="0" w:after="100"/>
        <w:ind w:left="454" w:hanging="454"/>
        <w:rPr>
          <w:color w:val="auto"/>
          <w:lang w:val="en-US"/>
        </w:rPr>
      </w:pPr>
      <w:r w:rsidRPr="00517DA1">
        <w:t xml:space="preserve">Rowley, T.J. (1998) A normative justification for stakeholder theory, </w:t>
      </w:r>
      <w:r w:rsidRPr="00517DA1">
        <w:rPr>
          <w:i/>
        </w:rPr>
        <w:t>Business and Society</w:t>
      </w:r>
      <w:r w:rsidRPr="00517DA1">
        <w:t xml:space="preserve"> 37</w:t>
      </w:r>
      <w:r w:rsidR="00DD32A3" w:rsidRPr="00517DA1">
        <w:t>(</w:t>
      </w:r>
      <w:r w:rsidRPr="00517DA1">
        <w:t>1</w:t>
      </w:r>
      <w:r w:rsidR="00DD32A3" w:rsidRPr="00517DA1">
        <w:t xml:space="preserve">), </w:t>
      </w:r>
      <w:r w:rsidRPr="00517DA1">
        <w:t>105-7</w:t>
      </w:r>
    </w:p>
    <w:p w14:paraId="4D768B48" w14:textId="3327B903" w:rsidR="00C05F4B" w:rsidRPr="00517DA1" w:rsidRDefault="00C05F4B">
      <w:pPr>
        <w:pStyle w:val="NormalWeb"/>
        <w:spacing w:before="0" w:after="100"/>
        <w:ind w:left="454" w:hanging="454"/>
      </w:pPr>
      <w:r w:rsidRPr="00517DA1">
        <w:t>Singer J. D</w:t>
      </w:r>
      <w:r w:rsidR="00B82085" w:rsidRPr="00517DA1">
        <w:t>.</w:t>
      </w:r>
      <w:r w:rsidRPr="00517DA1">
        <w:t xml:space="preserve"> and Willett J. B. (2003) </w:t>
      </w:r>
      <w:r w:rsidRPr="00517DA1">
        <w:rPr>
          <w:i/>
        </w:rPr>
        <w:t>Applied Longitudinal Data Analysis Modelling Change and Event Occurrence.</w:t>
      </w:r>
      <w:r w:rsidRPr="00517DA1">
        <w:t xml:space="preserve"> Oxford University Press New York ISBN-13 978-0-19-515296-8</w:t>
      </w:r>
    </w:p>
    <w:p w14:paraId="7BC6135A" w14:textId="57CA362D" w:rsidR="00A5674E" w:rsidRPr="00517DA1" w:rsidRDefault="00FE370C">
      <w:pPr>
        <w:pStyle w:val="NormalWeb"/>
        <w:spacing w:before="0" w:after="100"/>
        <w:ind w:left="454" w:hanging="454"/>
        <w:rPr>
          <w:color w:val="auto"/>
          <w:lang w:val="en-US"/>
        </w:rPr>
      </w:pPr>
      <w:r w:rsidRPr="00517DA1">
        <w:rPr>
          <w:color w:val="auto"/>
          <w:lang w:val="en-US"/>
        </w:rPr>
        <w:t>Smith Committee (2003),</w:t>
      </w:r>
      <w:r w:rsidRPr="00517DA1">
        <w:rPr>
          <w:i/>
          <w:color w:val="auto"/>
          <w:lang w:val="en-US"/>
        </w:rPr>
        <w:t xml:space="preserve"> Audit Committees Combined Code Guidance</w:t>
      </w:r>
      <w:r w:rsidRPr="00517DA1">
        <w:rPr>
          <w:color w:val="auto"/>
          <w:lang w:val="en-US"/>
        </w:rPr>
        <w:t xml:space="preserve">. </w:t>
      </w:r>
      <w:proofErr w:type="gramStart"/>
      <w:r w:rsidRPr="00517DA1">
        <w:rPr>
          <w:color w:val="auto"/>
          <w:lang w:val="en-US"/>
        </w:rPr>
        <w:t>A report and proposed guidance by the FRC – appointed group, FRC, London.</w:t>
      </w:r>
      <w:proofErr w:type="gramEnd"/>
    </w:p>
    <w:p w14:paraId="6AD7B190" w14:textId="6DF84EC9" w:rsidR="00B26560" w:rsidRPr="00517DA1" w:rsidRDefault="00B82085" w:rsidP="00B26560">
      <w:pPr>
        <w:pStyle w:val="NormalWeb"/>
        <w:spacing w:before="0" w:after="100"/>
        <w:ind w:left="454" w:hanging="454"/>
        <w:rPr>
          <w:color w:val="auto"/>
          <w:lang w:val="en-US"/>
        </w:rPr>
      </w:pPr>
      <w:proofErr w:type="gramStart"/>
      <w:r w:rsidRPr="00517DA1">
        <w:rPr>
          <w:color w:val="auto"/>
          <w:lang w:val="en-US"/>
        </w:rPr>
        <w:t>Song, J.</w:t>
      </w:r>
      <w:r w:rsidR="00FE370C" w:rsidRPr="00517DA1">
        <w:rPr>
          <w:color w:val="auto"/>
          <w:lang w:val="en-US"/>
        </w:rPr>
        <w:t xml:space="preserve"> and </w:t>
      </w:r>
      <w:proofErr w:type="spellStart"/>
      <w:r w:rsidR="00FE370C" w:rsidRPr="00517DA1">
        <w:rPr>
          <w:color w:val="auto"/>
          <w:lang w:val="en-US"/>
        </w:rPr>
        <w:t>Windram</w:t>
      </w:r>
      <w:proofErr w:type="spellEnd"/>
      <w:r w:rsidR="00FE370C" w:rsidRPr="00517DA1">
        <w:rPr>
          <w:color w:val="auto"/>
          <w:lang w:val="en-US"/>
        </w:rPr>
        <w:t>, B. (2004).</w:t>
      </w:r>
      <w:proofErr w:type="gramEnd"/>
      <w:r w:rsidR="00FE370C" w:rsidRPr="00517DA1">
        <w:rPr>
          <w:color w:val="auto"/>
          <w:lang w:val="en-US"/>
        </w:rPr>
        <w:t xml:space="preserve"> </w:t>
      </w:r>
      <w:proofErr w:type="gramStart"/>
      <w:r w:rsidR="00FE370C" w:rsidRPr="00517DA1">
        <w:rPr>
          <w:color w:val="auto"/>
          <w:lang w:val="en-US"/>
        </w:rPr>
        <w:t>Benchmarking Audit Committee Effectiveness in Financial Reporting.</w:t>
      </w:r>
      <w:proofErr w:type="gramEnd"/>
      <w:r w:rsidR="00FE370C" w:rsidRPr="00517DA1">
        <w:rPr>
          <w:color w:val="auto"/>
          <w:lang w:val="en-US"/>
        </w:rPr>
        <w:t xml:space="preserve"> </w:t>
      </w:r>
      <w:r w:rsidR="00FE370C" w:rsidRPr="00517DA1">
        <w:rPr>
          <w:i/>
          <w:color w:val="auto"/>
          <w:lang w:val="en-US"/>
        </w:rPr>
        <w:t>International Journal of Auditing,</w:t>
      </w:r>
      <w:r w:rsidR="00FE370C" w:rsidRPr="00517DA1">
        <w:rPr>
          <w:color w:val="auto"/>
          <w:lang w:val="en-US"/>
        </w:rPr>
        <w:t xml:space="preserve"> 8(3), 195–205.</w:t>
      </w:r>
    </w:p>
    <w:p w14:paraId="3630B8F5" w14:textId="003DCC40" w:rsidR="00B26560" w:rsidRPr="00517DA1" w:rsidRDefault="00B26560" w:rsidP="00B26560">
      <w:pPr>
        <w:pStyle w:val="NormalWeb"/>
        <w:spacing w:before="0" w:after="100"/>
        <w:ind w:left="454" w:hanging="454"/>
        <w:rPr>
          <w:color w:val="auto"/>
          <w:lang w:val="en-US"/>
        </w:rPr>
      </w:pPr>
      <w:proofErr w:type="spellStart"/>
      <w:r w:rsidRPr="00517DA1">
        <w:t>Spitzeck</w:t>
      </w:r>
      <w:proofErr w:type="spellEnd"/>
      <w:r w:rsidRPr="00517DA1">
        <w:t xml:space="preserve">, H. </w:t>
      </w:r>
      <w:proofErr w:type="gramStart"/>
      <w:r w:rsidRPr="00517DA1">
        <w:t>and  E.G</w:t>
      </w:r>
      <w:proofErr w:type="gramEnd"/>
      <w:r w:rsidRPr="00517DA1">
        <w:t xml:space="preserve">. Hansen (2010) Stakeholder governance: how stakeholders influence corporate decision making, </w:t>
      </w:r>
      <w:r w:rsidRPr="00517DA1">
        <w:rPr>
          <w:i/>
        </w:rPr>
        <w:t>Corporate Governance: The international journal of business in society</w:t>
      </w:r>
      <w:r w:rsidRPr="00517DA1">
        <w:t>, 10</w:t>
      </w:r>
      <w:r w:rsidR="00B22A9B" w:rsidRPr="00517DA1">
        <w:t>(</w:t>
      </w:r>
      <w:r w:rsidRPr="00517DA1">
        <w:t>4</w:t>
      </w:r>
      <w:r w:rsidR="00B22A9B" w:rsidRPr="00517DA1">
        <w:t>),</w:t>
      </w:r>
      <w:r w:rsidRPr="00517DA1">
        <w:t xml:space="preserve"> 378 – 391</w:t>
      </w:r>
    </w:p>
    <w:p w14:paraId="7624A9F1" w14:textId="77777777" w:rsidR="00A5674E" w:rsidRPr="00517DA1" w:rsidRDefault="00FE370C">
      <w:pPr>
        <w:pStyle w:val="NormalWeb"/>
        <w:spacing w:before="0" w:after="100"/>
        <w:ind w:left="454" w:hanging="454"/>
        <w:rPr>
          <w:color w:val="auto"/>
          <w:lang w:val="en-US"/>
        </w:rPr>
      </w:pPr>
      <w:proofErr w:type="spellStart"/>
      <w:r w:rsidRPr="00517DA1">
        <w:rPr>
          <w:color w:val="auto"/>
          <w:lang w:val="en-US"/>
        </w:rPr>
        <w:t>Suchman</w:t>
      </w:r>
      <w:proofErr w:type="spellEnd"/>
      <w:r w:rsidRPr="00517DA1">
        <w:rPr>
          <w:color w:val="auto"/>
          <w:lang w:val="en-US"/>
        </w:rPr>
        <w:t>, M.C. (1995) Managing legitimacy: Strategic and institutional approaches.</w:t>
      </w:r>
      <w:r w:rsidRPr="00517DA1">
        <w:rPr>
          <w:i/>
          <w:color w:val="auto"/>
          <w:lang w:val="en-US"/>
        </w:rPr>
        <w:t xml:space="preserve"> Academy of Management Review</w:t>
      </w:r>
      <w:r w:rsidRPr="00517DA1">
        <w:rPr>
          <w:color w:val="auto"/>
          <w:lang w:val="en-US"/>
        </w:rPr>
        <w:t xml:space="preserve"> 20, 571-610.</w:t>
      </w:r>
    </w:p>
    <w:p w14:paraId="63400A5C" w14:textId="77777777" w:rsidR="00B26560" w:rsidRPr="00517DA1" w:rsidRDefault="00FE370C" w:rsidP="00B26560">
      <w:pPr>
        <w:pStyle w:val="NormalWeb"/>
        <w:spacing w:before="0" w:after="100"/>
        <w:ind w:left="454" w:hanging="454"/>
        <w:rPr>
          <w:color w:val="auto"/>
          <w:lang w:val="en-US"/>
        </w:rPr>
      </w:pPr>
      <w:proofErr w:type="spellStart"/>
      <w:r w:rsidRPr="00517DA1">
        <w:rPr>
          <w:color w:val="auto"/>
          <w:lang w:val="en-US"/>
        </w:rPr>
        <w:t>Tabachnick</w:t>
      </w:r>
      <w:proofErr w:type="spellEnd"/>
      <w:r w:rsidRPr="00517DA1">
        <w:rPr>
          <w:color w:val="auto"/>
          <w:lang w:val="en-US"/>
        </w:rPr>
        <w:t xml:space="preserve">, B.G. and </w:t>
      </w:r>
      <w:proofErr w:type="spellStart"/>
      <w:r w:rsidRPr="00517DA1">
        <w:rPr>
          <w:color w:val="auto"/>
          <w:lang w:val="en-US"/>
        </w:rPr>
        <w:t>Fidell</w:t>
      </w:r>
      <w:proofErr w:type="spellEnd"/>
      <w:r w:rsidRPr="00517DA1">
        <w:rPr>
          <w:color w:val="auto"/>
          <w:lang w:val="en-US"/>
        </w:rPr>
        <w:t xml:space="preserve">, L.S., (2007) </w:t>
      </w:r>
      <w:r w:rsidRPr="00517DA1">
        <w:rPr>
          <w:i/>
          <w:color w:val="auto"/>
          <w:lang w:val="en-US"/>
        </w:rPr>
        <w:t>Using Multivariate Statistics</w:t>
      </w:r>
      <w:r w:rsidRPr="00517DA1">
        <w:rPr>
          <w:color w:val="auto"/>
          <w:lang w:val="en-US"/>
        </w:rPr>
        <w:t>, (5th Ed), Pearson Education, Inc. Boston, MA</w:t>
      </w:r>
    </w:p>
    <w:p w14:paraId="46A2B097" w14:textId="2ADA549F" w:rsidR="00B26560" w:rsidRPr="00517DA1" w:rsidRDefault="00B26560" w:rsidP="00B26560">
      <w:pPr>
        <w:pStyle w:val="NormalWeb"/>
        <w:spacing w:before="0" w:after="100"/>
        <w:ind w:left="454" w:hanging="454"/>
        <w:rPr>
          <w:color w:val="auto"/>
          <w:lang w:val="en-US"/>
        </w:rPr>
      </w:pPr>
      <w:proofErr w:type="spellStart"/>
      <w:r w:rsidRPr="00517DA1">
        <w:t>Tallon</w:t>
      </w:r>
      <w:proofErr w:type="spellEnd"/>
      <w:r w:rsidRPr="00517DA1">
        <w:t xml:space="preserve">, A. (2010) </w:t>
      </w:r>
      <w:r w:rsidRPr="00517DA1">
        <w:rPr>
          <w:i/>
        </w:rPr>
        <w:t>Urban Regeneration in the UK</w:t>
      </w:r>
      <w:r w:rsidRPr="00517DA1">
        <w:t>. Routledge: London and New York.</w:t>
      </w:r>
    </w:p>
    <w:p w14:paraId="1A8F1CB2" w14:textId="23CBCC21" w:rsidR="00A5674E" w:rsidRPr="00517DA1" w:rsidRDefault="00FE370C">
      <w:pPr>
        <w:pStyle w:val="NormalWeb"/>
        <w:spacing w:before="0" w:after="100"/>
        <w:ind w:left="454" w:hanging="454"/>
        <w:rPr>
          <w:color w:val="auto"/>
          <w:lang w:val="en-US"/>
        </w:rPr>
      </w:pPr>
      <w:r w:rsidRPr="00517DA1">
        <w:rPr>
          <w:color w:val="auto"/>
          <w:lang w:val="en-US"/>
        </w:rPr>
        <w:t>Toms, J. S. (2002). Firm Resources, Quality Signals and the Determinants of Corporate Environmental Reputation: Some U</w:t>
      </w:r>
      <w:r w:rsidR="00DD32A3" w:rsidRPr="00517DA1">
        <w:rPr>
          <w:color w:val="auto"/>
          <w:lang w:val="en-US"/>
        </w:rPr>
        <w:t>K</w:t>
      </w:r>
      <w:r w:rsidRPr="00517DA1">
        <w:rPr>
          <w:color w:val="auto"/>
          <w:lang w:val="en-US"/>
        </w:rPr>
        <w:t xml:space="preserve"> Evidence. </w:t>
      </w:r>
      <w:r w:rsidRPr="00517DA1">
        <w:rPr>
          <w:i/>
          <w:iCs/>
          <w:color w:val="auto"/>
          <w:lang w:val="en-US"/>
        </w:rPr>
        <w:t>The British Accounting Review</w:t>
      </w:r>
      <w:r w:rsidRPr="00517DA1">
        <w:rPr>
          <w:color w:val="auto"/>
          <w:lang w:val="en-US"/>
        </w:rPr>
        <w:t xml:space="preserve">, </w:t>
      </w:r>
      <w:r w:rsidRPr="00517DA1">
        <w:rPr>
          <w:iCs/>
          <w:color w:val="auto"/>
          <w:lang w:val="en-US"/>
        </w:rPr>
        <w:t>34</w:t>
      </w:r>
      <w:r w:rsidRPr="00517DA1">
        <w:rPr>
          <w:color w:val="auto"/>
          <w:lang w:val="en-US"/>
        </w:rPr>
        <w:t xml:space="preserve">(3), 257–282. </w:t>
      </w:r>
    </w:p>
    <w:p w14:paraId="4F6D2D87" w14:textId="0194FD00" w:rsidR="006B74BE" w:rsidRPr="00517DA1" w:rsidRDefault="00FE370C" w:rsidP="006B74BE">
      <w:pPr>
        <w:pStyle w:val="NormalWeb"/>
        <w:spacing w:before="0" w:after="100"/>
        <w:ind w:left="454" w:hanging="454"/>
        <w:rPr>
          <w:color w:val="auto"/>
          <w:lang w:val="en-US"/>
        </w:rPr>
      </w:pPr>
      <w:proofErr w:type="spellStart"/>
      <w:r w:rsidRPr="00517DA1">
        <w:rPr>
          <w:color w:val="auto"/>
          <w:lang w:val="en-US"/>
        </w:rPr>
        <w:t>Trochim</w:t>
      </w:r>
      <w:proofErr w:type="spellEnd"/>
      <w:r w:rsidRPr="00517DA1">
        <w:rPr>
          <w:color w:val="auto"/>
          <w:lang w:val="en-US"/>
        </w:rPr>
        <w:t>, W. M., (2006) “</w:t>
      </w:r>
      <w:r w:rsidRPr="00517DA1">
        <w:rPr>
          <w:i/>
          <w:color w:val="auto"/>
          <w:lang w:val="en-US"/>
        </w:rPr>
        <w:t>The Research Methods Knowledge Base,</w:t>
      </w:r>
      <w:r w:rsidRPr="00517DA1">
        <w:rPr>
          <w:color w:val="auto"/>
          <w:lang w:val="en-US"/>
        </w:rPr>
        <w:t xml:space="preserve">” </w:t>
      </w:r>
      <w:r w:rsidR="00DD32A3" w:rsidRPr="00517DA1">
        <w:rPr>
          <w:color w:val="auto"/>
          <w:lang w:val="en-US"/>
        </w:rPr>
        <w:t>(</w:t>
      </w:r>
      <w:r w:rsidRPr="00517DA1">
        <w:rPr>
          <w:color w:val="auto"/>
          <w:lang w:val="en-US"/>
        </w:rPr>
        <w:t>2nd Ed</w:t>
      </w:r>
      <w:r w:rsidR="00DD32A3" w:rsidRPr="00517DA1">
        <w:rPr>
          <w:color w:val="auto"/>
          <w:lang w:val="en-US"/>
        </w:rPr>
        <w:t>)</w:t>
      </w:r>
      <w:r w:rsidRPr="00517DA1">
        <w:rPr>
          <w:color w:val="auto"/>
          <w:lang w:val="en-US"/>
        </w:rPr>
        <w:t xml:space="preserve"> Accessed online, at </w:t>
      </w:r>
      <w:hyperlink r:id="rId17" w:history="1">
        <w:r w:rsidRPr="00517DA1">
          <w:rPr>
            <w:rStyle w:val="Hyperlink"/>
            <w:color w:val="auto"/>
            <w:lang w:val="en-US"/>
          </w:rPr>
          <w:t>http://www.socialresearchmethods.net/kb/</w:t>
        </w:r>
      </w:hyperlink>
      <w:r w:rsidRPr="00517DA1">
        <w:rPr>
          <w:color w:val="auto"/>
          <w:lang w:val="en-US"/>
        </w:rPr>
        <w:t xml:space="preserve">  (version current as of October 20, 2006)</w:t>
      </w:r>
    </w:p>
    <w:p w14:paraId="5E1F0A28" w14:textId="2A786318" w:rsidR="006B74BE" w:rsidRPr="00517DA1" w:rsidRDefault="006B74BE" w:rsidP="006B74BE">
      <w:pPr>
        <w:pStyle w:val="NormalWeb"/>
        <w:spacing w:before="0" w:after="100"/>
        <w:ind w:left="454" w:hanging="454"/>
        <w:rPr>
          <w:color w:val="auto"/>
          <w:lang w:val="en-US"/>
        </w:rPr>
      </w:pPr>
      <w:proofErr w:type="spellStart"/>
      <w:r w:rsidRPr="00517DA1">
        <w:t>Trudel</w:t>
      </w:r>
      <w:proofErr w:type="spellEnd"/>
      <w:r w:rsidRPr="00517DA1">
        <w:t xml:space="preserve">, R. and J. </w:t>
      </w:r>
      <w:proofErr w:type="spellStart"/>
      <w:r w:rsidRPr="00517DA1">
        <w:t>Cotte</w:t>
      </w:r>
      <w:proofErr w:type="spellEnd"/>
      <w:r w:rsidRPr="00517DA1">
        <w:t xml:space="preserve"> (2009) Does it </w:t>
      </w:r>
      <w:proofErr w:type="gramStart"/>
      <w:r w:rsidRPr="00517DA1">
        <w:t>pay</w:t>
      </w:r>
      <w:proofErr w:type="gramEnd"/>
      <w:r w:rsidRPr="00517DA1">
        <w:t xml:space="preserve"> to be good? </w:t>
      </w:r>
      <w:r w:rsidRPr="00517DA1">
        <w:rPr>
          <w:i/>
        </w:rPr>
        <w:t>Sloan Management Review</w:t>
      </w:r>
      <w:r w:rsidRPr="00517DA1">
        <w:t xml:space="preserve"> 50 (2), 60-69.</w:t>
      </w:r>
    </w:p>
    <w:p w14:paraId="39FECC57" w14:textId="4469F1EA" w:rsidR="00A5674E" w:rsidRPr="00517DA1" w:rsidRDefault="00B22A9B">
      <w:pPr>
        <w:pStyle w:val="NormalWeb"/>
        <w:spacing w:before="0" w:after="100"/>
        <w:ind w:left="454" w:hanging="454"/>
        <w:rPr>
          <w:color w:val="auto"/>
          <w:lang w:val="en-US"/>
        </w:rPr>
      </w:pPr>
      <w:proofErr w:type="spellStart"/>
      <w:proofErr w:type="gramStart"/>
      <w:r w:rsidRPr="00517DA1">
        <w:rPr>
          <w:color w:val="auto"/>
          <w:lang w:val="en-US"/>
        </w:rPr>
        <w:t>Tsamenyi</w:t>
      </w:r>
      <w:proofErr w:type="spellEnd"/>
      <w:r w:rsidRPr="00517DA1">
        <w:rPr>
          <w:color w:val="auto"/>
          <w:lang w:val="en-US"/>
        </w:rPr>
        <w:t xml:space="preserve">, M., </w:t>
      </w:r>
      <w:proofErr w:type="spellStart"/>
      <w:r w:rsidRPr="00517DA1">
        <w:rPr>
          <w:color w:val="auto"/>
          <w:lang w:val="en-US"/>
        </w:rPr>
        <w:t>Enninful-Adu</w:t>
      </w:r>
      <w:proofErr w:type="spellEnd"/>
      <w:r w:rsidRPr="00517DA1">
        <w:rPr>
          <w:color w:val="auto"/>
          <w:lang w:val="en-US"/>
        </w:rPr>
        <w:t>, E.</w:t>
      </w:r>
      <w:r w:rsidR="00FE370C" w:rsidRPr="00517DA1">
        <w:rPr>
          <w:color w:val="auto"/>
          <w:lang w:val="en-US"/>
        </w:rPr>
        <w:t xml:space="preserve"> and </w:t>
      </w:r>
      <w:proofErr w:type="spellStart"/>
      <w:r w:rsidR="00FE370C" w:rsidRPr="00517DA1">
        <w:rPr>
          <w:color w:val="auto"/>
          <w:lang w:val="en-US"/>
        </w:rPr>
        <w:t>Onumah</w:t>
      </w:r>
      <w:proofErr w:type="spellEnd"/>
      <w:r w:rsidR="00FE370C" w:rsidRPr="00517DA1">
        <w:rPr>
          <w:color w:val="auto"/>
          <w:lang w:val="en-US"/>
        </w:rPr>
        <w:t>, J. (2007).</w:t>
      </w:r>
      <w:proofErr w:type="gramEnd"/>
      <w:r w:rsidR="00FE370C" w:rsidRPr="00517DA1">
        <w:rPr>
          <w:color w:val="auto"/>
          <w:lang w:val="en-US"/>
        </w:rPr>
        <w:t xml:space="preserve"> Disclosure and corporate governance in developing countries: evidence from Ghana. </w:t>
      </w:r>
      <w:r w:rsidR="00FE370C" w:rsidRPr="00517DA1">
        <w:rPr>
          <w:i/>
          <w:iCs/>
          <w:color w:val="auto"/>
          <w:lang w:val="en-US"/>
        </w:rPr>
        <w:t>Managerial Auditing Journal</w:t>
      </w:r>
      <w:r w:rsidR="00FE370C" w:rsidRPr="00517DA1">
        <w:rPr>
          <w:color w:val="auto"/>
          <w:lang w:val="en-US"/>
        </w:rPr>
        <w:t xml:space="preserve">, </w:t>
      </w:r>
      <w:r w:rsidR="00FE370C" w:rsidRPr="00517DA1">
        <w:rPr>
          <w:iCs/>
          <w:color w:val="auto"/>
          <w:lang w:val="en-US"/>
        </w:rPr>
        <w:t>22</w:t>
      </w:r>
      <w:r w:rsidR="00FE370C" w:rsidRPr="00517DA1">
        <w:rPr>
          <w:color w:val="auto"/>
          <w:lang w:val="en-US"/>
        </w:rPr>
        <w:t xml:space="preserve">(3), 319–334. </w:t>
      </w:r>
    </w:p>
    <w:p w14:paraId="7EF202BD" w14:textId="77777777" w:rsidR="00A5674E" w:rsidRPr="00517DA1" w:rsidRDefault="00FE370C">
      <w:pPr>
        <w:pStyle w:val="NormalWeb"/>
        <w:spacing w:before="0" w:after="100"/>
        <w:ind w:left="454" w:hanging="454"/>
        <w:rPr>
          <w:color w:val="auto"/>
          <w:lang w:val="en-US"/>
        </w:rPr>
      </w:pPr>
      <w:proofErr w:type="spellStart"/>
      <w:r w:rsidRPr="00517DA1">
        <w:rPr>
          <w:color w:val="auto"/>
          <w:lang w:val="en-US"/>
        </w:rPr>
        <w:t>Vafeas</w:t>
      </w:r>
      <w:proofErr w:type="spellEnd"/>
      <w:r w:rsidRPr="00517DA1">
        <w:rPr>
          <w:color w:val="auto"/>
          <w:lang w:val="en-US"/>
        </w:rPr>
        <w:t xml:space="preserve">, N. (1999). </w:t>
      </w:r>
      <w:proofErr w:type="gramStart"/>
      <w:r w:rsidRPr="00517DA1">
        <w:rPr>
          <w:color w:val="auto"/>
          <w:lang w:val="en-US"/>
        </w:rPr>
        <w:t>Board meeting frequency and firm performance.</w:t>
      </w:r>
      <w:proofErr w:type="gramEnd"/>
      <w:r w:rsidRPr="00517DA1">
        <w:rPr>
          <w:color w:val="auto"/>
          <w:lang w:val="en-US"/>
        </w:rPr>
        <w:t xml:space="preserve"> </w:t>
      </w:r>
      <w:r w:rsidRPr="00517DA1">
        <w:rPr>
          <w:i/>
          <w:iCs/>
          <w:color w:val="auto"/>
          <w:lang w:val="en-US"/>
        </w:rPr>
        <w:t>Journal of Financial Economics</w:t>
      </w:r>
      <w:r w:rsidRPr="00517DA1">
        <w:rPr>
          <w:color w:val="auto"/>
          <w:lang w:val="en-US"/>
        </w:rPr>
        <w:t xml:space="preserve">, </w:t>
      </w:r>
      <w:r w:rsidRPr="00517DA1">
        <w:rPr>
          <w:iCs/>
          <w:color w:val="auto"/>
          <w:lang w:val="en-US"/>
        </w:rPr>
        <w:t>53</w:t>
      </w:r>
      <w:r w:rsidRPr="00517DA1">
        <w:rPr>
          <w:color w:val="auto"/>
          <w:lang w:val="en-US"/>
        </w:rPr>
        <w:t>, 113–142.</w:t>
      </w:r>
    </w:p>
    <w:p w14:paraId="25600466" w14:textId="52A3B193" w:rsidR="00A5674E" w:rsidRPr="00517DA1" w:rsidRDefault="00B22A9B">
      <w:pPr>
        <w:pStyle w:val="NormalWeb"/>
        <w:spacing w:before="0" w:after="100"/>
        <w:ind w:left="454" w:hanging="454"/>
        <w:rPr>
          <w:color w:val="auto"/>
          <w:lang w:val="en-US"/>
        </w:rPr>
      </w:pPr>
      <w:proofErr w:type="gramStart"/>
      <w:r w:rsidRPr="00517DA1">
        <w:rPr>
          <w:color w:val="auto"/>
          <w:lang w:val="en-US"/>
        </w:rPr>
        <w:t>Walden, W. D.</w:t>
      </w:r>
      <w:r w:rsidR="00FE370C" w:rsidRPr="00517DA1">
        <w:rPr>
          <w:color w:val="auto"/>
          <w:lang w:val="en-US"/>
        </w:rPr>
        <w:t xml:space="preserve"> and Schwartz, B. N. (1997).</w:t>
      </w:r>
      <w:proofErr w:type="gramEnd"/>
      <w:r w:rsidR="00FE370C" w:rsidRPr="00517DA1">
        <w:rPr>
          <w:color w:val="auto"/>
          <w:lang w:val="en-US"/>
        </w:rPr>
        <w:t xml:space="preserve"> </w:t>
      </w:r>
      <w:proofErr w:type="gramStart"/>
      <w:r w:rsidR="00FE370C" w:rsidRPr="00517DA1">
        <w:rPr>
          <w:color w:val="auto"/>
          <w:lang w:val="en-US"/>
        </w:rPr>
        <w:t>Environmental Disclosures and Public Policy Pressure.</w:t>
      </w:r>
      <w:proofErr w:type="gramEnd"/>
      <w:r w:rsidR="00FE370C" w:rsidRPr="00517DA1">
        <w:rPr>
          <w:color w:val="auto"/>
          <w:lang w:val="en-US"/>
        </w:rPr>
        <w:t xml:space="preserve"> </w:t>
      </w:r>
      <w:r w:rsidR="00FE370C" w:rsidRPr="00517DA1">
        <w:rPr>
          <w:i/>
          <w:iCs/>
          <w:color w:val="auto"/>
          <w:lang w:val="en-US"/>
        </w:rPr>
        <w:t>Journal of Accounting and Public Policy</w:t>
      </w:r>
      <w:r w:rsidR="00FE370C" w:rsidRPr="00517DA1">
        <w:rPr>
          <w:color w:val="auto"/>
          <w:lang w:val="en-US"/>
        </w:rPr>
        <w:t xml:space="preserve">, </w:t>
      </w:r>
      <w:r w:rsidR="00FE370C" w:rsidRPr="00517DA1">
        <w:rPr>
          <w:iCs/>
          <w:color w:val="auto"/>
          <w:lang w:val="en-US"/>
        </w:rPr>
        <w:t>16</w:t>
      </w:r>
      <w:r w:rsidR="00FE370C" w:rsidRPr="00517DA1">
        <w:rPr>
          <w:color w:val="auto"/>
          <w:lang w:val="en-US"/>
        </w:rPr>
        <w:t>, 125–154.</w:t>
      </w:r>
    </w:p>
    <w:p w14:paraId="6F957AB8" w14:textId="77777777" w:rsidR="00A5674E" w:rsidRPr="00517DA1" w:rsidRDefault="00FE370C">
      <w:pPr>
        <w:pStyle w:val="NormalWeb"/>
        <w:spacing w:before="0" w:after="100"/>
        <w:ind w:left="454" w:hanging="454"/>
        <w:rPr>
          <w:color w:val="auto"/>
          <w:lang w:val="en-US"/>
        </w:rPr>
      </w:pPr>
      <w:r w:rsidRPr="00517DA1">
        <w:rPr>
          <w:color w:val="auto"/>
          <w:lang w:val="en-US"/>
        </w:rPr>
        <w:t xml:space="preserve">Webb, E. (2004). </w:t>
      </w:r>
      <w:proofErr w:type="gramStart"/>
      <w:r w:rsidRPr="00517DA1">
        <w:rPr>
          <w:color w:val="auto"/>
          <w:lang w:val="en-US"/>
        </w:rPr>
        <w:t>An Examination of Socially Responsible Firms’ Board Structure.</w:t>
      </w:r>
      <w:proofErr w:type="gramEnd"/>
      <w:r w:rsidRPr="00517DA1">
        <w:rPr>
          <w:color w:val="auto"/>
          <w:lang w:val="en-US"/>
        </w:rPr>
        <w:t xml:space="preserve"> </w:t>
      </w:r>
      <w:r w:rsidRPr="00517DA1">
        <w:rPr>
          <w:i/>
          <w:iCs/>
          <w:color w:val="auto"/>
          <w:lang w:val="en-US"/>
        </w:rPr>
        <w:t>Journal of Management and Government</w:t>
      </w:r>
      <w:r w:rsidRPr="00517DA1">
        <w:rPr>
          <w:color w:val="auto"/>
          <w:lang w:val="en-US"/>
        </w:rPr>
        <w:t xml:space="preserve">, </w:t>
      </w:r>
      <w:r w:rsidRPr="00517DA1">
        <w:rPr>
          <w:iCs/>
          <w:color w:val="auto"/>
          <w:lang w:val="en-US"/>
        </w:rPr>
        <w:t>8</w:t>
      </w:r>
      <w:r w:rsidRPr="00517DA1">
        <w:rPr>
          <w:color w:val="auto"/>
          <w:lang w:val="en-US"/>
        </w:rPr>
        <w:t>, 255–277.</w:t>
      </w:r>
    </w:p>
    <w:p w14:paraId="5491D17D" w14:textId="77777777" w:rsidR="00A5674E" w:rsidRPr="00517DA1" w:rsidRDefault="00FE370C">
      <w:pPr>
        <w:pStyle w:val="NormalWeb"/>
        <w:spacing w:before="0" w:after="100"/>
        <w:ind w:left="454" w:hanging="454"/>
        <w:rPr>
          <w:color w:val="auto"/>
          <w:lang w:val="en-US"/>
        </w:rPr>
      </w:pPr>
      <w:r w:rsidRPr="00517DA1">
        <w:rPr>
          <w:color w:val="auto"/>
          <w:lang w:val="en-US"/>
        </w:rPr>
        <w:t>Weber, R.P. (1988) “</w:t>
      </w:r>
      <w:r w:rsidRPr="00517DA1">
        <w:rPr>
          <w:i/>
          <w:color w:val="auto"/>
          <w:lang w:val="en-US"/>
        </w:rPr>
        <w:t xml:space="preserve">Basic Content Analysis” </w:t>
      </w:r>
      <w:r w:rsidRPr="00517DA1">
        <w:rPr>
          <w:color w:val="auto"/>
          <w:lang w:val="en-US"/>
        </w:rPr>
        <w:t xml:space="preserve"> Sage University Paper Series on Quantitative Applications in the Social Sciences Series No. 07-049, Sage, Beverly Hills, CA, and London</w:t>
      </w:r>
    </w:p>
    <w:p w14:paraId="51F409C6" w14:textId="45C5742D" w:rsidR="0043272B" w:rsidRPr="00517DA1" w:rsidRDefault="00B22A9B">
      <w:pPr>
        <w:pStyle w:val="NormalWeb"/>
        <w:spacing w:before="0" w:after="100"/>
        <w:ind w:left="454" w:hanging="454"/>
      </w:pPr>
      <w:r w:rsidRPr="00517DA1">
        <w:lastRenderedPageBreak/>
        <w:t>Wilmshurst, T. D. and</w:t>
      </w:r>
      <w:r w:rsidR="0043272B" w:rsidRPr="00517DA1">
        <w:t xml:space="preserve"> Frost, G. R. (2000) “Corporate environmental reporting: A test of legitimacy theory” </w:t>
      </w:r>
      <w:r w:rsidR="0043272B" w:rsidRPr="00517DA1">
        <w:rPr>
          <w:i/>
        </w:rPr>
        <w:t>Accounting, Auditing &amp; Accountability Journal</w:t>
      </w:r>
      <w:r w:rsidR="0043272B" w:rsidRPr="00517DA1">
        <w:t>, 13(1), 10–26</w:t>
      </w:r>
    </w:p>
    <w:p w14:paraId="1E4737A3" w14:textId="77777777" w:rsidR="0043272B" w:rsidRPr="00517DA1" w:rsidRDefault="0043272B" w:rsidP="0043272B">
      <w:pPr>
        <w:pStyle w:val="NormalWeb"/>
        <w:spacing w:before="0" w:after="100"/>
        <w:ind w:left="454" w:hanging="454"/>
        <w:rPr>
          <w:color w:val="auto"/>
          <w:lang w:val="en-US"/>
        </w:rPr>
      </w:pPr>
      <w:r w:rsidRPr="00517DA1">
        <w:t xml:space="preserve">Wooldridge, J. M.: (2009); </w:t>
      </w:r>
      <w:r w:rsidRPr="00517DA1">
        <w:rPr>
          <w:i/>
        </w:rPr>
        <w:t>Introductory Econometrics A modern Approach</w:t>
      </w:r>
      <w:r w:rsidRPr="00517DA1">
        <w:t xml:space="preserve">, (4th Ed) South-Western </w:t>
      </w:r>
      <w:proofErr w:type="spellStart"/>
      <w:r w:rsidRPr="00517DA1">
        <w:t>Centage</w:t>
      </w:r>
      <w:proofErr w:type="spellEnd"/>
      <w:r w:rsidRPr="00517DA1">
        <w:t xml:space="preserve"> Learning. Canada, ISBN-13:978-0-324-58548-3</w:t>
      </w:r>
    </w:p>
    <w:p w14:paraId="24AB0993" w14:textId="75E6DE2A" w:rsidR="00A5674E" w:rsidRPr="00517DA1" w:rsidRDefault="00B22A9B" w:rsidP="0043272B">
      <w:pPr>
        <w:pStyle w:val="NormalWeb"/>
        <w:spacing w:before="0" w:after="100"/>
        <w:ind w:left="454" w:hanging="454"/>
        <w:rPr>
          <w:color w:val="auto"/>
          <w:lang w:val="en-US"/>
        </w:rPr>
      </w:pPr>
      <w:proofErr w:type="spellStart"/>
      <w:proofErr w:type="gramStart"/>
      <w:r w:rsidRPr="00517DA1">
        <w:rPr>
          <w:color w:val="auto"/>
          <w:lang w:val="en-US"/>
        </w:rPr>
        <w:t>Yekini</w:t>
      </w:r>
      <w:proofErr w:type="spellEnd"/>
      <w:r w:rsidRPr="00517DA1">
        <w:rPr>
          <w:color w:val="auto"/>
          <w:lang w:val="en-US"/>
        </w:rPr>
        <w:t>, K.</w:t>
      </w:r>
      <w:r w:rsidR="00FE370C" w:rsidRPr="00517DA1">
        <w:rPr>
          <w:color w:val="auto"/>
          <w:lang w:val="en-US"/>
        </w:rPr>
        <w:t xml:space="preserve"> and </w:t>
      </w:r>
      <w:proofErr w:type="spellStart"/>
      <w:r w:rsidR="00FE370C" w:rsidRPr="00517DA1">
        <w:rPr>
          <w:color w:val="auto"/>
          <w:lang w:val="en-US"/>
        </w:rPr>
        <w:t>Jallow</w:t>
      </w:r>
      <w:proofErr w:type="spellEnd"/>
      <w:r w:rsidR="00FE370C" w:rsidRPr="00517DA1">
        <w:rPr>
          <w:color w:val="auto"/>
          <w:lang w:val="en-US"/>
        </w:rPr>
        <w:t>, K. (2012).</w:t>
      </w:r>
      <w:proofErr w:type="gramEnd"/>
      <w:r w:rsidR="00FE370C" w:rsidRPr="00517DA1">
        <w:rPr>
          <w:color w:val="auto"/>
          <w:lang w:val="en-US"/>
        </w:rPr>
        <w:t xml:space="preserve"> Corporate community involvement disclosures in annual report: A measure of corporate community development or a signal of CSR observance? </w:t>
      </w:r>
      <w:r w:rsidR="00FE370C" w:rsidRPr="00517DA1">
        <w:rPr>
          <w:i/>
          <w:iCs/>
          <w:color w:val="auto"/>
          <w:lang w:val="en-US"/>
        </w:rPr>
        <w:t>Sustainability Accounting, Management and Policy Journal</w:t>
      </w:r>
      <w:r w:rsidR="00FE370C" w:rsidRPr="00517DA1">
        <w:rPr>
          <w:color w:val="auto"/>
          <w:lang w:val="en-US"/>
        </w:rPr>
        <w:t xml:space="preserve">, </w:t>
      </w:r>
      <w:r w:rsidR="00FE370C" w:rsidRPr="00517DA1">
        <w:rPr>
          <w:i/>
          <w:iCs/>
          <w:color w:val="auto"/>
          <w:lang w:val="en-US"/>
        </w:rPr>
        <w:t>3</w:t>
      </w:r>
      <w:r w:rsidR="00FE370C" w:rsidRPr="00517DA1">
        <w:rPr>
          <w:color w:val="auto"/>
          <w:lang w:val="en-US"/>
        </w:rPr>
        <w:t xml:space="preserve">(1), 7–32. </w:t>
      </w:r>
    </w:p>
    <w:p w14:paraId="509B23D8" w14:textId="77777777" w:rsidR="00A5674E" w:rsidRPr="00517DA1" w:rsidRDefault="00FE370C">
      <w:pPr>
        <w:pStyle w:val="NormalWeb"/>
        <w:spacing w:before="0" w:after="100"/>
        <w:ind w:left="454" w:hanging="454"/>
        <w:rPr>
          <w:color w:val="auto"/>
          <w:lang w:val="en-US"/>
        </w:rPr>
      </w:pPr>
      <w:proofErr w:type="spellStart"/>
      <w:r w:rsidRPr="00517DA1">
        <w:rPr>
          <w:color w:val="auto"/>
          <w:lang w:val="en-US"/>
        </w:rPr>
        <w:t>Yermack</w:t>
      </w:r>
      <w:proofErr w:type="spellEnd"/>
      <w:r w:rsidRPr="00517DA1">
        <w:rPr>
          <w:color w:val="auto"/>
          <w:lang w:val="en-US"/>
        </w:rPr>
        <w:t xml:space="preserve">, D. (1996). Higher market valuation of companies with a small board of directors. </w:t>
      </w:r>
      <w:r w:rsidRPr="00517DA1">
        <w:rPr>
          <w:i/>
          <w:iCs/>
          <w:color w:val="auto"/>
          <w:lang w:val="en-US"/>
        </w:rPr>
        <w:t>Journal of Financial Economics</w:t>
      </w:r>
      <w:r w:rsidRPr="00517DA1">
        <w:rPr>
          <w:color w:val="auto"/>
          <w:lang w:val="en-US"/>
        </w:rPr>
        <w:t xml:space="preserve">, </w:t>
      </w:r>
      <w:r w:rsidRPr="00517DA1">
        <w:rPr>
          <w:iCs/>
          <w:color w:val="auto"/>
          <w:lang w:val="en-US"/>
        </w:rPr>
        <w:t>40</w:t>
      </w:r>
      <w:r w:rsidRPr="00517DA1">
        <w:rPr>
          <w:color w:val="auto"/>
          <w:lang w:val="en-US"/>
        </w:rPr>
        <w:t xml:space="preserve">(2), 185–211. </w:t>
      </w:r>
    </w:p>
    <w:sectPr w:rsidR="00A5674E" w:rsidRPr="00517DA1" w:rsidSect="0073084B">
      <w:footerReference w:type="default" r:id="rId18"/>
      <w:type w:val="continuous"/>
      <w:pgSz w:w="12240" w:h="15840"/>
      <w:pgMar w:top="1134" w:right="1134" w:bottom="1134" w:left="1134" w:header="720" w:footer="1134" w:gutter="0"/>
      <w:pgNumType w:start="0"/>
      <w:cols w:space="72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D8493" w14:textId="77777777" w:rsidR="00C04968" w:rsidRDefault="00C04968" w:rsidP="00D91D29">
      <w:r>
        <w:separator/>
      </w:r>
    </w:p>
  </w:endnote>
  <w:endnote w:type="continuationSeparator" w:id="0">
    <w:p w14:paraId="700F3171" w14:textId="77777777" w:rsidR="00C04968" w:rsidRDefault="00C04968" w:rsidP="00D9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Times-Roman">
    <w:altName w:val="Times New Roman"/>
    <w:charset w:val="00"/>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671800"/>
      <w:docPartObj>
        <w:docPartGallery w:val="Page Numbers (Bottom of Page)"/>
        <w:docPartUnique/>
      </w:docPartObj>
    </w:sdtPr>
    <w:sdtEndPr>
      <w:rPr>
        <w:noProof/>
      </w:rPr>
    </w:sdtEndPr>
    <w:sdtContent>
      <w:p w14:paraId="6C2EF6EE" w14:textId="77777777" w:rsidR="00EB1886" w:rsidRDefault="00EB1886">
        <w:pPr>
          <w:pStyle w:val="Footer"/>
          <w:jc w:val="center"/>
        </w:pPr>
        <w:r>
          <w:fldChar w:fldCharType="begin"/>
        </w:r>
        <w:r>
          <w:instrText xml:space="preserve"> PAGE   \* MERGEFORMAT </w:instrText>
        </w:r>
        <w:r>
          <w:fldChar w:fldCharType="separate"/>
        </w:r>
        <w:r w:rsidR="00855E1C">
          <w:rPr>
            <w:noProof/>
          </w:rPr>
          <w:t>1</w:t>
        </w:r>
        <w:r>
          <w:rPr>
            <w:noProof/>
          </w:rPr>
          <w:fldChar w:fldCharType="end"/>
        </w:r>
      </w:p>
    </w:sdtContent>
  </w:sdt>
  <w:p w14:paraId="60C3F46E" w14:textId="77777777" w:rsidR="00EB1886" w:rsidRDefault="00EB1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044A5" w14:textId="77777777" w:rsidR="00C04968" w:rsidRDefault="00C04968" w:rsidP="00D91D29">
      <w:r>
        <w:separator/>
      </w:r>
    </w:p>
  </w:footnote>
  <w:footnote w:type="continuationSeparator" w:id="0">
    <w:p w14:paraId="1EFF7F9B" w14:textId="77777777" w:rsidR="00C04968" w:rsidRDefault="00C04968" w:rsidP="00D91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809001F"/>
    <w:name w:val="WWNum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F6F4ACF"/>
    <w:multiLevelType w:val="hybridMultilevel"/>
    <w:tmpl w:val="5746A818"/>
    <w:lvl w:ilvl="0" w:tplc="563243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86584B"/>
    <w:multiLevelType w:val="hybridMultilevel"/>
    <w:tmpl w:val="FD94B30E"/>
    <w:lvl w:ilvl="0" w:tplc="AAD2E2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FB93D63"/>
    <w:multiLevelType w:val="hybridMultilevel"/>
    <w:tmpl w:val="34CA852E"/>
    <w:lvl w:ilvl="0" w:tplc="08090001">
      <w:start w:val="4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324553"/>
    <w:multiLevelType w:val="multilevel"/>
    <w:tmpl w:val="00000001"/>
    <w:lvl w:ilvl="0">
      <w:start w:val="1"/>
      <w:numFmt w:val="decimal"/>
      <w:lvlText w:val="%1."/>
      <w:lvlJc w:val="left"/>
      <w:pPr>
        <w:tabs>
          <w:tab w:val="num" w:pos="0"/>
        </w:tabs>
        <w:ind w:left="-492" w:hanging="360"/>
      </w:pPr>
    </w:lvl>
    <w:lvl w:ilvl="1">
      <w:start w:val="1"/>
      <w:numFmt w:val="decimal"/>
      <w:lvlText w:val="%1.%2."/>
      <w:lvlJc w:val="left"/>
      <w:pPr>
        <w:tabs>
          <w:tab w:val="num" w:pos="0"/>
        </w:tabs>
        <w:ind w:left="-492" w:hanging="360"/>
      </w:pPr>
    </w:lvl>
    <w:lvl w:ilvl="2">
      <w:start w:val="1"/>
      <w:numFmt w:val="decimal"/>
      <w:lvlText w:val="%1.%2.%3."/>
      <w:lvlJc w:val="left"/>
      <w:pPr>
        <w:tabs>
          <w:tab w:val="num" w:pos="0"/>
        </w:tabs>
        <w:ind w:left="-132" w:hanging="720"/>
      </w:pPr>
    </w:lvl>
    <w:lvl w:ilvl="3">
      <w:start w:val="1"/>
      <w:numFmt w:val="decimal"/>
      <w:lvlText w:val="%1.%2.%3.%4."/>
      <w:lvlJc w:val="left"/>
      <w:pPr>
        <w:tabs>
          <w:tab w:val="num" w:pos="0"/>
        </w:tabs>
        <w:ind w:left="-132" w:hanging="720"/>
      </w:pPr>
    </w:lvl>
    <w:lvl w:ilvl="4">
      <w:start w:val="1"/>
      <w:numFmt w:val="decimal"/>
      <w:lvlText w:val="%1.%2.%3.%4.%5."/>
      <w:lvlJc w:val="left"/>
      <w:pPr>
        <w:tabs>
          <w:tab w:val="num" w:pos="0"/>
        </w:tabs>
        <w:ind w:left="228" w:hanging="1080"/>
      </w:pPr>
    </w:lvl>
    <w:lvl w:ilvl="5">
      <w:start w:val="1"/>
      <w:numFmt w:val="decimal"/>
      <w:lvlText w:val="%1.%2.%3.%4.%5.%6."/>
      <w:lvlJc w:val="left"/>
      <w:pPr>
        <w:tabs>
          <w:tab w:val="num" w:pos="0"/>
        </w:tabs>
        <w:ind w:left="228" w:hanging="1080"/>
      </w:pPr>
    </w:lvl>
    <w:lvl w:ilvl="6">
      <w:start w:val="1"/>
      <w:numFmt w:val="decimal"/>
      <w:lvlText w:val="%1.%2.%3.%4.%5.%6.%7."/>
      <w:lvlJc w:val="left"/>
      <w:pPr>
        <w:tabs>
          <w:tab w:val="num" w:pos="0"/>
        </w:tabs>
        <w:ind w:left="588" w:hanging="1440"/>
      </w:pPr>
    </w:lvl>
    <w:lvl w:ilvl="7">
      <w:start w:val="1"/>
      <w:numFmt w:val="decimal"/>
      <w:lvlText w:val="%1.%2.%3.%4.%5.%6.%7.%8."/>
      <w:lvlJc w:val="left"/>
      <w:pPr>
        <w:tabs>
          <w:tab w:val="num" w:pos="0"/>
        </w:tabs>
        <w:ind w:left="588" w:hanging="1440"/>
      </w:pPr>
    </w:lvl>
    <w:lvl w:ilvl="8">
      <w:start w:val="1"/>
      <w:numFmt w:val="decimal"/>
      <w:lvlText w:val="%1.%2.%3.%4.%5.%6.%7.%8.%9."/>
      <w:lvlJc w:val="left"/>
      <w:pPr>
        <w:tabs>
          <w:tab w:val="num" w:pos="0"/>
        </w:tabs>
        <w:ind w:left="948" w:hanging="1800"/>
      </w:pPr>
    </w:lvl>
  </w:abstractNum>
  <w:abstractNum w:abstractNumId="6">
    <w:nsid w:val="68A02098"/>
    <w:multiLevelType w:val="hybridMultilevel"/>
    <w:tmpl w:val="D14E21BE"/>
    <w:lvl w:ilvl="0" w:tplc="3DB47A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BE3576"/>
    <w:multiLevelType w:val="hybridMultilevel"/>
    <w:tmpl w:val="BAA6237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F654BA3"/>
    <w:multiLevelType w:val="hybridMultilevel"/>
    <w:tmpl w:val="F042B9EC"/>
    <w:lvl w:ilvl="0" w:tplc="4538FF2A">
      <w:start w:val="1"/>
      <w:numFmt w:val="bullet"/>
      <w:lvlText w:val="•"/>
      <w:lvlJc w:val="left"/>
      <w:pPr>
        <w:tabs>
          <w:tab w:val="num" w:pos="720"/>
        </w:tabs>
        <w:ind w:left="720" w:hanging="360"/>
      </w:pPr>
      <w:rPr>
        <w:rFonts w:ascii="Arial" w:hAnsi="Arial" w:hint="default"/>
      </w:rPr>
    </w:lvl>
    <w:lvl w:ilvl="1" w:tplc="A38E09E4" w:tentative="1">
      <w:start w:val="1"/>
      <w:numFmt w:val="bullet"/>
      <w:lvlText w:val="•"/>
      <w:lvlJc w:val="left"/>
      <w:pPr>
        <w:tabs>
          <w:tab w:val="num" w:pos="1440"/>
        </w:tabs>
        <w:ind w:left="1440" w:hanging="360"/>
      </w:pPr>
      <w:rPr>
        <w:rFonts w:ascii="Arial" w:hAnsi="Arial" w:hint="default"/>
      </w:rPr>
    </w:lvl>
    <w:lvl w:ilvl="2" w:tplc="F3EA2024" w:tentative="1">
      <w:start w:val="1"/>
      <w:numFmt w:val="bullet"/>
      <w:lvlText w:val="•"/>
      <w:lvlJc w:val="left"/>
      <w:pPr>
        <w:tabs>
          <w:tab w:val="num" w:pos="2160"/>
        </w:tabs>
        <w:ind w:left="2160" w:hanging="360"/>
      </w:pPr>
      <w:rPr>
        <w:rFonts w:ascii="Arial" w:hAnsi="Arial" w:hint="default"/>
      </w:rPr>
    </w:lvl>
    <w:lvl w:ilvl="3" w:tplc="79E4C12A" w:tentative="1">
      <w:start w:val="1"/>
      <w:numFmt w:val="bullet"/>
      <w:lvlText w:val="•"/>
      <w:lvlJc w:val="left"/>
      <w:pPr>
        <w:tabs>
          <w:tab w:val="num" w:pos="2880"/>
        </w:tabs>
        <w:ind w:left="2880" w:hanging="360"/>
      </w:pPr>
      <w:rPr>
        <w:rFonts w:ascii="Arial" w:hAnsi="Arial" w:hint="default"/>
      </w:rPr>
    </w:lvl>
    <w:lvl w:ilvl="4" w:tplc="1BE0B55C" w:tentative="1">
      <w:start w:val="1"/>
      <w:numFmt w:val="bullet"/>
      <w:lvlText w:val="•"/>
      <w:lvlJc w:val="left"/>
      <w:pPr>
        <w:tabs>
          <w:tab w:val="num" w:pos="3600"/>
        </w:tabs>
        <w:ind w:left="3600" w:hanging="360"/>
      </w:pPr>
      <w:rPr>
        <w:rFonts w:ascii="Arial" w:hAnsi="Arial" w:hint="default"/>
      </w:rPr>
    </w:lvl>
    <w:lvl w:ilvl="5" w:tplc="FFFC1F1E" w:tentative="1">
      <w:start w:val="1"/>
      <w:numFmt w:val="bullet"/>
      <w:lvlText w:val="•"/>
      <w:lvlJc w:val="left"/>
      <w:pPr>
        <w:tabs>
          <w:tab w:val="num" w:pos="4320"/>
        </w:tabs>
        <w:ind w:left="4320" w:hanging="360"/>
      </w:pPr>
      <w:rPr>
        <w:rFonts w:ascii="Arial" w:hAnsi="Arial" w:hint="default"/>
      </w:rPr>
    </w:lvl>
    <w:lvl w:ilvl="6" w:tplc="3E6AEDD2" w:tentative="1">
      <w:start w:val="1"/>
      <w:numFmt w:val="bullet"/>
      <w:lvlText w:val="•"/>
      <w:lvlJc w:val="left"/>
      <w:pPr>
        <w:tabs>
          <w:tab w:val="num" w:pos="5040"/>
        </w:tabs>
        <w:ind w:left="5040" w:hanging="360"/>
      </w:pPr>
      <w:rPr>
        <w:rFonts w:ascii="Arial" w:hAnsi="Arial" w:hint="default"/>
      </w:rPr>
    </w:lvl>
    <w:lvl w:ilvl="7" w:tplc="357C50C8" w:tentative="1">
      <w:start w:val="1"/>
      <w:numFmt w:val="bullet"/>
      <w:lvlText w:val="•"/>
      <w:lvlJc w:val="left"/>
      <w:pPr>
        <w:tabs>
          <w:tab w:val="num" w:pos="5760"/>
        </w:tabs>
        <w:ind w:left="5760" w:hanging="360"/>
      </w:pPr>
      <w:rPr>
        <w:rFonts w:ascii="Arial" w:hAnsi="Arial" w:hint="default"/>
      </w:rPr>
    </w:lvl>
    <w:lvl w:ilvl="8" w:tplc="929E4276" w:tentative="1">
      <w:start w:val="1"/>
      <w:numFmt w:val="bullet"/>
      <w:lvlText w:val="•"/>
      <w:lvlJc w:val="left"/>
      <w:pPr>
        <w:tabs>
          <w:tab w:val="num" w:pos="6480"/>
        </w:tabs>
        <w:ind w:left="6480" w:hanging="360"/>
      </w:pPr>
      <w:rPr>
        <w:rFonts w:ascii="Arial" w:hAnsi="Arial" w:hint="default"/>
      </w:rPr>
    </w:lvl>
  </w:abstractNum>
  <w:abstractNum w:abstractNumId="9">
    <w:nsid w:val="7022079F"/>
    <w:multiLevelType w:val="hybridMultilevel"/>
    <w:tmpl w:val="BAA6237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F8575F9"/>
    <w:multiLevelType w:val="hybridMultilevel"/>
    <w:tmpl w:val="C8BAFDC4"/>
    <w:lvl w:ilvl="0" w:tplc="D3D67444">
      <w:start w:val="4"/>
      <w:numFmt w:val="bullet"/>
      <w:lvlText w:val="-"/>
      <w:lvlJc w:val="left"/>
      <w:pPr>
        <w:ind w:left="720" w:hanging="360"/>
      </w:pPr>
      <w:rPr>
        <w:rFonts w:ascii="Arial" w:eastAsia="Times New Roman" w:hAnsi="Arial" w:cs="Aria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6"/>
  </w:num>
  <w:num w:numId="7">
    <w:abstractNumId w:val="4"/>
  </w:num>
  <w:num w:numId="8">
    <w:abstractNumId w:val="5"/>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468"/>
    <w:rsid w:val="00000E76"/>
    <w:rsid w:val="0000587B"/>
    <w:rsid w:val="00011639"/>
    <w:rsid w:val="00012019"/>
    <w:rsid w:val="00013BAC"/>
    <w:rsid w:val="00035487"/>
    <w:rsid w:val="00037E4E"/>
    <w:rsid w:val="00050780"/>
    <w:rsid w:val="00051170"/>
    <w:rsid w:val="0005460C"/>
    <w:rsid w:val="00056D57"/>
    <w:rsid w:val="00064BB1"/>
    <w:rsid w:val="000737FE"/>
    <w:rsid w:val="00074304"/>
    <w:rsid w:val="00074FDC"/>
    <w:rsid w:val="00077584"/>
    <w:rsid w:val="00081C09"/>
    <w:rsid w:val="0009662A"/>
    <w:rsid w:val="000967B2"/>
    <w:rsid w:val="00097096"/>
    <w:rsid w:val="0009720C"/>
    <w:rsid w:val="000A0E66"/>
    <w:rsid w:val="000A2423"/>
    <w:rsid w:val="000A2C0D"/>
    <w:rsid w:val="000A3468"/>
    <w:rsid w:val="000B2662"/>
    <w:rsid w:val="000B6DEB"/>
    <w:rsid w:val="000C662B"/>
    <w:rsid w:val="000C7BA2"/>
    <w:rsid w:val="000D45E6"/>
    <w:rsid w:val="000D5115"/>
    <w:rsid w:val="000D6CFA"/>
    <w:rsid w:val="000F0849"/>
    <w:rsid w:val="000F1651"/>
    <w:rsid w:val="000F1CFA"/>
    <w:rsid w:val="000F4E6E"/>
    <w:rsid w:val="0010125A"/>
    <w:rsid w:val="00120167"/>
    <w:rsid w:val="00121C10"/>
    <w:rsid w:val="001229D8"/>
    <w:rsid w:val="00134E8B"/>
    <w:rsid w:val="00136261"/>
    <w:rsid w:val="001410D4"/>
    <w:rsid w:val="00150621"/>
    <w:rsid w:val="001526CD"/>
    <w:rsid w:val="00161472"/>
    <w:rsid w:val="001619EA"/>
    <w:rsid w:val="00161D8E"/>
    <w:rsid w:val="00170623"/>
    <w:rsid w:val="0017246A"/>
    <w:rsid w:val="001744F9"/>
    <w:rsid w:val="00177C74"/>
    <w:rsid w:val="00180FD7"/>
    <w:rsid w:val="0018120A"/>
    <w:rsid w:val="0018780B"/>
    <w:rsid w:val="00187CC0"/>
    <w:rsid w:val="0019159E"/>
    <w:rsid w:val="001947C6"/>
    <w:rsid w:val="001A28B9"/>
    <w:rsid w:val="001A3178"/>
    <w:rsid w:val="001B08F9"/>
    <w:rsid w:val="001B1DD4"/>
    <w:rsid w:val="001B3BB1"/>
    <w:rsid w:val="001C662E"/>
    <w:rsid w:val="001D7595"/>
    <w:rsid w:val="001E619D"/>
    <w:rsid w:val="001F1F09"/>
    <w:rsid w:val="002015DE"/>
    <w:rsid w:val="00202663"/>
    <w:rsid w:val="00203906"/>
    <w:rsid w:val="002050E9"/>
    <w:rsid w:val="00212162"/>
    <w:rsid w:val="0021269E"/>
    <w:rsid w:val="0021554B"/>
    <w:rsid w:val="00217DF1"/>
    <w:rsid w:val="00221607"/>
    <w:rsid w:val="00223808"/>
    <w:rsid w:val="0022689C"/>
    <w:rsid w:val="00231477"/>
    <w:rsid w:val="002352AE"/>
    <w:rsid w:val="00237F15"/>
    <w:rsid w:val="002401F9"/>
    <w:rsid w:val="002438DF"/>
    <w:rsid w:val="00244829"/>
    <w:rsid w:val="002450AC"/>
    <w:rsid w:val="00245CF3"/>
    <w:rsid w:val="00255CD8"/>
    <w:rsid w:val="0026006A"/>
    <w:rsid w:val="00263F49"/>
    <w:rsid w:val="00264111"/>
    <w:rsid w:val="0026483E"/>
    <w:rsid w:val="00265CEB"/>
    <w:rsid w:val="00266946"/>
    <w:rsid w:val="002710FF"/>
    <w:rsid w:val="00276679"/>
    <w:rsid w:val="00283C99"/>
    <w:rsid w:val="00283EF1"/>
    <w:rsid w:val="002861F8"/>
    <w:rsid w:val="0028639C"/>
    <w:rsid w:val="00286B14"/>
    <w:rsid w:val="002954AE"/>
    <w:rsid w:val="002A20E6"/>
    <w:rsid w:val="002A3575"/>
    <w:rsid w:val="002A66CC"/>
    <w:rsid w:val="002A79E4"/>
    <w:rsid w:val="002B0AB2"/>
    <w:rsid w:val="002B543D"/>
    <w:rsid w:val="002C015D"/>
    <w:rsid w:val="002C6627"/>
    <w:rsid w:val="002C747D"/>
    <w:rsid w:val="002C79A1"/>
    <w:rsid w:val="002E1612"/>
    <w:rsid w:val="002E25FE"/>
    <w:rsid w:val="002E44F6"/>
    <w:rsid w:val="002E6DF8"/>
    <w:rsid w:val="002F3ACC"/>
    <w:rsid w:val="00302469"/>
    <w:rsid w:val="003104EB"/>
    <w:rsid w:val="003108BD"/>
    <w:rsid w:val="00312070"/>
    <w:rsid w:val="00317B1B"/>
    <w:rsid w:val="00321F3F"/>
    <w:rsid w:val="003325E7"/>
    <w:rsid w:val="00335869"/>
    <w:rsid w:val="00340A2B"/>
    <w:rsid w:val="00344D38"/>
    <w:rsid w:val="003463DB"/>
    <w:rsid w:val="00350DF5"/>
    <w:rsid w:val="00356A32"/>
    <w:rsid w:val="003602A4"/>
    <w:rsid w:val="003646EA"/>
    <w:rsid w:val="00365EFA"/>
    <w:rsid w:val="00370BB7"/>
    <w:rsid w:val="00384B22"/>
    <w:rsid w:val="003863B9"/>
    <w:rsid w:val="0038698D"/>
    <w:rsid w:val="00387B54"/>
    <w:rsid w:val="003A2AD0"/>
    <w:rsid w:val="003B3186"/>
    <w:rsid w:val="003B591E"/>
    <w:rsid w:val="003E267E"/>
    <w:rsid w:val="003E3E63"/>
    <w:rsid w:val="003E47AD"/>
    <w:rsid w:val="003F5B72"/>
    <w:rsid w:val="003F7F9D"/>
    <w:rsid w:val="00403F48"/>
    <w:rsid w:val="00423EE1"/>
    <w:rsid w:val="0043272B"/>
    <w:rsid w:val="004345F3"/>
    <w:rsid w:val="004358DA"/>
    <w:rsid w:val="00447F23"/>
    <w:rsid w:val="0045715E"/>
    <w:rsid w:val="004633F0"/>
    <w:rsid w:val="0046507C"/>
    <w:rsid w:val="00467638"/>
    <w:rsid w:val="00467672"/>
    <w:rsid w:val="00471AE6"/>
    <w:rsid w:val="004879B4"/>
    <w:rsid w:val="00487CCA"/>
    <w:rsid w:val="004901C5"/>
    <w:rsid w:val="00490597"/>
    <w:rsid w:val="00491DDA"/>
    <w:rsid w:val="00497B7F"/>
    <w:rsid w:val="004A27F7"/>
    <w:rsid w:val="004A4D5C"/>
    <w:rsid w:val="004A6301"/>
    <w:rsid w:val="004A7D82"/>
    <w:rsid w:val="004B551E"/>
    <w:rsid w:val="004B6E78"/>
    <w:rsid w:val="004C0177"/>
    <w:rsid w:val="004D267F"/>
    <w:rsid w:val="004D2823"/>
    <w:rsid w:val="004D5821"/>
    <w:rsid w:val="004E5A4A"/>
    <w:rsid w:val="004E6FCE"/>
    <w:rsid w:val="004F2977"/>
    <w:rsid w:val="004F2E44"/>
    <w:rsid w:val="00500108"/>
    <w:rsid w:val="0050345E"/>
    <w:rsid w:val="005115B1"/>
    <w:rsid w:val="00512CCC"/>
    <w:rsid w:val="00515A65"/>
    <w:rsid w:val="00517DA1"/>
    <w:rsid w:val="00520003"/>
    <w:rsid w:val="00520799"/>
    <w:rsid w:val="005220E9"/>
    <w:rsid w:val="00523B2A"/>
    <w:rsid w:val="0052798B"/>
    <w:rsid w:val="0053738A"/>
    <w:rsid w:val="00537832"/>
    <w:rsid w:val="00537BDC"/>
    <w:rsid w:val="005411EB"/>
    <w:rsid w:val="005511B9"/>
    <w:rsid w:val="00551851"/>
    <w:rsid w:val="00554C9E"/>
    <w:rsid w:val="00570B15"/>
    <w:rsid w:val="00572D7E"/>
    <w:rsid w:val="0058652F"/>
    <w:rsid w:val="005956D3"/>
    <w:rsid w:val="005A6FA2"/>
    <w:rsid w:val="005A7004"/>
    <w:rsid w:val="005B1A56"/>
    <w:rsid w:val="005B7B04"/>
    <w:rsid w:val="005C6BC6"/>
    <w:rsid w:val="005C6F00"/>
    <w:rsid w:val="005D2481"/>
    <w:rsid w:val="005E0AC9"/>
    <w:rsid w:val="005E1002"/>
    <w:rsid w:val="005F747C"/>
    <w:rsid w:val="00606E58"/>
    <w:rsid w:val="006077A4"/>
    <w:rsid w:val="006129F6"/>
    <w:rsid w:val="00612F8E"/>
    <w:rsid w:val="00625CA2"/>
    <w:rsid w:val="0062647D"/>
    <w:rsid w:val="00626FE2"/>
    <w:rsid w:val="00655EBC"/>
    <w:rsid w:val="00657E70"/>
    <w:rsid w:val="00661CCE"/>
    <w:rsid w:val="006663F7"/>
    <w:rsid w:val="00670B95"/>
    <w:rsid w:val="00673CC8"/>
    <w:rsid w:val="006800E4"/>
    <w:rsid w:val="00683DD7"/>
    <w:rsid w:val="0069281B"/>
    <w:rsid w:val="006B44D8"/>
    <w:rsid w:val="006B74BE"/>
    <w:rsid w:val="006C6212"/>
    <w:rsid w:val="006D2326"/>
    <w:rsid w:val="006E3B11"/>
    <w:rsid w:val="006E6CE5"/>
    <w:rsid w:val="006F5072"/>
    <w:rsid w:val="006F5D7B"/>
    <w:rsid w:val="007101C2"/>
    <w:rsid w:val="00711624"/>
    <w:rsid w:val="00715101"/>
    <w:rsid w:val="00717400"/>
    <w:rsid w:val="00722135"/>
    <w:rsid w:val="00722302"/>
    <w:rsid w:val="0073084B"/>
    <w:rsid w:val="00730CD9"/>
    <w:rsid w:val="00741A4E"/>
    <w:rsid w:val="00747202"/>
    <w:rsid w:val="00763E68"/>
    <w:rsid w:val="007704A9"/>
    <w:rsid w:val="00773B02"/>
    <w:rsid w:val="007742F4"/>
    <w:rsid w:val="007840DB"/>
    <w:rsid w:val="00792A43"/>
    <w:rsid w:val="00795E3E"/>
    <w:rsid w:val="007A3C31"/>
    <w:rsid w:val="007B0CDC"/>
    <w:rsid w:val="007B4324"/>
    <w:rsid w:val="007B6FFE"/>
    <w:rsid w:val="007C2028"/>
    <w:rsid w:val="00801BEB"/>
    <w:rsid w:val="008117B1"/>
    <w:rsid w:val="00830523"/>
    <w:rsid w:val="00845C4B"/>
    <w:rsid w:val="00855E1C"/>
    <w:rsid w:val="00855E45"/>
    <w:rsid w:val="008620CF"/>
    <w:rsid w:val="00866C93"/>
    <w:rsid w:val="00871AB1"/>
    <w:rsid w:val="0087338F"/>
    <w:rsid w:val="00876408"/>
    <w:rsid w:val="0087741B"/>
    <w:rsid w:val="008776A2"/>
    <w:rsid w:val="008829CB"/>
    <w:rsid w:val="00885847"/>
    <w:rsid w:val="00895897"/>
    <w:rsid w:val="00896BAB"/>
    <w:rsid w:val="008A2361"/>
    <w:rsid w:val="008A24B3"/>
    <w:rsid w:val="008A79B2"/>
    <w:rsid w:val="008B0B86"/>
    <w:rsid w:val="008B2C76"/>
    <w:rsid w:val="008C74AC"/>
    <w:rsid w:val="008C774A"/>
    <w:rsid w:val="008C77A8"/>
    <w:rsid w:val="008D13EC"/>
    <w:rsid w:val="008D15C1"/>
    <w:rsid w:val="008D5011"/>
    <w:rsid w:val="008E0614"/>
    <w:rsid w:val="008E3C14"/>
    <w:rsid w:val="008F0F86"/>
    <w:rsid w:val="008F35D6"/>
    <w:rsid w:val="008F61F7"/>
    <w:rsid w:val="0090734C"/>
    <w:rsid w:val="00911824"/>
    <w:rsid w:val="00917F69"/>
    <w:rsid w:val="00920E5A"/>
    <w:rsid w:val="0092354B"/>
    <w:rsid w:val="009261B7"/>
    <w:rsid w:val="00933FCA"/>
    <w:rsid w:val="00941C8C"/>
    <w:rsid w:val="00945AD5"/>
    <w:rsid w:val="00946CB8"/>
    <w:rsid w:val="00961DCF"/>
    <w:rsid w:val="00963384"/>
    <w:rsid w:val="00967B6F"/>
    <w:rsid w:val="00970FB6"/>
    <w:rsid w:val="00973CA6"/>
    <w:rsid w:val="00973D2C"/>
    <w:rsid w:val="00974CB3"/>
    <w:rsid w:val="00977EE5"/>
    <w:rsid w:val="009832BC"/>
    <w:rsid w:val="009858BD"/>
    <w:rsid w:val="009858D4"/>
    <w:rsid w:val="009923DE"/>
    <w:rsid w:val="009926E9"/>
    <w:rsid w:val="009A7630"/>
    <w:rsid w:val="009B3801"/>
    <w:rsid w:val="009B4FCB"/>
    <w:rsid w:val="009B69EA"/>
    <w:rsid w:val="009D09FD"/>
    <w:rsid w:val="009D1730"/>
    <w:rsid w:val="009D6DD1"/>
    <w:rsid w:val="009D7188"/>
    <w:rsid w:val="009E04F9"/>
    <w:rsid w:val="009E5F7D"/>
    <w:rsid w:val="009E663C"/>
    <w:rsid w:val="009F4FAA"/>
    <w:rsid w:val="009F4FAB"/>
    <w:rsid w:val="00A03A00"/>
    <w:rsid w:val="00A07043"/>
    <w:rsid w:val="00A14E2A"/>
    <w:rsid w:val="00A16A57"/>
    <w:rsid w:val="00A178A1"/>
    <w:rsid w:val="00A2154E"/>
    <w:rsid w:val="00A22870"/>
    <w:rsid w:val="00A27109"/>
    <w:rsid w:val="00A30191"/>
    <w:rsid w:val="00A33AFE"/>
    <w:rsid w:val="00A42399"/>
    <w:rsid w:val="00A5042B"/>
    <w:rsid w:val="00A53ADC"/>
    <w:rsid w:val="00A5431E"/>
    <w:rsid w:val="00A5674E"/>
    <w:rsid w:val="00A56E01"/>
    <w:rsid w:val="00A629E5"/>
    <w:rsid w:val="00A741D5"/>
    <w:rsid w:val="00A75594"/>
    <w:rsid w:val="00A9344B"/>
    <w:rsid w:val="00A9691C"/>
    <w:rsid w:val="00A96F34"/>
    <w:rsid w:val="00AB6000"/>
    <w:rsid w:val="00AC1386"/>
    <w:rsid w:val="00AC1C18"/>
    <w:rsid w:val="00AC3BF4"/>
    <w:rsid w:val="00AC5578"/>
    <w:rsid w:val="00AC6134"/>
    <w:rsid w:val="00AD0223"/>
    <w:rsid w:val="00AE3942"/>
    <w:rsid w:val="00AE516F"/>
    <w:rsid w:val="00AE5E4B"/>
    <w:rsid w:val="00AE68C5"/>
    <w:rsid w:val="00AF0EF5"/>
    <w:rsid w:val="00AF2C63"/>
    <w:rsid w:val="00AF4449"/>
    <w:rsid w:val="00B11E19"/>
    <w:rsid w:val="00B216E5"/>
    <w:rsid w:val="00B229CF"/>
    <w:rsid w:val="00B22A9B"/>
    <w:rsid w:val="00B26104"/>
    <w:rsid w:val="00B26560"/>
    <w:rsid w:val="00B50C32"/>
    <w:rsid w:val="00B57BD9"/>
    <w:rsid w:val="00B6739E"/>
    <w:rsid w:val="00B7371D"/>
    <w:rsid w:val="00B74599"/>
    <w:rsid w:val="00B760E3"/>
    <w:rsid w:val="00B82085"/>
    <w:rsid w:val="00B851B8"/>
    <w:rsid w:val="00BA15E5"/>
    <w:rsid w:val="00BA3981"/>
    <w:rsid w:val="00BA63B4"/>
    <w:rsid w:val="00BA6DF9"/>
    <w:rsid w:val="00BB1E67"/>
    <w:rsid w:val="00BB363A"/>
    <w:rsid w:val="00BB368D"/>
    <w:rsid w:val="00BC385B"/>
    <w:rsid w:val="00BE2D54"/>
    <w:rsid w:val="00BF0EAE"/>
    <w:rsid w:val="00BF12F5"/>
    <w:rsid w:val="00C00E74"/>
    <w:rsid w:val="00C01188"/>
    <w:rsid w:val="00C0250B"/>
    <w:rsid w:val="00C034AD"/>
    <w:rsid w:val="00C04968"/>
    <w:rsid w:val="00C05F4B"/>
    <w:rsid w:val="00C12923"/>
    <w:rsid w:val="00C12937"/>
    <w:rsid w:val="00C15561"/>
    <w:rsid w:val="00C16EF1"/>
    <w:rsid w:val="00C26C36"/>
    <w:rsid w:val="00C40879"/>
    <w:rsid w:val="00C44CE9"/>
    <w:rsid w:val="00C51BEB"/>
    <w:rsid w:val="00C653DF"/>
    <w:rsid w:val="00C706C7"/>
    <w:rsid w:val="00C70CE0"/>
    <w:rsid w:val="00C721E0"/>
    <w:rsid w:val="00C74B11"/>
    <w:rsid w:val="00C74EFF"/>
    <w:rsid w:val="00C77434"/>
    <w:rsid w:val="00C85E51"/>
    <w:rsid w:val="00C862D1"/>
    <w:rsid w:val="00C91C60"/>
    <w:rsid w:val="00C921CA"/>
    <w:rsid w:val="00C97541"/>
    <w:rsid w:val="00CA2689"/>
    <w:rsid w:val="00CA6484"/>
    <w:rsid w:val="00CB0103"/>
    <w:rsid w:val="00CC0E21"/>
    <w:rsid w:val="00CC0F28"/>
    <w:rsid w:val="00CC0FDF"/>
    <w:rsid w:val="00CC2027"/>
    <w:rsid w:val="00CD4D3A"/>
    <w:rsid w:val="00CD76D5"/>
    <w:rsid w:val="00CD7816"/>
    <w:rsid w:val="00CF661E"/>
    <w:rsid w:val="00CF686B"/>
    <w:rsid w:val="00D018E3"/>
    <w:rsid w:val="00D022DC"/>
    <w:rsid w:val="00D057B6"/>
    <w:rsid w:val="00D060B5"/>
    <w:rsid w:val="00D1624F"/>
    <w:rsid w:val="00D177FB"/>
    <w:rsid w:val="00D25757"/>
    <w:rsid w:val="00D26AA6"/>
    <w:rsid w:val="00D369E9"/>
    <w:rsid w:val="00D41559"/>
    <w:rsid w:val="00D45C7A"/>
    <w:rsid w:val="00D51980"/>
    <w:rsid w:val="00D60086"/>
    <w:rsid w:val="00D605A9"/>
    <w:rsid w:val="00D711C9"/>
    <w:rsid w:val="00D745A3"/>
    <w:rsid w:val="00D82515"/>
    <w:rsid w:val="00D91D29"/>
    <w:rsid w:val="00DA221B"/>
    <w:rsid w:val="00DA3E04"/>
    <w:rsid w:val="00DA5FA2"/>
    <w:rsid w:val="00DB42CE"/>
    <w:rsid w:val="00DB52E0"/>
    <w:rsid w:val="00DB615D"/>
    <w:rsid w:val="00DC5A3B"/>
    <w:rsid w:val="00DC5D58"/>
    <w:rsid w:val="00DD26E6"/>
    <w:rsid w:val="00DD32A3"/>
    <w:rsid w:val="00DD64EE"/>
    <w:rsid w:val="00DD71A7"/>
    <w:rsid w:val="00DE68E8"/>
    <w:rsid w:val="00DE7010"/>
    <w:rsid w:val="00DF7EB5"/>
    <w:rsid w:val="00E01288"/>
    <w:rsid w:val="00E01B15"/>
    <w:rsid w:val="00E0652D"/>
    <w:rsid w:val="00E06E08"/>
    <w:rsid w:val="00E07557"/>
    <w:rsid w:val="00E07B59"/>
    <w:rsid w:val="00E10563"/>
    <w:rsid w:val="00E244B7"/>
    <w:rsid w:val="00E24F71"/>
    <w:rsid w:val="00E30665"/>
    <w:rsid w:val="00E3240E"/>
    <w:rsid w:val="00E41C51"/>
    <w:rsid w:val="00E448BD"/>
    <w:rsid w:val="00E451F9"/>
    <w:rsid w:val="00E47DF3"/>
    <w:rsid w:val="00E56F83"/>
    <w:rsid w:val="00E66ADC"/>
    <w:rsid w:val="00E67C0D"/>
    <w:rsid w:val="00E765D4"/>
    <w:rsid w:val="00E77DE9"/>
    <w:rsid w:val="00E81CF2"/>
    <w:rsid w:val="00E82085"/>
    <w:rsid w:val="00E911EB"/>
    <w:rsid w:val="00E9754D"/>
    <w:rsid w:val="00EA10ED"/>
    <w:rsid w:val="00EB1886"/>
    <w:rsid w:val="00EB3B89"/>
    <w:rsid w:val="00EB47A7"/>
    <w:rsid w:val="00EB6755"/>
    <w:rsid w:val="00EC5295"/>
    <w:rsid w:val="00EE0A88"/>
    <w:rsid w:val="00EE58DC"/>
    <w:rsid w:val="00EF201C"/>
    <w:rsid w:val="00EF615B"/>
    <w:rsid w:val="00EF6B19"/>
    <w:rsid w:val="00F0139A"/>
    <w:rsid w:val="00F10394"/>
    <w:rsid w:val="00F13ECA"/>
    <w:rsid w:val="00F14DC0"/>
    <w:rsid w:val="00F1583C"/>
    <w:rsid w:val="00F25FCB"/>
    <w:rsid w:val="00F335AD"/>
    <w:rsid w:val="00F335FC"/>
    <w:rsid w:val="00F33EC6"/>
    <w:rsid w:val="00F40EC4"/>
    <w:rsid w:val="00F47388"/>
    <w:rsid w:val="00F545FB"/>
    <w:rsid w:val="00F5481C"/>
    <w:rsid w:val="00F63597"/>
    <w:rsid w:val="00F65AEE"/>
    <w:rsid w:val="00F75827"/>
    <w:rsid w:val="00F8014E"/>
    <w:rsid w:val="00F837BF"/>
    <w:rsid w:val="00F858F7"/>
    <w:rsid w:val="00F950BC"/>
    <w:rsid w:val="00FA7362"/>
    <w:rsid w:val="00FB3B96"/>
    <w:rsid w:val="00FB410E"/>
    <w:rsid w:val="00FB6AA7"/>
    <w:rsid w:val="00FC0EF4"/>
    <w:rsid w:val="00FC2523"/>
    <w:rsid w:val="00FC386C"/>
    <w:rsid w:val="00FC4044"/>
    <w:rsid w:val="00FC4CC8"/>
    <w:rsid w:val="00FC532B"/>
    <w:rsid w:val="00FD70EB"/>
    <w:rsid w:val="00FD745C"/>
    <w:rsid w:val="00FD7D4A"/>
    <w:rsid w:val="00FE32B6"/>
    <w:rsid w:val="00FE370C"/>
    <w:rsid w:val="00FE484D"/>
    <w:rsid w:val="00FE66AF"/>
    <w:rsid w:val="00FF3EAB"/>
    <w:rsid w:val="00FF5B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4D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4E"/>
    <w:pPr>
      <w:suppressAutoHyphens/>
    </w:pPr>
    <w:rPr>
      <w:color w:val="000000"/>
      <w:kern w:val="1"/>
      <w:sz w:val="24"/>
      <w:szCs w:val="24"/>
      <w:lang w:val="en-GB" w:eastAsia="ar-SA"/>
    </w:rPr>
  </w:style>
  <w:style w:type="paragraph" w:styleId="Heading1">
    <w:name w:val="heading 1"/>
    <w:basedOn w:val="Normal"/>
    <w:next w:val="BodyText"/>
    <w:qFormat/>
    <w:rsid w:val="00A5674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A5674E"/>
    <w:rPr>
      <w:rFonts w:ascii="Cambria" w:eastAsia="Times New Roman" w:hAnsi="Cambria" w:cs="Times New Roman"/>
      <w:b/>
      <w:bCs/>
      <w:color w:val="365F91"/>
      <w:sz w:val="28"/>
      <w:szCs w:val="28"/>
      <w:lang w:val="en-US"/>
    </w:rPr>
  </w:style>
  <w:style w:type="character" w:styleId="Emphasis">
    <w:name w:val="Emphasis"/>
    <w:qFormat/>
    <w:rsid w:val="00A5674E"/>
    <w:rPr>
      <w:i/>
      <w:iCs/>
    </w:rPr>
  </w:style>
  <w:style w:type="character" w:customStyle="1" w:styleId="googqs-tidbit1">
    <w:name w:val="goog_qs-tidbit1"/>
    <w:rsid w:val="00A5674E"/>
    <w:rPr>
      <w:vanish w:val="0"/>
    </w:rPr>
  </w:style>
  <w:style w:type="character" w:styleId="SubtleEmphasis">
    <w:name w:val="Subtle Emphasis"/>
    <w:qFormat/>
    <w:rsid w:val="00A5674E"/>
    <w:rPr>
      <w:i/>
      <w:iCs/>
    </w:rPr>
  </w:style>
  <w:style w:type="character" w:customStyle="1" w:styleId="FootnoteTextChar">
    <w:name w:val="Footnote Text Char"/>
    <w:link w:val="FootnoteText"/>
    <w:rsid w:val="00A5674E"/>
    <w:rPr>
      <w:rFonts w:ascii="Times New Roman" w:eastAsia="Times New Roman" w:hAnsi="Times New Roman"/>
    </w:rPr>
  </w:style>
  <w:style w:type="character" w:customStyle="1" w:styleId="FootnoteReference1">
    <w:name w:val="Footnote Reference1"/>
    <w:rsid w:val="00A5674E"/>
    <w:rPr>
      <w:vertAlign w:val="superscript"/>
    </w:rPr>
  </w:style>
  <w:style w:type="character" w:customStyle="1" w:styleId="SubtitleChar">
    <w:name w:val="Subtitle Char"/>
    <w:rsid w:val="00A5674E"/>
    <w:rPr>
      <w:rFonts w:ascii="Cambria" w:eastAsia="MS Gothic" w:hAnsi="Cambria"/>
      <w:i/>
      <w:iCs/>
      <w:color w:val="4F81BD"/>
      <w:spacing w:val="15"/>
      <w:sz w:val="24"/>
      <w:szCs w:val="24"/>
    </w:rPr>
  </w:style>
  <w:style w:type="character" w:styleId="Hyperlink">
    <w:name w:val="Hyperlink"/>
    <w:uiPriority w:val="99"/>
    <w:rsid w:val="00A5674E"/>
    <w:rPr>
      <w:color w:val="0000FF"/>
      <w:u w:val="single"/>
    </w:rPr>
  </w:style>
  <w:style w:type="character" w:customStyle="1" w:styleId="BalloonTextChar">
    <w:name w:val="Balloon Text Char"/>
    <w:rsid w:val="00A5674E"/>
    <w:rPr>
      <w:rFonts w:ascii="Tahoma" w:eastAsia="Times New Roman" w:hAnsi="Tahoma" w:cs="Tahoma"/>
      <w:sz w:val="16"/>
      <w:szCs w:val="16"/>
      <w:lang w:val="en-US"/>
    </w:rPr>
  </w:style>
  <w:style w:type="character" w:customStyle="1" w:styleId="FooterChar">
    <w:name w:val="Footer Char"/>
    <w:uiPriority w:val="99"/>
    <w:rsid w:val="00A5674E"/>
    <w:rPr>
      <w:rFonts w:ascii="Times New Roman" w:eastAsia="Times New Roman" w:hAnsi="Times New Roman"/>
      <w:sz w:val="24"/>
      <w:szCs w:val="24"/>
    </w:rPr>
  </w:style>
  <w:style w:type="character" w:customStyle="1" w:styleId="EndnoteTextChar">
    <w:name w:val="Endnote Text Char"/>
    <w:rsid w:val="00A5674E"/>
    <w:rPr>
      <w:rFonts w:ascii="Times New Roman" w:eastAsia="Times New Roman" w:hAnsi="Times New Roman"/>
      <w:lang w:val="en-US"/>
    </w:rPr>
  </w:style>
  <w:style w:type="character" w:customStyle="1" w:styleId="EndnoteReference1">
    <w:name w:val="Endnote Reference1"/>
    <w:rsid w:val="00A5674E"/>
    <w:rPr>
      <w:vertAlign w:val="superscript"/>
    </w:rPr>
  </w:style>
  <w:style w:type="character" w:customStyle="1" w:styleId="HeaderChar">
    <w:name w:val="Header Char"/>
    <w:rsid w:val="00A5674E"/>
    <w:rPr>
      <w:rFonts w:ascii="Times New Roman" w:eastAsia="Times New Roman" w:hAnsi="Times New Roman"/>
      <w:sz w:val="24"/>
      <w:szCs w:val="24"/>
    </w:rPr>
  </w:style>
  <w:style w:type="character" w:customStyle="1" w:styleId="CommentReference1">
    <w:name w:val="Comment Reference1"/>
    <w:rsid w:val="00A5674E"/>
    <w:rPr>
      <w:sz w:val="16"/>
      <w:szCs w:val="16"/>
    </w:rPr>
  </w:style>
  <w:style w:type="character" w:customStyle="1" w:styleId="CommentTextChar">
    <w:name w:val="Comment Text Char"/>
    <w:uiPriority w:val="99"/>
    <w:rsid w:val="00A5674E"/>
    <w:rPr>
      <w:rFonts w:ascii="Times New Roman" w:eastAsia="Times New Roman" w:hAnsi="Times New Roman"/>
      <w:lang w:val="en-US"/>
    </w:rPr>
  </w:style>
  <w:style w:type="character" w:customStyle="1" w:styleId="CommentSubjectChar">
    <w:name w:val="Comment Subject Char"/>
    <w:rsid w:val="00A5674E"/>
    <w:rPr>
      <w:rFonts w:ascii="Times New Roman" w:eastAsia="Times New Roman" w:hAnsi="Times New Roman"/>
      <w:b/>
      <w:bCs/>
      <w:lang w:val="en-US"/>
    </w:rPr>
  </w:style>
  <w:style w:type="character" w:styleId="FollowedHyperlink">
    <w:name w:val="FollowedHyperlink"/>
    <w:rsid w:val="00A5674E"/>
    <w:rPr>
      <w:color w:val="800080"/>
      <w:u w:val="single"/>
    </w:rPr>
  </w:style>
  <w:style w:type="character" w:customStyle="1" w:styleId="ListLabel1">
    <w:name w:val="ListLabel 1"/>
    <w:rsid w:val="00A5674E"/>
    <w:rPr>
      <w:sz w:val="24"/>
    </w:rPr>
  </w:style>
  <w:style w:type="character" w:customStyle="1" w:styleId="ListLabel2">
    <w:name w:val="ListLabel 2"/>
    <w:rsid w:val="00A5674E"/>
    <w:rPr>
      <w:rFonts w:cs="Courier New"/>
    </w:rPr>
  </w:style>
  <w:style w:type="character" w:customStyle="1" w:styleId="ListLabel3">
    <w:name w:val="ListLabel 3"/>
    <w:rsid w:val="00A5674E"/>
    <w:rPr>
      <w:color w:val="000000"/>
    </w:rPr>
  </w:style>
  <w:style w:type="character" w:customStyle="1" w:styleId="EndnoteCharacters">
    <w:name w:val="Endnote Characters"/>
    <w:rsid w:val="00A5674E"/>
  </w:style>
  <w:style w:type="paragraph" w:customStyle="1" w:styleId="Heading">
    <w:name w:val="Heading"/>
    <w:basedOn w:val="Normal"/>
    <w:next w:val="BodyText"/>
    <w:rsid w:val="00A5674E"/>
    <w:pPr>
      <w:keepNext/>
      <w:spacing w:before="240" w:after="120"/>
    </w:pPr>
    <w:rPr>
      <w:rFonts w:ascii="Arial" w:eastAsia="Microsoft YaHei" w:hAnsi="Arial" w:cs="Mangal"/>
      <w:sz w:val="28"/>
      <w:szCs w:val="28"/>
    </w:rPr>
  </w:style>
  <w:style w:type="paragraph" w:styleId="BodyText">
    <w:name w:val="Body Text"/>
    <w:basedOn w:val="Normal"/>
    <w:rsid w:val="00A5674E"/>
    <w:pPr>
      <w:spacing w:after="120"/>
    </w:pPr>
  </w:style>
  <w:style w:type="paragraph" w:styleId="List">
    <w:name w:val="List"/>
    <w:basedOn w:val="BodyText"/>
    <w:rsid w:val="00A5674E"/>
    <w:rPr>
      <w:rFonts w:cs="Mangal"/>
    </w:rPr>
  </w:style>
  <w:style w:type="paragraph" w:styleId="Caption">
    <w:name w:val="caption"/>
    <w:basedOn w:val="Normal"/>
    <w:uiPriority w:val="35"/>
    <w:qFormat/>
    <w:rsid w:val="00A5674E"/>
    <w:pPr>
      <w:suppressLineNumbers/>
      <w:spacing w:before="120" w:after="120"/>
    </w:pPr>
    <w:rPr>
      <w:rFonts w:cs="Mangal"/>
      <w:i/>
      <w:iCs/>
    </w:rPr>
  </w:style>
  <w:style w:type="paragraph" w:customStyle="1" w:styleId="Index">
    <w:name w:val="Index"/>
    <w:basedOn w:val="Normal"/>
    <w:rsid w:val="00A5674E"/>
    <w:pPr>
      <w:suppressLineNumbers/>
    </w:pPr>
    <w:rPr>
      <w:rFonts w:cs="Mangal"/>
    </w:rPr>
  </w:style>
  <w:style w:type="paragraph" w:styleId="ListParagraph">
    <w:name w:val="List Paragraph"/>
    <w:basedOn w:val="Normal"/>
    <w:uiPriority w:val="34"/>
    <w:qFormat/>
    <w:rsid w:val="00A5674E"/>
    <w:pPr>
      <w:ind w:left="720"/>
      <w:jc w:val="both"/>
    </w:pPr>
    <w:rPr>
      <w:szCs w:val="20"/>
    </w:rPr>
  </w:style>
  <w:style w:type="paragraph" w:customStyle="1" w:styleId="fillinindent">
    <w:name w:val="fillin indent"/>
    <w:basedOn w:val="Normal"/>
    <w:rsid w:val="00A5674E"/>
    <w:pPr>
      <w:spacing w:before="40" w:line="240" w:lineRule="exact"/>
      <w:ind w:left="360"/>
    </w:pPr>
    <w:rPr>
      <w:sz w:val="20"/>
      <w:szCs w:val="20"/>
    </w:rPr>
  </w:style>
  <w:style w:type="paragraph" w:customStyle="1" w:styleId="Caption1">
    <w:name w:val="Caption1"/>
    <w:basedOn w:val="Normal"/>
    <w:rsid w:val="00A5674E"/>
    <w:pPr>
      <w:spacing w:after="200"/>
    </w:pPr>
    <w:rPr>
      <w:b/>
      <w:bCs/>
      <w:color w:val="4F81BD"/>
      <w:sz w:val="18"/>
      <w:szCs w:val="18"/>
    </w:rPr>
  </w:style>
  <w:style w:type="paragraph" w:customStyle="1" w:styleId="FootnoteText1">
    <w:name w:val="Footnote Text1"/>
    <w:basedOn w:val="Normal"/>
    <w:rsid w:val="00A5674E"/>
    <w:rPr>
      <w:sz w:val="20"/>
      <w:szCs w:val="20"/>
    </w:rPr>
  </w:style>
  <w:style w:type="paragraph" w:styleId="Subtitle">
    <w:name w:val="Subtitle"/>
    <w:basedOn w:val="Normal"/>
    <w:next w:val="BodyText"/>
    <w:qFormat/>
    <w:rsid w:val="00A5674E"/>
    <w:rPr>
      <w:rFonts w:ascii="Cambria" w:eastAsia="MS Gothic" w:hAnsi="Cambria"/>
      <w:i/>
      <w:iCs/>
      <w:color w:val="4F81BD"/>
      <w:spacing w:val="15"/>
      <w:sz w:val="28"/>
      <w:szCs w:val="28"/>
    </w:rPr>
  </w:style>
  <w:style w:type="paragraph" w:styleId="NormalWeb">
    <w:name w:val="Normal (Web)"/>
    <w:basedOn w:val="Normal"/>
    <w:rsid w:val="00A5674E"/>
    <w:pPr>
      <w:spacing w:before="120" w:after="168"/>
    </w:pPr>
  </w:style>
  <w:style w:type="paragraph" w:styleId="BalloonText">
    <w:name w:val="Balloon Text"/>
    <w:basedOn w:val="Normal"/>
    <w:rsid w:val="00A5674E"/>
    <w:rPr>
      <w:rFonts w:ascii="Tahoma" w:hAnsi="Tahoma" w:cs="Tahoma"/>
      <w:sz w:val="16"/>
      <w:szCs w:val="16"/>
      <w:lang w:val="en-US"/>
    </w:rPr>
  </w:style>
  <w:style w:type="paragraph" w:styleId="Footer">
    <w:name w:val="footer"/>
    <w:basedOn w:val="Normal"/>
    <w:uiPriority w:val="99"/>
    <w:rsid w:val="00A5674E"/>
    <w:pPr>
      <w:suppressLineNumbers/>
      <w:tabs>
        <w:tab w:val="center" w:pos="4513"/>
        <w:tab w:val="right" w:pos="9026"/>
      </w:tabs>
    </w:pPr>
  </w:style>
  <w:style w:type="paragraph" w:customStyle="1" w:styleId="EndnoteText1">
    <w:name w:val="Endnote Text1"/>
    <w:basedOn w:val="Normal"/>
    <w:rsid w:val="00A5674E"/>
    <w:rPr>
      <w:sz w:val="20"/>
      <w:szCs w:val="20"/>
    </w:rPr>
  </w:style>
  <w:style w:type="paragraph" w:styleId="Header">
    <w:name w:val="header"/>
    <w:basedOn w:val="Normal"/>
    <w:rsid w:val="00A5674E"/>
    <w:pPr>
      <w:suppressLineNumbers/>
      <w:tabs>
        <w:tab w:val="center" w:pos="4680"/>
        <w:tab w:val="right" w:pos="9360"/>
      </w:tabs>
    </w:pPr>
  </w:style>
  <w:style w:type="paragraph" w:customStyle="1" w:styleId="CommentText1">
    <w:name w:val="Comment Text1"/>
    <w:basedOn w:val="Normal"/>
    <w:rsid w:val="00A5674E"/>
    <w:rPr>
      <w:sz w:val="20"/>
      <w:szCs w:val="20"/>
      <w:lang w:val="en-US"/>
    </w:rPr>
  </w:style>
  <w:style w:type="paragraph" w:customStyle="1" w:styleId="CommentSubject1">
    <w:name w:val="Comment Subject1"/>
    <w:basedOn w:val="CommentText1"/>
    <w:rsid w:val="00A5674E"/>
    <w:rPr>
      <w:b/>
      <w:bCs/>
    </w:rPr>
  </w:style>
  <w:style w:type="paragraph" w:styleId="NoSpacing">
    <w:name w:val="No Spacing"/>
    <w:qFormat/>
    <w:rsid w:val="00A5674E"/>
    <w:pPr>
      <w:suppressAutoHyphens/>
    </w:pPr>
    <w:rPr>
      <w:kern w:val="1"/>
      <w:sz w:val="24"/>
      <w:szCs w:val="24"/>
      <w:lang w:eastAsia="ar-SA"/>
    </w:rPr>
  </w:style>
  <w:style w:type="paragraph" w:styleId="Revision">
    <w:name w:val="Revision"/>
    <w:hidden/>
    <w:uiPriority w:val="99"/>
    <w:semiHidden/>
    <w:rsid w:val="008D13EC"/>
    <w:rPr>
      <w:color w:val="000000"/>
      <w:kern w:val="1"/>
      <w:sz w:val="24"/>
      <w:szCs w:val="24"/>
      <w:lang w:val="en-GB" w:eastAsia="ar-SA"/>
    </w:rPr>
  </w:style>
  <w:style w:type="character" w:styleId="CommentReference">
    <w:name w:val="annotation reference"/>
    <w:uiPriority w:val="99"/>
    <w:semiHidden/>
    <w:unhideWhenUsed/>
    <w:rsid w:val="008D13EC"/>
    <w:rPr>
      <w:sz w:val="16"/>
      <w:szCs w:val="16"/>
    </w:rPr>
  </w:style>
  <w:style w:type="paragraph" w:styleId="CommentText">
    <w:name w:val="annotation text"/>
    <w:basedOn w:val="Normal"/>
    <w:link w:val="CommentTextChar1"/>
    <w:uiPriority w:val="99"/>
    <w:semiHidden/>
    <w:unhideWhenUsed/>
    <w:rsid w:val="008D13EC"/>
    <w:rPr>
      <w:sz w:val="20"/>
      <w:szCs w:val="20"/>
    </w:rPr>
  </w:style>
  <w:style w:type="character" w:customStyle="1" w:styleId="CommentTextChar1">
    <w:name w:val="Comment Text Char1"/>
    <w:link w:val="CommentText"/>
    <w:uiPriority w:val="99"/>
    <w:semiHidden/>
    <w:rsid w:val="008D13EC"/>
    <w:rPr>
      <w:color w:val="000000"/>
      <w:kern w:val="1"/>
      <w:lang w:val="en-GB" w:eastAsia="ar-SA"/>
    </w:rPr>
  </w:style>
  <w:style w:type="paragraph" w:styleId="CommentSubject">
    <w:name w:val="annotation subject"/>
    <w:basedOn w:val="CommentText"/>
    <w:next w:val="CommentText"/>
    <w:link w:val="CommentSubjectChar1"/>
    <w:uiPriority w:val="99"/>
    <w:semiHidden/>
    <w:unhideWhenUsed/>
    <w:rsid w:val="008D13EC"/>
    <w:rPr>
      <w:b/>
      <w:bCs/>
    </w:rPr>
  </w:style>
  <w:style w:type="character" w:customStyle="1" w:styleId="CommentSubjectChar1">
    <w:name w:val="Comment Subject Char1"/>
    <w:link w:val="CommentSubject"/>
    <w:uiPriority w:val="99"/>
    <w:semiHidden/>
    <w:rsid w:val="008D13EC"/>
    <w:rPr>
      <w:b/>
      <w:bCs/>
      <w:color w:val="000000"/>
      <w:kern w:val="1"/>
      <w:lang w:val="en-GB" w:eastAsia="ar-SA"/>
    </w:rPr>
  </w:style>
  <w:style w:type="character" w:customStyle="1" w:styleId="apple-converted-space">
    <w:name w:val="apple-converted-space"/>
    <w:basedOn w:val="DefaultParagraphFont"/>
    <w:rsid w:val="008C74AC"/>
  </w:style>
  <w:style w:type="paragraph" w:styleId="FootnoteText">
    <w:name w:val="footnote text"/>
    <w:basedOn w:val="Normal"/>
    <w:link w:val="FootnoteTextChar"/>
    <w:rsid w:val="00D91D29"/>
    <w:pPr>
      <w:suppressAutoHyphens w:val="0"/>
    </w:pPr>
    <w:rPr>
      <w:color w:val="auto"/>
      <w:kern w:val="0"/>
      <w:sz w:val="20"/>
      <w:szCs w:val="20"/>
      <w:lang w:val="en-US" w:eastAsia="ja-JP"/>
    </w:rPr>
  </w:style>
  <w:style w:type="character" w:customStyle="1" w:styleId="FootnoteTextChar1">
    <w:name w:val="Footnote Text Char1"/>
    <w:basedOn w:val="DefaultParagraphFont"/>
    <w:uiPriority w:val="99"/>
    <w:semiHidden/>
    <w:rsid w:val="00D91D29"/>
    <w:rPr>
      <w:color w:val="000000"/>
      <w:kern w:val="1"/>
      <w:lang w:val="en-GB" w:eastAsia="ar-SA"/>
    </w:rPr>
  </w:style>
  <w:style w:type="character" w:styleId="FootnoteReference">
    <w:name w:val="footnote reference"/>
    <w:basedOn w:val="DefaultParagraphFont"/>
    <w:rsid w:val="00D91D29"/>
    <w:rPr>
      <w:vertAlign w:val="superscript"/>
    </w:rPr>
  </w:style>
  <w:style w:type="table" w:customStyle="1" w:styleId="LightList-Accent13">
    <w:name w:val="Light List - Accent 13"/>
    <w:basedOn w:val="TableNormal"/>
    <w:uiPriority w:val="61"/>
    <w:rsid w:val="00D91D29"/>
    <w:rPr>
      <w:rFonts w:asciiTheme="minorHAnsi" w:eastAsiaTheme="minorEastAsia" w:hAnsiTheme="minorHAnsi" w:cstheme="minorBidi"/>
      <w:sz w:val="22"/>
      <w:szCs w:val="22"/>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A5">
    <w:name w:val="A5"/>
    <w:uiPriority w:val="99"/>
    <w:rsid w:val="0069281B"/>
    <w:rPr>
      <w:rFonts w:cs="Frutiger 45 Light"/>
      <w:color w:val="000000"/>
      <w:sz w:val="28"/>
      <w:szCs w:val="28"/>
    </w:rPr>
  </w:style>
  <w:style w:type="paragraph" w:styleId="EndnoteText">
    <w:name w:val="endnote text"/>
    <w:basedOn w:val="Normal"/>
    <w:link w:val="EndnoteTextChar1"/>
    <w:uiPriority w:val="99"/>
    <w:semiHidden/>
    <w:unhideWhenUsed/>
    <w:rsid w:val="00D369E9"/>
    <w:rPr>
      <w:sz w:val="20"/>
      <w:szCs w:val="20"/>
    </w:rPr>
  </w:style>
  <w:style w:type="character" w:customStyle="1" w:styleId="EndnoteTextChar1">
    <w:name w:val="Endnote Text Char1"/>
    <w:basedOn w:val="DefaultParagraphFont"/>
    <w:link w:val="EndnoteText"/>
    <w:uiPriority w:val="99"/>
    <w:semiHidden/>
    <w:rsid w:val="00D369E9"/>
    <w:rPr>
      <w:color w:val="000000"/>
      <w:kern w:val="1"/>
      <w:lang w:val="en-GB" w:eastAsia="ar-SA"/>
    </w:rPr>
  </w:style>
  <w:style w:type="character" w:styleId="EndnoteReference">
    <w:name w:val="endnote reference"/>
    <w:basedOn w:val="DefaultParagraphFont"/>
    <w:uiPriority w:val="99"/>
    <w:semiHidden/>
    <w:unhideWhenUsed/>
    <w:rsid w:val="00D369E9"/>
    <w:rPr>
      <w:vertAlign w:val="superscript"/>
    </w:rPr>
  </w:style>
  <w:style w:type="character" w:styleId="HTMLCite">
    <w:name w:val="HTML Cite"/>
    <w:basedOn w:val="DefaultParagraphFont"/>
    <w:uiPriority w:val="99"/>
    <w:semiHidden/>
    <w:unhideWhenUsed/>
    <w:rsid w:val="00730CD9"/>
    <w:rPr>
      <w:i/>
      <w:iCs/>
    </w:rPr>
  </w:style>
  <w:style w:type="character" w:customStyle="1" w:styleId="cit-pub-date">
    <w:name w:val="cit-pub-date"/>
    <w:basedOn w:val="DefaultParagraphFont"/>
    <w:rsid w:val="00730CD9"/>
  </w:style>
  <w:style w:type="character" w:customStyle="1" w:styleId="cit-source">
    <w:name w:val="cit-source"/>
    <w:basedOn w:val="DefaultParagraphFont"/>
    <w:rsid w:val="00730CD9"/>
  </w:style>
  <w:style w:type="character" w:customStyle="1" w:styleId="cit-vol5">
    <w:name w:val="cit-vol5"/>
    <w:basedOn w:val="DefaultParagraphFont"/>
    <w:rsid w:val="00730CD9"/>
  </w:style>
  <w:style w:type="character" w:customStyle="1" w:styleId="cit-fpage">
    <w:name w:val="cit-fpage"/>
    <w:basedOn w:val="DefaultParagraphFont"/>
    <w:rsid w:val="00730CD9"/>
  </w:style>
  <w:style w:type="character" w:styleId="PlaceholderText">
    <w:name w:val="Placeholder Text"/>
    <w:basedOn w:val="DefaultParagraphFont"/>
    <w:uiPriority w:val="99"/>
    <w:semiHidden/>
    <w:rsid w:val="00FD745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4E"/>
    <w:pPr>
      <w:suppressAutoHyphens/>
    </w:pPr>
    <w:rPr>
      <w:color w:val="000000"/>
      <w:kern w:val="1"/>
      <w:sz w:val="24"/>
      <w:szCs w:val="24"/>
      <w:lang w:val="en-GB" w:eastAsia="ar-SA"/>
    </w:rPr>
  </w:style>
  <w:style w:type="paragraph" w:styleId="Heading1">
    <w:name w:val="heading 1"/>
    <w:basedOn w:val="Normal"/>
    <w:next w:val="BodyText"/>
    <w:qFormat/>
    <w:rsid w:val="00A5674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A5674E"/>
    <w:rPr>
      <w:rFonts w:ascii="Cambria" w:eastAsia="Times New Roman" w:hAnsi="Cambria" w:cs="Times New Roman"/>
      <w:b/>
      <w:bCs/>
      <w:color w:val="365F91"/>
      <w:sz w:val="28"/>
      <w:szCs w:val="28"/>
      <w:lang w:val="en-US"/>
    </w:rPr>
  </w:style>
  <w:style w:type="character" w:styleId="Emphasis">
    <w:name w:val="Emphasis"/>
    <w:qFormat/>
    <w:rsid w:val="00A5674E"/>
    <w:rPr>
      <w:i/>
      <w:iCs/>
    </w:rPr>
  </w:style>
  <w:style w:type="character" w:customStyle="1" w:styleId="googqs-tidbit1">
    <w:name w:val="goog_qs-tidbit1"/>
    <w:rsid w:val="00A5674E"/>
    <w:rPr>
      <w:vanish w:val="0"/>
    </w:rPr>
  </w:style>
  <w:style w:type="character" w:styleId="SubtleEmphasis">
    <w:name w:val="Subtle Emphasis"/>
    <w:qFormat/>
    <w:rsid w:val="00A5674E"/>
    <w:rPr>
      <w:i/>
      <w:iCs/>
    </w:rPr>
  </w:style>
  <w:style w:type="character" w:customStyle="1" w:styleId="FootnoteTextChar">
    <w:name w:val="Footnote Text Char"/>
    <w:link w:val="FootnoteText"/>
    <w:rsid w:val="00A5674E"/>
    <w:rPr>
      <w:rFonts w:ascii="Times New Roman" w:eastAsia="Times New Roman" w:hAnsi="Times New Roman"/>
    </w:rPr>
  </w:style>
  <w:style w:type="character" w:customStyle="1" w:styleId="FootnoteReference1">
    <w:name w:val="Footnote Reference1"/>
    <w:rsid w:val="00A5674E"/>
    <w:rPr>
      <w:vertAlign w:val="superscript"/>
    </w:rPr>
  </w:style>
  <w:style w:type="character" w:customStyle="1" w:styleId="SubtitleChar">
    <w:name w:val="Subtitle Char"/>
    <w:rsid w:val="00A5674E"/>
    <w:rPr>
      <w:rFonts w:ascii="Cambria" w:eastAsia="MS Gothic" w:hAnsi="Cambria"/>
      <w:i/>
      <w:iCs/>
      <w:color w:val="4F81BD"/>
      <w:spacing w:val="15"/>
      <w:sz w:val="24"/>
      <w:szCs w:val="24"/>
    </w:rPr>
  </w:style>
  <w:style w:type="character" w:styleId="Hyperlink">
    <w:name w:val="Hyperlink"/>
    <w:uiPriority w:val="99"/>
    <w:rsid w:val="00A5674E"/>
    <w:rPr>
      <w:color w:val="0000FF"/>
      <w:u w:val="single"/>
    </w:rPr>
  </w:style>
  <w:style w:type="character" w:customStyle="1" w:styleId="BalloonTextChar">
    <w:name w:val="Balloon Text Char"/>
    <w:rsid w:val="00A5674E"/>
    <w:rPr>
      <w:rFonts w:ascii="Tahoma" w:eastAsia="Times New Roman" w:hAnsi="Tahoma" w:cs="Tahoma"/>
      <w:sz w:val="16"/>
      <w:szCs w:val="16"/>
      <w:lang w:val="en-US"/>
    </w:rPr>
  </w:style>
  <w:style w:type="character" w:customStyle="1" w:styleId="FooterChar">
    <w:name w:val="Footer Char"/>
    <w:uiPriority w:val="99"/>
    <w:rsid w:val="00A5674E"/>
    <w:rPr>
      <w:rFonts w:ascii="Times New Roman" w:eastAsia="Times New Roman" w:hAnsi="Times New Roman"/>
      <w:sz w:val="24"/>
      <w:szCs w:val="24"/>
    </w:rPr>
  </w:style>
  <w:style w:type="character" w:customStyle="1" w:styleId="EndnoteTextChar">
    <w:name w:val="Endnote Text Char"/>
    <w:rsid w:val="00A5674E"/>
    <w:rPr>
      <w:rFonts w:ascii="Times New Roman" w:eastAsia="Times New Roman" w:hAnsi="Times New Roman"/>
      <w:lang w:val="en-US"/>
    </w:rPr>
  </w:style>
  <w:style w:type="character" w:customStyle="1" w:styleId="EndnoteReference1">
    <w:name w:val="Endnote Reference1"/>
    <w:rsid w:val="00A5674E"/>
    <w:rPr>
      <w:vertAlign w:val="superscript"/>
    </w:rPr>
  </w:style>
  <w:style w:type="character" w:customStyle="1" w:styleId="HeaderChar">
    <w:name w:val="Header Char"/>
    <w:rsid w:val="00A5674E"/>
    <w:rPr>
      <w:rFonts w:ascii="Times New Roman" w:eastAsia="Times New Roman" w:hAnsi="Times New Roman"/>
      <w:sz w:val="24"/>
      <w:szCs w:val="24"/>
    </w:rPr>
  </w:style>
  <w:style w:type="character" w:customStyle="1" w:styleId="CommentReference1">
    <w:name w:val="Comment Reference1"/>
    <w:rsid w:val="00A5674E"/>
    <w:rPr>
      <w:sz w:val="16"/>
      <w:szCs w:val="16"/>
    </w:rPr>
  </w:style>
  <w:style w:type="character" w:customStyle="1" w:styleId="CommentTextChar">
    <w:name w:val="Comment Text Char"/>
    <w:uiPriority w:val="99"/>
    <w:rsid w:val="00A5674E"/>
    <w:rPr>
      <w:rFonts w:ascii="Times New Roman" w:eastAsia="Times New Roman" w:hAnsi="Times New Roman"/>
      <w:lang w:val="en-US"/>
    </w:rPr>
  </w:style>
  <w:style w:type="character" w:customStyle="1" w:styleId="CommentSubjectChar">
    <w:name w:val="Comment Subject Char"/>
    <w:rsid w:val="00A5674E"/>
    <w:rPr>
      <w:rFonts w:ascii="Times New Roman" w:eastAsia="Times New Roman" w:hAnsi="Times New Roman"/>
      <w:b/>
      <w:bCs/>
      <w:lang w:val="en-US"/>
    </w:rPr>
  </w:style>
  <w:style w:type="character" w:styleId="FollowedHyperlink">
    <w:name w:val="FollowedHyperlink"/>
    <w:rsid w:val="00A5674E"/>
    <w:rPr>
      <w:color w:val="800080"/>
      <w:u w:val="single"/>
    </w:rPr>
  </w:style>
  <w:style w:type="character" w:customStyle="1" w:styleId="ListLabel1">
    <w:name w:val="ListLabel 1"/>
    <w:rsid w:val="00A5674E"/>
    <w:rPr>
      <w:sz w:val="24"/>
    </w:rPr>
  </w:style>
  <w:style w:type="character" w:customStyle="1" w:styleId="ListLabel2">
    <w:name w:val="ListLabel 2"/>
    <w:rsid w:val="00A5674E"/>
    <w:rPr>
      <w:rFonts w:cs="Courier New"/>
    </w:rPr>
  </w:style>
  <w:style w:type="character" w:customStyle="1" w:styleId="ListLabel3">
    <w:name w:val="ListLabel 3"/>
    <w:rsid w:val="00A5674E"/>
    <w:rPr>
      <w:color w:val="000000"/>
    </w:rPr>
  </w:style>
  <w:style w:type="character" w:customStyle="1" w:styleId="EndnoteCharacters">
    <w:name w:val="Endnote Characters"/>
    <w:rsid w:val="00A5674E"/>
  </w:style>
  <w:style w:type="paragraph" w:customStyle="1" w:styleId="Heading">
    <w:name w:val="Heading"/>
    <w:basedOn w:val="Normal"/>
    <w:next w:val="BodyText"/>
    <w:rsid w:val="00A5674E"/>
    <w:pPr>
      <w:keepNext/>
      <w:spacing w:before="240" w:after="120"/>
    </w:pPr>
    <w:rPr>
      <w:rFonts w:ascii="Arial" w:eastAsia="Microsoft YaHei" w:hAnsi="Arial" w:cs="Mangal"/>
      <w:sz w:val="28"/>
      <w:szCs w:val="28"/>
    </w:rPr>
  </w:style>
  <w:style w:type="paragraph" w:styleId="BodyText">
    <w:name w:val="Body Text"/>
    <w:basedOn w:val="Normal"/>
    <w:rsid w:val="00A5674E"/>
    <w:pPr>
      <w:spacing w:after="120"/>
    </w:pPr>
  </w:style>
  <w:style w:type="paragraph" w:styleId="List">
    <w:name w:val="List"/>
    <w:basedOn w:val="BodyText"/>
    <w:rsid w:val="00A5674E"/>
    <w:rPr>
      <w:rFonts w:cs="Mangal"/>
    </w:rPr>
  </w:style>
  <w:style w:type="paragraph" w:styleId="Caption">
    <w:name w:val="caption"/>
    <w:basedOn w:val="Normal"/>
    <w:uiPriority w:val="35"/>
    <w:qFormat/>
    <w:rsid w:val="00A5674E"/>
    <w:pPr>
      <w:suppressLineNumbers/>
      <w:spacing w:before="120" w:after="120"/>
    </w:pPr>
    <w:rPr>
      <w:rFonts w:cs="Mangal"/>
      <w:i/>
      <w:iCs/>
    </w:rPr>
  </w:style>
  <w:style w:type="paragraph" w:customStyle="1" w:styleId="Index">
    <w:name w:val="Index"/>
    <w:basedOn w:val="Normal"/>
    <w:rsid w:val="00A5674E"/>
    <w:pPr>
      <w:suppressLineNumbers/>
    </w:pPr>
    <w:rPr>
      <w:rFonts w:cs="Mangal"/>
    </w:rPr>
  </w:style>
  <w:style w:type="paragraph" w:styleId="ListParagraph">
    <w:name w:val="List Paragraph"/>
    <w:basedOn w:val="Normal"/>
    <w:uiPriority w:val="34"/>
    <w:qFormat/>
    <w:rsid w:val="00A5674E"/>
    <w:pPr>
      <w:ind w:left="720"/>
      <w:jc w:val="both"/>
    </w:pPr>
    <w:rPr>
      <w:szCs w:val="20"/>
    </w:rPr>
  </w:style>
  <w:style w:type="paragraph" w:customStyle="1" w:styleId="fillinindent">
    <w:name w:val="fillin indent"/>
    <w:basedOn w:val="Normal"/>
    <w:rsid w:val="00A5674E"/>
    <w:pPr>
      <w:spacing w:before="40" w:line="240" w:lineRule="exact"/>
      <w:ind w:left="360"/>
    </w:pPr>
    <w:rPr>
      <w:sz w:val="20"/>
      <w:szCs w:val="20"/>
    </w:rPr>
  </w:style>
  <w:style w:type="paragraph" w:customStyle="1" w:styleId="Caption1">
    <w:name w:val="Caption1"/>
    <w:basedOn w:val="Normal"/>
    <w:rsid w:val="00A5674E"/>
    <w:pPr>
      <w:spacing w:after="200"/>
    </w:pPr>
    <w:rPr>
      <w:b/>
      <w:bCs/>
      <w:color w:val="4F81BD"/>
      <w:sz w:val="18"/>
      <w:szCs w:val="18"/>
    </w:rPr>
  </w:style>
  <w:style w:type="paragraph" w:customStyle="1" w:styleId="FootnoteText1">
    <w:name w:val="Footnote Text1"/>
    <w:basedOn w:val="Normal"/>
    <w:rsid w:val="00A5674E"/>
    <w:rPr>
      <w:sz w:val="20"/>
      <w:szCs w:val="20"/>
    </w:rPr>
  </w:style>
  <w:style w:type="paragraph" w:styleId="Subtitle">
    <w:name w:val="Subtitle"/>
    <w:basedOn w:val="Normal"/>
    <w:next w:val="BodyText"/>
    <w:qFormat/>
    <w:rsid w:val="00A5674E"/>
    <w:rPr>
      <w:rFonts w:ascii="Cambria" w:eastAsia="MS Gothic" w:hAnsi="Cambria"/>
      <w:i/>
      <w:iCs/>
      <w:color w:val="4F81BD"/>
      <w:spacing w:val="15"/>
      <w:sz w:val="28"/>
      <w:szCs w:val="28"/>
    </w:rPr>
  </w:style>
  <w:style w:type="paragraph" w:styleId="NormalWeb">
    <w:name w:val="Normal (Web)"/>
    <w:basedOn w:val="Normal"/>
    <w:rsid w:val="00A5674E"/>
    <w:pPr>
      <w:spacing w:before="120" w:after="168"/>
    </w:pPr>
  </w:style>
  <w:style w:type="paragraph" w:styleId="BalloonText">
    <w:name w:val="Balloon Text"/>
    <w:basedOn w:val="Normal"/>
    <w:rsid w:val="00A5674E"/>
    <w:rPr>
      <w:rFonts w:ascii="Tahoma" w:hAnsi="Tahoma" w:cs="Tahoma"/>
      <w:sz w:val="16"/>
      <w:szCs w:val="16"/>
      <w:lang w:val="en-US"/>
    </w:rPr>
  </w:style>
  <w:style w:type="paragraph" w:styleId="Footer">
    <w:name w:val="footer"/>
    <w:basedOn w:val="Normal"/>
    <w:uiPriority w:val="99"/>
    <w:rsid w:val="00A5674E"/>
    <w:pPr>
      <w:suppressLineNumbers/>
      <w:tabs>
        <w:tab w:val="center" w:pos="4513"/>
        <w:tab w:val="right" w:pos="9026"/>
      </w:tabs>
    </w:pPr>
  </w:style>
  <w:style w:type="paragraph" w:customStyle="1" w:styleId="EndnoteText1">
    <w:name w:val="Endnote Text1"/>
    <w:basedOn w:val="Normal"/>
    <w:rsid w:val="00A5674E"/>
    <w:rPr>
      <w:sz w:val="20"/>
      <w:szCs w:val="20"/>
    </w:rPr>
  </w:style>
  <w:style w:type="paragraph" w:styleId="Header">
    <w:name w:val="header"/>
    <w:basedOn w:val="Normal"/>
    <w:rsid w:val="00A5674E"/>
    <w:pPr>
      <w:suppressLineNumbers/>
      <w:tabs>
        <w:tab w:val="center" w:pos="4680"/>
        <w:tab w:val="right" w:pos="9360"/>
      </w:tabs>
    </w:pPr>
  </w:style>
  <w:style w:type="paragraph" w:customStyle="1" w:styleId="CommentText1">
    <w:name w:val="Comment Text1"/>
    <w:basedOn w:val="Normal"/>
    <w:rsid w:val="00A5674E"/>
    <w:rPr>
      <w:sz w:val="20"/>
      <w:szCs w:val="20"/>
      <w:lang w:val="en-US"/>
    </w:rPr>
  </w:style>
  <w:style w:type="paragraph" w:customStyle="1" w:styleId="CommentSubject1">
    <w:name w:val="Comment Subject1"/>
    <w:basedOn w:val="CommentText1"/>
    <w:rsid w:val="00A5674E"/>
    <w:rPr>
      <w:b/>
      <w:bCs/>
    </w:rPr>
  </w:style>
  <w:style w:type="paragraph" w:styleId="NoSpacing">
    <w:name w:val="No Spacing"/>
    <w:qFormat/>
    <w:rsid w:val="00A5674E"/>
    <w:pPr>
      <w:suppressAutoHyphens/>
    </w:pPr>
    <w:rPr>
      <w:kern w:val="1"/>
      <w:sz w:val="24"/>
      <w:szCs w:val="24"/>
      <w:lang w:eastAsia="ar-SA"/>
    </w:rPr>
  </w:style>
  <w:style w:type="paragraph" w:styleId="Revision">
    <w:name w:val="Revision"/>
    <w:hidden/>
    <w:uiPriority w:val="99"/>
    <w:semiHidden/>
    <w:rsid w:val="008D13EC"/>
    <w:rPr>
      <w:color w:val="000000"/>
      <w:kern w:val="1"/>
      <w:sz w:val="24"/>
      <w:szCs w:val="24"/>
      <w:lang w:val="en-GB" w:eastAsia="ar-SA"/>
    </w:rPr>
  </w:style>
  <w:style w:type="character" w:styleId="CommentReference">
    <w:name w:val="annotation reference"/>
    <w:uiPriority w:val="99"/>
    <w:semiHidden/>
    <w:unhideWhenUsed/>
    <w:rsid w:val="008D13EC"/>
    <w:rPr>
      <w:sz w:val="16"/>
      <w:szCs w:val="16"/>
    </w:rPr>
  </w:style>
  <w:style w:type="paragraph" w:styleId="CommentText">
    <w:name w:val="annotation text"/>
    <w:basedOn w:val="Normal"/>
    <w:link w:val="CommentTextChar1"/>
    <w:uiPriority w:val="99"/>
    <w:semiHidden/>
    <w:unhideWhenUsed/>
    <w:rsid w:val="008D13EC"/>
    <w:rPr>
      <w:sz w:val="20"/>
      <w:szCs w:val="20"/>
    </w:rPr>
  </w:style>
  <w:style w:type="character" w:customStyle="1" w:styleId="CommentTextChar1">
    <w:name w:val="Comment Text Char1"/>
    <w:link w:val="CommentText"/>
    <w:uiPriority w:val="99"/>
    <w:semiHidden/>
    <w:rsid w:val="008D13EC"/>
    <w:rPr>
      <w:color w:val="000000"/>
      <w:kern w:val="1"/>
      <w:lang w:val="en-GB" w:eastAsia="ar-SA"/>
    </w:rPr>
  </w:style>
  <w:style w:type="paragraph" w:styleId="CommentSubject">
    <w:name w:val="annotation subject"/>
    <w:basedOn w:val="CommentText"/>
    <w:next w:val="CommentText"/>
    <w:link w:val="CommentSubjectChar1"/>
    <w:uiPriority w:val="99"/>
    <w:semiHidden/>
    <w:unhideWhenUsed/>
    <w:rsid w:val="008D13EC"/>
    <w:rPr>
      <w:b/>
      <w:bCs/>
    </w:rPr>
  </w:style>
  <w:style w:type="character" w:customStyle="1" w:styleId="CommentSubjectChar1">
    <w:name w:val="Comment Subject Char1"/>
    <w:link w:val="CommentSubject"/>
    <w:uiPriority w:val="99"/>
    <w:semiHidden/>
    <w:rsid w:val="008D13EC"/>
    <w:rPr>
      <w:b/>
      <w:bCs/>
      <w:color w:val="000000"/>
      <w:kern w:val="1"/>
      <w:lang w:val="en-GB" w:eastAsia="ar-SA"/>
    </w:rPr>
  </w:style>
  <w:style w:type="character" w:customStyle="1" w:styleId="apple-converted-space">
    <w:name w:val="apple-converted-space"/>
    <w:basedOn w:val="DefaultParagraphFont"/>
    <w:rsid w:val="008C74AC"/>
  </w:style>
  <w:style w:type="paragraph" w:styleId="FootnoteText">
    <w:name w:val="footnote text"/>
    <w:basedOn w:val="Normal"/>
    <w:link w:val="FootnoteTextChar"/>
    <w:rsid w:val="00D91D29"/>
    <w:pPr>
      <w:suppressAutoHyphens w:val="0"/>
    </w:pPr>
    <w:rPr>
      <w:color w:val="auto"/>
      <w:kern w:val="0"/>
      <w:sz w:val="20"/>
      <w:szCs w:val="20"/>
      <w:lang w:val="en-US" w:eastAsia="ja-JP"/>
    </w:rPr>
  </w:style>
  <w:style w:type="character" w:customStyle="1" w:styleId="FootnoteTextChar1">
    <w:name w:val="Footnote Text Char1"/>
    <w:basedOn w:val="DefaultParagraphFont"/>
    <w:uiPriority w:val="99"/>
    <w:semiHidden/>
    <w:rsid w:val="00D91D29"/>
    <w:rPr>
      <w:color w:val="000000"/>
      <w:kern w:val="1"/>
      <w:lang w:val="en-GB" w:eastAsia="ar-SA"/>
    </w:rPr>
  </w:style>
  <w:style w:type="character" w:styleId="FootnoteReference">
    <w:name w:val="footnote reference"/>
    <w:basedOn w:val="DefaultParagraphFont"/>
    <w:rsid w:val="00D91D29"/>
    <w:rPr>
      <w:vertAlign w:val="superscript"/>
    </w:rPr>
  </w:style>
  <w:style w:type="table" w:customStyle="1" w:styleId="LightList-Accent13">
    <w:name w:val="Light List - Accent 13"/>
    <w:basedOn w:val="TableNormal"/>
    <w:uiPriority w:val="61"/>
    <w:rsid w:val="00D91D29"/>
    <w:rPr>
      <w:rFonts w:asciiTheme="minorHAnsi" w:eastAsiaTheme="minorEastAsia" w:hAnsiTheme="minorHAnsi" w:cstheme="minorBidi"/>
      <w:sz w:val="22"/>
      <w:szCs w:val="22"/>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A5">
    <w:name w:val="A5"/>
    <w:uiPriority w:val="99"/>
    <w:rsid w:val="0069281B"/>
    <w:rPr>
      <w:rFonts w:cs="Frutiger 45 Light"/>
      <w:color w:val="000000"/>
      <w:sz w:val="28"/>
      <w:szCs w:val="28"/>
    </w:rPr>
  </w:style>
  <w:style w:type="paragraph" w:styleId="EndnoteText">
    <w:name w:val="endnote text"/>
    <w:basedOn w:val="Normal"/>
    <w:link w:val="EndnoteTextChar1"/>
    <w:uiPriority w:val="99"/>
    <w:semiHidden/>
    <w:unhideWhenUsed/>
    <w:rsid w:val="00D369E9"/>
    <w:rPr>
      <w:sz w:val="20"/>
      <w:szCs w:val="20"/>
    </w:rPr>
  </w:style>
  <w:style w:type="character" w:customStyle="1" w:styleId="EndnoteTextChar1">
    <w:name w:val="Endnote Text Char1"/>
    <w:basedOn w:val="DefaultParagraphFont"/>
    <w:link w:val="EndnoteText"/>
    <w:uiPriority w:val="99"/>
    <w:semiHidden/>
    <w:rsid w:val="00D369E9"/>
    <w:rPr>
      <w:color w:val="000000"/>
      <w:kern w:val="1"/>
      <w:lang w:val="en-GB" w:eastAsia="ar-SA"/>
    </w:rPr>
  </w:style>
  <w:style w:type="character" w:styleId="EndnoteReference">
    <w:name w:val="endnote reference"/>
    <w:basedOn w:val="DefaultParagraphFont"/>
    <w:uiPriority w:val="99"/>
    <w:semiHidden/>
    <w:unhideWhenUsed/>
    <w:rsid w:val="00D369E9"/>
    <w:rPr>
      <w:vertAlign w:val="superscript"/>
    </w:rPr>
  </w:style>
  <w:style w:type="character" w:styleId="HTMLCite">
    <w:name w:val="HTML Cite"/>
    <w:basedOn w:val="DefaultParagraphFont"/>
    <w:uiPriority w:val="99"/>
    <w:semiHidden/>
    <w:unhideWhenUsed/>
    <w:rsid w:val="00730CD9"/>
    <w:rPr>
      <w:i/>
      <w:iCs/>
    </w:rPr>
  </w:style>
  <w:style w:type="character" w:customStyle="1" w:styleId="cit-pub-date">
    <w:name w:val="cit-pub-date"/>
    <w:basedOn w:val="DefaultParagraphFont"/>
    <w:rsid w:val="00730CD9"/>
  </w:style>
  <w:style w:type="character" w:customStyle="1" w:styleId="cit-source">
    <w:name w:val="cit-source"/>
    <w:basedOn w:val="DefaultParagraphFont"/>
    <w:rsid w:val="00730CD9"/>
  </w:style>
  <w:style w:type="character" w:customStyle="1" w:styleId="cit-vol5">
    <w:name w:val="cit-vol5"/>
    <w:basedOn w:val="DefaultParagraphFont"/>
    <w:rsid w:val="00730CD9"/>
  </w:style>
  <w:style w:type="character" w:customStyle="1" w:styleId="cit-fpage">
    <w:name w:val="cit-fpage"/>
    <w:basedOn w:val="DefaultParagraphFont"/>
    <w:rsid w:val="00730CD9"/>
  </w:style>
  <w:style w:type="character" w:styleId="PlaceholderText">
    <w:name w:val="Placeholder Text"/>
    <w:basedOn w:val="DefaultParagraphFont"/>
    <w:uiPriority w:val="99"/>
    <w:semiHidden/>
    <w:rsid w:val="00FD74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455597">
      <w:bodyDiv w:val="1"/>
      <w:marLeft w:val="0"/>
      <w:marRight w:val="0"/>
      <w:marTop w:val="0"/>
      <w:marBottom w:val="0"/>
      <w:divBdr>
        <w:top w:val="none" w:sz="0" w:space="0" w:color="auto"/>
        <w:left w:val="none" w:sz="0" w:space="0" w:color="auto"/>
        <w:bottom w:val="none" w:sz="0" w:space="0" w:color="auto"/>
        <w:right w:val="none" w:sz="0" w:space="0" w:color="auto"/>
      </w:divBdr>
      <w:divsChild>
        <w:div w:id="1628897745">
          <w:marLeft w:val="288"/>
          <w:marRight w:val="0"/>
          <w:marTop w:val="125"/>
          <w:marBottom w:val="0"/>
          <w:divBdr>
            <w:top w:val="none" w:sz="0" w:space="0" w:color="auto"/>
            <w:left w:val="none" w:sz="0" w:space="0" w:color="auto"/>
            <w:bottom w:val="none" w:sz="0" w:space="0" w:color="auto"/>
            <w:right w:val="none" w:sz="0" w:space="0" w:color="auto"/>
          </w:divBdr>
        </w:div>
        <w:div w:id="180710320">
          <w:marLeft w:val="288"/>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socialresearchmethods.net/kb/" TargetMode="External"/><Relationship Id="rId2" Type="http://schemas.openxmlformats.org/officeDocument/2006/relationships/numbering" Target="numbering.xml"/><Relationship Id="rId16" Type="http://schemas.openxmlformats.org/officeDocument/2006/relationships/hyperlink" Target="http://search.proquest.com/docview/1368589598?accountid=1047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www.indiana.edu/~statmath/stat/all/normality/index.html" TargetMode="External"/><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cbenchmark.com/Site/ICB_Structure" TargetMode="External"/><Relationship Id="rId14" Type="http://schemas.openxmlformats.org/officeDocument/2006/relationships/hyperlink" Target="http://espace.library.curtin.edu.au/R?func=dbin_jump_full&amp;object_id=205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2F9A1-95AD-44F0-B095-9C7B31C6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13833</Words>
  <Characters>78849</Characters>
  <Application>Microsoft Office Word</Application>
  <DocSecurity>0</DocSecurity>
  <Lines>657</Lines>
  <Paragraphs>184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2014-08-15T17:39:00Z</cp:lastPrinted>
  <dcterms:created xsi:type="dcterms:W3CDTF">2015-04-08T12:13:00Z</dcterms:created>
  <dcterms:modified xsi:type="dcterms:W3CDTF">2015-09-03T11:55:00Z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De Montfort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