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FF6" w:rsidRPr="00925344" w:rsidRDefault="00EB35BD" w:rsidP="005E3FCC">
      <w:pPr>
        <w:pStyle w:val="BodyA"/>
        <w:jc w:val="center"/>
        <w:rPr>
          <w:rFonts w:ascii="Times New Roman" w:eastAsia="Times New Roman" w:hAnsi="Times New Roman" w:cs="Times New Roman"/>
          <w:b/>
          <w:bCs/>
          <w:color w:val="auto"/>
          <w:sz w:val="24"/>
          <w:szCs w:val="24"/>
          <w:lang w:val="en-GB"/>
        </w:rPr>
      </w:pPr>
      <w:r w:rsidRPr="00925344">
        <w:rPr>
          <w:rFonts w:ascii="Times New Roman" w:hAnsi="Times New Roman" w:cs="Times New Roman"/>
          <w:b/>
          <w:bCs/>
          <w:color w:val="auto"/>
          <w:sz w:val="24"/>
          <w:szCs w:val="24"/>
          <w:lang w:val="en-GB"/>
        </w:rPr>
        <w:t>BOOK REVIEW</w:t>
      </w:r>
    </w:p>
    <w:p w:rsidR="005E3FCC" w:rsidRDefault="005E3FCC" w:rsidP="005E3FCC">
      <w:pPr>
        <w:pStyle w:val="BodyA"/>
        <w:jc w:val="both"/>
        <w:rPr>
          <w:rFonts w:ascii="Times New Roman" w:hAnsi="Times New Roman" w:cs="Times New Roman"/>
          <w:b/>
          <w:bCs/>
          <w:i/>
          <w:iCs/>
          <w:color w:val="auto"/>
          <w:sz w:val="24"/>
          <w:szCs w:val="24"/>
          <w:lang w:val="en-GB"/>
        </w:rPr>
      </w:pPr>
    </w:p>
    <w:p w:rsidR="00DC6FF6" w:rsidRPr="00925344" w:rsidRDefault="00EB35BD" w:rsidP="005E3FCC">
      <w:pPr>
        <w:pStyle w:val="BodyA"/>
        <w:jc w:val="both"/>
        <w:rPr>
          <w:rFonts w:ascii="Times New Roman" w:eastAsia="Times New Roman" w:hAnsi="Times New Roman" w:cs="Times New Roman"/>
          <w:color w:val="auto"/>
          <w:sz w:val="24"/>
          <w:szCs w:val="24"/>
          <w:lang w:val="en-GB"/>
        </w:rPr>
      </w:pPr>
      <w:r w:rsidRPr="00925344">
        <w:rPr>
          <w:rFonts w:ascii="Times New Roman" w:hAnsi="Times New Roman" w:cs="Times New Roman"/>
          <w:b/>
          <w:bCs/>
          <w:i/>
          <w:iCs/>
          <w:color w:val="auto"/>
          <w:sz w:val="24"/>
          <w:szCs w:val="24"/>
          <w:lang w:val="en-GB"/>
        </w:rPr>
        <w:t xml:space="preserve">Technology and the Law on the Use of Force </w:t>
      </w:r>
      <w:r w:rsidRPr="00925344">
        <w:rPr>
          <w:rFonts w:ascii="Times New Roman" w:hAnsi="Times New Roman" w:cs="Times New Roman"/>
          <w:color w:val="auto"/>
          <w:sz w:val="24"/>
          <w:szCs w:val="24"/>
          <w:lang w:val="en-GB"/>
        </w:rPr>
        <w:t xml:space="preserve">by Jackson </w:t>
      </w:r>
      <w:proofErr w:type="spellStart"/>
      <w:r w:rsidRPr="00925344">
        <w:rPr>
          <w:rFonts w:ascii="Times New Roman" w:hAnsi="Times New Roman" w:cs="Times New Roman"/>
          <w:color w:val="auto"/>
          <w:sz w:val="24"/>
          <w:szCs w:val="24"/>
          <w:lang w:val="en-GB"/>
        </w:rPr>
        <w:t>Maogoto</w:t>
      </w:r>
      <w:proofErr w:type="spellEnd"/>
      <w:r w:rsidRPr="00925344">
        <w:rPr>
          <w:rFonts w:ascii="Times New Roman" w:hAnsi="Times New Roman" w:cs="Times New Roman"/>
          <w:color w:val="auto"/>
          <w:sz w:val="24"/>
          <w:szCs w:val="24"/>
          <w:lang w:val="en-GB"/>
        </w:rPr>
        <w:t>, Routledge Press, 2015, 111 pp., ISBN: 978-0-415-69433-9</w:t>
      </w:r>
    </w:p>
    <w:p w:rsidR="0006120E" w:rsidRPr="00925344" w:rsidRDefault="0006120E" w:rsidP="005E3FCC">
      <w:pPr>
        <w:jc w:val="both"/>
        <w:rPr>
          <w:color w:val="auto"/>
        </w:rPr>
      </w:pPr>
    </w:p>
    <w:p w:rsidR="0006120E" w:rsidRPr="00925344" w:rsidRDefault="00D837C1" w:rsidP="005E3FCC">
      <w:pPr>
        <w:jc w:val="both"/>
        <w:rPr>
          <w:color w:val="auto"/>
        </w:rPr>
      </w:pPr>
      <w:r w:rsidRPr="00925344">
        <w:rPr>
          <w:color w:val="auto"/>
        </w:rPr>
        <w:t xml:space="preserve">The intersection </w:t>
      </w:r>
      <w:r w:rsidR="00DC0DF5" w:rsidRPr="00925344">
        <w:rPr>
          <w:color w:val="auto"/>
        </w:rPr>
        <w:t>between</w:t>
      </w:r>
      <w:r w:rsidRPr="00925344">
        <w:rPr>
          <w:color w:val="auto"/>
        </w:rPr>
        <w:t xml:space="preserve"> the </w:t>
      </w:r>
      <w:r w:rsidR="00DC0DF5" w:rsidRPr="00925344">
        <w:rPr>
          <w:i/>
          <w:color w:val="auto"/>
        </w:rPr>
        <w:t>jus ad bellum</w:t>
      </w:r>
      <w:r w:rsidRPr="00925344">
        <w:rPr>
          <w:color w:val="auto"/>
        </w:rPr>
        <w:t xml:space="preserve"> and technology represents a crucial topic </w:t>
      </w:r>
      <w:r w:rsidRPr="00925344">
        <w:rPr>
          <w:i/>
          <w:iCs/>
          <w:color w:val="auto"/>
        </w:rPr>
        <w:t xml:space="preserve">de </w:t>
      </w:r>
      <w:proofErr w:type="spellStart"/>
      <w:r w:rsidRPr="00925344">
        <w:rPr>
          <w:i/>
          <w:iCs/>
          <w:color w:val="auto"/>
        </w:rPr>
        <w:t>nos</w:t>
      </w:r>
      <w:proofErr w:type="spellEnd"/>
      <w:r w:rsidRPr="00925344">
        <w:rPr>
          <w:i/>
          <w:iCs/>
          <w:color w:val="auto"/>
        </w:rPr>
        <w:t xml:space="preserve"> </w:t>
      </w:r>
      <w:proofErr w:type="spellStart"/>
      <w:r w:rsidRPr="00925344">
        <w:rPr>
          <w:i/>
          <w:iCs/>
          <w:color w:val="auto"/>
        </w:rPr>
        <w:t>jours</w:t>
      </w:r>
      <w:proofErr w:type="spellEnd"/>
      <w:r w:rsidRPr="00925344">
        <w:rPr>
          <w:iCs/>
          <w:color w:val="auto"/>
        </w:rPr>
        <w:t>,</w:t>
      </w:r>
      <w:r w:rsidRPr="00925344">
        <w:rPr>
          <w:i/>
          <w:iCs/>
          <w:color w:val="auto"/>
        </w:rPr>
        <w:t xml:space="preserve"> </w:t>
      </w:r>
      <w:r w:rsidRPr="00925344">
        <w:rPr>
          <w:iCs/>
          <w:color w:val="auto"/>
        </w:rPr>
        <w:t>for obvious reasons.  As such, m</w:t>
      </w:r>
      <w:r w:rsidR="008C4145" w:rsidRPr="00925344">
        <w:rPr>
          <w:rFonts w:eastAsia="Times New Roman"/>
          <w:color w:val="auto"/>
        </w:rPr>
        <w:t>uch r</w:t>
      </w:r>
      <w:r w:rsidR="00EB35BD" w:rsidRPr="00925344">
        <w:rPr>
          <w:rFonts w:eastAsia="Times New Roman"/>
          <w:color w:val="auto"/>
        </w:rPr>
        <w:t xml:space="preserve">ecent literature and scholarly debate </w:t>
      </w:r>
      <w:r w:rsidR="008C4145" w:rsidRPr="00925344">
        <w:rPr>
          <w:color w:val="auto"/>
        </w:rPr>
        <w:t xml:space="preserve">has focused on </w:t>
      </w:r>
      <w:r w:rsidR="00915A38" w:rsidRPr="00925344">
        <w:rPr>
          <w:color w:val="auto"/>
        </w:rPr>
        <w:t>international</w:t>
      </w:r>
      <w:r w:rsidR="008C4145" w:rsidRPr="00925344">
        <w:rPr>
          <w:color w:val="auto"/>
        </w:rPr>
        <w:t xml:space="preserve"> law’s ability to respond to new and developing technologies, such as cyber warfare</w:t>
      </w:r>
      <w:r w:rsidR="008C4145" w:rsidRPr="00925344">
        <w:rPr>
          <w:rStyle w:val="FootnoteReference"/>
          <w:color w:val="auto"/>
        </w:rPr>
        <w:footnoteReference w:id="2"/>
      </w:r>
      <w:r w:rsidR="008C4145" w:rsidRPr="00925344">
        <w:rPr>
          <w:color w:val="auto"/>
        </w:rPr>
        <w:t xml:space="preserve"> </w:t>
      </w:r>
      <w:r w:rsidR="00784EC0" w:rsidRPr="00925344">
        <w:rPr>
          <w:color w:val="auto"/>
        </w:rPr>
        <w:t>or</w:t>
      </w:r>
      <w:r w:rsidR="008C4145" w:rsidRPr="00925344">
        <w:rPr>
          <w:color w:val="auto"/>
        </w:rPr>
        <w:t xml:space="preserve"> combat drones (UAVs)</w:t>
      </w:r>
      <w:r w:rsidR="00936842" w:rsidRPr="00925344">
        <w:rPr>
          <w:color w:val="auto"/>
        </w:rPr>
        <w:t>.</w:t>
      </w:r>
      <w:r w:rsidR="0002355E" w:rsidRPr="00925344">
        <w:rPr>
          <w:rFonts w:eastAsia="Times New Roman"/>
          <w:color w:val="auto"/>
          <w:vertAlign w:val="superscript"/>
        </w:rPr>
        <w:footnoteReference w:id="3"/>
      </w:r>
      <w:r w:rsidRPr="00925344">
        <w:rPr>
          <w:color w:val="auto"/>
        </w:rPr>
        <w:t xml:space="preserve">  </w:t>
      </w:r>
      <w:r w:rsidR="00784EC0" w:rsidRPr="00925344">
        <w:rPr>
          <w:color w:val="auto"/>
        </w:rPr>
        <w:t xml:space="preserve">As its title suggests, </w:t>
      </w:r>
      <w:r w:rsidRPr="00925344">
        <w:rPr>
          <w:color w:val="auto"/>
        </w:rPr>
        <w:t xml:space="preserve">Jackson </w:t>
      </w:r>
      <w:proofErr w:type="spellStart"/>
      <w:r w:rsidRPr="00925344">
        <w:rPr>
          <w:color w:val="auto"/>
        </w:rPr>
        <w:t>Maogoto’s</w:t>
      </w:r>
      <w:proofErr w:type="spellEnd"/>
      <w:r w:rsidRPr="00925344">
        <w:rPr>
          <w:color w:val="auto"/>
        </w:rPr>
        <w:t xml:space="preserve"> </w:t>
      </w:r>
      <w:r w:rsidR="00352589" w:rsidRPr="00925344">
        <w:rPr>
          <w:i/>
          <w:color w:val="auto"/>
        </w:rPr>
        <w:t>Technology and the Law on</w:t>
      </w:r>
      <w:r w:rsidRPr="00925344">
        <w:rPr>
          <w:i/>
          <w:color w:val="auto"/>
        </w:rPr>
        <w:t xml:space="preserve"> the Use of Force</w:t>
      </w:r>
      <w:r w:rsidR="00E52FBC" w:rsidRPr="00925344">
        <w:rPr>
          <w:color w:val="auto"/>
        </w:rPr>
        <w:t xml:space="preserve"> </w:t>
      </w:r>
      <w:r w:rsidR="0006120E" w:rsidRPr="00925344">
        <w:rPr>
          <w:color w:val="auto"/>
        </w:rPr>
        <w:t xml:space="preserve">looks to </w:t>
      </w:r>
      <w:r w:rsidR="00784EC0" w:rsidRPr="00925344">
        <w:rPr>
          <w:color w:val="auto"/>
        </w:rPr>
        <w:t xml:space="preserve">contribute to these debates, not by adopting the usual approach of considering </w:t>
      </w:r>
      <w:r w:rsidRPr="00925344">
        <w:rPr>
          <w:color w:val="auto"/>
        </w:rPr>
        <w:t>a single ‘technology’</w:t>
      </w:r>
      <w:r w:rsidR="0006120E" w:rsidRPr="00925344">
        <w:rPr>
          <w:color w:val="auto"/>
        </w:rPr>
        <w:t xml:space="preserve">, </w:t>
      </w:r>
      <w:r w:rsidR="00784EC0" w:rsidRPr="00925344">
        <w:rPr>
          <w:color w:val="auto"/>
        </w:rPr>
        <w:t>but</w:t>
      </w:r>
      <w:r w:rsidR="00BB069A">
        <w:rPr>
          <w:color w:val="auto"/>
        </w:rPr>
        <w:t>,</w:t>
      </w:r>
      <w:r w:rsidR="00784EC0" w:rsidRPr="00925344">
        <w:rPr>
          <w:color w:val="auto"/>
        </w:rPr>
        <w:t xml:space="preserve"> instead</w:t>
      </w:r>
      <w:r w:rsidR="00570FF6">
        <w:rPr>
          <w:color w:val="auto"/>
        </w:rPr>
        <w:t>,</w:t>
      </w:r>
      <w:r w:rsidR="00784EC0" w:rsidRPr="00925344">
        <w:rPr>
          <w:color w:val="auto"/>
        </w:rPr>
        <w:t xml:space="preserve"> by assessing</w:t>
      </w:r>
      <w:r w:rsidR="0006120E" w:rsidRPr="00925344">
        <w:rPr>
          <w:color w:val="auto"/>
        </w:rPr>
        <w:t xml:space="preserve"> </w:t>
      </w:r>
      <w:r w:rsidR="00784EC0" w:rsidRPr="00925344">
        <w:rPr>
          <w:color w:val="auto"/>
        </w:rPr>
        <w:t xml:space="preserve">the application of the </w:t>
      </w:r>
      <w:r w:rsidR="00784EC0" w:rsidRPr="00925344">
        <w:rPr>
          <w:i/>
          <w:color w:val="auto"/>
        </w:rPr>
        <w:t>jus ad bellum</w:t>
      </w:r>
      <w:r w:rsidR="00784EC0" w:rsidRPr="00925344">
        <w:rPr>
          <w:color w:val="auto"/>
        </w:rPr>
        <w:t xml:space="preserve"> to </w:t>
      </w:r>
      <w:r w:rsidR="0006120E" w:rsidRPr="00925344">
        <w:rPr>
          <w:color w:val="auto"/>
        </w:rPr>
        <w:t xml:space="preserve">modern technological threats </w:t>
      </w:r>
      <w:r w:rsidR="00784EC0" w:rsidRPr="00925344">
        <w:rPr>
          <w:color w:val="auto"/>
        </w:rPr>
        <w:t>more generally</w:t>
      </w:r>
      <w:r w:rsidR="00BB069A">
        <w:rPr>
          <w:color w:val="auto"/>
        </w:rPr>
        <w:t>.</w:t>
      </w:r>
    </w:p>
    <w:p w:rsidR="006F57A1" w:rsidRPr="00925344" w:rsidRDefault="0006120E" w:rsidP="005E3FCC">
      <w:pPr>
        <w:ind w:firstLine="720"/>
        <w:jc w:val="both"/>
        <w:rPr>
          <w:color w:val="auto"/>
        </w:rPr>
      </w:pPr>
      <w:r w:rsidRPr="00925344">
        <w:rPr>
          <w:color w:val="auto"/>
        </w:rPr>
        <w:t xml:space="preserve">This </w:t>
      </w:r>
      <w:r w:rsidR="00784EC0" w:rsidRPr="00925344">
        <w:rPr>
          <w:color w:val="auto"/>
        </w:rPr>
        <w:t xml:space="preserve">underlying </w:t>
      </w:r>
      <w:r w:rsidRPr="00925344">
        <w:rPr>
          <w:color w:val="auto"/>
        </w:rPr>
        <w:t xml:space="preserve">ambition is </w:t>
      </w:r>
      <w:r w:rsidR="00DC0DF5" w:rsidRPr="00925344">
        <w:rPr>
          <w:color w:val="auto"/>
        </w:rPr>
        <w:t xml:space="preserve">most </w:t>
      </w:r>
      <w:r w:rsidRPr="00925344">
        <w:rPr>
          <w:color w:val="auto"/>
        </w:rPr>
        <w:t>welcome, but, s</w:t>
      </w:r>
      <w:r w:rsidR="00D837C1" w:rsidRPr="00925344">
        <w:rPr>
          <w:color w:val="auto"/>
        </w:rPr>
        <w:t xml:space="preserve">omewhat strangely, </w:t>
      </w:r>
      <w:proofErr w:type="spellStart"/>
      <w:r w:rsidR="00D837C1" w:rsidRPr="00925344">
        <w:rPr>
          <w:color w:val="auto"/>
        </w:rPr>
        <w:t>Maogoto</w:t>
      </w:r>
      <w:proofErr w:type="spellEnd"/>
      <w:r w:rsidR="00D837C1" w:rsidRPr="00925344">
        <w:rPr>
          <w:color w:val="auto"/>
        </w:rPr>
        <w:t xml:space="preserve"> </w:t>
      </w:r>
      <w:r w:rsidRPr="00925344">
        <w:rPr>
          <w:color w:val="auto"/>
        </w:rPr>
        <w:t xml:space="preserve">ultimately </w:t>
      </w:r>
      <w:r w:rsidR="00784EC0" w:rsidRPr="00925344">
        <w:rPr>
          <w:color w:val="auto"/>
        </w:rPr>
        <w:t xml:space="preserve">only </w:t>
      </w:r>
      <w:r w:rsidR="00D837C1" w:rsidRPr="00925344">
        <w:rPr>
          <w:color w:val="auto"/>
        </w:rPr>
        <w:t xml:space="preserve">considers two ‘types’ of technology in </w:t>
      </w:r>
      <w:r w:rsidR="00784EC0" w:rsidRPr="00925344">
        <w:rPr>
          <w:color w:val="auto"/>
        </w:rPr>
        <w:t>his</w:t>
      </w:r>
      <w:r w:rsidR="00D837C1" w:rsidRPr="00925344">
        <w:rPr>
          <w:color w:val="auto"/>
        </w:rPr>
        <w:t xml:space="preserve"> book: the militarisation of outer space and cyber warfare (and</w:t>
      </w:r>
      <w:r w:rsidR="00E52FBC" w:rsidRPr="00925344">
        <w:rPr>
          <w:color w:val="auto"/>
        </w:rPr>
        <w:t>, it must be said,</w:t>
      </w:r>
      <w:r w:rsidR="00D837C1" w:rsidRPr="00925344">
        <w:rPr>
          <w:color w:val="auto"/>
        </w:rPr>
        <w:t xml:space="preserve"> the latter of these is dealt with rather cursorily).  This immediately leaves one questioning why other technologies, such as, say, UAVs or battlefield ‘robots’</w:t>
      </w:r>
      <w:r w:rsidR="00E52FBC" w:rsidRPr="00925344">
        <w:rPr>
          <w:rStyle w:val="FootnoteReference"/>
          <w:color w:val="auto"/>
        </w:rPr>
        <w:footnoteReference w:id="4"/>
      </w:r>
      <w:r w:rsidR="00D837C1" w:rsidRPr="00925344">
        <w:rPr>
          <w:color w:val="auto"/>
        </w:rPr>
        <w:t xml:space="preserve"> were not </w:t>
      </w:r>
      <w:r w:rsidR="00784EC0" w:rsidRPr="00925344">
        <w:rPr>
          <w:color w:val="auto"/>
        </w:rPr>
        <w:t>included</w:t>
      </w:r>
      <w:r w:rsidR="00D837C1" w:rsidRPr="00925344">
        <w:rPr>
          <w:color w:val="auto"/>
        </w:rPr>
        <w:t xml:space="preserve">.  </w:t>
      </w:r>
      <w:r w:rsidR="00DC3202">
        <w:rPr>
          <w:color w:val="auto"/>
        </w:rPr>
        <w:t>Nevertheless</w:t>
      </w:r>
      <w:r w:rsidR="00D837C1" w:rsidRPr="00925344">
        <w:rPr>
          <w:color w:val="auto"/>
        </w:rPr>
        <w:t xml:space="preserve">, while </w:t>
      </w:r>
      <w:r w:rsidR="00E52FBC" w:rsidRPr="00925344">
        <w:rPr>
          <w:color w:val="auto"/>
        </w:rPr>
        <w:t xml:space="preserve">the intersection of </w:t>
      </w:r>
      <w:r w:rsidR="00D837C1" w:rsidRPr="00925344">
        <w:rPr>
          <w:color w:val="auto"/>
        </w:rPr>
        <w:t xml:space="preserve">cyber warfare and the </w:t>
      </w:r>
      <w:r w:rsidR="00D837C1" w:rsidRPr="00925344">
        <w:rPr>
          <w:i/>
          <w:color w:val="auto"/>
        </w:rPr>
        <w:t>jus ad bellum</w:t>
      </w:r>
      <w:r w:rsidR="00D837C1" w:rsidRPr="00925344">
        <w:rPr>
          <w:color w:val="auto"/>
        </w:rPr>
        <w:t xml:space="preserve"> represents extremely well-trodden ground</w:t>
      </w:r>
      <w:r w:rsidR="00E52FBC" w:rsidRPr="00925344">
        <w:rPr>
          <w:color w:val="auto"/>
        </w:rPr>
        <w:t>,</w:t>
      </w:r>
      <w:r w:rsidR="00D837C1" w:rsidRPr="00925344">
        <w:rPr>
          <w:iCs/>
          <w:color w:val="auto"/>
        </w:rPr>
        <w:t xml:space="preserve"> </w:t>
      </w:r>
      <w:proofErr w:type="spellStart"/>
      <w:r w:rsidR="00EB35BD" w:rsidRPr="00925344">
        <w:rPr>
          <w:color w:val="auto"/>
        </w:rPr>
        <w:t>Maogoto’s</w:t>
      </w:r>
      <w:proofErr w:type="spellEnd"/>
      <w:r w:rsidR="00EB35BD" w:rsidRPr="00925344">
        <w:rPr>
          <w:color w:val="auto"/>
        </w:rPr>
        <w:t xml:space="preserve"> </w:t>
      </w:r>
      <w:r w:rsidR="00BE7E24" w:rsidRPr="00925344">
        <w:rPr>
          <w:color w:val="auto"/>
        </w:rPr>
        <w:t>b</w:t>
      </w:r>
      <w:r w:rsidR="00EB35BD" w:rsidRPr="00925344">
        <w:rPr>
          <w:color w:val="auto"/>
        </w:rPr>
        <w:t>ook</w:t>
      </w:r>
      <w:r w:rsidR="00915A38" w:rsidRPr="00925344">
        <w:rPr>
          <w:color w:val="auto"/>
        </w:rPr>
        <w:t xml:space="preserve"> might be seen as </w:t>
      </w:r>
      <w:r w:rsidR="00784EC0" w:rsidRPr="00925344">
        <w:rPr>
          <w:color w:val="auto"/>
        </w:rPr>
        <w:t>contribut</w:t>
      </w:r>
      <w:r w:rsidR="00915A38" w:rsidRPr="00925344">
        <w:rPr>
          <w:color w:val="auto"/>
        </w:rPr>
        <w:t>ing</w:t>
      </w:r>
      <w:r w:rsidR="00784EC0" w:rsidRPr="00925344">
        <w:rPr>
          <w:color w:val="auto"/>
        </w:rPr>
        <w:t xml:space="preserve"> to</w:t>
      </w:r>
      <w:r w:rsidR="00D837C1" w:rsidRPr="00925344">
        <w:rPr>
          <w:color w:val="auto"/>
        </w:rPr>
        <w:t xml:space="preserve"> </w:t>
      </w:r>
      <w:r w:rsidR="00936842" w:rsidRPr="00925344">
        <w:rPr>
          <w:color w:val="auto"/>
        </w:rPr>
        <w:t xml:space="preserve">the </w:t>
      </w:r>
      <w:r w:rsidR="00936842" w:rsidRPr="00925344">
        <w:rPr>
          <w:i/>
          <w:color w:val="auto"/>
        </w:rPr>
        <w:t>jus ad bellum</w:t>
      </w:r>
      <w:r w:rsidR="00936842" w:rsidRPr="00925344">
        <w:rPr>
          <w:color w:val="auto"/>
        </w:rPr>
        <w:t>/technology</w:t>
      </w:r>
      <w:r w:rsidR="00BE7E24" w:rsidRPr="00925344">
        <w:rPr>
          <w:color w:val="auto"/>
        </w:rPr>
        <w:t xml:space="preserve"> </w:t>
      </w:r>
      <w:r w:rsidR="00936842" w:rsidRPr="00925344">
        <w:rPr>
          <w:color w:val="auto"/>
        </w:rPr>
        <w:t xml:space="preserve">literature </w:t>
      </w:r>
      <w:r w:rsidR="00915A38" w:rsidRPr="00925344">
        <w:rPr>
          <w:color w:val="auto"/>
        </w:rPr>
        <w:t>because it</w:t>
      </w:r>
      <w:r w:rsidR="00BE7E24" w:rsidRPr="00925344">
        <w:rPr>
          <w:color w:val="auto"/>
        </w:rPr>
        <w:t xml:space="preserve"> </w:t>
      </w:r>
      <w:r w:rsidR="00D837C1" w:rsidRPr="00925344">
        <w:rPr>
          <w:color w:val="auto"/>
        </w:rPr>
        <w:t xml:space="preserve">predominantly </w:t>
      </w:r>
      <w:r w:rsidR="00BE7E24" w:rsidRPr="00925344">
        <w:rPr>
          <w:color w:val="auto"/>
        </w:rPr>
        <w:t>focus</w:t>
      </w:r>
      <w:r w:rsidR="00915A38" w:rsidRPr="00925344">
        <w:rPr>
          <w:color w:val="auto"/>
        </w:rPr>
        <w:t>es</w:t>
      </w:r>
      <w:r w:rsidR="00EB35BD" w:rsidRPr="00925344">
        <w:rPr>
          <w:color w:val="auto"/>
        </w:rPr>
        <w:t xml:space="preserve"> </w:t>
      </w:r>
      <w:r w:rsidR="00BE7E24" w:rsidRPr="00925344">
        <w:rPr>
          <w:color w:val="auto"/>
        </w:rPr>
        <w:t>on</w:t>
      </w:r>
      <w:r w:rsidR="00784EC0" w:rsidRPr="00925344">
        <w:rPr>
          <w:color w:val="auto"/>
        </w:rPr>
        <w:t xml:space="preserve"> the legal framework applicable to the militarised use of </w:t>
      </w:r>
      <w:r w:rsidR="00EB35BD" w:rsidRPr="00925344">
        <w:rPr>
          <w:color w:val="auto"/>
        </w:rPr>
        <w:t>outer space</w:t>
      </w:r>
      <w:r w:rsidR="00915A38" w:rsidRPr="00925344">
        <w:rPr>
          <w:color w:val="auto"/>
        </w:rPr>
        <w:t xml:space="preserve">; a ‘type’ of technological advancement </w:t>
      </w:r>
      <w:r w:rsidR="00DC0DF5" w:rsidRPr="00925344">
        <w:rPr>
          <w:color w:val="auto"/>
        </w:rPr>
        <w:t>that</w:t>
      </w:r>
      <w:r w:rsidR="004E7309" w:rsidRPr="00925344">
        <w:rPr>
          <w:color w:val="auto"/>
        </w:rPr>
        <w:t xml:space="preserve"> ha</w:t>
      </w:r>
      <w:r w:rsidR="00DC0DF5" w:rsidRPr="00925344">
        <w:rPr>
          <w:color w:val="auto"/>
        </w:rPr>
        <w:t>s been comparatively overlooked</w:t>
      </w:r>
      <w:r w:rsidR="00EB35BD" w:rsidRPr="00925344">
        <w:rPr>
          <w:color w:val="auto"/>
        </w:rPr>
        <w:t>.</w:t>
      </w:r>
      <w:r w:rsidR="004E7309" w:rsidRPr="00925344">
        <w:rPr>
          <w:rStyle w:val="FootnoteReference"/>
          <w:color w:val="auto"/>
        </w:rPr>
        <w:footnoteReference w:id="5"/>
      </w:r>
    </w:p>
    <w:p w:rsidR="00A919F5" w:rsidRPr="00925344" w:rsidRDefault="00EB35BD" w:rsidP="005E3FCC">
      <w:pPr>
        <w:ind w:firstLine="720"/>
        <w:jc w:val="both"/>
        <w:rPr>
          <w:iCs/>
          <w:color w:val="auto"/>
        </w:rPr>
      </w:pPr>
      <w:proofErr w:type="spellStart"/>
      <w:r w:rsidRPr="00925344">
        <w:rPr>
          <w:color w:val="auto"/>
        </w:rPr>
        <w:t>Maogoto</w:t>
      </w:r>
      <w:proofErr w:type="spellEnd"/>
      <w:r w:rsidRPr="00925344">
        <w:rPr>
          <w:color w:val="auto"/>
        </w:rPr>
        <w:t xml:space="preserve"> </w:t>
      </w:r>
      <w:r w:rsidR="00936842" w:rsidRPr="00925344">
        <w:rPr>
          <w:color w:val="auto"/>
        </w:rPr>
        <w:t>states (5) that</w:t>
      </w:r>
      <w:r w:rsidRPr="00925344">
        <w:rPr>
          <w:color w:val="auto"/>
        </w:rPr>
        <w:t xml:space="preserve"> </w:t>
      </w:r>
      <w:r w:rsidR="00915A38" w:rsidRPr="00925344">
        <w:rPr>
          <w:color w:val="auto"/>
        </w:rPr>
        <w:t>his</w:t>
      </w:r>
      <w:r w:rsidRPr="00925344">
        <w:rPr>
          <w:color w:val="auto"/>
        </w:rPr>
        <w:t xml:space="preserve"> book operates within the confines of two spectra.  First, analysis is limited solely to exploring </w:t>
      </w:r>
      <w:r w:rsidR="00C5536A" w:rsidRPr="00925344">
        <w:rPr>
          <w:color w:val="auto"/>
        </w:rPr>
        <w:t>‘</w:t>
      </w:r>
      <w:r w:rsidR="00784EC0" w:rsidRPr="00925344">
        <w:rPr>
          <w:color w:val="auto"/>
        </w:rPr>
        <w:t>only…</w:t>
      </w:r>
      <w:r w:rsidRPr="00925344">
        <w:rPr>
          <w:color w:val="auto"/>
        </w:rPr>
        <w:t>those information intrusions that are instigated b</w:t>
      </w:r>
      <w:r w:rsidR="00C5536A" w:rsidRPr="00925344">
        <w:rPr>
          <w:color w:val="auto"/>
        </w:rPr>
        <w:t>y or imputable to States</w:t>
      </w:r>
      <w:r w:rsidR="00A919F5" w:rsidRPr="00925344">
        <w:rPr>
          <w:color w:val="auto"/>
        </w:rPr>
        <w:t>…’</w:t>
      </w:r>
      <w:r w:rsidRPr="00925344">
        <w:rPr>
          <w:color w:val="auto"/>
        </w:rPr>
        <w:t xml:space="preserve"> </w:t>
      </w:r>
      <w:r w:rsidR="00A919F5" w:rsidRPr="00925344">
        <w:rPr>
          <w:color w:val="auto"/>
        </w:rPr>
        <w:t xml:space="preserve">  </w:t>
      </w:r>
      <w:r w:rsidR="0006120E" w:rsidRPr="00925344">
        <w:rPr>
          <w:color w:val="auto"/>
        </w:rPr>
        <w:t xml:space="preserve">The implications of the forcible use of technologies by non-state actors are </w:t>
      </w:r>
      <w:r w:rsidR="00915A38" w:rsidRPr="00925344">
        <w:rPr>
          <w:color w:val="auto"/>
        </w:rPr>
        <w:t xml:space="preserve">thus </w:t>
      </w:r>
      <w:r w:rsidR="0006120E" w:rsidRPr="00925344">
        <w:rPr>
          <w:color w:val="auto"/>
        </w:rPr>
        <w:lastRenderedPageBreak/>
        <w:t>beyond the book’s scope.</w:t>
      </w:r>
      <w:r w:rsidR="00784EC0" w:rsidRPr="00925344">
        <w:rPr>
          <w:rStyle w:val="FootnoteReference"/>
          <w:color w:val="auto"/>
        </w:rPr>
        <w:footnoteReference w:id="6"/>
      </w:r>
      <w:r w:rsidR="0006120E" w:rsidRPr="00925344">
        <w:rPr>
          <w:color w:val="auto"/>
        </w:rPr>
        <w:t xml:space="preserve">  </w:t>
      </w:r>
      <w:r w:rsidR="00A919F5" w:rsidRPr="00925344">
        <w:rPr>
          <w:color w:val="auto"/>
        </w:rPr>
        <w:t>Secondly</w:t>
      </w:r>
      <w:r w:rsidR="00DC0DF5" w:rsidRPr="00925344">
        <w:rPr>
          <w:color w:val="auto"/>
        </w:rPr>
        <w:t>, it is said that the book</w:t>
      </w:r>
      <w:r w:rsidRPr="00925344">
        <w:rPr>
          <w:color w:val="auto"/>
        </w:rPr>
        <w:t xml:space="preserve">’s coverage is </w:t>
      </w:r>
      <w:r w:rsidR="00A919F5" w:rsidRPr="00925344">
        <w:rPr>
          <w:color w:val="auto"/>
        </w:rPr>
        <w:t>restricted to</w:t>
      </w:r>
      <w:r w:rsidRPr="00925344">
        <w:rPr>
          <w:color w:val="auto"/>
        </w:rPr>
        <w:t xml:space="preserve"> the </w:t>
      </w:r>
      <w:r w:rsidRPr="00925344">
        <w:rPr>
          <w:i/>
          <w:color w:val="auto"/>
        </w:rPr>
        <w:t>jus ad bellum</w:t>
      </w:r>
      <w:r w:rsidR="00A919F5" w:rsidRPr="00925344">
        <w:rPr>
          <w:i/>
          <w:color w:val="auto"/>
        </w:rPr>
        <w:t xml:space="preserve"> </w:t>
      </w:r>
      <w:r w:rsidR="00A919F5" w:rsidRPr="00925344">
        <w:rPr>
          <w:color w:val="auto"/>
        </w:rPr>
        <w:t xml:space="preserve">(as opposed to the </w:t>
      </w:r>
      <w:r w:rsidR="00A919F5" w:rsidRPr="00925344">
        <w:rPr>
          <w:i/>
          <w:color w:val="auto"/>
        </w:rPr>
        <w:t>jus in bello</w:t>
      </w:r>
      <w:r w:rsidR="00A919F5" w:rsidRPr="00925344">
        <w:rPr>
          <w:color w:val="auto"/>
        </w:rPr>
        <w:t xml:space="preserve">).  </w:t>
      </w:r>
      <w:r w:rsidR="00F320F8" w:rsidRPr="00925344">
        <w:rPr>
          <w:color w:val="auto"/>
        </w:rPr>
        <w:t>T</w:t>
      </w:r>
      <w:r w:rsidR="0006120E" w:rsidRPr="00925344">
        <w:rPr>
          <w:color w:val="auto"/>
        </w:rPr>
        <w:t>he majority</w:t>
      </w:r>
      <w:r w:rsidR="00A919F5" w:rsidRPr="00925344">
        <w:rPr>
          <w:color w:val="auto"/>
        </w:rPr>
        <w:t xml:space="preserve"> of the </w:t>
      </w:r>
      <w:r w:rsidR="00F320F8" w:rsidRPr="00925344">
        <w:rPr>
          <w:color w:val="auto"/>
        </w:rPr>
        <w:t>book</w:t>
      </w:r>
      <w:r w:rsidR="00A919F5" w:rsidRPr="00925344">
        <w:rPr>
          <w:color w:val="auto"/>
        </w:rPr>
        <w:t xml:space="preserve"> is</w:t>
      </w:r>
      <w:r w:rsidR="00F320F8" w:rsidRPr="00925344">
        <w:rPr>
          <w:color w:val="auto"/>
        </w:rPr>
        <w:t>,</w:t>
      </w:r>
      <w:r w:rsidR="00A919F5" w:rsidRPr="00925344">
        <w:rPr>
          <w:color w:val="auto"/>
        </w:rPr>
        <w:t xml:space="preserve"> indeed</w:t>
      </w:r>
      <w:r w:rsidR="00F320F8" w:rsidRPr="00925344">
        <w:rPr>
          <w:color w:val="auto"/>
        </w:rPr>
        <w:t xml:space="preserve">, </w:t>
      </w:r>
      <w:r w:rsidR="00A919F5" w:rsidRPr="00925344">
        <w:rPr>
          <w:i/>
          <w:color w:val="auto"/>
        </w:rPr>
        <w:t>jus ad bellum</w:t>
      </w:r>
      <w:r w:rsidR="00A919F5" w:rsidRPr="00925344">
        <w:rPr>
          <w:color w:val="auto"/>
        </w:rPr>
        <w:t>-centric</w:t>
      </w:r>
      <w:r w:rsidR="00F320F8" w:rsidRPr="00925344">
        <w:rPr>
          <w:color w:val="auto"/>
        </w:rPr>
        <w:t>,</w:t>
      </w:r>
      <w:r w:rsidR="00A919F5" w:rsidRPr="00925344">
        <w:rPr>
          <w:color w:val="auto"/>
        </w:rPr>
        <w:t xml:space="preserve"> and </w:t>
      </w:r>
      <w:r w:rsidR="00A919F5" w:rsidRPr="00925344">
        <w:rPr>
          <w:i/>
          <w:color w:val="auto"/>
        </w:rPr>
        <w:t>jus in bello</w:t>
      </w:r>
      <w:r w:rsidR="00A919F5" w:rsidRPr="00925344">
        <w:rPr>
          <w:color w:val="auto"/>
        </w:rPr>
        <w:t xml:space="preserve"> concerns are </w:t>
      </w:r>
      <w:r w:rsidR="0006120E" w:rsidRPr="00925344">
        <w:rPr>
          <w:color w:val="auto"/>
        </w:rPr>
        <w:t xml:space="preserve">entirely </w:t>
      </w:r>
      <w:r w:rsidR="00A919F5" w:rsidRPr="00925344">
        <w:rPr>
          <w:color w:val="auto"/>
        </w:rPr>
        <w:t>left aside</w:t>
      </w:r>
      <w:r w:rsidR="00915A38" w:rsidRPr="00925344">
        <w:rPr>
          <w:color w:val="auto"/>
        </w:rPr>
        <w:t>; h</w:t>
      </w:r>
      <w:r w:rsidR="00F320F8" w:rsidRPr="00925344">
        <w:rPr>
          <w:color w:val="auto"/>
        </w:rPr>
        <w:t>owever, i</w:t>
      </w:r>
      <w:r w:rsidR="00A919F5" w:rsidRPr="00925344">
        <w:rPr>
          <w:color w:val="auto"/>
        </w:rPr>
        <w:t xml:space="preserve">t is notable that the book </w:t>
      </w:r>
      <w:r w:rsidR="00F320F8" w:rsidRPr="00925344">
        <w:rPr>
          <w:color w:val="auto"/>
        </w:rPr>
        <w:t>also</w:t>
      </w:r>
      <w:r w:rsidR="00A919F5" w:rsidRPr="00925344">
        <w:rPr>
          <w:color w:val="auto"/>
        </w:rPr>
        <w:t xml:space="preserve"> considers other </w:t>
      </w:r>
      <w:r w:rsidR="00DC0DF5" w:rsidRPr="00925344">
        <w:rPr>
          <w:color w:val="auto"/>
        </w:rPr>
        <w:t xml:space="preserve">legal </w:t>
      </w:r>
      <w:r w:rsidR="00A919F5" w:rsidRPr="00925344">
        <w:rPr>
          <w:color w:val="auto"/>
        </w:rPr>
        <w:t>areas in relation to force/militarisation too</w:t>
      </w:r>
      <w:r w:rsidR="00F320F8" w:rsidRPr="00925344">
        <w:rPr>
          <w:color w:val="auto"/>
        </w:rPr>
        <w:t xml:space="preserve"> (</w:t>
      </w:r>
      <w:r w:rsidR="00A919F5" w:rsidRPr="00925344">
        <w:rPr>
          <w:color w:val="auto"/>
        </w:rPr>
        <w:t>such as</w:t>
      </w:r>
      <w:r w:rsidR="00F320F8" w:rsidRPr="00925344">
        <w:rPr>
          <w:color w:val="auto"/>
        </w:rPr>
        <w:t>, say,</w:t>
      </w:r>
      <w:r w:rsidR="00537FF6" w:rsidRPr="00925344">
        <w:rPr>
          <w:color w:val="auto"/>
        </w:rPr>
        <w:t xml:space="preserve"> </w:t>
      </w:r>
      <w:r w:rsidR="0006120E" w:rsidRPr="00925344">
        <w:rPr>
          <w:color w:val="auto"/>
        </w:rPr>
        <w:t xml:space="preserve">provisions relating to the </w:t>
      </w:r>
      <w:r w:rsidR="0006120E" w:rsidRPr="00925344">
        <w:rPr>
          <w:i/>
          <w:color w:val="auto"/>
        </w:rPr>
        <w:t>testing</w:t>
      </w:r>
      <w:r w:rsidR="00F320F8" w:rsidRPr="00925344">
        <w:rPr>
          <w:color w:val="auto"/>
        </w:rPr>
        <w:t xml:space="preserve"> of nuclear weapons, at 38-39, or the wider ‘space law’ regime more generally, at 34-43).  It </w:t>
      </w:r>
      <w:r w:rsidR="00A919F5" w:rsidRPr="00925344">
        <w:rPr>
          <w:color w:val="auto"/>
        </w:rPr>
        <w:t xml:space="preserve">is </w:t>
      </w:r>
      <w:r w:rsidR="00F320F8" w:rsidRPr="00925344">
        <w:rPr>
          <w:color w:val="auto"/>
        </w:rPr>
        <w:t xml:space="preserve">therefore </w:t>
      </w:r>
      <w:r w:rsidR="00A919F5" w:rsidRPr="00925344">
        <w:rPr>
          <w:color w:val="auto"/>
        </w:rPr>
        <w:t xml:space="preserve">not </w:t>
      </w:r>
      <w:r w:rsidR="00F320F8" w:rsidRPr="00925344">
        <w:rPr>
          <w:color w:val="auto"/>
        </w:rPr>
        <w:t xml:space="preserve">the case that the book is </w:t>
      </w:r>
      <w:r w:rsidR="00A919F5" w:rsidRPr="00925344">
        <w:rPr>
          <w:color w:val="auto"/>
        </w:rPr>
        <w:t xml:space="preserve">merely confined to </w:t>
      </w:r>
      <w:r w:rsidR="00BB069A">
        <w:rPr>
          <w:color w:val="auto"/>
        </w:rPr>
        <w:t>examin</w:t>
      </w:r>
      <w:r w:rsidR="00AF60A2">
        <w:rPr>
          <w:color w:val="auto"/>
        </w:rPr>
        <w:t>ing</w:t>
      </w:r>
      <w:r w:rsidR="0006120E" w:rsidRPr="00925344">
        <w:rPr>
          <w:color w:val="auto"/>
        </w:rPr>
        <w:t xml:space="preserve"> </w:t>
      </w:r>
      <w:r w:rsidR="00A919F5" w:rsidRPr="00925344">
        <w:rPr>
          <w:color w:val="auto"/>
        </w:rPr>
        <w:t>rule</w:t>
      </w:r>
      <w:r w:rsidR="0006120E" w:rsidRPr="00925344">
        <w:rPr>
          <w:color w:val="auto"/>
        </w:rPr>
        <w:t>s</w:t>
      </w:r>
      <w:r w:rsidR="00A919F5" w:rsidRPr="00925344">
        <w:rPr>
          <w:color w:val="auto"/>
        </w:rPr>
        <w:t xml:space="preserve"> that </w:t>
      </w:r>
      <w:r w:rsidR="00F320F8" w:rsidRPr="00925344">
        <w:rPr>
          <w:color w:val="auto"/>
        </w:rPr>
        <w:t>can</w:t>
      </w:r>
      <w:r w:rsidR="00A919F5" w:rsidRPr="00925344">
        <w:rPr>
          <w:color w:val="auto"/>
        </w:rPr>
        <w:t xml:space="preserve"> strictly be considered as ‘</w:t>
      </w:r>
      <w:r w:rsidR="00A919F5" w:rsidRPr="00925344">
        <w:rPr>
          <w:i/>
          <w:color w:val="auto"/>
        </w:rPr>
        <w:t>jus ad bellum</w:t>
      </w:r>
      <w:r w:rsidR="00A919F5" w:rsidRPr="00925344">
        <w:rPr>
          <w:color w:val="auto"/>
        </w:rPr>
        <w:t>’</w:t>
      </w:r>
      <w:r w:rsidR="0006120E" w:rsidRPr="00925344">
        <w:rPr>
          <w:color w:val="auto"/>
        </w:rPr>
        <w:t xml:space="preserve"> in nature</w:t>
      </w:r>
      <w:r w:rsidR="00A919F5" w:rsidRPr="00925344">
        <w:rPr>
          <w:color w:val="auto"/>
        </w:rPr>
        <w:t xml:space="preserve"> (at least</w:t>
      </w:r>
      <w:r w:rsidR="0006120E" w:rsidRPr="00925344">
        <w:rPr>
          <w:color w:val="auto"/>
        </w:rPr>
        <w:t>,</w:t>
      </w:r>
      <w:r w:rsidR="00A919F5" w:rsidRPr="00925344">
        <w:rPr>
          <w:color w:val="auto"/>
        </w:rPr>
        <w:t xml:space="preserve"> in the Charter-framework sense).  This is no bad thing</w:t>
      </w:r>
      <w:r w:rsidR="00F320F8" w:rsidRPr="00925344">
        <w:rPr>
          <w:color w:val="auto"/>
        </w:rPr>
        <w:t>—</w:t>
      </w:r>
      <w:r w:rsidR="00A919F5" w:rsidRPr="00925344">
        <w:rPr>
          <w:color w:val="auto"/>
        </w:rPr>
        <w:t xml:space="preserve">indeed, the wider focus on norms of international law beyond just Articles 2(4) and 51 as applicable to the militarisation of outer space </w:t>
      </w:r>
      <w:r w:rsidR="0006120E" w:rsidRPr="00925344">
        <w:rPr>
          <w:color w:val="auto"/>
        </w:rPr>
        <w:t xml:space="preserve">(in chapter 3) </w:t>
      </w:r>
      <w:r w:rsidR="00A919F5" w:rsidRPr="00925344">
        <w:rPr>
          <w:color w:val="auto"/>
        </w:rPr>
        <w:t>represent some of the most valu</w:t>
      </w:r>
      <w:r w:rsidR="00F320F8" w:rsidRPr="00925344">
        <w:rPr>
          <w:color w:val="auto"/>
        </w:rPr>
        <w:t>able</w:t>
      </w:r>
      <w:r w:rsidR="00A919F5" w:rsidRPr="00925344">
        <w:rPr>
          <w:color w:val="auto"/>
        </w:rPr>
        <w:t xml:space="preserve"> elemen</w:t>
      </w:r>
      <w:r w:rsidR="00F320F8" w:rsidRPr="00925344">
        <w:rPr>
          <w:color w:val="auto"/>
        </w:rPr>
        <w:t>ts of the book—but it is worth keeping in mind.</w:t>
      </w:r>
    </w:p>
    <w:p w:rsidR="00DC6FF6" w:rsidRPr="00925344" w:rsidRDefault="00352589" w:rsidP="005E3FCC">
      <w:pPr>
        <w:pStyle w:val="NoSpacing"/>
        <w:ind w:firstLine="720"/>
        <w:jc w:val="both"/>
        <w:rPr>
          <w:rFonts w:ascii="Times New Roman" w:eastAsia="Times New Roman" w:hAnsi="Times New Roman" w:cs="Times New Roman"/>
          <w:color w:val="auto"/>
          <w:sz w:val="24"/>
          <w:szCs w:val="24"/>
          <w:lang w:val="en-GB"/>
        </w:rPr>
      </w:pPr>
      <w:r w:rsidRPr="00925344">
        <w:rPr>
          <w:rFonts w:ascii="Times New Roman" w:hAnsi="Times New Roman" w:cs="Times New Roman"/>
          <w:i/>
          <w:color w:val="auto"/>
          <w:sz w:val="24"/>
          <w:szCs w:val="24"/>
          <w:lang w:val="en-GB"/>
        </w:rPr>
        <w:t>Technology and the Law on the Use of Force</w:t>
      </w:r>
      <w:r w:rsidRPr="00925344">
        <w:rPr>
          <w:rFonts w:ascii="Times New Roman" w:hAnsi="Times New Roman" w:cs="Times New Roman"/>
          <w:color w:val="auto"/>
          <w:sz w:val="24"/>
          <w:szCs w:val="24"/>
          <w:lang w:val="en-GB"/>
        </w:rPr>
        <w:t xml:space="preserve"> </w:t>
      </w:r>
      <w:r w:rsidR="00EB35BD" w:rsidRPr="00925344">
        <w:rPr>
          <w:rFonts w:ascii="Times New Roman" w:hAnsi="Times New Roman" w:cs="Times New Roman"/>
          <w:color w:val="auto"/>
          <w:sz w:val="24"/>
          <w:szCs w:val="24"/>
          <w:lang w:val="en-GB"/>
        </w:rPr>
        <w:t>begins</w:t>
      </w:r>
      <w:r w:rsidR="0069117F" w:rsidRPr="00925344">
        <w:rPr>
          <w:rFonts w:ascii="Times New Roman" w:hAnsi="Times New Roman" w:cs="Times New Roman"/>
          <w:color w:val="auto"/>
          <w:sz w:val="24"/>
          <w:szCs w:val="24"/>
          <w:lang w:val="en-GB"/>
        </w:rPr>
        <w:t>,</w:t>
      </w:r>
      <w:r w:rsidR="00EB35BD" w:rsidRPr="00925344">
        <w:rPr>
          <w:rFonts w:ascii="Times New Roman" w:hAnsi="Times New Roman" w:cs="Times New Roman"/>
          <w:color w:val="auto"/>
          <w:sz w:val="24"/>
          <w:szCs w:val="24"/>
          <w:lang w:val="en-GB"/>
        </w:rPr>
        <w:t xml:space="preserve"> </w:t>
      </w:r>
      <w:r w:rsidR="008D5301" w:rsidRPr="00925344">
        <w:rPr>
          <w:rFonts w:ascii="Times New Roman" w:hAnsi="Times New Roman" w:cs="Times New Roman"/>
          <w:color w:val="auto"/>
          <w:sz w:val="24"/>
          <w:szCs w:val="24"/>
          <w:lang w:val="en-GB"/>
        </w:rPr>
        <w:t>in c</w:t>
      </w:r>
      <w:r w:rsidR="00EB35BD" w:rsidRPr="00925344">
        <w:rPr>
          <w:rFonts w:ascii="Times New Roman" w:hAnsi="Times New Roman" w:cs="Times New Roman"/>
          <w:color w:val="auto"/>
          <w:sz w:val="24"/>
          <w:szCs w:val="24"/>
          <w:lang w:val="en-GB"/>
        </w:rPr>
        <w:t xml:space="preserve">hapter </w:t>
      </w:r>
      <w:r w:rsidR="00F320F8" w:rsidRPr="00925344">
        <w:rPr>
          <w:rFonts w:ascii="Times New Roman" w:hAnsi="Times New Roman" w:cs="Times New Roman"/>
          <w:color w:val="auto"/>
          <w:sz w:val="24"/>
          <w:szCs w:val="24"/>
          <w:lang w:val="en-GB"/>
        </w:rPr>
        <w:t>1</w:t>
      </w:r>
      <w:r w:rsidR="0069117F" w:rsidRPr="00925344">
        <w:rPr>
          <w:rFonts w:ascii="Times New Roman" w:hAnsi="Times New Roman" w:cs="Times New Roman"/>
          <w:color w:val="auto"/>
          <w:sz w:val="24"/>
          <w:szCs w:val="24"/>
          <w:lang w:val="en-GB"/>
        </w:rPr>
        <w:t>,</w:t>
      </w:r>
      <w:r w:rsidR="00EB35BD" w:rsidRPr="00925344">
        <w:rPr>
          <w:rFonts w:ascii="Times New Roman" w:hAnsi="Times New Roman" w:cs="Times New Roman"/>
          <w:color w:val="auto"/>
          <w:sz w:val="24"/>
          <w:szCs w:val="24"/>
          <w:lang w:val="en-GB"/>
        </w:rPr>
        <w:t xml:space="preserve"> by familiarising the reader with the well-</w:t>
      </w:r>
      <w:r w:rsidR="00A919F5" w:rsidRPr="00925344">
        <w:rPr>
          <w:rFonts w:ascii="Times New Roman" w:hAnsi="Times New Roman" w:cs="Times New Roman"/>
          <w:color w:val="auto"/>
          <w:sz w:val="24"/>
          <w:szCs w:val="24"/>
          <w:lang w:val="en-GB"/>
        </w:rPr>
        <w:t>known</w:t>
      </w:r>
      <w:r w:rsidR="00EB35BD" w:rsidRPr="00925344">
        <w:rPr>
          <w:rFonts w:ascii="Times New Roman" w:hAnsi="Times New Roman" w:cs="Times New Roman"/>
          <w:color w:val="auto"/>
          <w:sz w:val="24"/>
          <w:szCs w:val="24"/>
          <w:lang w:val="en-GB"/>
        </w:rPr>
        <w:t xml:space="preserve"> tenets and framework </w:t>
      </w:r>
      <w:r w:rsidR="0069117F" w:rsidRPr="00925344">
        <w:rPr>
          <w:rFonts w:ascii="Times New Roman" w:hAnsi="Times New Roman" w:cs="Times New Roman"/>
          <w:color w:val="auto"/>
          <w:sz w:val="24"/>
          <w:szCs w:val="24"/>
          <w:lang w:val="en-GB"/>
        </w:rPr>
        <w:t>of</w:t>
      </w:r>
      <w:r w:rsidR="00EB35BD" w:rsidRPr="00925344">
        <w:rPr>
          <w:rFonts w:ascii="Times New Roman" w:hAnsi="Times New Roman" w:cs="Times New Roman"/>
          <w:color w:val="auto"/>
          <w:sz w:val="24"/>
          <w:szCs w:val="24"/>
          <w:lang w:val="en-GB"/>
        </w:rPr>
        <w:t xml:space="preserve"> the </w:t>
      </w:r>
      <w:r w:rsidR="00EB35BD" w:rsidRPr="00925344">
        <w:rPr>
          <w:rFonts w:ascii="Times New Roman" w:hAnsi="Times New Roman" w:cs="Times New Roman"/>
          <w:i/>
          <w:iCs/>
          <w:color w:val="auto"/>
          <w:sz w:val="24"/>
          <w:szCs w:val="24"/>
          <w:lang w:val="en-GB"/>
        </w:rPr>
        <w:t>jus ad bellum</w:t>
      </w:r>
      <w:r w:rsidR="00C5536A" w:rsidRPr="00925344">
        <w:rPr>
          <w:rFonts w:ascii="Times New Roman" w:hAnsi="Times New Roman" w:cs="Times New Roman"/>
          <w:iCs/>
          <w:color w:val="auto"/>
          <w:sz w:val="24"/>
          <w:szCs w:val="24"/>
          <w:lang w:val="en-GB"/>
        </w:rPr>
        <w:t>,</w:t>
      </w:r>
      <w:r w:rsidR="0043416E" w:rsidRPr="00925344">
        <w:rPr>
          <w:rFonts w:ascii="Times New Roman" w:hAnsi="Times New Roman" w:cs="Times New Roman"/>
          <w:color w:val="auto"/>
          <w:sz w:val="24"/>
          <w:szCs w:val="24"/>
          <w:lang w:val="en-GB"/>
        </w:rPr>
        <w:t xml:space="preserve"> </w:t>
      </w:r>
      <w:r w:rsidR="00EB35BD" w:rsidRPr="00925344">
        <w:rPr>
          <w:rFonts w:ascii="Times New Roman" w:hAnsi="Times New Roman" w:cs="Times New Roman"/>
          <w:color w:val="auto"/>
          <w:sz w:val="24"/>
          <w:szCs w:val="24"/>
          <w:lang w:val="en-GB"/>
        </w:rPr>
        <w:t>which ultimatel</w:t>
      </w:r>
      <w:r w:rsidR="00C5536A" w:rsidRPr="00925344">
        <w:rPr>
          <w:rFonts w:ascii="Times New Roman" w:hAnsi="Times New Roman" w:cs="Times New Roman"/>
          <w:color w:val="auto"/>
          <w:sz w:val="24"/>
          <w:szCs w:val="24"/>
          <w:lang w:val="en-GB"/>
        </w:rPr>
        <w:t>y underpin</w:t>
      </w:r>
      <w:r w:rsidR="00EB35BD" w:rsidRPr="00925344">
        <w:rPr>
          <w:rFonts w:ascii="Times New Roman" w:hAnsi="Times New Roman" w:cs="Times New Roman"/>
          <w:color w:val="auto"/>
          <w:sz w:val="24"/>
          <w:szCs w:val="24"/>
          <w:lang w:val="en-GB"/>
        </w:rPr>
        <w:t xml:space="preserve"> </w:t>
      </w:r>
      <w:r w:rsidR="00A919F5" w:rsidRPr="00925344">
        <w:rPr>
          <w:rFonts w:ascii="Times New Roman" w:hAnsi="Times New Roman" w:cs="Times New Roman"/>
          <w:color w:val="auto"/>
          <w:sz w:val="24"/>
          <w:szCs w:val="24"/>
          <w:lang w:val="en-GB"/>
        </w:rPr>
        <w:t>la</w:t>
      </w:r>
      <w:r w:rsidR="00CA2C36" w:rsidRPr="00925344">
        <w:rPr>
          <w:rFonts w:ascii="Times New Roman" w:hAnsi="Times New Roman" w:cs="Times New Roman"/>
          <w:color w:val="auto"/>
          <w:sz w:val="24"/>
          <w:szCs w:val="24"/>
          <w:lang w:val="en-GB"/>
        </w:rPr>
        <w:t>t</w:t>
      </w:r>
      <w:r w:rsidR="00EB35BD" w:rsidRPr="00925344">
        <w:rPr>
          <w:rFonts w:ascii="Times New Roman" w:hAnsi="Times New Roman" w:cs="Times New Roman"/>
          <w:color w:val="auto"/>
          <w:sz w:val="24"/>
          <w:szCs w:val="24"/>
          <w:lang w:val="en-GB"/>
        </w:rPr>
        <w:t xml:space="preserve">er discussions concerning the </w:t>
      </w:r>
      <w:r w:rsidR="00BB069A">
        <w:rPr>
          <w:rFonts w:ascii="Times New Roman" w:hAnsi="Times New Roman" w:cs="Times New Roman"/>
          <w:color w:val="auto"/>
          <w:sz w:val="24"/>
          <w:szCs w:val="24"/>
          <w:lang w:val="en-GB"/>
        </w:rPr>
        <w:t>extent to which</w:t>
      </w:r>
      <w:r w:rsidR="00EB35BD" w:rsidRPr="00925344">
        <w:rPr>
          <w:rFonts w:ascii="Times New Roman" w:hAnsi="Times New Roman" w:cs="Times New Roman"/>
          <w:color w:val="auto"/>
          <w:sz w:val="24"/>
          <w:szCs w:val="24"/>
          <w:lang w:val="en-GB"/>
        </w:rPr>
        <w:t xml:space="preserve"> </w:t>
      </w:r>
      <w:r w:rsidR="00DC0DF5" w:rsidRPr="00925344">
        <w:rPr>
          <w:rFonts w:ascii="Times New Roman" w:hAnsi="Times New Roman" w:cs="Times New Roman"/>
          <w:color w:val="auto"/>
          <w:sz w:val="24"/>
          <w:szCs w:val="24"/>
          <w:lang w:val="en-GB"/>
        </w:rPr>
        <w:t>that regime</w:t>
      </w:r>
      <w:r w:rsidR="00A919F5" w:rsidRPr="00925344">
        <w:rPr>
          <w:rFonts w:ascii="Times New Roman" w:hAnsi="Times New Roman" w:cs="Times New Roman"/>
          <w:color w:val="auto"/>
          <w:sz w:val="24"/>
          <w:szCs w:val="24"/>
          <w:lang w:val="en-GB"/>
        </w:rPr>
        <w:t xml:space="preserve"> </w:t>
      </w:r>
      <w:r w:rsidR="00BB069A">
        <w:rPr>
          <w:rFonts w:ascii="Times New Roman" w:hAnsi="Times New Roman" w:cs="Times New Roman"/>
          <w:color w:val="auto"/>
          <w:sz w:val="24"/>
          <w:szCs w:val="24"/>
          <w:lang w:val="en-GB"/>
        </w:rPr>
        <w:t xml:space="preserve">can adapt </w:t>
      </w:r>
      <w:r w:rsidR="00A919F5" w:rsidRPr="00925344">
        <w:rPr>
          <w:rFonts w:ascii="Times New Roman" w:hAnsi="Times New Roman" w:cs="Times New Roman"/>
          <w:color w:val="auto"/>
          <w:sz w:val="24"/>
          <w:szCs w:val="24"/>
          <w:lang w:val="en-GB"/>
        </w:rPr>
        <w:t>to the technologies considered</w:t>
      </w:r>
      <w:r w:rsidR="00EB35BD" w:rsidRPr="00925344">
        <w:rPr>
          <w:rFonts w:ascii="Times New Roman" w:hAnsi="Times New Roman" w:cs="Times New Roman"/>
          <w:color w:val="auto"/>
          <w:sz w:val="24"/>
          <w:szCs w:val="24"/>
          <w:lang w:val="en-GB"/>
        </w:rPr>
        <w:t xml:space="preserve">.  </w:t>
      </w:r>
      <w:r w:rsidR="00537FF6" w:rsidRPr="00925344">
        <w:rPr>
          <w:rFonts w:ascii="Times New Roman" w:hAnsi="Times New Roman" w:cs="Times New Roman"/>
          <w:color w:val="auto"/>
          <w:sz w:val="24"/>
          <w:szCs w:val="24"/>
          <w:lang w:val="en-GB"/>
        </w:rPr>
        <w:t>This is very much a framework chapter</w:t>
      </w:r>
      <w:r w:rsidR="00AF60A2">
        <w:rPr>
          <w:rFonts w:ascii="Times New Roman" w:hAnsi="Times New Roman" w:cs="Times New Roman"/>
          <w:color w:val="auto"/>
          <w:sz w:val="24"/>
          <w:szCs w:val="24"/>
          <w:lang w:val="en-GB"/>
        </w:rPr>
        <w:t xml:space="preserve"> </w:t>
      </w:r>
      <w:r w:rsidR="00537FF6" w:rsidRPr="00925344">
        <w:rPr>
          <w:rFonts w:ascii="Times New Roman" w:hAnsi="Times New Roman" w:cs="Times New Roman"/>
          <w:color w:val="auto"/>
          <w:sz w:val="24"/>
          <w:szCs w:val="24"/>
          <w:lang w:val="en-GB"/>
        </w:rPr>
        <w:t xml:space="preserve">in which </w:t>
      </w:r>
      <w:proofErr w:type="spellStart"/>
      <w:r w:rsidR="00537FF6" w:rsidRPr="00925344">
        <w:rPr>
          <w:rFonts w:ascii="Times New Roman" w:hAnsi="Times New Roman" w:cs="Times New Roman"/>
          <w:color w:val="auto"/>
          <w:sz w:val="24"/>
          <w:szCs w:val="24"/>
          <w:lang w:val="en-GB"/>
        </w:rPr>
        <w:t>Maogoto</w:t>
      </w:r>
      <w:proofErr w:type="spellEnd"/>
      <w:r w:rsidR="00537FF6" w:rsidRPr="00925344">
        <w:rPr>
          <w:rFonts w:ascii="Times New Roman" w:hAnsi="Times New Roman" w:cs="Times New Roman"/>
          <w:color w:val="auto"/>
          <w:sz w:val="24"/>
          <w:szCs w:val="24"/>
          <w:lang w:val="en-GB"/>
        </w:rPr>
        <w:t xml:space="preserve"> seeks to ground his analysis.  </w:t>
      </w:r>
      <w:r w:rsidR="00EB35BD" w:rsidRPr="00925344">
        <w:rPr>
          <w:rFonts w:ascii="Times New Roman" w:hAnsi="Times New Roman" w:cs="Times New Roman"/>
          <w:color w:val="auto"/>
          <w:sz w:val="24"/>
          <w:szCs w:val="24"/>
          <w:lang w:val="en-GB"/>
        </w:rPr>
        <w:t xml:space="preserve">The starting point for any </w:t>
      </w:r>
      <w:r w:rsidR="00EB35BD" w:rsidRPr="00925344">
        <w:rPr>
          <w:rFonts w:ascii="Times New Roman" w:hAnsi="Times New Roman" w:cs="Times New Roman"/>
          <w:i/>
          <w:iCs/>
          <w:color w:val="auto"/>
          <w:sz w:val="24"/>
          <w:szCs w:val="24"/>
          <w:lang w:val="en-GB"/>
        </w:rPr>
        <w:t>jus ad bellum</w:t>
      </w:r>
      <w:r w:rsidR="00EB35BD" w:rsidRPr="00925344">
        <w:rPr>
          <w:rFonts w:ascii="Times New Roman" w:hAnsi="Times New Roman" w:cs="Times New Roman"/>
          <w:color w:val="auto"/>
          <w:sz w:val="24"/>
          <w:szCs w:val="24"/>
          <w:lang w:val="en-GB"/>
        </w:rPr>
        <w:t xml:space="preserve"> discussion is</w:t>
      </w:r>
      <w:r w:rsidR="00537FF6" w:rsidRPr="00925344">
        <w:rPr>
          <w:rFonts w:ascii="Times New Roman" w:hAnsi="Times New Roman" w:cs="Times New Roman"/>
          <w:color w:val="auto"/>
          <w:sz w:val="24"/>
          <w:szCs w:val="24"/>
          <w:lang w:val="en-GB"/>
        </w:rPr>
        <w:t>,</w:t>
      </w:r>
      <w:r w:rsidR="00EB35BD" w:rsidRPr="00925344">
        <w:rPr>
          <w:rFonts w:ascii="Times New Roman" w:hAnsi="Times New Roman" w:cs="Times New Roman"/>
          <w:color w:val="auto"/>
          <w:sz w:val="24"/>
          <w:szCs w:val="24"/>
          <w:lang w:val="en-GB"/>
        </w:rPr>
        <w:t xml:space="preserve"> of course</w:t>
      </w:r>
      <w:r w:rsidR="00537FF6" w:rsidRPr="00925344">
        <w:rPr>
          <w:rFonts w:ascii="Times New Roman" w:hAnsi="Times New Roman" w:cs="Times New Roman"/>
          <w:color w:val="auto"/>
          <w:sz w:val="24"/>
          <w:szCs w:val="24"/>
          <w:lang w:val="en-GB"/>
        </w:rPr>
        <w:t>,</w:t>
      </w:r>
      <w:r w:rsidR="00EB35BD" w:rsidRPr="00925344">
        <w:rPr>
          <w:rFonts w:ascii="Times New Roman" w:hAnsi="Times New Roman" w:cs="Times New Roman"/>
          <w:color w:val="auto"/>
          <w:sz w:val="24"/>
          <w:szCs w:val="24"/>
          <w:lang w:val="en-GB"/>
        </w:rPr>
        <w:t xml:space="preserve"> the prohibition </w:t>
      </w:r>
      <w:r w:rsidR="00537FF6" w:rsidRPr="00925344">
        <w:rPr>
          <w:rFonts w:ascii="Times New Roman" w:hAnsi="Times New Roman" w:cs="Times New Roman"/>
          <w:color w:val="auto"/>
          <w:sz w:val="24"/>
          <w:szCs w:val="24"/>
          <w:lang w:val="en-GB"/>
        </w:rPr>
        <w:t>of</w:t>
      </w:r>
      <w:r w:rsidR="00EB35BD" w:rsidRPr="00925344">
        <w:rPr>
          <w:rFonts w:ascii="Times New Roman" w:hAnsi="Times New Roman" w:cs="Times New Roman"/>
          <w:color w:val="auto"/>
          <w:sz w:val="24"/>
          <w:szCs w:val="24"/>
          <w:lang w:val="en-GB"/>
        </w:rPr>
        <w:t xml:space="preserve"> the threat </w:t>
      </w:r>
      <w:r w:rsidR="00C5536A" w:rsidRPr="00925344">
        <w:rPr>
          <w:rFonts w:ascii="Times New Roman" w:hAnsi="Times New Roman" w:cs="Times New Roman"/>
          <w:color w:val="auto"/>
          <w:sz w:val="24"/>
          <w:szCs w:val="24"/>
          <w:lang w:val="en-GB"/>
        </w:rPr>
        <w:t>or</w:t>
      </w:r>
      <w:r w:rsidR="00EB35BD" w:rsidRPr="00925344">
        <w:rPr>
          <w:rFonts w:ascii="Times New Roman" w:hAnsi="Times New Roman" w:cs="Times New Roman"/>
          <w:color w:val="auto"/>
          <w:sz w:val="24"/>
          <w:szCs w:val="24"/>
          <w:lang w:val="en-GB"/>
        </w:rPr>
        <w:t xml:space="preserve"> use of force contained in Article 2(4) of the </w:t>
      </w:r>
      <w:r w:rsidR="009E7A6A" w:rsidRPr="00925344">
        <w:rPr>
          <w:rFonts w:ascii="Times New Roman" w:hAnsi="Times New Roman" w:cs="Times New Roman"/>
          <w:color w:val="auto"/>
          <w:sz w:val="24"/>
          <w:szCs w:val="24"/>
          <w:lang w:val="en-GB"/>
        </w:rPr>
        <w:t>United Nations (UN)</w:t>
      </w:r>
      <w:r w:rsidR="00EB35BD" w:rsidRPr="00925344">
        <w:rPr>
          <w:rFonts w:ascii="Times New Roman" w:hAnsi="Times New Roman" w:cs="Times New Roman"/>
          <w:color w:val="auto"/>
          <w:sz w:val="24"/>
          <w:szCs w:val="24"/>
          <w:lang w:val="en-GB"/>
        </w:rPr>
        <w:t xml:space="preserve"> Charter.  </w:t>
      </w:r>
      <w:r w:rsidR="00EB35BD" w:rsidRPr="009455D1">
        <w:rPr>
          <w:rFonts w:ascii="Times New Roman" w:hAnsi="Times New Roman" w:cs="Times New Roman"/>
          <w:color w:val="auto"/>
          <w:sz w:val="24"/>
          <w:szCs w:val="24"/>
          <w:lang w:val="en-GB"/>
        </w:rPr>
        <w:t>Considerable literature elsewhere has deconstructed this cornerstone prohibition in terms of its various component parts.</w:t>
      </w:r>
      <w:r w:rsidR="009455D1" w:rsidRPr="009455D1">
        <w:rPr>
          <w:rStyle w:val="FootnoteReference"/>
          <w:rFonts w:ascii="Times New Roman" w:hAnsi="Times New Roman" w:cs="Times New Roman"/>
          <w:color w:val="auto"/>
          <w:sz w:val="24"/>
          <w:szCs w:val="24"/>
          <w:lang w:val="en-GB"/>
        </w:rPr>
        <w:footnoteReference w:id="7"/>
      </w:r>
      <w:r w:rsidR="00EB35BD" w:rsidRPr="00925344">
        <w:rPr>
          <w:rFonts w:ascii="Times New Roman" w:hAnsi="Times New Roman" w:cs="Times New Roman"/>
          <w:color w:val="auto"/>
          <w:sz w:val="24"/>
          <w:szCs w:val="24"/>
          <w:lang w:val="en-GB"/>
        </w:rPr>
        <w:t xml:space="preserve">  Of </w:t>
      </w:r>
      <w:r w:rsidR="00F320F8" w:rsidRPr="00925344">
        <w:rPr>
          <w:rFonts w:ascii="Times New Roman" w:hAnsi="Times New Roman" w:cs="Times New Roman"/>
          <w:color w:val="auto"/>
          <w:sz w:val="24"/>
          <w:szCs w:val="24"/>
          <w:lang w:val="en-GB"/>
        </w:rPr>
        <w:t xml:space="preserve">particular </w:t>
      </w:r>
      <w:r w:rsidR="00EB35BD" w:rsidRPr="00925344">
        <w:rPr>
          <w:rFonts w:ascii="Times New Roman" w:hAnsi="Times New Roman" w:cs="Times New Roman"/>
          <w:color w:val="auto"/>
          <w:sz w:val="24"/>
          <w:szCs w:val="24"/>
          <w:lang w:val="en-GB"/>
        </w:rPr>
        <w:t xml:space="preserve">note for </w:t>
      </w:r>
      <w:proofErr w:type="spellStart"/>
      <w:r w:rsidR="00EB35BD" w:rsidRPr="00925344">
        <w:rPr>
          <w:rFonts w:ascii="Times New Roman" w:hAnsi="Times New Roman" w:cs="Times New Roman"/>
          <w:color w:val="auto"/>
          <w:sz w:val="24"/>
          <w:szCs w:val="24"/>
          <w:lang w:val="en-GB"/>
        </w:rPr>
        <w:t>Maogoto</w:t>
      </w:r>
      <w:proofErr w:type="spellEnd"/>
      <w:r w:rsidR="008C4145" w:rsidRPr="00925344">
        <w:rPr>
          <w:rFonts w:ascii="Times New Roman" w:hAnsi="Times New Roman" w:cs="Times New Roman"/>
          <w:color w:val="auto"/>
          <w:sz w:val="24"/>
          <w:szCs w:val="24"/>
          <w:lang w:val="en-GB"/>
        </w:rPr>
        <w:t>,</w:t>
      </w:r>
      <w:r w:rsidR="00EB35BD" w:rsidRPr="00925344">
        <w:rPr>
          <w:rFonts w:ascii="Times New Roman" w:hAnsi="Times New Roman" w:cs="Times New Roman"/>
          <w:color w:val="auto"/>
          <w:sz w:val="24"/>
          <w:szCs w:val="24"/>
          <w:lang w:val="en-GB"/>
        </w:rPr>
        <w:t xml:space="preserve"> however</w:t>
      </w:r>
      <w:r w:rsidR="008C4145" w:rsidRPr="00925344">
        <w:rPr>
          <w:rFonts w:ascii="Times New Roman" w:hAnsi="Times New Roman" w:cs="Times New Roman"/>
          <w:color w:val="auto"/>
          <w:sz w:val="24"/>
          <w:szCs w:val="24"/>
          <w:lang w:val="en-GB"/>
        </w:rPr>
        <w:t>,</w:t>
      </w:r>
      <w:r w:rsidR="00EB35BD" w:rsidRPr="00925344">
        <w:rPr>
          <w:rFonts w:ascii="Times New Roman" w:hAnsi="Times New Roman" w:cs="Times New Roman"/>
          <w:color w:val="auto"/>
          <w:sz w:val="24"/>
          <w:szCs w:val="24"/>
          <w:lang w:val="en-GB"/>
        </w:rPr>
        <w:t xml:space="preserve"> is </w:t>
      </w:r>
      <w:r w:rsidR="00A919F5" w:rsidRPr="00925344">
        <w:rPr>
          <w:rFonts w:ascii="Times New Roman" w:hAnsi="Times New Roman" w:cs="Times New Roman"/>
          <w:color w:val="auto"/>
          <w:sz w:val="24"/>
          <w:szCs w:val="24"/>
          <w:lang w:val="en-GB"/>
        </w:rPr>
        <w:t xml:space="preserve">the </w:t>
      </w:r>
      <w:r w:rsidR="00763FE5" w:rsidRPr="00925344">
        <w:rPr>
          <w:rFonts w:ascii="Times New Roman" w:hAnsi="Times New Roman" w:cs="Times New Roman"/>
          <w:color w:val="auto"/>
          <w:sz w:val="24"/>
          <w:szCs w:val="24"/>
          <w:lang w:val="en-GB"/>
        </w:rPr>
        <w:t>fact</w:t>
      </w:r>
      <w:r w:rsidR="00EB35BD" w:rsidRPr="00925344">
        <w:rPr>
          <w:rFonts w:ascii="Times New Roman" w:hAnsi="Times New Roman" w:cs="Times New Roman"/>
          <w:color w:val="auto"/>
          <w:sz w:val="24"/>
          <w:szCs w:val="24"/>
          <w:lang w:val="en-GB"/>
        </w:rPr>
        <w:t xml:space="preserve"> that </w:t>
      </w:r>
      <w:r w:rsidR="00915A38" w:rsidRPr="00925344">
        <w:rPr>
          <w:rFonts w:ascii="Times New Roman" w:hAnsi="Times New Roman" w:cs="Times New Roman"/>
          <w:color w:val="auto"/>
          <w:sz w:val="24"/>
          <w:szCs w:val="24"/>
          <w:lang w:val="en-GB"/>
        </w:rPr>
        <w:t xml:space="preserve">the meaning of the term ‘force’ in </w:t>
      </w:r>
      <w:r w:rsidR="00EB35BD" w:rsidRPr="00925344">
        <w:rPr>
          <w:rFonts w:ascii="Times New Roman" w:hAnsi="Times New Roman" w:cs="Times New Roman"/>
          <w:color w:val="auto"/>
          <w:sz w:val="24"/>
          <w:szCs w:val="24"/>
          <w:lang w:val="en-GB"/>
        </w:rPr>
        <w:t xml:space="preserve">Article 2(4) </w:t>
      </w:r>
      <w:r w:rsidR="00763FE5" w:rsidRPr="00925344">
        <w:rPr>
          <w:rFonts w:ascii="Times New Roman" w:hAnsi="Times New Roman" w:cs="Times New Roman"/>
          <w:color w:val="auto"/>
          <w:sz w:val="24"/>
          <w:szCs w:val="24"/>
          <w:lang w:val="en-GB"/>
        </w:rPr>
        <w:t>has traditionally been interpreted</w:t>
      </w:r>
      <w:r w:rsidR="00EB35BD" w:rsidRPr="00925344">
        <w:rPr>
          <w:rFonts w:ascii="Times New Roman" w:hAnsi="Times New Roman" w:cs="Times New Roman"/>
          <w:color w:val="auto"/>
          <w:sz w:val="24"/>
          <w:szCs w:val="24"/>
          <w:lang w:val="en-GB"/>
        </w:rPr>
        <w:t xml:space="preserve"> </w:t>
      </w:r>
      <w:r w:rsidR="00915A38" w:rsidRPr="00925344">
        <w:rPr>
          <w:rFonts w:ascii="Times New Roman" w:hAnsi="Times New Roman" w:cs="Times New Roman"/>
          <w:color w:val="auto"/>
          <w:sz w:val="24"/>
          <w:szCs w:val="24"/>
          <w:lang w:val="en-GB"/>
        </w:rPr>
        <w:t>based on</w:t>
      </w:r>
      <w:r w:rsidR="00EB35BD" w:rsidRPr="00925344">
        <w:rPr>
          <w:rFonts w:ascii="Times New Roman" w:hAnsi="Times New Roman" w:cs="Times New Roman"/>
          <w:color w:val="auto"/>
          <w:sz w:val="24"/>
          <w:szCs w:val="24"/>
          <w:lang w:val="en-GB"/>
        </w:rPr>
        <w:t xml:space="preserve"> the t</w:t>
      </w:r>
      <w:r w:rsidR="00A919F5" w:rsidRPr="00925344">
        <w:rPr>
          <w:rFonts w:ascii="Times New Roman" w:hAnsi="Times New Roman" w:cs="Times New Roman"/>
          <w:color w:val="auto"/>
          <w:sz w:val="24"/>
          <w:szCs w:val="24"/>
          <w:lang w:val="en-GB"/>
        </w:rPr>
        <w:t xml:space="preserve">ype of </w:t>
      </w:r>
      <w:r w:rsidR="00915A38" w:rsidRPr="00925344">
        <w:rPr>
          <w:rFonts w:ascii="Times New Roman" w:hAnsi="Times New Roman" w:cs="Times New Roman"/>
          <w:color w:val="auto"/>
          <w:sz w:val="24"/>
          <w:szCs w:val="24"/>
          <w:lang w:val="en-GB"/>
        </w:rPr>
        <w:t>‘</w:t>
      </w:r>
      <w:r w:rsidR="00A919F5" w:rsidRPr="00925344">
        <w:rPr>
          <w:rFonts w:ascii="Times New Roman" w:hAnsi="Times New Roman" w:cs="Times New Roman"/>
          <w:color w:val="auto"/>
          <w:sz w:val="24"/>
          <w:szCs w:val="24"/>
          <w:lang w:val="en-GB"/>
        </w:rPr>
        <w:t>forc</w:t>
      </w:r>
      <w:r w:rsidR="00915A38" w:rsidRPr="00925344">
        <w:rPr>
          <w:rFonts w:ascii="Times New Roman" w:hAnsi="Times New Roman" w:cs="Times New Roman"/>
          <w:color w:val="auto"/>
          <w:sz w:val="24"/>
          <w:szCs w:val="24"/>
          <w:lang w:val="en-GB"/>
        </w:rPr>
        <w:t>ible’ action undertaken</w:t>
      </w:r>
      <w:r w:rsidR="00A919F5" w:rsidRPr="00925344">
        <w:rPr>
          <w:rFonts w:ascii="Times New Roman" w:hAnsi="Times New Roman" w:cs="Times New Roman"/>
          <w:color w:val="auto"/>
          <w:sz w:val="24"/>
          <w:szCs w:val="24"/>
          <w:lang w:val="en-GB"/>
        </w:rPr>
        <w:t xml:space="preserve"> (military/</w:t>
      </w:r>
      <w:r w:rsidR="00EB35BD" w:rsidRPr="00925344">
        <w:rPr>
          <w:rFonts w:ascii="Times New Roman" w:hAnsi="Times New Roman" w:cs="Times New Roman"/>
          <w:color w:val="auto"/>
          <w:sz w:val="24"/>
          <w:szCs w:val="24"/>
          <w:lang w:val="en-GB"/>
        </w:rPr>
        <w:t>kinetic).</w:t>
      </w:r>
      <w:r w:rsidR="0006120E" w:rsidRPr="00925344">
        <w:rPr>
          <w:rStyle w:val="FootnoteReference"/>
          <w:rFonts w:ascii="Times New Roman" w:hAnsi="Times New Roman" w:cs="Times New Roman"/>
          <w:color w:val="auto"/>
          <w:sz w:val="24"/>
          <w:szCs w:val="24"/>
          <w:lang w:val="en-GB"/>
        </w:rPr>
        <w:footnoteReference w:id="8"/>
      </w:r>
      <w:r w:rsidR="00EB35BD" w:rsidRPr="00925344">
        <w:rPr>
          <w:rFonts w:ascii="Times New Roman" w:hAnsi="Times New Roman" w:cs="Times New Roman"/>
          <w:color w:val="auto"/>
          <w:sz w:val="24"/>
          <w:szCs w:val="24"/>
          <w:lang w:val="en-GB"/>
        </w:rPr>
        <w:t xml:space="preserve"> </w:t>
      </w:r>
      <w:r w:rsidR="00537FF6" w:rsidRPr="00925344">
        <w:rPr>
          <w:rFonts w:ascii="Times New Roman" w:hAnsi="Times New Roman" w:cs="Times New Roman"/>
          <w:color w:val="auto"/>
          <w:sz w:val="24"/>
          <w:szCs w:val="24"/>
          <w:lang w:val="en-GB"/>
        </w:rPr>
        <w:t xml:space="preserve"> This is contrasted </w:t>
      </w:r>
      <w:r w:rsidR="0006120E" w:rsidRPr="00925344">
        <w:rPr>
          <w:rFonts w:ascii="Times New Roman" w:hAnsi="Times New Roman" w:cs="Times New Roman"/>
          <w:color w:val="auto"/>
          <w:sz w:val="24"/>
          <w:szCs w:val="24"/>
          <w:lang w:val="en-GB"/>
        </w:rPr>
        <w:t>with</w:t>
      </w:r>
      <w:r w:rsidR="00537FF6" w:rsidRPr="00925344">
        <w:rPr>
          <w:rFonts w:ascii="Times New Roman" w:hAnsi="Times New Roman" w:cs="Times New Roman"/>
          <w:color w:val="auto"/>
          <w:sz w:val="24"/>
          <w:szCs w:val="24"/>
          <w:lang w:val="en-GB"/>
        </w:rPr>
        <w:t xml:space="preserve"> the fact that, for states,</w:t>
      </w:r>
      <w:r w:rsidR="00EB35BD" w:rsidRPr="00925344">
        <w:rPr>
          <w:rFonts w:ascii="Times New Roman" w:hAnsi="Times New Roman" w:cs="Times New Roman"/>
          <w:color w:val="auto"/>
          <w:sz w:val="24"/>
          <w:szCs w:val="24"/>
          <w:lang w:val="en-GB"/>
        </w:rPr>
        <w:t xml:space="preserve"> </w:t>
      </w:r>
      <w:r w:rsidR="00763FE5" w:rsidRPr="00925344">
        <w:rPr>
          <w:rFonts w:ascii="Times New Roman" w:hAnsi="Times New Roman" w:cs="Times New Roman"/>
          <w:color w:val="auto"/>
          <w:sz w:val="24"/>
          <w:szCs w:val="24"/>
          <w:lang w:val="en-GB"/>
        </w:rPr>
        <w:t>it is</w:t>
      </w:r>
      <w:r w:rsidR="00790B7D" w:rsidRPr="00925344">
        <w:rPr>
          <w:rFonts w:ascii="Times New Roman" w:hAnsi="Times New Roman" w:cs="Times New Roman"/>
          <w:color w:val="auto"/>
          <w:sz w:val="24"/>
          <w:szCs w:val="24"/>
          <w:lang w:val="en-GB"/>
        </w:rPr>
        <w:t xml:space="preserve"> in reality</w:t>
      </w:r>
      <w:r w:rsidR="00763FE5" w:rsidRPr="00925344">
        <w:rPr>
          <w:rFonts w:ascii="Times New Roman" w:hAnsi="Times New Roman" w:cs="Times New Roman"/>
          <w:color w:val="auto"/>
          <w:sz w:val="24"/>
          <w:szCs w:val="24"/>
          <w:lang w:val="en-GB"/>
        </w:rPr>
        <w:t xml:space="preserve"> </w:t>
      </w:r>
      <w:r w:rsidR="00EB35BD" w:rsidRPr="00925344">
        <w:rPr>
          <w:rFonts w:ascii="Times New Roman" w:hAnsi="Times New Roman" w:cs="Times New Roman"/>
          <w:color w:val="auto"/>
          <w:sz w:val="24"/>
          <w:szCs w:val="24"/>
          <w:lang w:val="en-GB"/>
        </w:rPr>
        <w:t xml:space="preserve">the </w:t>
      </w:r>
      <w:r w:rsidR="00EB35BD" w:rsidRPr="00925344">
        <w:rPr>
          <w:rFonts w:ascii="Times New Roman" w:hAnsi="Times New Roman" w:cs="Times New Roman"/>
          <w:i/>
          <w:color w:val="auto"/>
          <w:sz w:val="24"/>
          <w:szCs w:val="24"/>
          <w:lang w:val="en-GB"/>
        </w:rPr>
        <w:t>consequences suffered</w:t>
      </w:r>
      <w:r w:rsidR="00763FE5" w:rsidRPr="00925344">
        <w:rPr>
          <w:rFonts w:ascii="Times New Roman" w:hAnsi="Times New Roman" w:cs="Times New Roman"/>
          <w:color w:val="auto"/>
          <w:sz w:val="24"/>
          <w:szCs w:val="24"/>
          <w:lang w:val="en-GB"/>
        </w:rPr>
        <w:t>,</w:t>
      </w:r>
      <w:r w:rsidR="00EB35BD" w:rsidRPr="00925344">
        <w:rPr>
          <w:rFonts w:ascii="Times New Roman" w:hAnsi="Times New Roman" w:cs="Times New Roman"/>
          <w:color w:val="auto"/>
          <w:sz w:val="24"/>
          <w:szCs w:val="24"/>
          <w:lang w:val="en-GB"/>
        </w:rPr>
        <w:t xml:space="preserve"> rather than the weapon</w:t>
      </w:r>
      <w:r w:rsidR="0043416E" w:rsidRPr="00925344">
        <w:rPr>
          <w:rFonts w:ascii="Times New Roman" w:hAnsi="Times New Roman" w:cs="Times New Roman"/>
          <w:color w:val="auto"/>
          <w:sz w:val="24"/>
          <w:szCs w:val="24"/>
          <w:lang w:val="en-GB"/>
        </w:rPr>
        <w:t xml:space="preserve"> utilised for </w:t>
      </w:r>
      <w:r w:rsidR="0043416E" w:rsidRPr="00925344">
        <w:rPr>
          <w:rFonts w:ascii="Times New Roman" w:hAnsi="Times New Roman" w:cs="Times New Roman"/>
          <w:iCs/>
          <w:color w:val="auto"/>
          <w:sz w:val="24"/>
          <w:szCs w:val="24"/>
          <w:lang w:val="en-GB"/>
        </w:rPr>
        <w:t>administering</w:t>
      </w:r>
      <w:r w:rsidR="00B555A6" w:rsidRPr="00925344">
        <w:rPr>
          <w:rFonts w:ascii="Times New Roman" w:hAnsi="Times New Roman" w:cs="Times New Roman"/>
          <w:iCs/>
          <w:color w:val="auto"/>
          <w:sz w:val="24"/>
          <w:szCs w:val="24"/>
          <w:lang w:val="en-GB"/>
        </w:rPr>
        <w:t xml:space="preserve"> force</w:t>
      </w:r>
      <w:r w:rsidR="00763FE5" w:rsidRPr="00925344">
        <w:rPr>
          <w:rFonts w:ascii="Times New Roman" w:hAnsi="Times New Roman" w:cs="Times New Roman"/>
          <w:iCs/>
          <w:color w:val="auto"/>
          <w:sz w:val="24"/>
          <w:szCs w:val="24"/>
          <w:lang w:val="en-GB"/>
        </w:rPr>
        <w:t>, which is of importance</w:t>
      </w:r>
      <w:r w:rsidR="00763FE5" w:rsidRPr="00925344">
        <w:rPr>
          <w:rFonts w:ascii="Times New Roman" w:hAnsi="Times New Roman" w:cs="Times New Roman"/>
          <w:color w:val="auto"/>
          <w:sz w:val="24"/>
          <w:szCs w:val="24"/>
          <w:lang w:val="en-GB"/>
        </w:rPr>
        <w:t>.</w:t>
      </w:r>
      <w:r w:rsidR="00D77CD9" w:rsidRPr="00925344">
        <w:rPr>
          <w:rStyle w:val="FootnoteReference"/>
          <w:rFonts w:ascii="Times New Roman" w:hAnsi="Times New Roman" w:cs="Times New Roman"/>
          <w:color w:val="auto"/>
          <w:sz w:val="24"/>
          <w:szCs w:val="24"/>
          <w:lang w:val="en-GB"/>
        </w:rPr>
        <w:footnoteReference w:id="9"/>
      </w:r>
    </w:p>
    <w:p w:rsidR="00D77CD9" w:rsidRPr="00925344" w:rsidRDefault="00EB35BD" w:rsidP="005E3FCC">
      <w:pPr>
        <w:pStyle w:val="NoSpacing"/>
        <w:ind w:firstLine="720"/>
        <w:jc w:val="both"/>
        <w:rPr>
          <w:rFonts w:ascii="Times New Roman" w:hAnsi="Times New Roman" w:cs="Times New Roman"/>
          <w:color w:val="auto"/>
          <w:sz w:val="24"/>
          <w:szCs w:val="24"/>
          <w:lang w:val="en-GB"/>
        </w:rPr>
      </w:pPr>
      <w:proofErr w:type="spellStart"/>
      <w:r w:rsidRPr="00925344">
        <w:rPr>
          <w:rFonts w:ascii="Times New Roman" w:hAnsi="Times New Roman" w:cs="Times New Roman"/>
          <w:color w:val="auto"/>
          <w:sz w:val="24"/>
          <w:szCs w:val="24"/>
          <w:lang w:val="en-GB"/>
        </w:rPr>
        <w:t>Ma</w:t>
      </w:r>
      <w:r w:rsidR="009E7A6A" w:rsidRPr="00925344">
        <w:rPr>
          <w:rFonts w:ascii="Times New Roman" w:hAnsi="Times New Roman" w:cs="Times New Roman"/>
          <w:color w:val="auto"/>
          <w:sz w:val="24"/>
          <w:szCs w:val="24"/>
          <w:lang w:val="en-GB"/>
        </w:rPr>
        <w:t>ogoto’s</w:t>
      </w:r>
      <w:proofErr w:type="spellEnd"/>
      <w:r w:rsidR="009E7A6A" w:rsidRPr="00925344">
        <w:rPr>
          <w:rFonts w:ascii="Times New Roman" w:hAnsi="Times New Roman" w:cs="Times New Roman"/>
          <w:color w:val="auto"/>
          <w:sz w:val="24"/>
          <w:szCs w:val="24"/>
          <w:lang w:val="en-GB"/>
        </w:rPr>
        <w:t xml:space="preserve"> key message (</w:t>
      </w:r>
      <w:r w:rsidR="00AF60A2">
        <w:rPr>
          <w:rFonts w:ascii="Times New Roman" w:hAnsi="Times New Roman" w:cs="Times New Roman"/>
          <w:color w:val="auto"/>
          <w:sz w:val="24"/>
          <w:szCs w:val="24"/>
          <w:lang w:val="en-GB"/>
        </w:rPr>
        <w:t xml:space="preserve">see, for example, </w:t>
      </w:r>
      <w:r w:rsidR="009E7A6A" w:rsidRPr="00925344">
        <w:rPr>
          <w:rFonts w:ascii="Times New Roman" w:hAnsi="Times New Roman" w:cs="Times New Roman"/>
          <w:color w:val="auto"/>
          <w:sz w:val="24"/>
          <w:szCs w:val="24"/>
          <w:lang w:val="en-GB"/>
        </w:rPr>
        <w:t>12)</w:t>
      </w:r>
      <w:r w:rsidR="00BB069A">
        <w:rPr>
          <w:rFonts w:ascii="Times New Roman" w:hAnsi="Times New Roman" w:cs="Times New Roman"/>
          <w:color w:val="auto"/>
          <w:sz w:val="24"/>
          <w:szCs w:val="24"/>
          <w:lang w:val="en-GB"/>
        </w:rPr>
        <w:t>,</w:t>
      </w:r>
      <w:r w:rsidR="009E7A6A" w:rsidRPr="00925344">
        <w:rPr>
          <w:rFonts w:ascii="Times New Roman" w:hAnsi="Times New Roman" w:cs="Times New Roman"/>
          <w:color w:val="auto"/>
          <w:sz w:val="24"/>
          <w:szCs w:val="24"/>
          <w:lang w:val="en-GB"/>
        </w:rPr>
        <w:t xml:space="preserve"> within both </w:t>
      </w:r>
      <w:r w:rsidRPr="00925344">
        <w:rPr>
          <w:rFonts w:ascii="Times New Roman" w:hAnsi="Times New Roman" w:cs="Times New Roman"/>
          <w:color w:val="auto"/>
          <w:sz w:val="24"/>
          <w:szCs w:val="24"/>
          <w:lang w:val="en-GB"/>
        </w:rPr>
        <w:t xml:space="preserve">chapter </w:t>
      </w:r>
      <w:r w:rsidR="009E7A6A" w:rsidRPr="00925344">
        <w:rPr>
          <w:rFonts w:ascii="Times New Roman" w:hAnsi="Times New Roman" w:cs="Times New Roman"/>
          <w:color w:val="auto"/>
          <w:sz w:val="24"/>
          <w:szCs w:val="24"/>
          <w:lang w:val="en-GB"/>
        </w:rPr>
        <w:t xml:space="preserve">1 </w:t>
      </w:r>
      <w:r w:rsidRPr="00925344">
        <w:rPr>
          <w:rFonts w:ascii="Times New Roman" w:hAnsi="Times New Roman" w:cs="Times New Roman"/>
          <w:color w:val="auto"/>
          <w:sz w:val="24"/>
          <w:szCs w:val="24"/>
          <w:lang w:val="en-GB"/>
        </w:rPr>
        <w:t xml:space="preserve">and the book as a whole, is that while the </w:t>
      </w:r>
      <w:r w:rsidR="009E7A6A" w:rsidRPr="00925344">
        <w:rPr>
          <w:rFonts w:ascii="Times New Roman" w:hAnsi="Times New Roman" w:cs="Times New Roman"/>
          <w:color w:val="auto"/>
          <w:sz w:val="24"/>
          <w:szCs w:val="24"/>
          <w:lang w:val="en-GB"/>
        </w:rPr>
        <w:t xml:space="preserve">UN Charter’s </w:t>
      </w:r>
      <w:r w:rsidR="009E7A6A" w:rsidRPr="00925344">
        <w:rPr>
          <w:rFonts w:ascii="Times New Roman" w:hAnsi="Times New Roman" w:cs="Times New Roman"/>
          <w:i/>
          <w:color w:val="auto"/>
          <w:sz w:val="24"/>
          <w:szCs w:val="24"/>
          <w:lang w:val="en-GB"/>
        </w:rPr>
        <w:t>jus ad bellum</w:t>
      </w:r>
      <w:r w:rsidR="009E7A6A" w:rsidRPr="00925344">
        <w:rPr>
          <w:rFonts w:ascii="Times New Roman" w:hAnsi="Times New Roman" w:cs="Times New Roman"/>
          <w:color w:val="auto"/>
          <w:sz w:val="24"/>
          <w:szCs w:val="24"/>
          <w:lang w:val="en-GB"/>
        </w:rPr>
        <w:t xml:space="preserve"> </w:t>
      </w:r>
      <w:r w:rsidRPr="00925344">
        <w:rPr>
          <w:rFonts w:ascii="Times New Roman" w:hAnsi="Times New Roman" w:cs="Times New Roman"/>
          <w:color w:val="auto"/>
          <w:sz w:val="24"/>
          <w:szCs w:val="24"/>
          <w:lang w:val="en-GB"/>
        </w:rPr>
        <w:t xml:space="preserve">legal provisions can ‘cope’ with conventional warfare, when it comes to more advanced weaponry </w:t>
      </w:r>
      <w:r w:rsidR="00790B7D" w:rsidRPr="00925344">
        <w:rPr>
          <w:rFonts w:ascii="Times New Roman" w:hAnsi="Times New Roman" w:cs="Times New Roman"/>
          <w:color w:val="auto"/>
          <w:sz w:val="24"/>
          <w:szCs w:val="24"/>
          <w:lang w:val="en-GB"/>
        </w:rPr>
        <w:t>things become more problematic.</w:t>
      </w:r>
      <w:r w:rsidR="00763FE5" w:rsidRPr="00925344">
        <w:rPr>
          <w:rFonts w:ascii="Times New Roman" w:hAnsi="Times New Roman" w:cs="Times New Roman"/>
          <w:color w:val="auto"/>
          <w:sz w:val="24"/>
          <w:szCs w:val="24"/>
          <w:lang w:val="en-GB"/>
        </w:rPr>
        <w:t xml:space="preserve">  In </w:t>
      </w:r>
      <w:proofErr w:type="spellStart"/>
      <w:r w:rsidR="00763FE5" w:rsidRPr="00925344">
        <w:rPr>
          <w:rFonts w:ascii="Times New Roman" w:hAnsi="Times New Roman" w:cs="Times New Roman"/>
          <w:color w:val="auto"/>
          <w:sz w:val="24"/>
          <w:szCs w:val="24"/>
          <w:lang w:val="en-GB"/>
        </w:rPr>
        <w:t>Maogoto’s</w:t>
      </w:r>
      <w:proofErr w:type="spellEnd"/>
      <w:r w:rsidR="00763FE5" w:rsidRPr="00925344">
        <w:rPr>
          <w:rFonts w:ascii="Times New Roman" w:hAnsi="Times New Roman" w:cs="Times New Roman"/>
          <w:color w:val="auto"/>
          <w:sz w:val="24"/>
          <w:szCs w:val="24"/>
          <w:lang w:val="en-GB"/>
        </w:rPr>
        <w:t xml:space="preserve"> view, technological advances in warfare have ‘overtaken’ the international legal framework, which, he </w:t>
      </w:r>
      <w:r w:rsidR="00BB069A">
        <w:rPr>
          <w:rFonts w:ascii="Times New Roman" w:hAnsi="Times New Roman" w:cs="Times New Roman"/>
          <w:color w:val="auto"/>
          <w:sz w:val="24"/>
          <w:szCs w:val="24"/>
          <w:lang w:val="en-GB"/>
        </w:rPr>
        <w:t>asserts</w:t>
      </w:r>
      <w:r w:rsidR="00763FE5" w:rsidRPr="00925344">
        <w:rPr>
          <w:rFonts w:ascii="Times New Roman" w:hAnsi="Times New Roman" w:cs="Times New Roman"/>
          <w:color w:val="auto"/>
          <w:sz w:val="24"/>
          <w:szCs w:val="24"/>
          <w:lang w:val="en-GB"/>
        </w:rPr>
        <w:t xml:space="preserve">, is now ill-equipped to regulate </w:t>
      </w:r>
      <w:r w:rsidR="00790B7D" w:rsidRPr="00925344">
        <w:rPr>
          <w:rFonts w:ascii="Times New Roman" w:hAnsi="Times New Roman" w:cs="Times New Roman"/>
          <w:color w:val="auto"/>
          <w:sz w:val="24"/>
          <w:szCs w:val="24"/>
          <w:lang w:val="en-GB"/>
        </w:rPr>
        <w:t>both aggressive</w:t>
      </w:r>
      <w:r w:rsidR="00763FE5" w:rsidRPr="00925344">
        <w:rPr>
          <w:rFonts w:ascii="Times New Roman" w:hAnsi="Times New Roman" w:cs="Times New Roman"/>
          <w:color w:val="auto"/>
          <w:sz w:val="24"/>
          <w:szCs w:val="24"/>
          <w:lang w:val="en-GB"/>
        </w:rPr>
        <w:t xml:space="preserve"> cyber operations </w:t>
      </w:r>
      <w:r w:rsidR="00790B7D" w:rsidRPr="00925344">
        <w:rPr>
          <w:rFonts w:ascii="Times New Roman" w:hAnsi="Times New Roman" w:cs="Times New Roman"/>
          <w:color w:val="auto"/>
          <w:sz w:val="24"/>
          <w:szCs w:val="24"/>
          <w:lang w:val="en-GB"/>
        </w:rPr>
        <w:t>and attacks in/from outer space</w:t>
      </w:r>
      <w:r w:rsidR="00763FE5" w:rsidRPr="00925344">
        <w:rPr>
          <w:rFonts w:ascii="Times New Roman" w:hAnsi="Times New Roman" w:cs="Times New Roman"/>
          <w:color w:val="auto"/>
          <w:sz w:val="24"/>
          <w:szCs w:val="24"/>
          <w:lang w:val="en-GB"/>
        </w:rPr>
        <w:t>.</w:t>
      </w:r>
      <w:r w:rsidR="00D77CD9" w:rsidRPr="00925344">
        <w:rPr>
          <w:rFonts w:ascii="Times New Roman" w:hAnsi="Times New Roman" w:cs="Times New Roman"/>
          <w:color w:val="auto"/>
          <w:sz w:val="24"/>
          <w:szCs w:val="24"/>
          <w:lang w:val="en-GB"/>
        </w:rPr>
        <w:t xml:space="preserve">  </w:t>
      </w:r>
      <w:r w:rsidR="00763FE5" w:rsidRPr="00925344">
        <w:rPr>
          <w:rFonts w:ascii="Times New Roman" w:hAnsi="Times New Roman" w:cs="Times New Roman"/>
          <w:color w:val="auto"/>
          <w:sz w:val="24"/>
          <w:szCs w:val="24"/>
          <w:lang w:val="en-GB"/>
        </w:rPr>
        <w:t xml:space="preserve">For example, in relation to the right of self-defence, </w:t>
      </w:r>
      <w:proofErr w:type="spellStart"/>
      <w:r w:rsidR="00763FE5" w:rsidRPr="00925344">
        <w:rPr>
          <w:rFonts w:ascii="Times New Roman" w:hAnsi="Times New Roman" w:cs="Times New Roman"/>
          <w:color w:val="auto"/>
          <w:sz w:val="24"/>
          <w:szCs w:val="24"/>
          <w:lang w:val="en-GB"/>
        </w:rPr>
        <w:t>Maogoto</w:t>
      </w:r>
      <w:proofErr w:type="spellEnd"/>
      <w:r w:rsidR="00763FE5" w:rsidRPr="00925344">
        <w:rPr>
          <w:rFonts w:ascii="Times New Roman" w:hAnsi="Times New Roman" w:cs="Times New Roman"/>
          <w:color w:val="auto"/>
          <w:sz w:val="24"/>
          <w:szCs w:val="24"/>
          <w:lang w:val="en-GB"/>
        </w:rPr>
        <w:t xml:space="preserve"> argues </w:t>
      </w:r>
      <w:r w:rsidRPr="00925344">
        <w:rPr>
          <w:rFonts w:ascii="Times New Roman" w:hAnsi="Times New Roman" w:cs="Times New Roman"/>
          <w:color w:val="auto"/>
          <w:sz w:val="24"/>
          <w:szCs w:val="24"/>
          <w:lang w:val="en-GB"/>
        </w:rPr>
        <w:t>(17) that the injury suffered by a state</w:t>
      </w:r>
      <w:r w:rsidR="00763FE5" w:rsidRPr="00925344">
        <w:rPr>
          <w:rFonts w:ascii="Times New Roman" w:hAnsi="Times New Roman" w:cs="Times New Roman"/>
          <w:color w:val="auto"/>
          <w:sz w:val="24"/>
          <w:szCs w:val="24"/>
          <w:lang w:val="en-GB"/>
        </w:rPr>
        <w:t xml:space="preserve"> by virtue of intrusions in</w:t>
      </w:r>
      <w:r w:rsidR="009E7A6A" w:rsidRPr="00925344">
        <w:rPr>
          <w:rFonts w:ascii="Times New Roman" w:hAnsi="Times New Roman" w:cs="Times New Roman"/>
          <w:color w:val="auto"/>
          <w:sz w:val="24"/>
          <w:szCs w:val="24"/>
          <w:lang w:val="en-GB"/>
        </w:rPr>
        <w:t>to</w:t>
      </w:r>
      <w:r w:rsidR="00763FE5" w:rsidRPr="00925344">
        <w:rPr>
          <w:rFonts w:ascii="Times New Roman" w:hAnsi="Times New Roman" w:cs="Times New Roman"/>
          <w:color w:val="auto"/>
          <w:sz w:val="24"/>
          <w:szCs w:val="24"/>
          <w:lang w:val="en-GB"/>
        </w:rPr>
        <w:t xml:space="preserve"> </w:t>
      </w:r>
      <w:r w:rsidR="009E7A6A" w:rsidRPr="00925344">
        <w:rPr>
          <w:rFonts w:ascii="Times New Roman" w:hAnsi="Times New Roman" w:cs="Times New Roman"/>
          <w:color w:val="auto"/>
          <w:sz w:val="24"/>
          <w:szCs w:val="24"/>
          <w:lang w:val="en-GB"/>
        </w:rPr>
        <w:t>‘</w:t>
      </w:r>
      <w:r w:rsidR="00763FE5" w:rsidRPr="00925344">
        <w:rPr>
          <w:rFonts w:ascii="Times New Roman" w:hAnsi="Times New Roman" w:cs="Times New Roman"/>
          <w:color w:val="auto"/>
          <w:sz w:val="24"/>
          <w:szCs w:val="24"/>
          <w:lang w:val="en-GB"/>
        </w:rPr>
        <w:t>the digital commons</w:t>
      </w:r>
      <w:r w:rsidR="009E7A6A" w:rsidRPr="00925344">
        <w:rPr>
          <w:rFonts w:ascii="Times New Roman" w:hAnsi="Times New Roman" w:cs="Times New Roman"/>
          <w:color w:val="auto"/>
          <w:sz w:val="24"/>
          <w:szCs w:val="24"/>
          <w:lang w:val="en-GB"/>
        </w:rPr>
        <w:t>’</w:t>
      </w:r>
      <w:r w:rsidR="00763FE5" w:rsidRPr="00925344">
        <w:rPr>
          <w:rFonts w:ascii="Times New Roman" w:hAnsi="Times New Roman" w:cs="Times New Roman"/>
          <w:color w:val="auto"/>
          <w:sz w:val="24"/>
          <w:szCs w:val="24"/>
          <w:lang w:val="en-GB"/>
        </w:rPr>
        <w:t xml:space="preserve"> </w:t>
      </w:r>
      <w:r w:rsidR="009E7A6A" w:rsidRPr="00925344">
        <w:rPr>
          <w:rFonts w:ascii="Times New Roman" w:hAnsi="Times New Roman" w:cs="Times New Roman"/>
          <w:color w:val="auto"/>
          <w:sz w:val="24"/>
          <w:szCs w:val="24"/>
          <w:lang w:val="en-GB"/>
        </w:rPr>
        <w:t>will</w:t>
      </w:r>
      <w:r w:rsidRPr="00925344">
        <w:rPr>
          <w:rFonts w:ascii="Times New Roman" w:hAnsi="Times New Roman" w:cs="Times New Roman"/>
          <w:color w:val="auto"/>
          <w:sz w:val="24"/>
          <w:szCs w:val="24"/>
          <w:lang w:val="en-GB"/>
        </w:rPr>
        <w:t xml:space="preserve"> </w:t>
      </w:r>
      <w:r w:rsidR="009E7A6A" w:rsidRPr="00925344">
        <w:rPr>
          <w:rFonts w:ascii="Times New Roman" w:hAnsi="Times New Roman" w:cs="Times New Roman"/>
          <w:color w:val="auto"/>
          <w:sz w:val="24"/>
          <w:szCs w:val="24"/>
          <w:lang w:val="en-GB"/>
        </w:rPr>
        <w:t xml:space="preserve">likely </w:t>
      </w:r>
      <w:r w:rsidRPr="00925344">
        <w:rPr>
          <w:rFonts w:ascii="Times New Roman" w:hAnsi="Times New Roman" w:cs="Times New Roman"/>
          <w:color w:val="auto"/>
          <w:sz w:val="24"/>
          <w:szCs w:val="24"/>
          <w:lang w:val="en-GB"/>
        </w:rPr>
        <w:t>not be sufficient to trigger Article 51</w:t>
      </w:r>
      <w:r w:rsidR="006F57A1" w:rsidRPr="00925344">
        <w:rPr>
          <w:rFonts w:ascii="Times New Roman" w:hAnsi="Times New Roman" w:cs="Times New Roman"/>
          <w:color w:val="auto"/>
          <w:sz w:val="24"/>
          <w:szCs w:val="24"/>
          <w:lang w:val="en-GB"/>
        </w:rPr>
        <w:t>: an</w:t>
      </w:r>
      <w:r w:rsidRPr="00925344">
        <w:rPr>
          <w:rFonts w:ascii="Times New Roman" w:hAnsi="Times New Roman" w:cs="Times New Roman"/>
          <w:color w:val="auto"/>
          <w:sz w:val="24"/>
          <w:szCs w:val="24"/>
          <w:lang w:val="en-GB"/>
        </w:rPr>
        <w:t xml:space="preserve"> </w:t>
      </w:r>
      <w:r w:rsidR="00763FE5" w:rsidRPr="00925344">
        <w:rPr>
          <w:rFonts w:ascii="Times New Roman" w:hAnsi="Times New Roman" w:cs="Times New Roman"/>
          <w:color w:val="auto"/>
          <w:sz w:val="24"/>
          <w:szCs w:val="24"/>
          <w:lang w:val="en-GB"/>
        </w:rPr>
        <w:t xml:space="preserve">attack that merely corrupts or ‘annoys’ rather than destroys would, </w:t>
      </w:r>
      <w:r w:rsidR="00BB069A">
        <w:rPr>
          <w:rFonts w:ascii="Times New Roman" w:hAnsi="Times New Roman" w:cs="Times New Roman"/>
          <w:color w:val="auto"/>
          <w:sz w:val="24"/>
          <w:szCs w:val="24"/>
          <w:lang w:val="en-GB"/>
        </w:rPr>
        <w:t>in his view</w:t>
      </w:r>
      <w:r w:rsidR="00763FE5" w:rsidRPr="00925344">
        <w:rPr>
          <w:rFonts w:ascii="Times New Roman" w:hAnsi="Times New Roman" w:cs="Times New Roman"/>
          <w:color w:val="auto"/>
          <w:sz w:val="24"/>
          <w:szCs w:val="24"/>
          <w:lang w:val="en-GB"/>
        </w:rPr>
        <w:t>, fall short</w:t>
      </w:r>
      <w:r w:rsidRPr="00925344">
        <w:rPr>
          <w:rFonts w:ascii="Times New Roman" w:hAnsi="Times New Roman" w:cs="Times New Roman"/>
          <w:color w:val="auto"/>
          <w:sz w:val="24"/>
          <w:szCs w:val="24"/>
          <w:lang w:val="en-GB"/>
        </w:rPr>
        <w:t xml:space="preserve"> of a qualitatively grave use of force</w:t>
      </w:r>
      <w:r w:rsidR="00763FE5" w:rsidRPr="00925344">
        <w:rPr>
          <w:rFonts w:ascii="Times New Roman" w:hAnsi="Times New Roman" w:cs="Times New Roman"/>
          <w:color w:val="auto"/>
          <w:sz w:val="24"/>
          <w:szCs w:val="24"/>
          <w:lang w:val="en-GB"/>
        </w:rPr>
        <w:t xml:space="preserve"> triggering a defensive response</w:t>
      </w:r>
      <w:r w:rsidRPr="00925344">
        <w:rPr>
          <w:rFonts w:ascii="Times New Roman" w:hAnsi="Times New Roman" w:cs="Times New Roman"/>
          <w:color w:val="auto"/>
          <w:sz w:val="24"/>
          <w:szCs w:val="24"/>
          <w:lang w:val="en-GB"/>
        </w:rPr>
        <w:t>.</w:t>
      </w:r>
      <w:r w:rsidRPr="00925344">
        <w:rPr>
          <w:rFonts w:ascii="Times New Roman" w:eastAsia="Times New Roman" w:hAnsi="Times New Roman" w:cs="Times New Roman"/>
          <w:color w:val="auto"/>
          <w:sz w:val="24"/>
          <w:szCs w:val="24"/>
          <w:vertAlign w:val="superscript"/>
          <w:lang w:val="en-GB"/>
        </w:rPr>
        <w:footnoteReference w:id="10"/>
      </w:r>
      <w:r w:rsidR="00E7772C" w:rsidRPr="00925344">
        <w:rPr>
          <w:rFonts w:ascii="Times New Roman" w:hAnsi="Times New Roman" w:cs="Times New Roman"/>
          <w:color w:val="auto"/>
          <w:sz w:val="24"/>
          <w:szCs w:val="24"/>
          <w:lang w:val="en-GB"/>
        </w:rPr>
        <w:t xml:space="preserve">  The fear is that this may leave states with no defensive recourse in response to technological threats.</w:t>
      </w:r>
      <w:r w:rsidR="00E7772C" w:rsidRPr="00925344">
        <w:rPr>
          <w:rStyle w:val="FootnoteReference"/>
          <w:rFonts w:ascii="Times New Roman" w:hAnsi="Times New Roman" w:cs="Times New Roman"/>
          <w:color w:val="auto"/>
          <w:sz w:val="24"/>
          <w:szCs w:val="24"/>
          <w:lang w:val="en-GB"/>
        </w:rPr>
        <w:footnoteReference w:id="11"/>
      </w:r>
      <w:r w:rsidR="00763FE5" w:rsidRPr="00925344">
        <w:rPr>
          <w:rFonts w:ascii="Times New Roman" w:hAnsi="Times New Roman" w:cs="Times New Roman"/>
          <w:color w:val="auto"/>
          <w:sz w:val="24"/>
          <w:szCs w:val="24"/>
          <w:lang w:val="en-GB"/>
        </w:rPr>
        <w:t xml:space="preserve"> </w:t>
      </w:r>
    </w:p>
    <w:p w:rsidR="00DC6FF6" w:rsidRPr="00925344" w:rsidRDefault="00AE5A3D" w:rsidP="005E3FCC">
      <w:pPr>
        <w:pStyle w:val="NoSpacing"/>
        <w:ind w:firstLine="720"/>
        <w:jc w:val="both"/>
        <w:rPr>
          <w:rFonts w:ascii="Times New Roman" w:hAnsi="Times New Roman" w:cs="Times New Roman"/>
          <w:color w:val="auto"/>
          <w:sz w:val="24"/>
          <w:szCs w:val="24"/>
          <w:lang w:val="en-GB"/>
        </w:rPr>
      </w:pPr>
      <w:r w:rsidRPr="00925344">
        <w:rPr>
          <w:rFonts w:ascii="Times New Roman" w:hAnsi="Times New Roman" w:cs="Times New Roman"/>
          <w:color w:val="auto"/>
          <w:sz w:val="24"/>
          <w:szCs w:val="24"/>
          <w:lang w:val="en-GB"/>
        </w:rPr>
        <w:t>T</w:t>
      </w:r>
      <w:r w:rsidR="00763FE5" w:rsidRPr="00925344">
        <w:rPr>
          <w:rFonts w:ascii="Times New Roman" w:hAnsi="Times New Roman" w:cs="Times New Roman"/>
          <w:color w:val="auto"/>
          <w:sz w:val="24"/>
          <w:szCs w:val="24"/>
          <w:lang w:val="en-GB"/>
        </w:rPr>
        <w:t xml:space="preserve">he application of the rules of the </w:t>
      </w:r>
      <w:r w:rsidR="00763FE5" w:rsidRPr="00925344">
        <w:rPr>
          <w:rFonts w:ascii="Times New Roman" w:hAnsi="Times New Roman" w:cs="Times New Roman"/>
          <w:i/>
          <w:color w:val="auto"/>
          <w:sz w:val="24"/>
          <w:szCs w:val="24"/>
          <w:lang w:val="en-GB"/>
        </w:rPr>
        <w:t>jus ad bellum</w:t>
      </w:r>
      <w:r w:rsidR="00E66F0E" w:rsidRPr="00925344">
        <w:rPr>
          <w:rFonts w:ascii="Times New Roman" w:hAnsi="Times New Roman" w:cs="Times New Roman"/>
          <w:color w:val="auto"/>
          <w:sz w:val="24"/>
          <w:szCs w:val="24"/>
          <w:lang w:val="en-GB"/>
        </w:rPr>
        <w:t>,</w:t>
      </w:r>
      <w:r w:rsidR="00763FE5" w:rsidRPr="00925344">
        <w:rPr>
          <w:rFonts w:ascii="Times New Roman" w:hAnsi="Times New Roman" w:cs="Times New Roman"/>
          <w:color w:val="auto"/>
          <w:sz w:val="24"/>
          <w:szCs w:val="24"/>
          <w:lang w:val="en-GB"/>
        </w:rPr>
        <w:t xml:space="preserve"> created prior to the advent of </w:t>
      </w:r>
      <w:r w:rsidR="00D334E0" w:rsidRPr="00925344">
        <w:rPr>
          <w:rFonts w:ascii="Times New Roman" w:hAnsi="Times New Roman" w:cs="Times New Roman"/>
          <w:color w:val="auto"/>
          <w:sz w:val="24"/>
          <w:szCs w:val="24"/>
          <w:lang w:val="en-GB"/>
        </w:rPr>
        <w:t xml:space="preserve">both space exploration and </w:t>
      </w:r>
      <w:r w:rsidR="00763FE5" w:rsidRPr="00925344">
        <w:rPr>
          <w:rFonts w:ascii="Times New Roman" w:hAnsi="Times New Roman" w:cs="Times New Roman"/>
          <w:color w:val="auto"/>
          <w:sz w:val="24"/>
          <w:szCs w:val="24"/>
          <w:lang w:val="en-GB"/>
        </w:rPr>
        <w:t>cyberspace</w:t>
      </w:r>
      <w:r w:rsidR="00E66F0E" w:rsidRPr="00925344">
        <w:rPr>
          <w:rFonts w:ascii="Times New Roman" w:hAnsi="Times New Roman" w:cs="Times New Roman"/>
          <w:color w:val="auto"/>
          <w:sz w:val="24"/>
          <w:szCs w:val="24"/>
          <w:lang w:val="en-GB"/>
        </w:rPr>
        <w:t>,</w:t>
      </w:r>
      <w:r w:rsidR="00D334E0" w:rsidRPr="00925344">
        <w:rPr>
          <w:rFonts w:ascii="Times New Roman" w:hAnsi="Times New Roman" w:cs="Times New Roman"/>
          <w:color w:val="auto"/>
          <w:sz w:val="24"/>
          <w:szCs w:val="24"/>
          <w:lang w:val="en-GB"/>
        </w:rPr>
        <w:t xml:space="preserve"> to the threats posed by </w:t>
      </w:r>
      <w:r w:rsidR="00E66F0E" w:rsidRPr="00925344">
        <w:rPr>
          <w:rFonts w:ascii="Times New Roman" w:hAnsi="Times New Roman" w:cs="Times New Roman"/>
          <w:color w:val="auto"/>
          <w:sz w:val="24"/>
          <w:szCs w:val="24"/>
          <w:lang w:val="en-GB"/>
        </w:rPr>
        <w:t xml:space="preserve">these </w:t>
      </w:r>
      <w:r w:rsidR="00D334E0" w:rsidRPr="00925344">
        <w:rPr>
          <w:rFonts w:ascii="Times New Roman" w:hAnsi="Times New Roman" w:cs="Times New Roman"/>
          <w:color w:val="auto"/>
          <w:sz w:val="24"/>
          <w:szCs w:val="24"/>
          <w:lang w:val="en-GB"/>
        </w:rPr>
        <w:t>modern technologies</w:t>
      </w:r>
      <w:r w:rsidR="00763FE5" w:rsidRPr="00925344">
        <w:rPr>
          <w:rFonts w:ascii="Times New Roman" w:hAnsi="Times New Roman" w:cs="Times New Roman"/>
          <w:color w:val="auto"/>
          <w:sz w:val="24"/>
          <w:szCs w:val="24"/>
          <w:lang w:val="en-GB"/>
        </w:rPr>
        <w:t xml:space="preserve"> will obviously be </w:t>
      </w:r>
      <w:r w:rsidR="00763FE5" w:rsidRPr="00925344">
        <w:rPr>
          <w:rFonts w:ascii="Times New Roman" w:hAnsi="Times New Roman" w:cs="Times New Roman"/>
          <w:color w:val="auto"/>
          <w:sz w:val="24"/>
          <w:szCs w:val="24"/>
          <w:lang w:val="en-GB"/>
        </w:rPr>
        <w:lastRenderedPageBreak/>
        <w:t>somewhat anachronistic.</w:t>
      </w:r>
      <w:r w:rsidR="00763FE5" w:rsidRPr="00925344">
        <w:rPr>
          <w:rStyle w:val="FootnoteReference"/>
          <w:rFonts w:ascii="Times New Roman" w:hAnsi="Times New Roman" w:cs="Times New Roman"/>
          <w:color w:val="auto"/>
          <w:sz w:val="24"/>
          <w:szCs w:val="24"/>
          <w:lang w:val="en-GB"/>
        </w:rPr>
        <w:footnoteReference w:id="12"/>
      </w:r>
      <w:r w:rsidR="00D334E0" w:rsidRPr="00925344">
        <w:rPr>
          <w:rFonts w:ascii="Times New Roman" w:hAnsi="Times New Roman" w:cs="Times New Roman"/>
          <w:color w:val="auto"/>
          <w:sz w:val="24"/>
          <w:szCs w:val="24"/>
          <w:lang w:val="en-GB"/>
        </w:rPr>
        <w:t xml:space="preserve">  There is no question that the application of ‘old’ law to such threats is neither self-evident nor straightforward.  Equally, in the view of the present reviewers, </w:t>
      </w:r>
      <w:proofErr w:type="spellStart"/>
      <w:r w:rsidR="00D334E0" w:rsidRPr="00925344">
        <w:rPr>
          <w:rFonts w:ascii="Times New Roman" w:hAnsi="Times New Roman" w:cs="Times New Roman"/>
          <w:color w:val="auto"/>
          <w:sz w:val="24"/>
          <w:szCs w:val="24"/>
          <w:lang w:val="en-GB"/>
        </w:rPr>
        <w:t>Maogoto</w:t>
      </w:r>
      <w:r w:rsidR="006F57A1" w:rsidRPr="00925344">
        <w:rPr>
          <w:rFonts w:ascii="Times New Roman" w:hAnsi="Times New Roman" w:cs="Times New Roman"/>
          <w:color w:val="auto"/>
          <w:sz w:val="24"/>
          <w:szCs w:val="24"/>
          <w:lang w:val="en-GB"/>
        </w:rPr>
        <w:t>’s</w:t>
      </w:r>
      <w:proofErr w:type="spellEnd"/>
      <w:r w:rsidR="006F57A1" w:rsidRPr="00925344">
        <w:rPr>
          <w:rFonts w:ascii="Times New Roman" w:hAnsi="Times New Roman" w:cs="Times New Roman"/>
          <w:color w:val="auto"/>
          <w:sz w:val="24"/>
          <w:szCs w:val="24"/>
          <w:lang w:val="en-GB"/>
        </w:rPr>
        <w:t xml:space="preserve"> core claim </w:t>
      </w:r>
      <w:r w:rsidR="009E7A6A" w:rsidRPr="00925344">
        <w:rPr>
          <w:rFonts w:ascii="Times New Roman" w:hAnsi="Times New Roman" w:cs="Times New Roman"/>
          <w:color w:val="auto"/>
          <w:sz w:val="24"/>
          <w:szCs w:val="24"/>
          <w:lang w:val="en-GB"/>
        </w:rPr>
        <w:t xml:space="preserve">in this regard </w:t>
      </w:r>
      <w:r w:rsidR="006F57A1" w:rsidRPr="00925344">
        <w:rPr>
          <w:rFonts w:ascii="Times New Roman" w:hAnsi="Times New Roman" w:cs="Times New Roman"/>
          <w:color w:val="auto"/>
          <w:sz w:val="24"/>
          <w:szCs w:val="24"/>
          <w:lang w:val="en-GB"/>
        </w:rPr>
        <w:t xml:space="preserve">is somewhat </w:t>
      </w:r>
      <w:r w:rsidR="00D334E0" w:rsidRPr="00925344">
        <w:rPr>
          <w:rFonts w:ascii="Times New Roman" w:hAnsi="Times New Roman" w:cs="Times New Roman"/>
          <w:color w:val="auto"/>
          <w:sz w:val="24"/>
          <w:szCs w:val="24"/>
          <w:lang w:val="en-GB"/>
        </w:rPr>
        <w:t>overstate</w:t>
      </w:r>
      <w:r w:rsidR="006F57A1" w:rsidRPr="00925344">
        <w:rPr>
          <w:rFonts w:ascii="Times New Roman" w:hAnsi="Times New Roman" w:cs="Times New Roman"/>
          <w:color w:val="auto"/>
          <w:sz w:val="24"/>
          <w:szCs w:val="24"/>
          <w:lang w:val="en-GB"/>
        </w:rPr>
        <w:t>d</w:t>
      </w:r>
      <w:r w:rsidR="009E7A6A" w:rsidRPr="00925344">
        <w:rPr>
          <w:rFonts w:ascii="Times New Roman" w:hAnsi="Times New Roman" w:cs="Times New Roman"/>
          <w:color w:val="auto"/>
          <w:sz w:val="24"/>
          <w:szCs w:val="24"/>
          <w:lang w:val="en-GB"/>
        </w:rPr>
        <w:t>.  N</w:t>
      </w:r>
      <w:r w:rsidR="00924564" w:rsidRPr="00925344">
        <w:rPr>
          <w:rFonts w:ascii="Times New Roman" w:hAnsi="Times New Roman" w:cs="Times New Roman"/>
          <w:color w:val="auto"/>
          <w:sz w:val="24"/>
          <w:szCs w:val="24"/>
          <w:lang w:val="en-GB"/>
        </w:rPr>
        <w:t>ew</w:t>
      </w:r>
      <w:r w:rsidR="00D334E0" w:rsidRPr="00925344">
        <w:rPr>
          <w:rFonts w:ascii="Times New Roman" w:hAnsi="Times New Roman" w:cs="Times New Roman"/>
          <w:color w:val="auto"/>
          <w:sz w:val="24"/>
          <w:szCs w:val="24"/>
          <w:lang w:val="en-GB"/>
        </w:rPr>
        <w:t xml:space="preserve"> security threats have emerged in various guises throughout the UN era, and there is nothing so inherently unique about either cyberspace</w:t>
      </w:r>
      <w:r w:rsidR="002A4538">
        <w:rPr>
          <w:rStyle w:val="FootnoteReference"/>
          <w:rFonts w:ascii="Times New Roman" w:hAnsi="Times New Roman" w:cs="Times New Roman"/>
          <w:color w:val="auto"/>
          <w:sz w:val="24"/>
          <w:szCs w:val="24"/>
          <w:lang w:val="en-GB"/>
        </w:rPr>
        <w:footnoteReference w:id="13"/>
      </w:r>
      <w:r w:rsidR="00D334E0" w:rsidRPr="00925344">
        <w:rPr>
          <w:rFonts w:ascii="Times New Roman" w:hAnsi="Times New Roman" w:cs="Times New Roman"/>
          <w:color w:val="auto"/>
          <w:sz w:val="24"/>
          <w:szCs w:val="24"/>
          <w:lang w:val="en-GB"/>
        </w:rPr>
        <w:t xml:space="preserve"> or the militarization of outer space</w:t>
      </w:r>
      <w:r w:rsidR="002A4538">
        <w:rPr>
          <w:rStyle w:val="FootnoteReference"/>
          <w:rFonts w:ascii="Times New Roman" w:hAnsi="Times New Roman" w:cs="Times New Roman"/>
          <w:color w:val="auto"/>
          <w:sz w:val="24"/>
          <w:szCs w:val="24"/>
          <w:lang w:val="en-GB"/>
        </w:rPr>
        <w:footnoteReference w:id="14"/>
      </w:r>
      <w:r w:rsidR="00D334E0" w:rsidRPr="00925344">
        <w:rPr>
          <w:rFonts w:ascii="Times New Roman" w:hAnsi="Times New Roman" w:cs="Times New Roman"/>
          <w:color w:val="auto"/>
          <w:sz w:val="24"/>
          <w:szCs w:val="24"/>
          <w:lang w:val="en-GB"/>
        </w:rPr>
        <w:t xml:space="preserve"> that means that existing legal provisions are necessarily inapplicable to </w:t>
      </w:r>
      <w:r w:rsidR="006F57A1" w:rsidRPr="00925344">
        <w:rPr>
          <w:rFonts w:ascii="Times New Roman" w:hAnsi="Times New Roman" w:cs="Times New Roman"/>
          <w:color w:val="auto"/>
          <w:sz w:val="24"/>
          <w:szCs w:val="24"/>
          <w:lang w:val="en-GB"/>
        </w:rPr>
        <w:t xml:space="preserve">the threats </w:t>
      </w:r>
      <w:r w:rsidR="00790B7D" w:rsidRPr="00925344">
        <w:rPr>
          <w:rFonts w:ascii="Times New Roman" w:hAnsi="Times New Roman" w:cs="Times New Roman"/>
          <w:color w:val="auto"/>
          <w:sz w:val="24"/>
          <w:szCs w:val="24"/>
          <w:lang w:val="en-GB"/>
        </w:rPr>
        <w:t xml:space="preserve">that </w:t>
      </w:r>
      <w:r w:rsidR="006F57A1" w:rsidRPr="00925344">
        <w:rPr>
          <w:rFonts w:ascii="Times New Roman" w:hAnsi="Times New Roman" w:cs="Times New Roman"/>
          <w:color w:val="auto"/>
          <w:sz w:val="24"/>
          <w:szCs w:val="24"/>
          <w:lang w:val="en-GB"/>
        </w:rPr>
        <w:t>the</w:t>
      </w:r>
      <w:r w:rsidR="00790B7D" w:rsidRPr="00925344">
        <w:rPr>
          <w:rFonts w:ascii="Times New Roman" w:hAnsi="Times New Roman" w:cs="Times New Roman"/>
          <w:color w:val="auto"/>
          <w:sz w:val="24"/>
          <w:szCs w:val="24"/>
          <w:lang w:val="en-GB"/>
        </w:rPr>
        <w:t>se technologies</w:t>
      </w:r>
      <w:r w:rsidR="006F57A1" w:rsidRPr="00925344">
        <w:rPr>
          <w:rFonts w:ascii="Times New Roman" w:hAnsi="Times New Roman" w:cs="Times New Roman"/>
          <w:color w:val="auto"/>
          <w:sz w:val="24"/>
          <w:szCs w:val="24"/>
          <w:lang w:val="en-GB"/>
        </w:rPr>
        <w:t xml:space="preserve"> pose</w:t>
      </w:r>
      <w:r w:rsidR="00D334E0" w:rsidRPr="00925344">
        <w:rPr>
          <w:rFonts w:ascii="Times New Roman" w:hAnsi="Times New Roman" w:cs="Times New Roman"/>
          <w:color w:val="auto"/>
          <w:sz w:val="24"/>
          <w:szCs w:val="24"/>
          <w:lang w:val="en-GB"/>
        </w:rPr>
        <w:t>.</w:t>
      </w:r>
      <w:r w:rsidR="00E7772C" w:rsidRPr="00925344">
        <w:rPr>
          <w:rFonts w:ascii="Times New Roman" w:hAnsi="Times New Roman" w:cs="Times New Roman"/>
          <w:color w:val="auto"/>
          <w:sz w:val="24"/>
          <w:szCs w:val="24"/>
          <w:lang w:val="en-GB"/>
        </w:rPr>
        <w:t xml:space="preserve">  It is also not the case that just because an action falls outside of the scope of the </w:t>
      </w:r>
      <w:r w:rsidR="00E7772C" w:rsidRPr="00925344">
        <w:rPr>
          <w:rFonts w:ascii="Times New Roman" w:hAnsi="Times New Roman" w:cs="Times New Roman"/>
          <w:i/>
          <w:color w:val="auto"/>
          <w:sz w:val="24"/>
          <w:szCs w:val="24"/>
          <w:lang w:val="en-GB"/>
        </w:rPr>
        <w:t>jus ad bellum</w:t>
      </w:r>
      <w:r w:rsidR="00E7772C" w:rsidRPr="00925344">
        <w:rPr>
          <w:rFonts w:ascii="Times New Roman" w:hAnsi="Times New Roman" w:cs="Times New Roman"/>
          <w:color w:val="auto"/>
          <w:sz w:val="24"/>
          <w:szCs w:val="24"/>
          <w:lang w:val="en-GB"/>
        </w:rPr>
        <w:t xml:space="preserve"> it falls outside of the scope of </w:t>
      </w:r>
      <w:r w:rsidR="00E7772C" w:rsidRPr="00925344">
        <w:rPr>
          <w:rFonts w:ascii="Times New Roman" w:hAnsi="Times New Roman" w:cs="Times New Roman"/>
          <w:i/>
          <w:color w:val="auto"/>
          <w:sz w:val="24"/>
          <w:szCs w:val="24"/>
          <w:lang w:val="en-GB"/>
        </w:rPr>
        <w:t>international law</w:t>
      </w:r>
      <w:r w:rsidR="00E7772C" w:rsidRPr="00925344">
        <w:rPr>
          <w:rFonts w:ascii="Times New Roman" w:hAnsi="Times New Roman" w:cs="Times New Roman"/>
          <w:color w:val="auto"/>
          <w:sz w:val="24"/>
          <w:szCs w:val="24"/>
          <w:lang w:val="en-GB"/>
        </w:rPr>
        <w:t xml:space="preserve">.  </w:t>
      </w:r>
      <w:r w:rsidRPr="00925344">
        <w:rPr>
          <w:rFonts w:ascii="Times New Roman" w:hAnsi="Times New Roman" w:cs="Times New Roman"/>
          <w:color w:val="auto"/>
          <w:sz w:val="24"/>
          <w:szCs w:val="24"/>
          <w:lang w:val="en-GB"/>
        </w:rPr>
        <w:t>One must keep in mind that t</w:t>
      </w:r>
      <w:r w:rsidR="00E7772C" w:rsidRPr="00925344">
        <w:rPr>
          <w:rFonts w:ascii="Times New Roman" w:hAnsi="Times New Roman" w:cs="Times New Roman"/>
          <w:color w:val="auto"/>
          <w:sz w:val="24"/>
          <w:szCs w:val="24"/>
          <w:lang w:val="en-GB"/>
        </w:rPr>
        <w:t xml:space="preserve">echnological threats are still </w:t>
      </w:r>
      <w:r w:rsidR="00E66F0E" w:rsidRPr="00925344">
        <w:rPr>
          <w:rFonts w:ascii="Times New Roman" w:hAnsi="Times New Roman" w:cs="Times New Roman"/>
          <w:color w:val="auto"/>
          <w:sz w:val="24"/>
          <w:szCs w:val="24"/>
          <w:lang w:val="en-GB"/>
        </w:rPr>
        <w:t>likely to be</w:t>
      </w:r>
      <w:r w:rsidR="00E7772C" w:rsidRPr="00925344">
        <w:rPr>
          <w:rFonts w:ascii="Times New Roman" w:hAnsi="Times New Roman" w:cs="Times New Roman"/>
          <w:color w:val="auto"/>
          <w:sz w:val="24"/>
          <w:szCs w:val="24"/>
          <w:lang w:val="en-GB"/>
        </w:rPr>
        <w:t xml:space="preserve"> violations of</w:t>
      </w:r>
      <w:r w:rsidRPr="00925344">
        <w:rPr>
          <w:rFonts w:ascii="Times New Roman" w:hAnsi="Times New Roman" w:cs="Times New Roman"/>
          <w:color w:val="auto"/>
          <w:sz w:val="24"/>
          <w:szCs w:val="24"/>
          <w:lang w:val="en-GB"/>
        </w:rPr>
        <w:t xml:space="preserve"> </w:t>
      </w:r>
      <w:r w:rsidR="00E7772C" w:rsidRPr="00925344">
        <w:rPr>
          <w:rFonts w:ascii="Times New Roman" w:hAnsi="Times New Roman" w:cs="Times New Roman"/>
          <w:color w:val="auto"/>
          <w:sz w:val="24"/>
          <w:szCs w:val="24"/>
          <w:lang w:val="en-GB"/>
        </w:rPr>
        <w:t>the principle of non-intervention</w:t>
      </w:r>
      <w:r w:rsidRPr="00925344">
        <w:rPr>
          <w:rStyle w:val="FootnoteReference"/>
          <w:rFonts w:ascii="Times New Roman" w:hAnsi="Times New Roman" w:cs="Times New Roman"/>
          <w:color w:val="auto"/>
          <w:sz w:val="24"/>
          <w:szCs w:val="24"/>
          <w:lang w:val="en-GB"/>
        </w:rPr>
        <w:footnoteReference w:id="15"/>
      </w:r>
      <w:r w:rsidR="00E7772C" w:rsidRPr="00925344">
        <w:rPr>
          <w:rFonts w:ascii="Times New Roman" w:hAnsi="Times New Roman" w:cs="Times New Roman"/>
          <w:color w:val="auto"/>
          <w:sz w:val="24"/>
          <w:szCs w:val="24"/>
          <w:lang w:val="en-GB"/>
        </w:rPr>
        <w:t xml:space="preserve"> and/or the duty of due diligence.</w:t>
      </w:r>
      <w:r w:rsidRPr="00925344">
        <w:rPr>
          <w:rStyle w:val="FootnoteReference"/>
          <w:rFonts w:ascii="Times New Roman" w:hAnsi="Times New Roman" w:cs="Times New Roman"/>
          <w:color w:val="auto"/>
          <w:sz w:val="24"/>
          <w:szCs w:val="24"/>
          <w:lang w:val="en-GB"/>
        </w:rPr>
        <w:footnoteReference w:id="16"/>
      </w:r>
      <w:r w:rsidRPr="00925344">
        <w:rPr>
          <w:rFonts w:ascii="Times New Roman" w:hAnsi="Times New Roman" w:cs="Times New Roman"/>
          <w:color w:val="auto"/>
          <w:sz w:val="24"/>
          <w:szCs w:val="24"/>
          <w:lang w:val="en-GB"/>
        </w:rPr>
        <w:t xml:space="preserve">  Even </w:t>
      </w:r>
      <w:r w:rsidR="00E66F0E" w:rsidRPr="00925344">
        <w:rPr>
          <w:rFonts w:ascii="Times New Roman" w:hAnsi="Times New Roman" w:cs="Times New Roman"/>
          <w:color w:val="auto"/>
          <w:sz w:val="24"/>
          <w:szCs w:val="24"/>
          <w:lang w:val="en-GB"/>
        </w:rPr>
        <w:t>though</w:t>
      </w:r>
      <w:r w:rsidRPr="00925344">
        <w:rPr>
          <w:rFonts w:ascii="Times New Roman" w:hAnsi="Times New Roman" w:cs="Times New Roman"/>
          <w:color w:val="auto"/>
          <w:sz w:val="24"/>
          <w:szCs w:val="24"/>
          <w:lang w:val="en-GB"/>
        </w:rPr>
        <w:t xml:space="preserve"> </w:t>
      </w:r>
      <w:r w:rsidR="00E66F0E" w:rsidRPr="00925344">
        <w:rPr>
          <w:rFonts w:ascii="Times New Roman" w:hAnsi="Times New Roman" w:cs="Times New Roman"/>
          <w:color w:val="auto"/>
          <w:sz w:val="24"/>
          <w:szCs w:val="24"/>
          <w:lang w:val="en-GB"/>
        </w:rPr>
        <w:t xml:space="preserve">the </w:t>
      </w:r>
      <w:r w:rsidRPr="00925344">
        <w:rPr>
          <w:rFonts w:ascii="Times New Roman" w:hAnsi="Times New Roman" w:cs="Times New Roman"/>
          <w:color w:val="auto"/>
          <w:sz w:val="24"/>
          <w:szCs w:val="24"/>
          <w:lang w:val="en-GB"/>
        </w:rPr>
        <w:t xml:space="preserve">violation of these norms </w:t>
      </w:r>
      <w:r w:rsidR="00E66F0E" w:rsidRPr="00925344">
        <w:rPr>
          <w:rFonts w:ascii="Times New Roman" w:hAnsi="Times New Roman" w:cs="Times New Roman"/>
          <w:color w:val="auto"/>
          <w:sz w:val="24"/>
          <w:szCs w:val="24"/>
          <w:lang w:val="en-GB"/>
        </w:rPr>
        <w:t xml:space="preserve">themselves </w:t>
      </w:r>
      <w:r w:rsidRPr="00925344">
        <w:rPr>
          <w:rFonts w:ascii="Times New Roman" w:hAnsi="Times New Roman" w:cs="Times New Roman"/>
          <w:color w:val="auto"/>
          <w:sz w:val="24"/>
          <w:szCs w:val="24"/>
          <w:lang w:val="en-GB"/>
        </w:rPr>
        <w:t>do</w:t>
      </w:r>
      <w:r w:rsidR="00E66F0E" w:rsidRPr="00925344">
        <w:rPr>
          <w:rFonts w:ascii="Times New Roman" w:hAnsi="Times New Roman" w:cs="Times New Roman"/>
          <w:color w:val="auto"/>
          <w:sz w:val="24"/>
          <w:szCs w:val="24"/>
          <w:lang w:val="en-GB"/>
        </w:rPr>
        <w:t>es</w:t>
      </w:r>
      <w:r w:rsidRPr="00925344">
        <w:rPr>
          <w:rFonts w:ascii="Times New Roman" w:hAnsi="Times New Roman" w:cs="Times New Roman"/>
          <w:color w:val="auto"/>
          <w:sz w:val="24"/>
          <w:szCs w:val="24"/>
          <w:lang w:val="en-GB"/>
        </w:rPr>
        <w:t xml:space="preserve"> not allow for forcible responses in self-defence, states </w:t>
      </w:r>
      <w:r w:rsidR="00E66F0E" w:rsidRPr="00925344">
        <w:rPr>
          <w:rFonts w:ascii="Times New Roman" w:hAnsi="Times New Roman" w:cs="Times New Roman"/>
          <w:color w:val="auto"/>
          <w:sz w:val="24"/>
          <w:szCs w:val="24"/>
          <w:lang w:val="en-GB"/>
        </w:rPr>
        <w:t xml:space="preserve">still </w:t>
      </w:r>
      <w:r w:rsidRPr="00925344">
        <w:rPr>
          <w:rFonts w:ascii="Times New Roman" w:hAnsi="Times New Roman" w:cs="Times New Roman"/>
          <w:color w:val="auto"/>
          <w:sz w:val="24"/>
          <w:szCs w:val="24"/>
          <w:lang w:val="en-GB"/>
        </w:rPr>
        <w:t>have legal recourse to non-forcible countermeasures.</w:t>
      </w:r>
      <w:r w:rsidRPr="00925344">
        <w:rPr>
          <w:rStyle w:val="FootnoteReference"/>
          <w:rFonts w:ascii="Times New Roman" w:hAnsi="Times New Roman" w:cs="Times New Roman"/>
          <w:color w:val="auto"/>
          <w:sz w:val="24"/>
          <w:szCs w:val="24"/>
          <w:lang w:val="en-GB"/>
        </w:rPr>
        <w:footnoteReference w:id="17"/>
      </w:r>
    </w:p>
    <w:p w:rsidR="001E51D0" w:rsidRPr="00925344" w:rsidRDefault="006F57A1" w:rsidP="005E3FCC">
      <w:pPr>
        <w:pStyle w:val="NoSpacing"/>
        <w:ind w:firstLine="720"/>
        <w:jc w:val="both"/>
        <w:rPr>
          <w:rFonts w:ascii="Times New Roman" w:hAnsi="Times New Roman" w:cs="Times New Roman"/>
          <w:color w:val="auto"/>
          <w:sz w:val="24"/>
          <w:szCs w:val="24"/>
          <w:lang w:val="en-GB"/>
        </w:rPr>
      </w:pPr>
      <w:r w:rsidRPr="00925344">
        <w:rPr>
          <w:rFonts w:ascii="Times New Roman" w:hAnsi="Times New Roman" w:cs="Times New Roman"/>
          <w:color w:val="auto"/>
          <w:sz w:val="24"/>
          <w:szCs w:val="24"/>
          <w:lang w:val="en-GB"/>
        </w:rPr>
        <w:t xml:space="preserve">Chapter </w:t>
      </w:r>
      <w:r w:rsidR="00F320F8" w:rsidRPr="00925344">
        <w:rPr>
          <w:rFonts w:ascii="Times New Roman" w:hAnsi="Times New Roman" w:cs="Times New Roman"/>
          <w:color w:val="auto"/>
          <w:sz w:val="24"/>
          <w:szCs w:val="24"/>
          <w:lang w:val="en-GB"/>
        </w:rPr>
        <w:t>2</w:t>
      </w:r>
      <w:r w:rsidRPr="00925344">
        <w:rPr>
          <w:rFonts w:ascii="Times New Roman" w:hAnsi="Times New Roman" w:cs="Times New Roman"/>
          <w:color w:val="auto"/>
          <w:sz w:val="24"/>
          <w:szCs w:val="24"/>
          <w:lang w:val="en-GB"/>
        </w:rPr>
        <w:t xml:space="preserve"> </w:t>
      </w:r>
      <w:r w:rsidR="00E7772C" w:rsidRPr="00925344">
        <w:rPr>
          <w:rFonts w:ascii="Times New Roman" w:hAnsi="Times New Roman" w:cs="Times New Roman"/>
          <w:color w:val="auto"/>
          <w:sz w:val="24"/>
          <w:szCs w:val="24"/>
          <w:lang w:val="en-GB"/>
        </w:rPr>
        <w:t xml:space="preserve">of </w:t>
      </w:r>
      <w:r w:rsidR="00AE5A3D" w:rsidRPr="00925344">
        <w:rPr>
          <w:rFonts w:ascii="Times New Roman" w:hAnsi="Times New Roman" w:cs="Times New Roman"/>
          <w:i/>
          <w:color w:val="auto"/>
          <w:sz w:val="24"/>
          <w:szCs w:val="24"/>
          <w:lang w:val="en-GB"/>
        </w:rPr>
        <w:t>Technology and the Law on the Use of Force</w:t>
      </w:r>
      <w:r w:rsidR="00E7772C" w:rsidRPr="00925344">
        <w:rPr>
          <w:rFonts w:ascii="Times New Roman" w:hAnsi="Times New Roman" w:cs="Times New Roman"/>
          <w:color w:val="auto"/>
          <w:sz w:val="24"/>
          <w:szCs w:val="24"/>
          <w:lang w:val="en-GB"/>
        </w:rPr>
        <w:t xml:space="preserve"> </w:t>
      </w:r>
      <w:r w:rsidRPr="00925344">
        <w:rPr>
          <w:rFonts w:ascii="Times New Roman" w:hAnsi="Times New Roman" w:cs="Times New Roman"/>
          <w:color w:val="auto"/>
          <w:sz w:val="24"/>
          <w:szCs w:val="24"/>
          <w:lang w:val="en-GB"/>
        </w:rPr>
        <w:t>deals with the strategic consideration of the Revolution in Military Affairs</w:t>
      </w:r>
      <w:r w:rsidR="00BB069A">
        <w:rPr>
          <w:rFonts w:ascii="Times New Roman" w:hAnsi="Times New Roman" w:cs="Times New Roman"/>
          <w:color w:val="auto"/>
          <w:sz w:val="24"/>
          <w:szCs w:val="24"/>
          <w:lang w:val="en-GB"/>
        </w:rPr>
        <w:t xml:space="preserve"> (RMA</w:t>
      </w:r>
      <w:r w:rsidRPr="00925344">
        <w:rPr>
          <w:rFonts w:ascii="Times New Roman" w:hAnsi="Times New Roman" w:cs="Times New Roman"/>
          <w:color w:val="auto"/>
          <w:sz w:val="24"/>
          <w:szCs w:val="24"/>
          <w:lang w:val="en-GB"/>
        </w:rPr>
        <w:t>) and</w:t>
      </w:r>
      <w:r w:rsidR="009E7A6A" w:rsidRPr="00925344">
        <w:rPr>
          <w:rFonts w:ascii="Times New Roman" w:hAnsi="Times New Roman" w:cs="Times New Roman"/>
          <w:color w:val="auto"/>
          <w:sz w:val="24"/>
          <w:szCs w:val="24"/>
          <w:lang w:val="en-GB"/>
        </w:rPr>
        <w:t>,</w:t>
      </w:r>
      <w:r w:rsidRPr="00925344">
        <w:rPr>
          <w:rFonts w:ascii="Times New Roman" w:hAnsi="Times New Roman" w:cs="Times New Roman"/>
          <w:color w:val="auto"/>
          <w:sz w:val="24"/>
          <w:szCs w:val="24"/>
          <w:lang w:val="en-GB"/>
        </w:rPr>
        <w:t xml:space="preserve"> thus</w:t>
      </w:r>
      <w:r w:rsidR="009E7A6A" w:rsidRPr="00925344">
        <w:rPr>
          <w:rFonts w:ascii="Times New Roman" w:hAnsi="Times New Roman" w:cs="Times New Roman"/>
          <w:color w:val="auto"/>
          <w:sz w:val="24"/>
          <w:szCs w:val="24"/>
          <w:lang w:val="en-GB"/>
        </w:rPr>
        <w:t>,</w:t>
      </w:r>
      <w:r w:rsidRPr="00925344">
        <w:rPr>
          <w:rFonts w:ascii="Times New Roman" w:hAnsi="Times New Roman" w:cs="Times New Roman"/>
          <w:color w:val="auto"/>
          <w:sz w:val="24"/>
          <w:szCs w:val="24"/>
          <w:lang w:val="en-GB"/>
        </w:rPr>
        <w:t xml:space="preserve"> underpins the </w:t>
      </w:r>
      <w:r w:rsidR="009E7A6A" w:rsidRPr="00925344">
        <w:rPr>
          <w:rFonts w:ascii="Times New Roman" w:hAnsi="Times New Roman" w:cs="Times New Roman"/>
          <w:color w:val="auto"/>
          <w:sz w:val="24"/>
          <w:szCs w:val="24"/>
          <w:lang w:val="en-GB"/>
        </w:rPr>
        <w:t xml:space="preserve">book’s </w:t>
      </w:r>
      <w:r w:rsidRPr="00925344">
        <w:rPr>
          <w:rFonts w:ascii="Times New Roman" w:hAnsi="Times New Roman" w:cs="Times New Roman"/>
          <w:color w:val="auto"/>
          <w:sz w:val="24"/>
          <w:szCs w:val="24"/>
          <w:lang w:val="en-GB"/>
        </w:rPr>
        <w:t xml:space="preserve">latter discussions in a theoretical/strategic sense.  </w:t>
      </w:r>
      <w:r w:rsidR="009E7A6A" w:rsidRPr="00925344">
        <w:rPr>
          <w:rFonts w:ascii="Times New Roman" w:hAnsi="Times New Roman" w:cs="Times New Roman"/>
          <w:color w:val="auto"/>
          <w:sz w:val="24"/>
          <w:szCs w:val="24"/>
          <w:lang w:val="en-GB"/>
        </w:rPr>
        <w:t>Indeed, t</w:t>
      </w:r>
      <w:r w:rsidRPr="00925344">
        <w:rPr>
          <w:rFonts w:ascii="Times New Roman" w:hAnsi="Times New Roman" w:cs="Times New Roman"/>
          <w:color w:val="auto"/>
          <w:sz w:val="24"/>
          <w:szCs w:val="24"/>
          <w:lang w:val="en-GB"/>
        </w:rPr>
        <w:t>here is a broad theoretical</w:t>
      </w:r>
      <w:r w:rsidR="00F86BA7" w:rsidRPr="00925344">
        <w:rPr>
          <w:rFonts w:ascii="Times New Roman" w:hAnsi="Times New Roman" w:cs="Times New Roman"/>
          <w:color w:val="auto"/>
          <w:sz w:val="24"/>
          <w:szCs w:val="24"/>
          <w:lang w:val="en-GB"/>
        </w:rPr>
        <w:t xml:space="preserve"> approach</w:t>
      </w:r>
      <w:r w:rsidRPr="00925344">
        <w:rPr>
          <w:rFonts w:ascii="Times New Roman" w:hAnsi="Times New Roman" w:cs="Times New Roman"/>
          <w:color w:val="auto"/>
          <w:sz w:val="24"/>
          <w:szCs w:val="24"/>
          <w:lang w:val="en-GB"/>
        </w:rPr>
        <w:t>,</w:t>
      </w:r>
      <w:r w:rsidR="00F86BA7" w:rsidRPr="00925344">
        <w:rPr>
          <w:rFonts w:ascii="Times New Roman" w:hAnsi="Times New Roman" w:cs="Times New Roman"/>
          <w:color w:val="auto"/>
          <w:sz w:val="24"/>
          <w:szCs w:val="24"/>
          <w:lang w:val="en-GB"/>
        </w:rPr>
        <w:t xml:space="preserve"> underpinning</w:t>
      </w:r>
      <w:r w:rsidR="00AE5A3D" w:rsidRPr="00925344">
        <w:rPr>
          <w:rFonts w:ascii="Times New Roman" w:hAnsi="Times New Roman" w:cs="Times New Roman"/>
          <w:color w:val="auto"/>
          <w:sz w:val="24"/>
          <w:szCs w:val="24"/>
          <w:lang w:val="en-GB"/>
        </w:rPr>
        <w:t xml:space="preserve"> the </w:t>
      </w:r>
      <w:r w:rsidR="00E66F0E" w:rsidRPr="00925344">
        <w:rPr>
          <w:rFonts w:ascii="Times New Roman" w:hAnsi="Times New Roman" w:cs="Times New Roman"/>
          <w:color w:val="auto"/>
          <w:sz w:val="24"/>
          <w:szCs w:val="24"/>
          <w:lang w:val="en-GB"/>
        </w:rPr>
        <w:t xml:space="preserve">entire </w:t>
      </w:r>
      <w:r w:rsidR="00AE5A3D" w:rsidRPr="00925344">
        <w:rPr>
          <w:rFonts w:ascii="Times New Roman" w:hAnsi="Times New Roman" w:cs="Times New Roman"/>
          <w:color w:val="auto"/>
          <w:sz w:val="24"/>
          <w:szCs w:val="24"/>
          <w:lang w:val="en-GB"/>
        </w:rPr>
        <w:t>book</w:t>
      </w:r>
      <w:r w:rsidR="00F86BA7" w:rsidRPr="00925344">
        <w:rPr>
          <w:rFonts w:ascii="Times New Roman" w:hAnsi="Times New Roman" w:cs="Times New Roman"/>
          <w:color w:val="auto"/>
          <w:sz w:val="24"/>
          <w:szCs w:val="24"/>
          <w:lang w:val="en-GB"/>
        </w:rPr>
        <w:t>, of fusing strategic considerations with international law.</w:t>
      </w:r>
      <w:r w:rsidR="008E3147" w:rsidRPr="00925344">
        <w:rPr>
          <w:rFonts w:ascii="Times New Roman" w:hAnsi="Times New Roman" w:cs="Times New Roman"/>
          <w:color w:val="auto"/>
          <w:sz w:val="24"/>
          <w:szCs w:val="24"/>
          <w:lang w:val="en-GB"/>
        </w:rPr>
        <w:t xml:space="preserve">  This attempt to buttress practical discussions with theoretical foundations</w:t>
      </w:r>
      <w:r w:rsidR="001E51D0" w:rsidRPr="00925344">
        <w:rPr>
          <w:rFonts w:ascii="Times New Roman" w:hAnsi="Times New Roman" w:cs="Times New Roman"/>
          <w:color w:val="auto"/>
          <w:sz w:val="24"/>
          <w:szCs w:val="24"/>
          <w:lang w:val="en-GB"/>
        </w:rPr>
        <w:t xml:space="preserve"> had</w:t>
      </w:r>
      <w:r w:rsidR="00F86BA7" w:rsidRPr="00925344">
        <w:rPr>
          <w:rFonts w:ascii="Times New Roman" w:hAnsi="Times New Roman" w:cs="Times New Roman"/>
          <w:color w:val="auto"/>
          <w:sz w:val="24"/>
          <w:szCs w:val="24"/>
          <w:lang w:val="en-GB"/>
        </w:rPr>
        <w:t xml:space="preserve"> the potential to be of significant value: strategic considerations </w:t>
      </w:r>
      <w:r w:rsidR="00E66F0E" w:rsidRPr="00925344">
        <w:rPr>
          <w:rFonts w:ascii="Times New Roman" w:hAnsi="Times New Roman" w:cs="Times New Roman"/>
          <w:color w:val="auto"/>
          <w:sz w:val="24"/>
          <w:szCs w:val="24"/>
          <w:lang w:val="en-GB"/>
        </w:rPr>
        <w:t xml:space="preserve">arguably </w:t>
      </w:r>
      <w:r w:rsidR="00F86BA7" w:rsidRPr="00925344">
        <w:rPr>
          <w:rFonts w:ascii="Times New Roman" w:hAnsi="Times New Roman" w:cs="Times New Roman"/>
          <w:color w:val="auto"/>
          <w:sz w:val="24"/>
          <w:szCs w:val="24"/>
          <w:lang w:val="en-GB"/>
        </w:rPr>
        <w:t xml:space="preserve">should </w:t>
      </w:r>
      <w:r w:rsidR="00E66F0E" w:rsidRPr="00925344">
        <w:rPr>
          <w:rFonts w:ascii="Times New Roman" w:hAnsi="Times New Roman" w:cs="Times New Roman"/>
          <w:color w:val="auto"/>
          <w:sz w:val="24"/>
          <w:szCs w:val="24"/>
          <w:lang w:val="en-GB"/>
        </w:rPr>
        <w:t>be</w:t>
      </w:r>
      <w:r w:rsidR="00F86BA7" w:rsidRPr="00925344">
        <w:rPr>
          <w:rFonts w:ascii="Times New Roman" w:hAnsi="Times New Roman" w:cs="Times New Roman"/>
          <w:color w:val="auto"/>
          <w:sz w:val="24"/>
          <w:szCs w:val="24"/>
          <w:lang w:val="en-GB"/>
        </w:rPr>
        <w:t xml:space="preserve"> at the heart of any </w:t>
      </w:r>
      <w:r w:rsidR="00F86BA7" w:rsidRPr="00925344">
        <w:rPr>
          <w:rFonts w:ascii="Times New Roman" w:hAnsi="Times New Roman" w:cs="Times New Roman"/>
          <w:i/>
          <w:iCs/>
          <w:color w:val="auto"/>
          <w:sz w:val="24"/>
          <w:szCs w:val="24"/>
          <w:lang w:val="en-GB"/>
        </w:rPr>
        <w:t>jus ad bellum</w:t>
      </w:r>
      <w:r w:rsidR="00F86BA7" w:rsidRPr="00925344">
        <w:rPr>
          <w:rFonts w:ascii="Times New Roman" w:hAnsi="Times New Roman" w:cs="Times New Roman"/>
          <w:color w:val="auto"/>
          <w:sz w:val="24"/>
          <w:szCs w:val="24"/>
          <w:lang w:val="en-GB"/>
        </w:rPr>
        <w:t xml:space="preserve"> </w:t>
      </w:r>
      <w:r w:rsidR="00BB069A">
        <w:rPr>
          <w:rFonts w:ascii="Times New Roman" w:hAnsi="Times New Roman" w:cs="Times New Roman"/>
          <w:color w:val="auto"/>
          <w:sz w:val="24"/>
          <w:szCs w:val="24"/>
          <w:lang w:val="en-GB"/>
        </w:rPr>
        <w:t>analysis</w:t>
      </w:r>
      <w:r w:rsidR="009E7A6A" w:rsidRPr="00925344">
        <w:rPr>
          <w:rFonts w:ascii="Times New Roman" w:hAnsi="Times New Roman" w:cs="Times New Roman"/>
          <w:color w:val="auto"/>
          <w:sz w:val="24"/>
          <w:szCs w:val="24"/>
          <w:lang w:val="en-GB"/>
        </w:rPr>
        <w:t>,</w:t>
      </w:r>
      <w:r w:rsidR="00F86BA7" w:rsidRPr="00925344">
        <w:rPr>
          <w:rFonts w:ascii="Times New Roman" w:hAnsi="Times New Roman" w:cs="Times New Roman"/>
          <w:color w:val="auto"/>
          <w:sz w:val="24"/>
          <w:szCs w:val="24"/>
          <w:lang w:val="en-GB"/>
        </w:rPr>
        <w:t xml:space="preserve"> given the inextricably intertwined nature of the</w:t>
      </w:r>
      <w:r w:rsidR="009E7A6A" w:rsidRPr="00925344">
        <w:rPr>
          <w:rFonts w:ascii="Times New Roman" w:hAnsi="Times New Roman" w:cs="Times New Roman"/>
          <w:color w:val="auto"/>
          <w:sz w:val="24"/>
          <w:szCs w:val="24"/>
          <w:lang w:val="en-GB"/>
        </w:rPr>
        <w:t>se topics</w:t>
      </w:r>
      <w:r w:rsidR="00F86BA7" w:rsidRPr="00925344">
        <w:rPr>
          <w:rFonts w:ascii="Times New Roman" w:hAnsi="Times New Roman" w:cs="Times New Roman"/>
          <w:color w:val="auto"/>
          <w:sz w:val="24"/>
          <w:szCs w:val="24"/>
          <w:lang w:val="en-GB"/>
        </w:rPr>
        <w:t xml:space="preserve">.  </w:t>
      </w:r>
      <w:r w:rsidR="00FC1361" w:rsidRPr="00925344">
        <w:rPr>
          <w:rFonts w:ascii="Times New Roman" w:hAnsi="Times New Roman" w:cs="Times New Roman"/>
          <w:color w:val="auto"/>
          <w:sz w:val="24"/>
          <w:szCs w:val="24"/>
          <w:lang w:val="en-GB"/>
        </w:rPr>
        <w:t xml:space="preserve">While still a prominent fixture </w:t>
      </w:r>
      <w:r w:rsidR="008E3147" w:rsidRPr="00925344">
        <w:rPr>
          <w:rFonts w:ascii="Times New Roman" w:hAnsi="Times New Roman" w:cs="Times New Roman"/>
          <w:color w:val="auto"/>
          <w:sz w:val="24"/>
          <w:szCs w:val="24"/>
          <w:lang w:val="en-GB"/>
        </w:rPr>
        <w:t>of</w:t>
      </w:r>
      <w:r w:rsidR="00E66F0E" w:rsidRPr="00925344">
        <w:rPr>
          <w:rFonts w:ascii="Times New Roman" w:hAnsi="Times New Roman" w:cs="Times New Roman"/>
          <w:color w:val="auto"/>
          <w:sz w:val="24"/>
          <w:szCs w:val="24"/>
          <w:lang w:val="en-GB"/>
        </w:rPr>
        <w:t xml:space="preserve"> strategic literature,</w:t>
      </w:r>
      <w:r w:rsidR="00E66F0E" w:rsidRPr="00925344">
        <w:rPr>
          <w:rStyle w:val="FootnoteReference"/>
          <w:rFonts w:ascii="Times New Roman" w:hAnsi="Times New Roman" w:cs="Times New Roman"/>
          <w:color w:val="auto"/>
          <w:sz w:val="24"/>
          <w:szCs w:val="24"/>
          <w:lang w:val="en-GB"/>
        </w:rPr>
        <w:footnoteReference w:id="18"/>
      </w:r>
      <w:r w:rsidR="00FC1361" w:rsidRPr="00925344">
        <w:rPr>
          <w:rFonts w:ascii="Times New Roman" w:hAnsi="Times New Roman" w:cs="Times New Roman"/>
          <w:color w:val="auto"/>
          <w:sz w:val="24"/>
          <w:szCs w:val="24"/>
          <w:lang w:val="en-GB"/>
        </w:rPr>
        <w:t xml:space="preserve"> the RMA rarely surfaces prominently in international legal debates.</w:t>
      </w:r>
      <w:r w:rsidR="00E66F0E" w:rsidRPr="00925344">
        <w:rPr>
          <w:rStyle w:val="FootnoteReference"/>
          <w:rFonts w:ascii="Times New Roman" w:hAnsi="Times New Roman" w:cs="Times New Roman"/>
          <w:color w:val="auto"/>
          <w:sz w:val="24"/>
          <w:szCs w:val="24"/>
          <w:lang w:val="en-GB"/>
        </w:rPr>
        <w:footnoteReference w:id="19"/>
      </w:r>
      <w:r w:rsidR="00FC1361" w:rsidRPr="00925344">
        <w:rPr>
          <w:rFonts w:ascii="Times New Roman" w:hAnsi="Times New Roman" w:cs="Times New Roman"/>
          <w:color w:val="auto"/>
          <w:sz w:val="24"/>
          <w:szCs w:val="24"/>
          <w:lang w:val="en-GB"/>
        </w:rPr>
        <w:t xml:space="preserve">  </w:t>
      </w:r>
      <w:r w:rsidRPr="00925344">
        <w:rPr>
          <w:rFonts w:ascii="Times New Roman" w:hAnsi="Times New Roman" w:cs="Times New Roman"/>
          <w:color w:val="auto"/>
          <w:sz w:val="24"/>
          <w:szCs w:val="24"/>
          <w:lang w:val="en-GB"/>
        </w:rPr>
        <w:t>I</w:t>
      </w:r>
      <w:r w:rsidR="00F86BA7" w:rsidRPr="00925344">
        <w:rPr>
          <w:rFonts w:ascii="Times New Roman" w:hAnsi="Times New Roman" w:cs="Times New Roman"/>
          <w:color w:val="auto"/>
          <w:sz w:val="24"/>
          <w:szCs w:val="24"/>
          <w:lang w:val="en-GB"/>
        </w:rPr>
        <w:t xml:space="preserve">t is </w:t>
      </w:r>
      <w:r w:rsidRPr="00925344">
        <w:rPr>
          <w:rFonts w:ascii="Times New Roman" w:hAnsi="Times New Roman" w:cs="Times New Roman"/>
          <w:color w:val="auto"/>
          <w:sz w:val="24"/>
          <w:szCs w:val="24"/>
          <w:lang w:val="en-GB"/>
        </w:rPr>
        <w:t>thus commendable</w:t>
      </w:r>
      <w:r w:rsidR="00F86BA7" w:rsidRPr="00925344">
        <w:rPr>
          <w:rFonts w:ascii="Times New Roman" w:hAnsi="Times New Roman" w:cs="Times New Roman"/>
          <w:color w:val="auto"/>
          <w:sz w:val="24"/>
          <w:szCs w:val="24"/>
          <w:lang w:val="en-GB"/>
        </w:rPr>
        <w:t xml:space="preserve"> that </w:t>
      </w:r>
      <w:proofErr w:type="spellStart"/>
      <w:r w:rsidR="00FC1361" w:rsidRPr="00925344">
        <w:rPr>
          <w:rFonts w:ascii="Times New Roman" w:hAnsi="Times New Roman" w:cs="Times New Roman"/>
          <w:color w:val="auto"/>
          <w:sz w:val="24"/>
          <w:szCs w:val="24"/>
          <w:lang w:val="en-GB"/>
        </w:rPr>
        <w:t>Maogoto</w:t>
      </w:r>
      <w:proofErr w:type="spellEnd"/>
      <w:r w:rsidR="00FC1361" w:rsidRPr="00925344">
        <w:rPr>
          <w:rFonts w:ascii="Times New Roman" w:hAnsi="Times New Roman" w:cs="Times New Roman"/>
          <w:color w:val="auto"/>
          <w:sz w:val="24"/>
          <w:szCs w:val="24"/>
          <w:lang w:val="en-GB"/>
        </w:rPr>
        <w:t xml:space="preserve"> </w:t>
      </w:r>
      <w:r w:rsidR="00F86BA7" w:rsidRPr="00925344">
        <w:rPr>
          <w:rFonts w:ascii="Times New Roman" w:hAnsi="Times New Roman" w:cs="Times New Roman"/>
          <w:color w:val="auto"/>
          <w:sz w:val="24"/>
          <w:szCs w:val="24"/>
          <w:lang w:val="en-GB"/>
        </w:rPr>
        <w:t xml:space="preserve">considers this strategic perspective in chapter </w:t>
      </w:r>
      <w:r w:rsidR="00F320F8" w:rsidRPr="00925344">
        <w:rPr>
          <w:rFonts w:ascii="Times New Roman" w:hAnsi="Times New Roman" w:cs="Times New Roman"/>
          <w:color w:val="auto"/>
          <w:sz w:val="24"/>
          <w:szCs w:val="24"/>
          <w:lang w:val="en-GB"/>
        </w:rPr>
        <w:t>2</w:t>
      </w:r>
      <w:r w:rsidR="00F86BA7" w:rsidRPr="00925344">
        <w:rPr>
          <w:rFonts w:ascii="Times New Roman" w:hAnsi="Times New Roman" w:cs="Times New Roman"/>
          <w:color w:val="auto"/>
          <w:sz w:val="24"/>
          <w:szCs w:val="24"/>
          <w:lang w:val="en-GB"/>
        </w:rPr>
        <w:t xml:space="preserve">, </w:t>
      </w:r>
      <w:r w:rsidR="009E7A6A" w:rsidRPr="00925344">
        <w:rPr>
          <w:rFonts w:ascii="Times New Roman" w:hAnsi="Times New Roman" w:cs="Times New Roman"/>
          <w:color w:val="auto"/>
          <w:sz w:val="24"/>
          <w:szCs w:val="24"/>
          <w:lang w:val="en-GB"/>
        </w:rPr>
        <w:t>but</w:t>
      </w:r>
      <w:r w:rsidR="00F86BA7" w:rsidRPr="00925344">
        <w:rPr>
          <w:rFonts w:ascii="Times New Roman" w:hAnsi="Times New Roman" w:cs="Times New Roman"/>
          <w:color w:val="auto"/>
          <w:sz w:val="24"/>
          <w:szCs w:val="24"/>
          <w:lang w:val="en-GB"/>
        </w:rPr>
        <w:t xml:space="preserve"> </w:t>
      </w:r>
      <w:r w:rsidR="0051473E">
        <w:rPr>
          <w:rFonts w:ascii="Times New Roman" w:hAnsi="Times New Roman" w:cs="Times New Roman"/>
          <w:color w:val="auto"/>
          <w:sz w:val="24"/>
          <w:szCs w:val="24"/>
          <w:lang w:val="en-GB"/>
        </w:rPr>
        <w:t xml:space="preserve">it </w:t>
      </w:r>
      <w:r w:rsidR="00F86BA7" w:rsidRPr="00925344">
        <w:rPr>
          <w:rFonts w:ascii="Times New Roman" w:hAnsi="Times New Roman" w:cs="Times New Roman"/>
          <w:color w:val="auto"/>
          <w:sz w:val="24"/>
          <w:szCs w:val="24"/>
          <w:lang w:val="en-GB"/>
        </w:rPr>
        <w:t>is</w:t>
      </w:r>
      <w:r w:rsidR="00AF60A2">
        <w:rPr>
          <w:rFonts w:ascii="Times New Roman" w:hAnsi="Times New Roman" w:cs="Times New Roman"/>
          <w:color w:val="auto"/>
          <w:sz w:val="24"/>
          <w:szCs w:val="24"/>
          <w:lang w:val="en-GB"/>
        </w:rPr>
        <w:t xml:space="preserve"> also</w:t>
      </w:r>
      <w:r w:rsidR="00F86BA7" w:rsidRPr="00925344">
        <w:rPr>
          <w:rFonts w:ascii="Times New Roman" w:hAnsi="Times New Roman" w:cs="Times New Roman"/>
          <w:color w:val="auto"/>
          <w:sz w:val="24"/>
          <w:szCs w:val="24"/>
          <w:lang w:val="en-GB"/>
        </w:rPr>
        <w:t xml:space="preserve"> something of a shame that</w:t>
      </w:r>
      <w:r w:rsidR="009E7A6A" w:rsidRPr="00925344">
        <w:rPr>
          <w:rFonts w:ascii="Times New Roman" w:hAnsi="Times New Roman" w:cs="Times New Roman"/>
          <w:color w:val="auto"/>
          <w:sz w:val="24"/>
          <w:szCs w:val="24"/>
          <w:lang w:val="en-GB"/>
        </w:rPr>
        <w:t>—</w:t>
      </w:r>
      <w:r w:rsidR="00FC1361" w:rsidRPr="00925344">
        <w:rPr>
          <w:rFonts w:ascii="Times New Roman" w:hAnsi="Times New Roman" w:cs="Times New Roman"/>
          <w:color w:val="auto"/>
          <w:sz w:val="24"/>
          <w:szCs w:val="24"/>
          <w:lang w:val="en-GB"/>
        </w:rPr>
        <w:t>perhaps al</w:t>
      </w:r>
      <w:r w:rsidR="009E7A6A" w:rsidRPr="00925344">
        <w:rPr>
          <w:rFonts w:ascii="Times New Roman" w:hAnsi="Times New Roman" w:cs="Times New Roman"/>
          <w:color w:val="auto"/>
          <w:sz w:val="24"/>
          <w:szCs w:val="24"/>
          <w:lang w:val="en-GB"/>
        </w:rPr>
        <w:t xml:space="preserve">l too conscious of his audience, </w:t>
      </w:r>
      <w:r w:rsidR="00FC1361" w:rsidRPr="00925344">
        <w:rPr>
          <w:rFonts w:ascii="Times New Roman" w:hAnsi="Times New Roman" w:cs="Times New Roman"/>
          <w:color w:val="auto"/>
          <w:sz w:val="24"/>
          <w:szCs w:val="24"/>
          <w:lang w:val="en-GB"/>
        </w:rPr>
        <w:t>wh</w:t>
      </w:r>
      <w:r w:rsidRPr="00925344">
        <w:rPr>
          <w:rFonts w:ascii="Times New Roman" w:hAnsi="Times New Roman" w:cs="Times New Roman"/>
          <w:color w:val="auto"/>
          <w:sz w:val="24"/>
          <w:szCs w:val="24"/>
          <w:lang w:val="en-GB"/>
        </w:rPr>
        <w:t xml:space="preserve">o </w:t>
      </w:r>
      <w:r w:rsidR="009E7A6A" w:rsidRPr="00925344">
        <w:rPr>
          <w:rFonts w:ascii="Times New Roman" w:hAnsi="Times New Roman" w:cs="Times New Roman"/>
          <w:color w:val="auto"/>
          <w:sz w:val="24"/>
          <w:szCs w:val="24"/>
          <w:lang w:val="en-GB"/>
        </w:rPr>
        <w:t>will likely</w:t>
      </w:r>
      <w:r w:rsidRPr="00925344">
        <w:rPr>
          <w:rFonts w:ascii="Times New Roman" w:hAnsi="Times New Roman" w:cs="Times New Roman"/>
          <w:color w:val="auto"/>
          <w:sz w:val="24"/>
          <w:szCs w:val="24"/>
          <w:lang w:val="en-GB"/>
        </w:rPr>
        <w:t xml:space="preserve"> fall more readily in</w:t>
      </w:r>
      <w:r w:rsidR="00FC1361" w:rsidRPr="00925344">
        <w:rPr>
          <w:rFonts w:ascii="Times New Roman" w:hAnsi="Times New Roman" w:cs="Times New Roman"/>
          <w:color w:val="auto"/>
          <w:sz w:val="24"/>
          <w:szCs w:val="24"/>
          <w:lang w:val="en-GB"/>
        </w:rPr>
        <w:t xml:space="preserve">to the </w:t>
      </w:r>
      <w:r w:rsidRPr="00925344">
        <w:rPr>
          <w:rFonts w:ascii="Times New Roman" w:hAnsi="Times New Roman" w:cs="Times New Roman"/>
          <w:color w:val="auto"/>
          <w:sz w:val="24"/>
          <w:szCs w:val="24"/>
          <w:lang w:val="en-GB"/>
        </w:rPr>
        <w:t>‘</w:t>
      </w:r>
      <w:r w:rsidR="00FC1361" w:rsidRPr="00925344">
        <w:rPr>
          <w:rFonts w:ascii="Times New Roman" w:hAnsi="Times New Roman" w:cs="Times New Roman"/>
          <w:color w:val="auto"/>
          <w:sz w:val="24"/>
          <w:szCs w:val="24"/>
          <w:lang w:val="en-GB"/>
        </w:rPr>
        <w:t>international lawyer</w:t>
      </w:r>
      <w:r w:rsidRPr="00925344">
        <w:rPr>
          <w:rFonts w:ascii="Times New Roman" w:hAnsi="Times New Roman" w:cs="Times New Roman"/>
          <w:color w:val="auto"/>
          <w:sz w:val="24"/>
          <w:szCs w:val="24"/>
          <w:lang w:val="en-GB"/>
        </w:rPr>
        <w:t>’</w:t>
      </w:r>
      <w:r w:rsidR="00FC1361" w:rsidRPr="00925344">
        <w:rPr>
          <w:rFonts w:ascii="Times New Roman" w:hAnsi="Times New Roman" w:cs="Times New Roman"/>
          <w:color w:val="auto"/>
          <w:sz w:val="24"/>
          <w:szCs w:val="24"/>
          <w:lang w:val="en-GB"/>
        </w:rPr>
        <w:t xml:space="preserve"> rather than </w:t>
      </w:r>
      <w:r w:rsidRPr="00925344">
        <w:rPr>
          <w:rFonts w:ascii="Times New Roman" w:hAnsi="Times New Roman" w:cs="Times New Roman"/>
          <w:color w:val="auto"/>
          <w:sz w:val="24"/>
          <w:szCs w:val="24"/>
          <w:lang w:val="en-GB"/>
        </w:rPr>
        <w:t>‘</w:t>
      </w:r>
      <w:r w:rsidR="00FC1361" w:rsidRPr="00925344">
        <w:rPr>
          <w:rFonts w:ascii="Times New Roman" w:hAnsi="Times New Roman" w:cs="Times New Roman"/>
          <w:color w:val="auto"/>
          <w:sz w:val="24"/>
          <w:szCs w:val="24"/>
          <w:lang w:val="en-GB"/>
        </w:rPr>
        <w:t>str</w:t>
      </w:r>
      <w:r w:rsidR="00F86BA7" w:rsidRPr="00925344">
        <w:rPr>
          <w:rFonts w:ascii="Times New Roman" w:hAnsi="Times New Roman" w:cs="Times New Roman"/>
          <w:color w:val="auto"/>
          <w:sz w:val="24"/>
          <w:szCs w:val="24"/>
          <w:lang w:val="en-GB"/>
        </w:rPr>
        <w:t>ategist</w:t>
      </w:r>
      <w:r w:rsidRPr="00925344">
        <w:rPr>
          <w:rFonts w:ascii="Times New Roman" w:hAnsi="Times New Roman" w:cs="Times New Roman"/>
          <w:color w:val="auto"/>
          <w:sz w:val="24"/>
          <w:szCs w:val="24"/>
          <w:lang w:val="en-GB"/>
        </w:rPr>
        <w:t>’</w:t>
      </w:r>
      <w:r w:rsidR="00F86BA7" w:rsidRPr="00925344">
        <w:rPr>
          <w:rFonts w:ascii="Times New Roman" w:hAnsi="Times New Roman" w:cs="Times New Roman"/>
          <w:color w:val="auto"/>
          <w:sz w:val="24"/>
          <w:szCs w:val="24"/>
          <w:lang w:val="en-GB"/>
        </w:rPr>
        <w:t xml:space="preserve"> camp</w:t>
      </w:r>
      <w:r w:rsidR="009E7A6A" w:rsidRPr="00925344">
        <w:rPr>
          <w:rFonts w:ascii="Times New Roman" w:hAnsi="Times New Roman" w:cs="Times New Roman"/>
          <w:color w:val="auto"/>
          <w:sz w:val="24"/>
          <w:szCs w:val="24"/>
          <w:lang w:val="en-GB"/>
        </w:rPr>
        <w:t>—</w:t>
      </w:r>
      <w:r w:rsidR="00F86BA7" w:rsidRPr="00925344">
        <w:rPr>
          <w:rFonts w:ascii="Times New Roman" w:hAnsi="Times New Roman" w:cs="Times New Roman"/>
          <w:color w:val="auto"/>
          <w:sz w:val="24"/>
          <w:szCs w:val="24"/>
          <w:lang w:val="en-GB"/>
        </w:rPr>
        <w:t xml:space="preserve">his discussion </w:t>
      </w:r>
      <w:r w:rsidR="009E7A6A" w:rsidRPr="00925344">
        <w:rPr>
          <w:rFonts w:ascii="Times New Roman" w:hAnsi="Times New Roman" w:cs="Times New Roman"/>
          <w:color w:val="auto"/>
          <w:sz w:val="24"/>
          <w:szCs w:val="24"/>
          <w:lang w:val="en-GB"/>
        </w:rPr>
        <w:t xml:space="preserve">of the RMA is so </w:t>
      </w:r>
      <w:r w:rsidR="001E51D0" w:rsidRPr="00925344">
        <w:rPr>
          <w:rFonts w:ascii="Times New Roman" w:hAnsi="Times New Roman" w:cs="Times New Roman"/>
          <w:color w:val="auto"/>
          <w:sz w:val="24"/>
          <w:szCs w:val="24"/>
          <w:lang w:val="en-GB"/>
        </w:rPr>
        <w:t>brief</w:t>
      </w:r>
      <w:r w:rsidR="00FC1361" w:rsidRPr="00925344">
        <w:rPr>
          <w:rFonts w:ascii="Times New Roman" w:hAnsi="Times New Roman" w:cs="Times New Roman"/>
          <w:color w:val="auto"/>
          <w:sz w:val="24"/>
          <w:szCs w:val="24"/>
          <w:lang w:val="en-GB"/>
        </w:rPr>
        <w:t xml:space="preserve">.  </w:t>
      </w:r>
      <w:r w:rsidR="00F86BA7" w:rsidRPr="00925344">
        <w:rPr>
          <w:rFonts w:ascii="Times New Roman" w:hAnsi="Times New Roman" w:cs="Times New Roman"/>
          <w:color w:val="auto"/>
          <w:sz w:val="24"/>
          <w:szCs w:val="24"/>
          <w:lang w:val="en-GB"/>
        </w:rPr>
        <w:t xml:space="preserve"> </w:t>
      </w:r>
    </w:p>
    <w:p w:rsidR="0002073E" w:rsidRPr="00925344" w:rsidRDefault="001E51D0" w:rsidP="005E3FCC">
      <w:pPr>
        <w:pStyle w:val="NoSpacing"/>
        <w:ind w:firstLine="720"/>
        <w:jc w:val="both"/>
        <w:rPr>
          <w:rFonts w:ascii="Times New Roman" w:hAnsi="Times New Roman" w:cs="Times New Roman"/>
          <w:color w:val="auto"/>
          <w:sz w:val="24"/>
          <w:szCs w:val="24"/>
          <w:lang w:val="en-GB"/>
        </w:rPr>
      </w:pPr>
      <w:r w:rsidRPr="00925344">
        <w:rPr>
          <w:rFonts w:ascii="Times New Roman" w:hAnsi="Times New Roman" w:cs="Times New Roman"/>
          <w:color w:val="auto"/>
          <w:sz w:val="24"/>
          <w:szCs w:val="24"/>
          <w:lang w:val="en-GB"/>
        </w:rPr>
        <w:t>The</w:t>
      </w:r>
      <w:r w:rsidR="00FC1361" w:rsidRPr="00925344">
        <w:rPr>
          <w:rFonts w:ascii="Times New Roman" w:hAnsi="Times New Roman" w:cs="Times New Roman"/>
          <w:color w:val="auto"/>
          <w:sz w:val="24"/>
          <w:szCs w:val="24"/>
          <w:lang w:val="en-GB"/>
        </w:rPr>
        <w:t xml:space="preserve"> RMA </w:t>
      </w:r>
      <w:r w:rsidRPr="00925344">
        <w:rPr>
          <w:rFonts w:ascii="Times New Roman" w:hAnsi="Times New Roman" w:cs="Times New Roman"/>
          <w:color w:val="auto"/>
          <w:sz w:val="24"/>
          <w:szCs w:val="24"/>
          <w:lang w:val="en-GB"/>
        </w:rPr>
        <w:t>concept has been used in a range of ways in the strategic literature,</w:t>
      </w:r>
      <w:r w:rsidR="004E7309" w:rsidRPr="00925344">
        <w:rPr>
          <w:rStyle w:val="FootnoteReference"/>
          <w:rFonts w:ascii="Times New Roman" w:hAnsi="Times New Roman" w:cs="Times New Roman"/>
          <w:color w:val="auto"/>
          <w:sz w:val="24"/>
          <w:szCs w:val="24"/>
          <w:lang w:val="en-GB"/>
        </w:rPr>
        <w:footnoteReference w:id="20"/>
      </w:r>
      <w:r w:rsidRPr="00925344">
        <w:rPr>
          <w:rFonts w:ascii="Times New Roman" w:hAnsi="Times New Roman" w:cs="Times New Roman"/>
          <w:color w:val="auto"/>
          <w:sz w:val="24"/>
          <w:szCs w:val="24"/>
          <w:lang w:val="en-GB"/>
        </w:rPr>
        <w:t xml:space="preserve"> but in the context </w:t>
      </w:r>
      <w:r w:rsidR="00AF60A2">
        <w:rPr>
          <w:rFonts w:ascii="Times New Roman" w:hAnsi="Times New Roman" w:cs="Times New Roman"/>
          <w:color w:val="auto"/>
          <w:sz w:val="24"/>
          <w:szCs w:val="24"/>
          <w:lang w:val="en-GB"/>
        </w:rPr>
        <w:t xml:space="preserve">of the topic of the book under review </w:t>
      </w:r>
      <w:r w:rsidRPr="00925344">
        <w:rPr>
          <w:rFonts w:ascii="Times New Roman" w:hAnsi="Times New Roman" w:cs="Times New Roman"/>
          <w:color w:val="auto"/>
          <w:sz w:val="24"/>
          <w:szCs w:val="24"/>
          <w:lang w:val="en-GB"/>
        </w:rPr>
        <w:t xml:space="preserve">it </w:t>
      </w:r>
      <w:r w:rsidR="00FC1361" w:rsidRPr="00925344">
        <w:rPr>
          <w:rFonts w:ascii="Times New Roman" w:hAnsi="Times New Roman" w:cs="Times New Roman"/>
          <w:color w:val="auto"/>
          <w:sz w:val="24"/>
          <w:szCs w:val="24"/>
          <w:lang w:val="en-GB"/>
        </w:rPr>
        <w:t xml:space="preserve">denotes </w:t>
      </w:r>
      <w:r w:rsidR="00D8751B" w:rsidRPr="00925344">
        <w:rPr>
          <w:rFonts w:ascii="Times New Roman" w:hAnsi="Times New Roman" w:cs="Times New Roman"/>
          <w:color w:val="auto"/>
          <w:sz w:val="24"/>
          <w:szCs w:val="24"/>
          <w:lang w:val="en-GB"/>
        </w:rPr>
        <w:t>a ‘military-</w:t>
      </w:r>
      <w:r w:rsidR="00F86BA7" w:rsidRPr="00925344">
        <w:rPr>
          <w:rFonts w:ascii="Times New Roman" w:hAnsi="Times New Roman" w:cs="Times New Roman"/>
          <w:color w:val="auto"/>
          <w:sz w:val="24"/>
          <w:szCs w:val="24"/>
          <w:lang w:val="en-GB"/>
        </w:rPr>
        <w:t xml:space="preserve">technical revolution’: </w:t>
      </w:r>
      <w:r w:rsidR="00FC1361" w:rsidRPr="00925344">
        <w:rPr>
          <w:rFonts w:ascii="Times New Roman" w:hAnsi="Times New Roman" w:cs="Times New Roman"/>
          <w:color w:val="auto"/>
          <w:sz w:val="24"/>
          <w:szCs w:val="24"/>
          <w:lang w:val="en-GB"/>
        </w:rPr>
        <w:t>a new</w:t>
      </w:r>
      <w:r w:rsidR="006F57A1" w:rsidRPr="00925344">
        <w:rPr>
          <w:rFonts w:ascii="Times New Roman" w:hAnsi="Times New Roman" w:cs="Times New Roman"/>
          <w:color w:val="auto"/>
          <w:sz w:val="24"/>
          <w:szCs w:val="24"/>
          <w:lang w:val="en-GB"/>
        </w:rPr>
        <w:t>,</w:t>
      </w:r>
      <w:r w:rsidR="00FC1361" w:rsidRPr="00925344">
        <w:rPr>
          <w:rFonts w:ascii="Times New Roman" w:hAnsi="Times New Roman" w:cs="Times New Roman"/>
          <w:color w:val="auto"/>
          <w:sz w:val="24"/>
          <w:szCs w:val="24"/>
          <w:lang w:val="en-GB"/>
        </w:rPr>
        <w:t xml:space="preserve"> more efficient way of waging war.</w:t>
      </w:r>
      <w:r w:rsidR="00FC1361" w:rsidRPr="00925344">
        <w:rPr>
          <w:rFonts w:ascii="Times New Roman" w:eastAsia="Times New Roman" w:hAnsi="Times New Roman" w:cs="Times New Roman"/>
          <w:color w:val="auto"/>
          <w:sz w:val="24"/>
          <w:szCs w:val="24"/>
          <w:vertAlign w:val="superscript"/>
          <w:lang w:val="en-GB"/>
        </w:rPr>
        <w:footnoteReference w:id="21"/>
      </w:r>
      <w:r w:rsidR="00FC1361" w:rsidRPr="00925344">
        <w:rPr>
          <w:rFonts w:ascii="Times New Roman" w:hAnsi="Times New Roman" w:cs="Times New Roman"/>
          <w:color w:val="auto"/>
          <w:sz w:val="24"/>
          <w:szCs w:val="24"/>
          <w:lang w:val="en-GB"/>
        </w:rPr>
        <w:t xml:space="preserve">  Ostensibly, </w:t>
      </w:r>
      <w:proofErr w:type="spellStart"/>
      <w:r w:rsidR="00FC1361" w:rsidRPr="00925344">
        <w:rPr>
          <w:rFonts w:ascii="Times New Roman" w:hAnsi="Times New Roman" w:cs="Times New Roman"/>
          <w:color w:val="auto"/>
          <w:sz w:val="24"/>
          <w:szCs w:val="24"/>
          <w:lang w:val="en-GB"/>
        </w:rPr>
        <w:t>Maogoto</w:t>
      </w:r>
      <w:proofErr w:type="spellEnd"/>
      <w:r w:rsidR="00FC1361" w:rsidRPr="00925344">
        <w:rPr>
          <w:rFonts w:ascii="Times New Roman" w:hAnsi="Times New Roman" w:cs="Times New Roman"/>
          <w:color w:val="auto"/>
          <w:sz w:val="24"/>
          <w:szCs w:val="24"/>
          <w:lang w:val="en-GB"/>
        </w:rPr>
        <w:t xml:space="preserve"> uses strategic thinking to r</w:t>
      </w:r>
      <w:r w:rsidR="00F86BA7" w:rsidRPr="00925344">
        <w:rPr>
          <w:rFonts w:ascii="Times New Roman" w:hAnsi="Times New Roman" w:cs="Times New Roman"/>
          <w:color w:val="auto"/>
          <w:sz w:val="24"/>
          <w:szCs w:val="24"/>
          <w:lang w:val="en-GB"/>
        </w:rPr>
        <w:t>evisit</w:t>
      </w:r>
      <w:r w:rsidR="00FC1361" w:rsidRPr="00925344">
        <w:rPr>
          <w:rFonts w:ascii="Times New Roman" w:hAnsi="Times New Roman" w:cs="Times New Roman"/>
          <w:color w:val="auto"/>
          <w:sz w:val="24"/>
          <w:szCs w:val="24"/>
          <w:lang w:val="en-GB"/>
        </w:rPr>
        <w:t xml:space="preserve"> his earlier premise in chapter </w:t>
      </w:r>
      <w:r w:rsidR="009E7A6A" w:rsidRPr="00925344">
        <w:rPr>
          <w:rFonts w:ascii="Times New Roman" w:hAnsi="Times New Roman" w:cs="Times New Roman"/>
          <w:color w:val="auto"/>
          <w:sz w:val="24"/>
          <w:szCs w:val="24"/>
          <w:lang w:val="en-GB"/>
        </w:rPr>
        <w:t>1</w:t>
      </w:r>
      <w:r w:rsidR="00FC1361" w:rsidRPr="00925344">
        <w:rPr>
          <w:rFonts w:ascii="Times New Roman" w:hAnsi="Times New Roman" w:cs="Times New Roman"/>
          <w:color w:val="auto"/>
          <w:sz w:val="24"/>
          <w:szCs w:val="24"/>
          <w:lang w:val="en-GB"/>
        </w:rPr>
        <w:t xml:space="preserve"> that the applicable legal framework needs re-thinking in light of modern strategic goals (23).  In </w:t>
      </w:r>
      <w:r w:rsidR="009E7A6A" w:rsidRPr="00925344">
        <w:rPr>
          <w:rFonts w:ascii="Times New Roman" w:hAnsi="Times New Roman" w:cs="Times New Roman"/>
          <w:color w:val="auto"/>
          <w:sz w:val="24"/>
          <w:szCs w:val="24"/>
          <w:lang w:val="en-GB"/>
        </w:rPr>
        <w:t xml:space="preserve">relation to both </w:t>
      </w:r>
      <w:r w:rsidR="006F57A1" w:rsidRPr="00925344">
        <w:rPr>
          <w:rFonts w:ascii="Times New Roman" w:hAnsi="Times New Roman" w:cs="Times New Roman"/>
          <w:color w:val="auto"/>
          <w:sz w:val="24"/>
          <w:szCs w:val="24"/>
          <w:lang w:val="en-GB"/>
        </w:rPr>
        <w:t xml:space="preserve">outer </w:t>
      </w:r>
      <w:r w:rsidR="00FC1361" w:rsidRPr="00925344">
        <w:rPr>
          <w:rFonts w:ascii="Times New Roman" w:hAnsi="Times New Roman" w:cs="Times New Roman"/>
          <w:color w:val="auto"/>
          <w:sz w:val="24"/>
          <w:szCs w:val="24"/>
          <w:lang w:val="en-GB"/>
        </w:rPr>
        <w:t xml:space="preserve">space and </w:t>
      </w:r>
      <w:r w:rsidR="009E7A6A" w:rsidRPr="00925344">
        <w:rPr>
          <w:rFonts w:ascii="Times New Roman" w:hAnsi="Times New Roman" w:cs="Times New Roman"/>
          <w:color w:val="auto"/>
          <w:sz w:val="24"/>
          <w:szCs w:val="24"/>
          <w:lang w:val="en-GB"/>
        </w:rPr>
        <w:t>cyberspace</w:t>
      </w:r>
      <w:r w:rsidR="00FC1361" w:rsidRPr="00925344">
        <w:rPr>
          <w:rFonts w:ascii="Times New Roman" w:hAnsi="Times New Roman" w:cs="Times New Roman"/>
          <w:color w:val="auto"/>
          <w:sz w:val="24"/>
          <w:szCs w:val="24"/>
          <w:lang w:val="en-GB"/>
        </w:rPr>
        <w:t xml:space="preserve">, the strategic goal </w:t>
      </w:r>
      <w:r w:rsidR="009E7A6A" w:rsidRPr="00925344">
        <w:rPr>
          <w:rFonts w:ascii="Times New Roman" w:hAnsi="Times New Roman" w:cs="Times New Roman"/>
          <w:color w:val="auto"/>
          <w:sz w:val="24"/>
          <w:szCs w:val="24"/>
          <w:lang w:val="en-GB"/>
        </w:rPr>
        <w:t xml:space="preserve">on the part of an aggressor state, </w:t>
      </w:r>
      <w:r w:rsidR="00FC1361" w:rsidRPr="00925344">
        <w:rPr>
          <w:rFonts w:ascii="Times New Roman" w:hAnsi="Times New Roman" w:cs="Times New Roman"/>
          <w:color w:val="auto"/>
          <w:sz w:val="24"/>
          <w:szCs w:val="24"/>
          <w:lang w:val="en-GB"/>
        </w:rPr>
        <w:t>again</w:t>
      </w:r>
      <w:r w:rsidR="009E7A6A" w:rsidRPr="00925344">
        <w:rPr>
          <w:rFonts w:ascii="Times New Roman" w:hAnsi="Times New Roman" w:cs="Times New Roman"/>
          <w:color w:val="auto"/>
          <w:sz w:val="24"/>
          <w:szCs w:val="24"/>
          <w:lang w:val="en-GB"/>
        </w:rPr>
        <w:t>,</w:t>
      </w:r>
      <w:r w:rsidR="00FC1361" w:rsidRPr="00925344">
        <w:rPr>
          <w:rFonts w:ascii="Times New Roman" w:hAnsi="Times New Roman" w:cs="Times New Roman"/>
          <w:color w:val="auto"/>
          <w:sz w:val="24"/>
          <w:szCs w:val="24"/>
          <w:lang w:val="en-GB"/>
        </w:rPr>
        <w:t xml:space="preserve"> is not necessarily to cause physical damage but</w:t>
      </w:r>
      <w:r w:rsidR="009E7A6A" w:rsidRPr="00925344">
        <w:rPr>
          <w:rFonts w:ascii="Times New Roman" w:hAnsi="Times New Roman" w:cs="Times New Roman"/>
          <w:color w:val="auto"/>
          <w:sz w:val="24"/>
          <w:szCs w:val="24"/>
          <w:lang w:val="en-GB"/>
        </w:rPr>
        <w:t>,</w:t>
      </w:r>
      <w:r w:rsidR="00FC1361" w:rsidRPr="00925344">
        <w:rPr>
          <w:rFonts w:ascii="Times New Roman" w:hAnsi="Times New Roman" w:cs="Times New Roman"/>
          <w:color w:val="auto"/>
          <w:sz w:val="24"/>
          <w:szCs w:val="24"/>
          <w:lang w:val="en-GB"/>
        </w:rPr>
        <w:t xml:space="preserve"> rather</w:t>
      </w:r>
      <w:r w:rsidR="009E7A6A" w:rsidRPr="00925344">
        <w:rPr>
          <w:rFonts w:ascii="Times New Roman" w:hAnsi="Times New Roman" w:cs="Times New Roman"/>
          <w:color w:val="auto"/>
          <w:sz w:val="24"/>
          <w:szCs w:val="24"/>
          <w:lang w:val="en-GB"/>
        </w:rPr>
        <w:t>, to</w:t>
      </w:r>
      <w:r w:rsidR="00FC1361" w:rsidRPr="00925344">
        <w:rPr>
          <w:rFonts w:ascii="Times New Roman" w:hAnsi="Times New Roman" w:cs="Times New Roman"/>
          <w:color w:val="auto"/>
          <w:sz w:val="24"/>
          <w:szCs w:val="24"/>
          <w:lang w:val="en-GB"/>
        </w:rPr>
        <w:t xml:space="preserve"> </w:t>
      </w:r>
      <w:r w:rsidR="00F86BA7" w:rsidRPr="00925344">
        <w:rPr>
          <w:rFonts w:ascii="Times New Roman" w:hAnsi="Times New Roman" w:cs="Times New Roman"/>
          <w:color w:val="auto"/>
          <w:sz w:val="24"/>
          <w:szCs w:val="24"/>
          <w:lang w:val="en-GB"/>
        </w:rPr>
        <w:t>‘</w:t>
      </w:r>
      <w:r w:rsidR="00FC1361" w:rsidRPr="00925344">
        <w:rPr>
          <w:rFonts w:ascii="Times New Roman" w:hAnsi="Times New Roman" w:cs="Times New Roman"/>
          <w:color w:val="auto"/>
          <w:sz w:val="24"/>
          <w:szCs w:val="24"/>
          <w:lang w:val="en-GB"/>
        </w:rPr>
        <w:t>disrupt, deny, degrade or destroy information</w:t>
      </w:r>
      <w:r w:rsidR="00BF4F8D" w:rsidRPr="00925344">
        <w:rPr>
          <w:rFonts w:ascii="Times New Roman" w:hAnsi="Times New Roman" w:cs="Times New Roman"/>
          <w:color w:val="auto"/>
          <w:sz w:val="24"/>
          <w:szCs w:val="24"/>
          <w:lang w:val="en-GB"/>
        </w:rPr>
        <w:t>’ (28).  A</w:t>
      </w:r>
      <w:r w:rsidR="00F86BA7" w:rsidRPr="00925344">
        <w:rPr>
          <w:rFonts w:ascii="Times New Roman" w:hAnsi="Times New Roman" w:cs="Times New Roman"/>
          <w:color w:val="auto"/>
          <w:sz w:val="24"/>
          <w:szCs w:val="24"/>
          <w:lang w:val="en-GB"/>
        </w:rPr>
        <w:t>ll of which</w:t>
      </w:r>
      <w:r w:rsidR="00FC1361" w:rsidRPr="00925344">
        <w:rPr>
          <w:rFonts w:ascii="Times New Roman" w:hAnsi="Times New Roman" w:cs="Times New Roman"/>
          <w:color w:val="auto"/>
          <w:sz w:val="24"/>
          <w:szCs w:val="24"/>
          <w:lang w:val="en-GB"/>
        </w:rPr>
        <w:t xml:space="preserve"> would </w:t>
      </w:r>
      <w:r w:rsidR="00F86BA7" w:rsidRPr="00925344">
        <w:rPr>
          <w:rFonts w:ascii="Times New Roman" w:hAnsi="Times New Roman" w:cs="Times New Roman"/>
          <w:color w:val="auto"/>
          <w:sz w:val="24"/>
          <w:szCs w:val="24"/>
          <w:lang w:val="en-GB"/>
        </w:rPr>
        <w:t xml:space="preserve">seemingly </w:t>
      </w:r>
      <w:r w:rsidR="00FC1361" w:rsidRPr="00925344">
        <w:rPr>
          <w:rFonts w:ascii="Times New Roman" w:hAnsi="Times New Roman" w:cs="Times New Roman"/>
          <w:color w:val="auto"/>
          <w:sz w:val="24"/>
          <w:szCs w:val="24"/>
          <w:lang w:val="en-GB"/>
        </w:rPr>
        <w:t xml:space="preserve">fall outside the </w:t>
      </w:r>
      <w:r w:rsidR="0051473E" w:rsidRPr="0051473E">
        <w:rPr>
          <w:rFonts w:ascii="Times New Roman" w:hAnsi="Times New Roman" w:cs="Times New Roman"/>
          <w:i/>
          <w:color w:val="auto"/>
          <w:sz w:val="24"/>
          <w:szCs w:val="24"/>
          <w:lang w:val="en-GB"/>
        </w:rPr>
        <w:t>jus ad bellum</w:t>
      </w:r>
      <w:r w:rsidR="0051473E">
        <w:rPr>
          <w:rFonts w:ascii="Times New Roman" w:hAnsi="Times New Roman" w:cs="Times New Roman"/>
          <w:color w:val="auto"/>
          <w:sz w:val="24"/>
          <w:szCs w:val="24"/>
          <w:lang w:val="en-GB"/>
        </w:rPr>
        <w:t xml:space="preserve"> </w:t>
      </w:r>
      <w:r w:rsidR="00FC1361" w:rsidRPr="00925344">
        <w:rPr>
          <w:rFonts w:ascii="Times New Roman" w:hAnsi="Times New Roman" w:cs="Times New Roman"/>
          <w:color w:val="auto"/>
          <w:sz w:val="24"/>
          <w:szCs w:val="24"/>
          <w:lang w:val="en-GB"/>
        </w:rPr>
        <w:t xml:space="preserve">regulatory framework.  </w:t>
      </w:r>
    </w:p>
    <w:p w:rsidR="006F57A1" w:rsidRPr="00925344" w:rsidRDefault="005E3FCC" w:rsidP="005E3FCC">
      <w:pPr>
        <w:pStyle w:val="NoSpacing"/>
        <w:ind w:firstLine="720"/>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lastRenderedPageBreak/>
        <w:t>The book’s second chapter</w:t>
      </w:r>
      <w:r w:rsidR="00FC1361" w:rsidRPr="00925344">
        <w:rPr>
          <w:rFonts w:ascii="Times New Roman" w:hAnsi="Times New Roman" w:cs="Times New Roman"/>
          <w:color w:val="auto"/>
          <w:sz w:val="24"/>
          <w:szCs w:val="24"/>
          <w:lang w:val="en-GB"/>
        </w:rPr>
        <w:t xml:space="preserve"> is subdivided into two broader discussions on cyber warfare and outer </w:t>
      </w:r>
      <w:r w:rsidR="006F57A1" w:rsidRPr="00925344">
        <w:rPr>
          <w:rFonts w:ascii="Times New Roman" w:hAnsi="Times New Roman" w:cs="Times New Roman"/>
          <w:color w:val="auto"/>
          <w:sz w:val="24"/>
          <w:szCs w:val="24"/>
          <w:lang w:val="en-GB"/>
        </w:rPr>
        <w:t>space</w:t>
      </w:r>
      <w:r w:rsidR="00FC1361" w:rsidRPr="00925344">
        <w:rPr>
          <w:rFonts w:ascii="Times New Roman" w:hAnsi="Times New Roman" w:cs="Times New Roman"/>
          <w:color w:val="auto"/>
          <w:sz w:val="24"/>
          <w:szCs w:val="24"/>
          <w:lang w:val="en-GB"/>
        </w:rPr>
        <w:t xml:space="preserve"> in relati</w:t>
      </w:r>
      <w:r w:rsidR="006F57A1" w:rsidRPr="00925344">
        <w:rPr>
          <w:rFonts w:ascii="Times New Roman" w:hAnsi="Times New Roman" w:cs="Times New Roman"/>
          <w:color w:val="auto"/>
          <w:sz w:val="24"/>
          <w:szCs w:val="24"/>
          <w:lang w:val="en-GB"/>
        </w:rPr>
        <w:t>on to technological advances and the wider RMA</w:t>
      </w:r>
      <w:r w:rsidR="00FC1361" w:rsidRPr="00925344">
        <w:rPr>
          <w:rFonts w:ascii="Times New Roman" w:hAnsi="Times New Roman" w:cs="Times New Roman"/>
          <w:color w:val="auto"/>
          <w:sz w:val="24"/>
          <w:szCs w:val="24"/>
          <w:lang w:val="en-GB"/>
        </w:rPr>
        <w:t xml:space="preserve">.  </w:t>
      </w:r>
      <w:r w:rsidR="00BF4F8D" w:rsidRPr="00925344">
        <w:rPr>
          <w:rFonts w:ascii="Times New Roman" w:hAnsi="Times New Roman" w:cs="Times New Roman"/>
          <w:color w:val="auto"/>
          <w:sz w:val="24"/>
          <w:szCs w:val="24"/>
          <w:lang w:val="en-GB"/>
        </w:rPr>
        <w:t>In the context of outer space</w:t>
      </w:r>
      <w:r w:rsidR="00FC1361" w:rsidRPr="00925344">
        <w:rPr>
          <w:rFonts w:ascii="Times New Roman" w:hAnsi="Times New Roman" w:cs="Times New Roman"/>
          <w:color w:val="auto"/>
          <w:sz w:val="24"/>
          <w:szCs w:val="24"/>
          <w:lang w:val="en-GB"/>
        </w:rPr>
        <w:t xml:space="preserve">, </w:t>
      </w:r>
      <w:proofErr w:type="spellStart"/>
      <w:r w:rsidR="00FC1361" w:rsidRPr="00925344">
        <w:rPr>
          <w:rFonts w:ascii="Times New Roman" w:hAnsi="Times New Roman" w:cs="Times New Roman"/>
          <w:color w:val="auto"/>
          <w:sz w:val="24"/>
          <w:szCs w:val="24"/>
          <w:lang w:val="en-GB"/>
        </w:rPr>
        <w:t>Maogoto</w:t>
      </w:r>
      <w:proofErr w:type="spellEnd"/>
      <w:r w:rsidR="00FC1361" w:rsidRPr="00925344">
        <w:rPr>
          <w:rFonts w:ascii="Times New Roman" w:hAnsi="Times New Roman" w:cs="Times New Roman"/>
          <w:color w:val="auto"/>
          <w:sz w:val="24"/>
          <w:szCs w:val="24"/>
          <w:lang w:val="en-GB"/>
        </w:rPr>
        <w:t xml:space="preserve"> </w:t>
      </w:r>
      <w:r w:rsidR="00BF4F8D" w:rsidRPr="00925344">
        <w:rPr>
          <w:rFonts w:ascii="Times New Roman" w:hAnsi="Times New Roman" w:cs="Times New Roman"/>
          <w:color w:val="auto"/>
          <w:sz w:val="24"/>
          <w:szCs w:val="24"/>
          <w:lang w:val="en-GB"/>
        </w:rPr>
        <w:t xml:space="preserve">argues </w:t>
      </w:r>
      <w:r w:rsidR="001E51D0" w:rsidRPr="00925344">
        <w:rPr>
          <w:rFonts w:ascii="Times New Roman" w:hAnsi="Times New Roman" w:cs="Times New Roman"/>
          <w:color w:val="auto"/>
          <w:sz w:val="24"/>
          <w:szCs w:val="24"/>
          <w:lang w:val="en-GB"/>
        </w:rPr>
        <w:t>(24-</w:t>
      </w:r>
      <w:r w:rsidR="00FC1361" w:rsidRPr="00925344">
        <w:rPr>
          <w:rFonts w:ascii="Times New Roman" w:hAnsi="Times New Roman" w:cs="Times New Roman"/>
          <w:color w:val="auto"/>
          <w:sz w:val="24"/>
          <w:szCs w:val="24"/>
          <w:lang w:val="en-GB"/>
        </w:rPr>
        <w:t xml:space="preserve">5) that the latest revolution in military affairs </w:t>
      </w:r>
      <w:r w:rsidR="00BF4F8D" w:rsidRPr="00925344">
        <w:rPr>
          <w:rFonts w:ascii="Times New Roman" w:hAnsi="Times New Roman" w:cs="Times New Roman"/>
          <w:color w:val="auto"/>
          <w:sz w:val="24"/>
          <w:szCs w:val="24"/>
          <w:lang w:val="en-GB"/>
        </w:rPr>
        <w:t>has been for states</w:t>
      </w:r>
      <w:r w:rsidR="00FC1361" w:rsidRPr="00925344">
        <w:rPr>
          <w:rFonts w:ascii="Times New Roman" w:hAnsi="Times New Roman" w:cs="Times New Roman"/>
          <w:color w:val="auto"/>
          <w:sz w:val="24"/>
          <w:szCs w:val="24"/>
          <w:lang w:val="en-GB"/>
        </w:rPr>
        <w:t xml:space="preserve"> to develop appropriate strike platforms.  The </w:t>
      </w:r>
      <w:r w:rsidR="0002073E" w:rsidRPr="00925344">
        <w:rPr>
          <w:rFonts w:ascii="Times New Roman" w:hAnsi="Times New Roman" w:cs="Times New Roman"/>
          <w:color w:val="auto"/>
          <w:sz w:val="24"/>
          <w:szCs w:val="24"/>
        </w:rPr>
        <w:t>United States Space Command</w:t>
      </w:r>
      <w:r w:rsidR="0002073E" w:rsidRPr="00925344">
        <w:rPr>
          <w:rFonts w:ascii="Times New Roman" w:hAnsi="Times New Roman" w:cs="Times New Roman"/>
          <w:color w:val="auto"/>
          <w:sz w:val="24"/>
          <w:szCs w:val="24"/>
          <w:lang w:val="en-GB"/>
        </w:rPr>
        <w:t>’s vision for 2020</w:t>
      </w:r>
      <w:r w:rsidR="0002073E" w:rsidRPr="00925344">
        <w:rPr>
          <w:rStyle w:val="FootnoteReference"/>
          <w:rFonts w:ascii="Times New Roman" w:hAnsi="Times New Roman" w:cs="Times New Roman"/>
          <w:color w:val="auto"/>
          <w:sz w:val="24"/>
          <w:szCs w:val="24"/>
          <w:lang w:val="en-GB"/>
        </w:rPr>
        <w:footnoteReference w:id="22"/>
      </w:r>
      <w:r w:rsidR="0002073E" w:rsidRPr="00925344">
        <w:rPr>
          <w:rFonts w:ascii="Times New Roman" w:hAnsi="Times New Roman" w:cs="Times New Roman"/>
          <w:color w:val="auto"/>
          <w:sz w:val="24"/>
          <w:szCs w:val="24"/>
          <w:lang w:val="en-GB"/>
        </w:rPr>
        <w:t xml:space="preserve"> </w:t>
      </w:r>
      <w:r w:rsidR="00FC1361" w:rsidRPr="00925344">
        <w:rPr>
          <w:rFonts w:ascii="Times New Roman" w:hAnsi="Times New Roman" w:cs="Times New Roman"/>
          <w:color w:val="auto"/>
          <w:sz w:val="24"/>
          <w:szCs w:val="24"/>
          <w:lang w:val="en-GB"/>
        </w:rPr>
        <w:t xml:space="preserve">is </w:t>
      </w:r>
      <w:r w:rsidR="008E3147" w:rsidRPr="00925344">
        <w:rPr>
          <w:rFonts w:ascii="Times New Roman" w:hAnsi="Times New Roman" w:cs="Times New Roman"/>
          <w:color w:val="auto"/>
          <w:sz w:val="24"/>
          <w:szCs w:val="24"/>
          <w:lang w:val="en-GB"/>
        </w:rPr>
        <w:t>employed</w:t>
      </w:r>
      <w:r w:rsidR="001E51D0" w:rsidRPr="00925344">
        <w:rPr>
          <w:rFonts w:ascii="Times New Roman" w:hAnsi="Times New Roman" w:cs="Times New Roman"/>
          <w:color w:val="auto"/>
          <w:sz w:val="24"/>
          <w:szCs w:val="24"/>
          <w:lang w:val="en-GB"/>
        </w:rPr>
        <w:t xml:space="preserve"> </w:t>
      </w:r>
      <w:r w:rsidR="0002073E" w:rsidRPr="00925344">
        <w:rPr>
          <w:rFonts w:ascii="Times New Roman" w:hAnsi="Times New Roman" w:cs="Times New Roman"/>
          <w:color w:val="auto"/>
          <w:sz w:val="24"/>
          <w:szCs w:val="24"/>
          <w:lang w:val="en-GB"/>
        </w:rPr>
        <w:t xml:space="preserve">(24) </w:t>
      </w:r>
      <w:r w:rsidR="001E51D0" w:rsidRPr="00925344">
        <w:rPr>
          <w:rFonts w:ascii="Times New Roman" w:hAnsi="Times New Roman" w:cs="Times New Roman"/>
          <w:color w:val="auto"/>
          <w:sz w:val="24"/>
          <w:szCs w:val="24"/>
          <w:lang w:val="en-GB"/>
        </w:rPr>
        <w:t xml:space="preserve">as </w:t>
      </w:r>
      <w:r w:rsidR="00FC1361" w:rsidRPr="00925344">
        <w:rPr>
          <w:rFonts w:ascii="Times New Roman" w:hAnsi="Times New Roman" w:cs="Times New Roman"/>
          <w:color w:val="auto"/>
          <w:sz w:val="24"/>
          <w:szCs w:val="24"/>
          <w:lang w:val="en-GB"/>
        </w:rPr>
        <w:t>a case in point</w:t>
      </w:r>
      <w:r w:rsidR="00BF4F8D" w:rsidRPr="00925344">
        <w:rPr>
          <w:rFonts w:ascii="Times New Roman" w:hAnsi="Times New Roman" w:cs="Times New Roman"/>
          <w:color w:val="auto"/>
          <w:sz w:val="24"/>
          <w:szCs w:val="24"/>
          <w:lang w:val="en-GB"/>
        </w:rPr>
        <w:t xml:space="preserve">, demonstrating </w:t>
      </w:r>
      <w:r w:rsidR="001E51D0" w:rsidRPr="00925344">
        <w:rPr>
          <w:rFonts w:ascii="Times New Roman" w:hAnsi="Times New Roman" w:cs="Times New Roman"/>
          <w:color w:val="auto"/>
          <w:sz w:val="24"/>
          <w:szCs w:val="24"/>
          <w:lang w:val="en-GB"/>
        </w:rPr>
        <w:t>s</w:t>
      </w:r>
      <w:r w:rsidR="00BF4F8D" w:rsidRPr="00925344">
        <w:rPr>
          <w:rFonts w:ascii="Times New Roman" w:hAnsi="Times New Roman" w:cs="Times New Roman"/>
          <w:color w:val="auto"/>
          <w:sz w:val="24"/>
          <w:szCs w:val="24"/>
          <w:lang w:val="en-GB"/>
        </w:rPr>
        <w:t xml:space="preserve">tates’ </w:t>
      </w:r>
      <w:r w:rsidR="00FC1361" w:rsidRPr="00925344">
        <w:rPr>
          <w:rFonts w:ascii="Times New Roman" w:hAnsi="Times New Roman" w:cs="Times New Roman"/>
          <w:color w:val="auto"/>
          <w:sz w:val="24"/>
          <w:szCs w:val="24"/>
          <w:lang w:val="en-GB"/>
        </w:rPr>
        <w:t>commitment to building strike platforms designed for use in outer space.  The second part</w:t>
      </w:r>
      <w:r w:rsidR="00BF4F8D" w:rsidRPr="00925344">
        <w:rPr>
          <w:rFonts w:ascii="Times New Roman" w:hAnsi="Times New Roman" w:cs="Times New Roman"/>
          <w:color w:val="auto"/>
          <w:sz w:val="24"/>
          <w:szCs w:val="24"/>
          <w:lang w:val="en-GB"/>
        </w:rPr>
        <w:t xml:space="preserve"> of the chapter</w:t>
      </w:r>
      <w:r w:rsidR="00FC1361" w:rsidRPr="00925344">
        <w:rPr>
          <w:rFonts w:ascii="Times New Roman" w:hAnsi="Times New Roman" w:cs="Times New Roman"/>
          <w:color w:val="auto"/>
          <w:sz w:val="24"/>
          <w:szCs w:val="24"/>
          <w:lang w:val="en-GB"/>
        </w:rPr>
        <w:t xml:space="preserve"> briefly </w:t>
      </w:r>
      <w:r w:rsidR="00BF4F8D" w:rsidRPr="00925344">
        <w:rPr>
          <w:rFonts w:ascii="Times New Roman" w:hAnsi="Times New Roman" w:cs="Times New Roman"/>
          <w:color w:val="auto"/>
          <w:sz w:val="24"/>
          <w:szCs w:val="24"/>
          <w:lang w:val="en-GB"/>
        </w:rPr>
        <w:t xml:space="preserve">(25-27) </w:t>
      </w:r>
      <w:r w:rsidR="00FC1361" w:rsidRPr="00925344">
        <w:rPr>
          <w:rFonts w:ascii="Times New Roman" w:hAnsi="Times New Roman" w:cs="Times New Roman"/>
          <w:color w:val="auto"/>
          <w:sz w:val="24"/>
          <w:szCs w:val="24"/>
          <w:lang w:val="en-GB"/>
        </w:rPr>
        <w:t xml:space="preserve">signposts </w:t>
      </w:r>
      <w:r w:rsidR="00BF4F8D" w:rsidRPr="00925344">
        <w:rPr>
          <w:rFonts w:ascii="Times New Roman" w:hAnsi="Times New Roman" w:cs="Times New Roman"/>
          <w:color w:val="auto"/>
          <w:sz w:val="24"/>
          <w:szCs w:val="24"/>
          <w:lang w:val="en-GB"/>
        </w:rPr>
        <w:t xml:space="preserve">the RMA in </w:t>
      </w:r>
      <w:r w:rsidR="00FC1361" w:rsidRPr="00925344">
        <w:rPr>
          <w:rFonts w:ascii="Times New Roman" w:hAnsi="Times New Roman" w:cs="Times New Roman"/>
          <w:color w:val="auto"/>
          <w:sz w:val="24"/>
          <w:szCs w:val="24"/>
          <w:lang w:val="en-GB"/>
        </w:rPr>
        <w:t>cyberspace</w:t>
      </w:r>
      <w:r w:rsidR="006F57A1" w:rsidRPr="00925344">
        <w:rPr>
          <w:rFonts w:ascii="Times New Roman" w:hAnsi="Times New Roman" w:cs="Times New Roman"/>
          <w:color w:val="auto"/>
          <w:sz w:val="24"/>
          <w:szCs w:val="24"/>
          <w:lang w:val="en-GB"/>
        </w:rPr>
        <w:t>,</w:t>
      </w:r>
      <w:r w:rsidR="00FC1361" w:rsidRPr="00925344">
        <w:rPr>
          <w:rFonts w:ascii="Times New Roman" w:hAnsi="Times New Roman" w:cs="Times New Roman"/>
          <w:color w:val="auto"/>
          <w:sz w:val="24"/>
          <w:szCs w:val="24"/>
          <w:lang w:val="en-GB"/>
        </w:rPr>
        <w:t xml:space="preserve"> record</w:t>
      </w:r>
      <w:r w:rsidR="00BF4F8D" w:rsidRPr="00925344">
        <w:rPr>
          <w:rFonts w:ascii="Times New Roman" w:hAnsi="Times New Roman" w:cs="Times New Roman"/>
          <w:color w:val="auto"/>
          <w:sz w:val="24"/>
          <w:szCs w:val="24"/>
          <w:lang w:val="en-GB"/>
        </w:rPr>
        <w:t>ing</w:t>
      </w:r>
      <w:r w:rsidR="00FC1361" w:rsidRPr="00925344">
        <w:rPr>
          <w:rFonts w:ascii="Times New Roman" w:hAnsi="Times New Roman" w:cs="Times New Roman"/>
          <w:color w:val="auto"/>
          <w:sz w:val="24"/>
          <w:szCs w:val="24"/>
          <w:lang w:val="en-GB"/>
        </w:rPr>
        <w:t xml:space="preserve"> </w:t>
      </w:r>
      <w:r w:rsidR="0054575C" w:rsidRPr="00925344">
        <w:rPr>
          <w:rFonts w:ascii="Times New Roman" w:hAnsi="Times New Roman" w:cs="Times New Roman"/>
          <w:color w:val="auto"/>
          <w:sz w:val="24"/>
          <w:szCs w:val="24"/>
          <w:lang w:val="en-GB"/>
        </w:rPr>
        <w:t>the rise in recourse to cyber-</w:t>
      </w:r>
      <w:r w:rsidR="00FC1361" w:rsidRPr="00925344">
        <w:rPr>
          <w:rFonts w:ascii="Times New Roman" w:hAnsi="Times New Roman" w:cs="Times New Roman"/>
          <w:color w:val="auto"/>
          <w:sz w:val="24"/>
          <w:szCs w:val="24"/>
          <w:lang w:val="en-GB"/>
        </w:rPr>
        <w:t xml:space="preserve">attacks by noting </w:t>
      </w:r>
      <w:r w:rsidR="00FC1361" w:rsidRPr="00925344">
        <w:rPr>
          <w:rFonts w:ascii="Times New Roman" w:hAnsi="Times New Roman" w:cs="Times New Roman"/>
          <w:i/>
          <w:color w:val="auto"/>
          <w:sz w:val="24"/>
          <w:szCs w:val="24"/>
          <w:lang w:val="en-GB"/>
        </w:rPr>
        <w:t xml:space="preserve">locus </w:t>
      </w:r>
      <w:proofErr w:type="spellStart"/>
      <w:r w:rsidR="00FC1361" w:rsidRPr="00925344">
        <w:rPr>
          <w:rFonts w:ascii="Times New Roman" w:hAnsi="Times New Roman" w:cs="Times New Roman"/>
          <w:i/>
          <w:color w:val="auto"/>
          <w:sz w:val="24"/>
          <w:szCs w:val="24"/>
          <w:lang w:val="en-GB"/>
        </w:rPr>
        <w:t>classicus</w:t>
      </w:r>
      <w:proofErr w:type="spellEnd"/>
      <w:r w:rsidR="004E7309" w:rsidRPr="00925344">
        <w:rPr>
          <w:rFonts w:ascii="Times New Roman" w:hAnsi="Times New Roman" w:cs="Times New Roman"/>
          <w:color w:val="auto"/>
          <w:sz w:val="24"/>
          <w:szCs w:val="24"/>
          <w:lang w:val="en-GB"/>
        </w:rPr>
        <w:t xml:space="preserve"> such as Estonia (2</w:t>
      </w:r>
      <w:r w:rsidR="006F57A1" w:rsidRPr="00925344">
        <w:rPr>
          <w:rFonts w:ascii="Times New Roman" w:hAnsi="Times New Roman" w:cs="Times New Roman"/>
          <w:color w:val="auto"/>
          <w:sz w:val="24"/>
          <w:szCs w:val="24"/>
          <w:lang w:val="en-GB"/>
        </w:rPr>
        <w:t>007</w:t>
      </w:r>
      <w:r w:rsidR="004E7309" w:rsidRPr="00925344">
        <w:rPr>
          <w:rFonts w:ascii="Times New Roman" w:hAnsi="Times New Roman" w:cs="Times New Roman"/>
          <w:color w:val="auto"/>
          <w:sz w:val="24"/>
          <w:szCs w:val="24"/>
          <w:lang w:val="en-GB"/>
        </w:rPr>
        <w:t>)</w:t>
      </w:r>
      <w:r w:rsidR="006F57A1" w:rsidRPr="00925344">
        <w:rPr>
          <w:rFonts w:ascii="Times New Roman" w:hAnsi="Times New Roman" w:cs="Times New Roman"/>
          <w:color w:val="auto"/>
          <w:sz w:val="24"/>
          <w:szCs w:val="24"/>
          <w:lang w:val="en-GB"/>
        </w:rPr>
        <w:t>.</w:t>
      </w:r>
      <w:r w:rsidR="00BF4F8D" w:rsidRPr="00925344">
        <w:rPr>
          <w:rStyle w:val="FootnoteReference"/>
          <w:rFonts w:ascii="Times New Roman" w:hAnsi="Times New Roman" w:cs="Times New Roman"/>
          <w:color w:val="auto"/>
          <w:sz w:val="24"/>
          <w:szCs w:val="24"/>
          <w:lang w:val="en-GB"/>
        </w:rPr>
        <w:footnoteReference w:id="23"/>
      </w:r>
    </w:p>
    <w:p w:rsidR="00D4126E" w:rsidRPr="00925344" w:rsidRDefault="00060DD2" w:rsidP="005E3FCC">
      <w:pPr>
        <w:pStyle w:val="NoSpacing"/>
        <w:ind w:firstLine="720"/>
        <w:jc w:val="both"/>
        <w:rPr>
          <w:rFonts w:ascii="Times New Roman" w:hAnsi="Times New Roman" w:cs="Times New Roman"/>
          <w:color w:val="auto"/>
          <w:sz w:val="24"/>
          <w:szCs w:val="24"/>
          <w:lang w:val="en-GB"/>
        </w:rPr>
      </w:pPr>
      <w:r w:rsidRPr="00925344">
        <w:rPr>
          <w:rFonts w:ascii="Times New Roman" w:hAnsi="Times New Roman" w:cs="Times New Roman"/>
          <w:color w:val="auto"/>
          <w:sz w:val="24"/>
          <w:szCs w:val="24"/>
          <w:lang w:val="en-GB"/>
        </w:rPr>
        <w:t xml:space="preserve">Chapter 3 showcases </w:t>
      </w:r>
      <w:proofErr w:type="spellStart"/>
      <w:r w:rsidRPr="00925344">
        <w:rPr>
          <w:rFonts w:ascii="Times New Roman" w:hAnsi="Times New Roman" w:cs="Times New Roman"/>
          <w:color w:val="auto"/>
          <w:sz w:val="24"/>
          <w:szCs w:val="24"/>
          <w:lang w:val="en-GB"/>
        </w:rPr>
        <w:t>Maogoto’s</w:t>
      </w:r>
      <w:proofErr w:type="spellEnd"/>
      <w:r w:rsidRPr="00925344">
        <w:rPr>
          <w:rFonts w:ascii="Times New Roman" w:hAnsi="Times New Roman" w:cs="Times New Roman"/>
          <w:color w:val="auto"/>
          <w:sz w:val="24"/>
          <w:szCs w:val="24"/>
          <w:lang w:val="en-GB"/>
        </w:rPr>
        <w:t xml:space="preserve"> expertise in space law, in that it considers how the </w:t>
      </w:r>
      <w:r w:rsidRPr="00925344">
        <w:rPr>
          <w:rFonts w:ascii="Times New Roman" w:hAnsi="Times New Roman" w:cs="Times New Roman"/>
          <w:i/>
          <w:iCs/>
          <w:color w:val="auto"/>
          <w:sz w:val="24"/>
          <w:szCs w:val="24"/>
          <w:lang w:val="en-GB"/>
        </w:rPr>
        <w:t>jus ad bellum</w:t>
      </w:r>
      <w:r w:rsidRPr="00925344">
        <w:rPr>
          <w:rFonts w:ascii="Times New Roman" w:hAnsi="Times New Roman" w:cs="Times New Roman"/>
          <w:color w:val="auto"/>
          <w:sz w:val="24"/>
          <w:szCs w:val="24"/>
          <w:lang w:val="en-GB"/>
        </w:rPr>
        <w:t xml:space="preserve"> framework regulates </w:t>
      </w:r>
      <w:r w:rsidR="0002073E" w:rsidRPr="00925344">
        <w:rPr>
          <w:rFonts w:ascii="Times New Roman" w:hAnsi="Times New Roman" w:cs="Times New Roman"/>
          <w:color w:val="auto"/>
          <w:sz w:val="24"/>
          <w:szCs w:val="24"/>
          <w:lang w:val="en-GB"/>
        </w:rPr>
        <w:t>(</w:t>
      </w:r>
      <w:r w:rsidRPr="00925344">
        <w:rPr>
          <w:rFonts w:ascii="Times New Roman" w:hAnsi="Times New Roman" w:cs="Times New Roman"/>
          <w:color w:val="auto"/>
          <w:sz w:val="24"/>
          <w:szCs w:val="24"/>
          <w:lang w:val="en-GB"/>
        </w:rPr>
        <w:t xml:space="preserve">or, indeed, </w:t>
      </w:r>
      <w:r w:rsidRPr="00925344">
        <w:rPr>
          <w:rFonts w:ascii="Times New Roman" w:hAnsi="Times New Roman" w:cs="Times New Roman"/>
          <w:i/>
          <w:iCs/>
          <w:color w:val="auto"/>
          <w:sz w:val="24"/>
          <w:szCs w:val="24"/>
          <w:lang w:val="en-GB"/>
        </w:rPr>
        <w:t>should</w:t>
      </w:r>
      <w:r w:rsidRPr="00925344">
        <w:rPr>
          <w:rFonts w:ascii="Times New Roman" w:hAnsi="Times New Roman" w:cs="Times New Roman"/>
          <w:color w:val="auto"/>
          <w:sz w:val="24"/>
          <w:szCs w:val="24"/>
          <w:lang w:val="en-GB"/>
        </w:rPr>
        <w:t xml:space="preserve"> regulate</w:t>
      </w:r>
      <w:r w:rsidR="0002073E" w:rsidRPr="00925344">
        <w:rPr>
          <w:rFonts w:ascii="Times New Roman" w:hAnsi="Times New Roman" w:cs="Times New Roman"/>
          <w:color w:val="auto"/>
          <w:sz w:val="24"/>
          <w:szCs w:val="24"/>
          <w:lang w:val="en-GB"/>
        </w:rPr>
        <w:t>)</w:t>
      </w:r>
      <w:r w:rsidRPr="00925344">
        <w:rPr>
          <w:rFonts w:ascii="Times New Roman" w:hAnsi="Times New Roman" w:cs="Times New Roman"/>
          <w:color w:val="auto"/>
          <w:sz w:val="24"/>
          <w:szCs w:val="24"/>
          <w:lang w:val="en-GB"/>
        </w:rPr>
        <w:t xml:space="preserve"> the potential militarisation of outer space.   The chapter is undoubtedly the book’s most unique and interesting contribution to current literature.</w:t>
      </w:r>
      <w:r w:rsidR="00352589" w:rsidRPr="00925344">
        <w:rPr>
          <w:rFonts w:ascii="Times New Roman" w:eastAsia="Times New Roman" w:hAnsi="Times New Roman" w:cs="Times New Roman"/>
          <w:color w:val="auto"/>
          <w:sz w:val="24"/>
          <w:szCs w:val="24"/>
          <w:vertAlign w:val="superscript"/>
          <w:lang w:val="en-GB"/>
        </w:rPr>
        <w:footnoteReference w:id="24"/>
      </w:r>
      <w:r w:rsidRPr="00925344">
        <w:rPr>
          <w:rFonts w:ascii="Times New Roman" w:hAnsi="Times New Roman" w:cs="Times New Roman"/>
          <w:color w:val="auto"/>
          <w:sz w:val="24"/>
          <w:szCs w:val="24"/>
          <w:lang w:val="en-GB"/>
        </w:rPr>
        <w:t xml:space="preserve">   </w:t>
      </w:r>
      <w:r w:rsidR="00EB35BD" w:rsidRPr="00925344">
        <w:rPr>
          <w:rFonts w:ascii="Times New Roman" w:hAnsi="Times New Roman" w:cs="Times New Roman"/>
          <w:color w:val="auto"/>
          <w:sz w:val="24"/>
          <w:szCs w:val="24"/>
          <w:lang w:val="en-GB"/>
        </w:rPr>
        <w:t xml:space="preserve"> </w:t>
      </w:r>
      <w:proofErr w:type="spellStart"/>
      <w:r w:rsidRPr="00925344">
        <w:rPr>
          <w:rFonts w:ascii="Times New Roman" w:hAnsi="Times New Roman" w:cs="Times New Roman"/>
          <w:color w:val="auto"/>
          <w:sz w:val="24"/>
          <w:szCs w:val="24"/>
          <w:lang w:val="en-GB"/>
        </w:rPr>
        <w:t>Maogoto</w:t>
      </w:r>
      <w:proofErr w:type="spellEnd"/>
      <w:r w:rsidRPr="00925344">
        <w:rPr>
          <w:rFonts w:ascii="Times New Roman" w:hAnsi="Times New Roman" w:cs="Times New Roman"/>
          <w:color w:val="auto"/>
          <w:sz w:val="24"/>
          <w:szCs w:val="24"/>
          <w:lang w:val="en-GB"/>
        </w:rPr>
        <w:t xml:space="preserve"> </w:t>
      </w:r>
      <w:r w:rsidR="00EB35BD" w:rsidRPr="00925344">
        <w:rPr>
          <w:rFonts w:ascii="Times New Roman" w:hAnsi="Times New Roman" w:cs="Times New Roman"/>
          <w:color w:val="auto"/>
          <w:sz w:val="24"/>
          <w:szCs w:val="24"/>
          <w:lang w:val="en-GB"/>
        </w:rPr>
        <w:t xml:space="preserve">traces the major </w:t>
      </w:r>
      <w:r w:rsidR="00F86BA7" w:rsidRPr="00925344">
        <w:rPr>
          <w:rFonts w:ascii="Times New Roman" w:hAnsi="Times New Roman" w:cs="Times New Roman"/>
          <w:color w:val="auto"/>
          <w:sz w:val="24"/>
          <w:szCs w:val="24"/>
          <w:lang w:val="en-GB"/>
        </w:rPr>
        <w:t>treaties</w:t>
      </w:r>
      <w:r w:rsidR="00EB35BD" w:rsidRPr="00925344">
        <w:rPr>
          <w:rFonts w:ascii="Times New Roman" w:hAnsi="Times New Roman" w:cs="Times New Roman"/>
          <w:color w:val="auto"/>
          <w:sz w:val="24"/>
          <w:szCs w:val="24"/>
          <w:lang w:val="en-GB"/>
        </w:rPr>
        <w:t xml:space="preserve"> </w:t>
      </w:r>
      <w:r w:rsidR="00F86BA7" w:rsidRPr="00925344">
        <w:rPr>
          <w:rFonts w:ascii="Times New Roman" w:hAnsi="Times New Roman" w:cs="Times New Roman"/>
          <w:color w:val="auto"/>
          <w:sz w:val="24"/>
          <w:szCs w:val="24"/>
          <w:lang w:val="en-GB"/>
        </w:rPr>
        <w:t>that</w:t>
      </w:r>
      <w:r w:rsidR="00D4126E" w:rsidRPr="00925344">
        <w:rPr>
          <w:rFonts w:ascii="Times New Roman" w:hAnsi="Times New Roman" w:cs="Times New Roman"/>
          <w:color w:val="auto"/>
          <w:sz w:val="24"/>
          <w:szCs w:val="24"/>
          <w:lang w:val="en-GB"/>
        </w:rPr>
        <w:t xml:space="preserve"> regulate</w:t>
      </w:r>
      <w:r w:rsidR="00EB35BD" w:rsidRPr="00925344">
        <w:rPr>
          <w:rFonts w:ascii="Times New Roman" w:hAnsi="Times New Roman" w:cs="Times New Roman"/>
          <w:color w:val="auto"/>
          <w:sz w:val="24"/>
          <w:szCs w:val="24"/>
          <w:lang w:val="en-GB"/>
        </w:rPr>
        <w:t xml:space="preserve"> state</w:t>
      </w:r>
      <w:r w:rsidR="00D4126E" w:rsidRPr="00925344">
        <w:rPr>
          <w:rFonts w:ascii="Times New Roman" w:hAnsi="Times New Roman" w:cs="Times New Roman"/>
          <w:color w:val="auto"/>
          <w:sz w:val="24"/>
          <w:szCs w:val="24"/>
          <w:lang w:val="en-GB"/>
        </w:rPr>
        <w:t>s</w:t>
      </w:r>
      <w:r w:rsidR="00EB35BD" w:rsidRPr="00925344">
        <w:rPr>
          <w:rFonts w:ascii="Times New Roman" w:hAnsi="Times New Roman" w:cs="Times New Roman"/>
          <w:color w:val="auto"/>
          <w:sz w:val="24"/>
          <w:szCs w:val="24"/>
          <w:lang w:val="en-GB"/>
        </w:rPr>
        <w:t xml:space="preserve">’ activities in </w:t>
      </w:r>
      <w:r w:rsidR="00D4126E" w:rsidRPr="00925344">
        <w:rPr>
          <w:rFonts w:ascii="Times New Roman" w:hAnsi="Times New Roman" w:cs="Times New Roman"/>
          <w:color w:val="auto"/>
          <w:sz w:val="24"/>
          <w:szCs w:val="24"/>
          <w:lang w:val="en-GB"/>
        </w:rPr>
        <w:t>o</w:t>
      </w:r>
      <w:r w:rsidR="00EB35BD" w:rsidRPr="00925344">
        <w:rPr>
          <w:rFonts w:ascii="Times New Roman" w:hAnsi="Times New Roman" w:cs="Times New Roman"/>
          <w:color w:val="auto"/>
          <w:sz w:val="24"/>
          <w:szCs w:val="24"/>
          <w:lang w:val="en-GB"/>
        </w:rPr>
        <w:t xml:space="preserve">uter </w:t>
      </w:r>
      <w:r w:rsidR="00D4126E" w:rsidRPr="00925344">
        <w:rPr>
          <w:rFonts w:ascii="Times New Roman" w:hAnsi="Times New Roman" w:cs="Times New Roman"/>
          <w:color w:val="auto"/>
          <w:sz w:val="24"/>
          <w:szCs w:val="24"/>
          <w:lang w:val="en-GB"/>
        </w:rPr>
        <w:t>s</w:t>
      </w:r>
      <w:r w:rsidR="00EB35BD" w:rsidRPr="00925344">
        <w:rPr>
          <w:rFonts w:ascii="Times New Roman" w:hAnsi="Times New Roman" w:cs="Times New Roman"/>
          <w:color w:val="auto"/>
          <w:sz w:val="24"/>
          <w:szCs w:val="24"/>
          <w:lang w:val="en-GB"/>
        </w:rPr>
        <w:t>pace (Outer Space Treaty, Limited Test Ban Treaty, Liability Convention</w:t>
      </w:r>
      <w:r w:rsidR="00F86BA7" w:rsidRPr="00925344">
        <w:rPr>
          <w:rFonts w:ascii="Times New Roman" w:hAnsi="Times New Roman" w:cs="Times New Roman"/>
          <w:color w:val="auto"/>
          <w:sz w:val="24"/>
          <w:szCs w:val="24"/>
          <w:lang w:val="en-GB"/>
        </w:rPr>
        <w:t xml:space="preserve"> and Anti-Ballistic Missile </w:t>
      </w:r>
      <w:r w:rsidR="00EB35BD" w:rsidRPr="00925344">
        <w:rPr>
          <w:rFonts w:ascii="Times New Roman" w:hAnsi="Times New Roman" w:cs="Times New Roman"/>
          <w:color w:val="auto"/>
          <w:sz w:val="24"/>
          <w:szCs w:val="24"/>
          <w:lang w:val="en-GB"/>
        </w:rPr>
        <w:t>Treaty)</w:t>
      </w:r>
      <w:r w:rsidR="0002073E" w:rsidRPr="00925344">
        <w:rPr>
          <w:rFonts w:ascii="Times New Roman" w:hAnsi="Times New Roman" w:cs="Times New Roman"/>
          <w:color w:val="auto"/>
          <w:sz w:val="24"/>
          <w:szCs w:val="24"/>
          <w:lang w:val="en-GB"/>
        </w:rPr>
        <w:t>, and his</w:t>
      </w:r>
      <w:r w:rsidR="00AD36A3" w:rsidRPr="00925344">
        <w:rPr>
          <w:rFonts w:ascii="Times New Roman" w:hAnsi="Times New Roman" w:cs="Times New Roman"/>
          <w:color w:val="auto"/>
          <w:sz w:val="24"/>
          <w:szCs w:val="24"/>
          <w:lang w:val="en-GB"/>
        </w:rPr>
        <w:t xml:space="preserve"> analysis (32-43) of this </w:t>
      </w:r>
      <w:r w:rsidRPr="00925344">
        <w:rPr>
          <w:rFonts w:ascii="Times New Roman" w:hAnsi="Times New Roman" w:cs="Times New Roman"/>
          <w:color w:val="auto"/>
          <w:sz w:val="24"/>
          <w:szCs w:val="24"/>
          <w:lang w:val="en-GB"/>
        </w:rPr>
        <w:t xml:space="preserve">treaty </w:t>
      </w:r>
      <w:r w:rsidR="00AD36A3" w:rsidRPr="00925344">
        <w:rPr>
          <w:rFonts w:ascii="Times New Roman" w:hAnsi="Times New Roman" w:cs="Times New Roman"/>
          <w:color w:val="auto"/>
          <w:sz w:val="24"/>
          <w:szCs w:val="24"/>
          <w:lang w:val="en-GB"/>
        </w:rPr>
        <w:t>regime</w:t>
      </w:r>
      <w:r w:rsidR="0002073E" w:rsidRPr="00925344">
        <w:rPr>
          <w:rFonts w:ascii="Times New Roman" w:hAnsi="Times New Roman" w:cs="Times New Roman"/>
          <w:color w:val="auto"/>
          <w:sz w:val="24"/>
          <w:szCs w:val="24"/>
          <w:lang w:val="en-GB"/>
        </w:rPr>
        <w:t xml:space="preserve">, </w:t>
      </w:r>
      <w:r w:rsidR="00AD36A3" w:rsidRPr="00925344">
        <w:rPr>
          <w:rFonts w:ascii="Times New Roman" w:hAnsi="Times New Roman" w:cs="Times New Roman"/>
          <w:color w:val="auto"/>
          <w:sz w:val="24"/>
          <w:szCs w:val="24"/>
          <w:lang w:val="en-GB"/>
        </w:rPr>
        <w:t xml:space="preserve">and its potential to restrict </w:t>
      </w:r>
      <w:r w:rsidR="00352589" w:rsidRPr="00925344">
        <w:rPr>
          <w:rFonts w:ascii="Times New Roman" w:hAnsi="Times New Roman" w:cs="Times New Roman"/>
          <w:color w:val="auto"/>
          <w:sz w:val="24"/>
          <w:szCs w:val="24"/>
          <w:lang w:val="en-GB"/>
        </w:rPr>
        <w:t xml:space="preserve">the use of </w:t>
      </w:r>
      <w:r w:rsidR="00AD36A3" w:rsidRPr="00925344">
        <w:rPr>
          <w:rFonts w:ascii="Times New Roman" w:hAnsi="Times New Roman" w:cs="Times New Roman"/>
          <w:color w:val="auto"/>
          <w:sz w:val="24"/>
          <w:szCs w:val="24"/>
          <w:lang w:val="en-GB"/>
        </w:rPr>
        <w:t>outer space as a theatre of war</w:t>
      </w:r>
      <w:r w:rsidR="0002073E" w:rsidRPr="00925344">
        <w:rPr>
          <w:rFonts w:ascii="Times New Roman" w:hAnsi="Times New Roman" w:cs="Times New Roman"/>
          <w:color w:val="auto"/>
          <w:sz w:val="24"/>
          <w:szCs w:val="24"/>
          <w:lang w:val="en-GB"/>
        </w:rPr>
        <w:t>,</w:t>
      </w:r>
      <w:r w:rsidR="00AD36A3" w:rsidRPr="00925344">
        <w:rPr>
          <w:rFonts w:ascii="Times New Roman" w:hAnsi="Times New Roman" w:cs="Times New Roman"/>
          <w:color w:val="auto"/>
          <w:sz w:val="24"/>
          <w:szCs w:val="24"/>
          <w:lang w:val="en-GB"/>
        </w:rPr>
        <w:t xml:space="preserve"> is </w:t>
      </w:r>
      <w:r w:rsidRPr="00925344">
        <w:rPr>
          <w:rFonts w:ascii="Times New Roman" w:hAnsi="Times New Roman" w:cs="Times New Roman"/>
          <w:color w:val="auto"/>
          <w:sz w:val="24"/>
          <w:szCs w:val="24"/>
          <w:lang w:val="en-GB"/>
        </w:rPr>
        <w:t xml:space="preserve">clear and well-reasoned.  </w:t>
      </w:r>
    </w:p>
    <w:p w:rsidR="00DC6FF6" w:rsidRPr="00925344" w:rsidRDefault="0002073E" w:rsidP="005E3FCC">
      <w:pPr>
        <w:pStyle w:val="NoSpacing"/>
        <w:ind w:firstLine="720"/>
        <w:jc w:val="both"/>
        <w:rPr>
          <w:rFonts w:ascii="Times New Roman" w:eastAsia="Times New Roman" w:hAnsi="Times New Roman" w:cs="Times New Roman"/>
          <w:color w:val="auto"/>
          <w:sz w:val="24"/>
          <w:szCs w:val="24"/>
          <w:lang w:val="en-GB"/>
        </w:rPr>
      </w:pPr>
      <w:r w:rsidRPr="00925344">
        <w:rPr>
          <w:rFonts w:ascii="Times New Roman" w:hAnsi="Times New Roman" w:cs="Times New Roman"/>
          <w:color w:val="auto"/>
          <w:sz w:val="24"/>
          <w:szCs w:val="24"/>
          <w:lang w:val="en-GB"/>
        </w:rPr>
        <w:t>The author</w:t>
      </w:r>
      <w:r w:rsidR="008C0D9B">
        <w:rPr>
          <w:rFonts w:ascii="Times New Roman" w:hAnsi="Times New Roman" w:cs="Times New Roman"/>
          <w:color w:val="auto"/>
          <w:sz w:val="24"/>
          <w:szCs w:val="24"/>
          <w:lang w:val="en-GB"/>
        </w:rPr>
        <w:t xml:space="preserve"> convincingly argues</w:t>
      </w:r>
      <w:r w:rsidR="00060DD2" w:rsidRPr="00925344">
        <w:rPr>
          <w:rFonts w:ascii="Times New Roman" w:hAnsi="Times New Roman" w:cs="Times New Roman"/>
          <w:color w:val="auto"/>
          <w:sz w:val="24"/>
          <w:szCs w:val="24"/>
          <w:lang w:val="en-GB"/>
        </w:rPr>
        <w:t xml:space="preserve"> </w:t>
      </w:r>
      <w:r w:rsidR="00F86BA7" w:rsidRPr="00925344">
        <w:rPr>
          <w:rFonts w:ascii="Times New Roman" w:hAnsi="Times New Roman" w:cs="Times New Roman"/>
          <w:color w:val="auto"/>
          <w:sz w:val="24"/>
          <w:szCs w:val="24"/>
          <w:lang w:val="en-GB"/>
        </w:rPr>
        <w:t>that</w:t>
      </w:r>
      <w:r w:rsidR="00060DD2" w:rsidRPr="00925344">
        <w:rPr>
          <w:rFonts w:ascii="Times New Roman" w:hAnsi="Times New Roman" w:cs="Times New Roman"/>
          <w:color w:val="auto"/>
          <w:sz w:val="24"/>
          <w:szCs w:val="24"/>
          <w:lang w:val="en-GB"/>
        </w:rPr>
        <w:t>,</w:t>
      </w:r>
      <w:r w:rsidR="00F86BA7" w:rsidRPr="00925344">
        <w:rPr>
          <w:rFonts w:ascii="Times New Roman" w:hAnsi="Times New Roman" w:cs="Times New Roman"/>
          <w:color w:val="auto"/>
          <w:sz w:val="24"/>
          <w:szCs w:val="24"/>
          <w:lang w:val="en-GB"/>
        </w:rPr>
        <w:t xml:space="preserve"> whil</w:t>
      </w:r>
      <w:r w:rsidR="00352589" w:rsidRPr="00925344">
        <w:rPr>
          <w:rFonts w:ascii="Times New Roman" w:hAnsi="Times New Roman" w:cs="Times New Roman"/>
          <w:color w:val="auto"/>
          <w:sz w:val="24"/>
          <w:szCs w:val="24"/>
          <w:lang w:val="en-GB"/>
        </w:rPr>
        <w:t>e</w:t>
      </w:r>
      <w:r w:rsidR="00F86BA7" w:rsidRPr="00925344">
        <w:rPr>
          <w:rFonts w:ascii="Times New Roman" w:hAnsi="Times New Roman" w:cs="Times New Roman"/>
          <w:color w:val="auto"/>
          <w:sz w:val="24"/>
          <w:szCs w:val="24"/>
          <w:lang w:val="en-GB"/>
        </w:rPr>
        <w:t xml:space="preserve"> these c</w:t>
      </w:r>
      <w:r w:rsidR="00EB35BD" w:rsidRPr="00925344">
        <w:rPr>
          <w:rFonts w:ascii="Times New Roman" w:hAnsi="Times New Roman" w:cs="Times New Roman"/>
          <w:color w:val="auto"/>
          <w:sz w:val="24"/>
          <w:szCs w:val="24"/>
          <w:lang w:val="en-GB"/>
        </w:rPr>
        <w:t xml:space="preserve">onventions are emphatic in trying to prevent militarisation in </w:t>
      </w:r>
      <w:r w:rsidR="00BE1A75" w:rsidRPr="00925344">
        <w:rPr>
          <w:rFonts w:ascii="Times New Roman" w:hAnsi="Times New Roman" w:cs="Times New Roman"/>
          <w:color w:val="auto"/>
          <w:sz w:val="24"/>
          <w:szCs w:val="24"/>
          <w:lang w:val="en-GB"/>
        </w:rPr>
        <w:t>outer space</w:t>
      </w:r>
      <w:r w:rsidR="00EB35BD" w:rsidRPr="00925344">
        <w:rPr>
          <w:rFonts w:ascii="Times New Roman" w:hAnsi="Times New Roman" w:cs="Times New Roman"/>
          <w:color w:val="auto"/>
          <w:sz w:val="24"/>
          <w:szCs w:val="24"/>
          <w:lang w:val="en-GB"/>
        </w:rPr>
        <w:t>, the reality is that states are incrementall</w:t>
      </w:r>
      <w:r w:rsidR="00F86BA7" w:rsidRPr="00925344">
        <w:rPr>
          <w:rFonts w:ascii="Times New Roman" w:hAnsi="Times New Roman" w:cs="Times New Roman"/>
          <w:color w:val="auto"/>
          <w:sz w:val="24"/>
          <w:szCs w:val="24"/>
          <w:lang w:val="en-GB"/>
        </w:rPr>
        <w:t>y challenging th</w:t>
      </w:r>
      <w:r w:rsidR="00352589" w:rsidRPr="00925344">
        <w:rPr>
          <w:rFonts w:ascii="Times New Roman" w:hAnsi="Times New Roman" w:cs="Times New Roman"/>
          <w:color w:val="auto"/>
          <w:sz w:val="24"/>
          <w:szCs w:val="24"/>
          <w:lang w:val="en-GB"/>
        </w:rPr>
        <w:t>e</w:t>
      </w:r>
      <w:r w:rsidR="00F86BA7" w:rsidRPr="00925344">
        <w:rPr>
          <w:rFonts w:ascii="Times New Roman" w:hAnsi="Times New Roman" w:cs="Times New Roman"/>
          <w:color w:val="auto"/>
          <w:sz w:val="24"/>
          <w:szCs w:val="24"/>
          <w:lang w:val="en-GB"/>
        </w:rPr>
        <w:t xml:space="preserve"> boundaries</w:t>
      </w:r>
      <w:r w:rsidR="00352589" w:rsidRPr="00925344">
        <w:rPr>
          <w:rFonts w:ascii="Times New Roman" w:hAnsi="Times New Roman" w:cs="Times New Roman"/>
          <w:color w:val="auto"/>
          <w:sz w:val="24"/>
          <w:szCs w:val="24"/>
          <w:lang w:val="en-GB"/>
        </w:rPr>
        <w:t xml:space="preserve"> set by the regime</w:t>
      </w:r>
      <w:r w:rsidR="00F86BA7" w:rsidRPr="00925344">
        <w:rPr>
          <w:rFonts w:ascii="Times New Roman" w:hAnsi="Times New Roman" w:cs="Times New Roman"/>
          <w:color w:val="auto"/>
          <w:sz w:val="24"/>
          <w:szCs w:val="24"/>
          <w:lang w:val="en-GB"/>
        </w:rPr>
        <w:t>.</w:t>
      </w:r>
      <w:r w:rsidR="008E3147" w:rsidRPr="00925344">
        <w:rPr>
          <w:rFonts w:ascii="Times New Roman" w:hAnsi="Times New Roman" w:cs="Times New Roman"/>
          <w:color w:val="auto"/>
          <w:sz w:val="24"/>
          <w:szCs w:val="24"/>
          <w:lang w:val="en-GB"/>
        </w:rPr>
        <w:t xml:space="preserve">  </w:t>
      </w:r>
      <w:r w:rsidR="00EB35BD" w:rsidRPr="00925344">
        <w:rPr>
          <w:rFonts w:ascii="Times New Roman" w:hAnsi="Times New Roman" w:cs="Times New Roman"/>
          <w:color w:val="auto"/>
          <w:sz w:val="24"/>
          <w:szCs w:val="24"/>
          <w:lang w:val="en-GB"/>
        </w:rPr>
        <w:t>China’s recourse</w:t>
      </w:r>
      <w:r w:rsidR="00352589" w:rsidRPr="00925344">
        <w:rPr>
          <w:rFonts w:ascii="Times New Roman" w:hAnsi="Times New Roman" w:cs="Times New Roman"/>
          <w:color w:val="auto"/>
          <w:sz w:val="24"/>
          <w:szCs w:val="24"/>
          <w:lang w:val="en-GB"/>
        </w:rPr>
        <w:t>, in 2007,</w:t>
      </w:r>
      <w:r w:rsidR="00EB35BD" w:rsidRPr="00925344">
        <w:rPr>
          <w:rFonts w:ascii="Times New Roman" w:hAnsi="Times New Roman" w:cs="Times New Roman"/>
          <w:color w:val="auto"/>
          <w:sz w:val="24"/>
          <w:szCs w:val="24"/>
          <w:lang w:val="en-GB"/>
        </w:rPr>
        <w:t xml:space="preserve"> to an </w:t>
      </w:r>
      <w:r w:rsidR="00797231" w:rsidRPr="00925344">
        <w:rPr>
          <w:rFonts w:ascii="Times New Roman" w:hAnsi="Times New Roman" w:cs="Times New Roman"/>
          <w:color w:val="auto"/>
          <w:sz w:val="24"/>
          <w:szCs w:val="24"/>
          <w:lang w:val="en-GB"/>
        </w:rPr>
        <w:t>anti-satellite</w:t>
      </w:r>
      <w:r w:rsidR="00EB35BD" w:rsidRPr="00925344">
        <w:rPr>
          <w:rFonts w:ascii="Times New Roman" w:hAnsi="Times New Roman" w:cs="Times New Roman"/>
          <w:color w:val="auto"/>
          <w:sz w:val="24"/>
          <w:szCs w:val="24"/>
          <w:lang w:val="en-GB"/>
        </w:rPr>
        <w:t xml:space="preserve"> </w:t>
      </w:r>
      <w:r w:rsidR="00797231" w:rsidRPr="00925344">
        <w:rPr>
          <w:rFonts w:ascii="Times New Roman" w:hAnsi="Times New Roman" w:cs="Times New Roman"/>
          <w:color w:val="auto"/>
          <w:sz w:val="24"/>
          <w:szCs w:val="24"/>
          <w:lang w:val="en-GB"/>
        </w:rPr>
        <w:t xml:space="preserve">weapon </w:t>
      </w:r>
      <w:r w:rsidR="00EB35BD" w:rsidRPr="00925344">
        <w:rPr>
          <w:rFonts w:ascii="Times New Roman" w:hAnsi="Times New Roman" w:cs="Times New Roman"/>
          <w:color w:val="auto"/>
          <w:sz w:val="24"/>
          <w:szCs w:val="24"/>
          <w:lang w:val="en-GB"/>
        </w:rPr>
        <w:t>to down one of its own defunct weather satellites add</w:t>
      </w:r>
      <w:r w:rsidR="00F86BA7" w:rsidRPr="00925344">
        <w:rPr>
          <w:rFonts w:ascii="Times New Roman" w:hAnsi="Times New Roman" w:cs="Times New Roman"/>
          <w:color w:val="auto"/>
          <w:sz w:val="24"/>
          <w:szCs w:val="24"/>
          <w:lang w:val="en-GB"/>
        </w:rPr>
        <w:t>s</w:t>
      </w:r>
      <w:r w:rsidR="00EB35BD" w:rsidRPr="00925344">
        <w:rPr>
          <w:rFonts w:ascii="Times New Roman" w:hAnsi="Times New Roman" w:cs="Times New Roman"/>
          <w:color w:val="auto"/>
          <w:sz w:val="24"/>
          <w:szCs w:val="24"/>
          <w:lang w:val="en-GB"/>
        </w:rPr>
        <w:t xml:space="preserve"> credence to that </w:t>
      </w:r>
      <w:r w:rsidR="00F86BA7" w:rsidRPr="00925344">
        <w:rPr>
          <w:rFonts w:ascii="Times New Roman" w:hAnsi="Times New Roman" w:cs="Times New Roman"/>
          <w:color w:val="auto"/>
          <w:sz w:val="24"/>
          <w:szCs w:val="24"/>
          <w:lang w:val="en-GB"/>
        </w:rPr>
        <w:t>position</w:t>
      </w:r>
      <w:r w:rsidR="008E3147" w:rsidRPr="00925344">
        <w:rPr>
          <w:rFonts w:ascii="Times New Roman" w:hAnsi="Times New Roman" w:cs="Times New Roman"/>
          <w:color w:val="auto"/>
          <w:sz w:val="24"/>
          <w:szCs w:val="24"/>
          <w:lang w:val="en-GB"/>
        </w:rPr>
        <w:t>,</w:t>
      </w:r>
      <w:r w:rsidR="00EB35BD" w:rsidRPr="00925344">
        <w:rPr>
          <w:rFonts w:ascii="Times New Roman" w:eastAsia="Times New Roman" w:hAnsi="Times New Roman" w:cs="Times New Roman"/>
          <w:color w:val="auto"/>
          <w:sz w:val="24"/>
          <w:szCs w:val="24"/>
          <w:vertAlign w:val="superscript"/>
          <w:lang w:val="en-GB"/>
        </w:rPr>
        <w:footnoteReference w:id="25"/>
      </w:r>
      <w:r w:rsidR="008E3147" w:rsidRPr="00925344">
        <w:rPr>
          <w:rFonts w:ascii="Times New Roman" w:hAnsi="Times New Roman" w:cs="Times New Roman"/>
          <w:color w:val="auto"/>
          <w:sz w:val="24"/>
          <w:szCs w:val="24"/>
          <w:lang w:val="en-GB"/>
        </w:rPr>
        <w:t xml:space="preserve"> </w:t>
      </w:r>
      <w:r w:rsidR="0051473E">
        <w:rPr>
          <w:rFonts w:ascii="Times New Roman" w:hAnsi="Times New Roman" w:cs="Times New Roman"/>
          <w:color w:val="auto"/>
          <w:sz w:val="24"/>
          <w:szCs w:val="24"/>
          <w:lang w:val="en-GB"/>
        </w:rPr>
        <w:t xml:space="preserve">as </w:t>
      </w:r>
      <w:proofErr w:type="spellStart"/>
      <w:r w:rsidRPr="00925344">
        <w:rPr>
          <w:rFonts w:ascii="Times New Roman" w:hAnsi="Times New Roman" w:cs="Times New Roman"/>
          <w:color w:val="auto"/>
          <w:sz w:val="24"/>
          <w:szCs w:val="24"/>
          <w:lang w:val="en-GB"/>
        </w:rPr>
        <w:t>Maogoto</w:t>
      </w:r>
      <w:proofErr w:type="spellEnd"/>
      <w:r w:rsidR="008E3147" w:rsidRPr="00925344">
        <w:rPr>
          <w:rFonts w:ascii="Times New Roman" w:hAnsi="Times New Roman" w:cs="Times New Roman"/>
          <w:color w:val="auto"/>
          <w:sz w:val="24"/>
          <w:szCs w:val="24"/>
          <w:lang w:val="en-GB"/>
        </w:rPr>
        <w:t xml:space="preserve"> notes (45).  </w:t>
      </w:r>
      <w:r w:rsidR="00EB35BD" w:rsidRPr="00925344">
        <w:rPr>
          <w:rFonts w:ascii="Times New Roman" w:hAnsi="Times New Roman" w:cs="Times New Roman"/>
          <w:color w:val="auto"/>
          <w:sz w:val="24"/>
          <w:szCs w:val="24"/>
          <w:lang w:val="en-GB"/>
        </w:rPr>
        <w:t xml:space="preserve">A similar </w:t>
      </w:r>
      <w:r w:rsidR="00352589" w:rsidRPr="00925344">
        <w:rPr>
          <w:rFonts w:ascii="Times New Roman" w:hAnsi="Times New Roman" w:cs="Times New Roman"/>
          <w:color w:val="auto"/>
          <w:sz w:val="24"/>
          <w:szCs w:val="24"/>
          <w:lang w:val="en-GB"/>
        </w:rPr>
        <w:t xml:space="preserve">perspective emerges </w:t>
      </w:r>
      <w:r w:rsidR="00D4126E" w:rsidRPr="00925344">
        <w:rPr>
          <w:rFonts w:ascii="Times New Roman" w:hAnsi="Times New Roman" w:cs="Times New Roman"/>
          <w:color w:val="auto"/>
          <w:sz w:val="24"/>
          <w:szCs w:val="24"/>
          <w:lang w:val="en-GB"/>
        </w:rPr>
        <w:t>when</w:t>
      </w:r>
      <w:r w:rsidR="00EB35BD" w:rsidRPr="00925344">
        <w:rPr>
          <w:rFonts w:ascii="Times New Roman" w:hAnsi="Times New Roman" w:cs="Times New Roman"/>
          <w:color w:val="auto"/>
          <w:sz w:val="24"/>
          <w:szCs w:val="24"/>
          <w:lang w:val="en-GB"/>
        </w:rPr>
        <w:t xml:space="preserve"> one poses the following hypothetical question.  </w:t>
      </w:r>
      <w:r w:rsidR="00EB35BD" w:rsidRPr="00925344">
        <w:rPr>
          <w:rFonts w:ascii="Times New Roman" w:hAnsi="Times New Roman" w:cs="Times New Roman"/>
          <w:color w:val="auto"/>
          <w:spacing w:val="-3"/>
          <w:sz w:val="24"/>
          <w:szCs w:val="24"/>
          <w:lang w:val="en-GB"/>
        </w:rPr>
        <w:t xml:space="preserve">If an </w:t>
      </w:r>
      <w:r w:rsidR="00797231" w:rsidRPr="00925344">
        <w:rPr>
          <w:rFonts w:ascii="Times New Roman" w:hAnsi="Times New Roman" w:cs="Times New Roman"/>
          <w:color w:val="auto"/>
          <w:spacing w:val="-3"/>
          <w:sz w:val="24"/>
          <w:szCs w:val="24"/>
          <w:lang w:val="en-GB"/>
        </w:rPr>
        <w:t>intercontinental ballistic missile/</w:t>
      </w:r>
      <w:proofErr w:type="spellStart"/>
      <w:r w:rsidR="00EB35BD" w:rsidRPr="00925344">
        <w:rPr>
          <w:rFonts w:ascii="Times New Roman" w:hAnsi="Times New Roman" w:cs="Times New Roman"/>
          <w:color w:val="auto"/>
          <w:spacing w:val="-3"/>
          <w:sz w:val="24"/>
          <w:szCs w:val="24"/>
          <w:lang w:val="en-GB"/>
        </w:rPr>
        <w:t>exoatmospheric</w:t>
      </w:r>
      <w:proofErr w:type="spellEnd"/>
      <w:r w:rsidR="00EB35BD" w:rsidRPr="00925344">
        <w:rPr>
          <w:rFonts w:ascii="Times New Roman" w:hAnsi="Times New Roman" w:cs="Times New Roman"/>
          <w:color w:val="auto"/>
          <w:spacing w:val="-3"/>
          <w:sz w:val="24"/>
          <w:szCs w:val="24"/>
          <w:lang w:val="en-GB"/>
        </w:rPr>
        <w:t xml:space="preserve"> missile </w:t>
      </w:r>
      <w:r w:rsidR="008C0D9B">
        <w:rPr>
          <w:rFonts w:ascii="Times New Roman" w:hAnsi="Times New Roman" w:cs="Times New Roman"/>
          <w:color w:val="auto"/>
          <w:spacing w:val="-3"/>
          <w:sz w:val="24"/>
          <w:szCs w:val="24"/>
          <w:lang w:val="en-GB"/>
        </w:rPr>
        <w:t>was</w:t>
      </w:r>
      <w:r w:rsidR="008C0D9B" w:rsidRPr="00925344">
        <w:rPr>
          <w:rFonts w:ascii="Times New Roman" w:hAnsi="Times New Roman" w:cs="Times New Roman"/>
          <w:color w:val="auto"/>
          <w:spacing w:val="-3"/>
          <w:sz w:val="24"/>
          <w:szCs w:val="24"/>
          <w:lang w:val="en-GB"/>
        </w:rPr>
        <w:t xml:space="preserve"> </w:t>
      </w:r>
      <w:r w:rsidR="00EB35BD" w:rsidRPr="00925344">
        <w:rPr>
          <w:rFonts w:ascii="Times New Roman" w:hAnsi="Times New Roman" w:cs="Times New Roman"/>
          <w:color w:val="auto"/>
          <w:spacing w:val="-3"/>
          <w:sz w:val="24"/>
          <w:szCs w:val="24"/>
          <w:lang w:val="en-GB"/>
        </w:rPr>
        <w:t xml:space="preserve">technically </w:t>
      </w:r>
      <w:r w:rsidR="00797231" w:rsidRPr="00925344">
        <w:rPr>
          <w:rFonts w:ascii="Times New Roman" w:hAnsi="Times New Roman" w:cs="Times New Roman"/>
          <w:color w:val="auto"/>
          <w:spacing w:val="-3"/>
          <w:sz w:val="24"/>
          <w:szCs w:val="24"/>
          <w:lang w:val="en-GB"/>
        </w:rPr>
        <w:t xml:space="preserve">located </w:t>
      </w:r>
      <w:r w:rsidR="00EB35BD" w:rsidRPr="00925344">
        <w:rPr>
          <w:rFonts w:ascii="Times New Roman" w:hAnsi="Times New Roman" w:cs="Times New Roman"/>
          <w:color w:val="auto"/>
          <w:spacing w:val="-3"/>
          <w:sz w:val="24"/>
          <w:szCs w:val="24"/>
          <w:lang w:val="en-GB"/>
        </w:rPr>
        <w:t xml:space="preserve">in outer space before </w:t>
      </w:r>
      <w:r w:rsidR="00797231" w:rsidRPr="00925344">
        <w:rPr>
          <w:rFonts w:ascii="Times New Roman" w:hAnsi="Times New Roman" w:cs="Times New Roman"/>
          <w:color w:val="auto"/>
          <w:spacing w:val="-3"/>
          <w:sz w:val="24"/>
          <w:szCs w:val="24"/>
          <w:lang w:val="en-GB"/>
        </w:rPr>
        <w:t>it</w:t>
      </w:r>
      <w:r w:rsidR="00352589" w:rsidRPr="00925344">
        <w:rPr>
          <w:rFonts w:ascii="Times New Roman" w:hAnsi="Times New Roman" w:cs="Times New Roman"/>
          <w:color w:val="auto"/>
          <w:spacing w:val="-3"/>
          <w:sz w:val="24"/>
          <w:szCs w:val="24"/>
          <w:lang w:val="en-GB"/>
        </w:rPr>
        <w:t>s</w:t>
      </w:r>
      <w:r w:rsidR="00797231" w:rsidRPr="00925344">
        <w:rPr>
          <w:rFonts w:ascii="Times New Roman" w:hAnsi="Times New Roman" w:cs="Times New Roman"/>
          <w:color w:val="auto"/>
          <w:spacing w:val="-3"/>
          <w:sz w:val="24"/>
          <w:szCs w:val="24"/>
          <w:lang w:val="en-GB"/>
        </w:rPr>
        <w:t xml:space="preserve"> </w:t>
      </w:r>
      <w:r w:rsidR="00EB35BD" w:rsidRPr="00925344">
        <w:rPr>
          <w:rFonts w:ascii="Times New Roman" w:hAnsi="Times New Roman" w:cs="Times New Roman"/>
          <w:color w:val="auto"/>
          <w:spacing w:val="-3"/>
          <w:sz w:val="24"/>
          <w:szCs w:val="24"/>
          <w:lang w:val="en-GB"/>
        </w:rPr>
        <w:t>re-entry</w:t>
      </w:r>
      <w:r w:rsidR="00352589" w:rsidRPr="00925344">
        <w:rPr>
          <w:rFonts w:ascii="Times New Roman" w:hAnsi="Times New Roman" w:cs="Times New Roman"/>
          <w:color w:val="auto"/>
          <w:spacing w:val="-3"/>
          <w:sz w:val="24"/>
          <w:szCs w:val="24"/>
          <w:lang w:val="en-GB"/>
        </w:rPr>
        <w:t>,</w:t>
      </w:r>
      <w:r w:rsidR="00EB35BD" w:rsidRPr="00925344">
        <w:rPr>
          <w:rFonts w:ascii="Times New Roman" w:hAnsi="Times New Roman" w:cs="Times New Roman"/>
          <w:color w:val="auto"/>
          <w:spacing w:val="-3"/>
          <w:sz w:val="24"/>
          <w:szCs w:val="24"/>
          <w:lang w:val="en-GB"/>
        </w:rPr>
        <w:t xml:space="preserve"> would that breach </w:t>
      </w:r>
      <w:r w:rsidR="005F297F">
        <w:rPr>
          <w:rFonts w:ascii="Times New Roman" w:hAnsi="Times New Roman" w:cs="Times New Roman"/>
          <w:color w:val="auto"/>
          <w:spacing w:val="-3"/>
          <w:sz w:val="24"/>
          <w:szCs w:val="24"/>
          <w:lang w:val="en-GB"/>
        </w:rPr>
        <w:t>provisions of the existing legal regime</w:t>
      </w:r>
      <w:r w:rsidR="00EB35BD" w:rsidRPr="00925344">
        <w:rPr>
          <w:rFonts w:ascii="Times New Roman" w:hAnsi="Times New Roman" w:cs="Times New Roman"/>
          <w:color w:val="auto"/>
          <w:spacing w:val="-3"/>
          <w:sz w:val="24"/>
          <w:szCs w:val="24"/>
          <w:lang w:val="en-GB"/>
        </w:rPr>
        <w:t>?</w:t>
      </w:r>
      <w:r w:rsidR="00352589" w:rsidRPr="00925344">
        <w:rPr>
          <w:rFonts w:ascii="Times New Roman" w:hAnsi="Times New Roman" w:cs="Times New Roman"/>
          <w:color w:val="auto"/>
          <w:spacing w:val="-3"/>
          <w:sz w:val="24"/>
          <w:szCs w:val="24"/>
          <w:lang w:val="en-GB"/>
        </w:rPr>
        <w:t xml:space="preserve">  The answer would likely be </w:t>
      </w:r>
      <w:r w:rsidR="00EB35BD" w:rsidRPr="00925344">
        <w:rPr>
          <w:rFonts w:ascii="Times New Roman" w:hAnsi="Times New Roman" w:cs="Times New Roman"/>
          <w:color w:val="auto"/>
          <w:spacing w:val="-3"/>
          <w:sz w:val="24"/>
          <w:szCs w:val="24"/>
          <w:lang w:val="en-GB"/>
        </w:rPr>
        <w:t xml:space="preserve">no, </w:t>
      </w:r>
      <w:r w:rsidR="00060DD2" w:rsidRPr="00925344">
        <w:rPr>
          <w:rFonts w:ascii="Times New Roman" w:hAnsi="Times New Roman" w:cs="Times New Roman"/>
          <w:color w:val="auto"/>
          <w:spacing w:val="-3"/>
          <w:sz w:val="24"/>
          <w:szCs w:val="24"/>
          <w:lang w:val="en-GB"/>
        </w:rPr>
        <w:t xml:space="preserve">at least </w:t>
      </w:r>
      <w:r w:rsidR="00352589" w:rsidRPr="00925344">
        <w:rPr>
          <w:rFonts w:ascii="Times New Roman" w:hAnsi="Times New Roman" w:cs="Times New Roman"/>
          <w:color w:val="auto"/>
          <w:spacing w:val="-3"/>
          <w:sz w:val="24"/>
          <w:szCs w:val="24"/>
          <w:lang w:val="en-GB"/>
        </w:rPr>
        <w:t xml:space="preserve">if one considers the </w:t>
      </w:r>
      <w:proofErr w:type="spellStart"/>
      <w:r w:rsidR="00D4126E" w:rsidRPr="00925344">
        <w:rPr>
          <w:rFonts w:ascii="Times New Roman" w:hAnsi="Times New Roman" w:cs="Times New Roman"/>
          <w:i/>
          <w:color w:val="auto"/>
          <w:sz w:val="24"/>
          <w:szCs w:val="24"/>
          <w:lang w:val="en-GB"/>
        </w:rPr>
        <w:t>travaux</w:t>
      </w:r>
      <w:proofErr w:type="spellEnd"/>
      <w:r w:rsidR="00D4126E" w:rsidRPr="00925344">
        <w:rPr>
          <w:rFonts w:ascii="Times New Roman" w:hAnsi="Times New Roman" w:cs="Times New Roman"/>
          <w:i/>
          <w:color w:val="auto"/>
          <w:sz w:val="24"/>
          <w:szCs w:val="24"/>
          <w:lang w:val="en-GB"/>
        </w:rPr>
        <w:t xml:space="preserve"> </w:t>
      </w:r>
      <w:proofErr w:type="spellStart"/>
      <w:r w:rsidR="00D4126E" w:rsidRPr="00925344">
        <w:rPr>
          <w:rFonts w:ascii="Times New Roman" w:hAnsi="Times New Roman" w:cs="Times New Roman"/>
          <w:i/>
          <w:color w:val="auto"/>
          <w:sz w:val="24"/>
          <w:szCs w:val="24"/>
          <w:lang w:val="en-GB"/>
        </w:rPr>
        <w:t>préparatoires</w:t>
      </w:r>
      <w:proofErr w:type="spellEnd"/>
      <w:r w:rsidR="00EB35BD" w:rsidRPr="00925344">
        <w:rPr>
          <w:rFonts w:ascii="Times New Roman" w:hAnsi="Times New Roman" w:cs="Times New Roman"/>
          <w:color w:val="auto"/>
          <w:spacing w:val="-3"/>
          <w:sz w:val="24"/>
          <w:szCs w:val="24"/>
          <w:lang w:val="en-GB"/>
        </w:rPr>
        <w:t xml:space="preserve"> of the Outer Space Treaty </w:t>
      </w:r>
      <w:r w:rsidR="008C0D9B">
        <w:rPr>
          <w:rFonts w:ascii="Times New Roman" w:hAnsi="Times New Roman" w:cs="Times New Roman"/>
          <w:color w:val="auto"/>
          <w:spacing w:val="-3"/>
          <w:sz w:val="24"/>
          <w:szCs w:val="24"/>
          <w:lang w:val="en-GB"/>
        </w:rPr>
        <w:t>from</w:t>
      </w:r>
      <w:r w:rsidR="00EB35BD" w:rsidRPr="00925344">
        <w:rPr>
          <w:rFonts w:ascii="Times New Roman" w:hAnsi="Times New Roman" w:cs="Times New Roman"/>
          <w:color w:val="auto"/>
          <w:spacing w:val="-3"/>
          <w:sz w:val="24"/>
          <w:szCs w:val="24"/>
          <w:lang w:val="en-GB"/>
        </w:rPr>
        <w:t xml:space="preserve"> the 1960s.</w:t>
      </w:r>
      <w:r w:rsidR="005F297F">
        <w:rPr>
          <w:rStyle w:val="FootnoteReference"/>
          <w:rFonts w:ascii="Times New Roman" w:hAnsi="Times New Roman" w:cs="Times New Roman"/>
          <w:color w:val="auto"/>
          <w:spacing w:val="-3"/>
          <w:sz w:val="24"/>
          <w:szCs w:val="24"/>
          <w:lang w:val="en-GB"/>
        </w:rPr>
        <w:footnoteReference w:id="26"/>
      </w:r>
      <w:r w:rsidR="00F86BA7" w:rsidRPr="00925344">
        <w:rPr>
          <w:rFonts w:ascii="Times New Roman" w:hAnsi="Times New Roman" w:cs="Times New Roman"/>
          <w:color w:val="auto"/>
          <w:sz w:val="24"/>
          <w:szCs w:val="24"/>
          <w:lang w:val="en-GB"/>
        </w:rPr>
        <w:t xml:space="preserve">  </w:t>
      </w:r>
      <w:proofErr w:type="spellStart"/>
      <w:r w:rsidR="00EB35BD" w:rsidRPr="00925344">
        <w:rPr>
          <w:rFonts w:ascii="Times New Roman" w:hAnsi="Times New Roman" w:cs="Times New Roman"/>
          <w:color w:val="auto"/>
          <w:sz w:val="24"/>
          <w:szCs w:val="24"/>
          <w:lang w:val="en-GB"/>
        </w:rPr>
        <w:t>Maogoto</w:t>
      </w:r>
      <w:r w:rsidR="00F86BA7" w:rsidRPr="00925344">
        <w:rPr>
          <w:rFonts w:ascii="Times New Roman" w:hAnsi="Times New Roman" w:cs="Times New Roman"/>
          <w:color w:val="auto"/>
          <w:sz w:val="24"/>
          <w:szCs w:val="24"/>
          <w:lang w:val="en-GB"/>
        </w:rPr>
        <w:t>’s</w:t>
      </w:r>
      <w:proofErr w:type="spellEnd"/>
      <w:r w:rsidR="00F86BA7" w:rsidRPr="00925344">
        <w:rPr>
          <w:rFonts w:ascii="Times New Roman" w:hAnsi="Times New Roman" w:cs="Times New Roman"/>
          <w:color w:val="auto"/>
          <w:sz w:val="24"/>
          <w:szCs w:val="24"/>
          <w:lang w:val="en-GB"/>
        </w:rPr>
        <w:t xml:space="preserve"> argument </w:t>
      </w:r>
      <w:r w:rsidR="00EB35BD" w:rsidRPr="00925344">
        <w:rPr>
          <w:rFonts w:ascii="Times New Roman" w:hAnsi="Times New Roman" w:cs="Times New Roman"/>
          <w:color w:val="auto"/>
          <w:sz w:val="24"/>
          <w:szCs w:val="24"/>
          <w:lang w:val="en-GB"/>
        </w:rPr>
        <w:t xml:space="preserve">(45) that the key tenets of </w:t>
      </w:r>
      <w:r w:rsidR="00F86BA7" w:rsidRPr="00925344">
        <w:rPr>
          <w:rFonts w:ascii="Times New Roman" w:hAnsi="Times New Roman" w:cs="Times New Roman"/>
          <w:color w:val="auto"/>
          <w:sz w:val="24"/>
          <w:szCs w:val="24"/>
          <w:lang w:val="en-GB"/>
        </w:rPr>
        <w:t>s</w:t>
      </w:r>
      <w:r w:rsidR="00EB35BD" w:rsidRPr="00925344">
        <w:rPr>
          <w:rFonts w:ascii="Times New Roman" w:hAnsi="Times New Roman" w:cs="Times New Roman"/>
          <w:color w:val="auto"/>
          <w:sz w:val="24"/>
          <w:szCs w:val="24"/>
          <w:lang w:val="en-GB"/>
        </w:rPr>
        <w:t xml:space="preserve">pace </w:t>
      </w:r>
      <w:r w:rsidR="00F86BA7" w:rsidRPr="00925344">
        <w:rPr>
          <w:rFonts w:ascii="Times New Roman" w:hAnsi="Times New Roman" w:cs="Times New Roman"/>
          <w:color w:val="auto"/>
          <w:sz w:val="24"/>
          <w:szCs w:val="24"/>
          <w:lang w:val="en-GB"/>
        </w:rPr>
        <w:t>l</w:t>
      </w:r>
      <w:r w:rsidR="00EB35BD" w:rsidRPr="00925344">
        <w:rPr>
          <w:rFonts w:ascii="Times New Roman" w:hAnsi="Times New Roman" w:cs="Times New Roman"/>
          <w:color w:val="auto"/>
          <w:sz w:val="24"/>
          <w:szCs w:val="24"/>
          <w:lang w:val="en-GB"/>
        </w:rPr>
        <w:t xml:space="preserve">aw do not preclude the </w:t>
      </w:r>
      <w:r w:rsidR="00F86BA7" w:rsidRPr="00925344">
        <w:rPr>
          <w:rFonts w:ascii="Times New Roman" w:hAnsi="Times New Roman" w:cs="Times New Roman"/>
          <w:color w:val="auto"/>
          <w:sz w:val="24"/>
          <w:szCs w:val="24"/>
          <w:lang w:val="en-GB"/>
        </w:rPr>
        <w:t>broader ‘</w:t>
      </w:r>
      <w:r w:rsidR="00EB35BD" w:rsidRPr="00925344">
        <w:rPr>
          <w:rFonts w:ascii="Times New Roman" w:hAnsi="Times New Roman" w:cs="Times New Roman"/>
          <w:color w:val="auto"/>
          <w:sz w:val="24"/>
          <w:szCs w:val="24"/>
          <w:lang w:val="en-GB"/>
        </w:rPr>
        <w:t>militar</w:t>
      </w:r>
      <w:r w:rsidR="00F86BA7" w:rsidRPr="00925344">
        <w:rPr>
          <w:rFonts w:ascii="Times New Roman" w:hAnsi="Times New Roman" w:cs="Times New Roman"/>
          <w:color w:val="auto"/>
          <w:sz w:val="24"/>
          <w:szCs w:val="24"/>
          <w:lang w:val="en-GB"/>
        </w:rPr>
        <w:t>isation’</w:t>
      </w:r>
      <w:r w:rsidR="00EB35BD" w:rsidRPr="00925344">
        <w:rPr>
          <w:rFonts w:ascii="Times New Roman" w:hAnsi="Times New Roman" w:cs="Times New Roman"/>
          <w:color w:val="auto"/>
          <w:sz w:val="24"/>
          <w:szCs w:val="24"/>
          <w:lang w:val="en-GB"/>
        </w:rPr>
        <w:t xml:space="preserve"> of outer space</w:t>
      </w:r>
      <w:r w:rsidR="00F86BA7" w:rsidRPr="00925344">
        <w:rPr>
          <w:rFonts w:ascii="Times New Roman" w:hAnsi="Times New Roman" w:cs="Times New Roman"/>
          <w:color w:val="auto"/>
          <w:sz w:val="24"/>
          <w:szCs w:val="24"/>
          <w:lang w:val="en-GB"/>
        </w:rPr>
        <w:t xml:space="preserve"> </w:t>
      </w:r>
      <w:r w:rsidR="00F86BA7" w:rsidRPr="00925344">
        <w:rPr>
          <w:rFonts w:ascii="Times New Roman" w:hAnsi="Times New Roman" w:cs="Times New Roman"/>
          <w:i/>
          <w:color w:val="auto"/>
          <w:sz w:val="24"/>
          <w:szCs w:val="24"/>
          <w:lang w:val="en-GB"/>
        </w:rPr>
        <w:t>per se</w:t>
      </w:r>
      <w:r w:rsidR="00EB35BD" w:rsidRPr="00925344">
        <w:rPr>
          <w:rFonts w:ascii="Times New Roman" w:hAnsi="Times New Roman" w:cs="Times New Roman"/>
          <w:color w:val="auto"/>
          <w:sz w:val="24"/>
          <w:szCs w:val="24"/>
          <w:lang w:val="en-GB"/>
        </w:rPr>
        <w:t xml:space="preserve"> (</w:t>
      </w:r>
      <w:r w:rsidR="00F86BA7" w:rsidRPr="00925344">
        <w:rPr>
          <w:rFonts w:ascii="Times New Roman" w:hAnsi="Times New Roman" w:cs="Times New Roman"/>
          <w:color w:val="auto"/>
          <w:sz w:val="24"/>
          <w:szCs w:val="24"/>
          <w:lang w:val="en-GB"/>
        </w:rPr>
        <w:t xml:space="preserve">in the sense </w:t>
      </w:r>
      <w:r w:rsidR="0035180F" w:rsidRPr="00925344">
        <w:rPr>
          <w:rFonts w:ascii="Times New Roman" w:hAnsi="Times New Roman" w:cs="Times New Roman"/>
          <w:color w:val="auto"/>
          <w:sz w:val="24"/>
          <w:szCs w:val="24"/>
          <w:lang w:val="en-GB"/>
        </w:rPr>
        <w:t>of ‘military usage’</w:t>
      </w:r>
      <w:r w:rsidR="00352589" w:rsidRPr="00925344">
        <w:rPr>
          <w:rFonts w:ascii="Times New Roman" w:hAnsi="Times New Roman" w:cs="Times New Roman"/>
          <w:color w:val="auto"/>
          <w:sz w:val="24"/>
          <w:szCs w:val="24"/>
          <w:lang w:val="en-GB"/>
        </w:rPr>
        <w:t>,</w:t>
      </w:r>
      <w:r w:rsidR="0035180F" w:rsidRPr="00925344">
        <w:rPr>
          <w:rFonts w:ascii="Times New Roman" w:hAnsi="Times New Roman" w:cs="Times New Roman"/>
          <w:color w:val="auto"/>
          <w:sz w:val="24"/>
          <w:szCs w:val="24"/>
          <w:lang w:val="en-GB"/>
        </w:rPr>
        <w:t xml:space="preserve"> such as </w:t>
      </w:r>
      <w:r w:rsidR="00352589" w:rsidRPr="00925344">
        <w:rPr>
          <w:rFonts w:ascii="Times New Roman" w:hAnsi="Times New Roman" w:cs="Times New Roman"/>
          <w:color w:val="auto"/>
          <w:sz w:val="24"/>
          <w:szCs w:val="24"/>
          <w:lang w:val="en-GB"/>
        </w:rPr>
        <w:t xml:space="preserve">the deployment of </w:t>
      </w:r>
      <w:r w:rsidR="00EB35BD" w:rsidRPr="00925344">
        <w:rPr>
          <w:rFonts w:ascii="Times New Roman" w:hAnsi="Times New Roman" w:cs="Times New Roman"/>
          <w:color w:val="auto"/>
          <w:sz w:val="24"/>
          <w:szCs w:val="24"/>
          <w:lang w:val="en-GB"/>
        </w:rPr>
        <w:t>intelligence satellites</w:t>
      </w:r>
      <w:r w:rsidR="00352589" w:rsidRPr="00925344">
        <w:rPr>
          <w:rFonts w:ascii="Times New Roman" w:hAnsi="Times New Roman" w:cs="Times New Roman"/>
          <w:color w:val="auto"/>
          <w:sz w:val="24"/>
          <w:szCs w:val="24"/>
          <w:lang w:val="en-GB"/>
        </w:rPr>
        <w:t xml:space="preserve"> for military purposes</w:t>
      </w:r>
      <w:r w:rsidR="00EB35BD" w:rsidRPr="00925344">
        <w:rPr>
          <w:rFonts w:ascii="Times New Roman" w:hAnsi="Times New Roman" w:cs="Times New Roman"/>
          <w:color w:val="auto"/>
          <w:sz w:val="24"/>
          <w:szCs w:val="24"/>
          <w:lang w:val="en-GB"/>
        </w:rPr>
        <w:t xml:space="preserve">) </w:t>
      </w:r>
      <w:r w:rsidR="00D4126E" w:rsidRPr="00925344">
        <w:rPr>
          <w:rFonts w:ascii="Times New Roman" w:hAnsi="Times New Roman" w:cs="Times New Roman"/>
          <w:color w:val="auto"/>
          <w:sz w:val="24"/>
          <w:szCs w:val="24"/>
          <w:lang w:val="en-GB"/>
        </w:rPr>
        <w:t>is difficult to dispute</w:t>
      </w:r>
      <w:r w:rsidR="0035180F" w:rsidRPr="00925344">
        <w:rPr>
          <w:rFonts w:ascii="Times New Roman" w:hAnsi="Times New Roman" w:cs="Times New Roman"/>
          <w:color w:val="auto"/>
          <w:sz w:val="24"/>
          <w:szCs w:val="24"/>
          <w:lang w:val="en-GB"/>
        </w:rPr>
        <w:t xml:space="preserve">.  Of course, militarisation of this kind is very different from </w:t>
      </w:r>
      <w:r w:rsidR="00060DD2" w:rsidRPr="00925344">
        <w:rPr>
          <w:rFonts w:ascii="Times New Roman" w:hAnsi="Times New Roman" w:cs="Times New Roman"/>
          <w:color w:val="auto"/>
          <w:sz w:val="24"/>
          <w:szCs w:val="24"/>
          <w:lang w:val="en-GB"/>
        </w:rPr>
        <w:t>‘</w:t>
      </w:r>
      <w:r w:rsidR="00EB35BD" w:rsidRPr="00925344">
        <w:rPr>
          <w:rFonts w:ascii="Times New Roman" w:hAnsi="Times New Roman" w:cs="Times New Roman"/>
          <w:color w:val="auto"/>
          <w:sz w:val="24"/>
          <w:szCs w:val="24"/>
          <w:lang w:val="en-GB"/>
        </w:rPr>
        <w:t>all out</w:t>
      </w:r>
      <w:r w:rsidR="00060DD2" w:rsidRPr="00925344">
        <w:rPr>
          <w:rFonts w:ascii="Times New Roman" w:hAnsi="Times New Roman" w:cs="Times New Roman"/>
          <w:color w:val="auto"/>
          <w:sz w:val="24"/>
          <w:szCs w:val="24"/>
          <w:lang w:val="en-GB"/>
        </w:rPr>
        <w:t>’</w:t>
      </w:r>
      <w:r w:rsidR="00EB35BD" w:rsidRPr="00925344">
        <w:rPr>
          <w:rFonts w:ascii="Times New Roman" w:hAnsi="Times New Roman" w:cs="Times New Roman"/>
          <w:color w:val="auto"/>
          <w:sz w:val="24"/>
          <w:szCs w:val="24"/>
          <w:lang w:val="en-GB"/>
        </w:rPr>
        <w:t xml:space="preserve"> militarisation </w:t>
      </w:r>
      <w:r w:rsidR="0035180F" w:rsidRPr="00925344">
        <w:rPr>
          <w:rFonts w:ascii="Times New Roman" w:hAnsi="Times New Roman" w:cs="Times New Roman"/>
          <w:color w:val="auto"/>
          <w:sz w:val="24"/>
          <w:szCs w:val="24"/>
          <w:lang w:val="en-GB"/>
        </w:rPr>
        <w:t>(in t</w:t>
      </w:r>
      <w:r w:rsidR="00060DD2" w:rsidRPr="00925344">
        <w:rPr>
          <w:rFonts w:ascii="Times New Roman" w:hAnsi="Times New Roman" w:cs="Times New Roman"/>
          <w:color w:val="auto"/>
          <w:sz w:val="24"/>
          <w:szCs w:val="24"/>
          <w:lang w:val="en-GB"/>
        </w:rPr>
        <w:t xml:space="preserve">he sense of the </w:t>
      </w:r>
      <w:r w:rsidR="00352589" w:rsidRPr="00925344">
        <w:rPr>
          <w:rFonts w:ascii="Times New Roman" w:hAnsi="Times New Roman" w:cs="Times New Roman"/>
          <w:color w:val="auto"/>
          <w:sz w:val="24"/>
          <w:szCs w:val="24"/>
          <w:lang w:val="en-GB"/>
        </w:rPr>
        <w:t xml:space="preserve">direct </w:t>
      </w:r>
      <w:r w:rsidR="00060DD2" w:rsidRPr="00925344">
        <w:rPr>
          <w:rFonts w:ascii="Times New Roman" w:hAnsi="Times New Roman" w:cs="Times New Roman"/>
          <w:color w:val="auto"/>
          <w:sz w:val="24"/>
          <w:szCs w:val="24"/>
          <w:lang w:val="en-GB"/>
        </w:rPr>
        <w:t xml:space="preserve">use of force in/from </w:t>
      </w:r>
      <w:r w:rsidR="0035180F" w:rsidRPr="00925344">
        <w:rPr>
          <w:rFonts w:ascii="Times New Roman" w:hAnsi="Times New Roman" w:cs="Times New Roman"/>
          <w:color w:val="auto"/>
          <w:sz w:val="24"/>
          <w:szCs w:val="24"/>
          <w:lang w:val="en-GB"/>
        </w:rPr>
        <w:t xml:space="preserve">space), and this distinction is </w:t>
      </w:r>
      <w:r w:rsidRPr="00925344">
        <w:rPr>
          <w:rFonts w:ascii="Times New Roman" w:hAnsi="Times New Roman" w:cs="Times New Roman"/>
          <w:color w:val="auto"/>
          <w:sz w:val="24"/>
          <w:szCs w:val="24"/>
          <w:lang w:val="en-GB"/>
        </w:rPr>
        <w:t xml:space="preserve">helpfully </w:t>
      </w:r>
      <w:r w:rsidR="0035180F" w:rsidRPr="00925344">
        <w:rPr>
          <w:rFonts w:ascii="Times New Roman" w:hAnsi="Times New Roman" w:cs="Times New Roman"/>
          <w:color w:val="auto"/>
          <w:sz w:val="24"/>
          <w:szCs w:val="24"/>
          <w:lang w:val="en-GB"/>
        </w:rPr>
        <w:t xml:space="preserve">drawn </w:t>
      </w:r>
      <w:r w:rsidR="00D4126E" w:rsidRPr="00925344">
        <w:rPr>
          <w:rFonts w:ascii="Times New Roman" w:hAnsi="Times New Roman" w:cs="Times New Roman"/>
          <w:color w:val="auto"/>
          <w:sz w:val="24"/>
          <w:szCs w:val="24"/>
          <w:lang w:val="en-GB"/>
        </w:rPr>
        <w:t>in chapter 3</w:t>
      </w:r>
      <w:r w:rsidR="0035180F" w:rsidRPr="00925344">
        <w:rPr>
          <w:rFonts w:ascii="Times New Roman" w:hAnsi="Times New Roman" w:cs="Times New Roman"/>
          <w:color w:val="auto"/>
          <w:sz w:val="24"/>
          <w:szCs w:val="24"/>
          <w:lang w:val="en-GB"/>
        </w:rPr>
        <w:t xml:space="preserve"> (particularly at 43-47)</w:t>
      </w:r>
      <w:r w:rsidR="00EB35BD" w:rsidRPr="00925344">
        <w:rPr>
          <w:rFonts w:ascii="Times New Roman" w:hAnsi="Times New Roman" w:cs="Times New Roman"/>
          <w:color w:val="auto"/>
          <w:sz w:val="24"/>
          <w:szCs w:val="24"/>
          <w:lang w:val="en-GB"/>
        </w:rPr>
        <w:t xml:space="preserve">. </w:t>
      </w:r>
    </w:p>
    <w:p w:rsidR="00FC020A" w:rsidRPr="00925344" w:rsidRDefault="0035180F" w:rsidP="005E3FCC">
      <w:pPr>
        <w:ind w:firstLine="720"/>
        <w:jc w:val="both"/>
        <w:rPr>
          <w:color w:val="auto"/>
        </w:rPr>
      </w:pPr>
      <w:r w:rsidRPr="00925344">
        <w:rPr>
          <w:color w:val="auto"/>
        </w:rPr>
        <w:t xml:space="preserve">Having said </w:t>
      </w:r>
      <w:r w:rsidR="008E3147" w:rsidRPr="00925344">
        <w:rPr>
          <w:color w:val="auto"/>
        </w:rPr>
        <w:t xml:space="preserve">all </w:t>
      </w:r>
      <w:r w:rsidRPr="00925344">
        <w:rPr>
          <w:color w:val="auto"/>
        </w:rPr>
        <w:t>this, t</w:t>
      </w:r>
      <w:r w:rsidR="00A364D7" w:rsidRPr="00925344">
        <w:rPr>
          <w:color w:val="auto"/>
        </w:rPr>
        <w:t>he arguments presented in c</w:t>
      </w:r>
      <w:r w:rsidR="00EB35BD" w:rsidRPr="00925344">
        <w:rPr>
          <w:color w:val="auto"/>
        </w:rPr>
        <w:t>hapter 3</w:t>
      </w:r>
      <w:r w:rsidR="003F3A1B" w:rsidRPr="00925344">
        <w:rPr>
          <w:color w:val="auto"/>
        </w:rPr>
        <w:t>,</w:t>
      </w:r>
      <w:r w:rsidR="00EB35BD" w:rsidRPr="00925344">
        <w:rPr>
          <w:color w:val="auto"/>
        </w:rPr>
        <w:t xml:space="preserve"> as </w:t>
      </w:r>
      <w:r w:rsidR="00352589" w:rsidRPr="00925344">
        <w:rPr>
          <w:color w:val="auto"/>
        </w:rPr>
        <w:t xml:space="preserve">is indeed the case </w:t>
      </w:r>
      <w:r w:rsidR="00D4126E" w:rsidRPr="00925344">
        <w:rPr>
          <w:color w:val="auto"/>
        </w:rPr>
        <w:t xml:space="preserve">throughout </w:t>
      </w:r>
      <w:r w:rsidR="00352589" w:rsidRPr="00925344">
        <w:rPr>
          <w:i/>
          <w:color w:val="auto"/>
        </w:rPr>
        <w:t>Technology and the Law on the Use of Force</w:t>
      </w:r>
      <w:r w:rsidR="00B0070C" w:rsidRPr="00925344">
        <w:rPr>
          <w:color w:val="auto"/>
        </w:rPr>
        <w:t>,</w:t>
      </w:r>
      <w:r w:rsidR="00EB35BD" w:rsidRPr="00925344">
        <w:rPr>
          <w:color w:val="auto"/>
        </w:rPr>
        <w:t xml:space="preserve"> have a</w:t>
      </w:r>
      <w:r w:rsidRPr="00925344">
        <w:rPr>
          <w:color w:val="auto"/>
        </w:rPr>
        <w:t xml:space="preserve"> notable</w:t>
      </w:r>
      <w:r w:rsidR="00EB35BD" w:rsidRPr="00925344">
        <w:rPr>
          <w:color w:val="auto"/>
        </w:rPr>
        <w:t xml:space="preserve"> tendency to raise questions rather than resolve th</w:t>
      </w:r>
      <w:r w:rsidR="003F3A1B" w:rsidRPr="00925344">
        <w:rPr>
          <w:color w:val="auto"/>
        </w:rPr>
        <w:t xml:space="preserve">em.  For example, </w:t>
      </w:r>
      <w:r w:rsidRPr="00925344">
        <w:rPr>
          <w:color w:val="auto"/>
        </w:rPr>
        <w:t xml:space="preserve">given that </w:t>
      </w:r>
      <w:r w:rsidR="00EB35BD" w:rsidRPr="00925344">
        <w:rPr>
          <w:color w:val="auto"/>
        </w:rPr>
        <w:t xml:space="preserve">the author </w:t>
      </w:r>
      <w:r w:rsidR="0002073E" w:rsidRPr="00925344">
        <w:rPr>
          <w:color w:val="auto"/>
        </w:rPr>
        <w:t>persuasively asserts that</w:t>
      </w:r>
      <w:r w:rsidRPr="00925344">
        <w:rPr>
          <w:color w:val="auto"/>
        </w:rPr>
        <w:t xml:space="preserve"> the</w:t>
      </w:r>
      <w:r w:rsidR="00B0070C" w:rsidRPr="00925344">
        <w:rPr>
          <w:color w:val="auto"/>
        </w:rPr>
        <w:t xml:space="preserve"> </w:t>
      </w:r>
      <w:r w:rsidR="008E3147" w:rsidRPr="00925344">
        <w:rPr>
          <w:color w:val="auto"/>
        </w:rPr>
        <w:t>increased</w:t>
      </w:r>
      <w:r w:rsidRPr="00925344">
        <w:rPr>
          <w:color w:val="auto"/>
        </w:rPr>
        <w:t xml:space="preserve"> militarisation</w:t>
      </w:r>
      <w:r w:rsidR="00B0070C" w:rsidRPr="00925344">
        <w:rPr>
          <w:color w:val="auto"/>
        </w:rPr>
        <w:t xml:space="preserve"> </w:t>
      </w:r>
      <w:r w:rsidRPr="00925344">
        <w:rPr>
          <w:color w:val="auto"/>
        </w:rPr>
        <w:t xml:space="preserve">of outer space as </w:t>
      </w:r>
      <w:r w:rsidR="00352589" w:rsidRPr="00925344">
        <w:rPr>
          <w:color w:val="auto"/>
        </w:rPr>
        <w:t>an inevitability</w:t>
      </w:r>
      <w:r w:rsidRPr="00925344">
        <w:rPr>
          <w:color w:val="auto"/>
        </w:rPr>
        <w:t xml:space="preserve">, </w:t>
      </w:r>
      <w:r w:rsidR="00060DD2" w:rsidRPr="00925344">
        <w:rPr>
          <w:color w:val="auto"/>
        </w:rPr>
        <w:t xml:space="preserve">he does not </w:t>
      </w:r>
      <w:r w:rsidR="0051473E">
        <w:rPr>
          <w:color w:val="auto"/>
        </w:rPr>
        <w:t xml:space="preserve"> sufficiently engage with</w:t>
      </w:r>
      <w:r w:rsidR="008C0D9B">
        <w:rPr>
          <w:color w:val="auto"/>
        </w:rPr>
        <w:t xml:space="preserve"> the question of</w:t>
      </w:r>
      <w:r w:rsidR="00060DD2" w:rsidRPr="00925344">
        <w:rPr>
          <w:color w:val="auto"/>
        </w:rPr>
        <w:t xml:space="preserve"> </w:t>
      </w:r>
      <w:r w:rsidR="00060DD2" w:rsidRPr="00A375C3">
        <w:rPr>
          <w:i/>
          <w:color w:val="auto"/>
        </w:rPr>
        <w:t>how</w:t>
      </w:r>
      <w:r w:rsidR="00060DD2" w:rsidRPr="00925344">
        <w:rPr>
          <w:color w:val="auto"/>
        </w:rPr>
        <w:t xml:space="preserve"> one might</w:t>
      </w:r>
      <w:r w:rsidR="00A354E8" w:rsidRPr="00925344">
        <w:rPr>
          <w:color w:val="auto"/>
        </w:rPr>
        <w:t xml:space="preserve"> in fact</w:t>
      </w:r>
      <w:r w:rsidR="00060DD2" w:rsidRPr="00925344">
        <w:rPr>
          <w:color w:val="auto"/>
        </w:rPr>
        <w:t xml:space="preserve"> </w:t>
      </w:r>
      <w:r w:rsidR="00EB35BD" w:rsidRPr="00925344">
        <w:rPr>
          <w:color w:val="auto"/>
        </w:rPr>
        <w:t>‘transpos</w:t>
      </w:r>
      <w:r w:rsidR="00060DD2" w:rsidRPr="00925344">
        <w:rPr>
          <w:color w:val="auto"/>
        </w:rPr>
        <w:t>e</w:t>
      </w:r>
      <w:r w:rsidR="00EB35BD" w:rsidRPr="00925344">
        <w:rPr>
          <w:color w:val="auto"/>
        </w:rPr>
        <w:t xml:space="preserve">’ </w:t>
      </w:r>
      <w:r w:rsidR="00060DD2" w:rsidRPr="00925344">
        <w:rPr>
          <w:color w:val="auto"/>
        </w:rPr>
        <w:t xml:space="preserve">the </w:t>
      </w:r>
      <w:r w:rsidR="00EB35BD" w:rsidRPr="00925344">
        <w:rPr>
          <w:color w:val="auto"/>
        </w:rPr>
        <w:t xml:space="preserve">existing </w:t>
      </w:r>
      <w:r w:rsidR="00060DD2" w:rsidRPr="00925344">
        <w:rPr>
          <w:i/>
          <w:color w:val="auto"/>
        </w:rPr>
        <w:t>jus ad bellum</w:t>
      </w:r>
      <w:r w:rsidR="00060DD2" w:rsidRPr="00925344">
        <w:rPr>
          <w:color w:val="auto"/>
        </w:rPr>
        <w:t xml:space="preserve"> regime</w:t>
      </w:r>
      <w:r w:rsidR="00B0070C" w:rsidRPr="00925344">
        <w:rPr>
          <w:color w:val="auto"/>
        </w:rPr>
        <w:t xml:space="preserve"> to outer s</w:t>
      </w:r>
      <w:r w:rsidR="00EB35BD" w:rsidRPr="00925344">
        <w:rPr>
          <w:color w:val="auto"/>
        </w:rPr>
        <w:t>pace</w:t>
      </w:r>
      <w:r w:rsidR="00060DD2" w:rsidRPr="00925344">
        <w:rPr>
          <w:color w:val="auto"/>
        </w:rPr>
        <w:t>.</w:t>
      </w:r>
      <w:r w:rsidR="00CA4524" w:rsidRPr="00925344">
        <w:rPr>
          <w:color w:val="auto"/>
        </w:rPr>
        <w:t xml:space="preserve">  Certainty, from a </w:t>
      </w:r>
      <w:r w:rsidR="00EB35BD" w:rsidRPr="00925344">
        <w:rPr>
          <w:color w:val="auto"/>
        </w:rPr>
        <w:t>conceptual perspective</w:t>
      </w:r>
      <w:r w:rsidR="00CA4524" w:rsidRPr="00925344">
        <w:rPr>
          <w:color w:val="auto"/>
        </w:rPr>
        <w:t xml:space="preserve"> it </w:t>
      </w:r>
      <w:r w:rsidR="00FC020A" w:rsidRPr="00925344">
        <w:rPr>
          <w:color w:val="auto"/>
        </w:rPr>
        <w:t>would</w:t>
      </w:r>
      <w:r w:rsidR="00CA4524" w:rsidRPr="00925344">
        <w:rPr>
          <w:color w:val="auto"/>
        </w:rPr>
        <w:t xml:space="preserve"> be more productive</w:t>
      </w:r>
      <w:r w:rsidR="00EB35BD" w:rsidRPr="00925344">
        <w:rPr>
          <w:color w:val="auto"/>
        </w:rPr>
        <w:t xml:space="preserve"> to recalibrate and interpret the existing paramet</w:t>
      </w:r>
      <w:r w:rsidR="00CA4524" w:rsidRPr="00925344">
        <w:rPr>
          <w:color w:val="auto"/>
        </w:rPr>
        <w:t xml:space="preserve">ers to fit the </w:t>
      </w:r>
      <w:r w:rsidRPr="00925344">
        <w:rPr>
          <w:color w:val="auto"/>
        </w:rPr>
        <w:t>‘</w:t>
      </w:r>
      <w:r w:rsidR="00CA4524" w:rsidRPr="00925344">
        <w:rPr>
          <w:color w:val="auto"/>
        </w:rPr>
        <w:t>uniqueness</w:t>
      </w:r>
      <w:r w:rsidRPr="00925344">
        <w:rPr>
          <w:color w:val="auto"/>
        </w:rPr>
        <w:t>’</w:t>
      </w:r>
      <w:r w:rsidR="00CA4524" w:rsidRPr="00925344">
        <w:rPr>
          <w:color w:val="auto"/>
        </w:rPr>
        <w:t xml:space="preserve"> of outer s</w:t>
      </w:r>
      <w:r w:rsidR="00EB35BD" w:rsidRPr="00925344">
        <w:rPr>
          <w:color w:val="auto"/>
        </w:rPr>
        <w:t>pace</w:t>
      </w:r>
      <w:r w:rsidR="00FC020A" w:rsidRPr="00925344">
        <w:rPr>
          <w:color w:val="auto"/>
        </w:rPr>
        <w:t xml:space="preserve"> rather than simply to hold that the current regime is insufficient</w:t>
      </w:r>
      <w:r w:rsidR="00EB35BD" w:rsidRPr="00925344">
        <w:rPr>
          <w:color w:val="auto"/>
        </w:rPr>
        <w:t xml:space="preserve">.  The ‘peculiarities’ of outer space as a potential battlefield </w:t>
      </w:r>
      <w:r w:rsidR="00A354E8" w:rsidRPr="00925344">
        <w:rPr>
          <w:color w:val="auto"/>
        </w:rPr>
        <w:t>require</w:t>
      </w:r>
      <w:r w:rsidR="00EB35BD" w:rsidRPr="00925344">
        <w:rPr>
          <w:color w:val="auto"/>
        </w:rPr>
        <w:t xml:space="preserve"> a re-appraisal of the thresholds for the cardinal prohibition </w:t>
      </w:r>
      <w:r w:rsidR="00FC020A" w:rsidRPr="00925344">
        <w:rPr>
          <w:color w:val="auto"/>
        </w:rPr>
        <w:t>of</w:t>
      </w:r>
      <w:r w:rsidR="00EB35BD" w:rsidRPr="00925344">
        <w:rPr>
          <w:color w:val="auto"/>
        </w:rPr>
        <w:t xml:space="preserve"> the threat or use of force in Article 2(4) and a state’s lawful recourse to self-defence under both Article 51 and cu</w:t>
      </w:r>
      <w:r w:rsidR="00E8181A" w:rsidRPr="00925344">
        <w:rPr>
          <w:color w:val="auto"/>
        </w:rPr>
        <w:t>stom</w:t>
      </w:r>
      <w:r w:rsidR="00EB35BD" w:rsidRPr="00925344">
        <w:rPr>
          <w:color w:val="auto"/>
        </w:rPr>
        <w:t>ary international law</w:t>
      </w:r>
      <w:r w:rsidR="00CA4524" w:rsidRPr="00925344">
        <w:rPr>
          <w:color w:val="auto"/>
        </w:rPr>
        <w:t xml:space="preserve">.  </w:t>
      </w:r>
      <w:r w:rsidR="00FC020A" w:rsidRPr="00925344">
        <w:rPr>
          <w:color w:val="auto"/>
        </w:rPr>
        <w:lastRenderedPageBreak/>
        <w:t xml:space="preserve">Unfortunately the book under review does not do enough in terms of attempting to undertake </w:t>
      </w:r>
      <w:r w:rsidR="00D4126E" w:rsidRPr="00925344">
        <w:rPr>
          <w:color w:val="auto"/>
        </w:rPr>
        <w:t>such a</w:t>
      </w:r>
      <w:r w:rsidR="00FC020A" w:rsidRPr="00925344">
        <w:rPr>
          <w:color w:val="auto"/>
        </w:rPr>
        <w:t xml:space="preserve"> re-appraisal.  </w:t>
      </w:r>
    </w:p>
    <w:p w:rsidR="00F26B7F" w:rsidRPr="00925344" w:rsidRDefault="008E3147" w:rsidP="005E3FCC">
      <w:pPr>
        <w:ind w:firstLine="720"/>
        <w:jc w:val="both"/>
        <w:rPr>
          <w:color w:val="auto"/>
        </w:rPr>
      </w:pPr>
      <w:r w:rsidRPr="00925344">
        <w:rPr>
          <w:color w:val="auto"/>
        </w:rPr>
        <w:t>O</w:t>
      </w:r>
      <w:r w:rsidR="00FC020A" w:rsidRPr="00925344">
        <w:rPr>
          <w:color w:val="auto"/>
        </w:rPr>
        <w:t xml:space="preserve">ne should note </w:t>
      </w:r>
      <w:proofErr w:type="spellStart"/>
      <w:r w:rsidR="00FC020A" w:rsidRPr="00925344">
        <w:rPr>
          <w:color w:val="auto"/>
        </w:rPr>
        <w:t>Maogoto’s</w:t>
      </w:r>
      <w:proofErr w:type="spellEnd"/>
      <w:r w:rsidR="00FC020A" w:rsidRPr="00925344">
        <w:rPr>
          <w:color w:val="auto"/>
        </w:rPr>
        <w:t xml:space="preserve"> caveat in the introduction to chapter 3 (31) that not every single </w:t>
      </w:r>
      <w:r w:rsidR="00A354E8" w:rsidRPr="00925344">
        <w:rPr>
          <w:color w:val="auto"/>
        </w:rPr>
        <w:t xml:space="preserve">relevant </w:t>
      </w:r>
      <w:r w:rsidRPr="00925344">
        <w:rPr>
          <w:color w:val="auto"/>
        </w:rPr>
        <w:t xml:space="preserve">‘space law’ </w:t>
      </w:r>
      <w:r w:rsidR="00FC020A" w:rsidRPr="00925344">
        <w:rPr>
          <w:color w:val="auto"/>
        </w:rPr>
        <w:t>instrument will be scrutinised</w:t>
      </w:r>
      <w:r w:rsidR="008C0D9B">
        <w:rPr>
          <w:color w:val="auto"/>
        </w:rPr>
        <w:t xml:space="preserve"> therein</w:t>
      </w:r>
      <w:r w:rsidR="00FC020A" w:rsidRPr="00925344">
        <w:rPr>
          <w:color w:val="auto"/>
        </w:rPr>
        <w:t xml:space="preserve">.  </w:t>
      </w:r>
      <w:r w:rsidR="00A354E8" w:rsidRPr="00925344">
        <w:rPr>
          <w:color w:val="auto"/>
        </w:rPr>
        <w:t>T</w:t>
      </w:r>
      <w:r w:rsidR="00EB35BD" w:rsidRPr="00925344">
        <w:rPr>
          <w:color w:val="auto"/>
        </w:rPr>
        <w:t xml:space="preserve">he </w:t>
      </w:r>
      <w:r w:rsidR="00FC020A" w:rsidRPr="00925344">
        <w:rPr>
          <w:color w:val="auto"/>
        </w:rPr>
        <w:t xml:space="preserve">absence </w:t>
      </w:r>
      <w:r w:rsidR="00A354E8" w:rsidRPr="00925344">
        <w:rPr>
          <w:color w:val="auto"/>
        </w:rPr>
        <w:t>in the</w:t>
      </w:r>
      <w:r w:rsidR="00FC020A" w:rsidRPr="00925344">
        <w:rPr>
          <w:color w:val="auto"/>
        </w:rPr>
        <w:t xml:space="preserve"> discussion</w:t>
      </w:r>
      <w:r w:rsidR="00A354E8" w:rsidRPr="00925344">
        <w:rPr>
          <w:color w:val="auto"/>
        </w:rPr>
        <w:t xml:space="preserve"> of, for example,</w:t>
      </w:r>
      <w:r w:rsidR="00FC020A" w:rsidRPr="00925344">
        <w:rPr>
          <w:color w:val="auto"/>
        </w:rPr>
        <w:t xml:space="preserve"> the </w:t>
      </w:r>
      <w:r w:rsidR="00EB35BD" w:rsidRPr="00925344">
        <w:rPr>
          <w:color w:val="auto"/>
        </w:rPr>
        <w:t xml:space="preserve">proposed </w:t>
      </w:r>
      <w:r w:rsidR="00A354E8" w:rsidRPr="00925344">
        <w:rPr>
          <w:color w:val="auto"/>
        </w:rPr>
        <w:t>Treaty on Prevention of the Placement of Weapons in Outer Space and of the Threat or Use of Force against Outer Space Objects</w:t>
      </w:r>
      <w:r w:rsidR="0035180F" w:rsidRPr="00925344">
        <w:rPr>
          <w:color w:val="auto"/>
        </w:rPr>
        <w:t xml:space="preserve"> (PPWT</w:t>
      </w:r>
      <w:r w:rsidR="00EB35BD" w:rsidRPr="00925344">
        <w:rPr>
          <w:color w:val="auto"/>
        </w:rPr>
        <w:t xml:space="preserve">) </w:t>
      </w:r>
      <w:r w:rsidR="00A354E8" w:rsidRPr="00925344">
        <w:rPr>
          <w:color w:val="auto"/>
        </w:rPr>
        <w:t>can,</w:t>
      </w:r>
      <w:r w:rsidR="00EB35BD" w:rsidRPr="00925344">
        <w:rPr>
          <w:color w:val="auto"/>
        </w:rPr>
        <w:t xml:space="preserve"> </w:t>
      </w:r>
      <w:r w:rsidR="0051473E">
        <w:rPr>
          <w:color w:val="auto"/>
        </w:rPr>
        <w:t>therefore</w:t>
      </w:r>
      <w:r w:rsidR="00A354E8" w:rsidRPr="00925344">
        <w:rPr>
          <w:color w:val="auto"/>
        </w:rPr>
        <w:t xml:space="preserve">, be </w:t>
      </w:r>
      <w:r w:rsidR="00FC020A" w:rsidRPr="00925344">
        <w:rPr>
          <w:color w:val="auto"/>
        </w:rPr>
        <w:t xml:space="preserve">somewhat excused.  Nonetheless, </w:t>
      </w:r>
      <w:r w:rsidR="00EB35BD" w:rsidRPr="00925344">
        <w:rPr>
          <w:color w:val="auto"/>
        </w:rPr>
        <w:t xml:space="preserve">given the </w:t>
      </w:r>
      <w:r w:rsidR="00CA4524" w:rsidRPr="00925344">
        <w:rPr>
          <w:color w:val="auto"/>
        </w:rPr>
        <w:t>on-going</w:t>
      </w:r>
      <w:r w:rsidR="00EB35BD" w:rsidRPr="00925344">
        <w:rPr>
          <w:color w:val="auto"/>
        </w:rPr>
        <w:t xml:space="preserve"> conversations about the PPWT in the Confe</w:t>
      </w:r>
      <w:r w:rsidR="0035180F" w:rsidRPr="00925344">
        <w:rPr>
          <w:color w:val="auto"/>
        </w:rPr>
        <w:t>rence on Disarmament</w:t>
      </w:r>
      <w:r w:rsidR="005F297F">
        <w:rPr>
          <w:rStyle w:val="FootnoteReference"/>
          <w:color w:val="auto"/>
        </w:rPr>
        <w:footnoteReference w:id="27"/>
      </w:r>
      <w:r w:rsidR="0035180F" w:rsidRPr="00925344">
        <w:rPr>
          <w:color w:val="auto"/>
        </w:rPr>
        <w:t xml:space="preserve"> and the E</w:t>
      </w:r>
      <w:r w:rsidR="00D4126E" w:rsidRPr="00925344">
        <w:rPr>
          <w:color w:val="auto"/>
        </w:rPr>
        <w:t>uropean Union’</w:t>
      </w:r>
      <w:r w:rsidR="00EB35BD" w:rsidRPr="00925344">
        <w:rPr>
          <w:color w:val="auto"/>
        </w:rPr>
        <w:t>s proposed Code of Conduct for Space Activities</w:t>
      </w:r>
      <w:r w:rsidR="0051473E">
        <w:rPr>
          <w:color w:val="auto"/>
        </w:rPr>
        <w:t>,</w:t>
      </w:r>
      <w:r w:rsidR="005F297F">
        <w:rPr>
          <w:rStyle w:val="FootnoteReference"/>
          <w:color w:val="auto"/>
        </w:rPr>
        <w:footnoteReference w:id="28"/>
      </w:r>
      <w:r w:rsidR="00FC020A" w:rsidRPr="00925344">
        <w:rPr>
          <w:color w:val="auto"/>
        </w:rPr>
        <w:t xml:space="preserve"> </w:t>
      </w:r>
      <w:proofErr w:type="spellStart"/>
      <w:r w:rsidR="00D4126E" w:rsidRPr="00925344">
        <w:rPr>
          <w:color w:val="auto"/>
        </w:rPr>
        <w:t>Maogoto’s</w:t>
      </w:r>
      <w:proofErr w:type="spellEnd"/>
      <w:r w:rsidR="00D4126E" w:rsidRPr="00925344">
        <w:rPr>
          <w:color w:val="auto"/>
        </w:rPr>
        <w:t xml:space="preserve"> approach </w:t>
      </w:r>
      <w:r w:rsidRPr="00925344">
        <w:rPr>
          <w:color w:val="auto"/>
        </w:rPr>
        <w:t>is regrettably narrow.</w:t>
      </w:r>
    </w:p>
    <w:p w:rsidR="0035180F" w:rsidRPr="00925344" w:rsidRDefault="001004E6" w:rsidP="005E3FCC">
      <w:pPr>
        <w:pStyle w:val="NoSpacing"/>
        <w:ind w:firstLine="720"/>
        <w:jc w:val="both"/>
        <w:rPr>
          <w:rFonts w:ascii="Times New Roman" w:hAnsi="Times New Roman" w:cs="Times New Roman"/>
          <w:color w:val="auto"/>
          <w:sz w:val="24"/>
          <w:szCs w:val="24"/>
          <w:lang w:val="en-GB"/>
        </w:rPr>
      </w:pPr>
      <w:r w:rsidRPr="00925344">
        <w:rPr>
          <w:rFonts w:ascii="Times New Roman" w:hAnsi="Times New Roman" w:cs="Times New Roman"/>
          <w:color w:val="auto"/>
          <w:sz w:val="24"/>
          <w:szCs w:val="24"/>
          <w:lang w:val="en-GB"/>
        </w:rPr>
        <w:t>In c</w:t>
      </w:r>
      <w:r w:rsidR="00EB35BD" w:rsidRPr="00925344">
        <w:rPr>
          <w:rFonts w:ascii="Times New Roman" w:hAnsi="Times New Roman" w:cs="Times New Roman"/>
          <w:color w:val="auto"/>
          <w:sz w:val="24"/>
          <w:szCs w:val="24"/>
          <w:lang w:val="en-GB"/>
        </w:rPr>
        <w:t xml:space="preserve">hapter 4, </w:t>
      </w:r>
      <w:proofErr w:type="spellStart"/>
      <w:r w:rsidR="00EB35BD" w:rsidRPr="00925344">
        <w:rPr>
          <w:rFonts w:ascii="Times New Roman" w:hAnsi="Times New Roman" w:cs="Times New Roman"/>
          <w:color w:val="auto"/>
          <w:sz w:val="24"/>
          <w:szCs w:val="24"/>
          <w:lang w:val="en-GB"/>
        </w:rPr>
        <w:t>Maogoto</w:t>
      </w:r>
      <w:proofErr w:type="spellEnd"/>
      <w:r w:rsidR="00EB35BD" w:rsidRPr="00925344">
        <w:rPr>
          <w:rFonts w:ascii="Times New Roman" w:hAnsi="Times New Roman" w:cs="Times New Roman"/>
          <w:color w:val="auto"/>
          <w:sz w:val="24"/>
          <w:szCs w:val="24"/>
          <w:lang w:val="en-GB"/>
        </w:rPr>
        <w:t xml:space="preserve"> surveys </w:t>
      </w:r>
      <w:r w:rsidR="0035180F" w:rsidRPr="00925344">
        <w:rPr>
          <w:rFonts w:ascii="Times New Roman" w:hAnsi="Times New Roman" w:cs="Times New Roman"/>
          <w:color w:val="auto"/>
          <w:sz w:val="24"/>
          <w:szCs w:val="24"/>
          <w:lang w:val="en-GB"/>
        </w:rPr>
        <w:t xml:space="preserve">(56) </w:t>
      </w:r>
      <w:r w:rsidR="00EB35BD" w:rsidRPr="00925344">
        <w:rPr>
          <w:rFonts w:ascii="Times New Roman" w:hAnsi="Times New Roman" w:cs="Times New Roman"/>
          <w:color w:val="auto"/>
          <w:sz w:val="24"/>
          <w:szCs w:val="24"/>
          <w:lang w:val="en-GB"/>
        </w:rPr>
        <w:t xml:space="preserve">the applicable landscape </w:t>
      </w:r>
      <w:r w:rsidR="00FC020A" w:rsidRPr="00925344">
        <w:rPr>
          <w:rFonts w:ascii="Times New Roman" w:hAnsi="Times New Roman" w:cs="Times New Roman"/>
          <w:color w:val="auto"/>
          <w:sz w:val="24"/>
          <w:szCs w:val="24"/>
          <w:lang w:val="en-GB"/>
        </w:rPr>
        <w:t>surrounding the perennial difficulties with applying the</w:t>
      </w:r>
      <w:r w:rsidR="00536EC6">
        <w:rPr>
          <w:rFonts w:ascii="Times New Roman" w:hAnsi="Times New Roman" w:cs="Times New Roman"/>
          <w:color w:val="auto"/>
          <w:sz w:val="24"/>
          <w:szCs w:val="24"/>
          <w:lang w:val="en-GB"/>
        </w:rPr>
        <w:t xml:space="preserve"> law on the use of force</w:t>
      </w:r>
      <w:r w:rsidR="00FC020A" w:rsidRPr="00925344">
        <w:rPr>
          <w:rFonts w:ascii="Times New Roman" w:hAnsi="Times New Roman" w:cs="Times New Roman"/>
          <w:color w:val="auto"/>
          <w:sz w:val="24"/>
          <w:szCs w:val="24"/>
          <w:lang w:val="en-GB"/>
        </w:rPr>
        <w:t xml:space="preserve"> to attacks occurring in cyberspace.  T</w:t>
      </w:r>
      <w:r w:rsidR="0035180F" w:rsidRPr="00925344">
        <w:rPr>
          <w:rFonts w:ascii="Times New Roman" w:hAnsi="Times New Roman" w:cs="Times New Roman"/>
          <w:color w:val="auto"/>
          <w:sz w:val="24"/>
          <w:szCs w:val="24"/>
          <w:lang w:val="en-GB"/>
        </w:rPr>
        <w:t xml:space="preserve">hese difficulties have been exhaustively and </w:t>
      </w:r>
      <w:r w:rsidR="0035180F" w:rsidRPr="00925344">
        <w:rPr>
          <w:rFonts w:ascii="Times New Roman" w:hAnsi="Times New Roman" w:cs="Times New Roman"/>
          <w:i/>
          <w:color w:val="auto"/>
          <w:sz w:val="24"/>
          <w:szCs w:val="24"/>
          <w:lang w:val="en-GB"/>
        </w:rPr>
        <w:t>exhaustingly</w:t>
      </w:r>
      <w:r w:rsidR="0035180F" w:rsidRPr="00925344">
        <w:rPr>
          <w:rFonts w:ascii="Times New Roman" w:hAnsi="Times New Roman" w:cs="Times New Roman"/>
          <w:color w:val="auto"/>
          <w:sz w:val="24"/>
          <w:szCs w:val="24"/>
          <w:lang w:val="en-GB"/>
        </w:rPr>
        <w:t xml:space="preserve"> covered elsewhere,</w:t>
      </w:r>
      <w:r w:rsidR="00A354E8" w:rsidRPr="00925344">
        <w:rPr>
          <w:rStyle w:val="FootnoteReference"/>
          <w:rFonts w:ascii="Times New Roman" w:hAnsi="Times New Roman" w:cs="Times New Roman"/>
          <w:color w:val="auto"/>
          <w:sz w:val="24"/>
          <w:szCs w:val="24"/>
          <w:lang w:val="en-GB"/>
        </w:rPr>
        <w:footnoteReference w:id="29"/>
      </w:r>
      <w:r w:rsidR="0035180F" w:rsidRPr="00925344">
        <w:rPr>
          <w:rFonts w:ascii="Times New Roman" w:hAnsi="Times New Roman" w:cs="Times New Roman"/>
          <w:color w:val="auto"/>
          <w:sz w:val="24"/>
          <w:szCs w:val="24"/>
          <w:lang w:val="en-GB"/>
        </w:rPr>
        <w:t xml:space="preserve"> and</w:t>
      </w:r>
      <w:r w:rsidR="00A354E8" w:rsidRPr="00925344">
        <w:rPr>
          <w:rFonts w:ascii="Times New Roman" w:hAnsi="Times New Roman" w:cs="Times New Roman"/>
          <w:color w:val="auto"/>
          <w:sz w:val="24"/>
          <w:szCs w:val="24"/>
          <w:lang w:val="en-GB"/>
        </w:rPr>
        <w:t xml:space="preserve"> it must be said that</w:t>
      </w:r>
      <w:r w:rsidR="0035180F" w:rsidRPr="00925344">
        <w:rPr>
          <w:rFonts w:ascii="Times New Roman" w:hAnsi="Times New Roman" w:cs="Times New Roman"/>
          <w:color w:val="auto"/>
          <w:sz w:val="24"/>
          <w:szCs w:val="24"/>
          <w:lang w:val="en-GB"/>
        </w:rPr>
        <w:t xml:space="preserve"> </w:t>
      </w:r>
      <w:r w:rsidR="00352589" w:rsidRPr="00925344">
        <w:rPr>
          <w:rFonts w:ascii="Times New Roman" w:hAnsi="Times New Roman" w:cs="Times New Roman"/>
          <w:i/>
          <w:color w:val="auto"/>
          <w:sz w:val="24"/>
          <w:szCs w:val="24"/>
          <w:lang w:val="en-GB"/>
        </w:rPr>
        <w:t>Technology and the Law on the Use of Force</w:t>
      </w:r>
      <w:r w:rsidR="0035180F" w:rsidRPr="00925344">
        <w:rPr>
          <w:rFonts w:ascii="Times New Roman" w:hAnsi="Times New Roman" w:cs="Times New Roman"/>
          <w:color w:val="auto"/>
          <w:sz w:val="24"/>
          <w:szCs w:val="24"/>
          <w:lang w:val="en-GB"/>
        </w:rPr>
        <w:t xml:space="preserve"> adds </w:t>
      </w:r>
      <w:r w:rsidR="00A354E8" w:rsidRPr="00925344">
        <w:rPr>
          <w:rFonts w:ascii="Times New Roman" w:hAnsi="Times New Roman" w:cs="Times New Roman"/>
          <w:color w:val="auto"/>
          <w:sz w:val="24"/>
          <w:szCs w:val="24"/>
          <w:lang w:val="en-GB"/>
        </w:rPr>
        <w:t>relatively</w:t>
      </w:r>
      <w:r w:rsidR="0035180F" w:rsidRPr="00925344">
        <w:rPr>
          <w:rFonts w:ascii="Times New Roman" w:hAnsi="Times New Roman" w:cs="Times New Roman"/>
          <w:color w:val="auto"/>
          <w:sz w:val="24"/>
          <w:szCs w:val="24"/>
          <w:lang w:val="en-GB"/>
        </w:rPr>
        <w:t xml:space="preserve"> little to the </w:t>
      </w:r>
      <w:r w:rsidR="00A6197E" w:rsidRPr="00925344">
        <w:rPr>
          <w:rFonts w:ascii="Times New Roman" w:hAnsi="Times New Roman" w:cs="Times New Roman"/>
          <w:i/>
          <w:color w:val="auto"/>
          <w:sz w:val="24"/>
          <w:szCs w:val="24"/>
          <w:lang w:val="en-GB"/>
        </w:rPr>
        <w:t>jus ad bellum</w:t>
      </w:r>
      <w:r w:rsidR="00A6197E" w:rsidRPr="00925344">
        <w:rPr>
          <w:rFonts w:ascii="Times New Roman" w:hAnsi="Times New Roman" w:cs="Times New Roman"/>
          <w:color w:val="auto"/>
          <w:sz w:val="24"/>
          <w:szCs w:val="24"/>
          <w:lang w:val="en-GB"/>
        </w:rPr>
        <w:t xml:space="preserve"> </w:t>
      </w:r>
      <w:r w:rsidR="0035180F" w:rsidRPr="00925344">
        <w:rPr>
          <w:rFonts w:ascii="Times New Roman" w:hAnsi="Times New Roman" w:cs="Times New Roman"/>
          <w:color w:val="auto"/>
          <w:sz w:val="24"/>
          <w:szCs w:val="24"/>
          <w:lang w:val="en-GB"/>
        </w:rPr>
        <w:t xml:space="preserve">literature </w:t>
      </w:r>
      <w:r w:rsidR="00A6197E" w:rsidRPr="00925344">
        <w:rPr>
          <w:rFonts w:ascii="Times New Roman" w:hAnsi="Times New Roman" w:cs="Times New Roman"/>
          <w:color w:val="auto"/>
          <w:sz w:val="24"/>
          <w:szCs w:val="24"/>
          <w:lang w:val="en-GB"/>
        </w:rPr>
        <w:t>concerning</w:t>
      </w:r>
      <w:r w:rsidR="0035180F" w:rsidRPr="00925344">
        <w:rPr>
          <w:rFonts w:ascii="Times New Roman" w:hAnsi="Times New Roman" w:cs="Times New Roman"/>
          <w:color w:val="auto"/>
          <w:sz w:val="24"/>
          <w:szCs w:val="24"/>
          <w:lang w:val="en-GB"/>
        </w:rPr>
        <w:t xml:space="preserve"> cyber warfare.  At </w:t>
      </w:r>
      <w:r w:rsidR="00924564" w:rsidRPr="00925344">
        <w:rPr>
          <w:rFonts w:ascii="Times New Roman" w:hAnsi="Times New Roman" w:cs="Times New Roman"/>
          <w:color w:val="auto"/>
          <w:sz w:val="24"/>
          <w:szCs w:val="24"/>
          <w:lang w:val="en-GB"/>
        </w:rPr>
        <w:t>fewer</w:t>
      </w:r>
      <w:r w:rsidR="0035180F" w:rsidRPr="00925344">
        <w:rPr>
          <w:rFonts w:ascii="Times New Roman" w:hAnsi="Times New Roman" w:cs="Times New Roman"/>
          <w:color w:val="auto"/>
          <w:sz w:val="24"/>
          <w:szCs w:val="24"/>
          <w:lang w:val="en-GB"/>
        </w:rPr>
        <w:t xml:space="preserve"> than 20 pages, chapter </w:t>
      </w:r>
      <w:r w:rsidR="00924564" w:rsidRPr="00925344">
        <w:rPr>
          <w:rFonts w:ascii="Times New Roman" w:hAnsi="Times New Roman" w:cs="Times New Roman"/>
          <w:color w:val="auto"/>
          <w:sz w:val="24"/>
          <w:szCs w:val="24"/>
          <w:lang w:val="en-GB"/>
        </w:rPr>
        <w:t xml:space="preserve">4, for the most part, merely </w:t>
      </w:r>
      <w:r w:rsidR="0035180F" w:rsidRPr="00925344">
        <w:rPr>
          <w:rFonts w:ascii="Times New Roman" w:hAnsi="Times New Roman" w:cs="Times New Roman"/>
          <w:color w:val="auto"/>
          <w:sz w:val="24"/>
          <w:szCs w:val="24"/>
          <w:lang w:val="en-GB"/>
        </w:rPr>
        <w:t xml:space="preserve">acts as </w:t>
      </w:r>
      <w:r w:rsidR="00924564" w:rsidRPr="00925344">
        <w:rPr>
          <w:rFonts w:ascii="Times New Roman" w:hAnsi="Times New Roman" w:cs="Times New Roman"/>
          <w:color w:val="auto"/>
          <w:sz w:val="24"/>
          <w:szCs w:val="24"/>
          <w:lang w:val="en-GB"/>
        </w:rPr>
        <w:t>a</w:t>
      </w:r>
      <w:r w:rsidR="0035180F" w:rsidRPr="00925344">
        <w:rPr>
          <w:rFonts w:ascii="Times New Roman" w:hAnsi="Times New Roman" w:cs="Times New Roman"/>
          <w:color w:val="auto"/>
          <w:sz w:val="24"/>
          <w:szCs w:val="24"/>
          <w:lang w:val="en-GB"/>
        </w:rPr>
        <w:t xml:space="preserve"> summary of existing approaches.  For ex</w:t>
      </w:r>
      <w:r w:rsidR="00A354E8" w:rsidRPr="00925344">
        <w:rPr>
          <w:rFonts w:ascii="Times New Roman" w:hAnsi="Times New Roman" w:cs="Times New Roman"/>
          <w:color w:val="auto"/>
          <w:sz w:val="24"/>
          <w:szCs w:val="24"/>
          <w:lang w:val="en-GB"/>
        </w:rPr>
        <w:t>ample, Michael</w:t>
      </w:r>
      <w:r w:rsidR="0035180F" w:rsidRPr="00925344">
        <w:rPr>
          <w:rFonts w:ascii="Times New Roman" w:hAnsi="Times New Roman" w:cs="Times New Roman"/>
          <w:color w:val="auto"/>
          <w:sz w:val="24"/>
          <w:szCs w:val="24"/>
          <w:lang w:val="en-GB"/>
        </w:rPr>
        <w:t xml:space="preserve"> </w:t>
      </w:r>
      <w:proofErr w:type="spellStart"/>
      <w:r w:rsidR="0035180F" w:rsidRPr="00925344">
        <w:rPr>
          <w:rFonts w:ascii="Times New Roman" w:hAnsi="Times New Roman" w:cs="Times New Roman"/>
          <w:color w:val="auto"/>
          <w:sz w:val="24"/>
          <w:szCs w:val="24"/>
          <w:lang w:val="en-GB"/>
        </w:rPr>
        <w:t>Sklerov’s</w:t>
      </w:r>
      <w:proofErr w:type="spellEnd"/>
      <w:r w:rsidR="0035180F" w:rsidRPr="00925344">
        <w:rPr>
          <w:rFonts w:ascii="Times New Roman" w:hAnsi="Times New Roman" w:cs="Times New Roman"/>
          <w:color w:val="auto"/>
          <w:sz w:val="24"/>
          <w:szCs w:val="24"/>
          <w:lang w:val="en-GB"/>
        </w:rPr>
        <w:t xml:space="preserve"> </w:t>
      </w:r>
      <w:r w:rsidR="00FD5FB6" w:rsidRPr="00925344">
        <w:rPr>
          <w:rFonts w:ascii="Times New Roman" w:hAnsi="Times New Roman" w:cs="Times New Roman"/>
          <w:color w:val="auto"/>
          <w:sz w:val="24"/>
          <w:szCs w:val="24"/>
          <w:lang w:val="en-GB"/>
        </w:rPr>
        <w:t>important</w:t>
      </w:r>
      <w:r w:rsidR="0035180F" w:rsidRPr="00925344">
        <w:rPr>
          <w:rFonts w:ascii="Times New Roman" w:hAnsi="Times New Roman" w:cs="Times New Roman"/>
          <w:color w:val="auto"/>
          <w:sz w:val="24"/>
          <w:szCs w:val="24"/>
          <w:lang w:val="en-GB"/>
        </w:rPr>
        <w:t xml:space="preserve"> </w:t>
      </w:r>
      <w:r w:rsidR="00FD5FB6" w:rsidRPr="00925344">
        <w:rPr>
          <w:rFonts w:ascii="Times New Roman" w:hAnsi="Times New Roman" w:cs="Times New Roman"/>
          <w:color w:val="auto"/>
          <w:sz w:val="24"/>
          <w:szCs w:val="24"/>
          <w:lang w:val="en-GB"/>
        </w:rPr>
        <w:t xml:space="preserve">proposed </w:t>
      </w:r>
      <w:r w:rsidR="0035180F" w:rsidRPr="00925344">
        <w:rPr>
          <w:rFonts w:ascii="Times New Roman" w:hAnsi="Times New Roman" w:cs="Times New Roman"/>
          <w:color w:val="auto"/>
          <w:sz w:val="24"/>
          <w:szCs w:val="24"/>
          <w:lang w:val="en-GB"/>
        </w:rPr>
        <w:t>typolog</w:t>
      </w:r>
      <w:r w:rsidR="00FD5FB6" w:rsidRPr="00925344">
        <w:rPr>
          <w:rFonts w:ascii="Times New Roman" w:hAnsi="Times New Roman" w:cs="Times New Roman"/>
          <w:color w:val="auto"/>
          <w:sz w:val="24"/>
          <w:szCs w:val="24"/>
          <w:lang w:val="en-GB"/>
        </w:rPr>
        <w:t>y</w:t>
      </w:r>
      <w:r w:rsidR="0035180F" w:rsidRPr="00925344">
        <w:rPr>
          <w:rFonts w:ascii="Times New Roman" w:hAnsi="Times New Roman" w:cs="Times New Roman"/>
          <w:color w:val="auto"/>
          <w:sz w:val="24"/>
          <w:szCs w:val="24"/>
          <w:lang w:val="en-GB"/>
        </w:rPr>
        <w:t xml:space="preserve"> for assessing cyber-attacks</w:t>
      </w:r>
      <w:r w:rsidR="005E3FCC" w:rsidRPr="00925344">
        <w:rPr>
          <w:rStyle w:val="FootnoteReference"/>
          <w:rFonts w:ascii="Times New Roman" w:hAnsi="Times New Roman" w:cs="Times New Roman"/>
          <w:color w:val="auto"/>
          <w:sz w:val="24"/>
          <w:szCs w:val="24"/>
          <w:lang w:val="en-GB"/>
        </w:rPr>
        <w:footnoteReference w:id="30"/>
      </w:r>
      <w:r w:rsidR="0035180F" w:rsidRPr="00925344">
        <w:rPr>
          <w:rFonts w:ascii="Times New Roman" w:hAnsi="Times New Roman" w:cs="Times New Roman"/>
          <w:color w:val="auto"/>
          <w:sz w:val="24"/>
          <w:szCs w:val="24"/>
          <w:lang w:val="en-GB"/>
        </w:rPr>
        <w:t xml:space="preserve"> </w:t>
      </w:r>
      <w:bookmarkStart w:id="0" w:name="_GoBack"/>
      <w:bookmarkEnd w:id="0"/>
      <w:r w:rsidR="00FD5FB6" w:rsidRPr="00925344">
        <w:rPr>
          <w:rFonts w:ascii="Times New Roman" w:hAnsi="Times New Roman" w:cs="Times New Roman"/>
          <w:color w:val="auto"/>
          <w:sz w:val="24"/>
          <w:szCs w:val="24"/>
          <w:lang w:val="en-GB"/>
        </w:rPr>
        <w:t xml:space="preserve">is set out </w:t>
      </w:r>
      <w:r w:rsidR="0035180F" w:rsidRPr="00925344">
        <w:rPr>
          <w:rFonts w:ascii="Times New Roman" w:hAnsi="Times New Roman" w:cs="Times New Roman"/>
          <w:color w:val="auto"/>
          <w:sz w:val="24"/>
          <w:szCs w:val="24"/>
          <w:lang w:val="en-GB"/>
        </w:rPr>
        <w:t>(</w:t>
      </w:r>
      <w:r w:rsidR="000F65CA" w:rsidRPr="00925344">
        <w:rPr>
          <w:rFonts w:ascii="Times New Roman" w:hAnsi="Times New Roman" w:cs="Times New Roman"/>
          <w:color w:val="auto"/>
          <w:sz w:val="24"/>
          <w:szCs w:val="24"/>
          <w:lang w:val="en-GB"/>
        </w:rPr>
        <w:t>57</w:t>
      </w:r>
      <w:r w:rsidR="0035180F" w:rsidRPr="00925344">
        <w:rPr>
          <w:rFonts w:ascii="Times New Roman" w:hAnsi="Times New Roman" w:cs="Times New Roman"/>
          <w:color w:val="auto"/>
          <w:sz w:val="24"/>
          <w:szCs w:val="24"/>
          <w:lang w:val="en-GB"/>
        </w:rPr>
        <w:t xml:space="preserve">).  </w:t>
      </w:r>
      <w:r w:rsidR="005E3FCC">
        <w:rPr>
          <w:rFonts w:ascii="Times New Roman" w:hAnsi="Times New Roman" w:cs="Times New Roman"/>
          <w:color w:val="auto"/>
          <w:sz w:val="24"/>
          <w:szCs w:val="24"/>
          <w:lang w:val="en-GB"/>
        </w:rPr>
        <w:t xml:space="preserve">The </w:t>
      </w:r>
      <w:r w:rsidR="00FD5FB6" w:rsidRPr="00925344">
        <w:rPr>
          <w:rFonts w:ascii="Times New Roman" w:hAnsi="Times New Roman" w:cs="Times New Roman"/>
          <w:color w:val="auto"/>
          <w:sz w:val="24"/>
          <w:szCs w:val="24"/>
          <w:lang w:val="en-GB"/>
        </w:rPr>
        <w:t>approach</w:t>
      </w:r>
      <w:r w:rsidR="005E3FCC">
        <w:rPr>
          <w:rFonts w:ascii="Times New Roman" w:hAnsi="Times New Roman" w:cs="Times New Roman"/>
          <w:color w:val="auto"/>
          <w:sz w:val="24"/>
          <w:szCs w:val="24"/>
          <w:lang w:val="en-GB"/>
        </w:rPr>
        <w:t xml:space="preserve"> taken by </w:t>
      </w:r>
      <w:proofErr w:type="spellStart"/>
      <w:r w:rsidR="005E3FCC">
        <w:rPr>
          <w:rFonts w:ascii="Times New Roman" w:hAnsi="Times New Roman" w:cs="Times New Roman"/>
          <w:color w:val="auto"/>
          <w:sz w:val="24"/>
          <w:szCs w:val="24"/>
          <w:lang w:val="en-GB"/>
        </w:rPr>
        <w:t>Sklerov</w:t>
      </w:r>
      <w:proofErr w:type="spellEnd"/>
      <w:r w:rsidR="00FD5FB6" w:rsidRPr="00925344">
        <w:rPr>
          <w:rFonts w:ascii="Times New Roman" w:hAnsi="Times New Roman" w:cs="Times New Roman"/>
          <w:color w:val="auto"/>
          <w:sz w:val="24"/>
          <w:szCs w:val="24"/>
          <w:lang w:val="en-GB"/>
        </w:rPr>
        <w:t xml:space="preserve">—which to </w:t>
      </w:r>
      <w:r w:rsidR="008C0D9B">
        <w:rPr>
          <w:rFonts w:ascii="Times New Roman" w:hAnsi="Times New Roman" w:cs="Times New Roman"/>
          <w:color w:val="auto"/>
          <w:sz w:val="24"/>
          <w:szCs w:val="24"/>
          <w:lang w:val="en-GB"/>
        </w:rPr>
        <w:t>some</w:t>
      </w:r>
      <w:r w:rsidR="008C0D9B" w:rsidRPr="00925344">
        <w:rPr>
          <w:rFonts w:ascii="Times New Roman" w:hAnsi="Times New Roman" w:cs="Times New Roman"/>
          <w:color w:val="auto"/>
          <w:sz w:val="24"/>
          <w:szCs w:val="24"/>
          <w:lang w:val="en-GB"/>
        </w:rPr>
        <w:t xml:space="preserve"> </w:t>
      </w:r>
      <w:r w:rsidR="00FD5FB6" w:rsidRPr="00925344">
        <w:rPr>
          <w:rFonts w:ascii="Times New Roman" w:hAnsi="Times New Roman" w:cs="Times New Roman"/>
          <w:color w:val="auto"/>
          <w:sz w:val="24"/>
          <w:szCs w:val="24"/>
          <w:lang w:val="en-GB"/>
        </w:rPr>
        <w:t xml:space="preserve">extent was a </w:t>
      </w:r>
      <w:r w:rsidR="00536EC6">
        <w:rPr>
          <w:rFonts w:ascii="Times New Roman" w:hAnsi="Times New Roman" w:cs="Times New Roman"/>
          <w:color w:val="auto"/>
          <w:sz w:val="24"/>
          <w:szCs w:val="24"/>
          <w:lang w:val="en-GB"/>
        </w:rPr>
        <w:t>refinement</w:t>
      </w:r>
      <w:r w:rsidR="00536EC6" w:rsidRPr="00925344">
        <w:rPr>
          <w:rFonts w:ascii="Times New Roman" w:hAnsi="Times New Roman" w:cs="Times New Roman"/>
          <w:color w:val="auto"/>
          <w:sz w:val="24"/>
          <w:szCs w:val="24"/>
          <w:lang w:val="en-GB"/>
        </w:rPr>
        <w:t xml:space="preserve"> </w:t>
      </w:r>
      <w:r w:rsidR="00A6197E" w:rsidRPr="00925344">
        <w:rPr>
          <w:rFonts w:ascii="Times New Roman" w:hAnsi="Times New Roman" w:cs="Times New Roman"/>
          <w:color w:val="auto"/>
          <w:sz w:val="24"/>
          <w:szCs w:val="24"/>
          <w:lang w:val="en-GB"/>
        </w:rPr>
        <w:t xml:space="preserve">of </w:t>
      </w:r>
      <w:r w:rsidR="00FD5FB6" w:rsidRPr="00925344">
        <w:rPr>
          <w:rFonts w:ascii="Times New Roman" w:hAnsi="Times New Roman" w:cs="Times New Roman"/>
          <w:color w:val="auto"/>
          <w:sz w:val="24"/>
          <w:szCs w:val="24"/>
          <w:lang w:val="en-GB"/>
        </w:rPr>
        <w:t>earlier proposals by Michael Schmitt</w:t>
      </w:r>
      <w:r w:rsidR="00FD5FB6" w:rsidRPr="00925344">
        <w:rPr>
          <w:rStyle w:val="FootnoteReference"/>
          <w:rFonts w:ascii="Times New Roman" w:hAnsi="Times New Roman" w:cs="Times New Roman"/>
          <w:color w:val="auto"/>
          <w:sz w:val="24"/>
          <w:szCs w:val="24"/>
          <w:lang w:val="en-GB"/>
        </w:rPr>
        <w:footnoteReference w:id="31"/>
      </w:r>
      <w:r w:rsidR="00FD5FB6" w:rsidRPr="00925344">
        <w:rPr>
          <w:rFonts w:ascii="Times New Roman" w:hAnsi="Times New Roman" w:cs="Times New Roman"/>
          <w:color w:val="auto"/>
          <w:sz w:val="24"/>
          <w:szCs w:val="24"/>
          <w:lang w:val="en-GB"/>
        </w:rPr>
        <w:t xml:space="preserve">—is </w:t>
      </w:r>
      <w:r w:rsidR="00A354E8" w:rsidRPr="00925344">
        <w:rPr>
          <w:rFonts w:ascii="Times New Roman" w:hAnsi="Times New Roman" w:cs="Times New Roman"/>
          <w:color w:val="auto"/>
          <w:sz w:val="24"/>
          <w:szCs w:val="24"/>
          <w:lang w:val="en-GB"/>
        </w:rPr>
        <w:t>potentially</w:t>
      </w:r>
      <w:r w:rsidR="0035180F" w:rsidRPr="00925344">
        <w:rPr>
          <w:rFonts w:ascii="Times New Roman" w:hAnsi="Times New Roman" w:cs="Times New Roman"/>
          <w:color w:val="auto"/>
          <w:sz w:val="24"/>
          <w:szCs w:val="24"/>
          <w:lang w:val="en-GB"/>
        </w:rPr>
        <w:t xml:space="preserve"> </w:t>
      </w:r>
      <w:r w:rsidR="00FD5FB6" w:rsidRPr="00925344">
        <w:rPr>
          <w:rFonts w:ascii="Times New Roman" w:hAnsi="Times New Roman" w:cs="Times New Roman"/>
          <w:color w:val="auto"/>
          <w:sz w:val="24"/>
          <w:szCs w:val="24"/>
          <w:lang w:val="en-GB"/>
        </w:rPr>
        <w:t xml:space="preserve">extremely </w:t>
      </w:r>
      <w:r w:rsidR="00924564" w:rsidRPr="00925344">
        <w:rPr>
          <w:rFonts w:ascii="Times New Roman" w:hAnsi="Times New Roman" w:cs="Times New Roman"/>
          <w:color w:val="auto"/>
          <w:sz w:val="24"/>
          <w:szCs w:val="24"/>
          <w:lang w:val="en-GB"/>
        </w:rPr>
        <w:t>valuable</w:t>
      </w:r>
      <w:r w:rsidR="0035180F" w:rsidRPr="00925344">
        <w:rPr>
          <w:rFonts w:ascii="Times New Roman" w:hAnsi="Times New Roman" w:cs="Times New Roman"/>
          <w:color w:val="auto"/>
          <w:sz w:val="24"/>
          <w:szCs w:val="24"/>
          <w:lang w:val="en-GB"/>
        </w:rPr>
        <w:t xml:space="preserve"> and could benefit from further analysis</w:t>
      </w:r>
      <w:r w:rsidR="00FD5FB6" w:rsidRPr="00925344">
        <w:rPr>
          <w:rFonts w:ascii="Times New Roman" w:hAnsi="Times New Roman" w:cs="Times New Roman"/>
          <w:color w:val="auto"/>
          <w:sz w:val="24"/>
          <w:szCs w:val="24"/>
          <w:lang w:val="en-GB"/>
        </w:rPr>
        <w:t xml:space="preserve">.  However, </w:t>
      </w:r>
      <w:proofErr w:type="spellStart"/>
      <w:r w:rsidR="00FD5FB6" w:rsidRPr="00925344">
        <w:rPr>
          <w:rFonts w:ascii="Times New Roman" w:hAnsi="Times New Roman" w:cs="Times New Roman"/>
          <w:color w:val="auto"/>
          <w:sz w:val="24"/>
          <w:szCs w:val="24"/>
          <w:lang w:val="en-GB"/>
        </w:rPr>
        <w:t>M</w:t>
      </w:r>
      <w:r w:rsidR="0035180F" w:rsidRPr="00925344">
        <w:rPr>
          <w:rFonts w:ascii="Times New Roman" w:hAnsi="Times New Roman" w:cs="Times New Roman"/>
          <w:color w:val="auto"/>
          <w:sz w:val="24"/>
          <w:szCs w:val="24"/>
          <w:lang w:val="en-GB"/>
        </w:rPr>
        <w:t>aogoto</w:t>
      </w:r>
      <w:proofErr w:type="spellEnd"/>
      <w:r w:rsidR="00924564" w:rsidRPr="00925344">
        <w:rPr>
          <w:rFonts w:ascii="Times New Roman" w:hAnsi="Times New Roman" w:cs="Times New Roman"/>
          <w:color w:val="auto"/>
          <w:sz w:val="24"/>
          <w:szCs w:val="24"/>
          <w:lang w:val="en-GB"/>
        </w:rPr>
        <w:t xml:space="preserve"> </w:t>
      </w:r>
      <w:r w:rsidR="00FD5FB6" w:rsidRPr="00925344">
        <w:rPr>
          <w:rFonts w:ascii="Times New Roman" w:hAnsi="Times New Roman" w:cs="Times New Roman"/>
          <w:color w:val="auto"/>
          <w:sz w:val="24"/>
          <w:szCs w:val="24"/>
          <w:lang w:val="en-GB"/>
        </w:rPr>
        <w:t>does not</w:t>
      </w:r>
      <w:r w:rsidR="0035180F" w:rsidRPr="00925344">
        <w:rPr>
          <w:rFonts w:ascii="Times New Roman" w:hAnsi="Times New Roman" w:cs="Times New Roman"/>
          <w:color w:val="auto"/>
          <w:sz w:val="24"/>
          <w:szCs w:val="24"/>
          <w:lang w:val="en-GB"/>
        </w:rPr>
        <w:t xml:space="preserve"> </w:t>
      </w:r>
      <w:r w:rsidR="0035180F" w:rsidRPr="00925344">
        <w:rPr>
          <w:rFonts w:ascii="Times New Roman" w:hAnsi="Times New Roman" w:cs="Times New Roman"/>
          <w:i/>
          <w:color w:val="auto"/>
          <w:sz w:val="24"/>
          <w:szCs w:val="24"/>
          <w:lang w:val="en-GB"/>
        </w:rPr>
        <w:t>analyse</w:t>
      </w:r>
      <w:r w:rsidR="0035180F" w:rsidRPr="00925344">
        <w:rPr>
          <w:rFonts w:ascii="Times New Roman" w:hAnsi="Times New Roman" w:cs="Times New Roman"/>
          <w:color w:val="auto"/>
          <w:sz w:val="24"/>
          <w:szCs w:val="24"/>
          <w:lang w:val="en-GB"/>
        </w:rPr>
        <w:t xml:space="preserve"> </w:t>
      </w:r>
      <w:proofErr w:type="spellStart"/>
      <w:r w:rsidR="00536EC6" w:rsidRPr="00925344">
        <w:rPr>
          <w:rFonts w:ascii="Times New Roman" w:hAnsi="Times New Roman" w:cs="Times New Roman"/>
          <w:color w:val="auto"/>
          <w:sz w:val="24"/>
          <w:szCs w:val="24"/>
          <w:lang w:val="en-GB"/>
        </w:rPr>
        <w:t>Sklerov’s</w:t>
      </w:r>
      <w:proofErr w:type="spellEnd"/>
      <w:r w:rsidR="00536EC6" w:rsidRPr="00925344">
        <w:rPr>
          <w:rFonts w:ascii="Times New Roman" w:hAnsi="Times New Roman" w:cs="Times New Roman"/>
          <w:color w:val="auto"/>
          <w:sz w:val="24"/>
          <w:szCs w:val="24"/>
          <w:lang w:val="en-GB"/>
        </w:rPr>
        <w:t xml:space="preserve"> </w:t>
      </w:r>
      <w:r w:rsidR="00536EC6">
        <w:rPr>
          <w:rFonts w:ascii="Times New Roman" w:hAnsi="Times New Roman" w:cs="Times New Roman"/>
          <w:color w:val="auto"/>
          <w:sz w:val="24"/>
          <w:szCs w:val="24"/>
          <w:lang w:val="en-GB"/>
        </w:rPr>
        <w:t xml:space="preserve">typologies </w:t>
      </w:r>
      <w:r w:rsidR="00FD5FB6" w:rsidRPr="00925344">
        <w:rPr>
          <w:rFonts w:ascii="Times New Roman" w:hAnsi="Times New Roman" w:cs="Times New Roman"/>
          <w:color w:val="auto"/>
          <w:sz w:val="24"/>
          <w:szCs w:val="24"/>
          <w:lang w:val="en-GB"/>
        </w:rPr>
        <w:t>at all</w:t>
      </w:r>
      <w:r w:rsidR="00536EC6">
        <w:rPr>
          <w:rFonts w:ascii="Times New Roman" w:hAnsi="Times New Roman" w:cs="Times New Roman"/>
          <w:color w:val="auto"/>
          <w:sz w:val="24"/>
          <w:szCs w:val="24"/>
          <w:lang w:val="en-GB"/>
        </w:rPr>
        <w:t>,</w:t>
      </w:r>
      <w:r w:rsidR="0035180F" w:rsidRPr="00925344">
        <w:rPr>
          <w:rFonts w:ascii="Times New Roman" w:hAnsi="Times New Roman" w:cs="Times New Roman"/>
          <w:color w:val="auto"/>
          <w:sz w:val="24"/>
          <w:szCs w:val="24"/>
          <w:lang w:val="en-GB"/>
        </w:rPr>
        <w:t xml:space="preserve"> he merely </w:t>
      </w:r>
      <w:r w:rsidR="00FD5FB6" w:rsidRPr="00925344">
        <w:rPr>
          <w:rFonts w:ascii="Times New Roman" w:hAnsi="Times New Roman" w:cs="Times New Roman"/>
          <w:color w:val="auto"/>
          <w:sz w:val="24"/>
          <w:szCs w:val="24"/>
          <w:lang w:val="en-GB"/>
        </w:rPr>
        <w:t>lists them</w:t>
      </w:r>
      <w:r w:rsidR="0035180F" w:rsidRPr="00925344">
        <w:rPr>
          <w:rFonts w:ascii="Times New Roman" w:hAnsi="Times New Roman" w:cs="Times New Roman"/>
          <w:color w:val="auto"/>
          <w:sz w:val="24"/>
          <w:szCs w:val="24"/>
          <w:lang w:val="en-GB"/>
        </w:rPr>
        <w:t xml:space="preserve">.  To an extent, this is symptomatic of the book as a whole, which is </w:t>
      </w:r>
      <w:r w:rsidR="00A354E8" w:rsidRPr="00925344">
        <w:rPr>
          <w:rFonts w:ascii="Times New Roman" w:hAnsi="Times New Roman" w:cs="Times New Roman"/>
          <w:color w:val="auto"/>
          <w:sz w:val="24"/>
          <w:szCs w:val="24"/>
          <w:lang w:val="en-GB"/>
        </w:rPr>
        <w:t xml:space="preserve">too </w:t>
      </w:r>
      <w:r w:rsidR="0035180F" w:rsidRPr="00925344">
        <w:rPr>
          <w:rFonts w:ascii="Times New Roman" w:hAnsi="Times New Roman" w:cs="Times New Roman"/>
          <w:color w:val="auto"/>
          <w:sz w:val="24"/>
          <w:szCs w:val="24"/>
          <w:lang w:val="en-GB"/>
        </w:rPr>
        <w:t xml:space="preserve">often </w:t>
      </w:r>
      <w:r w:rsidR="00A354E8" w:rsidRPr="00925344">
        <w:rPr>
          <w:rFonts w:ascii="Times New Roman" w:hAnsi="Times New Roman" w:cs="Times New Roman"/>
          <w:color w:val="auto"/>
          <w:sz w:val="24"/>
          <w:szCs w:val="24"/>
          <w:lang w:val="en-GB"/>
        </w:rPr>
        <w:t>overly</w:t>
      </w:r>
      <w:r w:rsidR="0035180F" w:rsidRPr="00925344">
        <w:rPr>
          <w:rFonts w:ascii="Times New Roman" w:hAnsi="Times New Roman" w:cs="Times New Roman"/>
          <w:color w:val="auto"/>
          <w:sz w:val="24"/>
          <w:szCs w:val="24"/>
          <w:lang w:val="en-GB"/>
        </w:rPr>
        <w:t xml:space="preserve"> descriptive (rather than analytical) when it comes to the key issues </w:t>
      </w:r>
      <w:r w:rsidR="00D4126E" w:rsidRPr="00925344">
        <w:rPr>
          <w:rFonts w:ascii="Times New Roman" w:hAnsi="Times New Roman" w:cs="Times New Roman"/>
          <w:color w:val="auto"/>
          <w:sz w:val="24"/>
          <w:szCs w:val="24"/>
          <w:lang w:val="en-GB"/>
        </w:rPr>
        <w:t>with which</w:t>
      </w:r>
      <w:r w:rsidR="0035180F" w:rsidRPr="00925344">
        <w:rPr>
          <w:rFonts w:ascii="Times New Roman" w:hAnsi="Times New Roman" w:cs="Times New Roman"/>
          <w:color w:val="auto"/>
          <w:sz w:val="24"/>
          <w:szCs w:val="24"/>
          <w:lang w:val="en-GB"/>
        </w:rPr>
        <w:t xml:space="preserve"> it is grappling.</w:t>
      </w:r>
      <w:r w:rsidR="00FD5FB6" w:rsidRPr="00925344">
        <w:rPr>
          <w:rStyle w:val="FootnoteReference"/>
          <w:rFonts w:ascii="Times New Roman" w:hAnsi="Times New Roman" w:cs="Times New Roman"/>
          <w:color w:val="auto"/>
          <w:sz w:val="24"/>
          <w:szCs w:val="24"/>
          <w:lang w:val="en-GB"/>
        </w:rPr>
        <w:footnoteReference w:id="32"/>
      </w:r>
    </w:p>
    <w:p w:rsidR="00BD4029" w:rsidRPr="00925344" w:rsidRDefault="00924564" w:rsidP="005E3FCC">
      <w:pPr>
        <w:widowControl w:val="0"/>
        <w:autoSpaceDE w:val="0"/>
        <w:autoSpaceDN w:val="0"/>
        <w:adjustRightInd w:val="0"/>
        <w:ind w:firstLine="720"/>
        <w:jc w:val="both"/>
        <w:rPr>
          <w:color w:val="auto"/>
        </w:rPr>
      </w:pPr>
      <w:r w:rsidRPr="00925344">
        <w:rPr>
          <w:color w:val="auto"/>
        </w:rPr>
        <w:t>C</w:t>
      </w:r>
      <w:r w:rsidR="00B44D33" w:rsidRPr="00925344">
        <w:rPr>
          <w:color w:val="auto"/>
        </w:rPr>
        <w:t>hapter</w:t>
      </w:r>
      <w:r w:rsidR="00A364D7" w:rsidRPr="00925344">
        <w:rPr>
          <w:color w:val="auto"/>
        </w:rPr>
        <w:t xml:space="preserve"> </w:t>
      </w:r>
      <w:r w:rsidRPr="00925344">
        <w:rPr>
          <w:color w:val="auto"/>
        </w:rPr>
        <w:t xml:space="preserve">4 </w:t>
      </w:r>
      <w:r w:rsidR="00B44D33" w:rsidRPr="00925344">
        <w:rPr>
          <w:color w:val="auto"/>
        </w:rPr>
        <w:t>(quite correctly) questions the extent to which</w:t>
      </w:r>
      <w:r w:rsidR="00A364D7" w:rsidRPr="00925344">
        <w:rPr>
          <w:color w:val="auto"/>
        </w:rPr>
        <w:t xml:space="preserve"> different cyber operations fall within or </w:t>
      </w:r>
      <w:r w:rsidR="00B44D33" w:rsidRPr="00925344">
        <w:rPr>
          <w:color w:val="auto"/>
        </w:rPr>
        <w:t>without</w:t>
      </w:r>
      <w:r w:rsidR="00A364D7" w:rsidRPr="00925344">
        <w:rPr>
          <w:color w:val="auto"/>
        </w:rPr>
        <w:t xml:space="preserve"> the purview of Article 2(4)</w:t>
      </w:r>
      <w:r w:rsidR="00B44D33" w:rsidRPr="00925344">
        <w:rPr>
          <w:color w:val="auto"/>
        </w:rPr>
        <w:t xml:space="preserve">: this debate is </w:t>
      </w:r>
      <w:r w:rsidR="009E2FC0" w:rsidRPr="00925344">
        <w:rPr>
          <w:color w:val="auto"/>
        </w:rPr>
        <w:t xml:space="preserve">perhaps </w:t>
      </w:r>
      <w:r w:rsidR="00B44D33" w:rsidRPr="00925344">
        <w:rPr>
          <w:color w:val="auto"/>
        </w:rPr>
        <w:t>still not entirely resolved, but it has existed since the 1990s</w:t>
      </w:r>
      <w:r w:rsidR="009E2FC0" w:rsidRPr="00925344">
        <w:rPr>
          <w:color w:val="auto"/>
        </w:rPr>
        <w:t xml:space="preserve"> and its parameters are well-known.</w:t>
      </w:r>
      <w:r w:rsidR="00D4126E" w:rsidRPr="00925344">
        <w:rPr>
          <w:rStyle w:val="FootnoteReference"/>
          <w:color w:val="auto"/>
        </w:rPr>
        <w:footnoteReference w:id="33"/>
      </w:r>
      <w:r w:rsidR="009E2FC0" w:rsidRPr="00925344">
        <w:rPr>
          <w:color w:val="auto"/>
        </w:rPr>
        <w:t xml:space="preserve">  </w:t>
      </w:r>
      <w:r w:rsidR="00961E05" w:rsidRPr="00925344">
        <w:rPr>
          <w:color w:val="auto"/>
        </w:rPr>
        <w:t>Unfortunately</w:t>
      </w:r>
      <w:r w:rsidR="005E67A7" w:rsidRPr="00925344">
        <w:rPr>
          <w:color w:val="auto"/>
        </w:rPr>
        <w:t>, c</w:t>
      </w:r>
      <w:r w:rsidR="00B44D33" w:rsidRPr="00925344">
        <w:rPr>
          <w:color w:val="auto"/>
        </w:rPr>
        <w:t xml:space="preserve">hapter </w:t>
      </w:r>
      <w:r w:rsidRPr="00925344">
        <w:rPr>
          <w:color w:val="auto"/>
        </w:rPr>
        <w:t>4</w:t>
      </w:r>
      <w:r w:rsidR="00B44D33" w:rsidRPr="00925344">
        <w:rPr>
          <w:color w:val="auto"/>
        </w:rPr>
        <w:t xml:space="preserve"> </w:t>
      </w:r>
      <w:r w:rsidRPr="00925344">
        <w:rPr>
          <w:color w:val="auto"/>
        </w:rPr>
        <w:t xml:space="preserve">does not </w:t>
      </w:r>
      <w:r w:rsidR="00797231" w:rsidRPr="00925344">
        <w:rPr>
          <w:color w:val="auto"/>
        </w:rPr>
        <w:t xml:space="preserve">meaningfully </w:t>
      </w:r>
      <w:r w:rsidRPr="00925344">
        <w:rPr>
          <w:color w:val="auto"/>
        </w:rPr>
        <w:t>advance this debate</w:t>
      </w:r>
      <w:r w:rsidR="00B44D33" w:rsidRPr="00925344">
        <w:rPr>
          <w:color w:val="auto"/>
        </w:rPr>
        <w:t xml:space="preserve">.  </w:t>
      </w:r>
      <w:r w:rsidR="009E2FC0" w:rsidRPr="00925344">
        <w:rPr>
          <w:color w:val="auto"/>
        </w:rPr>
        <w:t>Indeed</w:t>
      </w:r>
      <w:r w:rsidR="00B44D33" w:rsidRPr="00925344">
        <w:rPr>
          <w:color w:val="auto"/>
        </w:rPr>
        <w:t xml:space="preserve">, the chapter </w:t>
      </w:r>
      <w:r w:rsidR="009E2FC0" w:rsidRPr="00925344">
        <w:rPr>
          <w:color w:val="auto"/>
        </w:rPr>
        <w:t>arguably clouds rather than elucidates matters, in that it at times</w:t>
      </w:r>
      <w:r w:rsidR="00B44D33" w:rsidRPr="00925344">
        <w:rPr>
          <w:color w:val="auto"/>
        </w:rPr>
        <w:t xml:space="preserve"> unhelpfully blurs </w:t>
      </w:r>
      <w:r w:rsidR="009E2FC0" w:rsidRPr="00925344">
        <w:rPr>
          <w:color w:val="auto"/>
        </w:rPr>
        <w:t>the questions of</w:t>
      </w:r>
      <w:r w:rsidR="00B44D33" w:rsidRPr="00925344">
        <w:rPr>
          <w:color w:val="auto"/>
        </w:rPr>
        <w:t xml:space="preserve"> whether a cyber-attack does (or can) constitute </w:t>
      </w:r>
      <w:r w:rsidR="00FD5FB6" w:rsidRPr="00925344">
        <w:rPr>
          <w:color w:val="auto"/>
        </w:rPr>
        <w:t xml:space="preserve">an instance of </w:t>
      </w:r>
      <w:r w:rsidR="00B44D33" w:rsidRPr="00925344">
        <w:rPr>
          <w:color w:val="auto"/>
        </w:rPr>
        <w:t>‘force’, ‘intervention’ and/or an ‘armed attack’</w:t>
      </w:r>
      <w:r w:rsidR="009E2FC0" w:rsidRPr="00925344">
        <w:rPr>
          <w:color w:val="auto"/>
        </w:rPr>
        <w:t xml:space="preserve">.  These </w:t>
      </w:r>
      <w:r w:rsidR="00B44D33" w:rsidRPr="00925344">
        <w:rPr>
          <w:color w:val="auto"/>
        </w:rPr>
        <w:t>are, of course, all different concepts with different thresholds.</w:t>
      </w:r>
      <w:r w:rsidR="00961E05" w:rsidRPr="00925344">
        <w:rPr>
          <w:rStyle w:val="FootnoteReference"/>
          <w:color w:val="auto"/>
        </w:rPr>
        <w:footnoteReference w:id="34"/>
      </w:r>
      <w:r w:rsidR="00B44D33" w:rsidRPr="00925344">
        <w:rPr>
          <w:color w:val="auto"/>
        </w:rPr>
        <w:t xml:space="preserve">  For example, </w:t>
      </w:r>
      <w:proofErr w:type="spellStart"/>
      <w:r w:rsidR="00B44D33" w:rsidRPr="00925344">
        <w:rPr>
          <w:color w:val="auto"/>
        </w:rPr>
        <w:t>Maogoto’s</w:t>
      </w:r>
      <w:proofErr w:type="spellEnd"/>
      <w:r w:rsidR="00B44D33" w:rsidRPr="00925344">
        <w:rPr>
          <w:color w:val="auto"/>
        </w:rPr>
        <w:t xml:space="preserve"> discussion of the </w:t>
      </w:r>
      <w:proofErr w:type="spellStart"/>
      <w:r w:rsidR="00B44D33" w:rsidRPr="00925344">
        <w:rPr>
          <w:color w:val="auto"/>
        </w:rPr>
        <w:t>Stuxnet</w:t>
      </w:r>
      <w:proofErr w:type="spellEnd"/>
      <w:r w:rsidR="00B44D33" w:rsidRPr="00925344">
        <w:rPr>
          <w:color w:val="auto"/>
        </w:rPr>
        <w:t xml:space="preserve"> virus</w:t>
      </w:r>
      <w:r w:rsidR="000A1629" w:rsidRPr="00925344">
        <w:rPr>
          <w:rStyle w:val="FootnoteReference"/>
          <w:color w:val="auto"/>
        </w:rPr>
        <w:footnoteReference w:id="35"/>
      </w:r>
      <w:r w:rsidR="00B44D33" w:rsidRPr="00925344">
        <w:rPr>
          <w:color w:val="auto"/>
        </w:rPr>
        <w:t xml:space="preserve"> references the notions of both ‘force’ and ‘armed attack’ in the same breath without apparently distinguishing them, and the chapter’s </w:t>
      </w:r>
      <w:r w:rsidR="00FD5FB6" w:rsidRPr="00925344">
        <w:rPr>
          <w:color w:val="auto"/>
        </w:rPr>
        <w:t>discussion</w:t>
      </w:r>
      <w:r w:rsidR="00B44D33" w:rsidRPr="00925344">
        <w:rPr>
          <w:color w:val="auto"/>
        </w:rPr>
        <w:t xml:space="preserve"> of the </w:t>
      </w:r>
      <w:r w:rsidR="009E2FC0" w:rsidRPr="00925344">
        <w:rPr>
          <w:color w:val="auto"/>
        </w:rPr>
        <w:t xml:space="preserve">2013 </w:t>
      </w:r>
      <w:r w:rsidR="00B44D33" w:rsidRPr="00925344">
        <w:rPr>
          <w:color w:val="auto"/>
        </w:rPr>
        <w:t>Tallinn Manual</w:t>
      </w:r>
      <w:r w:rsidR="00961E05" w:rsidRPr="00925344">
        <w:rPr>
          <w:rStyle w:val="FootnoteReference"/>
          <w:color w:val="auto"/>
        </w:rPr>
        <w:footnoteReference w:id="36"/>
      </w:r>
      <w:r w:rsidR="00B44D33" w:rsidRPr="00925344">
        <w:rPr>
          <w:color w:val="auto"/>
        </w:rPr>
        <w:t xml:space="preserve"> and </w:t>
      </w:r>
      <w:r w:rsidR="00B44D33" w:rsidRPr="00925344">
        <w:rPr>
          <w:i/>
          <w:color w:val="auto"/>
        </w:rPr>
        <w:t>Nicaragua</w:t>
      </w:r>
      <w:r w:rsidR="00B44D33" w:rsidRPr="00925344">
        <w:rPr>
          <w:color w:val="auto"/>
        </w:rPr>
        <w:t xml:space="preserve"> case</w:t>
      </w:r>
      <w:r w:rsidR="0006120E" w:rsidRPr="00925344">
        <w:rPr>
          <w:rStyle w:val="FootnoteReference"/>
          <w:color w:val="auto"/>
        </w:rPr>
        <w:footnoteReference w:id="37"/>
      </w:r>
      <w:r w:rsidR="00B44D33" w:rsidRPr="00925344">
        <w:rPr>
          <w:color w:val="auto"/>
        </w:rPr>
        <w:t xml:space="preserve"> (65) </w:t>
      </w:r>
      <w:r w:rsidR="00A6197E" w:rsidRPr="00925344">
        <w:rPr>
          <w:color w:val="auto"/>
        </w:rPr>
        <w:t xml:space="preserve">similarly </w:t>
      </w:r>
      <w:r w:rsidR="00B44D33" w:rsidRPr="00925344">
        <w:rPr>
          <w:color w:val="auto"/>
        </w:rPr>
        <w:t>seems to amalgamate the concepts of ‘force’ and ‘intervention’.</w:t>
      </w:r>
    </w:p>
    <w:p w:rsidR="00A364D7" w:rsidRPr="00925344" w:rsidRDefault="009E2FC0" w:rsidP="005E3FCC">
      <w:pPr>
        <w:widowControl w:val="0"/>
        <w:autoSpaceDE w:val="0"/>
        <w:autoSpaceDN w:val="0"/>
        <w:adjustRightInd w:val="0"/>
        <w:ind w:firstLine="720"/>
        <w:jc w:val="both"/>
        <w:rPr>
          <w:color w:val="auto"/>
        </w:rPr>
      </w:pPr>
      <w:r w:rsidRPr="00925344">
        <w:rPr>
          <w:color w:val="auto"/>
        </w:rPr>
        <w:t xml:space="preserve">Ultimately, </w:t>
      </w:r>
      <w:proofErr w:type="spellStart"/>
      <w:r w:rsidR="00A364D7" w:rsidRPr="00925344">
        <w:rPr>
          <w:color w:val="auto"/>
        </w:rPr>
        <w:t>Maogoto</w:t>
      </w:r>
      <w:proofErr w:type="spellEnd"/>
      <w:r w:rsidR="00A364D7" w:rsidRPr="00925344">
        <w:rPr>
          <w:color w:val="auto"/>
        </w:rPr>
        <w:t xml:space="preserve"> </w:t>
      </w:r>
      <w:r w:rsidRPr="00925344">
        <w:rPr>
          <w:color w:val="auto"/>
        </w:rPr>
        <w:t xml:space="preserve">reaches the </w:t>
      </w:r>
      <w:r w:rsidR="008C0D9B">
        <w:rPr>
          <w:color w:val="auto"/>
        </w:rPr>
        <w:t>almost</w:t>
      </w:r>
      <w:r w:rsidR="008C0D9B" w:rsidRPr="00925344">
        <w:rPr>
          <w:color w:val="auto"/>
        </w:rPr>
        <w:t xml:space="preserve"> </w:t>
      </w:r>
      <w:r w:rsidRPr="00925344">
        <w:rPr>
          <w:color w:val="auto"/>
        </w:rPr>
        <w:t xml:space="preserve">indisputable (but </w:t>
      </w:r>
      <w:r w:rsidR="00961E05" w:rsidRPr="00925344">
        <w:rPr>
          <w:color w:val="auto"/>
        </w:rPr>
        <w:t xml:space="preserve">relatively </w:t>
      </w:r>
      <w:r w:rsidRPr="00925344">
        <w:rPr>
          <w:color w:val="auto"/>
        </w:rPr>
        <w:t xml:space="preserve">anodyne) conclusion </w:t>
      </w:r>
      <w:r w:rsidR="00924564" w:rsidRPr="00925344">
        <w:rPr>
          <w:color w:val="auto"/>
        </w:rPr>
        <w:t xml:space="preserve">in chapter 4 </w:t>
      </w:r>
      <w:r w:rsidRPr="00925344">
        <w:rPr>
          <w:color w:val="auto"/>
        </w:rPr>
        <w:t>that</w:t>
      </w:r>
      <w:r w:rsidR="00A364D7" w:rsidRPr="00925344">
        <w:rPr>
          <w:color w:val="auto"/>
        </w:rPr>
        <w:t xml:space="preserve"> </w:t>
      </w:r>
      <w:r w:rsidRPr="00925344">
        <w:rPr>
          <w:color w:val="auto"/>
        </w:rPr>
        <w:t>‘</w:t>
      </w:r>
      <w:r w:rsidR="00A364D7" w:rsidRPr="00925344">
        <w:rPr>
          <w:color w:val="auto"/>
        </w:rPr>
        <w:t>injurious physical impact on a State’s CNI would comfortably meet the threshold</w:t>
      </w:r>
      <w:r w:rsidRPr="00925344">
        <w:rPr>
          <w:color w:val="auto"/>
        </w:rPr>
        <w:t xml:space="preserve"> </w:t>
      </w:r>
      <w:r w:rsidRPr="00925344">
        <w:rPr>
          <w:color w:val="auto"/>
        </w:rPr>
        <w:lastRenderedPageBreak/>
        <w:t xml:space="preserve">[for a breach of Article 2(4)]’ </w:t>
      </w:r>
      <w:r w:rsidR="00A364D7" w:rsidRPr="00925344">
        <w:rPr>
          <w:color w:val="auto"/>
        </w:rPr>
        <w:t>(65)</w:t>
      </w:r>
      <w:r w:rsidRPr="00925344">
        <w:rPr>
          <w:color w:val="auto"/>
        </w:rPr>
        <w:t xml:space="preserve">.  However, he essentially </w:t>
      </w:r>
      <w:r w:rsidR="00924564" w:rsidRPr="00925344">
        <w:rPr>
          <w:color w:val="auto"/>
        </w:rPr>
        <w:t>brushes</w:t>
      </w:r>
      <w:r w:rsidRPr="00925344">
        <w:rPr>
          <w:color w:val="auto"/>
        </w:rPr>
        <w:t xml:space="preserve"> </w:t>
      </w:r>
      <w:r w:rsidR="00924564" w:rsidRPr="00925344">
        <w:rPr>
          <w:color w:val="auto"/>
        </w:rPr>
        <w:t xml:space="preserve">aside </w:t>
      </w:r>
      <w:r w:rsidRPr="00925344">
        <w:rPr>
          <w:color w:val="auto"/>
        </w:rPr>
        <w:t xml:space="preserve">the more contentious and important question of whether cyber-attacks </w:t>
      </w:r>
      <w:r w:rsidR="00536EC6">
        <w:rPr>
          <w:color w:val="auto"/>
        </w:rPr>
        <w:t xml:space="preserve">with </w:t>
      </w:r>
      <w:r w:rsidR="00536EC6" w:rsidRPr="00925344">
        <w:rPr>
          <w:i/>
          <w:color w:val="auto"/>
        </w:rPr>
        <w:t>non</w:t>
      </w:r>
      <w:r w:rsidR="00536EC6" w:rsidRPr="00925344">
        <w:rPr>
          <w:color w:val="auto"/>
        </w:rPr>
        <w:t xml:space="preserve">-kinetic </w:t>
      </w:r>
      <w:r w:rsidR="00536EC6">
        <w:rPr>
          <w:color w:val="auto"/>
        </w:rPr>
        <w:t xml:space="preserve">results </w:t>
      </w:r>
      <w:r w:rsidRPr="00925344">
        <w:rPr>
          <w:color w:val="auto"/>
        </w:rPr>
        <w:t xml:space="preserve">can qualify as a use of force (or, for that matter, </w:t>
      </w:r>
      <w:r w:rsidR="00536EC6">
        <w:rPr>
          <w:color w:val="auto"/>
        </w:rPr>
        <w:t xml:space="preserve">as </w:t>
      </w:r>
      <w:r w:rsidRPr="00925344">
        <w:rPr>
          <w:color w:val="auto"/>
        </w:rPr>
        <w:t>an armed attack).  Commentators will</w:t>
      </w:r>
      <w:r w:rsidR="00A364D7" w:rsidRPr="00925344">
        <w:rPr>
          <w:color w:val="auto"/>
        </w:rPr>
        <w:t xml:space="preserve"> be quick to point </w:t>
      </w:r>
      <w:r w:rsidR="00961E05" w:rsidRPr="00925344">
        <w:rPr>
          <w:color w:val="auto"/>
        </w:rPr>
        <w:t>out that a cyber-attack that, for example, ‘corrupts data on a stock exchange and which in turn causes widespread economic harm but no direct physical damage’</w:t>
      </w:r>
      <w:r w:rsidR="00961E05" w:rsidRPr="00925344">
        <w:rPr>
          <w:rStyle w:val="FootnoteReference"/>
          <w:color w:val="auto"/>
        </w:rPr>
        <w:footnoteReference w:id="38"/>
      </w:r>
      <w:r w:rsidR="00961E05" w:rsidRPr="00925344">
        <w:rPr>
          <w:color w:val="auto"/>
        </w:rPr>
        <w:t xml:space="preserve"> could have disastrous effect</w:t>
      </w:r>
      <w:r w:rsidR="000A1629" w:rsidRPr="00925344">
        <w:rPr>
          <w:color w:val="auto"/>
        </w:rPr>
        <w:t>s</w:t>
      </w:r>
      <w:r w:rsidR="00961E05" w:rsidRPr="00925344">
        <w:rPr>
          <w:color w:val="auto"/>
        </w:rPr>
        <w:t>.</w:t>
      </w:r>
      <w:r w:rsidR="00961E05" w:rsidRPr="00925344">
        <w:rPr>
          <w:rStyle w:val="FootnoteReference"/>
          <w:color w:val="auto"/>
        </w:rPr>
        <w:footnoteReference w:id="39"/>
      </w:r>
      <w:r w:rsidR="00961E05" w:rsidRPr="00925344">
        <w:rPr>
          <w:color w:val="auto"/>
        </w:rPr>
        <w:t xml:space="preserve">  It is precisely such attacks</w:t>
      </w:r>
      <w:r w:rsidR="00BD4029" w:rsidRPr="00925344">
        <w:rPr>
          <w:color w:val="auto"/>
        </w:rPr>
        <w:t>—</w:t>
      </w:r>
      <w:r w:rsidR="00961E05" w:rsidRPr="00925344">
        <w:rPr>
          <w:color w:val="auto"/>
        </w:rPr>
        <w:t xml:space="preserve">that result in </w:t>
      </w:r>
      <w:r w:rsidR="00BD4029" w:rsidRPr="00925344">
        <w:rPr>
          <w:color w:val="auto"/>
        </w:rPr>
        <w:t>significant</w:t>
      </w:r>
      <w:r w:rsidR="00961E05" w:rsidRPr="00925344">
        <w:rPr>
          <w:color w:val="auto"/>
        </w:rPr>
        <w:t xml:space="preserve"> but ‘non-corporal’ damage</w:t>
      </w:r>
      <w:r w:rsidR="00BD4029" w:rsidRPr="00925344">
        <w:rPr>
          <w:color w:val="auto"/>
        </w:rPr>
        <w:t>—</w:t>
      </w:r>
      <w:r w:rsidR="00961E05" w:rsidRPr="00925344">
        <w:rPr>
          <w:color w:val="auto"/>
        </w:rPr>
        <w:t xml:space="preserve"> </w:t>
      </w:r>
      <w:r w:rsidR="00BD4029" w:rsidRPr="00925344">
        <w:rPr>
          <w:color w:val="auto"/>
        </w:rPr>
        <w:t>with which</w:t>
      </w:r>
      <w:r w:rsidR="00961E05" w:rsidRPr="00925344">
        <w:rPr>
          <w:color w:val="auto"/>
        </w:rPr>
        <w:t xml:space="preserve"> traditional conceptions of the</w:t>
      </w:r>
      <w:r w:rsidR="00961E05" w:rsidRPr="00925344">
        <w:rPr>
          <w:i/>
          <w:color w:val="auto"/>
        </w:rPr>
        <w:t xml:space="preserve"> jus ad bellum </w:t>
      </w:r>
      <w:r w:rsidR="00BD4029" w:rsidRPr="00925344">
        <w:rPr>
          <w:color w:val="auto"/>
        </w:rPr>
        <w:t>struggle</w:t>
      </w:r>
      <w:r w:rsidR="00A364D7" w:rsidRPr="00925344">
        <w:rPr>
          <w:color w:val="auto"/>
        </w:rPr>
        <w:t>.</w:t>
      </w:r>
      <w:r w:rsidR="00BD4029" w:rsidRPr="00925344">
        <w:rPr>
          <w:color w:val="auto"/>
        </w:rPr>
        <w:t xml:space="preserve">  This </w:t>
      </w:r>
      <w:r w:rsidR="00A6197E" w:rsidRPr="00925344">
        <w:rPr>
          <w:color w:val="auto"/>
        </w:rPr>
        <w:t>categorisation problem</w:t>
      </w:r>
      <w:r w:rsidR="00BD4029" w:rsidRPr="00925344">
        <w:rPr>
          <w:color w:val="auto"/>
        </w:rPr>
        <w:t xml:space="preserve"> is </w:t>
      </w:r>
      <w:r w:rsidR="00B446D3" w:rsidRPr="00925344">
        <w:rPr>
          <w:color w:val="auto"/>
        </w:rPr>
        <w:t xml:space="preserve">admittedly raised in the book (particularly at 60-2), but it is </w:t>
      </w:r>
      <w:r w:rsidR="000A1629" w:rsidRPr="00925344">
        <w:rPr>
          <w:color w:val="auto"/>
        </w:rPr>
        <w:t>largely</w:t>
      </w:r>
      <w:r w:rsidRPr="00925344">
        <w:rPr>
          <w:color w:val="auto"/>
        </w:rPr>
        <w:t xml:space="preserve"> sidestepped.</w:t>
      </w:r>
    </w:p>
    <w:p w:rsidR="005E67A7" w:rsidRPr="00925344" w:rsidRDefault="005E67A7" w:rsidP="005E3FCC">
      <w:pPr>
        <w:widowControl w:val="0"/>
        <w:autoSpaceDE w:val="0"/>
        <w:autoSpaceDN w:val="0"/>
        <w:adjustRightInd w:val="0"/>
        <w:ind w:firstLine="720"/>
        <w:jc w:val="both"/>
        <w:rPr>
          <w:color w:val="auto"/>
        </w:rPr>
      </w:pPr>
      <w:r w:rsidRPr="00925344">
        <w:rPr>
          <w:color w:val="auto"/>
        </w:rPr>
        <w:t xml:space="preserve">Even more significant is the chapter’s failure to engage with the question of attribution/state responsibility.  Much of the difficulty with applying the </w:t>
      </w:r>
      <w:r w:rsidRPr="00925344">
        <w:rPr>
          <w:i/>
          <w:color w:val="auto"/>
        </w:rPr>
        <w:t>jus ad bellum</w:t>
      </w:r>
      <w:r w:rsidRPr="00925344">
        <w:rPr>
          <w:color w:val="auto"/>
        </w:rPr>
        <w:t xml:space="preserve"> to cyber-attacks </w:t>
      </w:r>
      <w:r w:rsidR="008C0D9B">
        <w:rPr>
          <w:color w:val="auto"/>
        </w:rPr>
        <w:t>concerns</w:t>
      </w:r>
      <w:r w:rsidRPr="00925344">
        <w:rPr>
          <w:color w:val="auto"/>
        </w:rPr>
        <w:t xml:space="preserve"> attribution (notably, because using proxy </w:t>
      </w:r>
      <w:r w:rsidR="00536EC6">
        <w:rPr>
          <w:color w:val="auto"/>
        </w:rPr>
        <w:t>servers</w:t>
      </w:r>
      <w:r w:rsidR="00536EC6" w:rsidRPr="00925344">
        <w:rPr>
          <w:color w:val="auto"/>
        </w:rPr>
        <w:t xml:space="preserve"> </w:t>
      </w:r>
      <w:r w:rsidRPr="00925344">
        <w:rPr>
          <w:color w:val="auto"/>
        </w:rPr>
        <w:t>to hide the original IP address can comparatively easily mask the author of a cyber-attack).</w:t>
      </w:r>
      <w:r w:rsidR="000C4BBB" w:rsidRPr="00925344">
        <w:rPr>
          <w:rStyle w:val="FootnoteReference"/>
          <w:color w:val="auto"/>
        </w:rPr>
        <w:footnoteReference w:id="40"/>
      </w:r>
      <w:r w:rsidRPr="00925344">
        <w:rPr>
          <w:color w:val="auto"/>
        </w:rPr>
        <w:t xml:space="preserve">  This crucial issue—which, </w:t>
      </w:r>
      <w:r w:rsidR="00A6197E" w:rsidRPr="00925344">
        <w:rPr>
          <w:color w:val="auto"/>
        </w:rPr>
        <w:t xml:space="preserve">perhaps </w:t>
      </w:r>
      <w:r w:rsidRPr="00925344">
        <w:rPr>
          <w:color w:val="auto"/>
        </w:rPr>
        <w:t xml:space="preserve">more than any other factor, makes the application of the </w:t>
      </w:r>
      <w:r w:rsidRPr="00925344">
        <w:rPr>
          <w:i/>
          <w:color w:val="auto"/>
        </w:rPr>
        <w:t>jus ad bellum</w:t>
      </w:r>
      <w:r w:rsidRPr="00925344">
        <w:rPr>
          <w:color w:val="auto"/>
        </w:rPr>
        <w:t xml:space="preserve"> to cyberspace problematic—is </w:t>
      </w:r>
      <w:r w:rsidR="00B446D3" w:rsidRPr="00925344">
        <w:rPr>
          <w:color w:val="auto"/>
        </w:rPr>
        <w:t xml:space="preserve">briefly alluded to </w:t>
      </w:r>
      <w:r w:rsidRPr="00925344">
        <w:rPr>
          <w:color w:val="auto"/>
        </w:rPr>
        <w:t xml:space="preserve">by </w:t>
      </w:r>
      <w:proofErr w:type="spellStart"/>
      <w:r w:rsidRPr="00925344">
        <w:rPr>
          <w:color w:val="auto"/>
        </w:rPr>
        <w:t>Maogoto</w:t>
      </w:r>
      <w:proofErr w:type="spellEnd"/>
      <w:r w:rsidR="00B446D3" w:rsidRPr="00925344">
        <w:rPr>
          <w:color w:val="auto"/>
        </w:rPr>
        <w:t xml:space="preserve"> (for example, at 85)</w:t>
      </w:r>
      <w:r w:rsidRPr="00925344">
        <w:rPr>
          <w:color w:val="auto"/>
        </w:rPr>
        <w:t xml:space="preserve"> but is not explored.</w:t>
      </w:r>
      <w:r w:rsidR="000C4BBB" w:rsidRPr="00925344">
        <w:rPr>
          <w:rStyle w:val="FootnoteReference"/>
          <w:color w:val="auto"/>
        </w:rPr>
        <w:footnoteReference w:id="41"/>
      </w:r>
      <w:r w:rsidRPr="00925344">
        <w:rPr>
          <w:color w:val="auto"/>
        </w:rPr>
        <w:t xml:space="preserve">  </w:t>
      </w:r>
    </w:p>
    <w:p w:rsidR="004E02A9" w:rsidRDefault="00830AE0" w:rsidP="005E3FCC">
      <w:pPr>
        <w:ind w:firstLine="720"/>
        <w:jc w:val="both"/>
        <w:rPr>
          <w:color w:val="auto"/>
        </w:rPr>
      </w:pPr>
      <w:r w:rsidRPr="00925344">
        <w:rPr>
          <w:color w:val="auto"/>
        </w:rPr>
        <w:t>Chapter 5, alongside chapter 3, is one of the mo</w:t>
      </w:r>
      <w:r w:rsidR="005E67A7" w:rsidRPr="00925344">
        <w:rPr>
          <w:color w:val="auto"/>
        </w:rPr>
        <w:t>re</w:t>
      </w:r>
      <w:r w:rsidRPr="00925344">
        <w:rPr>
          <w:color w:val="auto"/>
        </w:rPr>
        <w:t xml:space="preserve"> interesting </w:t>
      </w:r>
      <w:r w:rsidR="005E67A7" w:rsidRPr="00925344">
        <w:rPr>
          <w:color w:val="auto"/>
        </w:rPr>
        <w:t>in the book.  I</w:t>
      </w:r>
      <w:r w:rsidRPr="00925344">
        <w:rPr>
          <w:color w:val="auto"/>
        </w:rPr>
        <w:t>t provides the reader with a conceptual re-thinking of the existing parameters/framework</w:t>
      </w:r>
      <w:r w:rsidR="005E67A7" w:rsidRPr="00925344">
        <w:rPr>
          <w:color w:val="auto"/>
        </w:rPr>
        <w:t xml:space="preserve"> previously discussed</w:t>
      </w:r>
      <w:r w:rsidRPr="00925344">
        <w:rPr>
          <w:color w:val="auto"/>
        </w:rPr>
        <w:t xml:space="preserve">.  While such exercises are, of course, necessarily more theoretical than practical, they can nonetheless provide valuable insight in terms of </w:t>
      </w:r>
      <w:r w:rsidR="00536EC6">
        <w:rPr>
          <w:color w:val="auto"/>
        </w:rPr>
        <w:t xml:space="preserve">conceptualising </w:t>
      </w:r>
      <w:r w:rsidRPr="00925344">
        <w:rPr>
          <w:i/>
          <w:iCs/>
          <w:color w:val="auto"/>
        </w:rPr>
        <w:t xml:space="preserve">de </w:t>
      </w:r>
      <w:proofErr w:type="spellStart"/>
      <w:r w:rsidRPr="00925344">
        <w:rPr>
          <w:i/>
          <w:iCs/>
          <w:color w:val="auto"/>
        </w:rPr>
        <w:t>lege</w:t>
      </w:r>
      <w:proofErr w:type="spellEnd"/>
      <w:r w:rsidRPr="00925344">
        <w:rPr>
          <w:i/>
          <w:iCs/>
          <w:color w:val="auto"/>
        </w:rPr>
        <w:t xml:space="preserve"> </w:t>
      </w:r>
      <w:proofErr w:type="spellStart"/>
      <w:r w:rsidRPr="00925344">
        <w:rPr>
          <w:i/>
          <w:iCs/>
          <w:color w:val="auto"/>
        </w:rPr>
        <w:t>ferenda</w:t>
      </w:r>
      <w:proofErr w:type="spellEnd"/>
      <w:r w:rsidRPr="00925344">
        <w:rPr>
          <w:color w:val="auto"/>
        </w:rPr>
        <w:t xml:space="preserve">.  </w:t>
      </w:r>
      <w:proofErr w:type="spellStart"/>
      <w:r w:rsidR="00EB35BD" w:rsidRPr="00925344">
        <w:rPr>
          <w:color w:val="auto"/>
        </w:rPr>
        <w:t>Maogoto’s</w:t>
      </w:r>
      <w:proofErr w:type="spellEnd"/>
      <w:r w:rsidR="00EB35BD" w:rsidRPr="00925344">
        <w:rPr>
          <w:color w:val="auto"/>
        </w:rPr>
        <w:t xml:space="preserve"> attempt </w:t>
      </w:r>
      <w:r w:rsidR="005E67A7" w:rsidRPr="00925344">
        <w:rPr>
          <w:color w:val="auto"/>
        </w:rPr>
        <w:t xml:space="preserve">in </w:t>
      </w:r>
      <w:r w:rsidRPr="00925344">
        <w:rPr>
          <w:color w:val="auto"/>
        </w:rPr>
        <w:t>chapter</w:t>
      </w:r>
      <w:r w:rsidR="005E67A7" w:rsidRPr="00925344">
        <w:rPr>
          <w:color w:val="auto"/>
        </w:rPr>
        <w:t xml:space="preserve"> 5</w:t>
      </w:r>
      <w:r w:rsidRPr="00925344">
        <w:rPr>
          <w:color w:val="auto"/>
        </w:rPr>
        <w:t xml:space="preserve"> </w:t>
      </w:r>
      <w:r w:rsidR="00EB35BD" w:rsidRPr="00925344">
        <w:rPr>
          <w:color w:val="auto"/>
        </w:rPr>
        <w:t xml:space="preserve">to provide </w:t>
      </w:r>
      <w:r w:rsidR="009E2FC0" w:rsidRPr="00925344">
        <w:rPr>
          <w:color w:val="auto"/>
        </w:rPr>
        <w:t>‘</w:t>
      </w:r>
      <w:r w:rsidR="00EB35BD" w:rsidRPr="00925344">
        <w:rPr>
          <w:color w:val="auto"/>
        </w:rPr>
        <w:t>solutions</w:t>
      </w:r>
      <w:r w:rsidR="009E2FC0" w:rsidRPr="00925344">
        <w:rPr>
          <w:color w:val="auto"/>
        </w:rPr>
        <w:t>’</w:t>
      </w:r>
      <w:r w:rsidR="00EB35BD" w:rsidRPr="00925344">
        <w:rPr>
          <w:color w:val="auto"/>
        </w:rPr>
        <w:t xml:space="preserve"> </w:t>
      </w:r>
      <w:r w:rsidR="00924564" w:rsidRPr="00925344">
        <w:rPr>
          <w:color w:val="auto"/>
        </w:rPr>
        <w:t xml:space="preserve">to the problems </w:t>
      </w:r>
      <w:r w:rsidRPr="00925344">
        <w:rPr>
          <w:color w:val="auto"/>
        </w:rPr>
        <w:t xml:space="preserve">that </w:t>
      </w:r>
      <w:r w:rsidR="00924564" w:rsidRPr="00925344">
        <w:rPr>
          <w:color w:val="auto"/>
        </w:rPr>
        <w:t xml:space="preserve">he </w:t>
      </w:r>
      <w:r w:rsidR="005E67A7" w:rsidRPr="00925344">
        <w:rPr>
          <w:color w:val="auto"/>
        </w:rPr>
        <w:t>has earlier</w:t>
      </w:r>
      <w:r w:rsidR="00924564" w:rsidRPr="00925344">
        <w:rPr>
          <w:color w:val="auto"/>
        </w:rPr>
        <w:t xml:space="preserve"> identifie</w:t>
      </w:r>
      <w:r w:rsidR="005E67A7" w:rsidRPr="00925344">
        <w:rPr>
          <w:color w:val="auto"/>
        </w:rPr>
        <w:t>d</w:t>
      </w:r>
      <w:r w:rsidR="00924564" w:rsidRPr="00925344">
        <w:rPr>
          <w:color w:val="auto"/>
        </w:rPr>
        <w:t xml:space="preserve"> </w:t>
      </w:r>
      <w:r w:rsidR="00A6197E" w:rsidRPr="00925344">
        <w:rPr>
          <w:color w:val="auto"/>
        </w:rPr>
        <w:t xml:space="preserve">certainly </w:t>
      </w:r>
      <w:r w:rsidRPr="00925344">
        <w:rPr>
          <w:color w:val="auto"/>
        </w:rPr>
        <w:t xml:space="preserve">has some </w:t>
      </w:r>
      <w:r w:rsidR="004E02A9">
        <w:rPr>
          <w:color w:val="auto"/>
        </w:rPr>
        <w:t>thought-provoking</w:t>
      </w:r>
      <w:r w:rsidR="004E02A9" w:rsidRPr="00925344">
        <w:rPr>
          <w:color w:val="auto"/>
        </w:rPr>
        <w:t xml:space="preserve"> </w:t>
      </w:r>
      <w:r w:rsidR="00044CFF" w:rsidRPr="00925344">
        <w:rPr>
          <w:color w:val="auto"/>
        </w:rPr>
        <w:t>elements.  For example, his</w:t>
      </w:r>
      <w:r w:rsidRPr="00925344">
        <w:rPr>
          <w:color w:val="auto"/>
        </w:rPr>
        <w:t xml:space="preserve"> consideration</w:t>
      </w:r>
      <w:r w:rsidR="00044CFF" w:rsidRPr="00925344">
        <w:rPr>
          <w:color w:val="auto"/>
        </w:rPr>
        <w:t xml:space="preserve">, </w:t>
      </w:r>
      <w:r w:rsidR="005E67A7" w:rsidRPr="00925344">
        <w:rPr>
          <w:color w:val="auto"/>
        </w:rPr>
        <w:t>rooted in environmental law</w:t>
      </w:r>
      <w:r w:rsidR="00044CFF" w:rsidRPr="00925344">
        <w:rPr>
          <w:color w:val="auto"/>
        </w:rPr>
        <w:t xml:space="preserve">, </w:t>
      </w:r>
      <w:r w:rsidRPr="00925344">
        <w:rPr>
          <w:color w:val="auto"/>
        </w:rPr>
        <w:t>of outer space as a finite natural resource (</w:t>
      </w:r>
      <w:r w:rsidR="00044CFF" w:rsidRPr="00925344">
        <w:rPr>
          <w:color w:val="auto"/>
        </w:rPr>
        <w:t xml:space="preserve">79-82) </w:t>
      </w:r>
      <w:r w:rsidRPr="00925344">
        <w:rPr>
          <w:color w:val="auto"/>
        </w:rPr>
        <w:t xml:space="preserve">makes an important </w:t>
      </w:r>
      <w:r w:rsidR="00536EC6">
        <w:rPr>
          <w:color w:val="auto"/>
        </w:rPr>
        <w:t>(</w:t>
      </w:r>
      <w:r w:rsidRPr="00925344">
        <w:rPr>
          <w:color w:val="auto"/>
        </w:rPr>
        <w:t xml:space="preserve">if </w:t>
      </w:r>
      <w:r w:rsidR="000A1629" w:rsidRPr="00925344">
        <w:rPr>
          <w:color w:val="auto"/>
        </w:rPr>
        <w:t>frustratingly</w:t>
      </w:r>
      <w:r w:rsidRPr="00925344">
        <w:rPr>
          <w:color w:val="auto"/>
        </w:rPr>
        <w:t xml:space="preserve"> brief</w:t>
      </w:r>
      <w:r w:rsidR="00536EC6">
        <w:rPr>
          <w:color w:val="auto"/>
        </w:rPr>
        <w:t xml:space="preserve">) </w:t>
      </w:r>
      <w:r w:rsidRPr="00925344">
        <w:rPr>
          <w:color w:val="auto"/>
        </w:rPr>
        <w:t xml:space="preserve">contribution to the wider </w:t>
      </w:r>
      <w:r w:rsidR="004E02A9">
        <w:rPr>
          <w:color w:val="auto"/>
        </w:rPr>
        <w:t>topic</w:t>
      </w:r>
      <w:r w:rsidR="004E02A9" w:rsidRPr="00925344">
        <w:rPr>
          <w:color w:val="auto"/>
        </w:rPr>
        <w:t xml:space="preserve"> </w:t>
      </w:r>
      <w:r w:rsidRPr="00925344">
        <w:rPr>
          <w:color w:val="auto"/>
        </w:rPr>
        <w:t xml:space="preserve">of </w:t>
      </w:r>
      <w:r w:rsidR="005E67A7" w:rsidRPr="00925344">
        <w:rPr>
          <w:color w:val="auto"/>
        </w:rPr>
        <w:t xml:space="preserve">the legal implications of the </w:t>
      </w:r>
      <w:proofErr w:type="spellStart"/>
      <w:r w:rsidRPr="00925344">
        <w:rPr>
          <w:color w:val="auto"/>
        </w:rPr>
        <w:t>weaponisation</w:t>
      </w:r>
      <w:proofErr w:type="spellEnd"/>
      <w:r w:rsidR="005E67A7" w:rsidRPr="00925344">
        <w:rPr>
          <w:color w:val="auto"/>
        </w:rPr>
        <w:t xml:space="preserve"> of space</w:t>
      </w:r>
      <w:r w:rsidR="00924564" w:rsidRPr="00925344">
        <w:rPr>
          <w:color w:val="auto"/>
        </w:rPr>
        <w:t>.</w:t>
      </w:r>
      <w:r w:rsidR="000A1629" w:rsidRPr="00925344">
        <w:rPr>
          <w:color w:val="auto"/>
        </w:rPr>
        <w:t xml:space="preserve">  </w:t>
      </w:r>
    </w:p>
    <w:p w:rsidR="00533CA4" w:rsidRPr="00925344" w:rsidRDefault="004E02A9" w:rsidP="005E3FCC">
      <w:pPr>
        <w:ind w:firstLine="720"/>
        <w:jc w:val="both"/>
        <w:rPr>
          <w:color w:val="auto"/>
        </w:rPr>
      </w:pPr>
      <w:r>
        <w:rPr>
          <w:color w:val="auto"/>
        </w:rPr>
        <w:t>A</w:t>
      </w:r>
      <w:r w:rsidR="00044CFF" w:rsidRPr="00925344">
        <w:rPr>
          <w:color w:val="auto"/>
        </w:rPr>
        <w:t>s a whole</w:t>
      </w:r>
      <w:r>
        <w:rPr>
          <w:color w:val="auto"/>
        </w:rPr>
        <w:t>, Chapter 5</w:t>
      </w:r>
      <w:r w:rsidR="00044CFF" w:rsidRPr="00925344">
        <w:rPr>
          <w:color w:val="auto"/>
        </w:rPr>
        <w:t xml:space="preserve"> </w:t>
      </w:r>
      <w:r w:rsidR="00830AE0" w:rsidRPr="00925344">
        <w:rPr>
          <w:color w:val="auto"/>
        </w:rPr>
        <w:t>is notably more analytical than the rest of the book.  Having said this,</w:t>
      </w:r>
      <w:r w:rsidR="005E67A7" w:rsidRPr="00925344">
        <w:rPr>
          <w:color w:val="auto"/>
        </w:rPr>
        <w:t xml:space="preserve"> the chapter, </w:t>
      </w:r>
      <w:r w:rsidR="00830AE0" w:rsidRPr="00925344">
        <w:rPr>
          <w:color w:val="auto"/>
        </w:rPr>
        <w:t>again</w:t>
      </w:r>
      <w:r w:rsidR="005E67A7" w:rsidRPr="00925344">
        <w:rPr>
          <w:color w:val="auto"/>
        </w:rPr>
        <w:t>, ultimately</w:t>
      </w:r>
      <w:r w:rsidR="00EB35BD" w:rsidRPr="00925344">
        <w:rPr>
          <w:color w:val="auto"/>
        </w:rPr>
        <w:t xml:space="preserve"> raises more questions than it answers.</w:t>
      </w:r>
      <w:r w:rsidR="00830AE0" w:rsidRPr="00925344">
        <w:rPr>
          <w:color w:val="auto"/>
        </w:rPr>
        <w:t xml:space="preserve">  </w:t>
      </w:r>
      <w:r w:rsidR="000779BC" w:rsidRPr="00925344">
        <w:rPr>
          <w:color w:val="auto"/>
        </w:rPr>
        <w:t>W</w:t>
      </w:r>
      <w:r w:rsidR="00533CA4" w:rsidRPr="00925344">
        <w:rPr>
          <w:color w:val="auto"/>
        </w:rPr>
        <w:t xml:space="preserve">hile it is not necessarily an </w:t>
      </w:r>
      <w:r w:rsidR="00536EC6">
        <w:rPr>
          <w:color w:val="auto"/>
        </w:rPr>
        <w:t>academic</w:t>
      </w:r>
      <w:r w:rsidR="00536EC6" w:rsidRPr="00925344">
        <w:rPr>
          <w:color w:val="auto"/>
        </w:rPr>
        <w:t xml:space="preserve">’s </w:t>
      </w:r>
      <w:r w:rsidR="00533CA4" w:rsidRPr="00925344">
        <w:rPr>
          <w:color w:val="auto"/>
        </w:rPr>
        <w:t xml:space="preserve">job to answer </w:t>
      </w:r>
      <w:r w:rsidR="000779BC" w:rsidRPr="00925344">
        <w:rPr>
          <w:color w:val="auto"/>
        </w:rPr>
        <w:t xml:space="preserve">all of </w:t>
      </w:r>
      <w:r w:rsidR="00533CA4" w:rsidRPr="00925344">
        <w:rPr>
          <w:color w:val="auto"/>
        </w:rPr>
        <w:t xml:space="preserve">their own rhetorical questions, </w:t>
      </w:r>
      <w:r w:rsidR="005E67A7" w:rsidRPr="00925344">
        <w:rPr>
          <w:color w:val="auto"/>
        </w:rPr>
        <w:t>the chapter</w:t>
      </w:r>
      <w:r w:rsidR="00533CA4" w:rsidRPr="00925344">
        <w:rPr>
          <w:color w:val="auto"/>
        </w:rPr>
        <w:t xml:space="preserve"> does not offer the solutions that the reader craves</w:t>
      </w:r>
      <w:r>
        <w:rPr>
          <w:color w:val="auto"/>
        </w:rPr>
        <w:t>, even tentatively</w:t>
      </w:r>
      <w:r w:rsidR="00533CA4" w:rsidRPr="00925344">
        <w:rPr>
          <w:color w:val="auto"/>
        </w:rPr>
        <w:t xml:space="preserve">.  </w:t>
      </w:r>
    </w:p>
    <w:p w:rsidR="00533CA4" w:rsidRPr="00925344" w:rsidRDefault="000A1629" w:rsidP="005E3FCC">
      <w:pPr>
        <w:ind w:firstLine="720"/>
        <w:jc w:val="both"/>
        <w:rPr>
          <w:color w:val="auto"/>
        </w:rPr>
      </w:pPr>
      <w:r w:rsidRPr="00925344">
        <w:rPr>
          <w:color w:val="auto"/>
        </w:rPr>
        <w:t xml:space="preserve">To conclude, </w:t>
      </w:r>
      <w:r w:rsidR="00A6197E" w:rsidRPr="00925344">
        <w:rPr>
          <w:color w:val="auto"/>
        </w:rPr>
        <w:t xml:space="preserve">Jackson </w:t>
      </w:r>
      <w:proofErr w:type="spellStart"/>
      <w:r w:rsidR="00DA2FAE" w:rsidRPr="00925344">
        <w:rPr>
          <w:color w:val="auto"/>
        </w:rPr>
        <w:t>Maogoto</w:t>
      </w:r>
      <w:proofErr w:type="spellEnd"/>
      <w:r w:rsidR="00DA2FAE" w:rsidRPr="00925344">
        <w:rPr>
          <w:color w:val="auto"/>
        </w:rPr>
        <w:t xml:space="preserve"> is to be commended for </w:t>
      </w:r>
      <w:r w:rsidR="00A6197E" w:rsidRPr="00925344">
        <w:rPr>
          <w:color w:val="auto"/>
        </w:rPr>
        <w:t xml:space="preserve">attempting to </w:t>
      </w:r>
      <w:r w:rsidR="00DA2FAE" w:rsidRPr="00925344">
        <w:rPr>
          <w:color w:val="auto"/>
        </w:rPr>
        <w:t>tackl</w:t>
      </w:r>
      <w:r w:rsidR="00A6197E" w:rsidRPr="00925344">
        <w:rPr>
          <w:color w:val="auto"/>
        </w:rPr>
        <w:t>e</w:t>
      </w:r>
      <w:r w:rsidR="00DA2FAE" w:rsidRPr="00925344">
        <w:rPr>
          <w:color w:val="auto"/>
        </w:rPr>
        <w:t xml:space="preserve"> such a complex and broad topic.  </w:t>
      </w:r>
      <w:r w:rsidR="00533CA4" w:rsidRPr="00925344">
        <w:rPr>
          <w:color w:val="auto"/>
        </w:rPr>
        <w:t>However</w:t>
      </w:r>
      <w:r w:rsidR="00DA2FAE" w:rsidRPr="00925344">
        <w:rPr>
          <w:color w:val="auto"/>
        </w:rPr>
        <w:t>, whil</w:t>
      </w:r>
      <w:r w:rsidR="00533CA4" w:rsidRPr="00925344">
        <w:rPr>
          <w:color w:val="auto"/>
        </w:rPr>
        <w:t>e</w:t>
      </w:r>
      <w:r w:rsidR="00DA2FAE" w:rsidRPr="00925344">
        <w:rPr>
          <w:color w:val="auto"/>
        </w:rPr>
        <w:t xml:space="preserve"> the examples provided </w:t>
      </w:r>
      <w:r w:rsidR="000779BC" w:rsidRPr="00925344">
        <w:rPr>
          <w:color w:val="auto"/>
        </w:rPr>
        <w:t xml:space="preserve">in the book </w:t>
      </w:r>
      <w:r w:rsidR="00DA2FAE" w:rsidRPr="00925344">
        <w:rPr>
          <w:color w:val="auto"/>
        </w:rPr>
        <w:t xml:space="preserve">are varied and thought provoking, </w:t>
      </w:r>
      <w:r w:rsidR="000779BC" w:rsidRPr="00925344">
        <w:rPr>
          <w:i/>
          <w:color w:val="auto"/>
        </w:rPr>
        <w:t xml:space="preserve">Technology and the Law on the Use of Force </w:t>
      </w:r>
      <w:r w:rsidRPr="00925344">
        <w:rPr>
          <w:color w:val="auto"/>
        </w:rPr>
        <w:t>has some significant weaknesses.  With respect, it must be said that t</w:t>
      </w:r>
      <w:r w:rsidR="000779BC" w:rsidRPr="00925344">
        <w:rPr>
          <w:color w:val="auto"/>
        </w:rPr>
        <w:t>he book is not especially well-written (</w:t>
      </w:r>
      <w:r w:rsidR="00650935" w:rsidRPr="00925344">
        <w:rPr>
          <w:color w:val="auto"/>
        </w:rPr>
        <w:t xml:space="preserve">for example, </w:t>
      </w:r>
      <w:r w:rsidR="000779BC" w:rsidRPr="00925344">
        <w:rPr>
          <w:color w:val="auto"/>
        </w:rPr>
        <w:t>the oxymoronic notion of ‘boundless boundaries’, at 3, is indicative of some quite poorly chosen phrases).  M</w:t>
      </w:r>
      <w:r w:rsidR="00650935" w:rsidRPr="00925344">
        <w:rPr>
          <w:color w:val="auto"/>
        </w:rPr>
        <w:t>uch m</w:t>
      </w:r>
      <w:r w:rsidR="000779BC" w:rsidRPr="00925344">
        <w:rPr>
          <w:color w:val="auto"/>
        </w:rPr>
        <w:t>ore importantly, it does not do enough to support its core contention that the existing legal framework is necessarily unable to cope with modern technological advances.  The book is short, at fewer than 100 pages (excluding bibliography</w:t>
      </w:r>
      <w:r w:rsidR="00A11ED9" w:rsidRPr="00925344">
        <w:rPr>
          <w:color w:val="auto"/>
        </w:rPr>
        <w:t>)</w:t>
      </w:r>
      <w:r w:rsidR="000779BC" w:rsidRPr="00925344">
        <w:rPr>
          <w:color w:val="auto"/>
        </w:rPr>
        <w:t xml:space="preserve">.  One could be charitable and see </w:t>
      </w:r>
      <w:r w:rsidRPr="00925344">
        <w:rPr>
          <w:color w:val="auto"/>
        </w:rPr>
        <w:t xml:space="preserve">it </w:t>
      </w:r>
      <w:r w:rsidR="000779BC" w:rsidRPr="00925344">
        <w:rPr>
          <w:color w:val="auto"/>
        </w:rPr>
        <w:t xml:space="preserve">as a succinct commentary but—given the scope of the topic with which the book looks to engage, and the lack of </w:t>
      </w:r>
      <w:r w:rsidR="00650935" w:rsidRPr="00925344">
        <w:rPr>
          <w:color w:val="auto"/>
        </w:rPr>
        <w:t>depth</w:t>
      </w:r>
      <w:r w:rsidR="000779BC" w:rsidRPr="00925344">
        <w:rPr>
          <w:color w:val="auto"/>
        </w:rPr>
        <w:t xml:space="preserve"> in which it does so—the </w:t>
      </w:r>
      <w:r w:rsidR="00A11ED9" w:rsidRPr="00925344">
        <w:rPr>
          <w:color w:val="auto"/>
        </w:rPr>
        <w:t xml:space="preserve">unfortunate fact is </w:t>
      </w:r>
      <w:r w:rsidR="000779BC" w:rsidRPr="00925344">
        <w:rPr>
          <w:color w:val="auto"/>
        </w:rPr>
        <w:t>that it is not ‘succinct’, it is lightweight</w:t>
      </w:r>
      <w:r w:rsidR="00533CA4" w:rsidRPr="00925344">
        <w:rPr>
          <w:color w:val="auto"/>
        </w:rPr>
        <w:t>.</w:t>
      </w:r>
      <w:r w:rsidR="00A11ED9" w:rsidRPr="00925344">
        <w:rPr>
          <w:color w:val="auto"/>
        </w:rPr>
        <w:t xml:space="preserve">  </w:t>
      </w:r>
      <w:r w:rsidR="00A11ED9" w:rsidRPr="00925344">
        <w:rPr>
          <w:i/>
          <w:color w:val="auto"/>
        </w:rPr>
        <w:t>Technology and the Law on the Use of Force</w:t>
      </w:r>
      <w:r w:rsidR="00A11ED9" w:rsidRPr="00925344">
        <w:rPr>
          <w:color w:val="auto"/>
        </w:rPr>
        <w:t xml:space="preserve"> </w:t>
      </w:r>
      <w:r w:rsidR="00533CA4" w:rsidRPr="00925344">
        <w:rPr>
          <w:color w:val="auto"/>
        </w:rPr>
        <w:t xml:space="preserve">a notable disappointment, because it feels like a missed opportunity to contribute something really important to the various ongoing debates on technology and the </w:t>
      </w:r>
      <w:r w:rsidR="00533CA4" w:rsidRPr="00925344">
        <w:rPr>
          <w:i/>
          <w:color w:val="auto"/>
        </w:rPr>
        <w:t>jus ad bellum</w:t>
      </w:r>
      <w:r w:rsidR="00533CA4" w:rsidRPr="00925344">
        <w:rPr>
          <w:color w:val="auto"/>
        </w:rPr>
        <w:t xml:space="preserve">.  The </w:t>
      </w:r>
      <w:r w:rsidR="00A11ED9" w:rsidRPr="00925344">
        <w:rPr>
          <w:color w:val="auto"/>
        </w:rPr>
        <w:t xml:space="preserve">undeniably </w:t>
      </w:r>
      <w:r w:rsidR="00533CA4" w:rsidRPr="00925344">
        <w:rPr>
          <w:color w:val="auto"/>
        </w:rPr>
        <w:t>high qua</w:t>
      </w:r>
      <w:r w:rsidR="00650935" w:rsidRPr="00925344">
        <w:rPr>
          <w:color w:val="auto"/>
        </w:rPr>
        <w:t>lity of chapter 3</w:t>
      </w:r>
      <w:r w:rsidR="00533CA4" w:rsidRPr="00925344">
        <w:rPr>
          <w:color w:val="auto"/>
        </w:rPr>
        <w:t xml:space="preserve"> and its analysis of </w:t>
      </w:r>
      <w:r w:rsidR="00A11ED9" w:rsidRPr="00925344">
        <w:rPr>
          <w:color w:val="auto"/>
        </w:rPr>
        <w:t>the s</w:t>
      </w:r>
      <w:r w:rsidR="00533CA4" w:rsidRPr="00925344">
        <w:rPr>
          <w:color w:val="auto"/>
        </w:rPr>
        <w:t>pace law</w:t>
      </w:r>
      <w:r w:rsidR="00A11ED9" w:rsidRPr="00925344">
        <w:rPr>
          <w:color w:val="auto"/>
        </w:rPr>
        <w:t xml:space="preserve"> regime</w:t>
      </w:r>
      <w:r w:rsidR="00533CA4" w:rsidRPr="00925344">
        <w:rPr>
          <w:color w:val="auto"/>
        </w:rPr>
        <w:t xml:space="preserve"> </w:t>
      </w:r>
      <w:r w:rsidR="00A11ED9" w:rsidRPr="00925344">
        <w:rPr>
          <w:color w:val="auto"/>
        </w:rPr>
        <w:t>shows just</w:t>
      </w:r>
      <w:r w:rsidR="00533CA4" w:rsidRPr="00925344">
        <w:rPr>
          <w:color w:val="auto"/>
        </w:rPr>
        <w:t xml:space="preserve"> how good this bo</w:t>
      </w:r>
      <w:r w:rsidR="00CB11DA" w:rsidRPr="00925344">
        <w:rPr>
          <w:color w:val="auto"/>
        </w:rPr>
        <w:t xml:space="preserve">ok could have been, had </w:t>
      </w:r>
      <w:r w:rsidR="00650935" w:rsidRPr="00925344">
        <w:rPr>
          <w:color w:val="auto"/>
        </w:rPr>
        <w:t>the author</w:t>
      </w:r>
      <w:r w:rsidR="00CB11DA" w:rsidRPr="00925344">
        <w:rPr>
          <w:color w:val="auto"/>
        </w:rPr>
        <w:t xml:space="preserve"> </w:t>
      </w:r>
      <w:r w:rsidR="00650935" w:rsidRPr="00925344">
        <w:rPr>
          <w:color w:val="auto"/>
        </w:rPr>
        <w:t>adopted</w:t>
      </w:r>
      <w:r w:rsidR="00CB11DA" w:rsidRPr="00925344">
        <w:rPr>
          <w:color w:val="auto"/>
        </w:rPr>
        <w:t xml:space="preserve"> a more </w:t>
      </w:r>
      <w:r w:rsidR="00650935" w:rsidRPr="00925344">
        <w:rPr>
          <w:color w:val="auto"/>
        </w:rPr>
        <w:t>detailed</w:t>
      </w:r>
      <w:r w:rsidRPr="00925344">
        <w:rPr>
          <w:color w:val="auto"/>
        </w:rPr>
        <w:t xml:space="preserve"> and</w:t>
      </w:r>
      <w:r w:rsidR="00CB11DA" w:rsidRPr="00925344">
        <w:rPr>
          <w:color w:val="auto"/>
        </w:rPr>
        <w:t xml:space="preserve"> analytical approach throughout.</w:t>
      </w:r>
    </w:p>
    <w:p w:rsidR="00533CA4" w:rsidRPr="00925344" w:rsidRDefault="00533CA4" w:rsidP="005E3FCC">
      <w:pPr>
        <w:ind w:firstLine="720"/>
        <w:jc w:val="both"/>
        <w:rPr>
          <w:color w:val="auto"/>
        </w:rPr>
      </w:pPr>
      <w:r w:rsidRPr="00925344">
        <w:rPr>
          <w:color w:val="auto"/>
        </w:rPr>
        <w:lastRenderedPageBreak/>
        <w:t xml:space="preserve">There is definitely </w:t>
      </w:r>
      <w:r w:rsidR="00CB11DA" w:rsidRPr="00925344">
        <w:rPr>
          <w:color w:val="auto"/>
        </w:rPr>
        <w:t xml:space="preserve">scope for </w:t>
      </w:r>
      <w:r w:rsidR="00A11ED9" w:rsidRPr="00925344">
        <w:rPr>
          <w:color w:val="auto"/>
        </w:rPr>
        <w:t xml:space="preserve">a </w:t>
      </w:r>
      <w:r w:rsidR="00CB11DA" w:rsidRPr="00925344">
        <w:rPr>
          <w:color w:val="auto"/>
        </w:rPr>
        <w:t>book providing a</w:t>
      </w:r>
      <w:r w:rsidR="00A11ED9" w:rsidRPr="00925344">
        <w:rPr>
          <w:color w:val="auto"/>
        </w:rPr>
        <w:t xml:space="preserve"> truly</w:t>
      </w:r>
      <w:r w:rsidR="00CB11DA" w:rsidRPr="00925344">
        <w:rPr>
          <w:color w:val="auto"/>
        </w:rPr>
        <w:t xml:space="preserve"> </w:t>
      </w:r>
      <w:r w:rsidR="000A1629" w:rsidRPr="00925344">
        <w:rPr>
          <w:color w:val="auto"/>
        </w:rPr>
        <w:t>rigorous</w:t>
      </w:r>
      <w:r w:rsidR="00CB11DA" w:rsidRPr="00925344">
        <w:rPr>
          <w:color w:val="auto"/>
        </w:rPr>
        <w:t xml:space="preserve"> examination of the</w:t>
      </w:r>
      <w:r w:rsidR="00A11ED9" w:rsidRPr="00925344">
        <w:rPr>
          <w:color w:val="auto"/>
        </w:rPr>
        <w:t xml:space="preserve"> ability </w:t>
      </w:r>
      <w:r w:rsidR="004E02A9">
        <w:rPr>
          <w:color w:val="auto"/>
        </w:rPr>
        <w:t xml:space="preserve">(or inability) </w:t>
      </w:r>
      <w:r w:rsidR="00A11ED9" w:rsidRPr="00925344">
        <w:rPr>
          <w:color w:val="auto"/>
        </w:rPr>
        <w:t>of the</w:t>
      </w:r>
      <w:r w:rsidR="00CB11DA" w:rsidRPr="00925344">
        <w:rPr>
          <w:color w:val="auto"/>
        </w:rPr>
        <w:t xml:space="preserve"> </w:t>
      </w:r>
      <w:r w:rsidR="00CB11DA" w:rsidRPr="00925344">
        <w:rPr>
          <w:i/>
          <w:color w:val="auto"/>
        </w:rPr>
        <w:t>jus ad bellum</w:t>
      </w:r>
      <w:r w:rsidR="00CB11DA" w:rsidRPr="00925344">
        <w:rPr>
          <w:color w:val="auto"/>
        </w:rPr>
        <w:t xml:space="preserve"> to deal with modern technologies in</w:t>
      </w:r>
      <w:r w:rsidR="00A11ED9" w:rsidRPr="00925344">
        <w:rPr>
          <w:color w:val="auto"/>
        </w:rPr>
        <w:t xml:space="preserve"> a</w:t>
      </w:r>
      <w:r w:rsidR="00CB11DA" w:rsidRPr="00925344">
        <w:rPr>
          <w:color w:val="auto"/>
        </w:rPr>
        <w:t xml:space="preserve"> general</w:t>
      </w:r>
      <w:r w:rsidR="00A11ED9" w:rsidRPr="00925344">
        <w:rPr>
          <w:color w:val="auto"/>
        </w:rPr>
        <w:t xml:space="preserve"> sense</w:t>
      </w:r>
      <w:r w:rsidR="00650935" w:rsidRPr="00925344">
        <w:rPr>
          <w:color w:val="auto"/>
        </w:rPr>
        <w:t>.  The literature similarly would benefit from</w:t>
      </w:r>
      <w:r w:rsidR="00CB11DA" w:rsidRPr="00925344">
        <w:rPr>
          <w:color w:val="auto"/>
        </w:rPr>
        <w:t xml:space="preserve"> </w:t>
      </w:r>
      <w:r w:rsidR="00A11ED9" w:rsidRPr="00925344">
        <w:rPr>
          <w:color w:val="auto"/>
        </w:rPr>
        <w:t>a book</w:t>
      </w:r>
      <w:r w:rsidR="00650935" w:rsidRPr="00925344">
        <w:rPr>
          <w:color w:val="auto"/>
        </w:rPr>
        <w:t xml:space="preserve"> that focused</w:t>
      </w:r>
      <w:r w:rsidR="00CB11DA" w:rsidRPr="00925344">
        <w:rPr>
          <w:color w:val="auto"/>
        </w:rPr>
        <w:t xml:space="preserve"> </w:t>
      </w:r>
      <w:r w:rsidR="000A1629" w:rsidRPr="00925344">
        <w:rPr>
          <w:color w:val="auto"/>
        </w:rPr>
        <w:t xml:space="preserve">in depth </w:t>
      </w:r>
      <w:r w:rsidR="00CB11DA" w:rsidRPr="00925344">
        <w:rPr>
          <w:color w:val="auto"/>
        </w:rPr>
        <w:t xml:space="preserve">on the </w:t>
      </w:r>
      <w:r w:rsidR="00565E9F">
        <w:rPr>
          <w:color w:val="auto"/>
        </w:rPr>
        <w:t xml:space="preserve">legal regulation of the </w:t>
      </w:r>
      <w:proofErr w:type="spellStart"/>
      <w:r w:rsidR="00CB11DA" w:rsidRPr="00925344">
        <w:rPr>
          <w:color w:val="auto"/>
        </w:rPr>
        <w:t>weaponisation</w:t>
      </w:r>
      <w:proofErr w:type="spellEnd"/>
      <w:r w:rsidR="00CB11DA" w:rsidRPr="00925344">
        <w:rPr>
          <w:color w:val="auto"/>
        </w:rPr>
        <w:t xml:space="preserve"> of outer space</w:t>
      </w:r>
      <w:r w:rsidR="000A1629" w:rsidRPr="00925344">
        <w:rPr>
          <w:color w:val="auto"/>
        </w:rPr>
        <w:t xml:space="preserve"> in particular</w:t>
      </w:r>
      <w:r w:rsidR="00CB11DA" w:rsidRPr="00925344">
        <w:rPr>
          <w:color w:val="auto"/>
        </w:rPr>
        <w:t xml:space="preserve"> (</w:t>
      </w:r>
      <w:r w:rsidR="00650935" w:rsidRPr="00925344">
        <w:rPr>
          <w:color w:val="auto"/>
        </w:rPr>
        <w:t xml:space="preserve">something </w:t>
      </w:r>
      <w:r w:rsidR="00CB11DA" w:rsidRPr="00925344">
        <w:rPr>
          <w:color w:val="auto"/>
        </w:rPr>
        <w:t xml:space="preserve">which has </w:t>
      </w:r>
      <w:r w:rsidR="004E7309" w:rsidRPr="00925344">
        <w:rPr>
          <w:color w:val="auto"/>
        </w:rPr>
        <w:t>received</w:t>
      </w:r>
      <w:r w:rsidR="00CB11DA" w:rsidRPr="00925344">
        <w:rPr>
          <w:color w:val="auto"/>
        </w:rPr>
        <w:t xml:space="preserve"> comparatively </w:t>
      </w:r>
      <w:r w:rsidR="004E7309" w:rsidRPr="00925344">
        <w:rPr>
          <w:color w:val="auto"/>
        </w:rPr>
        <w:t xml:space="preserve">little </w:t>
      </w:r>
      <w:r w:rsidR="000A1629" w:rsidRPr="00925344">
        <w:rPr>
          <w:color w:val="auto"/>
        </w:rPr>
        <w:t>commentary</w:t>
      </w:r>
      <w:r w:rsidR="00CB11DA" w:rsidRPr="00925344">
        <w:rPr>
          <w:color w:val="auto"/>
        </w:rPr>
        <w:t xml:space="preserve"> the wider literature).</w:t>
      </w:r>
      <w:r w:rsidR="004E02A9">
        <w:rPr>
          <w:rStyle w:val="FootnoteReference"/>
          <w:color w:val="auto"/>
        </w:rPr>
        <w:footnoteReference w:id="42"/>
      </w:r>
      <w:r w:rsidR="00CB11DA" w:rsidRPr="00925344">
        <w:rPr>
          <w:color w:val="auto"/>
        </w:rPr>
        <w:t xml:space="preserve">  Unfortunately, in the view of the present </w:t>
      </w:r>
      <w:r w:rsidR="00650935" w:rsidRPr="00925344">
        <w:rPr>
          <w:color w:val="auto"/>
        </w:rPr>
        <w:t>reviewers</w:t>
      </w:r>
      <w:r w:rsidR="00CB11DA" w:rsidRPr="00925344">
        <w:rPr>
          <w:color w:val="auto"/>
        </w:rPr>
        <w:t>, this book</w:t>
      </w:r>
      <w:r w:rsidR="000A1629" w:rsidRPr="00925344">
        <w:rPr>
          <w:color w:val="auto"/>
        </w:rPr>
        <w:t>—</w:t>
      </w:r>
      <w:r w:rsidR="00CB11DA" w:rsidRPr="00925344">
        <w:rPr>
          <w:color w:val="auto"/>
        </w:rPr>
        <w:t>while it undoubtedly has its merits</w:t>
      </w:r>
      <w:r w:rsidR="000A1629" w:rsidRPr="00925344">
        <w:rPr>
          <w:color w:val="auto"/>
        </w:rPr>
        <w:t>—</w:t>
      </w:r>
      <w:r w:rsidR="00CB11DA" w:rsidRPr="00925344">
        <w:rPr>
          <w:color w:val="auto"/>
        </w:rPr>
        <w:t>does not sufficiently fill either gap.</w:t>
      </w:r>
    </w:p>
    <w:p w:rsidR="00533CA4" w:rsidRPr="00925344" w:rsidRDefault="00533CA4" w:rsidP="005E3FCC">
      <w:pPr>
        <w:ind w:firstLine="720"/>
        <w:jc w:val="both"/>
        <w:rPr>
          <w:color w:val="auto"/>
        </w:rPr>
      </w:pPr>
    </w:p>
    <w:p w:rsidR="00D837C1" w:rsidRPr="00925344" w:rsidRDefault="00D837C1" w:rsidP="005E3FCC">
      <w:pPr>
        <w:ind w:firstLine="720"/>
        <w:jc w:val="both"/>
        <w:rPr>
          <w:rFonts w:eastAsia="Times New Roman"/>
          <w:color w:val="auto"/>
        </w:rPr>
      </w:pPr>
    </w:p>
    <w:p w:rsidR="0058003C" w:rsidRPr="00925344" w:rsidRDefault="0058003C" w:rsidP="005E3FCC">
      <w:pPr>
        <w:ind w:firstLine="720"/>
        <w:jc w:val="right"/>
        <w:rPr>
          <w:color w:val="auto"/>
        </w:rPr>
      </w:pPr>
      <w:r w:rsidRPr="00925344">
        <w:rPr>
          <w:color w:val="auto"/>
        </w:rPr>
        <w:t>Francis Grimal</w:t>
      </w:r>
    </w:p>
    <w:p w:rsidR="0058003C" w:rsidRPr="00925344" w:rsidRDefault="0058003C" w:rsidP="005E3FCC">
      <w:pPr>
        <w:ind w:firstLine="720"/>
        <w:jc w:val="right"/>
        <w:rPr>
          <w:i/>
          <w:color w:val="auto"/>
        </w:rPr>
      </w:pPr>
      <w:r w:rsidRPr="00925344">
        <w:rPr>
          <w:i/>
          <w:color w:val="auto"/>
        </w:rPr>
        <w:t>Book Review Editor</w:t>
      </w:r>
    </w:p>
    <w:p w:rsidR="0058003C" w:rsidRPr="00925344" w:rsidRDefault="0058003C" w:rsidP="005E3FCC">
      <w:pPr>
        <w:ind w:firstLine="720"/>
        <w:jc w:val="right"/>
        <w:rPr>
          <w:i/>
          <w:color w:val="auto"/>
        </w:rPr>
      </w:pPr>
      <w:r w:rsidRPr="00925344">
        <w:rPr>
          <w:i/>
          <w:color w:val="auto"/>
        </w:rPr>
        <w:t>Senior Lecturer in Public International Law, The University of Buckingham</w:t>
      </w:r>
    </w:p>
    <w:p w:rsidR="0058003C" w:rsidRPr="00925344" w:rsidRDefault="0058003C" w:rsidP="005E3FCC">
      <w:pPr>
        <w:ind w:firstLine="720"/>
        <w:jc w:val="right"/>
        <w:rPr>
          <w:i/>
          <w:color w:val="auto"/>
        </w:rPr>
      </w:pPr>
      <w:r w:rsidRPr="00925344">
        <w:rPr>
          <w:i/>
          <w:color w:val="auto"/>
        </w:rPr>
        <w:t>Email:</w:t>
      </w:r>
      <w:r w:rsidRPr="005E6C52">
        <w:rPr>
          <w:i/>
          <w:color w:val="auto"/>
        </w:rPr>
        <w:t xml:space="preserve"> </w:t>
      </w:r>
      <w:r w:rsidRPr="005E6C52">
        <w:rPr>
          <w:rStyle w:val="Hyperlink0"/>
          <w:i/>
          <w:color w:val="auto"/>
          <w:u w:val="none"/>
        </w:rPr>
        <w:t>francis.grimal@buckingham.ac.uk</w:t>
      </w:r>
    </w:p>
    <w:p w:rsidR="00DC6FF6" w:rsidRPr="00925344" w:rsidRDefault="00DC6FF6" w:rsidP="005E3FCC">
      <w:pPr>
        <w:pStyle w:val="BodyA"/>
        <w:jc w:val="right"/>
        <w:rPr>
          <w:rFonts w:ascii="Times New Roman" w:eastAsia="Times New Roman" w:hAnsi="Times New Roman" w:cs="Times New Roman"/>
          <w:color w:val="auto"/>
          <w:sz w:val="24"/>
          <w:szCs w:val="24"/>
          <w:lang w:val="en-GB"/>
        </w:rPr>
      </w:pPr>
    </w:p>
    <w:p w:rsidR="0058003C" w:rsidRPr="00925344" w:rsidRDefault="0058003C" w:rsidP="005E3FCC">
      <w:pPr>
        <w:ind w:firstLine="720"/>
        <w:jc w:val="right"/>
        <w:rPr>
          <w:color w:val="auto"/>
        </w:rPr>
      </w:pPr>
      <w:r w:rsidRPr="00925344">
        <w:rPr>
          <w:color w:val="auto"/>
        </w:rPr>
        <w:t>James A Green</w:t>
      </w:r>
    </w:p>
    <w:p w:rsidR="0058003C" w:rsidRPr="00925344" w:rsidRDefault="0058003C" w:rsidP="005E3FCC">
      <w:pPr>
        <w:ind w:firstLine="720"/>
        <w:jc w:val="right"/>
        <w:rPr>
          <w:i/>
          <w:color w:val="auto"/>
        </w:rPr>
      </w:pPr>
      <w:r w:rsidRPr="00925344">
        <w:rPr>
          <w:i/>
          <w:color w:val="auto"/>
        </w:rPr>
        <w:t>Co-Editor-in-Chief</w:t>
      </w:r>
    </w:p>
    <w:p w:rsidR="0058003C" w:rsidRPr="00925344" w:rsidRDefault="0058003C" w:rsidP="005E3FCC">
      <w:pPr>
        <w:ind w:firstLine="720"/>
        <w:jc w:val="right"/>
        <w:rPr>
          <w:i/>
          <w:color w:val="auto"/>
        </w:rPr>
      </w:pPr>
      <w:r w:rsidRPr="00925344">
        <w:rPr>
          <w:i/>
          <w:color w:val="auto"/>
        </w:rPr>
        <w:t>Professor of Public International Law, University of Reading</w:t>
      </w:r>
    </w:p>
    <w:p w:rsidR="00DC6FF6" w:rsidRPr="005E6C52" w:rsidRDefault="0058003C" w:rsidP="005E3FCC">
      <w:pPr>
        <w:ind w:firstLine="720"/>
        <w:jc w:val="right"/>
        <w:rPr>
          <w:color w:val="auto"/>
        </w:rPr>
      </w:pPr>
      <w:r w:rsidRPr="00925344">
        <w:rPr>
          <w:i/>
          <w:color w:val="auto"/>
        </w:rPr>
        <w:t xml:space="preserve">Email: </w:t>
      </w:r>
      <w:r w:rsidRPr="005E6C52">
        <w:rPr>
          <w:rStyle w:val="Hyperlink0"/>
          <w:i/>
          <w:color w:val="auto"/>
          <w:u w:val="none"/>
        </w:rPr>
        <w:t>j.a.green@reading.ac.uk</w:t>
      </w:r>
    </w:p>
    <w:sectPr w:rsidR="00DC6FF6" w:rsidRPr="005E6C52">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7CA" w:rsidRDefault="00E727CA">
      <w:r>
        <w:separator/>
      </w:r>
    </w:p>
  </w:endnote>
  <w:endnote w:type="continuationSeparator" w:id="0">
    <w:p w:rsidR="00E727CA" w:rsidRDefault="00E7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951082"/>
      <w:docPartObj>
        <w:docPartGallery w:val="Page Numbers (Bottom of Page)"/>
        <w:docPartUnique/>
      </w:docPartObj>
    </w:sdtPr>
    <w:sdtEndPr>
      <w:rPr>
        <w:noProof/>
      </w:rPr>
    </w:sdtEndPr>
    <w:sdtContent>
      <w:p w:rsidR="00A75EF7" w:rsidRDefault="00A75EF7">
        <w:pPr>
          <w:pStyle w:val="Footer"/>
          <w:jc w:val="center"/>
        </w:pPr>
        <w:r>
          <w:fldChar w:fldCharType="begin"/>
        </w:r>
        <w:r>
          <w:instrText xml:space="preserve"> PAGE   \* MERGEFORMAT </w:instrText>
        </w:r>
        <w:r>
          <w:fldChar w:fldCharType="separate"/>
        </w:r>
        <w:r w:rsidR="005E3FCC">
          <w:rPr>
            <w:noProof/>
          </w:rPr>
          <w:t>1</w:t>
        </w:r>
        <w:r>
          <w:rPr>
            <w:noProof/>
          </w:rPr>
          <w:fldChar w:fldCharType="end"/>
        </w:r>
      </w:p>
    </w:sdtContent>
  </w:sdt>
  <w:p w:rsidR="00A75EF7" w:rsidRDefault="00A75E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7CA" w:rsidRDefault="00E727CA">
      <w:r>
        <w:separator/>
      </w:r>
    </w:p>
  </w:footnote>
  <w:footnote w:type="continuationSeparator" w:id="0">
    <w:p w:rsidR="00E727CA" w:rsidRDefault="00E727CA">
      <w:r>
        <w:continuationSeparator/>
      </w:r>
    </w:p>
  </w:footnote>
  <w:footnote w:type="continuationNotice" w:id="1">
    <w:p w:rsidR="00E727CA" w:rsidRDefault="00E727CA"/>
  </w:footnote>
  <w:footnote w:id="2">
    <w:p w:rsidR="00A75EF7" w:rsidRPr="005E3FCC" w:rsidRDefault="00A75EF7" w:rsidP="005E3FCC">
      <w:pPr>
        <w:jc w:val="both"/>
        <w:rPr>
          <w:color w:val="auto"/>
          <w:sz w:val="20"/>
          <w:szCs w:val="20"/>
        </w:rPr>
      </w:pPr>
      <w:r w:rsidRPr="005E3FCC">
        <w:rPr>
          <w:rStyle w:val="FootnoteReference"/>
          <w:color w:val="auto"/>
          <w:sz w:val="20"/>
          <w:szCs w:val="20"/>
        </w:rPr>
        <w:footnoteRef/>
      </w:r>
      <w:r w:rsidRPr="005E3FCC">
        <w:rPr>
          <w:color w:val="auto"/>
          <w:sz w:val="20"/>
          <w:szCs w:val="20"/>
        </w:rPr>
        <w:t xml:space="preserve"> See, for example, James A Green, ‘The Regulation of Cyber Warfare under the </w:t>
      </w:r>
      <w:r w:rsidRPr="005E3FCC">
        <w:rPr>
          <w:i/>
          <w:color w:val="auto"/>
          <w:sz w:val="20"/>
          <w:szCs w:val="20"/>
        </w:rPr>
        <w:t>Jus ad Bellum</w:t>
      </w:r>
      <w:r w:rsidRPr="005E3FCC">
        <w:rPr>
          <w:color w:val="auto"/>
          <w:sz w:val="20"/>
          <w:szCs w:val="20"/>
        </w:rPr>
        <w:t>’ in James A Green (</w:t>
      </w:r>
      <w:proofErr w:type="spellStart"/>
      <w:r w:rsidRPr="005E3FCC">
        <w:rPr>
          <w:color w:val="auto"/>
          <w:sz w:val="20"/>
          <w:szCs w:val="20"/>
        </w:rPr>
        <w:t>ed</w:t>
      </w:r>
      <w:proofErr w:type="spellEnd"/>
      <w:r w:rsidRPr="005E3FCC">
        <w:rPr>
          <w:color w:val="auto"/>
          <w:sz w:val="20"/>
          <w:szCs w:val="20"/>
        </w:rPr>
        <w:t xml:space="preserve">), </w:t>
      </w:r>
      <w:r w:rsidRPr="005E3FCC">
        <w:rPr>
          <w:i/>
          <w:iCs/>
          <w:color w:val="auto"/>
          <w:sz w:val="20"/>
          <w:szCs w:val="20"/>
        </w:rPr>
        <w:t>Cyber Warfare: A Multidisciplinary Analysis</w:t>
      </w:r>
      <w:r w:rsidRPr="005E3FCC">
        <w:rPr>
          <w:color w:val="auto"/>
          <w:sz w:val="20"/>
          <w:szCs w:val="20"/>
        </w:rPr>
        <w:t xml:space="preserve"> (Routledge, 2015), 96; Oona Hathaway, Rebecca </w:t>
      </w:r>
      <w:proofErr w:type="spellStart"/>
      <w:r w:rsidRPr="005E3FCC">
        <w:rPr>
          <w:color w:val="auto"/>
          <w:sz w:val="20"/>
          <w:szCs w:val="20"/>
        </w:rPr>
        <w:t>Crootoof</w:t>
      </w:r>
      <w:proofErr w:type="spellEnd"/>
      <w:r w:rsidRPr="005E3FCC">
        <w:rPr>
          <w:color w:val="auto"/>
          <w:sz w:val="20"/>
          <w:szCs w:val="20"/>
        </w:rPr>
        <w:t xml:space="preserve">, Philip Levitz, Haley Nix, Aileen </w:t>
      </w:r>
      <w:proofErr w:type="spellStart"/>
      <w:r w:rsidRPr="005E3FCC">
        <w:rPr>
          <w:color w:val="auto"/>
          <w:sz w:val="20"/>
          <w:szCs w:val="20"/>
        </w:rPr>
        <w:t>Nowlan</w:t>
      </w:r>
      <w:proofErr w:type="spellEnd"/>
      <w:r w:rsidRPr="005E3FCC">
        <w:rPr>
          <w:color w:val="auto"/>
          <w:sz w:val="20"/>
          <w:szCs w:val="20"/>
        </w:rPr>
        <w:t xml:space="preserve">, William Perdue and Julia Spiegel ‘The Law of Cyber-Attack’ (2012) 100 </w:t>
      </w:r>
      <w:r w:rsidRPr="005E3FCC">
        <w:rPr>
          <w:i/>
          <w:iCs/>
          <w:color w:val="auto"/>
          <w:sz w:val="20"/>
          <w:szCs w:val="20"/>
        </w:rPr>
        <w:t>California Law Review</w:t>
      </w:r>
      <w:r w:rsidRPr="005E3FCC">
        <w:rPr>
          <w:color w:val="auto"/>
          <w:sz w:val="20"/>
          <w:szCs w:val="20"/>
        </w:rPr>
        <w:t xml:space="preserve"> 817; Heather A Harrison </w:t>
      </w:r>
      <w:proofErr w:type="spellStart"/>
      <w:r w:rsidRPr="005E3FCC">
        <w:rPr>
          <w:color w:val="auto"/>
          <w:sz w:val="20"/>
          <w:szCs w:val="20"/>
        </w:rPr>
        <w:t>Dinniss</w:t>
      </w:r>
      <w:proofErr w:type="spellEnd"/>
      <w:r w:rsidRPr="005E3FCC">
        <w:rPr>
          <w:color w:val="auto"/>
          <w:sz w:val="20"/>
          <w:szCs w:val="20"/>
        </w:rPr>
        <w:t xml:space="preserve">, </w:t>
      </w:r>
      <w:r w:rsidRPr="005E3FCC">
        <w:rPr>
          <w:i/>
          <w:color w:val="auto"/>
          <w:sz w:val="20"/>
          <w:szCs w:val="20"/>
        </w:rPr>
        <w:t>Cyber Warfare and the Laws of War</w:t>
      </w:r>
      <w:r w:rsidRPr="005E3FCC">
        <w:rPr>
          <w:color w:val="auto"/>
          <w:sz w:val="20"/>
          <w:szCs w:val="20"/>
        </w:rPr>
        <w:t xml:space="preserve"> (Cambridge University Press, 2012), 37-74; Marco Roscini, </w:t>
      </w:r>
      <w:r w:rsidRPr="005E3FCC">
        <w:rPr>
          <w:i/>
          <w:iCs/>
          <w:color w:val="auto"/>
          <w:sz w:val="20"/>
          <w:szCs w:val="20"/>
        </w:rPr>
        <w:t>Cyber Operations and the Use of Force in International Law</w:t>
      </w:r>
      <w:r w:rsidRPr="005E3FCC">
        <w:rPr>
          <w:color w:val="auto"/>
          <w:sz w:val="20"/>
          <w:szCs w:val="20"/>
        </w:rPr>
        <w:t xml:space="preserve"> (Oxford University Press, 2014); and Matthew C Waxman, ‘Cyber-Attacks and the Use of Force: Back to the Future of Article 2(4)’ (2011) 36 </w:t>
      </w:r>
      <w:r w:rsidRPr="005E3FCC">
        <w:rPr>
          <w:i/>
          <w:iCs/>
          <w:color w:val="auto"/>
          <w:sz w:val="20"/>
          <w:szCs w:val="20"/>
        </w:rPr>
        <w:t>Yale Journal of International Law</w:t>
      </w:r>
      <w:r w:rsidRPr="005E3FCC">
        <w:rPr>
          <w:color w:val="auto"/>
          <w:sz w:val="20"/>
          <w:szCs w:val="20"/>
        </w:rPr>
        <w:t xml:space="preserve"> 421.</w:t>
      </w:r>
    </w:p>
  </w:footnote>
  <w:footnote w:id="3">
    <w:p w:rsidR="00A75EF7" w:rsidRPr="005E3FCC" w:rsidRDefault="00A75EF7" w:rsidP="005E3FCC">
      <w:pPr>
        <w:jc w:val="both"/>
        <w:rPr>
          <w:i/>
          <w:iCs/>
          <w:color w:val="auto"/>
          <w:sz w:val="20"/>
          <w:szCs w:val="20"/>
        </w:rPr>
      </w:pPr>
      <w:r w:rsidRPr="005E3FCC">
        <w:rPr>
          <w:rFonts w:eastAsia="Times New Roman"/>
          <w:color w:val="auto"/>
          <w:sz w:val="20"/>
          <w:szCs w:val="20"/>
          <w:vertAlign w:val="superscript"/>
        </w:rPr>
        <w:footnoteRef/>
      </w:r>
      <w:r w:rsidRPr="005E3FCC">
        <w:rPr>
          <w:color w:val="auto"/>
          <w:sz w:val="20"/>
          <w:szCs w:val="20"/>
        </w:rPr>
        <w:t xml:space="preserve"> See, for example, Marie </w:t>
      </w:r>
      <w:proofErr w:type="spellStart"/>
      <w:r w:rsidRPr="005E3FCC">
        <w:rPr>
          <w:color w:val="auto"/>
          <w:sz w:val="20"/>
          <w:szCs w:val="20"/>
        </w:rPr>
        <w:t>Aronsson</w:t>
      </w:r>
      <w:proofErr w:type="spellEnd"/>
      <w:r w:rsidRPr="005E3FCC">
        <w:rPr>
          <w:color w:val="auto"/>
          <w:sz w:val="20"/>
          <w:szCs w:val="20"/>
        </w:rPr>
        <w:t xml:space="preserve">, ‘Remote Law-Making? American Drone Strikes and the Development of </w:t>
      </w:r>
      <w:r w:rsidRPr="005E3FCC">
        <w:rPr>
          <w:i/>
          <w:color w:val="auto"/>
          <w:sz w:val="20"/>
          <w:szCs w:val="20"/>
        </w:rPr>
        <w:t>Jus ad Bellum</w:t>
      </w:r>
      <w:r w:rsidRPr="005E3FCC">
        <w:rPr>
          <w:color w:val="auto"/>
          <w:sz w:val="20"/>
          <w:szCs w:val="20"/>
        </w:rPr>
        <w:t xml:space="preserve">’ (2014) 1(2) </w:t>
      </w:r>
      <w:r w:rsidRPr="005E3FCC">
        <w:rPr>
          <w:i/>
          <w:color w:val="auto"/>
          <w:sz w:val="20"/>
          <w:szCs w:val="20"/>
        </w:rPr>
        <w:t xml:space="preserve">Journal on the Use of Force and International Law </w:t>
      </w:r>
      <w:r w:rsidRPr="005E3FCC">
        <w:rPr>
          <w:color w:val="auto"/>
          <w:sz w:val="20"/>
          <w:szCs w:val="20"/>
        </w:rPr>
        <w:t xml:space="preserve">273; Robert P Barnidge, Jr, ‘A Qualified </w:t>
      </w:r>
      <w:proofErr w:type="spellStart"/>
      <w:r w:rsidRPr="005E3FCC">
        <w:rPr>
          <w:color w:val="auto"/>
          <w:sz w:val="20"/>
          <w:szCs w:val="20"/>
        </w:rPr>
        <w:t>Defense</w:t>
      </w:r>
      <w:proofErr w:type="spellEnd"/>
      <w:r w:rsidRPr="005E3FCC">
        <w:rPr>
          <w:color w:val="auto"/>
          <w:sz w:val="20"/>
          <w:szCs w:val="20"/>
        </w:rPr>
        <w:t xml:space="preserve"> of American Drone Attacks in Northwest Pakistan under International Humanitarian Law’ (2012) 30 </w:t>
      </w:r>
      <w:r w:rsidRPr="005E3FCC">
        <w:rPr>
          <w:i/>
          <w:iCs/>
          <w:color w:val="auto"/>
          <w:sz w:val="20"/>
          <w:szCs w:val="20"/>
        </w:rPr>
        <w:t>Boston University International Law Journal</w:t>
      </w:r>
      <w:r w:rsidRPr="005E3FCC">
        <w:rPr>
          <w:color w:val="auto"/>
          <w:sz w:val="20"/>
          <w:szCs w:val="20"/>
        </w:rPr>
        <w:t xml:space="preserve"> 409; Susan </w:t>
      </w:r>
      <w:proofErr w:type="spellStart"/>
      <w:r w:rsidRPr="005E3FCC">
        <w:rPr>
          <w:color w:val="auto"/>
          <w:sz w:val="20"/>
          <w:szCs w:val="20"/>
        </w:rPr>
        <w:t>Breau</w:t>
      </w:r>
      <w:proofErr w:type="spellEnd"/>
      <w:r w:rsidRPr="005E3FCC">
        <w:rPr>
          <w:color w:val="auto"/>
          <w:sz w:val="20"/>
          <w:szCs w:val="20"/>
        </w:rPr>
        <w:t xml:space="preserve"> and Marie </w:t>
      </w:r>
      <w:proofErr w:type="spellStart"/>
      <w:r w:rsidRPr="005E3FCC">
        <w:rPr>
          <w:color w:val="auto"/>
          <w:sz w:val="20"/>
          <w:szCs w:val="20"/>
        </w:rPr>
        <w:t>Aronsson</w:t>
      </w:r>
      <w:proofErr w:type="spellEnd"/>
      <w:r w:rsidRPr="005E3FCC">
        <w:rPr>
          <w:color w:val="auto"/>
          <w:sz w:val="20"/>
          <w:szCs w:val="20"/>
        </w:rPr>
        <w:t xml:space="preserve">, ‘Drone Attacks, International Law, and the Recording of Civilian Casualties of Armed Conflict’ (2012) 35 </w:t>
      </w:r>
      <w:r w:rsidRPr="005E3FCC">
        <w:rPr>
          <w:i/>
          <w:iCs/>
          <w:color w:val="auto"/>
          <w:sz w:val="20"/>
          <w:szCs w:val="20"/>
        </w:rPr>
        <w:t>Suffolk University Transnational Law Review</w:t>
      </w:r>
      <w:r w:rsidRPr="005E3FCC">
        <w:rPr>
          <w:color w:val="auto"/>
          <w:sz w:val="20"/>
          <w:szCs w:val="20"/>
        </w:rPr>
        <w:t xml:space="preserve"> 255; Max Byrne, ‘Consent and the Use of Force: An Examination of ‘Intervention by Invitation’ as a Basis for US Drone Strikes in Pakistan, Somalia and Yemen’ (2016) 3(1) </w:t>
      </w:r>
      <w:r w:rsidRPr="005E3FCC">
        <w:rPr>
          <w:i/>
          <w:color w:val="auto"/>
          <w:sz w:val="20"/>
          <w:szCs w:val="20"/>
        </w:rPr>
        <w:t>Journal on the Use of Force and International Law</w:t>
      </w:r>
      <w:r w:rsidRPr="005E3FCC">
        <w:rPr>
          <w:color w:val="auto"/>
          <w:sz w:val="20"/>
          <w:szCs w:val="20"/>
        </w:rPr>
        <w:t xml:space="preserve"> 1 (page number for pre-issue online publication); and </w:t>
      </w:r>
      <w:proofErr w:type="spellStart"/>
      <w:r w:rsidRPr="005E3FCC">
        <w:rPr>
          <w:color w:val="auto"/>
          <w:sz w:val="20"/>
          <w:szCs w:val="20"/>
        </w:rPr>
        <w:t>Sikander</w:t>
      </w:r>
      <w:proofErr w:type="spellEnd"/>
      <w:r w:rsidRPr="005E3FCC">
        <w:rPr>
          <w:color w:val="auto"/>
          <w:sz w:val="20"/>
          <w:szCs w:val="20"/>
        </w:rPr>
        <w:t xml:space="preserve"> Ahmed Shah, </w:t>
      </w:r>
      <w:r w:rsidRPr="005E3FCC">
        <w:rPr>
          <w:i/>
          <w:iCs/>
          <w:color w:val="auto"/>
          <w:sz w:val="20"/>
          <w:szCs w:val="20"/>
        </w:rPr>
        <w:t>International Law and Drone Strikes in Pakistan: The Legal and Socio-Political Aspects</w:t>
      </w:r>
      <w:r w:rsidRPr="005E3FCC">
        <w:rPr>
          <w:color w:val="auto"/>
          <w:sz w:val="20"/>
          <w:szCs w:val="20"/>
        </w:rPr>
        <w:t xml:space="preserve"> (Routledge, 2016).</w:t>
      </w:r>
    </w:p>
  </w:footnote>
  <w:footnote w:id="4">
    <w:p w:rsidR="00A75EF7" w:rsidRPr="005E3FCC" w:rsidRDefault="00A75EF7" w:rsidP="005E3FCC">
      <w:pPr>
        <w:jc w:val="both"/>
        <w:rPr>
          <w:i/>
          <w:color w:val="auto"/>
          <w:sz w:val="20"/>
          <w:szCs w:val="20"/>
        </w:rPr>
      </w:pPr>
      <w:r w:rsidRPr="005E3FCC">
        <w:rPr>
          <w:rStyle w:val="FootnoteReference"/>
          <w:color w:val="auto"/>
          <w:sz w:val="20"/>
          <w:szCs w:val="20"/>
        </w:rPr>
        <w:footnoteRef/>
      </w:r>
      <w:r w:rsidRPr="005E3FCC">
        <w:rPr>
          <w:color w:val="auto"/>
          <w:sz w:val="20"/>
          <w:szCs w:val="20"/>
        </w:rPr>
        <w:t xml:space="preserve"> See Armin Krishna, </w:t>
      </w:r>
      <w:r w:rsidRPr="005E3FCC">
        <w:rPr>
          <w:i/>
          <w:color w:val="auto"/>
          <w:sz w:val="20"/>
          <w:szCs w:val="20"/>
        </w:rPr>
        <w:t xml:space="preserve">Killer Robots: Legality and Ethicality of Autonomous Weapons </w:t>
      </w:r>
      <w:r w:rsidRPr="005E3FCC">
        <w:rPr>
          <w:color w:val="auto"/>
          <w:sz w:val="20"/>
          <w:szCs w:val="20"/>
        </w:rPr>
        <w:t>(</w:t>
      </w:r>
      <w:proofErr w:type="spellStart"/>
      <w:r w:rsidRPr="005E3FCC">
        <w:rPr>
          <w:color w:val="auto"/>
          <w:sz w:val="20"/>
          <w:szCs w:val="20"/>
        </w:rPr>
        <w:t>Ashgate</w:t>
      </w:r>
      <w:proofErr w:type="spellEnd"/>
      <w:r w:rsidRPr="005E3FCC">
        <w:rPr>
          <w:color w:val="auto"/>
          <w:sz w:val="20"/>
          <w:szCs w:val="20"/>
        </w:rPr>
        <w:t>, 2009), particularly at 89-116.</w:t>
      </w:r>
    </w:p>
  </w:footnote>
  <w:footnote w:id="5">
    <w:p w:rsidR="00A75EF7" w:rsidRPr="005E3FCC" w:rsidRDefault="00A75EF7" w:rsidP="005E3FCC">
      <w:pPr>
        <w:jc w:val="both"/>
        <w:rPr>
          <w:color w:val="auto"/>
          <w:sz w:val="20"/>
          <w:szCs w:val="20"/>
        </w:rPr>
      </w:pPr>
      <w:r w:rsidRPr="005E3FCC">
        <w:rPr>
          <w:rStyle w:val="FootnoteReference"/>
          <w:color w:val="auto"/>
          <w:sz w:val="20"/>
          <w:szCs w:val="20"/>
        </w:rPr>
        <w:footnoteRef/>
      </w:r>
      <w:r w:rsidRPr="005E3FCC">
        <w:rPr>
          <w:color w:val="auto"/>
          <w:sz w:val="20"/>
          <w:szCs w:val="20"/>
        </w:rPr>
        <w:t xml:space="preserve"> Having said this, literature on the militarisation of outer space has remained constant since the advent of the space race.  See, for example, Michel </w:t>
      </w:r>
      <w:proofErr w:type="spellStart"/>
      <w:r w:rsidRPr="005E3FCC">
        <w:rPr>
          <w:color w:val="auto"/>
          <w:sz w:val="20"/>
          <w:szCs w:val="20"/>
        </w:rPr>
        <w:t>Bourbonnière</w:t>
      </w:r>
      <w:proofErr w:type="spellEnd"/>
      <w:r w:rsidRPr="005E3FCC">
        <w:rPr>
          <w:color w:val="auto"/>
          <w:sz w:val="20"/>
          <w:szCs w:val="20"/>
        </w:rPr>
        <w:t xml:space="preserve">, ‘Law of Armed Conflict (LOAC) and the Neutralisation of Satellites or </w:t>
      </w:r>
      <w:proofErr w:type="spellStart"/>
      <w:r w:rsidRPr="005E3FCC">
        <w:rPr>
          <w:i/>
          <w:color w:val="auto"/>
          <w:sz w:val="20"/>
          <w:szCs w:val="20"/>
        </w:rPr>
        <w:t>Ius</w:t>
      </w:r>
      <w:proofErr w:type="spellEnd"/>
      <w:r w:rsidRPr="005E3FCC">
        <w:rPr>
          <w:i/>
          <w:color w:val="auto"/>
          <w:sz w:val="20"/>
          <w:szCs w:val="20"/>
        </w:rPr>
        <w:t xml:space="preserve"> in Bello </w:t>
      </w:r>
      <w:proofErr w:type="spellStart"/>
      <w:r w:rsidRPr="005E3FCC">
        <w:rPr>
          <w:i/>
          <w:color w:val="auto"/>
          <w:sz w:val="20"/>
          <w:szCs w:val="20"/>
        </w:rPr>
        <w:t>Satellitis</w:t>
      </w:r>
      <w:proofErr w:type="spellEnd"/>
      <w:r w:rsidRPr="005E3FCC">
        <w:rPr>
          <w:color w:val="auto"/>
          <w:sz w:val="20"/>
          <w:szCs w:val="20"/>
        </w:rPr>
        <w:t xml:space="preserve">’ (2004) 9 </w:t>
      </w:r>
      <w:r w:rsidRPr="005E3FCC">
        <w:rPr>
          <w:i/>
          <w:iCs/>
          <w:color w:val="auto"/>
          <w:sz w:val="20"/>
          <w:szCs w:val="20"/>
        </w:rPr>
        <w:t>Journal of Conflict Security Law</w:t>
      </w:r>
      <w:r w:rsidRPr="005E3FCC">
        <w:rPr>
          <w:color w:val="auto"/>
          <w:sz w:val="20"/>
          <w:szCs w:val="20"/>
        </w:rPr>
        <w:t xml:space="preserve"> 43; Tare C </w:t>
      </w:r>
      <w:proofErr w:type="spellStart"/>
      <w:r w:rsidRPr="005E3FCC">
        <w:rPr>
          <w:color w:val="auto"/>
          <w:sz w:val="20"/>
          <w:szCs w:val="20"/>
        </w:rPr>
        <w:t>Brisibe</w:t>
      </w:r>
      <w:proofErr w:type="spellEnd"/>
      <w:r w:rsidRPr="005E3FCC">
        <w:rPr>
          <w:color w:val="auto"/>
          <w:sz w:val="20"/>
          <w:szCs w:val="20"/>
        </w:rPr>
        <w:t xml:space="preserve">, ‘Customary International Law, Arms Control and the Environment in Outer Space’ (2009) 8 </w:t>
      </w:r>
      <w:r w:rsidRPr="005E3FCC">
        <w:rPr>
          <w:i/>
          <w:iCs/>
          <w:color w:val="auto"/>
          <w:sz w:val="20"/>
          <w:szCs w:val="20"/>
        </w:rPr>
        <w:t>Chinese Journal of International Law</w:t>
      </w:r>
      <w:r w:rsidRPr="005E3FCC">
        <w:rPr>
          <w:color w:val="auto"/>
          <w:sz w:val="20"/>
          <w:szCs w:val="20"/>
        </w:rPr>
        <w:t xml:space="preserve"> 375; Blair S </w:t>
      </w:r>
      <w:proofErr w:type="spellStart"/>
      <w:r w:rsidRPr="005E3FCC">
        <w:rPr>
          <w:color w:val="auto"/>
          <w:sz w:val="20"/>
          <w:szCs w:val="20"/>
        </w:rPr>
        <w:t>Kuplic</w:t>
      </w:r>
      <w:proofErr w:type="spellEnd"/>
      <w:r w:rsidRPr="005E3FCC">
        <w:rPr>
          <w:color w:val="auto"/>
          <w:sz w:val="20"/>
          <w:szCs w:val="20"/>
        </w:rPr>
        <w:t xml:space="preserve">, ‘The </w:t>
      </w:r>
      <w:proofErr w:type="spellStart"/>
      <w:r w:rsidRPr="005E3FCC">
        <w:rPr>
          <w:color w:val="auto"/>
          <w:sz w:val="20"/>
          <w:szCs w:val="20"/>
        </w:rPr>
        <w:t>Weaponization</w:t>
      </w:r>
      <w:proofErr w:type="spellEnd"/>
      <w:r w:rsidRPr="005E3FCC">
        <w:rPr>
          <w:color w:val="auto"/>
          <w:sz w:val="20"/>
          <w:szCs w:val="20"/>
        </w:rPr>
        <w:t xml:space="preserve"> of Outer Space: Preventing an </w:t>
      </w:r>
      <w:proofErr w:type="spellStart"/>
      <w:r w:rsidRPr="005E3FCC">
        <w:rPr>
          <w:color w:val="auto"/>
          <w:sz w:val="20"/>
          <w:szCs w:val="20"/>
        </w:rPr>
        <w:t>Extraterrestrial</w:t>
      </w:r>
      <w:proofErr w:type="spellEnd"/>
      <w:r w:rsidRPr="005E3FCC">
        <w:rPr>
          <w:color w:val="auto"/>
          <w:sz w:val="20"/>
          <w:szCs w:val="20"/>
        </w:rPr>
        <w:t xml:space="preserve"> Arms Race’ (2014) </w:t>
      </w:r>
      <w:r w:rsidRPr="005E3FCC">
        <w:rPr>
          <w:iCs/>
          <w:color w:val="auto"/>
          <w:sz w:val="20"/>
          <w:szCs w:val="20"/>
        </w:rPr>
        <w:t xml:space="preserve">39 </w:t>
      </w:r>
      <w:r w:rsidRPr="005E3FCC">
        <w:rPr>
          <w:i/>
          <w:iCs/>
          <w:color w:val="auto"/>
          <w:sz w:val="20"/>
          <w:szCs w:val="20"/>
        </w:rPr>
        <w:t>North Carolina Journal of International Law and Commercial Regulation</w:t>
      </w:r>
      <w:r w:rsidRPr="005E3FCC">
        <w:rPr>
          <w:color w:val="auto"/>
          <w:sz w:val="20"/>
          <w:szCs w:val="20"/>
        </w:rPr>
        <w:t xml:space="preserve"> 1123; Jackson </w:t>
      </w:r>
      <w:proofErr w:type="spellStart"/>
      <w:r w:rsidRPr="005E3FCC">
        <w:rPr>
          <w:color w:val="auto"/>
          <w:sz w:val="20"/>
          <w:szCs w:val="20"/>
        </w:rPr>
        <w:t>Maogoto</w:t>
      </w:r>
      <w:proofErr w:type="spellEnd"/>
      <w:r w:rsidRPr="005E3FCC">
        <w:rPr>
          <w:color w:val="auto"/>
          <w:sz w:val="20"/>
          <w:szCs w:val="20"/>
        </w:rPr>
        <w:t xml:space="preserve"> and Steven Freeland, ‘The Final Frontier: The Laws of Armed Conflict and Space Warfare’ (2007) 23 </w:t>
      </w:r>
      <w:r w:rsidRPr="005E3FCC">
        <w:rPr>
          <w:i/>
          <w:iCs/>
          <w:color w:val="auto"/>
          <w:sz w:val="20"/>
          <w:szCs w:val="20"/>
        </w:rPr>
        <w:t>Connecticut Journal of International Law</w:t>
      </w:r>
      <w:r w:rsidRPr="005E3FCC">
        <w:rPr>
          <w:color w:val="auto"/>
          <w:sz w:val="20"/>
          <w:szCs w:val="20"/>
        </w:rPr>
        <w:t xml:space="preserve"> 165; </w:t>
      </w:r>
      <w:proofErr w:type="spellStart"/>
      <w:r w:rsidRPr="005E3FCC">
        <w:rPr>
          <w:color w:val="auto"/>
          <w:sz w:val="20"/>
          <w:szCs w:val="20"/>
        </w:rPr>
        <w:t>Zachos</w:t>
      </w:r>
      <w:proofErr w:type="spellEnd"/>
      <w:r w:rsidRPr="005E3FCC">
        <w:rPr>
          <w:color w:val="auto"/>
          <w:sz w:val="20"/>
          <w:szCs w:val="20"/>
        </w:rPr>
        <w:t xml:space="preserve"> A </w:t>
      </w:r>
      <w:proofErr w:type="spellStart"/>
      <w:r w:rsidRPr="005E3FCC">
        <w:rPr>
          <w:color w:val="auto"/>
          <w:sz w:val="20"/>
          <w:szCs w:val="20"/>
        </w:rPr>
        <w:t>Paliouras</w:t>
      </w:r>
      <w:proofErr w:type="spellEnd"/>
      <w:r w:rsidRPr="005E3FCC">
        <w:rPr>
          <w:color w:val="auto"/>
          <w:sz w:val="20"/>
          <w:szCs w:val="20"/>
        </w:rPr>
        <w:t xml:space="preserve">, ‘The Non-Appropriation Principle: The </w:t>
      </w:r>
      <w:proofErr w:type="spellStart"/>
      <w:r w:rsidRPr="005E3FCC">
        <w:rPr>
          <w:color w:val="auto"/>
          <w:sz w:val="20"/>
          <w:szCs w:val="20"/>
        </w:rPr>
        <w:t>Grundnorm</w:t>
      </w:r>
      <w:proofErr w:type="spellEnd"/>
      <w:r w:rsidRPr="005E3FCC">
        <w:rPr>
          <w:color w:val="auto"/>
          <w:sz w:val="20"/>
          <w:szCs w:val="20"/>
        </w:rPr>
        <w:t xml:space="preserve"> of International Space Law’ (2014) 27 </w:t>
      </w:r>
      <w:r w:rsidRPr="005E3FCC">
        <w:rPr>
          <w:i/>
          <w:iCs/>
          <w:color w:val="auto"/>
          <w:sz w:val="20"/>
          <w:szCs w:val="20"/>
        </w:rPr>
        <w:t>Leiden Journal of International Law</w:t>
      </w:r>
      <w:r w:rsidRPr="005E3FCC">
        <w:rPr>
          <w:color w:val="auto"/>
          <w:sz w:val="20"/>
          <w:szCs w:val="20"/>
        </w:rPr>
        <w:t xml:space="preserve"> 37; Michael N Schmitt, ‘International Law and Military Operations in Space’ (2006) 10 </w:t>
      </w:r>
      <w:r w:rsidRPr="005E3FCC">
        <w:rPr>
          <w:i/>
          <w:iCs/>
          <w:color w:val="auto"/>
          <w:sz w:val="20"/>
          <w:szCs w:val="20"/>
        </w:rPr>
        <w:t>Max Planck Yearbook of the United Nations Law</w:t>
      </w:r>
      <w:r w:rsidRPr="005E3FCC">
        <w:rPr>
          <w:color w:val="auto"/>
          <w:sz w:val="20"/>
          <w:szCs w:val="20"/>
        </w:rPr>
        <w:t xml:space="preserve"> 89; and Fabio </w:t>
      </w:r>
      <w:proofErr w:type="spellStart"/>
      <w:r w:rsidRPr="005E3FCC">
        <w:rPr>
          <w:color w:val="auto"/>
          <w:sz w:val="20"/>
          <w:szCs w:val="20"/>
        </w:rPr>
        <w:t>Tronchetti</w:t>
      </w:r>
      <w:proofErr w:type="spellEnd"/>
      <w:r w:rsidRPr="005E3FCC">
        <w:rPr>
          <w:color w:val="auto"/>
          <w:sz w:val="20"/>
          <w:szCs w:val="20"/>
        </w:rPr>
        <w:t xml:space="preserve">, ‘The Right of Self-Defence in </w:t>
      </w:r>
      <w:r w:rsidRPr="005E3FCC">
        <w:rPr>
          <w:iCs/>
          <w:color w:val="auto"/>
          <w:sz w:val="20"/>
          <w:szCs w:val="20"/>
        </w:rPr>
        <w:t>Outer Space’</w:t>
      </w:r>
      <w:r w:rsidRPr="005E3FCC">
        <w:rPr>
          <w:i/>
          <w:iCs/>
          <w:color w:val="auto"/>
          <w:sz w:val="20"/>
          <w:szCs w:val="20"/>
        </w:rPr>
        <w:t xml:space="preserve"> </w:t>
      </w:r>
      <w:r w:rsidRPr="005E3FCC">
        <w:rPr>
          <w:color w:val="auto"/>
          <w:sz w:val="20"/>
          <w:szCs w:val="20"/>
        </w:rPr>
        <w:t xml:space="preserve">(2014) 63 </w:t>
      </w:r>
      <w:r w:rsidRPr="005E3FCC">
        <w:rPr>
          <w:i/>
          <w:iCs/>
          <w:color w:val="auto"/>
          <w:sz w:val="20"/>
          <w:szCs w:val="20"/>
        </w:rPr>
        <w:t xml:space="preserve">German Journal of Air and Space Law </w:t>
      </w:r>
      <w:r w:rsidRPr="005E3FCC">
        <w:rPr>
          <w:color w:val="auto"/>
          <w:sz w:val="20"/>
          <w:szCs w:val="20"/>
        </w:rPr>
        <w:t>92.</w:t>
      </w:r>
    </w:p>
  </w:footnote>
  <w:footnote w:id="6">
    <w:p w:rsidR="00A75EF7" w:rsidRPr="005E3FCC" w:rsidRDefault="00A75EF7" w:rsidP="005E3FCC">
      <w:pPr>
        <w:jc w:val="both"/>
        <w:rPr>
          <w:color w:val="auto"/>
          <w:sz w:val="20"/>
          <w:szCs w:val="20"/>
        </w:rPr>
      </w:pPr>
      <w:r w:rsidRPr="005E3FCC">
        <w:rPr>
          <w:rStyle w:val="FootnoteReference"/>
          <w:color w:val="auto"/>
          <w:sz w:val="20"/>
          <w:szCs w:val="20"/>
        </w:rPr>
        <w:footnoteRef/>
      </w:r>
      <w:r w:rsidRPr="005E3FCC">
        <w:rPr>
          <w:color w:val="auto"/>
          <w:sz w:val="20"/>
          <w:szCs w:val="20"/>
        </w:rPr>
        <w:t xml:space="preserve"> On this issue, see, for example, </w:t>
      </w:r>
      <w:r w:rsidRPr="005E3FCC">
        <w:rPr>
          <w:color w:val="auto"/>
          <w:sz w:val="20"/>
          <w:szCs w:val="20"/>
          <w:lang w:val="en"/>
        </w:rPr>
        <w:t xml:space="preserve">Nicolò Bussolati, ‘The Rise of Non-State Actors in Cyberwarfare’ </w:t>
      </w:r>
      <w:r w:rsidRPr="005E3FCC">
        <w:rPr>
          <w:rFonts w:eastAsia="Times New Roman"/>
          <w:color w:val="auto"/>
          <w:sz w:val="20"/>
          <w:szCs w:val="20"/>
          <w:lang w:eastAsia="en-GB"/>
        </w:rPr>
        <w:t xml:space="preserve">in </w:t>
      </w:r>
      <w:r w:rsidRPr="005E3FCC">
        <w:rPr>
          <w:rFonts w:eastAsia="Times New Roman"/>
          <w:color w:val="auto"/>
          <w:sz w:val="20"/>
          <w:szCs w:val="20"/>
          <w:lang w:val="en" w:eastAsia="en-GB"/>
        </w:rPr>
        <w:t xml:space="preserve">Jens David Ohlin, Kevin Govern, and Claire Finkelstein (eds), </w:t>
      </w:r>
      <w:r w:rsidRPr="005E3FCC">
        <w:rPr>
          <w:rFonts w:eastAsia="Times New Roman"/>
          <w:i/>
          <w:color w:val="auto"/>
          <w:sz w:val="20"/>
          <w:szCs w:val="20"/>
          <w:lang w:val="en" w:eastAsia="en-GB"/>
        </w:rPr>
        <w:t>Cyber War: Law and Ethics for Virtual Conflicts</w:t>
      </w:r>
      <w:r w:rsidRPr="005E3FCC">
        <w:rPr>
          <w:rFonts w:eastAsia="Times New Roman"/>
          <w:color w:val="auto"/>
          <w:sz w:val="20"/>
          <w:szCs w:val="20"/>
          <w:lang w:val="en" w:eastAsia="en-GB"/>
        </w:rPr>
        <w:t xml:space="preserve"> (Oxford University Press, 2015), 102.</w:t>
      </w:r>
    </w:p>
  </w:footnote>
  <w:footnote w:id="7">
    <w:p w:rsidR="00A75EF7" w:rsidRPr="005E3FCC" w:rsidRDefault="00A75EF7" w:rsidP="005E3FCC">
      <w:pPr>
        <w:jc w:val="both"/>
        <w:rPr>
          <w:sz w:val="20"/>
          <w:szCs w:val="20"/>
        </w:rPr>
      </w:pPr>
      <w:r w:rsidRPr="005E3FCC">
        <w:rPr>
          <w:rStyle w:val="FootnoteReference"/>
          <w:color w:val="auto"/>
          <w:sz w:val="20"/>
          <w:szCs w:val="20"/>
        </w:rPr>
        <w:footnoteRef/>
      </w:r>
      <w:r w:rsidRPr="005E3FCC">
        <w:rPr>
          <w:color w:val="auto"/>
          <w:sz w:val="20"/>
          <w:szCs w:val="20"/>
        </w:rPr>
        <w:t xml:space="preserve"> </w:t>
      </w:r>
      <w:r w:rsidR="005E3FCC" w:rsidRPr="005E3FCC">
        <w:rPr>
          <w:sz w:val="20"/>
          <w:szCs w:val="20"/>
        </w:rPr>
        <w:t xml:space="preserve">See, for just a few examples, Olivier </w:t>
      </w:r>
      <w:proofErr w:type="spellStart"/>
      <w:r w:rsidR="005E3FCC" w:rsidRPr="005E3FCC">
        <w:rPr>
          <w:sz w:val="20"/>
          <w:szCs w:val="20"/>
        </w:rPr>
        <w:t>Corten</w:t>
      </w:r>
      <w:proofErr w:type="spellEnd"/>
      <w:r w:rsidR="005E3FCC" w:rsidRPr="005E3FCC">
        <w:rPr>
          <w:sz w:val="20"/>
          <w:szCs w:val="20"/>
        </w:rPr>
        <w:t xml:space="preserve">, </w:t>
      </w:r>
      <w:r w:rsidR="005E3FCC" w:rsidRPr="005E3FCC">
        <w:rPr>
          <w:i/>
          <w:sz w:val="20"/>
          <w:szCs w:val="20"/>
        </w:rPr>
        <w:t>The Law Against War: The Prohibition on the Use of Force in Contemporary International Law</w:t>
      </w:r>
      <w:r w:rsidR="005E3FCC" w:rsidRPr="005E3FCC">
        <w:rPr>
          <w:sz w:val="20"/>
          <w:szCs w:val="20"/>
        </w:rPr>
        <w:t xml:space="preserve"> (Hart, 2010), 50-197; Thomas M Franck, </w:t>
      </w:r>
      <w:r w:rsidR="005E3FCC" w:rsidRPr="005E3FCC">
        <w:rPr>
          <w:i/>
          <w:sz w:val="20"/>
          <w:szCs w:val="20"/>
        </w:rPr>
        <w:t>Recourse to Force: State Action Against Threats and Armed Attacks</w:t>
      </w:r>
      <w:r w:rsidR="005E3FCC" w:rsidRPr="005E3FCC">
        <w:rPr>
          <w:sz w:val="20"/>
          <w:szCs w:val="20"/>
        </w:rPr>
        <w:t xml:space="preserve"> (Cambridge University Press, 2002), 11-9; and Nico </w:t>
      </w:r>
      <w:proofErr w:type="spellStart"/>
      <w:r w:rsidR="005E3FCC" w:rsidRPr="005E3FCC">
        <w:rPr>
          <w:sz w:val="20"/>
          <w:szCs w:val="20"/>
        </w:rPr>
        <w:t>Schrijver</w:t>
      </w:r>
      <w:proofErr w:type="spellEnd"/>
      <w:r w:rsidR="005E3FCC" w:rsidRPr="005E3FCC">
        <w:rPr>
          <w:sz w:val="20"/>
          <w:szCs w:val="20"/>
        </w:rPr>
        <w:t>, ‘The Ban on the Use of Force in the UN Charter’ in Marc Weller (</w:t>
      </w:r>
      <w:proofErr w:type="spellStart"/>
      <w:r w:rsidR="005E3FCC" w:rsidRPr="005E3FCC">
        <w:rPr>
          <w:sz w:val="20"/>
          <w:szCs w:val="20"/>
        </w:rPr>
        <w:t>ed</w:t>
      </w:r>
      <w:proofErr w:type="spellEnd"/>
      <w:r w:rsidR="005E3FCC" w:rsidRPr="005E3FCC">
        <w:rPr>
          <w:sz w:val="20"/>
          <w:szCs w:val="20"/>
        </w:rPr>
        <w:t xml:space="preserve">), </w:t>
      </w:r>
      <w:r w:rsidR="005E3FCC" w:rsidRPr="005E3FCC">
        <w:rPr>
          <w:i/>
          <w:sz w:val="20"/>
          <w:szCs w:val="20"/>
        </w:rPr>
        <w:t>The Oxford Handbook of the Use of Force in International Law</w:t>
      </w:r>
      <w:r w:rsidR="005E3FCC" w:rsidRPr="005E3FCC">
        <w:rPr>
          <w:sz w:val="20"/>
          <w:szCs w:val="20"/>
        </w:rPr>
        <w:t xml:space="preserve"> (Oxford University Press, 2015), 466</w:t>
      </w:r>
      <w:r w:rsidR="005E3FCC" w:rsidRPr="005E3FCC">
        <w:rPr>
          <w:sz w:val="20"/>
          <w:szCs w:val="20"/>
        </w:rPr>
        <w:t>.</w:t>
      </w:r>
    </w:p>
  </w:footnote>
  <w:footnote w:id="8">
    <w:p w:rsidR="00A75EF7" w:rsidRPr="005E3FCC" w:rsidRDefault="00A75EF7" w:rsidP="005E3FCC">
      <w:pPr>
        <w:jc w:val="both"/>
        <w:rPr>
          <w:color w:val="auto"/>
          <w:sz w:val="20"/>
          <w:szCs w:val="20"/>
        </w:rPr>
      </w:pPr>
      <w:r w:rsidRPr="005E3FCC">
        <w:rPr>
          <w:rStyle w:val="FootnoteReference"/>
          <w:color w:val="auto"/>
          <w:sz w:val="20"/>
          <w:szCs w:val="20"/>
        </w:rPr>
        <w:footnoteRef/>
      </w:r>
      <w:r w:rsidRPr="005E3FCC">
        <w:rPr>
          <w:color w:val="auto"/>
          <w:sz w:val="20"/>
          <w:szCs w:val="20"/>
        </w:rPr>
        <w:t xml:space="preserve"> On that traditional interpretation, see Daniel B Silver, ‘Computer Network Attack as a Use of Force under Article 2(4)’ (2002) 76 </w:t>
      </w:r>
      <w:r w:rsidRPr="005E3FCC">
        <w:rPr>
          <w:i/>
          <w:color w:val="auto"/>
          <w:sz w:val="20"/>
          <w:szCs w:val="20"/>
        </w:rPr>
        <w:t>International Law Studies</w:t>
      </w:r>
      <w:r w:rsidRPr="005E3FCC">
        <w:rPr>
          <w:color w:val="auto"/>
          <w:sz w:val="20"/>
          <w:szCs w:val="20"/>
        </w:rPr>
        <w:t xml:space="preserve"> 73, 80-2; and Tom J Farer, ‘Political and Economic Coercion in Contemporary International Law’ (1985) 79 </w:t>
      </w:r>
      <w:r w:rsidRPr="005E3FCC">
        <w:rPr>
          <w:i/>
          <w:color w:val="auto"/>
          <w:sz w:val="20"/>
          <w:szCs w:val="20"/>
        </w:rPr>
        <w:t>American Journal of International Law</w:t>
      </w:r>
      <w:r w:rsidRPr="005E3FCC">
        <w:rPr>
          <w:color w:val="auto"/>
          <w:sz w:val="20"/>
          <w:szCs w:val="20"/>
        </w:rPr>
        <w:t xml:space="preserve"> 405.</w:t>
      </w:r>
    </w:p>
  </w:footnote>
  <w:footnote w:id="9">
    <w:p w:rsidR="00A75EF7" w:rsidRPr="005E3FCC" w:rsidRDefault="00A75EF7" w:rsidP="005E3FCC">
      <w:pPr>
        <w:pStyle w:val="FootnoteText"/>
        <w:jc w:val="both"/>
        <w:rPr>
          <w:rFonts w:ascii="Times New Roman" w:hAnsi="Times New Roman" w:cs="Times New Roman"/>
          <w:color w:val="auto"/>
          <w:sz w:val="20"/>
          <w:szCs w:val="20"/>
          <w:lang w:val="en-GB"/>
        </w:rPr>
      </w:pPr>
      <w:r w:rsidRPr="005E3FCC">
        <w:rPr>
          <w:rStyle w:val="FootnoteReference"/>
          <w:rFonts w:ascii="Times New Roman" w:hAnsi="Times New Roman" w:cs="Times New Roman"/>
          <w:color w:val="auto"/>
          <w:sz w:val="20"/>
          <w:szCs w:val="20"/>
        </w:rPr>
        <w:footnoteRef/>
      </w:r>
      <w:r w:rsidRPr="005E3FCC">
        <w:rPr>
          <w:rFonts w:ascii="Times New Roman" w:hAnsi="Times New Roman" w:cs="Times New Roman"/>
          <w:color w:val="auto"/>
          <w:sz w:val="20"/>
          <w:szCs w:val="20"/>
        </w:rPr>
        <w:t xml:space="preserve"> </w:t>
      </w:r>
      <w:r w:rsidRPr="005E3FCC">
        <w:rPr>
          <w:rFonts w:ascii="Times New Roman" w:hAnsi="Times New Roman" w:cs="Times New Roman"/>
          <w:color w:val="auto"/>
          <w:sz w:val="20"/>
          <w:szCs w:val="20"/>
          <w:lang w:val="en-GB"/>
        </w:rPr>
        <w:t xml:space="preserve">For the classic expression of this view, see Ian </w:t>
      </w:r>
      <w:proofErr w:type="spellStart"/>
      <w:r w:rsidRPr="005E3FCC">
        <w:rPr>
          <w:rFonts w:ascii="Times New Roman" w:hAnsi="Times New Roman" w:cs="Times New Roman"/>
          <w:color w:val="auto"/>
          <w:sz w:val="20"/>
          <w:szCs w:val="20"/>
          <w:lang w:val="en-GB"/>
        </w:rPr>
        <w:t>Brownlie</w:t>
      </w:r>
      <w:proofErr w:type="spellEnd"/>
      <w:r w:rsidRPr="005E3FCC">
        <w:rPr>
          <w:rFonts w:ascii="Times New Roman" w:hAnsi="Times New Roman" w:cs="Times New Roman"/>
          <w:color w:val="auto"/>
          <w:sz w:val="20"/>
          <w:szCs w:val="20"/>
          <w:lang w:val="en-GB"/>
        </w:rPr>
        <w:t xml:space="preserve">, </w:t>
      </w:r>
      <w:r w:rsidRPr="005E3FCC">
        <w:rPr>
          <w:rFonts w:ascii="Times New Roman" w:hAnsi="Times New Roman" w:cs="Times New Roman"/>
          <w:i/>
          <w:color w:val="auto"/>
          <w:sz w:val="20"/>
          <w:szCs w:val="20"/>
          <w:lang w:val="en-GB"/>
        </w:rPr>
        <w:t>International Law and the Use of Force by States</w:t>
      </w:r>
      <w:r w:rsidRPr="005E3FCC">
        <w:rPr>
          <w:rFonts w:ascii="Times New Roman" w:hAnsi="Times New Roman" w:cs="Times New Roman"/>
          <w:color w:val="auto"/>
          <w:sz w:val="20"/>
          <w:szCs w:val="20"/>
          <w:lang w:val="en-GB"/>
        </w:rPr>
        <w:t xml:space="preserve"> (Clarendon Press, 1963), </w:t>
      </w:r>
      <w:r w:rsidRPr="005E3FCC">
        <w:rPr>
          <w:rFonts w:ascii="Times New Roman" w:hAnsi="Times New Roman" w:cs="Times New Roman"/>
          <w:color w:val="auto"/>
          <w:sz w:val="20"/>
          <w:szCs w:val="20"/>
        </w:rPr>
        <w:t>362.</w:t>
      </w:r>
    </w:p>
  </w:footnote>
  <w:footnote w:id="10">
    <w:p w:rsidR="00A75EF7" w:rsidRPr="005E3FCC" w:rsidRDefault="00A75EF7" w:rsidP="005E3FCC">
      <w:pPr>
        <w:jc w:val="both"/>
        <w:rPr>
          <w:color w:val="auto"/>
          <w:sz w:val="20"/>
          <w:szCs w:val="20"/>
        </w:rPr>
      </w:pPr>
      <w:r w:rsidRPr="005E3FCC">
        <w:rPr>
          <w:rFonts w:eastAsia="Times New Roman"/>
          <w:color w:val="auto"/>
          <w:sz w:val="20"/>
          <w:szCs w:val="20"/>
          <w:vertAlign w:val="superscript"/>
        </w:rPr>
        <w:footnoteRef/>
      </w:r>
      <w:r w:rsidRPr="005E3FCC">
        <w:rPr>
          <w:color w:val="auto"/>
          <w:sz w:val="20"/>
          <w:szCs w:val="20"/>
        </w:rPr>
        <w:t xml:space="preserve"> This is the prevailing view in the literature.  See, fo</w:t>
      </w:r>
      <w:r w:rsidR="00856270" w:rsidRPr="005E3FCC">
        <w:rPr>
          <w:color w:val="auto"/>
          <w:sz w:val="20"/>
          <w:szCs w:val="20"/>
        </w:rPr>
        <w:t xml:space="preserve">r example, Harrison </w:t>
      </w:r>
      <w:proofErr w:type="spellStart"/>
      <w:r w:rsidR="00856270" w:rsidRPr="005E3FCC">
        <w:rPr>
          <w:color w:val="auto"/>
          <w:sz w:val="20"/>
          <w:szCs w:val="20"/>
        </w:rPr>
        <w:t>Dinniss</w:t>
      </w:r>
      <w:proofErr w:type="spellEnd"/>
      <w:r w:rsidR="00856270" w:rsidRPr="005E3FCC">
        <w:rPr>
          <w:color w:val="auto"/>
          <w:sz w:val="20"/>
          <w:szCs w:val="20"/>
        </w:rPr>
        <w:t xml:space="preserve"> (n 1</w:t>
      </w:r>
      <w:r w:rsidRPr="005E3FCC">
        <w:rPr>
          <w:color w:val="auto"/>
          <w:sz w:val="20"/>
          <w:szCs w:val="20"/>
        </w:rPr>
        <w:t xml:space="preserve">) 81.  However, for a contrary position, see Nicholas Tsagourias, ‘Cyber-Attacks, Self-Defence and the Problem of Attribution’ (2012) 17 </w:t>
      </w:r>
      <w:r w:rsidRPr="005E3FCC">
        <w:rPr>
          <w:i/>
          <w:iCs/>
          <w:color w:val="auto"/>
          <w:sz w:val="20"/>
          <w:szCs w:val="20"/>
        </w:rPr>
        <w:t>Journal of Conflict and Security Law</w:t>
      </w:r>
      <w:r w:rsidRPr="005E3FCC">
        <w:rPr>
          <w:iCs/>
          <w:color w:val="auto"/>
          <w:sz w:val="20"/>
          <w:szCs w:val="20"/>
        </w:rPr>
        <w:t xml:space="preserve"> 229, </w:t>
      </w:r>
      <w:r w:rsidRPr="005E3FCC">
        <w:rPr>
          <w:color w:val="auto"/>
          <w:sz w:val="20"/>
          <w:szCs w:val="20"/>
        </w:rPr>
        <w:t>particularly at 231-2.</w:t>
      </w:r>
    </w:p>
  </w:footnote>
  <w:footnote w:id="11">
    <w:p w:rsidR="00A75EF7" w:rsidRPr="005E3FCC" w:rsidRDefault="00A75EF7" w:rsidP="005E3FCC">
      <w:pPr>
        <w:jc w:val="both"/>
        <w:rPr>
          <w:rFonts w:eastAsia="Times New Roman"/>
          <w:color w:val="auto"/>
          <w:sz w:val="20"/>
          <w:szCs w:val="20"/>
          <w:lang w:eastAsia="en-GB"/>
        </w:rPr>
      </w:pPr>
      <w:r w:rsidRPr="005E3FCC">
        <w:rPr>
          <w:rStyle w:val="FootnoteReference"/>
          <w:color w:val="auto"/>
          <w:sz w:val="20"/>
          <w:szCs w:val="20"/>
        </w:rPr>
        <w:footnoteRef/>
      </w:r>
      <w:r w:rsidRPr="005E3FCC">
        <w:rPr>
          <w:color w:val="auto"/>
          <w:sz w:val="20"/>
          <w:szCs w:val="20"/>
        </w:rPr>
        <w:t xml:space="preserve"> See, for example, Matthew C </w:t>
      </w:r>
      <w:r w:rsidRPr="005E3FCC">
        <w:rPr>
          <w:rFonts w:eastAsia="Times New Roman"/>
          <w:color w:val="auto"/>
          <w:sz w:val="20"/>
          <w:szCs w:val="20"/>
          <w:lang w:eastAsia="en-GB"/>
        </w:rPr>
        <w:t xml:space="preserve">Waxman, ‘Self-Defensive Force against Cyber Attacks: Legal, Strategic and Political Dimensions’ (2013) 89 </w:t>
      </w:r>
      <w:r w:rsidRPr="005E3FCC">
        <w:rPr>
          <w:rFonts w:eastAsia="Times New Roman"/>
          <w:i/>
          <w:color w:val="auto"/>
          <w:sz w:val="20"/>
          <w:szCs w:val="20"/>
          <w:lang w:eastAsia="en-GB"/>
        </w:rPr>
        <w:t>International Legal Studies</w:t>
      </w:r>
      <w:r w:rsidRPr="005E3FCC">
        <w:rPr>
          <w:rFonts w:eastAsia="Times New Roman"/>
          <w:color w:val="auto"/>
          <w:sz w:val="20"/>
          <w:szCs w:val="20"/>
          <w:lang w:eastAsia="en-GB"/>
        </w:rPr>
        <w:t xml:space="preserve"> 109 (echoing this concern).</w:t>
      </w:r>
    </w:p>
  </w:footnote>
  <w:footnote w:id="12">
    <w:p w:rsidR="00A75EF7" w:rsidRPr="005E3FCC" w:rsidRDefault="00A75EF7" w:rsidP="005E3FCC">
      <w:pPr>
        <w:jc w:val="both"/>
        <w:rPr>
          <w:color w:val="auto"/>
          <w:sz w:val="20"/>
          <w:szCs w:val="20"/>
          <w:shd w:val="clear" w:color="auto" w:fill="FFCCCC"/>
        </w:rPr>
      </w:pPr>
      <w:r w:rsidRPr="005E3FCC">
        <w:rPr>
          <w:rStyle w:val="FootnoteReference"/>
          <w:color w:val="auto"/>
          <w:sz w:val="20"/>
          <w:szCs w:val="20"/>
        </w:rPr>
        <w:footnoteRef/>
      </w:r>
      <w:r w:rsidRPr="005E3FCC">
        <w:rPr>
          <w:color w:val="auto"/>
          <w:sz w:val="20"/>
          <w:szCs w:val="20"/>
        </w:rPr>
        <w:t xml:space="preserve"> See </w:t>
      </w:r>
      <w:r w:rsidRPr="005E3FCC">
        <w:rPr>
          <w:rStyle w:val="lucenesearchresulturlb"/>
          <w:color w:val="auto"/>
          <w:sz w:val="20"/>
          <w:szCs w:val="20"/>
        </w:rPr>
        <w:t xml:space="preserve">Russell Buchan, ‘Cyber Attacks: Unlawful Uses of Force or Prohibited Interventions’ (2012) 17 </w:t>
      </w:r>
      <w:r w:rsidRPr="005E3FCC">
        <w:rPr>
          <w:rStyle w:val="lucenesearchresulturlb"/>
          <w:i/>
          <w:color w:val="auto"/>
          <w:sz w:val="20"/>
          <w:szCs w:val="20"/>
        </w:rPr>
        <w:t>Journal of Conflict and Security Law</w:t>
      </w:r>
      <w:r w:rsidRPr="005E3FCC">
        <w:rPr>
          <w:color w:val="auto"/>
          <w:sz w:val="20"/>
          <w:szCs w:val="20"/>
        </w:rPr>
        <w:t xml:space="preserve"> </w:t>
      </w:r>
      <w:r w:rsidRPr="005E3FCC">
        <w:rPr>
          <w:iCs/>
          <w:color w:val="auto"/>
          <w:sz w:val="20"/>
          <w:szCs w:val="20"/>
        </w:rPr>
        <w:t xml:space="preserve">212, </w:t>
      </w:r>
      <w:r w:rsidRPr="005E3FCC">
        <w:rPr>
          <w:color w:val="auto"/>
          <w:sz w:val="20"/>
          <w:szCs w:val="20"/>
        </w:rPr>
        <w:t>212-13 (specially making this point in relation to cyber-attacks).</w:t>
      </w:r>
    </w:p>
  </w:footnote>
  <w:footnote w:id="13">
    <w:p w:rsidR="00A75EF7" w:rsidRPr="005E3FCC" w:rsidRDefault="00A75EF7" w:rsidP="005E3FCC">
      <w:pPr>
        <w:pStyle w:val="FootnoteText"/>
        <w:jc w:val="both"/>
        <w:rPr>
          <w:rFonts w:ascii="Times New Roman" w:hAnsi="Times New Roman" w:cs="Times New Roman"/>
          <w:color w:val="auto"/>
          <w:sz w:val="20"/>
          <w:szCs w:val="20"/>
          <w:lang w:val="en-GB"/>
        </w:rPr>
      </w:pPr>
      <w:r w:rsidRPr="005E3FCC">
        <w:rPr>
          <w:rStyle w:val="FootnoteReference"/>
          <w:rFonts w:ascii="Times New Roman" w:hAnsi="Times New Roman" w:cs="Times New Roman"/>
          <w:color w:val="auto"/>
          <w:sz w:val="20"/>
          <w:szCs w:val="20"/>
        </w:rPr>
        <w:footnoteRef/>
      </w:r>
      <w:r w:rsidRPr="005E3FCC">
        <w:rPr>
          <w:rFonts w:ascii="Times New Roman" w:hAnsi="Times New Roman" w:cs="Times New Roman"/>
          <w:color w:val="auto"/>
          <w:sz w:val="20"/>
          <w:szCs w:val="20"/>
        </w:rPr>
        <w:t xml:space="preserve"> </w:t>
      </w:r>
      <w:proofErr w:type="gramStart"/>
      <w:r w:rsidRPr="005E3FCC">
        <w:rPr>
          <w:rFonts w:ascii="Times New Roman" w:hAnsi="Times New Roman" w:cs="Times New Roman"/>
          <w:color w:val="auto"/>
          <w:sz w:val="20"/>
          <w:szCs w:val="20"/>
        </w:rPr>
        <w:t xml:space="preserve">See Wolff </w:t>
      </w:r>
      <w:proofErr w:type="spellStart"/>
      <w:r w:rsidRPr="005E3FCC">
        <w:rPr>
          <w:rFonts w:ascii="Times New Roman" w:hAnsi="Times New Roman" w:cs="Times New Roman"/>
          <w:color w:val="auto"/>
          <w:sz w:val="20"/>
          <w:szCs w:val="20"/>
        </w:rPr>
        <w:t>Heintschel</w:t>
      </w:r>
      <w:proofErr w:type="spellEnd"/>
      <w:r w:rsidRPr="005E3FCC">
        <w:rPr>
          <w:rFonts w:ascii="Times New Roman" w:hAnsi="Times New Roman" w:cs="Times New Roman"/>
          <w:color w:val="auto"/>
          <w:sz w:val="20"/>
          <w:szCs w:val="20"/>
        </w:rPr>
        <w:t xml:space="preserve"> von </w:t>
      </w:r>
      <w:proofErr w:type="spellStart"/>
      <w:r w:rsidRPr="005E3FCC">
        <w:rPr>
          <w:rFonts w:ascii="Times New Roman" w:hAnsi="Times New Roman" w:cs="Times New Roman"/>
          <w:color w:val="auto"/>
          <w:sz w:val="20"/>
          <w:szCs w:val="20"/>
        </w:rPr>
        <w:t>Heinegg</w:t>
      </w:r>
      <w:proofErr w:type="spellEnd"/>
      <w:r w:rsidRPr="005E3FCC">
        <w:rPr>
          <w:rFonts w:ascii="Times New Roman" w:hAnsi="Times New Roman" w:cs="Times New Roman"/>
          <w:color w:val="auto"/>
          <w:sz w:val="20"/>
          <w:szCs w:val="20"/>
        </w:rPr>
        <w:t xml:space="preserve">, ‘Territorial Sovereignty and Neutrality in Cyberspace’ (2013) 89 </w:t>
      </w:r>
      <w:r w:rsidRPr="005E3FCC">
        <w:rPr>
          <w:rFonts w:ascii="Times New Roman" w:hAnsi="Times New Roman" w:cs="Times New Roman"/>
          <w:i/>
          <w:color w:val="auto"/>
          <w:sz w:val="20"/>
          <w:szCs w:val="20"/>
        </w:rPr>
        <w:t xml:space="preserve">International Legal Studies </w:t>
      </w:r>
      <w:r w:rsidRPr="005E3FCC">
        <w:rPr>
          <w:rFonts w:ascii="Times New Roman" w:hAnsi="Times New Roman" w:cs="Times New Roman"/>
          <w:color w:val="auto"/>
          <w:sz w:val="20"/>
          <w:szCs w:val="20"/>
        </w:rPr>
        <w:t xml:space="preserve">123, 123-4; and Christopher P M Waters, ‘New Hacktivists and the Old Concept of </w:t>
      </w:r>
      <w:proofErr w:type="spellStart"/>
      <w:r w:rsidRPr="005E3FCC">
        <w:rPr>
          <w:rFonts w:ascii="Times New Roman" w:hAnsi="Times New Roman" w:cs="Times New Roman"/>
          <w:i/>
          <w:color w:val="auto"/>
          <w:sz w:val="20"/>
          <w:szCs w:val="20"/>
        </w:rPr>
        <w:t>Levée</w:t>
      </w:r>
      <w:proofErr w:type="spellEnd"/>
      <w:r w:rsidRPr="005E3FCC">
        <w:rPr>
          <w:rFonts w:ascii="Times New Roman" w:hAnsi="Times New Roman" w:cs="Times New Roman"/>
          <w:i/>
          <w:color w:val="auto"/>
          <w:sz w:val="20"/>
          <w:szCs w:val="20"/>
        </w:rPr>
        <w:t xml:space="preserve"> </w:t>
      </w:r>
      <w:proofErr w:type="spellStart"/>
      <w:r w:rsidRPr="005E3FCC">
        <w:rPr>
          <w:rFonts w:ascii="Times New Roman" w:hAnsi="Times New Roman" w:cs="Times New Roman"/>
          <w:i/>
          <w:color w:val="auto"/>
          <w:sz w:val="20"/>
          <w:szCs w:val="20"/>
        </w:rPr>
        <w:t>en</w:t>
      </w:r>
      <w:proofErr w:type="spellEnd"/>
      <w:r w:rsidRPr="005E3FCC">
        <w:rPr>
          <w:rFonts w:ascii="Times New Roman" w:hAnsi="Times New Roman" w:cs="Times New Roman"/>
          <w:i/>
          <w:color w:val="auto"/>
          <w:sz w:val="20"/>
          <w:szCs w:val="20"/>
        </w:rPr>
        <w:t xml:space="preserve"> Masse</w:t>
      </w:r>
      <w:r w:rsidRPr="005E3FCC">
        <w:rPr>
          <w:rFonts w:ascii="Times New Roman" w:hAnsi="Times New Roman" w:cs="Times New Roman"/>
          <w:color w:val="auto"/>
          <w:sz w:val="20"/>
          <w:szCs w:val="20"/>
        </w:rPr>
        <w:t xml:space="preserve">’ (2014) 37 </w:t>
      </w:r>
      <w:proofErr w:type="spellStart"/>
      <w:r w:rsidRPr="005E3FCC">
        <w:rPr>
          <w:rFonts w:ascii="Times New Roman" w:hAnsi="Times New Roman" w:cs="Times New Roman"/>
          <w:i/>
          <w:color w:val="auto"/>
          <w:sz w:val="20"/>
          <w:szCs w:val="20"/>
        </w:rPr>
        <w:t>Dalhouse</w:t>
      </w:r>
      <w:proofErr w:type="spellEnd"/>
      <w:r w:rsidRPr="005E3FCC">
        <w:rPr>
          <w:rFonts w:ascii="Times New Roman" w:hAnsi="Times New Roman" w:cs="Times New Roman"/>
          <w:i/>
          <w:color w:val="auto"/>
          <w:sz w:val="20"/>
          <w:szCs w:val="20"/>
        </w:rPr>
        <w:t xml:space="preserve"> Law Journal </w:t>
      </w:r>
      <w:r w:rsidRPr="005E3FCC">
        <w:rPr>
          <w:rFonts w:ascii="Times New Roman" w:hAnsi="Times New Roman" w:cs="Times New Roman"/>
          <w:color w:val="auto"/>
          <w:sz w:val="20"/>
          <w:szCs w:val="20"/>
        </w:rPr>
        <w:t>771, 773-5.</w:t>
      </w:r>
      <w:proofErr w:type="gramEnd"/>
    </w:p>
  </w:footnote>
  <w:footnote w:id="14">
    <w:p w:rsidR="00A75EF7" w:rsidRPr="005E3FCC" w:rsidRDefault="00A75EF7" w:rsidP="005E3FCC">
      <w:pPr>
        <w:pStyle w:val="FootnoteText"/>
        <w:jc w:val="both"/>
        <w:rPr>
          <w:rFonts w:ascii="Times New Roman" w:hAnsi="Times New Roman" w:cs="Times New Roman"/>
          <w:color w:val="auto"/>
          <w:sz w:val="20"/>
          <w:szCs w:val="20"/>
          <w:lang w:val="en-GB"/>
        </w:rPr>
      </w:pPr>
      <w:r w:rsidRPr="005E3FCC">
        <w:rPr>
          <w:rStyle w:val="FootnoteReference"/>
          <w:rFonts w:ascii="Times New Roman" w:hAnsi="Times New Roman" w:cs="Times New Roman"/>
          <w:color w:val="auto"/>
          <w:sz w:val="20"/>
          <w:szCs w:val="20"/>
        </w:rPr>
        <w:footnoteRef/>
      </w:r>
      <w:r w:rsidRPr="005E3FCC">
        <w:rPr>
          <w:rFonts w:ascii="Times New Roman" w:hAnsi="Times New Roman" w:cs="Times New Roman"/>
          <w:color w:val="auto"/>
          <w:sz w:val="20"/>
          <w:szCs w:val="20"/>
        </w:rPr>
        <w:t xml:space="preserve"> See Schmitt (n </w:t>
      </w:r>
      <w:r w:rsidR="00856270" w:rsidRPr="005E3FCC">
        <w:rPr>
          <w:rFonts w:ascii="Times New Roman" w:hAnsi="Times New Roman" w:cs="Times New Roman"/>
          <w:color w:val="auto"/>
          <w:sz w:val="20"/>
          <w:szCs w:val="20"/>
        </w:rPr>
        <w:t>4</w:t>
      </w:r>
      <w:r w:rsidRPr="005E3FCC">
        <w:rPr>
          <w:rFonts w:ascii="Times New Roman" w:hAnsi="Times New Roman" w:cs="Times New Roman"/>
          <w:color w:val="auto"/>
          <w:sz w:val="20"/>
          <w:szCs w:val="20"/>
        </w:rPr>
        <w:t xml:space="preserve">) 102 (noting that Article III of </w:t>
      </w:r>
      <w:r w:rsidRPr="005E3FCC">
        <w:rPr>
          <w:rFonts w:ascii="Times New Roman" w:hAnsi="Times New Roman" w:cs="Times New Roman"/>
          <w:color w:val="auto"/>
          <w:sz w:val="20"/>
          <w:szCs w:val="20"/>
          <w:shd w:val="clear" w:color="auto" w:fill="FFFFFF"/>
        </w:rPr>
        <w:t xml:space="preserve">the </w:t>
      </w:r>
      <w:r w:rsidRPr="005E3FCC">
        <w:rPr>
          <w:rStyle w:val="Emphasis"/>
          <w:rFonts w:ascii="Times New Roman" w:hAnsi="Times New Roman" w:cs="Times New Roman"/>
          <w:bCs/>
          <w:i w:val="0"/>
          <w:iCs w:val="0"/>
          <w:color w:val="auto"/>
          <w:sz w:val="20"/>
          <w:szCs w:val="20"/>
          <w:shd w:val="clear" w:color="auto" w:fill="FFFFFF"/>
        </w:rPr>
        <w:t xml:space="preserve">1967 </w:t>
      </w:r>
      <w:r w:rsidRPr="005E3FCC">
        <w:rPr>
          <w:rFonts w:ascii="Times New Roman" w:hAnsi="Times New Roman" w:cs="Times New Roman"/>
          <w:color w:val="auto"/>
          <w:sz w:val="20"/>
          <w:szCs w:val="20"/>
          <w:shd w:val="clear" w:color="auto" w:fill="FFFFFF"/>
        </w:rPr>
        <w:t xml:space="preserve">Outer Space Treaty is to be interpreted in light of the existing </w:t>
      </w:r>
      <w:r w:rsidRPr="005E3FCC">
        <w:rPr>
          <w:rFonts w:ascii="Times New Roman" w:hAnsi="Times New Roman" w:cs="Times New Roman"/>
          <w:i/>
          <w:color w:val="auto"/>
          <w:sz w:val="20"/>
          <w:szCs w:val="20"/>
          <w:shd w:val="clear" w:color="auto" w:fill="FFFFFF"/>
        </w:rPr>
        <w:t>jus ad bellum</w:t>
      </w:r>
      <w:r w:rsidRPr="005E3FCC">
        <w:rPr>
          <w:rFonts w:ascii="Times New Roman" w:hAnsi="Times New Roman" w:cs="Times New Roman"/>
          <w:color w:val="auto"/>
          <w:sz w:val="20"/>
          <w:szCs w:val="20"/>
          <w:shd w:val="clear" w:color="auto" w:fill="FFFFFF"/>
        </w:rPr>
        <w:t xml:space="preserve"> framework). </w:t>
      </w:r>
      <w:r w:rsidRPr="005E3FCC">
        <w:rPr>
          <w:rFonts w:ascii="Times New Roman" w:hAnsi="Times New Roman" w:cs="Times New Roman"/>
          <w:color w:val="auto"/>
          <w:sz w:val="20"/>
          <w:szCs w:val="20"/>
        </w:rPr>
        <w:t xml:space="preserve">   </w:t>
      </w:r>
    </w:p>
  </w:footnote>
  <w:footnote w:id="15">
    <w:p w:rsidR="00A75EF7" w:rsidRPr="005E3FCC" w:rsidRDefault="00A75EF7" w:rsidP="005E3FCC">
      <w:pPr>
        <w:pStyle w:val="FootnoteText"/>
        <w:jc w:val="both"/>
        <w:rPr>
          <w:rFonts w:ascii="Times New Roman" w:hAnsi="Times New Roman" w:cs="Times New Roman"/>
          <w:color w:val="auto"/>
          <w:sz w:val="20"/>
          <w:szCs w:val="20"/>
          <w:lang w:val="en-GB"/>
        </w:rPr>
      </w:pPr>
      <w:r w:rsidRPr="005E3FCC">
        <w:rPr>
          <w:rStyle w:val="FootnoteReference"/>
          <w:rFonts w:ascii="Times New Roman" w:hAnsi="Times New Roman" w:cs="Times New Roman"/>
          <w:color w:val="auto"/>
          <w:sz w:val="20"/>
          <w:szCs w:val="20"/>
        </w:rPr>
        <w:footnoteRef/>
      </w:r>
      <w:r w:rsidRPr="005E3FCC">
        <w:rPr>
          <w:rFonts w:ascii="Times New Roman" w:hAnsi="Times New Roman" w:cs="Times New Roman"/>
          <w:color w:val="auto"/>
          <w:sz w:val="20"/>
          <w:szCs w:val="20"/>
        </w:rPr>
        <w:t xml:space="preserve"> See </w:t>
      </w:r>
      <w:r w:rsidR="00856270" w:rsidRPr="005E3FCC">
        <w:rPr>
          <w:rStyle w:val="lucenesearchresulturlb"/>
          <w:rFonts w:ascii="Times New Roman" w:hAnsi="Times New Roman" w:cs="Times New Roman"/>
          <w:color w:val="auto"/>
          <w:sz w:val="20"/>
          <w:szCs w:val="20"/>
        </w:rPr>
        <w:t>Buchan (n 11</w:t>
      </w:r>
      <w:r w:rsidRPr="005E3FCC">
        <w:rPr>
          <w:rStyle w:val="lucenesearchresulturlb"/>
          <w:rFonts w:ascii="Times New Roman" w:hAnsi="Times New Roman" w:cs="Times New Roman"/>
          <w:color w:val="auto"/>
          <w:sz w:val="20"/>
          <w:szCs w:val="20"/>
        </w:rPr>
        <w:t>).</w:t>
      </w:r>
    </w:p>
  </w:footnote>
  <w:footnote w:id="16">
    <w:p w:rsidR="00A75EF7" w:rsidRPr="005E3FCC" w:rsidRDefault="00A75EF7" w:rsidP="005E3FCC">
      <w:pPr>
        <w:pStyle w:val="FootnoteText"/>
        <w:jc w:val="both"/>
        <w:rPr>
          <w:rFonts w:ascii="Times New Roman" w:hAnsi="Times New Roman" w:cs="Times New Roman"/>
          <w:color w:val="auto"/>
          <w:sz w:val="20"/>
          <w:szCs w:val="20"/>
        </w:rPr>
      </w:pPr>
      <w:r w:rsidRPr="005E3FCC">
        <w:rPr>
          <w:rStyle w:val="FootnoteReference"/>
          <w:rFonts w:ascii="Times New Roman" w:hAnsi="Times New Roman" w:cs="Times New Roman"/>
          <w:color w:val="auto"/>
          <w:sz w:val="20"/>
          <w:szCs w:val="20"/>
        </w:rPr>
        <w:footnoteRef/>
      </w:r>
      <w:r w:rsidRPr="005E3FCC">
        <w:rPr>
          <w:rFonts w:ascii="Times New Roman" w:hAnsi="Times New Roman" w:cs="Times New Roman"/>
          <w:color w:val="auto"/>
          <w:sz w:val="20"/>
          <w:szCs w:val="20"/>
        </w:rPr>
        <w:t xml:space="preserve"> See James A Green, ‘Disasters Caused in Cyberspace’ in Susan C </w:t>
      </w:r>
      <w:proofErr w:type="spellStart"/>
      <w:r w:rsidRPr="005E3FCC">
        <w:rPr>
          <w:rFonts w:ascii="Times New Roman" w:hAnsi="Times New Roman" w:cs="Times New Roman"/>
          <w:color w:val="auto"/>
          <w:sz w:val="20"/>
          <w:szCs w:val="20"/>
        </w:rPr>
        <w:t>Breau</w:t>
      </w:r>
      <w:proofErr w:type="spellEnd"/>
      <w:r w:rsidRPr="005E3FCC">
        <w:rPr>
          <w:rFonts w:ascii="Times New Roman" w:hAnsi="Times New Roman" w:cs="Times New Roman"/>
          <w:color w:val="auto"/>
          <w:sz w:val="20"/>
          <w:szCs w:val="20"/>
        </w:rPr>
        <w:t xml:space="preserve"> and </w:t>
      </w:r>
      <w:proofErr w:type="spellStart"/>
      <w:r w:rsidRPr="005E3FCC">
        <w:rPr>
          <w:rFonts w:ascii="Times New Roman" w:hAnsi="Times New Roman" w:cs="Times New Roman"/>
          <w:color w:val="auto"/>
          <w:sz w:val="20"/>
          <w:szCs w:val="20"/>
        </w:rPr>
        <w:t>Katja</w:t>
      </w:r>
      <w:proofErr w:type="spellEnd"/>
      <w:r w:rsidRPr="005E3FCC">
        <w:rPr>
          <w:rFonts w:ascii="Times New Roman" w:hAnsi="Times New Roman" w:cs="Times New Roman"/>
          <w:color w:val="auto"/>
          <w:sz w:val="20"/>
          <w:szCs w:val="20"/>
        </w:rPr>
        <w:t xml:space="preserve"> L H Samuel (</w:t>
      </w:r>
      <w:proofErr w:type="spellStart"/>
      <w:r w:rsidRPr="005E3FCC">
        <w:rPr>
          <w:rFonts w:ascii="Times New Roman" w:hAnsi="Times New Roman" w:cs="Times New Roman"/>
          <w:color w:val="auto"/>
          <w:sz w:val="20"/>
          <w:szCs w:val="20"/>
        </w:rPr>
        <w:t>eds</w:t>
      </w:r>
      <w:proofErr w:type="spellEnd"/>
      <w:r w:rsidRPr="005E3FCC">
        <w:rPr>
          <w:rFonts w:ascii="Times New Roman" w:hAnsi="Times New Roman" w:cs="Times New Roman"/>
          <w:color w:val="auto"/>
          <w:sz w:val="20"/>
          <w:szCs w:val="20"/>
        </w:rPr>
        <w:t xml:space="preserve">), </w:t>
      </w:r>
      <w:r w:rsidRPr="005E3FCC">
        <w:rPr>
          <w:rFonts w:ascii="Times New Roman" w:hAnsi="Times New Roman" w:cs="Times New Roman"/>
          <w:i/>
          <w:color w:val="auto"/>
          <w:sz w:val="20"/>
          <w:szCs w:val="20"/>
        </w:rPr>
        <w:t>Research Handbook on Disasters and International Law</w:t>
      </w:r>
      <w:r w:rsidRPr="005E3FCC">
        <w:rPr>
          <w:rFonts w:ascii="Times New Roman" w:hAnsi="Times New Roman" w:cs="Times New Roman"/>
          <w:color w:val="auto"/>
          <w:sz w:val="20"/>
          <w:szCs w:val="20"/>
        </w:rPr>
        <w:t xml:space="preserve"> (Edward Elgar, forthcoming 2016); and Michael N Schmitt, ‘In Defense of Due Diligence in Cyberspace’ (2015) 125 </w:t>
      </w:r>
      <w:r w:rsidRPr="005E3FCC">
        <w:rPr>
          <w:rFonts w:ascii="Times New Roman" w:hAnsi="Times New Roman" w:cs="Times New Roman"/>
          <w:i/>
          <w:color w:val="auto"/>
          <w:sz w:val="20"/>
          <w:szCs w:val="20"/>
        </w:rPr>
        <w:t>Yale Law Journal Forum</w:t>
      </w:r>
      <w:r w:rsidRPr="005E3FCC">
        <w:rPr>
          <w:rFonts w:ascii="Times New Roman" w:hAnsi="Times New Roman" w:cs="Times New Roman"/>
          <w:color w:val="auto"/>
          <w:sz w:val="20"/>
          <w:szCs w:val="20"/>
        </w:rPr>
        <w:t xml:space="preserve"> 68.</w:t>
      </w:r>
    </w:p>
  </w:footnote>
  <w:footnote w:id="17">
    <w:p w:rsidR="00A75EF7" w:rsidRPr="005E3FCC" w:rsidRDefault="00A75EF7" w:rsidP="005E3FCC">
      <w:pPr>
        <w:pStyle w:val="FootnoteText"/>
        <w:jc w:val="both"/>
        <w:rPr>
          <w:rFonts w:ascii="Times New Roman" w:hAnsi="Times New Roman" w:cs="Times New Roman"/>
          <w:color w:val="auto"/>
          <w:sz w:val="20"/>
          <w:szCs w:val="20"/>
          <w:lang w:val="en-GB"/>
        </w:rPr>
      </w:pPr>
      <w:r w:rsidRPr="005E3FCC">
        <w:rPr>
          <w:rStyle w:val="FootnoteReference"/>
          <w:rFonts w:ascii="Times New Roman" w:hAnsi="Times New Roman" w:cs="Times New Roman"/>
          <w:color w:val="auto"/>
          <w:sz w:val="20"/>
          <w:szCs w:val="20"/>
        </w:rPr>
        <w:footnoteRef/>
      </w:r>
      <w:r w:rsidRPr="005E3FCC">
        <w:rPr>
          <w:rFonts w:ascii="Times New Roman" w:hAnsi="Times New Roman" w:cs="Times New Roman"/>
          <w:color w:val="auto"/>
          <w:sz w:val="20"/>
          <w:szCs w:val="20"/>
        </w:rPr>
        <w:t xml:space="preserve"> See Mary Ellen O’Connell, ‘Cyber Security without Cyber War’ </w:t>
      </w:r>
      <w:r w:rsidRPr="005E3FCC">
        <w:rPr>
          <w:rFonts w:ascii="Times New Roman" w:hAnsi="Times New Roman" w:cs="Times New Roman"/>
          <w:iCs/>
          <w:color w:val="auto"/>
          <w:sz w:val="20"/>
          <w:szCs w:val="20"/>
        </w:rPr>
        <w:t>(2012) 17</w:t>
      </w:r>
      <w:r w:rsidRPr="005E3FCC">
        <w:rPr>
          <w:rFonts w:ascii="Times New Roman" w:hAnsi="Times New Roman" w:cs="Times New Roman"/>
          <w:color w:val="auto"/>
          <w:sz w:val="20"/>
          <w:szCs w:val="20"/>
        </w:rPr>
        <w:t xml:space="preserve"> </w:t>
      </w:r>
      <w:r w:rsidRPr="005E3FCC">
        <w:rPr>
          <w:rStyle w:val="lucenesearchresulturlb"/>
          <w:rFonts w:ascii="Times New Roman" w:hAnsi="Times New Roman" w:cs="Times New Roman"/>
          <w:i/>
          <w:color w:val="auto"/>
          <w:sz w:val="20"/>
          <w:szCs w:val="20"/>
        </w:rPr>
        <w:t>Journal of Conflict and Security Law</w:t>
      </w:r>
      <w:r w:rsidRPr="005E3FCC">
        <w:rPr>
          <w:rFonts w:ascii="Times New Roman" w:hAnsi="Times New Roman" w:cs="Times New Roman"/>
          <w:color w:val="auto"/>
          <w:sz w:val="20"/>
          <w:szCs w:val="20"/>
        </w:rPr>
        <w:t xml:space="preserve"> 187, 204-205.</w:t>
      </w:r>
    </w:p>
  </w:footnote>
  <w:footnote w:id="18">
    <w:p w:rsidR="00A75EF7" w:rsidRPr="005E3FCC" w:rsidRDefault="00A75EF7" w:rsidP="005E3FCC">
      <w:pPr>
        <w:jc w:val="both"/>
        <w:rPr>
          <w:color w:val="auto"/>
          <w:sz w:val="20"/>
          <w:szCs w:val="20"/>
        </w:rPr>
      </w:pPr>
      <w:r w:rsidRPr="005E3FCC">
        <w:rPr>
          <w:rStyle w:val="FootnoteReference"/>
          <w:color w:val="auto"/>
          <w:sz w:val="20"/>
          <w:szCs w:val="20"/>
        </w:rPr>
        <w:footnoteRef/>
      </w:r>
      <w:r w:rsidRPr="005E3FCC">
        <w:rPr>
          <w:color w:val="auto"/>
          <w:sz w:val="20"/>
          <w:szCs w:val="20"/>
        </w:rPr>
        <w:t xml:space="preserve"> See, for example, Andrew </w:t>
      </w:r>
      <w:proofErr w:type="spellStart"/>
      <w:r w:rsidRPr="005E3FCC">
        <w:rPr>
          <w:color w:val="auto"/>
          <w:sz w:val="20"/>
          <w:szCs w:val="20"/>
        </w:rPr>
        <w:t>Futter</w:t>
      </w:r>
      <w:proofErr w:type="spellEnd"/>
      <w:r w:rsidRPr="005E3FCC">
        <w:rPr>
          <w:color w:val="auto"/>
          <w:sz w:val="20"/>
          <w:szCs w:val="20"/>
        </w:rPr>
        <w:t xml:space="preserve"> and Jeffrey Collins (</w:t>
      </w:r>
      <w:proofErr w:type="spellStart"/>
      <w:proofErr w:type="gramStart"/>
      <w:r w:rsidRPr="005E3FCC">
        <w:rPr>
          <w:color w:val="auto"/>
          <w:sz w:val="20"/>
          <w:szCs w:val="20"/>
        </w:rPr>
        <w:t>eds</w:t>
      </w:r>
      <w:proofErr w:type="spellEnd"/>
      <w:proofErr w:type="gramEnd"/>
      <w:r w:rsidRPr="005E3FCC">
        <w:rPr>
          <w:color w:val="auto"/>
          <w:sz w:val="20"/>
          <w:szCs w:val="20"/>
        </w:rPr>
        <w:t xml:space="preserve">), </w:t>
      </w:r>
      <w:r w:rsidRPr="005E3FCC">
        <w:rPr>
          <w:i/>
          <w:color w:val="auto"/>
          <w:sz w:val="20"/>
          <w:szCs w:val="20"/>
        </w:rPr>
        <w:t>Reassessing the Revolution in Military Affairs: Transformation, Evolution and Lessons Learnt</w:t>
      </w:r>
      <w:r w:rsidRPr="005E3FCC">
        <w:rPr>
          <w:color w:val="auto"/>
          <w:sz w:val="20"/>
          <w:szCs w:val="20"/>
        </w:rPr>
        <w:t xml:space="preserve"> (Palgrave Macmillan, 2015); and Special Issue: The Information Technology Revolution in Military Affairs, (2010) 33(4) </w:t>
      </w:r>
      <w:r w:rsidRPr="005E3FCC">
        <w:rPr>
          <w:i/>
          <w:color w:val="auto"/>
          <w:sz w:val="20"/>
          <w:szCs w:val="20"/>
        </w:rPr>
        <w:t>Journal of Strategic Studies</w:t>
      </w:r>
      <w:r w:rsidRPr="005E3FCC">
        <w:rPr>
          <w:color w:val="auto"/>
          <w:sz w:val="20"/>
          <w:szCs w:val="20"/>
        </w:rPr>
        <w:t>.</w:t>
      </w:r>
    </w:p>
  </w:footnote>
  <w:footnote w:id="19">
    <w:p w:rsidR="00A75EF7" w:rsidRPr="005E3FCC" w:rsidRDefault="00A75EF7" w:rsidP="005E3FCC">
      <w:pPr>
        <w:pStyle w:val="FootnoteText"/>
        <w:jc w:val="both"/>
        <w:rPr>
          <w:rFonts w:ascii="Times New Roman" w:hAnsi="Times New Roman" w:cs="Times New Roman"/>
          <w:color w:val="auto"/>
          <w:sz w:val="20"/>
          <w:szCs w:val="20"/>
          <w:lang w:val="en-GB"/>
        </w:rPr>
      </w:pPr>
      <w:r w:rsidRPr="005E3FCC">
        <w:rPr>
          <w:rStyle w:val="FootnoteReference"/>
          <w:rFonts w:ascii="Times New Roman" w:hAnsi="Times New Roman" w:cs="Times New Roman"/>
          <w:color w:val="auto"/>
          <w:sz w:val="20"/>
          <w:szCs w:val="20"/>
        </w:rPr>
        <w:footnoteRef/>
      </w:r>
      <w:r w:rsidRPr="005E3FCC">
        <w:rPr>
          <w:rFonts w:ascii="Times New Roman" w:hAnsi="Times New Roman" w:cs="Times New Roman"/>
          <w:color w:val="auto"/>
          <w:sz w:val="20"/>
          <w:szCs w:val="20"/>
        </w:rPr>
        <w:t xml:space="preserve"> </w:t>
      </w:r>
      <w:r w:rsidRPr="005E3FCC">
        <w:rPr>
          <w:rFonts w:ascii="Times New Roman" w:hAnsi="Times New Roman" w:cs="Times New Roman"/>
          <w:color w:val="auto"/>
          <w:sz w:val="20"/>
          <w:szCs w:val="20"/>
          <w:lang w:val="en-GB"/>
        </w:rPr>
        <w:t xml:space="preserve">Although, see, for example, Francis Grimal, </w:t>
      </w:r>
      <w:r w:rsidRPr="005E3FCC">
        <w:rPr>
          <w:rFonts w:ascii="Times New Roman" w:hAnsi="Times New Roman" w:cs="Times New Roman"/>
          <w:i/>
          <w:iCs/>
          <w:color w:val="auto"/>
          <w:sz w:val="20"/>
          <w:szCs w:val="20"/>
          <w:lang w:val="en-GB"/>
        </w:rPr>
        <w:t>Threats of Force: International Law and Strategy</w:t>
      </w:r>
      <w:r w:rsidRPr="005E3FCC">
        <w:rPr>
          <w:rFonts w:ascii="Times New Roman" w:hAnsi="Times New Roman" w:cs="Times New Roman"/>
          <w:color w:val="auto"/>
          <w:sz w:val="20"/>
          <w:szCs w:val="20"/>
          <w:lang w:val="en-GB"/>
        </w:rPr>
        <w:t xml:space="preserve"> (Routledge, 2012).</w:t>
      </w:r>
    </w:p>
  </w:footnote>
  <w:footnote w:id="20">
    <w:p w:rsidR="00A75EF7" w:rsidRPr="005E3FCC" w:rsidRDefault="00A75EF7" w:rsidP="005E3FCC">
      <w:pPr>
        <w:jc w:val="both"/>
        <w:rPr>
          <w:color w:val="auto"/>
          <w:sz w:val="20"/>
          <w:szCs w:val="20"/>
        </w:rPr>
      </w:pPr>
      <w:r w:rsidRPr="005E3FCC">
        <w:rPr>
          <w:rStyle w:val="FootnoteReference"/>
          <w:color w:val="auto"/>
          <w:sz w:val="20"/>
          <w:szCs w:val="20"/>
        </w:rPr>
        <w:footnoteRef/>
      </w:r>
      <w:r w:rsidRPr="005E3FCC">
        <w:rPr>
          <w:color w:val="auto"/>
          <w:sz w:val="20"/>
          <w:szCs w:val="20"/>
        </w:rPr>
        <w:t xml:space="preserve"> See, for example </w:t>
      </w:r>
      <w:r w:rsidRPr="005E3FCC">
        <w:rPr>
          <w:color w:val="auto"/>
          <w:kern w:val="1"/>
          <w:sz w:val="20"/>
          <w:szCs w:val="20"/>
        </w:rPr>
        <w:t xml:space="preserve">Andrew N </w:t>
      </w:r>
      <w:proofErr w:type="spellStart"/>
      <w:r w:rsidRPr="005E3FCC">
        <w:rPr>
          <w:color w:val="auto"/>
          <w:kern w:val="1"/>
          <w:sz w:val="20"/>
          <w:szCs w:val="20"/>
        </w:rPr>
        <w:t>Liaropolous</w:t>
      </w:r>
      <w:proofErr w:type="spellEnd"/>
      <w:r w:rsidRPr="005E3FCC">
        <w:rPr>
          <w:color w:val="auto"/>
          <w:kern w:val="1"/>
          <w:sz w:val="20"/>
          <w:szCs w:val="20"/>
        </w:rPr>
        <w:t xml:space="preserve">, ‘Revolutions in Warfare: Theoretical Paradigms and Historical Evidence – The Napoleonic and First World War Revolutions in Military Affairs’ (2006) 70 </w:t>
      </w:r>
      <w:r w:rsidRPr="005E3FCC">
        <w:rPr>
          <w:i/>
          <w:iCs/>
          <w:color w:val="auto"/>
          <w:kern w:val="1"/>
          <w:sz w:val="20"/>
          <w:szCs w:val="20"/>
        </w:rPr>
        <w:t>Journal of Military History</w:t>
      </w:r>
      <w:r w:rsidRPr="005E3FCC">
        <w:rPr>
          <w:color w:val="auto"/>
          <w:kern w:val="1"/>
          <w:sz w:val="20"/>
          <w:szCs w:val="20"/>
        </w:rPr>
        <w:t xml:space="preserve"> 363; and</w:t>
      </w:r>
      <w:r w:rsidRPr="005E3FCC">
        <w:rPr>
          <w:color w:val="auto"/>
          <w:sz w:val="20"/>
          <w:szCs w:val="20"/>
        </w:rPr>
        <w:t xml:space="preserve"> Richard Stiennon, ‘A Short History of Cyber Warfare’ in James A Green (</w:t>
      </w:r>
      <w:proofErr w:type="spellStart"/>
      <w:r w:rsidRPr="005E3FCC">
        <w:rPr>
          <w:color w:val="auto"/>
          <w:sz w:val="20"/>
          <w:szCs w:val="20"/>
        </w:rPr>
        <w:t>ed</w:t>
      </w:r>
      <w:proofErr w:type="spellEnd"/>
      <w:r w:rsidRPr="005E3FCC">
        <w:rPr>
          <w:color w:val="auto"/>
          <w:sz w:val="20"/>
          <w:szCs w:val="20"/>
        </w:rPr>
        <w:t xml:space="preserve">), </w:t>
      </w:r>
      <w:r w:rsidRPr="005E3FCC">
        <w:rPr>
          <w:i/>
          <w:color w:val="auto"/>
          <w:sz w:val="20"/>
          <w:szCs w:val="20"/>
        </w:rPr>
        <w:t>Cyber Warfare: A Multidisciplinary Analysis</w:t>
      </w:r>
      <w:r w:rsidRPr="005E3FCC">
        <w:rPr>
          <w:color w:val="auto"/>
          <w:sz w:val="20"/>
          <w:szCs w:val="20"/>
        </w:rPr>
        <w:t xml:space="preserve"> (Routledge, 2015), 7, 14-6.</w:t>
      </w:r>
    </w:p>
  </w:footnote>
  <w:footnote w:id="21">
    <w:p w:rsidR="00A75EF7" w:rsidRPr="005E3FCC" w:rsidRDefault="00A75EF7" w:rsidP="005E3FCC">
      <w:pPr>
        <w:pStyle w:val="BodyA"/>
        <w:jc w:val="both"/>
        <w:rPr>
          <w:rFonts w:ascii="Times New Roman" w:hAnsi="Times New Roman" w:cs="Times New Roman"/>
          <w:color w:val="auto"/>
          <w:sz w:val="20"/>
          <w:szCs w:val="20"/>
          <w:lang w:val="en-GB"/>
        </w:rPr>
      </w:pPr>
      <w:r w:rsidRPr="005E3FCC">
        <w:rPr>
          <w:rFonts w:ascii="Times New Roman" w:eastAsia="Times New Roman" w:hAnsi="Times New Roman" w:cs="Times New Roman"/>
          <w:color w:val="auto"/>
          <w:sz w:val="20"/>
          <w:szCs w:val="20"/>
          <w:vertAlign w:val="superscript"/>
          <w:lang w:val="en-GB"/>
        </w:rPr>
        <w:footnoteRef/>
      </w:r>
      <w:r w:rsidRPr="005E3FCC">
        <w:rPr>
          <w:rFonts w:ascii="Times New Roman" w:hAnsi="Times New Roman" w:cs="Times New Roman"/>
          <w:color w:val="auto"/>
          <w:sz w:val="20"/>
          <w:szCs w:val="20"/>
          <w:lang w:val="en-GB"/>
        </w:rPr>
        <w:t xml:space="preserve"> </w:t>
      </w:r>
      <w:proofErr w:type="gramStart"/>
      <w:r w:rsidRPr="005E3FCC">
        <w:rPr>
          <w:rFonts w:ascii="Times New Roman" w:hAnsi="Times New Roman" w:cs="Times New Roman"/>
          <w:color w:val="auto"/>
          <w:sz w:val="20"/>
          <w:szCs w:val="20"/>
          <w:lang w:val="en-GB"/>
        </w:rPr>
        <w:t>E</w:t>
      </w:r>
      <w:proofErr w:type="spellStart"/>
      <w:r w:rsidRPr="005E3FCC">
        <w:rPr>
          <w:rFonts w:ascii="Times New Roman" w:hAnsi="Times New Roman" w:cs="Times New Roman"/>
          <w:color w:val="auto"/>
          <w:sz w:val="20"/>
          <w:szCs w:val="20"/>
        </w:rPr>
        <w:t>liot</w:t>
      </w:r>
      <w:proofErr w:type="spellEnd"/>
      <w:r w:rsidRPr="005E3FCC">
        <w:rPr>
          <w:rFonts w:ascii="Times New Roman" w:hAnsi="Times New Roman" w:cs="Times New Roman"/>
          <w:color w:val="auto"/>
          <w:sz w:val="20"/>
          <w:szCs w:val="20"/>
        </w:rPr>
        <w:t xml:space="preserve"> A</w:t>
      </w:r>
      <w:r w:rsidRPr="005E3FCC">
        <w:rPr>
          <w:rFonts w:ascii="Times New Roman" w:hAnsi="Times New Roman" w:cs="Times New Roman"/>
          <w:color w:val="auto"/>
          <w:sz w:val="20"/>
          <w:szCs w:val="20"/>
          <w:lang w:val="en-GB"/>
        </w:rPr>
        <w:t xml:space="preserve"> Cohen, ‘A Revolution in Warfare’ (1996)</w:t>
      </w:r>
      <w:r w:rsidRPr="005E3FCC">
        <w:rPr>
          <w:rFonts w:ascii="Times New Roman" w:hAnsi="Times New Roman" w:cs="Times New Roman"/>
          <w:color w:val="auto"/>
          <w:sz w:val="20"/>
          <w:szCs w:val="20"/>
        </w:rPr>
        <w:t xml:space="preserve"> 75</w:t>
      </w:r>
      <w:r w:rsidRPr="005E3FCC">
        <w:rPr>
          <w:rFonts w:ascii="Times New Roman" w:hAnsi="Times New Roman" w:cs="Times New Roman"/>
          <w:i/>
          <w:iCs/>
          <w:color w:val="auto"/>
          <w:sz w:val="20"/>
          <w:szCs w:val="20"/>
          <w:lang w:val="en-GB"/>
        </w:rPr>
        <w:t xml:space="preserve"> Foreign Affairs</w:t>
      </w:r>
      <w:r w:rsidRPr="005E3FCC">
        <w:rPr>
          <w:rFonts w:ascii="Times New Roman" w:hAnsi="Times New Roman" w:cs="Times New Roman"/>
          <w:color w:val="auto"/>
          <w:sz w:val="20"/>
          <w:szCs w:val="20"/>
          <w:lang w:val="en-GB"/>
        </w:rPr>
        <w:t xml:space="preserve"> </w:t>
      </w:r>
      <w:r w:rsidRPr="005E3FCC">
        <w:rPr>
          <w:rFonts w:ascii="Times New Roman" w:hAnsi="Times New Roman" w:cs="Times New Roman"/>
          <w:color w:val="auto"/>
          <w:sz w:val="20"/>
          <w:szCs w:val="20"/>
        </w:rPr>
        <w:t>37.</w:t>
      </w:r>
      <w:proofErr w:type="gramEnd"/>
    </w:p>
  </w:footnote>
  <w:footnote w:id="22">
    <w:p w:rsidR="00A75EF7" w:rsidRPr="005E3FCC" w:rsidRDefault="00A75EF7" w:rsidP="005E3FCC">
      <w:pPr>
        <w:jc w:val="both"/>
        <w:rPr>
          <w:color w:val="auto"/>
          <w:sz w:val="20"/>
          <w:szCs w:val="20"/>
        </w:rPr>
      </w:pPr>
      <w:r w:rsidRPr="005E3FCC">
        <w:rPr>
          <w:rStyle w:val="FootnoteReference"/>
          <w:color w:val="auto"/>
          <w:sz w:val="20"/>
          <w:szCs w:val="20"/>
        </w:rPr>
        <w:footnoteRef/>
      </w:r>
      <w:r w:rsidRPr="005E3FCC">
        <w:rPr>
          <w:color w:val="auto"/>
          <w:sz w:val="20"/>
          <w:szCs w:val="20"/>
        </w:rPr>
        <w:t xml:space="preserve"> </w:t>
      </w:r>
      <w:proofErr w:type="gramStart"/>
      <w:r w:rsidRPr="005E3FCC">
        <w:rPr>
          <w:i/>
          <w:color w:val="auto"/>
          <w:sz w:val="20"/>
          <w:szCs w:val="20"/>
        </w:rPr>
        <w:t>Long Range Plan: Implementing USSPACECOM Vision for 2020</w:t>
      </w:r>
      <w:r w:rsidRPr="005E3FCC">
        <w:rPr>
          <w:color w:val="auto"/>
          <w:sz w:val="20"/>
          <w:szCs w:val="20"/>
        </w:rPr>
        <w:t xml:space="preserve"> (United States Space Command, 1998).</w:t>
      </w:r>
      <w:proofErr w:type="gramEnd"/>
    </w:p>
  </w:footnote>
  <w:footnote w:id="23">
    <w:p w:rsidR="00A75EF7" w:rsidRPr="005E3FCC" w:rsidRDefault="00A75EF7" w:rsidP="005E3FCC">
      <w:pPr>
        <w:jc w:val="both"/>
        <w:rPr>
          <w:color w:val="auto"/>
          <w:sz w:val="20"/>
          <w:szCs w:val="20"/>
        </w:rPr>
      </w:pPr>
      <w:r w:rsidRPr="005E3FCC">
        <w:rPr>
          <w:rStyle w:val="FootnoteReference"/>
          <w:color w:val="auto"/>
          <w:sz w:val="20"/>
          <w:szCs w:val="20"/>
        </w:rPr>
        <w:footnoteRef/>
      </w:r>
      <w:r w:rsidRPr="005E3FCC">
        <w:rPr>
          <w:color w:val="auto"/>
          <w:sz w:val="20"/>
          <w:szCs w:val="20"/>
        </w:rPr>
        <w:t xml:space="preserve"> For discussion of the cyber-attack on Estonia, see </w:t>
      </w:r>
      <w:proofErr w:type="spellStart"/>
      <w:r w:rsidRPr="005E3FCC">
        <w:rPr>
          <w:color w:val="auto"/>
          <w:sz w:val="20"/>
          <w:szCs w:val="20"/>
        </w:rPr>
        <w:t>Lene</w:t>
      </w:r>
      <w:proofErr w:type="spellEnd"/>
      <w:r w:rsidRPr="005E3FCC">
        <w:rPr>
          <w:color w:val="auto"/>
          <w:sz w:val="20"/>
          <w:szCs w:val="20"/>
        </w:rPr>
        <w:t xml:space="preserve"> Hansen, ‘Digital Disaster, Cyber Security, and the Copenhagen School’ (2009) 53 </w:t>
      </w:r>
      <w:r w:rsidRPr="005E3FCC">
        <w:rPr>
          <w:i/>
          <w:color w:val="auto"/>
          <w:sz w:val="20"/>
          <w:szCs w:val="20"/>
        </w:rPr>
        <w:t>International Studies Quarterly</w:t>
      </w:r>
      <w:r w:rsidRPr="005E3FCC">
        <w:rPr>
          <w:color w:val="auto"/>
          <w:sz w:val="20"/>
          <w:szCs w:val="20"/>
        </w:rPr>
        <w:t xml:space="preserve"> 1155, 1168-71.</w:t>
      </w:r>
    </w:p>
  </w:footnote>
  <w:footnote w:id="24">
    <w:p w:rsidR="00A75EF7" w:rsidRPr="005E3FCC" w:rsidRDefault="00A75EF7" w:rsidP="005E3FCC">
      <w:pPr>
        <w:pStyle w:val="FootnoteText"/>
        <w:jc w:val="both"/>
        <w:rPr>
          <w:rFonts w:ascii="Times New Roman" w:hAnsi="Times New Roman" w:cs="Times New Roman"/>
          <w:color w:val="auto"/>
          <w:sz w:val="20"/>
          <w:szCs w:val="20"/>
          <w:lang w:val="en-GB"/>
        </w:rPr>
      </w:pPr>
      <w:r w:rsidRPr="005E3FCC">
        <w:rPr>
          <w:rFonts w:ascii="Times New Roman" w:eastAsia="Times New Roman" w:hAnsi="Times New Roman" w:cs="Times New Roman"/>
          <w:color w:val="auto"/>
          <w:sz w:val="20"/>
          <w:szCs w:val="20"/>
          <w:vertAlign w:val="superscript"/>
          <w:lang w:val="en-GB"/>
        </w:rPr>
        <w:footnoteRef/>
      </w:r>
      <w:r w:rsidRPr="005E3FCC">
        <w:rPr>
          <w:rFonts w:ascii="Times New Roman" w:hAnsi="Times New Roman" w:cs="Times New Roman"/>
          <w:color w:val="auto"/>
          <w:sz w:val="20"/>
          <w:szCs w:val="20"/>
          <w:lang w:val="en-GB"/>
        </w:rPr>
        <w:t xml:space="preserve"> Although, note, for example</w:t>
      </w:r>
      <w:r w:rsidR="00856270" w:rsidRPr="005E3FCC">
        <w:rPr>
          <w:rFonts w:ascii="Times New Roman" w:hAnsi="Times New Roman" w:cs="Times New Roman"/>
          <w:color w:val="auto"/>
          <w:sz w:val="20"/>
          <w:szCs w:val="20"/>
          <w:lang w:val="en-GB"/>
        </w:rPr>
        <w:t>, the sources cited at n 4</w:t>
      </w:r>
      <w:r w:rsidRPr="005E3FCC">
        <w:rPr>
          <w:rFonts w:ascii="Times New Roman" w:hAnsi="Times New Roman" w:cs="Times New Roman"/>
          <w:color w:val="auto"/>
          <w:sz w:val="20"/>
          <w:szCs w:val="20"/>
          <w:lang w:val="en-GB"/>
        </w:rPr>
        <w:t>.</w:t>
      </w:r>
    </w:p>
  </w:footnote>
  <w:footnote w:id="25">
    <w:p w:rsidR="00A75EF7" w:rsidRPr="005E3FCC" w:rsidRDefault="00A75EF7" w:rsidP="005E3FCC">
      <w:pPr>
        <w:pStyle w:val="FootnoteText"/>
        <w:jc w:val="both"/>
        <w:rPr>
          <w:rFonts w:ascii="Times New Roman" w:hAnsi="Times New Roman" w:cs="Times New Roman"/>
          <w:color w:val="auto"/>
          <w:sz w:val="20"/>
          <w:szCs w:val="20"/>
          <w:lang w:val="en-GB"/>
        </w:rPr>
      </w:pPr>
      <w:r w:rsidRPr="005E3FCC">
        <w:rPr>
          <w:rFonts w:ascii="Times New Roman" w:eastAsia="Times New Roman" w:hAnsi="Times New Roman" w:cs="Times New Roman"/>
          <w:color w:val="auto"/>
          <w:sz w:val="20"/>
          <w:szCs w:val="20"/>
          <w:vertAlign w:val="superscript"/>
          <w:lang w:val="en-GB"/>
        </w:rPr>
        <w:footnoteRef/>
      </w:r>
      <w:r w:rsidRPr="005E3FCC">
        <w:rPr>
          <w:rFonts w:ascii="Times New Roman" w:hAnsi="Times New Roman" w:cs="Times New Roman"/>
          <w:color w:val="auto"/>
          <w:sz w:val="20"/>
          <w:szCs w:val="20"/>
          <w:lang w:val="en-GB"/>
        </w:rPr>
        <w:t xml:space="preserve"> Noting, of course, that in this context China could probably invoke Article VIII of the Outer Space Treaty, which would give it autonomy to dispose of its own ‘property’ in this way.</w:t>
      </w:r>
    </w:p>
  </w:footnote>
  <w:footnote w:id="26">
    <w:p w:rsidR="00A75EF7" w:rsidRPr="005E3FCC" w:rsidRDefault="00A75EF7" w:rsidP="005E3FCC">
      <w:pPr>
        <w:pStyle w:val="FootnoteText"/>
        <w:jc w:val="both"/>
        <w:rPr>
          <w:rFonts w:ascii="Times New Roman" w:eastAsiaTheme="minorEastAsia" w:hAnsi="Times New Roman" w:cs="Times New Roman"/>
          <w:color w:val="auto"/>
          <w:sz w:val="20"/>
          <w:szCs w:val="20"/>
          <w:bdr w:val="none" w:sz="0" w:space="0" w:color="auto"/>
        </w:rPr>
      </w:pPr>
      <w:r w:rsidRPr="005E3FCC">
        <w:rPr>
          <w:rStyle w:val="FootnoteReference"/>
          <w:rFonts w:ascii="Times New Roman" w:hAnsi="Times New Roman" w:cs="Times New Roman"/>
          <w:color w:val="auto"/>
          <w:sz w:val="20"/>
          <w:szCs w:val="20"/>
        </w:rPr>
        <w:footnoteRef/>
      </w:r>
      <w:r w:rsidRPr="005E3FCC">
        <w:rPr>
          <w:rFonts w:ascii="Times New Roman" w:hAnsi="Times New Roman" w:cs="Times New Roman"/>
          <w:color w:val="auto"/>
          <w:sz w:val="20"/>
          <w:szCs w:val="20"/>
        </w:rPr>
        <w:t xml:space="preserve"> See, for example, Jonathan Halpern, ‘Antisatellite Weaponry: The High Road to Destruction’ (1985) 3 </w:t>
      </w:r>
      <w:r w:rsidRPr="005E3FCC">
        <w:rPr>
          <w:rFonts w:ascii="Times New Roman" w:hAnsi="Times New Roman" w:cs="Times New Roman"/>
          <w:i/>
          <w:color w:val="auto"/>
          <w:sz w:val="20"/>
          <w:szCs w:val="20"/>
        </w:rPr>
        <w:t xml:space="preserve">Boston University International Law Journal </w:t>
      </w:r>
      <w:r w:rsidRPr="005E3FCC">
        <w:rPr>
          <w:rFonts w:ascii="Times New Roman" w:hAnsi="Times New Roman" w:cs="Times New Roman"/>
          <w:color w:val="auto"/>
          <w:sz w:val="20"/>
          <w:szCs w:val="20"/>
        </w:rPr>
        <w:t xml:space="preserve">167, 181; </w:t>
      </w:r>
      <w:proofErr w:type="gramStart"/>
      <w:r w:rsidRPr="005E3FCC">
        <w:rPr>
          <w:rFonts w:ascii="Times New Roman" w:hAnsi="Times New Roman" w:cs="Times New Roman"/>
          <w:color w:val="auto"/>
          <w:sz w:val="20"/>
          <w:szCs w:val="20"/>
        </w:rPr>
        <w:t>and  the</w:t>
      </w:r>
      <w:proofErr w:type="gramEnd"/>
      <w:r w:rsidRPr="005E3FCC">
        <w:rPr>
          <w:rFonts w:ascii="Times New Roman" w:hAnsi="Times New Roman" w:cs="Times New Roman"/>
          <w:color w:val="auto"/>
          <w:sz w:val="20"/>
          <w:szCs w:val="20"/>
        </w:rPr>
        <w:t xml:space="preserve"> </w:t>
      </w:r>
      <w:proofErr w:type="spellStart"/>
      <w:r w:rsidRPr="005E3FCC">
        <w:rPr>
          <w:rFonts w:ascii="Times New Roman" w:hAnsi="Times New Roman" w:cs="Times New Roman"/>
          <w:i/>
          <w:color w:val="auto"/>
          <w:sz w:val="20"/>
          <w:szCs w:val="20"/>
        </w:rPr>
        <w:t>travaux</w:t>
      </w:r>
      <w:proofErr w:type="spellEnd"/>
      <w:r w:rsidRPr="005E3FCC">
        <w:rPr>
          <w:rFonts w:ascii="Times New Roman" w:hAnsi="Times New Roman" w:cs="Times New Roman"/>
          <w:i/>
          <w:color w:val="auto"/>
          <w:sz w:val="20"/>
          <w:szCs w:val="20"/>
        </w:rPr>
        <w:t xml:space="preserve"> </w:t>
      </w:r>
      <w:proofErr w:type="spellStart"/>
      <w:r w:rsidRPr="005E3FCC">
        <w:rPr>
          <w:rFonts w:ascii="Times New Roman" w:hAnsi="Times New Roman" w:cs="Times New Roman"/>
          <w:i/>
          <w:color w:val="auto"/>
          <w:sz w:val="20"/>
          <w:szCs w:val="20"/>
        </w:rPr>
        <w:t>preparatoires</w:t>
      </w:r>
      <w:proofErr w:type="spellEnd"/>
      <w:r w:rsidRPr="005E3FCC">
        <w:rPr>
          <w:rFonts w:ascii="Times New Roman" w:hAnsi="Times New Roman" w:cs="Times New Roman"/>
          <w:i/>
          <w:color w:val="auto"/>
          <w:sz w:val="20"/>
          <w:szCs w:val="20"/>
        </w:rPr>
        <w:t xml:space="preserve"> </w:t>
      </w:r>
      <w:r w:rsidRPr="005E3FCC">
        <w:rPr>
          <w:rFonts w:ascii="Times New Roman" w:hAnsi="Times New Roman" w:cs="Times New Roman"/>
          <w:color w:val="auto"/>
          <w:sz w:val="20"/>
          <w:szCs w:val="20"/>
        </w:rPr>
        <w:t>themselves: ‘</w:t>
      </w:r>
      <w:r w:rsidRPr="005E3FCC">
        <w:rPr>
          <w:rFonts w:ascii="Times New Roman" w:eastAsiaTheme="minorEastAsia" w:hAnsi="Times New Roman" w:cs="Times New Roman"/>
          <w:color w:val="auto"/>
          <w:sz w:val="20"/>
          <w:szCs w:val="20"/>
          <w:bdr w:val="none" w:sz="0" w:space="0" w:color="auto"/>
        </w:rPr>
        <w:t xml:space="preserve">Treaty on Principles Governing the Activities of States in the Exploration and Use of Outer Space, Including the Moon and Other Celestial Bodies’ (16 September 1966) </w:t>
      </w:r>
      <w:r w:rsidRPr="005E3FCC">
        <w:rPr>
          <w:rFonts w:ascii="Times New Roman" w:hAnsi="Times New Roman" w:cs="Times New Roman"/>
          <w:color w:val="auto"/>
          <w:sz w:val="20"/>
          <w:szCs w:val="20"/>
        </w:rPr>
        <w:t xml:space="preserve">UN Doc </w:t>
      </w:r>
      <w:r w:rsidRPr="005E3FCC">
        <w:rPr>
          <w:rFonts w:ascii="Times New Roman" w:eastAsiaTheme="minorEastAsia" w:hAnsi="Times New Roman" w:cs="Times New Roman"/>
          <w:color w:val="auto"/>
          <w:sz w:val="20"/>
          <w:szCs w:val="20"/>
          <w:bdr w:val="none" w:sz="0" w:space="0" w:color="auto"/>
        </w:rPr>
        <w:t>A/AC.105/35 Annex III - WP.6/ Rev. 1 (</w:t>
      </w:r>
      <w:r w:rsidRPr="005E3FCC">
        <w:rPr>
          <w:rFonts w:ascii="Times New Roman" w:hAnsi="Times New Roman" w:cs="Times New Roman"/>
          <w:color w:val="auto"/>
          <w:sz w:val="20"/>
          <w:szCs w:val="20"/>
        </w:rPr>
        <w:t>note particularly the US’s interpretation of Art IV of the Outer Space Treaty)</w:t>
      </w:r>
      <w:r w:rsidRPr="005E3FCC">
        <w:rPr>
          <w:rFonts w:ascii="Times New Roman" w:eastAsiaTheme="minorEastAsia" w:hAnsi="Times New Roman" w:cs="Times New Roman"/>
          <w:color w:val="auto"/>
          <w:sz w:val="20"/>
          <w:szCs w:val="20"/>
          <w:bdr w:val="none" w:sz="0" w:space="0" w:color="auto"/>
        </w:rPr>
        <w:t xml:space="preserve">.  These sources are referenced by </w:t>
      </w:r>
      <w:proofErr w:type="spellStart"/>
      <w:r w:rsidRPr="005E3FCC">
        <w:rPr>
          <w:rFonts w:ascii="Times New Roman" w:eastAsiaTheme="minorEastAsia" w:hAnsi="Times New Roman" w:cs="Times New Roman"/>
          <w:color w:val="auto"/>
          <w:sz w:val="20"/>
          <w:szCs w:val="20"/>
          <w:bdr w:val="none" w:sz="0" w:space="0" w:color="auto"/>
        </w:rPr>
        <w:t>Maogoto</w:t>
      </w:r>
      <w:proofErr w:type="spellEnd"/>
      <w:r w:rsidRPr="005E3FCC">
        <w:rPr>
          <w:rFonts w:ascii="Times New Roman" w:eastAsiaTheme="minorEastAsia" w:hAnsi="Times New Roman" w:cs="Times New Roman"/>
          <w:color w:val="auto"/>
          <w:sz w:val="20"/>
          <w:szCs w:val="20"/>
          <w:bdr w:val="none" w:sz="0" w:space="0" w:color="auto"/>
        </w:rPr>
        <w:t xml:space="preserve"> himself in his doctoral thesis: </w:t>
      </w:r>
      <w:r w:rsidRPr="005E3FCC">
        <w:rPr>
          <w:rFonts w:ascii="Times New Roman" w:eastAsiaTheme="minorEastAsia" w:hAnsi="Times New Roman" w:cs="Times New Roman"/>
          <w:i/>
          <w:color w:val="auto"/>
          <w:sz w:val="20"/>
          <w:szCs w:val="20"/>
          <w:bdr w:val="none" w:sz="0" w:space="0" w:color="auto"/>
        </w:rPr>
        <w:t xml:space="preserve">The </w:t>
      </w:r>
      <w:proofErr w:type="spellStart"/>
      <w:r w:rsidRPr="005E3FCC">
        <w:rPr>
          <w:rFonts w:ascii="Times New Roman" w:eastAsiaTheme="minorEastAsia" w:hAnsi="Times New Roman" w:cs="Times New Roman"/>
          <w:i/>
          <w:color w:val="auto"/>
          <w:sz w:val="20"/>
          <w:szCs w:val="20"/>
          <w:bdr w:val="none" w:sz="0" w:space="0" w:color="auto"/>
        </w:rPr>
        <w:t>Militersiation</w:t>
      </w:r>
      <w:proofErr w:type="spellEnd"/>
      <w:r w:rsidRPr="005E3FCC">
        <w:rPr>
          <w:rFonts w:ascii="Times New Roman" w:eastAsiaTheme="minorEastAsia" w:hAnsi="Times New Roman" w:cs="Times New Roman"/>
          <w:i/>
          <w:color w:val="auto"/>
          <w:sz w:val="20"/>
          <w:szCs w:val="20"/>
          <w:bdr w:val="none" w:sz="0" w:space="0" w:color="auto"/>
        </w:rPr>
        <w:t xml:space="preserve"> and </w:t>
      </w:r>
      <w:proofErr w:type="spellStart"/>
      <w:r w:rsidRPr="005E3FCC">
        <w:rPr>
          <w:rFonts w:ascii="Times New Roman" w:eastAsiaTheme="minorEastAsia" w:hAnsi="Times New Roman" w:cs="Times New Roman"/>
          <w:i/>
          <w:color w:val="auto"/>
          <w:sz w:val="20"/>
          <w:szCs w:val="20"/>
          <w:bdr w:val="none" w:sz="0" w:space="0" w:color="auto"/>
        </w:rPr>
        <w:t>Weaponisation</w:t>
      </w:r>
      <w:proofErr w:type="spellEnd"/>
      <w:r w:rsidRPr="005E3FCC">
        <w:rPr>
          <w:rFonts w:ascii="Times New Roman" w:eastAsiaTheme="minorEastAsia" w:hAnsi="Times New Roman" w:cs="Times New Roman"/>
          <w:i/>
          <w:color w:val="auto"/>
          <w:sz w:val="20"/>
          <w:szCs w:val="20"/>
          <w:bdr w:val="none" w:sz="0" w:space="0" w:color="auto"/>
        </w:rPr>
        <w:t xml:space="preserve"> of Outer Space—From Playground to Battleground: Legal Perspectives on the Use of Force</w:t>
      </w:r>
      <w:r w:rsidRPr="005E3FCC">
        <w:rPr>
          <w:rFonts w:ascii="Times New Roman" w:eastAsiaTheme="minorEastAsia" w:hAnsi="Times New Roman" w:cs="Times New Roman"/>
          <w:color w:val="auto"/>
          <w:sz w:val="20"/>
          <w:szCs w:val="20"/>
          <w:bdr w:val="none" w:sz="0" w:space="0" w:color="auto"/>
        </w:rPr>
        <w:t xml:space="preserve"> (Sydney, 2007), 24.</w:t>
      </w:r>
    </w:p>
    <w:p w:rsidR="00A75EF7" w:rsidRPr="005E3FCC" w:rsidRDefault="00A75EF7" w:rsidP="005E3FCC">
      <w:pPr>
        <w:pStyle w:val="FootnoteText"/>
        <w:jc w:val="both"/>
        <w:rPr>
          <w:rFonts w:ascii="Times New Roman" w:hAnsi="Times New Roman" w:cs="Times New Roman"/>
          <w:color w:val="auto"/>
          <w:sz w:val="20"/>
          <w:szCs w:val="20"/>
          <w:lang w:val="sv-SE"/>
        </w:rPr>
      </w:pPr>
    </w:p>
    <w:p w:rsidR="00A75EF7" w:rsidRPr="005E3FCC" w:rsidRDefault="00A75EF7" w:rsidP="005E3FCC">
      <w:pPr>
        <w:pStyle w:val="FootnoteText"/>
        <w:jc w:val="both"/>
        <w:rPr>
          <w:rFonts w:ascii="Times New Roman" w:hAnsi="Times New Roman" w:cs="Times New Roman"/>
          <w:color w:val="auto"/>
          <w:sz w:val="20"/>
          <w:szCs w:val="20"/>
          <w:lang w:val="en-GB"/>
        </w:rPr>
      </w:pPr>
    </w:p>
  </w:footnote>
  <w:footnote w:id="27">
    <w:p w:rsidR="00A75EF7" w:rsidRPr="005E3FCC" w:rsidRDefault="00A75EF7" w:rsidP="005E3FCC">
      <w:pPr>
        <w:pStyle w:val="FootnoteText"/>
        <w:jc w:val="both"/>
        <w:rPr>
          <w:rFonts w:ascii="Times New Roman" w:hAnsi="Times New Roman" w:cs="Times New Roman"/>
          <w:color w:val="auto"/>
          <w:sz w:val="20"/>
          <w:szCs w:val="20"/>
          <w:lang w:val="en-GB"/>
        </w:rPr>
      </w:pPr>
      <w:r w:rsidRPr="005E3FCC">
        <w:rPr>
          <w:rStyle w:val="FootnoteReference"/>
          <w:rFonts w:ascii="Times New Roman" w:hAnsi="Times New Roman" w:cs="Times New Roman"/>
          <w:color w:val="auto"/>
          <w:sz w:val="20"/>
          <w:szCs w:val="20"/>
        </w:rPr>
        <w:footnoteRef/>
      </w:r>
      <w:r w:rsidRPr="005E3FCC">
        <w:rPr>
          <w:rFonts w:ascii="Times New Roman" w:hAnsi="Times New Roman" w:cs="Times New Roman"/>
          <w:color w:val="auto"/>
          <w:sz w:val="20"/>
          <w:szCs w:val="20"/>
          <w:lang w:val="en-GB"/>
        </w:rPr>
        <w:t xml:space="preserve"> See </w:t>
      </w:r>
      <w:r w:rsidRPr="005E3FCC">
        <w:rPr>
          <w:rFonts w:ascii="Times New Roman" w:hAnsi="Times New Roman" w:cs="Times New Roman"/>
          <w:color w:val="auto"/>
          <w:sz w:val="20"/>
          <w:szCs w:val="20"/>
        </w:rPr>
        <w:t>United Nations, Conference on Disarmament, 2015, http://nti.org/18TAR (accessed 21 April 2016).</w:t>
      </w:r>
    </w:p>
  </w:footnote>
  <w:footnote w:id="28">
    <w:p w:rsidR="00A75EF7" w:rsidRPr="005E3FCC" w:rsidRDefault="00A75EF7" w:rsidP="005E3FCC">
      <w:pPr>
        <w:pStyle w:val="FootnoteText"/>
        <w:jc w:val="both"/>
        <w:rPr>
          <w:rFonts w:ascii="Times New Roman" w:hAnsi="Times New Roman" w:cs="Times New Roman"/>
          <w:color w:val="auto"/>
          <w:sz w:val="20"/>
          <w:szCs w:val="20"/>
        </w:rPr>
      </w:pPr>
      <w:r w:rsidRPr="005E3FCC">
        <w:rPr>
          <w:rStyle w:val="FootnoteReference"/>
          <w:rFonts w:ascii="Times New Roman" w:hAnsi="Times New Roman" w:cs="Times New Roman"/>
          <w:color w:val="auto"/>
          <w:sz w:val="20"/>
          <w:szCs w:val="20"/>
        </w:rPr>
        <w:footnoteRef/>
      </w:r>
      <w:r w:rsidRPr="005E3FCC">
        <w:rPr>
          <w:rFonts w:ascii="Times New Roman" w:hAnsi="Times New Roman" w:cs="Times New Roman"/>
          <w:color w:val="auto"/>
          <w:sz w:val="20"/>
          <w:szCs w:val="20"/>
        </w:rPr>
        <w:t xml:space="preserve"> </w:t>
      </w:r>
      <w:proofErr w:type="gramStart"/>
      <w:r w:rsidRPr="005E3FCC">
        <w:rPr>
          <w:rFonts w:ascii="Times New Roman" w:hAnsi="Times New Roman" w:cs="Times New Roman"/>
          <w:color w:val="auto"/>
          <w:sz w:val="20"/>
          <w:szCs w:val="20"/>
        </w:rPr>
        <w:t xml:space="preserve">European Union External Action, ‘International Code of Conduct for Outer Space Activities’, (Draft) </w:t>
      </w:r>
      <w:r w:rsidRPr="005E3FCC">
        <w:rPr>
          <w:rFonts w:ascii="Times New Roman" w:hAnsi="Times New Roman" w:cs="Times New Roman"/>
          <w:i/>
          <w:color w:val="auto"/>
          <w:sz w:val="20"/>
          <w:szCs w:val="20"/>
        </w:rPr>
        <w:t>European External Action Service</w:t>
      </w:r>
      <w:r w:rsidRPr="005E3FCC">
        <w:rPr>
          <w:rFonts w:ascii="Times New Roman" w:hAnsi="Times New Roman" w:cs="Times New Roman"/>
          <w:color w:val="auto"/>
          <w:sz w:val="20"/>
          <w:szCs w:val="20"/>
        </w:rPr>
        <w:t xml:space="preserve"> (31 March 2014) http://eeas.europa.eu/non-proliferation-and-disarmament/outer-space-activities/index_en.htm (accessed 21 April 2016).</w:t>
      </w:r>
      <w:proofErr w:type="gramEnd"/>
    </w:p>
  </w:footnote>
  <w:footnote w:id="29">
    <w:p w:rsidR="00A75EF7" w:rsidRPr="005E3FCC" w:rsidRDefault="00A75EF7" w:rsidP="005E3FCC">
      <w:pPr>
        <w:pStyle w:val="FootnoteText"/>
        <w:jc w:val="both"/>
        <w:rPr>
          <w:rFonts w:ascii="Times New Roman" w:hAnsi="Times New Roman" w:cs="Times New Roman"/>
          <w:color w:val="auto"/>
          <w:sz w:val="20"/>
          <w:szCs w:val="20"/>
          <w:lang w:val="en-GB"/>
        </w:rPr>
      </w:pPr>
      <w:r w:rsidRPr="005E3FCC">
        <w:rPr>
          <w:rStyle w:val="FootnoteReference"/>
          <w:rFonts w:ascii="Times New Roman" w:hAnsi="Times New Roman" w:cs="Times New Roman"/>
          <w:color w:val="auto"/>
          <w:sz w:val="20"/>
          <w:szCs w:val="20"/>
        </w:rPr>
        <w:footnoteRef/>
      </w:r>
      <w:r w:rsidRPr="005E3FCC">
        <w:rPr>
          <w:rFonts w:ascii="Times New Roman" w:hAnsi="Times New Roman" w:cs="Times New Roman"/>
          <w:color w:val="auto"/>
          <w:sz w:val="20"/>
          <w:szCs w:val="20"/>
        </w:rPr>
        <w:t xml:space="preserve"> </w:t>
      </w:r>
      <w:r w:rsidRPr="005E3FCC">
        <w:rPr>
          <w:rFonts w:ascii="Times New Roman" w:hAnsi="Times New Roman" w:cs="Times New Roman"/>
          <w:color w:val="auto"/>
          <w:sz w:val="20"/>
          <w:szCs w:val="20"/>
          <w:lang w:val="en-GB"/>
        </w:rPr>
        <w:t>See, for e</w:t>
      </w:r>
      <w:r w:rsidR="00856270" w:rsidRPr="005E3FCC">
        <w:rPr>
          <w:rFonts w:ascii="Times New Roman" w:hAnsi="Times New Roman" w:cs="Times New Roman"/>
          <w:color w:val="auto"/>
          <w:sz w:val="20"/>
          <w:szCs w:val="20"/>
          <w:lang w:val="en-GB"/>
        </w:rPr>
        <w:t>xample, the sources cited in n 1</w:t>
      </w:r>
      <w:r w:rsidRPr="005E3FCC">
        <w:rPr>
          <w:rFonts w:ascii="Times New Roman" w:hAnsi="Times New Roman" w:cs="Times New Roman"/>
          <w:color w:val="auto"/>
          <w:sz w:val="20"/>
          <w:szCs w:val="20"/>
          <w:lang w:val="en-GB"/>
        </w:rPr>
        <w:t>.</w:t>
      </w:r>
    </w:p>
  </w:footnote>
  <w:footnote w:id="30">
    <w:p w:rsidR="005E3FCC" w:rsidRPr="005E3FCC" w:rsidRDefault="005E3FCC" w:rsidP="005E3FCC">
      <w:pPr>
        <w:pStyle w:val="FootnoteText"/>
        <w:jc w:val="both"/>
        <w:rPr>
          <w:rFonts w:ascii="Times New Roman" w:hAnsi="Times New Roman" w:cs="Times New Roman"/>
          <w:color w:val="auto"/>
          <w:sz w:val="20"/>
          <w:szCs w:val="20"/>
          <w:lang w:val="en-GB"/>
        </w:rPr>
      </w:pPr>
      <w:r w:rsidRPr="005E3FCC">
        <w:rPr>
          <w:rStyle w:val="FootnoteReference"/>
          <w:rFonts w:ascii="Times New Roman" w:hAnsi="Times New Roman" w:cs="Times New Roman"/>
          <w:color w:val="auto"/>
          <w:sz w:val="20"/>
          <w:szCs w:val="20"/>
        </w:rPr>
        <w:footnoteRef/>
      </w:r>
      <w:r w:rsidRPr="005E3FCC">
        <w:rPr>
          <w:rFonts w:ascii="Times New Roman" w:hAnsi="Times New Roman" w:cs="Times New Roman"/>
          <w:color w:val="auto"/>
          <w:sz w:val="20"/>
          <w:szCs w:val="20"/>
        </w:rPr>
        <w:t xml:space="preserve"> Michael J </w:t>
      </w:r>
      <w:proofErr w:type="spellStart"/>
      <w:r w:rsidRPr="005E3FCC">
        <w:rPr>
          <w:rFonts w:ascii="Times New Roman" w:hAnsi="Times New Roman" w:cs="Times New Roman"/>
          <w:color w:val="auto"/>
          <w:sz w:val="20"/>
          <w:szCs w:val="20"/>
        </w:rPr>
        <w:t>Sklerov</w:t>
      </w:r>
      <w:proofErr w:type="spellEnd"/>
      <w:r w:rsidRPr="005E3FCC">
        <w:rPr>
          <w:rFonts w:ascii="Times New Roman" w:hAnsi="Times New Roman" w:cs="Times New Roman"/>
          <w:color w:val="auto"/>
          <w:sz w:val="20"/>
          <w:szCs w:val="20"/>
        </w:rPr>
        <w:t xml:space="preserve">, ‘Solving the Dilemma of State Responses to Cyberattacks: A Justification for the Use of Active Defenses against States Who Neglect Their Duty to Prevent’ (2009) 201 </w:t>
      </w:r>
      <w:r w:rsidRPr="005E3FCC">
        <w:rPr>
          <w:rFonts w:ascii="Times New Roman" w:hAnsi="Times New Roman" w:cs="Times New Roman"/>
          <w:i/>
          <w:color w:val="auto"/>
          <w:sz w:val="20"/>
          <w:szCs w:val="20"/>
        </w:rPr>
        <w:t>Military Law Review</w:t>
      </w:r>
      <w:r w:rsidRPr="005E3FCC">
        <w:rPr>
          <w:rFonts w:ascii="Times New Roman" w:hAnsi="Times New Roman" w:cs="Times New Roman"/>
          <w:color w:val="auto"/>
          <w:sz w:val="20"/>
          <w:szCs w:val="20"/>
        </w:rPr>
        <w:t xml:space="preserve"> 1, particularly at 54-5.</w:t>
      </w:r>
    </w:p>
  </w:footnote>
  <w:footnote w:id="31">
    <w:p w:rsidR="00A75EF7" w:rsidRPr="005E3FCC" w:rsidRDefault="00A75EF7" w:rsidP="005E3FCC">
      <w:pPr>
        <w:pStyle w:val="FootnoteText"/>
        <w:jc w:val="both"/>
        <w:rPr>
          <w:rFonts w:ascii="Times New Roman" w:hAnsi="Times New Roman" w:cs="Times New Roman"/>
          <w:color w:val="auto"/>
          <w:sz w:val="20"/>
          <w:szCs w:val="20"/>
          <w:lang w:val="en-GB"/>
        </w:rPr>
      </w:pPr>
      <w:r w:rsidRPr="005E3FCC">
        <w:rPr>
          <w:rStyle w:val="FootnoteReference"/>
          <w:rFonts w:ascii="Times New Roman" w:hAnsi="Times New Roman" w:cs="Times New Roman"/>
          <w:color w:val="auto"/>
          <w:sz w:val="20"/>
          <w:szCs w:val="20"/>
        </w:rPr>
        <w:footnoteRef/>
      </w:r>
      <w:r w:rsidRPr="005E3FCC">
        <w:rPr>
          <w:rFonts w:ascii="Times New Roman" w:hAnsi="Times New Roman" w:cs="Times New Roman"/>
          <w:color w:val="auto"/>
          <w:sz w:val="20"/>
          <w:szCs w:val="20"/>
        </w:rPr>
        <w:t xml:space="preserve"> Michael N Schmitt ‘Computer Network Attack and the Use of Force in International Law: Thoughts on a Normative Framework’ (1999) 37 </w:t>
      </w:r>
      <w:r w:rsidRPr="005E3FCC">
        <w:rPr>
          <w:rFonts w:ascii="Times New Roman" w:hAnsi="Times New Roman" w:cs="Times New Roman"/>
          <w:i/>
          <w:color w:val="auto"/>
          <w:sz w:val="20"/>
          <w:szCs w:val="20"/>
        </w:rPr>
        <w:t>Columbia Journal of Transnational Law</w:t>
      </w:r>
      <w:r w:rsidRPr="005E3FCC">
        <w:rPr>
          <w:rFonts w:ascii="Times New Roman" w:hAnsi="Times New Roman" w:cs="Times New Roman"/>
          <w:color w:val="auto"/>
          <w:sz w:val="20"/>
          <w:szCs w:val="20"/>
        </w:rPr>
        <w:t xml:space="preserve"> 885.</w:t>
      </w:r>
    </w:p>
  </w:footnote>
  <w:footnote w:id="32">
    <w:p w:rsidR="00A75EF7" w:rsidRPr="005E3FCC" w:rsidRDefault="00A75EF7" w:rsidP="005E3FCC">
      <w:pPr>
        <w:pStyle w:val="FootnoteText"/>
        <w:jc w:val="both"/>
        <w:rPr>
          <w:rFonts w:ascii="Times New Roman" w:hAnsi="Times New Roman" w:cs="Times New Roman"/>
          <w:color w:val="auto"/>
          <w:sz w:val="20"/>
          <w:szCs w:val="20"/>
          <w:lang w:val="en-GB"/>
        </w:rPr>
      </w:pPr>
      <w:r w:rsidRPr="005E3FCC">
        <w:rPr>
          <w:rStyle w:val="FootnoteReference"/>
          <w:rFonts w:ascii="Times New Roman" w:hAnsi="Times New Roman" w:cs="Times New Roman"/>
          <w:color w:val="auto"/>
          <w:sz w:val="20"/>
          <w:szCs w:val="20"/>
        </w:rPr>
        <w:footnoteRef/>
      </w:r>
      <w:r w:rsidRPr="005E3FCC">
        <w:rPr>
          <w:rFonts w:ascii="Times New Roman" w:hAnsi="Times New Roman" w:cs="Times New Roman"/>
          <w:color w:val="auto"/>
          <w:sz w:val="20"/>
          <w:szCs w:val="20"/>
        </w:rPr>
        <w:t xml:space="preserve"> </w:t>
      </w:r>
      <w:r w:rsidRPr="005E3FCC">
        <w:rPr>
          <w:rFonts w:ascii="Times New Roman" w:hAnsi="Times New Roman" w:cs="Times New Roman"/>
          <w:color w:val="auto"/>
          <w:sz w:val="20"/>
          <w:szCs w:val="20"/>
          <w:lang w:val="en-GB"/>
        </w:rPr>
        <w:t>For some other notable examples in the book, see the accounts of the Soviet proposals relating to space attack weapons (74), or the US DoD’s approach to cyber activities (57 and 84).</w:t>
      </w:r>
    </w:p>
  </w:footnote>
  <w:footnote w:id="33">
    <w:p w:rsidR="00A75EF7" w:rsidRPr="005E3FCC" w:rsidRDefault="00A75EF7" w:rsidP="005E3FCC">
      <w:pPr>
        <w:pStyle w:val="FootnoteText"/>
        <w:jc w:val="both"/>
        <w:rPr>
          <w:rFonts w:ascii="Times New Roman" w:hAnsi="Times New Roman" w:cs="Times New Roman"/>
          <w:color w:val="auto"/>
          <w:sz w:val="20"/>
          <w:szCs w:val="20"/>
          <w:lang w:val="en-GB"/>
        </w:rPr>
      </w:pPr>
      <w:r w:rsidRPr="005E3FCC">
        <w:rPr>
          <w:rStyle w:val="FootnoteReference"/>
          <w:rFonts w:ascii="Times New Roman" w:hAnsi="Times New Roman" w:cs="Times New Roman"/>
          <w:color w:val="auto"/>
          <w:sz w:val="20"/>
          <w:szCs w:val="20"/>
        </w:rPr>
        <w:footnoteRef/>
      </w:r>
      <w:r w:rsidRPr="005E3FCC">
        <w:rPr>
          <w:rFonts w:ascii="Times New Roman" w:hAnsi="Times New Roman" w:cs="Times New Roman"/>
          <w:color w:val="auto"/>
          <w:sz w:val="20"/>
          <w:szCs w:val="20"/>
        </w:rPr>
        <w:t xml:space="preserve"> </w:t>
      </w:r>
      <w:r w:rsidRPr="005E3FCC">
        <w:rPr>
          <w:rFonts w:ascii="Times New Roman" w:hAnsi="Times New Roman" w:cs="Times New Roman"/>
          <w:color w:val="auto"/>
          <w:sz w:val="20"/>
          <w:szCs w:val="20"/>
          <w:lang w:val="en-GB"/>
        </w:rPr>
        <w:t xml:space="preserve">The debate is set out in detail in Green (n </w:t>
      </w:r>
      <w:r w:rsidR="00856270" w:rsidRPr="005E3FCC">
        <w:rPr>
          <w:rFonts w:ascii="Times New Roman" w:hAnsi="Times New Roman" w:cs="Times New Roman"/>
          <w:color w:val="auto"/>
          <w:sz w:val="20"/>
          <w:szCs w:val="20"/>
          <w:lang w:val="en-GB"/>
        </w:rPr>
        <w:t>1</w:t>
      </w:r>
      <w:r w:rsidRPr="005E3FCC">
        <w:rPr>
          <w:rFonts w:ascii="Times New Roman" w:hAnsi="Times New Roman" w:cs="Times New Roman"/>
          <w:color w:val="auto"/>
          <w:sz w:val="20"/>
          <w:szCs w:val="20"/>
          <w:lang w:val="en-GB"/>
        </w:rPr>
        <w:t xml:space="preserve">) </w:t>
      </w:r>
      <w:r w:rsidRPr="005E3FCC">
        <w:rPr>
          <w:rFonts w:ascii="Times New Roman" w:hAnsi="Times New Roman" w:cs="Times New Roman"/>
          <w:color w:val="auto"/>
          <w:sz w:val="20"/>
          <w:szCs w:val="20"/>
        </w:rPr>
        <w:t>particularly at 98-107.</w:t>
      </w:r>
    </w:p>
  </w:footnote>
  <w:footnote w:id="34">
    <w:p w:rsidR="00A75EF7" w:rsidRPr="005E3FCC" w:rsidRDefault="00A75EF7" w:rsidP="005E3FCC">
      <w:pPr>
        <w:pStyle w:val="FootnoteText"/>
        <w:jc w:val="both"/>
        <w:rPr>
          <w:rFonts w:ascii="Times New Roman" w:hAnsi="Times New Roman" w:cs="Times New Roman"/>
          <w:color w:val="auto"/>
          <w:sz w:val="20"/>
          <w:szCs w:val="20"/>
          <w:lang w:val="en-GB"/>
        </w:rPr>
      </w:pPr>
      <w:r w:rsidRPr="005E3FCC">
        <w:rPr>
          <w:rStyle w:val="FootnoteReference"/>
          <w:rFonts w:ascii="Times New Roman" w:hAnsi="Times New Roman" w:cs="Times New Roman"/>
          <w:color w:val="auto"/>
          <w:sz w:val="20"/>
          <w:szCs w:val="20"/>
        </w:rPr>
        <w:footnoteRef/>
      </w:r>
      <w:r w:rsidRPr="005E3FCC">
        <w:rPr>
          <w:rFonts w:ascii="Times New Roman" w:hAnsi="Times New Roman" w:cs="Times New Roman"/>
          <w:color w:val="auto"/>
          <w:sz w:val="20"/>
          <w:szCs w:val="20"/>
        </w:rPr>
        <w:t xml:space="preserve"> James A Green, </w:t>
      </w:r>
      <w:proofErr w:type="gramStart"/>
      <w:r w:rsidRPr="005E3FCC">
        <w:rPr>
          <w:rFonts w:ascii="Times New Roman" w:hAnsi="Times New Roman" w:cs="Times New Roman"/>
          <w:i/>
          <w:color w:val="auto"/>
          <w:sz w:val="20"/>
          <w:szCs w:val="20"/>
        </w:rPr>
        <w:t>The</w:t>
      </w:r>
      <w:proofErr w:type="gramEnd"/>
      <w:r w:rsidRPr="005E3FCC">
        <w:rPr>
          <w:rFonts w:ascii="Times New Roman" w:hAnsi="Times New Roman" w:cs="Times New Roman"/>
          <w:i/>
          <w:color w:val="auto"/>
          <w:sz w:val="20"/>
          <w:szCs w:val="20"/>
        </w:rPr>
        <w:t xml:space="preserve"> International Court of Justice and Self-</w:t>
      </w:r>
      <w:proofErr w:type="spellStart"/>
      <w:r w:rsidRPr="005E3FCC">
        <w:rPr>
          <w:rFonts w:ascii="Times New Roman" w:hAnsi="Times New Roman" w:cs="Times New Roman"/>
          <w:i/>
          <w:color w:val="auto"/>
          <w:sz w:val="20"/>
          <w:szCs w:val="20"/>
        </w:rPr>
        <w:t>Defence</w:t>
      </w:r>
      <w:proofErr w:type="spellEnd"/>
      <w:r w:rsidRPr="005E3FCC">
        <w:rPr>
          <w:rFonts w:ascii="Times New Roman" w:hAnsi="Times New Roman" w:cs="Times New Roman"/>
          <w:i/>
          <w:color w:val="auto"/>
          <w:sz w:val="20"/>
          <w:szCs w:val="20"/>
        </w:rPr>
        <w:t xml:space="preserve"> in International Law</w:t>
      </w:r>
      <w:r w:rsidRPr="005E3FCC">
        <w:rPr>
          <w:rFonts w:ascii="Times New Roman" w:hAnsi="Times New Roman" w:cs="Times New Roman"/>
          <w:color w:val="auto"/>
          <w:sz w:val="20"/>
          <w:szCs w:val="20"/>
        </w:rPr>
        <w:t xml:space="preserve"> (Hart, 2009), 31-3.</w:t>
      </w:r>
    </w:p>
  </w:footnote>
  <w:footnote w:id="35">
    <w:p w:rsidR="00A75EF7" w:rsidRPr="005E3FCC" w:rsidRDefault="00A75EF7" w:rsidP="005E3FCC">
      <w:pPr>
        <w:pStyle w:val="FootnoteText"/>
        <w:jc w:val="both"/>
        <w:rPr>
          <w:rFonts w:ascii="Times New Roman" w:hAnsi="Times New Roman" w:cs="Times New Roman"/>
          <w:color w:val="auto"/>
          <w:sz w:val="20"/>
          <w:szCs w:val="20"/>
          <w:lang w:val="en-GB"/>
        </w:rPr>
      </w:pPr>
      <w:r w:rsidRPr="005E3FCC">
        <w:rPr>
          <w:rStyle w:val="FootnoteReference"/>
          <w:rFonts w:ascii="Times New Roman" w:hAnsi="Times New Roman" w:cs="Times New Roman"/>
          <w:color w:val="auto"/>
          <w:sz w:val="20"/>
          <w:szCs w:val="20"/>
        </w:rPr>
        <w:footnoteRef/>
      </w:r>
      <w:r w:rsidRPr="005E3FCC">
        <w:rPr>
          <w:rFonts w:ascii="Times New Roman" w:hAnsi="Times New Roman" w:cs="Times New Roman"/>
          <w:color w:val="auto"/>
          <w:sz w:val="20"/>
          <w:szCs w:val="20"/>
        </w:rPr>
        <w:t xml:space="preserve"> On the </w:t>
      </w:r>
      <w:proofErr w:type="spellStart"/>
      <w:r w:rsidRPr="005E3FCC">
        <w:rPr>
          <w:rFonts w:ascii="Times New Roman" w:hAnsi="Times New Roman" w:cs="Times New Roman"/>
          <w:color w:val="auto"/>
          <w:sz w:val="20"/>
          <w:szCs w:val="20"/>
        </w:rPr>
        <w:t>Stuxnet</w:t>
      </w:r>
      <w:proofErr w:type="spellEnd"/>
      <w:r w:rsidRPr="005E3FCC">
        <w:rPr>
          <w:rFonts w:ascii="Times New Roman" w:hAnsi="Times New Roman" w:cs="Times New Roman"/>
          <w:color w:val="auto"/>
          <w:sz w:val="20"/>
          <w:szCs w:val="20"/>
        </w:rPr>
        <w:t xml:space="preserve"> virus, see </w:t>
      </w:r>
      <w:proofErr w:type="spellStart"/>
      <w:r w:rsidRPr="005E3FCC">
        <w:rPr>
          <w:rFonts w:ascii="Times New Roman" w:hAnsi="Times New Roman" w:cs="Times New Roman"/>
          <w:color w:val="auto"/>
          <w:sz w:val="20"/>
          <w:szCs w:val="20"/>
        </w:rPr>
        <w:t>Stiennon</w:t>
      </w:r>
      <w:proofErr w:type="spellEnd"/>
      <w:r w:rsidRPr="005E3FCC">
        <w:rPr>
          <w:rFonts w:ascii="Times New Roman" w:hAnsi="Times New Roman" w:cs="Times New Roman"/>
          <w:color w:val="auto"/>
          <w:sz w:val="20"/>
          <w:szCs w:val="20"/>
        </w:rPr>
        <w:t xml:space="preserve"> (n </w:t>
      </w:r>
      <w:r w:rsidR="00856270" w:rsidRPr="005E3FCC">
        <w:rPr>
          <w:rFonts w:ascii="Times New Roman" w:hAnsi="Times New Roman" w:cs="Times New Roman"/>
          <w:color w:val="auto"/>
          <w:sz w:val="20"/>
          <w:szCs w:val="20"/>
        </w:rPr>
        <w:t>19</w:t>
      </w:r>
      <w:r w:rsidRPr="005E3FCC">
        <w:rPr>
          <w:rFonts w:ascii="Times New Roman" w:hAnsi="Times New Roman" w:cs="Times New Roman"/>
          <w:color w:val="auto"/>
          <w:sz w:val="20"/>
          <w:szCs w:val="20"/>
        </w:rPr>
        <w:t>) 20-2.</w:t>
      </w:r>
    </w:p>
  </w:footnote>
  <w:footnote w:id="36">
    <w:p w:rsidR="00A75EF7" w:rsidRPr="005E3FCC" w:rsidRDefault="00A75EF7" w:rsidP="005E3FCC">
      <w:pPr>
        <w:pStyle w:val="FootnoteText"/>
        <w:jc w:val="both"/>
        <w:rPr>
          <w:rFonts w:ascii="Times New Roman" w:hAnsi="Times New Roman" w:cs="Times New Roman"/>
          <w:color w:val="auto"/>
          <w:sz w:val="20"/>
          <w:szCs w:val="20"/>
          <w:lang w:val="en-GB"/>
        </w:rPr>
      </w:pPr>
      <w:r w:rsidRPr="005E3FCC">
        <w:rPr>
          <w:rStyle w:val="FootnoteReference"/>
          <w:rFonts w:ascii="Times New Roman" w:hAnsi="Times New Roman" w:cs="Times New Roman"/>
          <w:color w:val="auto"/>
          <w:sz w:val="20"/>
          <w:szCs w:val="20"/>
        </w:rPr>
        <w:footnoteRef/>
      </w:r>
      <w:r w:rsidRPr="005E3FCC">
        <w:rPr>
          <w:rFonts w:ascii="Times New Roman" w:hAnsi="Times New Roman" w:cs="Times New Roman"/>
          <w:color w:val="auto"/>
          <w:sz w:val="20"/>
          <w:szCs w:val="20"/>
        </w:rPr>
        <w:t xml:space="preserve"> Michael N Schmitt (</w:t>
      </w:r>
      <w:proofErr w:type="spellStart"/>
      <w:r w:rsidRPr="005E3FCC">
        <w:rPr>
          <w:rFonts w:ascii="Times New Roman" w:hAnsi="Times New Roman" w:cs="Times New Roman"/>
          <w:color w:val="auto"/>
          <w:sz w:val="20"/>
          <w:szCs w:val="20"/>
        </w:rPr>
        <w:t>ed</w:t>
      </w:r>
      <w:proofErr w:type="spellEnd"/>
      <w:r w:rsidRPr="005E3FCC">
        <w:rPr>
          <w:rFonts w:ascii="Times New Roman" w:hAnsi="Times New Roman" w:cs="Times New Roman"/>
          <w:color w:val="auto"/>
          <w:sz w:val="20"/>
          <w:szCs w:val="20"/>
        </w:rPr>
        <w:t>),</w:t>
      </w:r>
      <w:r w:rsidRPr="005E3FCC">
        <w:rPr>
          <w:rFonts w:ascii="Times New Roman" w:hAnsi="Times New Roman" w:cs="Times New Roman"/>
          <w:i/>
          <w:color w:val="auto"/>
          <w:sz w:val="20"/>
          <w:szCs w:val="20"/>
        </w:rPr>
        <w:t xml:space="preserve"> Tallinn Manual on the International Law Applicable to Cyber Warfare</w:t>
      </w:r>
      <w:r w:rsidRPr="005E3FCC">
        <w:rPr>
          <w:rFonts w:ascii="Times New Roman" w:hAnsi="Times New Roman" w:cs="Times New Roman"/>
          <w:color w:val="auto"/>
          <w:sz w:val="20"/>
          <w:szCs w:val="20"/>
        </w:rPr>
        <w:t xml:space="preserve"> (prepared by the International Group of Experts at the Invitation of the North Atlantic Treaty Organization (NATO) Cooperative Cyber </w:t>
      </w:r>
      <w:proofErr w:type="spellStart"/>
      <w:r w:rsidRPr="005E3FCC">
        <w:rPr>
          <w:rFonts w:ascii="Times New Roman" w:hAnsi="Times New Roman" w:cs="Times New Roman"/>
          <w:color w:val="auto"/>
          <w:sz w:val="20"/>
          <w:szCs w:val="20"/>
        </w:rPr>
        <w:t>Defence</w:t>
      </w:r>
      <w:proofErr w:type="spellEnd"/>
      <w:r w:rsidRPr="005E3FCC">
        <w:rPr>
          <w:rFonts w:ascii="Times New Roman" w:hAnsi="Times New Roman" w:cs="Times New Roman"/>
          <w:color w:val="auto"/>
          <w:sz w:val="20"/>
          <w:szCs w:val="20"/>
        </w:rPr>
        <w:t xml:space="preserve"> Centre of Excellence, Cambridge University Press, 2013)</w:t>
      </w:r>
    </w:p>
  </w:footnote>
  <w:footnote w:id="37">
    <w:p w:rsidR="00A75EF7" w:rsidRPr="005E3FCC" w:rsidRDefault="00A75EF7" w:rsidP="005E3FCC">
      <w:pPr>
        <w:pStyle w:val="FootnoteText"/>
        <w:jc w:val="both"/>
        <w:rPr>
          <w:rFonts w:ascii="Times New Roman" w:hAnsi="Times New Roman" w:cs="Times New Roman"/>
          <w:color w:val="auto"/>
          <w:sz w:val="20"/>
          <w:szCs w:val="20"/>
          <w:lang w:val="en-GB"/>
        </w:rPr>
      </w:pPr>
      <w:r w:rsidRPr="005E3FCC">
        <w:rPr>
          <w:rStyle w:val="FootnoteReference"/>
          <w:rFonts w:ascii="Times New Roman" w:hAnsi="Times New Roman" w:cs="Times New Roman"/>
          <w:color w:val="auto"/>
          <w:sz w:val="20"/>
          <w:szCs w:val="20"/>
        </w:rPr>
        <w:footnoteRef/>
      </w:r>
      <w:r w:rsidRPr="005E3FCC">
        <w:rPr>
          <w:rFonts w:ascii="Times New Roman" w:hAnsi="Times New Roman" w:cs="Times New Roman"/>
          <w:color w:val="auto"/>
          <w:sz w:val="20"/>
          <w:szCs w:val="20"/>
        </w:rPr>
        <w:t xml:space="preserve"> </w:t>
      </w:r>
      <w:proofErr w:type="gramStart"/>
      <w:r w:rsidRPr="005E3FCC">
        <w:rPr>
          <w:rFonts w:ascii="Times New Roman" w:hAnsi="Times New Roman" w:cs="Times New Roman"/>
          <w:i/>
          <w:iCs/>
          <w:color w:val="auto"/>
          <w:sz w:val="20"/>
          <w:szCs w:val="20"/>
          <w:lang w:val="en-GB"/>
        </w:rPr>
        <w:t>Military and Paramilitary Activities in and against Nicaragua (Nicaragua v United States of America)</w:t>
      </w:r>
      <w:r w:rsidRPr="005E3FCC">
        <w:rPr>
          <w:rFonts w:ascii="Times New Roman" w:hAnsi="Times New Roman" w:cs="Times New Roman"/>
          <w:color w:val="auto"/>
          <w:sz w:val="20"/>
          <w:szCs w:val="20"/>
          <w:lang w:val="en-GB"/>
        </w:rPr>
        <w:t xml:space="preserve"> (merits) [1986] ICJ Rep 14.</w:t>
      </w:r>
      <w:proofErr w:type="gramEnd"/>
    </w:p>
  </w:footnote>
  <w:footnote w:id="38">
    <w:p w:rsidR="00A75EF7" w:rsidRPr="005E3FCC" w:rsidRDefault="00A75EF7" w:rsidP="005E3FCC">
      <w:pPr>
        <w:pStyle w:val="FootnoteText"/>
        <w:jc w:val="both"/>
        <w:rPr>
          <w:rFonts w:ascii="Times New Roman" w:hAnsi="Times New Roman" w:cs="Times New Roman"/>
          <w:color w:val="auto"/>
          <w:sz w:val="20"/>
          <w:szCs w:val="20"/>
        </w:rPr>
      </w:pPr>
      <w:r w:rsidRPr="005E3FCC">
        <w:rPr>
          <w:rStyle w:val="FootnoteReference"/>
          <w:rFonts w:ascii="Times New Roman" w:hAnsi="Times New Roman" w:cs="Times New Roman"/>
          <w:color w:val="auto"/>
          <w:sz w:val="20"/>
          <w:szCs w:val="20"/>
        </w:rPr>
        <w:footnoteRef/>
      </w:r>
      <w:r w:rsidRPr="005E3FCC">
        <w:rPr>
          <w:rFonts w:ascii="Times New Roman" w:hAnsi="Times New Roman" w:cs="Times New Roman"/>
          <w:color w:val="auto"/>
          <w:sz w:val="20"/>
          <w:szCs w:val="20"/>
        </w:rPr>
        <w:t xml:space="preserve"> Jack Goldsmith, ‘How Cyber Changes the Laws of War’ (2013) 24 </w:t>
      </w:r>
      <w:r w:rsidRPr="005E3FCC">
        <w:rPr>
          <w:rFonts w:ascii="Times New Roman" w:hAnsi="Times New Roman" w:cs="Times New Roman"/>
          <w:i/>
          <w:color w:val="auto"/>
          <w:sz w:val="20"/>
          <w:szCs w:val="20"/>
        </w:rPr>
        <w:t>European Journal of International Law</w:t>
      </w:r>
      <w:r w:rsidRPr="005E3FCC">
        <w:rPr>
          <w:rFonts w:ascii="Times New Roman" w:hAnsi="Times New Roman" w:cs="Times New Roman"/>
          <w:color w:val="auto"/>
          <w:sz w:val="20"/>
          <w:szCs w:val="20"/>
        </w:rPr>
        <w:t xml:space="preserve"> 129, 133.</w:t>
      </w:r>
    </w:p>
  </w:footnote>
  <w:footnote w:id="39">
    <w:p w:rsidR="00A75EF7" w:rsidRPr="005E3FCC" w:rsidRDefault="00A75EF7" w:rsidP="005E3FCC">
      <w:pPr>
        <w:pStyle w:val="FootnoteText"/>
        <w:jc w:val="both"/>
        <w:rPr>
          <w:rFonts w:ascii="Times New Roman" w:hAnsi="Times New Roman" w:cs="Times New Roman"/>
          <w:color w:val="auto"/>
          <w:sz w:val="20"/>
          <w:szCs w:val="20"/>
        </w:rPr>
      </w:pPr>
      <w:r w:rsidRPr="005E3FCC">
        <w:rPr>
          <w:rStyle w:val="FootnoteReference"/>
          <w:rFonts w:ascii="Times New Roman" w:hAnsi="Times New Roman" w:cs="Times New Roman"/>
          <w:color w:val="auto"/>
          <w:sz w:val="20"/>
          <w:szCs w:val="20"/>
        </w:rPr>
        <w:footnoteRef/>
      </w:r>
      <w:r w:rsidRPr="005E3FCC">
        <w:rPr>
          <w:rFonts w:ascii="Times New Roman" w:hAnsi="Times New Roman" w:cs="Times New Roman"/>
          <w:color w:val="auto"/>
          <w:sz w:val="20"/>
          <w:szCs w:val="20"/>
        </w:rPr>
        <w:t xml:space="preserve"> See Vida M </w:t>
      </w:r>
      <w:proofErr w:type="spellStart"/>
      <w:r w:rsidRPr="005E3FCC">
        <w:rPr>
          <w:rFonts w:ascii="Times New Roman" w:hAnsi="Times New Roman" w:cs="Times New Roman"/>
          <w:color w:val="auto"/>
          <w:sz w:val="20"/>
          <w:szCs w:val="20"/>
        </w:rPr>
        <w:t>Antolin</w:t>
      </w:r>
      <w:proofErr w:type="spellEnd"/>
      <w:r w:rsidRPr="005E3FCC">
        <w:rPr>
          <w:rFonts w:ascii="Times New Roman" w:hAnsi="Times New Roman" w:cs="Times New Roman"/>
          <w:color w:val="auto"/>
          <w:sz w:val="20"/>
          <w:szCs w:val="20"/>
        </w:rPr>
        <w:t xml:space="preserve">-Jenkins, ‘Defining the Parameters of Cyberwar Operations: Looking for Law in All the Wrong Places?’ (2005) 51 </w:t>
      </w:r>
      <w:r w:rsidRPr="005E3FCC">
        <w:rPr>
          <w:rFonts w:ascii="Times New Roman" w:hAnsi="Times New Roman" w:cs="Times New Roman"/>
          <w:i/>
          <w:color w:val="auto"/>
          <w:sz w:val="20"/>
          <w:szCs w:val="20"/>
        </w:rPr>
        <w:t>Naval Law Review</w:t>
      </w:r>
      <w:r w:rsidRPr="005E3FCC">
        <w:rPr>
          <w:rFonts w:ascii="Times New Roman" w:hAnsi="Times New Roman" w:cs="Times New Roman"/>
          <w:color w:val="auto"/>
          <w:sz w:val="20"/>
          <w:szCs w:val="20"/>
        </w:rPr>
        <w:t xml:space="preserve"> 132, 155; and </w:t>
      </w:r>
      <w:r w:rsidRPr="005E3FCC">
        <w:rPr>
          <w:rStyle w:val="lucenesearchresulturlb"/>
          <w:rFonts w:ascii="Times New Roman" w:hAnsi="Times New Roman" w:cs="Times New Roman"/>
          <w:color w:val="auto"/>
          <w:sz w:val="20"/>
          <w:szCs w:val="20"/>
        </w:rPr>
        <w:t xml:space="preserve">Stephanie G Handler, ‘New Cyber Face of Battle: Developing a Legal Approach to Accommodate Emerging Trends in Warfare’ (2012) 48 </w:t>
      </w:r>
      <w:r w:rsidRPr="005E3FCC">
        <w:rPr>
          <w:rFonts w:ascii="Times New Roman" w:hAnsi="Times New Roman" w:cs="Times New Roman"/>
          <w:i/>
          <w:iCs/>
          <w:color w:val="auto"/>
          <w:sz w:val="20"/>
          <w:szCs w:val="20"/>
        </w:rPr>
        <w:t>Stanford Journal of International Law</w:t>
      </w:r>
      <w:r w:rsidRPr="005E3FCC">
        <w:rPr>
          <w:rFonts w:ascii="Times New Roman" w:hAnsi="Times New Roman" w:cs="Times New Roman"/>
          <w:iCs/>
          <w:color w:val="auto"/>
          <w:sz w:val="20"/>
          <w:szCs w:val="20"/>
        </w:rPr>
        <w:t xml:space="preserve"> 209, </w:t>
      </w:r>
      <w:r w:rsidRPr="005E3FCC">
        <w:rPr>
          <w:rFonts w:ascii="Times New Roman" w:hAnsi="Times New Roman" w:cs="Times New Roman"/>
          <w:color w:val="auto"/>
          <w:sz w:val="20"/>
          <w:szCs w:val="20"/>
        </w:rPr>
        <w:t>229.</w:t>
      </w:r>
    </w:p>
  </w:footnote>
  <w:footnote w:id="40">
    <w:p w:rsidR="00A75EF7" w:rsidRPr="005E3FCC" w:rsidRDefault="00A75EF7" w:rsidP="005E3FCC">
      <w:pPr>
        <w:jc w:val="both"/>
        <w:rPr>
          <w:color w:val="auto"/>
          <w:sz w:val="20"/>
          <w:szCs w:val="20"/>
        </w:rPr>
      </w:pPr>
      <w:r w:rsidRPr="005E3FCC">
        <w:rPr>
          <w:rStyle w:val="FootnoteReference"/>
          <w:color w:val="auto"/>
          <w:sz w:val="20"/>
          <w:szCs w:val="20"/>
        </w:rPr>
        <w:footnoteRef/>
      </w:r>
      <w:r w:rsidRPr="005E3FCC">
        <w:rPr>
          <w:color w:val="auto"/>
          <w:sz w:val="20"/>
          <w:szCs w:val="20"/>
        </w:rPr>
        <w:t xml:space="preserve"> </w:t>
      </w:r>
      <w:proofErr w:type="gramStart"/>
      <w:r w:rsidRPr="005E3FCC">
        <w:rPr>
          <w:rStyle w:val="lucenesearchresulturlb"/>
          <w:color w:val="auto"/>
          <w:sz w:val="20"/>
          <w:szCs w:val="20"/>
        </w:rPr>
        <w:t xml:space="preserve">See </w:t>
      </w:r>
      <w:r w:rsidRPr="005E3FCC">
        <w:rPr>
          <w:color w:val="auto"/>
          <w:sz w:val="20"/>
          <w:szCs w:val="20"/>
        </w:rPr>
        <w:t xml:space="preserve">P W Singer and Allan Friedman, </w:t>
      </w:r>
      <w:r w:rsidRPr="005E3FCC">
        <w:rPr>
          <w:i/>
          <w:iCs/>
          <w:color w:val="auto"/>
          <w:sz w:val="20"/>
          <w:szCs w:val="20"/>
        </w:rPr>
        <w:t>Cybersecurity and Cyberwar: What Everyone Needs to Know</w:t>
      </w:r>
      <w:r w:rsidRPr="005E3FCC">
        <w:rPr>
          <w:color w:val="auto"/>
          <w:sz w:val="20"/>
          <w:szCs w:val="20"/>
        </w:rPr>
        <w:t xml:space="preserve"> (Oxford University Press, 2014) 75.</w:t>
      </w:r>
      <w:proofErr w:type="gramEnd"/>
    </w:p>
  </w:footnote>
  <w:footnote w:id="41">
    <w:p w:rsidR="00A75EF7" w:rsidRPr="005E3FCC" w:rsidRDefault="00A75EF7" w:rsidP="005E3FCC">
      <w:pPr>
        <w:jc w:val="both"/>
        <w:rPr>
          <w:color w:val="auto"/>
          <w:sz w:val="20"/>
          <w:szCs w:val="20"/>
        </w:rPr>
      </w:pPr>
      <w:r w:rsidRPr="005E3FCC">
        <w:rPr>
          <w:rStyle w:val="FootnoteReference"/>
          <w:color w:val="auto"/>
          <w:sz w:val="20"/>
          <w:szCs w:val="20"/>
        </w:rPr>
        <w:footnoteRef/>
      </w:r>
      <w:r w:rsidRPr="005E3FCC">
        <w:rPr>
          <w:color w:val="auto"/>
          <w:sz w:val="20"/>
          <w:szCs w:val="20"/>
        </w:rPr>
        <w:t xml:space="preserve"> On this issue, see, for example, Constantine Antonopoulos, ‘State Responsibility in Cyberspace’ in Nicholas Tsagourias and Russell Buchan (</w:t>
      </w:r>
      <w:proofErr w:type="spellStart"/>
      <w:r w:rsidRPr="005E3FCC">
        <w:rPr>
          <w:color w:val="auto"/>
          <w:sz w:val="20"/>
          <w:szCs w:val="20"/>
        </w:rPr>
        <w:t>eds</w:t>
      </w:r>
      <w:proofErr w:type="spellEnd"/>
      <w:r w:rsidRPr="005E3FCC">
        <w:rPr>
          <w:color w:val="auto"/>
          <w:sz w:val="20"/>
          <w:szCs w:val="20"/>
        </w:rPr>
        <w:t xml:space="preserve">), </w:t>
      </w:r>
      <w:r w:rsidRPr="005E3FCC">
        <w:rPr>
          <w:i/>
          <w:color w:val="auto"/>
          <w:sz w:val="20"/>
          <w:szCs w:val="20"/>
        </w:rPr>
        <w:t>Research Handbook on International Law and Cyberspace</w:t>
      </w:r>
      <w:r w:rsidRPr="005E3FCC">
        <w:rPr>
          <w:color w:val="auto"/>
          <w:sz w:val="20"/>
          <w:szCs w:val="20"/>
        </w:rPr>
        <w:t xml:space="preserve"> (Edward Elgar, 2015), 55.</w:t>
      </w:r>
    </w:p>
  </w:footnote>
  <w:footnote w:id="42">
    <w:p w:rsidR="00A75EF7" w:rsidRPr="005E3FCC" w:rsidRDefault="00A75EF7" w:rsidP="005E3FCC">
      <w:pPr>
        <w:pStyle w:val="FootnoteText"/>
        <w:jc w:val="both"/>
        <w:rPr>
          <w:rFonts w:ascii="Times New Roman" w:hAnsi="Times New Roman" w:cs="Times New Roman"/>
          <w:sz w:val="20"/>
          <w:szCs w:val="20"/>
          <w:lang w:val="en-GB"/>
        </w:rPr>
      </w:pPr>
      <w:r w:rsidRPr="005E3FCC">
        <w:rPr>
          <w:rStyle w:val="FootnoteReference"/>
          <w:rFonts w:ascii="Times New Roman" w:hAnsi="Times New Roman" w:cs="Times New Roman"/>
          <w:sz w:val="20"/>
          <w:szCs w:val="20"/>
        </w:rPr>
        <w:footnoteRef/>
      </w:r>
      <w:r w:rsidRPr="005E3FCC">
        <w:rPr>
          <w:rFonts w:ascii="Times New Roman" w:hAnsi="Times New Roman" w:cs="Times New Roman"/>
          <w:sz w:val="20"/>
          <w:szCs w:val="20"/>
        </w:rPr>
        <w:t xml:space="preserve"> </w:t>
      </w:r>
      <w:r w:rsidR="00856270" w:rsidRPr="005E3FCC">
        <w:rPr>
          <w:rFonts w:ascii="Times New Roman" w:hAnsi="Times New Roman" w:cs="Times New Roman"/>
          <w:sz w:val="20"/>
          <w:szCs w:val="20"/>
          <w:lang w:val="en-GB"/>
        </w:rPr>
        <w:t xml:space="preserve">See </w:t>
      </w:r>
      <w:proofErr w:type="spellStart"/>
      <w:r w:rsidR="00856270" w:rsidRPr="005E3FCC">
        <w:rPr>
          <w:rFonts w:ascii="Times New Roman" w:hAnsi="Times New Roman" w:cs="Times New Roman"/>
          <w:sz w:val="20"/>
          <w:szCs w:val="20"/>
          <w:lang w:val="en-GB"/>
        </w:rPr>
        <w:t>n</w:t>
      </w:r>
      <w:proofErr w:type="spellEnd"/>
      <w:r w:rsidR="00856270" w:rsidRPr="005E3FCC">
        <w:rPr>
          <w:rFonts w:ascii="Times New Roman" w:hAnsi="Times New Roman" w:cs="Times New Roman"/>
          <w:sz w:val="20"/>
          <w:szCs w:val="20"/>
          <w:lang w:val="en-GB"/>
        </w:rPr>
        <w:t xml:space="preserve"> 4</w:t>
      </w:r>
      <w:r w:rsidRPr="005E3FCC">
        <w:rPr>
          <w:rFonts w:ascii="Times New Roman" w:hAnsi="Times New Roman" w:cs="Times New Roman"/>
          <w:sz w:val="20"/>
          <w:szCs w:val="20"/>
          <w:lang w:val="en-GB"/>
        </w:rPr>
        <w:t xml:space="preserve"> and accompanying text.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FF6"/>
    <w:rsid w:val="00012AC6"/>
    <w:rsid w:val="0002073E"/>
    <w:rsid w:val="00021149"/>
    <w:rsid w:val="0002355E"/>
    <w:rsid w:val="00025BC3"/>
    <w:rsid w:val="00044CFF"/>
    <w:rsid w:val="000561E8"/>
    <w:rsid w:val="00060DD2"/>
    <w:rsid w:val="0006120E"/>
    <w:rsid w:val="000779BC"/>
    <w:rsid w:val="000A1629"/>
    <w:rsid w:val="000A4EFF"/>
    <w:rsid w:val="000B0D97"/>
    <w:rsid w:val="000B2DD3"/>
    <w:rsid w:val="000B507A"/>
    <w:rsid w:val="000C4BBB"/>
    <w:rsid w:val="000D081C"/>
    <w:rsid w:val="000F65CA"/>
    <w:rsid w:val="001004E6"/>
    <w:rsid w:val="001125C1"/>
    <w:rsid w:val="00122D3C"/>
    <w:rsid w:val="00132536"/>
    <w:rsid w:val="00157C17"/>
    <w:rsid w:val="001641B9"/>
    <w:rsid w:val="001A311F"/>
    <w:rsid w:val="001A7290"/>
    <w:rsid w:val="001C472B"/>
    <w:rsid w:val="001E51D0"/>
    <w:rsid w:val="001F4D8B"/>
    <w:rsid w:val="00215A9C"/>
    <w:rsid w:val="0025608D"/>
    <w:rsid w:val="00285B48"/>
    <w:rsid w:val="00292A3A"/>
    <w:rsid w:val="002A4538"/>
    <w:rsid w:val="002A5CD0"/>
    <w:rsid w:val="002F3703"/>
    <w:rsid w:val="00317ECE"/>
    <w:rsid w:val="0033701F"/>
    <w:rsid w:val="0035180F"/>
    <w:rsid w:val="00352589"/>
    <w:rsid w:val="00352F74"/>
    <w:rsid w:val="00363F40"/>
    <w:rsid w:val="003F3A1B"/>
    <w:rsid w:val="003F63FC"/>
    <w:rsid w:val="003F645D"/>
    <w:rsid w:val="004076A8"/>
    <w:rsid w:val="0043416E"/>
    <w:rsid w:val="00481076"/>
    <w:rsid w:val="004B4914"/>
    <w:rsid w:val="004E02A9"/>
    <w:rsid w:val="004E7309"/>
    <w:rsid w:val="00501006"/>
    <w:rsid w:val="00511060"/>
    <w:rsid w:val="0051473E"/>
    <w:rsid w:val="00522BF6"/>
    <w:rsid w:val="00533CA4"/>
    <w:rsid w:val="00536EC6"/>
    <w:rsid w:val="00537FF6"/>
    <w:rsid w:val="0054575C"/>
    <w:rsid w:val="00565E9F"/>
    <w:rsid w:val="00570FF6"/>
    <w:rsid w:val="0058003C"/>
    <w:rsid w:val="005A1192"/>
    <w:rsid w:val="005D15B8"/>
    <w:rsid w:val="005E340D"/>
    <w:rsid w:val="005E3FCC"/>
    <w:rsid w:val="005E67A7"/>
    <w:rsid w:val="005E6C52"/>
    <w:rsid w:val="005F297F"/>
    <w:rsid w:val="00650935"/>
    <w:rsid w:val="00650D29"/>
    <w:rsid w:val="0067587B"/>
    <w:rsid w:val="0069117F"/>
    <w:rsid w:val="006F57A1"/>
    <w:rsid w:val="00716854"/>
    <w:rsid w:val="00763FE5"/>
    <w:rsid w:val="00767415"/>
    <w:rsid w:val="00784EC0"/>
    <w:rsid w:val="00785C56"/>
    <w:rsid w:val="00790B7D"/>
    <w:rsid w:val="00797231"/>
    <w:rsid w:val="008065D6"/>
    <w:rsid w:val="00830AE0"/>
    <w:rsid w:val="008378B3"/>
    <w:rsid w:val="00856270"/>
    <w:rsid w:val="008C0D9B"/>
    <w:rsid w:val="008C4145"/>
    <w:rsid w:val="008D5301"/>
    <w:rsid w:val="008E3147"/>
    <w:rsid w:val="00905446"/>
    <w:rsid w:val="00915A38"/>
    <w:rsid w:val="00924564"/>
    <w:rsid w:val="00925344"/>
    <w:rsid w:val="00930F82"/>
    <w:rsid w:val="00936842"/>
    <w:rsid w:val="00940DC0"/>
    <w:rsid w:val="009455D1"/>
    <w:rsid w:val="00945D53"/>
    <w:rsid w:val="00961E05"/>
    <w:rsid w:val="00965A71"/>
    <w:rsid w:val="00972FAD"/>
    <w:rsid w:val="0097533F"/>
    <w:rsid w:val="0099104F"/>
    <w:rsid w:val="009A00D9"/>
    <w:rsid w:val="009A5406"/>
    <w:rsid w:val="009E2FC0"/>
    <w:rsid w:val="009E7A6A"/>
    <w:rsid w:val="00A11ED9"/>
    <w:rsid w:val="00A354E8"/>
    <w:rsid w:val="00A364D7"/>
    <w:rsid w:val="00A375C3"/>
    <w:rsid w:val="00A54478"/>
    <w:rsid w:val="00A5476C"/>
    <w:rsid w:val="00A6197E"/>
    <w:rsid w:val="00A66207"/>
    <w:rsid w:val="00A75EF7"/>
    <w:rsid w:val="00A919F5"/>
    <w:rsid w:val="00AD36A3"/>
    <w:rsid w:val="00AE12AD"/>
    <w:rsid w:val="00AE5A3D"/>
    <w:rsid w:val="00AF60A2"/>
    <w:rsid w:val="00B0070C"/>
    <w:rsid w:val="00B13E80"/>
    <w:rsid w:val="00B446D3"/>
    <w:rsid w:val="00B44D33"/>
    <w:rsid w:val="00B555A6"/>
    <w:rsid w:val="00B64824"/>
    <w:rsid w:val="00B91472"/>
    <w:rsid w:val="00BB069A"/>
    <w:rsid w:val="00BB1DA4"/>
    <w:rsid w:val="00BC5CBD"/>
    <w:rsid w:val="00BD4029"/>
    <w:rsid w:val="00BE1A75"/>
    <w:rsid w:val="00BE7E24"/>
    <w:rsid w:val="00BF4F8D"/>
    <w:rsid w:val="00C02D10"/>
    <w:rsid w:val="00C5536A"/>
    <w:rsid w:val="00C767D5"/>
    <w:rsid w:val="00CA2C36"/>
    <w:rsid w:val="00CA4524"/>
    <w:rsid w:val="00CB11DA"/>
    <w:rsid w:val="00CC2989"/>
    <w:rsid w:val="00CC41BB"/>
    <w:rsid w:val="00D27A9E"/>
    <w:rsid w:val="00D334E0"/>
    <w:rsid w:val="00D4126E"/>
    <w:rsid w:val="00D41CAA"/>
    <w:rsid w:val="00D77CD9"/>
    <w:rsid w:val="00D837C1"/>
    <w:rsid w:val="00D8751B"/>
    <w:rsid w:val="00D92F7A"/>
    <w:rsid w:val="00D95665"/>
    <w:rsid w:val="00DA0450"/>
    <w:rsid w:val="00DA2FAE"/>
    <w:rsid w:val="00DC0DF5"/>
    <w:rsid w:val="00DC3202"/>
    <w:rsid w:val="00DC6FF6"/>
    <w:rsid w:val="00DD62C6"/>
    <w:rsid w:val="00DE0AA1"/>
    <w:rsid w:val="00DE39A7"/>
    <w:rsid w:val="00DE4BDC"/>
    <w:rsid w:val="00DF4E31"/>
    <w:rsid w:val="00DF5B30"/>
    <w:rsid w:val="00E228EF"/>
    <w:rsid w:val="00E52FBC"/>
    <w:rsid w:val="00E66F0E"/>
    <w:rsid w:val="00E727CA"/>
    <w:rsid w:val="00E7772C"/>
    <w:rsid w:val="00E8181A"/>
    <w:rsid w:val="00E85F18"/>
    <w:rsid w:val="00E872C1"/>
    <w:rsid w:val="00EB35BD"/>
    <w:rsid w:val="00F26B7F"/>
    <w:rsid w:val="00F320F8"/>
    <w:rsid w:val="00F71C07"/>
    <w:rsid w:val="00F86BA7"/>
    <w:rsid w:val="00F903E2"/>
    <w:rsid w:val="00F9457F"/>
    <w:rsid w:val="00F96370"/>
    <w:rsid w:val="00FA68C4"/>
    <w:rsid w:val="00FC020A"/>
    <w:rsid w:val="00FC1361"/>
    <w:rsid w:val="00FD5FB6"/>
    <w:rsid w:val="00FE31A2"/>
    <w:rsid w:val="00FF09DD"/>
    <w:rsid w:val="00FF6D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color w:val="000000"/>
        <w:sz w:val="24"/>
        <w:szCs w:val="24"/>
        <w:u w:color="000000"/>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ascii="Helvetica" w:hAnsi="Helvetica" w:cs="Arial Unicode MS"/>
      <w:sz w:val="22"/>
      <w:szCs w:val="22"/>
      <w:lang w:val="en-US"/>
    </w:rPr>
  </w:style>
  <w:style w:type="paragraph" w:styleId="NoSpacing">
    <w:name w:val="No Spacing"/>
    <w:uiPriority w:val="1"/>
    <w:qFormat/>
    <w:rPr>
      <w:rFonts w:ascii="Calibri" w:eastAsia="Calibri" w:hAnsi="Calibri" w:cs="Calibri"/>
      <w:sz w:val="22"/>
      <w:szCs w:val="22"/>
      <w:lang w:val="en-US"/>
    </w:rPr>
  </w:style>
  <w:style w:type="paragraph" w:styleId="FootnoteText">
    <w:name w:val="footnote text"/>
    <w:aliases w:val=" Char,FN"/>
    <w:link w:val="FootnoteTextChar"/>
    <w:uiPriority w:val="99"/>
    <w:rPr>
      <w:rFonts w:ascii="Calibri" w:eastAsia="Calibri" w:hAnsi="Calibri" w:cs="Calibri"/>
      <w:lang w:val="en-US"/>
    </w:rPr>
  </w:style>
  <w:style w:type="paragraph" w:customStyle="1" w:styleId="Heading">
    <w:name w:val="Heading"/>
    <w:next w:val="Body"/>
    <w:pPr>
      <w:keepNext/>
      <w:outlineLvl w:val="0"/>
    </w:pPr>
    <w:rPr>
      <w:rFonts w:ascii="Helvetica" w:eastAsia="Helvetica" w:hAnsi="Helvetica" w:cs="Helvetica"/>
      <w:b/>
      <w:bCs/>
      <w:sz w:val="36"/>
      <w:szCs w:val="36"/>
    </w:rPr>
  </w:style>
  <w:style w:type="paragraph" w:customStyle="1" w:styleId="Body">
    <w:name w:val="Body"/>
    <w:rPr>
      <w:rFonts w:ascii="Helvetica" w:eastAsia="Helvetica" w:hAnsi="Helvetica" w:cs="Helvetica"/>
      <w:sz w:val="22"/>
      <w:szCs w:val="22"/>
    </w:rPr>
  </w:style>
  <w:style w:type="character" w:customStyle="1" w:styleId="Link">
    <w:name w:val="Link"/>
    <w:rPr>
      <w:u w:val="single"/>
    </w:rPr>
  </w:style>
  <w:style w:type="character" w:customStyle="1" w:styleId="Hyperlink0">
    <w:name w:val="Hyperlink.0"/>
    <w:basedOn w:val="Link"/>
    <w:rPr>
      <w:color w:val="0000FF"/>
      <w:u w:val="single" w:color="0000FF"/>
    </w:rPr>
  </w:style>
  <w:style w:type="character" w:styleId="FootnoteReference">
    <w:name w:val="footnote reference"/>
    <w:basedOn w:val="DefaultParagraphFont"/>
    <w:uiPriority w:val="99"/>
    <w:unhideWhenUsed/>
    <w:rsid w:val="00930F82"/>
    <w:rPr>
      <w:vertAlign w:val="superscript"/>
    </w:rPr>
  </w:style>
  <w:style w:type="character" w:styleId="Emphasis">
    <w:name w:val="Emphasis"/>
    <w:basedOn w:val="DefaultParagraphFont"/>
    <w:uiPriority w:val="20"/>
    <w:qFormat/>
    <w:rsid w:val="00522BF6"/>
    <w:rPr>
      <w:i/>
      <w:iCs/>
    </w:rPr>
  </w:style>
  <w:style w:type="character" w:customStyle="1" w:styleId="FootnoteTextChar">
    <w:name w:val="Footnote Text Char"/>
    <w:aliases w:val=" Char Char,FN Char"/>
    <w:basedOn w:val="DefaultParagraphFont"/>
    <w:link w:val="FootnoteText"/>
    <w:uiPriority w:val="99"/>
    <w:rsid w:val="009E2FC0"/>
    <w:rPr>
      <w:rFonts w:ascii="Calibri" w:eastAsia="Calibri" w:hAnsi="Calibri" w:cs="Calibri"/>
      <w:color w:val="000000"/>
      <w:u w:color="000000"/>
      <w:lang w:val="en-US"/>
    </w:rPr>
  </w:style>
  <w:style w:type="character" w:customStyle="1" w:styleId="lucenesearchresulturlb">
    <w:name w:val="lucene_search_result_url_b"/>
    <w:basedOn w:val="DefaultParagraphFont"/>
    <w:rsid w:val="00763FE5"/>
  </w:style>
  <w:style w:type="character" w:styleId="CommentReference">
    <w:name w:val="annotation reference"/>
    <w:basedOn w:val="DefaultParagraphFont"/>
    <w:uiPriority w:val="99"/>
    <w:semiHidden/>
    <w:unhideWhenUsed/>
    <w:rsid w:val="00352589"/>
    <w:rPr>
      <w:sz w:val="16"/>
      <w:szCs w:val="16"/>
    </w:rPr>
  </w:style>
  <w:style w:type="paragraph" w:styleId="CommentText">
    <w:name w:val="annotation text"/>
    <w:basedOn w:val="Normal"/>
    <w:link w:val="CommentTextChar"/>
    <w:uiPriority w:val="99"/>
    <w:semiHidden/>
    <w:unhideWhenUsed/>
    <w:rsid w:val="00352589"/>
    <w:rPr>
      <w:sz w:val="20"/>
      <w:szCs w:val="20"/>
    </w:rPr>
  </w:style>
  <w:style w:type="character" w:customStyle="1" w:styleId="CommentTextChar">
    <w:name w:val="Comment Text Char"/>
    <w:basedOn w:val="DefaultParagraphFont"/>
    <w:link w:val="CommentText"/>
    <w:uiPriority w:val="99"/>
    <w:semiHidden/>
    <w:rsid w:val="00352589"/>
  </w:style>
  <w:style w:type="paragraph" w:styleId="CommentSubject">
    <w:name w:val="annotation subject"/>
    <w:basedOn w:val="CommentText"/>
    <w:next w:val="CommentText"/>
    <w:link w:val="CommentSubjectChar"/>
    <w:uiPriority w:val="99"/>
    <w:semiHidden/>
    <w:unhideWhenUsed/>
    <w:rsid w:val="00352589"/>
    <w:rPr>
      <w:b/>
      <w:bCs/>
    </w:rPr>
  </w:style>
  <w:style w:type="character" w:customStyle="1" w:styleId="CommentSubjectChar">
    <w:name w:val="Comment Subject Char"/>
    <w:basedOn w:val="CommentTextChar"/>
    <w:link w:val="CommentSubject"/>
    <w:uiPriority w:val="99"/>
    <w:semiHidden/>
    <w:rsid w:val="00352589"/>
    <w:rPr>
      <w:b/>
      <w:bCs/>
    </w:rPr>
  </w:style>
  <w:style w:type="paragraph" w:styleId="BalloonText">
    <w:name w:val="Balloon Text"/>
    <w:basedOn w:val="Normal"/>
    <w:link w:val="BalloonTextChar"/>
    <w:uiPriority w:val="99"/>
    <w:semiHidden/>
    <w:unhideWhenUsed/>
    <w:rsid w:val="003525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589"/>
    <w:rPr>
      <w:rFonts w:ascii="Segoe UI" w:hAnsi="Segoe UI" w:cs="Segoe UI"/>
      <w:sz w:val="18"/>
      <w:szCs w:val="18"/>
    </w:rPr>
  </w:style>
  <w:style w:type="character" w:customStyle="1" w:styleId="apple-converted-space">
    <w:name w:val="apple-converted-space"/>
    <w:basedOn w:val="DefaultParagraphFont"/>
    <w:rsid w:val="00784EC0"/>
  </w:style>
  <w:style w:type="paragraph" w:styleId="Header">
    <w:name w:val="header"/>
    <w:basedOn w:val="Normal"/>
    <w:link w:val="HeaderChar"/>
    <w:uiPriority w:val="99"/>
    <w:unhideWhenUsed/>
    <w:rsid w:val="00BD4029"/>
    <w:pPr>
      <w:tabs>
        <w:tab w:val="center" w:pos="4513"/>
        <w:tab w:val="right" w:pos="9026"/>
      </w:tabs>
    </w:pPr>
  </w:style>
  <w:style w:type="character" w:customStyle="1" w:styleId="HeaderChar">
    <w:name w:val="Header Char"/>
    <w:basedOn w:val="DefaultParagraphFont"/>
    <w:link w:val="Header"/>
    <w:uiPriority w:val="99"/>
    <w:rsid w:val="00BD4029"/>
  </w:style>
  <w:style w:type="paragraph" w:styleId="Footer">
    <w:name w:val="footer"/>
    <w:basedOn w:val="Normal"/>
    <w:link w:val="FooterChar"/>
    <w:uiPriority w:val="99"/>
    <w:unhideWhenUsed/>
    <w:rsid w:val="00BD4029"/>
    <w:pPr>
      <w:tabs>
        <w:tab w:val="center" w:pos="4513"/>
        <w:tab w:val="right" w:pos="9026"/>
      </w:tabs>
    </w:pPr>
  </w:style>
  <w:style w:type="character" w:customStyle="1" w:styleId="FooterChar">
    <w:name w:val="Footer Char"/>
    <w:basedOn w:val="DefaultParagraphFont"/>
    <w:link w:val="Footer"/>
    <w:uiPriority w:val="99"/>
    <w:rsid w:val="00BD4029"/>
  </w:style>
  <w:style w:type="character" w:styleId="FollowedHyperlink">
    <w:name w:val="FollowedHyperlink"/>
    <w:basedOn w:val="DefaultParagraphFont"/>
    <w:uiPriority w:val="99"/>
    <w:semiHidden/>
    <w:unhideWhenUsed/>
    <w:rsid w:val="005F297F"/>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color w:val="000000"/>
        <w:sz w:val="24"/>
        <w:szCs w:val="24"/>
        <w:u w:color="000000"/>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ascii="Helvetica" w:hAnsi="Helvetica" w:cs="Arial Unicode MS"/>
      <w:sz w:val="22"/>
      <w:szCs w:val="22"/>
      <w:lang w:val="en-US"/>
    </w:rPr>
  </w:style>
  <w:style w:type="paragraph" w:styleId="NoSpacing">
    <w:name w:val="No Spacing"/>
    <w:uiPriority w:val="1"/>
    <w:qFormat/>
    <w:rPr>
      <w:rFonts w:ascii="Calibri" w:eastAsia="Calibri" w:hAnsi="Calibri" w:cs="Calibri"/>
      <w:sz w:val="22"/>
      <w:szCs w:val="22"/>
      <w:lang w:val="en-US"/>
    </w:rPr>
  </w:style>
  <w:style w:type="paragraph" w:styleId="FootnoteText">
    <w:name w:val="footnote text"/>
    <w:aliases w:val=" Char,FN"/>
    <w:link w:val="FootnoteTextChar"/>
    <w:uiPriority w:val="99"/>
    <w:rPr>
      <w:rFonts w:ascii="Calibri" w:eastAsia="Calibri" w:hAnsi="Calibri" w:cs="Calibri"/>
      <w:lang w:val="en-US"/>
    </w:rPr>
  </w:style>
  <w:style w:type="paragraph" w:customStyle="1" w:styleId="Heading">
    <w:name w:val="Heading"/>
    <w:next w:val="Body"/>
    <w:pPr>
      <w:keepNext/>
      <w:outlineLvl w:val="0"/>
    </w:pPr>
    <w:rPr>
      <w:rFonts w:ascii="Helvetica" w:eastAsia="Helvetica" w:hAnsi="Helvetica" w:cs="Helvetica"/>
      <w:b/>
      <w:bCs/>
      <w:sz w:val="36"/>
      <w:szCs w:val="36"/>
    </w:rPr>
  </w:style>
  <w:style w:type="paragraph" w:customStyle="1" w:styleId="Body">
    <w:name w:val="Body"/>
    <w:rPr>
      <w:rFonts w:ascii="Helvetica" w:eastAsia="Helvetica" w:hAnsi="Helvetica" w:cs="Helvetica"/>
      <w:sz w:val="22"/>
      <w:szCs w:val="22"/>
    </w:rPr>
  </w:style>
  <w:style w:type="character" w:customStyle="1" w:styleId="Link">
    <w:name w:val="Link"/>
    <w:rPr>
      <w:u w:val="single"/>
    </w:rPr>
  </w:style>
  <w:style w:type="character" w:customStyle="1" w:styleId="Hyperlink0">
    <w:name w:val="Hyperlink.0"/>
    <w:basedOn w:val="Link"/>
    <w:rPr>
      <w:color w:val="0000FF"/>
      <w:u w:val="single" w:color="0000FF"/>
    </w:rPr>
  </w:style>
  <w:style w:type="character" w:styleId="FootnoteReference">
    <w:name w:val="footnote reference"/>
    <w:basedOn w:val="DefaultParagraphFont"/>
    <w:uiPriority w:val="99"/>
    <w:unhideWhenUsed/>
    <w:rsid w:val="00930F82"/>
    <w:rPr>
      <w:vertAlign w:val="superscript"/>
    </w:rPr>
  </w:style>
  <w:style w:type="character" w:styleId="Emphasis">
    <w:name w:val="Emphasis"/>
    <w:basedOn w:val="DefaultParagraphFont"/>
    <w:uiPriority w:val="20"/>
    <w:qFormat/>
    <w:rsid w:val="00522BF6"/>
    <w:rPr>
      <w:i/>
      <w:iCs/>
    </w:rPr>
  </w:style>
  <w:style w:type="character" w:customStyle="1" w:styleId="FootnoteTextChar">
    <w:name w:val="Footnote Text Char"/>
    <w:aliases w:val=" Char Char,FN Char"/>
    <w:basedOn w:val="DefaultParagraphFont"/>
    <w:link w:val="FootnoteText"/>
    <w:uiPriority w:val="99"/>
    <w:rsid w:val="009E2FC0"/>
    <w:rPr>
      <w:rFonts w:ascii="Calibri" w:eastAsia="Calibri" w:hAnsi="Calibri" w:cs="Calibri"/>
      <w:color w:val="000000"/>
      <w:u w:color="000000"/>
      <w:lang w:val="en-US"/>
    </w:rPr>
  </w:style>
  <w:style w:type="character" w:customStyle="1" w:styleId="lucenesearchresulturlb">
    <w:name w:val="lucene_search_result_url_b"/>
    <w:basedOn w:val="DefaultParagraphFont"/>
    <w:rsid w:val="00763FE5"/>
  </w:style>
  <w:style w:type="character" w:styleId="CommentReference">
    <w:name w:val="annotation reference"/>
    <w:basedOn w:val="DefaultParagraphFont"/>
    <w:uiPriority w:val="99"/>
    <w:semiHidden/>
    <w:unhideWhenUsed/>
    <w:rsid w:val="00352589"/>
    <w:rPr>
      <w:sz w:val="16"/>
      <w:szCs w:val="16"/>
    </w:rPr>
  </w:style>
  <w:style w:type="paragraph" w:styleId="CommentText">
    <w:name w:val="annotation text"/>
    <w:basedOn w:val="Normal"/>
    <w:link w:val="CommentTextChar"/>
    <w:uiPriority w:val="99"/>
    <w:semiHidden/>
    <w:unhideWhenUsed/>
    <w:rsid w:val="00352589"/>
    <w:rPr>
      <w:sz w:val="20"/>
      <w:szCs w:val="20"/>
    </w:rPr>
  </w:style>
  <w:style w:type="character" w:customStyle="1" w:styleId="CommentTextChar">
    <w:name w:val="Comment Text Char"/>
    <w:basedOn w:val="DefaultParagraphFont"/>
    <w:link w:val="CommentText"/>
    <w:uiPriority w:val="99"/>
    <w:semiHidden/>
    <w:rsid w:val="00352589"/>
  </w:style>
  <w:style w:type="paragraph" w:styleId="CommentSubject">
    <w:name w:val="annotation subject"/>
    <w:basedOn w:val="CommentText"/>
    <w:next w:val="CommentText"/>
    <w:link w:val="CommentSubjectChar"/>
    <w:uiPriority w:val="99"/>
    <w:semiHidden/>
    <w:unhideWhenUsed/>
    <w:rsid w:val="00352589"/>
    <w:rPr>
      <w:b/>
      <w:bCs/>
    </w:rPr>
  </w:style>
  <w:style w:type="character" w:customStyle="1" w:styleId="CommentSubjectChar">
    <w:name w:val="Comment Subject Char"/>
    <w:basedOn w:val="CommentTextChar"/>
    <w:link w:val="CommentSubject"/>
    <w:uiPriority w:val="99"/>
    <w:semiHidden/>
    <w:rsid w:val="00352589"/>
    <w:rPr>
      <w:b/>
      <w:bCs/>
    </w:rPr>
  </w:style>
  <w:style w:type="paragraph" w:styleId="BalloonText">
    <w:name w:val="Balloon Text"/>
    <w:basedOn w:val="Normal"/>
    <w:link w:val="BalloonTextChar"/>
    <w:uiPriority w:val="99"/>
    <w:semiHidden/>
    <w:unhideWhenUsed/>
    <w:rsid w:val="003525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589"/>
    <w:rPr>
      <w:rFonts w:ascii="Segoe UI" w:hAnsi="Segoe UI" w:cs="Segoe UI"/>
      <w:sz w:val="18"/>
      <w:szCs w:val="18"/>
    </w:rPr>
  </w:style>
  <w:style w:type="character" w:customStyle="1" w:styleId="apple-converted-space">
    <w:name w:val="apple-converted-space"/>
    <w:basedOn w:val="DefaultParagraphFont"/>
    <w:rsid w:val="00784EC0"/>
  </w:style>
  <w:style w:type="paragraph" w:styleId="Header">
    <w:name w:val="header"/>
    <w:basedOn w:val="Normal"/>
    <w:link w:val="HeaderChar"/>
    <w:uiPriority w:val="99"/>
    <w:unhideWhenUsed/>
    <w:rsid w:val="00BD4029"/>
    <w:pPr>
      <w:tabs>
        <w:tab w:val="center" w:pos="4513"/>
        <w:tab w:val="right" w:pos="9026"/>
      </w:tabs>
    </w:pPr>
  </w:style>
  <w:style w:type="character" w:customStyle="1" w:styleId="HeaderChar">
    <w:name w:val="Header Char"/>
    <w:basedOn w:val="DefaultParagraphFont"/>
    <w:link w:val="Header"/>
    <w:uiPriority w:val="99"/>
    <w:rsid w:val="00BD4029"/>
  </w:style>
  <w:style w:type="paragraph" w:styleId="Footer">
    <w:name w:val="footer"/>
    <w:basedOn w:val="Normal"/>
    <w:link w:val="FooterChar"/>
    <w:uiPriority w:val="99"/>
    <w:unhideWhenUsed/>
    <w:rsid w:val="00BD4029"/>
    <w:pPr>
      <w:tabs>
        <w:tab w:val="center" w:pos="4513"/>
        <w:tab w:val="right" w:pos="9026"/>
      </w:tabs>
    </w:pPr>
  </w:style>
  <w:style w:type="character" w:customStyle="1" w:styleId="FooterChar">
    <w:name w:val="Footer Char"/>
    <w:basedOn w:val="DefaultParagraphFont"/>
    <w:link w:val="Footer"/>
    <w:uiPriority w:val="99"/>
    <w:rsid w:val="00BD4029"/>
  </w:style>
  <w:style w:type="character" w:styleId="FollowedHyperlink">
    <w:name w:val="FollowedHyperlink"/>
    <w:basedOn w:val="DefaultParagraphFont"/>
    <w:uiPriority w:val="99"/>
    <w:semiHidden/>
    <w:unhideWhenUsed/>
    <w:rsid w:val="005F297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2532D-6B9E-44D5-8CF4-B7301685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2826</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18898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 Andrew Green</cp:lastModifiedBy>
  <cp:revision>2</cp:revision>
  <dcterms:created xsi:type="dcterms:W3CDTF">2016-04-25T08:42:00Z</dcterms:created>
  <dcterms:modified xsi:type="dcterms:W3CDTF">2016-04-25T08:42:00Z</dcterms:modified>
</cp:coreProperties>
</file>