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4B95" w:rsidRDefault="008A4B95" w:rsidP="000248B3">
      <w:pPr>
        <w:spacing w:line="360" w:lineRule="auto"/>
        <w:jc w:val="center"/>
        <w:rPr>
          <w:b/>
        </w:rPr>
      </w:pPr>
      <w:r w:rsidRPr="005343E5">
        <w:rPr>
          <w:b/>
        </w:rPr>
        <w:t>BOOK REVIEW</w:t>
      </w:r>
    </w:p>
    <w:p w:rsidR="008A4B95" w:rsidRDefault="008A4B95" w:rsidP="000248B3">
      <w:pPr>
        <w:spacing w:line="360" w:lineRule="auto"/>
        <w:jc w:val="both"/>
        <w:rPr>
          <w:b/>
          <w:i/>
        </w:rPr>
      </w:pPr>
    </w:p>
    <w:p w:rsidR="008A4B95" w:rsidRPr="00684981" w:rsidRDefault="008A4B95" w:rsidP="000248B3">
      <w:pPr>
        <w:spacing w:line="360" w:lineRule="auto"/>
        <w:jc w:val="both"/>
        <w:rPr>
          <w:b/>
        </w:rPr>
      </w:pPr>
      <w:r>
        <w:rPr>
          <w:b/>
          <w:i/>
        </w:rPr>
        <w:t>Destroying t</w:t>
      </w:r>
      <w:r w:rsidRPr="00684981">
        <w:rPr>
          <w:b/>
          <w:i/>
        </w:rPr>
        <w:t xml:space="preserve">he </w:t>
      </w:r>
      <w:r>
        <w:rPr>
          <w:b/>
          <w:i/>
        </w:rPr>
        <w:t>Caroline: The Frontier Raid that Reshaped the Right to War</w:t>
      </w:r>
      <w:r w:rsidRPr="00684981">
        <w:rPr>
          <w:b/>
        </w:rPr>
        <w:t xml:space="preserve">, by </w:t>
      </w:r>
      <w:r>
        <w:rPr>
          <w:b/>
        </w:rPr>
        <w:t xml:space="preserve">Craig </w:t>
      </w:r>
      <w:proofErr w:type="spellStart"/>
      <w:r>
        <w:rPr>
          <w:b/>
        </w:rPr>
        <w:t>Forcese</w:t>
      </w:r>
      <w:proofErr w:type="spellEnd"/>
      <w:r w:rsidRPr="00684981">
        <w:rPr>
          <w:b/>
        </w:rPr>
        <w:t xml:space="preserve">, </w:t>
      </w:r>
      <w:r>
        <w:rPr>
          <w:b/>
        </w:rPr>
        <w:t xml:space="preserve">Irwin Law </w:t>
      </w:r>
      <w:proofErr w:type="spellStart"/>
      <w:r>
        <w:rPr>
          <w:b/>
        </w:rPr>
        <w:t>inc.</w:t>
      </w:r>
      <w:proofErr w:type="spellEnd"/>
      <w:r>
        <w:rPr>
          <w:b/>
        </w:rPr>
        <w:t>, 2018, ix-369 pp.</w:t>
      </w:r>
      <w:r w:rsidRPr="00684981">
        <w:rPr>
          <w:b/>
        </w:rPr>
        <w:t xml:space="preserve">, ISBN: </w:t>
      </w:r>
      <w:r w:rsidRPr="008A4B95">
        <w:rPr>
          <w:b/>
        </w:rPr>
        <w:t>781552214787</w:t>
      </w:r>
    </w:p>
    <w:p w:rsidR="008A4B95" w:rsidRDefault="008A4B95" w:rsidP="000248B3">
      <w:pPr>
        <w:spacing w:line="360" w:lineRule="auto"/>
        <w:jc w:val="both"/>
      </w:pPr>
    </w:p>
    <w:p w:rsidR="0083797E" w:rsidRDefault="00B90A85" w:rsidP="000248B3">
      <w:pPr>
        <w:spacing w:line="360" w:lineRule="auto"/>
        <w:jc w:val="both"/>
      </w:pPr>
      <w:r>
        <w:t>Anyone who has studied (or even just had a passing interest in) the</w:t>
      </w:r>
      <w:r w:rsidR="00F42AC5">
        <w:t xml:space="preserve"> law on the use of force </w:t>
      </w:r>
      <w:r>
        <w:t xml:space="preserve">will have come across the hallowed </w:t>
      </w:r>
      <w:r w:rsidRPr="00EA5DB9">
        <w:rPr>
          <w:i/>
        </w:rPr>
        <w:t>Caroline</w:t>
      </w:r>
      <w:r w:rsidR="00180281">
        <w:t xml:space="preserve"> incident of 1837</w:t>
      </w:r>
      <w:r>
        <w:t>.</w:t>
      </w:r>
      <w:r w:rsidR="00180281">
        <w:t xml:space="preserve"> </w:t>
      </w:r>
      <w:r w:rsidR="00F42AC5">
        <w:t>It is this</w:t>
      </w:r>
      <w:r w:rsidR="00180281">
        <w:t xml:space="preserve"> famous nineteenth century frontier raid</w:t>
      </w:r>
      <w:r w:rsidR="00F42AC5">
        <w:t xml:space="preserve"> that</w:t>
      </w:r>
      <w:r w:rsidR="00180281">
        <w:t xml:space="preserve"> is the focus of Craig </w:t>
      </w:r>
      <w:proofErr w:type="spellStart"/>
      <w:r w:rsidR="00180281">
        <w:t>Forcese’s</w:t>
      </w:r>
      <w:proofErr w:type="spellEnd"/>
      <w:r w:rsidR="00180281">
        <w:t xml:space="preserve"> excellent new book, </w:t>
      </w:r>
      <w:proofErr w:type="gramStart"/>
      <w:r w:rsidR="0083797E" w:rsidRPr="0083797E">
        <w:rPr>
          <w:i/>
        </w:rPr>
        <w:t>Destroying</w:t>
      </w:r>
      <w:proofErr w:type="gramEnd"/>
      <w:r w:rsidR="0083797E" w:rsidRPr="0083797E">
        <w:rPr>
          <w:i/>
        </w:rPr>
        <w:t xml:space="preserve"> the Caroline</w:t>
      </w:r>
      <w:r w:rsidR="0083797E">
        <w:t xml:space="preserve">, </w:t>
      </w:r>
      <w:r w:rsidR="00180281">
        <w:t xml:space="preserve">which was the </w:t>
      </w:r>
      <w:r w:rsidR="00180281" w:rsidRPr="00180281">
        <w:t>2019</w:t>
      </w:r>
      <w:r w:rsidR="00180281">
        <w:t xml:space="preserve"> winner of the</w:t>
      </w:r>
      <w:r w:rsidR="00180281" w:rsidRPr="00180281">
        <w:t xml:space="preserve"> American Society of International Law</w:t>
      </w:r>
      <w:r w:rsidR="00180281">
        <w:t xml:space="preserve">’s </w:t>
      </w:r>
      <w:r w:rsidR="00180281" w:rsidRPr="00180281">
        <w:t>Certificate of Merit for a preeminent contribution to creative scholarship</w:t>
      </w:r>
      <w:r w:rsidR="00180281">
        <w:t>.</w:t>
      </w:r>
      <w:r w:rsidR="0083797E">
        <w:t xml:space="preserve"> </w:t>
      </w:r>
    </w:p>
    <w:p w:rsidR="00551494" w:rsidRDefault="00551494" w:rsidP="00551494">
      <w:pPr>
        <w:spacing w:line="360" w:lineRule="auto"/>
        <w:jc w:val="both"/>
      </w:pPr>
    </w:p>
    <w:p w:rsidR="00551494" w:rsidRPr="00551494" w:rsidRDefault="004E2371" w:rsidP="00551494">
      <w:pPr>
        <w:spacing w:line="360" w:lineRule="auto"/>
        <w:jc w:val="both"/>
        <w:rPr>
          <w:b/>
        </w:rPr>
      </w:pPr>
      <w:r>
        <w:rPr>
          <w:b/>
        </w:rPr>
        <w:t>1</w:t>
      </w:r>
      <w:r w:rsidR="00EF4035">
        <w:rPr>
          <w:b/>
        </w:rPr>
        <w:t xml:space="preserve">. </w:t>
      </w:r>
      <w:r w:rsidR="00551494" w:rsidRPr="00551494">
        <w:rPr>
          <w:b/>
        </w:rPr>
        <w:t xml:space="preserve">The </w:t>
      </w:r>
      <w:r w:rsidR="00551494" w:rsidRPr="00EF4035">
        <w:rPr>
          <w:b/>
          <w:i/>
        </w:rPr>
        <w:t>Caroline</w:t>
      </w:r>
      <w:r w:rsidR="00551494" w:rsidRPr="00551494">
        <w:rPr>
          <w:b/>
        </w:rPr>
        <w:t xml:space="preserve"> and its legacy</w:t>
      </w:r>
    </w:p>
    <w:p w:rsidR="00551494" w:rsidRDefault="00551494" w:rsidP="00551494">
      <w:pPr>
        <w:spacing w:line="360" w:lineRule="auto"/>
        <w:jc w:val="both"/>
      </w:pPr>
    </w:p>
    <w:p w:rsidR="00097EE4" w:rsidRDefault="00180281" w:rsidP="00551494">
      <w:pPr>
        <w:spacing w:line="360" w:lineRule="auto"/>
        <w:jc w:val="both"/>
      </w:pPr>
      <w:r>
        <w:t xml:space="preserve">The </w:t>
      </w:r>
      <w:r w:rsidRPr="00E95640">
        <w:rPr>
          <w:i/>
        </w:rPr>
        <w:t>Caroline</w:t>
      </w:r>
      <w:r>
        <w:t xml:space="preserve"> incident, </w:t>
      </w:r>
      <w:r w:rsidR="00A9441A">
        <w:t>along with</w:t>
      </w:r>
      <w:r>
        <w:t xml:space="preserve"> the formula that emerged from it,</w:t>
      </w:r>
      <w:r w:rsidR="001D53AD">
        <w:rPr>
          <w:rStyle w:val="FootnoteReference"/>
        </w:rPr>
        <w:footnoteReference w:id="1"/>
      </w:r>
      <w:r>
        <w:t xml:space="preserve"> </w:t>
      </w:r>
      <w:r w:rsidR="00B90A85">
        <w:t>ha</w:t>
      </w:r>
      <w:r w:rsidR="00A9441A">
        <w:t>ve</w:t>
      </w:r>
      <w:r w:rsidR="00B90A85">
        <w:t xml:space="preserve"> </w:t>
      </w:r>
      <w:r w:rsidR="000248B3">
        <w:t>long been</w:t>
      </w:r>
      <w:r w:rsidR="00A9441A">
        <w:t xml:space="preserve"> a</w:t>
      </w:r>
      <w:r w:rsidR="00B90A85">
        <w:t xml:space="preserve"> </w:t>
      </w:r>
      <w:r w:rsidR="00551494">
        <w:t>fixture</w:t>
      </w:r>
      <w:r w:rsidR="00B90A85">
        <w:t xml:space="preserve"> of any discussion of the law governing self-defence.</w:t>
      </w:r>
      <w:r w:rsidR="00965276">
        <w:rPr>
          <w:rStyle w:val="FootnoteReference"/>
        </w:rPr>
        <w:footnoteReference w:id="2"/>
      </w:r>
      <w:r w:rsidR="000248B3">
        <w:t xml:space="preserve"> </w:t>
      </w:r>
      <w:r w:rsidR="00097EE4">
        <w:t>Given th</w:t>
      </w:r>
      <w:r>
        <w:t>e incident’s</w:t>
      </w:r>
      <w:r w:rsidR="00097EE4">
        <w:t xml:space="preserve"> ubiquity, one would be forgiven for thinking that </w:t>
      </w:r>
      <w:r>
        <w:t>its</w:t>
      </w:r>
      <w:r w:rsidR="00097EE4">
        <w:t xml:space="preserve"> facts are well-known. However, a key contribution – amongst many – of </w:t>
      </w:r>
      <w:proofErr w:type="spellStart"/>
      <w:r w:rsidR="00097EE4">
        <w:t>Forcese’s</w:t>
      </w:r>
      <w:proofErr w:type="spellEnd"/>
      <w:r w:rsidR="00097EE4">
        <w:t xml:space="preserve"> book </w:t>
      </w:r>
      <w:r>
        <w:t>i</w:t>
      </w:r>
      <w:r w:rsidR="00097EE4">
        <w:t>s to demonstrate that subsequent representations of the facts</w:t>
      </w:r>
      <w:r w:rsidR="00F42AC5">
        <w:t xml:space="preserve"> of the raid</w:t>
      </w:r>
      <w:r w:rsidR="00097EE4">
        <w:t xml:space="preserve"> (and those of the wider context in which </w:t>
      </w:r>
      <w:r w:rsidR="00F42AC5">
        <w:t>it</w:t>
      </w:r>
      <w:r w:rsidR="00835BF1">
        <w:t xml:space="preserve"> </w:t>
      </w:r>
      <w:r w:rsidR="00F42AC5">
        <w:t xml:space="preserve">occurred, </w:t>
      </w:r>
      <w:r w:rsidR="003C2B28">
        <w:t>as well as its</w:t>
      </w:r>
      <w:r w:rsidR="00F42AC5">
        <w:t xml:space="preserve"> aftermath</w:t>
      </w:r>
      <w:r w:rsidR="00097EE4">
        <w:t xml:space="preserve">) have </w:t>
      </w:r>
      <w:r w:rsidR="000248B3">
        <w:t xml:space="preserve">at times </w:t>
      </w:r>
      <w:r w:rsidR="00097EE4">
        <w:t>been partial, misunderstood</w:t>
      </w:r>
      <w:r w:rsidR="0023623F">
        <w:t>,</w:t>
      </w:r>
      <w:r w:rsidR="00097EE4">
        <w:t xml:space="preserve"> or just plain wrong.</w:t>
      </w:r>
      <w:r w:rsidR="0023623F">
        <w:rPr>
          <w:rStyle w:val="FootnoteReference"/>
        </w:rPr>
        <w:footnoteReference w:id="3"/>
      </w:r>
    </w:p>
    <w:p w:rsidR="000248B3" w:rsidRDefault="00097EE4" w:rsidP="000248B3">
      <w:pPr>
        <w:spacing w:line="360" w:lineRule="auto"/>
        <w:ind w:firstLine="720"/>
        <w:jc w:val="both"/>
      </w:pPr>
      <w:r w:rsidRPr="00097EE4">
        <w:t xml:space="preserve">Nonetheless, at least the core events </w:t>
      </w:r>
      <w:r w:rsidR="0068288B">
        <w:t xml:space="preserve">of the incident </w:t>
      </w:r>
      <w:r w:rsidRPr="00097EE4">
        <w:t xml:space="preserve">will be familiar to most readers. </w:t>
      </w:r>
      <w:r w:rsidR="00180281">
        <w:t xml:space="preserve">In </w:t>
      </w:r>
      <w:r w:rsidR="0009682B">
        <w:t xml:space="preserve">the context of the rebellion against British </w:t>
      </w:r>
      <w:r w:rsidR="001E2876">
        <w:t xml:space="preserve">administration </w:t>
      </w:r>
      <w:r w:rsidR="0009682B">
        <w:t>in Canada</w:t>
      </w:r>
      <w:r w:rsidR="001E2876">
        <w:t xml:space="preserve"> (9</w:t>
      </w:r>
      <w:r w:rsidR="000248B3">
        <w:t>–</w:t>
      </w:r>
      <w:r w:rsidR="001E2876">
        <w:t>14)</w:t>
      </w:r>
      <w:r w:rsidR="0009682B">
        <w:t xml:space="preserve">, in </w:t>
      </w:r>
      <w:r w:rsidR="00F42AC5">
        <w:t>late</w:t>
      </w:r>
      <w:r w:rsidR="0009682B" w:rsidRPr="001E2876">
        <w:t xml:space="preserve"> </w:t>
      </w:r>
      <w:r w:rsidR="00B90A85" w:rsidRPr="001E2876">
        <w:t xml:space="preserve">1837, </w:t>
      </w:r>
      <w:r w:rsidR="0009682B" w:rsidRPr="001E2876">
        <w:t>a</w:t>
      </w:r>
      <w:r w:rsidR="0009682B">
        <w:t xml:space="preserve"> group of insurgents</w:t>
      </w:r>
      <w:r w:rsidR="00B90A85" w:rsidRPr="005B5D51">
        <w:t xml:space="preserve"> </w:t>
      </w:r>
      <w:r w:rsidR="0009682B">
        <w:t>had occupied Navy Island in the Niagara River, within British-Canadian territory</w:t>
      </w:r>
      <w:r w:rsidR="001E2876">
        <w:t xml:space="preserve"> (15</w:t>
      </w:r>
      <w:r w:rsidR="000248B3">
        <w:t>–</w:t>
      </w:r>
      <w:r w:rsidR="001E2876">
        <w:t xml:space="preserve">21). The invaders </w:t>
      </w:r>
      <w:r w:rsidR="00B90A85" w:rsidRPr="005B5D51">
        <w:t xml:space="preserve">were </w:t>
      </w:r>
      <w:r w:rsidR="00A45010">
        <w:t xml:space="preserve">being </w:t>
      </w:r>
      <w:r w:rsidR="00B90A85" w:rsidRPr="005B5D51">
        <w:t xml:space="preserve">supplied </w:t>
      </w:r>
      <w:r w:rsidR="00A45010">
        <w:t>with</w:t>
      </w:r>
      <w:r w:rsidR="00B90A85" w:rsidRPr="005B5D51">
        <w:t xml:space="preserve"> </w:t>
      </w:r>
      <w:r w:rsidR="001E2876">
        <w:t>weapons</w:t>
      </w:r>
      <w:r w:rsidR="00B90A85" w:rsidRPr="005B5D51">
        <w:t xml:space="preserve"> and personnel by</w:t>
      </w:r>
      <w:r>
        <w:t xml:space="preserve"> a</w:t>
      </w:r>
      <w:r w:rsidRPr="005B5D51">
        <w:t xml:space="preserve"> privately </w:t>
      </w:r>
      <w:r w:rsidRPr="005B5D51">
        <w:lastRenderedPageBreak/>
        <w:t xml:space="preserve">owned </w:t>
      </w:r>
      <w:r w:rsidR="001E2876">
        <w:t>US</w:t>
      </w:r>
      <w:r w:rsidRPr="005B5D51">
        <w:t xml:space="preserve"> steamer, the </w:t>
      </w:r>
      <w:r w:rsidRPr="005B5D51">
        <w:rPr>
          <w:i/>
        </w:rPr>
        <w:t>Caroline</w:t>
      </w:r>
      <w:r w:rsidR="00A45010">
        <w:t xml:space="preserve">.  </w:t>
      </w:r>
      <w:r w:rsidR="001E2876">
        <w:t>During the night of</w:t>
      </w:r>
      <w:r w:rsidR="00B90A85" w:rsidRPr="005B5D51">
        <w:t xml:space="preserve"> 29 December</w:t>
      </w:r>
      <w:r>
        <w:t xml:space="preserve"> 1837</w:t>
      </w:r>
      <w:r w:rsidR="00B90A85" w:rsidRPr="005B5D51">
        <w:t>, whil</w:t>
      </w:r>
      <w:r>
        <w:t>e</w:t>
      </w:r>
      <w:r w:rsidR="00B90A85" w:rsidRPr="005B5D51">
        <w:t xml:space="preserve"> the </w:t>
      </w:r>
      <w:r w:rsidR="00B90A85" w:rsidRPr="005B5D51">
        <w:rPr>
          <w:i/>
        </w:rPr>
        <w:t>Caroline</w:t>
      </w:r>
      <w:r w:rsidR="00B90A85" w:rsidRPr="005B5D51">
        <w:t xml:space="preserve"> was docked at Schlosser, in United States territory, it was </w:t>
      </w:r>
      <w:r w:rsidR="001E2876">
        <w:t>raided</w:t>
      </w:r>
      <w:r w:rsidR="00B90A85" w:rsidRPr="005B5D51">
        <w:t xml:space="preserve"> </w:t>
      </w:r>
      <w:r>
        <w:t xml:space="preserve">and sunk </w:t>
      </w:r>
      <w:r w:rsidR="00B90A85" w:rsidRPr="0009682B">
        <w:t xml:space="preserve">by </w:t>
      </w:r>
      <w:r w:rsidRPr="0009682B">
        <w:t>a small British</w:t>
      </w:r>
      <w:r>
        <w:t xml:space="preserve">-Canadian </w:t>
      </w:r>
      <w:r w:rsidR="001E2876">
        <w:t>militia</w:t>
      </w:r>
      <w:r w:rsidR="00F42AC5">
        <w:t xml:space="preserve"> group</w:t>
      </w:r>
      <w:r w:rsidR="001E2876">
        <w:t xml:space="preserve"> (37</w:t>
      </w:r>
      <w:r w:rsidR="000248B3">
        <w:t>–</w:t>
      </w:r>
      <w:r w:rsidR="001E2876" w:rsidRPr="0023623F">
        <w:t>47)</w:t>
      </w:r>
      <w:r w:rsidR="00B90A85" w:rsidRPr="0023623F">
        <w:t>.</w:t>
      </w:r>
      <w:r w:rsidR="00965276">
        <w:t xml:space="preserve"> </w:t>
      </w:r>
      <w:r w:rsidR="00B90A85" w:rsidRPr="0023623F">
        <w:t xml:space="preserve">In the process </w:t>
      </w:r>
      <w:r w:rsidR="008A679F" w:rsidRPr="0023623F">
        <w:t xml:space="preserve">at least one </w:t>
      </w:r>
      <w:r w:rsidR="00B90A85" w:rsidRPr="0023623F">
        <w:t xml:space="preserve">United States citizen, </w:t>
      </w:r>
      <w:r w:rsidR="008A679F" w:rsidRPr="0023623F">
        <w:t xml:space="preserve">Amos </w:t>
      </w:r>
      <w:proofErr w:type="spellStart"/>
      <w:r w:rsidR="008A679F" w:rsidRPr="0023623F">
        <w:t>Durfree</w:t>
      </w:r>
      <w:proofErr w:type="spellEnd"/>
      <w:r w:rsidR="008A679F" w:rsidRPr="0023623F">
        <w:t xml:space="preserve">, </w:t>
      </w:r>
      <w:r w:rsidR="00B90A85" w:rsidRPr="0023623F">
        <w:t>was killed.</w:t>
      </w:r>
      <w:r w:rsidR="00B90A85" w:rsidRPr="0023623F">
        <w:rPr>
          <w:rStyle w:val="FootnoteReference"/>
        </w:rPr>
        <w:footnoteReference w:id="4"/>
      </w:r>
      <w:r w:rsidR="008A679F" w:rsidRPr="0023623F">
        <w:t xml:space="preserve"> Other casualties were alleged</w:t>
      </w:r>
      <w:r w:rsidR="001E2876" w:rsidRPr="0023623F">
        <w:t>,</w:t>
      </w:r>
      <w:r w:rsidR="002E12C2" w:rsidRPr="0023623F">
        <w:t xml:space="preserve"> and assertion</w:t>
      </w:r>
      <w:r w:rsidR="000248B3">
        <w:t>s of multiple deaths have</w:t>
      </w:r>
      <w:r w:rsidR="002E12C2" w:rsidRPr="0023623F">
        <w:t xml:space="preserve"> been repeated in accounts since,</w:t>
      </w:r>
      <w:r w:rsidR="001E2876" w:rsidRPr="0023623F">
        <w:rPr>
          <w:rStyle w:val="FootnoteReference"/>
        </w:rPr>
        <w:footnoteReference w:id="5"/>
      </w:r>
      <w:r w:rsidR="008A679F" w:rsidRPr="0023623F">
        <w:t xml:space="preserve"> but</w:t>
      </w:r>
      <w:r w:rsidR="001E2876" w:rsidRPr="0023623F">
        <w:t xml:space="preserve"> ultimately</w:t>
      </w:r>
      <w:r w:rsidR="00F42AC5">
        <w:t xml:space="preserve">, as </w:t>
      </w:r>
      <w:proofErr w:type="spellStart"/>
      <w:r w:rsidR="00F42AC5">
        <w:t>Forcese</w:t>
      </w:r>
      <w:proofErr w:type="spellEnd"/>
      <w:r w:rsidR="00F42AC5">
        <w:t xml:space="preserve"> affirms,</w:t>
      </w:r>
      <w:r w:rsidR="001E2876" w:rsidRPr="0023623F">
        <w:t xml:space="preserve"> ‘[</w:t>
      </w:r>
      <w:proofErr w:type="spellStart"/>
      <w:r w:rsidR="001E2876" w:rsidRPr="0023623F">
        <w:t>i</w:t>
      </w:r>
      <w:proofErr w:type="spellEnd"/>
      <w:r w:rsidR="001E2876" w:rsidRPr="0023623F">
        <w:t>]t is not clear</w:t>
      </w:r>
      <w:r w:rsidR="001E2876">
        <w:t xml:space="preserve"> if anyone else died in the fight’ (46).</w:t>
      </w:r>
    </w:p>
    <w:p w:rsidR="0068288B" w:rsidRPr="005B5D51" w:rsidRDefault="00B90A85" w:rsidP="009D5D9C">
      <w:pPr>
        <w:spacing w:line="360" w:lineRule="auto"/>
        <w:ind w:firstLine="720"/>
        <w:jc w:val="both"/>
      </w:pPr>
      <w:r w:rsidRPr="005B5D51">
        <w:t xml:space="preserve">The </w:t>
      </w:r>
      <w:r w:rsidR="00A45010" w:rsidRPr="00D53C55">
        <w:rPr>
          <w:i/>
        </w:rPr>
        <w:t>Caroline</w:t>
      </w:r>
      <w:r w:rsidR="00A45010">
        <w:t xml:space="preserve"> </w:t>
      </w:r>
      <w:r w:rsidR="002E12C2">
        <w:t>incident</w:t>
      </w:r>
      <w:r w:rsidR="009D5D9C">
        <w:t xml:space="preserve"> is, of course, ‘</w:t>
      </w:r>
      <w:r w:rsidR="009D5D9C" w:rsidRPr="009D5D9C">
        <w:t>best remembered today for a single passage in the protracted diplomatic exchanges between the two governments</w:t>
      </w:r>
      <w:r w:rsidR="009D5D9C">
        <w:t>’</w:t>
      </w:r>
      <w:r w:rsidR="000248B3">
        <w:rPr>
          <w:rStyle w:val="FootnoteReference"/>
        </w:rPr>
        <w:footnoteReference w:id="6"/>
      </w:r>
      <w:r w:rsidR="002E12C2">
        <w:t xml:space="preserve"> – Britain and the US – concerning the raid</w:t>
      </w:r>
      <w:r w:rsidR="00D53C55">
        <w:t xml:space="preserve"> and the justification (or not) </w:t>
      </w:r>
      <w:r w:rsidR="00EF4035">
        <w:t>for</w:t>
      </w:r>
      <w:r w:rsidR="00D53C55">
        <w:t xml:space="preserve"> the violation of US territorial integrity that it represented.</w:t>
      </w:r>
      <w:r w:rsidR="0068288B">
        <w:t xml:space="preserve"> This is the </w:t>
      </w:r>
      <w:r w:rsidR="00835BF1">
        <w:t>famous</w:t>
      </w:r>
      <w:r w:rsidR="0068288B">
        <w:t xml:space="preserve"> ‘</w:t>
      </w:r>
      <w:r w:rsidR="0068288B" w:rsidRPr="000248B3">
        <w:rPr>
          <w:i/>
        </w:rPr>
        <w:t>Caroline</w:t>
      </w:r>
      <w:r w:rsidR="008022A7">
        <w:t xml:space="preserve"> formula’:</w:t>
      </w:r>
      <w:r w:rsidR="0068288B">
        <w:t xml:space="preserve"> an articulation of the criteria for an acceptable act of self-defence, set out by </w:t>
      </w:r>
      <w:r w:rsidR="0068288B" w:rsidRPr="005B5D51">
        <w:t>the United States Secretary of State Daniel Webster</w:t>
      </w:r>
      <w:r w:rsidR="0068288B">
        <w:t xml:space="preserve"> (first in a </w:t>
      </w:r>
      <w:r w:rsidR="0068288B" w:rsidRPr="005B5D51">
        <w:t>correspondence he had sent to Henry S Fox in April 1841</w:t>
      </w:r>
      <w:r w:rsidR="0068288B">
        <w:t xml:space="preserve">, but more </w:t>
      </w:r>
      <w:r w:rsidR="00EF4035">
        <w:t>commonly cited from its</w:t>
      </w:r>
      <w:r w:rsidR="0068288B">
        <w:t xml:space="preserve"> </w:t>
      </w:r>
      <w:r w:rsidR="009D5D9C">
        <w:t>repetition</w:t>
      </w:r>
      <w:r w:rsidR="0068288B">
        <w:t xml:space="preserve"> in </w:t>
      </w:r>
      <w:r w:rsidR="0068288B" w:rsidRPr="005B5D51">
        <w:t xml:space="preserve">a letter </w:t>
      </w:r>
      <w:r w:rsidR="001D53AD">
        <w:t xml:space="preserve">that </w:t>
      </w:r>
      <w:r w:rsidR="0068288B">
        <w:t xml:space="preserve">Webster </w:t>
      </w:r>
      <w:r w:rsidR="0068288B" w:rsidRPr="005B5D51">
        <w:t xml:space="preserve">sent to </w:t>
      </w:r>
      <w:r w:rsidR="000248B3">
        <w:t xml:space="preserve">Lord </w:t>
      </w:r>
      <w:r w:rsidR="0068288B" w:rsidRPr="005B5D51">
        <w:t>Ashburton,</w:t>
      </w:r>
      <w:r w:rsidR="000248B3" w:rsidRPr="000248B3">
        <w:t xml:space="preserve"> the British special repre</w:t>
      </w:r>
      <w:r w:rsidR="000248B3">
        <w:t>sentative to the United States,</w:t>
      </w:r>
      <w:r w:rsidR="0068288B" w:rsidRPr="005B5D51">
        <w:t xml:space="preserve"> dated 27 July 1842</w:t>
      </w:r>
      <w:r w:rsidR="0068288B">
        <w:t>):</w:t>
      </w:r>
    </w:p>
    <w:p w:rsidR="0068288B" w:rsidRPr="0068288B" w:rsidRDefault="0068288B" w:rsidP="000248B3">
      <w:pPr>
        <w:spacing w:line="360" w:lineRule="auto"/>
        <w:jc w:val="both"/>
      </w:pPr>
    </w:p>
    <w:p w:rsidR="0068288B" w:rsidRPr="0068288B" w:rsidRDefault="0068288B" w:rsidP="000248B3">
      <w:pPr>
        <w:spacing w:line="360" w:lineRule="auto"/>
        <w:ind w:left="720"/>
        <w:jc w:val="both"/>
      </w:pPr>
      <w:r w:rsidRPr="0068288B">
        <w:rPr>
          <w:color w:val="000000"/>
        </w:rPr>
        <w:t xml:space="preserve">It will be for that Government </w:t>
      </w:r>
      <w:r w:rsidRPr="0068288B">
        <w:rPr>
          <w:i/>
          <w:color w:val="000000"/>
        </w:rPr>
        <w:t>to show a necessity of self-defence, instant, overwhelming, leaving no choice of means, and no moment for deliberation.</w:t>
      </w:r>
      <w:r w:rsidRPr="0068288B">
        <w:rPr>
          <w:color w:val="000000"/>
        </w:rPr>
        <w:t xml:space="preserve"> It will be for it to show, also, that [the state acting in self-defence] … did nothing unreasonable or </w:t>
      </w:r>
      <w:r w:rsidRPr="0068288B">
        <w:rPr>
          <w:i/>
          <w:color w:val="000000"/>
        </w:rPr>
        <w:t>excessive</w:t>
      </w:r>
      <w:r w:rsidRPr="0068288B">
        <w:rPr>
          <w:color w:val="000000"/>
        </w:rPr>
        <w:t>; since the act justified by the necessity of self-defence must be limited by that necessity, and kept clearly within it.</w:t>
      </w:r>
      <w:r w:rsidRPr="0068288B">
        <w:rPr>
          <w:rStyle w:val="FootnoteReference"/>
          <w:color w:val="000000"/>
        </w:rPr>
        <w:footnoteReference w:id="7"/>
      </w:r>
    </w:p>
    <w:p w:rsidR="0068288B" w:rsidRPr="005B5D51" w:rsidRDefault="0068288B" w:rsidP="000248B3">
      <w:pPr>
        <w:spacing w:line="360" w:lineRule="auto"/>
        <w:jc w:val="both"/>
      </w:pPr>
    </w:p>
    <w:p w:rsidR="0068288B" w:rsidRDefault="009D5D9C" w:rsidP="000248B3">
      <w:pPr>
        <w:spacing w:line="360" w:lineRule="auto"/>
        <w:jc w:val="both"/>
      </w:pPr>
      <w:r>
        <w:t>F</w:t>
      </w:r>
      <w:r w:rsidR="00F42AC5">
        <w:t xml:space="preserve">rom </w:t>
      </w:r>
      <w:r>
        <w:t>Webster’s words,</w:t>
      </w:r>
      <w:r w:rsidR="00F42AC5">
        <w:t xml:space="preserve"> one can draw</w:t>
      </w:r>
      <w:r w:rsidR="0068288B">
        <w:t xml:space="preserve"> a direct line to the modern customary international law requirements of necessity and proportionality for self-defence.</w:t>
      </w:r>
      <w:r w:rsidR="00965276">
        <w:rPr>
          <w:rStyle w:val="FootnoteReference"/>
        </w:rPr>
        <w:footnoteReference w:id="8"/>
      </w:r>
      <w:r w:rsidR="0068288B">
        <w:t xml:space="preserve">  The formula also ha</w:t>
      </w:r>
      <w:r w:rsidR="0048321E">
        <w:t>s</w:t>
      </w:r>
      <w:r w:rsidR="00835BF1">
        <w:t xml:space="preserve"> </w:t>
      </w:r>
      <w:r w:rsidR="0068288B">
        <w:t xml:space="preserve">legal </w:t>
      </w:r>
      <w:r w:rsidR="0068288B">
        <w:lastRenderedPageBreak/>
        <w:t xml:space="preserve">resonance for today’s debates surrounding </w:t>
      </w:r>
      <w:r w:rsidR="009C7C17">
        <w:t>preventative</w:t>
      </w:r>
      <w:r w:rsidR="0068288B">
        <w:t xml:space="preserve"> self-defence</w:t>
      </w:r>
      <w:r w:rsidR="009C7C17">
        <w:rPr>
          <w:rStyle w:val="FootnoteReference"/>
        </w:rPr>
        <w:footnoteReference w:id="9"/>
      </w:r>
      <w:r w:rsidR="0048321E">
        <w:t xml:space="preserve"> (although, as </w:t>
      </w:r>
      <w:proofErr w:type="spellStart"/>
      <w:r w:rsidR="0048321E">
        <w:t>Forcese</w:t>
      </w:r>
      <w:proofErr w:type="spellEnd"/>
      <w:r w:rsidR="0048321E">
        <w:t xml:space="preserve"> demonstrates, this resonance is perhaps at odds with the actual facts of the incident)</w:t>
      </w:r>
      <w:r w:rsidR="00965276">
        <w:rPr>
          <w:rStyle w:val="FootnoteReference"/>
        </w:rPr>
        <w:footnoteReference w:id="10"/>
      </w:r>
      <w:r w:rsidR="0068288B">
        <w:t xml:space="preserve"> and </w:t>
      </w:r>
      <w:r w:rsidR="000248B3">
        <w:t xml:space="preserve">– </w:t>
      </w:r>
      <w:r w:rsidR="00E1614C">
        <w:t>albeit</w:t>
      </w:r>
      <w:r w:rsidR="0048321E">
        <w:t xml:space="preserve"> </w:t>
      </w:r>
      <w:r w:rsidR="000248B3">
        <w:t>less commonly noted</w:t>
      </w:r>
      <w:r w:rsidR="0048321E">
        <w:t xml:space="preserve"> </w:t>
      </w:r>
      <w:r w:rsidR="000248B3">
        <w:t xml:space="preserve">– </w:t>
      </w:r>
      <w:r w:rsidR="0068288B">
        <w:t>self-defence against non-state actors</w:t>
      </w:r>
      <w:r w:rsidR="00E1614C">
        <w:t xml:space="preserve"> and the so-called ‘unwilling or unable’ doctrine</w:t>
      </w:r>
      <w:r w:rsidR="0068288B">
        <w:t>.</w:t>
      </w:r>
      <w:r w:rsidR="00965276">
        <w:rPr>
          <w:rStyle w:val="FootnoteReference"/>
        </w:rPr>
        <w:footnoteReference w:id="11"/>
      </w:r>
    </w:p>
    <w:p w:rsidR="00A9441A" w:rsidRDefault="00A9441A" w:rsidP="00A9441A">
      <w:pPr>
        <w:spacing w:line="360" w:lineRule="auto"/>
        <w:jc w:val="both"/>
      </w:pPr>
    </w:p>
    <w:p w:rsidR="00A9441A" w:rsidRPr="00A9441A" w:rsidRDefault="004E2371" w:rsidP="00A9441A">
      <w:pPr>
        <w:spacing w:line="360" w:lineRule="auto"/>
        <w:jc w:val="both"/>
        <w:rPr>
          <w:b/>
        </w:rPr>
      </w:pPr>
      <w:r>
        <w:rPr>
          <w:b/>
        </w:rPr>
        <w:t>2</w:t>
      </w:r>
      <w:r w:rsidR="0048321E">
        <w:rPr>
          <w:b/>
        </w:rPr>
        <w:t xml:space="preserve">. </w:t>
      </w:r>
      <w:r w:rsidR="00A9441A" w:rsidRPr="00A9441A">
        <w:rPr>
          <w:b/>
        </w:rPr>
        <w:t xml:space="preserve">The </w:t>
      </w:r>
      <w:r w:rsidR="00A9441A" w:rsidRPr="00DE02B9">
        <w:rPr>
          <w:b/>
          <w:i/>
        </w:rPr>
        <w:t>Caroline</w:t>
      </w:r>
      <w:r w:rsidR="00A9441A" w:rsidRPr="00A9441A">
        <w:rPr>
          <w:b/>
        </w:rPr>
        <w:t xml:space="preserve"> in scholarship</w:t>
      </w:r>
    </w:p>
    <w:p w:rsidR="00A9441A" w:rsidRDefault="00A9441A" w:rsidP="00A9441A">
      <w:pPr>
        <w:spacing w:line="360" w:lineRule="auto"/>
        <w:jc w:val="both"/>
      </w:pPr>
    </w:p>
    <w:p w:rsidR="000F7E7D" w:rsidRDefault="00E1614C" w:rsidP="00A9441A">
      <w:pPr>
        <w:spacing w:line="360" w:lineRule="auto"/>
        <w:jc w:val="both"/>
      </w:pPr>
      <w:r>
        <w:t>It has already been noted that there are</w:t>
      </w:r>
      <w:r w:rsidR="000F7E7D">
        <w:t xml:space="preserve"> ubiquitous references in international law scholarship to the </w:t>
      </w:r>
      <w:r w:rsidR="000F7E7D" w:rsidRPr="000F7E7D">
        <w:rPr>
          <w:i/>
        </w:rPr>
        <w:t>Caroline</w:t>
      </w:r>
      <w:r w:rsidR="000F7E7D">
        <w:t xml:space="preserve"> </w:t>
      </w:r>
      <w:r w:rsidR="00EF4035">
        <w:t xml:space="preserve">formula </w:t>
      </w:r>
      <w:r w:rsidR="000F7E7D">
        <w:t xml:space="preserve">as a </w:t>
      </w:r>
      <w:r w:rsidR="00835BF1">
        <w:t>crucial root</w:t>
      </w:r>
      <w:r w:rsidR="000F7E7D">
        <w:t xml:space="preserve"> </w:t>
      </w:r>
      <w:r w:rsidR="00835BF1">
        <w:t xml:space="preserve">of key aspects of the </w:t>
      </w:r>
      <w:r w:rsidR="000F7E7D">
        <w:t>modern customary international law on self-defence</w:t>
      </w:r>
      <w:r>
        <w:t>, and as a touchstone for current debates.</w:t>
      </w:r>
      <w:r w:rsidR="00965276">
        <w:rPr>
          <w:rStyle w:val="FootnoteReference"/>
        </w:rPr>
        <w:footnoteReference w:id="12"/>
      </w:r>
      <w:r w:rsidR="000F7E7D">
        <w:t xml:space="preserve"> </w:t>
      </w:r>
      <w:r>
        <w:t xml:space="preserve">Beyond this, though, </w:t>
      </w:r>
      <w:r w:rsidR="000F7E7D">
        <w:t xml:space="preserve">there are a number of </w:t>
      </w:r>
      <w:r w:rsidR="000248B3">
        <w:t xml:space="preserve">previous </w:t>
      </w:r>
      <w:r w:rsidR="000F7E7D">
        <w:t xml:space="preserve">works that have </w:t>
      </w:r>
      <w:r w:rsidR="00F42AC5">
        <w:t xml:space="preserve">been </w:t>
      </w:r>
      <w:r w:rsidR="000F7E7D">
        <w:t xml:space="preserve">focused on the </w:t>
      </w:r>
      <w:r w:rsidR="000F7E7D" w:rsidRPr="000F7E7D">
        <w:rPr>
          <w:i/>
        </w:rPr>
        <w:t>Caroline</w:t>
      </w:r>
      <w:r w:rsidR="000F7E7D">
        <w:t xml:space="preserve"> itself, revisiting the incident and seeking to bring deeper clarity to its enduring influence</w:t>
      </w:r>
      <w:r w:rsidR="00AA6A1B">
        <w:t>.</w:t>
      </w:r>
      <w:r w:rsidR="00965276">
        <w:rPr>
          <w:rStyle w:val="FootnoteReference"/>
        </w:rPr>
        <w:footnoteReference w:id="13"/>
      </w:r>
      <w:r w:rsidR="00AA6A1B">
        <w:t xml:space="preserve">  </w:t>
      </w:r>
    </w:p>
    <w:p w:rsidR="00A9441A" w:rsidRDefault="00AA6A1B" w:rsidP="000248B3">
      <w:pPr>
        <w:spacing w:line="360" w:lineRule="auto"/>
        <w:ind w:firstLine="720"/>
        <w:jc w:val="both"/>
      </w:pPr>
      <w:r>
        <w:t xml:space="preserve">The most prominent of these </w:t>
      </w:r>
      <w:r w:rsidR="00D53C55">
        <w:t xml:space="preserve">perhaps </w:t>
      </w:r>
      <w:r>
        <w:t xml:space="preserve">remains </w:t>
      </w:r>
      <w:r w:rsidR="00B77D1D">
        <w:t>an article from 1938 by Robert Jennings</w:t>
      </w:r>
      <w:r w:rsidR="00A9441A">
        <w:t xml:space="preserve">, </w:t>
      </w:r>
      <w:r>
        <w:t xml:space="preserve">which famously presented </w:t>
      </w:r>
      <w:r w:rsidRPr="005B5D51">
        <w:t xml:space="preserve">the incident as the </w:t>
      </w:r>
      <w:r w:rsidRPr="005B5D51">
        <w:rPr>
          <w:i/>
        </w:rPr>
        <w:t xml:space="preserve">locus </w:t>
      </w:r>
      <w:proofErr w:type="spellStart"/>
      <w:r w:rsidRPr="005B5D51">
        <w:rPr>
          <w:i/>
        </w:rPr>
        <w:t>classicus</w:t>
      </w:r>
      <w:proofErr w:type="spellEnd"/>
      <w:r w:rsidRPr="005B5D51">
        <w:t xml:space="preserve"> of the law of self-defence.</w:t>
      </w:r>
      <w:r w:rsidRPr="005B5D51">
        <w:rPr>
          <w:rStyle w:val="FootnoteReference"/>
        </w:rPr>
        <w:footnoteReference w:id="14"/>
      </w:r>
      <w:r>
        <w:t xml:space="preserve">  As </w:t>
      </w:r>
      <w:proofErr w:type="spellStart"/>
      <w:r>
        <w:t>Forcese</w:t>
      </w:r>
      <w:proofErr w:type="spellEnd"/>
      <w:r>
        <w:t xml:space="preserve"> </w:t>
      </w:r>
      <w:r w:rsidR="00E2277E">
        <w:t>notes</w:t>
      </w:r>
      <w:r>
        <w:t>, Jennings’ article</w:t>
      </w:r>
      <w:r w:rsidR="001D53AD">
        <w:t xml:space="preserve"> –</w:t>
      </w:r>
      <w:r w:rsidR="00A9441A">
        <w:t xml:space="preserve"> </w:t>
      </w:r>
      <w:r w:rsidR="001D53AD">
        <w:t xml:space="preserve">much like the incident </w:t>
      </w:r>
      <w:r w:rsidR="00E1614C">
        <w:t xml:space="preserve">that </w:t>
      </w:r>
      <w:r w:rsidR="001D53AD">
        <w:t>it examines –</w:t>
      </w:r>
      <w:r w:rsidR="00E1614C">
        <w:t xml:space="preserve"> </w:t>
      </w:r>
      <w:r w:rsidR="001D53AD">
        <w:t>has had ‘</w:t>
      </w:r>
      <w:r>
        <w:t>a lasting impact, and is heavily referenced even today in modern international law sch</w:t>
      </w:r>
      <w:r w:rsidR="00062DFA">
        <w:t>olarship</w:t>
      </w:r>
      <w:r>
        <w:t>’</w:t>
      </w:r>
      <w:r w:rsidR="00062DFA">
        <w:t xml:space="preserve"> (190).</w:t>
      </w:r>
      <w:r>
        <w:t xml:space="preserve">  </w:t>
      </w:r>
    </w:p>
    <w:p w:rsidR="00AA6A1B" w:rsidRDefault="00835BF1" w:rsidP="000248B3">
      <w:pPr>
        <w:spacing w:line="360" w:lineRule="auto"/>
        <w:ind w:firstLine="720"/>
        <w:jc w:val="both"/>
      </w:pPr>
      <w:r>
        <w:t>More recently, c</w:t>
      </w:r>
      <w:r w:rsidR="0010377F">
        <w:t>reating their own connective tissue, a</w:t>
      </w:r>
      <w:r w:rsidR="00062DFA">
        <w:t xml:space="preserve"> number of entries in </w:t>
      </w:r>
      <w:r w:rsidR="000F7E7D">
        <w:t>the</w:t>
      </w:r>
      <w:r w:rsidR="00062DFA">
        <w:t xml:space="preserve"> ‘batch’ </w:t>
      </w:r>
      <w:r w:rsidR="00AA6A1B">
        <w:t xml:space="preserve">of </w:t>
      </w:r>
      <w:r w:rsidRPr="00835BF1">
        <w:rPr>
          <w:i/>
        </w:rPr>
        <w:t>Caroline</w:t>
      </w:r>
      <w:r>
        <w:t>-centric</w:t>
      </w:r>
      <w:r w:rsidR="00AA6A1B">
        <w:t xml:space="preserve"> </w:t>
      </w:r>
      <w:r w:rsidR="000F7E7D">
        <w:t xml:space="preserve">publications that emerged in the </w:t>
      </w:r>
      <w:r w:rsidR="00965276">
        <w:t>decade</w:t>
      </w:r>
      <w:r w:rsidR="000F7E7D">
        <w:t xml:space="preserve"> from mid-</w:t>
      </w:r>
      <w:r w:rsidR="00B77D1D">
        <w:t>19</w:t>
      </w:r>
      <w:r w:rsidR="000F7E7D">
        <w:t>90s to mid-2000s</w:t>
      </w:r>
      <w:r w:rsidR="00AA6A1B">
        <w:t xml:space="preserve"> </w:t>
      </w:r>
      <w:r w:rsidR="00E2277E">
        <w:t>all</w:t>
      </w:r>
      <w:r w:rsidR="00062DFA">
        <w:t xml:space="preserve"> </w:t>
      </w:r>
      <w:r w:rsidR="000F7E7D">
        <w:t xml:space="preserve">decided to </w:t>
      </w:r>
      <w:r w:rsidR="00AA6A1B">
        <w:t>follow an informal naming convention of ‘</w:t>
      </w:r>
      <w:r w:rsidR="00E2277E">
        <w:t>verb</w:t>
      </w:r>
      <w:r w:rsidR="00AA6A1B">
        <w:t>-</w:t>
      </w:r>
      <w:proofErr w:type="spellStart"/>
      <w:r w:rsidR="00AA6A1B">
        <w:t>ing</w:t>
      </w:r>
      <w:proofErr w:type="spellEnd"/>
      <w:r w:rsidR="00AA6A1B">
        <w:t xml:space="preserve">’ the </w:t>
      </w:r>
      <w:r w:rsidR="00AA6A1B" w:rsidRPr="0020629E">
        <w:rPr>
          <w:i/>
        </w:rPr>
        <w:t>Caroline</w:t>
      </w:r>
      <w:r w:rsidR="00AA6A1B">
        <w:t xml:space="preserve"> in their titles. </w:t>
      </w:r>
      <w:proofErr w:type="spellStart"/>
      <w:r w:rsidR="00AA6A1B">
        <w:t>Kearley’s</w:t>
      </w:r>
      <w:proofErr w:type="spellEnd"/>
      <w:r w:rsidR="00AA6A1B">
        <w:t xml:space="preserve"> ‘Raising the </w:t>
      </w:r>
      <w:r w:rsidR="00AA6A1B" w:rsidRPr="0020629E">
        <w:rPr>
          <w:i/>
        </w:rPr>
        <w:t>Caroline</w:t>
      </w:r>
      <w:r w:rsidR="00AA6A1B">
        <w:t xml:space="preserve">’ </w:t>
      </w:r>
      <w:r w:rsidR="00062DFA">
        <w:t>in 1999</w:t>
      </w:r>
      <w:r w:rsidR="006514BD">
        <w:rPr>
          <w:rStyle w:val="FootnoteReference"/>
        </w:rPr>
        <w:footnoteReference w:id="15"/>
      </w:r>
      <w:r w:rsidR="00062DFA">
        <w:t xml:space="preserve"> </w:t>
      </w:r>
      <w:r w:rsidR="00AA6A1B">
        <w:t xml:space="preserve">was followed by </w:t>
      </w:r>
      <w:proofErr w:type="spellStart"/>
      <w:r w:rsidR="00AA6A1B" w:rsidRPr="00382A53">
        <w:t>Occelli</w:t>
      </w:r>
      <w:r w:rsidR="00AA6A1B">
        <w:t>’s</w:t>
      </w:r>
      <w:proofErr w:type="spellEnd"/>
      <w:r w:rsidR="00AA6A1B" w:rsidRPr="00382A53">
        <w:t xml:space="preserve"> ‘Sinking the </w:t>
      </w:r>
      <w:r w:rsidR="00AA6A1B" w:rsidRPr="0020629E">
        <w:rPr>
          <w:i/>
        </w:rPr>
        <w:t>Caroline</w:t>
      </w:r>
      <w:r w:rsidR="00AA6A1B">
        <w:t xml:space="preserve">’ </w:t>
      </w:r>
      <w:r w:rsidR="00AA6A1B">
        <w:lastRenderedPageBreak/>
        <w:t>in 2003,</w:t>
      </w:r>
      <w:r w:rsidR="006514BD">
        <w:rPr>
          <w:rStyle w:val="FootnoteReference"/>
        </w:rPr>
        <w:footnoteReference w:id="16"/>
      </w:r>
      <w:r w:rsidR="00AA6A1B">
        <w:t xml:space="preserve"> </w:t>
      </w:r>
      <w:r w:rsidR="00062DFA">
        <w:t>and</w:t>
      </w:r>
      <w:r w:rsidR="00FF0351">
        <w:t>,</w:t>
      </w:r>
      <w:r w:rsidR="00062DFA">
        <w:t xml:space="preserve"> then</w:t>
      </w:r>
      <w:r w:rsidR="00FF0351">
        <w:t>,</w:t>
      </w:r>
      <w:r w:rsidR="00062DFA">
        <w:t xml:space="preserve"> </w:t>
      </w:r>
      <w:r>
        <w:t xml:space="preserve">by </w:t>
      </w:r>
      <w:r w:rsidR="00AA6A1B">
        <w:t xml:space="preserve">my own ‘Docking the </w:t>
      </w:r>
      <w:r w:rsidR="00AA6A1B" w:rsidRPr="00062DFA">
        <w:rPr>
          <w:i/>
        </w:rPr>
        <w:t>Caroline</w:t>
      </w:r>
      <w:r w:rsidR="00AA6A1B">
        <w:t>’</w:t>
      </w:r>
      <w:r w:rsidR="00062DFA">
        <w:t xml:space="preserve"> in 2006.</w:t>
      </w:r>
      <w:r w:rsidR="006514BD">
        <w:rPr>
          <w:rStyle w:val="FootnoteReference"/>
        </w:rPr>
        <w:footnoteReference w:id="17"/>
      </w:r>
      <w:r w:rsidR="00062DFA">
        <w:t xml:space="preserve">  That </w:t>
      </w:r>
      <w:r w:rsidR="00A9441A">
        <w:t xml:space="preserve">naming </w:t>
      </w:r>
      <w:r w:rsidR="00062DFA">
        <w:t xml:space="preserve">convention </w:t>
      </w:r>
      <w:r w:rsidR="00965276">
        <w:t>had been</w:t>
      </w:r>
      <w:r w:rsidR="00062DFA">
        <w:t xml:space="preserve"> dropped in more recent work on the incident,</w:t>
      </w:r>
      <w:r w:rsidR="00965276">
        <w:rPr>
          <w:rStyle w:val="FootnoteReference"/>
        </w:rPr>
        <w:footnoteReference w:id="18"/>
      </w:r>
      <w:r w:rsidR="00062DFA">
        <w:t xml:space="preserve"> but </w:t>
      </w:r>
      <w:proofErr w:type="spellStart"/>
      <w:r w:rsidR="00062DFA">
        <w:t>Forcese</w:t>
      </w:r>
      <w:proofErr w:type="spellEnd"/>
      <w:r w:rsidR="00062DFA">
        <w:t xml:space="preserve"> has revived it</w:t>
      </w:r>
      <w:r w:rsidR="00965276">
        <w:t xml:space="preserve"> with</w:t>
      </w:r>
      <w:r w:rsidR="00062DFA">
        <w:t xml:space="preserve"> </w:t>
      </w:r>
      <w:r w:rsidR="00965276">
        <w:t>‘</w:t>
      </w:r>
      <w:r w:rsidR="00062DFA" w:rsidRPr="00382A53">
        <w:rPr>
          <w:i/>
        </w:rPr>
        <w:t>Destroying</w:t>
      </w:r>
      <w:r w:rsidR="00965276">
        <w:t>’</w:t>
      </w:r>
      <w:r w:rsidR="00062DFA" w:rsidRPr="00382A53">
        <w:rPr>
          <w:i/>
        </w:rPr>
        <w:t xml:space="preserve"> the Caroline</w:t>
      </w:r>
      <w:r w:rsidR="00965276">
        <w:t xml:space="preserve">: </w:t>
      </w:r>
      <w:r w:rsidR="00AF1EDE">
        <w:t xml:space="preserve">neatly </w:t>
      </w:r>
      <w:r w:rsidR="00965276">
        <w:t xml:space="preserve">connecting </w:t>
      </w:r>
      <w:r w:rsidR="00B77D1D">
        <w:t>his</w:t>
      </w:r>
      <w:r w:rsidR="00965276">
        <w:t xml:space="preserve"> book to some of the </w:t>
      </w:r>
      <w:r w:rsidR="00B77D1D">
        <w:t>previous</w:t>
      </w:r>
      <w:r w:rsidR="00965276">
        <w:t xml:space="preserve"> literature on the subject by virtue of its very title.</w:t>
      </w:r>
      <w:r w:rsidR="00E1614C">
        <w:rPr>
          <w:rStyle w:val="FootnoteReference"/>
        </w:rPr>
        <w:footnoteReference w:id="19"/>
      </w:r>
    </w:p>
    <w:p w:rsidR="001D53AD" w:rsidRDefault="00062DFA" w:rsidP="008022A7">
      <w:pPr>
        <w:spacing w:line="360" w:lineRule="auto"/>
        <w:ind w:firstLine="720"/>
        <w:jc w:val="both"/>
      </w:pPr>
      <w:r>
        <w:t xml:space="preserve">The </w:t>
      </w:r>
      <w:r w:rsidR="00E2277E">
        <w:t xml:space="preserve">relatively </w:t>
      </w:r>
      <w:r>
        <w:t>small, but not insignificant</w:t>
      </w:r>
      <w:r w:rsidR="001D53AD">
        <w:t>,</w:t>
      </w:r>
      <w:r>
        <w:t xml:space="preserve"> </w:t>
      </w:r>
      <w:r w:rsidR="0023623F">
        <w:t xml:space="preserve">body of </w:t>
      </w:r>
      <w:r w:rsidR="00B77D1D">
        <w:t xml:space="preserve">legal </w:t>
      </w:r>
      <w:r>
        <w:t xml:space="preserve">literature </w:t>
      </w:r>
      <w:r w:rsidR="00E2277E">
        <w:t xml:space="preserve">focused </w:t>
      </w:r>
      <w:r w:rsidR="00FF0351" w:rsidRPr="007E39B4">
        <w:rPr>
          <w:i/>
        </w:rPr>
        <w:t>specifically</w:t>
      </w:r>
      <w:r w:rsidR="00FF0351">
        <w:t xml:space="preserve"> </w:t>
      </w:r>
      <w:r w:rsidR="00E2277E">
        <w:t>on</w:t>
      </w:r>
      <w:r>
        <w:t xml:space="preserve"> the </w:t>
      </w:r>
      <w:r w:rsidRPr="0061583B">
        <w:rPr>
          <w:i/>
        </w:rPr>
        <w:t>Caroline</w:t>
      </w:r>
      <w:r w:rsidR="0061583B">
        <w:t>,</w:t>
      </w:r>
      <w:r>
        <w:t xml:space="preserve"> </w:t>
      </w:r>
      <w:r w:rsidR="00E2277E">
        <w:t xml:space="preserve">has </w:t>
      </w:r>
      <w:r w:rsidR="00D530C1">
        <w:t xml:space="preserve">– over the last few decades </w:t>
      </w:r>
      <w:r w:rsidR="00EF4035">
        <w:t>in particular</w:t>
      </w:r>
      <w:r w:rsidR="00D530C1">
        <w:t xml:space="preserve"> – </w:t>
      </w:r>
      <w:r>
        <w:t xml:space="preserve">sought in some measure either to reaffirm or question the </w:t>
      </w:r>
      <w:r w:rsidRPr="005B6895">
        <w:t xml:space="preserve">incident’s lofty status in </w:t>
      </w:r>
      <w:r w:rsidRPr="005B6895">
        <w:rPr>
          <w:i/>
        </w:rPr>
        <w:t>ad bellum</w:t>
      </w:r>
      <w:r w:rsidRPr="005B6895">
        <w:t xml:space="preserve"> discourse. </w:t>
      </w:r>
      <w:r w:rsidR="007031F8" w:rsidRPr="005B6895">
        <w:t>Some scholars</w:t>
      </w:r>
      <w:r w:rsidR="00FF0351" w:rsidRPr="005B6895">
        <w:t>, for example,</w:t>
      </w:r>
      <w:r w:rsidR="00E2277E" w:rsidRPr="005B6895">
        <w:t xml:space="preserve"> </w:t>
      </w:r>
      <w:r w:rsidR="007031F8" w:rsidRPr="005B6895">
        <w:t>have argued</w:t>
      </w:r>
      <w:r w:rsidR="00E2277E" w:rsidRPr="005B6895">
        <w:t xml:space="preserve"> that the </w:t>
      </w:r>
      <w:r w:rsidR="00E2277E" w:rsidRPr="005B6895">
        <w:rPr>
          <w:i/>
        </w:rPr>
        <w:t>Caroline</w:t>
      </w:r>
      <w:r w:rsidR="00E2277E" w:rsidRPr="005B6895">
        <w:t xml:space="preserve"> is today of limited value, </w:t>
      </w:r>
      <w:r w:rsidR="005B6895" w:rsidRPr="005B6895">
        <w:t xml:space="preserve">being </w:t>
      </w:r>
      <w:r w:rsidR="00E2277E" w:rsidRPr="005B6895">
        <w:t>relevant only to certai</w:t>
      </w:r>
      <w:r w:rsidR="005B6895" w:rsidRPr="005B6895">
        <w:t>n ‘types’ of self-defence claim</w:t>
      </w:r>
      <w:r w:rsidR="00A9441A">
        <w:t>,</w:t>
      </w:r>
      <w:r w:rsidR="00965276" w:rsidRPr="005B6895">
        <w:rPr>
          <w:rStyle w:val="FootnoteReference"/>
        </w:rPr>
        <w:footnoteReference w:id="20"/>
      </w:r>
      <w:r w:rsidR="005B6895" w:rsidRPr="005B6895">
        <w:t xml:space="preserve"> or </w:t>
      </w:r>
      <w:r w:rsidR="00A9441A">
        <w:t xml:space="preserve">that its </w:t>
      </w:r>
      <w:r w:rsidR="00EF4035">
        <w:t xml:space="preserve">resulting </w:t>
      </w:r>
      <w:r w:rsidR="00A9441A">
        <w:t xml:space="preserve">formula is </w:t>
      </w:r>
      <w:r w:rsidR="007E39B4">
        <w:t>in need of amendment</w:t>
      </w:r>
      <w:r w:rsidR="005B6895" w:rsidRPr="005B6895">
        <w:t xml:space="preserve"> in relation to the realities of modern threats.</w:t>
      </w:r>
      <w:r w:rsidR="005B6895" w:rsidRPr="005B6895">
        <w:rPr>
          <w:rStyle w:val="FootnoteReference"/>
        </w:rPr>
        <w:footnoteReference w:id="21"/>
      </w:r>
      <w:r w:rsidR="00E2277E" w:rsidRPr="005B6895">
        <w:t xml:space="preserve"> </w:t>
      </w:r>
      <w:r w:rsidR="007031F8" w:rsidRPr="005B6895">
        <w:t>Others have gone</w:t>
      </w:r>
      <w:r w:rsidR="00E2277E" w:rsidRPr="005B6895">
        <w:t xml:space="preserve"> further and argued that the </w:t>
      </w:r>
      <w:r w:rsidR="00E2277E" w:rsidRPr="005B6895">
        <w:rPr>
          <w:i/>
        </w:rPr>
        <w:t>Caroline</w:t>
      </w:r>
      <w:r w:rsidR="007031F8" w:rsidRPr="005B6895">
        <w:t xml:space="preserve"> should not be seen as having meaningful</w:t>
      </w:r>
      <w:r w:rsidR="00E2277E" w:rsidRPr="005B6895">
        <w:t xml:space="preserve"> implications for modern customary international law at all.</w:t>
      </w:r>
      <w:r w:rsidR="007031F8" w:rsidRPr="005B6895">
        <w:rPr>
          <w:rStyle w:val="FootnoteReference"/>
        </w:rPr>
        <w:footnoteReference w:id="22"/>
      </w:r>
      <w:r w:rsidR="00E2277E" w:rsidRPr="005B6895">
        <w:t xml:space="preserve"> </w:t>
      </w:r>
      <w:r w:rsidR="005B6895" w:rsidRPr="005B6895">
        <w:t>In complete contrast, a</w:t>
      </w:r>
      <w:r w:rsidR="007E39B4">
        <w:t xml:space="preserve"> competing </w:t>
      </w:r>
      <w:r w:rsidR="005B6895" w:rsidRPr="005B6895">
        <w:t xml:space="preserve">seam of this scholarship has </w:t>
      </w:r>
      <w:r w:rsidR="00835BF1">
        <w:t xml:space="preserve">sought to </w:t>
      </w:r>
      <w:r w:rsidR="005B6895" w:rsidRPr="005B6895">
        <w:t xml:space="preserve">reaffirm the pre-eminence of the </w:t>
      </w:r>
      <w:r w:rsidR="005B6895" w:rsidRPr="005B6895">
        <w:rPr>
          <w:i/>
        </w:rPr>
        <w:t>Caroline</w:t>
      </w:r>
      <w:r w:rsidR="005B6895" w:rsidRPr="005B6895">
        <w:t xml:space="preserve"> and its </w:t>
      </w:r>
      <w:r w:rsidR="00835BF1">
        <w:t>fundamental role in the</w:t>
      </w:r>
      <w:r w:rsidR="005B6895" w:rsidRPr="005B6895">
        <w:t xml:space="preserve"> modern law</w:t>
      </w:r>
      <w:r w:rsidR="00E2277E" w:rsidRPr="005B6895">
        <w:t>.</w:t>
      </w:r>
      <w:r w:rsidR="005B6895" w:rsidRPr="005B6895">
        <w:rPr>
          <w:rStyle w:val="FootnoteReference"/>
        </w:rPr>
        <w:footnoteReference w:id="23"/>
      </w:r>
      <w:r w:rsidR="00E2277E" w:rsidRPr="005B6895">
        <w:t xml:space="preserve">  </w:t>
      </w:r>
    </w:p>
    <w:p w:rsidR="00E2277E" w:rsidRDefault="00E2277E" w:rsidP="008022A7">
      <w:pPr>
        <w:spacing w:line="360" w:lineRule="auto"/>
        <w:ind w:firstLine="720"/>
        <w:jc w:val="both"/>
      </w:pPr>
      <w:r w:rsidRPr="005B6895">
        <w:t>For</w:t>
      </w:r>
      <w:r>
        <w:t xml:space="preserve"> </w:t>
      </w:r>
      <w:r w:rsidR="00EF4035">
        <w:t xml:space="preserve">what it is worth, for </w:t>
      </w:r>
      <w:r>
        <w:t>my part,</w:t>
      </w:r>
      <w:r w:rsidRPr="00E2277E">
        <w:t xml:space="preserve"> I argued </w:t>
      </w:r>
      <w:r>
        <w:t xml:space="preserve">in </w:t>
      </w:r>
      <w:r w:rsidR="0023623F">
        <w:t xml:space="preserve">my </w:t>
      </w:r>
      <w:r>
        <w:t>2006</w:t>
      </w:r>
      <w:r w:rsidR="0023623F">
        <w:t xml:space="preserve"> article</w:t>
      </w:r>
      <w:r>
        <w:t xml:space="preserve"> </w:t>
      </w:r>
      <w:r w:rsidRPr="00E2277E">
        <w:t xml:space="preserve">that the </w:t>
      </w:r>
      <w:r w:rsidRPr="00FF0351">
        <w:rPr>
          <w:i/>
        </w:rPr>
        <w:t>Caroline</w:t>
      </w:r>
      <w:r w:rsidRPr="00E2277E">
        <w:t xml:space="preserve">’s relevance had </w:t>
      </w:r>
      <w:r>
        <w:t xml:space="preserve">been </w:t>
      </w:r>
      <w:r w:rsidR="001D53AD">
        <w:t xml:space="preserve">both </w:t>
      </w:r>
      <w:r>
        <w:t>under- and overstated</w:t>
      </w:r>
      <w:r w:rsidR="0023623F">
        <w:t>. My view now, as then, remains that</w:t>
      </w:r>
      <w:r>
        <w:t xml:space="preserve"> </w:t>
      </w:r>
      <w:r w:rsidR="0023623F">
        <w:t>‘</w:t>
      </w:r>
      <w:r w:rsidR="0023623F" w:rsidRPr="00DF30DB">
        <w:t xml:space="preserve">the </w:t>
      </w:r>
      <w:r w:rsidR="0023623F" w:rsidRPr="00DF30DB">
        <w:rPr>
          <w:i/>
        </w:rPr>
        <w:t>Caroline</w:t>
      </w:r>
      <w:r w:rsidR="0023623F" w:rsidRPr="00DF30DB">
        <w:t xml:space="preserve"> formula in itself does not represent contemporar</w:t>
      </w:r>
      <w:r w:rsidR="0023623F">
        <w:t>y customary international law’,</w:t>
      </w:r>
      <w:r w:rsidR="005B6895">
        <w:rPr>
          <w:rStyle w:val="FootnoteReference"/>
        </w:rPr>
        <w:footnoteReference w:id="24"/>
      </w:r>
      <w:r w:rsidR="0023623F">
        <w:t xml:space="preserve"> but that the roots of the modern law undeniably are to be found in the </w:t>
      </w:r>
      <w:r w:rsidR="0023623F" w:rsidRPr="0023623F">
        <w:rPr>
          <w:i/>
        </w:rPr>
        <w:t>Caroline</w:t>
      </w:r>
      <w:r w:rsidR="0023623F">
        <w:t>, and</w:t>
      </w:r>
      <w:r w:rsidR="00FF0351">
        <w:t>,</w:t>
      </w:r>
      <w:r w:rsidR="0023623F">
        <w:t xml:space="preserve"> therefore</w:t>
      </w:r>
      <w:r w:rsidR="00FF0351">
        <w:t>,</w:t>
      </w:r>
      <w:r w:rsidR="0023623F">
        <w:t xml:space="preserve"> </w:t>
      </w:r>
      <w:r w:rsidR="007E39B4">
        <w:t>the ‘</w:t>
      </w:r>
      <w:r w:rsidR="0023623F" w:rsidRPr="00DF30DB">
        <w:t xml:space="preserve">exclusion of the </w:t>
      </w:r>
      <w:r w:rsidR="0023623F" w:rsidRPr="00DF30DB">
        <w:rPr>
          <w:i/>
        </w:rPr>
        <w:t>Caroline</w:t>
      </w:r>
      <w:r w:rsidR="0023623F" w:rsidRPr="00DF30DB">
        <w:t xml:space="preserve"> from scholarly discourse over the current position of the customary in</w:t>
      </w:r>
      <w:r w:rsidR="00723C6F">
        <w:t xml:space="preserve">ternational law of self-defence </w:t>
      </w:r>
      <w:r w:rsidR="0023623F" w:rsidRPr="00DF30DB">
        <w:t>is unhelpful, because the formula is an extremely useful tool to aid our understanding of this area of the law.</w:t>
      </w:r>
      <w:r w:rsidR="0023623F">
        <w:t>’</w:t>
      </w:r>
      <w:r w:rsidR="00723C6F">
        <w:rPr>
          <w:rStyle w:val="FootnoteReference"/>
        </w:rPr>
        <w:footnoteReference w:id="25"/>
      </w:r>
    </w:p>
    <w:p w:rsidR="00D530C1" w:rsidRDefault="00062DFA" w:rsidP="003C2B28">
      <w:pPr>
        <w:spacing w:line="360" w:lineRule="auto"/>
        <w:ind w:firstLine="720"/>
        <w:jc w:val="both"/>
      </w:pPr>
      <w:r w:rsidRPr="0061583B">
        <w:rPr>
          <w:i/>
        </w:rPr>
        <w:t>Destroying the</w:t>
      </w:r>
      <w:r>
        <w:t xml:space="preserve"> </w:t>
      </w:r>
      <w:r w:rsidRPr="0061583B">
        <w:rPr>
          <w:i/>
        </w:rPr>
        <w:t>Caroline</w:t>
      </w:r>
      <w:r w:rsidR="00AF1EDE">
        <w:t xml:space="preserve"> </w:t>
      </w:r>
      <w:r w:rsidR="00FC0046">
        <w:t>i</w:t>
      </w:r>
      <w:r w:rsidR="00AF1EDE">
        <w:t>s another contribution</w:t>
      </w:r>
      <w:r w:rsidR="0010377F">
        <w:t xml:space="preserve"> </w:t>
      </w:r>
      <w:r w:rsidR="00AF1EDE">
        <w:t xml:space="preserve">to this </w:t>
      </w:r>
      <w:r w:rsidR="007E39B4">
        <w:t>thread</w:t>
      </w:r>
      <w:r w:rsidR="0061583B">
        <w:t xml:space="preserve"> of </w:t>
      </w:r>
      <w:r w:rsidR="0061583B" w:rsidRPr="00D61707">
        <w:rPr>
          <w:i/>
        </w:rPr>
        <w:t>ad bellum</w:t>
      </w:r>
      <w:r w:rsidR="0061583B">
        <w:t xml:space="preserve"> </w:t>
      </w:r>
      <w:r w:rsidR="00EF4035">
        <w:t>i</w:t>
      </w:r>
      <w:r w:rsidR="0061583B">
        <w:t>nquiry</w:t>
      </w:r>
      <w:r w:rsidR="00D61707">
        <w:t xml:space="preserve"> that </w:t>
      </w:r>
      <w:r w:rsidR="00FF0351">
        <w:t>has chosen to zero</w:t>
      </w:r>
      <w:r w:rsidR="00D61707">
        <w:t xml:space="preserve"> in on </w:t>
      </w:r>
      <w:r w:rsidR="007E39B4">
        <w:t>this ‘useful tool’</w:t>
      </w:r>
      <w:r w:rsidR="00FC0046">
        <w:t>. A</w:t>
      </w:r>
      <w:r w:rsidR="00AF1EDE">
        <w:t xml:space="preserve">s noted, </w:t>
      </w:r>
      <w:r w:rsidR="007E39B4">
        <w:t>the book’s</w:t>
      </w:r>
      <w:r w:rsidR="00AF1EDE">
        <w:t xml:space="preserve"> very title acts to situate</w:t>
      </w:r>
      <w:r w:rsidR="008022A7">
        <w:t xml:space="preserve"> it amongst some of</w:t>
      </w:r>
      <w:r w:rsidR="00A9441A">
        <w:t xml:space="preserve"> that</w:t>
      </w:r>
      <w:r w:rsidR="00AF1EDE">
        <w:t xml:space="preserve"> wider body of work</w:t>
      </w:r>
      <w:r>
        <w:t xml:space="preserve">.  </w:t>
      </w:r>
      <w:r w:rsidR="004B5397">
        <w:t>However</w:t>
      </w:r>
      <w:r w:rsidR="003C2B28">
        <w:t xml:space="preserve">, </w:t>
      </w:r>
      <w:r w:rsidR="00FC0046">
        <w:t>as will be discussed,</w:t>
      </w:r>
      <w:r w:rsidR="001D53AD">
        <w:rPr>
          <w:rStyle w:val="FootnoteReference"/>
        </w:rPr>
        <w:footnoteReference w:id="26"/>
      </w:r>
      <w:r w:rsidR="00FC0046">
        <w:t xml:space="preserve"> the depth and quality of the historical research in the book</w:t>
      </w:r>
      <w:r w:rsidR="001D53AD">
        <w:t xml:space="preserve"> (in particular)</w:t>
      </w:r>
      <w:r w:rsidR="00FC0046">
        <w:t xml:space="preserve"> means it stands out as one of the </w:t>
      </w:r>
      <w:r w:rsidR="007E39B4">
        <w:t>most important</w:t>
      </w:r>
      <w:r w:rsidR="00FC0046">
        <w:t xml:space="preserve"> works </w:t>
      </w:r>
      <w:r w:rsidR="007E39B4">
        <w:t xml:space="preserve">that has thus far been written </w:t>
      </w:r>
      <w:r w:rsidR="00FC0046">
        <w:t>on the incident.</w:t>
      </w:r>
      <w:r>
        <w:t xml:space="preserve">  </w:t>
      </w:r>
    </w:p>
    <w:p w:rsidR="00A9441A" w:rsidRDefault="00A9441A" w:rsidP="00A9441A">
      <w:pPr>
        <w:spacing w:line="360" w:lineRule="auto"/>
        <w:jc w:val="both"/>
        <w:rPr>
          <w:i/>
        </w:rPr>
      </w:pPr>
    </w:p>
    <w:p w:rsidR="00551494" w:rsidRPr="00551494" w:rsidRDefault="004E2371" w:rsidP="00A9441A">
      <w:pPr>
        <w:spacing w:line="360" w:lineRule="auto"/>
        <w:jc w:val="both"/>
        <w:rPr>
          <w:b/>
        </w:rPr>
      </w:pPr>
      <w:r>
        <w:rPr>
          <w:b/>
        </w:rPr>
        <w:lastRenderedPageBreak/>
        <w:t>3</w:t>
      </w:r>
      <w:r w:rsidR="00EF4035">
        <w:rPr>
          <w:b/>
        </w:rPr>
        <w:t>. S</w:t>
      </w:r>
      <w:r w:rsidR="00551494" w:rsidRPr="00551494">
        <w:rPr>
          <w:b/>
        </w:rPr>
        <w:t>tructure and approach</w:t>
      </w:r>
    </w:p>
    <w:p w:rsidR="00551494" w:rsidRDefault="00551494" w:rsidP="00A9441A">
      <w:pPr>
        <w:spacing w:line="360" w:lineRule="auto"/>
        <w:jc w:val="both"/>
        <w:rPr>
          <w:i/>
        </w:rPr>
      </w:pPr>
    </w:p>
    <w:p w:rsidR="00A90C19" w:rsidRDefault="00A90C19" w:rsidP="00A9441A">
      <w:pPr>
        <w:spacing w:line="360" w:lineRule="auto"/>
        <w:jc w:val="both"/>
      </w:pPr>
      <w:r w:rsidRPr="0083797E">
        <w:rPr>
          <w:i/>
        </w:rPr>
        <w:t>Destroying the Caroline</w:t>
      </w:r>
      <w:r>
        <w:t xml:space="preserve"> is split into five parts.  </w:t>
      </w:r>
      <w:r w:rsidR="00EF4035">
        <w:t xml:space="preserve">Drawing on </w:t>
      </w:r>
      <w:r w:rsidR="00EF4035" w:rsidRPr="007E39B4">
        <w:rPr>
          <w:i/>
        </w:rPr>
        <w:t>significant</w:t>
      </w:r>
      <w:r w:rsidR="00EF4035">
        <w:t xml:space="preserve"> archival research, </w:t>
      </w:r>
      <w:r w:rsidR="008022A7">
        <w:t>P</w:t>
      </w:r>
      <w:r>
        <w:t>art I pieces together and sets out a detailed account of the events that led up to the incident</w:t>
      </w:r>
      <w:r w:rsidR="006A6080">
        <w:t>,</w:t>
      </w:r>
      <w:r>
        <w:t xml:space="preserve"> and then </w:t>
      </w:r>
      <w:r w:rsidR="00AF1EDE">
        <w:t xml:space="preserve">of </w:t>
      </w:r>
      <w:r>
        <w:t>the incident itself</w:t>
      </w:r>
      <w:r w:rsidR="00AF1EDE">
        <w:t xml:space="preserve">.  Part II </w:t>
      </w:r>
      <w:r w:rsidR="001D53AD">
        <w:t xml:space="preserve">– likewise underpinned by some exceptional historical research – </w:t>
      </w:r>
      <w:r w:rsidR="00AF1EDE">
        <w:t>examines the fallout:</w:t>
      </w:r>
      <w:r>
        <w:t xml:space="preserve"> the various </w:t>
      </w:r>
      <w:r w:rsidR="006A6080">
        <w:t>increases</w:t>
      </w:r>
      <w:r>
        <w:t xml:space="preserve"> and </w:t>
      </w:r>
      <w:r w:rsidR="006A6080">
        <w:t>reductions</w:t>
      </w:r>
      <w:r>
        <w:t xml:space="preserve"> in Anglo-American tensions</w:t>
      </w:r>
      <w:r w:rsidR="006A6080">
        <w:t xml:space="preserve"> that followed</w:t>
      </w:r>
      <w:r>
        <w:t xml:space="preserve">, and the diplomatic exchanges that ultimately produced the famous formula that became the </w:t>
      </w:r>
      <w:r w:rsidRPr="0083797E">
        <w:rPr>
          <w:i/>
        </w:rPr>
        <w:t>Caroline</w:t>
      </w:r>
      <w:r>
        <w:t xml:space="preserve">’s </w:t>
      </w:r>
      <w:r w:rsidR="00AF1EDE">
        <w:t xml:space="preserve">most </w:t>
      </w:r>
      <w:r>
        <w:t>enduring international l</w:t>
      </w:r>
      <w:r w:rsidR="006A6080">
        <w:t>egal</w:t>
      </w:r>
      <w:r>
        <w:t xml:space="preserve"> legacy.  Part III then assesses the merits of the claims and debates at the time, set in their appropriate historical context.  Part IV charts the process through which the </w:t>
      </w:r>
      <w:r w:rsidRPr="0083797E">
        <w:rPr>
          <w:i/>
        </w:rPr>
        <w:t>Caroline</w:t>
      </w:r>
      <w:r>
        <w:t xml:space="preserve"> became firmly embedded in international legal discourse, through consideration of nineteenth century writings and practice.  Finally, Part V engages the question of what the </w:t>
      </w:r>
      <w:r w:rsidRPr="0083797E">
        <w:rPr>
          <w:i/>
        </w:rPr>
        <w:t>Caroline</w:t>
      </w:r>
      <w:r>
        <w:t xml:space="preserve"> </w:t>
      </w:r>
      <w:r w:rsidR="007E39B4">
        <w:t>might mean</w:t>
      </w:r>
      <w:r>
        <w:t xml:space="preserve"> for the law on the use of force today. </w:t>
      </w:r>
    </w:p>
    <w:p w:rsidR="00A90C19" w:rsidRDefault="00A90C19" w:rsidP="00A90C19">
      <w:pPr>
        <w:spacing w:line="360" w:lineRule="auto"/>
        <w:ind w:firstLine="720"/>
        <w:jc w:val="both"/>
      </w:pPr>
      <w:r>
        <w:t xml:space="preserve">As such, </w:t>
      </w:r>
      <w:proofErr w:type="spellStart"/>
      <w:r>
        <w:t>Forcese</w:t>
      </w:r>
      <w:proofErr w:type="spellEnd"/>
      <w:r>
        <w:t xml:space="preserve"> (very deliberately) </w:t>
      </w:r>
      <w:r w:rsidRPr="00794BB3">
        <w:t xml:space="preserve">straddles </w:t>
      </w:r>
      <w:r w:rsidR="00EF4035">
        <w:t xml:space="preserve">political and social </w:t>
      </w:r>
      <w:r w:rsidRPr="00794BB3">
        <w:t>histor</w:t>
      </w:r>
      <w:r w:rsidR="00EF4035">
        <w:t>y</w:t>
      </w:r>
      <w:r w:rsidR="006A6080">
        <w:t>, legal</w:t>
      </w:r>
      <w:r w:rsidR="00EF4035">
        <w:t xml:space="preserve"> </w:t>
      </w:r>
      <w:r>
        <w:t>histor</w:t>
      </w:r>
      <w:r w:rsidR="00EF4035">
        <w:t>y</w:t>
      </w:r>
      <w:r>
        <w:t xml:space="preserve"> and modern </w:t>
      </w:r>
      <w:r w:rsidRPr="00794BB3">
        <w:t>legal analysis</w:t>
      </w:r>
      <w:r w:rsidR="00AF1EDE">
        <w:t>.</w:t>
      </w:r>
      <w:r w:rsidR="00674E87">
        <w:rPr>
          <w:rStyle w:val="FootnoteReference"/>
        </w:rPr>
        <w:footnoteReference w:id="27"/>
      </w:r>
      <w:r w:rsidRPr="00794BB3">
        <w:t xml:space="preserve"> Parts I and II together are </w:t>
      </w:r>
      <w:r w:rsidR="006A6080">
        <w:t xml:space="preserve">essentially </w:t>
      </w:r>
      <w:r w:rsidRPr="00794BB3">
        <w:t xml:space="preserve">a </w:t>
      </w:r>
      <w:r>
        <w:t xml:space="preserve">‘pure’ </w:t>
      </w:r>
      <w:r w:rsidRPr="00794BB3">
        <w:t xml:space="preserve">historiography of a frontier incident from 1837 and its aftermath; Parts III and IV move into </w:t>
      </w:r>
      <w:r w:rsidRPr="00794BB3">
        <w:rPr>
          <w:i/>
        </w:rPr>
        <w:t>legal</w:t>
      </w:r>
      <w:r w:rsidRPr="00794BB3">
        <w:t xml:space="preserve"> history territory, analysing the claims at the time and then the legal resonance of the </w:t>
      </w:r>
      <w:r w:rsidRPr="00794BB3">
        <w:rPr>
          <w:i/>
        </w:rPr>
        <w:t>Caroline</w:t>
      </w:r>
      <w:r w:rsidRPr="00794BB3">
        <w:t xml:space="preserve"> in the decades that followed; Part V </w:t>
      </w:r>
      <w:r w:rsidR="00AF1EDE">
        <w:t xml:space="preserve">acts </w:t>
      </w:r>
      <w:r w:rsidR="00327179">
        <w:t xml:space="preserve">to situate the </w:t>
      </w:r>
      <w:r w:rsidR="00327179" w:rsidRPr="00327179">
        <w:rPr>
          <w:i/>
        </w:rPr>
        <w:t>Caroline</w:t>
      </w:r>
      <w:r w:rsidR="00327179">
        <w:t xml:space="preserve"> in</w:t>
      </w:r>
      <w:r w:rsidRPr="00794BB3">
        <w:t xml:space="preserve"> cur</w:t>
      </w:r>
      <w:r>
        <w:t xml:space="preserve">rent legal </w:t>
      </w:r>
      <w:r w:rsidR="006A6080">
        <w:t>debates</w:t>
      </w:r>
      <w:r>
        <w:t>.</w:t>
      </w:r>
    </w:p>
    <w:p w:rsidR="00551494" w:rsidRDefault="00551494" w:rsidP="00551494">
      <w:pPr>
        <w:spacing w:line="360" w:lineRule="auto"/>
        <w:jc w:val="both"/>
      </w:pPr>
    </w:p>
    <w:p w:rsidR="00551494" w:rsidRPr="00EF4035" w:rsidRDefault="004E2371" w:rsidP="00551494">
      <w:pPr>
        <w:spacing w:line="360" w:lineRule="auto"/>
        <w:jc w:val="both"/>
        <w:rPr>
          <w:b/>
        </w:rPr>
      </w:pPr>
      <w:r>
        <w:rPr>
          <w:b/>
        </w:rPr>
        <w:t>4</w:t>
      </w:r>
      <w:r w:rsidR="00EF4035" w:rsidRPr="00EF4035">
        <w:rPr>
          <w:b/>
        </w:rPr>
        <w:t xml:space="preserve">. </w:t>
      </w:r>
      <w:r w:rsidR="0048321E">
        <w:rPr>
          <w:b/>
        </w:rPr>
        <w:t>Turning to history</w:t>
      </w:r>
    </w:p>
    <w:p w:rsidR="00551494" w:rsidRDefault="00551494" w:rsidP="00551494">
      <w:pPr>
        <w:spacing w:line="360" w:lineRule="auto"/>
        <w:jc w:val="both"/>
      </w:pPr>
    </w:p>
    <w:p w:rsidR="00C31C45" w:rsidRDefault="00A82042" w:rsidP="00551494">
      <w:pPr>
        <w:spacing w:line="360" w:lineRule="auto"/>
        <w:jc w:val="both"/>
      </w:pPr>
      <w:r>
        <w:t>It</w:t>
      </w:r>
      <w:r w:rsidR="008022A7">
        <w:t xml:space="preserve"> </w:t>
      </w:r>
      <w:r>
        <w:t xml:space="preserve">is </w:t>
      </w:r>
      <w:r w:rsidR="00741C9D">
        <w:t xml:space="preserve">the historical aspect of </w:t>
      </w:r>
      <w:r w:rsidR="001D53AD" w:rsidRPr="00551494">
        <w:rPr>
          <w:i/>
        </w:rPr>
        <w:t>Destroying the Caroline</w:t>
      </w:r>
      <w:r w:rsidR="00741C9D">
        <w:t>, comprising the notable majority of it</w:t>
      </w:r>
      <w:r w:rsidR="001D53AD">
        <w:t>s pages</w:t>
      </w:r>
      <w:r w:rsidR="00741C9D">
        <w:t>, which is the most successful.  T</w:t>
      </w:r>
      <w:r>
        <w:t>he quality and sheer depth of the un</w:t>
      </w:r>
      <w:r w:rsidR="00984EEA">
        <w:t xml:space="preserve">derpinning historical research – </w:t>
      </w:r>
      <w:r>
        <w:t xml:space="preserve">particularly in the first two </w:t>
      </w:r>
      <w:r w:rsidR="007E39B4">
        <w:t>P</w:t>
      </w:r>
      <w:r>
        <w:t>arts of the book</w:t>
      </w:r>
      <w:r w:rsidR="00984EEA">
        <w:t>, although</w:t>
      </w:r>
      <w:r w:rsidR="0073326B">
        <w:t xml:space="preserve"> also </w:t>
      </w:r>
      <w:r w:rsidR="001D53AD">
        <w:t>throughout much of P</w:t>
      </w:r>
      <w:r w:rsidR="0073326B">
        <w:t>arts III and IV</w:t>
      </w:r>
      <w:r>
        <w:t xml:space="preserve"> – </w:t>
      </w:r>
      <w:r w:rsidR="00741C9D">
        <w:t>is extremely impressive</w:t>
      </w:r>
      <w:r w:rsidR="00A90C19">
        <w:t xml:space="preserve">. </w:t>
      </w:r>
      <w:r>
        <w:t xml:space="preserve">In </w:t>
      </w:r>
      <w:r w:rsidR="008022A7">
        <w:t>P</w:t>
      </w:r>
      <w:r>
        <w:t>arts I and II</w:t>
      </w:r>
      <w:r w:rsidR="00A90C19">
        <w:t xml:space="preserve">, </w:t>
      </w:r>
      <w:proofErr w:type="spellStart"/>
      <w:r w:rsidR="00D530C1">
        <w:t>Forcese</w:t>
      </w:r>
      <w:proofErr w:type="spellEnd"/>
      <w:r w:rsidR="00D530C1">
        <w:t xml:space="preserve"> presents </w:t>
      </w:r>
      <w:r>
        <w:t>an</w:t>
      </w:r>
      <w:r w:rsidR="00D530C1">
        <w:t xml:space="preserve"> account </w:t>
      </w:r>
      <w:r w:rsidR="00336A89">
        <w:t>that is not just detailed but rich: t</w:t>
      </w:r>
      <w:r w:rsidR="00D530C1">
        <w:t>h</w:t>
      </w:r>
      <w:r>
        <w:t>e</w:t>
      </w:r>
      <w:r w:rsidR="00D530C1">
        <w:t xml:space="preserve"> first 120 or so pages </w:t>
      </w:r>
      <w:r w:rsidR="00A0275F">
        <w:t xml:space="preserve">of the book </w:t>
      </w:r>
      <w:r w:rsidR="00D530C1">
        <w:t xml:space="preserve">are populated with real people </w:t>
      </w:r>
      <w:r w:rsidR="00DE2C72">
        <w:t>leading</w:t>
      </w:r>
      <w:r w:rsidR="00A90C19">
        <w:t xml:space="preserve"> real lives and </w:t>
      </w:r>
      <w:r w:rsidR="00DE2C72">
        <w:t xml:space="preserve">acting on real </w:t>
      </w:r>
      <w:r w:rsidR="00A90C19">
        <w:t xml:space="preserve">motivations. </w:t>
      </w:r>
      <w:r w:rsidR="00DE2C72">
        <w:t>The reader</w:t>
      </w:r>
      <w:r w:rsidR="00336A89">
        <w:t xml:space="preserve"> get</w:t>
      </w:r>
      <w:r w:rsidR="00DE2C72">
        <w:t>s</w:t>
      </w:r>
      <w:r w:rsidR="00336A89">
        <w:t xml:space="preserve"> the what, why and who all </w:t>
      </w:r>
      <w:r w:rsidR="00DE2C72">
        <w:t xml:space="preserve">presented to them </w:t>
      </w:r>
      <w:r w:rsidR="00336A89">
        <w:t xml:space="preserve">in vibrant technicolour: </w:t>
      </w:r>
      <w:r w:rsidR="00DE2C72">
        <w:t>this first third or so</w:t>
      </w:r>
      <w:r w:rsidR="00606696">
        <w:t xml:space="preserve"> is a wonderful read</w:t>
      </w:r>
      <w:r w:rsidR="00336A89">
        <w:t>,</w:t>
      </w:r>
      <w:r w:rsidR="00A90C19">
        <w:t xml:space="preserve"> entertaining and frequently illuminating</w:t>
      </w:r>
      <w:r>
        <w:t>.</w:t>
      </w:r>
      <w:r w:rsidR="00551494">
        <w:t xml:space="preserve"> </w:t>
      </w:r>
      <w:r w:rsidR="007F6CDD">
        <w:t xml:space="preserve">Despite its later forays into current legal debates </w:t>
      </w:r>
      <w:r w:rsidR="007E39B4">
        <w:t xml:space="preserve">(notably </w:t>
      </w:r>
      <w:r w:rsidR="007F6CDD">
        <w:t>in Part V</w:t>
      </w:r>
      <w:r w:rsidR="007E39B4">
        <w:t>)</w:t>
      </w:r>
      <w:r w:rsidR="00741C9D">
        <w:t xml:space="preserve">, </w:t>
      </w:r>
      <w:r w:rsidR="00551494" w:rsidRPr="00551494">
        <w:rPr>
          <w:i/>
        </w:rPr>
        <w:t>Destroying the Caroline</w:t>
      </w:r>
      <w:r w:rsidR="00551494">
        <w:t xml:space="preserve"> </w:t>
      </w:r>
      <w:r w:rsidR="00984EEA">
        <w:t>i</w:t>
      </w:r>
      <w:r w:rsidR="00551494">
        <w:t>s</w:t>
      </w:r>
      <w:r w:rsidR="00984EEA">
        <w:t>, first and foremost,</w:t>
      </w:r>
      <w:r w:rsidR="00551494">
        <w:t xml:space="preserve"> a </w:t>
      </w:r>
      <w:r w:rsidR="00A0275F">
        <w:t xml:space="preserve">crucial </w:t>
      </w:r>
      <w:r w:rsidR="007F6CDD">
        <w:t xml:space="preserve">(and very readable) </w:t>
      </w:r>
      <w:r w:rsidR="00551494">
        <w:t>work of international legal history.</w:t>
      </w:r>
    </w:p>
    <w:p w:rsidR="002E10EB" w:rsidRDefault="007F6CDD" w:rsidP="007F6CDD">
      <w:pPr>
        <w:spacing w:line="360" w:lineRule="auto"/>
        <w:ind w:firstLine="720"/>
        <w:jc w:val="both"/>
      </w:pPr>
      <w:r w:rsidRPr="00475E26">
        <w:lastRenderedPageBreak/>
        <w:t>The book might therefore</w:t>
      </w:r>
      <w:r>
        <w:rPr>
          <w:i/>
        </w:rPr>
        <w:t xml:space="preserve"> </w:t>
      </w:r>
      <w:r>
        <w:t xml:space="preserve">be seen as part of the </w:t>
      </w:r>
      <w:r w:rsidR="00A0275F">
        <w:t xml:space="preserve">so-called </w:t>
      </w:r>
      <w:r w:rsidR="00C31C45">
        <w:t>‘turn to history’ in international law scholarship</w:t>
      </w:r>
      <w:r>
        <w:t>.</w:t>
      </w:r>
      <w:r w:rsidR="00327179">
        <w:rPr>
          <w:rStyle w:val="FootnoteReference"/>
        </w:rPr>
        <w:footnoteReference w:id="28"/>
      </w:r>
      <w:r w:rsidR="00C31C45">
        <w:t xml:space="preserve"> </w:t>
      </w:r>
      <w:r>
        <w:t>This</w:t>
      </w:r>
      <w:r w:rsidR="002E10EB">
        <w:t xml:space="preserve"> ‘trend’</w:t>
      </w:r>
      <w:r>
        <w:t xml:space="preserve"> (if it is a trend: </w:t>
      </w:r>
      <w:r w:rsidR="009A5DAA">
        <w:t>the ‘</w:t>
      </w:r>
      <w:r w:rsidR="009A5DAA" w:rsidRPr="009A5DAA">
        <w:t>historical dimension of international legal discourses is not new</w:t>
      </w:r>
      <w:r w:rsidR="009A5DAA">
        <w:t>’</w:t>
      </w:r>
      <w:r>
        <w:t>)</w:t>
      </w:r>
      <w:r w:rsidR="00475E26">
        <w:rPr>
          <w:rStyle w:val="FootnoteReference"/>
        </w:rPr>
        <w:footnoteReference w:id="29"/>
      </w:r>
      <w:r>
        <w:t xml:space="preserve"> </w:t>
      </w:r>
      <w:r w:rsidR="00C31C45">
        <w:t>has certainly had its detractors</w:t>
      </w:r>
      <w:r>
        <w:t xml:space="preserve">, </w:t>
      </w:r>
      <w:r w:rsidR="00C31C45">
        <w:t xml:space="preserve">particularly with regard to </w:t>
      </w:r>
      <w:r w:rsidR="009C566F">
        <w:t xml:space="preserve">the value of seemingly </w:t>
      </w:r>
      <w:proofErr w:type="spellStart"/>
      <w:r w:rsidR="00C31C45">
        <w:t>melioristic</w:t>
      </w:r>
      <w:proofErr w:type="spellEnd"/>
      <w:r w:rsidR="00C31C45">
        <w:t xml:space="preserve"> narratives </w:t>
      </w:r>
      <w:r w:rsidR="009C566F">
        <w:t>that present</w:t>
      </w:r>
      <w:r w:rsidR="00C31C45">
        <w:t xml:space="preserve"> a credulity-defying </w:t>
      </w:r>
      <w:r w:rsidR="00C31C45" w:rsidRPr="000E1EFE">
        <w:t>‘idea of progressive history’</w:t>
      </w:r>
      <w:r w:rsidR="00327179">
        <w:rPr>
          <w:rStyle w:val="FootnoteReference"/>
        </w:rPr>
        <w:footnoteReference w:id="30"/>
      </w:r>
      <w:r w:rsidR="00C31C45">
        <w:t xml:space="preserve"> for international law.</w:t>
      </w:r>
      <w:r w:rsidR="00327179">
        <w:rPr>
          <w:rStyle w:val="FootnoteReference"/>
        </w:rPr>
        <w:footnoteReference w:id="31"/>
      </w:r>
      <w:r w:rsidR="002E10EB">
        <w:t xml:space="preserve"> </w:t>
      </w:r>
    </w:p>
    <w:p w:rsidR="004B5397" w:rsidRDefault="00475E26" w:rsidP="002E10EB">
      <w:pPr>
        <w:spacing w:line="360" w:lineRule="auto"/>
        <w:ind w:firstLine="720"/>
        <w:jc w:val="both"/>
      </w:pPr>
      <w:r>
        <w:t xml:space="preserve">However, </w:t>
      </w:r>
      <w:r w:rsidR="00C31C45" w:rsidRPr="0061583B">
        <w:rPr>
          <w:i/>
        </w:rPr>
        <w:t>Destroying the Caroline</w:t>
      </w:r>
      <w:r>
        <w:t xml:space="preserve"> dodges that wider critique of historical work in international law entirely, </w:t>
      </w:r>
      <w:r w:rsidR="00C31C45">
        <w:t>thankfully avoid</w:t>
      </w:r>
      <w:r>
        <w:t>ing</w:t>
      </w:r>
      <w:r w:rsidR="00C31C45">
        <w:t xml:space="preserve"> any such linear ‘march of civilisation’ inferences.</w:t>
      </w:r>
      <w:r w:rsidR="009A5DAA">
        <w:rPr>
          <w:rStyle w:val="FootnoteReference"/>
        </w:rPr>
        <w:footnoteReference w:id="32"/>
      </w:r>
      <w:r w:rsidR="00C31C45">
        <w:t xml:space="preserve"> </w:t>
      </w:r>
      <w:proofErr w:type="spellStart"/>
      <w:r w:rsidR="00C31C45">
        <w:t>Forcese</w:t>
      </w:r>
      <w:proofErr w:type="spellEnd"/>
      <w:r w:rsidR="00C31C45">
        <w:t xml:space="preserve"> is very clear that the </w:t>
      </w:r>
      <w:r w:rsidR="00C31C45" w:rsidRPr="00606696">
        <w:rPr>
          <w:i/>
        </w:rPr>
        <w:t>Caroline</w:t>
      </w:r>
      <w:r w:rsidR="00C31C45">
        <w:t xml:space="preserve"> </w:t>
      </w:r>
      <w:r w:rsidR="00C31C45" w:rsidRPr="00E518D0">
        <w:t>in</w:t>
      </w:r>
      <w:r w:rsidR="00C31C45">
        <w:t>ci</w:t>
      </w:r>
      <w:r w:rsidR="00C31C45" w:rsidRPr="00E518D0">
        <w:t>dent ‘is remembered by chance, and not design’</w:t>
      </w:r>
      <w:r w:rsidR="00C31C45">
        <w:t xml:space="preserve"> (4)</w:t>
      </w:r>
      <w:r w:rsidR="008022A7">
        <w:t xml:space="preserve"> and </w:t>
      </w:r>
      <w:r w:rsidR="002E10EB">
        <w:t>that, when it c</w:t>
      </w:r>
      <w:r w:rsidR="008022A7">
        <w:t>o</w:t>
      </w:r>
      <w:r w:rsidR="002E10EB">
        <w:t>me</w:t>
      </w:r>
      <w:r w:rsidR="008022A7">
        <w:t>s</w:t>
      </w:r>
      <w:r w:rsidR="002E10EB">
        <w:t xml:space="preserve"> to the influence</w:t>
      </w:r>
      <w:r w:rsidR="008022A7">
        <w:t xml:space="preserve"> that</w:t>
      </w:r>
      <w:r w:rsidR="002E10EB">
        <w:t xml:space="preserve"> the </w:t>
      </w:r>
      <w:r w:rsidR="002E10EB" w:rsidRPr="008022A7">
        <w:rPr>
          <w:i/>
        </w:rPr>
        <w:t>Caroline</w:t>
      </w:r>
      <w:r w:rsidR="002E10EB">
        <w:t xml:space="preserve"> has had, ‘nothing was inevitable’ (190)</w:t>
      </w:r>
      <w:r w:rsidR="00C31C45">
        <w:t xml:space="preserve">.  </w:t>
      </w:r>
      <w:proofErr w:type="spellStart"/>
      <w:r w:rsidR="002E10EB">
        <w:t>Forcese</w:t>
      </w:r>
      <w:proofErr w:type="spellEnd"/>
      <w:r w:rsidR="002E10EB">
        <w:t xml:space="preserve"> </w:t>
      </w:r>
      <w:r w:rsidR="00C31C45">
        <w:t xml:space="preserve">does not present the </w:t>
      </w:r>
      <w:r w:rsidR="00C31C45" w:rsidRPr="00C31C45">
        <w:rPr>
          <w:i/>
        </w:rPr>
        <w:t>Caroline</w:t>
      </w:r>
      <w:r w:rsidR="00C31C45">
        <w:t xml:space="preserve"> or its influence as ‘</w:t>
      </w:r>
      <w:r w:rsidR="002E10EB">
        <w:t>predictable</w:t>
      </w:r>
      <w:r w:rsidR="00C31C45">
        <w:t>’, ‘canonical’, ‘good’, or ‘bad’</w:t>
      </w:r>
      <w:r w:rsidR="0073326B">
        <w:t xml:space="preserve"> (at least, not inherently so)</w:t>
      </w:r>
      <w:r w:rsidR="00C31C45">
        <w:t xml:space="preserve">. Instead, he </w:t>
      </w:r>
      <w:r w:rsidR="0073326B">
        <w:t>primarily</w:t>
      </w:r>
      <w:r w:rsidR="00C31C45">
        <w:t xml:space="preserve"> seeks to investigate what actually happened, what influence </w:t>
      </w:r>
      <w:r>
        <w:t>that happening has had</w:t>
      </w:r>
      <w:r w:rsidR="002E10EB">
        <w:t xml:space="preserve"> </w:t>
      </w:r>
      <w:r w:rsidR="0073326B">
        <w:t>since</w:t>
      </w:r>
      <w:r w:rsidR="007E39B4">
        <w:t>, and why</w:t>
      </w:r>
      <w:r w:rsidR="00C31C45">
        <w:t>.</w:t>
      </w:r>
      <w:r w:rsidR="00A0275F">
        <w:t xml:space="preserve"> </w:t>
      </w:r>
    </w:p>
    <w:p w:rsidR="004B5397" w:rsidRDefault="00475E26" w:rsidP="004B5397">
      <w:pPr>
        <w:spacing w:line="360" w:lineRule="auto"/>
        <w:ind w:firstLine="720"/>
        <w:jc w:val="both"/>
      </w:pPr>
      <w:r>
        <w:t>Thus, w</w:t>
      </w:r>
      <w:r w:rsidR="004B5397">
        <w:t>hile, as has been noted,</w:t>
      </w:r>
      <w:r w:rsidR="004B5397">
        <w:rPr>
          <w:rStyle w:val="FootnoteReference"/>
        </w:rPr>
        <w:footnoteReference w:id="33"/>
      </w:r>
      <w:r w:rsidR="004B5397">
        <w:t xml:space="preserve"> much of the existing scholarship on the </w:t>
      </w:r>
      <w:r w:rsidRPr="00475E26">
        <w:rPr>
          <w:i/>
        </w:rPr>
        <w:t>Caroline</w:t>
      </w:r>
      <w:r>
        <w:t xml:space="preserve"> </w:t>
      </w:r>
      <w:r w:rsidR="004B5397">
        <w:t xml:space="preserve">incident seeks either to celebrate or denigrate </w:t>
      </w:r>
      <w:r>
        <w:t>it</w:t>
      </w:r>
      <w:r w:rsidR="004B5397">
        <w:t xml:space="preserve"> as a modern touchstone, </w:t>
      </w:r>
      <w:proofErr w:type="spellStart"/>
      <w:r w:rsidR="004B5397">
        <w:t>Forcese</w:t>
      </w:r>
      <w:proofErr w:type="spellEnd"/>
      <w:r w:rsidR="004B5397">
        <w:t xml:space="preserve"> does neither. Instead, he undertakes the more challenging task of truly trying to understand it, by painstakingly sifting through the evidence. </w:t>
      </w:r>
      <w:r>
        <w:t>Importantly, he</w:t>
      </w:r>
      <w:r w:rsidR="004B5397">
        <w:t xml:space="preserve"> allows that evidence to lead him where it may, and when the</w:t>
      </w:r>
      <w:r>
        <w:t xml:space="preserve"> evidence is unclear – </w:t>
      </w:r>
      <w:r w:rsidR="004B5397">
        <w:t>about what happened, or why</w:t>
      </w:r>
      <w:r>
        <w:t xml:space="preserve"> –</w:t>
      </w:r>
      <w:r w:rsidR="004B5397">
        <w:t xml:space="preserve"> h</w:t>
      </w:r>
      <w:r>
        <w:t>e says so (</w:t>
      </w:r>
      <w:r w:rsidR="004B5397">
        <w:t>presenting plausible interpretations but not definite conclusions as to the facts</w:t>
      </w:r>
      <w:r>
        <w:t>)</w:t>
      </w:r>
      <w:r w:rsidR="004B5397">
        <w:t>.</w:t>
      </w:r>
      <w:r w:rsidR="004B5397">
        <w:rPr>
          <w:rStyle w:val="FootnoteReference"/>
        </w:rPr>
        <w:footnoteReference w:id="34"/>
      </w:r>
      <w:r w:rsidR="004B5397">
        <w:t xml:space="preserve"> </w:t>
      </w:r>
      <w:r>
        <w:t>T</w:t>
      </w:r>
      <w:r w:rsidR="004B5397">
        <w:t xml:space="preserve">his careful and ‘neutral’ approach to sources is </w:t>
      </w:r>
      <w:r>
        <w:t xml:space="preserve">the reason that the book’s historical account is ultimately so </w:t>
      </w:r>
      <w:r w:rsidR="004B5397">
        <w:t>convincing.</w:t>
      </w:r>
    </w:p>
    <w:p w:rsidR="004B5397" w:rsidRDefault="004B5397" w:rsidP="00A0275F">
      <w:pPr>
        <w:spacing w:line="360" w:lineRule="auto"/>
        <w:jc w:val="both"/>
        <w:rPr>
          <w:b/>
        </w:rPr>
      </w:pPr>
    </w:p>
    <w:p w:rsidR="00A0275F" w:rsidRPr="00A0275F" w:rsidRDefault="004E2371" w:rsidP="00A0275F">
      <w:pPr>
        <w:spacing w:line="360" w:lineRule="auto"/>
        <w:jc w:val="both"/>
        <w:rPr>
          <w:b/>
        </w:rPr>
      </w:pPr>
      <w:r>
        <w:rPr>
          <w:b/>
        </w:rPr>
        <w:t>5</w:t>
      </w:r>
      <w:r w:rsidR="00A0275F" w:rsidRPr="00A0275F">
        <w:rPr>
          <w:b/>
        </w:rPr>
        <w:t xml:space="preserve">. </w:t>
      </w:r>
      <w:r w:rsidR="0048321E">
        <w:rPr>
          <w:b/>
        </w:rPr>
        <w:t xml:space="preserve">The </w:t>
      </w:r>
      <w:r w:rsidR="0048321E" w:rsidRPr="0048321E">
        <w:rPr>
          <w:b/>
          <w:i/>
        </w:rPr>
        <w:t>Caroline</w:t>
      </w:r>
      <w:r w:rsidR="0048321E">
        <w:rPr>
          <w:b/>
        </w:rPr>
        <w:t xml:space="preserve"> and the modern law</w:t>
      </w:r>
    </w:p>
    <w:p w:rsidR="00A0275F" w:rsidRDefault="00A0275F" w:rsidP="00A0275F">
      <w:pPr>
        <w:spacing w:line="360" w:lineRule="auto"/>
        <w:jc w:val="both"/>
      </w:pPr>
    </w:p>
    <w:p w:rsidR="00475E26" w:rsidRDefault="002C2B84" w:rsidP="00475E26">
      <w:pPr>
        <w:spacing w:line="360" w:lineRule="auto"/>
        <w:jc w:val="both"/>
      </w:pPr>
      <w:r>
        <w:lastRenderedPageBreak/>
        <w:t xml:space="preserve">Perhaps a less successful – or at least, less </w:t>
      </w:r>
      <w:r w:rsidR="007E39B4">
        <w:t>obviously</w:t>
      </w:r>
      <w:r>
        <w:t xml:space="preserve"> successful – aspect of </w:t>
      </w:r>
      <w:r w:rsidRPr="00475E26">
        <w:rPr>
          <w:i/>
        </w:rPr>
        <w:t>Destroying the Caroline</w:t>
      </w:r>
      <w:r w:rsidR="0073326B">
        <w:t xml:space="preserve"> </w:t>
      </w:r>
      <w:r>
        <w:t xml:space="preserve">comes towards the end of the book, when </w:t>
      </w:r>
      <w:proofErr w:type="spellStart"/>
      <w:r>
        <w:t>Forcese</w:t>
      </w:r>
      <w:proofErr w:type="spellEnd"/>
      <w:r>
        <w:t xml:space="preserve"> engages with the</w:t>
      </w:r>
      <w:r w:rsidR="00475E26">
        <w:t xml:space="preserve"> incident’s</w:t>
      </w:r>
      <w:r>
        <w:t xml:space="preserve"> </w:t>
      </w:r>
      <w:r w:rsidR="0073326B">
        <w:t xml:space="preserve">relevance </w:t>
      </w:r>
      <w:r w:rsidR="008022A7">
        <w:t>to</w:t>
      </w:r>
      <w:r>
        <w:t xml:space="preserve"> modern legal debates.  To be fair,</w:t>
      </w:r>
      <w:r w:rsidR="0073326B">
        <w:t xml:space="preserve"> it is </w:t>
      </w:r>
      <w:r>
        <w:t>made very explicit</w:t>
      </w:r>
      <w:r w:rsidR="0073326B">
        <w:t xml:space="preserve"> that </w:t>
      </w:r>
      <w:r w:rsidR="00475E26">
        <w:t>the</w:t>
      </w:r>
      <w:r w:rsidR="0073326B">
        <w:t xml:space="preserve"> </w:t>
      </w:r>
      <w:r w:rsidR="00984EEA">
        <w:t>goal</w:t>
      </w:r>
      <w:r w:rsidR="0073326B">
        <w:t xml:space="preserve"> is not to delve into </w:t>
      </w:r>
      <w:r w:rsidR="00D04739">
        <w:t xml:space="preserve">those </w:t>
      </w:r>
      <w:r w:rsidR="0073326B">
        <w:t xml:space="preserve">debates in significant depth.  </w:t>
      </w:r>
      <w:r w:rsidR="007E39B4">
        <w:t>It is</w:t>
      </w:r>
      <w:r w:rsidR="0073326B">
        <w:t xml:space="preserve"> clear</w:t>
      </w:r>
      <w:r w:rsidR="00D04739">
        <w:t>ly stat</w:t>
      </w:r>
      <w:r w:rsidR="007E39B4">
        <w:t>ed</w:t>
      </w:r>
      <w:r w:rsidR="0073326B">
        <w:t xml:space="preserve"> that </w:t>
      </w:r>
      <w:r w:rsidR="007E39B4">
        <w:t>the aim of the last Part of the book</w:t>
      </w:r>
      <w:r w:rsidR="00D04739">
        <w:t xml:space="preserve"> is to</w:t>
      </w:r>
      <w:r w:rsidR="0073326B">
        <w:t xml:space="preserve"> ‘</w:t>
      </w:r>
      <w:r w:rsidR="0073326B" w:rsidRPr="00D04739">
        <w:rPr>
          <w:i/>
        </w:rPr>
        <w:t>briefly</w:t>
      </w:r>
      <w:r w:rsidR="0073326B">
        <w:t xml:space="preserve"> canvass the chief controversies in modern self-defence law, and how the </w:t>
      </w:r>
      <w:r w:rsidR="0073326B" w:rsidRPr="00D04739">
        <w:rPr>
          <w:i/>
        </w:rPr>
        <w:t>Caroline</w:t>
      </w:r>
      <w:r w:rsidR="0073326B">
        <w:t xml:space="preserve"> has been used t</w:t>
      </w:r>
      <w:r w:rsidR="00D04739">
        <w:t>o resolve or confuse the issues</w:t>
      </w:r>
      <w:r w:rsidR="0073326B">
        <w:t>’</w:t>
      </w:r>
      <w:r w:rsidR="00D04739">
        <w:t xml:space="preserve"> (212, emphasis added).</w:t>
      </w:r>
      <w:r w:rsidR="002716B9">
        <w:t xml:space="preserve"> </w:t>
      </w:r>
      <w:r w:rsidR="00475E26">
        <w:t>Part V does just that, but, as a result, left me wanting a bit more.</w:t>
      </w:r>
      <w:r w:rsidR="00475E26">
        <w:rPr>
          <w:rStyle w:val="FootnoteReference"/>
        </w:rPr>
        <w:footnoteReference w:id="35"/>
      </w:r>
      <w:r w:rsidR="00475E26">
        <w:t xml:space="preserve"> </w:t>
      </w:r>
      <w:r w:rsidR="007E3C8E">
        <w:t xml:space="preserve">It would, of course, be </w:t>
      </w:r>
      <w:r>
        <w:t xml:space="preserve">entirely </w:t>
      </w:r>
      <w:r w:rsidR="007E3C8E">
        <w:t>unrealistic</w:t>
      </w:r>
      <w:r>
        <w:t xml:space="preserve"> </w:t>
      </w:r>
      <w:r w:rsidR="007E3C8E">
        <w:t>to expect</w:t>
      </w:r>
      <w:r w:rsidR="0073326B">
        <w:t xml:space="preserve"> </w:t>
      </w:r>
      <w:r w:rsidR="00D04739">
        <w:t xml:space="preserve">that </w:t>
      </w:r>
      <w:proofErr w:type="spellStart"/>
      <w:r w:rsidR="007E3C8E">
        <w:t>Forcese’s</w:t>
      </w:r>
      <w:proofErr w:type="spellEnd"/>
      <w:r w:rsidR="007E3C8E">
        <w:t xml:space="preserve"> </w:t>
      </w:r>
      <w:r w:rsidR="00984EEA">
        <w:t>rich contextualisation</w:t>
      </w:r>
      <w:r w:rsidR="00D04739">
        <w:t xml:space="preserve"> </w:t>
      </w:r>
      <w:r w:rsidR="007E3C8E">
        <w:t xml:space="preserve">of </w:t>
      </w:r>
      <w:r w:rsidR="00D04739">
        <w:t xml:space="preserve">the </w:t>
      </w:r>
      <w:r w:rsidR="00D04739" w:rsidRPr="00D04739">
        <w:rPr>
          <w:i/>
        </w:rPr>
        <w:t>Caroline</w:t>
      </w:r>
      <w:r w:rsidR="00D04739">
        <w:t xml:space="preserve"> would </w:t>
      </w:r>
      <w:r w:rsidR="007E3C8E">
        <w:t xml:space="preserve">then </w:t>
      </w:r>
      <w:r w:rsidR="00D04739">
        <w:t xml:space="preserve">act as a </w:t>
      </w:r>
      <w:r w:rsidR="00984EEA">
        <w:t xml:space="preserve">‘magic </w:t>
      </w:r>
      <w:r w:rsidR="00D04739">
        <w:t>key</w:t>
      </w:r>
      <w:r w:rsidR="00984EEA">
        <w:t>’</w:t>
      </w:r>
      <w:r w:rsidR="00D04739">
        <w:t xml:space="preserve"> to unlocking</w:t>
      </w:r>
      <w:r w:rsidR="0073326B">
        <w:t xml:space="preserve"> </w:t>
      </w:r>
      <w:r w:rsidR="007E3C8E">
        <w:t xml:space="preserve">today’s </w:t>
      </w:r>
      <w:r w:rsidR="00D04739">
        <w:t xml:space="preserve">perennial </w:t>
      </w:r>
      <w:r w:rsidR="007E3C8E">
        <w:t xml:space="preserve">legal </w:t>
      </w:r>
      <w:r w:rsidR="00D04739">
        <w:t>controversies</w:t>
      </w:r>
      <w:r w:rsidR="007E3C8E">
        <w:t>. Nonetheless, some aspects of Part V may perhaps have benefited from further depth in relation to those controversies.</w:t>
      </w:r>
      <w:r w:rsidR="0073326B">
        <w:t xml:space="preserve">  </w:t>
      </w:r>
    </w:p>
    <w:p w:rsidR="001A794F" w:rsidRDefault="001A794F" w:rsidP="001A794F">
      <w:pPr>
        <w:spacing w:line="360" w:lineRule="auto"/>
        <w:jc w:val="both"/>
      </w:pPr>
    </w:p>
    <w:p w:rsidR="001A794F" w:rsidRPr="004E2371" w:rsidRDefault="004E2371" w:rsidP="001A794F">
      <w:pPr>
        <w:spacing w:line="360" w:lineRule="auto"/>
        <w:jc w:val="both"/>
        <w:rPr>
          <w:b/>
          <w:i/>
        </w:rPr>
      </w:pPr>
      <w:r w:rsidRPr="004E2371">
        <w:rPr>
          <w:b/>
          <w:i/>
        </w:rPr>
        <w:t>5.1</w:t>
      </w:r>
      <w:r w:rsidR="001A794F" w:rsidRPr="004E2371">
        <w:rPr>
          <w:b/>
          <w:i/>
        </w:rPr>
        <w:t>. Necessity and proportionality</w:t>
      </w:r>
    </w:p>
    <w:p w:rsidR="00B81B1C" w:rsidRDefault="007E3C8E" w:rsidP="001A794F">
      <w:pPr>
        <w:spacing w:line="360" w:lineRule="auto"/>
        <w:jc w:val="both"/>
      </w:pPr>
      <w:r>
        <w:t xml:space="preserve">For example, </w:t>
      </w:r>
      <w:r w:rsidR="0073326B">
        <w:t xml:space="preserve">I personally found </w:t>
      </w:r>
      <w:r>
        <w:t>the discussion in Part V of</w:t>
      </w:r>
      <w:r w:rsidR="0073326B">
        <w:t xml:space="preserve"> the </w:t>
      </w:r>
      <w:r w:rsidR="00D04739">
        <w:t>crucial</w:t>
      </w:r>
      <w:r w:rsidR="0073326B">
        <w:t xml:space="preserve"> necessi</w:t>
      </w:r>
      <w:r>
        <w:t>ty and proportionality criteria</w:t>
      </w:r>
      <w:r w:rsidR="0073326B">
        <w:t xml:space="preserve"> a little disappointing. While less controversial</w:t>
      </w:r>
      <w:r>
        <w:t xml:space="preserve"> </w:t>
      </w:r>
      <w:r w:rsidR="0073326B">
        <w:t xml:space="preserve">than questions of </w:t>
      </w:r>
      <w:r w:rsidR="009C7C17" w:rsidRPr="009C7C17">
        <w:t>preventative</w:t>
      </w:r>
      <w:r w:rsidR="0073326B">
        <w:t xml:space="preserve"> self-defence or self-defence against non-state actors, the necessity and proportionality criteria </w:t>
      </w:r>
      <w:r w:rsidR="00011A6C">
        <w:t>have become</w:t>
      </w:r>
      <w:r w:rsidR="004B5397">
        <w:t>,</w:t>
      </w:r>
      <w:r w:rsidR="0073326B">
        <w:t xml:space="preserve"> </w:t>
      </w:r>
      <w:r w:rsidR="00011A6C">
        <w:t>in the UN era</w:t>
      </w:r>
      <w:r w:rsidR="004B5397">
        <w:t xml:space="preserve">, </w:t>
      </w:r>
      <w:r w:rsidR="0073326B">
        <w:t xml:space="preserve">customary international law requirements for </w:t>
      </w:r>
      <w:r w:rsidR="0073326B" w:rsidRPr="0073326B">
        <w:rPr>
          <w:i/>
        </w:rPr>
        <w:t>all</w:t>
      </w:r>
      <w:r w:rsidR="0073326B">
        <w:t xml:space="preserve"> self-defence actions,</w:t>
      </w:r>
      <w:r w:rsidR="008022A7">
        <w:rPr>
          <w:rStyle w:val="FootnoteReference"/>
        </w:rPr>
        <w:footnoteReference w:id="36"/>
      </w:r>
      <w:r w:rsidR="0073326B">
        <w:t xml:space="preserve"> and they are criteria that in large part owe their modern contours to the </w:t>
      </w:r>
      <w:r w:rsidR="0073326B" w:rsidRPr="007E3C8E">
        <w:rPr>
          <w:i/>
        </w:rPr>
        <w:t>Caroline</w:t>
      </w:r>
      <w:r w:rsidR="0073326B">
        <w:t xml:space="preserve"> formula.</w:t>
      </w:r>
      <w:r w:rsidR="00984EEA">
        <w:rPr>
          <w:rStyle w:val="FootnoteReference"/>
        </w:rPr>
        <w:footnoteReference w:id="37"/>
      </w:r>
      <w:r w:rsidR="007477CF">
        <w:t xml:space="preserve"> These criteria are</w:t>
      </w:r>
      <w:r w:rsidR="00363DB4">
        <w:t xml:space="preserve"> therefore arguably the </w:t>
      </w:r>
      <w:r w:rsidR="00363DB4" w:rsidRPr="00363DB4">
        <w:rPr>
          <w:i/>
        </w:rPr>
        <w:t>Caroline</w:t>
      </w:r>
      <w:r w:rsidR="00363DB4">
        <w:t>’s most important legal legacy,</w:t>
      </w:r>
      <w:r w:rsidR="00363DB4">
        <w:rPr>
          <w:rStyle w:val="FootnoteReference"/>
        </w:rPr>
        <w:footnoteReference w:id="38"/>
      </w:r>
      <w:r w:rsidR="00363DB4">
        <w:t xml:space="preserve"> yet they are</w:t>
      </w:r>
      <w:r w:rsidR="007477CF">
        <w:t xml:space="preserve"> discussed in a mere few pages</w:t>
      </w:r>
      <w:r w:rsidR="00FE08FF">
        <w:t xml:space="preserve"> of the book</w:t>
      </w:r>
      <w:r>
        <w:t xml:space="preserve"> (233</w:t>
      </w:r>
      <w:r w:rsidR="00B81B1C">
        <w:t>–</w:t>
      </w:r>
      <w:r>
        <w:t>6</w:t>
      </w:r>
      <w:r w:rsidR="00B81B1C">
        <w:t>)</w:t>
      </w:r>
      <w:r w:rsidR="00FE08FF">
        <w:t>.  P</w:t>
      </w:r>
      <w:r w:rsidR="007477CF">
        <w:t xml:space="preserve">erhaps more could have been done to </w:t>
      </w:r>
      <w:r w:rsidR="001A794F">
        <w:t>explore</w:t>
      </w:r>
      <w:r w:rsidR="007477CF">
        <w:t xml:space="preserve"> the connective tissue between the</w:t>
      </w:r>
      <w:r w:rsidR="001A794F">
        <w:t xml:space="preserve"> </w:t>
      </w:r>
      <w:r w:rsidR="001A794F" w:rsidRPr="001A794F">
        <w:rPr>
          <w:i/>
        </w:rPr>
        <w:t>Caroline</w:t>
      </w:r>
      <w:r w:rsidR="001A794F">
        <w:t xml:space="preserve"> and prominence/</w:t>
      </w:r>
      <w:r w:rsidR="004B5397">
        <w:t>nature</w:t>
      </w:r>
      <w:r w:rsidR="00984EEA">
        <w:t xml:space="preserve"> </w:t>
      </w:r>
      <w:r w:rsidR="00FE08FF">
        <w:t xml:space="preserve">of these criteria </w:t>
      </w:r>
      <w:r w:rsidR="007477CF">
        <w:t xml:space="preserve">today.  </w:t>
      </w:r>
    </w:p>
    <w:p w:rsidR="001A794F" w:rsidRDefault="001A794F" w:rsidP="001A794F">
      <w:pPr>
        <w:spacing w:line="360" w:lineRule="auto"/>
        <w:jc w:val="both"/>
      </w:pPr>
    </w:p>
    <w:p w:rsidR="001A794F" w:rsidRPr="004E2371" w:rsidRDefault="004E2371" w:rsidP="001A794F">
      <w:pPr>
        <w:spacing w:line="360" w:lineRule="auto"/>
        <w:jc w:val="both"/>
        <w:rPr>
          <w:b/>
          <w:i/>
        </w:rPr>
      </w:pPr>
      <w:r w:rsidRPr="004E2371">
        <w:rPr>
          <w:b/>
          <w:i/>
        </w:rPr>
        <w:t>5.2</w:t>
      </w:r>
      <w:r w:rsidR="001A794F" w:rsidRPr="004E2371">
        <w:rPr>
          <w:b/>
          <w:i/>
        </w:rPr>
        <w:t>. The protection of nationals</w:t>
      </w:r>
    </w:p>
    <w:p w:rsidR="00DE1574" w:rsidRDefault="007477CF" w:rsidP="001A794F">
      <w:pPr>
        <w:spacing w:line="360" w:lineRule="auto"/>
        <w:jc w:val="both"/>
      </w:pPr>
      <w:r>
        <w:t xml:space="preserve">Similarly, the </w:t>
      </w:r>
      <w:r w:rsidR="00B81B1C">
        <w:t xml:space="preserve">consideration </w:t>
      </w:r>
      <w:r>
        <w:t xml:space="preserve">of the notion of the protection of nationals </w:t>
      </w:r>
      <w:r w:rsidR="00B81B1C">
        <w:t>(215–9)</w:t>
      </w:r>
      <w:r>
        <w:t xml:space="preserve"> could have expanded further upon the </w:t>
      </w:r>
      <w:r w:rsidRPr="007477CF">
        <w:rPr>
          <w:i/>
        </w:rPr>
        <w:t>Caroline</w:t>
      </w:r>
      <w:r>
        <w:t>’s place (actual and/or appropria</w:t>
      </w:r>
      <w:r w:rsidR="008124C4">
        <w:t xml:space="preserve">te) in debates on that question: for example, by exploring the fact that both have roots in wider notions of ‘self-help’ </w:t>
      </w:r>
      <w:r w:rsidR="008124C4">
        <w:lastRenderedPageBreak/>
        <w:t>predating much of the modern law.</w:t>
      </w:r>
      <w:r w:rsidR="008124C4">
        <w:rPr>
          <w:rStyle w:val="FootnoteReference"/>
        </w:rPr>
        <w:footnoteReference w:id="39"/>
      </w:r>
      <w:r>
        <w:t xml:space="preserve"> This section also </w:t>
      </w:r>
      <w:r w:rsidR="00B81B1C">
        <w:t>is premised on the</w:t>
      </w:r>
      <w:r>
        <w:t xml:space="preserve"> </w:t>
      </w:r>
      <w:r w:rsidR="00B81B1C">
        <w:t>claim that because</w:t>
      </w:r>
      <w:r>
        <w:t xml:space="preserve"> the Charter and custom requir</w:t>
      </w:r>
      <w:r w:rsidR="00B81B1C">
        <w:t>e</w:t>
      </w:r>
      <w:r>
        <w:t xml:space="preserve"> an ‘actual armed attack’, </w:t>
      </w:r>
      <w:r w:rsidR="00B81B1C">
        <w:t>this</w:t>
      </w:r>
      <w:r>
        <w:t xml:space="preserve"> seemingly rul</w:t>
      </w:r>
      <w:r w:rsidR="00B81B1C">
        <w:t>es</w:t>
      </w:r>
      <w:r>
        <w:t xml:space="preserve"> out the protection of nationals</w:t>
      </w:r>
      <w:r w:rsidR="00B81B1C">
        <w:t xml:space="preserve"> abroad</w:t>
      </w:r>
      <w:r w:rsidR="00FE08FF">
        <w:t xml:space="preserve"> (219). This</w:t>
      </w:r>
      <w:r w:rsidR="00B81B1C">
        <w:t xml:space="preserve"> understanding </w:t>
      </w:r>
      <w:r w:rsidR="00FE08FF">
        <w:t>would</w:t>
      </w:r>
      <w:r>
        <w:t xml:space="preserve"> </w:t>
      </w:r>
      <w:r w:rsidR="00FE08FF">
        <w:t>appear</w:t>
      </w:r>
      <w:r w:rsidR="00DC3A21">
        <w:t xml:space="preserve"> to assume</w:t>
      </w:r>
      <w:r>
        <w:t xml:space="preserve"> that an ‘actual armed attack’ must be against a state’s t</w:t>
      </w:r>
      <w:r w:rsidR="00FE08FF">
        <w:t>erritory, and yet no</w:t>
      </w:r>
      <w:r>
        <w:t xml:space="preserve"> basis for that </w:t>
      </w:r>
      <w:r w:rsidR="00FE08FF">
        <w:t>– much debated</w:t>
      </w:r>
      <w:r w:rsidR="00FE08FF">
        <w:rPr>
          <w:rStyle w:val="FootnoteReference"/>
        </w:rPr>
        <w:footnoteReference w:id="40"/>
      </w:r>
      <w:r w:rsidR="00FE08FF">
        <w:t xml:space="preserve"> – </w:t>
      </w:r>
      <w:r>
        <w:t>conclusion</w:t>
      </w:r>
      <w:r w:rsidR="00FE08FF">
        <w:t xml:space="preserve"> is provided</w:t>
      </w:r>
      <w:r>
        <w:t>.</w:t>
      </w:r>
    </w:p>
    <w:p w:rsidR="001A794F" w:rsidRDefault="001A794F" w:rsidP="001A794F">
      <w:pPr>
        <w:spacing w:line="360" w:lineRule="auto"/>
        <w:jc w:val="both"/>
      </w:pPr>
    </w:p>
    <w:p w:rsidR="001A794F" w:rsidRPr="004E2371" w:rsidRDefault="004E2371" w:rsidP="001A794F">
      <w:pPr>
        <w:spacing w:line="360" w:lineRule="auto"/>
        <w:jc w:val="both"/>
        <w:rPr>
          <w:b/>
          <w:i/>
        </w:rPr>
      </w:pPr>
      <w:r w:rsidRPr="004E2371">
        <w:rPr>
          <w:b/>
          <w:i/>
        </w:rPr>
        <w:t>5.3</w:t>
      </w:r>
      <w:r w:rsidR="001A794F" w:rsidRPr="004E2371">
        <w:rPr>
          <w:b/>
          <w:i/>
        </w:rPr>
        <w:t>. Preventative self-defence</w:t>
      </w:r>
    </w:p>
    <w:p w:rsidR="0068510D" w:rsidRDefault="0092792E" w:rsidP="001A794F">
      <w:pPr>
        <w:spacing w:line="360" w:lineRule="auto"/>
        <w:jc w:val="both"/>
      </w:pPr>
      <w:r>
        <w:t>T</w:t>
      </w:r>
      <w:r w:rsidR="007477CF">
        <w:t xml:space="preserve">he section </w:t>
      </w:r>
      <w:r w:rsidR="00DC3A21">
        <w:t xml:space="preserve">in Part V </w:t>
      </w:r>
      <w:r w:rsidR="007477CF">
        <w:t xml:space="preserve">on </w:t>
      </w:r>
      <w:r w:rsidR="009C7C17" w:rsidRPr="009C7C17">
        <w:t>preventative</w:t>
      </w:r>
      <w:r w:rsidR="00DE1574">
        <w:t xml:space="preserve"> self-defence</w:t>
      </w:r>
      <w:r w:rsidR="007477CF">
        <w:t xml:space="preserve"> </w:t>
      </w:r>
      <w:r>
        <w:t>is rather more successful in situating</w:t>
      </w:r>
      <w:r w:rsidR="007477CF">
        <w:t xml:space="preserve"> the </w:t>
      </w:r>
      <w:r w:rsidR="007477CF" w:rsidRPr="00B81B1C">
        <w:rPr>
          <w:i/>
        </w:rPr>
        <w:t>Caroline</w:t>
      </w:r>
      <w:r w:rsidR="007477CF">
        <w:t xml:space="preserve"> in </w:t>
      </w:r>
      <w:r w:rsidR="00FE08FF">
        <w:t xml:space="preserve">modern </w:t>
      </w:r>
      <w:r w:rsidR="007477CF">
        <w:t xml:space="preserve">debates on that topic. </w:t>
      </w:r>
      <w:r w:rsidR="0068510D">
        <w:t xml:space="preserve">The </w:t>
      </w:r>
      <w:r w:rsidR="0068510D" w:rsidRPr="00A0275F">
        <w:rPr>
          <w:i/>
        </w:rPr>
        <w:t>Caroline</w:t>
      </w:r>
      <w:r w:rsidR="00FE08FF">
        <w:t xml:space="preserve"> has</w:t>
      </w:r>
      <w:r w:rsidR="0068510D">
        <w:t xml:space="preserve">, of course, </w:t>
      </w:r>
      <w:r w:rsidR="00FE08FF">
        <w:t xml:space="preserve">long been </w:t>
      </w:r>
      <w:r w:rsidR="0068510D">
        <w:t xml:space="preserve">a common feature of </w:t>
      </w:r>
      <w:r w:rsidR="00FE08FF">
        <w:t>considerations of</w:t>
      </w:r>
      <w:r w:rsidR="0068510D">
        <w:t xml:space="preserve"> </w:t>
      </w:r>
      <w:r w:rsidR="009C7C17" w:rsidRPr="009C7C17">
        <w:t>preventative</w:t>
      </w:r>
      <w:r w:rsidR="0068510D">
        <w:t xml:space="preserve"> self-defence,</w:t>
      </w:r>
      <w:r w:rsidR="00B81B1C">
        <w:rPr>
          <w:rStyle w:val="FootnoteReference"/>
        </w:rPr>
        <w:footnoteReference w:id="41"/>
      </w:r>
      <w:r w:rsidR="0068510D">
        <w:t xml:space="preserve"> both in terms of the threshold question of whether a state can act in self-defence prior to the occurrence of an armed attack at all, and also whether – if it can – there exists a requirement that the </w:t>
      </w:r>
      <w:r w:rsidR="00DC3A21">
        <w:t>anticipated</w:t>
      </w:r>
      <w:r w:rsidR="0068510D">
        <w:t xml:space="preserve"> attack being responded to must be an imminent one. The notion of an </w:t>
      </w:r>
      <w:r w:rsidR="00B81B1C">
        <w:t>‘</w:t>
      </w:r>
      <w:r w:rsidR="0068510D">
        <w:t>imminence</w:t>
      </w:r>
      <w:r w:rsidR="00B81B1C">
        <w:t>’</w:t>
      </w:r>
      <w:r w:rsidR="0068510D">
        <w:t xml:space="preserve"> criterion </w:t>
      </w:r>
      <w:r w:rsidR="001A794F">
        <w:t xml:space="preserve">in this context </w:t>
      </w:r>
      <w:r w:rsidR="00DD21F0">
        <w:t>has, in the UN era,</w:t>
      </w:r>
      <w:r w:rsidR="0068510D">
        <w:t xml:space="preserve"> repeatedly </w:t>
      </w:r>
      <w:r w:rsidR="00DD21F0">
        <w:t xml:space="preserve">been </w:t>
      </w:r>
      <w:r w:rsidR="0068510D">
        <w:t>drawn</w:t>
      </w:r>
      <w:r w:rsidR="00B81B1C">
        <w:rPr>
          <w:rStyle w:val="FootnoteReference"/>
        </w:rPr>
        <w:footnoteReference w:id="42"/>
      </w:r>
      <w:r w:rsidR="0068510D">
        <w:t xml:space="preserve"> from Webster’s </w:t>
      </w:r>
      <w:r w:rsidR="001A794F">
        <w:t>claim</w:t>
      </w:r>
      <w:r w:rsidR="0068510D">
        <w:t xml:space="preserve"> that the need to act in self-defence must be ‘</w:t>
      </w:r>
      <w:r w:rsidR="0068510D" w:rsidRPr="0068510D">
        <w:rPr>
          <w:color w:val="000000"/>
        </w:rPr>
        <w:t>instant, overwhelming, leaving no choice of means, and no moment for deliberation</w:t>
      </w:r>
      <w:r w:rsidR="0068510D">
        <w:t>.’</w:t>
      </w:r>
      <w:r w:rsidR="00DD21F0">
        <w:rPr>
          <w:rStyle w:val="FootnoteReference"/>
        </w:rPr>
        <w:footnoteReference w:id="43"/>
      </w:r>
    </w:p>
    <w:p w:rsidR="009C566F" w:rsidRDefault="0068510D" w:rsidP="0068510D">
      <w:pPr>
        <w:spacing w:line="360" w:lineRule="auto"/>
        <w:ind w:firstLine="720"/>
        <w:jc w:val="both"/>
      </w:pPr>
      <w:r>
        <w:t xml:space="preserve">However, </w:t>
      </w:r>
      <w:proofErr w:type="spellStart"/>
      <w:r>
        <w:t>Forcese’s</w:t>
      </w:r>
      <w:proofErr w:type="spellEnd"/>
      <w:r>
        <w:t xml:space="preserve"> historical </w:t>
      </w:r>
      <w:r w:rsidR="00A0275F">
        <w:t>ground</w:t>
      </w:r>
      <w:r>
        <w:t xml:space="preserve">work potentially undermines the </w:t>
      </w:r>
      <w:r w:rsidRPr="0068510D">
        <w:rPr>
          <w:i/>
        </w:rPr>
        <w:t>Caroline</w:t>
      </w:r>
      <w:r>
        <w:t xml:space="preserve">’s place </w:t>
      </w:r>
      <w:r w:rsidR="00A0275F">
        <w:t xml:space="preserve">in modern </w:t>
      </w:r>
      <w:r>
        <w:t xml:space="preserve">debates concerning </w:t>
      </w:r>
      <w:r w:rsidR="009C7C17" w:rsidRPr="009C7C17">
        <w:t>preventative</w:t>
      </w:r>
      <w:r>
        <w:t xml:space="preserve"> self-defence. He </w:t>
      </w:r>
      <w:r w:rsidR="00A90C19">
        <w:t>highlights</w:t>
      </w:r>
      <w:r>
        <w:t>, for example,</w:t>
      </w:r>
      <w:r w:rsidR="00A90C19">
        <w:t xml:space="preserve"> the inaccuracy of the so</w:t>
      </w:r>
      <w:r w:rsidR="00DA112C">
        <w:t xml:space="preserve">metimes repeated </w:t>
      </w:r>
      <w:r w:rsidR="00CB17F1">
        <w:t>(</w:t>
      </w:r>
      <w:r w:rsidR="00EA7421">
        <w:t xml:space="preserve">as he charts at </w:t>
      </w:r>
      <w:r w:rsidR="00CB17F1">
        <w:t xml:space="preserve">263) </w:t>
      </w:r>
      <w:r w:rsidR="00DA112C">
        <w:t>assertion that Na</w:t>
      </w:r>
      <w:r>
        <w:t>vy Island was in US territory; t</w:t>
      </w:r>
      <w:r w:rsidR="00DA112C">
        <w:t>he island</w:t>
      </w:r>
      <w:r w:rsidR="00EA7421">
        <w:t xml:space="preserve"> was part of British-Canada, and thus it</w:t>
      </w:r>
      <w:r w:rsidR="00DA112C">
        <w:t>s</w:t>
      </w:r>
      <w:r w:rsidR="00A90C19">
        <w:t xml:space="preserve"> occupation </w:t>
      </w:r>
      <w:r w:rsidR="00DA112C">
        <w:t xml:space="preserve">in 1837 </w:t>
      </w:r>
      <w:r w:rsidR="00A90C19">
        <w:t>was not a staging ground for an invasion but an invasion in itself</w:t>
      </w:r>
      <w:r w:rsidR="009C566F">
        <w:t xml:space="preserve">. Moreover, also commonly overlooked </w:t>
      </w:r>
      <w:r w:rsidR="009C566F">
        <w:lastRenderedPageBreak/>
        <w:t>is the fact that</w:t>
      </w:r>
      <w:r w:rsidR="00DA112C">
        <w:t xml:space="preserve"> it was an invasion that included shelling</w:t>
      </w:r>
      <w:r w:rsidR="009C566F">
        <w:t>,</w:t>
      </w:r>
      <w:r w:rsidR="00DA112C">
        <w:t xml:space="preserve"> beyond the island</w:t>
      </w:r>
      <w:r w:rsidR="009C566F">
        <w:t>, of the Canadian shore and Canadian boats on the river</w:t>
      </w:r>
      <w:r w:rsidR="006E44BF">
        <w:t xml:space="preserve"> (21–2, 228)</w:t>
      </w:r>
      <w:r w:rsidR="00DA112C">
        <w:t xml:space="preserve">.  Thus, </w:t>
      </w:r>
      <w:proofErr w:type="spellStart"/>
      <w:r w:rsidR="00DA112C">
        <w:t>Forcese</w:t>
      </w:r>
      <w:proofErr w:type="spellEnd"/>
      <w:r w:rsidR="00DA112C">
        <w:t xml:space="preserve"> argues that the common conception of the </w:t>
      </w:r>
      <w:r w:rsidR="00DA112C" w:rsidRPr="00DA112C">
        <w:rPr>
          <w:i/>
        </w:rPr>
        <w:t>Caroline</w:t>
      </w:r>
      <w:r w:rsidR="00DA112C">
        <w:t xml:space="preserve"> incident as an act of </w:t>
      </w:r>
      <w:r w:rsidR="009C7C17" w:rsidRPr="009C7C17">
        <w:t>preventative</w:t>
      </w:r>
      <w:r w:rsidR="00DA112C">
        <w:t xml:space="preserve"> self-defence (or, at least, as </w:t>
      </w:r>
      <w:r w:rsidR="00DA112C" w:rsidRPr="009C566F">
        <w:rPr>
          <w:i/>
        </w:rPr>
        <w:t>solely</w:t>
      </w:r>
      <w:r w:rsidR="00DA112C">
        <w:t xml:space="preserve"> an act of </w:t>
      </w:r>
      <w:r w:rsidR="009C7C17" w:rsidRPr="009C7C17">
        <w:t>preventative</w:t>
      </w:r>
      <w:r w:rsidR="009C7C17">
        <w:t xml:space="preserve"> </w:t>
      </w:r>
      <w:r w:rsidR="00DA112C">
        <w:t>self-defence) is factually incorrect</w:t>
      </w:r>
      <w:r w:rsidR="00DD21F0">
        <w:t xml:space="preserve"> (227–31)</w:t>
      </w:r>
      <w:r w:rsidR="00DA112C">
        <w:t xml:space="preserve">. This is </w:t>
      </w:r>
      <w:r w:rsidR="009D5D9C">
        <w:t>certainly not an</w:t>
      </w:r>
      <w:r>
        <w:t xml:space="preserve"> entirely </w:t>
      </w:r>
      <w:r w:rsidR="00DA112C">
        <w:t>‘new’ understanding of the incident,</w:t>
      </w:r>
      <w:r w:rsidR="009D5D9C">
        <w:rPr>
          <w:rStyle w:val="FootnoteReference"/>
        </w:rPr>
        <w:footnoteReference w:id="44"/>
      </w:r>
      <w:r w:rsidR="00DA112C">
        <w:t xml:space="preserve"> but it is starkly realised here because of the </w:t>
      </w:r>
      <w:r w:rsidR="00EA7421">
        <w:t>depth</w:t>
      </w:r>
      <w:r w:rsidR="00DA112C">
        <w:t xml:space="preserve"> of the </w:t>
      </w:r>
      <w:r w:rsidR="00EA7421">
        <w:t xml:space="preserve">historical </w:t>
      </w:r>
      <w:r w:rsidR="00DA112C">
        <w:t xml:space="preserve">research underpinning it. </w:t>
      </w:r>
    </w:p>
    <w:p w:rsidR="00A90C19" w:rsidRDefault="009C566F" w:rsidP="00001B12">
      <w:pPr>
        <w:spacing w:line="360" w:lineRule="auto"/>
        <w:ind w:firstLine="720"/>
        <w:jc w:val="both"/>
      </w:pPr>
      <w:r>
        <w:t>Admittedly</w:t>
      </w:r>
      <w:r w:rsidR="00DA112C">
        <w:t xml:space="preserve">, one can </w:t>
      </w:r>
      <w:r w:rsidR="00001B12">
        <w:t xml:space="preserve">perhaps still </w:t>
      </w:r>
      <w:r w:rsidR="00DA112C">
        <w:t xml:space="preserve">make a case that the </w:t>
      </w:r>
      <w:r w:rsidR="00DA112C" w:rsidRPr="009C566F">
        <w:rPr>
          <w:i/>
        </w:rPr>
        <w:t>Caroline</w:t>
      </w:r>
      <w:r w:rsidR="00DA112C">
        <w:t xml:space="preserve"> incident was at least partially one of </w:t>
      </w:r>
      <w:r w:rsidR="007304FC">
        <w:t xml:space="preserve">a </w:t>
      </w:r>
      <w:r w:rsidR="009C7C17" w:rsidRPr="009C7C17">
        <w:t>preventative</w:t>
      </w:r>
      <w:r w:rsidR="00DA112C">
        <w:t xml:space="preserve"> </w:t>
      </w:r>
      <w:r w:rsidR="007304FC">
        <w:t>sort</w:t>
      </w:r>
      <w:r w:rsidR="00DA112C">
        <w:t>, in that the vessel was docked for the night</w:t>
      </w:r>
      <w:r w:rsidR="00001B12">
        <w:t xml:space="preserve"> (i.e., </w:t>
      </w:r>
      <w:r w:rsidR="00A0275F">
        <w:t>one</w:t>
      </w:r>
      <w:r w:rsidR="00001B12">
        <w:t xml:space="preserve"> attack was ‘over’</w:t>
      </w:r>
      <w:r w:rsidR="00CB17F1">
        <w:t>;</w:t>
      </w:r>
      <w:r w:rsidR="00A0275F">
        <w:t xml:space="preserve"> the next</w:t>
      </w:r>
      <w:r w:rsidR="00CB17F1">
        <w:t>,</w:t>
      </w:r>
      <w:r w:rsidR="00A0275F">
        <w:t xml:space="preserve"> yet to commence</w:t>
      </w:r>
      <w:r w:rsidR="00001B12">
        <w:t>). S</w:t>
      </w:r>
      <w:r>
        <w:t xml:space="preserve">tates </w:t>
      </w:r>
      <w:r w:rsidR="006806E0">
        <w:t xml:space="preserve">often </w:t>
      </w:r>
      <w:r>
        <w:t>include language in</w:t>
      </w:r>
      <w:r w:rsidR="006806E0">
        <w:t xml:space="preserve"> </w:t>
      </w:r>
      <w:r>
        <w:t xml:space="preserve">their self-defence claims that </w:t>
      </w:r>
      <w:r w:rsidR="0060491A">
        <w:t>paint a mixed picture of action in relation to both</w:t>
      </w:r>
      <w:r w:rsidR="006806E0">
        <w:t xml:space="preserve"> ‘ongoing’ and ‘future’ attacks.</w:t>
      </w:r>
      <w:r w:rsidR="007304FC">
        <w:rPr>
          <w:rStyle w:val="FootnoteReference"/>
        </w:rPr>
        <w:footnoteReference w:id="45"/>
      </w:r>
      <w:r w:rsidR="006806E0">
        <w:t xml:space="preserve"> However, </w:t>
      </w:r>
      <w:proofErr w:type="spellStart"/>
      <w:r w:rsidR="006806E0">
        <w:t>Forcese</w:t>
      </w:r>
      <w:proofErr w:type="spellEnd"/>
      <w:r w:rsidR="006806E0">
        <w:t xml:space="preserve"> certainly shows that this reading </w:t>
      </w:r>
      <w:r w:rsidR="0060491A">
        <w:t xml:space="preserve">of the incident </w:t>
      </w:r>
      <w:r w:rsidR="006806E0">
        <w:t xml:space="preserve">is less credible than I, at least, had </w:t>
      </w:r>
      <w:r>
        <w:t xml:space="preserve">previously </w:t>
      </w:r>
      <w:r w:rsidR="006806E0">
        <w:t>thought</w:t>
      </w:r>
      <w:r w:rsidR="007304FC">
        <w:t xml:space="preserve">. He makes </w:t>
      </w:r>
      <w:r w:rsidR="0060491A">
        <w:t>a str</w:t>
      </w:r>
      <w:r w:rsidR="00001B12">
        <w:t>o</w:t>
      </w:r>
      <w:r w:rsidR="0060491A">
        <w:t>ng case that, were the incident to occur today, it would be seen as a response to a</w:t>
      </w:r>
      <w:r w:rsidR="00A0275F">
        <w:t xml:space="preserve"> single, actual and ongoing</w:t>
      </w:r>
      <w:r w:rsidR="0060491A">
        <w:t>, armed attack</w:t>
      </w:r>
      <w:r w:rsidR="00DD21F0">
        <w:t xml:space="preserve"> (at various points, but most </w:t>
      </w:r>
      <w:r w:rsidR="006E44BF">
        <w:t>clearly</w:t>
      </w:r>
      <w:r w:rsidR="00DD21F0">
        <w:t xml:space="preserve"> at 228)</w:t>
      </w:r>
      <w:r w:rsidR="006806E0">
        <w:t xml:space="preserve">. </w:t>
      </w:r>
      <w:proofErr w:type="spellStart"/>
      <w:r w:rsidR="001A794F">
        <w:t>Forcese</w:t>
      </w:r>
      <w:proofErr w:type="spellEnd"/>
      <w:r w:rsidR="001A794F">
        <w:t xml:space="preserve"> notes the resulting</w:t>
      </w:r>
      <w:r w:rsidR="00DA112C">
        <w:t xml:space="preserve"> irony</w:t>
      </w:r>
      <w:r w:rsidR="00A0275F">
        <w:t xml:space="preserve"> </w:t>
      </w:r>
      <w:r w:rsidR="00DA112C">
        <w:t xml:space="preserve">that the </w:t>
      </w:r>
      <w:r w:rsidR="00DA112C" w:rsidRPr="0060491A">
        <w:rPr>
          <w:i/>
        </w:rPr>
        <w:t>Caroline</w:t>
      </w:r>
      <w:r w:rsidR="00DA112C">
        <w:t xml:space="preserve"> has become </w:t>
      </w:r>
      <w:r w:rsidR="0060491A">
        <w:t>a key</w:t>
      </w:r>
      <w:r w:rsidR="00DA112C">
        <w:t xml:space="preserve"> battleground on which doctrinal conflict concerning </w:t>
      </w:r>
      <w:r w:rsidR="009C7C17" w:rsidRPr="009C7C17">
        <w:t>preventative</w:t>
      </w:r>
      <w:r w:rsidR="00DA112C">
        <w:t xml:space="preserve"> self-defence is fought</w:t>
      </w:r>
      <w:r w:rsidR="00001B12">
        <w:t>, with b</w:t>
      </w:r>
      <w:r w:rsidR="00DA112C">
        <w:t xml:space="preserve">oth those looking to restrict (or prohibit) it </w:t>
      </w:r>
      <w:r w:rsidR="00DA112C" w:rsidRPr="0060491A">
        <w:rPr>
          <w:i/>
        </w:rPr>
        <w:t>and</w:t>
      </w:r>
      <w:r w:rsidR="00DA112C">
        <w:t xml:space="preserve"> those seeking to widen its parameters invok</w:t>
      </w:r>
      <w:r w:rsidR="00001B12">
        <w:t xml:space="preserve">ing </w:t>
      </w:r>
      <w:r w:rsidR="00DA112C">
        <w:t>the</w:t>
      </w:r>
      <w:r w:rsidR="00001B12">
        <w:t xml:space="preserve"> incident</w:t>
      </w:r>
      <w:r w:rsidR="00DA112C">
        <w:t xml:space="preserve"> to support their respective </w:t>
      </w:r>
      <w:r w:rsidR="0060491A">
        <w:t>positions</w:t>
      </w:r>
      <w:r w:rsidR="00CB17F1">
        <w:t xml:space="preserve"> (226, 246)</w:t>
      </w:r>
      <w:r w:rsidR="00DA112C">
        <w:t>.</w:t>
      </w:r>
    </w:p>
    <w:p w:rsidR="00EA7421" w:rsidRDefault="006806E0" w:rsidP="00C3004C">
      <w:pPr>
        <w:spacing w:line="360" w:lineRule="auto"/>
        <w:ind w:firstLine="720"/>
        <w:jc w:val="both"/>
      </w:pPr>
      <w:r>
        <w:t xml:space="preserve">There are two ways to look at this, though. On the one hand, </w:t>
      </w:r>
      <w:r w:rsidR="00EA7421">
        <w:t>it</w:t>
      </w:r>
      <w:r w:rsidR="0060491A">
        <w:t xml:space="preserve"> may require us to</w:t>
      </w:r>
      <w:r>
        <w:t xml:space="preserve"> question whether the </w:t>
      </w:r>
      <w:r w:rsidRPr="006806E0">
        <w:rPr>
          <w:i/>
        </w:rPr>
        <w:t>Caroline</w:t>
      </w:r>
      <w:r>
        <w:t xml:space="preserve"> is appropriate for considering questions</w:t>
      </w:r>
      <w:r w:rsidR="0060491A">
        <w:t xml:space="preserve"> of </w:t>
      </w:r>
      <w:r w:rsidR="009C7C17" w:rsidRPr="009C7C17">
        <w:t>preventative</w:t>
      </w:r>
      <w:r w:rsidR="0060491A">
        <w:t xml:space="preserve"> self-defence at all. </w:t>
      </w:r>
      <w:r w:rsidR="00001B12">
        <w:t>We may conclude that t</w:t>
      </w:r>
      <w:r>
        <w:t>he debates surrounding imminence</w:t>
      </w:r>
      <w:r w:rsidR="00001B12">
        <w:t xml:space="preserve"> (whether it is a requirement, should be a requirement, and </w:t>
      </w:r>
      <w:r>
        <w:t xml:space="preserve">what </w:t>
      </w:r>
      <w:r w:rsidR="00001B12">
        <w:t>it</w:t>
      </w:r>
      <w:r w:rsidR="0060491A">
        <w:t xml:space="preserve"> even</w:t>
      </w:r>
      <w:r>
        <w:t xml:space="preserve"> means</w:t>
      </w:r>
      <w:r w:rsidR="00001B12">
        <w:t>)</w:t>
      </w:r>
      <w:r w:rsidR="0060491A">
        <w:t>,</w:t>
      </w:r>
      <w:r>
        <w:t xml:space="preserve"> are </w:t>
      </w:r>
      <w:r w:rsidR="0060491A">
        <w:t>all premised</w:t>
      </w:r>
      <w:r>
        <w:t xml:space="preserve"> on an inappropriate source: an incident that is better conceptualised as</w:t>
      </w:r>
      <w:r w:rsidR="00001B12">
        <w:t xml:space="preserve"> a response to an attack</w:t>
      </w:r>
      <w:r>
        <w:t xml:space="preserve"> well underway.  At the same time, the </w:t>
      </w:r>
      <w:r w:rsidRPr="006806E0">
        <w:rPr>
          <w:i/>
        </w:rPr>
        <w:t>formula</w:t>
      </w:r>
      <w:r>
        <w:t xml:space="preserve"> </w:t>
      </w:r>
      <w:r w:rsidR="0060491A">
        <w:t xml:space="preserve">that sprang </w:t>
      </w:r>
      <w:r>
        <w:t xml:space="preserve">from the </w:t>
      </w:r>
      <w:r w:rsidRPr="006806E0">
        <w:rPr>
          <w:i/>
        </w:rPr>
        <w:t>Caroline</w:t>
      </w:r>
      <w:r>
        <w:t xml:space="preserve"> can be seen as </w:t>
      </w:r>
      <w:r w:rsidR="00001B12">
        <w:t>having taken</w:t>
      </w:r>
      <w:r>
        <w:t xml:space="preserve"> on a life of its own over the (many) years since, divorced from its factual origins (indeed, that is precisely </w:t>
      </w:r>
      <w:proofErr w:type="spellStart"/>
      <w:r>
        <w:t>Forcese’s</w:t>
      </w:r>
      <w:proofErr w:type="spellEnd"/>
      <w:r>
        <w:t xml:space="preserve"> point</w:t>
      </w:r>
      <w:r w:rsidR="006E44BF">
        <w:t>: e.g. he explicitly highlights this ‘disconnect’ at 229</w:t>
      </w:r>
      <w:r>
        <w:t xml:space="preserve">).  The fact that the </w:t>
      </w:r>
      <w:r w:rsidR="001A794F">
        <w:t xml:space="preserve">language in the formula </w:t>
      </w:r>
      <w:r w:rsidR="001A794F" w:rsidRPr="001A794F">
        <w:rPr>
          <w:i/>
        </w:rPr>
        <w:t xml:space="preserve">appears to </w:t>
      </w:r>
      <w:r w:rsidR="001A794F">
        <w:t xml:space="preserve">set out an imminence criterion </w:t>
      </w:r>
      <w:r w:rsidR="001A794F" w:rsidRPr="001A794F">
        <w:rPr>
          <w:i/>
        </w:rPr>
        <w:t>prima facie</w:t>
      </w:r>
      <w:r>
        <w:t xml:space="preserve"> </w:t>
      </w:r>
      <w:r w:rsidR="001A794F">
        <w:t xml:space="preserve">and has become adopted in that way </w:t>
      </w:r>
      <w:r>
        <w:t>perhaps is enou</w:t>
      </w:r>
      <w:r w:rsidR="0060491A">
        <w:t xml:space="preserve">gh to conclude that it should not matter that the </w:t>
      </w:r>
      <w:r w:rsidR="0060491A" w:rsidRPr="001A794F">
        <w:t>incident</w:t>
      </w:r>
      <w:r w:rsidR="0060491A">
        <w:t xml:space="preserve"> was not an act of the type of self-defence with which th</w:t>
      </w:r>
      <w:r w:rsidR="001A794F">
        <w:t>at</w:t>
      </w:r>
      <w:r w:rsidR="0060491A">
        <w:t xml:space="preserve"> </w:t>
      </w:r>
      <w:r w:rsidR="0060491A" w:rsidRPr="001A794F">
        <w:t>formula</w:t>
      </w:r>
      <w:r w:rsidR="0060491A">
        <w:t xml:space="preserve"> has since become synonymous.</w:t>
      </w:r>
      <w:r w:rsidR="00C3004C">
        <w:t xml:space="preserve"> </w:t>
      </w:r>
    </w:p>
    <w:p w:rsidR="0023623F" w:rsidRPr="00D6058E" w:rsidRDefault="0060491A" w:rsidP="00C3004C">
      <w:pPr>
        <w:spacing w:line="360" w:lineRule="auto"/>
        <w:ind w:firstLine="720"/>
        <w:jc w:val="both"/>
      </w:pPr>
      <w:proofErr w:type="spellStart"/>
      <w:r>
        <w:lastRenderedPageBreak/>
        <w:t>Forcese</w:t>
      </w:r>
      <w:proofErr w:type="spellEnd"/>
      <w:r>
        <w:t xml:space="preserve"> </w:t>
      </w:r>
      <w:r w:rsidR="00DD21F0">
        <w:t>presents but</w:t>
      </w:r>
      <w:r w:rsidR="0092792E">
        <w:t>, somewhat frustratingly,</w:t>
      </w:r>
      <w:r w:rsidR="00DD21F0">
        <w:t xml:space="preserve"> </w:t>
      </w:r>
      <w:r>
        <w:t xml:space="preserve">does not </w:t>
      </w:r>
      <w:r w:rsidR="0092792E">
        <w:t xml:space="preserve">really </w:t>
      </w:r>
      <w:r>
        <w:t xml:space="preserve">take a </w:t>
      </w:r>
      <w:r w:rsidR="007304FC">
        <w:t xml:space="preserve">clear </w:t>
      </w:r>
      <w:r>
        <w:t xml:space="preserve">stand on such points.  He highlights </w:t>
      </w:r>
      <w:r w:rsidR="006E44BF">
        <w:t xml:space="preserve">the </w:t>
      </w:r>
      <w:r w:rsidR="00EA7421">
        <w:t xml:space="preserve">a-historical </w:t>
      </w:r>
      <w:r w:rsidR="006E44BF">
        <w:t xml:space="preserve">discrepancy between </w:t>
      </w:r>
      <w:r w:rsidR="00353B31">
        <w:t xml:space="preserve">the incident’s </w:t>
      </w:r>
      <w:r w:rsidR="006E44BF">
        <w:t>fact</w:t>
      </w:r>
      <w:r w:rsidR="00353B31">
        <w:t>s</w:t>
      </w:r>
      <w:r w:rsidR="006E44BF">
        <w:t xml:space="preserve"> and current legal usage</w:t>
      </w:r>
      <w:r w:rsidR="00353B31">
        <w:t>,</w:t>
      </w:r>
      <w:r w:rsidR="006E44BF">
        <w:t xml:space="preserve"> as well as the dangers posed both by abandoning the imminence standard that has (wrongly) stemmed from the </w:t>
      </w:r>
      <w:r w:rsidR="006E44BF" w:rsidRPr="007304FC">
        <w:rPr>
          <w:i/>
        </w:rPr>
        <w:t>Caroline</w:t>
      </w:r>
      <w:r w:rsidR="006E44BF">
        <w:t xml:space="preserve"> and by adhering too strictly to it (230</w:t>
      </w:r>
      <w:r w:rsidR="007304FC">
        <w:t>–</w:t>
      </w:r>
      <w:r w:rsidR="006E44BF">
        <w:t>1</w:t>
      </w:r>
      <w:r w:rsidR="0092792E">
        <w:t xml:space="preserve">). Beyond that, </w:t>
      </w:r>
      <w:r w:rsidR="00353B31">
        <w:t xml:space="preserve">though, </w:t>
      </w:r>
      <w:r w:rsidR="006E44BF">
        <w:t xml:space="preserve">we are </w:t>
      </w:r>
      <w:r w:rsidR="0092792E">
        <w:t>left</w:t>
      </w:r>
      <w:r w:rsidR="006E44BF">
        <w:t xml:space="preserve"> </w:t>
      </w:r>
      <w:r w:rsidR="0092792E">
        <w:t>to draw our own conclusions o</w:t>
      </w:r>
      <w:r w:rsidR="00353B31">
        <w:t xml:space="preserve">n the core debates </w:t>
      </w:r>
      <w:r w:rsidR="001A794F">
        <w:t>surrounding</w:t>
      </w:r>
      <w:r w:rsidR="00353B31">
        <w:t xml:space="preserve"> imminence. A</w:t>
      </w:r>
      <w:r w:rsidR="0092792E">
        <w:t xml:space="preserve">gain, </w:t>
      </w:r>
      <w:r w:rsidR="001A794F">
        <w:t>one cannot help but wish for</w:t>
      </w:r>
      <w:r w:rsidR="0092792E">
        <w:t xml:space="preserve"> a bit more depth on the contours of those </w:t>
      </w:r>
      <w:r w:rsidR="0092792E" w:rsidRPr="00D6058E">
        <w:t>debates.</w:t>
      </w:r>
      <w:r w:rsidR="0092792E" w:rsidRPr="00D6058E">
        <w:rPr>
          <w:rStyle w:val="FootnoteReference"/>
        </w:rPr>
        <w:footnoteReference w:id="46"/>
      </w:r>
    </w:p>
    <w:p w:rsidR="001A794F" w:rsidRDefault="001A794F" w:rsidP="001A794F">
      <w:pPr>
        <w:spacing w:line="360" w:lineRule="auto"/>
        <w:jc w:val="both"/>
      </w:pPr>
    </w:p>
    <w:p w:rsidR="001A794F" w:rsidRPr="004E2371" w:rsidRDefault="004E2371" w:rsidP="001A794F">
      <w:pPr>
        <w:spacing w:line="360" w:lineRule="auto"/>
        <w:jc w:val="both"/>
        <w:rPr>
          <w:b/>
          <w:i/>
        </w:rPr>
      </w:pPr>
      <w:r w:rsidRPr="004E2371">
        <w:rPr>
          <w:b/>
          <w:i/>
        </w:rPr>
        <w:t>5.4</w:t>
      </w:r>
      <w:r w:rsidR="001A794F" w:rsidRPr="004E2371">
        <w:rPr>
          <w:b/>
          <w:i/>
        </w:rPr>
        <w:t>. Unwilling or unable</w:t>
      </w:r>
    </w:p>
    <w:p w:rsidR="002C2B84" w:rsidRDefault="0092792E" w:rsidP="001A794F">
      <w:pPr>
        <w:spacing w:line="360" w:lineRule="auto"/>
        <w:jc w:val="both"/>
      </w:pPr>
      <w:r w:rsidRPr="00D6058E">
        <w:t>T</w:t>
      </w:r>
      <w:r w:rsidR="007477CF" w:rsidRPr="00D6058E">
        <w:t xml:space="preserve">he relevance of the </w:t>
      </w:r>
      <w:r w:rsidRPr="00D6058E">
        <w:rPr>
          <w:i/>
        </w:rPr>
        <w:t>Caroline</w:t>
      </w:r>
      <w:r w:rsidRPr="00D6058E">
        <w:t xml:space="preserve"> </w:t>
      </w:r>
      <w:r w:rsidR="007477CF" w:rsidRPr="00D6058E">
        <w:t>incident for modern debates on the use of force in self-d</w:t>
      </w:r>
      <w:r w:rsidRPr="00D6058E">
        <w:t xml:space="preserve">efence against non-state actors is </w:t>
      </w:r>
      <w:r w:rsidR="00D6058E">
        <w:t>‘now dimly remembered’ (239)</w:t>
      </w:r>
      <w:r w:rsidR="00D6058E" w:rsidRPr="00D6058E">
        <w:t>.</w:t>
      </w:r>
      <w:r w:rsidRPr="00D6058E">
        <w:t xml:space="preserve"> </w:t>
      </w:r>
      <w:proofErr w:type="spellStart"/>
      <w:r w:rsidRPr="00D6058E">
        <w:t>Forcese</w:t>
      </w:r>
      <w:proofErr w:type="spellEnd"/>
      <w:r>
        <w:t xml:space="preserve"> does an excellent job of </w:t>
      </w:r>
      <w:r w:rsidR="00D6058E">
        <w:t xml:space="preserve">remedying this by </w:t>
      </w:r>
      <w:r>
        <w:t xml:space="preserve">highlighting throughout not only the core fact that the raid was </w:t>
      </w:r>
      <w:r w:rsidR="00D6058E">
        <w:t xml:space="preserve">undeniably </w:t>
      </w:r>
      <w:r>
        <w:t xml:space="preserve">one conducted against a non-state group, but also the </w:t>
      </w:r>
      <w:r w:rsidR="00D6058E">
        <w:t>repeated r</w:t>
      </w:r>
      <w:r>
        <w:t xml:space="preserve">eferences in </w:t>
      </w:r>
      <w:r w:rsidR="00D6058E">
        <w:t xml:space="preserve">diplomatic </w:t>
      </w:r>
      <w:r>
        <w:t xml:space="preserve">exchanges at the time </w:t>
      </w:r>
      <w:r w:rsidR="0009761D">
        <w:t>(and over subsequent years) to</w:t>
      </w:r>
      <w:r>
        <w:t xml:space="preserve"> the unwillingness and/or inability of the United States to curb the insurgents’ actions</w:t>
      </w:r>
      <w:r w:rsidR="00353B31">
        <w:t xml:space="preserve"> (</w:t>
      </w:r>
      <w:r w:rsidR="00EA065F">
        <w:t>e.g. 35, 63, 74, 149–50, 157–8</w:t>
      </w:r>
      <w:r w:rsidR="00353B31">
        <w:t>)</w:t>
      </w:r>
      <w:r w:rsidR="00D6058E">
        <w:t>. The r</w:t>
      </w:r>
      <w:r w:rsidR="00353B31">
        <w:t xml:space="preserve">eader is left in no doubt that </w:t>
      </w:r>
      <w:r w:rsidR="00EA065F">
        <w:t xml:space="preserve">ongoing </w:t>
      </w:r>
      <w:r>
        <w:t xml:space="preserve">debate </w:t>
      </w:r>
      <w:r w:rsidR="00353B31">
        <w:t>on</w:t>
      </w:r>
      <w:r>
        <w:t xml:space="preserve"> the </w:t>
      </w:r>
      <w:r w:rsidR="00EA065F">
        <w:t xml:space="preserve">so-called </w:t>
      </w:r>
      <w:r>
        <w:t>‘unwilling or unable’ doctrine</w:t>
      </w:r>
      <w:r w:rsidR="00353B31">
        <w:rPr>
          <w:rStyle w:val="FootnoteReference"/>
        </w:rPr>
        <w:footnoteReference w:id="47"/>
      </w:r>
      <w:r>
        <w:t xml:space="preserve"> is another area</w:t>
      </w:r>
      <w:r w:rsidR="00353B31">
        <w:t xml:space="preserve"> of current controversy </w:t>
      </w:r>
      <w:r>
        <w:t xml:space="preserve">that very much has roots in the </w:t>
      </w:r>
      <w:r w:rsidRPr="00D6058E">
        <w:rPr>
          <w:i/>
        </w:rPr>
        <w:t>Caroline</w:t>
      </w:r>
      <w:r>
        <w:t>.</w:t>
      </w:r>
      <w:r w:rsidR="00D6058E">
        <w:t xml:space="preserve"> </w:t>
      </w:r>
    </w:p>
    <w:p w:rsidR="007477CF" w:rsidRDefault="002C2B84" w:rsidP="007477CF">
      <w:pPr>
        <w:spacing w:line="360" w:lineRule="auto"/>
        <w:ind w:firstLine="720"/>
        <w:jc w:val="both"/>
      </w:pPr>
      <w:r>
        <w:t xml:space="preserve">Armed with that </w:t>
      </w:r>
      <w:r w:rsidR="00353B31">
        <w:t>clear finding</w:t>
      </w:r>
      <w:r>
        <w:t>,</w:t>
      </w:r>
      <w:r w:rsidR="00D6058E">
        <w:t xml:space="preserve"> in Part V, </w:t>
      </w:r>
      <w:proofErr w:type="spellStart"/>
      <w:r w:rsidR="00D6058E">
        <w:t>Forcese</w:t>
      </w:r>
      <w:proofErr w:type="spellEnd"/>
      <w:r w:rsidR="00D6058E">
        <w:t xml:space="preserve"> turns his attention to the unwilling or unable doctrine today.  </w:t>
      </w:r>
      <w:r w:rsidR="00741C9D">
        <w:t>T</w:t>
      </w:r>
      <w:r w:rsidR="00D6058E">
        <w:t xml:space="preserve">he debate surrounding the doctrine is clearly presented, with some useful discussion of historical examples since the </w:t>
      </w:r>
      <w:r w:rsidR="00D6058E" w:rsidRPr="00D6058E">
        <w:rPr>
          <w:i/>
        </w:rPr>
        <w:t>Caroline</w:t>
      </w:r>
      <w:r w:rsidR="00D6058E">
        <w:t xml:space="preserve"> (238), as well as of recent invocations of it, especially in relation to </w:t>
      </w:r>
      <w:r w:rsidR="00741C9D">
        <w:t xml:space="preserve">action against Islamic State (239–41).  The </w:t>
      </w:r>
      <w:r w:rsidR="00353B31">
        <w:t xml:space="preserve">(seemingly </w:t>
      </w:r>
      <w:r w:rsidR="00741C9D">
        <w:t>accumulating</w:t>
      </w:r>
      <w:r w:rsidR="00353B31">
        <w:t>)</w:t>
      </w:r>
      <w:r w:rsidR="00741C9D">
        <w:t xml:space="preserve"> evidence that the doctrine </w:t>
      </w:r>
      <w:r w:rsidR="00741C9D" w:rsidRPr="00353B31">
        <w:rPr>
          <w:i/>
        </w:rPr>
        <w:t>may</w:t>
      </w:r>
      <w:r w:rsidR="00741C9D">
        <w:t xml:space="preserve"> be an aspect of customary international law is noted, but then contrasted with </w:t>
      </w:r>
      <w:r w:rsidR="00353B31">
        <w:t>the danger</w:t>
      </w:r>
      <w:r w:rsidR="00D6058E">
        <w:t xml:space="preserve"> of </w:t>
      </w:r>
      <w:r w:rsidR="00353B31">
        <w:t xml:space="preserve">abuse represented by </w:t>
      </w:r>
      <w:r w:rsidR="00741C9D">
        <w:t xml:space="preserve">such a ‘fuzzy doctrine’ (242).  Again, though, </w:t>
      </w:r>
      <w:r>
        <w:t xml:space="preserve">ultimately, </w:t>
      </w:r>
      <w:proofErr w:type="spellStart"/>
      <w:r w:rsidR="00353B31">
        <w:t>Forcese</w:t>
      </w:r>
      <w:proofErr w:type="spellEnd"/>
      <w:r w:rsidR="00353B31">
        <w:t xml:space="preserve"> steps in – rather than fully </w:t>
      </w:r>
      <w:r w:rsidR="00353B31" w:rsidRPr="00353B31">
        <w:rPr>
          <w:i/>
        </w:rPr>
        <w:t>diving</w:t>
      </w:r>
      <w:r w:rsidR="00353B31">
        <w:t xml:space="preserve"> in – to </w:t>
      </w:r>
      <w:r w:rsidR="00741C9D">
        <w:t xml:space="preserve">the </w:t>
      </w:r>
      <w:r w:rsidR="00353B31">
        <w:t>murky water</w:t>
      </w:r>
      <w:r w:rsidR="0009761D">
        <w:t>s</w:t>
      </w:r>
      <w:r w:rsidR="00353B31">
        <w:t xml:space="preserve"> of the</w:t>
      </w:r>
      <w:r w:rsidR="00741C9D">
        <w:t xml:space="preserve"> </w:t>
      </w:r>
      <w:r w:rsidR="00353B31">
        <w:t>modern debates on unwilling or unable</w:t>
      </w:r>
      <w:r w:rsidR="00741C9D">
        <w:t xml:space="preserve">, and one is left slightly unclear </w:t>
      </w:r>
      <w:r w:rsidR="00AC3D4D">
        <w:t>as to what view</w:t>
      </w:r>
      <w:r w:rsidR="00741C9D">
        <w:t xml:space="preserve"> </w:t>
      </w:r>
      <w:r w:rsidR="00353B31">
        <w:t>he,</w:t>
      </w:r>
      <w:r w:rsidR="00AC3D4D">
        <w:t xml:space="preserve"> himself</w:t>
      </w:r>
      <w:r w:rsidR="00353B31">
        <w:t>,</w:t>
      </w:r>
      <w:r w:rsidR="00AC3D4D">
        <w:t xml:space="preserve"> takes in relation to </w:t>
      </w:r>
      <w:r w:rsidR="00353B31">
        <w:t>how best we should try to navigate them</w:t>
      </w:r>
      <w:r w:rsidR="00741C9D">
        <w:t xml:space="preserve">.  </w:t>
      </w:r>
    </w:p>
    <w:p w:rsidR="002C2B84" w:rsidRDefault="002C2B84" w:rsidP="007477CF">
      <w:pPr>
        <w:spacing w:line="360" w:lineRule="auto"/>
        <w:ind w:firstLine="720"/>
        <w:jc w:val="both"/>
      </w:pPr>
      <w:r>
        <w:lastRenderedPageBreak/>
        <w:t xml:space="preserve">Ultimately, it is perhaps greedy </w:t>
      </w:r>
      <w:r w:rsidR="00353B31">
        <w:t xml:space="preserve">– and a sign of the quality of the majority of the book, which preceded it – </w:t>
      </w:r>
      <w:r>
        <w:t xml:space="preserve">to want </w:t>
      </w:r>
      <w:r w:rsidR="00353B31">
        <w:t>‘</w:t>
      </w:r>
      <w:r>
        <w:t>more</w:t>
      </w:r>
      <w:r w:rsidR="00353B31">
        <w:t>’</w:t>
      </w:r>
      <w:r>
        <w:t xml:space="preserve"> on the modern law </w:t>
      </w:r>
      <w:r w:rsidR="00353B31">
        <w:t>in Part V. This is especially the case when one considers that</w:t>
      </w:r>
      <w:r>
        <w:t xml:space="preserve"> </w:t>
      </w:r>
      <w:proofErr w:type="spellStart"/>
      <w:r>
        <w:t>Forcese</w:t>
      </w:r>
      <w:proofErr w:type="spellEnd"/>
      <w:r>
        <w:t xml:space="preserve"> is clear that his engagement with </w:t>
      </w:r>
      <w:r w:rsidR="00353B31">
        <w:t>today’s controversies</w:t>
      </w:r>
      <w:r>
        <w:t xml:space="preserve"> </w:t>
      </w:r>
      <w:r w:rsidR="00353B31">
        <w:t xml:space="preserve">is </w:t>
      </w:r>
      <w:r>
        <w:t xml:space="preserve">deliberately brief, and the primary goal of the book is to help us properly to understand the </w:t>
      </w:r>
      <w:r w:rsidRPr="002C2B84">
        <w:rPr>
          <w:i/>
        </w:rPr>
        <w:t>Caroline</w:t>
      </w:r>
      <w:r>
        <w:t>.  Measured against that goal the book is a resounding success</w:t>
      </w:r>
      <w:r w:rsidR="00353B31">
        <w:t>.</w:t>
      </w:r>
    </w:p>
    <w:p w:rsidR="007477CF" w:rsidRDefault="007477CF" w:rsidP="000248B3">
      <w:pPr>
        <w:spacing w:line="360" w:lineRule="auto"/>
        <w:jc w:val="both"/>
        <w:rPr>
          <w:b/>
        </w:rPr>
      </w:pPr>
    </w:p>
    <w:p w:rsidR="00A82042" w:rsidRPr="00DE1574" w:rsidRDefault="004E2371" w:rsidP="000248B3">
      <w:pPr>
        <w:spacing w:line="360" w:lineRule="auto"/>
        <w:jc w:val="both"/>
        <w:rPr>
          <w:b/>
        </w:rPr>
      </w:pPr>
      <w:r>
        <w:rPr>
          <w:b/>
        </w:rPr>
        <w:t>6</w:t>
      </w:r>
      <w:r w:rsidR="0048321E">
        <w:rPr>
          <w:b/>
        </w:rPr>
        <w:t xml:space="preserve">. </w:t>
      </w:r>
      <w:r w:rsidR="00DE1574" w:rsidRPr="00DE1574">
        <w:rPr>
          <w:b/>
        </w:rPr>
        <w:t>Conclusion</w:t>
      </w:r>
    </w:p>
    <w:p w:rsidR="00A82042" w:rsidRDefault="00A82042" w:rsidP="000248B3">
      <w:pPr>
        <w:spacing w:line="360" w:lineRule="auto"/>
        <w:jc w:val="both"/>
      </w:pPr>
    </w:p>
    <w:p w:rsidR="00C3004C" w:rsidRDefault="00606696" w:rsidP="000248B3">
      <w:pPr>
        <w:spacing w:line="360" w:lineRule="auto"/>
        <w:jc w:val="both"/>
      </w:pPr>
      <w:r>
        <w:t xml:space="preserve">Ultimately, </w:t>
      </w:r>
      <w:proofErr w:type="spellStart"/>
      <w:r>
        <w:t>Forcese</w:t>
      </w:r>
      <w:proofErr w:type="spellEnd"/>
      <w:r>
        <w:t xml:space="preserve"> conceptualises the </w:t>
      </w:r>
      <w:r w:rsidRPr="00606696">
        <w:rPr>
          <w:i/>
        </w:rPr>
        <w:t>Caroline</w:t>
      </w:r>
      <w:r>
        <w:t xml:space="preserve"> – in true 21</w:t>
      </w:r>
      <w:r w:rsidR="007304FC">
        <w:t>st</w:t>
      </w:r>
      <w:r>
        <w:t xml:space="preserve"> century fashion – as a ‘meme’</w:t>
      </w:r>
      <w:r w:rsidR="007304FC">
        <w:t xml:space="preserve"> (e.g. 4, 211)</w:t>
      </w:r>
      <w:r>
        <w:t xml:space="preserve">, a ‘self-replicating idea’ </w:t>
      </w:r>
      <w:r w:rsidR="00327179">
        <w:t xml:space="preserve">(4) </w:t>
      </w:r>
      <w:r>
        <w:t xml:space="preserve">in the </w:t>
      </w:r>
      <w:r w:rsidRPr="00C31C45">
        <w:rPr>
          <w:i/>
        </w:rPr>
        <w:t>ad bellum</w:t>
      </w:r>
      <w:r w:rsidR="00327179">
        <w:t xml:space="preserve"> landscape. A</w:t>
      </w:r>
      <w:r>
        <w:t>t the same time, though, he provides a unique insight into the underlying circumstances and people that gave birth to that meme, charts its solidification</w:t>
      </w:r>
      <w:r w:rsidR="00327179">
        <w:t>,</w:t>
      </w:r>
      <w:r>
        <w:t xml:space="preserve"> and grapples w</w:t>
      </w:r>
      <w:r w:rsidR="00C31C45">
        <w:t xml:space="preserve">ith </w:t>
      </w:r>
      <w:r w:rsidR="00327179">
        <w:t xml:space="preserve">the disconnect between the way the </w:t>
      </w:r>
      <w:r w:rsidR="00327179" w:rsidRPr="00327179">
        <w:rPr>
          <w:i/>
        </w:rPr>
        <w:t>Caroline</w:t>
      </w:r>
      <w:r w:rsidR="00327179">
        <w:t xml:space="preserve"> is represented today, ‘often partially and in a stylised manner’ (3–4) with what actually happened</w:t>
      </w:r>
      <w:r w:rsidR="00C31C45">
        <w:t xml:space="preserve">. </w:t>
      </w:r>
    </w:p>
    <w:p w:rsidR="0009761D" w:rsidRDefault="0023623F" w:rsidP="004C386E">
      <w:pPr>
        <w:spacing w:line="360" w:lineRule="auto"/>
        <w:ind w:firstLine="720"/>
        <w:jc w:val="both"/>
      </w:pPr>
      <w:r>
        <w:t>As someone who has undertaken a</w:t>
      </w:r>
      <w:r w:rsidR="00C31C45">
        <w:t xml:space="preserve"> major (although nowhere near </w:t>
      </w:r>
      <w:r w:rsidR="00C31C45" w:rsidRPr="00C31C45">
        <w:rPr>
          <w:i/>
        </w:rPr>
        <w:t>this</w:t>
      </w:r>
      <w:r w:rsidR="00C31C45">
        <w:t xml:space="preserve"> major) </w:t>
      </w:r>
      <w:r>
        <w:t xml:space="preserve">research project on the </w:t>
      </w:r>
      <w:r w:rsidRPr="002714D2">
        <w:rPr>
          <w:i/>
        </w:rPr>
        <w:t>Caroline</w:t>
      </w:r>
      <w:r>
        <w:t xml:space="preserve"> in the past – digging into original documents from the time and trying to make sense of the legal context that shaped and embedded elements of Webster’s famous formula in the customary international law that we continue to apply </w:t>
      </w:r>
      <w:r w:rsidR="0009761D">
        <w:t xml:space="preserve">and contest </w:t>
      </w:r>
      <w:r>
        <w:t xml:space="preserve">today – it was a real pleasure to read </w:t>
      </w:r>
      <w:r w:rsidRPr="00382A53">
        <w:rPr>
          <w:i/>
        </w:rPr>
        <w:t>Destroying the Caroline</w:t>
      </w:r>
      <w:r w:rsidRPr="0023623F">
        <w:t>.</w:t>
      </w:r>
      <w:r>
        <w:t xml:space="preserve"> I thought</w:t>
      </w:r>
      <w:r w:rsidR="00606696">
        <w:t xml:space="preserve">, unjustifiably </w:t>
      </w:r>
      <w:r>
        <w:t xml:space="preserve">self-importantly, that I ‘knew’ the </w:t>
      </w:r>
      <w:r w:rsidRPr="00606696">
        <w:rPr>
          <w:i/>
        </w:rPr>
        <w:t>Caroline</w:t>
      </w:r>
      <w:r w:rsidR="0009761D">
        <w:t xml:space="preserve">, </w:t>
      </w:r>
      <w:r>
        <w:t xml:space="preserve">more so </w:t>
      </w:r>
      <w:r w:rsidR="00606696">
        <w:t xml:space="preserve">even </w:t>
      </w:r>
      <w:r w:rsidR="0009761D">
        <w:t>than most scholars in the field</w:t>
      </w:r>
      <w:r>
        <w:t xml:space="preserve">. </w:t>
      </w:r>
      <w:proofErr w:type="spellStart"/>
      <w:r>
        <w:t>Forcese’s</w:t>
      </w:r>
      <w:proofErr w:type="spellEnd"/>
      <w:r>
        <w:t xml:space="preserve"> book makes it clear that I did not</w:t>
      </w:r>
      <w:r w:rsidR="00606696">
        <w:t>, or, at least, not well enough</w:t>
      </w:r>
      <w:r w:rsidR="00DE1574">
        <w:t>. M</w:t>
      </w:r>
      <w:r>
        <w:t xml:space="preserve">y misunderstandings and gaps in knowledge about the incident </w:t>
      </w:r>
      <w:r w:rsidR="00DE1574">
        <w:t xml:space="preserve">were </w:t>
      </w:r>
      <w:r>
        <w:t xml:space="preserve">entertainingly revealed to me in </w:t>
      </w:r>
      <w:r w:rsidR="00DE1574">
        <w:t>the</w:t>
      </w:r>
      <w:r>
        <w:t xml:space="preserve"> pages</w:t>
      </w:r>
      <w:r w:rsidR="00DE1574">
        <w:t xml:space="preserve"> of this book</w:t>
      </w:r>
      <w:r>
        <w:t>.</w:t>
      </w:r>
      <w:r w:rsidR="00C31C45">
        <w:t xml:space="preserve"> </w:t>
      </w:r>
      <w:r w:rsidR="0092792E">
        <w:t xml:space="preserve"> </w:t>
      </w:r>
    </w:p>
    <w:p w:rsidR="0023623F" w:rsidRDefault="004C386E" w:rsidP="004C386E">
      <w:pPr>
        <w:spacing w:line="360" w:lineRule="auto"/>
        <w:ind w:firstLine="720"/>
        <w:jc w:val="both"/>
      </w:pPr>
      <w:r>
        <w:t>Its</w:t>
      </w:r>
      <w:r w:rsidR="0092792E">
        <w:t xml:space="preserve"> latter sections</w:t>
      </w:r>
      <w:r>
        <w:t>,</w:t>
      </w:r>
      <w:r w:rsidR="0092792E">
        <w:t xml:space="preserve"> </w:t>
      </w:r>
      <w:r>
        <w:t>engaging current legal debates,</w:t>
      </w:r>
      <w:r w:rsidR="0092792E">
        <w:t xml:space="preserve"> are </w:t>
      </w:r>
      <w:r>
        <w:t xml:space="preserve">perhaps </w:t>
      </w:r>
      <w:r w:rsidR="0092792E">
        <w:t xml:space="preserve">less successful than the historical analysis that precedes them, and </w:t>
      </w:r>
      <w:r w:rsidR="00D6058E">
        <w:t xml:space="preserve">a fuller exploration of those debates – in places – may have further increased its utility for the modern </w:t>
      </w:r>
      <w:r w:rsidR="00D6058E" w:rsidRPr="00D6058E">
        <w:rPr>
          <w:i/>
        </w:rPr>
        <w:t>ad bellum</w:t>
      </w:r>
      <w:r w:rsidR="00D6058E">
        <w:t xml:space="preserve"> researcher.</w:t>
      </w:r>
      <w:r>
        <w:t xml:space="preserve"> </w:t>
      </w:r>
      <w:r w:rsidR="00D6058E" w:rsidRPr="00D6058E">
        <w:t>Nonetheless,</w:t>
      </w:r>
      <w:r>
        <w:t xml:space="preserve"> my quibbles about the final Part of the book – largely, I think, stemming from an appetite that had been wetted by its overall quality – do not significantly detract from that overall quality.</w:t>
      </w:r>
      <w:r w:rsidR="00D6058E">
        <w:rPr>
          <w:i/>
        </w:rPr>
        <w:t xml:space="preserve"> </w:t>
      </w:r>
      <w:r w:rsidR="00C3004C" w:rsidRPr="00382A53">
        <w:rPr>
          <w:i/>
        </w:rPr>
        <w:t>Destroying the Caroline</w:t>
      </w:r>
      <w:r w:rsidR="00C3004C">
        <w:t xml:space="preserve"> is</w:t>
      </w:r>
      <w:r w:rsidR="0009761D">
        <w:t xml:space="preserve"> </w:t>
      </w:r>
      <w:r w:rsidR="00DE1574">
        <w:t xml:space="preserve">now </w:t>
      </w:r>
      <w:r w:rsidR="0009761D">
        <w:t xml:space="preserve">one of </w:t>
      </w:r>
      <w:r w:rsidR="00C31C45">
        <w:t>the leading work</w:t>
      </w:r>
      <w:r w:rsidR="0009761D">
        <w:t>s</w:t>
      </w:r>
      <w:r w:rsidR="00C31C45">
        <w:t xml:space="preserve"> on the </w:t>
      </w:r>
      <w:r w:rsidR="00C31C45" w:rsidRPr="00DE1574">
        <w:rPr>
          <w:i/>
        </w:rPr>
        <w:t>Caroline</w:t>
      </w:r>
      <w:r w:rsidR="00C31C45">
        <w:t xml:space="preserve"> incident, and will be an invaluable resource for anyone engaging with </w:t>
      </w:r>
      <w:r>
        <w:t>it</w:t>
      </w:r>
      <w:r w:rsidR="00C31C45">
        <w:t xml:space="preserve"> </w:t>
      </w:r>
      <w:r>
        <w:t>(</w:t>
      </w:r>
      <w:r w:rsidR="00C31C45">
        <w:t xml:space="preserve">or its </w:t>
      </w:r>
      <w:r w:rsidR="00DE1574">
        <w:t>legacy</w:t>
      </w:r>
      <w:r>
        <w:t>)</w:t>
      </w:r>
      <w:r w:rsidR="00C31C45">
        <w:t xml:space="preserve"> going forward.</w:t>
      </w:r>
    </w:p>
    <w:p w:rsidR="006B173D" w:rsidRDefault="006B173D" w:rsidP="006B173D">
      <w:pPr>
        <w:spacing w:line="360" w:lineRule="auto"/>
        <w:jc w:val="right"/>
      </w:pPr>
    </w:p>
    <w:p w:rsidR="006B173D" w:rsidRPr="002C34FB" w:rsidRDefault="006B173D" w:rsidP="006B173D">
      <w:pPr>
        <w:spacing w:line="360" w:lineRule="auto"/>
        <w:jc w:val="right"/>
      </w:pPr>
      <w:r w:rsidRPr="002C34FB">
        <w:t>James A Green</w:t>
      </w:r>
    </w:p>
    <w:p w:rsidR="006B173D" w:rsidRPr="002C34FB" w:rsidRDefault="006B173D" w:rsidP="006B173D">
      <w:pPr>
        <w:spacing w:line="360" w:lineRule="auto"/>
        <w:jc w:val="right"/>
        <w:rPr>
          <w:i/>
        </w:rPr>
      </w:pPr>
      <w:r w:rsidRPr="002C34FB">
        <w:rPr>
          <w:i/>
        </w:rPr>
        <w:t>Co-editor-in-chief</w:t>
      </w:r>
    </w:p>
    <w:p w:rsidR="006B173D" w:rsidRDefault="006B173D" w:rsidP="006B173D">
      <w:pPr>
        <w:spacing w:line="360" w:lineRule="auto"/>
        <w:jc w:val="right"/>
        <w:rPr>
          <w:i/>
        </w:rPr>
      </w:pPr>
      <w:r>
        <w:rPr>
          <w:i/>
        </w:rPr>
        <w:t>Professor of Public International Law</w:t>
      </w:r>
    </w:p>
    <w:p w:rsidR="006B173D" w:rsidRPr="002C34FB" w:rsidRDefault="006B173D" w:rsidP="006B173D">
      <w:pPr>
        <w:spacing w:line="360" w:lineRule="auto"/>
        <w:jc w:val="right"/>
        <w:rPr>
          <w:i/>
        </w:rPr>
      </w:pPr>
      <w:r w:rsidRPr="002C34FB">
        <w:rPr>
          <w:i/>
        </w:rPr>
        <w:t>University of Reading</w:t>
      </w:r>
      <w:r>
        <w:rPr>
          <w:i/>
        </w:rPr>
        <w:t>, UK</w:t>
      </w:r>
    </w:p>
    <w:p w:rsidR="006B173D" w:rsidRPr="002C34FB" w:rsidRDefault="006B173D" w:rsidP="006B173D">
      <w:pPr>
        <w:spacing w:line="360" w:lineRule="auto"/>
        <w:jc w:val="right"/>
        <w:rPr>
          <w:i/>
        </w:rPr>
      </w:pPr>
      <w:r w:rsidRPr="002C34FB">
        <w:rPr>
          <w:i/>
        </w:rPr>
        <w:lastRenderedPageBreak/>
        <w:t xml:space="preserve">Email: </w:t>
      </w:r>
      <w:hyperlink r:id="rId7" w:history="1">
        <w:r w:rsidRPr="002C34FB">
          <w:rPr>
            <w:rStyle w:val="Hyperlink"/>
            <w:i/>
          </w:rPr>
          <w:t>j.a.green@reading.ac.uk</w:t>
        </w:r>
      </w:hyperlink>
      <w:r w:rsidRPr="002C34FB">
        <w:rPr>
          <w:i/>
        </w:rPr>
        <w:t xml:space="preserve"> </w:t>
      </w:r>
    </w:p>
    <w:p w:rsidR="006B173D" w:rsidRDefault="006B173D" w:rsidP="004C386E">
      <w:pPr>
        <w:spacing w:line="360" w:lineRule="auto"/>
        <w:ind w:firstLine="720"/>
        <w:jc w:val="both"/>
      </w:pPr>
    </w:p>
    <w:sectPr w:rsidR="006B173D">
      <w:footerReference w:type="default" r:id="rId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832B67" w:rsidRDefault="00832B67" w:rsidP="00B90A85">
      <w:r>
        <w:separator/>
      </w:r>
    </w:p>
  </w:endnote>
  <w:endnote w:type="continuationSeparator" w:id="0">
    <w:p w:rsidR="00832B67" w:rsidRDefault="00832B67" w:rsidP="00B90A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74859454"/>
      <w:docPartObj>
        <w:docPartGallery w:val="Page Numbers (Bottom of Page)"/>
        <w:docPartUnique/>
      </w:docPartObj>
    </w:sdtPr>
    <w:sdtEndPr>
      <w:rPr>
        <w:noProof/>
      </w:rPr>
    </w:sdtEndPr>
    <w:sdtContent>
      <w:p w:rsidR="00011A6C" w:rsidRDefault="00011A6C">
        <w:pPr>
          <w:pStyle w:val="Footer"/>
          <w:jc w:val="center"/>
        </w:pPr>
        <w:r>
          <w:fldChar w:fldCharType="begin"/>
        </w:r>
        <w:r>
          <w:instrText xml:space="preserve"> PAGE   \* MERGEFORMAT </w:instrText>
        </w:r>
        <w:r>
          <w:fldChar w:fldCharType="separate"/>
        </w:r>
        <w:r w:rsidR="00717771">
          <w:rPr>
            <w:noProof/>
          </w:rPr>
          <w:t>12</w:t>
        </w:r>
        <w:r>
          <w:rPr>
            <w:noProof/>
          </w:rPr>
          <w:fldChar w:fldCharType="end"/>
        </w:r>
      </w:p>
    </w:sdtContent>
  </w:sdt>
  <w:p w:rsidR="00011A6C" w:rsidRDefault="00011A6C">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832B67" w:rsidRDefault="00832B67" w:rsidP="00B90A85">
      <w:r>
        <w:separator/>
      </w:r>
    </w:p>
  </w:footnote>
  <w:footnote w:type="continuationSeparator" w:id="0">
    <w:p w:rsidR="00832B67" w:rsidRDefault="00832B67" w:rsidP="00B90A85">
      <w:r>
        <w:continuationSeparator/>
      </w:r>
    </w:p>
  </w:footnote>
  <w:footnote w:id="1">
    <w:p w:rsidR="00011A6C" w:rsidRPr="00490EE1" w:rsidRDefault="00011A6C" w:rsidP="00490EE1">
      <w:pPr>
        <w:pStyle w:val="FootnoteText"/>
        <w:jc w:val="both"/>
      </w:pPr>
      <w:r w:rsidRPr="00490EE1">
        <w:rPr>
          <w:rStyle w:val="FootnoteReference"/>
        </w:rPr>
        <w:footnoteRef/>
      </w:r>
      <w:r w:rsidRPr="00490EE1">
        <w:t xml:space="preserve"> See n </w:t>
      </w:r>
      <w:r w:rsidR="00DC0B69" w:rsidRPr="00490EE1">
        <w:t>6</w:t>
      </w:r>
      <w:r w:rsidRPr="00490EE1">
        <w:t xml:space="preserve"> – n </w:t>
      </w:r>
      <w:r w:rsidR="00DC0B69" w:rsidRPr="00490EE1">
        <w:t>11</w:t>
      </w:r>
      <w:r w:rsidRPr="00490EE1">
        <w:t xml:space="preserve"> and accompanying text.</w:t>
      </w:r>
    </w:p>
  </w:footnote>
  <w:footnote w:id="2">
    <w:p w:rsidR="00011A6C" w:rsidRPr="00490EE1" w:rsidRDefault="00011A6C" w:rsidP="00490EE1">
      <w:pPr>
        <w:jc w:val="both"/>
        <w:rPr>
          <w:sz w:val="20"/>
          <w:szCs w:val="20"/>
        </w:rPr>
      </w:pPr>
      <w:r w:rsidRPr="00490EE1">
        <w:rPr>
          <w:rStyle w:val="FootnoteReference"/>
          <w:sz w:val="20"/>
          <w:szCs w:val="20"/>
        </w:rPr>
        <w:footnoteRef/>
      </w:r>
      <w:r w:rsidRPr="00490EE1">
        <w:rPr>
          <w:sz w:val="20"/>
          <w:szCs w:val="20"/>
        </w:rPr>
        <w:t xml:space="preserve"> In her modern </w:t>
      </w:r>
      <w:r w:rsidRPr="00490EE1">
        <w:rPr>
          <w:i/>
          <w:sz w:val="20"/>
          <w:szCs w:val="20"/>
        </w:rPr>
        <w:t>ad bellum</w:t>
      </w:r>
      <w:r w:rsidRPr="00490EE1">
        <w:rPr>
          <w:sz w:val="20"/>
          <w:szCs w:val="20"/>
        </w:rPr>
        <w:t xml:space="preserve"> classic, </w:t>
      </w:r>
      <w:proofErr w:type="spellStart"/>
      <w:r w:rsidRPr="00490EE1">
        <w:rPr>
          <w:sz w:val="20"/>
          <w:szCs w:val="20"/>
        </w:rPr>
        <w:t>Gray</w:t>
      </w:r>
      <w:proofErr w:type="spellEnd"/>
      <w:r w:rsidRPr="00490EE1">
        <w:rPr>
          <w:sz w:val="20"/>
          <w:szCs w:val="20"/>
        </w:rPr>
        <w:t xml:space="preserve"> – in an oft-repeated turn of phrase – referred to the </w:t>
      </w:r>
      <w:r w:rsidRPr="00490EE1">
        <w:rPr>
          <w:i/>
          <w:sz w:val="20"/>
          <w:szCs w:val="20"/>
        </w:rPr>
        <w:t>Caroline</w:t>
      </w:r>
      <w:r w:rsidRPr="00490EE1">
        <w:rPr>
          <w:sz w:val="20"/>
          <w:szCs w:val="20"/>
        </w:rPr>
        <w:t xml:space="preserve"> as having a</w:t>
      </w:r>
      <w:r w:rsidR="00E1614C" w:rsidRPr="00490EE1">
        <w:rPr>
          <w:sz w:val="20"/>
          <w:szCs w:val="20"/>
        </w:rPr>
        <w:t xml:space="preserve">ttained a ‘mythical authority’. See </w:t>
      </w:r>
      <w:r w:rsidRPr="00490EE1">
        <w:rPr>
          <w:sz w:val="20"/>
          <w:szCs w:val="20"/>
        </w:rPr>
        <w:t xml:space="preserve">Christine </w:t>
      </w:r>
      <w:proofErr w:type="spellStart"/>
      <w:r w:rsidRPr="00490EE1">
        <w:rPr>
          <w:sz w:val="20"/>
          <w:szCs w:val="20"/>
        </w:rPr>
        <w:t>Gray</w:t>
      </w:r>
      <w:proofErr w:type="spellEnd"/>
      <w:r w:rsidRPr="00490EE1">
        <w:rPr>
          <w:sz w:val="20"/>
          <w:szCs w:val="20"/>
        </w:rPr>
        <w:t xml:space="preserve">, </w:t>
      </w:r>
      <w:r w:rsidRPr="00490EE1">
        <w:rPr>
          <w:i/>
          <w:sz w:val="20"/>
          <w:szCs w:val="20"/>
        </w:rPr>
        <w:t>International Law and the Use of Force</w:t>
      </w:r>
      <w:r w:rsidRPr="00490EE1">
        <w:rPr>
          <w:sz w:val="20"/>
          <w:szCs w:val="20"/>
        </w:rPr>
        <w:t xml:space="preserve"> (Oxford University Press, 3rd </w:t>
      </w:r>
      <w:proofErr w:type="spellStart"/>
      <w:r w:rsidRPr="00490EE1">
        <w:rPr>
          <w:sz w:val="20"/>
          <w:szCs w:val="20"/>
        </w:rPr>
        <w:t>edn</w:t>
      </w:r>
      <w:proofErr w:type="spellEnd"/>
      <w:r w:rsidRPr="00490EE1">
        <w:rPr>
          <w:sz w:val="20"/>
          <w:szCs w:val="20"/>
        </w:rPr>
        <w:t xml:space="preserve"> 2008) 149 (although</w:t>
      </w:r>
      <w:r w:rsidR="00E1614C" w:rsidRPr="00490EE1">
        <w:rPr>
          <w:sz w:val="20"/>
          <w:szCs w:val="20"/>
        </w:rPr>
        <w:t>,</w:t>
      </w:r>
      <w:r w:rsidRPr="00490EE1">
        <w:rPr>
          <w:sz w:val="20"/>
          <w:szCs w:val="20"/>
        </w:rPr>
        <w:t xml:space="preserve"> interestingly</w:t>
      </w:r>
      <w:r w:rsidR="00E1614C" w:rsidRPr="00490EE1">
        <w:rPr>
          <w:sz w:val="20"/>
          <w:szCs w:val="20"/>
        </w:rPr>
        <w:t>,</w:t>
      </w:r>
      <w:r w:rsidRPr="00490EE1">
        <w:rPr>
          <w:sz w:val="20"/>
          <w:szCs w:val="20"/>
        </w:rPr>
        <w:t xml:space="preserve"> </w:t>
      </w:r>
      <w:proofErr w:type="spellStart"/>
      <w:r w:rsidRPr="00490EE1">
        <w:rPr>
          <w:sz w:val="20"/>
          <w:szCs w:val="20"/>
        </w:rPr>
        <w:t>Gray</w:t>
      </w:r>
      <w:proofErr w:type="spellEnd"/>
      <w:r w:rsidRPr="00490EE1">
        <w:rPr>
          <w:sz w:val="20"/>
          <w:szCs w:val="20"/>
        </w:rPr>
        <w:t xml:space="preserve"> dropped this phra</w:t>
      </w:r>
      <w:r w:rsidR="00E1614C" w:rsidRPr="00490EE1">
        <w:rPr>
          <w:sz w:val="20"/>
          <w:szCs w:val="20"/>
        </w:rPr>
        <w:t>se from the most recent edition. See</w:t>
      </w:r>
      <w:r w:rsidRPr="00490EE1">
        <w:rPr>
          <w:sz w:val="20"/>
          <w:szCs w:val="20"/>
        </w:rPr>
        <w:t xml:space="preserve"> Christine </w:t>
      </w:r>
      <w:proofErr w:type="spellStart"/>
      <w:r w:rsidRPr="00490EE1">
        <w:rPr>
          <w:sz w:val="20"/>
          <w:szCs w:val="20"/>
        </w:rPr>
        <w:t>Gray</w:t>
      </w:r>
      <w:proofErr w:type="spellEnd"/>
      <w:r w:rsidRPr="00490EE1">
        <w:rPr>
          <w:sz w:val="20"/>
          <w:szCs w:val="20"/>
        </w:rPr>
        <w:t xml:space="preserve">, </w:t>
      </w:r>
      <w:r w:rsidRPr="00490EE1">
        <w:rPr>
          <w:i/>
          <w:sz w:val="20"/>
          <w:szCs w:val="20"/>
        </w:rPr>
        <w:t>International Law and the Use of Force</w:t>
      </w:r>
      <w:r w:rsidRPr="00490EE1">
        <w:rPr>
          <w:sz w:val="20"/>
          <w:szCs w:val="20"/>
        </w:rPr>
        <w:t xml:space="preserve"> (Oxford University Press, 4th </w:t>
      </w:r>
      <w:proofErr w:type="spellStart"/>
      <w:r w:rsidRPr="00490EE1">
        <w:rPr>
          <w:sz w:val="20"/>
          <w:szCs w:val="20"/>
        </w:rPr>
        <w:t>edn</w:t>
      </w:r>
      <w:proofErr w:type="spellEnd"/>
      <w:r w:rsidRPr="00490EE1">
        <w:rPr>
          <w:sz w:val="20"/>
          <w:szCs w:val="20"/>
        </w:rPr>
        <w:t xml:space="preserve"> 2018) 158). There are endless works that reference the </w:t>
      </w:r>
      <w:r w:rsidRPr="00490EE1">
        <w:rPr>
          <w:i/>
          <w:sz w:val="20"/>
          <w:szCs w:val="20"/>
        </w:rPr>
        <w:t>Caroline</w:t>
      </w:r>
      <w:r w:rsidRPr="00490EE1">
        <w:rPr>
          <w:sz w:val="20"/>
          <w:szCs w:val="20"/>
        </w:rPr>
        <w:t xml:space="preserve"> (to greater or lesser extents), but to give just a few examples </w:t>
      </w:r>
      <w:r w:rsidR="00E1614C" w:rsidRPr="00490EE1">
        <w:rPr>
          <w:sz w:val="20"/>
          <w:szCs w:val="20"/>
        </w:rPr>
        <w:t xml:space="preserve">of </w:t>
      </w:r>
      <w:r w:rsidR="00E1614C" w:rsidRPr="00490EE1">
        <w:rPr>
          <w:i/>
          <w:sz w:val="20"/>
          <w:szCs w:val="20"/>
        </w:rPr>
        <w:t>ad bellum</w:t>
      </w:r>
      <w:r w:rsidR="00E1614C" w:rsidRPr="00490EE1">
        <w:rPr>
          <w:sz w:val="20"/>
          <w:szCs w:val="20"/>
        </w:rPr>
        <w:t xml:space="preserve"> scholarship that have</w:t>
      </w:r>
      <w:r w:rsidRPr="00490EE1">
        <w:rPr>
          <w:sz w:val="20"/>
          <w:szCs w:val="20"/>
        </w:rPr>
        <w:t xml:space="preserve"> stress</w:t>
      </w:r>
      <w:r w:rsidR="00E1614C" w:rsidRPr="00490EE1">
        <w:rPr>
          <w:sz w:val="20"/>
          <w:szCs w:val="20"/>
        </w:rPr>
        <w:t>ed</w:t>
      </w:r>
      <w:r w:rsidRPr="00490EE1">
        <w:rPr>
          <w:sz w:val="20"/>
          <w:szCs w:val="20"/>
        </w:rPr>
        <w:t xml:space="preserve"> its importance, see Rosalyn Higgins, ‘The Legal Limits to the Use of Force by Sovereign States: United Nations Practice’ (1961) 37 </w:t>
      </w:r>
      <w:r w:rsidRPr="00490EE1">
        <w:rPr>
          <w:i/>
          <w:sz w:val="20"/>
          <w:szCs w:val="20"/>
        </w:rPr>
        <w:t>British Yearbook of International Law</w:t>
      </w:r>
      <w:r w:rsidRPr="00490EE1">
        <w:rPr>
          <w:sz w:val="20"/>
          <w:szCs w:val="20"/>
        </w:rPr>
        <w:t xml:space="preserve"> 269, 298; J L </w:t>
      </w:r>
      <w:proofErr w:type="spellStart"/>
      <w:r w:rsidRPr="00490EE1">
        <w:rPr>
          <w:sz w:val="20"/>
          <w:szCs w:val="20"/>
        </w:rPr>
        <w:t>Brierly</w:t>
      </w:r>
      <w:proofErr w:type="spellEnd"/>
      <w:r w:rsidRPr="00490EE1">
        <w:rPr>
          <w:sz w:val="20"/>
          <w:szCs w:val="20"/>
        </w:rPr>
        <w:t xml:space="preserve">, </w:t>
      </w:r>
      <w:r w:rsidRPr="00490EE1">
        <w:rPr>
          <w:i/>
          <w:sz w:val="20"/>
          <w:szCs w:val="20"/>
        </w:rPr>
        <w:t>The Law of Nations: An Introduction to the International Law of Peace</w:t>
      </w:r>
      <w:r w:rsidRPr="00490EE1">
        <w:rPr>
          <w:sz w:val="20"/>
          <w:szCs w:val="20"/>
        </w:rPr>
        <w:t xml:space="preserve"> (Clarendon Press, 6th </w:t>
      </w:r>
      <w:proofErr w:type="spellStart"/>
      <w:r w:rsidRPr="00490EE1">
        <w:rPr>
          <w:sz w:val="20"/>
          <w:szCs w:val="20"/>
        </w:rPr>
        <w:t>edn</w:t>
      </w:r>
      <w:proofErr w:type="spellEnd"/>
      <w:r w:rsidRPr="00490EE1">
        <w:rPr>
          <w:sz w:val="20"/>
          <w:szCs w:val="20"/>
        </w:rPr>
        <w:t xml:space="preserve"> 1963) 405–6; Robert Jennings and Arthur Watts (</w:t>
      </w:r>
      <w:proofErr w:type="spellStart"/>
      <w:r w:rsidRPr="00490EE1">
        <w:rPr>
          <w:sz w:val="20"/>
          <w:szCs w:val="20"/>
        </w:rPr>
        <w:t>eds</w:t>
      </w:r>
      <w:proofErr w:type="spellEnd"/>
      <w:r w:rsidRPr="00490EE1">
        <w:rPr>
          <w:sz w:val="20"/>
          <w:szCs w:val="20"/>
        </w:rPr>
        <w:t xml:space="preserve">), </w:t>
      </w:r>
      <w:r w:rsidRPr="00490EE1">
        <w:rPr>
          <w:i/>
          <w:sz w:val="20"/>
          <w:szCs w:val="20"/>
        </w:rPr>
        <w:t xml:space="preserve">Oppenheim’s International Law, </w:t>
      </w:r>
      <w:proofErr w:type="spellStart"/>
      <w:r w:rsidRPr="00490EE1">
        <w:rPr>
          <w:i/>
          <w:sz w:val="20"/>
          <w:szCs w:val="20"/>
        </w:rPr>
        <w:t>vol</w:t>
      </w:r>
      <w:proofErr w:type="spellEnd"/>
      <w:r w:rsidRPr="00490EE1">
        <w:rPr>
          <w:i/>
          <w:sz w:val="20"/>
          <w:szCs w:val="20"/>
        </w:rPr>
        <w:t xml:space="preserve"> I</w:t>
      </w:r>
      <w:r w:rsidRPr="00490EE1">
        <w:rPr>
          <w:sz w:val="20"/>
          <w:szCs w:val="20"/>
        </w:rPr>
        <w:t xml:space="preserve"> (Longman Group UK ltd, 9th </w:t>
      </w:r>
      <w:proofErr w:type="spellStart"/>
      <w:r w:rsidRPr="00490EE1">
        <w:rPr>
          <w:sz w:val="20"/>
          <w:szCs w:val="20"/>
        </w:rPr>
        <w:t>edn</w:t>
      </w:r>
      <w:proofErr w:type="spellEnd"/>
      <w:r w:rsidRPr="00490EE1">
        <w:rPr>
          <w:sz w:val="20"/>
          <w:szCs w:val="20"/>
        </w:rPr>
        <w:t xml:space="preserve"> 1992) 420; Oscar </w:t>
      </w:r>
      <w:proofErr w:type="spellStart"/>
      <w:r w:rsidRPr="00490EE1">
        <w:rPr>
          <w:sz w:val="20"/>
          <w:szCs w:val="20"/>
        </w:rPr>
        <w:t>Schachter</w:t>
      </w:r>
      <w:proofErr w:type="spellEnd"/>
      <w:r w:rsidRPr="00490EE1">
        <w:rPr>
          <w:sz w:val="20"/>
          <w:szCs w:val="20"/>
        </w:rPr>
        <w:t xml:space="preserve">, ‘The Right of States to Use Armed Force’ (1983–1984) 82 </w:t>
      </w:r>
      <w:r w:rsidRPr="00490EE1">
        <w:rPr>
          <w:i/>
          <w:sz w:val="20"/>
          <w:szCs w:val="20"/>
        </w:rPr>
        <w:t>Michigan Law Review</w:t>
      </w:r>
      <w:r w:rsidRPr="00490EE1">
        <w:rPr>
          <w:sz w:val="20"/>
          <w:szCs w:val="20"/>
        </w:rPr>
        <w:t xml:space="preserve"> 1620, 1635; Sean D Murphy, ‘Self-Defence and the </w:t>
      </w:r>
      <w:r w:rsidRPr="00490EE1">
        <w:rPr>
          <w:i/>
          <w:sz w:val="20"/>
          <w:szCs w:val="20"/>
        </w:rPr>
        <w:t xml:space="preserve">Israeli Wall </w:t>
      </w:r>
      <w:r w:rsidRPr="00490EE1">
        <w:rPr>
          <w:sz w:val="20"/>
          <w:szCs w:val="20"/>
        </w:rPr>
        <w:t xml:space="preserve">Advisory Opinion: An </w:t>
      </w:r>
      <w:r w:rsidRPr="00490EE1">
        <w:rPr>
          <w:i/>
          <w:sz w:val="20"/>
          <w:szCs w:val="20"/>
        </w:rPr>
        <w:t xml:space="preserve">Ipse Dixit </w:t>
      </w:r>
      <w:r w:rsidRPr="00490EE1">
        <w:rPr>
          <w:sz w:val="20"/>
          <w:szCs w:val="20"/>
        </w:rPr>
        <w:t xml:space="preserve">from the </w:t>
      </w:r>
      <w:proofErr w:type="spellStart"/>
      <w:r w:rsidRPr="00490EE1">
        <w:rPr>
          <w:sz w:val="20"/>
          <w:szCs w:val="20"/>
        </w:rPr>
        <w:t>ICJ</w:t>
      </w:r>
      <w:proofErr w:type="spellEnd"/>
      <w:r w:rsidRPr="00490EE1">
        <w:rPr>
          <w:sz w:val="20"/>
          <w:szCs w:val="20"/>
        </w:rPr>
        <w:t xml:space="preserve">?’ (2005) 99 </w:t>
      </w:r>
      <w:r w:rsidRPr="00490EE1">
        <w:rPr>
          <w:i/>
          <w:sz w:val="20"/>
          <w:szCs w:val="20"/>
        </w:rPr>
        <w:t>American Journal of International Law</w:t>
      </w:r>
      <w:r w:rsidRPr="00490EE1">
        <w:rPr>
          <w:sz w:val="20"/>
          <w:szCs w:val="20"/>
        </w:rPr>
        <w:t xml:space="preserve"> 62, 64–5.</w:t>
      </w:r>
    </w:p>
  </w:footnote>
  <w:footnote w:id="3">
    <w:p w:rsidR="00011A6C" w:rsidRPr="00490EE1" w:rsidRDefault="00011A6C" w:rsidP="00490EE1">
      <w:pPr>
        <w:pStyle w:val="FootnoteText"/>
        <w:jc w:val="both"/>
      </w:pPr>
      <w:r w:rsidRPr="00490EE1">
        <w:rPr>
          <w:rStyle w:val="FootnoteReference"/>
        </w:rPr>
        <w:footnoteRef/>
      </w:r>
      <w:r w:rsidRPr="00490EE1">
        <w:t xml:space="preserve"> This is a recurrent thread throughout </w:t>
      </w:r>
      <w:r w:rsidRPr="00490EE1">
        <w:rPr>
          <w:i/>
        </w:rPr>
        <w:t>Destroying the Caroline</w:t>
      </w:r>
      <w:r w:rsidRPr="00490EE1">
        <w:t xml:space="preserve">, with </w:t>
      </w:r>
      <w:proofErr w:type="spellStart"/>
      <w:r w:rsidRPr="00490EE1">
        <w:t>Forcese</w:t>
      </w:r>
      <w:proofErr w:type="spellEnd"/>
      <w:r w:rsidRPr="00490EE1">
        <w:t xml:space="preserve"> pointing out inconsistencies or misunderstandings of the factual realities that have appeared and been passed down in subsequent reference to it as and when they arise.  In particular, though, see the discussion at 229, and the helpful flowchart at the end of the book that maps how some of these inaccuracies have been passed down through time (263). </w:t>
      </w:r>
    </w:p>
  </w:footnote>
  <w:footnote w:id="4">
    <w:p w:rsidR="00011A6C" w:rsidRPr="00490EE1" w:rsidRDefault="00011A6C" w:rsidP="00490EE1">
      <w:pPr>
        <w:pStyle w:val="FootnoteText"/>
        <w:jc w:val="both"/>
      </w:pPr>
      <w:r w:rsidRPr="00490EE1">
        <w:rPr>
          <w:rStyle w:val="FootnoteReference"/>
        </w:rPr>
        <w:footnoteRef/>
      </w:r>
      <w:r w:rsidRPr="00490EE1">
        <w:t xml:space="preserve"> See the sworn affidavit of Gilman Appleby, Commander of the </w:t>
      </w:r>
      <w:r w:rsidRPr="00490EE1">
        <w:rPr>
          <w:i/>
        </w:rPr>
        <w:t>Caroline</w:t>
      </w:r>
      <w:r w:rsidRPr="00490EE1">
        <w:t>, as suppo</w:t>
      </w:r>
      <w:r w:rsidR="00E1614C" w:rsidRPr="00490EE1">
        <w:t>rted by nine other crew members,</w:t>
      </w:r>
      <w:r w:rsidRPr="00490EE1">
        <w:t xml:space="preserve"> (1837–1838) XXVI </w:t>
      </w:r>
      <w:r w:rsidRPr="00490EE1">
        <w:rPr>
          <w:i/>
        </w:rPr>
        <w:t>British &amp; Foreign State Papers</w:t>
      </w:r>
      <w:r w:rsidRPr="00490EE1">
        <w:t xml:space="preserve"> 1373–5.  </w:t>
      </w:r>
    </w:p>
  </w:footnote>
  <w:footnote w:id="5">
    <w:p w:rsidR="00011A6C" w:rsidRPr="00490EE1" w:rsidRDefault="00011A6C" w:rsidP="00490EE1">
      <w:pPr>
        <w:pStyle w:val="FootnoteText"/>
        <w:jc w:val="both"/>
      </w:pPr>
      <w:r w:rsidRPr="00490EE1">
        <w:rPr>
          <w:rStyle w:val="FootnoteReference"/>
        </w:rPr>
        <w:footnoteRef/>
      </w:r>
      <w:r w:rsidRPr="00490EE1">
        <w:t xml:space="preserve"> Most famously, some accounts alleged the death of the ship’s cabin boy, ‘Little Billy’.  See, e.g. John Basset Moore, </w:t>
      </w:r>
      <w:r w:rsidRPr="00490EE1">
        <w:rPr>
          <w:i/>
        </w:rPr>
        <w:t xml:space="preserve">A Digest of International Law, </w:t>
      </w:r>
      <w:proofErr w:type="spellStart"/>
      <w:r w:rsidRPr="00490EE1">
        <w:rPr>
          <w:i/>
        </w:rPr>
        <w:t>vol</w:t>
      </w:r>
      <w:proofErr w:type="spellEnd"/>
      <w:r w:rsidRPr="00490EE1">
        <w:rPr>
          <w:i/>
        </w:rPr>
        <w:t xml:space="preserve"> II</w:t>
      </w:r>
      <w:r w:rsidRPr="00490EE1">
        <w:t xml:space="preserve"> (Government Printing Office, 1906) 409; </w:t>
      </w:r>
      <w:r w:rsidR="00DC0B69" w:rsidRPr="00490EE1">
        <w:t xml:space="preserve">Robert Y Jennings, ‘The </w:t>
      </w:r>
      <w:r w:rsidR="00DC0B69" w:rsidRPr="00490EE1">
        <w:rPr>
          <w:i/>
        </w:rPr>
        <w:t>Caroline</w:t>
      </w:r>
      <w:r w:rsidR="00DC0B69" w:rsidRPr="00490EE1">
        <w:t xml:space="preserve"> and McLeod Cases’ (1938) 32 </w:t>
      </w:r>
      <w:r w:rsidR="00DC0B69" w:rsidRPr="00490EE1">
        <w:rPr>
          <w:i/>
        </w:rPr>
        <w:t>American Journal of International Law</w:t>
      </w:r>
      <w:r w:rsidR="00DC0B69" w:rsidRPr="00490EE1">
        <w:t xml:space="preserve"> 82, </w:t>
      </w:r>
      <w:r w:rsidRPr="00490EE1">
        <w:t>84.  However, this may be brought into question, given unverified and conflicting accounts (46–7).</w:t>
      </w:r>
    </w:p>
  </w:footnote>
  <w:footnote w:id="6">
    <w:p w:rsidR="00011A6C" w:rsidRPr="00490EE1" w:rsidRDefault="00011A6C" w:rsidP="00490EE1">
      <w:pPr>
        <w:pStyle w:val="FootnoteText"/>
        <w:jc w:val="both"/>
      </w:pPr>
      <w:r w:rsidRPr="00490EE1">
        <w:rPr>
          <w:rStyle w:val="FootnoteReference"/>
        </w:rPr>
        <w:footnoteRef/>
      </w:r>
      <w:r w:rsidRPr="00490EE1">
        <w:t xml:space="preserve"> Christopher Greenwood, ‘The </w:t>
      </w:r>
      <w:r w:rsidRPr="00490EE1">
        <w:rPr>
          <w:i/>
        </w:rPr>
        <w:t>Caroline</w:t>
      </w:r>
      <w:r w:rsidRPr="00490EE1">
        <w:t xml:space="preserve">’ (2009) </w:t>
      </w:r>
      <w:r w:rsidRPr="00490EE1">
        <w:rPr>
          <w:i/>
        </w:rPr>
        <w:t xml:space="preserve">Max Planck </w:t>
      </w:r>
      <w:proofErr w:type="spellStart"/>
      <w:r w:rsidRPr="00490EE1">
        <w:rPr>
          <w:i/>
        </w:rPr>
        <w:t>Encyclopedia</w:t>
      </w:r>
      <w:proofErr w:type="spellEnd"/>
      <w:r w:rsidRPr="00490EE1">
        <w:rPr>
          <w:i/>
        </w:rPr>
        <w:t xml:space="preserve"> of Public International Law</w:t>
      </w:r>
      <w:r w:rsidRPr="00490EE1">
        <w:t xml:space="preserve">, </w:t>
      </w:r>
      <w:hyperlink r:id="rId1" w:history="1">
        <w:r w:rsidRPr="00490EE1">
          <w:rPr>
            <w:rStyle w:val="Hyperlink"/>
          </w:rPr>
          <w:t>https://opil.ouplaw.com/view/10.1093/law:epil/9780199231690/law-9780199231690-e261?prd=EPIL</w:t>
        </w:r>
      </w:hyperlink>
      <w:r w:rsidRPr="00490EE1">
        <w:t>, para 5.</w:t>
      </w:r>
    </w:p>
  </w:footnote>
  <w:footnote w:id="7">
    <w:p w:rsidR="00011A6C" w:rsidRPr="00490EE1" w:rsidRDefault="00011A6C" w:rsidP="00490EE1">
      <w:pPr>
        <w:pStyle w:val="FootnoteText"/>
        <w:jc w:val="both"/>
      </w:pPr>
      <w:r w:rsidRPr="00490EE1">
        <w:rPr>
          <w:rStyle w:val="FootnoteReference"/>
        </w:rPr>
        <w:footnoteRef/>
      </w:r>
      <w:r w:rsidRPr="00490EE1">
        <w:t xml:space="preserve"> Letter dated 27 July 1842, from Daniel Webster to Lord Ashburton (1841–1842) XXVI </w:t>
      </w:r>
      <w:r w:rsidRPr="00490EE1">
        <w:rPr>
          <w:i/>
        </w:rPr>
        <w:t>British &amp; Foreign State Papers</w:t>
      </w:r>
      <w:r w:rsidRPr="00490EE1">
        <w:t xml:space="preserve"> 193–4 (extract taken from Webster’s earlier letter to Henry S Fox, dated 24 April 1841, (1840–1841) XXIX  </w:t>
      </w:r>
      <w:r w:rsidRPr="00490EE1">
        <w:rPr>
          <w:i/>
        </w:rPr>
        <w:t>British &amp; Foreign State Papers</w:t>
      </w:r>
      <w:r w:rsidRPr="00490EE1">
        <w:t xml:space="preserve"> 1137–8), emphasis added.</w:t>
      </w:r>
    </w:p>
  </w:footnote>
  <w:footnote w:id="8">
    <w:p w:rsidR="00011A6C" w:rsidRPr="00490EE1" w:rsidRDefault="00011A6C" w:rsidP="00490EE1">
      <w:pPr>
        <w:pStyle w:val="FootnoteText"/>
        <w:jc w:val="both"/>
      </w:pPr>
      <w:r w:rsidRPr="00490EE1">
        <w:rPr>
          <w:rStyle w:val="FootnoteReference"/>
        </w:rPr>
        <w:footnoteRef/>
      </w:r>
      <w:r w:rsidRPr="00490EE1">
        <w:t xml:space="preserve"> See </w:t>
      </w:r>
      <w:proofErr w:type="spellStart"/>
      <w:r w:rsidRPr="00490EE1">
        <w:t>Yoram</w:t>
      </w:r>
      <w:proofErr w:type="spellEnd"/>
      <w:r w:rsidRPr="00490EE1">
        <w:t xml:space="preserve"> </w:t>
      </w:r>
      <w:proofErr w:type="spellStart"/>
      <w:r w:rsidRPr="00490EE1">
        <w:t>Dinstein</w:t>
      </w:r>
      <w:proofErr w:type="spellEnd"/>
      <w:r w:rsidRPr="00490EE1">
        <w:t xml:space="preserve">, </w:t>
      </w:r>
      <w:r w:rsidRPr="00490EE1">
        <w:rPr>
          <w:i/>
        </w:rPr>
        <w:t>War, Aggression and Self-Defence</w:t>
      </w:r>
      <w:r w:rsidRPr="00490EE1">
        <w:t xml:space="preserve"> (Cambridge University Press, 6th </w:t>
      </w:r>
      <w:proofErr w:type="spellStart"/>
      <w:r w:rsidRPr="00490EE1">
        <w:t>edn</w:t>
      </w:r>
      <w:proofErr w:type="spellEnd"/>
      <w:r w:rsidRPr="00490EE1">
        <w:t xml:space="preserve"> 2017) 296–7; James A Green, ‘Docking the </w:t>
      </w:r>
      <w:r w:rsidRPr="00490EE1">
        <w:rPr>
          <w:i/>
        </w:rPr>
        <w:t>Caroline</w:t>
      </w:r>
      <w:r w:rsidRPr="00490EE1">
        <w:t>: Understanding the Relevance of the Formula in Contemporary Customary International Law Concerning Self-</w:t>
      </w:r>
      <w:proofErr w:type="spellStart"/>
      <w:r w:rsidRPr="00490EE1">
        <w:t>Defense</w:t>
      </w:r>
      <w:proofErr w:type="spellEnd"/>
      <w:r w:rsidRPr="00490EE1">
        <w:t xml:space="preserve">’ (2006) 14 </w:t>
      </w:r>
      <w:r w:rsidRPr="00490EE1">
        <w:rPr>
          <w:i/>
        </w:rPr>
        <w:t>Cardozo Journal of International &amp; Comparative Law</w:t>
      </w:r>
      <w:r w:rsidRPr="00490EE1">
        <w:t xml:space="preserve"> 429, 450</w:t>
      </w:r>
      <w:r w:rsidR="00E1614C" w:rsidRPr="00490EE1">
        <w:t xml:space="preserve">; Christian Henderson, </w:t>
      </w:r>
      <w:r w:rsidR="00E1614C" w:rsidRPr="00490EE1">
        <w:rPr>
          <w:i/>
        </w:rPr>
        <w:t>The Use of Force and International Law</w:t>
      </w:r>
      <w:r w:rsidR="00E1614C" w:rsidRPr="00490EE1">
        <w:t xml:space="preserve"> (Cambridge University Press, 2018) 227.</w:t>
      </w:r>
    </w:p>
  </w:footnote>
  <w:footnote w:id="9">
    <w:p w:rsidR="00011A6C" w:rsidRPr="00490EE1" w:rsidRDefault="00011A6C" w:rsidP="00490EE1">
      <w:pPr>
        <w:jc w:val="both"/>
        <w:rPr>
          <w:sz w:val="20"/>
          <w:szCs w:val="20"/>
        </w:rPr>
      </w:pPr>
      <w:r w:rsidRPr="00490EE1">
        <w:rPr>
          <w:rStyle w:val="FootnoteReference"/>
          <w:sz w:val="20"/>
          <w:szCs w:val="20"/>
        </w:rPr>
        <w:footnoteRef/>
      </w:r>
      <w:r w:rsidRPr="00490EE1">
        <w:rPr>
          <w:sz w:val="20"/>
          <w:szCs w:val="20"/>
        </w:rPr>
        <w:t xml:space="preserve"> As noted by </w:t>
      </w:r>
      <w:proofErr w:type="spellStart"/>
      <w:r w:rsidRPr="00490EE1">
        <w:rPr>
          <w:sz w:val="20"/>
          <w:szCs w:val="20"/>
        </w:rPr>
        <w:t>Gray</w:t>
      </w:r>
      <w:proofErr w:type="spellEnd"/>
      <w:r w:rsidR="00DC0B69" w:rsidRPr="00490EE1">
        <w:rPr>
          <w:sz w:val="20"/>
          <w:szCs w:val="20"/>
        </w:rPr>
        <w:t xml:space="preserve">, 2018 </w:t>
      </w:r>
      <w:proofErr w:type="spellStart"/>
      <w:r w:rsidR="00DC0B69" w:rsidRPr="00490EE1">
        <w:rPr>
          <w:sz w:val="20"/>
          <w:szCs w:val="20"/>
        </w:rPr>
        <w:t>edn</w:t>
      </w:r>
      <w:proofErr w:type="spellEnd"/>
      <w:r w:rsidRPr="00490EE1">
        <w:rPr>
          <w:sz w:val="20"/>
          <w:szCs w:val="20"/>
        </w:rPr>
        <w:t xml:space="preserve"> (n </w:t>
      </w:r>
      <w:r w:rsidR="00DC0B69" w:rsidRPr="00490EE1">
        <w:rPr>
          <w:sz w:val="20"/>
          <w:szCs w:val="20"/>
        </w:rPr>
        <w:t>2</w:t>
      </w:r>
      <w:r w:rsidRPr="00490EE1">
        <w:rPr>
          <w:sz w:val="20"/>
          <w:szCs w:val="20"/>
        </w:rPr>
        <w:t xml:space="preserve">) 275, the terminology with regard to the notion of self-defence in response to an attack that has not yet occurred is not at all uniform in the literature. Therefore, to be clear, following the previous (arbitrary) practice in my writing, I herein use the term ‘preventative self-defence’ to refer to any form of forcible action taken before an actual attack has commenced (i.e., as a ‘catch all’ for </w:t>
      </w:r>
      <w:r w:rsidRPr="00490EE1">
        <w:rPr>
          <w:i/>
          <w:sz w:val="20"/>
          <w:szCs w:val="20"/>
        </w:rPr>
        <w:t>any</w:t>
      </w:r>
      <w:r w:rsidRPr="00490EE1">
        <w:rPr>
          <w:sz w:val="20"/>
          <w:szCs w:val="20"/>
        </w:rPr>
        <w:t xml:space="preserve"> use of force launched in response to an attack that has not yet occurred, whether the attack is imminent or not).  </w:t>
      </w:r>
    </w:p>
  </w:footnote>
  <w:footnote w:id="10">
    <w:p w:rsidR="00011A6C" w:rsidRPr="00490EE1" w:rsidRDefault="00011A6C" w:rsidP="00490EE1">
      <w:pPr>
        <w:pStyle w:val="FootnoteText"/>
        <w:jc w:val="both"/>
      </w:pPr>
      <w:r w:rsidRPr="00490EE1">
        <w:rPr>
          <w:rStyle w:val="FootnoteReference"/>
        </w:rPr>
        <w:footnoteRef/>
      </w:r>
      <w:r w:rsidRPr="00490EE1">
        <w:t xml:space="preserve"> See </w:t>
      </w:r>
      <w:r w:rsidR="00DC0B69" w:rsidRPr="00490EE1">
        <w:t>subsection 5.3</w:t>
      </w:r>
      <w:r w:rsidRPr="00490EE1">
        <w:t>.</w:t>
      </w:r>
    </w:p>
  </w:footnote>
  <w:footnote w:id="11">
    <w:p w:rsidR="00011A6C" w:rsidRPr="00490EE1" w:rsidRDefault="00011A6C" w:rsidP="00490EE1">
      <w:pPr>
        <w:pStyle w:val="FootnoteText"/>
        <w:jc w:val="both"/>
      </w:pPr>
      <w:r w:rsidRPr="00490EE1">
        <w:rPr>
          <w:rStyle w:val="FootnoteReference"/>
        </w:rPr>
        <w:footnoteRef/>
      </w:r>
      <w:r w:rsidRPr="00490EE1">
        <w:t xml:space="preserve"> </w:t>
      </w:r>
      <w:r w:rsidR="00DC0B69" w:rsidRPr="00490EE1">
        <w:t>See subsection 5.4</w:t>
      </w:r>
      <w:r w:rsidRPr="00490EE1">
        <w:t>.</w:t>
      </w:r>
    </w:p>
  </w:footnote>
  <w:footnote w:id="12">
    <w:p w:rsidR="00011A6C" w:rsidRPr="00490EE1" w:rsidRDefault="00011A6C" w:rsidP="00490EE1">
      <w:pPr>
        <w:pStyle w:val="FootnoteText"/>
        <w:jc w:val="both"/>
      </w:pPr>
      <w:r w:rsidRPr="00490EE1">
        <w:rPr>
          <w:rStyle w:val="FootnoteReference"/>
        </w:rPr>
        <w:footnoteRef/>
      </w:r>
      <w:r w:rsidRPr="00490EE1">
        <w:t xml:space="preserve"> See </w:t>
      </w:r>
      <w:proofErr w:type="spellStart"/>
      <w:r w:rsidRPr="00490EE1">
        <w:t>n</w:t>
      </w:r>
      <w:proofErr w:type="spellEnd"/>
      <w:r w:rsidRPr="00490EE1">
        <w:t xml:space="preserve"> </w:t>
      </w:r>
      <w:r w:rsidR="00DC0B69" w:rsidRPr="00490EE1">
        <w:t>2 and accompanying text</w:t>
      </w:r>
      <w:r w:rsidRPr="00490EE1">
        <w:t>.</w:t>
      </w:r>
    </w:p>
  </w:footnote>
  <w:footnote w:id="13">
    <w:p w:rsidR="00011A6C" w:rsidRPr="00490EE1" w:rsidRDefault="00011A6C" w:rsidP="00490EE1">
      <w:pPr>
        <w:jc w:val="both"/>
        <w:rPr>
          <w:sz w:val="20"/>
          <w:szCs w:val="20"/>
        </w:rPr>
      </w:pPr>
      <w:r w:rsidRPr="00490EE1">
        <w:rPr>
          <w:rStyle w:val="FootnoteReference"/>
          <w:sz w:val="20"/>
          <w:szCs w:val="20"/>
        </w:rPr>
        <w:footnoteRef/>
      </w:r>
      <w:r w:rsidRPr="00490EE1">
        <w:rPr>
          <w:sz w:val="20"/>
          <w:szCs w:val="20"/>
        </w:rPr>
        <w:t xml:space="preserve"> See, e.g., Moore (n </w:t>
      </w:r>
      <w:r w:rsidR="00DC0B69" w:rsidRPr="00490EE1">
        <w:rPr>
          <w:sz w:val="20"/>
          <w:szCs w:val="20"/>
        </w:rPr>
        <w:t>5</w:t>
      </w:r>
      <w:r w:rsidRPr="00490EE1">
        <w:rPr>
          <w:sz w:val="20"/>
          <w:szCs w:val="20"/>
        </w:rPr>
        <w:t xml:space="preserve">); </w:t>
      </w:r>
      <w:r w:rsidR="00DC0B69" w:rsidRPr="00490EE1">
        <w:rPr>
          <w:sz w:val="20"/>
          <w:szCs w:val="20"/>
        </w:rPr>
        <w:t>Jennings (n 5)</w:t>
      </w:r>
      <w:r w:rsidRPr="00490EE1">
        <w:rPr>
          <w:sz w:val="20"/>
          <w:szCs w:val="20"/>
        </w:rPr>
        <w:t xml:space="preserve">; Albert </w:t>
      </w:r>
      <w:proofErr w:type="spellStart"/>
      <w:r w:rsidRPr="00490EE1">
        <w:rPr>
          <w:sz w:val="20"/>
          <w:szCs w:val="20"/>
        </w:rPr>
        <w:t>Bickmore</w:t>
      </w:r>
      <w:proofErr w:type="spellEnd"/>
      <w:r w:rsidRPr="00490EE1">
        <w:rPr>
          <w:sz w:val="20"/>
          <w:szCs w:val="20"/>
        </w:rPr>
        <w:t xml:space="preserve"> Corey, </w:t>
      </w:r>
      <w:r w:rsidRPr="00490EE1">
        <w:rPr>
          <w:i/>
          <w:sz w:val="20"/>
          <w:szCs w:val="20"/>
        </w:rPr>
        <w:t>The Crisis of 1830-1842 in Canadian-American Relations</w:t>
      </w:r>
      <w:r w:rsidRPr="00490EE1">
        <w:rPr>
          <w:sz w:val="20"/>
          <w:szCs w:val="20"/>
        </w:rPr>
        <w:t xml:space="preserve"> (Yale University Press, 1941); Kenneth R Stevens, </w:t>
      </w:r>
      <w:r w:rsidRPr="00490EE1">
        <w:rPr>
          <w:i/>
          <w:sz w:val="20"/>
          <w:szCs w:val="20"/>
        </w:rPr>
        <w:t xml:space="preserve">Boarder Diplomacy: The </w:t>
      </w:r>
      <w:r w:rsidRPr="00490EE1">
        <w:rPr>
          <w:sz w:val="20"/>
          <w:szCs w:val="20"/>
        </w:rPr>
        <w:t>Caroline</w:t>
      </w:r>
      <w:r w:rsidRPr="00490EE1">
        <w:rPr>
          <w:i/>
          <w:sz w:val="20"/>
          <w:szCs w:val="20"/>
        </w:rPr>
        <w:t xml:space="preserve"> and McLeod Affairs in Anglo-American-Canadian Relations, 1837-1842</w:t>
      </w:r>
      <w:r w:rsidRPr="00490EE1">
        <w:rPr>
          <w:sz w:val="20"/>
          <w:szCs w:val="20"/>
        </w:rPr>
        <w:t xml:space="preserve"> (University of Alabama Press, 1989); Martin A Rogoff and Edward Collins Jr, ‘The </w:t>
      </w:r>
      <w:r w:rsidRPr="00490EE1">
        <w:rPr>
          <w:i/>
          <w:sz w:val="20"/>
          <w:szCs w:val="20"/>
        </w:rPr>
        <w:t>Caroline</w:t>
      </w:r>
      <w:r w:rsidRPr="00490EE1">
        <w:rPr>
          <w:sz w:val="20"/>
          <w:szCs w:val="20"/>
        </w:rPr>
        <w:t xml:space="preserve"> Incident and the Development of International Law’ (1990) 16 </w:t>
      </w:r>
      <w:r w:rsidRPr="00490EE1">
        <w:rPr>
          <w:i/>
          <w:sz w:val="20"/>
          <w:szCs w:val="20"/>
        </w:rPr>
        <w:t>Brooklyn Journal of International Law</w:t>
      </w:r>
      <w:r w:rsidRPr="00490EE1">
        <w:rPr>
          <w:sz w:val="20"/>
          <w:szCs w:val="20"/>
        </w:rPr>
        <w:t xml:space="preserve"> 493; Thomas </w:t>
      </w:r>
      <w:proofErr w:type="spellStart"/>
      <w:r w:rsidRPr="00490EE1">
        <w:rPr>
          <w:sz w:val="20"/>
          <w:szCs w:val="20"/>
        </w:rPr>
        <w:t>Kearley</w:t>
      </w:r>
      <w:proofErr w:type="spellEnd"/>
      <w:r w:rsidRPr="00490EE1">
        <w:rPr>
          <w:sz w:val="20"/>
          <w:szCs w:val="20"/>
        </w:rPr>
        <w:t xml:space="preserve">, ‘Raising the </w:t>
      </w:r>
      <w:r w:rsidRPr="00490EE1">
        <w:rPr>
          <w:i/>
          <w:sz w:val="20"/>
          <w:szCs w:val="20"/>
        </w:rPr>
        <w:t>Caroline</w:t>
      </w:r>
      <w:r w:rsidRPr="00490EE1">
        <w:rPr>
          <w:sz w:val="20"/>
          <w:szCs w:val="20"/>
        </w:rPr>
        <w:t xml:space="preserve">’ (1999) 17 </w:t>
      </w:r>
      <w:r w:rsidRPr="00490EE1">
        <w:rPr>
          <w:i/>
          <w:sz w:val="20"/>
          <w:szCs w:val="20"/>
        </w:rPr>
        <w:t xml:space="preserve">Wisconsin International Law Journal </w:t>
      </w:r>
      <w:r w:rsidRPr="00490EE1">
        <w:rPr>
          <w:sz w:val="20"/>
          <w:szCs w:val="20"/>
        </w:rPr>
        <w:t xml:space="preserve">325; Maria </w:t>
      </w:r>
      <w:proofErr w:type="spellStart"/>
      <w:r w:rsidRPr="00490EE1">
        <w:rPr>
          <w:sz w:val="20"/>
          <w:szCs w:val="20"/>
        </w:rPr>
        <w:t>Benvenuta</w:t>
      </w:r>
      <w:proofErr w:type="spellEnd"/>
      <w:r w:rsidRPr="00490EE1">
        <w:rPr>
          <w:sz w:val="20"/>
          <w:szCs w:val="20"/>
        </w:rPr>
        <w:t xml:space="preserve"> </w:t>
      </w:r>
      <w:proofErr w:type="spellStart"/>
      <w:r w:rsidRPr="00490EE1">
        <w:rPr>
          <w:sz w:val="20"/>
          <w:szCs w:val="20"/>
        </w:rPr>
        <w:t>Occelli</w:t>
      </w:r>
      <w:proofErr w:type="spellEnd"/>
      <w:r w:rsidRPr="00490EE1">
        <w:rPr>
          <w:sz w:val="20"/>
          <w:szCs w:val="20"/>
        </w:rPr>
        <w:t xml:space="preserve">, ‘Sinking the </w:t>
      </w:r>
      <w:r w:rsidRPr="00490EE1">
        <w:rPr>
          <w:i/>
          <w:sz w:val="20"/>
          <w:szCs w:val="20"/>
        </w:rPr>
        <w:t>Caroline</w:t>
      </w:r>
      <w:r w:rsidRPr="00490EE1">
        <w:rPr>
          <w:sz w:val="20"/>
          <w:szCs w:val="20"/>
        </w:rPr>
        <w:t xml:space="preserve">: Why the </w:t>
      </w:r>
      <w:r w:rsidRPr="00490EE1">
        <w:rPr>
          <w:i/>
          <w:sz w:val="20"/>
          <w:szCs w:val="20"/>
        </w:rPr>
        <w:t>Caroline</w:t>
      </w:r>
      <w:r w:rsidRPr="00490EE1">
        <w:rPr>
          <w:sz w:val="20"/>
          <w:szCs w:val="20"/>
        </w:rPr>
        <w:t xml:space="preserve"> Doctrine’s Restrictions on Self-Defence Should not be Regarded as Customary International Law’ (2003) 4 </w:t>
      </w:r>
      <w:r w:rsidRPr="00490EE1">
        <w:rPr>
          <w:i/>
          <w:sz w:val="20"/>
          <w:szCs w:val="20"/>
        </w:rPr>
        <w:t xml:space="preserve">San Diego International Law Journal </w:t>
      </w:r>
      <w:r w:rsidR="00DC0B69" w:rsidRPr="00490EE1">
        <w:rPr>
          <w:sz w:val="20"/>
          <w:szCs w:val="20"/>
        </w:rPr>
        <w:t>467; Green (n 8</w:t>
      </w:r>
      <w:r w:rsidRPr="00490EE1">
        <w:rPr>
          <w:sz w:val="20"/>
          <w:szCs w:val="20"/>
        </w:rPr>
        <w:t xml:space="preserve">); James Denver and John P Denver Jr, ‘Making Waves: Refitting the </w:t>
      </w:r>
      <w:r w:rsidRPr="00490EE1">
        <w:rPr>
          <w:i/>
          <w:sz w:val="20"/>
          <w:szCs w:val="20"/>
        </w:rPr>
        <w:t>Caroline</w:t>
      </w:r>
      <w:r w:rsidRPr="00490EE1">
        <w:rPr>
          <w:sz w:val="20"/>
          <w:szCs w:val="20"/>
        </w:rPr>
        <w:t xml:space="preserve"> Doctrine for the Twenty-First Century’ (2013) 1 </w:t>
      </w:r>
      <w:r w:rsidRPr="00490EE1">
        <w:rPr>
          <w:i/>
          <w:sz w:val="20"/>
          <w:szCs w:val="20"/>
        </w:rPr>
        <w:t xml:space="preserve">Quinnipiac Law Review </w:t>
      </w:r>
      <w:r w:rsidRPr="00490EE1">
        <w:rPr>
          <w:sz w:val="20"/>
          <w:szCs w:val="20"/>
        </w:rPr>
        <w:t xml:space="preserve">165; </w:t>
      </w:r>
      <w:proofErr w:type="spellStart"/>
      <w:r w:rsidRPr="00490EE1">
        <w:rPr>
          <w:sz w:val="20"/>
          <w:szCs w:val="20"/>
        </w:rPr>
        <w:t>Gábor</w:t>
      </w:r>
      <w:proofErr w:type="spellEnd"/>
      <w:r w:rsidRPr="00490EE1">
        <w:rPr>
          <w:sz w:val="20"/>
          <w:szCs w:val="20"/>
        </w:rPr>
        <w:t xml:space="preserve"> </w:t>
      </w:r>
      <w:proofErr w:type="spellStart"/>
      <w:r w:rsidRPr="00490EE1">
        <w:rPr>
          <w:sz w:val="20"/>
          <w:szCs w:val="20"/>
        </w:rPr>
        <w:t>Kajtár</w:t>
      </w:r>
      <w:proofErr w:type="spellEnd"/>
      <w:r w:rsidRPr="00490EE1">
        <w:rPr>
          <w:sz w:val="20"/>
          <w:szCs w:val="20"/>
        </w:rPr>
        <w:t xml:space="preserve">, ‘The </w:t>
      </w:r>
      <w:r w:rsidRPr="00490EE1">
        <w:rPr>
          <w:i/>
          <w:sz w:val="20"/>
          <w:szCs w:val="20"/>
        </w:rPr>
        <w:t>Caroline</w:t>
      </w:r>
      <w:r w:rsidRPr="00490EE1">
        <w:rPr>
          <w:sz w:val="20"/>
          <w:szCs w:val="20"/>
        </w:rPr>
        <w:t xml:space="preserve"> as the “Joker” of the Law of Self-Defence – A Ghost Ship’s Message for the 21st Century’ (2016) 21 </w:t>
      </w:r>
      <w:r w:rsidRPr="00490EE1">
        <w:rPr>
          <w:i/>
          <w:sz w:val="20"/>
          <w:szCs w:val="20"/>
        </w:rPr>
        <w:t>Austrian Review of International and European Law</w:t>
      </w:r>
      <w:r w:rsidRPr="00490EE1">
        <w:rPr>
          <w:sz w:val="20"/>
          <w:szCs w:val="20"/>
        </w:rPr>
        <w:t xml:space="preserve"> 3.</w:t>
      </w:r>
    </w:p>
  </w:footnote>
  <w:footnote w:id="14">
    <w:p w:rsidR="00011A6C" w:rsidRPr="00490EE1" w:rsidRDefault="00011A6C" w:rsidP="00490EE1">
      <w:pPr>
        <w:pStyle w:val="FootnoteText"/>
        <w:jc w:val="both"/>
      </w:pPr>
      <w:r w:rsidRPr="00490EE1">
        <w:rPr>
          <w:rStyle w:val="FootnoteReference"/>
        </w:rPr>
        <w:footnoteRef/>
      </w:r>
      <w:r w:rsidRPr="00490EE1">
        <w:t xml:space="preserve"> Jennings (n </w:t>
      </w:r>
      <w:r w:rsidR="00DC0B69" w:rsidRPr="00490EE1">
        <w:t>5</w:t>
      </w:r>
      <w:r w:rsidRPr="00490EE1">
        <w:t>) 92.</w:t>
      </w:r>
    </w:p>
  </w:footnote>
  <w:footnote w:id="15">
    <w:p w:rsidR="00011A6C" w:rsidRPr="00490EE1" w:rsidRDefault="00011A6C" w:rsidP="00490EE1">
      <w:pPr>
        <w:pStyle w:val="FootnoteText"/>
        <w:jc w:val="both"/>
      </w:pPr>
      <w:r w:rsidRPr="00490EE1">
        <w:rPr>
          <w:rStyle w:val="FootnoteReference"/>
        </w:rPr>
        <w:footnoteRef/>
      </w:r>
      <w:r w:rsidRPr="00490EE1">
        <w:t xml:space="preserve"> </w:t>
      </w:r>
      <w:proofErr w:type="spellStart"/>
      <w:r w:rsidRPr="00490EE1">
        <w:t>Kearley</w:t>
      </w:r>
      <w:proofErr w:type="spellEnd"/>
      <w:r w:rsidRPr="00490EE1">
        <w:t xml:space="preserve"> (n </w:t>
      </w:r>
      <w:r w:rsidR="00DC0B69" w:rsidRPr="00490EE1">
        <w:t>13</w:t>
      </w:r>
      <w:r w:rsidRPr="00490EE1">
        <w:t>).</w:t>
      </w:r>
    </w:p>
  </w:footnote>
  <w:footnote w:id="16">
    <w:p w:rsidR="00011A6C" w:rsidRPr="00490EE1" w:rsidRDefault="00011A6C" w:rsidP="00490EE1">
      <w:pPr>
        <w:pStyle w:val="FootnoteText"/>
        <w:jc w:val="both"/>
      </w:pPr>
      <w:r w:rsidRPr="00490EE1">
        <w:rPr>
          <w:rStyle w:val="FootnoteReference"/>
        </w:rPr>
        <w:footnoteRef/>
      </w:r>
      <w:r w:rsidRPr="00490EE1">
        <w:t xml:space="preserve"> </w:t>
      </w:r>
      <w:proofErr w:type="spellStart"/>
      <w:r w:rsidRPr="00490EE1">
        <w:t>Occelli</w:t>
      </w:r>
      <w:proofErr w:type="spellEnd"/>
      <w:r w:rsidRPr="00490EE1">
        <w:t xml:space="preserve"> (n </w:t>
      </w:r>
      <w:r w:rsidR="00DC0B69" w:rsidRPr="00490EE1">
        <w:t>13</w:t>
      </w:r>
      <w:r w:rsidRPr="00490EE1">
        <w:t>).</w:t>
      </w:r>
    </w:p>
  </w:footnote>
  <w:footnote w:id="17">
    <w:p w:rsidR="00011A6C" w:rsidRPr="00490EE1" w:rsidRDefault="00011A6C" w:rsidP="00490EE1">
      <w:pPr>
        <w:pStyle w:val="FootnoteText"/>
        <w:jc w:val="both"/>
      </w:pPr>
      <w:r w:rsidRPr="00490EE1">
        <w:rPr>
          <w:rStyle w:val="FootnoteReference"/>
        </w:rPr>
        <w:footnoteRef/>
      </w:r>
      <w:r w:rsidR="00DC0B69" w:rsidRPr="00490EE1">
        <w:t xml:space="preserve"> Green (n 8</w:t>
      </w:r>
      <w:r w:rsidRPr="00490EE1">
        <w:t>).</w:t>
      </w:r>
    </w:p>
  </w:footnote>
  <w:footnote w:id="18">
    <w:p w:rsidR="00011A6C" w:rsidRPr="00490EE1" w:rsidRDefault="00011A6C" w:rsidP="00490EE1">
      <w:pPr>
        <w:pStyle w:val="FootnoteText"/>
        <w:jc w:val="both"/>
      </w:pPr>
      <w:r w:rsidRPr="00490EE1">
        <w:rPr>
          <w:rStyle w:val="FootnoteReference"/>
        </w:rPr>
        <w:footnoteRef/>
      </w:r>
      <w:r w:rsidRPr="00490EE1">
        <w:t xml:space="preserve"> See, e.g. Denver and Denver (n </w:t>
      </w:r>
      <w:r w:rsidR="00DC0B69" w:rsidRPr="00490EE1">
        <w:t>13</w:t>
      </w:r>
      <w:r w:rsidRPr="00490EE1">
        <w:t xml:space="preserve">); </w:t>
      </w:r>
      <w:proofErr w:type="spellStart"/>
      <w:r w:rsidRPr="00490EE1">
        <w:t>Kajtár</w:t>
      </w:r>
      <w:proofErr w:type="spellEnd"/>
      <w:r w:rsidRPr="00490EE1">
        <w:t xml:space="preserve"> (n </w:t>
      </w:r>
      <w:r w:rsidR="00DC0B69" w:rsidRPr="00490EE1">
        <w:t>13</w:t>
      </w:r>
      <w:r w:rsidRPr="00490EE1">
        <w:t>).</w:t>
      </w:r>
    </w:p>
  </w:footnote>
  <w:footnote w:id="19">
    <w:p w:rsidR="00E1614C" w:rsidRPr="00490EE1" w:rsidRDefault="00E1614C" w:rsidP="00490EE1">
      <w:pPr>
        <w:pStyle w:val="FootnoteText"/>
        <w:jc w:val="both"/>
      </w:pPr>
      <w:r w:rsidRPr="00490EE1">
        <w:rPr>
          <w:rStyle w:val="FootnoteReference"/>
        </w:rPr>
        <w:footnoteRef/>
      </w:r>
      <w:r w:rsidRPr="00490EE1">
        <w:t xml:space="preserve"> This convention is also applied to a number of the chapter titles within the book.</w:t>
      </w:r>
    </w:p>
  </w:footnote>
  <w:footnote w:id="20">
    <w:p w:rsidR="00011A6C" w:rsidRPr="00490EE1" w:rsidRDefault="00011A6C" w:rsidP="00490EE1">
      <w:pPr>
        <w:pStyle w:val="FootnoteText"/>
        <w:jc w:val="both"/>
      </w:pPr>
      <w:r w:rsidRPr="00490EE1">
        <w:rPr>
          <w:rStyle w:val="FootnoteReference"/>
        </w:rPr>
        <w:footnoteRef/>
      </w:r>
      <w:r w:rsidRPr="00490EE1">
        <w:t xml:space="preserve"> See, e.g. </w:t>
      </w:r>
      <w:proofErr w:type="spellStart"/>
      <w:r w:rsidRPr="00490EE1">
        <w:t>Kearley</w:t>
      </w:r>
      <w:proofErr w:type="spellEnd"/>
      <w:r w:rsidRPr="00490EE1">
        <w:t xml:space="preserve"> (n </w:t>
      </w:r>
      <w:r w:rsidR="00DC0B69" w:rsidRPr="00490EE1">
        <w:t>13</w:t>
      </w:r>
      <w:r w:rsidRPr="00490EE1">
        <w:t>).</w:t>
      </w:r>
    </w:p>
  </w:footnote>
  <w:footnote w:id="21">
    <w:p w:rsidR="00011A6C" w:rsidRPr="00490EE1" w:rsidRDefault="00011A6C" w:rsidP="00490EE1">
      <w:pPr>
        <w:pStyle w:val="FootnoteText"/>
        <w:jc w:val="both"/>
      </w:pPr>
      <w:r w:rsidRPr="00490EE1">
        <w:rPr>
          <w:rStyle w:val="FootnoteReference"/>
        </w:rPr>
        <w:footnoteRef/>
      </w:r>
      <w:r w:rsidRPr="00490EE1">
        <w:t xml:space="preserve"> </w:t>
      </w:r>
      <w:r w:rsidR="00DC0B69" w:rsidRPr="00490EE1">
        <w:t>See, e.g. Denver and Denver (n 13</w:t>
      </w:r>
      <w:r w:rsidRPr="00490EE1">
        <w:t>).</w:t>
      </w:r>
    </w:p>
  </w:footnote>
  <w:footnote w:id="22">
    <w:p w:rsidR="00011A6C" w:rsidRPr="00490EE1" w:rsidRDefault="00011A6C" w:rsidP="00490EE1">
      <w:pPr>
        <w:pStyle w:val="FootnoteText"/>
        <w:jc w:val="both"/>
      </w:pPr>
      <w:r w:rsidRPr="00490EE1">
        <w:rPr>
          <w:rStyle w:val="FootnoteReference"/>
        </w:rPr>
        <w:footnoteRef/>
      </w:r>
      <w:r w:rsidR="00DC0B69" w:rsidRPr="00490EE1">
        <w:t xml:space="preserve"> See, e.g. </w:t>
      </w:r>
      <w:proofErr w:type="spellStart"/>
      <w:r w:rsidR="00DC0B69" w:rsidRPr="00490EE1">
        <w:t>Occelli</w:t>
      </w:r>
      <w:proofErr w:type="spellEnd"/>
      <w:r w:rsidR="00DC0B69" w:rsidRPr="00490EE1">
        <w:t xml:space="preserve"> (n 13); </w:t>
      </w:r>
      <w:proofErr w:type="spellStart"/>
      <w:r w:rsidR="00DC0B69" w:rsidRPr="00490EE1">
        <w:t>Kajtár</w:t>
      </w:r>
      <w:proofErr w:type="spellEnd"/>
      <w:r w:rsidR="00DC0B69" w:rsidRPr="00490EE1">
        <w:t xml:space="preserve"> (n 13</w:t>
      </w:r>
      <w:r w:rsidRPr="00490EE1">
        <w:t>).</w:t>
      </w:r>
    </w:p>
  </w:footnote>
  <w:footnote w:id="23">
    <w:p w:rsidR="00011A6C" w:rsidRPr="00490EE1" w:rsidRDefault="00011A6C" w:rsidP="00490EE1">
      <w:pPr>
        <w:pStyle w:val="FootnoteText"/>
        <w:jc w:val="both"/>
      </w:pPr>
      <w:r w:rsidRPr="00490EE1">
        <w:rPr>
          <w:rStyle w:val="FootnoteReference"/>
        </w:rPr>
        <w:footnoteRef/>
      </w:r>
      <w:r w:rsidRPr="00490EE1">
        <w:t xml:space="preserve"> See, e.g. Rogoff and Collins (n </w:t>
      </w:r>
      <w:r w:rsidR="00DC0B69" w:rsidRPr="00490EE1">
        <w:t>13</w:t>
      </w:r>
      <w:r w:rsidRPr="00490EE1">
        <w:t>).</w:t>
      </w:r>
    </w:p>
  </w:footnote>
  <w:footnote w:id="24">
    <w:p w:rsidR="00011A6C" w:rsidRPr="00490EE1" w:rsidRDefault="00011A6C" w:rsidP="00490EE1">
      <w:pPr>
        <w:pStyle w:val="FootnoteText"/>
        <w:jc w:val="both"/>
      </w:pPr>
      <w:r w:rsidRPr="00490EE1">
        <w:rPr>
          <w:rStyle w:val="FootnoteReference"/>
        </w:rPr>
        <w:footnoteRef/>
      </w:r>
      <w:r w:rsidR="00DC0B69" w:rsidRPr="00490EE1">
        <w:t xml:space="preserve"> Green (n 8</w:t>
      </w:r>
      <w:r w:rsidRPr="00490EE1">
        <w:t>) 433.</w:t>
      </w:r>
    </w:p>
  </w:footnote>
  <w:footnote w:id="25">
    <w:p w:rsidR="00011A6C" w:rsidRPr="00490EE1" w:rsidRDefault="00011A6C" w:rsidP="00490EE1">
      <w:pPr>
        <w:pStyle w:val="FootnoteText"/>
        <w:jc w:val="both"/>
      </w:pPr>
      <w:r w:rsidRPr="00490EE1">
        <w:rPr>
          <w:rStyle w:val="FootnoteReference"/>
        </w:rPr>
        <w:footnoteRef/>
      </w:r>
      <w:r w:rsidRPr="00490EE1">
        <w:t xml:space="preserve"> </w:t>
      </w:r>
      <w:r w:rsidRPr="00490EE1">
        <w:rPr>
          <w:i/>
        </w:rPr>
        <w:t>Ibid</w:t>
      </w:r>
      <w:r w:rsidRPr="00490EE1">
        <w:t>.</w:t>
      </w:r>
    </w:p>
  </w:footnote>
  <w:footnote w:id="26">
    <w:p w:rsidR="00011A6C" w:rsidRPr="00490EE1" w:rsidRDefault="00011A6C" w:rsidP="00490EE1">
      <w:pPr>
        <w:pStyle w:val="FootnoteText"/>
        <w:jc w:val="both"/>
      </w:pPr>
      <w:r w:rsidRPr="00490EE1">
        <w:rPr>
          <w:rStyle w:val="FootnoteReference"/>
        </w:rPr>
        <w:footnoteRef/>
      </w:r>
      <w:r w:rsidRPr="00490EE1">
        <w:t xml:space="preserve"> See</w:t>
      </w:r>
      <w:r w:rsidR="009A5DAA" w:rsidRPr="00490EE1">
        <w:t xml:space="preserve"> section </w:t>
      </w:r>
      <w:r w:rsidR="004E2371" w:rsidRPr="00490EE1">
        <w:t>4</w:t>
      </w:r>
      <w:r w:rsidR="009A5DAA" w:rsidRPr="00490EE1">
        <w:t>.</w:t>
      </w:r>
    </w:p>
  </w:footnote>
  <w:footnote w:id="27">
    <w:p w:rsidR="00011A6C" w:rsidRPr="00490EE1" w:rsidRDefault="00011A6C" w:rsidP="00490EE1">
      <w:pPr>
        <w:pStyle w:val="FootnoteText"/>
        <w:jc w:val="both"/>
      </w:pPr>
      <w:r w:rsidRPr="00490EE1">
        <w:rPr>
          <w:rStyle w:val="FootnoteReference"/>
        </w:rPr>
        <w:footnoteRef/>
      </w:r>
      <w:r w:rsidRPr="00490EE1">
        <w:t xml:space="preserve"> As a different reviewer of </w:t>
      </w:r>
      <w:r w:rsidRPr="00490EE1">
        <w:rPr>
          <w:i/>
        </w:rPr>
        <w:t>Destroying the Caroline</w:t>
      </w:r>
      <w:r w:rsidRPr="00490EE1">
        <w:t xml:space="preserve"> has elsewhere noted, ‘the book is part history, part analysis of contemporary debates, and part links between them.’ Matthew Waxman, ‘The </w:t>
      </w:r>
      <w:r w:rsidRPr="00490EE1">
        <w:rPr>
          <w:i/>
        </w:rPr>
        <w:t>Caroline</w:t>
      </w:r>
      <w:r w:rsidRPr="00490EE1">
        <w:t xml:space="preserve"> Affair in Evolving International Law of Self-</w:t>
      </w:r>
      <w:proofErr w:type="spellStart"/>
      <w:r w:rsidRPr="00490EE1">
        <w:t>Defense</w:t>
      </w:r>
      <w:proofErr w:type="spellEnd"/>
      <w:r w:rsidRPr="00490EE1">
        <w:t xml:space="preserve">’, </w:t>
      </w:r>
      <w:proofErr w:type="spellStart"/>
      <w:r w:rsidRPr="00490EE1">
        <w:rPr>
          <w:i/>
        </w:rPr>
        <w:t>Lawfare</w:t>
      </w:r>
      <w:proofErr w:type="spellEnd"/>
      <w:r w:rsidRPr="00490EE1">
        <w:t xml:space="preserve"> (28 August 2018) </w:t>
      </w:r>
      <w:hyperlink r:id="rId2" w:history="1">
        <w:r w:rsidRPr="00490EE1">
          <w:rPr>
            <w:rStyle w:val="Hyperlink"/>
          </w:rPr>
          <w:t>www.lawfareblog.com/carolineaffair</w:t>
        </w:r>
      </w:hyperlink>
      <w:r w:rsidRPr="00490EE1">
        <w:t>.</w:t>
      </w:r>
    </w:p>
  </w:footnote>
  <w:footnote w:id="28">
    <w:p w:rsidR="00011A6C" w:rsidRPr="00490EE1" w:rsidRDefault="00011A6C" w:rsidP="00490EE1">
      <w:pPr>
        <w:jc w:val="both"/>
        <w:rPr>
          <w:sz w:val="20"/>
          <w:szCs w:val="20"/>
        </w:rPr>
      </w:pPr>
      <w:r w:rsidRPr="00490EE1">
        <w:rPr>
          <w:rStyle w:val="FootnoteReference"/>
          <w:sz w:val="20"/>
          <w:szCs w:val="20"/>
        </w:rPr>
        <w:footnoteRef/>
      </w:r>
      <w:r w:rsidRPr="00490EE1">
        <w:rPr>
          <w:sz w:val="20"/>
          <w:szCs w:val="20"/>
        </w:rPr>
        <w:t xml:space="preserve"> See, generally Matthew Craven, ‘Theorizing the Turn to History in International Law’, in Anne Orford and Florian Hoffmann (</w:t>
      </w:r>
      <w:proofErr w:type="spellStart"/>
      <w:proofErr w:type="gramStart"/>
      <w:r w:rsidRPr="00490EE1">
        <w:rPr>
          <w:sz w:val="20"/>
          <w:szCs w:val="20"/>
        </w:rPr>
        <w:t>eds</w:t>
      </w:r>
      <w:proofErr w:type="spellEnd"/>
      <w:proofErr w:type="gramEnd"/>
      <w:r w:rsidRPr="00490EE1">
        <w:rPr>
          <w:sz w:val="20"/>
          <w:szCs w:val="20"/>
        </w:rPr>
        <w:t xml:space="preserve">), </w:t>
      </w:r>
      <w:r w:rsidRPr="00490EE1">
        <w:rPr>
          <w:i/>
          <w:sz w:val="20"/>
          <w:szCs w:val="20"/>
        </w:rPr>
        <w:t>The Oxford Handbook of the Theory of International Law</w:t>
      </w:r>
      <w:r w:rsidRPr="00490EE1">
        <w:rPr>
          <w:sz w:val="20"/>
          <w:szCs w:val="20"/>
        </w:rPr>
        <w:t xml:space="preserve"> (Oxford University Press, 2016) 21.</w:t>
      </w:r>
    </w:p>
  </w:footnote>
  <w:footnote w:id="29">
    <w:p w:rsidR="00011A6C" w:rsidRPr="00490EE1" w:rsidRDefault="00011A6C" w:rsidP="00490EE1">
      <w:pPr>
        <w:pStyle w:val="FootnoteText"/>
        <w:jc w:val="both"/>
      </w:pPr>
      <w:r w:rsidRPr="00490EE1">
        <w:rPr>
          <w:rStyle w:val="FootnoteReference"/>
        </w:rPr>
        <w:footnoteRef/>
      </w:r>
      <w:r w:rsidRPr="00490EE1">
        <w:t xml:space="preserve"> </w:t>
      </w:r>
      <w:r w:rsidR="009A5DAA" w:rsidRPr="00490EE1">
        <w:t xml:space="preserve">See Jean </w:t>
      </w:r>
      <w:proofErr w:type="spellStart"/>
      <w:r w:rsidR="009A5DAA" w:rsidRPr="00490EE1">
        <w:t>d’Aspremont</w:t>
      </w:r>
      <w:proofErr w:type="spellEnd"/>
      <w:r w:rsidR="009A5DAA" w:rsidRPr="00490EE1">
        <w:t xml:space="preserve">, ‘Critical Histories of International Law and the Repression of Disciplinary Imagination’ (2019) 7 </w:t>
      </w:r>
      <w:r w:rsidR="009A5DAA" w:rsidRPr="00490EE1">
        <w:rPr>
          <w:i/>
        </w:rPr>
        <w:t>London Review of International Law</w:t>
      </w:r>
      <w:r w:rsidR="009A5DAA" w:rsidRPr="00490EE1">
        <w:t xml:space="preserve"> 89, 90.</w:t>
      </w:r>
    </w:p>
  </w:footnote>
  <w:footnote w:id="30">
    <w:p w:rsidR="00011A6C" w:rsidRPr="00490EE1" w:rsidRDefault="00011A6C" w:rsidP="00490EE1">
      <w:pPr>
        <w:pStyle w:val="FootnoteText"/>
        <w:jc w:val="both"/>
      </w:pPr>
      <w:r w:rsidRPr="00490EE1">
        <w:rPr>
          <w:rStyle w:val="FootnoteReference"/>
        </w:rPr>
        <w:footnoteRef/>
      </w:r>
      <w:r w:rsidRPr="00490EE1">
        <w:t xml:space="preserve"> </w:t>
      </w:r>
      <w:proofErr w:type="spellStart"/>
      <w:r w:rsidRPr="00490EE1">
        <w:t>Martti</w:t>
      </w:r>
      <w:proofErr w:type="spellEnd"/>
      <w:r w:rsidRPr="00490EE1">
        <w:t xml:space="preserve"> </w:t>
      </w:r>
      <w:proofErr w:type="spellStart"/>
      <w:r w:rsidRPr="00490EE1">
        <w:t>Koskenniemi</w:t>
      </w:r>
      <w:proofErr w:type="spellEnd"/>
      <w:r w:rsidRPr="00490EE1">
        <w:t xml:space="preserve">, ‘Law, Teleology and International Relations: An Essay in </w:t>
      </w:r>
      <w:proofErr w:type="spellStart"/>
      <w:r w:rsidRPr="00490EE1">
        <w:t>Counterdisciplinarity</w:t>
      </w:r>
      <w:proofErr w:type="spellEnd"/>
      <w:r w:rsidRPr="00490EE1">
        <w:t xml:space="preserve">’ (2011) 26 </w:t>
      </w:r>
      <w:r w:rsidRPr="00490EE1">
        <w:rPr>
          <w:i/>
        </w:rPr>
        <w:t>International Relations</w:t>
      </w:r>
      <w:r w:rsidRPr="00490EE1">
        <w:t xml:space="preserve"> 3, 4.</w:t>
      </w:r>
    </w:p>
  </w:footnote>
  <w:footnote w:id="31">
    <w:p w:rsidR="00011A6C" w:rsidRPr="00490EE1" w:rsidRDefault="00011A6C" w:rsidP="00490EE1">
      <w:pPr>
        <w:pStyle w:val="FootnoteText"/>
        <w:jc w:val="both"/>
      </w:pPr>
      <w:r w:rsidRPr="00490EE1">
        <w:rPr>
          <w:rStyle w:val="FootnoteReference"/>
        </w:rPr>
        <w:footnoteRef/>
      </w:r>
      <w:r w:rsidRPr="00490EE1">
        <w:t xml:space="preserve"> See, e.g. Ryder McKeown, ‘International Law and Its Discontents: Exploring the Dark Sides of International Law in International Relations’ (2017) 43 </w:t>
      </w:r>
      <w:r w:rsidRPr="00490EE1">
        <w:rPr>
          <w:i/>
        </w:rPr>
        <w:t>Review of International Studies</w:t>
      </w:r>
      <w:r w:rsidRPr="00490EE1">
        <w:t xml:space="preserve"> 430; Charlotte </w:t>
      </w:r>
      <w:proofErr w:type="spellStart"/>
      <w:r w:rsidRPr="00490EE1">
        <w:t>Peevers</w:t>
      </w:r>
      <w:proofErr w:type="spellEnd"/>
      <w:r w:rsidRPr="00490EE1">
        <w:t xml:space="preserve">, ‘Liberal Internationalism, Radical Transformation and the Making of World Orders’ (2018) 29 </w:t>
      </w:r>
      <w:r w:rsidRPr="00490EE1">
        <w:rPr>
          <w:i/>
        </w:rPr>
        <w:t>European Journal of International Law</w:t>
      </w:r>
      <w:r w:rsidRPr="00490EE1">
        <w:t xml:space="preserve"> 303 </w:t>
      </w:r>
    </w:p>
  </w:footnote>
  <w:footnote w:id="32">
    <w:p w:rsidR="009A5DAA" w:rsidRPr="00490EE1" w:rsidRDefault="009A5DAA" w:rsidP="00490EE1">
      <w:pPr>
        <w:pStyle w:val="FootnoteText"/>
        <w:jc w:val="both"/>
      </w:pPr>
      <w:r w:rsidRPr="00490EE1">
        <w:rPr>
          <w:rStyle w:val="FootnoteReference"/>
        </w:rPr>
        <w:footnoteRef/>
      </w:r>
      <w:r w:rsidRPr="00490EE1">
        <w:t xml:space="preserve"> This is not to say </w:t>
      </w:r>
      <w:r w:rsidR="007E39B4" w:rsidRPr="00490EE1">
        <w:t>that</w:t>
      </w:r>
      <w:r w:rsidRPr="00490EE1">
        <w:t xml:space="preserve"> the book necessarily would be entirely free of some of the other critiques of works of international legal history, particularly the notion of zoning in on particular historical</w:t>
      </w:r>
      <w:r w:rsidR="00DC0B69" w:rsidRPr="00490EE1">
        <w:t xml:space="preserve"> ‘markers’. See </w:t>
      </w:r>
      <w:proofErr w:type="spellStart"/>
      <w:r w:rsidR="00DC0B69" w:rsidRPr="00490EE1">
        <w:t>d’Aspremont</w:t>
      </w:r>
      <w:proofErr w:type="spellEnd"/>
      <w:r w:rsidR="00DC0B69" w:rsidRPr="00490EE1">
        <w:t xml:space="preserve"> (n 29</w:t>
      </w:r>
      <w:r w:rsidRPr="00490EE1">
        <w:t>).</w:t>
      </w:r>
    </w:p>
  </w:footnote>
  <w:footnote w:id="33">
    <w:p w:rsidR="00011A6C" w:rsidRPr="00490EE1" w:rsidRDefault="00011A6C" w:rsidP="00490EE1">
      <w:pPr>
        <w:pStyle w:val="FootnoteText"/>
        <w:jc w:val="both"/>
      </w:pPr>
      <w:r w:rsidRPr="00490EE1">
        <w:rPr>
          <w:rStyle w:val="FootnoteReference"/>
        </w:rPr>
        <w:footnoteRef/>
      </w:r>
      <w:r w:rsidR="00DC0B69" w:rsidRPr="00490EE1">
        <w:t xml:space="preserve"> See n 19 – n 25</w:t>
      </w:r>
      <w:r w:rsidRPr="00490EE1">
        <w:t xml:space="preserve"> and accompanying text.</w:t>
      </w:r>
    </w:p>
  </w:footnote>
  <w:footnote w:id="34">
    <w:p w:rsidR="00011A6C" w:rsidRPr="00490EE1" w:rsidRDefault="00011A6C" w:rsidP="00490EE1">
      <w:pPr>
        <w:pStyle w:val="FootnoteText"/>
        <w:jc w:val="both"/>
      </w:pPr>
      <w:r w:rsidRPr="00490EE1">
        <w:rPr>
          <w:rStyle w:val="FootnoteReference"/>
        </w:rPr>
        <w:footnoteRef/>
      </w:r>
      <w:r w:rsidRPr="00490EE1">
        <w:t xml:space="preserve"> See, e.g. as just one example, 21 (noting the ‘plausible claim’ that the Usher homestead was shelled by the insurgents located on Navy Island).</w:t>
      </w:r>
    </w:p>
  </w:footnote>
  <w:footnote w:id="35">
    <w:p w:rsidR="00011A6C" w:rsidRPr="00490EE1" w:rsidRDefault="00011A6C" w:rsidP="00490EE1">
      <w:pPr>
        <w:pStyle w:val="FootnoteText"/>
        <w:jc w:val="both"/>
      </w:pPr>
      <w:r w:rsidRPr="00490EE1">
        <w:rPr>
          <w:rStyle w:val="FootnoteReference"/>
        </w:rPr>
        <w:footnoteRef/>
      </w:r>
      <w:r w:rsidRPr="00490EE1">
        <w:t xml:space="preserve"> This was also the case occasionally in Part IV: for example in relation to the speedy run through of the 1945 emergence of the UN Charter’s prohibition on the use of force (197–200).</w:t>
      </w:r>
    </w:p>
  </w:footnote>
  <w:footnote w:id="36">
    <w:p w:rsidR="00011A6C" w:rsidRPr="00490EE1" w:rsidRDefault="00011A6C" w:rsidP="00490EE1">
      <w:pPr>
        <w:pStyle w:val="FootnoteText"/>
        <w:jc w:val="both"/>
      </w:pPr>
      <w:r w:rsidRPr="00490EE1">
        <w:rPr>
          <w:rStyle w:val="FootnoteReference"/>
        </w:rPr>
        <w:footnoteRef/>
      </w:r>
      <w:r w:rsidRPr="00490EE1">
        <w:t xml:space="preserve"> See, e.g. </w:t>
      </w:r>
      <w:r w:rsidRPr="00490EE1">
        <w:rPr>
          <w:i/>
        </w:rPr>
        <w:t>Legality of the Threat or Use of Nuclear Weapons</w:t>
      </w:r>
      <w:r w:rsidRPr="00490EE1">
        <w:t xml:space="preserve"> (advisory opinion) [</w:t>
      </w:r>
      <w:r w:rsidRPr="00490EE1">
        <w:rPr>
          <w:lang w:val="en"/>
        </w:rPr>
        <w:t xml:space="preserve">1996] 1 </w:t>
      </w:r>
      <w:proofErr w:type="spellStart"/>
      <w:r w:rsidRPr="00490EE1">
        <w:rPr>
          <w:lang w:val="en"/>
        </w:rPr>
        <w:t>ICJ</w:t>
      </w:r>
      <w:proofErr w:type="spellEnd"/>
      <w:r w:rsidRPr="00490EE1">
        <w:rPr>
          <w:lang w:val="en"/>
        </w:rPr>
        <w:t xml:space="preserve"> Rep 226</w:t>
      </w:r>
      <w:r w:rsidRPr="00490EE1">
        <w:t>, para 41</w:t>
      </w:r>
      <w:r w:rsidR="007E39B4" w:rsidRPr="00490EE1">
        <w:t>.</w:t>
      </w:r>
    </w:p>
  </w:footnote>
  <w:footnote w:id="37">
    <w:p w:rsidR="00011A6C" w:rsidRPr="00490EE1" w:rsidRDefault="00011A6C" w:rsidP="00490EE1">
      <w:pPr>
        <w:pStyle w:val="FootnoteText"/>
        <w:jc w:val="both"/>
      </w:pPr>
      <w:r w:rsidRPr="00490EE1">
        <w:rPr>
          <w:rStyle w:val="FootnoteReference"/>
        </w:rPr>
        <w:footnoteRef/>
      </w:r>
      <w:r w:rsidR="00DC0B69" w:rsidRPr="00490EE1">
        <w:t xml:space="preserve"> See n 8</w:t>
      </w:r>
      <w:r w:rsidRPr="00490EE1">
        <w:t xml:space="preserve"> and accompanying text. This is not to say that </w:t>
      </w:r>
      <w:r w:rsidR="007E39B4" w:rsidRPr="00490EE1">
        <w:t>these criteria</w:t>
      </w:r>
      <w:r w:rsidRPr="00490EE1">
        <w:t xml:space="preserve"> did not exist in some form in legal theory stretching back </w:t>
      </w:r>
      <w:r w:rsidRPr="00490EE1">
        <w:rPr>
          <w:i/>
        </w:rPr>
        <w:t>much</w:t>
      </w:r>
      <w:r w:rsidRPr="00490EE1">
        <w:t xml:space="preserve"> further. See, e.g. James A Green and Francis </w:t>
      </w:r>
      <w:proofErr w:type="spellStart"/>
      <w:r w:rsidRPr="00490EE1">
        <w:t>Grimal</w:t>
      </w:r>
      <w:proofErr w:type="spellEnd"/>
      <w:r w:rsidRPr="00490EE1">
        <w:t>, ‘The Threat of Force as an Action in Self-</w:t>
      </w:r>
      <w:proofErr w:type="spellStart"/>
      <w:r w:rsidRPr="00490EE1">
        <w:t>Defense</w:t>
      </w:r>
      <w:proofErr w:type="spellEnd"/>
      <w:r w:rsidRPr="00490EE1">
        <w:t xml:space="preserve"> under International Law’ (2011) 44 </w:t>
      </w:r>
      <w:r w:rsidRPr="00490EE1">
        <w:rPr>
          <w:i/>
        </w:rPr>
        <w:t>Vanderbilt Journal of Transnational Law</w:t>
      </w:r>
      <w:r w:rsidRPr="00490EE1">
        <w:t xml:space="preserve"> 239, 300.</w:t>
      </w:r>
    </w:p>
  </w:footnote>
  <w:footnote w:id="38">
    <w:p w:rsidR="00011A6C" w:rsidRPr="00490EE1" w:rsidRDefault="00011A6C" w:rsidP="00490EE1">
      <w:pPr>
        <w:pStyle w:val="FootnoteText"/>
        <w:jc w:val="both"/>
      </w:pPr>
      <w:r w:rsidRPr="00490EE1">
        <w:rPr>
          <w:rStyle w:val="FootnoteReference"/>
        </w:rPr>
        <w:footnoteRef/>
      </w:r>
      <w:r w:rsidRPr="00490EE1">
        <w:t xml:space="preserve"> </w:t>
      </w:r>
      <w:r w:rsidR="00FE08FF" w:rsidRPr="00490EE1">
        <w:t xml:space="preserve">James A Green, ‘The </w:t>
      </w:r>
      <w:proofErr w:type="spellStart"/>
      <w:r w:rsidR="00FE08FF" w:rsidRPr="00490EE1">
        <w:rPr>
          <w:i/>
        </w:rPr>
        <w:t>Ratione</w:t>
      </w:r>
      <w:proofErr w:type="spellEnd"/>
      <w:r w:rsidR="00FE08FF" w:rsidRPr="00490EE1">
        <w:rPr>
          <w:i/>
        </w:rPr>
        <w:t xml:space="preserve"> </w:t>
      </w:r>
      <w:proofErr w:type="spellStart"/>
      <w:r w:rsidR="00FE08FF" w:rsidRPr="00490EE1">
        <w:rPr>
          <w:i/>
        </w:rPr>
        <w:t>Temporis</w:t>
      </w:r>
      <w:proofErr w:type="spellEnd"/>
      <w:r w:rsidR="00FE08FF" w:rsidRPr="00490EE1">
        <w:t xml:space="preserve"> Elements of Self-Defence’ (2015) 2 </w:t>
      </w:r>
      <w:r w:rsidR="00FE08FF" w:rsidRPr="00490EE1">
        <w:rPr>
          <w:i/>
        </w:rPr>
        <w:t xml:space="preserve">Journal on the Use of Force and International Law </w:t>
      </w:r>
      <w:r w:rsidR="00FE08FF" w:rsidRPr="00490EE1">
        <w:t>97</w:t>
      </w:r>
      <w:r w:rsidR="00EA7421" w:rsidRPr="00490EE1">
        <w:t xml:space="preserve">, </w:t>
      </w:r>
      <w:r w:rsidRPr="00490EE1">
        <w:t>100</w:t>
      </w:r>
      <w:r w:rsidR="00EA7421" w:rsidRPr="00490EE1">
        <w:t>; Henderson (</w:t>
      </w:r>
      <w:r w:rsidR="00DC0B69" w:rsidRPr="00490EE1">
        <w:t>n 8</w:t>
      </w:r>
      <w:r w:rsidR="00EA7421" w:rsidRPr="00490EE1">
        <w:t>) 227.</w:t>
      </w:r>
    </w:p>
  </w:footnote>
  <w:footnote w:id="39">
    <w:p w:rsidR="00011A6C" w:rsidRPr="00490EE1" w:rsidRDefault="00011A6C" w:rsidP="00490EE1">
      <w:pPr>
        <w:pStyle w:val="FootnoteText"/>
        <w:jc w:val="both"/>
      </w:pPr>
      <w:r w:rsidRPr="00490EE1">
        <w:rPr>
          <w:rStyle w:val="FootnoteReference"/>
        </w:rPr>
        <w:footnoteRef/>
      </w:r>
      <w:r w:rsidRPr="00490EE1">
        <w:t xml:space="preserve"> See, e.g. Andrew W R Thomson, ‘Doctrine of the Protection of Nationals Abroad: Rise of the Non-Combatant Evacuation Operation’ (2012) 11 </w:t>
      </w:r>
      <w:r w:rsidRPr="00490EE1">
        <w:rPr>
          <w:i/>
        </w:rPr>
        <w:t>Washington University Global Studies Law Review</w:t>
      </w:r>
      <w:r w:rsidRPr="00490EE1">
        <w:t xml:space="preserve"> 627, 639–44 (touching on this connection, albeit not meaningfully exploring it either).</w:t>
      </w:r>
    </w:p>
  </w:footnote>
  <w:footnote w:id="40">
    <w:p w:rsidR="00FE08FF" w:rsidRPr="00490EE1" w:rsidRDefault="00FE08FF" w:rsidP="00490EE1">
      <w:pPr>
        <w:jc w:val="both"/>
        <w:rPr>
          <w:sz w:val="20"/>
          <w:szCs w:val="20"/>
        </w:rPr>
      </w:pPr>
      <w:r w:rsidRPr="00490EE1">
        <w:rPr>
          <w:rStyle w:val="FootnoteReference"/>
          <w:sz w:val="20"/>
          <w:szCs w:val="20"/>
        </w:rPr>
        <w:footnoteRef/>
      </w:r>
      <w:r w:rsidRPr="00490EE1">
        <w:rPr>
          <w:sz w:val="20"/>
          <w:szCs w:val="20"/>
        </w:rPr>
        <w:t xml:space="preserve"> See, e.g. Tom </w:t>
      </w:r>
      <w:proofErr w:type="spellStart"/>
      <w:r w:rsidRPr="00490EE1">
        <w:rPr>
          <w:sz w:val="20"/>
          <w:szCs w:val="20"/>
        </w:rPr>
        <w:t>Ruys</w:t>
      </w:r>
      <w:proofErr w:type="spellEnd"/>
      <w:r w:rsidRPr="00490EE1">
        <w:rPr>
          <w:sz w:val="20"/>
          <w:szCs w:val="20"/>
        </w:rPr>
        <w:t xml:space="preserve">, ‘The “Protection of Nationals” Doctrine Revisited (2008) 13 </w:t>
      </w:r>
      <w:r w:rsidRPr="00490EE1">
        <w:rPr>
          <w:i/>
          <w:sz w:val="20"/>
          <w:szCs w:val="20"/>
        </w:rPr>
        <w:t>Journal of Conflict and Security Law</w:t>
      </w:r>
      <w:r w:rsidRPr="00490EE1">
        <w:rPr>
          <w:sz w:val="20"/>
          <w:szCs w:val="20"/>
        </w:rPr>
        <w:t xml:space="preserve"> 233 (ultimately taking the view, at 270, that ‘the long-standing controversy over the legality of forcible protection of nationals remains unresolved’, but being clear, at 236, that a commonly advanced argument is that ‘nationals abroad form part of a state’s population and are therefore one of its essential attributes, implying that an attack against nationals abroad can be equated to an [armed] attack against the state itself…’).</w:t>
      </w:r>
    </w:p>
  </w:footnote>
  <w:footnote w:id="41">
    <w:p w:rsidR="00011A6C" w:rsidRPr="00490EE1" w:rsidRDefault="00011A6C" w:rsidP="00490EE1">
      <w:pPr>
        <w:pStyle w:val="FootnoteText"/>
        <w:jc w:val="both"/>
      </w:pPr>
      <w:r w:rsidRPr="00490EE1">
        <w:rPr>
          <w:rStyle w:val="FootnoteReference"/>
        </w:rPr>
        <w:footnoteRef/>
      </w:r>
      <w:r w:rsidRPr="00490EE1">
        <w:t xml:space="preserve"> See, e.g. Kinga </w:t>
      </w:r>
      <w:proofErr w:type="spellStart"/>
      <w:r w:rsidRPr="00490EE1">
        <w:t>Tibori</w:t>
      </w:r>
      <w:proofErr w:type="spellEnd"/>
      <w:r w:rsidRPr="00490EE1">
        <w:t xml:space="preserve"> </w:t>
      </w:r>
      <w:proofErr w:type="spellStart"/>
      <w:r w:rsidRPr="00490EE1">
        <w:t>Szabó</w:t>
      </w:r>
      <w:proofErr w:type="spellEnd"/>
      <w:r w:rsidRPr="00490EE1">
        <w:t xml:space="preserve">, </w:t>
      </w:r>
      <w:r w:rsidRPr="00490EE1">
        <w:rPr>
          <w:i/>
        </w:rPr>
        <w:t xml:space="preserve">Anticipatory Action in Self-Defence: Essence and Limits under International Law </w:t>
      </w:r>
      <w:r w:rsidRPr="00490EE1">
        <w:t>(</w:t>
      </w:r>
      <w:proofErr w:type="spellStart"/>
      <w:r w:rsidRPr="00490EE1">
        <w:t>T.M.C</w:t>
      </w:r>
      <w:proofErr w:type="spellEnd"/>
      <w:r w:rsidRPr="00490EE1">
        <w:t xml:space="preserve">. Asser Press, 2011) 72–5; Arthur </w:t>
      </w:r>
      <w:proofErr w:type="spellStart"/>
      <w:r w:rsidRPr="00490EE1">
        <w:t>Eyffinger</w:t>
      </w:r>
      <w:proofErr w:type="spellEnd"/>
      <w:r w:rsidRPr="00490EE1">
        <w:t xml:space="preserve">, ‘Self-Defence or the Meanderings of a Protean Principle’, in Arthur </w:t>
      </w:r>
      <w:proofErr w:type="spellStart"/>
      <w:r w:rsidRPr="00490EE1">
        <w:t>Eyffinger</w:t>
      </w:r>
      <w:proofErr w:type="spellEnd"/>
      <w:r w:rsidRPr="00490EE1">
        <w:t>, Alan Stephens and Sam Muller (</w:t>
      </w:r>
      <w:proofErr w:type="spellStart"/>
      <w:r w:rsidRPr="00490EE1">
        <w:t>eds</w:t>
      </w:r>
      <w:proofErr w:type="spellEnd"/>
      <w:r w:rsidRPr="00490EE1">
        <w:t xml:space="preserve">), </w:t>
      </w:r>
      <w:r w:rsidRPr="00490EE1">
        <w:rPr>
          <w:i/>
        </w:rPr>
        <w:t>Self-Defence as a Fundamental Principle</w:t>
      </w:r>
      <w:r w:rsidRPr="00490EE1">
        <w:t xml:space="preserve"> (Hague Academic Press, 2009) 103, 119–20; Noam Lubell, </w:t>
      </w:r>
      <w:r w:rsidRPr="00490EE1">
        <w:rPr>
          <w:i/>
        </w:rPr>
        <w:t>Extraterritorial Use of Force Against Non-State Actors</w:t>
      </w:r>
      <w:r w:rsidRPr="00490EE1">
        <w:t xml:space="preserve"> (Oxford University Press, 2010) 56–9; </w:t>
      </w:r>
      <w:r w:rsidRPr="00490EE1">
        <w:rPr>
          <w:shd w:val="clear" w:color="auto" w:fill="FFFFFF"/>
        </w:rPr>
        <w:t>Gregory</w:t>
      </w:r>
      <w:r w:rsidRPr="00490EE1">
        <w:rPr>
          <w:rStyle w:val="apple-converted-space"/>
          <w:shd w:val="clear" w:color="auto" w:fill="FFFFFF"/>
        </w:rPr>
        <w:t xml:space="preserve"> A </w:t>
      </w:r>
      <w:r w:rsidRPr="00490EE1">
        <w:t xml:space="preserve">Raymond and Charles W </w:t>
      </w:r>
      <w:proofErr w:type="spellStart"/>
      <w:r w:rsidRPr="00490EE1">
        <w:t>Kegley</w:t>
      </w:r>
      <w:proofErr w:type="spellEnd"/>
      <w:r w:rsidRPr="00490EE1">
        <w:t>, Jr, ‘</w:t>
      </w:r>
      <w:proofErr w:type="spellStart"/>
      <w:r w:rsidRPr="00490EE1">
        <w:t>Preemption</w:t>
      </w:r>
      <w:proofErr w:type="spellEnd"/>
      <w:r w:rsidRPr="00490EE1">
        <w:t xml:space="preserve"> and Preventative War’, in Howard M Hensel (</w:t>
      </w:r>
      <w:proofErr w:type="spellStart"/>
      <w:r w:rsidRPr="00490EE1">
        <w:t>ed</w:t>
      </w:r>
      <w:proofErr w:type="spellEnd"/>
      <w:r w:rsidRPr="00490EE1">
        <w:t xml:space="preserve">), </w:t>
      </w:r>
      <w:r w:rsidRPr="00490EE1">
        <w:rPr>
          <w:i/>
        </w:rPr>
        <w:t>The Legitimate Use of Force: The Just War Tradition and the Customary Law of Armed Conflict</w:t>
      </w:r>
      <w:r w:rsidRPr="00490EE1">
        <w:t xml:space="preserve"> (</w:t>
      </w:r>
      <w:proofErr w:type="spellStart"/>
      <w:r w:rsidRPr="00490EE1">
        <w:t>Ashgate</w:t>
      </w:r>
      <w:proofErr w:type="spellEnd"/>
      <w:r w:rsidRPr="00490EE1">
        <w:t>, 2008) 99, 101.</w:t>
      </w:r>
    </w:p>
  </w:footnote>
  <w:footnote w:id="42">
    <w:p w:rsidR="00011A6C" w:rsidRPr="00490EE1" w:rsidRDefault="00011A6C" w:rsidP="00490EE1">
      <w:pPr>
        <w:autoSpaceDE w:val="0"/>
        <w:autoSpaceDN w:val="0"/>
        <w:adjustRightInd w:val="0"/>
        <w:jc w:val="both"/>
        <w:rPr>
          <w:sz w:val="20"/>
          <w:szCs w:val="20"/>
        </w:rPr>
      </w:pPr>
      <w:r w:rsidRPr="00490EE1">
        <w:rPr>
          <w:rStyle w:val="FootnoteReference"/>
          <w:sz w:val="20"/>
          <w:szCs w:val="20"/>
        </w:rPr>
        <w:footnoteRef/>
      </w:r>
      <w:r w:rsidRPr="00490EE1">
        <w:rPr>
          <w:sz w:val="20"/>
          <w:szCs w:val="20"/>
        </w:rPr>
        <w:t xml:space="preserve"> See, e.g. </w:t>
      </w:r>
      <w:r w:rsidRPr="00490EE1">
        <w:rPr>
          <w:i/>
          <w:sz w:val="20"/>
          <w:szCs w:val="20"/>
        </w:rPr>
        <w:t>Case Concerning Military and Paramilitary Activities in and against Nicaragua</w:t>
      </w:r>
      <w:r w:rsidRPr="00490EE1">
        <w:rPr>
          <w:sz w:val="20"/>
          <w:szCs w:val="20"/>
        </w:rPr>
        <w:t xml:space="preserve"> (</w:t>
      </w:r>
      <w:r w:rsidRPr="00490EE1">
        <w:rPr>
          <w:i/>
          <w:sz w:val="20"/>
          <w:szCs w:val="20"/>
        </w:rPr>
        <w:t>Nicaragua v United States of America</w:t>
      </w:r>
      <w:r w:rsidRPr="00490EE1">
        <w:rPr>
          <w:sz w:val="20"/>
          <w:szCs w:val="20"/>
        </w:rPr>
        <w:t>)</w:t>
      </w:r>
      <w:r w:rsidRPr="00490EE1">
        <w:rPr>
          <w:i/>
          <w:sz w:val="20"/>
          <w:szCs w:val="20"/>
        </w:rPr>
        <w:t xml:space="preserve"> </w:t>
      </w:r>
      <w:r w:rsidRPr="00490EE1">
        <w:rPr>
          <w:sz w:val="20"/>
          <w:szCs w:val="20"/>
        </w:rPr>
        <w:t xml:space="preserve">(merits) [1986] </w:t>
      </w:r>
      <w:proofErr w:type="spellStart"/>
      <w:r w:rsidRPr="00490EE1">
        <w:rPr>
          <w:sz w:val="20"/>
          <w:szCs w:val="20"/>
        </w:rPr>
        <w:t>ICJ</w:t>
      </w:r>
      <w:proofErr w:type="spellEnd"/>
      <w:r w:rsidRPr="00490EE1">
        <w:rPr>
          <w:sz w:val="20"/>
          <w:szCs w:val="20"/>
        </w:rPr>
        <w:t xml:space="preserve"> Rep 14, dissenting opinion of Judge </w:t>
      </w:r>
      <w:proofErr w:type="spellStart"/>
      <w:r w:rsidRPr="00490EE1">
        <w:rPr>
          <w:sz w:val="20"/>
          <w:szCs w:val="20"/>
        </w:rPr>
        <w:t>Schwebel</w:t>
      </w:r>
      <w:proofErr w:type="spellEnd"/>
      <w:r w:rsidRPr="00490EE1">
        <w:rPr>
          <w:sz w:val="20"/>
          <w:szCs w:val="20"/>
        </w:rPr>
        <w:t xml:space="preserve">, para 200; Oscar </w:t>
      </w:r>
      <w:proofErr w:type="spellStart"/>
      <w:r w:rsidRPr="00490EE1">
        <w:rPr>
          <w:sz w:val="20"/>
          <w:szCs w:val="20"/>
        </w:rPr>
        <w:t>Schachter</w:t>
      </w:r>
      <w:proofErr w:type="spellEnd"/>
      <w:r w:rsidRPr="00490EE1">
        <w:rPr>
          <w:sz w:val="20"/>
          <w:szCs w:val="20"/>
        </w:rPr>
        <w:t xml:space="preserve">, </w:t>
      </w:r>
      <w:r w:rsidRPr="00490EE1">
        <w:rPr>
          <w:i/>
          <w:sz w:val="20"/>
          <w:szCs w:val="20"/>
        </w:rPr>
        <w:t>International Law in Theory and Practice</w:t>
      </w:r>
      <w:r w:rsidRPr="00490EE1">
        <w:rPr>
          <w:sz w:val="20"/>
          <w:szCs w:val="20"/>
        </w:rPr>
        <w:t xml:space="preserve"> (</w:t>
      </w:r>
      <w:proofErr w:type="spellStart"/>
      <w:r w:rsidRPr="00490EE1">
        <w:rPr>
          <w:sz w:val="20"/>
          <w:szCs w:val="20"/>
        </w:rPr>
        <w:t>Martinus</w:t>
      </w:r>
      <w:proofErr w:type="spellEnd"/>
      <w:r w:rsidRPr="00490EE1">
        <w:rPr>
          <w:sz w:val="20"/>
          <w:szCs w:val="20"/>
        </w:rPr>
        <w:t xml:space="preserve"> </w:t>
      </w:r>
      <w:proofErr w:type="spellStart"/>
      <w:r w:rsidRPr="00490EE1">
        <w:rPr>
          <w:sz w:val="20"/>
          <w:szCs w:val="20"/>
        </w:rPr>
        <w:t>Nijhoff</w:t>
      </w:r>
      <w:proofErr w:type="spellEnd"/>
      <w:r w:rsidRPr="00490EE1">
        <w:rPr>
          <w:sz w:val="20"/>
          <w:szCs w:val="20"/>
        </w:rPr>
        <w:t xml:space="preserve"> Publishers, 1991) 151–2</w:t>
      </w:r>
      <w:r w:rsidR="00EA7421" w:rsidRPr="00490EE1">
        <w:rPr>
          <w:sz w:val="20"/>
          <w:szCs w:val="20"/>
        </w:rPr>
        <w:t xml:space="preserve"> James W Houck, ‘</w:t>
      </w:r>
      <w:r w:rsidR="00EA7421" w:rsidRPr="00490EE1">
        <w:rPr>
          <w:i/>
          <w:sz w:val="20"/>
          <w:szCs w:val="20"/>
        </w:rPr>
        <w:t xml:space="preserve">Caroline </w:t>
      </w:r>
      <w:r w:rsidR="00EA7421" w:rsidRPr="00490EE1">
        <w:rPr>
          <w:sz w:val="20"/>
          <w:szCs w:val="20"/>
        </w:rPr>
        <w:t xml:space="preserve">Revisited: An Imagined Exchange between John Kerry and Mohammad </w:t>
      </w:r>
      <w:proofErr w:type="spellStart"/>
      <w:r w:rsidR="00EA7421" w:rsidRPr="00490EE1">
        <w:rPr>
          <w:sz w:val="20"/>
          <w:szCs w:val="20"/>
        </w:rPr>
        <w:t>Javad</w:t>
      </w:r>
      <w:proofErr w:type="spellEnd"/>
      <w:r w:rsidR="00EA7421" w:rsidRPr="00490EE1">
        <w:rPr>
          <w:sz w:val="20"/>
          <w:szCs w:val="20"/>
        </w:rPr>
        <w:t xml:space="preserve"> </w:t>
      </w:r>
      <w:proofErr w:type="spellStart"/>
      <w:r w:rsidR="00EA7421" w:rsidRPr="00490EE1">
        <w:rPr>
          <w:sz w:val="20"/>
          <w:szCs w:val="20"/>
        </w:rPr>
        <w:t>Zarif</w:t>
      </w:r>
      <w:proofErr w:type="spellEnd"/>
      <w:r w:rsidR="00EA7421" w:rsidRPr="00490EE1">
        <w:rPr>
          <w:sz w:val="20"/>
          <w:szCs w:val="20"/>
        </w:rPr>
        <w:t xml:space="preserve">’ (2013) 2 </w:t>
      </w:r>
      <w:r w:rsidR="00EA7421" w:rsidRPr="00490EE1">
        <w:rPr>
          <w:i/>
          <w:sz w:val="20"/>
          <w:szCs w:val="20"/>
        </w:rPr>
        <w:t>Penn State Journal of Law &amp; International Affairs</w:t>
      </w:r>
      <w:r w:rsidR="00EA7421" w:rsidRPr="00490EE1">
        <w:rPr>
          <w:sz w:val="20"/>
          <w:szCs w:val="20"/>
        </w:rPr>
        <w:t xml:space="preserve"> 293</w:t>
      </w:r>
      <w:r w:rsidR="00B64E4F">
        <w:rPr>
          <w:sz w:val="20"/>
          <w:szCs w:val="20"/>
        </w:rPr>
        <w:t>; Dennis R</w:t>
      </w:r>
      <w:r w:rsidR="009A5DAA" w:rsidRPr="00490EE1">
        <w:rPr>
          <w:sz w:val="20"/>
          <w:szCs w:val="20"/>
        </w:rPr>
        <w:t xml:space="preserve"> Schmidt and Luca Trenta, ‘Changes in the Law of Self-Defence? Drones, Imminence, and International Norm Dynamics’ (2018) 5 </w:t>
      </w:r>
      <w:r w:rsidR="009A5DAA" w:rsidRPr="00490EE1">
        <w:rPr>
          <w:i/>
          <w:sz w:val="20"/>
          <w:szCs w:val="20"/>
        </w:rPr>
        <w:t>Journal on the Use of Force and International Law</w:t>
      </w:r>
      <w:r w:rsidR="009A5DAA" w:rsidRPr="00490EE1">
        <w:rPr>
          <w:sz w:val="20"/>
          <w:szCs w:val="20"/>
        </w:rPr>
        <w:t xml:space="preserve"> 201.</w:t>
      </w:r>
    </w:p>
  </w:footnote>
  <w:footnote w:id="43">
    <w:p w:rsidR="00011A6C" w:rsidRPr="00490EE1" w:rsidRDefault="00011A6C" w:rsidP="00490EE1">
      <w:pPr>
        <w:pStyle w:val="FootnoteText"/>
        <w:jc w:val="both"/>
      </w:pPr>
      <w:r w:rsidRPr="00490EE1">
        <w:rPr>
          <w:rStyle w:val="FootnoteReference"/>
        </w:rPr>
        <w:footnoteRef/>
      </w:r>
      <w:r w:rsidR="00DC0B69" w:rsidRPr="00490EE1">
        <w:t xml:space="preserve"> Letter dated 27 July 1842 (n 7</w:t>
      </w:r>
      <w:r w:rsidRPr="00490EE1">
        <w:t>).</w:t>
      </w:r>
    </w:p>
  </w:footnote>
  <w:footnote w:id="44">
    <w:p w:rsidR="00011A6C" w:rsidRPr="00490EE1" w:rsidRDefault="00011A6C" w:rsidP="00490EE1">
      <w:pPr>
        <w:pStyle w:val="FootnoteText"/>
        <w:jc w:val="both"/>
      </w:pPr>
      <w:r w:rsidRPr="00490EE1">
        <w:rPr>
          <w:rStyle w:val="FootnoteReference"/>
        </w:rPr>
        <w:footnoteRef/>
      </w:r>
      <w:r w:rsidRPr="00490EE1">
        <w:t xml:space="preserve"> See, e.g. Jordan J </w:t>
      </w:r>
      <w:proofErr w:type="spellStart"/>
      <w:r w:rsidRPr="00490EE1">
        <w:t>Paust</w:t>
      </w:r>
      <w:proofErr w:type="spellEnd"/>
      <w:r w:rsidRPr="00490EE1">
        <w:t xml:space="preserve">, ‘Post-9/11 Overreaction and Fallacies Regarding War and Defence, Guantanamo, the Status of Persons, Treatment, Judicial Review of Detention, and Due Process in Military Commissions’ (2003-2004) 79 </w:t>
      </w:r>
      <w:r w:rsidRPr="00490EE1">
        <w:rPr>
          <w:i/>
        </w:rPr>
        <w:t>Notre Dame Law Review</w:t>
      </w:r>
      <w:r w:rsidRPr="00490EE1">
        <w:t xml:space="preserve"> 1335, 1345–6; </w:t>
      </w:r>
      <w:proofErr w:type="spellStart"/>
      <w:r w:rsidRPr="00490EE1">
        <w:t>Dinstein</w:t>
      </w:r>
      <w:proofErr w:type="spellEnd"/>
      <w:r w:rsidRPr="00490EE1">
        <w:t xml:space="preserve"> (n </w:t>
      </w:r>
      <w:r w:rsidR="00DC0B69" w:rsidRPr="00490EE1">
        <w:t>8</w:t>
      </w:r>
      <w:r w:rsidRPr="00490EE1">
        <w:t>) 225.</w:t>
      </w:r>
    </w:p>
  </w:footnote>
  <w:footnote w:id="45">
    <w:p w:rsidR="00011A6C" w:rsidRPr="00490EE1" w:rsidRDefault="00011A6C" w:rsidP="00490EE1">
      <w:pPr>
        <w:pStyle w:val="FootnoteText"/>
        <w:jc w:val="both"/>
      </w:pPr>
      <w:r w:rsidRPr="00490EE1">
        <w:rPr>
          <w:rStyle w:val="FootnoteReference"/>
        </w:rPr>
        <w:footnoteRef/>
      </w:r>
      <w:r w:rsidRPr="00490EE1">
        <w:t xml:space="preserve"> </w:t>
      </w:r>
      <w:r w:rsidR="00EA7421" w:rsidRPr="00490EE1">
        <w:t xml:space="preserve">Green (n </w:t>
      </w:r>
      <w:r w:rsidR="00DC0B69" w:rsidRPr="00490EE1">
        <w:t>38</w:t>
      </w:r>
      <w:r w:rsidR="00EA7421" w:rsidRPr="00490EE1">
        <w:t>) 114–6.</w:t>
      </w:r>
    </w:p>
  </w:footnote>
  <w:footnote w:id="46">
    <w:p w:rsidR="00011A6C" w:rsidRPr="00490EE1" w:rsidRDefault="00011A6C" w:rsidP="00490EE1">
      <w:pPr>
        <w:autoSpaceDE w:val="0"/>
        <w:autoSpaceDN w:val="0"/>
        <w:adjustRightInd w:val="0"/>
        <w:jc w:val="both"/>
        <w:rPr>
          <w:sz w:val="20"/>
          <w:szCs w:val="20"/>
          <w:highlight w:val="yellow"/>
        </w:rPr>
      </w:pPr>
      <w:r w:rsidRPr="00490EE1">
        <w:rPr>
          <w:rStyle w:val="FootnoteReference"/>
          <w:sz w:val="20"/>
          <w:szCs w:val="20"/>
        </w:rPr>
        <w:footnoteRef/>
      </w:r>
      <w:r w:rsidRPr="00490EE1">
        <w:rPr>
          <w:sz w:val="20"/>
          <w:szCs w:val="20"/>
        </w:rPr>
        <w:t xml:space="preserve"> See </w:t>
      </w:r>
      <w:r w:rsidR="004C386E" w:rsidRPr="00490EE1">
        <w:rPr>
          <w:sz w:val="20"/>
          <w:szCs w:val="20"/>
        </w:rPr>
        <w:t xml:space="preserve">Craig Martin, ‘Book Review: </w:t>
      </w:r>
      <w:r w:rsidR="004C386E" w:rsidRPr="00490EE1">
        <w:rPr>
          <w:i/>
          <w:sz w:val="20"/>
          <w:szCs w:val="20"/>
        </w:rPr>
        <w:t>Destroying the Caroline: The Frontier Raid That Reshaped the Right to War</w:t>
      </w:r>
      <w:r w:rsidR="004C386E" w:rsidRPr="00490EE1">
        <w:rPr>
          <w:sz w:val="20"/>
          <w:szCs w:val="20"/>
        </w:rPr>
        <w:t xml:space="preserve">. By Craig </w:t>
      </w:r>
      <w:proofErr w:type="spellStart"/>
      <w:r w:rsidR="004C386E" w:rsidRPr="00490EE1">
        <w:rPr>
          <w:sz w:val="20"/>
          <w:szCs w:val="20"/>
        </w:rPr>
        <w:t>Forcese</w:t>
      </w:r>
      <w:proofErr w:type="spellEnd"/>
      <w:r w:rsidR="004C386E" w:rsidRPr="00490EE1">
        <w:rPr>
          <w:sz w:val="20"/>
          <w:szCs w:val="20"/>
        </w:rPr>
        <w:t xml:space="preserve">. Toronto: Irwin Law, 2018. 369 pages’ (2018) 56 </w:t>
      </w:r>
      <w:r w:rsidR="004C386E" w:rsidRPr="00490EE1">
        <w:rPr>
          <w:i/>
          <w:sz w:val="20"/>
          <w:szCs w:val="20"/>
        </w:rPr>
        <w:t>The Canadian Yearbook of International Law</w:t>
      </w:r>
      <w:r w:rsidR="004C386E" w:rsidRPr="00490EE1">
        <w:rPr>
          <w:sz w:val="20"/>
          <w:szCs w:val="20"/>
        </w:rPr>
        <w:t xml:space="preserve"> 1, 5 (making a similar </w:t>
      </w:r>
      <w:r w:rsidRPr="00490EE1">
        <w:rPr>
          <w:sz w:val="20"/>
          <w:szCs w:val="20"/>
        </w:rPr>
        <w:t>point</w:t>
      </w:r>
      <w:r w:rsidR="004C386E" w:rsidRPr="00490EE1">
        <w:rPr>
          <w:sz w:val="20"/>
          <w:szCs w:val="20"/>
        </w:rPr>
        <w:t xml:space="preserve"> in his review of this book</w:t>
      </w:r>
      <w:r w:rsidRPr="00490EE1">
        <w:rPr>
          <w:sz w:val="20"/>
          <w:szCs w:val="20"/>
        </w:rPr>
        <w:t>: ‘while emphasizing that imminen</w:t>
      </w:r>
      <w:r w:rsidR="004C386E" w:rsidRPr="00490EE1">
        <w:rPr>
          <w:sz w:val="20"/>
          <w:szCs w:val="20"/>
        </w:rPr>
        <w:t xml:space="preserve">ce is the element that has been </w:t>
      </w:r>
      <w:r w:rsidRPr="00490EE1">
        <w:rPr>
          <w:sz w:val="20"/>
          <w:szCs w:val="20"/>
        </w:rPr>
        <w:t xml:space="preserve">most misunderstood and exploited, </w:t>
      </w:r>
      <w:proofErr w:type="spellStart"/>
      <w:r w:rsidRPr="00490EE1">
        <w:rPr>
          <w:sz w:val="20"/>
          <w:szCs w:val="20"/>
        </w:rPr>
        <w:t>Forcese</w:t>
      </w:r>
      <w:proofErr w:type="spellEnd"/>
      <w:r w:rsidRPr="00490EE1">
        <w:rPr>
          <w:sz w:val="20"/>
          <w:szCs w:val="20"/>
        </w:rPr>
        <w:t xml:space="preserve"> does not explore in detail the full extent of that distortion’).</w:t>
      </w:r>
    </w:p>
  </w:footnote>
  <w:footnote w:id="47">
    <w:p w:rsidR="00577AAE" w:rsidRPr="00490EE1" w:rsidRDefault="00353B31" w:rsidP="00490EE1">
      <w:pPr>
        <w:autoSpaceDE w:val="0"/>
        <w:autoSpaceDN w:val="0"/>
        <w:adjustRightInd w:val="0"/>
        <w:jc w:val="both"/>
        <w:rPr>
          <w:bCs/>
          <w:sz w:val="20"/>
          <w:szCs w:val="20"/>
        </w:rPr>
      </w:pPr>
      <w:r w:rsidRPr="00490EE1">
        <w:rPr>
          <w:rStyle w:val="FootnoteReference"/>
          <w:sz w:val="20"/>
          <w:szCs w:val="20"/>
        </w:rPr>
        <w:footnoteRef/>
      </w:r>
      <w:r w:rsidRPr="00490EE1">
        <w:rPr>
          <w:sz w:val="20"/>
          <w:szCs w:val="20"/>
        </w:rPr>
        <w:t xml:space="preserve"> </w:t>
      </w:r>
      <w:r w:rsidR="00577AAE" w:rsidRPr="00490EE1">
        <w:rPr>
          <w:sz w:val="20"/>
          <w:szCs w:val="20"/>
        </w:rPr>
        <w:t xml:space="preserve">See, generally, e.g. Ashley </w:t>
      </w:r>
      <w:proofErr w:type="spellStart"/>
      <w:r w:rsidR="00577AAE" w:rsidRPr="00490EE1">
        <w:rPr>
          <w:sz w:val="20"/>
          <w:szCs w:val="20"/>
        </w:rPr>
        <w:t>Deeks</w:t>
      </w:r>
      <w:proofErr w:type="spellEnd"/>
      <w:r w:rsidR="00577AAE" w:rsidRPr="00490EE1">
        <w:rPr>
          <w:sz w:val="20"/>
          <w:szCs w:val="20"/>
        </w:rPr>
        <w:t>, ‘</w:t>
      </w:r>
      <w:r w:rsidR="00577AAE" w:rsidRPr="00490EE1">
        <w:rPr>
          <w:bCs/>
          <w:sz w:val="20"/>
          <w:szCs w:val="20"/>
        </w:rPr>
        <w:t>“Unwilling or Unable”: Toward a Normative Framework for Extraterritorial Self-</w:t>
      </w:r>
      <w:proofErr w:type="spellStart"/>
      <w:r w:rsidR="00577AAE" w:rsidRPr="00490EE1">
        <w:rPr>
          <w:bCs/>
          <w:sz w:val="20"/>
          <w:szCs w:val="20"/>
        </w:rPr>
        <w:t>Defense</w:t>
      </w:r>
      <w:proofErr w:type="spellEnd"/>
      <w:r w:rsidR="00577AAE" w:rsidRPr="00490EE1">
        <w:rPr>
          <w:bCs/>
          <w:sz w:val="20"/>
          <w:szCs w:val="20"/>
        </w:rPr>
        <w:t xml:space="preserve">’ (2012) 52 </w:t>
      </w:r>
      <w:r w:rsidR="00577AAE" w:rsidRPr="00490EE1">
        <w:rPr>
          <w:bCs/>
          <w:i/>
          <w:sz w:val="20"/>
          <w:szCs w:val="20"/>
        </w:rPr>
        <w:t xml:space="preserve">Virginia Journal of International Law </w:t>
      </w:r>
      <w:r w:rsidR="00577AAE" w:rsidRPr="00490EE1">
        <w:rPr>
          <w:bCs/>
          <w:sz w:val="20"/>
          <w:szCs w:val="20"/>
        </w:rPr>
        <w:t xml:space="preserve">483; </w:t>
      </w:r>
      <w:r w:rsidR="00577AAE" w:rsidRPr="00490EE1">
        <w:rPr>
          <w:sz w:val="20"/>
          <w:szCs w:val="20"/>
        </w:rPr>
        <w:t xml:space="preserve">Olivier </w:t>
      </w:r>
      <w:proofErr w:type="spellStart"/>
      <w:r w:rsidR="00577AAE" w:rsidRPr="00490EE1">
        <w:rPr>
          <w:sz w:val="20"/>
          <w:szCs w:val="20"/>
        </w:rPr>
        <w:t>Corten</w:t>
      </w:r>
      <w:proofErr w:type="spellEnd"/>
      <w:r w:rsidR="00577AAE" w:rsidRPr="00490EE1">
        <w:rPr>
          <w:sz w:val="20"/>
          <w:szCs w:val="20"/>
        </w:rPr>
        <w:t>, ‘</w:t>
      </w:r>
      <w:r w:rsidR="00577AAE" w:rsidRPr="00490EE1">
        <w:rPr>
          <w:bCs/>
          <w:sz w:val="20"/>
          <w:szCs w:val="20"/>
        </w:rPr>
        <w:t xml:space="preserve">The “Unwilling or Unable” Test: Has it </w:t>
      </w:r>
      <w:proofErr w:type="gramStart"/>
      <w:r w:rsidR="00577AAE" w:rsidRPr="00490EE1">
        <w:rPr>
          <w:bCs/>
          <w:sz w:val="20"/>
          <w:szCs w:val="20"/>
        </w:rPr>
        <w:t>Been</w:t>
      </w:r>
      <w:proofErr w:type="gramEnd"/>
      <w:r w:rsidR="00577AAE" w:rsidRPr="00490EE1">
        <w:rPr>
          <w:bCs/>
          <w:sz w:val="20"/>
          <w:szCs w:val="20"/>
        </w:rPr>
        <w:t>, and Could it be, Accepted?’ (2016) 29</w:t>
      </w:r>
      <w:r w:rsidR="00577AAE" w:rsidRPr="00490EE1">
        <w:rPr>
          <w:b/>
          <w:bCs/>
          <w:sz w:val="20"/>
          <w:szCs w:val="20"/>
        </w:rPr>
        <w:t xml:space="preserve"> </w:t>
      </w:r>
      <w:r w:rsidR="00577AAE" w:rsidRPr="00490EE1">
        <w:rPr>
          <w:i/>
          <w:sz w:val="20"/>
          <w:szCs w:val="20"/>
        </w:rPr>
        <w:t>Leiden Journal of International Law</w:t>
      </w:r>
      <w:r w:rsidR="00577AAE" w:rsidRPr="00490EE1">
        <w:rPr>
          <w:sz w:val="20"/>
          <w:szCs w:val="20"/>
        </w:rPr>
        <w:t xml:space="preserve"> 777;</w:t>
      </w:r>
      <w:r w:rsidR="00577AAE" w:rsidRPr="00490EE1">
        <w:rPr>
          <w:bCs/>
          <w:sz w:val="20"/>
          <w:szCs w:val="20"/>
        </w:rPr>
        <w:t xml:space="preserve"> </w:t>
      </w:r>
      <w:r w:rsidR="00577AAE" w:rsidRPr="00490EE1">
        <w:rPr>
          <w:sz w:val="20"/>
          <w:szCs w:val="20"/>
        </w:rPr>
        <w:t xml:space="preserve">Kimberley N Trapp, ‘Actor-Pluralism, the “Turn to Responsibility” and the </w:t>
      </w:r>
      <w:r w:rsidR="00577AAE" w:rsidRPr="00490EE1">
        <w:rPr>
          <w:i/>
          <w:sz w:val="20"/>
          <w:szCs w:val="20"/>
        </w:rPr>
        <w:t>Jus ad Bellum</w:t>
      </w:r>
      <w:r w:rsidR="00577AAE" w:rsidRPr="00490EE1">
        <w:rPr>
          <w:sz w:val="20"/>
          <w:szCs w:val="20"/>
        </w:rPr>
        <w:t>: “Unwilling or Unable” in Context</w:t>
      </w:r>
      <w:r w:rsidR="00717771">
        <w:rPr>
          <w:sz w:val="20"/>
          <w:szCs w:val="20"/>
        </w:rPr>
        <w:t>’</w:t>
      </w:r>
      <w:bookmarkStart w:id="0" w:name="_GoBack"/>
      <w:bookmarkEnd w:id="0"/>
      <w:r w:rsidR="00577AAE" w:rsidRPr="00490EE1">
        <w:rPr>
          <w:sz w:val="20"/>
          <w:szCs w:val="20"/>
        </w:rPr>
        <w:t xml:space="preserve"> (2015) 2 </w:t>
      </w:r>
      <w:r w:rsidR="00577AAE" w:rsidRPr="00490EE1">
        <w:rPr>
          <w:i/>
          <w:sz w:val="20"/>
          <w:szCs w:val="20"/>
        </w:rPr>
        <w:t>Journal on the Use of Force and International Law</w:t>
      </w:r>
      <w:r w:rsidR="00577AAE" w:rsidRPr="00490EE1">
        <w:rPr>
          <w:sz w:val="20"/>
          <w:szCs w:val="20"/>
        </w:rPr>
        <w:t xml:space="preserve"> 199;</w:t>
      </w:r>
      <w:r w:rsidR="00577AAE" w:rsidRPr="00490EE1">
        <w:rPr>
          <w:bCs/>
          <w:sz w:val="20"/>
          <w:szCs w:val="20"/>
        </w:rPr>
        <w:t xml:space="preserve"> </w:t>
      </w:r>
      <w:r w:rsidR="00577AAE" w:rsidRPr="00490EE1">
        <w:rPr>
          <w:sz w:val="20"/>
          <w:szCs w:val="20"/>
        </w:rPr>
        <w:t xml:space="preserve">Craig Martin, ‘Challenging and Refining the “Unwilling or Unable” Doctrine’ (2019) 52 </w:t>
      </w:r>
      <w:r w:rsidR="00577AAE" w:rsidRPr="00490EE1">
        <w:rPr>
          <w:i/>
          <w:sz w:val="20"/>
          <w:szCs w:val="20"/>
        </w:rPr>
        <w:t>Vanderbilt Journal of Transnational Law</w:t>
      </w:r>
      <w:r w:rsidR="00577AAE" w:rsidRPr="00490EE1">
        <w:rPr>
          <w:sz w:val="20"/>
          <w:szCs w:val="20"/>
        </w:rPr>
        <w:t xml:space="preserve"> 387.</w:t>
      </w:r>
    </w:p>
    <w:p w:rsidR="00353B31" w:rsidRPr="00490EE1" w:rsidRDefault="00353B31" w:rsidP="00490EE1">
      <w:pPr>
        <w:pStyle w:val="FootnoteText"/>
        <w:jc w:val="both"/>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val="bestFit" w:percent="148"/>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16688"/>
    <w:rsid w:val="00001B12"/>
    <w:rsid w:val="00011A6C"/>
    <w:rsid w:val="00014C8C"/>
    <w:rsid w:val="000248B3"/>
    <w:rsid w:val="00062DFA"/>
    <w:rsid w:val="0009682B"/>
    <w:rsid w:val="0009761D"/>
    <w:rsid w:val="00097EE4"/>
    <w:rsid w:val="000E1EFE"/>
    <w:rsid w:val="000F7E7D"/>
    <w:rsid w:val="0010377F"/>
    <w:rsid w:val="00161CB9"/>
    <w:rsid w:val="00180281"/>
    <w:rsid w:val="001A794F"/>
    <w:rsid w:val="001D53AD"/>
    <w:rsid w:val="001E2876"/>
    <w:rsid w:val="002015AE"/>
    <w:rsid w:val="0020629E"/>
    <w:rsid w:val="00217D7B"/>
    <w:rsid w:val="0023623F"/>
    <w:rsid w:val="002714D2"/>
    <w:rsid w:val="002716B9"/>
    <w:rsid w:val="002A6B84"/>
    <w:rsid w:val="002C2B84"/>
    <w:rsid w:val="002D1C73"/>
    <w:rsid w:val="002E0847"/>
    <w:rsid w:val="002E10EB"/>
    <w:rsid w:val="002E12C2"/>
    <w:rsid w:val="00316688"/>
    <w:rsid w:val="00327179"/>
    <w:rsid w:val="00336A89"/>
    <w:rsid w:val="00353B31"/>
    <w:rsid w:val="00363DB4"/>
    <w:rsid w:val="00382A53"/>
    <w:rsid w:val="003971D6"/>
    <w:rsid w:val="003A5CAB"/>
    <w:rsid w:val="003C2B28"/>
    <w:rsid w:val="00475E26"/>
    <w:rsid w:val="0048321E"/>
    <w:rsid w:val="00490EE1"/>
    <w:rsid w:val="004B5397"/>
    <w:rsid w:val="004B7681"/>
    <w:rsid w:val="004C386E"/>
    <w:rsid w:val="004D7C8A"/>
    <w:rsid w:val="004E2371"/>
    <w:rsid w:val="00551494"/>
    <w:rsid w:val="00577AAE"/>
    <w:rsid w:val="005B6895"/>
    <w:rsid w:val="005F7A87"/>
    <w:rsid w:val="0060491A"/>
    <w:rsid w:val="00606696"/>
    <w:rsid w:val="00614858"/>
    <w:rsid w:val="0061583B"/>
    <w:rsid w:val="006514BD"/>
    <w:rsid w:val="006524A9"/>
    <w:rsid w:val="00674E87"/>
    <w:rsid w:val="006806E0"/>
    <w:rsid w:val="0068288B"/>
    <w:rsid w:val="0068510D"/>
    <w:rsid w:val="006A6080"/>
    <w:rsid w:val="006B173D"/>
    <w:rsid w:val="006B469C"/>
    <w:rsid w:val="006E44BF"/>
    <w:rsid w:val="007031F8"/>
    <w:rsid w:val="00717771"/>
    <w:rsid w:val="00723C6F"/>
    <w:rsid w:val="007304FC"/>
    <w:rsid w:val="0073326B"/>
    <w:rsid w:val="00741C9D"/>
    <w:rsid w:val="007477CF"/>
    <w:rsid w:val="00776B0B"/>
    <w:rsid w:val="00794BB3"/>
    <w:rsid w:val="007A1BAC"/>
    <w:rsid w:val="007A6A75"/>
    <w:rsid w:val="007B7A67"/>
    <w:rsid w:val="007E39B4"/>
    <w:rsid w:val="007E3C8E"/>
    <w:rsid w:val="007F6CDD"/>
    <w:rsid w:val="008022A7"/>
    <w:rsid w:val="008124C4"/>
    <w:rsid w:val="00832B67"/>
    <w:rsid w:val="00835BF1"/>
    <w:rsid w:val="0083797E"/>
    <w:rsid w:val="008A4B95"/>
    <w:rsid w:val="008A5E23"/>
    <w:rsid w:val="008A679F"/>
    <w:rsid w:val="0092792E"/>
    <w:rsid w:val="009640E9"/>
    <w:rsid w:val="00965276"/>
    <w:rsid w:val="00984EEA"/>
    <w:rsid w:val="009A5DAA"/>
    <w:rsid w:val="009C566F"/>
    <w:rsid w:val="009C7C17"/>
    <w:rsid w:val="009D5D9C"/>
    <w:rsid w:val="00A0275F"/>
    <w:rsid w:val="00A45010"/>
    <w:rsid w:val="00A82042"/>
    <w:rsid w:val="00A90C19"/>
    <w:rsid w:val="00A9441A"/>
    <w:rsid w:val="00AA6A1B"/>
    <w:rsid w:val="00AC3D4D"/>
    <w:rsid w:val="00AF1EDE"/>
    <w:rsid w:val="00B64E4F"/>
    <w:rsid w:val="00B77D1D"/>
    <w:rsid w:val="00B81B1C"/>
    <w:rsid w:val="00B90A85"/>
    <w:rsid w:val="00BC17E1"/>
    <w:rsid w:val="00BC7BE2"/>
    <w:rsid w:val="00BD6908"/>
    <w:rsid w:val="00C3004C"/>
    <w:rsid w:val="00C31C45"/>
    <w:rsid w:val="00CB17F1"/>
    <w:rsid w:val="00D04739"/>
    <w:rsid w:val="00D431D7"/>
    <w:rsid w:val="00D530C1"/>
    <w:rsid w:val="00D53710"/>
    <w:rsid w:val="00D53C55"/>
    <w:rsid w:val="00D6058E"/>
    <w:rsid w:val="00D61707"/>
    <w:rsid w:val="00DA112C"/>
    <w:rsid w:val="00DC0B69"/>
    <w:rsid w:val="00DC3A21"/>
    <w:rsid w:val="00DD21F0"/>
    <w:rsid w:val="00DE02B9"/>
    <w:rsid w:val="00DE1574"/>
    <w:rsid w:val="00DE2C72"/>
    <w:rsid w:val="00E1614C"/>
    <w:rsid w:val="00E2277E"/>
    <w:rsid w:val="00E518D0"/>
    <w:rsid w:val="00E95640"/>
    <w:rsid w:val="00EA065F"/>
    <w:rsid w:val="00EA7421"/>
    <w:rsid w:val="00EF4035"/>
    <w:rsid w:val="00F42AC5"/>
    <w:rsid w:val="00FC0046"/>
    <w:rsid w:val="00FE08FF"/>
    <w:rsid w:val="00FF035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EB627339-07F5-40A7-A60F-0FC316DB86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heme="minorHAnsi" w:hAnsi="Times New Roman" w:cs="Times New Roman"/>
        <w:sz w:val="24"/>
        <w:szCs w:val="24"/>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semiHidden/>
    <w:rsid w:val="00B90A85"/>
    <w:rPr>
      <w:rFonts w:eastAsia="Times New Roman"/>
      <w:sz w:val="20"/>
      <w:szCs w:val="20"/>
      <w:lang w:eastAsia="en-GB"/>
    </w:rPr>
  </w:style>
  <w:style w:type="character" w:customStyle="1" w:styleId="FootnoteTextChar">
    <w:name w:val="Footnote Text Char"/>
    <w:basedOn w:val="DefaultParagraphFont"/>
    <w:link w:val="FootnoteText"/>
    <w:semiHidden/>
    <w:rsid w:val="00B90A85"/>
    <w:rPr>
      <w:rFonts w:eastAsia="Times New Roman"/>
      <w:sz w:val="20"/>
      <w:szCs w:val="20"/>
      <w:lang w:eastAsia="en-GB"/>
    </w:rPr>
  </w:style>
  <w:style w:type="character" w:styleId="FootnoteReference">
    <w:name w:val="footnote reference"/>
    <w:semiHidden/>
    <w:rsid w:val="00B90A85"/>
    <w:rPr>
      <w:vertAlign w:val="superscript"/>
    </w:rPr>
  </w:style>
  <w:style w:type="paragraph" w:styleId="Header">
    <w:name w:val="header"/>
    <w:basedOn w:val="Normal"/>
    <w:link w:val="HeaderChar"/>
    <w:uiPriority w:val="99"/>
    <w:unhideWhenUsed/>
    <w:rsid w:val="00E95640"/>
    <w:pPr>
      <w:tabs>
        <w:tab w:val="center" w:pos="4513"/>
        <w:tab w:val="right" w:pos="9026"/>
      </w:tabs>
    </w:pPr>
  </w:style>
  <w:style w:type="character" w:customStyle="1" w:styleId="HeaderChar">
    <w:name w:val="Header Char"/>
    <w:basedOn w:val="DefaultParagraphFont"/>
    <w:link w:val="Header"/>
    <w:uiPriority w:val="99"/>
    <w:rsid w:val="00E95640"/>
  </w:style>
  <w:style w:type="paragraph" w:styleId="Footer">
    <w:name w:val="footer"/>
    <w:basedOn w:val="Normal"/>
    <w:link w:val="FooterChar"/>
    <w:uiPriority w:val="99"/>
    <w:unhideWhenUsed/>
    <w:rsid w:val="00E95640"/>
    <w:pPr>
      <w:tabs>
        <w:tab w:val="center" w:pos="4513"/>
        <w:tab w:val="right" w:pos="9026"/>
      </w:tabs>
    </w:pPr>
  </w:style>
  <w:style w:type="character" w:customStyle="1" w:styleId="FooterChar">
    <w:name w:val="Footer Char"/>
    <w:basedOn w:val="DefaultParagraphFont"/>
    <w:link w:val="Footer"/>
    <w:uiPriority w:val="99"/>
    <w:rsid w:val="00E95640"/>
  </w:style>
  <w:style w:type="character" w:styleId="Hyperlink">
    <w:name w:val="Hyperlink"/>
    <w:basedOn w:val="DefaultParagraphFont"/>
    <w:uiPriority w:val="99"/>
    <w:unhideWhenUsed/>
    <w:rsid w:val="00AF1EDE"/>
    <w:rPr>
      <w:color w:val="00B0F0"/>
      <w:u w:val="none"/>
    </w:rPr>
  </w:style>
  <w:style w:type="character" w:customStyle="1" w:styleId="apple-converted-space">
    <w:name w:val="apple-converted-space"/>
    <w:basedOn w:val="DefaultParagraphFont"/>
    <w:rsid w:val="00363DB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j.a.green@reading.ac.uk"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2" Type="http://schemas.openxmlformats.org/officeDocument/2006/relationships/hyperlink" Target="http://www.lawfareblog.com/carolineaffair" TargetMode="External"/><Relationship Id="rId1" Type="http://schemas.openxmlformats.org/officeDocument/2006/relationships/hyperlink" Target="https://opil.ouplaw.com/view/10.1093/law:epil/9780199231690/law-9780199231690-e261?prd=EPI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ED57D6A-3216-49E2-B035-DF8A5BAEED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39</TotalTime>
  <Pages>12</Pages>
  <Words>3278</Words>
  <Characters>18691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Green</dc:creator>
  <cp:keywords/>
  <dc:description/>
  <cp:lastModifiedBy>James Green</cp:lastModifiedBy>
  <cp:revision>8</cp:revision>
  <dcterms:created xsi:type="dcterms:W3CDTF">2019-09-23T15:27:00Z</dcterms:created>
  <dcterms:modified xsi:type="dcterms:W3CDTF">2019-09-24T06:35:00Z</dcterms:modified>
</cp:coreProperties>
</file>