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8A54D" w14:textId="77777777" w:rsidR="00BE6391" w:rsidRPr="00051771" w:rsidRDefault="00BE6391" w:rsidP="00BE6391">
      <w:pPr>
        <w:jc w:val="center"/>
        <w:rPr>
          <w:b/>
          <w:smallCaps/>
          <w:u w:val="single"/>
        </w:rPr>
      </w:pPr>
      <w:r w:rsidRPr="00051771">
        <w:rPr>
          <w:b/>
          <w:smallCaps/>
          <w:u w:val="single"/>
        </w:rPr>
        <w:t>The Great African War and the Intervention by Uganda</w:t>
      </w:r>
      <w:r w:rsidR="0068518E" w:rsidRPr="00051771">
        <w:rPr>
          <w:b/>
          <w:smallCaps/>
          <w:u w:val="single"/>
        </w:rPr>
        <w:t xml:space="preserve"> and </w:t>
      </w:r>
      <w:r w:rsidRPr="00051771">
        <w:rPr>
          <w:b/>
          <w:smallCaps/>
          <w:u w:val="single"/>
        </w:rPr>
        <w:t xml:space="preserve">Rwanda in the Democratic Republic of Congo </w:t>
      </w:r>
      <w:r w:rsidR="002D084D" w:rsidRPr="00051771">
        <w:rPr>
          <w:b/>
          <w:smallCaps/>
          <w:u w:val="single"/>
        </w:rPr>
        <w:t xml:space="preserve">– </w:t>
      </w:r>
      <w:r w:rsidRPr="00051771">
        <w:rPr>
          <w:b/>
          <w:smallCaps/>
          <w:u w:val="single"/>
        </w:rPr>
        <w:t>1998-2003</w:t>
      </w:r>
    </w:p>
    <w:p w14:paraId="298A33B2" w14:textId="77777777" w:rsidR="00BE6391" w:rsidRPr="00B0207F" w:rsidRDefault="00BE6391" w:rsidP="00A24EB6">
      <w:pPr>
        <w:jc w:val="both"/>
        <w:rPr>
          <w:b/>
        </w:rPr>
      </w:pPr>
    </w:p>
    <w:p w14:paraId="35EDFA66" w14:textId="77777777" w:rsidR="00BE6391" w:rsidRPr="00B0207F" w:rsidRDefault="00BE6391" w:rsidP="00BE6391">
      <w:pPr>
        <w:jc w:val="center"/>
      </w:pPr>
      <w:r w:rsidRPr="00B0207F">
        <w:t>James A Green</w:t>
      </w:r>
      <w:r w:rsidR="00A11383" w:rsidRPr="00B0207F">
        <w:rPr>
          <w:rStyle w:val="FootnoteReference"/>
        </w:rPr>
        <w:footnoteReference w:customMarkFollows="1" w:id="1"/>
        <w:sym w:font="Symbol" w:char="F02A"/>
      </w:r>
    </w:p>
    <w:p w14:paraId="05ABEC05" w14:textId="77777777" w:rsidR="00BE6391" w:rsidRPr="00B0207F" w:rsidRDefault="00BE6391" w:rsidP="00A24EB6">
      <w:pPr>
        <w:jc w:val="both"/>
        <w:rPr>
          <w:b/>
        </w:rPr>
      </w:pPr>
    </w:p>
    <w:p w14:paraId="2F8A263A" w14:textId="77777777" w:rsidR="00AE308E" w:rsidRPr="002D084D" w:rsidRDefault="00B6790B" w:rsidP="006C7BCB">
      <w:pPr>
        <w:pStyle w:val="ListParagraph"/>
        <w:numPr>
          <w:ilvl w:val="0"/>
          <w:numId w:val="5"/>
        </w:numPr>
        <w:jc w:val="both"/>
        <w:rPr>
          <w:b/>
          <w:u w:val="single"/>
        </w:rPr>
      </w:pPr>
      <w:r w:rsidRPr="002D084D">
        <w:rPr>
          <w:b/>
          <w:u w:val="single"/>
        </w:rPr>
        <w:t>Facts and context</w:t>
      </w:r>
    </w:p>
    <w:p w14:paraId="61E95191" w14:textId="77777777" w:rsidR="00840BFB" w:rsidRPr="00B0207F" w:rsidRDefault="00840BFB" w:rsidP="00A24EB6">
      <w:pPr>
        <w:jc w:val="both"/>
      </w:pPr>
    </w:p>
    <w:p w14:paraId="4EEB00FD" w14:textId="77777777" w:rsidR="000F6EF0" w:rsidRPr="00B0207F" w:rsidRDefault="0068518E" w:rsidP="000F6EF0">
      <w:pPr>
        <w:jc w:val="both"/>
      </w:pPr>
      <w:r>
        <w:t>In early</w:t>
      </w:r>
      <w:r w:rsidR="00EA6D4C" w:rsidRPr="00B0207F">
        <w:t xml:space="preserve"> August 1998, troops of Uganda</w:t>
      </w:r>
      <w:r>
        <w:t xml:space="preserve"> and </w:t>
      </w:r>
      <w:r w:rsidR="00EA6D4C" w:rsidRPr="00B0207F">
        <w:t>Rwanda entered the territory of the Democratic Republic of Congo (DRC).</w:t>
      </w:r>
      <w:bookmarkStart w:id="0" w:name="_Ref473552502"/>
      <w:r w:rsidR="00840BFB" w:rsidRPr="00B0207F">
        <w:rPr>
          <w:rStyle w:val="FootnoteReference"/>
        </w:rPr>
        <w:footnoteReference w:id="2"/>
      </w:r>
      <w:bookmarkEnd w:id="0"/>
      <w:r w:rsidR="00840BFB" w:rsidRPr="00B0207F">
        <w:rPr>
          <w:rStyle w:val="FootnoteReference"/>
        </w:rPr>
        <w:t xml:space="preserve"> </w:t>
      </w:r>
      <w:r w:rsidR="00840BFB" w:rsidRPr="00B0207F">
        <w:t xml:space="preserve"> </w:t>
      </w:r>
      <w:r w:rsidR="000F6EF0" w:rsidRPr="00B0207F">
        <w:t xml:space="preserve">These forces joined with troops from those </w:t>
      </w:r>
      <w:r w:rsidR="00D90867">
        <w:t xml:space="preserve">two </w:t>
      </w:r>
      <w:r w:rsidR="00BD6658" w:rsidRPr="00B0207F">
        <w:t>S</w:t>
      </w:r>
      <w:r w:rsidR="000F6EF0" w:rsidRPr="00B0207F">
        <w:t>tates that were already present in the DRC</w:t>
      </w:r>
      <w:r w:rsidR="00840BFB" w:rsidRPr="00B0207F">
        <w:t xml:space="preserve">, adding significantly to the numbers of foreign troops in the country, and </w:t>
      </w:r>
      <w:r w:rsidR="0013197E" w:rsidRPr="00B0207F">
        <w:t>turning increasing tensions into</w:t>
      </w:r>
      <w:r w:rsidR="00840BFB" w:rsidRPr="00B0207F">
        <w:t xml:space="preserve"> </w:t>
      </w:r>
      <w:r w:rsidR="00BD6658" w:rsidRPr="00B0207F">
        <w:t xml:space="preserve">a </w:t>
      </w:r>
      <w:r w:rsidR="00840BFB" w:rsidRPr="00B0207F">
        <w:t>full-scale armed conflict</w:t>
      </w:r>
      <w:r w:rsidR="000F6EF0" w:rsidRPr="00B0207F">
        <w:t>.  So began the Great African War (also known as the Second Congo War).</w:t>
      </w:r>
      <w:r w:rsidR="007076FF" w:rsidRPr="00B0207F">
        <w:rPr>
          <w:rStyle w:val="FootnoteReference"/>
        </w:rPr>
        <w:footnoteReference w:id="3"/>
      </w:r>
      <w:r w:rsidR="000F6EF0" w:rsidRPr="00B0207F">
        <w:t xml:space="preserve">  For the second time in as many years, the DRC was plunged into </w:t>
      </w:r>
      <w:r w:rsidR="007076FF" w:rsidRPr="00B0207F">
        <w:t xml:space="preserve">war: the </w:t>
      </w:r>
      <w:r w:rsidR="00BD6658" w:rsidRPr="00B0207F">
        <w:t>conflict began</w:t>
      </w:r>
      <w:r w:rsidR="000F6EF0" w:rsidRPr="00B0207F">
        <w:t xml:space="preserve"> barely a year after the end of the First Congo War (1996-1997).</w:t>
      </w:r>
      <w:r w:rsidR="00430CB9" w:rsidRPr="00B0207F">
        <w:rPr>
          <w:rStyle w:val="FootnoteReference"/>
        </w:rPr>
        <w:footnoteReference w:id="4"/>
      </w:r>
      <w:r w:rsidR="000F6EF0" w:rsidRPr="00B0207F">
        <w:t xml:space="preserve">  The Great African War </w:t>
      </w:r>
      <w:r w:rsidR="00840BFB" w:rsidRPr="00B0207F">
        <w:t xml:space="preserve">is commonly said to have </w:t>
      </w:r>
      <w:r w:rsidR="007076FF" w:rsidRPr="00B0207F">
        <w:t>concluded</w:t>
      </w:r>
      <w:r w:rsidR="000F6EF0" w:rsidRPr="00B0207F">
        <w:t xml:space="preserve"> in Ju</w:t>
      </w:r>
      <w:r w:rsidR="00423A3C" w:rsidRPr="00B0207F">
        <w:t>ly</w:t>
      </w:r>
      <w:r w:rsidR="000F6EF0" w:rsidRPr="00B0207F">
        <w:t xml:space="preserve"> 2003 with the institution of </w:t>
      </w:r>
      <w:r w:rsidR="00423A3C" w:rsidRPr="00B0207F">
        <w:t>a</w:t>
      </w:r>
      <w:r w:rsidR="000F6EF0" w:rsidRPr="00B0207F">
        <w:t xml:space="preserve"> </w:t>
      </w:r>
      <w:r w:rsidR="00423A3C" w:rsidRPr="00B0207F">
        <w:t>t</w:t>
      </w:r>
      <w:r w:rsidR="000F6EF0" w:rsidRPr="00B0207F">
        <w:t xml:space="preserve">ransitional </w:t>
      </w:r>
      <w:r w:rsidR="00423A3C" w:rsidRPr="00B0207F">
        <w:t>g</w:t>
      </w:r>
      <w:r w:rsidR="000F6EF0" w:rsidRPr="00B0207F">
        <w:t xml:space="preserve">overnment </w:t>
      </w:r>
      <w:r w:rsidR="007076FF" w:rsidRPr="00B0207F">
        <w:t>and a notable reduction in the scale of hostilities</w:t>
      </w:r>
      <w:r w:rsidR="00840BFB" w:rsidRPr="00B0207F">
        <w:t>.</w:t>
      </w:r>
      <w:r w:rsidR="00BD6658" w:rsidRPr="00B0207F">
        <w:rPr>
          <w:rStyle w:val="FootnoteReference"/>
        </w:rPr>
        <w:footnoteReference w:id="5"/>
      </w:r>
      <w:r w:rsidR="00840BFB" w:rsidRPr="00B0207F">
        <w:t xml:space="preserve"> However, </w:t>
      </w:r>
      <w:r w:rsidR="007076FF" w:rsidRPr="00B0207F">
        <w:t xml:space="preserve">it is </w:t>
      </w:r>
      <w:r w:rsidR="00DA1038" w:rsidRPr="00B0207F">
        <w:t>important to keep in mind</w:t>
      </w:r>
      <w:r w:rsidR="007076FF" w:rsidRPr="00B0207F">
        <w:t xml:space="preserve"> that </w:t>
      </w:r>
      <w:r w:rsidR="0052638B">
        <w:t>non-international armed conflict(s)</w:t>
      </w:r>
      <w:r w:rsidR="000F6EF0" w:rsidRPr="00B0207F">
        <w:t xml:space="preserve"> </w:t>
      </w:r>
      <w:r w:rsidR="0052638B">
        <w:t xml:space="preserve">involving numerous rebel groups </w:t>
      </w:r>
      <w:r w:rsidR="00D90867">
        <w:t xml:space="preserve">have </w:t>
      </w:r>
      <w:r w:rsidR="00390CEA">
        <w:t>continued</w:t>
      </w:r>
      <w:r w:rsidR="00D90867">
        <w:t xml:space="preserve">, and </w:t>
      </w:r>
      <w:r w:rsidR="00390CEA">
        <w:t xml:space="preserve">are </w:t>
      </w:r>
      <w:r w:rsidR="008E1EAB">
        <w:t xml:space="preserve">still </w:t>
      </w:r>
      <w:r w:rsidR="00390CEA">
        <w:t>occurring</w:t>
      </w:r>
      <w:r w:rsidR="00390CEA" w:rsidRPr="00B0207F">
        <w:t xml:space="preserve"> </w:t>
      </w:r>
      <w:r w:rsidR="007076FF" w:rsidRPr="00B0207F">
        <w:t xml:space="preserve">in the DRC </w:t>
      </w:r>
      <w:r w:rsidR="00EC4637">
        <w:t>at</w:t>
      </w:r>
      <w:r w:rsidR="007076FF" w:rsidRPr="00B0207F">
        <w:t xml:space="preserve"> the </w:t>
      </w:r>
      <w:r>
        <w:t>time of writing</w:t>
      </w:r>
      <w:r w:rsidR="007076FF" w:rsidRPr="00B0207F">
        <w:t>.</w:t>
      </w:r>
      <w:r w:rsidR="00BD6658" w:rsidRPr="00B0207F">
        <w:rPr>
          <w:rStyle w:val="FootnoteReference"/>
        </w:rPr>
        <w:footnoteReference w:id="6"/>
      </w:r>
    </w:p>
    <w:p w14:paraId="2891D788" w14:textId="77777777" w:rsidR="007076FF" w:rsidRPr="00B0207F" w:rsidRDefault="007076FF" w:rsidP="00EA6D4C">
      <w:pPr>
        <w:jc w:val="both"/>
      </w:pPr>
    </w:p>
    <w:p w14:paraId="7E064C47" w14:textId="77777777" w:rsidR="00745B2A" w:rsidRDefault="007076FF" w:rsidP="00EA6D4C">
      <w:pPr>
        <w:jc w:val="both"/>
      </w:pPr>
      <w:r w:rsidRPr="00B0207F">
        <w:t xml:space="preserve">The use of force by </w:t>
      </w:r>
      <w:r w:rsidR="00840BFB" w:rsidRPr="00B0207F">
        <w:t>Uganda</w:t>
      </w:r>
      <w:r w:rsidR="0068518E">
        <w:t xml:space="preserve"> and</w:t>
      </w:r>
      <w:r w:rsidR="0068518E" w:rsidRPr="00B0207F">
        <w:t xml:space="preserve"> </w:t>
      </w:r>
      <w:r w:rsidR="00840BFB" w:rsidRPr="00B0207F">
        <w:t xml:space="preserve">Rwanda </w:t>
      </w:r>
      <w:r w:rsidRPr="00B0207F">
        <w:t xml:space="preserve">in </w:t>
      </w:r>
      <w:r w:rsidR="00BD6658" w:rsidRPr="00B0207F">
        <w:t xml:space="preserve">August </w:t>
      </w:r>
      <w:r w:rsidRPr="00B0207F">
        <w:t>1998 was</w:t>
      </w:r>
      <w:r w:rsidR="00EA6D4C" w:rsidRPr="00B0207F">
        <w:t xml:space="preserve"> in support of a number of rebel groups</w:t>
      </w:r>
      <w:r w:rsidR="00BD6658" w:rsidRPr="00B0207F">
        <w:t>,</w:t>
      </w:r>
      <w:r w:rsidR="00EA6D4C" w:rsidRPr="00B0207F">
        <w:t xml:space="preserve"> comprised largely of </w:t>
      </w:r>
      <w:r w:rsidR="00EA6D4C" w:rsidRPr="00B0207F">
        <w:rPr>
          <w:rStyle w:val="loose1"/>
          <w:color w:val="000000"/>
          <w:lang w:val="en"/>
          <w:specVanish w:val="0"/>
        </w:rPr>
        <w:t>Banyamulenge Tutsis</w:t>
      </w:r>
      <w:r w:rsidR="00BD6658" w:rsidRPr="00B0207F">
        <w:rPr>
          <w:rStyle w:val="loose1"/>
          <w:color w:val="000000"/>
          <w:lang w:val="en"/>
          <w:specVanish w:val="0"/>
        </w:rPr>
        <w:t>,</w:t>
      </w:r>
      <w:r w:rsidR="00EA6D4C" w:rsidRPr="00B0207F">
        <w:rPr>
          <w:rStyle w:val="FootnoteReference"/>
          <w:color w:val="000000"/>
          <w:lang w:val="en"/>
        </w:rPr>
        <w:footnoteReference w:id="7"/>
      </w:r>
      <w:r w:rsidR="00EA6D4C" w:rsidRPr="00B0207F">
        <w:t xml:space="preserve"> wh</w:t>
      </w:r>
      <w:r w:rsidR="002F5F79">
        <w:t>ich</w:t>
      </w:r>
      <w:r w:rsidR="00EA6D4C" w:rsidRPr="00B0207F">
        <w:t xml:space="preserve"> opposed the </w:t>
      </w:r>
      <w:r w:rsidR="00390CEA">
        <w:t>new</w:t>
      </w:r>
      <w:r w:rsidR="00390CEA" w:rsidRPr="00B0207F">
        <w:t xml:space="preserve"> </w:t>
      </w:r>
      <w:r w:rsidR="0068518E">
        <w:t>government</w:t>
      </w:r>
      <w:r w:rsidR="0068518E" w:rsidRPr="00B0207F">
        <w:t xml:space="preserve"> </w:t>
      </w:r>
      <w:r w:rsidR="00EA6D4C" w:rsidRPr="00B0207F">
        <w:t>of President Laurent Kabila.</w:t>
      </w:r>
      <w:bookmarkStart w:id="1" w:name="_Ref473552266"/>
      <w:r w:rsidR="00EA6D4C" w:rsidRPr="00B0207F">
        <w:rPr>
          <w:rStyle w:val="FootnoteReference"/>
        </w:rPr>
        <w:footnoteReference w:id="8"/>
      </w:r>
      <w:bookmarkEnd w:id="1"/>
      <w:r w:rsidR="00EA6D4C" w:rsidRPr="00B0207F">
        <w:t xml:space="preserve">  Fif</w:t>
      </w:r>
      <w:r w:rsidR="000F6EF0" w:rsidRPr="00B0207F">
        <w:t>teen months before</w:t>
      </w:r>
      <w:r w:rsidRPr="00B0207F">
        <w:t>, during the First Congo War</w:t>
      </w:r>
      <w:r w:rsidR="000F6EF0" w:rsidRPr="00B0207F">
        <w:t xml:space="preserve">, these same </w:t>
      </w:r>
      <w:r w:rsidR="003E280F" w:rsidRPr="00B0207F">
        <w:t>S</w:t>
      </w:r>
      <w:r w:rsidR="00EA6D4C" w:rsidRPr="00B0207F">
        <w:t xml:space="preserve">tates </w:t>
      </w:r>
      <w:r w:rsidR="003E280F" w:rsidRPr="00B0207F">
        <w:t xml:space="preserve">– most notably Rwanda – </w:t>
      </w:r>
      <w:r w:rsidR="00EA6D4C" w:rsidRPr="00B0207F">
        <w:t xml:space="preserve">had aided Kabila’s rise to power and the overthrow of the previous </w:t>
      </w:r>
      <w:r w:rsidR="003E280F" w:rsidRPr="00B0207F">
        <w:t>p</w:t>
      </w:r>
      <w:r w:rsidR="00EA6D4C" w:rsidRPr="00B0207F">
        <w:t>resident</w:t>
      </w:r>
      <w:r w:rsidR="0013197E" w:rsidRPr="00B0207F">
        <w:t xml:space="preserve"> of Zaire (as the DRC was named from 1971 to 1997)</w:t>
      </w:r>
      <w:r w:rsidR="00EA6D4C" w:rsidRPr="00B0207F">
        <w:t>, Mobutu Sese Seko.</w:t>
      </w:r>
      <w:bookmarkStart w:id="2" w:name="_Ref473552250"/>
      <w:r w:rsidR="00EA6D4C" w:rsidRPr="00B0207F">
        <w:rPr>
          <w:rStyle w:val="FootnoteReference"/>
        </w:rPr>
        <w:footnoteReference w:id="9"/>
      </w:r>
      <w:bookmarkEnd w:id="2"/>
      <w:r w:rsidRPr="00B0207F">
        <w:rPr>
          <w:b/>
        </w:rPr>
        <w:t xml:space="preserve">  </w:t>
      </w:r>
      <w:r w:rsidRPr="00B0207F">
        <w:t>O</w:t>
      </w:r>
      <w:r w:rsidR="00EA6D4C" w:rsidRPr="00B0207F">
        <w:t xml:space="preserve">nce he was in power, </w:t>
      </w:r>
      <w:r w:rsidRPr="00B0207F">
        <w:t xml:space="preserve">however, </w:t>
      </w:r>
      <w:r w:rsidR="00EA6D4C" w:rsidRPr="00B0207F">
        <w:t>Kabila began to pursue a more independent policy</w:t>
      </w:r>
      <w:r w:rsidR="00B33F00" w:rsidRPr="00B0207F">
        <w:t>, and began taking control of the State’s machinery.</w:t>
      </w:r>
      <w:r w:rsidR="00EA6D4C" w:rsidRPr="00B0207F">
        <w:t xml:space="preserve">  This fact, coupled with the increase in actions from various militant rebel groups operating from within the DRC against</w:t>
      </w:r>
      <w:r w:rsidR="007E7B25">
        <w:t xml:space="preserve"> neighbouring S</w:t>
      </w:r>
      <w:r w:rsidR="00EA6D4C" w:rsidRPr="00B0207F">
        <w:t>tates,</w:t>
      </w:r>
      <w:r w:rsidR="00EA6D4C" w:rsidRPr="00B0207F">
        <w:rPr>
          <w:rStyle w:val="FootnoteReference"/>
        </w:rPr>
        <w:footnoteReference w:id="10"/>
      </w:r>
      <w:r w:rsidR="00EA6D4C" w:rsidRPr="00B0207F">
        <w:t xml:space="preserve"> was </w:t>
      </w:r>
      <w:r w:rsidRPr="00B0207F">
        <w:t xml:space="preserve">seen by </w:t>
      </w:r>
      <w:r w:rsidR="00390CEA" w:rsidRPr="00B0207F">
        <w:t>Uganda</w:t>
      </w:r>
      <w:r w:rsidR="00390CEA">
        <w:t xml:space="preserve"> and</w:t>
      </w:r>
      <w:r w:rsidR="00390CEA" w:rsidRPr="00B0207F">
        <w:t xml:space="preserve"> Rwanda</w:t>
      </w:r>
      <w:r w:rsidR="00390CEA">
        <w:t xml:space="preserve"> </w:t>
      </w:r>
      <w:r w:rsidRPr="00B0207F">
        <w:t>as</w:t>
      </w:r>
      <w:r w:rsidR="00EA6D4C" w:rsidRPr="00B0207F">
        <w:t xml:space="preserve"> a thre</w:t>
      </w:r>
      <w:r w:rsidR="00840BFB" w:rsidRPr="00B0207F">
        <w:t>at to the</w:t>
      </w:r>
      <w:r w:rsidRPr="00B0207F">
        <w:t>ir security and territorial integrity</w:t>
      </w:r>
      <w:r w:rsidR="00EA6D4C" w:rsidRPr="00B0207F">
        <w:t>.</w:t>
      </w:r>
      <w:r w:rsidR="00EA6D4C" w:rsidRPr="00B0207F">
        <w:rPr>
          <w:b/>
        </w:rPr>
        <w:t xml:space="preserve">  </w:t>
      </w:r>
      <w:r w:rsidR="00745B2A" w:rsidRPr="00B0207F">
        <w:t xml:space="preserve">The former allies of the DRC’s newly installed president thus began aiding those in the DRC who sought to remove his fledgling government.  </w:t>
      </w:r>
    </w:p>
    <w:p w14:paraId="52A931C2" w14:textId="77777777" w:rsidR="00840BFB" w:rsidRPr="00B0207F" w:rsidRDefault="00745B2A" w:rsidP="00EA6D4C">
      <w:pPr>
        <w:jc w:val="both"/>
      </w:pPr>
      <w:r>
        <w:lastRenderedPageBreak/>
        <w:t>It should be noted that th</w:t>
      </w:r>
      <w:r w:rsidR="006D314E">
        <w:t xml:space="preserve">e DRC also alleged </w:t>
      </w:r>
      <w:r w:rsidR="008E1EAB">
        <w:t>the use of force in its territory</w:t>
      </w:r>
      <w:r w:rsidR="006D314E">
        <w:t xml:space="preserve"> by </w:t>
      </w:r>
      <w:r>
        <w:t>Burundi.</w:t>
      </w:r>
      <w:bookmarkStart w:id="3" w:name="_Ref473553244"/>
      <w:r>
        <w:rPr>
          <w:rStyle w:val="FootnoteReference"/>
        </w:rPr>
        <w:footnoteReference w:id="11"/>
      </w:r>
      <w:bookmarkEnd w:id="3"/>
      <w:r>
        <w:t xml:space="preserve">  W</w:t>
      </w:r>
      <w:r w:rsidR="006D314E">
        <w:t xml:space="preserve">hile </w:t>
      </w:r>
      <w:r w:rsidR="006D314E" w:rsidRPr="00F54D56">
        <w:t xml:space="preserve">Burundi </w:t>
      </w:r>
      <w:r w:rsidR="008E1EAB">
        <w:t xml:space="preserve">repeatedly </w:t>
      </w:r>
      <w:r w:rsidR="006D314E" w:rsidRPr="00F54D56">
        <w:t>denied this</w:t>
      </w:r>
      <w:r w:rsidRPr="00F54D56">
        <w:rPr>
          <w:rStyle w:val="FootnoteReference"/>
        </w:rPr>
        <w:footnoteReference w:id="12"/>
      </w:r>
      <w:r w:rsidR="006D314E" w:rsidRPr="00F54D56">
        <w:t xml:space="preserve"> </w:t>
      </w:r>
      <w:r w:rsidR="00CA6704" w:rsidRPr="00995355">
        <w:t>until 2001,</w:t>
      </w:r>
      <w:r w:rsidR="00CA6704" w:rsidRPr="00995355">
        <w:rPr>
          <w:rStyle w:val="FootnoteReference"/>
        </w:rPr>
        <w:footnoteReference w:id="13"/>
      </w:r>
      <w:r w:rsidR="00CA6704">
        <w:t xml:space="preserve"> </w:t>
      </w:r>
      <w:r w:rsidR="006D314E" w:rsidRPr="00F54D56">
        <w:t>there</w:t>
      </w:r>
      <w:r w:rsidR="006D314E">
        <w:t xml:space="preserve"> is convincing evidence that Burundian troops did engage in the territory of the DRC.</w:t>
      </w:r>
      <w:r>
        <w:rPr>
          <w:rStyle w:val="FootnoteReference"/>
        </w:rPr>
        <w:footnoteReference w:id="14"/>
      </w:r>
      <w:r w:rsidR="006D314E">
        <w:t xml:space="preserve">  However, </w:t>
      </w:r>
      <w:r>
        <w:t>the force used by Burundi was of</w:t>
      </w:r>
      <w:r w:rsidR="006D314E">
        <w:t xml:space="preserve"> a notably lowe</w:t>
      </w:r>
      <w:r>
        <w:t>r</w:t>
      </w:r>
      <w:r w:rsidR="006D314E">
        <w:t xml:space="preserve"> scale that that of Uganda and Rwanda (fluctuating between 1,000 to 2,000 troops during the height of hostilities), and was </w:t>
      </w:r>
      <w:r w:rsidR="00EF65B2">
        <w:t>confined</w:t>
      </w:r>
      <w:r w:rsidR="006D314E">
        <w:t xml:space="preserve"> to the Uvira-Baraka</w:t>
      </w:r>
      <w:r>
        <w:t>-</w:t>
      </w:r>
      <w:r w:rsidR="006D314E">
        <w:t>Fizi area.</w:t>
      </w:r>
      <w:r>
        <w:rPr>
          <w:rStyle w:val="FootnoteReference"/>
        </w:rPr>
        <w:footnoteReference w:id="15"/>
      </w:r>
    </w:p>
    <w:p w14:paraId="3FE6C3F5" w14:textId="77777777" w:rsidR="00840BFB" w:rsidRPr="00B0207F" w:rsidRDefault="00840BFB" w:rsidP="00EA6D4C">
      <w:pPr>
        <w:jc w:val="both"/>
      </w:pPr>
    </w:p>
    <w:p w14:paraId="12F857BD" w14:textId="113CE51D" w:rsidR="00EA6D4C" w:rsidRPr="00B0207F" w:rsidRDefault="00EA6D4C" w:rsidP="00EA6D4C">
      <w:pPr>
        <w:jc w:val="both"/>
      </w:pPr>
      <w:r w:rsidRPr="00B0207F">
        <w:t xml:space="preserve">Following the intervention </w:t>
      </w:r>
      <w:r w:rsidR="00797BA1">
        <w:t>by</w:t>
      </w:r>
      <w:r w:rsidRPr="00B0207F">
        <w:t xml:space="preserve"> </w:t>
      </w:r>
      <w:r w:rsidR="00745B2A">
        <w:t xml:space="preserve">the States supporting the rebels (notably </w:t>
      </w:r>
      <w:r w:rsidRPr="00B0207F">
        <w:t>Uganda</w:t>
      </w:r>
      <w:r w:rsidR="00EC4637">
        <w:t xml:space="preserve"> and</w:t>
      </w:r>
      <w:r w:rsidR="00EC4637" w:rsidRPr="00B0207F">
        <w:t xml:space="preserve"> </w:t>
      </w:r>
      <w:r w:rsidRPr="00B0207F">
        <w:t>Rwanda</w:t>
      </w:r>
      <w:r w:rsidR="00745B2A">
        <w:t>)</w:t>
      </w:r>
      <w:r w:rsidR="00EC4637">
        <w:t>,</w:t>
      </w:r>
      <w:r w:rsidR="006B4CBE" w:rsidDel="00EC4637">
        <w:t xml:space="preserve"> </w:t>
      </w:r>
      <w:r w:rsidR="00840BFB" w:rsidRPr="00B0207F">
        <w:t xml:space="preserve">other </w:t>
      </w:r>
      <w:r w:rsidR="003E280F" w:rsidRPr="00B0207F">
        <w:t>S</w:t>
      </w:r>
      <w:r w:rsidRPr="00B0207F">
        <w:t>tates</w:t>
      </w:r>
      <w:r w:rsidR="00745B2A">
        <w:t xml:space="preserve"> (</w:t>
      </w:r>
      <w:r w:rsidR="00EC4637">
        <w:t xml:space="preserve">namely </w:t>
      </w:r>
      <w:r w:rsidR="00430CB9" w:rsidRPr="00B0207F">
        <w:t>Angola, Zimbabwe</w:t>
      </w:r>
      <w:r w:rsidR="00840BFB" w:rsidRPr="00B0207F">
        <w:t>, Namibia and Chad</w:t>
      </w:r>
      <w:r w:rsidR="008E1EAB">
        <w:t>)</w:t>
      </w:r>
      <w:r w:rsidR="00840BFB" w:rsidRPr="00B0207F">
        <w:t xml:space="preserve"> </w:t>
      </w:r>
      <w:r w:rsidRPr="00B0207F">
        <w:t xml:space="preserve">initiated military action in </w:t>
      </w:r>
      <w:r w:rsidRPr="00B0207F">
        <w:rPr>
          <w:i/>
        </w:rPr>
        <w:t>support</w:t>
      </w:r>
      <w:r w:rsidRPr="00B0207F">
        <w:t xml:space="preserve"> of the Kabila Government, adding to the scale of the conflict.</w:t>
      </w:r>
      <w:bookmarkStart w:id="4" w:name="_Ref473553498"/>
      <w:r w:rsidR="003E280F" w:rsidRPr="00B0207F">
        <w:rPr>
          <w:rStyle w:val="FootnoteReference"/>
        </w:rPr>
        <w:footnoteReference w:id="16"/>
      </w:r>
      <w:bookmarkEnd w:id="4"/>
      <w:r w:rsidR="007E7B25">
        <w:t xml:space="preserve">  Each of these pro-government S</w:t>
      </w:r>
      <w:r w:rsidR="000E65BA" w:rsidRPr="00B0207F">
        <w:t xml:space="preserve">tates had differing reasons for entering the conflict, as did the </w:t>
      </w:r>
      <w:r w:rsidR="0013197E" w:rsidRPr="00B0207F">
        <w:t>S</w:t>
      </w:r>
      <w:r w:rsidR="000E65BA" w:rsidRPr="00B0207F">
        <w:t>tates that supported the rebels.</w:t>
      </w:r>
      <w:r w:rsidRPr="00B0207F">
        <w:rPr>
          <w:rStyle w:val="FootnoteReference"/>
        </w:rPr>
        <w:footnoteReference w:id="17"/>
      </w:r>
      <w:r w:rsidRPr="00B0207F">
        <w:t xml:space="preserve"> </w:t>
      </w:r>
      <w:r w:rsidR="000E65BA" w:rsidRPr="00B0207F">
        <w:t xml:space="preserve"> Broadly, however, it </w:t>
      </w:r>
      <w:r w:rsidR="002D084D">
        <w:t xml:space="preserve">has </w:t>
      </w:r>
      <w:r w:rsidR="000E2394" w:rsidRPr="00B0207F">
        <w:t xml:space="preserve">often </w:t>
      </w:r>
      <w:r w:rsidR="000E65BA" w:rsidRPr="00B0207F">
        <w:t xml:space="preserve">has been asserted that the presence of so many </w:t>
      </w:r>
      <w:r w:rsidR="0013197E" w:rsidRPr="00B0207F">
        <w:t>S</w:t>
      </w:r>
      <w:r w:rsidR="000E65BA" w:rsidRPr="00B0207F">
        <w:t>tate and non-</w:t>
      </w:r>
      <w:r w:rsidR="0013197E" w:rsidRPr="00B0207F">
        <w:t>S</w:t>
      </w:r>
      <w:r w:rsidR="000E65BA" w:rsidRPr="00B0207F">
        <w:t xml:space="preserve">tate armed groups in the DRC at the turn of the </w:t>
      </w:r>
      <w:r w:rsidR="00E85F39">
        <w:t>21st</w:t>
      </w:r>
      <w:r w:rsidR="000E2394" w:rsidRPr="00B0207F">
        <w:t xml:space="preserve"> </w:t>
      </w:r>
      <w:r w:rsidR="000E65BA" w:rsidRPr="00B0207F">
        <w:t xml:space="preserve">century was ultimately </w:t>
      </w:r>
      <w:r w:rsidR="000E2394" w:rsidRPr="00B0207F">
        <w:t>because of</w:t>
      </w:r>
      <w:r w:rsidR="000E65BA" w:rsidRPr="00B0207F">
        <w:t xml:space="preserve"> the </w:t>
      </w:r>
      <w:r w:rsidR="000E2394" w:rsidRPr="00B0207F">
        <w:t xml:space="preserve">allure of </w:t>
      </w:r>
      <w:r w:rsidR="000E65BA" w:rsidRPr="00B0207F">
        <w:t>DRC’s extensive mineral resources.</w:t>
      </w:r>
      <w:bookmarkStart w:id="5" w:name="_Ref473552418"/>
      <w:r w:rsidR="000E65BA" w:rsidRPr="00B0207F">
        <w:rPr>
          <w:rStyle w:val="FootnoteReference"/>
        </w:rPr>
        <w:footnoteReference w:id="18"/>
      </w:r>
      <w:bookmarkEnd w:id="5"/>
      <w:r w:rsidR="000E65BA" w:rsidRPr="00B0207F">
        <w:t xml:space="preserve">  This assertion is </w:t>
      </w:r>
      <w:r w:rsidR="000E2394" w:rsidRPr="00B0207F">
        <w:t xml:space="preserve">perhaps </w:t>
      </w:r>
      <w:r w:rsidR="0013197E" w:rsidRPr="00B0207F">
        <w:t xml:space="preserve">somewhat reductive (politics, ethnicity and security were all also crucial factors) </w:t>
      </w:r>
      <w:r w:rsidR="000E65BA" w:rsidRPr="00B0207F">
        <w:t xml:space="preserve">but </w:t>
      </w:r>
      <w:r w:rsidR="0013197E" w:rsidRPr="00B0207F">
        <w:t>undoubtedly</w:t>
      </w:r>
      <w:r w:rsidR="000E65BA" w:rsidRPr="00B0207F">
        <w:t xml:space="preserve"> </w:t>
      </w:r>
      <w:r w:rsidR="00D2109D">
        <w:t xml:space="preserve">is </w:t>
      </w:r>
      <w:r w:rsidR="000E65BA" w:rsidRPr="00B0207F">
        <w:t>true to an extent.</w:t>
      </w:r>
    </w:p>
    <w:p w14:paraId="5C4A96F2" w14:textId="77777777" w:rsidR="000E65BA" w:rsidRPr="00B0207F" w:rsidRDefault="000E65BA" w:rsidP="00A24EB6">
      <w:pPr>
        <w:jc w:val="both"/>
      </w:pPr>
    </w:p>
    <w:p w14:paraId="348D9EFA" w14:textId="77777777" w:rsidR="00E85F39" w:rsidRDefault="002F5F79" w:rsidP="00A24EB6">
      <w:pPr>
        <w:jc w:val="both"/>
      </w:pPr>
      <w:r>
        <w:t>The Great African War was ultimately incredibly complex</w:t>
      </w:r>
      <w:r w:rsidR="0052638B">
        <w:t>:</w:t>
      </w:r>
      <w:r>
        <w:t xml:space="preserve"> factually, politically, socially and, of course, legally.  It</w:t>
      </w:r>
      <w:r w:rsidR="00EF65B2">
        <w:t xml:space="preserve"> involved at least seven</w:t>
      </w:r>
      <w:r w:rsidRPr="00B0207F">
        <w:t xml:space="preserve"> State</w:t>
      </w:r>
      <w:r w:rsidR="000C7491">
        <w:t>s</w:t>
      </w:r>
      <w:r w:rsidRPr="00B0207F">
        <w:t xml:space="preserve"> and numerous </w:t>
      </w:r>
      <w:r>
        <w:t>non-State</w:t>
      </w:r>
      <w:r w:rsidRPr="00B0207F">
        <w:t xml:space="preserve"> armed groups</w:t>
      </w:r>
      <w:r>
        <w:t>, variously embroiled in ‘multiple international and non-international conflicts being fought concurrently on the Congo’s vast territory’.</w:t>
      </w:r>
      <w:bookmarkStart w:id="6" w:name="_Ref473560335"/>
      <w:r w:rsidR="0052638B">
        <w:rPr>
          <w:rStyle w:val="FootnoteReference"/>
        </w:rPr>
        <w:footnoteReference w:id="19"/>
      </w:r>
      <w:bookmarkEnd w:id="6"/>
      <w:r>
        <w:t xml:space="preserve">  Untangling the various aspects of the </w:t>
      </w:r>
      <w:r w:rsidR="00797BA1">
        <w:t>war</w:t>
      </w:r>
      <w:r>
        <w:t xml:space="preserve"> thus remains </w:t>
      </w:r>
      <w:r w:rsidR="0052638B">
        <w:t>a difficult task; the factual summary in this section is necessarily somewhat simplistic</w:t>
      </w:r>
      <w:r>
        <w:t xml:space="preserve">.  What is </w:t>
      </w:r>
      <w:r w:rsidR="0052638B">
        <w:t xml:space="preserve">certainly </w:t>
      </w:r>
      <w:r>
        <w:t>not in doubt</w:t>
      </w:r>
      <w:r w:rsidR="0052638B">
        <w:t>, however, and what must always be borne in mind when considering the conflict,</w:t>
      </w:r>
      <w:r>
        <w:t xml:space="preserve"> is</w:t>
      </w:r>
      <w:r w:rsidR="0052638B">
        <w:t xml:space="preserve"> its</w:t>
      </w:r>
      <w:r w:rsidR="000E2394" w:rsidRPr="00B0207F">
        <w:t xml:space="preserve"> </w:t>
      </w:r>
      <w:r w:rsidRPr="0052638B">
        <w:t>vast</w:t>
      </w:r>
      <w:r>
        <w:t xml:space="preserve"> </w:t>
      </w:r>
      <w:r w:rsidR="000E2394" w:rsidRPr="00B0207F">
        <w:t>scale</w:t>
      </w:r>
      <w:r w:rsidR="0052638B">
        <w:t xml:space="preserve"> and staggering human cost, which were of a nature unprecedented in Africa.  S</w:t>
      </w:r>
      <w:r w:rsidR="0013197E" w:rsidRPr="00B0207F">
        <w:t xml:space="preserve">adly, </w:t>
      </w:r>
      <w:r w:rsidR="000E2394" w:rsidRPr="00B0207F">
        <w:t>it was dubbed the ‘Great African War’</w:t>
      </w:r>
      <w:r w:rsidR="004B5FAA" w:rsidRPr="00B0207F">
        <w:t xml:space="preserve"> </w:t>
      </w:r>
      <w:r>
        <w:t>with good</w:t>
      </w:r>
      <w:r w:rsidR="004B5FAA" w:rsidRPr="00B0207F">
        <w:t xml:space="preserve"> reason</w:t>
      </w:r>
      <w:r w:rsidR="000E2394" w:rsidRPr="00B0207F">
        <w:t xml:space="preserve">.  </w:t>
      </w:r>
    </w:p>
    <w:p w14:paraId="3818A73A" w14:textId="77777777" w:rsidR="00E85F39" w:rsidRDefault="00E85F39" w:rsidP="00A24EB6">
      <w:pPr>
        <w:jc w:val="both"/>
      </w:pPr>
    </w:p>
    <w:p w14:paraId="24D41DB6" w14:textId="107FC515" w:rsidR="00382156" w:rsidRPr="00B0207F" w:rsidRDefault="00005F38" w:rsidP="00A24EB6">
      <w:pPr>
        <w:jc w:val="both"/>
      </w:pPr>
      <w:r w:rsidRPr="00B0207F">
        <w:t>A 2003</w:t>
      </w:r>
      <w:r w:rsidR="00FF680E" w:rsidRPr="00B0207F">
        <w:t xml:space="preserve"> report issued by the International Rescue Committee </w:t>
      </w:r>
      <w:r w:rsidR="00642F35" w:rsidRPr="00B0207F">
        <w:t>concluded</w:t>
      </w:r>
      <w:r w:rsidR="00FF680E" w:rsidRPr="00B0207F">
        <w:t xml:space="preserve"> that the death toll in the DRC </w:t>
      </w:r>
      <w:r w:rsidR="00642F35" w:rsidRPr="00B0207F">
        <w:t>during the</w:t>
      </w:r>
      <w:r w:rsidR="0034389D" w:rsidRPr="00B0207F">
        <w:t xml:space="preserve"> </w:t>
      </w:r>
      <w:r w:rsidR="0013197E" w:rsidRPr="00B0207F">
        <w:t xml:space="preserve">period </w:t>
      </w:r>
      <w:r w:rsidR="0034389D" w:rsidRPr="00B0207F">
        <w:t>1998</w:t>
      </w:r>
      <w:r w:rsidR="00642F35" w:rsidRPr="00B0207F">
        <w:t>-2003 w</w:t>
      </w:r>
      <w:r w:rsidR="0034389D" w:rsidRPr="00B0207F">
        <w:t>a</w:t>
      </w:r>
      <w:r w:rsidR="00FF680E" w:rsidRPr="00B0207F">
        <w:t xml:space="preserve">s the highest of any conflict since the Second World </w:t>
      </w:r>
      <w:r w:rsidR="00FF680E" w:rsidRPr="00B0207F">
        <w:lastRenderedPageBreak/>
        <w:t>War.</w:t>
      </w:r>
      <w:r w:rsidR="00FF680E" w:rsidRPr="00B0207F">
        <w:rPr>
          <w:rStyle w:val="FootnoteReference"/>
        </w:rPr>
        <w:footnoteReference w:id="20"/>
      </w:r>
      <w:r w:rsidR="009C688E" w:rsidRPr="00B0207F">
        <w:t xml:space="preserve">  </w:t>
      </w:r>
      <w:r w:rsidR="00642F35" w:rsidRPr="00B0207F">
        <w:t>BBC News estimated that somewhere in the region of 2.5 million people had died as a result of the conflict by September 2001,</w:t>
      </w:r>
      <w:r w:rsidR="00642F35" w:rsidRPr="00B0207F">
        <w:rPr>
          <w:rStyle w:val="FootnoteReference"/>
        </w:rPr>
        <w:footnoteReference w:id="21"/>
      </w:r>
      <w:r w:rsidR="00642F35" w:rsidRPr="00B0207F">
        <w:t xml:space="preserve"> with this rising to around 3 million people by the end of substantial fighting in 2003.</w:t>
      </w:r>
      <w:r w:rsidR="00642F35" w:rsidRPr="00B0207F">
        <w:rPr>
          <w:rStyle w:val="FootnoteReference"/>
        </w:rPr>
        <w:footnoteReference w:id="22"/>
      </w:r>
      <w:r w:rsidR="00642F35" w:rsidRPr="00B0207F">
        <w:t xml:space="preserve">  According to </w:t>
      </w:r>
      <w:r w:rsidR="004B5FAA" w:rsidRPr="00B0207F">
        <w:t xml:space="preserve">the </w:t>
      </w:r>
      <w:r w:rsidR="00642F35" w:rsidRPr="00B0207F">
        <w:t>World Health Organization, at its height, 73,000 people were dying monthly as a consequence of the conflict</w:t>
      </w:r>
      <w:r w:rsidR="004B5FAA" w:rsidRPr="00B0207F">
        <w:t>.</w:t>
      </w:r>
      <w:r w:rsidR="004B5FAA" w:rsidRPr="00B0207F">
        <w:rPr>
          <w:rStyle w:val="FootnoteReference"/>
        </w:rPr>
        <w:footnoteReference w:id="23"/>
      </w:r>
      <w:r w:rsidR="00DA1038" w:rsidRPr="00B0207F">
        <w:t xml:space="preserve">  </w:t>
      </w:r>
      <w:r w:rsidR="004B5FAA" w:rsidRPr="00B0207F">
        <w:t>While such estimates are indicative</w:t>
      </w:r>
      <w:r w:rsidR="0013197E" w:rsidRPr="00B0207F">
        <w:t xml:space="preserve"> of the devastating nature of the </w:t>
      </w:r>
      <w:r w:rsidR="00E85F39">
        <w:t>war</w:t>
      </w:r>
      <w:r w:rsidR="0013197E" w:rsidRPr="00B0207F">
        <w:t>,</w:t>
      </w:r>
      <w:r w:rsidR="004B5FAA" w:rsidRPr="00B0207F">
        <w:t xml:space="preserve"> </w:t>
      </w:r>
      <w:r w:rsidR="002F5F79">
        <w:t xml:space="preserve">again, </w:t>
      </w:r>
      <w:r w:rsidR="0013197E" w:rsidRPr="00B0207F">
        <w:t>t</w:t>
      </w:r>
      <w:r w:rsidR="0003410B" w:rsidRPr="00B0207F">
        <w:t xml:space="preserve">he </w:t>
      </w:r>
      <w:r w:rsidR="00642F35" w:rsidRPr="00B0207F">
        <w:t>complex nature of</w:t>
      </w:r>
      <w:r w:rsidR="0003410B" w:rsidRPr="00B0207F">
        <w:t xml:space="preserve"> the hostilities and the</w:t>
      </w:r>
      <w:r w:rsidR="00642F35" w:rsidRPr="00B0207F">
        <w:t xml:space="preserve"> instability </w:t>
      </w:r>
      <w:r w:rsidR="0013197E" w:rsidRPr="00B0207F">
        <w:t xml:space="preserve">that </w:t>
      </w:r>
      <w:r w:rsidR="00BB42BC" w:rsidRPr="00B0207F">
        <w:t>this massive conflict</w:t>
      </w:r>
      <w:r w:rsidR="0013197E" w:rsidRPr="00B0207F">
        <w:t xml:space="preserve"> created in the</w:t>
      </w:r>
      <w:r w:rsidR="00642F35" w:rsidRPr="00B0207F">
        <w:t xml:space="preserve"> DRC </w:t>
      </w:r>
      <w:r w:rsidR="004B5FAA" w:rsidRPr="00B0207F">
        <w:t>has meant</w:t>
      </w:r>
      <w:r w:rsidR="0003410B" w:rsidRPr="00B0207F">
        <w:t xml:space="preserve"> </w:t>
      </w:r>
      <w:r w:rsidR="00D2109D">
        <w:t xml:space="preserve">that </w:t>
      </w:r>
      <w:r w:rsidR="00382156" w:rsidRPr="00B0207F">
        <w:t>it is impossible to know the exact scale of the human tragedy</w:t>
      </w:r>
      <w:r w:rsidR="00B6790B" w:rsidRPr="00B0207F">
        <w:t>, even in retrospect</w:t>
      </w:r>
      <w:r w:rsidR="009C688E" w:rsidRPr="00B0207F">
        <w:t>.</w:t>
      </w:r>
      <w:r w:rsidR="00382156" w:rsidRPr="00B0207F">
        <w:t xml:space="preserve">  As a member of the United Nations</w:t>
      </w:r>
      <w:r w:rsidR="0003410B" w:rsidRPr="00B0207F">
        <w:t xml:space="preserve"> (UN)</w:t>
      </w:r>
      <w:r w:rsidR="00382156" w:rsidRPr="00B0207F">
        <w:t xml:space="preserve"> </w:t>
      </w:r>
      <w:r w:rsidR="00B6790B" w:rsidRPr="00B0207F">
        <w:t>M</w:t>
      </w:r>
      <w:r w:rsidR="00382156" w:rsidRPr="00B0207F">
        <w:t>ission to the DRC (MONUC) stated</w:t>
      </w:r>
      <w:r w:rsidR="002F5F79">
        <w:t>, in relation to determining the human cost of the war</w:t>
      </w:r>
      <w:r w:rsidR="00382156" w:rsidRPr="00B0207F">
        <w:t>:</w:t>
      </w:r>
      <w:r w:rsidR="00FD4DC6" w:rsidRPr="00B0207F">
        <w:t xml:space="preserve"> </w:t>
      </w:r>
      <w:r w:rsidR="00382156" w:rsidRPr="00B0207F">
        <w:t>‘Congo</w:t>
      </w:r>
      <w:r w:rsidR="0003410B" w:rsidRPr="00B0207F">
        <w:t xml:space="preserve"> is so green</w:t>
      </w:r>
      <w:r w:rsidR="00382156" w:rsidRPr="00B0207F">
        <w:t xml:space="preserve"> you don’t even see the graves.’</w:t>
      </w:r>
      <w:r w:rsidR="00382156" w:rsidRPr="00B0207F">
        <w:rPr>
          <w:rStyle w:val="FootnoteReference"/>
        </w:rPr>
        <w:footnoteReference w:id="24"/>
      </w:r>
    </w:p>
    <w:p w14:paraId="78848716" w14:textId="77777777" w:rsidR="004F6F88" w:rsidRPr="00B0207F" w:rsidRDefault="004F6F88" w:rsidP="00A24EB6">
      <w:pPr>
        <w:jc w:val="both"/>
      </w:pPr>
    </w:p>
    <w:p w14:paraId="0F3F4B22" w14:textId="77777777" w:rsidR="00B6790B" w:rsidRPr="002D084D" w:rsidRDefault="00B6790B" w:rsidP="006C7BCB">
      <w:pPr>
        <w:pStyle w:val="Default"/>
        <w:numPr>
          <w:ilvl w:val="0"/>
          <w:numId w:val="5"/>
        </w:numPr>
        <w:rPr>
          <w:u w:val="single"/>
        </w:rPr>
      </w:pPr>
      <w:r w:rsidRPr="002D084D">
        <w:rPr>
          <w:b/>
          <w:bCs/>
          <w:u w:val="single"/>
        </w:rPr>
        <w:t>The positions of the main protagoni</w:t>
      </w:r>
      <w:r w:rsidR="003B2F15" w:rsidRPr="002D084D">
        <w:rPr>
          <w:b/>
          <w:bCs/>
          <w:u w:val="single"/>
        </w:rPr>
        <w:t xml:space="preserve">sts and the reactions of third </w:t>
      </w:r>
      <w:r w:rsidR="00D24ADA" w:rsidRPr="002D084D">
        <w:rPr>
          <w:b/>
          <w:bCs/>
          <w:u w:val="single"/>
        </w:rPr>
        <w:t>S</w:t>
      </w:r>
      <w:r w:rsidRPr="002D084D">
        <w:rPr>
          <w:b/>
          <w:bCs/>
          <w:u w:val="single"/>
        </w:rPr>
        <w:t xml:space="preserve">tates and international organizations </w:t>
      </w:r>
    </w:p>
    <w:p w14:paraId="0A321FD0" w14:textId="77777777" w:rsidR="00B6790B" w:rsidRPr="00B0207F" w:rsidRDefault="00B6790B" w:rsidP="00A24EB6">
      <w:pPr>
        <w:jc w:val="both"/>
      </w:pPr>
    </w:p>
    <w:p w14:paraId="3FFB147A" w14:textId="77777777" w:rsidR="00D121A6" w:rsidRPr="00B0207F" w:rsidRDefault="00D121A6" w:rsidP="00136464">
      <w:pPr>
        <w:pStyle w:val="ListParagraph"/>
        <w:numPr>
          <w:ilvl w:val="0"/>
          <w:numId w:val="6"/>
        </w:numPr>
        <w:jc w:val="both"/>
      </w:pPr>
      <w:r w:rsidRPr="00B0207F">
        <w:t xml:space="preserve">The </w:t>
      </w:r>
      <w:r w:rsidR="00083837" w:rsidRPr="00B0207F">
        <w:t>claims made by</w:t>
      </w:r>
      <w:r w:rsidR="00CA315F">
        <w:t xml:space="preserve"> the DRC and</w:t>
      </w:r>
      <w:r w:rsidR="00083837" w:rsidRPr="00B0207F">
        <w:t xml:space="preserve"> </w:t>
      </w:r>
      <w:r w:rsidRPr="00B0207F">
        <w:t>the initiation of proceedings before the International Court of Justice (ICJ)</w:t>
      </w:r>
    </w:p>
    <w:p w14:paraId="1E4D62B7" w14:textId="77777777" w:rsidR="00D121A6" w:rsidRPr="00B0207F" w:rsidRDefault="00D121A6" w:rsidP="006C7BCB">
      <w:pPr>
        <w:jc w:val="both"/>
      </w:pPr>
    </w:p>
    <w:p w14:paraId="19D0CA85" w14:textId="682E49BF" w:rsidR="0062066E" w:rsidRPr="00B0207F" w:rsidRDefault="00D121A6" w:rsidP="006C7BCB">
      <w:pPr>
        <w:jc w:val="both"/>
      </w:pPr>
      <w:r w:rsidRPr="00B0207F">
        <w:t>T</w:t>
      </w:r>
      <w:r w:rsidR="006C7BCB" w:rsidRPr="00B0207F">
        <w:t xml:space="preserve">he DRC </w:t>
      </w:r>
      <w:r w:rsidR="0062066E" w:rsidRPr="00B0207F">
        <w:t>asserted almost immediately</w:t>
      </w:r>
      <w:r w:rsidR="006C7BCB" w:rsidRPr="00B0207F">
        <w:t xml:space="preserve"> </w:t>
      </w:r>
      <w:r w:rsidRPr="00B0207F">
        <w:t xml:space="preserve">following the interventions of </w:t>
      </w:r>
      <w:r w:rsidR="00D2109D">
        <w:t>early</w:t>
      </w:r>
      <w:r w:rsidRPr="00B0207F">
        <w:t xml:space="preserve"> August 1998 </w:t>
      </w:r>
      <w:r w:rsidR="006C7BCB" w:rsidRPr="00B0207F">
        <w:t>that it was the victim of an attack from outside its</w:t>
      </w:r>
      <w:r w:rsidR="0062066E" w:rsidRPr="00B0207F">
        <w:t xml:space="preserve"> borders </w:t>
      </w:r>
      <w:r w:rsidR="00136464" w:rsidRPr="00B0207F">
        <w:t>(</w:t>
      </w:r>
      <w:r w:rsidR="0062066E" w:rsidRPr="00B0207F">
        <w:t>as well as from within</w:t>
      </w:r>
      <w:r w:rsidR="00136464" w:rsidRPr="00B0207F">
        <w:t xml:space="preserve"> them)</w:t>
      </w:r>
      <w:r w:rsidR="0062066E" w:rsidRPr="00B0207F">
        <w:t>, and</w:t>
      </w:r>
      <w:r w:rsidR="006C7BCB" w:rsidRPr="00B0207F">
        <w:t xml:space="preserve"> initially singl</w:t>
      </w:r>
      <w:r w:rsidR="0062066E" w:rsidRPr="00B0207F">
        <w:t>ed</w:t>
      </w:r>
      <w:r w:rsidR="006C7BCB" w:rsidRPr="00B0207F">
        <w:t xml:space="preserve"> out Rwanda as the </w:t>
      </w:r>
      <w:r w:rsidR="0062066E" w:rsidRPr="00B0207F">
        <w:t xml:space="preserve">principal State </w:t>
      </w:r>
      <w:r w:rsidR="006C7BCB" w:rsidRPr="00B0207F">
        <w:t>perpetrator.</w:t>
      </w:r>
      <w:r w:rsidR="006C7BCB" w:rsidRPr="00B0207F">
        <w:rPr>
          <w:rStyle w:val="FootnoteReference"/>
        </w:rPr>
        <w:footnoteReference w:id="25"/>
      </w:r>
      <w:r w:rsidR="006C7BCB" w:rsidRPr="00B0207F">
        <w:t xml:space="preserve">  By way of a letter dated 14</w:t>
      </w:r>
      <w:r w:rsidR="006C7BCB" w:rsidRPr="00B0207F">
        <w:rPr>
          <w:vertAlign w:val="superscript"/>
        </w:rPr>
        <w:t xml:space="preserve"> </w:t>
      </w:r>
      <w:r w:rsidR="006C7BCB" w:rsidRPr="00B0207F">
        <w:t xml:space="preserve">September 1998, the DRC </w:t>
      </w:r>
      <w:r w:rsidRPr="00B0207F">
        <w:t xml:space="preserve">formally notified </w:t>
      </w:r>
      <w:r w:rsidR="006C7BCB" w:rsidRPr="00B0207F">
        <w:t xml:space="preserve">the UN General Assembly of the intervention of foreign troops within its territory, and asked for the </w:t>
      </w:r>
      <w:r w:rsidR="00B222A8" w:rsidRPr="00B0207F">
        <w:t>situation</w:t>
      </w:r>
      <w:r w:rsidR="006C7BCB" w:rsidRPr="00B0207F">
        <w:t xml:space="preserve"> to be placed on the agenda of that organ’s 53rd session.</w:t>
      </w:r>
      <w:r w:rsidR="006C7BCB" w:rsidRPr="00B0207F">
        <w:rPr>
          <w:rStyle w:val="FootnoteReference"/>
        </w:rPr>
        <w:footnoteReference w:id="26"/>
      </w:r>
    </w:p>
    <w:p w14:paraId="79F60117" w14:textId="77777777" w:rsidR="00D121A6" w:rsidRPr="00B0207F" w:rsidRDefault="00D121A6" w:rsidP="006C7BCB">
      <w:pPr>
        <w:jc w:val="both"/>
      </w:pPr>
    </w:p>
    <w:p w14:paraId="6D94D912" w14:textId="77777777" w:rsidR="00A30A28" w:rsidRPr="00B0207F" w:rsidRDefault="0062066E" w:rsidP="00A30A28">
      <w:pPr>
        <w:jc w:val="both"/>
      </w:pPr>
      <w:r w:rsidRPr="00B0207F">
        <w:t>On 23 June 1999 the DRC filed three linked applications in the registry of the</w:t>
      </w:r>
      <w:r w:rsidR="00D121A6" w:rsidRPr="00B0207F">
        <w:t xml:space="preserve"> ICJ</w:t>
      </w:r>
      <w:r w:rsidRPr="00B0207F">
        <w:t>, initiating proceedings against Uganda, Rwanda</w:t>
      </w:r>
      <w:r w:rsidR="00390CEA">
        <w:t xml:space="preserve"> and Burundi</w:t>
      </w:r>
      <w:r w:rsidRPr="00B0207F">
        <w:t>.</w:t>
      </w:r>
      <w:bookmarkStart w:id="7" w:name="_Ref473553040"/>
      <w:r w:rsidRPr="00B0207F">
        <w:rPr>
          <w:rStyle w:val="FootnoteReference"/>
        </w:rPr>
        <w:footnoteReference w:id="27"/>
      </w:r>
      <w:bookmarkEnd w:id="7"/>
      <w:r w:rsidRPr="00B0207F">
        <w:t xml:space="preserve">  In these applications the DRC</w:t>
      </w:r>
      <w:r w:rsidR="00136464" w:rsidRPr="00B0207F">
        <w:t xml:space="preserve"> alleged</w:t>
      </w:r>
      <w:r w:rsidR="009B5ED8">
        <w:t xml:space="preserve">, </w:t>
      </w:r>
      <w:r w:rsidR="009B5ED8" w:rsidRPr="009B5ED8">
        <w:rPr>
          <w:i/>
        </w:rPr>
        <w:t>inter alia</w:t>
      </w:r>
      <w:r w:rsidR="009B5ED8">
        <w:t>,</w:t>
      </w:r>
      <w:r w:rsidR="00136464" w:rsidRPr="00B0207F">
        <w:t xml:space="preserve"> that these three </w:t>
      </w:r>
      <w:r w:rsidRPr="00B0207F">
        <w:t>States had each committed an ‘armed aggression’ against the territory of the DRC ‘in flagrant violation of the United Nations Charter and the Charter of the Organisation of African Unity’</w:t>
      </w:r>
      <w:r w:rsidR="009B5ED8">
        <w:t>.</w:t>
      </w:r>
      <w:r w:rsidRPr="00B0207F">
        <w:rPr>
          <w:rStyle w:val="FootnoteReference"/>
        </w:rPr>
        <w:footnoteReference w:id="28"/>
      </w:r>
      <w:r w:rsidR="009B5ED8">
        <w:t xml:space="preserve">  </w:t>
      </w:r>
      <w:r w:rsidR="00A30A28" w:rsidRPr="00B0207F">
        <w:t xml:space="preserve">The DRC sought compensation for what it </w:t>
      </w:r>
      <w:r w:rsidR="00D121A6" w:rsidRPr="00B0207F">
        <w:t>asserted</w:t>
      </w:r>
      <w:r w:rsidR="00A30A28" w:rsidRPr="00B0207F">
        <w:t xml:space="preserve"> was the unlawful violation of its sovereignty and further unlawful acts committed within its territory.</w:t>
      </w:r>
      <w:r w:rsidR="00A30A28" w:rsidRPr="00B0207F">
        <w:rPr>
          <w:rStyle w:val="FootnoteReference"/>
        </w:rPr>
        <w:footnoteReference w:id="29"/>
      </w:r>
      <w:r w:rsidR="00A30A28" w:rsidRPr="00B0207F">
        <w:t xml:space="preserve">  </w:t>
      </w:r>
    </w:p>
    <w:p w14:paraId="0258825A" w14:textId="77777777" w:rsidR="00A30A28" w:rsidRPr="00B0207F" w:rsidRDefault="0062066E" w:rsidP="0062066E">
      <w:pPr>
        <w:jc w:val="both"/>
      </w:pPr>
      <w:r w:rsidRPr="00B0207F">
        <w:t xml:space="preserve">  </w:t>
      </w:r>
    </w:p>
    <w:p w14:paraId="188D5F16" w14:textId="77777777" w:rsidR="00D121A6" w:rsidRPr="00B0207F" w:rsidRDefault="009B5ED8" w:rsidP="00D121A6">
      <w:pPr>
        <w:jc w:val="both"/>
      </w:pPr>
      <w:r>
        <w:t>T</w:t>
      </w:r>
      <w:r w:rsidR="00D121A6" w:rsidRPr="00B0207F">
        <w:t xml:space="preserve">he DRC </w:t>
      </w:r>
      <w:r>
        <w:t xml:space="preserve">also </w:t>
      </w:r>
      <w:r w:rsidR="00D121A6" w:rsidRPr="00B0207F">
        <w:t xml:space="preserve">requested provisional measures from the ICJ to halt </w:t>
      </w:r>
      <w:r w:rsidR="00136464" w:rsidRPr="00B0207F">
        <w:t xml:space="preserve">all </w:t>
      </w:r>
      <w:r w:rsidR="00D121A6" w:rsidRPr="00B0207F">
        <w:t>Ugandan activity</w:t>
      </w:r>
      <w:r w:rsidR="00136464" w:rsidRPr="00B0207F">
        <w:t xml:space="preserve"> in its territory</w:t>
      </w:r>
      <w:r w:rsidR="00D121A6" w:rsidRPr="00B0207F">
        <w:t xml:space="preserve">, </w:t>
      </w:r>
      <w:r w:rsidR="00390CEA">
        <w:t xml:space="preserve">particularly in relation to the fighting in </w:t>
      </w:r>
      <w:r w:rsidR="00390CEA" w:rsidRPr="00390CEA">
        <w:t>Kisangani</w:t>
      </w:r>
      <w:r w:rsidR="00390CEA">
        <w:t>,</w:t>
      </w:r>
      <w:r w:rsidR="00390CEA" w:rsidRPr="00390CEA">
        <w:t xml:space="preserve"> </w:t>
      </w:r>
      <w:r w:rsidR="00136464" w:rsidRPr="00B0207F">
        <w:t>al</w:t>
      </w:r>
      <w:r w:rsidR="00D121A6" w:rsidRPr="00B0207F">
        <w:t xml:space="preserve">though such measures were not </w:t>
      </w:r>
      <w:r w:rsidR="00D121A6" w:rsidRPr="00B0207F">
        <w:lastRenderedPageBreak/>
        <w:t>requested in relation to Rwanda</w:t>
      </w:r>
      <w:r w:rsidR="00390CEA">
        <w:t xml:space="preserve"> (which was also involved in the fighting in </w:t>
      </w:r>
      <w:r w:rsidR="0038725C">
        <w:t>and around</w:t>
      </w:r>
      <w:r w:rsidR="00390CEA">
        <w:t xml:space="preserve"> that city)</w:t>
      </w:r>
      <w:r w:rsidR="00D121A6" w:rsidRPr="00B0207F">
        <w:t>.</w:t>
      </w:r>
      <w:r w:rsidR="00D121A6" w:rsidRPr="00B0207F">
        <w:rPr>
          <w:rStyle w:val="FootnoteReference"/>
        </w:rPr>
        <w:footnoteReference w:id="30"/>
      </w:r>
      <w:r w:rsidR="00D121A6" w:rsidRPr="00B0207F">
        <w:t xml:space="preserve">  The Court, having examined </w:t>
      </w:r>
      <w:r w:rsidR="00F24152">
        <w:t>the DRC’s provisional measures application</w:t>
      </w:r>
      <w:r w:rsidR="00D121A6" w:rsidRPr="00B0207F">
        <w:t xml:space="preserve"> and heard oral pleadings</w:t>
      </w:r>
      <w:r w:rsidR="00F24152">
        <w:t xml:space="preserve"> from both parties</w:t>
      </w:r>
      <w:r w:rsidR="00136464" w:rsidRPr="00B0207F">
        <w:t>,</w:t>
      </w:r>
      <w:r w:rsidR="00D121A6" w:rsidRPr="00B0207F">
        <w:t xml:space="preserve"> issued an Order indicating provisional measures.</w:t>
      </w:r>
      <w:bookmarkStart w:id="8" w:name="_Ref473552603"/>
      <w:r w:rsidR="00D121A6" w:rsidRPr="00B0207F">
        <w:rPr>
          <w:rStyle w:val="FootnoteReference"/>
        </w:rPr>
        <w:footnoteReference w:id="31"/>
      </w:r>
      <w:bookmarkEnd w:id="8"/>
      <w:r w:rsidR="00D121A6" w:rsidRPr="00B0207F">
        <w:t xml:space="preserve">  This, </w:t>
      </w:r>
      <w:r w:rsidR="00136464" w:rsidRPr="00B0207F">
        <w:t>however</w:t>
      </w:r>
      <w:r w:rsidR="00D121A6" w:rsidRPr="00B0207F">
        <w:t xml:space="preserve">, required </w:t>
      </w:r>
      <w:r w:rsidR="00D121A6" w:rsidRPr="00B0207F">
        <w:rPr>
          <w:i/>
        </w:rPr>
        <w:t>both parties</w:t>
      </w:r>
      <w:r w:rsidR="00D121A6" w:rsidRPr="00B0207F">
        <w:t xml:space="preserve"> (rather than simply Uganda)</w:t>
      </w:r>
      <w:r w:rsidR="00D121A6" w:rsidRPr="00B0207F">
        <w:rPr>
          <w:rStyle w:val="FootnoteReference"/>
        </w:rPr>
        <w:footnoteReference w:id="32"/>
      </w:r>
      <w:r w:rsidR="00D121A6" w:rsidRPr="00B0207F">
        <w:t xml:space="preserve"> </w:t>
      </w:r>
      <w:r w:rsidR="00D121A6" w:rsidRPr="00B42F58">
        <w:t>to</w:t>
      </w:r>
      <w:r w:rsidR="00D121A6" w:rsidRPr="00B0207F">
        <w:t xml:space="preserve"> </w:t>
      </w:r>
      <w:r w:rsidR="002D084D">
        <w:rPr>
          <w:i/>
        </w:rPr>
        <w:t>i)</w:t>
      </w:r>
      <w:r w:rsidR="00D121A6" w:rsidRPr="00B0207F">
        <w:t xml:space="preserve"> refrain from military action, </w:t>
      </w:r>
      <w:r w:rsidR="002D084D" w:rsidRPr="0068518E">
        <w:rPr>
          <w:i/>
        </w:rPr>
        <w:t>ii</w:t>
      </w:r>
      <w:r w:rsidR="00D121A6" w:rsidRPr="0068518E">
        <w:rPr>
          <w:i/>
        </w:rPr>
        <w:t>)</w:t>
      </w:r>
      <w:r w:rsidR="00D121A6" w:rsidRPr="00B0207F">
        <w:t xml:space="preserve"> comply with their obligations under international law and </w:t>
      </w:r>
      <w:r w:rsidR="002D084D" w:rsidRPr="0068518E">
        <w:rPr>
          <w:i/>
        </w:rPr>
        <w:t>iii</w:t>
      </w:r>
      <w:r w:rsidR="00D121A6" w:rsidRPr="0068518E">
        <w:rPr>
          <w:i/>
        </w:rPr>
        <w:t>)</w:t>
      </w:r>
      <w:r w:rsidR="00D121A6" w:rsidRPr="00B0207F">
        <w:t xml:space="preserve"> respect fundamental human rights in the ‘zone of conflict’.</w:t>
      </w:r>
      <w:r w:rsidR="00D121A6" w:rsidRPr="00B0207F">
        <w:rPr>
          <w:rStyle w:val="FootnoteReference"/>
        </w:rPr>
        <w:footnoteReference w:id="33"/>
      </w:r>
      <w:r w:rsidR="00D121A6" w:rsidRPr="00B0207F">
        <w:t xml:space="preserve">  </w:t>
      </w:r>
      <w:r w:rsidR="00136464" w:rsidRPr="00B0207F">
        <w:t>T</w:t>
      </w:r>
      <w:r w:rsidR="00D121A6" w:rsidRPr="00B0207F">
        <w:t>he Order</w:t>
      </w:r>
      <w:r w:rsidR="00B222A8" w:rsidRPr="00B0207F">
        <w:t>, of course,</w:t>
      </w:r>
      <w:r w:rsidR="00D121A6" w:rsidRPr="00B0207F">
        <w:t xml:space="preserve"> in no way amounted to a pronouncement on the legal </w:t>
      </w:r>
      <w:r w:rsidR="00346457">
        <w:t>responsibility</w:t>
      </w:r>
      <w:r w:rsidR="00D121A6" w:rsidRPr="00B0207F">
        <w:t xml:space="preserve"> of Uganda (or, indeed, of any other State).</w:t>
      </w:r>
      <w:r w:rsidR="00D121A6" w:rsidRPr="00B0207F">
        <w:rPr>
          <w:rStyle w:val="FootnoteReference"/>
        </w:rPr>
        <w:footnoteReference w:id="34"/>
      </w:r>
    </w:p>
    <w:p w14:paraId="02857ECE" w14:textId="77777777" w:rsidR="00D121A6" w:rsidRPr="00B0207F" w:rsidRDefault="00D121A6" w:rsidP="00D121A6">
      <w:pPr>
        <w:jc w:val="both"/>
      </w:pPr>
    </w:p>
    <w:p w14:paraId="565E449B" w14:textId="77777777" w:rsidR="00D121A6" w:rsidRPr="00B0207F" w:rsidRDefault="00D121A6" w:rsidP="00D121A6">
      <w:pPr>
        <w:jc w:val="both"/>
      </w:pPr>
      <w:r w:rsidRPr="00B0207F">
        <w:t>Six months after the Court’s provisional measures award, the DRC withdrew its applications alleging ‘armed aggression’ in respect of Rwanda and Burundi without offering any explanation as to why it was doing so.</w:t>
      </w:r>
      <w:r w:rsidRPr="00B0207F">
        <w:rPr>
          <w:rStyle w:val="FootnoteReference"/>
        </w:rPr>
        <w:footnoteReference w:id="35"/>
      </w:r>
      <w:r w:rsidRPr="00B0207F">
        <w:t xml:space="preserve">  </w:t>
      </w:r>
      <w:r w:rsidR="00B222A8" w:rsidRPr="00B0207F">
        <w:t>However, i</w:t>
      </w:r>
      <w:r w:rsidRPr="00B0207F">
        <w:t xml:space="preserve">t has been </w:t>
      </w:r>
      <w:r w:rsidR="00B222A8" w:rsidRPr="00B0207F">
        <w:t>persuasively</w:t>
      </w:r>
      <w:r w:rsidRPr="00B0207F">
        <w:t xml:space="preserve"> speculated that this was because of the fact that the basis of jurisdiction was much weaker in relation to the DRC’s claims against these States </w:t>
      </w:r>
      <w:r w:rsidR="009B5ED8">
        <w:t>(</w:t>
      </w:r>
      <w:r w:rsidRPr="00B0207F">
        <w:t>as opposed to its case against Uganda</w:t>
      </w:r>
      <w:r w:rsidR="009B5ED8">
        <w:t>)</w:t>
      </w:r>
      <w:r w:rsidR="00136464" w:rsidRPr="00B0207F">
        <w:t>, and</w:t>
      </w:r>
      <w:r w:rsidR="009B5ED8">
        <w:t>,</w:t>
      </w:r>
      <w:r w:rsidR="00136464" w:rsidRPr="00B0207F">
        <w:t xml:space="preserve"> thus</w:t>
      </w:r>
      <w:r w:rsidR="009B5ED8">
        <w:t>,</w:t>
      </w:r>
      <w:r w:rsidR="00136464" w:rsidRPr="00B0207F">
        <w:t xml:space="preserve"> the DRC saw little point in continuing.</w:t>
      </w:r>
      <w:r w:rsidRPr="00B0207F">
        <w:rPr>
          <w:rStyle w:val="FootnoteReference"/>
        </w:rPr>
        <w:footnoteReference w:id="36"/>
      </w:r>
    </w:p>
    <w:p w14:paraId="797AC8BF" w14:textId="77777777" w:rsidR="00D121A6" w:rsidRPr="00B0207F" w:rsidRDefault="00D121A6" w:rsidP="00D121A6">
      <w:pPr>
        <w:jc w:val="both"/>
      </w:pPr>
    </w:p>
    <w:p w14:paraId="76744171" w14:textId="77777777" w:rsidR="009B5A9A" w:rsidRPr="00B0207F" w:rsidRDefault="00D121A6" w:rsidP="00D121A6">
      <w:pPr>
        <w:jc w:val="both"/>
      </w:pPr>
      <w:r w:rsidRPr="00B0207F">
        <w:t>The DRC subsequently initiated a new application against Rwanda</w:t>
      </w:r>
      <w:r w:rsidR="00001940" w:rsidRPr="00B0207F">
        <w:t>, which</w:t>
      </w:r>
      <w:r w:rsidRPr="00B0207F">
        <w:t xml:space="preserve"> was filed in the Co</w:t>
      </w:r>
      <w:r w:rsidR="00001940" w:rsidRPr="00B0207F">
        <w:t>urt’s Registry on 28 May 2002.</w:t>
      </w:r>
      <w:r w:rsidR="00001940" w:rsidRPr="00B0207F">
        <w:rPr>
          <w:rStyle w:val="FootnoteReference"/>
        </w:rPr>
        <w:footnoteReference w:id="37"/>
      </w:r>
      <w:r w:rsidR="00001940" w:rsidRPr="00B0207F">
        <w:t xml:space="preserve">  T</w:t>
      </w:r>
      <w:r w:rsidRPr="00B0207F">
        <w:t xml:space="preserve">he DRC requested that the Court adjudge and declare, </w:t>
      </w:r>
      <w:r w:rsidRPr="00B0207F">
        <w:rPr>
          <w:i/>
        </w:rPr>
        <w:t>inter alia</w:t>
      </w:r>
      <w:r w:rsidRPr="00B0207F">
        <w:t>, that Rwanda had acted in breach of Articles 2(3) and 2(4) of the UN Charter, requiring the peaceful resolution of disputes and the abstention from the threat or use of force, respectively.</w:t>
      </w:r>
      <w:r w:rsidRPr="00B0207F">
        <w:rPr>
          <w:rStyle w:val="FootnoteReference"/>
        </w:rPr>
        <w:footnoteReference w:id="38"/>
      </w:r>
      <w:r w:rsidRPr="00B0207F">
        <w:t xml:space="preserve">  The DRC simultaneously applied for provisional measures </w:t>
      </w:r>
      <w:r w:rsidR="00346457">
        <w:t>with respect to</w:t>
      </w:r>
      <w:r w:rsidRPr="00B0207F">
        <w:t xml:space="preserve"> continuing Rwandan military action in </w:t>
      </w:r>
      <w:r w:rsidR="00750CEE" w:rsidRPr="00B0207F">
        <w:t>its</w:t>
      </w:r>
      <w:r w:rsidRPr="00B0207F">
        <w:t xml:space="preserve"> territory.</w:t>
      </w:r>
      <w:r w:rsidRPr="00B0207F">
        <w:rPr>
          <w:rStyle w:val="FootnoteReference"/>
        </w:rPr>
        <w:footnoteReference w:id="39"/>
      </w:r>
      <w:r w:rsidRPr="00B0207F">
        <w:t xml:space="preserve">  In contrast to the similar application made in </w:t>
      </w:r>
      <w:r w:rsidR="00750CEE" w:rsidRPr="00B0207F">
        <w:t>relation</w:t>
      </w:r>
      <w:r w:rsidRPr="00B0207F">
        <w:t xml:space="preserve"> to Uganda, </w:t>
      </w:r>
      <w:r w:rsidR="00750CEE" w:rsidRPr="00B0207F">
        <w:t xml:space="preserve">however, </w:t>
      </w:r>
      <w:r w:rsidRPr="00B0207F">
        <w:t xml:space="preserve">the Court here rejected the DRC’s request for provisional measures, </w:t>
      </w:r>
      <w:r w:rsidR="005D60A3" w:rsidRPr="00B0207F">
        <w:t xml:space="preserve">predominantly </w:t>
      </w:r>
      <w:r w:rsidRPr="00B0207F">
        <w:t>on the grounds that it was unable to find even</w:t>
      </w:r>
      <w:r w:rsidR="005D60A3" w:rsidRPr="00B0207F">
        <w:t xml:space="preserve"> a</w:t>
      </w:r>
      <w:r w:rsidRPr="00B0207F">
        <w:t xml:space="preserve"> </w:t>
      </w:r>
      <w:r w:rsidRPr="00B0207F">
        <w:rPr>
          <w:i/>
        </w:rPr>
        <w:t>prima facie</w:t>
      </w:r>
      <w:r w:rsidRPr="00B0207F">
        <w:t xml:space="preserve"> </w:t>
      </w:r>
      <w:r w:rsidR="005D60A3" w:rsidRPr="00B0207F">
        <w:t xml:space="preserve">basis for </w:t>
      </w:r>
      <w:r w:rsidRPr="00B0207F">
        <w:lastRenderedPageBreak/>
        <w:t>jurisdiction in the case.</w:t>
      </w:r>
      <w:r w:rsidRPr="00B0207F">
        <w:rPr>
          <w:rStyle w:val="FootnoteReference"/>
        </w:rPr>
        <w:footnoteReference w:id="40"/>
      </w:r>
      <w:r w:rsidR="005D60A3" w:rsidRPr="00B0207F">
        <w:t xml:space="preserve">  Unsurprisingly, given its conclusions on the provisional measures application, i</w:t>
      </w:r>
      <w:r w:rsidR="009B5A9A" w:rsidRPr="00B0207F">
        <w:t xml:space="preserve">n 2006 the ICJ </w:t>
      </w:r>
      <w:r w:rsidR="005D60A3" w:rsidRPr="00B0207F">
        <w:t>determined</w:t>
      </w:r>
      <w:r w:rsidR="009B5A9A" w:rsidRPr="00B0207F">
        <w:t xml:space="preserve"> that it did not have the jurisdiction to hear the new application against Rwanda on the merits.</w:t>
      </w:r>
      <w:r w:rsidR="009B5A9A" w:rsidRPr="00B0207F">
        <w:rPr>
          <w:rStyle w:val="FootnoteReference"/>
        </w:rPr>
        <w:footnoteReference w:id="41"/>
      </w:r>
      <w:r w:rsidR="009B5A9A" w:rsidRPr="00B0207F">
        <w:t xml:space="preserve">  </w:t>
      </w:r>
      <w:r w:rsidR="005D60A3" w:rsidRPr="00B0207F">
        <w:t>T</w:t>
      </w:r>
      <w:r w:rsidR="009B5A9A" w:rsidRPr="00B0207F">
        <w:t xml:space="preserve">he case brought by the DRC against Uganda was </w:t>
      </w:r>
      <w:r w:rsidR="005D60A3" w:rsidRPr="00B0207F">
        <w:t xml:space="preserve">thus </w:t>
      </w:r>
      <w:r w:rsidR="009B5A9A" w:rsidRPr="00B0207F">
        <w:t>ultimately the only dispute arising from the conflict to reach the merits phase of proceedings</w:t>
      </w:r>
      <w:r w:rsidR="005D60A3" w:rsidRPr="00B0207F">
        <w:t xml:space="preserve">, with the Court issuing its judgment on </w:t>
      </w:r>
      <w:r w:rsidR="00B222A8" w:rsidRPr="00B0207F">
        <w:t>19 December</w:t>
      </w:r>
      <w:r w:rsidR="005D60A3" w:rsidRPr="00B0207F">
        <w:t xml:space="preserve"> 2005.</w:t>
      </w:r>
      <w:r w:rsidR="009B5A9A" w:rsidRPr="00B0207F">
        <w:rPr>
          <w:b/>
        </w:rPr>
        <w:t xml:space="preserve"> </w:t>
      </w:r>
    </w:p>
    <w:p w14:paraId="64FF8834" w14:textId="77777777" w:rsidR="00D121A6" w:rsidRPr="00B0207F" w:rsidRDefault="00D121A6" w:rsidP="006C7BCB">
      <w:pPr>
        <w:jc w:val="both"/>
      </w:pPr>
    </w:p>
    <w:p w14:paraId="3A193258" w14:textId="7F77F093" w:rsidR="009B5A9A" w:rsidRPr="00B0207F" w:rsidRDefault="005D60A3" w:rsidP="006C7BCB">
      <w:pPr>
        <w:jc w:val="both"/>
      </w:pPr>
      <w:r w:rsidRPr="00B0207F">
        <w:t xml:space="preserve">Thus, the DRC consistently alleged that it </w:t>
      </w:r>
      <w:r w:rsidR="00D75826">
        <w:t>had</w:t>
      </w:r>
      <w:r w:rsidR="00D75826" w:rsidRPr="00B0207F">
        <w:t xml:space="preserve"> </w:t>
      </w:r>
      <w:r w:rsidRPr="00B0207F">
        <w:t xml:space="preserve">suffered various acts of aggression.  It is also worth noting, for completeness, that </w:t>
      </w:r>
      <w:r w:rsidR="00083837" w:rsidRPr="00B0207F">
        <w:t>i</w:t>
      </w:r>
      <w:r w:rsidRPr="00B0207F">
        <w:t>n response to a</w:t>
      </w:r>
      <w:r w:rsidR="009B5A9A" w:rsidRPr="00B0207F">
        <w:t xml:space="preserve"> Ugand</w:t>
      </w:r>
      <w:r w:rsidR="00B222A8" w:rsidRPr="00B0207F">
        <w:t xml:space="preserve">an counter-claim before the ICJ </w:t>
      </w:r>
      <w:r w:rsidR="00D40874" w:rsidRPr="00B0207F">
        <w:t xml:space="preserve">– </w:t>
      </w:r>
      <w:r w:rsidRPr="00B0207F">
        <w:t xml:space="preserve">that it was suffering </w:t>
      </w:r>
      <w:r w:rsidR="009B5A9A" w:rsidRPr="00B0207F">
        <w:t xml:space="preserve">attacks emanating from </w:t>
      </w:r>
      <w:r w:rsidRPr="00B0207F">
        <w:t>the DRC, which amounted to a breach of Article 2(4) of the UN Charter</w:t>
      </w:r>
      <w:r w:rsidR="00D40874" w:rsidRPr="00B0207F">
        <w:rPr>
          <w:rStyle w:val="FootnoteReference"/>
        </w:rPr>
        <w:footnoteReference w:id="42"/>
      </w:r>
      <w:r w:rsidR="00D40874" w:rsidRPr="00B0207F">
        <w:t xml:space="preserve"> – t</w:t>
      </w:r>
      <w:r w:rsidRPr="00B0207F">
        <w:t xml:space="preserve">he DRC additionally claimed that </w:t>
      </w:r>
      <w:r w:rsidR="00D2109D" w:rsidRPr="0085799F">
        <w:rPr>
          <w:i/>
        </w:rPr>
        <w:t>i</w:t>
      </w:r>
      <w:r w:rsidRPr="0085799F">
        <w:rPr>
          <w:i/>
        </w:rPr>
        <w:t>)</w:t>
      </w:r>
      <w:r w:rsidRPr="00B0207F">
        <w:t xml:space="preserve"> </w:t>
      </w:r>
      <w:r w:rsidR="009B5A9A" w:rsidRPr="00B0207F">
        <w:t xml:space="preserve">it was not responsible </w:t>
      </w:r>
      <w:r w:rsidRPr="00B0207F">
        <w:t xml:space="preserve">under international law </w:t>
      </w:r>
      <w:r w:rsidR="009B5A9A" w:rsidRPr="00B0207F">
        <w:t xml:space="preserve">for the attacks of any militant groups </w:t>
      </w:r>
      <w:r w:rsidRPr="00B0207F">
        <w:t xml:space="preserve">from its territory against </w:t>
      </w:r>
      <w:r w:rsidR="009B5A9A" w:rsidRPr="00B0207F">
        <w:t>Uganda</w:t>
      </w:r>
      <w:r w:rsidRPr="00B0207F">
        <w:t>,</w:t>
      </w:r>
      <w:r w:rsidR="009B5A9A" w:rsidRPr="00B0207F">
        <w:rPr>
          <w:rStyle w:val="FootnoteReference"/>
        </w:rPr>
        <w:footnoteReference w:id="43"/>
      </w:r>
      <w:r w:rsidRPr="00B0207F">
        <w:t xml:space="preserve"> and </w:t>
      </w:r>
      <w:r w:rsidR="00D2109D" w:rsidRPr="0085799F">
        <w:rPr>
          <w:i/>
        </w:rPr>
        <w:t>ii</w:t>
      </w:r>
      <w:r w:rsidRPr="0085799F">
        <w:rPr>
          <w:i/>
        </w:rPr>
        <w:t>)</w:t>
      </w:r>
      <w:r w:rsidRPr="00B0207F">
        <w:t>, i</w:t>
      </w:r>
      <w:r w:rsidR="009B5A9A" w:rsidRPr="00B0207F">
        <w:t xml:space="preserve">n the alternative, that </w:t>
      </w:r>
      <w:r w:rsidR="00083837" w:rsidRPr="00B0207F">
        <w:t>the DRC</w:t>
      </w:r>
      <w:r w:rsidR="009B5A9A" w:rsidRPr="00B0207F">
        <w:t xml:space="preserve"> was </w:t>
      </w:r>
      <w:r w:rsidR="00083837" w:rsidRPr="00B0207F">
        <w:t xml:space="preserve">in any event itself </w:t>
      </w:r>
      <w:r w:rsidR="009B5A9A" w:rsidRPr="00B0207F">
        <w:t>entitled to respond in self-defence due to the Ugandan intervention.</w:t>
      </w:r>
      <w:bookmarkStart w:id="9" w:name="_Ref473562703"/>
      <w:r w:rsidR="009B5A9A" w:rsidRPr="00B0207F">
        <w:rPr>
          <w:rStyle w:val="FootnoteReference"/>
        </w:rPr>
        <w:footnoteReference w:id="44"/>
      </w:r>
      <w:bookmarkEnd w:id="9"/>
      <w:r w:rsidR="009C3D2A">
        <w:t xml:space="preserve">  </w:t>
      </w:r>
      <w:r w:rsidR="00973938">
        <w:t>Indeed,</w:t>
      </w:r>
      <w:r w:rsidR="009C3D2A">
        <w:t xml:space="preserve"> the DRC’s self-defence </w:t>
      </w:r>
      <w:r w:rsidR="00202DD1">
        <w:t>counter-</w:t>
      </w:r>
      <w:r w:rsidR="009C3D2A">
        <w:t xml:space="preserve">claim had been advanced from the </w:t>
      </w:r>
      <w:r w:rsidR="00973938">
        <w:t xml:space="preserve">very </w:t>
      </w:r>
      <w:r w:rsidR="009C3D2A">
        <w:t>outset</w:t>
      </w:r>
      <w:r w:rsidR="009357E9">
        <w:t>,</w:t>
      </w:r>
      <w:r w:rsidR="009357E9" w:rsidRPr="009357E9">
        <w:t xml:space="preserve"> </w:t>
      </w:r>
      <w:r w:rsidR="009357E9">
        <w:t>well before the proceedings at the ICJ</w:t>
      </w:r>
      <w:r w:rsidR="009C3D2A">
        <w:t>: on 2 September 1998, the DRC formally reported that it was undertaking military action in self-defence to the UN Security Council, as required by Article 51 of the UN Charter.</w:t>
      </w:r>
      <w:bookmarkStart w:id="10" w:name="_Ref473561910"/>
      <w:r w:rsidR="009C3D2A">
        <w:rPr>
          <w:rStyle w:val="FootnoteReference"/>
        </w:rPr>
        <w:footnoteReference w:id="45"/>
      </w:r>
      <w:bookmarkEnd w:id="10"/>
    </w:p>
    <w:p w14:paraId="73AD32AE" w14:textId="77777777" w:rsidR="00D121A6" w:rsidRPr="00B0207F" w:rsidRDefault="00D121A6" w:rsidP="006C7BCB">
      <w:pPr>
        <w:jc w:val="both"/>
      </w:pPr>
    </w:p>
    <w:p w14:paraId="567E3FCF" w14:textId="77777777" w:rsidR="00083837" w:rsidRPr="00B0207F" w:rsidRDefault="00083837" w:rsidP="00083837">
      <w:pPr>
        <w:pStyle w:val="ListParagraph"/>
        <w:numPr>
          <w:ilvl w:val="0"/>
          <w:numId w:val="6"/>
        </w:numPr>
        <w:jc w:val="both"/>
      </w:pPr>
      <w:r w:rsidRPr="00B0207F">
        <w:t xml:space="preserve">The claims made by </w:t>
      </w:r>
      <w:r w:rsidR="00893C65" w:rsidRPr="00B0207F">
        <w:t xml:space="preserve">pro-Kabila </w:t>
      </w:r>
      <w:r w:rsidR="007E7B25">
        <w:t>S</w:t>
      </w:r>
      <w:r w:rsidR="00893C65" w:rsidRPr="00B0207F">
        <w:t xml:space="preserve">tates involved in the conflict: </w:t>
      </w:r>
      <w:r w:rsidRPr="00B0207F">
        <w:t>Angola, Zimbabwe, Namibia and Chad</w:t>
      </w:r>
    </w:p>
    <w:p w14:paraId="4462D91E" w14:textId="77777777" w:rsidR="00893C65" w:rsidRPr="00B0207F" w:rsidRDefault="00893C65" w:rsidP="00083837">
      <w:pPr>
        <w:jc w:val="both"/>
      </w:pPr>
    </w:p>
    <w:p w14:paraId="1F30237A" w14:textId="77777777" w:rsidR="00893C65" w:rsidRPr="00B0207F" w:rsidRDefault="00893C65" w:rsidP="004305B1">
      <w:pPr>
        <w:jc w:val="both"/>
      </w:pPr>
      <w:r w:rsidRPr="00B0207F">
        <w:t xml:space="preserve">The </w:t>
      </w:r>
      <w:r w:rsidR="007E7B25">
        <w:t>S</w:t>
      </w:r>
      <w:r w:rsidRPr="00B0207F">
        <w:t>tates that intervened in the DRC in support of the Kabila government – Angola, Zimbabwe, Namibia and Chad</w:t>
      </w:r>
      <w:r w:rsidRPr="00B0207F">
        <w:rPr>
          <w:rStyle w:val="FootnoteReference"/>
        </w:rPr>
        <w:footnoteReference w:id="46"/>
      </w:r>
      <w:r w:rsidRPr="00B0207F">
        <w:t xml:space="preserve"> – justified their actions based on a mixture of intertwined legal claims</w:t>
      </w:r>
      <w:r w:rsidR="00E1669C" w:rsidRPr="00B0207F">
        <w:t>, although predominantly they claimed to be acting in collective self-defence</w:t>
      </w:r>
      <w:r w:rsidRPr="00B0207F">
        <w:t>.</w:t>
      </w:r>
      <w:r w:rsidR="008D73EF" w:rsidRPr="00B0207F">
        <w:t xml:space="preserve">  In a letter to the President of the Security Council on 25 September 1998, Zimbabwe contended (on behal</w:t>
      </w:r>
      <w:r w:rsidR="007E7B25">
        <w:t>f of all of the pro-Kabila S</w:t>
      </w:r>
      <w:r w:rsidR="008D73EF" w:rsidRPr="00B0207F">
        <w:t>tates) that ‘in line with Article 51 of the Charter of the United Nations regarding the right of a State to ask for military assistance when its security, sovereignty and territorial integrity are threatened.’</w:t>
      </w:r>
      <w:r w:rsidR="008D73EF" w:rsidRPr="00B0207F">
        <w:rPr>
          <w:rStyle w:val="FootnoteReference"/>
        </w:rPr>
        <w:footnoteReference w:id="47"/>
      </w:r>
      <w:r w:rsidR="008D73EF" w:rsidRPr="00B0207F">
        <w:t xml:space="preserve">  Zimbabwe also argued that the pro-Kabila coalition was acting under the authority of the Southern African Development Community (SADC)</w:t>
      </w:r>
      <w:r w:rsidR="001D38C8">
        <w:t xml:space="preserve">, </w:t>
      </w:r>
      <w:r w:rsidR="00F96B78">
        <w:t xml:space="preserve">a fact that, </w:t>
      </w:r>
      <w:r w:rsidR="00F96B78" w:rsidRPr="00B0207F">
        <w:t xml:space="preserve">Zimbabwe </w:t>
      </w:r>
      <w:r w:rsidR="00F96B78">
        <w:t>claimed,</w:t>
      </w:r>
      <w:r w:rsidR="008D73EF" w:rsidRPr="00B0207F">
        <w:t xml:space="preserve"> further legitimised the coalition’s use of </w:t>
      </w:r>
      <w:r w:rsidR="008D73EF" w:rsidRPr="00B0207F">
        <w:lastRenderedPageBreak/>
        <w:t>force.</w:t>
      </w:r>
      <w:r w:rsidR="008D73EF" w:rsidRPr="00B0207F">
        <w:rPr>
          <w:rStyle w:val="FootnoteReference"/>
        </w:rPr>
        <w:footnoteReference w:id="48"/>
      </w:r>
      <w:r w:rsidR="008D73EF" w:rsidRPr="00B0207F">
        <w:t xml:space="preserve">  </w:t>
      </w:r>
      <w:r w:rsidR="00E1669C" w:rsidRPr="00B0207F">
        <w:t>Namibia</w:t>
      </w:r>
      <w:r w:rsidR="00DA1627" w:rsidRPr="00B0207F">
        <w:t xml:space="preserve"> </w:t>
      </w:r>
      <w:r w:rsidR="004305B1">
        <w:t xml:space="preserve">presented similar </w:t>
      </w:r>
      <w:r w:rsidR="004305B1" w:rsidRPr="00B0207F">
        <w:t>argum</w:t>
      </w:r>
      <w:r w:rsidR="004305B1">
        <w:t>ents</w:t>
      </w:r>
      <w:r w:rsidR="008D73EF" w:rsidRPr="00B0207F">
        <w:t xml:space="preserve"> in</w:t>
      </w:r>
      <w:r w:rsidR="00DA1627" w:rsidRPr="00B0207F">
        <w:t xml:space="preserve"> </w:t>
      </w:r>
      <w:r w:rsidR="004305B1">
        <w:t xml:space="preserve">a </w:t>
      </w:r>
      <w:r w:rsidR="00DA1627" w:rsidRPr="00B0207F">
        <w:t>plenary session of the General Assembly in March 1999</w:t>
      </w:r>
      <w:r w:rsidR="004305B1">
        <w:t>.</w:t>
      </w:r>
      <w:bookmarkStart w:id="11" w:name="_Ref473559951"/>
      <w:r w:rsidR="00415AAB" w:rsidRPr="00B0207F">
        <w:rPr>
          <w:rStyle w:val="FootnoteReference"/>
        </w:rPr>
        <w:footnoteReference w:id="49"/>
      </w:r>
      <w:bookmarkEnd w:id="11"/>
      <w:r w:rsidRPr="00B0207F">
        <w:t xml:space="preserve"> </w:t>
      </w:r>
    </w:p>
    <w:p w14:paraId="14CDAF0D" w14:textId="77777777" w:rsidR="00893C65" w:rsidRPr="00B0207F" w:rsidRDefault="00893C65" w:rsidP="00083837">
      <w:pPr>
        <w:jc w:val="both"/>
      </w:pPr>
    </w:p>
    <w:p w14:paraId="31C15440" w14:textId="77777777" w:rsidR="00893C65" w:rsidRPr="00B0207F" w:rsidRDefault="00E1669C" w:rsidP="00083837">
      <w:pPr>
        <w:jc w:val="both"/>
      </w:pPr>
      <w:r w:rsidRPr="00B0207F">
        <w:t>T</w:t>
      </w:r>
      <w:r w:rsidR="00DA1627" w:rsidRPr="00B0207F">
        <w:t xml:space="preserve">he pro-Kabila </w:t>
      </w:r>
      <w:r w:rsidR="007E7B25">
        <w:t>S</w:t>
      </w:r>
      <w:r w:rsidR="00DA1627" w:rsidRPr="00B0207F">
        <w:t>tates</w:t>
      </w:r>
      <w:r w:rsidRPr="00B0207F">
        <w:t xml:space="preserve"> thus </w:t>
      </w:r>
      <w:r w:rsidR="00DA1627" w:rsidRPr="00B0207F">
        <w:t>argued that they were acting multilaterally</w:t>
      </w:r>
      <w:r w:rsidRPr="00B0207F">
        <w:t>,</w:t>
      </w:r>
      <w:r w:rsidR="00DA1627" w:rsidRPr="00B0207F">
        <w:t xml:space="preserve"> under the banner o</w:t>
      </w:r>
      <w:r w:rsidR="00941BCD" w:rsidRPr="00B0207F">
        <w:t>f</w:t>
      </w:r>
      <w:r w:rsidR="00DA1627" w:rsidRPr="00B0207F">
        <w:t xml:space="preserve"> the SADC, </w:t>
      </w:r>
      <w:r w:rsidR="00941BCD" w:rsidRPr="00B0207F">
        <w:t xml:space="preserve">and </w:t>
      </w:r>
      <w:r w:rsidR="00DA1627" w:rsidRPr="00B0207F">
        <w:t>that they were intervening with the consent of the DRC’s legitimate government</w:t>
      </w:r>
      <w:r w:rsidR="00941BCD" w:rsidRPr="00B0207F">
        <w:t xml:space="preserve">.  In addition, they claimed that even if their actions were a </w:t>
      </w:r>
      <w:r w:rsidR="00941BCD" w:rsidRPr="00B0207F">
        <w:rPr>
          <w:i/>
        </w:rPr>
        <w:t>prima facie</w:t>
      </w:r>
      <w:r w:rsidR="00941BCD" w:rsidRPr="00B0207F">
        <w:t xml:space="preserve"> breach of Article</w:t>
      </w:r>
      <w:r w:rsidR="00DA1627" w:rsidRPr="00B0207F">
        <w:t xml:space="preserve"> </w:t>
      </w:r>
      <w:r w:rsidR="00941BCD" w:rsidRPr="00B0207F">
        <w:t>2(4) of the UN Charter they</w:t>
      </w:r>
      <w:r w:rsidR="00DA1627" w:rsidRPr="00B0207F">
        <w:t xml:space="preserve"> were justified as an exercise of the right of collective self-defence.</w:t>
      </w:r>
    </w:p>
    <w:p w14:paraId="60C9DC83" w14:textId="77777777" w:rsidR="00083837" w:rsidRPr="00B0207F" w:rsidRDefault="00083837" w:rsidP="00083837">
      <w:pPr>
        <w:jc w:val="both"/>
      </w:pPr>
    </w:p>
    <w:p w14:paraId="3B1D6F72" w14:textId="77777777" w:rsidR="00D121A6" w:rsidRPr="00B0207F" w:rsidRDefault="00083837" w:rsidP="00083837">
      <w:pPr>
        <w:pStyle w:val="ListParagraph"/>
        <w:numPr>
          <w:ilvl w:val="0"/>
          <w:numId w:val="6"/>
        </w:numPr>
        <w:jc w:val="both"/>
      </w:pPr>
      <w:r w:rsidRPr="00B0207F">
        <w:t xml:space="preserve">The claims made by </w:t>
      </w:r>
      <w:r w:rsidR="00D24ADA">
        <w:t>anti-Kabila S</w:t>
      </w:r>
      <w:r w:rsidR="00893C65" w:rsidRPr="00B0207F">
        <w:t xml:space="preserve">tates involved in the conflict: </w:t>
      </w:r>
      <w:r w:rsidR="00D121A6" w:rsidRPr="00B0207F">
        <w:t>Uganda</w:t>
      </w:r>
      <w:r w:rsidR="0035788D">
        <w:t xml:space="preserve"> and </w:t>
      </w:r>
      <w:r w:rsidR="00F96B78">
        <w:t xml:space="preserve">Rwanda </w:t>
      </w:r>
      <w:r w:rsidR="0035788D">
        <w:t>(</w:t>
      </w:r>
      <w:r w:rsidR="00202DD1">
        <w:t>and</w:t>
      </w:r>
      <w:r w:rsidR="00F96B78">
        <w:t xml:space="preserve"> Burundi</w:t>
      </w:r>
      <w:r w:rsidR="0035788D">
        <w:t>)</w:t>
      </w:r>
    </w:p>
    <w:p w14:paraId="73494ACB" w14:textId="77777777" w:rsidR="00D121A6" w:rsidRPr="00B0207F" w:rsidRDefault="00D121A6" w:rsidP="006C7BCB">
      <w:pPr>
        <w:jc w:val="both"/>
      </w:pPr>
    </w:p>
    <w:p w14:paraId="5DC73A8A" w14:textId="77777777" w:rsidR="006C7BCB" w:rsidRPr="00B0207F" w:rsidRDefault="007E7B25" w:rsidP="006C7BCB">
      <w:pPr>
        <w:jc w:val="both"/>
      </w:pPr>
      <w:r>
        <w:t>N</w:t>
      </w:r>
      <w:r w:rsidR="006C7BCB" w:rsidRPr="00B0207F">
        <w:t>one of the three States that participated in aiding the Congolese insurrection presented legal justifications for their use of force</w:t>
      </w:r>
      <w:r w:rsidR="0062066E" w:rsidRPr="00B0207F">
        <w:t xml:space="preserve"> in the initial months following the deployment of troops within the territory of the DRC</w:t>
      </w:r>
      <w:r w:rsidR="006C7BCB" w:rsidRPr="00B0207F">
        <w:t xml:space="preserve">.  Indeed, </w:t>
      </w:r>
      <w:r w:rsidR="00F96B78">
        <w:t>Burundi maintained</w:t>
      </w:r>
      <w:r w:rsidR="00CA6704">
        <w:t>, for a number of years,</w:t>
      </w:r>
      <w:r w:rsidR="00F96B78">
        <w:t xml:space="preserve"> that it had no military involvement in the DRC whatsoever: </w:t>
      </w:r>
      <w:r w:rsidR="006C7BCB" w:rsidRPr="00B0207F">
        <w:t>in an address delivered before the UN General Assembly on 2</w:t>
      </w:r>
      <w:r w:rsidR="008A47EF">
        <w:t>2</w:t>
      </w:r>
      <w:r w:rsidR="006C7BCB" w:rsidRPr="00B0207F">
        <w:t xml:space="preserve"> September 1998, </w:t>
      </w:r>
      <w:r w:rsidR="00F96B78">
        <w:t xml:space="preserve">for example, </w:t>
      </w:r>
      <w:r w:rsidR="008A47EF">
        <w:t xml:space="preserve">President Buyoya of Burundi asserted </w:t>
      </w:r>
      <w:r w:rsidR="00537BC7">
        <w:t>that his country was ‘</w:t>
      </w:r>
      <w:r w:rsidR="008A47EF" w:rsidRPr="00B0207F">
        <w:t>in no way involved in</w:t>
      </w:r>
      <w:r w:rsidR="00537BC7">
        <w:t>’ the</w:t>
      </w:r>
      <w:r w:rsidR="008A47EF" w:rsidRPr="00B0207F">
        <w:t xml:space="preserve"> </w:t>
      </w:r>
      <w:r w:rsidR="00537BC7">
        <w:t>conflict in the DRC</w:t>
      </w:r>
      <w:r w:rsidR="008A47EF" w:rsidRPr="00B0207F">
        <w:t>.</w:t>
      </w:r>
      <w:r w:rsidR="008A47EF" w:rsidRPr="00B0207F">
        <w:rPr>
          <w:rStyle w:val="FootnoteReference"/>
        </w:rPr>
        <w:footnoteReference w:id="50"/>
      </w:r>
      <w:r w:rsidR="008A47EF">
        <w:t xml:space="preserve">  The next day, also before the General Assembly, </w:t>
      </w:r>
      <w:r w:rsidR="00346457">
        <w:t xml:space="preserve">the </w:t>
      </w:r>
      <w:r w:rsidR="006C7BCB" w:rsidRPr="00B0207F">
        <w:t xml:space="preserve">Rwandan representative </w:t>
      </w:r>
      <w:r w:rsidR="008A47EF">
        <w:t xml:space="preserve">similarly </w:t>
      </w:r>
      <w:r w:rsidR="006C7BCB" w:rsidRPr="00B0207F">
        <w:t>‘refute</w:t>
      </w:r>
      <w:r w:rsidR="00540260">
        <w:t>[d]</w:t>
      </w:r>
      <w:r w:rsidR="006C7BCB" w:rsidRPr="00B0207F">
        <w:t xml:space="preserve"> in the most categorical terms Rwanda’s military involvement in the </w:t>
      </w:r>
      <w:r w:rsidR="00540260">
        <w:t>[DRC]</w:t>
      </w:r>
      <w:r w:rsidR="006C7BCB" w:rsidRPr="00B0207F">
        <w:t>.’</w:t>
      </w:r>
      <w:r w:rsidR="006C7BCB" w:rsidRPr="00B0207F">
        <w:rPr>
          <w:rStyle w:val="FootnoteReference"/>
        </w:rPr>
        <w:footnoteReference w:id="51"/>
      </w:r>
      <w:r w:rsidR="008A47EF">
        <w:t xml:space="preserve"> </w:t>
      </w:r>
      <w:r w:rsidR="004305B1">
        <w:t xml:space="preserve"> </w:t>
      </w:r>
      <w:r w:rsidR="00F96B78" w:rsidRPr="008D1634">
        <w:t xml:space="preserve">However, by </w:t>
      </w:r>
      <w:r w:rsidR="00995355" w:rsidRPr="008D1634">
        <w:t>November</w:t>
      </w:r>
      <w:r w:rsidR="00F96B78" w:rsidRPr="008D1634">
        <w:t xml:space="preserve"> 1998, Rwanda had </w:t>
      </w:r>
      <w:r w:rsidR="00745B2A" w:rsidRPr="008D1634">
        <w:t>acknowledged</w:t>
      </w:r>
      <w:r w:rsidR="00F96B78" w:rsidRPr="008D1634">
        <w:t xml:space="preserve"> that it was engaged in the fighting</w:t>
      </w:r>
      <w:r w:rsidR="00CA6704" w:rsidRPr="00995355">
        <w:t>,</w:t>
      </w:r>
      <w:r w:rsidR="00995355">
        <w:rPr>
          <w:rStyle w:val="FootnoteReference"/>
        </w:rPr>
        <w:footnoteReference w:id="52"/>
      </w:r>
      <w:r w:rsidR="00CA6704" w:rsidRPr="00995355">
        <w:t xml:space="preserve"> whereas Burundi did not acknowledge its military presence in the DRC until May 2001.</w:t>
      </w:r>
      <w:r w:rsidR="00995355" w:rsidRPr="00995355">
        <w:rPr>
          <w:rStyle w:val="FootnoteReference"/>
        </w:rPr>
        <w:footnoteReference w:id="53"/>
      </w:r>
      <w:r w:rsidR="00CA6704">
        <w:t xml:space="preserve">  </w:t>
      </w:r>
      <w:r w:rsidR="00F96B78">
        <w:t xml:space="preserve">For its part, </w:t>
      </w:r>
      <w:r w:rsidR="006C7BCB" w:rsidRPr="00B0207F">
        <w:t>Uganda admit</w:t>
      </w:r>
      <w:r w:rsidR="00F96B78">
        <w:t>ted</w:t>
      </w:r>
      <w:r w:rsidR="006C7BCB" w:rsidRPr="00B0207F">
        <w:t xml:space="preserve"> the presence of its troops within the DRC earlier than </w:t>
      </w:r>
      <w:r w:rsidR="0062066E" w:rsidRPr="00B0207F">
        <w:t xml:space="preserve">did </w:t>
      </w:r>
      <w:r w:rsidR="006C7BCB" w:rsidRPr="00B0207F">
        <w:t>Rwanda or Burundi, but this was still not until 25 August</w:t>
      </w:r>
      <w:r w:rsidR="00CA6704">
        <w:t xml:space="preserve"> 1998</w:t>
      </w:r>
      <w:r w:rsidR="006C7BCB" w:rsidRPr="00B0207F">
        <w:t>.</w:t>
      </w:r>
      <w:r w:rsidR="006C7BCB" w:rsidRPr="00B0207F">
        <w:rPr>
          <w:rStyle w:val="FootnoteReference"/>
        </w:rPr>
        <w:footnoteReference w:id="54"/>
      </w:r>
      <w:r w:rsidR="006C7BCB" w:rsidRPr="00B0207F">
        <w:t xml:space="preserve">  </w:t>
      </w:r>
    </w:p>
    <w:p w14:paraId="3F1DB672" w14:textId="77777777" w:rsidR="006C7BCB" w:rsidRPr="00B0207F" w:rsidRDefault="006C7BCB" w:rsidP="006C7BCB">
      <w:pPr>
        <w:jc w:val="both"/>
      </w:pPr>
    </w:p>
    <w:p w14:paraId="71ED05FB" w14:textId="77777777" w:rsidR="006C7BCB" w:rsidRPr="00B0207F" w:rsidRDefault="00A30A28" w:rsidP="006C7BCB">
      <w:pPr>
        <w:jc w:val="both"/>
      </w:pPr>
      <w:r w:rsidRPr="00B0207F">
        <w:t>A</w:t>
      </w:r>
      <w:r w:rsidR="006C7BCB" w:rsidRPr="00B0207F">
        <w:t xml:space="preserve">s </w:t>
      </w:r>
      <w:r w:rsidRPr="00B0207F">
        <w:t xml:space="preserve">irrefutable </w:t>
      </w:r>
      <w:r w:rsidR="006C7BCB" w:rsidRPr="00B0207F">
        <w:t xml:space="preserve">evidence emerged that </w:t>
      </w:r>
      <w:r w:rsidR="0068518E">
        <w:t>Uganda and Rwanda</w:t>
      </w:r>
      <w:r w:rsidR="006C7BCB" w:rsidRPr="00B0207F">
        <w:t xml:space="preserve"> did in fact have </w:t>
      </w:r>
      <w:r w:rsidR="00202DD1">
        <w:t xml:space="preserve">a major </w:t>
      </w:r>
      <w:r w:rsidR="00202DD1" w:rsidRPr="00B0207F">
        <w:t>troop</w:t>
      </w:r>
      <w:r w:rsidR="00202DD1">
        <w:t xml:space="preserve"> presence</w:t>
      </w:r>
      <w:r w:rsidR="00202DD1" w:rsidRPr="00B0207F">
        <w:t xml:space="preserve"> </w:t>
      </w:r>
      <w:r w:rsidR="006C7BCB" w:rsidRPr="00B0207F">
        <w:t xml:space="preserve">within the DRC’s territory, </w:t>
      </w:r>
      <w:r w:rsidR="002059FF">
        <w:t>these two States</w:t>
      </w:r>
      <w:r w:rsidR="002059FF" w:rsidRPr="00B0207F">
        <w:t xml:space="preserve"> </w:t>
      </w:r>
      <w:r w:rsidR="006C7BCB" w:rsidRPr="00B0207F">
        <w:t xml:space="preserve">began to set out </w:t>
      </w:r>
      <w:r w:rsidR="0062066E" w:rsidRPr="00B0207F">
        <w:t xml:space="preserve">legal </w:t>
      </w:r>
      <w:r w:rsidR="006C7BCB" w:rsidRPr="00B0207F">
        <w:t>justifications for their actions.  For example, in March 1999, the representative of U</w:t>
      </w:r>
      <w:r w:rsidR="004305B1">
        <w:t>ganda told the Security Council that</w:t>
      </w:r>
    </w:p>
    <w:p w14:paraId="2D0B74D5" w14:textId="77777777" w:rsidR="006C7BCB" w:rsidRPr="00B0207F" w:rsidRDefault="006C7BCB" w:rsidP="006C7BCB">
      <w:pPr>
        <w:jc w:val="both"/>
      </w:pPr>
    </w:p>
    <w:p w14:paraId="2B8DD297" w14:textId="77777777" w:rsidR="006C7BCB" w:rsidRPr="0068518E" w:rsidRDefault="007E7B25" w:rsidP="00BA71CF">
      <w:pPr>
        <w:ind w:left="567"/>
        <w:jc w:val="both"/>
        <w:rPr>
          <w:sz w:val="20"/>
          <w:szCs w:val="20"/>
        </w:rPr>
      </w:pPr>
      <w:r w:rsidRPr="0068518E">
        <w:rPr>
          <w:sz w:val="20"/>
          <w:szCs w:val="20"/>
        </w:rPr>
        <w:t>the</w:t>
      </w:r>
      <w:r w:rsidR="00BA71CF" w:rsidRPr="0068518E">
        <w:rPr>
          <w:sz w:val="20"/>
          <w:szCs w:val="20"/>
        </w:rPr>
        <w:t xml:space="preserve"> </w:t>
      </w:r>
      <w:r w:rsidRPr="0068518E">
        <w:rPr>
          <w:sz w:val="20"/>
          <w:szCs w:val="20"/>
        </w:rPr>
        <w:t>external dimension in the Congolese conflict, both in the</w:t>
      </w:r>
      <w:r w:rsidR="00BA71CF" w:rsidRPr="0068518E">
        <w:rPr>
          <w:sz w:val="20"/>
          <w:szCs w:val="20"/>
        </w:rPr>
        <w:t xml:space="preserve"> </w:t>
      </w:r>
      <w:r w:rsidRPr="0068518E">
        <w:rPr>
          <w:sz w:val="20"/>
          <w:szCs w:val="20"/>
        </w:rPr>
        <w:t xml:space="preserve">case of Uganda </w:t>
      </w:r>
      <w:r w:rsidR="00346457" w:rsidRPr="0068518E">
        <w:rPr>
          <w:sz w:val="20"/>
          <w:szCs w:val="20"/>
        </w:rPr>
        <w:t xml:space="preserve">[and] </w:t>
      </w:r>
      <w:r w:rsidR="004305B1" w:rsidRPr="0068518E">
        <w:rPr>
          <w:sz w:val="20"/>
          <w:szCs w:val="20"/>
        </w:rPr>
        <w:t>…</w:t>
      </w:r>
      <w:r w:rsidRPr="0068518E">
        <w:rPr>
          <w:sz w:val="20"/>
          <w:szCs w:val="20"/>
        </w:rPr>
        <w:t xml:space="preserve"> in the case of</w:t>
      </w:r>
      <w:r w:rsidR="00BA71CF" w:rsidRPr="0068518E">
        <w:rPr>
          <w:sz w:val="20"/>
          <w:szCs w:val="20"/>
        </w:rPr>
        <w:t xml:space="preserve"> </w:t>
      </w:r>
      <w:r w:rsidRPr="0068518E">
        <w:rPr>
          <w:sz w:val="20"/>
          <w:szCs w:val="20"/>
        </w:rPr>
        <w:t>Rwanda, has been prompted by activities hostile to those</w:t>
      </w:r>
      <w:r w:rsidR="00BA71CF" w:rsidRPr="0068518E">
        <w:rPr>
          <w:sz w:val="20"/>
          <w:szCs w:val="20"/>
        </w:rPr>
        <w:t xml:space="preserve"> </w:t>
      </w:r>
      <w:r w:rsidRPr="0068518E">
        <w:rPr>
          <w:sz w:val="20"/>
          <w:szCs w:val="20"/>
        </w:rPr>
        <w:t xml:space="preserve">countries emanating from the Congo. </w:t>
      </w:r>
      <w:r w:rsidR="00BA71CF" w:rsidRPr="0068518E">
        <w:rPr>
          <w:sz w:val="20"/>
          <w:szCs w:val="20"/>
        </w:rPr>
        <w:t xml:space="preserve"> </w:t>
      </w:r>
      <w:r w:rsidRPr="0068518E">
        <w:rPr>
          <w:i/>
          <w:sz w:val="20"/>
          <w:szCs w:val="20"/>
        </w:rPr>
        <w:t>Uganda and Rwanda</w:t>
      </w:r>
      <w:r w:rsidR="00BA71CF" w:rsidRPr="0068518E">
        <w:rPr>
          <w:i/>
          <w:sz w:val="20"/>
          <w:szCs w:val="20"/>
        </w:rPr>
        <w:t xml:space="preserve"> </w:t>
      </w:r>
      <w:r w:rsidRPr="0068518E">
        <w:rPr>
          <w:i/>
          <w:sz w:val="20"/>
          <w:szCs w:val="20"/>
        </w:rPr>
        <w:t>acted in self-defence</w:t>
      </w:r>
      <w:r w:rsidRPr="0068518E">
        <w:rPr>
          <w:sz w:val="20"/>
          <w:szCs w:val="20"/>
        </w:rPr>
        <w:t>.</w:t>
      </w:r>
      <w:r w:rsidRPr="0068518E">
        <w:rPr>
          <w:rStyle w:val="FootnoteReference"/>
          <w:sz w:val="20"/>
          <w:szCs w:val="20"/>
        </w:rPr>
        <w:t xml:space="preserve"> </w:t>
      </w:r>
      <w:bookmarkStart w:id="12" w:name="_Ref473553323"/>
      <w:r w:rsidR="006C7BCB" w:rsidRPr="0068518E">
        <w:rPr>
          <w:rStyle w:val="FootnoteReference"/>
          <w:sz w:val="20"/>
          <w:szCs w:val="20"/>
        </w:rPr>
        <w:footnoteReference w:id="55"/>
      </w:r>
      <w:bookmarkEnd w:id="12"/>
    </w:p>
    <w:p w14:paraId="7AD4C212" w14:textId="77777777" w:rsidR="006C7BCB" w:rsidRPr="00B0207F" w:rsidRDefault="006C7BCB" w:rsidP="006C7BCB">
      <w:pPr>
        <w:jc w:val="both"/>
      </w:pPr>
    </w:p>
    <w:p w14:paraId="4F2616DD" w14:textId="77777777" w:rsidR="0062066E" w:rsidRPr="00B0207F" w:rsidRDefault="006C7BCB" w:rsidP="006C7BCB">
      <w:pPr>
        <w:jc w:val="both"/>
      </w:pPr>
      <w:r w:rsidRPr="00B0207F">
        <w:t>Four days later, Uganda’s Minister of F</w:t>
      </w:r>
      <w:r w:rsidR="00A044E1" w:rsidRPr="00B0207F">
        <w:t>oreign Affairs</w:t>
      </w:r>
      <w:r w:rsidR="00BA71CF">
        <w:t>, Amama Mbabazi (who was later to bec</w:t>
      </w:r>
      <w:r w:rsidR="004305B1">
        <w:t>a</w:t>
      </w:r>
      <w:r w:rsidR="00BA71CF">
        <w:t>me Ugandan Prime Minister),</w:t>
      </w:r>
      <w:r w:rsidRPr="00B0207F">
        <w:t xml:space="preserve"> made a speech </w:t>
      </w:r>
      <w:r w:rsidR="00BA71CF">
        <w:t xml:space="preserve">before the General Assembly </w:t>
      </w:r>
      <w:r w:rsidRPr="00B0207F">
        <w:t xml:space="preserve">outlining the reasons for the presence of Ugandan troops within the DRC.  </w:t>
      </w:r>
      <w:r w:rsidR="00A044E1" w:rsidRPr="00B0207F">
        <w:t>He argued that the DRC had consented to</w:t>
      </w:r>
      <w:r w:rsidR="00BA71CF">
        <w:t xml:space="preserve"> the presence of Ugandan forces, </w:t>
      </w:r>
      <w:r w:rsidR="00A044E1" w:rsidRPr="00B0207F">
        <w:t>at least initially</w:t>
      </w:r>
      <w:r w:rsidRPr="00B0207F">
        <w:t>,</w:t>
      </w:r>
      <w:r w:rsidR="00A044E1" w:rsidRPr="00B0207F">
        <w:rPr>
          <w:rStyle w:val="FootnoteReference"/>
        </w:rPr>
        <w:footnoteReference w:id="56"/>
      </w:r>
      <w:r w:rsidRPr="00B0207F">
        <w:t xml:space="preserve"> </w:t>
      </w:r>
      <w:r w:rsidR="00A044E1" w:rsidRPr="00B0207F">
        <w:t>and that Uganda also was acting to pre-empt a possible genocide from occurring in the DRC.</w:t>
      </w:r>
      <w:r w:rsidR="00471003" w:rsidRPr="00B0207F">
        <w:rPr>
          <w:rStyle w:val="FootnoteReference"/>
        </w:rPr>
        <w:footnoteReference w:id="57"/>
      </w:r>
      <w:r w:rsidR="00A044E1" w:rsidRPr="00B0207F">
        <w:t xml:space="preserve">  The primary argument advanced, however, was again Uganda’s right of self-defence.</w:t>
      </w:r>
      <w:r w:rsidR="00471003" w:rsidRPr="00B0207F">
        <w:rPr>
          <w:rStyle w:val="FootnoteReference"/>
        </w:rPr>
        <w:footnoteReference w:id="58"/>
      </w:r>
      <w:r w:rsidR="00A044E1" w:rsidRPr="00B0207F">
        <w:t xml:space="preserve">  </w:t>
      </w:r>
      <w:r w:rsidR="00BA71CF">
        <w:t>Here, th</w:t>
      </w:r>
      <w:r w:rsidR="00346457">
        <w:t xml:space="preserve">e self-defence </w:t>
      </w:r>
      <w:r w:rsidR="00A044E1" w:rsidRPr="00B0207F">
        <w:t xml:space="preserve">claim </w:t>
      </w:r>
      <w:r w:rsidR="00A044E1" w:rsidRPr="00B0207F">
        <w:lastRenderedPageBreak/>
        <w:t>was set out</w:t>
      </w:r>
      <w:r w:rsidRPr="00B0207F">
        <w:t xml:space="preserve"> more thoroughly</w:t>
      </w:r>
      <w:r w:rsidR="00A044E1" w:rsidRPr="00B0207F">
        <w:t>, with a focus on</w:t>
      </w:r>
      <w:r w:rsidRPr="00B0207F">
        <w:t xml:space="preserve"> the threats and (in, some cases, actual attacks) to which Uganda claimed to be responding.</w:t>
      </w:r>
      <w:r w:rsidR="00471003" w:rsidRPr="00B0207F">
        <w:rPr>
          <w:rStyle w:val="FootnoteReference"/>
        </w:rPr>
        <w:footnoteReference w:id="59"/>
      </w:r>
      <w:r w:rsidRPr="00B0207F">
        <w:t xml:space="preserve">  </w:t>
      </w:r>
      <w:r w:rsidR="00BA71CF">
        <w:t>Mbabazi</w:t>
      </w:r>
      <w:r w:rsidRPr="00B0207F">
        <w:t xml:space="preserve"> concluded that Uganda was threatened by ‘criminal gangs’ located within the territory of the DRC and</w:t>
      </w:r>
      <w:r w:rsidR="0062066E" w:rsidRPr="00B0207F">
        <w:t>,</w:t>
      </w:r>
      <w:r w:rsidRPr="00B0207F">
        <w:t xml:space="preserve"> as such</w:t>
      </w:r>
      <w:r w:rsidR="0062066E" w:rsidRPr="00B0207F">
        <w:t>,</w:t>
      </w:r>
      <w:r w:rsidRPr="00B0207F">
        <w:t xml:space="preserve"> </w:t>
      </w:r>
      <w:r w:rsidR="0062066E" w:rsidRPr="00B0207F">
        <w:t xml:space="preserve">that it </w:t>
      </w:r>
      <w:r w:rsidRPr="00B0207F">
        <w:t>had taken ‘appropriate measures to address this threat’</w:t>
      </w:r>
      <w:r w:rsidR="002D084D">
        <w:t>.</w:t>
      </w:r>
      <w:r w:rsidRPr="00B0207F">
        <w:rPr>
          <w:rStyle w:val="FootnoteReference"/>
        </w:rPr>
        <w:footnoteReference w:id="60"/>
      </w:r>
      <w:r w:rsidR="00D24ADA">
        <w:t xml:space="preserve">  </w:t>
      </w:r>
      <w:r w:rsidR="00A106EC">
        <w:t xml:space="preserve">Eventually, Uganda </w:t>
      </w:r>
      <w:r w:rsidR="00202DD1">
        <w:t xml:space="preserve">also </w:t>
      </w:r>
      <w:r w:rsidR="00A106EC">
        <w:t>formally reported its self-defence action to the Security Council, as required by Article 51 of the UN Charter</w:t>
      </w:r>
      <w:r w:rsidR="009B3CD1">
        <w:t xml:space="preserve"> (albeit not</w:t>
      </w:r>
      <w:r w:rsidR="00A106EC">
        <w:t xml:space="preserve"> until June 2000</w:t>
      </w:r>
      <w:r w:rsidR="009B3CD1">
        <w:t>)</w:t>
      </w:r>
      <w:r w:rsidR="00A106EC">
        <w:t>.</w:t>
      </w:r>
      <w:bookmarkStart w:id="13" w:name="_Ref473561849"/>
      <w:r w:rsidR="00A106EC">
        <w:rPr>
          <w:rStyle w:val="FootnoteReference"/>
        </w:rPr>
        <w:footnoteReference w:id="61"/>
      </w:r>
      <w:bookmarkEnd w:id="13"/>
      <w:r w:rsidR="00A106EC">
        <w:t xml:space="preserve">  </w:t>
      </w:r>
      <w:r w:rsidR="00D24ADA">
        <w:t>Rwanda</w:t>
      </w:r>
      <w:r w:rsidR="00D24ADA">
        <w:rPr>
          <w:rStyle w:val="FootnoteReference"/>
        </w:rPr>
        <w:footnoteReference w:id="62"/>
      </w:r>
      <w:r w:rsidR="00D24ADA">
        <w:t xml:space="preserve"> made similar claims </w:t>
      </w:r>
      <w:r w:rsidR="00A106EC">
        <w:t xml:space="preserve">to Uganda </w:t>
      </w:r>
      <w:r w:rsidR="00D24ADA">
        <w:t xml:space="preserve">before UN organs, albeit that these were </w:t>
      </w:r>
      <w:r w:rsidR="00A106EC">
        <w:t>more generally focused on security and less</w:t>
      </w:r>
      <w:r w:rsidR="00D24ADA">
        <w:t xml:space="preserve"> explicitly tied to an invocation of self-defence.</w:t>
      </w:r>
      <w:r w:rsidR="00A106EC">
        <w:t xml:space="preserve"> </w:t>
      </w:r>
      <w:r w:rsidR="008D1634">
        <w:t xml:space="preserve"> </w:t>
      </w:r>
      <w:r w:rsidR="00A106EC">
        <w:t xml:space="preserve">Unlike Uganda, Rwanda never formally reported its purported self-defence action to the Security Council. </w:t>
      </w:r>
    </w:p>
    <w:p w14:paraId="0347EC8A" w14:textId="77777777" w:rsidR="006C7BCB" w:rsidRPr="00B0207F" w:rsidRDefault="006C7BCB" w:rsidP="006C7BCB">
      <w:pPr>
        <w:jc w:val="both"/>
      </w:pPr>
    </w:p>
    <w:p w14:paraId="794A0BD9" w14:textId="375544F1" w:rsidR="006C7BCB" w:rsidRPr="00B0207F" w:rsidRDefault="006C7BCB" w:rsidP="006C7BCB">
      <w:pPr>
        <w:jc w:val="both"/>
        <w:rPr>
          <w:b/>
        </w:rPr>
      </w:pPr>
      <w:r w:rsidRPr="00B0207F">
        <w:t xml:space="preserve">Outside the forums of UN organs, representatives of </w:t>
      </w:r>
      <w:r w:rsidR="009B01CC">
        <w:t>Uganda and Rwanda</w:t>
      </w:r>
      <w:r w:rsidRPr="00B0207F">
        <w:t xml:space="preserve"> consistently argued that their actions were defensive</w:t>
      </w:r>
      <w:r w:rsidR="00A30A28" w:rsidRPr="00B0207F">
        <w:t xml:space="preserve">, while </w:t>
      </w:r>
      <w:r w:rsidR="00D24ADA">
        <w:t xml:space="preserve">again </w:t>
      </w:r>
      <w:r w:rsidR="00A30A28" w:rsidRPr="00B0207F">
        <w:t>not always referencing the legal right of self-defence</w:t>
      </w:r>
      <w:r w:rsidR="00D24ADA">
        <w:t xml:space="preserve"> </w:t>
      </w:r>
      <w:r w:rsidR="00D24ADA" w:rsidRPr="00D24ADA">
        <w:rPr>
          <w:i/>
        </w:rPr>
        <w:t>per se</w:t>
      </w:r>
      <w:r w:rsidRPr="00B0207F">
        <w:t xml:space="preserve">.  For example, Major General Saleh of Uganda was quoted as stating that Uganda had evidence of imminent attacks against it </w:t>
      </w:r>
      <w:r w:rsidR="00D24ADA">
        <w:t>that</w:t>
      </w:r>
      <w:r w:rsidRPr="00B0207F">
        <w:t xml:space="preserve"> were being arranged by President Kabila of the DRC, and that the presence of </w:t>
      </w:r>
      <w:r w:rsidR="009357E9">
        <w:t>its</w:t>
      </w:r>
      <w:r w:rsidR="009357E9" w:rsidRPr="00B0207F">
        <w:t xml:space="preserve"> </w:t>
      </w:r>
      <w:r w:rsidRPr="00B0207F">
        <w:t>troops in that territory was a justified response to this</w:t>
      </w:r>
      <w:r w:rsidR="00F96B78">
        <w:t xml:space="preserve"> – essentially </w:t>
      </w:r>
      <w:r w:rsidR="0035788D">
        <w:t>alluding to</w:t>
      </w:r>
      <w:r w:rsidR="00F96B78">
        <w:t xml:space="preserve"> a ‘pre-emptive’ or ‘anticipatory’ self-defence claim</w:t>
      </w:r>
      <w:r w:rsidRPr="00B0207F">
        <w:t>.</w:t>
      </w:r>
      <w:r w:rsidRPr="00B0207F">
        <w:rPr>
          <w:rStyle w:val="FootnoteReference"/>
        </w:rPr>
        <w:footnoteReference w:id="63"/>
      </w:r>
      <w:r w:rsidRPr="00B0207F">
        <w:t xml:space="preserve">  Similarly, on Rwandan state radio in January 1999, </w:t>
      </w:r>
      <w:r w:rsidR="00D24ADA">
        <w:t>Rwanda’s</w:t>
      </w:r>
      <w:r w:rsidRPr="00B0207F">
        <w:t xml:space="preserve"> then Vice-President referred to Rwanda’s involvement in the DRC as an exercise of the right of self-defence.</w:t>
      </w:r>
      <w:r w:rsidRPr="00B0207F">
        <w:rPr>
          <w:rStyle w:val="FootnoteReference"/>
        </w:rPr>
        <w:footnoteReference w:id="64"/>
      </w:r>
    </w:p>
    <w:p w14:paraId="28B579FF" w14:textId="77777777" w:rsidR="006C7BCB" w:rsidRPr="00B0207F" w:rsidRDefault="006C7BCB" w:rsidP="00A24EB6">
      <w:pPr>
        <w:jc w:val="both"/>
      </w:pPr>
    </w:p>
    <w:p w14:paraId="55160746" w14:textId="77777777" w:rsidR="00B378F7" w:rsidRDefault="009B5A9A" w:rsidP="00A30A28">
      <w:pPr>
        <w:jc w:val="both"/>
      </w:pPr>
      <w:r w:rsidRPr="00B0207F">
        <w:t>Before the ICJ</w:t>
      </w:r>
      <w:r w:rsidR="00E1669C" w:rsidRPr="00B0207F">
        <w:t xml:space="preserve">, </w:t>
      </w:r>
      <w:r w:rsidR="00083837" w:rsidRPr="00B0207F">
        <w:t>at</w:t>
      </w:r>
      <w:r w:rsidR="00E1669C" w:rsidRPr="00B0207F">
        <w:t xml:space="preserve"> the preliminary measures stage, Uganda </w:t>
      </w:r>
      <w:r w:rsidR="00083837" w:rsidRPr="00B0207F">
        <w:t>contend</w:t>
      </w:r>
      <w:r w:rsidR="00E1669C" w:rsidRPr="00B0207F">
        <w:t>ed</w:t>
      </w:r>
      <w:r w:rsidR="00083837" w:rsidRPr="00B0207F">
        <w:t xml:space="preserve"> that </w:t>
      </w:r>
      <w:r w:rsidR="00540260">
        <w:t xml:space="preserve">it </w:t>
      </w:r>
      <w:r w:rsidR="00346457">
        <w:t>was responding to</w:t>
      </w:r>
      <w:r w:rsidR="00083837" w:rsidRPr="00B0207F">
        <w:t xml:space="preserve"> a number of attacks </w:t>
      </w:r>
      <w:r w:rsidR="00346457">
        <w:t xml:space="preserve">that had been perpetrated against it by </w:t>
      </w:r>
      <w:r w:rsidR="00346457" w:rsidRPr="00B0207F">
        <w:t>armed bands operating from within the territory of the DRC</w:t>
      </w:r>
      <w:r w:rsidR="00346457">
        <w:t>.</w:t>
      </w:r>
      <w:bookmarkStart w:id="14" w:name="_Ref473553434"/>
      <w:r w:rsidR="00083837" w:rsidRPr="00B0207F">
        <w:rPr>
          <w:rStyle w:val="FootnoteReference"/>
        </w:rPr>
        <w:footnoteReference w:id="65"/>
      </w:r>
      <w:bookmarkEnd w:id="14"/>
      <w:r w:rsidR="00346457">
        <w:t xml:space="preserve">  </w:t>
      </w:r>
      <w:r w:rsidR="00C2767D">
        <w:t>A</w:t>
      </w:r>
      <w:r w:rsidR="004305B1">
        <w:t>t the merits stage</w:t>
      </w:r>
      <w:r w:rsidR="00C2767D">
        <w:t xml:space="preserve">, Uganda </w:t>
      </w:r>
      <w:r w:rsidR="00B378F7">
        <w:t xml:space="preserve">expanded upon </w:t>
      </w:r>
      <w:r w:rsidR="007024D6">
        <w:t xml:space="preserve">this </w:t>
      </w:r>
      <w:r w:rsidR="00B378F7">
        <w:t>claim.  It argued that</w:t>
      </w:r>
      <w:r w:rsidR="00A30A28" w:rsidRPr="00B0207F">
        <w:t xml:space="preserve"> from when Kabila came to power (in May 1997) to 11 September 1998, it had the consent of the DRC to have </w:t>
      </w:r>
      <w:r w:rsidR="00D2753A">
        <w:t>troops</w:t>
      </w:r>
      <w:r w:rsidR="00A30A28" w:rsidRPr="00B0207F">
        <w:t xml:space="preserve"> </w:t>
      </w:r>
      <w:r w:rsidR="00E12C69">
        <w:t xml:space="preserve">stationed </w:t>
      </w:r>
      <w:r w:rsidR="00A30A28" w:rsidRPr="00B0207F">
        <w:t xml:space="preserve">on </w:t>
      </w:r>
      <w:r w:rsidR="00C02B11">
        <w:t>Congolese</w:t>
      </w:r>
      <w:r w:rsidR="00A30A28" w:rsidRPr="00B0207F">
        <w:t xml:space="preserve"> territory,</w:t>
      </w:r>
      <w:r w:rsidR="00A30A28" w:rsidRPr="00B0207F">
        <w:rPr>
          <w:rStyle w:val="FootnoteReference"/>
        </w:rPr>
        <w:footnoteReference w:id="66"/>
      </w:r>
      <w:r w:rsidR="00A30A28" w:rsidRPr="00B0207F">
        <w:t xml:space="preserve"> and</w:t>
      </w:r>
      <w:r w:rsidR="007166D0">
        <w:t xml:space="preserve"> that</w:t>
      </w:r>
      <w:r w:rsidR="00A30A28" w:rsidRPr="00B0207F">
        <w:t xml:space="preserve">, in any event, it </w:t>
      </w:r>
      <w:r w:rsidR="00C02B11">
        <w:t>was not responsible for</w:t>
      </w:r>
      <w:r w:rsidR="00A30A28" w:rsidRPr="00B0207F">
        <w:t xml:space="preserve"> many of the </w:t>
      </w:r>
      <w:r w:rsidR="00C02B11">
        <w:t>actions</w:t>
      </w:r>
      <w:r w:rsidR="00A30A28" w:rsidRPr="00B0207F">
        <w:t xml:space="preserve"> </w:t>
      </w:r>
      <w:r w:rsidR="00C02B11">
        <w:t>attributed to it</w:t>
      </w:r>
      <w:r w:rsidR="00A30A28" w:rsidRPr="00B0207F">
        <w:t xml:space="preserve"> by the DRC.</w:t>
      </w:r>
      <w:r w:rsidR="00A30A28" w:rsidRPr="00B0207F">
        <w:rPr>
          <w:rStyle w:val="FootnoteReference"/>
        </w:rPr>
        <w:footnoteReference w:id="67"/>
      </w:r>
      <w:r w:rsidR="00A30A28" w:rsidRPr="00B0207F">
        <w:t xml:space="preserve">  Further, Uganda argued, in counter-claim, that there had been a resumption of attacks by anti-Ugandan militant groups</w:t>
      </w:r>
      <w:r w:rsidR="007166D0">
        <w:t xml:space="preserve"> </w:t>
      </w:r>
      <w:r w:rsidR="007166D0" w:rsidRPr="00B0207F">
        <w:t>against the territory of Uganda</w:t>
      </w:r>
      <w:r w:rsidR="00A30A28" w:rsidRPr="00B0207F">
        <w:t>, particularly the Allied Democratic Forces (ADF), emanating from the DRC.</w:t>
      </w:r>
      <w:bookmarkStart w:id="15" w:name="_Ref473553374"/>
      <w:r w:rsidR="00A30A28" w:rsidRPr="00B0207F">
        <w:rPr>
          <w:rStyle w:val="FootnoteReference"/>
        </w:rPr>
        <w:footnoteReference w:id="68"/>
      </w:r>
      <w:bookmarkEnd w:id="15"/>
      <w:r w:rsidR="00A30A28" w:rsidRPr="00B0207F">
        <w:t xml:space="preserve">  Thus, Uganda </w:t>
      </w:r>
      <w:r w:rsidRPr="00B0207F">
        <w:t>formally argued before the ICJ that</w:t>
      </w:r>
      <w:r w:rsidR="007166D0">
        <w:t>,</w:t>
      </w:r>
      <w:r w:rsidR="00A30A28" w:rsidRPr="00B0207F">
        <w:t xml:space="preserve"> following 11 September 1998, it had been acting in self-defence in intervening in the DRC and supporting rebel groups acting against the government.</w:t>
      </w:r>
      <w:r w:rsidR="00A30A28" w:rsidRPr="00B0207F">
        <w:rPr>
          <w:rStyle w:val="FootnoteReference"/>
        </w:rPr>
        <w:footnoteReference w:id="69"/>
      </w:r>
      <w:r w:rsidR="00C2767D">
        <w:t xml:space="preserve">  </w:t>
      </w:r>
    </w:p>
    <w:p w14:paraId="4921E7E3" w14:textId="77777777" w:rsidR="00B378F7" w:rsidRDefault="00B378F7" w:rsidP="00A30A28">
      <w:pPr>
        <w:jc w:val="both"/>
      </w:pPr>
    </w:p>
    <w:p w14:paraId="34C9D90A" w14:textId="626824FB" w:rsidR="00B378F7" w:rsidRDefault="00B378F7" w:rsidP="00A30A28">
      <w:pPr>
        <w:jc w:val="both"/>
      </w:pPr>
      <w:r>
        <w:t xml:space="preserve">In the context of </w:t>
      </w:r>
      <w:r w:rsidR="003E727F">
        <w:t>its self-defence</w:t>
      </w:r>
      <w:r>
        <w:t xml:space="preserve"> claim, Uganda stressed that ‘the giving of logistical support to armed bands with knowledge of their objectives may constitute an armed attack’,</w:t>
      </w:r>
      <w:r>
        <w:rPr>
          <w:rStyle w:val="FootnoteReference"/>
        </w:rPr>
        <w:footnoteReference w:id="70"/>
      </w:r>
      <w:r>
        <w:t xml:space="preserve"> giving rise to the right of self-defence, and that concept of an armed attack extended to situations where there was, </w:t>
      </w:r>
      <w:r w:rsidRPr="00217C3C">
        <w:rPr>
          <w:i/>
        </w:rPr>
        <w:t>inter alia</w:t>
      </w:r>
      <w:r>
        <w:t>, ‘evidence of conspiracy between the State concerned and the armed bands…’.</w:t>
      </w:r>
      <w:r>
        <w:rPr>
          <w:rStyle w:val="FootnoteReference"/>
        </w:rPr>
        <w:footnoteReference w:id="71"/>
      </w:r>
      <w:r>
        <w:t xml:space="preserve">  Thus, while Uganda </w:t>
      </w:r>
      <w:r w:rsidR="009357E9">
        <w:t xml:space="preserve">seemed to </w:t>
      </w:r>
      <w:r>
        <w:t xml:space="preserve">accept that there was a requirement for some degree of State involvement before the right of self-defence could be exercised in response to attacks by non-States actors, it took a wide view as to the </w:t>
      </w:r>
      <w:r w:rsidRPr="00B42F58">
        <w:t>necessary</w:t>
      </w:r>
      <w:r>
        <w:t xml:space="preserve"> </w:t>
      </w:r>
      <w:r w:rsidRPr="007C2A09">
        <w:rPr>
          <w:i/>
        </w:rPr>
        <w:t>level</w:t>
      </w:r>
      <w:r>
        <w:t xml:space="preserve"> of State involvement, extending this to mere logistical support and instances of ‘conspiracy’.  In contrast, the DRC adopted a more traditional, restrictive view.  It assert</w:t>
      </w:r>
      <w:r w:rsidR="0061098D">
        <w:t>ed</w:t>
      </w:r>
      <w:r>
        <w:t xml:space="preserve"> that, for self-defence to be lawful against non-State actors, four (cumulative) conditions needed to be met.</w:t>
      </w:r>
      <w:r>
        <w:rPr>
          <w:rStyle w:val="FootnoteReference"/>
        </w:rPr>
        <w:footnoteReference w:id="72"/>
      </w:r>
      <w:r>
        <w:t xml:space="preserve">  Notably, the last of these conditions was that the State from which the force by the non-State group emanated </w:t>
      </w:r>
      <w:r w:rsidR="003E727F">
        <w:t>‘</w:t>
      </w:r>
      <w:r w:rsidRPr="00B42F58">
        <w:rPr>
          <w:i/>
        </w:rPr>
        <w:t xml:space="preserve">est impliqué de manière </w:t>
      </w:r>
      <w:r w:rsidRPr="005C1185">
        <w:rPr>
          <w:i/>
        </w:rPr>
        <w:t>substantielle</w:t>
      </w:r>
      <w:r w:rsidRPr="00B42F58">
        <w:rPr>
          <w:i/>
        </w:rPr>
        <w:t xml:space="preserve"> et </w:t>
      </w:r>
      <w:r w:rsidRPr="005C1185">
        <w:rPr>
          <w:i/>
        </w:rPr>
        <w:t>active</w:t>
      </w:r>
      <w:r w:rsidRPr="00B42F58">
        <w:rPr>
          <w:i/>
        </w:rPr>
        <w:t xml:space="preserve"> dans les activités de ces forces</w:t>
      </w:r>
      <w:r>
        <w:t>’.</w:t>
      </w:r>
      <w:r>
        <w:rPr>
          <w:rStyle w:val="FootnoteReference"/>
        </w:rPr>
        <w:footnoteReference w:id="73"/>
      </w:r>
      <w:r>
        <w:t xml:space="preserve">  The two States thus took</w:t>
      </w:r>
      <w:r w:rsidR="009357E9">
        <w:t xml:space="preserve"> </w:t>
      </w:r>
      <w:r>
        <w:t>contrasting views as to the required level of State involvement.</w:t>
      </w:r>
      <w:bookmarkStart w:id="16" w:name="_Ref473560727"/>
      <w:r>
        <w:rPr>
          <w:rStyle w:val="FootnoteReference"/>
        </w:rPr>
        <w:footnoteReference w:id="74"/>
      </w:r>
      <w:bookmarkEnd w:id="16"/>
    </w:p>
    <w:p w14:paraId="3E982BDA" w14:textId="77777777" w:rsidR="00B378F7" w:rsidRDefault="00B378F7" w:rsidP="00A30A28">
      <w:pPr>
        <w:jc w:val="both"/>
      </w:pPr>
    </w:p>
    <w:p w14:paraId="6ED70E27" w14:textId="77777777" w:rsidR="003E727F" w:rsidRDefault="007024D6" w:rsidP="00A30A28">
      <w:pPr>
        <w:jc w:val="both"/>
      </w:pPr>
      <w:r>
        <w:t>It is also worth noting that</w:t>
      </w:r>
      <w:r w:rsidRPr="00B0207F">
        <w:t xml:space="preserve"> Uganda implied</w:t>
      </w:r>
      <w:r>
        <w:t xml:space="preserve"> at the preliminary measures stage</w:t>
      </w:r>
      <w:r w:rsidRPr="00B0207F">
        <w:t xml:space="preserve"> that prior to </w:t>
      </w:r>
      <w:r>
        <w:t xml:space="preserve">suffering </w:t>
      </w:r>
      <w:r w:rsidRPr="00B0207F">
        <w:t xml:space="preserve">any actual attacks, it had responded with force to the </w:t>
      </w:r>
      <w:r w:rsidRPr="0093612F">
        <w:rPr>
          <w:i/>
        </w:rPr>
        <w:t>threat</w:t>
      </w:r>
      <w:r w:rsidRPr="00B0207F">
        <w:t xml:space="preserve"> of attac</w:t>
      </w:r>
      <w:r>
        <w:t>k by the non-State groups in question, which, it said, ‘constituted a major threat to Uganda</w:t>
      </w:r>
      <w:r w:rsidR="003E727F">
        <w:t>’</w:t>
      </w:r>
      <w:r>
        <w:t xml:space="preserve">s security. </w:t>
      </w:r>
      <w:r w:rsidR="003E727F">
        <w:t xml:space="preserve"> </w:t>
      </w:r>
      <w:r>
        <w:t>Uganda could not sit still and wait to be attacked’.</w:t>
      </w:r>
      <w:r w:rsidRPr="004305B1">
        <w:rPr>
          <w:rStyle w:val="FootnoteReference"/>
        </w:rPr>
        <w:footnoteReference w:id="75"/>
      </w:r>
      <w:r>
        <w:t xml:space="preserve">  Thus it </w:t>
      </w:r>
      <w:r w:rsidRPr="0035788D">
        <w:t>again</w:t>
      </w:r>
      <w:r>
        <w:t xml:space="preserve"> alluded to</w:t>
      </w:r>
      <w:r w:rsidRPr="00B0207F">
        <w:t xml:space="preserve"> </w:t>
      </w:r>
      <w:r>
        <w:t xml:space="preserve">a form of </w:t>
      </w:r>
      <w:r w:rsidRPr="00B0207F">
        <w:t>‘pre-emptive’ or ‘</w:t>
      </w:r>
      <w:r w:rsidRPr="004305B1">
        <w:t>anticipatory’ self-defence as at least an element of its legal justification for the use of force.</w:t>
      </w:r>
      <w:r>
        <w:t xml:space="preserve">  </w:t>
      </w:r>
    </w:p>
    <w:p w14:paraId="4B46E4B4" w14:textId="77777777" w:rsidR="003E727F" w:rsidRDefault="003E727F" w:rsidP="00A30A28">
      <w:pPr>
        <w:jc w:val="both"/>
      </w:pPr>
    </w:p>
    <w:p w14:paraId="79C0B503" w14:textId="5276D854" w:rsidR="00A30A28" w:rsidRPr="00BF3A1D" w:rsidRDefault="007024D6" w:rsidP="00A30A28">
      <w:pPr>
        <w:jc w:val="both"/>
      </w:pPr>
      <w:r>
        <w:t>However, s</w:t>
      </w:r>
      <w:r w:rsidR="002F758E">
        <w:t xml:space="preserve">omewhat in </w:t>
      </w:r>
      <w:r w:rsidR="00C2767D">
        <w:t xml:space="preserve">contrast to its position at </w:t>
      </w:r>
      <w:r w:rsidR="005C1185" w:rsidRPr="00B42F58">
        <w:t>the</w:t>
      </w:r>
      <w:r w:rsidR="005C1185">
        <w:t xml:space="preserve"> </w:t>
      </w:r>
      <w:r w:rsidR="00C2767D">
        <w:t>preliminary measures stage of the proceedings</w:t>
      </w:r>
      <w:r w:rsidR="00D2753A">
        <w:t xml:space="preserve">, </w:t>
      </w:r>
      <w:r w:rsidR="00C2767D">
        <w:t xml:space="preserve">at the merits stage </w:t>
      </w:r>
      <w:r w:rsidR="00C2767D" w:rsidRPr="004305B1">
        <w:t xml:space="preserve">Uganda </w:t>
      </w:r>
      <w:r w:rsidR="002F758E">
        <w:t xml:space="preserve">appeared to retreat from implied indications that it was acting, even in part, in </w:t>
      </w:r>
      <w:r w:rsidR="00A86BA1">
        <w:t>anticipatory/</w:t>
      </w:r>
      <w:r w:rsidR="002F758E">
        <w:t>pre-emptive self-defence</w:t>
      </w:r>
      <w:r>
        <w:t xml:space="preserve">. </w:t>
      </w:r>
      <w:r w:rsidR="002F758E">
        <w:t xml:space="preserve"> </w:t>
      </w:r>
      <w:r w:rsidR="007F1D48">
        <w:t>Thus, i</w:t>
      </w:r>
      <w:r w:rsidR="002F758E">
        <w:t xml:space="preserve">ts detailed articulation of the </w:t>
      </w:r>
      <w:r w:rsidR="007F1D48">
        <w:t xml:space="preserve">applicable </w:t>
      </w:r>
      <w:r w:rsidR="002F758E">
        <w:t xml:space="preserve">law of self-defence in its counter-memorial made no explicit mention of a right to use force in self-defence against ‘attacks’ that had not </w:t>
      </w:r>
      <w:r w:rsidR="007F1D48">
        <w:t>yet</w:t>
      </w:r>
      <w:r w:rsidR="002F758E">
        <w:t xml:space="preserve"> occurred.</w:t>
      </w:r>
      <w:r w:rsidR="007F1D48">
        <w:rPr>
          <w:rStyle w:val="FootnoteReference"/>
        </w:rPr>
        <w:footnoteReference w:id="76"/>
      </w:r>
      <w:r w:rsidR="002F758E">
        <w:t xml:space="preserve">  </w:t>
      </w:r>
      <w:r w:rsidR="007F1D48">
        <w:t>Uganda’s</w:t>
      </w:r>
      <w:r w:rsidR="002F758E">
        <w:t xml:space="preserve"> argument</w:t>
      </w:r>
      <w:r w:rsidR="007F1D48">
        <w:t xml:space="preserve"> instead</w:t>
      </w:r>
      <w:r w:rsidR="002F758E">
        <w:t xml:space="preserve"> rested on self-defence in respo</w:t>
      </w:r>
      <w:r>
        <w:t xml:space="preserve">nse to previous attacks: certainly this was how the ICJ ultimately interpreted </w:t>
      </w:r>
      <w:r w:rsidR="003E727F">
        <w:t>Uganda’s</w:t>
      </w:r>
      <w:r>
        <w:t xml:space="preserve"> </w:t>
      </w:r>
      <w:r w:rsidR="003E727F">
        <w:t>arguments</w:t>
      </w:r>
      <w:r>
        <w:t xml:space="preserve"> on the merits.</w:t>
      </w:r>
      <w:r>
        <w:rPr>
          <w:rStyle w:val="FootnoteReference"/>
        </w:rPr>
        <w:footnoteReference w:id="77"/>
      </w:r>
      <w:r w:rsidR="002F758E">
        <w:t xml:space="preserve"> </w:t>
      </w:r>
      <w:bookmarkStart w:id="17" w:name="_GoBack"/>
      <w:bookmarkEnd w:id="17"/>
      <w:r>
        <w:t xml:space="preserve"> </w:t>
      </w:r>
      <w:r w:rsidR="002F758E">
        <w:t xml:space="preserve">Having said this, </w:t>
      </w:r>
      <w:r>
        <w:t>Uganda</w:t>
      </w:r>
      <w:r w:rsidR="002F758E">
        <w:t xml:space="preserve"> did, at times during the merits proceedings, still refer to the ongoing ‘threat’ posed to its security by non-State armed groups emanating from the DRC.</w:t>
      </w:r>
      <w:r w:rsidR="0061098D">
        <w:rPr>
          <w:rStyle w:val="FootnoteReference"/>
        </w:rPr>
        <w:footnoteReference w:id="78"/>
      </w:r>
      <w:r w:rsidR="00B6073C">
        <w:t xml:space="preserve">  </w:t>
      </w:r>
      <w:r w:rsidR="00B6073C" w:rsidRPr="00B6073C">
        <w:t>It has thus been argued that, while never explicitly raised, anticipatory/pre-emptive self-defence ‘permeated the justifications’ put forward by Uganda.</w:t>
      </w:r>
      <w:bookmarkStart w:id="18" w:name="_Ref473562078"/>
      <w:r w:rsidR="00B6073C">
        <w:rPr>
          <w:rStyle w:val="FootnoteReference"/>
        </w:rPr>
        <w:footnoteReference w:id="79"/>
      </w:r>
      <w:bookmarkEnd w:id="18"/>
      <w:r w:rsidR="00BF3A1D">
        <w:t xml:space="preserve">  In response to even such implicit suggestions of a justification based on anticipatory/pre-emptive self-defence, the DRC categorically asserted that ‘</w:t>
      </w:r>
      <w:r w:rsidR="00BF3A1D" w:rsidRPr="00B42F58">
        <w:rPr>
          <w:i/>
        </w:rPr>
        <w:t>l’article 51 de la Charte n’a pas été amendé, et la doctrine de l’action «préventive» ou «préemptive» ... n’a pas été admise en droit international. La légitime défense suppose toujours une «agression armée»…</w:t>
      </w:r>
      <w:r w:rsidR="00BF3A1D">
        <w:t>’</w:t>
      </w:r>
      <w:r w:rsidR="00BF3A1D">
        <w:rPr>
          <w:rStyle w:val="FootnoteReference"/>
        </w:rPr>
        <w:footnoteReference w:id="80"/>
      </w:r>
    </w:p>
    <w:p w14:paraId="70ED3C4F" w14:textId="77777777" w:rsidR="006C7BCB" w:rsidRPr="00B0207F" w:rsidRDefault="006C7BCB" w:rsidP="00A24EB6">
      <w:pPr>
        <w:jc w:val="both"/>
      </w:pPr>
    </w:p>
    <w:p w14:paraId="582F853B" w14:textId="505F979C" w:rsidR="001647D6" w:rsidRPr="00B0207F" w:rsidRDefault="00083837" w:rsidP="001647D6">
      <w:pPr>
        <w:jc w:val="both"/>
      </w:pPr>
      <w:r w:rsidRPr="00B0207F">
        <w:lastRenderedPageBreak/>
        <w:t>I</w:t>
      </w:r>
      <w:r w:rsidR="002D084D">
        <w:t>n</w:t>
      </w:r>
      <w:r w:rsidRPr="00B0207F">
        <w:t xml:space="preserve"> their submissions during the jurisdictional proceedings of their respective disputes, neither Rwanda nor Burundi provided any substantive justifications for their uses of force, preferring to restrict their arguments to jurisdictional questions.</w:t>
      </w:r>
      <w:r w:rsidR="004562F2">
        <w:rPr>
          <w:rStyle w:val="FootnoteReference"/>
        </w:rPr>
        <w:footnoteReference w:id="81"/>
      </w:r>
      <w:r w:rsidR="00263F99" w:rsidRPr="00B0207F">
        <w:t xml:space="preserve">  </w:t>
      </w:r>
      <w:r w:rsidRPr="00B0207F">
        <w:t xml:space="preserve">However, </w:t>
      </w:r>
      <w:r w:rsidR="001647D6" w:rsidRPr="00B0207F">
        <w:t xml:space="preserve">Rwanda </w:t>
      </w:r>
      <w:r w:rsidRPr="00B0207F">
        <w:t xml:space="preserve">did set out </w:t>
      </w:r>
      <w:r w:rsidR="00263F99" w:rsidRPr="00B0207F">
        <w:t xml:space="preserve">its legal justification – </w:t>
      </w:r>
      <w:r w:rsidR="007166D0">
        <w:t xml:space="preserve">again, </w:t>
      </w:r>
      <w:r w:rsidR="00263F99" w:rsidRPr="00B0207F">
        <w:t xml:space="preserve">self-defence – </w:t>
      </w:r>
      <w:r w:rsidR="001647D6" w:rsidRPr="00B0207F">
        <w:t xml:space="preserve">at </w:t>
      </w:r>
      <w:r w:rsidR="00263F99" w:rsidRPr="00B0207F">
        <w:t xml:space="preserve">the </w:t>
      </w:r>
      <w:r w:rsidR="001647D6" w:rsidRPr="00B0207F">
        <w:t>preliminary measures stage</w:t>
      </w:r>
      <w:r w:rsidR="00263F99" w:rsidRPr="00B0207F">
        <w:t xml:space="preserve"> of </w:t>
      </w:r>
      <w:r w:rsidR="00263F99" w:rsidRPr="00B0207F">
        <w:rPr>
          <w:i/>
        </w:rPr>
        <w:t>DRC</w:t>
      </w:r>
      <w:r w:rsidR="00263F99" w:rsidRPr="00B0207F">
        <w:t xml:space="preserve"> </w:t>
      </w:r>
      <w:r w:rsidR="00263F99" w:rsidRPr="00B0207F">
        <w:rPr>
          <w:i/>
        </w:rPr>
        <w:t>v</w:t>
      </w:r>
      <w:r w:rsidR="00263F99" w:rsidRPr="00B0207F">
        <w:t xml:space="preserve"> </w:t>
      </w:r>
      <w:r w:rsidR="00263F99" w:rsidRPr="00B0207F">
        <w:rPr>
          <w:i/>
        </w:rPr>
        <w:t>Rwanda (New Application)</w:t>
      </w:r>
      <w:r w:rsidR="001647D6" w:rsidRPr="00B0207F">
        <w:t>, during the oral hearings</w:t>
      </w:r>
      <w:r w:rsidR="001647D6" w:rsidRPr="00B0207F">
        <w:rPr>
          <w:i/>
        </w:rPr>
        <w:t>.</w:t>
      </w:r>
      <w:r w:rsidR="001647D6" w:rsidRPr="00B0207F">
        <w:t xml:space="preserve">  </w:t>
      </w:r>
      <w:r w:rsidR="00C02B11" w:rsidRPr="00B0207F">
        <w:t xml:space="preserve">Rwanda </w:t>
      </w:r>
      <w:r w:rsidR="001647D6" w:rsidRPr="00B0207F">
        <w:t xml:space="preserve">was less explicit here in its invocation of self-defence </w:t>
      </w:r>
      <w:r w:rsidR="00A86BA1">
        <w:t>than</w:t>
      </w:r>
      <w:r w:rsidR="001647D6" w:rsidRPr="00B0207F">
        <w:t xml:space="preserve"> Uganda had been</w:t>
      </w:r>
      <w:r w:rsidR="00263F99" w:rsidRPr="00B0207F">
        <w:t xml:space="preserve"> before the </w:t>
      </w:r>
      <w:r w:rsidR="003E727F">
        <w:t>ICJ</w:t>
      </w:r>
      <w:r w:rsidR="001647D6" w:rsidRPr="00B0207F">
        <w:t xml:space="preserve">, but it still </w:t>
      </w:r>
      <w:r w:rsidR="00263F99" w:rsidRPr="00B0207F">
        <w:t>indicated</w:t>
      </w:r>
      <w:r w:rsidR="001647D6" w:rsidRPr="00B0207F">
        <w:t xml:space="preserve"> that its military presence in the DRC was justified as an exercise of the right.</w:t>
      </w:r>
      <w:r w:rsidR="001647D6" w:rsidRPr="00B0207F">
        <w:rPr>
          <w:rStyle w:val="FootnoteReference"/>
        </w:rPr>
        <w:footnoteReference w:id="82"/>
      </w:r>
    </w:p>
    <w:p w14:paraId="3216FCE1" w14:textId="77777777" w:rsidR="001647D6" w:rsidRPr="00B0207F" w:rsidRDefault="001647D6" w:rsidP="001647D6">
      <w:pPr>
        <w:jc w:val="both"/>
      </w:pPr>
    </w:p>
    <w:p w14:paraId="36F0126A" w14:textId="77777777" w:rsidR="00D92EF1" w:rsidRPr="00B0207F" w:rsidRDefault="00B379E4" w:rsidP="00CA6704">
      <w:pPr>
        <w:jc w:val="both"/>
      </w:pPr>
      <w:r w:rsidRPr="00B0207F">
        <w:t>Overall,</w:t>
      </w:r>
      <w:r w:rsidR="00D92EF1" w:rsidRPr="00B0207F">
        <w:t xml:space="preserve"> Uganda</w:t>
      </w:r>
      <w:r w:rsidR="0068518E">
        <w:t xml:space="preserve"> and</w:t>
      </w:r>
      <w:r w:rsidR="0068518E" w:rsidRPr="00B0207F">
        <w:t xml:space="preserve"> </w:t>
      </w:r>
      <w:r w:rsidR="00D92EF1" w:rsidRPr="00B0207F">
        <w:t>Rwanda</w:t>
      </w:r>
      <w:r w:rsidR="0068518E">
        <w:t xml:space="preserve"> </w:t>
      </w:r>
      <w:r w:rsidR="00D92EF1" w:rsidRPr="00B0207F">
        <w:t>consistent</w:t>
      </w:r>
      <w:r w:rsidRPr="00B0207F">
        <w:t>ly</w:t>
      </w:r>
      <w:r w:rsidR="00D92EF1" w:rsidRPr="00B0207F">
        <w:t xml:space="preserve"> </w:t>
      </w:r>
      <w:r w:rsidRPr="00B0207F">
        <w:t>argued that their actions were justified under the right of self-defence (as well as, initially at least, because of the consent of the DRC)</w:t>
      </w:r>
      <w:r w:rsidR="00D92EF1" w:rsidRPr="00B0207F">
        <w:t xml:space="preserve">.  These arguments were not restricted to political forums of the UN, but were presented in the judicial setting of the ICJ, as well </w:t>
      </w:r>
      <w:r w:rsidR="007B01BE">
        <w:t xml:space="preserve">as </w:t>
      </w:r>
      <w:r w:rsidR="00D92EF1" w:rsidRPr="00B0207F">
        <w:t>more generall</w:t>
      </w:r>
      <w:r w:rsidR="007166D0">
        <w:t>y outside of the UN framework.</w:t>
      </w:r>
      <w:r w:rsidR="0035788D">
        <w:t xml:space="preserve">  For its part, Burundi continued to deny military involvement in the DRC</w:t>
      </w:r>
      <w:r w:rsidR="00CA6704">
        <w:t xml:space="preserve"> until May 2001, when it finally asserted, in a letter to the Security Council, </w:t>
      </w:r>
      <w:r w:rsidR="00CA6704" w:rsidRPr="00995355">
        <w:t>that it had ‘deploy[ed] a military self-defence operation covering the part of the territory of the Democratic Republic of the Congo along Lake Tanganyika’.</w:t>
      </w:r>
      <w:r w:rsidR="00995355" w:rsidRPr="00995355">
        <w:rPr>
          <w:rStyle w:val="FootnoteReference"/>
        </w:rPr>
        <w:footnoteReference w:id="83"/>
      </w:r>
      <w:r w:rsidR="00CA6704">
        <w:t xml:space="preserve">  However, Burundi was rather non-specific in this letter as to the extent of this </w:t>
      </w:r>
      <w:r w:rsidR="003E727F">
        <w:t xml:space="preserve">avowedly defensive </w:t>
      </w:r>
      <w:r w:rsidR="00CA6704">
        <w:t xml:space="preserve">operation (in terms of both scale and timeframe), and, aside from this instance of claiming self-defence, </w:t>
      </w:r>
      <w:r w:rsidR="003E727F">
        <w:t xml:space="preserve">it </w:t>
      </w:r>
      <w:r w:rsidR="00CA6704">
        <w:t xml:space="preserve">remained content not to advance legal justifications at all. </w:t>
      </w:r>
    </w:p>
    <w:p w14:paraId="32FF3BB5" w14:textId="77777777" w:rsidR="00D92EF1" w:rsidRPr="00B0207F" w:rsidRDefault="00D92EF1" w:rsidP="00A24EB6">
      <w:pPr>
        <w:jc w:val="both"/>
      </w:pPr>
    </w:p>
    <w:p w14:paraId="04A2685F" w14:textId="77777777" w:rsidR="00E27509" w:rsidRPr="00CA315F" w:rsidRDefault="007166D0" w:rsidP="007166D0">
      <w:pPr>
        <w:pStyle w:val="ListParagraph"/>
        <w:numPr>
          <w:ilvl w:val="0"/>
          <w:numId w:val="6"/>
        </w:numPr>
        <w:jc w:val="both"/>
      </w:pPr>
      <w:r w:rsidRPr="007166D0">
        <w:t xml:space="preserve">The positions </w:t>
      </w:r>
      <w:r w:rsidRPr="00CA315F">
        <w:t>adopted by international o</w:t>
      </w:r>
      <w:r w:rsidR="00646662" w:rsidRPr="00CA315F">
        <w:t xml:space="preserve">rganisations and </w:t>
      </w:r>
      <w:r w:rsidR="00B00DB5" w:rsidRPr="00CA315F">
        <w:t>S</w:t>
      </w:r>
      <w:r w:rsidR="00646662" w:rsidRPr="00CA315F">
        <w:t>tates</w:t>
      </w:r>
      <w:r w:rsidRPr="00CA315F">
        <w:t xml:space="preserve"> no</w:t>
      </w:r>
      <w:r w:rsidR="00B00DB5" w:rsidRPr="00CA315F">
        <w:t>t</w:t>
      </w:r>
      <w:r w:rsidRPr="00CA315F">
        <w:t xml:space="preserve"> involved in the conflict</w:t>
      </w:r>
    </w:p>
    <w:p w14:paraId="658AC147" w14:textId="77777777" w:rsidR="00F460E6" w:rsidRPr="00CA315F" w:rsidRDefault="00F460E6" w:rsidP="00A24EB6">
      <w:pPr>
        <w:jc w:val="both"/>
      </w:pPr>
    </w:p>
    <w:p w14:paraId="1725A68C" w14:textId="77777777" w:rsidR="0010624D" w:rsidRDefault="007166D0" w:rsidP="00A24EB6">
      <w:pPr>
        <w:jc w:val="both"/>
      </w:pPr>
      <w:r w:rsidRPr="00CA315F">
        <w:t>At the UN</w:t>
      </w:r>
      <w:r w:rsidR="0010624D" w:rsidRPr="0010624D">
        <w:t xml:space="preserve">, the Security Council released a statement expressing concern over the growing tension </w:t>
      </w:r>
      <w:r w:rsidR="004134A0">
        <w:t xml:space="preserve">in the region </w:t>
      </w:r>
      <w:r w:rsidR="007C40DB">
        <w:t>more than two weeks</w:t>
      </w:r>
      <w:r w:rsidR="0010624D" w:rsidRPr="0010624D">
        <w:t xml:space="preserve"> </w:t>
      </w:r>
      <w:r w:rsidR="007C40DB" w:rsidRPr="004134A0">
        <w:rPr>
          <w:i/>
        </w:rPr>
        <w:t>before</w:t>
      </w:r>
      <w:r w:rsidR="0010624D" w:rsidRPr="0010624D">
        <w:t xml:space="preserve"> to the </w:t>
      </w:r>
      <w:r w:rsidR="004134A0">
        <w:t xml:space="preserve">large-scale </w:t>
      </w:r>
      <w:r w:rsidR="0010624D" w:rsidRPr="0010624D">
        <w:t xml:space="preserve">intervention by </w:t>
      </w:r>
      <w:r w:rsidR="00C2767D">
        <w:t>the</w:t>
      </w:r>
      <w:r w:rsidR="0010624D" w:rsidRPr="0010624D">
        <w:t xml:space="preserve"> forces</w:t>
      </w:r>
      <w:r w:rsidR="00C2767D">
        <w:t xml:space="preserve"> of the anti-Kabila States</w:t>
      </w:r>
      <w:r w:rsidR="0010624D" w:rsidRPr="0010624D">
        <w:t>.</w:t>
      </w:r>
      <w:r w:rsidR="0010624D" w:rsidRPr="0010624D">
        <w:rPr>
          <w:rStyle w:val="FootnoteReference"/>
        </w:rPr>
        <w:footnoteReference w:id="84"/>
      </w:r>
      <w:r w:rsidR="0010624D" w:rsidRPr="0010624D">
        <w:t xml:space="preserve">  On 31</w:t>
      </w:r>
      <w:r w:rsidR="0010624D">
        <w:t xml:space="preserve"> August 1998, </w:t>
      </w:r>
      <w:r w:rsidR="004134A0">
        <w:t xml:space="preserve">the </w:t>
      </w:r>
      <w:r w:rsidR="0010624D" w:rsidRPr="00B0207F">
        <w:t xml:space="preserve">Council issued a </w:t>
      </w:r>
      <w:r w:rsidR="004134A0">
        <w:t xml:space="preserve">further </w:t>
      </w:r>
      <w:r w:rsidR="0010624D" w:rsidRPr="00B0207F">
        <w:t>statement calling for a peaceful resolution to the conflict and the withdrawal of foreign troops (thereby explicitly acknowledging their presence in the territory).</w:t>
      </w:r>
      <w:bookmarkStart w:id="19" w:name="_Ref473562234"/>
      <w:r w:rsidR="0010624D" w:rsidRPr="00B0207F">
        <w:rPr>
          <w:rStyle w:val="FootnoteReference"/>
        </w:rPr>
        <w:footnoteReference w:id="85"/>
      </w:r>
      <w:bookmarkEnd w:id="19"/>
      <w:r w:rsidR="0010624D" w:rsidRPr="00B0207F">
        <w:t xml:space="preserve">  Yet, the Council did not</w:t>
      </w:r>
      <w:r w:rsidR="0010624D">
        <w:t>, at this stage,</w:t>
      </w:r>
      <w:r w:rsidR="0010624D" w:rsidRPr="00B0207F">
        <w:t xml:space="preserve"> name </w:t>
      </w:r>
      <w:r w:rsidR="0035788D">
        <w:t xml:space="preserve">any of </w:t>
      </w:r>
      <w:r w:rsidR="0010624D" w:rsidRPr="00B0207F">
        <w:t>the foreign parties involved or implement any measures to bring about their withdrawal.</w:t>
      </w:r>
      <w:r w:rsidR="0010624D" w:rsidRPr="00B0207F">
        <w:rPr>
          <w:rStyle w:val="FootnoteReference"/>
        </w:rPr>
        <w:footnoteReference w:id="86"/>
      </w:r>
    </w:p>
    <w:p w14:paraId="1A7315F7" w14:textId="77777777" w:rsidR="0010624D" w:rsidRDefault="0010624D" w:rsidP="00A24EB6">
      <w:pPr>
        <w:jc w:val="both"/>
      </w:pPr>
    </w:p>
    <w:p w14:paraId="4C1E54AF" w14:textId="77777777" w:rsidR="00EC6924" w:rsidRDefault="003B6FD6" w:rsidP="00A24EB6">
      <w:pPr>
        <w:jc w:val="both"/>
      </w:pPr>
      <w:r w:rsidRPr="00B0207F">
        <w:t xml:space="preserve">The General Assembly responded to the growing crisis in January 1999, </w:t>
      </w:r>
      <w:r w:rsidR="000402DE" w:rsidRPr="00B0207F">
        <w:t>by passing a resolution</w:t>
      </w:r>
      <w:r w:rsidRPr="00B0207F">
        <w:t xml:space="preserve"> </w:t>
      </w:r>
      <w:r w:rsidR="00B63F67">
        <w:t xml:space="preserve">(53/1 L) </w:t>
      </w:r>
      <w:r w:rsidRPr="00B0207F">
        <w:t>calling for aid to be given to the DRC, and reaffirming ‘the need for all States to refrain from interference in each other’s internal affairs.’</w:t>
      </w:r>
      <w:r w:rsidR="007C2E32" w:rsidRPr="00B0207F">
        <w:rPr>
          <w:rStyle w:val="FootnoteReference"/>
        </w:rPr>
        <w:footnoteReference w:id="87"/>
      </w:r>
      <w:r w:rsidRPr="00B0207F">
        <w:t xml:space="preserve">  </w:t>
      </w:r>
      <w:r w:rsidR="00B63F67">
        <w:t xml:space="preserve">It then, a month later, passed a further resolution (53/160) </w:t>
      </w:r>
      <w:r w:rsidR="007C40DB">
        <w:t>focused on the need for</w:t>
      </w:r>
      <w:r w:rsidR="0010624D" w:rsidRPr="0096510E">
        <w:t xml:space="preserve"> increased peacekeeping efforts by and on behalf of African States</w:t>
      </w:r>
      <w:r w:rsidR="0010624D">
        <w:t xml:space="preserve"> </w:t>
      </w:r>
      <w:r w:rsidR="007C40DB">
        <w:t>and the necessity of</w:t>
      </w:r>
      <w:r w:rsidR="000402DE" w:rsidRPr="00B0207F">
        <w:t xml:space="preserve"> </w:t>
      </w:r>
      <w:r w:rsidR="007C40DB">
        <w:t>the parties</w:t>
      </w:r>
      <w:r w:rsidR="000402DE" w:rsidRPr="00B0207F">
        <w:t xml:space="preserve"> respect</w:t>
      </w:r>
      <w:r w:rsidR="007C40DB">
        <w:t>ing</w:t>
      </w:r>
      <w:r w:rsidR="000402DE" w:rsidRPr="00B0207F">
        <w:t xml:space="preserve"> basic human rights during </w:t>
      </w:r>
      <w:r w:rsidR="00547481" w:rsidRPr="00B0207F">
        <w:t>hostilities</w:t>
      </w:r>
      <w:r w:rsidR="000402DE" w:rsidRPr="00B0207F">
        <w:t>.</w:t>
      </w:r>
      <w:r w:rsidR="000402DE" w:rsidRPr="00B0207F">
        <w:rPr>
          <w:rStyle w:val="FootnoteReference"/>
        </w:rPr>
        <w:footnoteReference w:id="88"/>
      </w:r>
      <w:r w:rsidR="00005F38" w:rsidRPr="00B0207F">
        <w:t xml:space="preserve"> </w:t>
      </w:r>
    </w:p>
    <w:p w14:paraId="42A3A101" w14:textId="77777777" w:rsidR="00B00DB5" w:rsidRDefault="00B00DB5" w:rsidP="00A24EB6">
      <w:pPr>
        <w:jc w:val="both"/>
      </w:pPr>
    </w:p>
    <w:p w14:paraId="1A647EA1" w14:textId="77777777" w:rsidR="00D2753A" w:rsidRDefault="00005F38" w:rsidP="00A24EB6">
      <w:pPr>
        <w:jc w:val="both"/>
      </w:pPr>
      <w:r w:rsidRPr="00B0207F">
        <w:t xml:space="preserve">It </w:t>
      </w:r>
      <w:r w:rsidR="00AF33DA" w:rsidRPr="00B0207F">
        <w:t xml:space="preserve">was </w:t>
      </w:r>
      <w:r w:rsidRPr="00B0207F">
        <w:t xml:space="preserve">eight months </w:t>
      </w:r>
      <w:r w:rsidR="007166D0" w:rsidRPr="00B0207F">
        <w:t>a</w:t>
      </w:r>
      <w:r w:rsidR="007166D0">
        <w:t>fter the start of the conflict</w:t>
      </w:r>
      <w:r w:rsidR="00825611">
        <w:t>, in April 1999,</w:t>
      </w:r>
      <w:r w:rsidR="007166D0">
        <w:t xml:space="preserve"> </w:t>
      </w:r>
      <w:r w:rsidR="00EC6924" w:rsidRPr="00B0207F">
        <w:t>before</w:t>
      </w:r>
      <w:r w:rsidR="00625186" w:rsidRPr="00B0207F">
        <w:t xml:space="preserve"> the Security Council passed a resolution </w:t>
      </w:r>
      <w:r w:rsidR="00825611">
        <w:t xml:space="preserve">(1234) </w:t>
      </w:r>
      <w:r w:rsidR="00625186" w:rsidRPr="00B0207F">
        <w:t xml:space="preserve">calling for an end to the </w:t>
      </w:r>
      <w:r w:rsidR="007166D0">
        <w:t>fighting</w:t>
      </w:r>
      <w:r w:rsidR="00EC6924" w:rsidRPr="00B0207F">
        <w:t>.</w:t>
      </w:r>
      <w:bookmarkStart w:id="20" w:name="_Ref473562275"/>
      <w:r w:rsidR="00A62287" w:rsidRPr="00B0207F">
        <w:rPr>
          <w:rStyle w:val="FootnoteReference"/>
        </w:rPr>
        <w:footnoteReference w:id="89"/>
      </w:r>
      <w:bookmarkEnd w:id="20"/>
      <w:r w:rsidR="006E72FB" w:rsidRPr="00B0207F">
        <w:t xml:space="preserve">  This</w:t>
      </w:r>
      <w:r w:rsidR="00EC6924" w:rsidRPr="00B0207F">
        <w:t xml:space="preserve"> resolution</w:t>
      </w:r>
      <w:r w:rsidR="00825611">
        <w:t xml:space="preserve"> </w:t>
      </w:r>
      <w:r w:rsidR="001D7221" w:rsidRPr="00B0207F">
        <w:t xml:space="preserve">again </w:t>
      </w:r>
      <w:r w:rsidR="00EC6924" w:rsidRPr="00B0207F">
        <w:t>explicitly acknowledged</w:t>
      </w:r>
      <w:r w:rsidR="000723FA" w:rsidRPr="00B0207F">
        <w:t xml:space="preserve"> the presence of foreign troops within the DRC</w:t>
      </w:r>
      <w:r w:rsidR="00EC6924" w:rsidRPr="00B0207F">
        <w:t xml:space="preserve"> and</w:t>
      </w:r>
      <w:r w:rsidR="000723FA" w:rsidRPr="00B0207F">
        <w:t xml:space="preserve"> further</w:t>
      </w:r>
      <w:r w:rsidR="00625186" w:rsidRPr="00B0207F">
        <w:t xml:space="preserve"> </w:t>
      </w:r>
      <w:r w:rsidR="000723FA" w:rsidRPr="00B0207F">
        <w:t>stressed</w:t>
      </w:r>
      <w:r w:rsidR="00625186" w:rsidRPr="00B0207F">
        <w:t xml:space="preserve"> the </w:t>
      </w:r>
      <w:r w:rsidR="00AF33DA" w:rsidRPr="00B0207F">
        <w:t>requirement that the DRC’</w:t>
      </w:r>
      <w:r w:rsidR="007C2E32" w:rsidRPr="00B0207F">
        <w:t>s</w:t>
      </w:r>
      <w:r w:rsidR="000723FA" w:rsidRPr="00B0207F">
        <w:t xml:space="preserve"> territorial integrity be respected</w:t>
      </w:r>
      <w:r w:rsidR="00BB7FDB" w:rsidRPr="00B0207F">
        <w:t>.</w:t>
      </w:r>
      <w:r w:rsidR="006E72FB" w:rsidRPr="00B0207F">
        <w:t xml:space="preserve">  R</w:t>
      </w:r>
      <w:r w:rsidR="001D7221" w:rsidRPr="00B0207F">
        <w:t xml:space="preserve">esolution </w:t>
      </w:r>
      <w:r w:rsidR="006E72FB" w:rsidRPr="00B0207F">
        <w:t xml:space="preserve">1234 </w:t>
      </w:r>
      <w:r w:rsidR="001D7221" w:rsidRPr="00B0207F">
        <w:t xml:space="preserve">essentially amounted to a codification of </w:t>
      </w:r>
      <w:r w:rsidR="00B6790B" w:rsidRPr="00B0207F">
        <w:t>the Council’s</w:t>
      </w:r>
      <w:r w:rsidR="001D7221" w:rsidRPr="00B0207F">
        <w:t xml:space="preserve"> statement of the previous August, and still did not name the </w:t>
      </w:r>
      <w:r w:rsidR="007E7B25">
        <w:t>S</w:t>
      </w:r>
      <w:r w:rsidR="001D7221" w:rsidRPr="00B0207F">
        <w:t xml:space="preserve">tates </w:t>
      </w:r>
      <w:r w:rsidR="00B6790B" w:rsidRPr="00B0207F">
        <w:t>that</w:t>
      </w:r>
      <w:r w:rsidR="001D7221" w:rsidRPr="00B0207F">
        <w:t xml:space="preserve"> were parties to the conflict or express any judgment on the </w:t>
      </w:r>
      <w:r w:rsidR="009C6E64" w:rsidRPr="00B0207F">
        <w:t>lawfulness</w:t>
      </w:r>
      <w:r w:rsidR="001D7221" w:rsidRPr="00B0207F">
        <w:t xml:space="preserve"> of those </w:t>
      </w:r>
      <w:r w:rsidR="007E7B25">
        <w:t>S</w:t>
      </w:r>
      <w:r w:rsidR="001D7221" w:rsidRPr="00B0207F">
        <w:t>tates’ actions</w:t>
      </w:r>
      <w:r w:rsidR="00825611">
        <w:t>, other than in the broadest of terms as applicable to all parties</w:t>
      </w:r>
      <w:r w:rsidR="001D7221" w:rsidRPr="00B0207F">
        <w:t>.</w:t>
      </w:r>
      <w:r w:rsidR="00E47A98" w:rsidRPr="00B0207F">
        <w:t xml:space="preserve">  </w:t>
      </w:r>
    </w:p>
    <w:p w14:paraId="1C5AA31C" w14:textId="77777777" w:rsidR="00D2753A" w:rsidRDefault="00D2753A" w:rsidP="00A24EB6">
      <w:pPr>
        <w:jc w:val="both"/>
      </w:pPr>
    </w:p>
    <w:p w14:paraId="5C301AA0" w14:textId="77777777" w:rsidR="00F90DD9" w:rsidRDefault="00775956" w:rsidP="00A24EB6">
      <w:pPr>
        <w:jc w:val="both"/>
      </w:pPr>
      <w:r w:rsidRPr="007735C5">
        <w:t xml:space="preserve">It has been stated that </w:t>
      </w:r>
      <w:r w:rsidR="005167CF" w:rsidRPr="007735C5">
        <w:t>Resolution 1234 reflected a clear position on the part of the Security</w:t>
      </w:r>
      <w:r w:rsidR="005167CF">
        <w:t xml:space="preserve"> </w:t>
      </w:r>
      <w:r w:rsidRPr="00B0207F">
        <w:t>Council that ‘aid to the Government was permissible; intervention or force to overthrow the Government was not.’</w:t>
      </w:r>
      <w:bookmarkStart w:id="21" w:name="_Ref473559721"/>
      <w:r w:rsidR="0094079B" w:rsidRPr="00B0207F">
        <w:rPr>
          <w:rStyle w:val="FootnoteReference"/>
        </w:rPr>
        <w:footnoteReference w:id="90"/>
      </w:r>
      <w:bookmarkEnd w:id="21"/>
      <w:r w:rsidR="005167CF">
        <w:t xml:space="preserve">  In other words, this has been seen as a veiled endorsement</w:t>
      </w:r>
      <w:r w:rsidR="00D2753A">
        <w:t xml:space="preserve"> of</w:t>
      </w:r>
      <w:r w:rsidR="005167CF">
        <w:t>, or at least acceptance of</w:t>
      </w:r>
      <w:r w:rsidR="00D2753A">
        <w:t>,</w:t>
      </w:r>
      <w:r w:rsidR="005167CF">
        <w:t xml:space="preserve"> the a</w:t>
      </w:r>
      <w:r w:rsidR="00D2753A">
        <w:t>ctions of the pro-Kabila States</w:t>
      </w:r>
      <w:r w:rsidR="005167CF">
        <w:t xml:space="preserve"> and a condemnation of the anti-Kabila States.  This reading of the resolution perhaps goes a little far, but, in June 2000, </w:t>
      </w:r>
      <w:r w:rsidR="005167CF" w:rsidRPr="00B0207F">
        <w:t>the Security Council pass</w:t>
      </w:r>
      <w:r w:rsidR="005167CF">
        <w:t>ed</w:t>
      </w:r>
      <w:r w:rsidR="005167CF" w:rsidRPr="00B0207F">
        <w:t xml:space="preserve"> </w:t>
      </w:r>
      <w:r w:rsidR="005167CF">
        <w:t xml:space="preserve">a further </w:t>
      </w:r>
      <w:r w:rsidR="005167CF" w:rsidRPr="00B0207F">
        <w:t>resolution (1304</w:t>
      </w:r>
      <w:r w:rsidR="005167CF">
        <w:t>)</w:t>
      </w:r>
      <w:r w:rsidR="005167CF" w:rsidRPr="00B0207F">
        <w:t xml:space="preserve"> </w:t>
      </w:r>
      <w:r w:rsidR="005167CF">
        <w:t xml:space="preserve">that </w:t>
      </w:r>
      <w:r w:rsidR="005167CF" w:rsidRPr="00B0207F">
        <w:t>explicitly demand</w:t>
      </w:r>
      <w:r w:rsidR="005167CF">
        <w:t>ed</w:t>
      </w:r>
      <w:r w:rsidR="005167CF" w:rsidRPr="00B0207F">
        <w:t xml:space="preserve"> the withdrawal of </w:t>
      </w:r>
      <w:r w:rsidR="005167CF" w:rsidRPr="00732FA0">
        <w:t>Ugandan</w:t>
      </w:r>
      <w:r w:rsidR="005167CF" w:rsidRPr="00B0207F">
        <w:t xml:space="preserve"> and </w:t>
      </w:r>
      <w:r w:rsidR="005167CF" w:rsidRPr="00732FA0">
        <w:t>Rwandan</w:t>
      </w:r>
      <w:r w:rsidR="005167CF" w:rsidRPr="00B0207F">
        <w:t xml:space="preserve"> troops from the DRC</w:t>
      </w:r>
      <w:r w:rsidR="005167CF">
        <w:t xml:space="preserve">, while remaining silent on the interventions of Angola </w:t>
      </w:r>
      <w:r w:rsidR="005167CF" w:rsidRPr="005167CF">
        <w:rPr>
          <w:i/>
        </w:rPr>
        <w:t>et a</w:t>
      </w:r>
      <w:r w:rsidR="005167CF">
        <w:rPr>
          <w:i/>
        </w:rPr>
        <w:t>l</w:t>
      </w:r>
      <w:r w:rsidR="005167CF" w:rsidRPr="005167CF">
        <w:t>.</w:t>
      </w:r>
      <w:r w:rsidR="005167CF" w:rsidRPr="00B0207F">
        <w:rPr>
          <w:rStyle w:val="FootnoteReference"/>
        </w:rPr>
        <w:footnoteReference w:id="91"/>
      </w:r>
      <w:r w:rsidR="005167CF">
        <w:t xml:space="preserve">  </w:t>
      </w:r>
      <w:r w:rsidR="00732FA0">
        <w:t xml:space="preserve">The Security Council’s support for the legal claims made by the DRC </w:t>
      </w:r>
      <w:r w:rsidR="005E398F">
        <w:t>is therefore clearly</w:t>
      </w:r>
      <w:r w:rsidR="005167CF">
        <w:t xml:space="preserve"> evident in R</w:t>
      </w:r>
      <w:r w:rsidR="00732FA0">
        <w:t xml:space="preserve">esolution 1304, </w:t>
      </w:r>
      <w:r w:rsidR="005E398F">
        <w:t xml:space="preserve">at least: </w:t>
      </w:r>
      <w:r w:rsidR="00732FA0">
        <w:t>under Chapter VII,</w:t>
      </w:r>
      <w:r w:rsidR="005E398F">
        <w:t xml:space="preserve"> the Council required</w:t>
      </w:r>
      <w:r w:rsidR="00732FA0">
        <w:t xml:space="preserve"> ‘that </w:t>
      </w:r>
      <w:r w:rsidR="00732FA0" w:rsidRPr="005E398F">
        <w:rPr>
          <w:i/>
        </w:rPr>
        <w:t>Uganda</w:t>
      </w:r>
      <w:r w:rsidR="00732FA0">
        <w:t xml:space="preserve"> and </w:t>
      </w:r>
      <w:r w:rsidR="00732FA0" w:rsidRPr="005E398F">
        <w:rPr>
          <w:i/>
        </w:rPr>
        <w:t>Rwanda</w:t>
      </w:r>
      <w:r w:rsidR="00732FA0">
        <w:t xml:space="preserve">, </w:t>
      </w:r>
      <w:r w:rsidR="00732FA0" w:rsidRPr="00452B4C">
        <w:rPr>
          <w:i/>
        </w:rPr>
        <w:t>which have violated the sovereignty and territorial integrity of the Democratic Republic of the Congo</w:t>
      </w:r>
      <w:r w:rsidR="00732FA0" w:rsidRPr="00452B4C">
        <w:t>,</w:t>
      </w:r>
      <w:r w:rsidR="00732FA0">
        <w:t xml:space="preserve"> withdraw all their forces from the territory of the Democratic Republic of the Congo without further delay.’</w:t>
      </w:r>
      <w:r w:rsidR="00732FA0">
        <w:rPr>
          <w:rStyle w:val="FootnoteReference"/>
        </w:rPr>
        <w:footnoteReference w:id="92"/>
      </w:r>
      <w:r w:rsidR="005E398F">
        <w:t xml:space="preserve">  However, it is evident that as the conflict continued, the Council took a more neutral position, </w:t>
      </w:r>
      <w:r w:rsidR="005E398F" w:rsidRPr="00B42F58">
        <w:t>focused s</w:t>
      </w:r>
      <w:r w:rsidR="005C1185" w:rsidRPr="00B42F58">
        <w:t>ole</w:t>
      </w:r>
      <w:r w:rsidR="005E398F" w:rsidRPr="00B42F58">
        <w:t>ly on</w:t>
      </w:r>
      <w:r w:rsidR="005E398F">
        <w:t xml:space="preserve"> the implementation of the ceasefire agreement.</w:t>
      </w:r>
      <w:r w:rsidR="005E398F">
        <w:rPr>
          <w:rStyle w:val="FootnoteReference"/>
        </w:rPr>
        <w:footnoteReference w:id="93"/>
      </w:r>
    </w:p>
    <w:p w14:paraId="3C7A4178" w14:textId="77777777" w:rsidR="00825611" w:rsidRDefault="00825611" w:rsidP="00A24EB6">
      <w:pPr>
        <w:jc w:val="both"/>
      </w:pPr>
    </w:p>
    <w:p w14:paraId="392E6E2A" w14:textId="77777777" w:rsidR="00825611" w:rsidRPr="00B0207F" w:rsidRDefault="00BE4629" w:rsidP="00A24EB6">
      <w:pPr>
        <w:jc w:val="both"/>
      </w:pPr>
      <w:r w:rsidRPr="005C1649">
        <w:t xml:space="preserve">It is also worth noting that the Security </w:t>
      </w:r>
      <w:r w:rsidR="00825611" w:rsidRPr="005C1649">
        <w:t xml:space="preserve">Council </w:t>
      </w:r>
      <w:r w:rsidRPr="005C1649">
        <w:t>established the United Nations Organization Mission in the Democratic Republic of Congo (MONUC –</w:t>
      </w:r>
      <w:r w:rsidR="0068518E">
        <w:t xml:space="preserve"> </w:t>
      </w:r>
      <w:r w:rsidRPr="005C1649">
        <w:t>since 2010 MONUSCO) by way of Resolution 1279 in November 1999.</w:t>
      </w:r>
      <w:r w:rsidR="00CD45E2" w:rsidRPr="005C1649">
        <w:rPr>
          <w:rStyle w:val="FootnoteReference"/>
        </w:rPr>
        <w:footnoteReference w:id="94"/>
      </w:r>
      <w:r w:rsidRPr="005C1649">
        <w:t xml:space="preserve">  MONUC’s mandate was initially purely observatory, </w:t>
      </w:r>
      <w:r w:rsidR="005C1649">
        <w:t xml:space="preserve">and </w:t>
      </w:r>
      <w:r w:rsidRPr="005C1649">
        <w:t>relat</w:t>
      </w:r>
      <w:r w:rsidR="005C1649">
        <w:t>ed</w:t>
      </w:r>
      <w:r w:rsidRPr="005C1649">
        <w:t xml:space="preserve"> to</w:t>
      </w:r>
      <w:r w:rsidR="00825611" w:rsidRPr="005C1649">
        <w:t xml:space="preserve"> the ceasefire agreement signed by the majority of the parties in Lusaka, Zambia on 10 July 1999</w:t>
      </w:r>
      <w:r w:rsidRPr="005C1649">
        <w:t>.</w:t>
      </w:r>
      <w:r w:rsidR="005C1649">
        <w:rPr>
          <w:rStyle w:val="FootnoteReference"/>
        </w:rPr>
        <w:footnoteReference w:id="95"/>
      </w:r>
      <w:r>
        <w:t xml:space="preserve">  However, MONUC’s mandate was subsequently expanded and extended to a full-blown peacekeeping mission, </w:t>
      </w:r>
      <w:r w:rsidR="005C1649">
        <w:t xml:space="preserve">first </w:t>
      </w:r>
      <w:r w:rsidR="00D2753A">
        <w:t>through</w:t>
      </w:r>
      <w:r>
        <w:t xml:space="preserve"> Resolution 1291 in February 2000</w:t>
      </w:r>
      <w:r w:rsidR="00CD45E2">
        <w:rPr>
          <w:rStyle w:val="FootnoteReference"/>
        </w:rPr>
        <w:footnoteReference w:id="96"/>
      </w:r>
      <w:r w:rsidR="00CD45E2">
        <w:t xml:space="preserve"> and then </w:t>
      </w:r>
      <w:r w:rsidR="008A3F8A">
        <w:t xml:space="preserve">through </w:t>
      </w:r>
      <w:r w:rsidR="005C1649">
        <w:t xml:space="preserve">numerous </w:t>
      </w:r>
      <w:r w:rsidR="008A3F8A">
        <w:t>further</w:t>
      </w:r>
      <w:r w:rsidR="00CD45E2">
        <w:t xml:space="preserve"> resolutions</w:t>
      </w:r>
      <w:r>
        <w:t>.</w:t>
      </w:r>
      <w:r w:rsidR="00CD45E2">
        <w:rPr>
          <w:rStyle w:val="FootnoteReference"/>
        </w:rPr>
        <w:footnoteReference w:id="97"/>
      </w:r>
    </w:p>
    <w:p w14:paraId="4545055E" w14:textId="77777777" w:rsidR="003B2F15" w:rsidRDefault="003B2F15" w:rsidP="00A24EB6">
      <w:pPr>
        <w:jc w:val="both"/>
      </w:pPr>
    </w:p>
    <w:p w14:paraId="03EBC543" w14:textId="77777777" w:rsidR="001157E0" w:rsidRDefault="001157E0" w:rsidP="00E14C52">
      <w:pPr>
        <w:jc w:val="both"/>
      </w:pPr>
      <w:r>
        <w:t xml:space="preserve">Outside of the UN context, the European Union (EU) was notably vocal with regard to the conflict, issuing a formal statement only days after the initial intervention in August 1998, which, </w:t>
      </w:r>
      <w:r w:rsidRPr="002E00AF">
        <w:rPr>
          <w:i/>
        </w:rPr>
        <w:t>inter alia</w:t>
      </w:r>
      <w:r>
        <w:t xml:space="preserve">, reiterated respect for humanitarian principles and human rights, as well as expressing concern </w:t>
      </w:r>
      <w:r w:rsidR="00601407">
        <w:t>over</w:t>
      </w:r>
      <w:r>
        <w:t xml:space="preserve"> ‘the possibility of foreign interference in the [DRC’s] internal </w:t>
      </w:r>
      <w:r>
        <w:lastRenderedPageBreak/>
        <w:t>affairs’.</w:t>
      </w:r>
      <w:r>
        <w:rPr>
          <w:rStyle w:val="FootnoteReference"/>
        </w:rPr>
        <w:footnoteReference w:id="98"/>
      </w:r>
      <w:r>
        <w:t xml:space="preserve">  As such, the EU was tentatively supportive of the DRC from the outset.  The EU went on to issue further similar statements in the subsequent weeks, urging, in particular, a peaceful resolution and requesting all parties to end hostilities and human rights violations.</w:t>
      </w:r>
      <w:r>
        <w:rPr>
          <w:rStyle w:val="FootnoteReference"/>
        </w:rPr>
        <w:footnoteReference w:id="99"/>
      </w:r>
    </w:p>
    <w:p w14:paraId="06FB5437" w14:textId="77777777" w:rsidR="001157E0" w:rsidRDefault="001157E0" w:rsidP="00E14C52">
      <w:pPr>
        <w:jc w:val="both"/>
      </w:pPr>
    </w:p>
    <w:p w14:paraId="72DA7049" w14:textId="24CEB962" w:rsidR="001157E0" w:rsidRDefault="001157E0" w:rsidP="00E14C52">
      <w:pPr>
        <w:jc w:val="both"/>
      </w:pPr>
      <w:r>
        <w:t>The Organisation of African Unity (OAU) was</w:t>
      </w:r>
      <w:r w:rsidR="007735C5">
        <w:t>, initially,</w:t>
      </w:r>
      <w:r>
        <w:t xml:space="preserve"> more explicitly supportive </w:t>
      </w:r>
      <w:r w:rsidR="002D084D">
        <w:t xml:space="preserve">of the DRC </w:t>
      </w:r>
      <w:r>
        <w:t>than the EU: on 17 August 1998 it ‘[r]eiterated its support for the Government of the Democratic Republic of the Congo and</w:t>
      </w:r>
      <w:r w:rsidR="00D2753A">
        <w:t xml:space="preserve"> </w:t>
      </w:r>
      <w:r w:rsidR="0035788D">
        <w:t>[</w:t>
      </w:r>
      <w:r>
        <w:t>…</w:t>
      </w:r>
      <w:r w:rsidR="0035788D">
        <w:t>]</w:t>
      </w:r>
      <w:r w:rsidR="00D2753A">
        <w:t xml:space="preserve"> </w:t>
      </w:r>
      <w:r>
        <w:t>condemned all external interventions in the internal affairs of that country under any pretext whatsoever.’</w:t>
      </w:r>
      <w:r>
        <w:rPr>
          <w:rStyle w:val="FootnoteReference"/>
        </w:rPr>
        <w:footnoteReference w:id="100"/>
      </w:r>
      <w:r>
        <w:t xml:space="preserve">  However, the OAU (and eventually its successor, the African Union) was ultimately a self-consciously neutral player in the subsequent attempts to secure and administer peace.</w:t>
      </w:r>
      <w:r>
        <w:rPr>
          <w:rStyle w:val="FootnoteReference"/>
        </w:rPr>
        <w:footnoteReference w:id="101"/>
      </w:r>
      <w:r w:rsidR="00E14C52">
        <w:t xml:space="preserve">  For example, when d</w:t>
      </w:r>
      <w:r>
        <w:t>iscussing the conflict in March 1999, Burkina Faso’s represen</w:t>
      </w:r>
      <w:r w:rsidR="00E14C52">
        <w:t>tative at the Security Council (</w:t>
      </w:r>
      <w:r>
        <w:t>representing the OAU</w:t>
      </w:r>
      <w:r w:rsidR="00E14C52">
        <w:t>)</w:t>
      </w:r>
      <w:r>
        <w:t xml:space="preserve">, </w:t>
      </w:r>
      <w:r w:rsidR="00E14C52">
        <w:t>explicitly refrained from taking a position in support of any particular party to the conflict:</w:t>
      </w:r>
      <w:r>
        <w:t xml:space="preserve"> ‘considering all of its members to be on an equal footing and, above all, concerned to preserve their unity and solidarity, the OAU is not in the habit of damning any of them.’</w:t>
      </w:r>
      <w:r w:rsidR="00E14C52">
        <w:rPr>
          <w:rStyle w:val="FootnoteReference"/>
        </w:rPr>
        <w:footnoteReference w:id="102"/>
      </w:r>
    </w:p>
    <w:p w14:paraId="41128419" w14:textId="77777777" w:rsidR="001157E0" w:rsidRDefault="001157E0" w:rsidP="00E14C52">
      <w:pPr>
        <w:jc w:val="both"/>
      </w:pPr>
    </w:p>
    <w:p w14:paraId="7E629C5A" w14:textId="77777777" w:rsidR="001157E0" w:rsidRPr="00B0207F" w:rsidRDefault="001D38C8" w:rsidP="00E14C52">
      <w:pPr>
        <w:jc w:val="both"/>
      </w:pPr>
      <w:r>
        <w:t xml:space="preserve">For its part, </w:t>
      </w:r>
      <w:r w:rsidR="001157E0">
        <w:t>SADC</w:t>
      </w:r>
      <w:r w:rsidR="007B01BE">
        <w:t xml:space="preserve"> unsurprisingly</w:t>
      </w:r>
      <w:r w:rsidR="001157E0">
        <w:t xml:space="preserve"> went further still in its support for the DRC by</w:t>
      </w:r>
      <w:r w:rsidR="002D33A7">
        <w:t xml:space="preserve"> </w:t>
      </w:r>
      <w:r w:rsidR="001157E0">
        <w:t>endorsing</w:t>
      </w:r>
      <w:r w:rsidR="002D33A7">
        <w:t xml:space="preserve"> and – at least purportedly – </w:t>
      </w:r>
      <w:r w:rsidR="002D33A7">
        <w:rPr>
          <w:i/>
        </w:rPr>
        <w:t>authorising</w:t>
      </w:r>
      <w:r w:rsidR="002D33A7">
        <w:t xml:space="preserve"> </w:t>
      </w:r>
      <w:r w:rsidR="00601407">
        <w:t>the use of forces by the p</w:t>
      </w:r>
      <w:r w:rsidR="001157E0">
        <w:t>ro-Kabila States.</w:t>
      </w:r>
      <w:r w:rsidR="001157E0">
        <w:rPr>
          <w:rStyle w:val="FootnoteReference"/>
        </w:rPr>
        <w:footnoteReference w:id="103"/>
      </w:r>
      <w:r w:rsidR="001157E0">
        <w:t xml:space="preserve">  However, th</w:t>
      </w:r>
      <w:r w:rsidR="002D33A7">
        <w:t>is</w:t>
      </w:r>
      <w:r w:rsidR="001157E0">
        <w:t xml:space="preserve"> </w:t>
      </w:r>
      <w:r w:rsidR="002D33A7">
        <w:t xml:space="preserve">initial declaration of </w:t>
      </w:r>
      <w:r w:rsidR="00601407">
        <w:t>endorsement</w:t>
      </w:r>
      <w:r w:rsidR="002D33A7">
        <w:t xml:space="preserve"> was not issued by the full SADC summit and so was of dubious procedural validity within the organisation.</w:t>
      </w:r>
      <w:r w:rsidR="002D33A7">
        <w:rPr>
          <w:rStyle w:val="FootnoteReference"/>
        </w:rPr>
        <w:footnoteReference w:id="104"/>
      </w:r>
      <w:r w:rsidR="002D33A7">
        <w:t xml:space="preserve">  The </w:t>
      </w:r>
      <w:r w:rsidR="001157E0">
        <w:t xml:space="preserve">SADC in fact </w:t>
      </w:r>
      <w:r w:rsidR="001157E0" w:rsidRPr="00B0207F">
        <w:t xml:space="preserve">only </w:t>
      </w:r>
      <w:r w:rsidR="002D33A7">
        <w:t xml:space="preserve">formally </w:t>
      </w:r>
      <w:r w:rsidR="001157E0" w:rsidRPr="00B0207F">
        <w:t xml:space="preserve">endorsed military action </w:t>
      </w:r>
      <w:r w:rsidR="001157E0">
        <w:t xml:space="preserve">by Angola </w:t>
      </w:r>
      <w:r w:rsidR="001157E0" w:rsidRPr="001A6B8D">
        <w:rPr>
          <w:i/>
        </w:rPr>
        <w:t>et al</w:t>
      </w:r>
      <w:r w:rsidR="001157E0">
        <w:t xml:space="preserve"> </w:t>
      </w:r>
      <w:r w:rsidR="001157E0" w:rsidRPr="00B0207F">
        <w:t>retrospectively</w:t>
      </w:r>
      <w:r w:rsidR="001157E0">
        <w:t xml:space="preserve"> (and arguably</w:t>
      </w:r>
      <w:r w:rsidR="002D33A7">
        <w:t>, even then, still</w:t>
      </w:r>
      <w:r w:rsidR="001157E0">
        <w:t xml:space="preserve"> rather equivocally).</w:t>
      </w:r>
      <w:bookmarkStart w:id="22" w:name="_Ref473562389"/>
      <w:r w:rsidR="001157E0" w:rsidRPr="00B0207F">
        <w:rPr>
          <w:rStyle w:val="FootnoteReference"/>
        </w:rPr>
        <w:footnoteReference w:id="105"/>
      </w:r>
      <w:bookmarkEnd w:id="22"/>
      <w:r w:rsidR="001157E0">
        <w:t xml:space="preserve">  In any event, it quickly </w:t>
      </w:r>
      <w:r w:rsidR="00191635">
        <w:t xml:space="preserve">also </w:t>
      </w:r>
      <w:r w:rsidR="001157E0">
        <w:t>moved towards adopting a more neutral stance, becoming the primary actor calling for a peace summit</w:t>
      </w:r>
      <w:r w:rsidR="001157E0">
        <w:rPr>
          <w:rStyle w:val="FootnoteReference"/>
        </w:rPr>
        <w:footnoteReference w:id="106"/>
      </w:r>
      <w:r w:rsidR="001157E0">
        <w:t xml:space="preserve"> and then taking perhaps</w:t>
      </w:r>
      <w:r w:rsidR="001157E0" w:rsidRPr="007F72FD">
        <w:t xml:space="preserve"> </w:t>
      </w:r>
      <w:r w:rsidR="001157E0">
        <w:t>the</w:t>
      </w:r>
      <w:r w:rsidR="001157E0" w:rsidRPr="007F72FD">
        <w:t xml:space="preserve"> </w:t>
      </w:r>
      <w:r w:rsidR="001157E0">
        <w:t>most prominent</w:t>
      </w:r>
      <w:r w:rsidR="001157E0" w:rsidRPr="007F72FD">
        <w:t xml:space="preserve"> role in trying to broker a ceasefire</w:t>
      </w:r>
      <w:r w:rsidR="001157E0">
        <w:t>.</w:t>
      </w:r>
      <w:r w:rsidR="001157E0">
        <w:rPr>
          <w:rStyle w:val="FootnoteReference"/>
        </w:rPr>
        <w:footnoteReference w:id="107"/>
      </w:r>
    </w:p>
    <w:p w14:paraId="281530C4" w14:textId="77777777" w:rsidR="00BE4629" w:rsidRPr="00EA6695" w:rsidRDefault="00BE4629" w:rsidP="00E14C52">
      <w:pPr>
        <w:jc w:val="both"/>
      </w:pPr>
    </w:p>
    <w:p w14:paraId="4FFCA3A6" w14:textId="77777777" w:rsidR="00E14C52" w:rsidRDefault="001157E0" w:rsidP="00E14C52">
      <w:pPr>
        <w:jc w:val="both"/>
      </w:pPr>
      <w:r w:rsidRPr="00EA6695">
        <w:t>In terms of individual States’ positions, o</w:t>
      </w:r>
      <w:r w:rsidR="007E7B25" w:rsidRPr="00EA6695">
        <w:t>ther S</w:t>
      </w:r>
      <w:r w:rsidR="00941BCD" w:rsidRPr="00EA6695">
        <w:t>tates in Africa</w:t>
      </w:r>
      <w:r w:rsidRPr="00EA6695">
        <w:t xml:space="preserve"> </w:t>
      </w:r>
      <w:r w:rsidR="00601407">
        <w:t xml:space="preserve">that were not </w:t>
      </w:r>
      <w:r w:rsidRPr="00EA6695">
        <w:t>party to the conflict</w:t>
      </w:r>
      <w:r w:rsidR="00941BCD" w:rsidRPr="00EA6695">
        <w:t xml:space="preserve"> were generally </w:t>
      </w:r>
      <w:r w:rsidR="00EA6695" w:rsidRPr="00EA6695">
        <w:t xml:space="preserve">relatively </w:t>
      </w:r>
      <w:r w:rsidR="00941BCD" w:rsidRPr="00EA6695">
        <w:t xml:space="preserve">neutral </w:t>
      </w:r>
      <w:r w:rsidR="00415AAB" w:rsidRPr="00EA6695">
        <w:t>with regard</w:t>
      </w:r>
      <w:r w:rsidR="00941BCD" w:rsidRPr="00EA6695">
        <w:t xml:space="preserve"> to </w:t>
      </w:r>
      <w:r w:rsidRPr="00EA6695">
        <w:t>legal questions</w:t>
      </w:r>
      <w:r w:rsidR="00EA6695" w:rsidRPr="00EA6695">
        <w:t xml:space="preserve"> at</w:t>
      </w:r>
      <w:r w:rsidR="00EA6695">
        <w:t xml:space="preserve"> the time</w:t>
      </w:r>
      <w:r w:rsidR="00941BCD" w:rsidRPr="00B0207F">
        <w:t xml:space="preserve">, </w:t>
      </w:r>
      <w:r w:rsidR="00EA6695">
        <w:t>preferring to urge for peaceful resolution and respect for legal standards by all parties rather than attempt</w:t>
      </w:r>
      <w:r w:rsidR="00191635">
        <w:t>ing</w:t>
      </w:r>
      <w:r w:rsidR="00EA6695">
        <w:t xml:space="preserve"> to apportion blame.  Zambia, for example, called upon all of the States involved to end </w:t>
      </w:r>
      <w:r w:rsidR="00EA6695">
        <w:lastRenderedPageBreak/>
        <w:t>hostilities,</w:t>
      </w:r>
      <w:bookmarkStart w:id="23" w:name="_Ref473560308"/>
      <w:r w:rsidR="00EA6695">
        <w:rPr>
          <w:rStyle w:val="FootnoteReference"/>
        </w:rPr>
        <w:footnoteReference w:id="108"/>
      </w:r>
      <w:bookmarkEnd w:id="23"/>
      <w:r w:rsidR="00EA6695">
        <w:t xml:space="preserve"> while Libya pressed particularly for </w:t>
      </w:r>
      <w:r w:rsidR="00601407">
        <w:t xml:space="preserve">peaceful </w:t>
      </w:r>
      <w:r w:rsidR="00EA6695">
        <w:t>resolution through engagement with the OAU.</w:t>
      </w:r>
      <w:r w:rsidR="00EA6695">
        <w:rPr>
          <w:rStyle w:val="FootnoteReference"/>
        </w:rPr>
        <w:footnoteReference w:id="109"/>
      </w:r>
      <w:r w:rsidR="00EA6695">
        <w:t xml:space="preserve">  South Africa </w:t>
      </w:r>
      <w:r w:rsidR="00941BCD" w:rsidRPr="00B0207F">
        <w:t xml:space="preserve">was </w:t>
      </w:r>
      <w:r w:rsidR="00EA6695">
        <w:t xml:space="preserve">rather more </w:t>
      </w:r>
      <w:r w:rsidR="00941BCD" w:rsidRPr="00B0207F">
        <w:t>supportive of the SADC</w:t>
      </w:r>
      <w:r w:rsidR="002D33A7">
        <w:t>’s</w:t>
      </w:r>
      <w:r w:rsidR="00941BCD" w:rsidRPr="00B0207F">
        <w:t xml:space="preserve"> </w:t>
      </w:r>
      <w:r w:rsidR="002D33A7">
        <w:t>role</w:t>
      </w:r>
      <w:r w:rsidR="00941BCD" w:rsidRPr="00B0207F">
        <w:t xml:space="preserve"> in the conflict,</w:t>
      </w:r>
      <w:r w:rsidR="00415AAB" w:rsidRPr="00B0207F">
        <w:rPr>
          <w:rStyle w:val="FootnoteReference"/>
        </w:rPr>
        <w:footnoteReference w:id="110"/>
      </w:r>
      <w:r w:rsidR="00941BCD" w:rsidRPr="00B0207F">
        <w:t xml:space="preserve"> although it stopped short of endorsing the </w:t>
      </w:r>
      <w:r w:rsidR="007E7B25">
        <w:t>use of force by the pro-Kabila S</w:t>
      </w:r>
      <w:r w:rsidR="00941BCD" w:rsidRPr="00B0207F">
        <w:t xml:space="preserve">tates.  Instead, South Africa preferred to, in the abstract, </w:t>
      </w:r>
      <w:r w:rsidR="00415AAB" w:rsidRPr="00B0207F">
        <w:t>‘</w:t>
      </w:r>
      <w:r w:rsidR="00941BCD" w:rsidRPr="00B0207F">
        <w:t>condemn</w:t>
      </w:r>
      <w:r w:rsidR="002D084D">
        <w:t xml:space="preserve"> </w:t>
      </w:r>
      <w:r w:rsidR="00415AAB" w:rsidRPr="00B0207F">
        <w:t>[</w:t>
      </w:r>
      <w:r w:rsidR="002D084D">
        <w:t>…</w:t>
      </w:r>
      <w:r w:rsidR="00415AAB" w:rsidRPr="00B0207F">
        <w:t>]</w:t>
      </w:r>
      <w:r w:rsidR="006B70CF">
        <w:t xml:space="preserve"> </w:t>
      </w:r>
      <w:r w:rsidR="00941BCD" w:rsidRPr="00B0207F">
        <w:t>all human rights violations in the Democratic Republic of the Congo and request</w:t>
      </w:r>
      <w:r w:rsidR="002D084D">
        <w:t xml:space="preserve"> </w:t>
      </w:r>
      <w:r w:rsidR="00415AAB" w:rsidRPr="00B0207F">
        <w:t>[</w:t>
      </w:r>
      <w:r w:rsidR="002D084D">
        <w:t>…</w:t>
      </w:r>
      <w:r w:rsidR="00415AAB" w:rsidRPr="00B0207F">
        <w:t>]</w:t>
      </w:r>
      <w:r w:rsidR="00941BCD" w:rsidRPr="00B0207F">
        <w:t xml:space="preserve"> all belligerents to adhere to international agreements and conventions</w:t>
      </w:r>
      <w:r w:rsidR="00415AAB" w:rsidRPr="00B0207F">
        <w:t>’</w:t>
      </w:r>
      <w:r w:rsidR="002D084D">
        <w:t>.</w:t>
      </w:r>
      <w:r w:rsidR="00415AAB" w:rsidRPr="00B0207F">
        <w:rPr>
          <w:rStyle w:val="FootnoteReference"/>
        </w:rPr>
        <w:footnoteReference w:id="111"/>
      </w:r>
    </w:p>
    <w:p w14:paraId="2A1EE5FB" w14:textId="77777777" w:rsidR="00E14C52" w:rsidRDefault="00E14C52" w:rsidP="00E14C52">
      <w:pPr>
        <w:jc w:val="both"/>
      </w:pPr>
    </w:p>
    <w:p w14:paraId="7E699D61" w14:textId="77777777" w:rsidR="00415AAB" w:rsidRDefault="00E14C52" w:rsidP="00E14C52">
      <w:pPr>
        <w:jc w:val="both"/>
      </w:pPr>
      <w:r>
        <w:t xml:space="preserve">Outside of Africa, there was likewise some </w:t>
      </w:r>
      <w:r w:rsidR="00EA6695">
        <w:t xml:space="preserve">limited </w:t>
      </w:r>
      <w:r w:rsidR="00601407">
        <w:t xml:space="preserve">individual State </w:t>
      </w:r>
      <w:r>
        <w:t xml:space="preserve">support for the DRC, but </w:t>
      </w:r>
      <w:r w:rsidR="00E86801">
        <w:t>this</w:t>
      </w:r>
      <w:r>
        <w:t xml:space="preserve"> </w:t>
      </w:r>
      <w:r w:rsidR="00EA6695">
        <w:t xml:space="preserve">too </w:t>
      </w:r>
      <w:r>
        <w:t xml:space="preserve">was muted.  For example, </w:t>
      </w:r>
      <w:r w:rsidR="00415AAB" w:rsidRPr="00B0207F">
        <w:t>Malaysia</w:t>
      </w:r>
      <w:r>
        <w:t xml:space="preserve"> highlighted the</w:t>
      </w:r>
      <w:r w:rsidR="00415AAB" w:rsidRPr="00B0207F">
        <w:t xml:space="preserve"> ‘need to preserve the national sovereignty, territorial integrity and political independence of the Democratic Republic of the Congo.’</w:t>
      </w:r>
      <w:r w:rsidR="00415AAB" w:rsidRPr="00B0207F">
        <w:rPr>
          <w:rStyle w:val="FootnoteReference"/>
        </w:rPr>
        <w:footnoteReference w:id="112"/>
      </w:r>
      <w:r>
        <w:t xml:space="preserve">  Most </w:t>
      </w:r>
      <w:r w:rsidR="00601407">
        <w:t>S</w:t>
      </w:r>
      <w:r>
        <w:t xml:space="preserve">tates, however, </w:t>
      </w:r>
      <w:r w:rsidR="00EA6695">
        <w:t xml:space="preserve">again </w:t>
      </w:r>
      <w:r>
        <w:t xml:space="preserve">preferred to </w:t>
      </w:r>
      <w:r w:rsidR="00EA6695">
        <w:t xml:space="preserve">more generally </w:t>
      </w:r>
      <w:r>
        <w:t xml:space="preserve">condemn all violations of international law, without singling out any of the parties.  Slovenia’s position at the Security Council in March 1999 </w:t>
      </w:r>
      <w:r w:rsidR="00E86801">
        <w:t>is a</w:t>
      </w:r>
      <w:r>
        <w:t xml:space="preserve"> representative example: </w:t>
      </w:r>
      <w:r w:rsidR="00E86801">
        <w:t>it</w:t>
      </w:r>
      <w:r>
        <w:t xml:space="preserve"> ‘strongly condemn[ed] all violations of human rights and international humanitarian law in the current conflict’, but it did not apportion blame in this regard or discuss </w:t>
      </w:r>
      <w:r w:rsidR="00E86801" w:rsidRPr="00E86801">
        <w:rPr>
          <w:i/>
        </w:rPr>
        <w:t>ad bellum</w:t>
      </w:r>
      <w:r w:rsidR="00E86801">
        <w:t xml:space="preserve"> </w:t>
      </w:r>
      <w:r>
        <w:t>questions.</w:t>
      </w:r>
      <w:r w:rsidR="00EA6695">
        <w:rPr>
          <w:rStyle w:val="FootnoteReference"/>
        </w:rPr>
        <w:footnoteReference w:id="113"/>
      </w:r>
    </w:p>
    <w:p w14:paraId="34C79238" w14:textId="77777777" w:rsidR="00BA1B3B" w:rsidRDefault="00BA1B3B" w:rsidP="00E14C52">
      <w:pPr>
        <w:jc w:val="both"/>
      </w:pPr>
    </w:p>
    <w:p w14:paraId="67412B1C" w14:textId="77777777" w:rsidR="00BA1B3B" w:rsidRPr="00B0207F" w:rsidRDefault="00BA1B3B" w:rsidP="00E14C52">
      <w:pPr>
        <w:jc w:val="both"/>
        <w:rPr>
          <w:b/>
        </w:rPr>
      </w:pPr>
      <w:r>
        <w:t>Overall, it may be said that the preponderance of international opinion was broadly, if tentatively, supportive of the DRC’s claim to have been the victim of armed aggression, and, consequently, dismissive of the invocation of the right of self-defence by Uganda</w:t>
      </w:r>
      <w:r w:rsidR="0035788D">
        <w:t xml:space="preserve"> and </w:t>
      </w:r>
      <w:r>
        <w:t>Rwanda.  However, once the scale of the conflict became more evident, and it became clear that no obvious end to it was in sight, most actors moved towards a firmly neutral stance, focused solely on conflict resolution.</w:t>
      </w:r>
    </w:p>
    <w:p w14:paraId="4A1FB6ED" w14:textId="77777777" w:rsidR="005F76C0" w:rsidRPr="00B0207F" w:rsidRDefault="005F76C0" w:rsidP="00A24EB6">
      <w:pPr>
        <w:jc w:val="both"/>
      </w:pPr>
    </w:p>
    <w:p w14:paraId="3DB96F33" w14:textId="77777777" w:rsidR="002346B7" w:rsidRPr="00B0207F" w:rsidRDefault="002D084D" w:rsidP="00E27509">
      <w:pPr>
        <w:pStyle w:val="ListParagraph"/>
        <w:numPr>
          <w:ilvl w:val="0"/>
          <w:numId w:val="5"/>
        </w:numPr>
        <w:jc w:val="both"/>
        <w:rPr>
          <w:b/>
          <w:u w:val="single"/>
        </w:rPr>
      </w:pPr>
      <w:r>
        <w:rPr>
          <w:b/>
          <w:u w:val="single"/>
        </w:rPr>
        <w:t>Questions of l</w:t>
      </w:r>
      <w:r w:rsidR="00E27509" w:rsidRPr="00B0207F">
        <w:rPr>
          <w:b/>
          <w:u w:val="single"/>
        </w:rPr>
        <w:t>egality</w:t>
      </w:r>
    </w:p>
    <w:p w14:paraId="0DEBCDD9" w14:textId="77777777" w:rsidR="00CA315F" w:rsidRDefault="00CA315F" w:rsidP="00CA315F">
      <w:pPr>
        <w:jc w:val="both"/>
      </w:pPr>
    </w:p>
    <w:p w14:paraId="2A44BAE6" w14:textId="77777777" w:rsidR="002C7BC9" w:rsidRDefault="002D4928" w:rsidP="002C7BC9">
      <w:pPr>
        <w:jc w:val="both"/>
        <w:rPr>
          <w:highlight w:val="yellow"/>
        </w:rPr>
      </w:pPr>
      <w:r>
        <w:t xml:space="preserve">In </w:t>
      </w:r>
      <w:r w:rsidR="004134A0">
        <w:t xml:space="preserve">March </w:t>
      </w:r>
      <w:r>
        <w:t>1999, t</w:t>
      </w:r>
      <w:r w:rsidR="00CA315F" w:rsidRPr="00B0207F">
        <w:t xml:space="preserve">he Argentinean representative </w:t>
      </w:r>
      <w:r w:rsidR="00CA315F">
        <w:t>in</w:t>
      </w:r>
      <w:r w:rsidR="00CA315F" w:rsidRPr="00B0207F">
        <w:t xml:space="preserve"> the Security Council </w:t>
      </w:r>
      <w:r w:rsidR="00CA315F">
        <w:t>put it rather mildly</w:t>
      </w:r>
      <w:r>
        <w:t xml:space="preserve"> </w:t>
      </w:r>
      <w:r w:rsidR="00CA315F">
        <w:t>when he said that ‘[t]</w:t>
      </w:r>
      <w:r w:rsidR="00CA315F" w:rsidRPr="00B0207F">
        <w:t xml:space="preserve">his conflict </w:t>
      </w:r>
      <w:r w:rsidR="00CA315F">
        <w:t xml:space="preserve">[the Great </w:t>
      </w:r>
      <w:r w:rsidR="00CA315F" w:rsidRPr="00BA1B3B">
        <w:t>African War] is legally complex.’</w:t>
      </w:r>
      <w:r w:rsidR="00CA315F" w:rsidRPr="00BA1B3B">
        <w:rPr>
          <w:rStyle w:val="FootnoteReference"/>
        </w:rPr>
        <w:footnoteReference w:id="114"/>
      </w:r>
      <w:r w:rsidR="00CA315F" w:rsidRPr="00BA1B3B">
        <w:t xml:space="preserve">  </w:t>
      </w:r>
      <w:r w:rsidR="0027003F" w:rsidRPr="00BA1B3B">
        <w:t>T</w:t>
      </w:r>
      <w:r w:rsidR="00AD7FBE" w:rsidRPr="00BA1B3B">
        <w:t xml:space="preserve">he situation in the DRC </w:t>
      </w:r>
      <w:r w:rsidR="0027003F" w:rsidRPr="00BA1B3B">
        <w:t>created</w:t>
      </w:r>
      <w:r w:rsidR="00AD7FBE" w:rsidRPr="00BA1B3B">
        <w:t xml:space="preserve"> </w:t>
      </w:r>
      <w:r w:rsidR="0027003F" w:rsidRPr="00BA1B3B">
        <w:t xml:space="preserve">a plethora of legal concerns.  For example, the war </w:t>
      </w:r>
      <w:r w:rsidR="00D2753A">
        <w:t>generated</w:t>
      </w:r>
      <w:r w:rsidR="0027003F" w:rsidRPr="00BA1B3B">
        <w:t xml:space="preserve"> legal issues concerning,</w:t>
      </w:r>
      <w:r w:rsidR="0027003F" w:rsidRPr="00BA1B3B">
        <w:rPr>
          <w:i/>
        </w:rPr>
        <w:t xml:space="preserve"> inter alia</w:t>
      </w:r>
      <w:r w:rsidR="0027003F" w:rsidRPr="00BA1B3B">
        <w:t xml:space="preserve">, the classification of armed conflict </w:t>
      </w:r>
      <w:r w:rsidR="005E398F">
        <w:t xml:space="preserve">(involving </w:t>
      </w:r>
      <w:r w:rsidR="00E71BB1">
        <w:t>various overlapping conflicts of different types in the region and</w:t>
      </w:r>
      <w:r w:rsidR="005E398F">
        <w:t xml:space="preserve"> </w:t>
      </w:r>
      <w:r w:rsidR="0027003F" w:rsidRPr="00BA1B3B">
        <w:t xml:space="preserve">the </w:t>
      </w:r>
      <w:r w:rsidR="000378F2" w:rsidRPr="00BA1B3B">
        <w:t>transition from different states of</w:t>
      </w:r>
      <w:r w:rsidR="00AD7FBE" w:rsidRPr="00BA1B3B">
        <w:t xml:space="preserve"> international and non-international armed conflict</w:t>
      </w:r>
      <w:r w:rsidR="005E398F">
        <w:t>)</w:t>
      </w:r>
      <w:r w:rsidR="00AD7FBE" w:rsidRPr="00BA1B3B">
        <w:t>,</w:t>
      </w:r>
      <w:r w:rsidR="005E398F">
        <w:rPr>
          <w:rStyle w:val="FootnoteReference"/>
        </w:rPr>
        <w:footnoteReference w:id="115"/>
      </w:r>
      <w:r w:rsidR="00AD7FBE" w:rsidRPr="00BA1B3B">
        <w:t xml:space="preserve"> </w:t>
      </w:r>
      <w:r w:rsidR="000378F2" w:rsidRPr="00BA1B3B">
        <w:t xml:space="preserve">large-scale </w:t>
      </w:r>
      <w:r w:rsidR="00AD7FBE" w:rsidRPr="00BA1B3B">
        <w:t>violations</w:t>
      </w:r>
      <w:r w:rsidR="000378F2" w:rsidRPr="00BA1B3B">
        <w:t xml:space="preserve"> of international humanitarian law</w:t>
      </w:r>
      <w:r w:rsidR="0068298E">
        <w:rPr>
          <w:rStyle w:val="FootnoteReference"/>
        </w:rPr>
        <w:footnoteReference w:id="116"/>
      </w:r>
      <w:r w:rsidR="000378F2" w:rsidRPr="00BA1B3B">
        <w:t xml:space="preserve"> and </w:t>
      </w:r>
      <w:r w:rsidR="0027003F" w:rsidRPr="00BA1B3B">
        <w:t xml:space="preserve">international </w:t>
      </w:r>
      <w:r w:rsidR="000378F2" w:rsidRPr="00BA1B3B">
        <w:t>human rights law,</w:t>
      </w:r>
      <w:r w:rsidR="0068298E">
        <w:rPr>
          <w:rStyle w:val="FootnoteReference"/>
        </w:rPr>
        <w:footnoteReference w:id="117"/>
      </w:r>
      <w:r w:rsidR="000378F2" w:rsidRPr="00BA1B3B">
        <w:t xml:space="preserve"> </w:t>
      </w:r>
      <w:r w:rsidR="0027003F" w:rsidRPr="00BA1B3B">
        <w:t>the</w:t>
      </w:r>
      <w:r w:rsidR="000378F2" w:rsidRPr="00BA1B3B">
        <w:t xml:space="preserve"> deployment of peacekeeping forces and observers (in various guises)</w:t>
      </w:r>
      <w:r w:rsidR="0068298E">
        <w:rPr>
          <w:rStyle w:val="FootnoteReference"/>
        </w:rPr>
        <w:footnoteReference w:id="118"/>
      </w:r>
      <w:r w:rsidR="000378F2" w:rsidRPr="00BA1B3B">
        <w:t xml:space="preserve"> and the</w:t>
      </w:r>
      <w:r w:rsidR="000378F2" w:rsidRPr="00B0207F">
        <w:t xml:space="preserve"> appropriation of the DRC’s mineral wealth</w:t>
      </w:r>
      <w:r w:rsidR="000378F2">
        <w:t>.</w:t>
      </w:r>
      <w:r w:rsidR="0068298E">
        <w:rPr>
          <w:rStyle w:val="FootnoteReference"/>
        </w:rPr>
        <w:footnoteReference w:id="119"/>
      </w:r>
      <w:r w:rsidR="000378F2">
        <w:t xml:space="preserve">  These legal questions, </w:t>
      </w:r>
      <w:r w:rsidR="0027003F">
        <w:t xml:space="preserve">and others – </w:t>
      </w:r>
      <w:r w:rsidR="000378F2">
        <w:t>c</w:t>
      </w:r>
      <w:r w:rsidR="0027003F">
        <w:t>rucial as they are – g</w:t>
      </w:r>
      <w:r w:rsidR="000378F2">
        <w:t>o beyond t</w:t>
      </w:r>
      <w:r w:rsidR="0027003F">
        <w:t xml:space="preserve">he scope of this chapter.  This section </w:t>
      </w:r>
      <w:r w:rsidR="000378F2">
        <w:t>will</w:t>
      </w:r>
      <w:r w:rsidR="0027003F">
        <w:t xml:space="preserve"> </w:t>
      </w:r>
      <w:r w:rsidR="000378F2">
        <w:t xml:space="preserve">restrict itself to </w:t>
      </w:r>
      <w:r w:rsidR="000378F2" w:rsidRPr="0027003F">
        <w:rPr>
          <w:i/>
        </w:rPr>
        <w:t>ad bellum</w:t>
      </w:r>
      <w:r w:rsidR="000378F2">
        <w:t xml:space="preserve"> analysis, specifically in relation to the uses of force by the parties during the Great African War itself (1998-2003).</w:t>
      </w:r>
    </w:p>
    <w:p w14:paraId="29C2E4D2" w14:textId="77777777" w:rsidR="00AD7FBE" w:rsidRDefault="00AD7FBE" w:rsidP="002C7BC9">
      <w:pPr>
        <w:jc w:val="both"/>
        <w:rPr>
          <w:highlight w:val="yellow"/>
        </w:rPr>
      </w:pPr>
    </w:p>
    <w:p w14:paraId="34D108E8" w14:textId="77777777" w:rsidR="00E90637" w:rsidRDefault="00E90637" w:rsidP="00313156">
      <w:pPr>
        <w:pStyle w:val="ListParagraph"/>
        <w:numPr>
          <w:ilvl w:val="0"/>
          <w:numId w:val="7"/>
        </w:numPr>
        <w:jc w:val="both"/>
      </w:pPr>
      <w:r>
        <w:t xml:space="preserve">The legality of the use of force by </w:t>
      </w:r>
      <w:r w:rsidR="00407ED9">
        <w:t xml:space="preserve">the </w:t>
      </w:r>
      <w:r>
        <w:t>anti-Kabila States</w:t>
      </w:r>
    </w:p>
    <w:p w14:paraId="524F8419" w14:textId="77777777" w:rsidR="00E90637" w:rsidRDefault="00E90637" w:rsidP="001C377B">
      <w:pPr>
        <w:jc w:val="both"/>
      </w:pPr>
    </w:p>
    <w:p w14:paraId="4F8B886D" w14:textId="77777777" w:rsidR="001C377B" w:rsidRDefault="001C377B" w:rsidP="001C377B">
      <w:pPr>
        <w:jc w:val="both"/>
      </w:pPr>
      <w:r w:rsidRPr="00B0207F">
        <w:t>The ICJ found</w:t>
      </w:r>
      <w:r>
        <w:t xml:space="preserve"> – in its 2005 </w:t>
      </w:r>
      <w:r w:rsidRPr="00E90637">
        <w:rPr>
          <w:i/>
        </w:rPr>
        <w:t>DRC v Uganda</w:t>
      </w:r>
      <w:r>
        <w:t xml:space="preserve"> merits decision –</w:t>
      </w:r>
      <w:r w:rsidRPr="00B0207F">
        <w:t xml:space="preserve"> that Uganda was responsible for </w:t>
      </w:r>
      <w:r>
        <w:t>most of the uses of force</w:t>
      </w:r>
      <w:r w:rsidRPr="00B0207F">
        <w:t xml:space="preserve"> attributed to it by the DRC</w:t>
      </w:r>
      <w:r>
        <w:t>.</w:t>
      </w:r>
      <w:r w:rsidRPr="00B0207F">
        <w:rPr>
          <w:rStyle w:val="FootnoteReference"/>
        </w:rPr>
        <w:footnoteReference w:id="120"/>
      </w:r>
      <w:r w:rsidR="00E90637">
        <w:t xml:space="preserve">  It is undeniable that Rwanda </w:t>
      </w:r>
      <w:r w:rsidR="00337AEC">
        <w:t>was</w:t>
      </w:r>
      <w:r w:rsidR="00E90637">
        <w:t xml:space="preserve"> also responsible for the use of </w:t>
      </w:r>
      <w:r w:rsidR="00B26CE7">
        <w:t xml:space="preserve">military </w:t>
      </w:r>
      <w:r w:rsidR="00407ED9">
        <w:t>force</w:t>
      </w:r>
      <w:r w:rsidR="00B26CE7">
        <w:t xml:space="preserve">, </w:t>
      </w:r>
      <w:r w:rsidR="00407ED9">
        <w:t>irrespective of the fact that the ICJ was jurisdictionally unable to reach such a finding</w:t>
      </w:r>
      <w:r w:rsidR="00B26CE7">
        <w:t>.</w:t>
      </w:r>
      <w:r w:rsidR="00B26CE7">
        <w:rPr>
          <w:rStyle w:val="FootnoteReference"/>
        </w:rPr>
        <w:footnoteReference w:id="121"/>
      </w:r>
      <w:r w:rsidR="00B26CE7">
        <w:t xml:space="preserve">  </w:t>
      </w:r>
      <w:r w:rsidR="00EC4637">
        <w:t>Both</w:t>
      </w:r>
      <w:r w:rsidR="00B26CE7">
        <w:t xml:space="preserve"> States </w:t>
      </w:r>
      <w:r w:rsidR="00407ED9">
        <w:t xml:space="preserve">acted in </w:t>
      </w:r>
      <w:r w:rsidRPr="00E90637">
        <w:rPr>
          <w:i/>
        </w:rPr>
        <w:t>prima facie</w:t>
      </w:r>
      <w:r>
        <w:t xml:space="preserve"> breach of the prohibition in Article 2(4) of the UN Charter</w:t>
      </w:r>
      <w:r w:rsidR="006E12C6">
        <w:t xml:space="preserve"> (as did, it seems, Burundi: albeit on a </w:t>
      </w:r>
      <w:r w:rsidR="00191635">
        <w:t>significantly</w:t>
      </w:r>
      <w:r w:rsidR="006E12C6">
        <w:t xml:space="preserve"> lower scale).</w:t>
      </w:r>
      <w:r>
        <w:t xml:space="preserve">  The question is</w:t>
      </w:r>
      <w:r w:rsidR="00E90637">
        <w:t>,</w:t>
      </w:r>
      <w:r>
        <w:t xml:space="preserve"> therefore</w:t>
      </w:r>
      <w:r w:rsidR="00E90637">
        <w:t>,</w:t>
      </w:r>
      <w:r>
        <w:t xml:space="preserve"> </w:t>
      </w:r>
      <w:r w:rsidR="00EC4637">
        <w:t xml:space="preserve">whether there was any legal justification for </w:t>
      </w:r>
      <w:r w:rsidR="00191635">
        <w:t>these States’</w:t>
      </w:r>
      <w:r w:rsidR="00EC4637">
        <w:t xml:space="preserve"> recourse to force</w:t>
      </w:r>
      <w:r>
        <w:t>.</w:t>
      </w:r>
    </w:p>
    <w:p w14:paraId="36FD932B" w14:textId="77777777" w:rsidR="000378F2" w:rsidRPr="00E90637" w:rsidRDefault="000378F2" w:rsidP="002C7BC9">
      <w:pPr>
        <w:jc w:val="both"/>
      </w:pPr>
    </w:p>
    <w:p w14:paraId="39039CBB" w14:textId="302BA038" w:rsidR="00883655" w:rsidRPr="00A33BDF" w:rsidRDefault="0010716E" w:rsidP="002C7BC9">
      <w:pPr>
        <w:jc w:val="both"/>
      </w:pPr>
      <w:r w:rsidRPr="00E90637">
        <w:t xml:space="preserve">As a preliminary matter, it will be recalled that it was claimed, at least by Uganda, that the DRC </w:t>
      </w:r>
      <w:r w:rsidR="00991693">
        <w:t xml:space="preserve">had consented to the presence of troops within its territory in the context of the First Congo War, and that </w:t>
      </w:r>
      <w:r w:rsidR="00991693" w:rsidRPr="00A33BDF">
        <w:t xml:space="preserve">this </w:t>
      </w:r>
      <w:r w:rsidR="00B26CE7">
        <w:t>justified the use of force</w:t>
      </w:r>
      <w:r w:rsidR="00991693" w:rsidRPr="00A33BDF">
        <w:t xml:space="preserve"> (certainly</w:t>
      </w:r>
      <w:r w:rsidRPr="00A33BDF">
        <w:t xml:space="preserve"> until September 1998</w:t>
      </w:r>
      <w:r w:rsidR="00991693" w:rsidRPr="00A33BDF">
        <w:t>)</w:t>
      </w:r>
      <w:r w:rsidRPr="00A33BDF">
        <w:t>.</w:t>
      </w:r>
      <w:r w:rsidR="00E90637" w:rsidRPr="00A33BDF">
        <w:rPr>
          <w:rStyle w:val="FootnoteReference"/>
        </w:rPr>
        <w:footnoteReference w:id="122"/>
      </w:r>
      <w:r w:rsidR="00991693" w:rsidRPr="00A33BDF">
        <w:t xml:space="preserve">  </w:t>
      </w:r>
      <w:r w:rsidR="00A33BDF">
        <w:t>C</w:t>
      </w:r>
      <w:r w:rsidR="00FF5C81" w:rsidRPr="00A33BDF">
        <w:t xml:space="preserve">onsent by the legitimate government </w:t>
      </w:r>
      <w:r w:rsidR="00B26CE7">
        <w:t xml:space="preserve">of a State to the use of force, </w:t>
      </w:r>
      <w:r w:rsidR="00FF5C81" w:rsidRPr="00A33BDF">
        <w:t>or prese</w:t>
      </w:r>
      <w:r w:rsidR="00B26CE7">
        <w:t>nce of troops,</w:t>
      </w:r>
      <w:r w:rsidR="0069424E">
        <w:t xml:space="preserve"> on its territory </w:t>
      </w:r>
      <w:r w:rsidR="00FF5C81" w:rsidRPr="00A33BDF">
        <w:t>mean</w:t>
      </w:r>
      <w:r w:rsidR="00883655" w:rsidRPr="00A33BDF">
        <w:t>s</w:t>
      </w:r>
      <w:r w:rsidR="00FF5C81" w:rsidRPr="00A33BDF">
        <w:t xml:space="preserve"> that the force concerned does not contravene </w:t>
      </w:r>
      <w:r w:rsidR="00A33BDF">
        <w:t>the</w:t>
      </w:r>
      <w:r w:rsidR="00FF5C81" w:rsidRPr="00A33BDF">
        <w:t xml:space="preserve"> prohibition</w:t>
      </w:r>
      <w:r w:rsidR="00A33BDF">
        <w:t xml:space="preserve"> </w:t>
      </w:r>
      <w:r w:rsidR="00D53EE2">
        <w:t>in Article 2(4)</w:t>
      </w:r>
      <w:r w:rsidR="00FF5C81" w:rsidRPr="00A33BDF">
        <w:t>.</w:t>
      </w:r>
      <w:r w:rsidR="00991693" w:rsidRPr="00A33BDF">
        <w:rPr>
          <w:rStyle w:val="FootnoteReference"/>
        </w:rPr>
        <w:footnoteReference w:id="123"/>
      </w:r>
      <w:r w:rsidR="00FF5C81" w:rsidRPr="00A33BDF">
        <w:t xml:space="preserve">  </w:t>
      </w:r>
      <w:r w:rsidR="00A33BDF" w:rsidRPr="00A33BDF">
        <w:t xml:space="preserve">This is because, if the consent is valid, ‘the use of force does not infringe the </w:t>
      </w:r>
      <w:r w:rsidR="00AA1461">
        <w:t>“</w:t>
      </w:r>
      <w:r w:rsidR="00A33BDF" w:rsidRPr="00A33BDF">
        <w:t xml:space="preserve">territorial integrity or political independence of any </w:t>
      </w:r>
      <w:r w:rsidR="00AA1461" w:rsidRPr="00A33BDF">
        <w:t>state</w:t>
      </w:r>
      <w:r w:rsidR="00AA1461">
        <w:t>”</w:t>
      </w:r>
      <w:r w:rsidR="00AA1461" w:rsidRPr="00A33BDF">
        <w:t xml:space="preserve"> </w:t>
      </w:r>
      <w:r w:rsidR="00A33BDF" w:rsidRPr="00A33BDF">
        <w:t xml:space="preserve">[as per Article 2(4)], but is instead a manifestation of </w:t>
      </w:r>
      <w:r w:rsidR="00B26CE7">
        <w:t>[the consenting]</w:t>
      </w:r>
      <w:r w:rsidR="00A33BDF" w:rsidRPr="00A33BDF">
        <w:t xml:space="preserve"> state’s agency and political independence.’</w:t>
      </w:r>
      <w:r w:rsidR="00A33BDF" w:rsidRPr="00A33BDF">
        <w:rPr>
          <w:rStyle w:val="FootnoteReference"/>
        </w:rPr>
        <w:footnoteReference w:id="124"/>
      </w:r>
      <w:r w:rsidR="001C377B" w:rsidRPr="00A33BDF">
        <w:t xml:space="preserve">  </w:t>
      </w:r>
    </w:p>
    <w:p w14:paraId="5AA0900B" w14:textId="77777777" w:rsidR="00883655" w:rsidRPr="00A33BDF" w:rsidRDefault="00883655" w:rsidP="002C7BC9">
      <w:pPr>
        <w:jc w:val="both"/>
      </w:pPr>
    </w:p>
    <w:p w14:paraId="5CC2D53B" w14:textId="77777777" w:rsidR="00883655" w:rsidRPr="00883655" w:rsidRDefault="001C377B" w:rsidP="00883655">
      <w:pPr>
        <w:jc w:val="both"/>
      </w:pPr>
      <w:r w:rsidRPr="00A33BDF">
        <w:t>However, i</w:t>
      </w:r>
      <w:r w:rsidR="00883655" w:rsidRPr="00A33BDF">
        <w:t>t would seem that the Kabila government withdrew any consent to the presence of Ugandan, Rwandan and Burundian forces in July 1998.</w:t>
      </w:r>
      <w:r w:rsidR="00E90637" w:rsidRPr="00A33BDF">
        <w:rPr>
          <w:rStyle w:val="FootnoteReference"/>
        </w:rPr>
        <w:footnoteReference w:id="125"/>
      </w:r>
      <w:r w:rsidR="00883655" w:rsidRPr="00A33BDF">
        <w:t xml:space="preserve">  If so, any continuing presence of these forces – and the intervention of further forces from </w:t>
      </w:r>
      <w:r w:rsidR="00191635">
        <w:t>early-</w:t>
      </w:r>
      <w:r w:rsidR="00883655" w:rsidRPr="00A33BDF">
        <w:t>August 1998 – could not have been legally justified on this basis.  Th</w:t>
      </w:r>
      <w:r w:rsidR="00A33BDF" w:rsidRPr="00A33BDF">
        <w:t>e</w:t>
      </w:r>
      <w:r w:rsidR="00883655" w:rsidRPr="00A33BDF">
        <w:t xml:space="preserve"> withdrawal of consent </w:t>
      </w:r>
      <w:r w:rsidRPr="00A33BDF">
        <w:t xml:space="preserve">in July </w:t>
      </w:r>
      <w:r w:rsidR="00883655" w:rsidRPr="00A33BDF">
        <w:t>was</w:t>
      </w:r>
      <w:r w:rsidRPr="00A33BDF">
        <w:t xml:space="preserve"> admittedly</w:t>
      </w:r>
      <w:r w:rsidR="00883655" w:rsidRPr="00A33BDF">
        <w:t xml:space="preserve"> somewhat equivocal,</w:t>
      </w:r>
      <w:r w:rsidR="00A33BDF" w:rsidRPr="00A33BDF">
        <w:rPr>
          <w:rStyle w:val="FootnoteReference"/>
        </w:rPr>
        <w:footnoteReference w:id="126"/>
      </w:r>
      <w:r w:rsidR="00883655" w:rsidRPr="00A33BDF">
        <w:t xml:space="preserve"> but w</w:t>
      </w:r>
      <w:r w:rsidR="00E90637" w:rsidRPr="00A33BDF">
        <w:t>hat</w:t>
      </w:r>
      <w:r w:rsidR="00883655" w:rsidRPr="00A33BDF">
        <w:t xml:space="preserve"> </w:t>
      </w:r>
      <w:r w:rsidR="00883655" w:rsidRPr="00A33BDF">
        <w:rPr>
          <w:i/>
        </w:rPr>
        <w:t>is</w:t>
      </w:r>
      <w:r w:rsidR="00883655" w:rsidRPr="00A33BDF">
        <w:t xml:space="preserve"> clear is that Kabila unambiguously withdrew any consent on the part of the DRC at the Victoria Summit on 8 August 1998.</w:t>
      </w:r>
      <w:r w:rsidR="00883655" w:rsidRPr="00A33BDF">
        <w:rPr>
          <w:rStyle w:val="FootnoteReference"/>
        </w:rPr>
        <w:footnoteReference w:id="127"/>
      </w:r>
      <w:r w:rsidR="00883655" w:rsidRPr="00A33BDF">
        <w:t xml:space="preserve">  The</w:t>
      </w:r>
      <w:r w:rsidR="00883655">
        <w:t xml:space="preserve"> ICJ therefore </w:t>
      </w:r>
      <w:r w:rsidR="00883655" w:rsidRPr="0052638B">
        <w:t xml:space="preserve">held that any </w:t>
      </w:r>
      <w:r>
        <w:t xml:space="preserve">DRC consent </w:t>
      </w:r>
      <w:r w:rsidR="00883655" w:rsidRPr="0052638B">
        <w:t xml:space="preserve">to the presence of Ugandan forces on its territory was </w:t>
      </w:r>
      <w:r w:rsidR="00883655">
        <w:t>unquestionably terminated by 8 August 1998.</w:t>
      </w:r>
      <w:r w:rsidR="00E7442D" w:rsidRPr="00B0207F">
        <w:rPr>
          <w:rStyle w:val="FootnoteReference"/>
        </w:rPr>
        <w:footnoteReference w:id="128"/>
      </w:r>
      <w:r w:rsidR="00883655">
        <w:t xml:space="preserve">  It also noted that consent may have been withdrawn even </w:t>
      </w:r>
      <w:r w:rsidR="00883655" w:rsidRPr="0052638B">
        <w:t xml:space="preserve">before this date, </w:t>
      </w:r>
      <w:r w:rsidR="00A35A72">
        <w:t>al</w:t>
      </w:r>
      <w:r w:rsidR="00883655" w:rsidRPr="0052638B">
        <w:t xml:space="preserve">though </w:t>
      </w:r>
      <w:r w:rsidR="00883655">
        <w:t>the Court felt that it</w:t>
      </w:r>
      <w:r w:rsidR="00883655" w:rsidRPr="0052638B">
        <w:t xml:space="preserve"> was not necessary to dec</w:t>
      </w:r>
      <w:r w:rsidR="00883655">
        <w:t xml:space="preserve">ide conclusively </w:t>
      </w:r>
      <w:r>
        <w:t>on this point.</w:t>
      </w:r>
      <w:r w:rsidR="00E7442D">
        <w:rPr>
          <w:rStyle w:val="FootnoteReference"/>
        </w:rPr>
        <w:footnoteReference w:id="129"/>
      </w:r>
      <w:r w:rsidR="00883655">
        <w:t xml:space="preserve">  </w:t>
      </w:r>
      <w:r w:rsidR="00A35A72">
        <w:t>While</w:t>
      </w:r>
      <w:r w:rsidR="00883655">
        <w:t xml:space="preserve"> the ICJ was not able to pronounce on this question </w:t>
      </w:r>
      <w:r w:rsidR="0010716E">
        <w:t>in relation to the actions of</w:t>
      </w:r>
      <w:r w:rsidR="00883655">
        <w:t xml:space="preserve"> Rwanda and Burundi, there is no reason to conclude that the effect of the withdrawal of consent was any different in relation to these States</w:t>
      </w:r>
      <w:r>
        <w:t xml:space="preserve">, </w:t>
      </w:r>
      <w:r w:rsidR="0010716E">
        <w:t xml:space="preserve">again </w:t>
      </w:r>
      <w:r>
        <w:t>at least from 8 August 1998 onwards</w:t>
      </w:r>
      <w:r w:rsidR="0010716E">
        <w:t xml:space="preserve"> </w:t>
      </w:r>
      <w:r w:rsidR="00E7442D">
        <w:t>(</w:t>
      </w:r>
      <w:r w:rsidR="0010716E">
        <w:t>if not before</w:t>
      </w:r>
      <w:r w:rsidR="00E7442D">
        <w:t>)</w:t>
      </w:r>
      <w:r w:rsidR="00883655">
        <w:t>.</w:t>
      </w:r>
    </w:p>
    <w:p w14:paraId="397B0D1A" w14:textId="77777777" w:rsidR="00FF5C81" w:rsidRDefault="00FF5C81" w:rsidP="002C7BC9">
      <w:pPr>
        <w:jc w:val="both"/>
        <w:rPr>
          <w:highlight w:val="yellow"/>
        </w:rPr>
      </w:pPr>
    </w:p>
    <w:p w14:paraId="40B28206" w14:textId="77777777" w:rsidR="00CE79E1" w:rsidRDefault="0010716E" w:rsidP="002D4928">
      <w:pPr>
        <w:jc w:val="both"/>
      </w:pPr>
      <w:r>
        <w:t>As discussed in the previous section, the primary justification advance</w:t>
      </w:r>
      <w:r w:rsidR="00E7442D">
        <w:t>d</w:t>
      </w:r>
      <w:r>
        <w:t xml:space="preserve"> by </w:t>
      </w:r>
      <w:r w:rsidR="00721B28">
        <w:t>Uganda and Rwanda</w:t>
      </w:r>
      <w:r>
        <w:t xml:space="preserve"> for their uses of force against the DRC was the right of self-defence.</w:t>
      </w:r>
      <w:r w:rsidR="00CE79E1">
        <w:t xml:space="preserve">  Prior to the ICJ’s </w:t>
      </w:r>
      <w:r w:rsidR="00CE79E1" w:rsidRPr="00E90637">
        <w:rPr>
          <w:i/>
        </w:rPr>
        <w:t>DRC v Uganda</w:t>
      </w:r>
      <w:r w:rsidR="00CE79E1">
        <w:t xml:space="preserve"> merits decision in 2005, academic legal appraisal of the </w:t>
      </w:r>
      <w:r w:rsidR="00CE79E1" w:rsidRPr="00CE79E1">
        <w:rPr>
          <w:i/>
        </w:rPr>
        <w:t>ad bellum</w:t>
      </w:r>
      <w:r w:rsidR="00CE79E1">
        <w:t xml:space="preserve"> aspects of </w:t>
      </w:r>
      <w:r w:rsidR="00CE79E1">
        <w:lastRenderedPageBreak/>
        <w:t>the conflict in the DRC was relatively rare, but – within the literature that did emerge – the majority view was that this self-defence claim could not be supported in law.  This was</w:t>
      </w:r>
      <w:r w:rsidR="00D7044A">
        <w:t>, predominately, for two</w:t>
      </w:r>
      <w:r w:rsidR="00CE79E1">
        <w:t xml:space="preserve"> </w:t>
      </w:r>
      <w:r w:rsidR="00D7044A">
        <w:t>reasons: because the</w:t>
      </w:r>
      <w:r w:rsidR="00CE79E1">
        <w:t xml:space="preserve"> Ugandan/Rwandan use of force was in response to attack</w:t>
      </w:r>
      <w:r w:rsidR="00191635">
        <w:t>s</w:t>
      </w:r>
      <w:r w:rsidR="00CE79E1">
        <w:t xml:space="preserve"> by non-State actors that were not meaningfully </w:t>
      </w:r>
      <w:r w:rsidR="00D7044A">
        <w:t>supported or controlled by the DRC,</w:t>
      </w:r>
      <w:bookmarkStart w:id="24" w:name="_Ref473560649"/>
      <w:r w:rsidR="00672475">
        <w:rPr>
          <w:rStyle w:val="FootnoteReference"/>
        </w:rPr>
        <w:footnoteReference w:id="130"/>
      </w:r>
      <w:bookmarkEnd w:id="24"/>
      <w:r w:rsidR="00D7044A">
        <w:t xml:space="preserve"> and</w:t>
      </w:r>
      <w:r w:rsidR="00191635">
        <w:t>/or</w:t>
      </w:r>
      <w:r w:rsidR="00D7044A">
        <w:t xml:space="preserve"> because the actions of these two States were disproportionate in relation to the attacks of the non-State groups in question.</w:t>
      </w:r>
      <w:bookmarkStart w:id="25" w:name="_Ref473562439"/>
      <w:r w:rsidR="00672475">
        <w:rPr>
          <w:rStyle w:val="FootnoteReference"/>
        </w:rPr>
        <w:footnoteReference w:id="131"/>
      </w:r>
      <w:bookmarkEnd w:id="25"/>
      <w:r w:rsidR="00CE79E1">
        <w:t xml:space="preserve"> </w:t>
      </w:r>
    </w:p>
    <w:p w14:paraId="1B330962" w14:textId="77777777" w:rsidR="00CE79E1" w:rsidRDefault="00CE79E1" w:rsidP="002D4928">
      <w:pPr>
        <w:jc w:val="both"/>
      </w:pPr>
    </w:p>
    <w:p w14:paraId="0FFBA8FB" w14:textId="7C946E74" w:rsidR="00E7442D" w:rsidRDefault="00D7044A" w:rsidP="002D4928">
      <w:pPr>
        <w:jc w:val="both"/>
      </w:pPr>
      <w:r>
        <w:t xml:space="preserve">In its appraisal of </w:t>
      </w:r>
      <w:r w:rsidR="002D4928" w:rsidRPr="00B0207F">
        <w:t>Uganda’s self-defence claim</w:t>
      </w:r>
      <w:r w:rsidR="00313156">
        <w:t>, the ICJ</w:t>
      </w:r>
      <w:r w:rsidR="002D4928" w:rsidRPr="00B0207F">
        <w:t xml:space="preserve"> </w:t>
      </w:r>
      <w:r>
        <w:t xml:space="preserve">noted </w:t>
      </w:r>
      <w:r w:rsidR="00E7442D">
        <w:t xml:space="preserve">that Uganda had not </w:t>
      </w:r>
      <w:r>
        <w:t>indicated that it was</w:t>
      </w:r>
      <w:r w:rsidR="00E7442D">
        <w:t xml:space="preserve"> responding to direct attacks by the forces of the DRC, but, rather, from attacks emanating from the DRC’s territory, most notably from the ADF.</w:t>
      </w:r>
      <w:r w:rsidR="0062654A">
        <w:rPr>
          <w:rStyle w:val="FootnoteReference"/>
        </w:rPr>
        <w:footnoteReference w:id="132"/>
      </w:r>
      <w:r w:rsidR="00E7442D">
        <w:t xml:space="preserve">  The Court accepted that </w:t>
      </w:r>
      <w:r w:rsidR="000B1936">
        <w:t>a number of</w:t>
      </w:r>
      <w:r w:rsidR="00E7442D">
        <w:t xml:space="preserve"> attacks </w:t>
      </w:r>
      <w:r w:rsidR="000B1936">
        <w:t xml:space="preserve">by non-State actors </w:t>
      </w:r>
      <w:r w:rsidR="00E7442D">
        <w:t>had occurred,</w:t>
      </w:r>
      <w:r w:rsidR="000B1936">
        <w:rPr>
          <w:rStyle w:val="FootnoteReference"/>
        </w:rPr>
        <w:footnoteReference w:id="133"/>
      </w:r>
      <w:r w:rsidR="00E7442D">
        <w:t xml:space="preserve"> but held that</w:t>
      </w:r>
      <w:r w:rsidR="002D4928" w:rsidRPr="00B0207F">
        <w:t xml:space="preserve"> no satisfactory proof had been advanced to indicate that the DRC had any involvement in the attacks perpetrated by the ADF</w:t>
      </w:r>
      <w:r w:rsidR="000B1936">
        <w:t xml:space="preserve"> (and others)</w:t>
      </w:r>
      <w:r w:rsidR="002D4928" w:rsidRPr="00B0207F">
        <w:t xml:space="preserve"> against Uganda prior to Uganda’s </w:t>
      </w:r>
      <w:r w:rsidR="000B1936">
        <w:t>use of force</w:t>
      </w:r>
      <w:r w:rsidR="002D4928" w:rsidRPr="00B0207F">
        <w:t>.</w:t>
      </w:r>
      <w:r w:rsidR="002D4928" w:rsidRPr="00B0207F">
        <w:rPr>
          <w:rStyle w:val="FootnoteReference"/>
        </w:rPr>
        <w:footnoteReference w:id="134"/>
      </w:r>
      <w:r w:rsidR="002D4928" w:rsidRPr="00B0207F">
        <w:t xml:space="preserve">  </w:t>
      </w:r>
      <w:r w:rsidR="0069424E">
        <w:t>On this basis, t</w:t>
      </w:r>
      <w:r w:rsidR="002D4928" w:rsidRPr="00B0207F">
        <w:t xml:space="preserve">he ICJ held that Uganda </w:t>
      </w:r>
      <w:r w:rsidR="00E7442D">
        <w:t>had not suffered an armed attack</w:t>
      </w:r>
      <w:r>
        <w:rPr>
          <w:rStyle w:val="FootnoteReference"/>
        </w:rPr>
        <w:footnoteReference w:id="135"/>
      </w:r>
      <w:r w:rsidR="00E7442D">
        <w:t xml:space="preserve"> </w:t>
      </w:r>
      <w:r w:rsidR="00E7442D" w:rsidRPr="0062654A">
        <w:rPr>
          <w:i/>
        </w:rPr>
        <w:t>by</w:t>
      </w:r>
      <w:r w:rsidR="00E7442D">
        <w:t xml:space="preserve"> the DRC and so </w:t>
      </w:r>
      <w:r w:rsidR="002D4928" w:rsidRPr="00B0207F">
        <w:t xml:space="preserve">could not have been exercising its right of self-defence </w:t>
      </w:r>
      <w:r w:rsidR="002D4928" w:rsidRPr="0062654A">
        <w:rPr>
          <w:i/>
        </w:rPr>
        <w:t>against</w:t>
      </w:r>
      <w:r w:rsidR="002D4928" w:rsidRPr="00B0207F">
        <w:t xml:space="preserve"> the DRC</w:t>
      </w:r>
      <w:r w:rsidR="00E7442D">
        <w:t>.</w:t>
      </w:r>
      <w:r w:rsidR="002D4928" w:rsidRPr="00B0207F">
        <w:rPr>
          <w:rStyle w:val="FootnoteReference"/>
        </w:rPr>
        <w:footnoteReference w:id="136"/>
      </w:r>
      <w:r w:rsidR="002D4928" w:rsidRPr="00B0207F">
        <w:t xml:space="preserve"> </w:t>
      </w:r>
      <w:r w:rsidR="00191635">
        <w:t xml:space="preserve"> </w:t>
      </w:r>
      <w:r w:rsidR="0069424E">
        <w:t xml:space="preserve">The ICJ therefore </w:t>
      </w:r>
      <w:r w:rsidR="0062654A">
        <w:t>concluded that</w:t>
      </w:r>
      <w:r w:rsidR="002D4928" w:rsidRPr="00B0207F">
        <w:t xml:space="preserve"> Uganda was in breach of Article 2(4) of the UN Charter.</w:t>
      </w:r>
      <w:r w:rsidR="002D4928" w:rsidRPr="00B0207F">
        <w:rPr>
          <w:rStyle w:val="FootnoteReference"/>
        </w:rPr>
        <w:footnoteReference w:id="137"/>
      </w:r>
    </w:p>
    <w:p w14:paraId="448E5763" w14:textId="77777777" w:rsidR="00E7442D" w:rsidRDefault="00E7442D" w:rsidP="002D4928">
      <w:pPr>
        <w:jc w:val="both"/>
      </w:pPr>
    </w:p>
    <w:p w14:paraId="23BB3F44" w14:textId="77777777" w:rsidR="00CE79E1" w:rsidRDefault="00E7442D" w:rsidP="002D4928">
      <w:pPr>
        <w:jc w:val="both"/>
      </w:pPr>
      <w:r w:rsidRPr="0083476F">
        <w:t>The</w:t>
      </w:r>
      <w:r>
        <w:t xml:space="preserve"> </w:t>
      </w:r>
      <w:r w:rsidR="00191635" w:rsidRPr="00191635">
        <w:t>ICJ</w:t>
      </w:r>
      <w:r w:rsidR="0069424E">
        <w:t xml:space="preserve"> t</w:t>
      </w:r>
      <w:r w:rsidR="00D173F6">
        <w:t xml:space="preserve">hus </w:t>
      </w:r>
      <w:r>
        <w:t xml:space="preserve">seemingly </w:t>
      </w:r>
      <w:r w:rsidR="00D7044A">
        <w:t>shared the view of those scholar</w:t>
      </w:r>
      <w:r w:rsidR="00672475">
        <w:t>s</w:t>
      </w:r>
      <w:r w:rsidR="00D7044A">
        <w:t xml:space="preserve"> who had previously concluded that </w:t>
      </w:r>
      <w:r>
        <w:t xml:space="preserve">the </w:t>
      </w:r>
      <w:r w:rsidR="00D7044A">
        <w:t xml:space="preserve">Ugandan (and Rwandan) use of force was unlawful because the </w:t>
      </w:r>
      <w:r>
        <w:t xml:space="preserve">exercise of </w:t>
      </w:r>
      <w:r w:rsidRPr="0083476F">
        <w:t xml:space="preserve">self-defence </w:t>
      </w:r>
      <w:r>
        <w:t xml:space="preserve">in response to attacks </w:t>
      </w:r>
      <w:r w:rsidR="0046652C">
        <w:t xml:space="preserve">by </w:t>
      </w:r>
      <w:r>
        <w:t>non-S</w:t>
      </w:r>
      <w:r w:rsidRPr="0083476F">
        <w:t xml:space="preserve">tate actors </w:t>
      </w:r>
      <w:r w:rsidR="00D7044A">
        <w:t>is precluded in situations where the</w:t>
      </w:r>
      <w:r>
        <w:t xml:space="preserve"> ‘host’ State is not legally responsible</w:t>
      </w:r>
      <w:r w:rsidR="00D7044A">
        <w:t xml:space="preserve"> for those attacks</w:t>
      </w:r>
      <w:r w:rsidR="00D173F6">
        <w:t>.</w:t>
      </w:r>
      <w:r w:rsidR="00631E86">
        <w:rPr>
          <w:rStyle w:val="FootnoteReference"/>
        </w:rPr>
        <w:footnoteReference w:id="138"/>
      </w:r>
      <w:r w:rsidR="00D173F6">
        <w:t xml:space="preserve">  This position </w:t>
      </w:r>
      <w:r w:rsidR="00D7044A">
        <w:t xml:space="preserve">also </w:t>
      </w:r>
      <w:r>
        <w:t xml:space="preserve">echoed </w:t>
      </w:r>
      <w:r w:rsidR="0069424E">
        <w:t>the Court’s</w:t>
      </w:r>
      <w:r>
        <w:t xml:space="preserve"> pronouncements in previous decisions.</w:t>
      </w:r>
      <w:bookmarkStart w:id="26" w:name="_Ref473560854"/>
      <w:r w:rsidR="0062654A">
        <w:rPr>
          <w:rStyle w:val="FootnoteReference"/>
        </w:rPr>
        <w:footnoteReference w:id="139"/>
      </w:r>
      <w:bookmarkEnd w:id="26"/>
      <w:r w:rsidR="0062654A">
        <w:t xml:space="preserve">  </w:t>
      </w:r>
      <w:r w:rsidR="00D7044A">
        <w:t>More generally, it</w:t>
      </w:r>
      <w:r w:rsidR="0062654A">
        <w:t xml:space="preserve"> </w:t>
      </w:r>
      <w:r w:rsidR="00CC6434" w:rsidRPr="0083476F">
        <w:t>accord</w:t>
      </w:r>
      <w:r w:rsidR="00CC6434">
        <w:t>ed</w:t>
      </w:r>
      <w:r w:rsidR="00CC6434" w:rsidRPr="0083476F">
        <w:t xml:space="preserve"> </w:t>
      </w:r>
      <w:r w:rsidR="0062654A" w:rsidRPr="0083476F">
        <w:t>with</w:t>
      </w:r>
      <w:r w:rsidR="0062654A">
        <w:t xml:space="preserve"> the</w:t>
      </w:r>
      <w:r w:rsidR="0062654A" w:rsidRPr="0083476F">
        <w:t xml:space="preserve"> traditional understanding of </w:t>
      </w:r>
      <w:r w:rsidR="0062654A">
        <w:t>self-defence as a purely inter-S</w:t>
      </w:r>
      <w:r w:rsidR="0062654A" w:rsidRPr="0083476F">
        <w:t>tate phenomen</w:t>
      </w:r>
      <w:r w:rsidR="0069424E">
        <w:t>on</w:t>
      </w:r>
      <w:r w:rsidR="000B1936">
        <w:t>.</w:t>
      </w:r>
      <w:r w:rsidR="0062654A" w:rsidRPr="0083476F">
        <w:rPr>
          <w:rStyle w:val="FootnoteReference"/>
        </w:rPr>
        <w:footnoteReference w:id="140"/>
      </w:r>
      <w:r w:rsidR="0062654A" w:rsidRPr="0083476F">
        <w:t xml:space="preserve"> </w:t>
      </w:r>
      <w:r w:rsidR="00B13D6D">
        <w:t xml:space="preserve"> </w:t>
      </w:r>
    </w:p>
    <w:p w14:paraId="6176E66C" w14:textId="77777777" w:rsidR="00CE79E1" w:rsidRDefault="00CE79E1" w:rsidP="002D4928">
      <w:pPr>
        <w:jc w:val="both"/>
      </w:pPr>
    </w:p>
    <w:p w14:paraId="2972AB75" w14:textId="3B1D7968" w:rsidR="00D173F6" w:rsidRDefault="0062654A" w:rsidP="002D4928">
      <w:pPr>
        <w:jc w:val="both"/>
      </w:pPr>
      <w:r>
        <w:t xml:space="preserve">However, </w:t>
      </w:r>
      <w:r w:rsidR="00D173F6">
        <w:t>it should be noted that</w:t>
      </w:r>
      <w:r w:rsidR="00AA1461">
        <w:t xml:space="preserve">, in the </w:t>
      </w:r>
      <w:r w:rsidR="00AA1461" w:rsidRPr="009035B8">
        <w:rPr>
          <w:i/>
        </w:rPr>
        <w:t>DRC v Uganda</w:t>
      </w:r>
      <w:r w:rsidR="00AA1461">
        <w:t xml:space="preserve"> case,</w:t>
      </w:r>
      <w:r w:rsidR="00D173F6">
        <w:t xml:space="preserve"> the Court did not go so far as to completely rule out the possibility of self-defence in response to ‘large-scale attacks by irregular forces’,</w:t>
      </w:r>
      <w:r w:rsidR="0069424E">
        <w:rPr>
          <w:rStyle w:val="FootnoteReference"/>
        </w:rPr>
        <w:footnoteReference w:id="141"/>
      </w:r>
      <w:r w:rsidR="00D173F6">
        <w:t xml:space="preserve"> an issue on which it declined to respond.</w:t>
      </w:r>
      <w:r w:rsidR="0069424E">
        <w:rPr>
          <w:rStyle w:val="FootnoteReference"/>
        </w:rPr>
        <w:footnoteReference w:id="142"/>
      </w:r>
      <w:r w:rsidR="009035B8">
        <w:t xml:space="preserve">  As such, the ICJ’s position in </w:t>
      </w:r>
      <w:r w:rsidR="009035B8" w:rsidRPr="009035B8">
        <w:rPr>
          <w:i/>
        </w:rPr>
        <w:lastRenderedPageBreak/>
        <w:t>DRC v Uganda</w:t>
      </w:r>
      <w:r w:rsidR="009035B8">
        <w:t xml:space="preserve"> on this question – much like in previous decisions –</w:t>
      </w:r>
      <w:r w:rsidR="00A35A72">
        <w:t xml:space="preserve"> is</w:t>
      </w:r>
      <w:r w:rsidR="009035B8">
        <w:t xml:space="preserve"> not entirely clear,</w:t>
      </w:r>
      <w:r w:rsidR="009035B8">
        <w:rPr>
          <w:rStyle w:val="FootnoteReference"/>
        </w:rPr>
        <w:footnoteReference w:id="143"/>
      </w:r>
      <w:r w:rsidR="009035B8">
        <w:t xml:space="preserve"> but the Court certainly strongly indicated that a </w:t>
      </w:r>
      <w:r w:rsidR="00672475">
        <w:t xml:space="preserve">relatively high </w:t>
      </w:r>
      <w:r w:rsidR="009035B8">
        <w:t>level of State involvement in an armed attack is required.</w:t>
      </w:r>
      <w:r w:rsidR="009035B8">
        <w:rPr>
          <w:rStyle w:val="FootnoteReference"/>
        </w:rPr>
        <w:footnoteReference w:id="144"/>
      </w:r>
    </w:p>
    <w:p w14:paraId="2F286266" w14:textId="77777777" w:rsidR="00D173F6" w:rsidRDefault="00D173F6" w:rsidP="002D4928">
      <w:pPr>
        <w:jc w:val="both"/>
      </w:pPr>
    </w:p>
    <w:p w14:paraId="3B53B40E" w14:textId="77777777" w:rsidR="004E025E" w:rsidRDefault="00CC6434" w:rsidP="00E90955">
      <w:pPr>
        <w:jc w:val="both"/>
      </w:pPr>
      <w:r>
        <w:t xml:space="preserve">The question of whether (and, if so, the circumstances under which) a State can respond in self-defence against attacks perpetrated by non-State actors has been described in commentary as being a ‘central issue’ that was ‘at the core’ of the </w:t>
      </w:r>
      <w:r w:rsidRPr="009035B8">
        <w:rPr>
          <w:i/>
        </w:rPr>
        <w:t>DRC v Uganda</w:t>
      </w:r>
      <w:r>
        <w:rPr>
          <w:i/>
        </w:rPr>
        <w:t xml:space="preserve"> </w:t>
      </w:r>
      <w:r>
        <w:t>case.</w:t>
      </w:r>
      <w:bookmarkStart w:id="27" w:name="_Ref473560973"/>
      <w:r>
        <w:rPr>
          <w:rStyle w:val="FootnoteReference"/>
        </w:rPr>
        <w:footnoteReference w:id="145"/>
      </w:r>
      <w:bookmarkEnd w:id="27"/>
      <w:r>
        <w:t xml:space="preserve">  </w:t>
      </w:r>
      <w:r w:rsidR="004E025E" w:rsidRPr="0070412A">
        <w:t>Academic appraisal of this aspect of the ICJ’s decision was deeply divided.</w:t>
      </w:r>
      <w:r w:rsidR="004E025E">
        <w:t xml:space="preserve">  Some commentators supported the </w:t>
      </w:r>
      <w:r>
        <w:t xml:space="preserve">Court’s seeming endorsement of a </w:t>
      </w:r>
      <w:r w:rsidR="004E025E">
        <w:t>requir</w:t>
      </w:r>
      <w:r>
        <w:t>ement of</w:t>
      </w:r>
      <w:r w:rsidR="004E025E">
        <w:t xml:space="preserve"> substantial State involvement in any attack giving rise to self-defence.</w:t>
      </w:r>
      <w:bookmarkStart w:id="28" w:name="_Ref473562521"/>
      <w:r w:rsidR="0070412A">
        <w:rPr>
          <w:rStyle w:val="FootnoteReference"/>
        </w:rPr>
        <w:footnoteReference w:id="146"/>
      </w:r>
      <w:bookmarkEnd w:id="28"/>
      <w:r w:rsidR="004E025E">
        <w:t xml:space="preserve">  Others took a diametrically opposed view</w:t>
      </w:r>
      <w:r>
        <w:t xml:space="preserve">, arguing that the </w:t>
      </w:r>
      <w:r w:rsidRPr="00CC6434">
        <w:t xml:space="preserve">ICJ’s approach to </w:t>
      </w:r>
      <w:r>
        <w:t>the question of self-defence in response to the actions of non-State actors</w:t>
      </w:r>
      <w:r w:rsidRPr="00CC6434">
        <w:t xml:space="preserve"> was overly narrow, and failed to take into account the modern reality of security threats posed to States by non-State actors.</w:t>
      </w:r>
      <w:r w:rsidR="00863C6C">
        <w:rPr>
          <w:rStyle w:val="FootnoteReference"/>
        </w:rPr>
        <w:footnoteReference w:id="147"/>
      </w:r>
      <w:r>
        <w:t xml:space="preserve">  Moreover, and along similar lines, three judges of the Court itself were critical o</w:t>
      </w:r>
      <w:r w:rsidR="0070412A">
        <w:t>f</w:t>
      </w:r>
      <w:r>
        <w:t xml:space="preserve"> the majority’s position </w:t>
      </w:r>
      <w:r w:rsidR="0070412A">
        <w:t xml:space="preserve">on this issue </w:t>
      </w:r>
      <w:r>
        <w:t>in their individual opinions appended to the decision.</w:t>
      </w:r>
      <w:r>
        <w:rPr>
          <w:rStyle w:val="FootnoteReference"/>
        </w:rPr>
        <w:footnoteReference w:id="148"/>
      </w:r>
      <w:r>
        <w:t xml:space="preserve">   </w:t>
      </w:r>
    </w:p>
    <w:p w14:paraId="152F3E20" w14:textId="77777777" w:rsidR="004E025E" w:rsidRDefault="004E025E" w:rsidP="00E90955">
      <w:pPr>
        <w:jc w:val="both"/>
      </w:pPr>
    </w:p>
    <w:p w14:paraId="506F1E93" w14:textId="77777777" w:rsidR="00E90955" w:rsidRDefault="006E12C6" w:rsidP="00E90955">
      <w:pPr>
        <w:jc w:val="both"/>
      </w:pPr>
      <w:r>
        <w:t xml:space="preserve">While, of course, decisions of the ICJ can only ever represent a ‘freeze-frame’ of the law (or, at least, the </w:t>
      </w:r>
      <w:r w:rsidRPr="00B42F58">
        <w:rPr>
          <w:i/>
        </w:rPr>
        <w:t>Court’s view</w:t>
      </w:r>
      <w:r>
        <w:t xml:space="preserve"> of the law) at the time at which the facts that are the subject the dispute in question occurred</w:t>
      </w:r>
      <w:r w:rsidR="00B13D6D">
        <w:t>,</w:t>
      </w:r>
      <w:r w:rsidR="00497B2B">
        <w:rPr>
          <w:rStyle w:val="FootnoteReference"/>
        </w:rPr>
        <w:footnoteReference w:id="149"/>
      </w:r>
      <w:r w:rsidR="0062654A">
        <w:t xml:space="preserve"> </w:t>
      </w:r>
      <w:r>
        <w:t xml:space="preserve">it is worth noting that </w:t>
      </w:r>
      <w:r w:rsidR="0062654A">
        <w:t xml:space="preserve">there </w:t>
      </w:r>
      <w:r w:rsidR="00B13D6D">
        <w:t xml:space="preserve">has been </w:t>
      </w:r>
      <w:r w:rsidR="00CA0683">
        <w:t>significant</w:t>
      </w:r>
      <w:r w:rsidR="00CA0683" w:rsidRPr="0083476F">
        <w:t xml:space="preserve"> </w:t>
      </w:r>
      <w:r>
        <w:t xml:space="preserve">and increasing </w:t>
      </w:r>
      <w:r w:rsidR="0062654A" w:rsidRPr="0083476F">
        <w:t xml:space="preserve">debate </w:t>
      </w:r>
      <w:r>
        <w:t xml:space="preserve">since 9/11 </w:t>
      </w:r>
      <w:r w:rsidR="00B13D6D">
        <w:t>over</w:t>
      </w:r>
      <w:r w:rsidR="0062654A" w:rsidRPr="0083476F">
        <w:t xml:space="preserve"> </w:t>
      </w:r>
      <w:r w:rsidR="00B13D6D">
        <w:t>whether a S</w:t>
      </w:r>
      <w:r w:rsidR="0062654A" w:rsidRPr="0083476F">
        <w:t>tate that has suffered an a</w:t>
      </w:r>
      <w:r w:rsidR="00D83009">
        <w:t>ttack perpetrated by a non-S</w:t>
      </w:r>
      <w:r w:rsidR="0062654A" w:rsidRPr="0083476F">
        <w:t xml:space="preserve">tate actor </w:t>
      </w:r>
      <w:r w:rsidR="00B13D6D">
        <w:t>can</w:t>
      </w:r>
      <w:r w:rsidR="0062654A" w:rsidRPr="0083476F">
        <w:t xml:space="preserve"> use force in response.  </w:t>
      </w:r>
      <w:r w:rsidR="00CA0683">
        <w:t xml:space="preserve">This is not the place to engage with that debate, but it </w:t>
      </w:r>
      <w:r>
        <w:t>can at least be said</w:t>
      </w:r>
      <w:r w:rsidR="00CA0683">
        <w:t xml:space="preserve"> there</w:t>
      </w:r>
      <w:r w:rsidR="00D83009" w:rsidRPr="0083476F">
        <w:t xml:space="preserve"> have been an increased number of attempts</w:t>
      </w:r>
      <w:r w:rsidR="00440D82">
        <w:t xml:space="preserve"> </w:t>
      </w:r>
      <w:r w:rsidR="00D83009" w:rsidRPr="0083476F">
        <w:t xml:space="preserve">by </w:t>
      </w:r>
      <w:r w:rsidR="00D83009">
        <w:t>St</w:t>
      </w:r>
      <w:r w:rsidR="00D83009" w:rsidRPr="0083476F">
        <w:t>ates</w:t>
      </w:r>
      <w:r w:rsidR="00440D82">
        <w:t>, in the 21st century,</w:t>
      </w:r>
      <w:r w:rsidR="00D83009" w:rsidRPr="0083476F">
        <w:t xml:space="preserve"> to justify their uses of force as actions of self-defence against non-</w:t>
      </w:r>
      <w:r w:rsidR="00D83009">
        <w:t>S</w:t>
      </w:r>
      <w:r w:rsidR="00D83009" w:rsidRPr="0083476F">
        <w:t>tate actors.</w:t>
      </w:r>
      <w:r w:rsidR="00067833">
        <w:rPr>
          <w:rStyle w:val="FootnoteReference"/>
        </w:rPr>
        <w:footnoteReference w:id="150"/>
      </w:r>
      <w:r w:rsidR="00D83009" w:rsidRPr="0083476F">
        <w:t xml:space="preserve">  </w:t>
      </w:r>
      <w:r w:rsidR="00CA0683">
        <w:t xml:space="preserve">These instances from practice </w:t>
      </w:r>
      <w:r w:rsidR="00647951">
        <w:t xml:space="preserve">have been interpreted by some commentators as indicating </w:t>
      </w:r>
      <w:r w:rsidR="00CA0683">
        <w:t xml:space="preserve">either </w:t>
      </w:r>
      <w:r w:rsidR="00067833" w:rsidRPr="00D97AF8">
        <w:rPr>
          <w:i/>
        </w:rPr>
        <w:t>i)</w:t>
      </w:r>
      <w:r w:rsidR="00067833">
        <w:t xml:space="preserve"> </w:t>
      </w:r>
      <w:r w:rsidR="00E90955" w:rsidRPr="0083476F">
        <w:t xml:space="preserve">the beginnings of a paradigm shift in the customary international law towards contemporary customary international law </w:t>
      </w:r>
      <w:r w:rsidR="00E90955">
        <w:t xml:space="preserve">allowing </w:t>
      </w:r>
      <w:r w:rsidR="00E90955" w:rsidRPr="0083476F">
        <w:t xml:space="preserve">for self-defence </w:t>
      </w:r>
      <w:r w:rsidR="00E90955">
        <w:t xml:space="preserve">actions </w:t>
      </w:r>
      <w:r w:rsidR="00E90955" w:rsidRPr="0083476F">
        <w:t xml:space="preserve">against actors that have little or no </w:t>
      </w:r>
      <w:r w:rsidR="00E90955" w:rsidRPr="0083476F">
        <w:lastRenderedPageBreak/>
        <w:t>relationship t</w:t>
      </w:r>
      <w:r w:rsidR="00E90955">
        <w:t>o, or with, their ‘host’ S</w:t>
      </w:r>
      <w:r w:rsidR="00E90955" w:rsidRPr="0083476F">
        <w:t>tate</w:t>
      </w:r>
      <w:r w:rsidR="00CA0683">
        <w:t>,</w:t>
      </w:r>
      <w:r w:rsidR="00E90955" w:rsidRPr="0083476F">
        <w:rPr>
          <w:rStyle w:val="FootnoteReference"/>
        </w:rPr>
        <w:footnoteReference w:id="151"/>
      </w:r>
      <w:r w:rsidR="00CA0683">
        <w:t xml:space="preserve"> or, </w:t>
      </w:r>
      <w:r w:rsidR="00067833" w:rsidRPr="00D97AF8">
        <w:rPr>
          <w:i/>
        </w:rPr>
        <w:t>ii)</w:t>
      </w:r>
      <w:r w:rsidR="00067833">
        <w:t xml:space="preserve"> for some,</w:t>
      </w:r>
      <w:r w:rsidR="00E90955" w:rsidRPr="0083476F">
        <w:t xml:space="preserve"> that such a shift has already occurred.</w:t>
      </w:r>
      <w:r w:rsidR="00E90955" w:rsidRPr="0083476F">
        <w:rPr>
          <w:rStyle w:val="FootnoteReference"/>
        </w:rPr>
        <w:footnoteReference w:id="152"/>
      </w:r>
      <w:r w:rsidR="00585D81">
        <w:t xml:space="preserve"> </w:t>
      </w:r>
      <w:r w:rsidR="00E90955" w:rsidRPr="0083476F">
        <w:t xml:space="preserve"> </w:t>
      </w:r>
      <w:r w:rsidR="00CA0683">
        <w:t>It is fair to say</w:t>
      </w:r>
      <w:r w:rsidR="00067833">
        <w:t>, however,</w:t>
      </w:r>
      <w:r w:rsidR="00CA0683">
        <w:t xml:space="preserve"> that</w:t>
      </w:r>
      <w:r w:rsidR="00CA0683" w:rsidRPr="0083476F">
        <w:t xml:space="preserve"> </w:t>
      </w:r>
      <w:r w:rsidR="00067833">
        <w:t>such claims</w:t>
      </w:r>
      <w:r w:rsidR="00E90955">
        <w:t xml:space="preserve"> remain highly contested.</w:t>
      </w:r>
      <w:r w:rsidR="00B13D6D">
        <w:rPr>
          <w:rStyle w:val="FootnoteReference"/>
        </w:rPr>
        <w:footnoteReference w:id="153"/>
      </w:r>
    </w:p>
    <w:p w14:paraId="51F4DC25" w14:textId="77777777" w:rsidR="00E90955" w:rsidRDefault="00E90955" w:rsidP="00E90955">
      <w:pPr>
        <w:jc w:val="both"/>
      </w:pPr>
    </w:p>
    <w:p w14:paraId="39AE631D" w14:textId="77777777" w:rsidR="00E90955" w:rsidRDefault="00067833" w:rsidP="00D83009">
      <w:pPr>
        <w:jc w:val="both"/>
      </w:pPr>
      <w:r>
        <w:t>Another</w:t>
      </w:r>
      <w:r w:rsidR="00CA0683">
        <w:t xml:space="preserve"> noteworthy</w:t>
      </w:r>
      <w:r w:rsidR="00E90955">
        <w:t xml:space="preserve"> </w:t>
      </w:r>
      <w:r w:rsidRPr="00067833">
        <w:rPr>
          <w:i/>
        </w:rPr>
        <w:t>ad bellum</w:t>
      </w:r>
      <w:r>
        <w:t xml:space="preserve"> element of the ICJ’s decision </w:t>
      </w:r>
      <w:r w:rsidR="00C45056">
        <w:t xml:space="preserve">in </w:t>
      </w:r>
      <w:r w:rsidR="00C45056" w:rsidRPr="00E90955">
        <w:rPr>
          <w:i/>
        </w:rPr>
        <w:t>DRC v Uganda</w:t>
      </w:r>
      <w:r w:rsidR="00C45056">
        <w:t xml:space="preserve"> </w:t>
      </w:r>
      <w:r>
        <w:t xml:space="preserve">was </w:t>
      </w:r>
      <w:r w:rsidR="00E90955">
        <w:t xml:space="preserve">that the </w:t>
      </w:r>
      <w:r w:rsidR="00C45056">
        <w:t xml:space="preserve">Court </w:t>
      </w:r>
      <w:r w:rsidR="003E3F4A">
        <w:t>implicitly</w:t>
      </w:r>
      <w:r w:rsidR="00E90955">
        <w:t xml:space="preserve"> suggested that a number of smaller scale attacks could cumulatively reach the necessary gravity to constitute an armed attack.</w:t>
      </w:r>
      <w:r w:rsidR="008862CA">
        <w:rPr>
          <w:rStyle w:val="FootnoteReference"/>
        </w:rPr>
        <w:footnoteReference w:id="154"/>
      </w:r>
      <w:r w:rsidR="00E90955">
        <w:t xml:space="preserve">  Based on this </w:t>
      </w:r>
      <w:r w:rsidR="003E3F4A">
        <w:t>tentative</w:t>
      </w:r>
      <w:r w:rsidR="00E90955">
        <w:t xml:space="preserve"> endorsement of the so-called ‘accumulation of events’ theory,</w:t>
      </w:r>
      <w:r w:rsidR="003E3F4A">
        <w:rPr>
          <w:rStyle w:val="FootnoteReference"/>
        </w:rPr>
        <w:footnoteReference w:id="155"/>
      </w:r>
      <w:r w:rsidR="00E90955">
        <w:t xml:space="preserve"> if one </w:t>
      </w:r>
      <w:r w:rsidR="00E90955" w:rsidRPr="008F42C3">
        <w:t>were</w:t>
      </w:r>
      <w:r w:rsidR="00E90955">
        <w:t xml:space="preserve"> to reject the Court’s finding that Uganda could not have been acting in self-defence because the DRC was not responsible for the border attacks against it (on the basis that State responsibility for </w:t>
      </w:r>
      <w:r w:rsidR="003E3F4A">
        <w:t>any given</w:t>
      </w:r>
      <w:r w:rsidR="00E90955">
        <w:t xml:space="preserve"> armed attack is not </w:t>
      </w:r>
      <w:r w:rsidR="00A35A72">
        <w:t>legally</w:t>
      </w:r>
      <w:r w:rsidR="008862CA">
        <w:t xml:space="preserve"> </w:t>
      </w:r>
      <w:r w:rsidR="00E90955">
        <w:t>required</w:t>
      </w:r>
      <w:r w:rsidR="00A35A72">
        <w:t xml:space="preserve"> for self-defence</w:t>
      </w:r>
      <w:r w:rsidR="00E90955">
        <w:t>), one might perhaps conclude that the use of force by</w:t>
      </w:r>
      <w:r w:rsidR="003E3F4A">
        <w:t xml:space="preserve"> Uganda – </w:t>
      </w:r>
      <w:r w:rsidR="00E90955">
        <w:t xml:space="preserve">and, by extension, </w:t>
      </w:r>
      <w:r w:rsidR="003E3F4A">
        <w:t>Rwanda</w:t>
      </w:r>
      <w:r w:rsidR="0068518E">
        <w:t xml:space="preserve"> </w:t>
      </w:r>
      <w:r w:rsidR="003E3F4A">
        <w:t>–</w:t>
      </w:r>
      <w:r w:rsidR="00E90955">
        <w:t xml:space="preserve"> </w:t>
      </w:r>
      <w:r w:rsidR="00440D82">
        <w:t>may have been</w:t>
      </w:r>
      <w:r w:rsidR="00A35A72">
        <w:t xml:space="preserve"> lawful actions.  </w:t>
      </w:r>
      <w:r w:rsidR="00E90955">
        <w:t xml:space="preserve">This would be incorrect, however.  While the Court felt it </w:t>
      </w:r>
      <w:r w:rsidR="008F42C3">
        <w:t>extraneous</w:t>
      </w:r>
      <w:r w:rsidR="00E90955">
        <w:t xml:space="preserve"> </w:t>
      </w:r>
      <w:r w:rsidR="00A35A72">
        <w:t xml:space="preserve">in </w:t>
      </w:r>
      <w:r w:rsidR="00A35A72" w:rsidRPr="00A35A72">
        <w:rPr>
          <w:i/>
        </w:rPr>
        <w:t>DRC v Uganda</w:t>
      </w:r>
      <w:r w:rsidR="00A35A72">
        <w:t xml:space="preserve"> </w:t>
      </w:r>
      <w:r w:rsidR="00E90955">
        <w:t xml:space="preserve">to engage in detail with the </w:t>
      </w:r>
      <w:r w:rsidR="007B37B1">
        <w:t xml:space="preserve">crucial </w:t>
      </w:r>
      <w:r w:rsidR="00E90955">
        <w:t>customary international law requirements of necessity and proportionality</w:t>
      </w:r>
      <w:r w:rsidR="003E3F4A">
        <w:t>,</w:t>
      </w:r>
      <w:r w:rsidR="003E3F4A">
        <w:rPr>
          <w:rStyle w:val="FootnoteReference"/>
        </w:rPr>
        <w:footnoteReference w:id="156"/>
      </w:r>
      <w:r w:rsidR="007B37B1">
        <w:t xml:space="preserve"> which undoubtedly apply to </w:t>
      </w:r>
      <w:r w:rsidR="008862CA">
        <w:t xml:space="preserve">all </w:t>
      </w:r>
      <w:r w:rsidR="007B37B1">
        <w:t>self-defence actions</w:t>
      </w:r>
      <w:r w:rsidR="003E3F4A">
        <w:t>,</w:t>
      </w:r>
      <w:r w:rsidR="003E3F4A">
        <w:rPr>
          <w:rStyle w:val="FootnoteReference"/>
        </w:rPr>
        <w:footnoteReference w:id="157"/>
      </w:r>
      <w:r w:rsidR="007B37B1">
        <w:t xml:space="preserve"> i</w:t>
      </w:r>
      <w:r w:rsidR="00E90955">
        <w:t xml:space="preserve">t did </w:t>
      </w:r>
      <w:r w:rsidR="00AA52F8">
        <w:t xml:space="preserve">briefly </w:t>
      </w:r>
      <w:r w:rsidR="00E90955">
        <w:t>indicate that the use of force did not comply with these requirements:</w:t>
      </w:r>
    </w:p>
    <w:p w14:paraId="721D2A0C" w14:textId="77777777" w:rsidR="00E90955" w:rsidRDefault="00E90955" w:rsidP="00D83009">
      <w:pPr>
        <w:jc w:val="both"/>
      </w:pPr>
    </w:p>
    <w:p w14:paraId="63E2F862" w14:textId="77777777" w:rsidR="007B37B1" w:rsidRPr="0068518E" w:rsidRDefault="008862CA" w:rsidP="008862CA">
      <w:pPr>
        <w:ind w:left="709"/>
        <w:jc w:val="both"/>
        <w:rPr>
          <w:sz w:val="20"/>
          <w:szCs w:val="20"/>
        </w:rPr>
      </w:pPr>
      <w:r w:rsidRPr="0068518E">
        <w:rPr>
          <w:sz w:val="20"/>
          <w:szCs w:val="20"/>
        </w:rPr>
        <w:t>The Court cannot fail to observe, however, that the taking of airports and towns many hundreds of kilometres from Uganda’s border would not seem proportionate to the series of transborder attacks it claimed had given rise to the right of self-defence, nor to be necessary to that end.</w:t>
      </w:r>
      <w:r w:rsidRPr="0068518E">
        <w:rPr>
          <w:rStyle w:val="FootnoteReference"/>
          <w:sz w:val="20"/>
          <w:szCs w:val="20"/>
        </w:rPr>
        <w:footnoteReference w:id="158"/>
      </w:r>
    </w:p>
    <w:p w14:paraId="155FA258" w14:textId="77777777" w:rsidR="008862CA" w:rsidRDefault="008862CA" w:rsidP="008862CA">
      <w:pPr>
        <w:jc w:val="both"/>
      </w:pPr>
    </w:p>
    <w:p w14:paraId="10E3BC2D" w14:textId="77777777" w:rsidR="007B37B1" w:rsidRDefault="007B37B1" w:rsidP="00D83009">
      <w:pPr>
        <w:jc w:val="both"/>
      </w:pPr>
      <w:r>
        <w:lastRenderedPageBreak/>
        <w:t>This finding by the Court must be correct on the facts</w:t>
      </w:r>
      <w:r w:rsidR="00440D82">
        <w:t>: the actions</w:t>
      </w:r>
      <w:r w:rsidR="00EC4637">
        <w:t xml:space="preserve"> of Uganda and Rwanda</w:t>
      </w:r>
      <w:r w:rsidR="00440D82">
        <w:t xml:space="preserve">, even if </w:t>
      </w:r>
      <w:r w:rsidR="00440D82" w:rsidRPr="008F42C3">
        <w:rPr>
          <w:i/>
        </w:rPr>
        <w:t>prima facie</w:t>
      </w:r>
      <w:r w:rsidR="00440D82">
        <w:t xml:space="preserve"> taken in response to an armed attack (by non-State actors, perhaps cumulatively), were probably unnecessary and almost certainly disproportional</w:t>
      </w:r>
      <w:r>
        <w:t>.  As such, even leaving aside the contest</w:t>
      </w:r>
      <w:r w:rsidR="003E3F4A">
        <w:t>able</w:t>
      </w:r>
      <w:r>
        <w:t xml:space="preserve"> </w:t>
      </w:r>
      <w:r w:rsidR="003E3F4A">
        <w:t>issue</w:t>
      </w:r>
      <w:r>
        <w:t xml:space="preserve"> of whether Uganda</w:t>
      </w:r>
      <w:r w:rsidR="00C45056">
        <w:t xml:space="preserve"> and  Rwanda </w:t>
      </w:r>
      <w:r>
        <w:t>could have lawfully responded to attacks by the ADF (and other groups) for which the DRC was not found to be responsible, there is little question that the ICJ’s ultimate finding that the use of force was not a lawful action in self-defence is accurate.  However, the key reason for this resides in the application of the (much-overlooked, but crucial) customary criteria of necessity and proportional</w:t>
      </w:r>
      <w:r w:rsidR="003E3F4A">
        <w:t>ity.</w:t>
      </w:r>
      <w:bookmarkStart w:id="29" w:name="_Ref473562564"/>
      <w:r w:rsidR="007B5E8B">
        <w:rPr>
          <w:rStyle w:val="FootnoteReference"/>
        </w:rPr>
        <w:footnoteReference w:id="159"/>
      </w:r>
      <w:bookmarkEnd w:id="29"/>
      <w:r w:rsidR="003E3F4A">
        <w:t xml:space="preserve">  It may well also be correct to hold that the anti-Kabila States were not acting in self-defence because the DRC was not responsible for any prior uses of force against them, but – reversing the logic of the ICJ</w:t>
      </w:r>
      <w:r w:rsidR="00AA52F8">
        <w:rPr>
          <w:rStyle w:val="FootnoteReference"/>
        </w:rPr>
        <w:footnoteReference w:id="160"/>
      </w:r>
      <w:r w:rsidR="003E3F4A">
        <w:t xml:space="preserve"> – it would seem </w:t>
      </w:r>
      <w:r w:rsidR="00C45056">
        <w:t>un</w:t>
      </w:r>
      <w:r w:rsidR="003E3F4A">
        <w:t xml:space="preserve">necessary to reach a definite conclusion on this </w:t>
      </w:r>
      <w:r w:rsidR="008862CA">
        <w:t xml:space="preserve">controversial </w:t>
      </w:r>
      <w:r w:rsidR="003E3F4A">
        <w:t xml:space="preserve">point, because these actions were not necessary or proportional </w:t>
      </w:r>
      <w:r w:rsidR="008862CA">
        <w:t>in any event</w:t>
      </w:r>
      <w:r w:rsidR="003E3F4A">
        <w:t>.</w:t>
      </w:r>
      <w:r>
        <w:t xml:space="preserve"> </w:t>
      </w:r>
    </w:p>
    <w:p w14:paraId="0BB6B24A" w14:textId="77777777" w:rsidR="00E90955" w:rsidRDefault="00E90955" w:rsidP="00D83009">
      <w:pPr>
        <w:jc w:val="both"/>
      </w:pPr>
    </w:p>
    <w:p w14:paraId="7AE26D3D" w14:textId="77777777" w:rsidR="004B694B" w:rsidRDefault="004B694B" w:rsidP="005A1069">
      <w:pPr>
        <w:jc w:val="both"/>
      </w:pPr>
      <w:r w:rsidRPr="00C737CD">
        <w:t xml:space="preserve">In relation </w:t>
      </w:r>
      <w:r w:rsidR="005978D6">
        <w:t>to the question of anticipatory/</w:t>
      </w:r>
      <w:r w:rsidRPr="00C737CD">
        <w:t xml:space="preserve">pre-emptive self-defence, it should be noted that the ICJ declined to pronounce on the question in the </w:t>
      </w:r>
      <w:r w:rsidRPr="00C737CD">
        <w:rPr>
          <w:i/>
        </w:rPr>
        <w:t>DRC v Uganda</w:t>
      </w:r>
      <w:r w:rsidRPr="00C737CD">
        <w:t xml:space="preserve"> merits decision.</w:t>
      </w:r>
      <w:r w:rsidRPr="00C737CD">
        <w:rPr>
          <w:rStyle w:val="FootnoteReference"/>
        </w:rPr>
        <w:footnoteReference w:id="161"/>
      </w:r>
      <w:r w:rsidRPr="00C737CD">
        <w:t xml:space="preserve">  This has been criticised by some </w:t>
      </w:r>
      <w:r w:rsidRPr="00516F6B">
        <w:t>on the basis that such arguments were at least implicit in the claims presented by Uganda.</w:t>
      </w:r>
      <w:r w:rsidRPr="00516F6B">
        <w:rPr>
          <w:rStyle w:val="FootnoteReference"/>
        </w:rPr>
        <w:footnoteReference w:id="162"/>
      </w:r>
      <w:r w:rsidRPr="00516F6B">
        <w:t xml:space="preserve">  </w:t>
      </w:r>
      <w:r w:rsidRPr="00D97AF8">
        <w:t>However, ultimately</w:t>
      </w:r>
      <w:r w:rsidR="00DA2B1E" w:rsidRPr="00D97AF8">
        <w:t>,</w:t>
      </w:r>
      <w:r w:rsidRPr="00D97AF8">
        <w:t xml:space="preserve"> </w:t>
      </w:r>
      <w:r w:rsidR="00DA2B1E" w:rsidRPr="00D97AF8">
        <w:t>the issue of anticipatory self-</w:t>
      </w:r>
      <w:r w:rsidR="005F35B1" w:rsidRPr="00D97AF8">
        <w:t>defence</w:t>
      </w:r>
      <w:r w:rsidR="00DA2B1E" w:rsidRPr="00D97AF8">
        <w:t xml:space="preserve"> was not formally raised by </w:t>
      </w:r>
      <w:r w:rsidR="00C737CD" w:rsidRPr="00D97AF8">
        <w:t>Uganda</w:t>
      </w:r>
      <w:r w:rsidR="00DA2B1E" w:rsidRPr="00D97AF8">
        <w:t>,</w:t>
      </w:r>
      <w:r w:rsidRPr="00D97AF8">
        <w:t xml:space="preserve"> meaning that it would not have been appropriate for </w:t>
      </w:r>
      <w:r w:rsidR="00DA2B1E" w:rsidRPr="00D97AF8">
        <w:t>the ICJ</w:t>
      </w:r>
      <w:r w:rsidRPr="00D97AF8">
        <w:t xml:space="preserve"> to have considered the lawfulness of anticipatory action.</w:t>
      </w:r>
      <w:r w:rsidR="00516F6B" w:rsidRPr="00D97AF8">
        <w:rPr>
          <w:rStyle w:val="FootnoteReference"/>
        </w:rPr>
        <w:footnoteReference w:id="163"/>
      </w:r>
      <w:r w:rsidR="00691A03" w:rsidRPr="00516F6B">
        <w:t xml:space="preserve">  Given</w:t>
      </w:r>
      <w:r w:rsidR="00691A03">
        <w:t xml:space="preserve"> that pre-emptive action was not central to the claims of the </w:t>
      </w:r>
      <w:r w:rsidR="00DA2B1E">
        <w:t>States engaged in the Great African War</w:t>
      </w:r>
      <w:r w:rsidR="00691A03">
        <w:t xml:space="preserve">, it is enough </w:t>
      </w:r>
      <w:r w:rsidR="00DA2B1E">
        <w:t xml:space="preserve">for our purposes </w:t>
      </w:r>
      <w:r w:rsidR="00691A03">
        <w:t>to note here that arguments of anticipatory self-defence remain highly controversial.</w:t>
      </w:r>
      <w:r w:rsidR="00516F6B">
        <w:rPr>
          <w:rStyle w:val="FootnoteReference"/>
        </w:rPr>
        <w:footnoteReference w:id="164"/>
      </w:r>
      <w:r w:rsidR="00691A03">
        <w:t xml:space="preserve">  Even if one were to accept the permissibility of the use of force in self-defence prior to the occurrence of an armed attack,</w:t>
      </w:r>
      <w:r w:rsidR="00C737CD">
        <w:rPr>
          <w:rStyle w:val="FootnoteReference"/>
        </w:rPr>
        <w:footnoteReference w:id="165"/>
      </w:r>
      <w:r w:rsidR="00691A03">
        <w:t xml:space="preserve"> however, it </w:t>
      </w:r>
      <w:r w:rsidR="005978D6">
        <w:t xml:space="preserve">is still questionable whether </w:t>
      </w:r>
      <w:r w:rsidR="00691A03">
        <w:t xml:space="preserve">the actions of Uganda and Rwanda </w:t>
      </w:r>
      <w:r w:rsidR="005978D6">
        <w:t>could be considered</w:t>
      </w:r>
      <w:r w:rsidR="00DA2B1E">
        <w:t xml:space="preserve"> </w:t>
      </w:r>
      <w:r w:rsidR="00691A03">
        <w:t>proportionate even in a preventative context.</w:t>
      </w:r>
    </w:p>
    <w:p w14:paraId="5B85AB61" w14:textId="77777777" w:rsidR="004B694B" w:rsidRDefault="004B694B" w:rsidP="005A1069">
      <w:pPr>
        <w:jc w:val="both"/>
      </w:pPr>
    </w:p>
    <w:p w14:paraId="320C8992" w14:textId="77777777" w:rsidR="00DC2CEA" w:rsidRPr="00B42F58" w:rsidRDefault="007B37B1" w:rsidP="00D97AF8">
      <w:pPr>
        <w:autoSpaceDE w:val="0"/>
        <w:autoSpaceDN w:val="0"/>
        <w:adjustRightInd w:val="0"/>
        <w:jc w:val="both"/>
      </w:pPr>
      <w:r>
        <w:t xml:space="preserve">Finally, it is </w:t>
      </w:r>
      <w:r w:rsidR="00A35A72">
        <w:t xml:space="preserve">worth </w:t>
      </w:r>
      <w:r w:rsidR="00AF03A3">
        <w:t xml:space="preserve">recalling </w:t>
      </w:r>
      <w:r w:rsidR="00A35A72">
        <w:t xml:space="preserve">that Article 51 also </w:t>
      </w:r>
      <w:r>
        <w:t xml:space="preserve">provides </w:t>
      </w:r>
      <w:r w:rsidRPr="00B0207F">
        <w:t>that: ‘</w:t>
      </w:r>
      <w:r>
        <w:t>[m]</w:t>
      </w:r>
      <w:r w:rsidRPr="00B0207F">
        <w:t>easures taken by members in exercise of this right of self-defence shall be immediately re</w:t>
      </w:r>
      <w:r>
        <w:t>ported to the Security Council…’</w:t>
      </w:r>
      <w:r w:rsidR="008F42C3">
        <w:rPr>
          <w:rStyle w:val="FootnoteReference"/>
        </w:rPr>
        <w:footnoteReference w:id="166"/>
      </w:r>
      <w:r>
        <w:t xml:space="preserve">  </w:t>
      </w:r>
      <w:r w:rsidR="00E95A41" w:rsidRPr="00B0207F">
        <w:t xml:space="preserve">In </w:t>
      </w:r>
      <w:r w:rsidR="0065299F" w:rsidRPr="00B0207F">
        <w:t xml:space="preserve">the initial months following the intervention, </w:t>
      </w:r>
      <w:r w:rsidR="00AF03A3">
        <w:t>neither Uganda nor Rwanda</w:t>
      </w:r>
      <w:r w:rsidR="005A1069" w:rsidRPr="00B0207F">
        <w:t xml:space="preserve"> reported their </w:t>
      </w:r>
      <w:r w:rsidR="00A35A72">
        <w:t xml:space="preserve">avowed self-defence </w:t>
      </w:r>
      <w:r w:rsidR="005A1069" w:rsidRPr="00B0207F">
        <w:t>actions formally to the Security Council</w:t>
      </w:r>
      <w:r>
        <w:t>.</w:t>
      </w:r>
      <w:r w:rsidR="009E4A64">
        <w:rPr>
          <w:rStyle w:val="FootnoteReference"/>
        </w:rPr>
        <w:footnoteReference w:id="167"/>
      </w:r>
      <w:r>
        <w:t xml:space="preserve">  Admittedly, </w:t>
      </w:r>
      <w:r w:rsidR="00AF03A3">
        <w:t xml:space="preserve">as noted, </w:t>
      </w:r>
      <w:r w:rsidR="008F42C3" w:rsidRPr="0095142C">
        <w:t>Uganda ultimately report</w:t>
      </w:r>
      <w:r w:rsidR="00A106EC">
        <w:t>ed</w:t>
      </w:r>
      <w:r w:rsidR="008F42C3" w:rsidRPr="0095142C">
        <w:t xml:space="preserve"> its self-defence actions, </w:t>
      </w:r>
      <w:r w:rsidR="00A106EC">
        <w:t>but</w:t>
      </w:r>
      <w:r w:rsidR="00A106EC" w:rsidRPr="0095142C">
        <w:t xml:space="preserve"> </w:t>
      </w:r>
      <w:r w:rsidR="008F42C3" w:rsidRPr="0095142C">
        <w:t>not until June 2000</w:t>
      </w:r>
      <w:r w:rsidR="005978D6">
        <w:t>.</w:t>
      </w:r>
      <w:r w:rsidR="008F42C3" w:rsidRPr="0095142C">
        <w:rPr>
          <w:rStyle w:val="FootnoteReference"/>
        </w:rPr>
        <w:footnoteReference w:id="168"/>
      </w:r>
      <w:r w:rsidR="00AF03A3">
        <w:t xml:space="preserve">  </w:t>
      </w:r>
      <w:r w:rsidR="005978D6">
        <w:t>Burundi also reported, but not until May 2001,</w:t>
      </w:r>
      <w:r w:rsidR="005978D6">
        <w:rPr>
          <w:rStyle w:val="FootnoteReference"/>
        </w:rPr>
        <w:footnoteReference w:id="169"/>
      </w:r>
      <w:r w:rsidR="005978D6">
        <w:t xml:space="preserve"> and Rwanda never reported.  </w:t>
      </w:r>
      <w:r w:rsidR="00A106EC">
        <w:t>Admittedly, it</w:t>
      </w:r>
      <w:r w:rsidR="00A106EC" w:rsidRPr="00B0207F">
        <w:t xml:space="preserve"> </w:t>
      </w:r>
      <w:r w:rsidR="005A1069" w:rsidRPr="00B0207F">
        <w:t>is</w:t>
      </w:r>
      <w:r w:rsidR="008F42C3">
        <w:t xml:space="preserve"> </w:t>
      </w:r>
      <w:r w:rsidR="005A1069" w:rsidRPr="00B0207F">
        <w:lastRenderedPageBreak/>
        <w:t>generally accepted</w:t>
      </w:r>
      <w:r w:rsidR="00A106EC">
        <w:t xml:space="preserve"> </w:t>
      </w:r>
      <w:r w:rsidR="005A1069" w:rsidRPr="00B0207F">
        <w:t xml:space="preserve">that a </w:t>
      </w:r>
      <w:r w:rsidR="005A1069" w:rsidRPr="0095142C">
        <w:t xml:space="preserve">failure to provide such a report does not necessarily make an otherwise </w:t>
      </w:r>
      <w:r w:rsidR="002E1E53" w:rsidRPr="0095142C">
        <w:t>lawful</w:t>
      </w:r>
      <w:r w:rsidR="00A35A72">
        <w:t xml:space="preserve"> use of force in self-defence unlawful</w:t>
      </w:r>
      <w:r w:rsidR="005A1069" w:rsidRPr="0095142C">
        <w:t>.</w:t>
      </w:r>
      <w:r w:rsidR="009E4A64" w:rsidRPr="0095142C">
        <w:rPr>
          <w:rStyle w:val="FootnoteReference"/>
        </w:rPr>
        <w:footnoteReference w:id="170"/>
      </w:r>
      <w:r w:rsidR="005A1069" w:rsidRPr="0095142C">
        <w:t xml:space="preserve">  However, </w:t>
      </w:r>
      <w:r w:rsidRPr="0095142C">
        <w:t>the failure to report</w:t>
      </w:r>
      <w:r w:rsidR="0095142C">
        <w:t>,</w:t>
      </w:r>
      <w:r w:rsidR="0095142C" w:rsidRPr="00B0207F">
        <w:rPr>
          <w:rStyle w:val="FootnoteReference"/>
        </w:rPr>
        <w:footnoteReference w:id="171"/>
      </w:r>
      <w:r w:rsidR="0095142C">
        <w:t xml:space="preserve"> </w:t>
      </w:r>
      <w:r w:rsidRPr="0095142C">
        <w:t>or to report in a timely manner</w:t>
      </w:r>
      <w:r w:rsidR="0095142C">
        <w:t>,</w:t>
      </w:r>
      <w:r w:rsidR="0095142C">
        <w:rPr>
          <w:rStyle w:val="FootnoteReference"/>
        </w:rPr>
        <w:footnoteReference w:id="172"/>
      </w:r>
      <w:r w:rsidR="005A1069" w:rsidRPr="0095142C">
        <w:t xml:space="preserve"> can act as an indication of th</w:t>
      </w:r>
      <w:r w:rsidR="00C62C3F" w:rsidRPr="0095142C">
        <w:t xml:space="preserve">e </w:t>
      </w:r>
      <w:r w:rsidRPr="0095142C">
        <w:t>unlawfulness</w:t>
      </w:r>
      <w:r w:rsidR="00C62C3F" w:rsidRPr="0095142C">
        <w:t xml:space="preserve"> of military action</w:t>
      </w:r>
      <w:r w:rsidR="00871644" w:rsidRPr="0095142C">
        <w:t>, or at least as evidence</w:t>
      </w:r>
      <w:r w:rsidR="00871644" w:rsidRPr="00B0207F">
        <w:t xml:space="preserve"> that the State concerned did not believe it was acting in self-defence</w:t>
      </w:r>
      <w:r w:rsidR="00C62C3F" w:rsidRPr="00B0207F">
        <w:t>.</w:t>
      </w:r>
      <w:r w:rsidR="005978D6">
        <w:t xml:space="preserve">  It is notable that</w:t>
      </w:r>
      <w:r w:rsidR="005978D6" w:rsidRPr="00A22683">
        <w:t xml:space="preserve"> in the </w:t>
      </w:r>
      <w:r w:rsidR="005978D6" w:rsidRPr="00A22683">
        <w:rPr>
          <w:i/>
        </w:rPr>
        <w:t>DRC v Uganda</w:t>
      </w:r>
      <w:r w:rsidR="005978D6" w:rsidRPr="00A22683">
        <w:t xml:space="preserve"> merits decision, the Court ‘observe[d] that in August and early September 1998 Uganda did not report to the Security Council events that it had regarded as requiring it to act in self-defence.’</w:t>
      </w:r>
      <w:r w:rsidR="005978D6" w:rsidRPr="00A22683">
        <w:rPr>
          <w:rStyle w:val="FootnoteReference"/>
        </w:rPr>
        <w:footnoteReference w:id="173"/>
      </w:r>
      <w:r w:rsidR="005978D6" w:rsidRPr="00A22683">
        <w:t xml:space="preserve"> </w:t>
      </w:r>
      <w:r w:rsidR="005978D6">
        <w:t xml:space="preserve"> </w:t>
      </w:r>
      <w:r w:rsidR="005978D6" w:rsidRPr="00A22683">
        <w:t xml:space="preserve">The Court therefore seemingly drew a negative inference from Uganda’s failure to report in a timely manner, </w:t>
      </w:r>
      <w:r w:rsidR="005978D6">
        <w:t>although admittedly</w:t>
      </w:r>
      <w:r w:rsidR="005978D6" w:rsidRPr="00A22683">
        <w:t xml:space="preserve"> </w:t>
      </w:r>
      <w:r w:rsidR="005978D6">
        <w:t xml:space="preserve">it </w:t>
      </w:r>
      <w:r w:rsidR="005978D6" w:rsidRPr="00A22683">
        <w:t>did not expand further upon what exactly that inference was.</w:t>
      </w:r>
      <w:r w:rsidR="005978D6">
        <w:rPr>
          <w:rStyle w:val="FootnoteReference"/>
        </w:rPr>
        <w:footnoteReference w:id="174"/>
      </w:r>
      <w:r w:rsidR="005978D6">
        <w:t xml:space="preserve">  </w:t>
      </w:r>
      <w:r w:rsidR="00EF1295">
        <w:t>What may thus be said is that t</w:t>
      </w:r>
      <w:r w:rsidR="006C09EB" w:rsidRPr="00B0207F">
        <w:t>h</w:t>
      </w:r>
      <w:r>
        <w:t>e failure to report</w:t>
      </w:r>
      <w:r w:rsidR="006C09EB" w:rsidRPr="00B0207F">
        <w:t xml:space="preserve"> </w:t>
      </w:r>
      <w:r w:rsidR="00A106EC">
        <w:t>(in the case of Rwanda), or to report in a timely manner (in the case of Uganda</w:t>
      </w:r>
      <w:r w:rsidR="005978D6">
        <w:t xml:space="preserve"> and Burundi</w:t>
      </w:r>
      <w:r w:rsidR="00A106EC">
        <w:t xml:space="preserve">) </w:t>
      </w:r>
      <w:r>
        <w:t>further</w:t>
      </w:r>
      <w:r w:rsidR="006C09EB" w:rsidRPr="00B0207F">
        <w:t xml:space="preserve"> undermines the self-defence </w:t>
      </w:r>
      <w:r>
        <w:t>claims</w:t>
      </w:r>
      <w:r w:rsidR="0027003F">
        <w:t xml:space="preserve"> </w:t>
      </w:r>
      <w:r>
        <w:t xml:space="preserve">of </w:t>
      </w:r>
      <w:r w:rsidR="005978D6">
        <w:t>these</w:t>
      </w:r>
      <w:r w:rsidR="00A106EC">
        <w:t xml:space="preserve"> States.</w:t>
      </w:r>
    </w:p>
    <w:p w14:paraId="26067E02" w14:textId="77777777" w:rsidR="00A008A1" w:rsidRPr="00B0207F" w:rsidRDefault="00A008A1" w:rsidP="00B84C92">
      <w:pPr>
        <w:jc w:val="both"/>
      </w:pPr>
    </w:p>
    <w:p w14:paraId="621CCFA4" w14:textId="77777777" w:rsidR="00407ED9" w:rsidRDefault="00407ED9" w:rsidP="00407ED9">
      <w:pPr>
        <w:pStyle w:val="ListParagraph"/>
        <w:numPr>
          <w:ilvl w:val="0"/>
          <w:numId w:val="7"/>
        </w:numPr>
        <w:jc w:val="both"/>
      </w:pPr>
      <w:r>
        <w:t>The legality of the use of force by the DRC</w:t>
      </w:r>
    </w:p>
    <w:p w14:paraId="0656BA45" w14:textId="77777777" w:rsidR="00407ED9" w:rsidRDefault="00407ED9" w:rsidP="00A24EB6">
      <w:pPr>
        <w:jc w:val="both"/>
      </w:pPr>
    </w:p>
    <w:p w14:paraId="4834ADED" w14:textId="77777777" w:rsidR="003E1999" w:rsidRDefault="00570DDF" w:rsidP="00A24EB6">
      <w:pPr>
        <w:jc w:val="both"/>
      </w:pPr>
      <w:r>
        <w:t>Given that it found that Uganda was not acting in self-defence, it is unsurprising that the</w:t>
      </w:r>
      <w:r w:rsidR="007B37B1" w:rsidRPr="00B0207F">
        <w:t xml:space="preserve"> ICJ </w:t>
      </w:r>
      <w:r>
        <w:t xml:space="preserve">also </w:t>
      </w:r>
      <w:r w:rsidR="007B37B1" w:rsidRPr="00B0207F">
        <w:t>di</w:t>
      </w:r>
      <w:r>
        <w:t xml:space="preserve">smissed Uganda’s counter-claim </w:t>
      </w:r>
      <w:r w:rsidR="007B37B1" w:rsidRPr="00B0207F">
        <w:t xml:space="preserve">that </w:t>
      </w:r>
      <w:r w:rsidR="003E1999" w:rsidRPr="00B0207F">
        <w:t>the DRC had itself violated Article 2(4)</w:t>
      </w:r>
      <w:r w:rsidR="003E1999">
        <w:t xml:space="preserve"> by</w:t>
      </w:r>
      <w:r w:rsidR="007B37B1" w:rsidRPr="00B0207F">
        <w:t xml:space="preserve"> supp</w:t>
      </w:r>
      <w:r w:rsidR="003E1999">
        <w:t>orting the ADF and other groups</w:t>
      </w:r>
      <w:r w:rsidR="007B37B1" w:rsidRPr="00B0207F">
        <w:t>.  The Court reiterated that it had not been established that the DRC (or Zaire before it) had supported anti-Ugandan groups acting from within its territory.</w:t>
      </w:r>
      <w:r w:rsidR="007B37B1" w:rsidRPr="00B0207F">
        <w:rPr>
          <w:rStyle w:val="FootnoteReference"/>
        </w:rPr>
        <w:footnoteReference w:id="175"/>
      </w:r>
      <w:r w:rsidR="007B37B1" w:rsidRPr="00B0207F">
        <w:t xml:space="preserve">  Indeed, the Court found that following the fall of Mobutu, the DRC had attempted to act </w:t>
      </w:r>
      <w:r w:rsidR="007B37B1" w:rsidRPr="00B0207F">
        <w:rPr>
          <w:i/>
        </w:rPr>
        <w:t>against</w:t>
      </w:r>
      <w:r w:rsidR="007B37B1" w:rsidRPr="00B0207F">
        <w:t xml:space="preserve"> such rebels, albeit that it </w:t>
      </w:r>
      <w:r w:rsidR="003E1999">
        <w:t>had struggled in this regard</w:t>
      </w:r>
      <w:r w:rsidR="007B37B1" w:rsidRPr="00B0207F">
        <w:t xml:space="preserve"> </w:t>
      </w:r>
      <w:r w:rsidR="003E1999">
        <w:t>because of</w:t>
      </w:r>
      <w:r w:rsidR="007B37B1" w:rsidRPr="00B0207F">
        <w:t xml:space="preserve"> the nature of the terrain of its eastern border.</w:t>
      </w:r>
      <w:r w:rsidR="007B37B1" w:rsidRPr="00B0207F">
        <w:rPr>
          <w:rStyle w:val="FootnoteReference"/>
        </w:rPr>
        <w:footnoteReference w:id="176"/>
      </w:r>
      <w:r w:rsidR="007B37B1" w:rsidRPr="00B0207F">
        <w:t xml:space="preserve">  As such, the DRC was not in breach of Article 2(4).  </w:t>
      </w:r>
    </w:p>
    <w:p w14:paraId="2801342B" w14:textId="77777777" w:rsidR="003E1999" w:rsidRDefault="003E1999" w:rsidP="00A24EB6">
      <w:pPr>
        <w:jc w:val="both"/>
      </w:pPr>
    </w:p>
    <w:p w14:paraId="513B0BA5" w14:textId="77777777" w:rsidR="00407ED9" w:rsidRDefault="007B37B1" w:rsidP="00A24EB6">
      <w:pPr>
        <w:jc w:val="both"/>
      </w:pPr>
      <w:r w:rsidRPr="00B0207F">
        <w:t xml:space="preserve">Further, the ICJ held that any </w:t>
      </w:r>
      <w:r w:rsidRPr="00B0207F">
        <w:rPr>
          <w:i/>
        </w:rPr>
        <w:t>prima facie</w:t>
      </w:r>
      <w:r w:rsidRPr="00B0207F">
        <w:t xml:space="preserve"> breach by the DRC of Article 2(4) following 2 August 1998 could be justified as an action of self-defence taken in response to Uganda’s own violation of that article’s use of force prohibition,</w:t>
      </w:r>
      <w:r w:rsidRPr="00B0207F">
        <w:rPr>
          <w:rStyle w:val="FootnoteReference"/>
        </w:rPr>
        <w:footnoteReference w:id="177"/>
      </w:r>
      <w:r w:rsidRPr="00B0207F">
        <w:t xml:space="preserve"> </w:t>
      </w:r>
      <w:r w:rsidR="003E1999">
        <w:t>al</w:t>
      </w:r>
      <w:r w:rsidRPr="00B0207F">
        <w:t xml:space="preserve">though the Court again stressed that no such </w:t>
      </w:r>
      <w:r w:rsidRPr="00B0207F">
        <w:rPr>
          <w:i/>
        </w:rPr>
        <w:t>prima facie</w:t>
      </w:r>
      <w:r w:rsidRPr="00B0207F">
        <w:t xml:space="preserve"> breach </w:t>
      </w:r>
      <w:r w:rsidR="00570DDF">
        <w:t xml:space="preserve">of Article 2(4) by the DRC </w:t>
      </w:r>
      <w:r w:rsidRPr="00B0207F">
        <w:t>had been established in any event.</w:t>
      </w:r>
      <w:r w:rsidRPr="00B0207F">
        <w:rPr>
          <w:rStyle w:val="FootnoteReference"/>
        </w:rPr>
        <w:footnoteReference w:id="178"/>
      </w:r>
      <w:r w:rsidR="008F42C3">
        <w:t xml:space="preserve">  While </w:t>
      </w:r>
      <w:r w:rsidR="00570DDF">
        <w:t>various other questions about the legality of the DRC’s actions in the context of the Great African War</w:t>
      </w:r>
      <w:r w:rsidR="008F42C3">
        <w:t xml:space="preserve"> exist</w:t>
      </w:r>
      <w:r w:rsidR="00570DDF">
        <w:t xml:space="preserve">, purely in the context of </w:t>
      </w:r>
      <w:r w:rsidR="00570DDF" w:rsidRPr="00570DDF">
        <w:rPr>
          <w:i/>
        </w:rPr>
        <w:t>ad bellum</w:t>
      </w:r>
      <w:r w:rsidR="00570DDF">
        <w:t xml:space="preserve"> issues, it is fairly clear that the DRC acted lawfully.</w:t>
      </w:r>
      <w:r w:rsidR="00EF1295">
        <w:rPr>
          <w:rStyle w:val="FootnoteReference"/>
        </w:rPr>
        <w:footnoteReference w:id="179"/>
      </w:r>
      <w:r w:rsidR="00570DDF">
        <w:t xml:space="preserve">  It was not responsible for the attacks by non-State groups emanating from its territory, and any uses of force that it may have been responsible for were</w:t>
      </w:r>
      <w:r w:rsidR="003E1999">
        <w:t xml:space="preserve"> nonetheless </w:t>
      </w:r>
      <w:r w:rsidR="00570DDF">
        <w:t>justified as self-defence.</w:t>
      </w:r>
    </w:p>
    <w:p w14:paraId="613A915B" w14:textId="77777777" w:rsidR="007B37B1" w:rsidRDefault="007B37B1" w:rsidP="00A24EB6">
      <w:pPr>
        <w:jc w:val="both"/>
      </w:pPr>
    </w:p>
    <w:p w14:paraId="1EE736CA" w14:textId="77777777" w:rsidR="00775DD8" w:rsidRPr="00C63E11" w:rsidRDefault="001C377B" w:rsidP="00407ED9">
      <w:pPr>
        <w:pStyle w:val="ListParagraph"/>
        <w:numPr>
          <w:ilvl w:val="0"/>
          <w:numId w:val="7"/>
        </w:numPr>
        <w:jc w:val="both"/>
      </w:pPr>
      <w:r w:rsidRPr="00C63E11">
        <w:t xml:space="preserve">The legality of the </w:t>
      </w:r>
      <w:r w:rsidR="00407ED9" w:rsidRPr="00C63E11">
        <w:t>use of force by the</w:t>
      </w:r>
      <w:r w:rsidRPr="00C63E11">
        <w:t xml:space="preserve"> pro-Kabila States</w:t>
      </w:r>
    </w:p>
    <w:p w14:paraId="272D97FC" w14:textId="77777777" w:rsidR="001C377B" w:rsidRDefault="001C377B" w:rsidP="00A24EB6">
      <w:pPr>
        <w:jc w:val="both"/>
      </w:pPr>
    </w:p>
    <w:p w14:paraId="1B2C65A8" w14:textId="77777777" w:rsidR="005F76C0" w:rsidRDefault="005F76C0" w:rsidP="00A24EB6">
      <w:pPr>
        <w:jc w:val="both"/>
      </w:pPr>
      <w:r>
        <w:t>Despite the fact that the S</w:t>
      </w:r>
      <w:r w:rsidR="006B1A3B">
        <w:t>ecurity Council, in August 1998</w:t>
      </w:r>
      <w:r>
        <w:t xml:space="preserve">, called for ‘the withdrawal of </w:t>
      </w:r>
      <w:r w:rsidRPr="003E1999">
        <w:rPr>
          <w:i/>
        </w:rPr>
        <w:t>all</w:t>
      </w:r>
      <w:r>
        <w:t xml:space="preserve"> foreign forces’,</w:t>
      </w:r>
      <w:r w:rsidRPr="00B0207F">
        <w:rPr>
          <w:rStyle w:val="FootnoteReference"/>
        </w:rPr>
        <w:footnoteReference w:id="180"/>
      </w:r>
      <w:r>
        <w:t xml:space="preserve"> it </w:t>
      </w:r>
      <w:r w:rsidR="001C377B" w:rsidRPr="0039370E">
        <w:t>is</w:t>
      </w:r>
      <w:r w:rsidR="00500387" w:rsidRPr="0039370E">
        <w:t xml:space="preserve"> </w:t>
      </w:r>
      <w:r w:rsidR="003E1999">
        <w:t>relatively</w:t>
      </w:r>
      <w:r>
        <w:t xml:space="preserve"> clear </w:t>
      </w:r>
      <w:r w:rsidR="00500387" w:rsidRPr="0039370E">
        <w:t xml:space="preserve">that </w:t>
      </w:r>
      <w:r>
        <w:t xml:space="preserve">this was focused on restoring peace in the region and was without prejudice to the lawfulness of the actions of </w:t>
      </w:r>
      <w:r w:rsidR="001C377B" w:rsidRPr="0039370E">
        <w:t>the pro-Kabila States</w:t>
      </w:r>
      <w:r>
        <w:t xml:space="preserve">.  These </w:t>
      </w:r>
      <w:r>
        <w:lastRenderedPageBreak/>
        <w:t>States</w:t>
      </w:r>
      <w:r w:rsidR="001C377B" w:rsidRPr="0039370E">
        <w:t xml:space="preserve"> </w:t>
      </w:r>
      <w:r w:rsidR="002D33A7" w:rsidRPr="0039370E">
        <w:t>were</w:t>
      </w:r>
      <w:r>
        <w:t>, after all,</w:t>
      </w:r>
      <w:r w:rsidR="002D33A7" w:rsidRPr="0039370E">
        <w:t xml:space="preserve"> </w:t>
      </w:r>
      <w:r>
        <w:t xml:space="preserve">unequivocally </w:t>
      </w:r>
      <w:r w:rsidR="002D33A7" w:rsidRPr="0039370E">
        <w:t xml:space="preserve">invited to </w:t>
      </w:r>
      <w:r w:rsidR="003E1999">
        <w:t>intervene</w:t>
      </w:r>
      <w:r w:rsidR="002D33A7" w:rsidRPr="0039370E">
        <w:t xml:space="preserve"> by the </w:t>
      </w:r>
      <w:r>
        <w:t>Kabila government</w:t>
      </w:r>
      <w:r w:rsidR="006B1A3B">
        <w:t>,</w:t>
      </w:r>
      <w:r w:rsidR="0039370E" w:rsidRPr="0039370E">
        <w:rPr>
          <w:rStyle w:val="FootnoteReference"/>
        </w:rPr>
        <w:footnoteReference w:id="181"/>
      </w:r>
      <w:r w:rsidR="006B1A3B">
        <w:t xml:space="preserve"> which was the </w:t>
      </w:r>
      <w:r w:rsidR="00EC4637">
        <w:t xml:space="preserve">recognized </w:t>
      </w:r>
      <w:r w:rsidR="006B1A3B">
        <w:t xml:space="preserve">authority in the DRC (evidenced, for example, by its incumbency of the DRC’s seat </w:t>
      </w:r>
      <w:r w:rsidR="003E1999">
        <w:t>at</w:t>
      </w:r>
      <w:r w:rsidR="006B1A3B">
        <w:t xml:space="preserve"> the UN).</w:t>
      </w:r>
      <w:r w:rsidR="002D33A7" w:rsidRPr="0039370E">
        <w:t xml:space="preserve">  As noted above, the genuine consent on the part of the State in which force is being used means that the prohibition of the use of force is circumvented.</w:t>
      </w:r>
      <w:r w:rsidR="002D33A7" w:rsidRPr="0039370E">
        <w:rPr>
          <w:rStyle w:val="FootnoteReference"/>
        </w:rPr>
        <w:footnoteReference w:id="182"/>
      </w:r>
      <w:r w:rsidR="002D33A7" w:rsidRPr="0039370E">
        <w:t xml:space="preserve">  </w:t>
      </w:r>
    </w:p>
    <w:p w14:paraId="11449FF9" w14:textId="77777777" w:rsidR="005F76C0" w:rsidRDefault="005F76C0" w:rsidP="00A24EB6">
      <w:pPr>
        <w:jc w:val="both"/>
      </w:pPr>
    </w:p>
    <w:p w14:paraId="10B9C0F1" w14:textId="77777777" w:rsidR="00177D97" w:rsidRPr="00B0207F" w:rsidRDefault="0039370E" w:rsidP="00A24EB6">
      <w:pPr>
        <w:jc w:val="both"/>
      </w:pPr>
      <w:r w:rsidRPr="0039370E">
        <w:t>Alternatively, it also is relatively uncontroversial to conclude</w:t>
      </w:r>
      <w:bookmarkStart w:id="30" w:name="_Ref473562308"/>
      <w:r w:rsidRPr="0039370E">
        <w:rPr>
          <w:rStyle w:val="FootnoteReference"/>
        </w:rPr>
        <w:footnoteReference w:id="183"/>
      </w:r>
      <w:bookmarkEnd w:id="30"/>
      <w:r w:rsidRPr="0039370E">
        <w:t xml:space="preserve"> that </w:t>
      </w:r>
      <w:r w:rsidR="006B1A3B">
        <w:t xml:space="preserve">Angola </w:t>
      </w:r>
      <w:r w:rsidR="006B1A3B" w:rsidRPr="006B1A3B">
        <w:rPr>
          <w:i/>
        </w:rPr>
        <w:t>et al</w:t>
      </w:r>
      <w:r w:rsidR="006B1A3B">
        <w:t xml:space="preserve"> </w:t>
      </w:r>
      <w:r w:rsidR="00500387" w:rsidRPr="0039370E">
        <w:t>complied with the basic requirement</w:t>
      </w:r>
      <w:r>
        <w:t xml:space="preserve">s for collective self-defence: i.e., </w:t>
      </w:r>
      <w:r w:rsidR="00500387" w:rsidRPr="0039370E">
        <w:t>response to an armed attack</w:t>
      </w:r>
      <w:r w:rsidR="007E7B25" w:rsidRPr="0039370E">
        <w:t>, at the request of the victim S</w:t>
      </w:r>
      <w:r w:rsidR="00500387" w:rsidRPr="0039370E">
        <w:t>tate</w:t>
      </w:r>
      <w:r w:rsidR="002C7BC9" w:rsidRPr="0039370E">
        <w:t>,</w:t>
      </w:r>
      <w:r w:rsidR="00500387" w:rsidRPr="0039370E">
        <w:t xml:space="preserve"> in a necessary and proportional manner</w:t>
      </w:r>
      <w:r w:rsidRPr="0039370E">
        <w:t>.</w:t>
      </w:r>
      <w:r>
        <w:rPr>
          <w:rStyle w:val="FootnoteReference"/>
        </w:rPr>
        <w:footnoteReference w:id="184"/>
      </w:r>
      <w:r w:rsidRPr="0039370E">
        <w:t xml:space="preserve">  T</w:t>
      </w:r>
      <w:r w:rsidR="00500387" w:rsidRPr="0039370E">
        <w:t xml:space="preserve">heir uses of force, as individual </w:t>
      </w:r>
      <w:r w:rsidR="00213AFC">
        <w:t xml:space="preserve">States </w:t>
      </w:r>
      <w:r w:rsidR="00500387" w:rsidRPr="0039370E">
        <w:t>acting together in</w:t>
      </w:r>
      <w:r w:rsidR="00E451AA" w:rsidRPr="0039370E">
        <w:t xml:space="preserve"> the col</w:t>
      </w:r>
      <w:r w:rsidR="00213AFC">
        <w:t>lective self-defence of the DRC</w:t>
      </w:r>
      <w:r w:rsidR="00500387" w:rsidRPr="0039370E">
        <w:t xml:space="preserve">, were </w:t>
      </w:r>
      <w:r w:rsidR="001C377B" w:rsidRPr="0039370E">
        <w:t>almost certainly</w:t>
      </w:r>
      <w:r w:rsidR="00500387" w:rsidRPr="0039370E">
        <w:t xml:space="preserve"> lawful</w:t>
      </w:r>
      <w:r w:rsidR="001C377B" w:rsidRPr="0039370E">
        <w:t xml:space="preserve"> (at least in</w:t>
      </w:r>
      <w:r w:rsidR="001C377B">
        <w:t xml:space="preserve"> an </w:t>
      </w:r>
      <w:r w:rsidR="001C377B" w:rsidRPr="001C377B">
        <w:rPr>
          <w:i/>
        </w:rPr>
        <w:t>ad bellum</w:t>
      </w:r>
      <w:r w:rsidR="001C377B">
        <w:t xml:space="preserve"> sense)</w:t>
      </w:r>
      <w:r>
        <w:t>, even</w:t>
      </w:r>
      <w:r w:rsidR="00213AFC">
        <w:t xml:space="preserve"> if</w:t>
      </w:r>
      <w:r>
        <w:t xml:space="preserve"> one were to conclude that Article 2(4) was triggered </w:t>
      </w:r>
      <w:r w:rsidRPr="0039370E">
        <w:rPr>
          <w:i/>
        </w:rPr>
        <w:t>prima facie</w:t>
      </w:r>
      <w:r>
        <w:t xml:space="preserve"> by their actions</w:t>
      </w:r>
      <w:r w:rsidR="00500387" w:rsidRPr="00B0207F">
        <w:t>.</w:t>
      </w:r>
      <w:bookmarkStart w:id="31" w:name="_Ref473562644"/>
      <w:r w:rsidR="00177D97" w:rsidRPr="00B0207F">
        <w:rPr>
          <w:rStyle w:val="FootnoteReference"/>
        </w:rPr>
        <w:footnoteReference w:id="185"/>
      </w:r>
      <w:bookmarkEnd w:id="31"/>
      <w:r w:rsidR="00500387" w:rsidRPr="00B0207F">
        <w:t xml:space="preserve">  </w:t>
      </w:r>
      <w:r w:rsidR="00E451AA" w:rsidRPr="00B0207F">
        <w:t>Indeed, the fact that the Security Council explicit</w:t>
      </w:r>
      <w:r w:rsidR="00177D97" w:rsidRPr="00B0207F">
        <w:t>ly</w:t>
      </w:r>
      <w:r w:rsidR="003E1999">
        <w:t xml:space="preserve"> emphasised – in the context of the conflict – </w:t>
      </w:r>
      <w:r w:rsidR="00E451AA" w:rsidRPr="00B0207F">
        <w:t xml:space="preserve">the individual </w:t>
      </w:r>
      <w:r w:rsidR="00E451AA" w:rsidRPr="00B0207F">
        <w:rPr>
          <w:i/>
        </w:rPr>
        <w:t>and collective</w:t>
      </w:r>
      <w:r w:rsidR="00E451AA" w:rsidRPr="00B0207F">
        <w:t xml:space="preserve"> right of self-defence</w:t>
      </w:r>
      <w:r w:rsidR="003E1999">
        <w:t xml:space="preserve"> in resolution 1234 (</w:t>
      </w:r>
      <w:r w:rsidR="00E451AA" w:rsidRPr="00B0207F">
        <w:t>1999</w:t>
      </w:r>
      <w:r w:rsidR="003E1999">
        <w:t>)</w:t>
      </w:r>
      <w:r>
        <w:rPr>
          <w:rStyle w:val="FootnoteReference"/>
        </w:rPr>
        <w:footnoteReference w:id="186"/>
      </w:r>
      <w:r w:rsidR="00E451AA" w:rsidRPr="00B0207F">
        <w:t xml:space="preserve"> </w:t>
      </w:r>
      <w:r w:rsidR="001C377B">
        <w:t>acts as</w:t>
      </w:r>
      <w:r w:rsidR="00E451AA" w:rsidRPr="00B0207F">
        <w:t xml:space="preserve"> </w:t>
      </w:r>
      <w:r w:rsidR="00B0207F" w:rsidRPr="00B0207F">
        <w:t>an</w:t>
      </w:r>
      <w:r w:rsidR="00E451AA" w:rsidRPr="00B0207F">
        <w:t xml:space="preserve"> implicit</w:t>
      </w:r>
      <w:r w:rsidR="00B0207F" w:rsidRPr="00B0207F">
        <w:t xml:space="preserve"> </w:t>
      </w:r>
      <w:r w:rsidR="00E451AA" w:rsidRPr="00B0207F">
        <w:t>affirmation of this legal conclusion.</w:t>
      </w:r>
      <w:r w:rsidR="00B0207F" w:rsidRPr="00B0207F">
        <w:rPr>
          <w:rStyle w:val="FootnoteReference"/>
        </w:rPr>
        <w:footnoteReference w:id="187"/>
      </w:r>
      <w:r w:rsidR="00E451AA" w:rsidRPr="00B0207F">
        <w:t xml:space="preserve">  </w:t>
      </w:r>
    </w:p>
    <w:p w14:paraId="412B9AD8" w14:textId="77777777" w:rsidR="00177D97" w:rsidRPr="00B0207F" w:rsidRDefault="00177D97" w:rsidP="00A24EB6">
      <w:pPr>
        <w:jc w:val="both"/>
      </w:pPr>
    </w:p>
    <w:p w14:paraId="40E01A46" w14:textId="63DF9227" w:rsidR="009A04F6" w:rsidRPr="00B0207F" w:rsidRDefault="00E451AA" w:rsidP="00A24EB6">
      <w:pPr>
        <w:jc w:val="both"/>
      </w:pPr>
      <w:r w:rsidRPr="00B0207F">
        <w:t>W</w:t>
      </w:r>
      <w:r w:rsidR="00500387" w:rsidRPr="00B0207F">
        <w:t xml:space="preserve">hat is </w:t>
      </w:r>
      <w:r w:rsidRPr="0039370E">
        <w:t xml:space="preserve">perhaps </w:t>
      </w:r>
      <w:r w:rsidR="00500387" w:rsidRPr="0039370E">
        <w:t xml:space="preserve">more controversial is the </w:t>
      </w:r>
      <w:r w:rsidRPr="0039370E">
        <w:t>parallel assertion advanced by these States as to the legitimacy provided by the SADC endorsement of their actions.</w:t>
      </w:r>
      <w:r w:rsidR="00177D97" w:rsidRPr="0039370E">
        <w:rPr>
          <w:rStyle w:val="FootnoteReference"/>
        </w:rPr>
        <w:footnoteReference w:id="188"/>
      </w:r>
      <w:r w:rsidRPr="0039370E">
        <w:t xml:space="preserve">  </w:t>
      </w:r>
      <w:r w:rsidR="00564428">
        <w:t>A</w:t>
      </w:r>
      <w:r w:rsidRPr="0039370E">
        <w:t xml:space="preserve"> regional organisation can</w:t>
      </w:r>
      <w:r w:rsidR="006B1A3B">
        <w:t>, of course,</w:t>
      </w:r>
      <w:r w:rsidRPr="0039370E">
        <w:t xml:space="preserve"> exercise the right of collective self-defence without Security Council authorisation where the legal requirements for the exercise of that right are met</w:t>
      </w:r>
      <w:r w:rsidR="00564428">
        <w:t>.</w:t>
      </w:r>
      <w:bookmarkStart w:id="32" w:name="_Ref473562403"/>
      <w:r w:rsidR="0039370E" w:rsidRPr="0039370E">
        <w:rPr>
          <w:rStyle w:val="FootnoteReference"/>
        </w:rPr>
        <w:footnoteReference w:id="189"/>
      </w:r>
      <w:bookmarkEnd w:id="32"/>
      <w:r w:rsidRPr="0039370E">
        <w:t xml:space="preserve"> </w:t>
      </w:r>
      <w:r w:rsidR="00EF1295">
        <w:t xml:space="preserve"> </w:t>
      </w:r>
      <w:r w:rsidR="00564428">
        <w:t>However, one possible reading of the way in which the legal justifications were advanced might suggest that Zimbabwe</w:t>
      </w:r>
      <w:r w:rsidR="00440D82">
        <w:t xml:space="preserve"> present</w:t>
      </w:r>
      <w:r w:rsidR="00564428">
        <w:t>ed</w:t>
      </w:r>
      <w:r w:rsidR="00440D82">
        <w:t xml:space="preserve"> </w:t>
      </w:r>
      <w:r w:rsidRPr="0039370E">
        <w:t>SADC</w:t>
      </w:r>
      <w:r w:rsidR="00440D82">
        <w:t xml:space="preserve"> authorisation</w:t>
      </w:r>
      <w:r w:rsidRPr="0039370E">
        <w:t xml:space="preserve"> as an </w:t>
      </w:r>
      <w:r w:rsidRPr="0039370E">
        <w:rPr>
          <w:i/>
        </w:rPr>
        <w:t>alternative</w:t>
      </w:r>
      <w:r w:rsidRPr="0039370E">
        <w:t xml:space="preserve"> legal basis for </w:t>
      </w:r>
      <w:r w:rsidR="00564428">
        <w:t>its</w:t>
      </w:r>
      <w:r w:rsidR="00564428" w:rsidRPr="0039370E">
        <w:t xml:space="preserve"> </w:t>
      </w:r>
      <w:r w:rsidRPr="0039370E">
        <w:t>intervention</w:t>
      </w:r>
      <w:r w:rsidR="00564428">
        <w:t xml:space="preserve"> (and implied that this was also the position of Angola and Zambia as well)</w:t>
      </w:r>
      <w:r w:rsidRPr="0039370E">
        <w:t>, with</w:t>
      </w:r>
      <w:r w:rsidRPr="00B0207F">
        <w:t xml:space="preserve"> collective self-defence invoked as a separate claim.</w:t>
      </w:r>
      <w:r w:rsidR="0039370E">
        <w:rPr>
          <w:rStyle w:val="FootnoteReference"/>
        </w:rPr>
        <w:footnoteReference w:id="190"/>
      </w:r>
      <w:r w:rsidRPr="00B0207F">
        <w:t xml:space="preserve">  </w:t>
      </w:r>
      <w:r w:rsidR="00564428">
        <w:t>If this reading is correct, such a</w:t>
      </w:r>
      <w:r w:rsidR="00564428" w:rsidRPr="00B0207F">
        <w:t xml:space="preserve"> </w:t>
      </w:r>
      <w:r w:rsidR="00177D97" w:rsidRPr="00B0207F">
        <w:t xml:space="preserve">position </w:t>
      </w:r>
      <w:r w:rsidR="00564428">
        <w:t xml:space="preserve">would </w:t>
      </w:r>
      <w:r w:rsidRPr="00B0207F">
        <w:t>seem dubious</w:t>
      </w:r>
      <w:r w:rsidR="00177D97" w:rsidRPr="00B0207F">
        <w:t>.  T</w:t>
      </w:r>
      <w:r w:rsidRPr="00B0207F">
        <w:t>he SADC endorse</w:t>
      </w:r>
      <w:r w:rsidR="002D33A7">
        <w:t>ment of</w:t>
      </w:r>
      <w:r w:rsidRPr="00B0207F">
        <w:t xml:space="preserve"> the military action </w:t>
      </w:r>
      <w:r w:rsidR="002D33A7">
        <w:t>was questionable procedurally</w:t>
      </w:r>
      <w:r w:rsidR="003E1999">
        <w:t>,</w:t>
      </w:r>
      <w:r w:rsidR="00177D97" w:rsidRPr="00B0207F">
        <w:rPr>
          <w:rStyle w:val="FootnoteReference"/>
        </w:rPr>
        <w:footnoteReference w:id="191"/>
      </w:r>
      <w:r w:rsidR="00440D82">
        <w:t xml:space="preserve"> i</w:t>
      </w:r>
      <w:r w:rsidR="002D33A7">
        <w:t>ndeed, there was not</w:t>
      </w:r>
      <w:r w:rsidR="005B2B86" w:rsidRPr="00B0207F">
        <w:t xml:space="preserve"> </w:t>
      </w:r>
      <w:r w:rsidR="005B2B86" w:rsidRPr="0039370E">
        <w:t xml:space="preserve">an established </w:t>
      </w:r>
      <w:r w:rsidR="002D33A7" w:rsidRPr="0039370E">
        <w:t xml:space="preserve">SADC </w:t>
      </w:r>
      <w:r w:rsidR="005B2B86" w:rsidRPr="0039370E">
        <w:t>mechanism</w:t>
      </w:r>
      <w:r w:rsidR="002D33A7" w:rsidRPr="0039370E">
        <w:t xml:space="preserve"> for the</w:t>
      </w:r>
      <w:r w:rsidR="00177D97" w:rsidRPr="0039370E">
        <w:t xml:space="preserve"> ‘authorisation’ of force.</w:t>
      </w:r>
      <w:r w:rsidR="005B2B86" w:rsidRPr="0039370E">
        <w:rPr>
          <w:rStyle w:val="FootnoteReference"/>
        </w:rPr>
        <w:footnoteReference w:id="192"/>
      </w:r>
      <w:r w:rsidR="00177D97" w:rsidRPr="0039370E">
        <w:t xml:space="preserve">  </w:t>
      </w:r>
      <w:r w:rsidR="002D33A7" w:rsidRPr="0039370E">
        <w:t>M</w:t>
      </w:r>
      <w:r w:rsidR="00177D97" w:rsidRPr="0039370E">
        <w:t xml:space="preserve">ore generally, </w:t>
      </w:r>
      <w:r w:rsidRPr="0039370E">
        <w:t xml:space="preserve">a regional organisation cannot, </w:t>
      </w:r>
      <w:r w:rsidR="002C7BC9" w:rsidRPr="0039370E">
        <w:t xml:space="preserve">in and of </w:t>
      </w:r>
      <w:r w:rsidRPr="0039370E">
        <w:t xml:space="preserve">itself, authorise </w:t>
      </w:r>
      <w:r w:rsidR="006B1A3B">
        <w:t xml:space="preserve">an otherwise unlawful </w:t>
      </w:r>
      <w:r w:rsidRPr="0039370E">
        <w:t>use of force</w:t>
      </w:r>
      <w:r w:rsidR="002C7BC9" w:rsidRPr="0039370E">
        <w:t xml:space="preserve"> </w:t>
      </w:r>
      <w:r w:rsidR="00B263FE">
        <w:t>(</w:t>
      </w:r>
      <w:r w:rsidR="002C7BC9" w:rsidRPr="0039370E">
        <w:t>beyond peacekeeping measures</w:t>
      </w:r>
      <w:r w:rsidR="00B263FE">
        <w:t>)</w:t>
      </w:r>
      <w:r w:rsidRPr="0039370E">
        <w:t>.</w:t>
      </w:r>
      <w:r w:rsidR="0039370E" w:rsidRPr="0039370E">
        <w:rPr>
          <w:rStyle w:val="FootnoteReference"/>
        </w:rPr>
        <w:footnoteReference w:id="193"/>
      </w:r>
      <w:r w:rsidR="006B1A3B">
        <w:t xml:space="preserve">  Nonetheless, the somewhat dubious nature of the claim that SADC authorised the use of force </w:t>
      </w:r>
      <w:r w:rsidR="003E1999">
        <w:t>i</w:t>
      </w:r>
      <w:r w:rsidR="006B1A3B">
        <w:t xml:space="preserve">s </w:t>
      </w:r>
      <w:r w:rsidR="003E1999">
        <w:t xml:space="preserve">essentially </w:t>
      </w:r>
      <w:r w:rsidR="006B1A3B">
        <w:t>moot, given that the actions of these States were almost certainly lawful, either due to the ‘intervention by invitation’</w:t>
      </w:r>
      <w:r w:rsidR="003E1999">
        <w:t xml:space="preserve"> doctrine</w:t>
      </w:r>
      <w:r w:rsidR="006B1A3B">
        <w:t xml:space="preserve"> or as </w:t>
      </w:r>
      <w:r w:rsidR="003E1999">
        <w:t>an</w:t>
      </w:r>
      <w:r w:rsidR="006B1A3B">
        <w:t xml:space="preserve"> exercise of </w:t>
      </w:r>
      <w:r w:rsidR="003E1999">
        <w:t xml:space="preserve">the right of </w:t>
      </w:r>
      <w:r w:rsidR="006B1A3B">
        <w:t>collective self-defence.</w:t>
      </w:r>
    </w:p>
    <w:p w14:paraId="705CC60B" w14:textId="77777777" w:rsidR="00646662" w:rsidRDefault="00646662" w:rsidP="00646662">
      <w:pPr>
        <w:jc w:val="both"/>
      </w:pPr>
    </w:p>
    <w:p w14:paraId="3226934D" w14:textId="77777777" w:rsidR="005F76C0" w:rsidRDefault="005F76C0" w:rsidP="00646662">
      <w:pPr>
        <w:jc w:val="both"/>
      </w:pPr>
      <w:r>
        <w:t>To summarise</w:t>
      </w:r>
      <w:r w:rsidR="004E025E">
        <w:t>, and significantly over-</w:t>
      </w:r>
      <w:r w:rsidR="00691A03">
        <w:t>simplify</w:t>
      </w:r>
      <w:r>
        <w:t xml:space="preserve"> – purely in relation to </w:t>
      </w:r>
      <w:r w:rsidRPr="005F76C0">
        <w:rPr>
          <w:i/>
        </w:rPr>
        <w:t>ad bellum</w:t>
      </w:r>
      <w:r>
        <w:t xml:space="preserve"> questions – it </w:t>
      </w:r>
      <w:r w:rsidR="00691A03">
        <w:t xml:space="preserve">seems correct to hold </w:t>
      </w:r>
      <w:r>
        <w:t>that the use of force by Uganda</w:t>
      </w:r>
      <w:r w:rsidR="00EC4637">
        <w:t xml:space="preserve"> and </w:t>
      </w:r>
      <w:r>
        <w:t xml:space="preserve">Rwanda in the context of the Great </w:t>
      </w:r>
      <w:r>
        <w:lastRenderedPageBreak/>
        <w:t>African War was unlawful</w:t>
      </w:r>
      <w:r w:rsidR="007B5E8B">
        <w:t>.</w:t>
      </w:r>
      <w:r w:rsidR="007B5E8B">
        <w:rPr>
          <w:rStyle w:val="FootnoteReference"/>
        </w:rPr>
        <w:footnoteReference w:id="194"/>
      </w:r>
      <w:r w:rsidR="007B5E8B">
        <w:t xml:space="preserve">  W</w:t>
      </w:r>
      <w:r>
        <w:t>hereas</w:t>
      </w:r>
      <w:r w:rsidR="004E025E">
        <w:t>,</w:t>
      </w:r>
      <w:r>
        <w:t xml:space="preserve"> the use of force by </w:t>
      </w:r>
      <w:r w:rsidRPr="00B0207F">
        <w:t>Angola, Zimbabwe</w:t>
      </w:r>
      <w:r>
        <w:t xml:space="preserve">, Namibia, </w:t>
      </w:r>
      <w:r w:rsidRPr="00B0207F">
        <w:t>Chad</w:t>
      </w:r>
      <w:r>
        <w:t xml:space="preserve"> and the DRC itself </w:t>
      </w:r>
      <w:r w:rsidR="004E025E">
        <w:t xml:space="preserve">was </w:t>
      </w:r>
      <w:r>
        <w:t>lawful.</w:t>
      </w:r>
      <w:r w:rsidR="007B5E8B">
        <w:rPr>
          <w:rStyle w:val="FootnoteReference"/>
        </w:rPr>
        <w:footnoteReference w:id="195"/>
      </w:r>
    </w:p>
    <w:p w14:paraId="0CEDBBD4" w14:textId="77777777" w:rsidR="005F76C0" w:rsidRDefault="005F76C0" w:rsidP="00646662">
      <w:pPr>
        <w:jc w:val="both"/>
      </w:pPr>
    </w:p>
    <w:p w14:paraId="174B791A" w14:textId="77777777" w:rsidR="006B1A3B" w:rsidRPr="00B0207F" w:rsidRDefault="006B1A3B" w:rsidP="00646662">
      <w:pPr>
        <w:jc w:val="both"/>
      </w:pPr>
    </w:p>
    <w:p w14:paraId="4571A00E" w14:textId="77777777" w:rsidR="00646662" w:rsidRPr="00B0207F" w:rsidRDefault="00646662" w:rsidP="00646662">
      <w:pPr>
        <w:pStyle w:val="ListParagraph"/>
        <w:numPr>
          <w:ilvl w:val="0"/>
          <w:numId w:val="5"/>
        </w:numPr>
        <w:jc w:val="both"/>
        <w:rPr>
          <w:b/>
        </w:rPr>
      </w:pPr>
      <w:r w:rsidRPr="00B0207F">
        <w:rPr>
          <w:b/>
        </w:rPr>
        <w:t>Conclusion: precedential value</w:t>
      </w:r>
    </w:p>
    <w:p w14:paraId="3316091C" w14:textId="77777777" w:rsidR="00646662" w:rsidRPr="00B0207F" w:rsidRDefault="00646662" w:rsidP="00646662">
      <w:pPr>
        <w:jc w:val="both"/>
      </w:pPr>
    </w:p>
    <w:p w14:paraId="6F6850B5" w14:textId="7124E60E" w:rsidR="008614DD" w:rsidRPr="008614DD" w:rsidRDefault="00646662" w:rsidP="008614DD">
      <w:pPr>
        <w:autoSpaceDE w:val="0"/>
        <w:autoSpaceDN w:val="0"/>
        <w:adjustRightInd w:val="0"/>
        <w:jc w:val="both"/>
      </w:pPr>
      <w:r w:rsidRPr="00B0207F">
        <w:t>The intricate and sensitive nature of the situation in the DRC</w:t>
      </w:r>
      <w:r w:rsidR="008614DD">
        <w:t xml:space="preserve">, not to mention its vast scale, </w:t>
      </w:r>
      <w:r w:rsidRPr="00B0207F">
        <w:t xml:space="preserve">meant that the responses of the international community offer </w:t>
      </w:r>
      <w:r w:rsidR="008614DD">
        <w:t xml:space="preserve">a </w:t>
      </w:r>
      <w:r w:rsidRPr="00B0207F">
        <w:t xml:space="preserve">useful illustration of the </w:t>
      </w:r>
      <w:r w:rsidR="003E1999">
        <w:t>complexities of navigating the</w:t>
      </w:r>
      <w:r w:rsidRPr="00B0207F">
        <w:t xml:space="preserve"> relationship between modern conflict and international law</w:t>
      </w:r>
      <w:r w:rsidR="008614DD">
        <w:t xml:space="preserve"> in numerous respects</w:t>
      </w:r>
      <w:r w:rsidRPr="00B0207F">
        <w:t xml:space="preserve">.  From the </w:t>
      </w:r>
      <w:r w:rsidRPr="00BA1B3B">
        <w:rPr>
          <w:i/>
        </w:rPr>
        <w:t>ad bellum</w:t>
      </w:r>
      <w:r w:rsidRPr="00B0207F">
        <w:t xml:space="preserve"> perspective, </w:t>
      </w:r>
      <w:r w:rsidR="008614DD">
        <w:t xml:space="preserve">however, </w:t>
      </w:r>
      <w:r w:rsidRPr="00B0207F">
        <w:t xml:space="preserve">the </w:t>
      </w:r>
      <w:r w:rsidR="00BA1B3B">
        <w:t>primary</w:t>
      </w:r>
      <w:r w:rsidRPr="00B0207F">
        <w:t xml:space="preserve"> legacy of the conflict is to be found in the </w:t>
      </w:r>
      <w:r w:rsidRPr="008614DD">
        <w:t xml:space="preserve">resulting proceedings before the ICJ, and particularly the Court’s merits decision in </w:t>
      </w:r>
      <w:r w:rsidRPr="008614DD">
        <w:rPr>
          <w:i/>
        </w:rPr>
        <w:t>DRC v Uganda</w:t>
      </w:r>
      <w:r w:rsidR="00BA1B3B" w:rsidRPr="008614DD">
        <w:t>.</w:t>
      </w:r>
      <w:r w:rsidR="0076653A" w:rsidRPr="008614DD">
        <w:t xml:space="preserve">  </w:t>
      </w:r>
      <w:r w:rsidR="008614DD" w:rsidRPr="008614DD">
        <w:t xml:space="preserve">It is worth noting that this case was exceptional in the context of the law governing self-defence in that it was the first </w:t>
      </w:r>
      <w:r w:rsidR="003E1999" w:rsidRPr="008614DD">
        <w:t>– and remains</w:t>
      </w:r>
      <w:r w:rsidR="003E1999">
        <w:t xml:space="preserve"> the only</w:t>
      </w:r>
      <w:r w:rsidR="003E1999" w:rsidRPr="008614DD">
        <w:t xml:space="preserve"> – </w:t>
      </w:r>
      <w:r w:rsidR="008614DD" w:rsidRPr="008614DD">
        <w:t>contentious case where the ICJ possessed an uncontroversial or ‘full’ jurisdictional basis to examine self-defence issues.  Both the DRC</w:t>
      </w:r>
      <w:r w:rsidR="008614DD" w:rsidRPr="008614DD">
        <w:rPr>
          <w:rStyle w:val="FootnoteReference"/>
        </w:rPr>
        <w:footnoteReference w:id="196"/>
      </w:r>
      <w:r w:rsidR="008614DD" w:rsidRPr="008614DD">
        <w:t xml:space="preserve"> and Uganda</w:t>
      </w:r>
      <w:r w:rsidR="008614DD" w:rsidRPr="008614DD">
        <w:rPr>
          <w:rStyle w:val="FootnoteReference"/>
        </w:rPr>
        <w:footnoteReference w:id="197"/>
      </w:r>
      <w:r w:rsidR="008614DD" w:rsidRPr="008614DD">
        <w:t xml:space="preserve"> explicitly invoked the law of self-defence, and both had made declarations under Art</w:t>
      </w:r>
      <w:r w:rsidR="003E1999">
        <w:t>icle</w:t>
      </w:r>
      <w:r w:rsidR="008614DD" w:rsidRPr="008614DD">
        <w:t xml:space="preserve"> 36(2) of the Court’s Statute (with neither declaration containing anything that precluded the Court from examining the law on the use of force).</w:t>
      </w:r>
      <w:r w:rsidR="008614DD" w:rsidRPr="008614DD">
        <w:rPr>
          <w:rStyle w:val="FootnoteReference"/>
        </w:rPr>
        <w:footnoteReference w:id="198"/>
      </w:r>
      <w:r w:rsidR="008614DD" w:rsidRPr="008614DD">
        <w:t xml:space="preserve">  One might therefore </w:t>
      </w:r>
      <w:r w:rsidR="006B1A3B">
        <w:t xml:space="preserve">somewhat </w:t>
      </w:r>
      <w:r w:rsidR="008614DD" w:rsidRPr="008614DD">
        <w:t xml:space="preserve">lament the fact that the Court was relatively cautious in its appraisal of use of force </w:t>
      </w:r>
      <w:r w:rsidR="00C63E11">
        <w:t>questions</w:t>
      </w:r>
      <w:r w:rsidR="008614DD" w:rsidRPr="008614DD">
        <w:t>,</w:t>
      </w:r>
      <w:r w:rsidR="008614DD" w:rsidRPr="008614DD">
        <w:rPr>
          <w:rStyle w:val="FootnoteReference"/>
        </w:rPr>
        <w:footnoteReference w:id="199"/>
      </w:r>
      <w:r w:rsidR="006B1A3B">
        <w:t xml:space="preserve"> and that it did not take</w:t>
      </w:r>
      <w:r w:rsidR="008614DD" w:rsidRPr="008614DD">
        <w:t xml:space="preserve"> the opportunity to clarify a number of issues that had previously plagued its</w:t>
      </w:r>
      <w:r w:rsidR="00C63E11">
        <w:t xml:space="preserve"> </w:t>
      </w:r>
      <w:r w:rsidR="00C63E11" w:rsidRPr="00C63E11">
        <w:rPr>
          <w:i/>
        </w:rPr>
        <w:t>ad bellum</w:t>
      </w:r>
      <w:r w:rsidR="008614DD" w:rsidRPr="008614DD">
        <w:t xml:space="preserve"> jurisprudence</w:t>
      </w:r>
      <w:r w:rsidR="006B1A3B">
        <w:t>,</w:t>
      </w:r>
      <w:r w:rsidR="008614DD" w:rsidRPr="008614DD">
        <w:rPr>
          <w:rStyle w:val="FootnoteReference"/>
        </w:rPr>
        <w:footnoteReference w:id="200"/>
      </w:r>
      <w:r w:rsidR="008614DD" w:rsidRPr="008614DD">
        <w:t xml:space="preserve"> given that it truly had a secure jurisdictional basis from which to do so for the first time.</w:t>
      </w:r>
    </w:p>
    <w:p w14:paraId="0FED3248" w14:textId="77777777" w:rsidR="008614DD" w:rsidRDefault="008614DD" w:rsidP="008614DD">
      <w:pPr>
        <w:jc w:val="both"/>
      </w:pPr>
    </w:p>
    <w:p w14:paraId="19AEB7D2" w14:textId="77777777" w:rsidR="00646662" w:rsidRDefault="006B1A3B" w:rsidP="008614DD">
      <w:pPr>
        <w:jc w:val="both"/>
      </w:pPr>
      <w:r>
        <w:t>In any event</w:t>
      </w:r>
      <w:r w:rsidR="008614DD">
        <w:t>, p</w:t>
      </w:r>
      <w:r w:rsidR="00C121FE">
        <w:t xml:space="preserve">erhaps the most </w:t>
      </w:r>
      <w:r w:rsidR="008614DD">
        <w:t>pertinent</w:t>
      </w:r>
      <w:r w:rsidR="00C121FE">
        <w:t xml:space="preserve"> finding</w:t>
      </w:r>
      <w:r w:rsidR="000346F0">
        <w:rPr>
          <w:rStyle w:val="FootnoteReference"/>
        </w:rPr>
        <w:footnoteReference w:id="201"/>
      </w:r>
      <w:r w:rsidR="00C121FE">
        <w:t xml:space="preserve"> in </w:t>
      </w:r>
      <w:r w:rsidR="008614DD">
        <w:t xml:space="preserve">the </w:t>
      </w:r>
      <w:r w:rsidR="008614DD" w:rsidRPr="000346F0">
        <w:rPr>
          <w:i/>
        </w:rPr>
        <w:t>DRC v Uganda</w:t>
      </w:r>
      <w:r w:rsidR="008614DD">
        <w:t xml:space="preserve"> </w:t>
      </w:r>
      <w:r>
        <w:t xml:space="preserve">merits decision </w:t>
      </w:r>
      <w:r w:rsidR="008614DD">
        <w:t xml:space="preserve">– which has continued to resonate in debates over the </w:t>
      </w:r>
      <w:r w:rsidR="008614DD" w:rsidRPr="008614DD">
        <w:rPr>
          <w:i/>
        </w:rPr>
        <w:t>jus ad bellum</w:t>
      </w:r>
      <w:r w:rsidR="008614DD">
        <w:t xml:space="preserve"> since –</w:t>
      </w:r>
      <w:r>
        <w:t xml:space="preserve"> </w:t>
      </w:r>
      <w:r w:rsidR="00C121FE">
        <w:t>was the</w:t>
      </w:r>
      <w:r w:rsidR="0076653A">
        <w:t xml:space="preserve"> Court</w:t>
      </w:r>
      <w:r w:rsidR="00C121FE">
        <w:t>’s (</w:t>
      </w:r>
      <w:r w:rsidR="008614DD">
        <w:t xml:space="preserve">admittedly </w:t>
      </w:r>
      <w:r>
        <w:t>tentative</w:t>
      </w:r>
      <w:r w:rsidR="00C121FE">
        <w:t>) endorsement of a</w:t>
      </w:r>
      <w:r w:rsidR="0076653A">
        <w:t xml:space="preserve"> requirement that attacks by non-State actors must be attributable in some </w:t>
      </w:r>
      <w:r w:rsidR="00032787">
        <w:t xml:space="preserve">meaningful </w:t>
      </w:r>
      <w:r w:rsidR="0076653A">
        <w:t>way to the State against which the victim State uses force in response.  However, as discussed</w:t>
      </w:r>
      <w:r w:rsidR="00C121FE">
        <w:t xml:space="preserve"> in the previous section</w:t>
      </w:r>
      <w:r w:rsidR="0076653A">
        <w:t xml:space="preserve">, this finding certainly </w:t>
      </w:r>
      <w:r w:rsidR="00032787">
        <w:t xml:space="preserve">did </w:t>
      </w:r>
      <w:r w:rsidR="0076653A">
        <w:t xml:space="preserve">not </w:t>
      </w:r>
      <w:r w:rsidR="003E1999">
        <w:t>resolve</w:t>
      </w:r>
      <w:r w:rsidR="0076653A">
        <w:t xml:space="preserve"> th</w:t>
      </w:r>
      <w:r w:rsidR="008614DD">
        <w:t>e</w:t>
      </w:r>
      <w:r w:rsidR="0076653A">
        <w:t xml:space="preserve"> debate </w:t>
      </w:r>
      <w:r w:rsidR="008614DD">
        <w:t>on this issue</w:t>
      </w:r>
      <w:r w:rsidR="0076653A">
        <w:t xml:space="preserve">.  </w:t>
      </w:r>
      <w:r w:rsidR="003E1999">
        <w:t>T</w:t>
      </w:r>
      <w:r w:rsidR="00C121FE">
        <w:t xml:space="preserve">he </w:t>
      </w:r>
      <w:r w:rsidR="00C121FE" w:rsidRPr="00C121FE">
        <w:rPr>
          <w:i/>
        </w:rPr>
        <w:t xml:space="preserve">DRC v Uganda </w:t>
      </w:r>
      <w:r w:rsidR="00C121FE">
        <w:t>case</w:t>
      </w:r>
      <w:r w:rsidR="003E1999">
        <w:t>, in fact, added</w:t>
      </w:r>
      <w:r w:rsidR="0076653A">
        <w:t xml:space="preserve"> further fuel to the growing fire of </w:t>
      </w:r>
      <w:r>
        <w:t>controversy</w:t>
      </w:r>
      <w:r w:rsidR="0076653A">
        <w:t xml:space="preserve"> on </w:t>
      </w:r>
      <w:r w:rsidR="00C121FE">
        <w:t>the question of self-defence against non-State actors</w:t>
      </w:r>
      <w:r w:rsidR="003E1999">
        <w:t>: s</w:t>
      </w:r>
      <w:r w:rsidR="00C121FE">
        <w:t xml:space="preserve">ince 2005, this aspect of the decision has been repeatedly </w:t>
      </w:r>
      <w:r w:rsidR="0076653A">
        <w:t xml:space="preserve">invoked </w:t>
      </w:r>
      <w:r w:rsidR="00C121FE">
        <w:t>by some and dismissed by others</w:t>
      </w:r>
      <w:r w:rsidR="0076653A">
        <w:t>.</w:t>
      </w:r>
    </w:p>
    <w:p w14:paraId="5ECEA796" w14:textId="77777777" w:rsidR="0076653A" w:rsidRDefault="0076653A" w:rsidP="00646662">
      <w:pPr>
        <w:jc w:val="both"/>
      </w:pPr>
    </w:p>
    <w:p w14:paraId="39001D74" w14:textId="77777777" w:rsidR="008614DD" w:rsidRPr="00B0207F" w:rsidRDefault="008614DD" w:rsidP="00A24EB6">
      <w:pPr>
        <w:jc w:val="both"/>
      </w:pPr>
    </w:p>
    <w:sectPr w:rsidR="008614DD" w:rsidRPr="00B0207F" w:rsidSect="00BE6391">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9ECB6" w14:textId="77777777" w:rsidR="00165179" w:rsidRDefault="00165179">
      <w:r>
        <w:separator/>
      </w:r>
    </w:p>
  </w:endnote>
  <w:endnote w:type="continuationSeparator" w:id="0">
    <w:p w14:paraId="09620C4C" w14:textId="77777777" w:rsidR="00165179" w:rsidRDefault="0016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89D91" w14:textId="77777777" w:rsidR="0022744F" w:rsidRDefault="0022744F" w:rsidP="00E116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718E87" w14:textId="77777777" w:rsidR="0022744F" w:rsidRDefault="002274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CF387" w14:textId="77777777" w:rsidR="0022744F" w:rsidRDefault="0022744F" w:rsidP="00E116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718E">
      <w:rPr>
        <w:rStyle w:val="PageNumber"/>
        <w:noProof/>
      </w:rPr>
      <w:t>8</w:t>
    </w:r>
    <w:r>
      <w:rPr>
        <w:rStyle w:val="PageNumber"/>
      </w:rPr>
      <w:fldChar w:fldCharType="end"/>
    </w:r>
  </w:p>
  <w:p w14:paraId="01A7865F" w14:textId="77777777" w:rsidR="0022744F" w:rsidRDefault="002274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5765D" w14:textId="77777777" w:rsidR="00165179" w:rsidRDefault="00165179">
      <w:r>
        <w:separator/>
      </w:r>
    </w:p>
  </w:footnote>
  <w:footnote w:type="continuationSeparator" w:id="0">
    <w:p w14:paraId="4FCEDB61" w14:textId="77777777" w:rsidR="00165179" w:rsidRDefault="00165179">
      <w:r>
        <w:continuationSeparator/>
      </w:r>
    </w:p>
  </w:footnote>
  <w:footnote w:id="1">
    <w:p w14:paraId="1C131945" w14:textId="77777777" w:rsidR="0022744F" w:rsidRPr="00E33D50" w:rsidRDefault="0022744F" w:rsidP="00BE5BBB">
      <w:pPr>
        <w:pStyle w:val="FootnoteText"/>
        <w:jc w:val="both"/>
      </w:pPr>
      <w:r w:rsidRPr="00E33D50">
        <w:rPr>
          <w:rStyle w:val="FootnoteReference"/>
        </w:rPr>
        <w:sym w:font="Symbol" w:char="F02A"/>
      </w:r>
      <w:r w:rsidRPr="00E33D50">
        <w:t xml:space="preserve"> Professor of Public International Law, University of Reading.</w:t>
      </w:r>
    </w:p>
  </w:footnote>
  <w:footnote w:id="2">
    <w:p w14:paraId="23BD1F05" w14:textId="77777777" w:rsidR="0022744F" w:rsidRPr="00E33D50" w:rsidRDefault="0022744F" w:rsidP="00BE5BBB">
      <w:pPr>
        <w:pStyle w:val="FootnoteText"/>
        <w:jc w:val="both"/>
      </w:pPr>
      <w:r w:rsidRPr="00E33D50">
        <w:rPr>
          <w:rStyle w:val="FootnoteReference"/>
        </w:rPr>
        <w:footnoteRef/>
      </w:r>
      <w:r w:rsidRPr="00E33D50">
        <w:t xml:space="preserve"> See Letter dated 14 September 1998 from the Permanent Representative of the Democratic Republic of the Congo to the United Nations addressed to the President of the General Assembly (17 September 1998) UN Doc A/53/232, 2; and </w:t>
      </w:r>
      <w:r w:rsidRPr="00E33D50">
        <w:rPr>
          <w:i/>
        </w:rPr>
        <w:t>Armed Activities on the Territory of the Congo</w:t>
      </w:r>
      <w:r w:rsidRPr="00E33D50">
        <w:t xml:space="preserve"> (</w:t>
      </w:r>
      <w:r w:rsidRPr="00E33D50">
        <w:rPr>
          <w:i/>
        </w:rPr>
        <w:t>Democratic Republic of the Congo</w:t>
      </w:r>
      <w:r w:rsidRPr="00E33D50">
        <w:t xml:space="preserve"> </w:t>
      </w:r>
      <w:r w:rsidRPr="00E33D50">
        <w:rPr>
          <w:i/>
        </w:rPr>
        <w:t>v Uganda</w:t>
      </w:r>
      <w:r w:rsidRPr="00E33D50">
        <w:t>), (Application instituting proceedings) [1999] 5 &lt;www.icj-cij.org/docket/files/116/7151.pdf&gt; accessed 11 May 2016.</w:t>
      </w:r>
    </w:p>
  </w:footnote>
  <w:footnote w:id="3">
    <w:p w14:paraId="295BCA13" w14:textId="77777777"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For a useful synopsis of the factual background and development of Great African War, see Paul Harris, ‘Congo’s International Civil War’ </w:t>
      </w:r>
      <w:r w:rsidRPr="00E33D50">
        <w:rPr>
          <w:i/>
          <w:sz w:val="20"/>
          <w:szCs w:val="20"/>
        </w:rPr>
        <w:t>Power and Interest News</w:t>
      </w:r>
      <w:r w:rsidRPr="00E33D50">
        <w:rPr>
          <w:sz w:val="20"/>
          <w:szCs w:val="20"/>
        </w:rPr>
        <w:t xml:space="preserve"> (5 August 2003).</w:t>
      </w:r>
    </w:p>
  </w:footnote>
  <w:footnote w:id="4">
    <w:p w14:paraId="41640AC7" w14:textId="77777777" w:rsidR="0022744F" w:rsidRPr="00E33D50" w:rsidRDefault="0022744F" w:rsidP="00BE5BBB">
      <w:pPr>
        <w:pStyle w:val="FootnoteText"/>
        <w:jc w:val="both"/>
      </w:pPr>
      <w:r w:rsidRPr="00E33D50">
        <w:rPr>
          <w:rStyle w:val="FootnoteReference"/>
        </w:rPr>
        <w:footnoteRef/>
      </w:r>
      <w:r w:rsidRPr="00E33D50">
        <w:t xml:space="preserve"> For a detailed examination of the First Congo War, see Filip Reyntjens, </w:t>
      </w:r>
      <w:r w:rsidRPr="00E33D50">
        <w:rPr>
          <w:i/>
        </w:rPr>
        <w:t>The Great African War: Congo and Regional Geopolitics, 1996-2006</w:t>
      </w:r>
      <w:r w:rsidRPr="00E33D50">
        <w:t xml:space="preserve"> (Cambridge University Press 2009) in general, but particularly at 194-231; and Tom Cooper, </w:t>
      </w:r>
      <w:r w:rsidRPr="00E33D50">
        <w:rPr>
          <w:i/>
        </w:rPr>
        <w:t>Great Lakes Holocaust: First Congo War, 1996-1997</w:t>
      </w:r>
      <w:r w:rsidRPr="00E33D50">
        <w:t xml:space="preserve"> (Helion 2013).</w:t>
      </w:r>
    </w:p>
  </w:footnote>
  <w:footnote w:id="5">
    <w:p w14:paraId="35FE3FE6" w14:textId="2A1A212F" w:rsidR="0022744F" w:rsidRPr="00E33D50" w:rsidRDefault="0022744F" w:rsidP="00BE5BBB">
      <w:pPr>
        <w:pStyle w:val="FootnoteText"/>
        <w:jc w:val="both"/>
      </w:pPr>
      <w:r w:rsidRPr="00E33D50">
        <w:rPr>
          <w:rStyle w:val="FootnoteReference"/>
        </w:rPr>
        <w:footnoteRef/>
      </w:r>
      <w:r w:rsidRPr="00E33D50">
        <w:t xml:space="preserve"> See, e.g., Council on Foreign Relations, ‘Violence in the Democratic Republic of Congo’ Global Conflict Tracker (last updated 6 June 2016) &lt;www.cfr.org/global/global-conflict-tracker/p32137#!/conflict/violence-in-the-democratic-republic-of-congo&gt; accessed 6 June 2016.</w:t>
      </w:r>
    </w:p>
  </w:footnote>
  <w:footnote w:id="6">
    <w:p w14:paraId="75E61898" w14:textId="77777777" w:rsidR="0022744F" w:rsidRPr="00E33D50" w:rsidRDefault="0022744F" w:rsidP="00BE5BBB">
      <w:pPr>
        <w:pStyle w:val="FootnoteText"/>
        <w:jc w:val="both"/>
      </w:pPr>
      <w:r w:rsidRPr="00E33D50">
        <w:rPr>
          <w:rStyle w:val="FootnoteReference"/>
        </w:rPr>
        <w:footnoteRef/>
      </w:r>
      <w:r w:rsidRPr="00E33D50">
        <w:t xml:space="preserve"> Jeffrey Gettleman, ‘The World’s Worst War’ </w:t>
      </w:r>
      <w:r w:rsidRPr="00E33D50">
        <w:rPr>
          <w:i/>
        </w:rPr>
        <w:t>New York Times</w:t>
      </w:r>
      <w:r w:rsidRPr="00E33D50">
        <w:t xml:space="preserve"> (15 December 2012) &lt;www.nytimes.com/2012/12/16/sunday-review/congos-never-ending-war.html?_r=0&gt; accessed 6 June 2016.</w:t>
      </w:r>
    </w:p>
  </w:footnote>
  <w:footnote w:id="7">
    <w:p w14:paraId="174A6859" w14:textId="77777777" w:rsidR="0022744F" w:rsidRPr="00E33D50" w:rsidRDefault="0022744F" w:rsidP="00BE5BBB">
      <w:pPr>
        <w:pStyle w:val="FootnoteText"/>
        <w:jc w:val="both"/>
      </w:pPr>
      <w:r w:rsidRPr="00E33D50">
        <w:rPr>
          <w:rStyle w:val="FootnoteReference"/>
        </w:rPr>
        <w:footnoteRef/>
      </w:r>
      <w:r w:rsidRPr="00E33D50">
        <w:t xml:space="preserve"> Most prominently the Rassemblement Congolais pour la Démocratie (RCD) and the Mouvement de Libération du Congo (MLC).</w:t>
      </w:r>
    </w:p>
  </w:footnote>
  <w:footnote w:id="8">
    <w:p w14:paraId="1C91CBD1" w14:textId="67B6489A"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See (August 1998) 44(8) </w:t>
      </w:r>
      <w:r w:rsidRPr="00CD718E">
        <w:rPr>
          <w:sz w:val="20"/>
          <w:szCs w:val="20"/>
        </w:rPr>
        <w:t xml:space="preserve">Keesing’s </w:t>
      </w:r>
      <w:r w:rsidRPr="00E33D50">
        <w:rPr>
          <w:sz w:val="20"/>
          <w:szCs w:val="20"/>
        </w:rPr>
        <w:t xml:space="preserve">42426; and Michela Wrong and Michael Holman, ‘Army Mutiny Threatens Kabila’s Rule in Congo’ </w:t>
      </w:r>
      <w:r w:rsidRPr="00E33D50">
        <w:rPr>
          <w:i/>
          <w:sz w:val="20"/>
          <w:szCs w:val="20"/>
        </w:rPr>
        <w:t>Financial Times</w:t>
      </w:r>
      <w:r w:rsidRPr="00E33D50">
        <w:rPr>
          <w:sz w:val="20"/>
          <w:szCs w:val="20"/>
        </w:rPr>
        <w:t xml:space="preserve"> (4 </w:t>
      </w:r>
      <w:r w:rsidRPr="00E33D50">
        <w:rPr>
          <w:bCs/>
          <w:sz w:val="20"/>
          <w:szCs w:val="20"/>
        </w:rPr>
        <w:t>August</w:t>
      </w:r>
      <w:r w:rsidRPr="00E33D50">
        <w:rPr>
          <w:sz w:val="20"/>
          <w:szCs w:val="20"/>
        </w:rPr>
        <w:t xml:space="preserve"> 1998) 18.</w:t>
      </w:r>
    </w:p>
  </w:footnote>
  <w:footnote w:id="9">
    <w:p w14:paraId="2044CE38" w14:textId="77777777"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Michael Holman and Michela Wrong, ‘Ripples of a Revolution’ </w:t>
      </w:r>
      <w:r w:rsidRPr="00E33D50">
        <w:rPr>
          <w:i/>
          <w:sz w:val="20"/>
          <w:szCs w:val="20"/>
        </w:rPr>
        <w:t>Financial Times</w:t>
      </w:r>
      <w:r w:rsidRPr="00E33D50">
        <w:rPr>
          <w:sz w:val="20"/>
          <w:szCs w:val="20"/>
        </w:rPr>
        <w:t xml:space="preserve"> (26 May 1997) 21.</w:t>
      </w:r>
    </w:p>
  </w:footnote>
  <w:footnote w:id="10">
    <w:p w14:paraId="0AA80427" w14:textId="77777777" w:rsidR="0022744F" w:rsidRPr="00E33D50" w:rsidRDefault="0022744F" w:rsidP="00BE5BBB">
      <w:pPr>
        <w:pStyle w:val="FootnoteText"/>
        <w:jc w:val="both"/>
      </w:pPr>
      <w:r w:rsidRPr="00E33D50">
        <w:rPr>
          <w:rStyle w:val="FootnoteReference"/>
        </w:rPr>
        <w:footnoteRef/>
      </w:r>
      <w:r w:rsidRPr="00E33D50">
        <w:t xml:space="preserve"> Wrong and Holman (n </w:t>
      </w:r>
      <w:r w:rsidRPr="00E33D50">
        <w:fldChar w:fldCharType="begin"/>
      </w:r>
      <w:r w:rsidRPr="00E33D50">
        <w:instrText xml:space="preserve"> NOTEREF _Ref473552266 \h </w:instrText>
      </w:r>
      <w:r w:rsidRPr="00E33D50">
        <w:fldChar w:fldCharType="separate"/>
      </w:r>
      <w:r w:rsidRPr="00E33D50">
        <w:t>7</w:t>
      </w:r>
      <w:r w:rsidRPr="00E33D50">
        <w:fldChar w:fldCharType="end"/>
      </w:r>
      <w:r w:rsidRPr="00E33D50">
        <w:t>).</w:t>
      </w:r>
    </w:p>
  </w:footnote>
  <w:footnote w:id="11">
    <w:p w14:paraId="6AB3FC6B" w14:textId="7474D57A"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(August 1998) 44(8) Keesing’s, 42426.</w:t>
      </w:r>
    </w:p>
  </w:footnote>
  <w:footnote w:id="12">
    <w:p w14:paraId="15E7942D" w14:textId="77777777" w:rsidR="0022744F" w:rsidRPr="00E33D50" w:rsidRDefault="0022744F" w:rsidP="00BE5BBB">
      <w:pPr>
        <w:pStyle w:val="FootnoteText"/>
        <w:jc w:val="both"/>
      </w:pPr>
      <w:r w:rsidRPr="00E33D50">
        <w:rPr>
          <w:rStyle w:val="FootnoteReference"/>
        </w:rPr>
        <w:footnoteRef/>
      </w:r>
      <w:r w:rsidRPr="00E33D50">
        <w:t xml:space="preserve"> See, e.g., UNGA Verbatim Record (22 September 1998) UN Doc A/53/PV.9, 3 (Burundi).</w:t>
      </w:r>
    </w:p>
  </w:footnote>
  <w:footnote w:id="13">
    <w:p w14:paraId="702C4D20" w14:textId="77777777" w:rsidR="0022744F" w:rsidRPr="00E33D50" w:rsidRDefault="0022744F" w:rsidP="00BE5BBB">
      <w:pPr>
        <w:pStyle w:val="FootnoteText"/>
        <w:jc w:val="both"/>
      </w:pPr>
      <w:r w:rsidRPr="00E33D50">
        <w:rPr>
          <w:rStyle w:val="FootnoteReference"/>
        </w:rPr>
        <w:footnoteRef/>
      </w:r>
      <w:r w:rsidRPr="00E33D50">
        <w:t xml:space="preserve"> See Letter dated 11 May 2001 from the Permanent Representative of Burundi to the United Nations addressed to the President of the Security Council (11 May 2001) UN Doc S/2001/472, 12.</w:t>
      </w:r>
    </w:p>
  </w:footnote>
  <w:footnote w:id="14">
    <w:p w14:paraId="6E97A91A" w14:textId="77777777" w:rsidR="0022744F" w:rsidRPr="00E33D50" w:rsidRDefault="0022744F" w:rsidP="00BE5BBB">
      <w:pPr>
        <w:pStyle w:val="FootnoteText"/>
        <w:jc w:val="both"/>
      </w:pPr>
      <w:r w:rsidRPr="00E33D50">
        <w:rPr>
          <w:rStyle w:val="FootnoteReference"/>
        </w:rPr>
        <w:footnoteRef/>
      </w:r>
      <w:r w:rsidRPr="00E33D50">
        <w:t xml:space="preserve"> See Gérard Prunier, </w:t>
      </w:r>
      <w:r w:rsidRPr="00E33D50">
        <w:rPr>
          <w:i/>
        </w:rPr>
        <w:t>Africa’s World War: Congo, the Rwandan Genocide, and the Making of a Continental Catastrophe</w:t>
      </w:r>
      <w:r w:rsidRPr="00E33D50">
        <w:t xml:space="preserve"> (Oxford University Press 2009) 198.</w:t>
      </w:r>
    </w:p>
  </w:footnote>
  <w:footnote w:id="15">
    <w:p w14:paraId="4B3F3A9D" w14:textId="77777777" w:rsidR="0022744F" w:rsidRPr="00E33D50" w:rsidRDefault="0022744F" w:rsidP="00BE5BBB">
      <w:pPr>
        <w:pStyle w:val="FootnoteText"/>
        <w:jc w:val="both"/>
      </w:pPr>
      <w:r w:rsidRPr="00E33D50">
        <w:rPr>
          <w:rStyle w:val="FootnoteReference"/>
        </w:rPr>
        <w:footnoteRef/>
      </w:r>
      <w:r w:rsidRPr="00E33D50">
        <w:t xml:space="preserve"> ibid.</w:t>
      </w:r>
    </w:p>
  </w:footnote>
  <w:footnote w:id="16">
    <w:p w14:paraId="53B86FBA" w14:textId="5A27BE2E"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See Elizabeth Blunt, ‘DR Congo War: Who is Involved and Why?’ </w:t>
      </w:r>
      <w:r w:rsidRPr="00E33D50">
        <w:rPr>
          <w:i/>
          <w:sz w:val="20"/>
          <w:szCs w:val="20"/>
        </w:rPr>
        <w:t>BBC News</w:t>
      </w:r>
      <w:r w:rsidRPr="00E33D50">
        <w:rPr>
          <w:sz w:val="20"/>
          <w:szCs w:val="20"/>
        </w:rPr>
        <w:t xml:space="preserve"> (25 January 2001) &lt;http://news.bbc.co.uk/1/hi/world/africa/1136470.stm&gt; accessed 6 June 2016.  There were also unconfirmed reports of Sudanese forces being involved in the fighting in the DRC.  See Christopher Williams, ‘Explaining the Great War in Africa: How Conflict in the Congo Became a Continental Crisis’ (2013) 37 The Fletcher Forum of World Affairs 81, 95-6; and </w:t>
      </w:r>
      <w:r w:rsidRPr="00E33D50">
        <w:rPr>
          <w:i/>
          <w:sz w:val="20"/>
          <w:szCs w:val="20"/>
        </w:rPr>
        <w:t>Armed Activities on the Territory of the Congo</w:t>
      </w:r>
      <w:r w:rsidRPr="00E33D50">
        <w:rPr>
          <w:sz w:val="20"/>
          <w:szCs w:val="20"/>
        </w:rPr>
        <w:t xml:space="preserve"> (</w:t>
      </w:r>
      <w:r w:rsidRPr="00E33D50">
        <w:rPr>
          <w:i/>
          <w:sz w:val="20"/>
          <w:szCs w:val="20"/>
        </w:rPr>
        <w:t>Democratic Republic of the Congo</w:t>
      </w:r>
      <w:r w:rsidRPr="00E33D50">
        <w:rPr>
          <w:sz w:val="20"/>
          <w:szCs w:val="20"/>
        </w:rPr>
        <w:t xml:space="preserve"> </w:t>
      </w:r>
      <w:r w:rsidRPr="00E33D50">
        <w:rPr>
          <w:i/>
          <w:sz w:val="20"/>
          <w:szCs w:val="20"/>
        </w:rPr>
        <w:t>v Uganda</w:t>
      </w:r>
      <w:r w:rsidRPr="00E33D50">
        <w:rPr>
          <w:sz w:val="20"/>
          <w:szCs w:val="20"/>
        </w:rPr>
        <w:t>)</w:t>
      </w:r>
      <w:r>
        <w:rPr>
          <w:sz w:val="20"/>
          <w:szCs w:val="20"/>
        </w:rPr>
        <w:t xml:space="preserve"> (</w:t>
      </w:r>
      <w:r w:rsidRPr="00E33D50">
        <w:rPr>
          <w:sz w:val="20"/>
          <w:szCs w:val="20"/>
        </w:rPr>
        <w:t>Merits</w:t>
      </w:r>
      <w:r>
        <w:rPr>
          <w:sz w:val="20"/>
          <w:szCs w:val="20"/>
        </w:rPr>
        <w:t>)</w:t>
      </w:r>
      <w:r w:rsidRPr="00E33D50">
        <w:rPr>
          <w:sz w:val="20"/>
          <w:szCs w:val="20"/>
        </w:rPr>
        <w:t xml:space="preserve"> (2005) ICJ Rep 163 [130].  It seems highly likely that there was at least some Sudanese military involvement in the Great African War, although Sudan denied it.  See (November 1998) 44(11) Keesing’s, 42599; and Human Rights Watch, ‘World Report: Sudan’ (1999) &lt;www.hrw.org/legacy/worldreport99/africa/sudan.html&gt; accessed 6 June 2016.</w:t>
      </w:r>
    </w:p>
  </w:footnote>
  <w:footnote w:id="17">
    <w:p w14:paraId="65A3127A" w14:textId="77777777" w:rsidR="0022744F" w:rsidRPr="00E33D50" w:rsidRDefault="0022744F" w:rsidP="00BE5BBB">
      <w:pPr>
        <w:pStyle w:val="FootnoteText"/>
        <w:jc w:val="both"/>
      </w:pPr>
      <w:r w:rsidRPr="00E33D50">
        <w:rPr>
          <w:rStyle w:val="FootnoteReference"/>
        </w:rPr>
        <w:footnoteRef/>
      </w:r>
      <w:r w:rsidRPr="00E33D50">
        <w:t xml:space="preserve"> See ‘Democratic Republic of Congo Profile – Timeline’ </w:t>
      </w:r>
      <w:r w:rsidRPr="00E33D50">
        <w:rPr>
          <w:i/>
        </w:rPr>
        <w:t>BBC News</w:t>
      </w:r>
      <w:r w:rsidRPr="00E33D50">
        <w:t xml:space="preserve"> (14 August 2015) &lt;http://news.bbc.co.uk/1/hi/world/africa/country_profiles/1072684.stm&gt; accessed 6 June 2016; and Reyntjens (n 3) 201-2.</w:t>
      </w:r>
    </w:p>
  </w:footnote>
  <w:footnote w:id="18">
    <w:p w14:paraId="3C08BF57" w14:textId="3DCD8FE7" w:rsidR="0022744F" w:rsidRPr="00E33D50" w:rsidRDefault="0022744F" w:rsidP="00BE5BBB">
      <w:pPr>
        <w:pStyle w:val="FootnoteText"/>
        <w:jc w:val="both"/>
      </w:pPr>
      <w:r w:rsidRPr="00E33D50">
        <w:rPr>
          <w:rStyle w:val="FootnoteReference"/>
        </w:rPr>
        <w:footnoteRef/>
      </w:r>
      <w:r w:rsidRPr="00E33D50">
        <w:t xml:space="preserve"> See International Panel of Eminent Personalities (IPEP), ‘Report on the 1994 Genocide in Rwanda and Surrounding Events’ (2001) 40 International Legal Materials 141, 150; and Dena Montague, ‘Stolen Goods: Coltan and Conflict in the Democratic Republic of Congo’ (2002) 22 </w:t>
      </w:r>
      <w:r w:rsidRPr="00E33D50">
        <w:rPr>
          <w:iCs/>
        </w:rPr>
        <w:t>School of Advanced International Studies Review</w:t>
      </w:r>
      <w:r w:rsidRPr="00E33D50">
        <w:t xml:space="preserve"> 103.</w:t>
      </w:r>
    </w:p>
  </w:footnote>
  <w:footnote w:id="19">
    <w:p w14:paraId="36A15176" w14:textId="77777777" w:rsidR="0022744F" w:rsidRPr="00E33D50" w:rsidRDefault="0022744F" w:rsidP="00BE5BBB">
      <w:pPr>
        <w:pStyle w:val="FootnoteText"/>
        <w:jc w:val="both"/>
      </w:pPr>
      <w:r w:rsidRPr="00E33D50">
        <w:rPr>
          <w:rStyle w:val="FootnoteReference"/>
        </w:rPr>
        <w:footnoteRef/>
      </w:r>
      <w:r w:rsidRPr="00E33D50">
        <w:t xml:space="preserve"> Louise Arimatsu, ‘The Democratic Republic of the Congo 1993-2010’ in Elizabeth Wilmshurst (ed.) </w:t>
      </w:r>
      <w:r w:rsidRPr="00E33D50">
        <w:rPr>
          <w:i/>
        </w:rPr>
        <w:t xml:space="preserve">International Law and the Classification of Conflicts </w:t>
      </w:r>
      <w:r w:rsidRPr="00E33D50">
        <w:t>(Oxford University Press 2012) 146, 176.</w:t>
      </w:r>
    </w:p>
  </w:footnote>
  <w:footnote w:id="20">
    <w:p w14:paraId="65BEE213" w14:textId="77777777" w:rsidR="0022744F" w:rsidRPr="00E33D50" w:rsidRDefault="0022744F" w:rsidP="00BE5BBB">
      <w:pPr>
        <w:pStyle w:val="FootnoteText"/>
        <w:jc w:val="both"/>
      </w:pPr>
      <w:r w:rsidRPr="00E33D50">
        <w:rPr>
          <w:rStyle w:val="FootnoteReference"/>
        </w:rPr>
        <w:footnoteRef/>
      </w:r>
      <w:r w:rsidRPr="00E33D50">
        <w:t xml:space="preserve"> Report of the International Rescue Committee, </w:t>
      </w:r>
      <w:r w:rsidRPr="00E33D50">
        <w:rPr>
          <w:i/>
        </w:rPr>
        <w:t>Mortality in the Democratic Republic of Congo: Results from a Nationwide Survey</w:t>
      </w:r>
      <w:r w:rsidRPr="00E33D50">
        <w:t xml:space="preserve"> (conducted September-November 2002, reported April 2003) 13 &lt;www.rescue.org/sites/default/files/migrated/resources/drc_mortality_iii_report.pdf&gt; accessed 6 June 2016.  </w:t>
      </w:r>
    </w:p>
  </w:footnote>
  <w:footnote w:id="21">
    <w:p w14:paraId="66F3D44F" w14:textId="77777777" w:rsidR="0022744F" w:rsidRPr="00E33D50" w:rsidRDefault="0022744F" w:rsidP="00BE5BBB">
      <w:pPr>
        <w:pStyle w:val="FootnoteText"/>
        <w:jc w:val="both"/>
      </w:pPr>
      <w:r w:rsidRPr="00E33D50">
        <w:rPr>
          <w:rStyle w:val="FootnoteReference"/>
        </w:rPr>
        <w:footnoteRef/>
      </w:r>
      <w:r w:rsidRPr="00E33D50">
        <w:t xml:space="preserve"> Sally Hardcastle, ‘Congo Pays the Price of War’ </w:t>
      </w:r>
      <w:r w:rsidRPr="00E33D50">
        <w:rPr>
          <w:i/>
        </w:rPr>
        <w:t>BBC News</w:t>
      </w:r>
      <w:r w:rsidRPr="00E33D50">
        <w:t xml:space="preserve"> (26 September 2001) &lt;http://news.bbc.co.uk/1/hi/business/1564653.stm&gt; accessed 6 June 2016.</w:t>
      </w:r>
    </w:p>
  </w:footnote>
  <w:footnote w:id="22">
    <w:p w14:paraId="3324B9A2" w14:textId="77777777" w:rsidR="0022744F" w:rsidRPr="00E33D50" w:rsidRDefault="0022744F" w:rsidP="00BE5BBB">
      <w:pPr>
        <w:pStyle w:val="FootnoteText"/>
        <w:jc w:val="both"/>
      </w:pPr>
      <w:r w:rsidRPr="00E33D50">
        <w:rPr>
          <w:rStyle w:val="FootnoteReference"/>
        </w:rPr>
        <w:footnoteRef/>
      </w:r>
      <w:r w:rsidRPr="00E33D50">
        <w:t xml:space="preserve"> See ‘DR Congo Country Profile’ </w:t>
      </w:r>
      <w:r w:rsidRPr="00E33D50">
        <w:rPr>
          <w:i/>
        </w:rPr>
        <w:t xml:space="preserve">BBC News </w:t>
      </w:r>
      <w:r w:rsidRPr="00E33D50">
        <w:t xml:space="preserve">(10 February 2016) &lt;http://news.bbc.co.uk/1/hi/world/africa/country_profiles/1076399.stm#overview&gt; accessed 6 June 2016.  See also Montague (n </w:t>
      </w:r>
      <w:r w:rsidRPr="00E33D50">
        <w:fldChar w:fldCharType="begin"/>
      </w:r>
      <w:r w:rsidRPr="00E33D50">
        <w:instrText xml:space="preserve"> NOTEREF _Ref473552418 \h </w:instrText>
      </w:r>
      <w:r w:rsidRPr="00E33D50">
        <w:fldChar w:fldCharType="separate"/>
      </w:r>
      <w:r w:rsidRPr="00E33D50">
        <w:t>17</w:t>
      </w:r>
      <w:r w:rsidRPr="00E33D50">
        <w:fldChar w:fldCharType="end"/>
      </w:r>
      <w:r w:rsidRPr="00E33D50">
        <w:t>).</w:t>
      </w:r>
    </w:p>
  </w:footnote>
  <w:footnote w:id="23">
    <w:p w14:paraId="22F25B03" w14:textId="77777777" w:rsidR="0022744F" w:rsidRPr="00E33D50" w:rsidRDefault="0022744F" w:rsidP="00BE5BBB">
      <w:pPr>
        <w:pStyle w:val="FootnoteText"/>
        <w:jc w:val="both"/>
      </w:pPr>
      <w:r w:rsidRPr="00E33D50">
        <w:rPr>
          <w:rStyle w:val="FootnoteReference"/>
        </w:rPr>
        <w:footnoteRef/>
      </w:r>
      <w:r w:rsidRPr="00E33D50">
        <w:t xml:space="preserve"> Reported by Blaine Harden, ‘The Dirt in the New Machine’ </w:t>
      </w:r>
      <w:r w:rsidRPr="00E33D50">
        <w:rPr>
          <w:i/>
          <w:iCs/>
        </w:rPr>
        <w:t>New York Times Magazine</w:t>
      </w:r>
      <w:r w:rsidRPr="00E33D50">
        <w:t xml:space="preserve"> (12 August 2001) 36.  </w:t>
      </w:r>
    </w:p>
  </w:footnote>
  <w:footnote w:id="24">
    <w:p w14:paraId="469A4FCA" w14:textId="77777777" w:rsidR="0022744F" w:rsidRPr="00E33D50" w:rsidRDefault="0022744F" w:rsidP="00BE5BBB">
      <w:pPr>
        <w:pStyle w:val="FootnoteText"/>
        <w:jc w:val="both"/>
        <w:rPr>
          <w:i/>
        </w:rPr>
      </w:pPr>
      <w:r w:rsidRPr="00E33D50">
        <w:rPr>
          <w:rStyle w:val="FootnoteReference"/>
        </w:rPr>
        <w:footnoteRef/>
      </w:r>
      <w:r w:rsidRPr="00E33D50">
        <w:t xml:space="preserve"> Reported in ‘A Report from Congo: Africa’s Great War’ </w:t>
      </w:r>
      <w:r w:rsidRPr="00E33D50">
        <w:rPr>
          <w:i/>
        </w:rPr>
        <w:t>The Economist</w:t>
      </w:r>
      <w:r w:rsidRPr="00E33D50">
        <w:t xml:space="preserve"> (6 July 2002) &lt;www.economist.com/node/1213296&gt; accessed 10 May 2016.</w:t>
      </w:r>
    </w:p>
  </w:footnote>
  <w:footnote w:id="25">
    <w:p w14:paraId="28F3E016" w14:textId="77777777" w:rsidR="0022744F" w:rsidRPr="00E33D50" w:rsidRDefault="0022744F" w:rsidP="00BE5BBB">
      <w:pPr>
        <w:pStyle w:val="FootnoteText"/>
        <w:jc w:val="both"/>
      </w:pPr>
      <w:r w:rsidRPr="00E33D50">
        <w:rPr>
          <w:rStyle w:val="FootnoteReference"/>
        </w:rPr>
        <w:footnoteRef/>
      </w:r>
      <w:r w:rsidRPr="00E33D50">
        <w:t xml:space="preserve"> See Sam Kiley, ‘Congo Uprising Shatters Dream of Renaissance’ </w:t>
      </w:r>
      <w:r w:rsidRPr="00E33D50">
        <w:rPr>
          <w:i/>
        </w:rPr>
        <w:t>The Times</w:t>
      </w:r>
      <w:r w:rsidRPr="00E33D50">
        <w:t xml:space="preserve"> (5 August 1998) 11. </w:t>
      </w:r>
    </w:p>
  </w:footnote>
  <w:footnote w:id="26">
    <w:p w14:paraId="2EE86E74" w14:textId="77777777" w:rsidR="0022744F" w:rsidRPr="00E33D50" w:rsidRDefault="0022744F" w:rsidP="00BE5BBB">
      <w:pPr>
        <w:pStyle w:val="FootnoteText"/>
        <w:jc w:val="both"/>
      </w:pPr>
      <w:r w:rsidRPr="00E33D50">
        <w:rPr>
          <w:rStyle w:val="FootnoteReference"/>
        </w:rPr>
        <w:footnoteRef/>
      </w:r>
      <w:r w:rsidRPr="00E33D50">
        <w:t xml:space="preserve"> UN Doc A/53/232 (n 1).</w:t>
      </w:r>
    </w:p>
  </w:footnote>
  <w:footnote w:id="27">
    <w:p w14:paraId="25E23667" w14:textId="77777777" w:rsidR="0022744F" w:rsidRPr="00E33D50" w:rsidRDefault="0022744F" w:rsidP="00BE5BBB">
      <w:pPr>
        <w:pStyle w:val="FootnoteText"/>
        <w:jc w:val="both"/>
      </w:pPr>
      <w:r w:rsidRPr="00E33D50">
        <w:rPr>
          <w:rStyle w:val="FootnoteReference"/>
        </w:rPr>
        <w:footnoteRef/>
      </w:r>
      <w:r w:rsidRPr="00E33D50">
        <w:t xml:space="preserve"> </w:t>
      </w:r>
      <w:r w:rsidRPr="00E33D50">
        <w:rPr>
          <w:i/>
        </w:rPr>
        <w:t xml:space="preserve">Armed Activities on the Territory of the Congo </w:t>
      </w:r>
      <w:r w:rsidRPr="00E33D50">
        <w:t>(</w:t>
      </w:r>
      <w:r w:rsidRPr="00E33D50">
        <w:rPr>
          <w:i/>
        </w:rPr>
        <w:t>Democratic Republic of the Congo</w:t>
      </w:r>
      <w:r w:rsidRPr="00E33D50">
        <w:t xml:space="preserve"> </w:t>
      </w:r>
      <w:r w:rsidRPr="00E33D50">
        <w:rPr>
          <w:i/>
        </w:rPr>
        <w:t>v</w:t>
      </w:r>
      <w:r w:rsidRPr="00E33D50">
        <w:t xml:space="preserve"> </w:t>
      </w:r>
      <w:r w:rsidRPr="00E33D50">
        <w:rPr>
          <w:i/>
        </w:rPr>
        <w:t>Rwanda</w:t>
      </w:r>
      <w:r w:rsidRPr="00E33D50">
        <w:t xml:space="preserve">) (Application instituting proceedings) [23 June 1999] &lt;www.icj-cij.org/docket/files/117/7071.pdf&gt; accessed 6 June 2016; </w:t>
      </w:r>
      <w:r w:rsidRPr="00E33D50">
        <w:rPr>
          <w:i/>
        </w:rPr>
        <w:t xml:space="preserve">Armed Activities on the Territory of the Congo </w:t>
      </w:r>
      <w:r w:rsidRPr="00E33D50">
        <w:t>(</w:t>
      </w:r>
      <w:r w:rsidRPr="00E33D50">
        <w:rPr>
          <w:i/>
        </w:rPr>
        <w:t>Democratic Republic of the Congo</w:t>
      </w:r>
      <w:r w:rsidRPr="00E33D50">
        <w:t xml:space="preserve"> </w:t>
      </w:r>
      <w:r w:rsidRPr="00E33D50">
        <w:rPr>
          <w:i/>
        </w:rPr>
        <w:t>v</w:t>
      </w:r>
      <w:r w:rsidRPr="00E33D50">
        <w:t xml:space="preserve"> </w:t>
      </w:r>
      <w:r w:rsidRPr="00E33D50">
        <w:rPr>
          <w:i/>
        </w:rPr>
        <w:t>Burundi</w:t>
      </w:r>
      <w:r w:rsidRPr="00E33D50">
        <w:t xml:space="preserve">) (Application instituting proceedings) [23 June 1999] &lt;www.icj-cij.org/docket/files/115/7127.pdf&gt; accessed 6 June 2016; and </w:t>
      </w:r>
      <w:r w:rsidRPr="00E33D50">
        <w:rPr>
          <w:i/>
        </w:rPr>
        <w:t>DRC</w:t>
      </w:r>
      <w:r w:rsidRPr="00E33D50">
        <w:t xml:space="preserve"> </w:t>
      </w:r>
      <w:r w:rsidRPr="00E33D50">
        <w:rPr>
          <w:i/>
        </w:rPr>
        <w:t>v</w:t>
      </w:r>
      <w:r w:rsidRPr="00E33D50">
        <w:t xml:space="preserve"> </w:t>
      </w:r>
      <w:r w:rsidRPr="00E33D50">
        <w:rPr>
          <w:i/>
        </w:rPr>
        <w:t>Uganda</w:t>
      </w:r>
      <w:r w:rsidRPr="00E33D50">
        <w:t xml:space="preserve"> (Application instituting proceedings) (n </w:t>
      </w:r>
      <w:r w:rsidRPr="00E33D50">
        <w:fldChar w:fldCharType="begin"/>
      </w:r>
      <w:r w:rsidRPr="00E33D50">
        <w:instrText xml:space="preserve"> NOTEREF _Ref473552502 \h </w:instrText>
      </w:r>
      <w:r w:rsidRPr="00E33D50">
        <w:fldChar w:fldCharType="separate"/>
      </w:r>
      <w:r w:rsidRPr="00E33D50">
        <w:t>1</w:t>
      </w:r>
      <w:r w:rsidRPr="00E33D50">
        <w:fldChar w:fldCharType="end"/>
      </w:r>
      <w:r w:rsidRPr="00E33D50">
        <w:t>).</w:t>
      </w:r>
    </w:p>
  </w:footnote>
  <w:footnote w:id="28">
    <w:p w14:paraId="724DD439" w14:textId="39D4ECC4" w:rsidR="0022744F" w:rsidRPr="00E33D50" w:rsidRDefault="0022744F" w:rsidP="00BE5BBB">
      <w:pPr>
        <w:pStyle w:val="FootnoteText"/>
        <w:jc w:val="both"/>
        <w:rPr>
          <w:b/>
        </w:rPr>
      </w:pPr>
      <w:r w:rsidRPr="00E33D50">
        <w:rPr>
          <w:rStyle w:val="FootnoteReference"/>
        </w:rPr>
        <w:footnoteRef/>
      </w:r>
      <w:r w:rsidRPr="00E33D50">
        <w:t xml:space="preserve"> </w:t>
      </w:r>
      <w:r>
        <w:t xml:space="preserve">See, </w:t>
      </w:r>
      <w:r w:rsidRPr="00E33D50">
        <w:t>e.g.,</w:t>
      </w:r>
      <w:r>
        <w:t xml:space="preserve"> </w:t>
      </w:r>
      <w:r w:rsidRPr="00C63E11">
        <w:t>ibid,</w:t>
      </w:r>
      <w:r w:rsidRPr="00CD718E">
        <w:t xml:space="preserve"> 5.</w:t>
      </w:r>
    </w:p>
  </w:footnote>
  <w:footnote w:id="29">
    <w:p w14:paraId="2ED38180" w14:textId="77777777" w:rsidR="0022744F" w:rsidRPr="00E33D50" w:rsidRDefault="0022744F" w:rsidP="00BE5BBB">
      <w:pPr>
        <w:pStyle w:val="FootnoteText"/>
        <w:jc w:val="both"/>
      </w:pPr>
      <w:r w:rsidRPr="00E33D50">
        <w:rPr>
          <w:rStyle w:val="FootnoteReference"/>
        </w:rPr>
        <w:footnoteRef/>
      </w:r>
      <w:r w:rsidRPr="00E33D50">
        <w:t xml:space="preserve"> ibid, 19.</w:t>
      </w:r>
    </w:p>
  </w:footnote>
  <w:footnote w:id="30">
    <w:p w14:paraId="031BC978" w14:textId="388BFF88"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w:t>
      </w:r>
      <w:r w:rsidRPr="00E33D50">
        <w:rPr>
          <w:i/>
          <w:sz w:val="20"/>
          <w:szCs w:val="20"/>
        </w:rPr>
        <w:t>Armed Activities on the Territory of the Congo</w:t>
      </w:r>
      <w:r w:rsidRPr="00E33D50">
        <w:rPr>
          <w:sz w:val="20"/>
          <w:szCs w:val="20"/>
        </w:rPr>
        <w:t xml:space="preserve"> (</w:t>
      </w:r>
      <w:r w:rsidRPr="00E33D50">
        <w:rPr>
          <w:i/>
          <w:sz w:val="20"/>
          <w:szCs w:val="20"/>
        </w:rPr>
        <w:t>Democratic Republic of the Congo</w:t>
      </w:r>
      <w:r w:rsidRPr="00E33D50">
        <w:rPr>
          <w:sz w:val="20"/>
          <w:szCs w:val="20"/>
        </w:rPr>
        <w:t xml:space="preserve"> </w:t>
      </w:r>
      <w:r w:rsidRPr="00E33D50">
        <w:rPr>
          <w:i/>
          <w:sz w:val="20"/>
          <w:szCs w:val="20"/>
        </w:rPr>
        <w:t>v Uganda</w:t>
      </w:r>
      <w:r w:rsidRPr="00E33D50">
        <w:rPr>
          <w:sz w:val="20"/>
          <w:szCs w:val="20"/>
        </w:rPr>
        <w:t>)</w:t>
      </w:r>
      <w:r>
        <w:rPr>
          <w:sz w:val="20"/>
          <w:szCs w:val="20"/>
        </w:rPr>
        <w:t xml:space="preserve"> (D</w:t>
      </w:r>
      <w:r w:rsidRPr="00E33D50">
        <w:rPr>
          <w:sz w:val="20"/>
          <w:szCs w:val="20"/>
        </w:rPr>
        <w:t>emande en indication de mesures conservatoires République Démocratique du Congo contre la République de l’Ouganda</w:t>
      </w:r>
      <w:r>
        <w:rPr>
          <w:sz w:val="20"/>
          <w:szCs w:val="20"/>
        </w:rPr>
        <w:t>)</w:t>
      </w:r>
      <w:r w:rsidRPr="00E33D50">
        <w:rPr>
          <w:sz w:val="20"/>
          <w:szCs w:val="20"/>
        </w:rPr>
        <w:t xml:space="preserve"> [19 June 2000] &lt;www.icj-cij.org/docket/files/116/8311.pdf&gt; accessed 7 June 2016.</w:t>
      </w:r>
    </w:p>
  </w:footnote>
  <w:footnote w:id="31">
    <w:p w14:paraId="5C0CBC63" w14:textId="77777777" w:rsidR="0022744F" w:rsidRPr="00E33D50" w:rsidRDefault="0022744F" w:rsidP="00BE5BBB">
      <w:pPr>
        <w:pStyle w:val="FootnoteText"/>
        <w:jc w:val="both"/>
      </w:pPr>
      <w:r w:rsidRPr="00E33D50">
        <w:rPr>
          <w:rStyle w:val="FootnoteReference"/>
        </w:rPr>
        <w:footnoteRef/>
      </w:r>
      <w:r w:rsidRPr="00E33D50">
        <w:t xml:space="preserve"> </w:t>
      </w:r>
      <w:r w:rsidRPr="00E33D50">
        <w:rPr>
          <w:i/>
        </w:rPr>
        <w:t>Armed Activities on the Territory of the Congo</w:t>
      </w:r>
      <w:r w:rsidRPr="00E33D50">
        <w:t xml:space="preserve"> (</w:t>
      </w:r>
      <w:r w:rsidRPr="00E33D50">
        <w:rPr>
          <w:i/>
        </w:rPr>
        <w:t>Democratic Republic of the Congo</w:t>
      </w:r>
      <w:r w:rsidRPr="00E33D50">
        <w:t xml:space="preserve"> </w:t>
      </w:r>
      <w:r w:rsidRPr="00E33D50">
        <w:rPr>
          <w:i/>
        </w:rPr>
        <w:t>v Uganda</w:t>
      </w:r>
      <w:r w:rsidRPr="00E33D50">
        <w:t>) (Order, request for indication of provisional measures) [2000] &lt;www.icj-cij.org/docket/files/116/8058.pdf&gt; accessed 13 June 2016.</w:t>
      </w:r>
    </w:p>
  </w:footnote>
  <w:footnote w:id="32">
    <w:p w14:paraId="6FA3F9DB" w14:textId="6857FA34" w:rsidR="0022744F" w:rsidRPr="00E33D50" w:rsidRDefault="0022744F" w:rsidP="00BE5BBB">
      <w:pPr>
        <w:pStyle w:val="FootnoteText"/>
        <w:jc w:val="both"/>
      </w:pPr>
      <w:r w:rsidRPr="00E33D50">
        <w:rPr>
          <w:rStyle w:val="FootnoteReference"/>
        </w:rPr>
        <w:footnoteRef/>
      </w:r>
      <w:r w:rsidRPr="00E33D50">
        <w:t xml:space="preserve"> See Dino Kritsiotis, ‘Armed Activities on the Territory of the Congo (Democratic Republic of Congo v Uganda): Provisional Measures’ (2001) 50 International and Comparative Law Quarterly 662, particularly 667-70.  Thus, in effect, the Order did no more than reaffirm the decision of the Security Council in Resolution 1304.  </w:t>
      </w:r>
      <w:r w:rsidRPr="0022744F">
        <w:t>See n 90 – n 91 and accompanying text.</w:t>
      </w:r>
    </w:p>
  </w:footnote>
  <w:footnote w:id="33">
    <w:p w14:paraId="00B539E1" w14:textId="69077135" w:rsidR="0022744F" w:rsidRPr="00E33D50" w:rsidRDefault="0022744F" w:rsidP="00BE5BBB">
      <w:pPr>
        <w:pStyle w:val="FootnoteText"/>
        <w:jc w:val="both"/>
      </w:pPr>
      <w:r w:rsidRPr="00E33D50">
        <w:rPr>
          <w:rStyle w:val="FootnoteReference"/>
        </w:rPr>
        <w:footnoteRef/>
      </w:r>
      <w:r w:rsidRPr="00E33D50">
        <w:t xml:space="preserve"> </w:t>
      </w:r>
      <w:r w:rsidRPr="00E33D50">
        <w:rPr>
          <w:i/>
        </w:rPr>
        <w:t>DRC</w:t>
      </w:r>
      <w:r w:rsidRPr="00E33D50">
        <w:t xml:space="preserve"> </w:t>
      </w:r>
      <w:r w:rsidRPr="00E33D50">
        <w:rPr>
          <w:i/>
        </w:rPr>
        <w:t>v</w:t>
      </w:r>
      <w:r w:rsidRPr="00E33D50">
        <w:t xml:space="preserve"> </w:t>
      </w:r>
      <w:r w:rsidRPr="00E33D50">
        <w:rPr>
          <w:i/>
        </w:rPr>
        <w:t>Uganda</w:t>
      </w:r>
      <w:r w:rsidRPr="00E33D50">
        <w:t xml:space="preserve"> (Order</w:t>
      </w:r>
      <w:r>
        <w:t xml:space="preserve">, </w:t>
      </w:r>
      <w:r w:rsidRPr="00E33D50">
        <w:t xml:space="preserve">provisional measures) (n </w:t>
      </w:r>
      <w:r w:rsidRPr="00E33D50">
        <w:fldChar w:fldCharType="begin"/>
      </w:r>
      <w:r w:rsidRPr="00E33D50">
        <w:instrText xml:space="preserve"> NOTEREF _Ref473552603 \h </w:instrText>
      </w:r>
      <w:r w:rsidRPr="00E33D50">
        <w:fldChar w:fldCharType="separate"/>
      </w:r>
      <w:r w:rsidRPr="00E33D50">
        <w:t>30</w:t>
      </w:r>
      <w:r w:rsidRPr="00E33D50">
        <w:fldChar w:fldCharType="end"/>
      </w:r>
      <w:r w:rsidRPr="00E33D50">
        <w:t>) particularly [47].</w:t>
      </w:r>
    </w:p>
  </w:footnote>
  <w:footnote w:id="34">
    <w:p w14:paraId="437A0ED5" w14:textId="35D816F2" w:rsidR="0022744F" w:rsidRPr="00E33D50" w:rsidRDefault="0022744F" w:rsidP="00BE5BBB">
      <w:pPr>
        <w:pStyle w:val="FootnoteText"/>
        <w:jc w:val="both"/>
      </w:pPr>
      <w:r w:rsidRPr="00E33D50">
        <w:rPr>
          <w:rStyle w:val="FootnoteReference"/>
        </w:rPr>
        <w:footnoteRef/>
      </w:r>
      <w:r w:rsidRPr="00E33D50">
        <w:t xml:space="preserve"> This was exactly what was requested by the DRC: see </w:t>
      </w:r>
      <w:r w:rsidRPr="00E33D50">
        <w:rPr>
          <w:i/>
        </w:rPr>
        <w:t>Armed Activities on the Territory of the Congo</w:t>
      </w:r>
      <w:r w:rsidRPr="00E33D50">
        <w:t xml:space="preserve"> (</w:t>
      </w:r>
      <w:r w:rsidRPr="00E33D50">
        <w:rPr>
          <w:i/>
        </w:rPr>
        <w:t>Democratic Republic of the Congo</w:t>
      </w:r>
      <w:r w:rsidRPr="00E33D50">
        <w:t xml:space="preserve"> </w:t>
      </w:r>
      <w:r w:rsidRPr="00E33D50">
        <w:rPr>
          <w:i/>
        </w:rPr>
        <w:t>v Uganda</w:t>
      </w:r>
      <w:r w:rsidRPr="00E33D50">
        <w:t xml:space="preserve">) </w:t>
      </w:r>
      <w:r>
        <w:t>(</w:t>
      </w:r>
      <w:r w:rsidRPr="00E33D50">
        <w:t>Oral pleadings</w:t>
      </w:r>
      <w:r>
        <w:t>)</w:t>
      </w:r>
      <w:r w:rsidRPr="00E33D50">
        <w:t xml:space="preserve"> </w:t>
      </w:r>
      <w:r>
        <w:t>[</w:t>
      </w:r>
      <w:r w:rsidRPr="00E33D50">
        <w:t>26 June 2000</w:t>
      </w:r>
      <w:r>
        <w:t>]</w:t>
      </w:r>
      <w:r w:rsidRPr="00E33D50">
        <w:t xml:space="preserve"> CR 2000/20 (DRC) &lt;www.icj-cij.org/docket/files/116/4271.pdf&gt; accessed 13 June 2016.</w:t>
      </w:r>
    </w:p>
  </w:footnote>
  <w:footnote w:id="35">
    <w:p w14:paraId="3C97CDA8" w14:textId="77777777" w:rsidR="0022744F" w:rsidRPr="00E33D50" w:rsidRDefault="0022744F" w:rsidP="00BE5BBB">
      <w:pPr>
        <w:pStyle w:val="FootnoteText"/>
        <w:jc w:val="both"/>
      </w:pPr>
      <w:r w:rsidRPr="00E33D50">
        <w:rPr>
          <w:rStyle w:val="FootnoteReference"/>
        </w:rPr>
        <w:footnoteRef/>
      </w:r>
      <w:r w:rsidRPr="00E33D50">
        <w:t xml:space="preserve"> The Court confirmed the discontinuance of these cases, at the DRC’s behest, on 30 January 2001.  See </w:t>
      </w:r>
      <w:r w:rsidRPr="00E33D50">
        <w:rPr>
          <w:i/>
        </w:rPr>
        <w:t>Armed Activities on the Territory of the Congo</w:t>
      </w:r>
      <w:r w:rsidRPr="00E33D50">
        <w:t xml:space="preserve"> (</w:t>
      </w:r>
      <w:r w:rsidRPr="00E33D50">
        <w:rPr>
          <w:i/>
        </w:rPr>
        <w:t>Democratic Republic of the Congo</w:t>
      </w:r>
      <w:r w:rsidRPr="00E33D50">
        <w:t xml:space="preserve"> </w:t>
      </w:r>
      <w:r w:rsidRPr="00E33D50">
        <w:rPr>
          <w:i/>
        </w:rPr>
        <w:t>v Burundi</w:t>
      </w:r>
      <w:r w:rsidRPr="00E33D50">
        <w:t xml:space="preserve">) (Order) [30 January 2001] &lt;www.icj-cij.org/docket/files/115/8054.pdf&gt; accessed 13 June 2016; and </w:t>
      </w:r>
      <w:r w:rsidRPr="00E33D50">
        <w:rPr>
          <w:i/>
        </w:rPr>
        <w:t>Armed Activities on the Territory of the Congo</w:t>
      </w:r>
      <w:r w:rsidRPr="00E33D50">
        <w:t xml:space="preserve"> (</w:t>
      </w:r>
      <w:r w:rsidRPr="00E33D50">
        <w:rPr>
          <w:i/>
        </w:rPr>
        <w:t>Democratic Republic of the Congo</w:t>
      </w:r>
      <w:r w:rsidRPr="00E33D50">
        <w:t xml:space="preserve"> </w:t>
      </w:r>
      <w:r w:rsidRPr="00E33D50">
        <w:rPr>
          <w:i/>
        </w:rPr>
        <w:t>v Rwanda</w:t>
      </w:r>
      <w:r w:rsidRPr="00E33D50">
        <w:t>) (Order) [30 January 2001] &lt;www.icj-cij.org/docket/files/117/10576.pdf&gt; accessed 13 June 2016.</w:t>
      </w:r>
    </w:p>
  </w:footnote>
  <w:footnote w:id="36">
    <w:p w14:paraId="26B987E4" w14:textId="3DF515C2"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See, e.g., Christine Gray, ‘The Use and Abuse of the International Court of Justice: Cases Concerning the Use of Force since </w:t>
      </w:r>
      <w:r w:rsidRPr="00E33D50">
        <w:rPr>
          <w:i/>
          <w:sz w:val="20"/>
          <w:szCs w:val="20"/>
        </w:rPr>
        <w:t>Nicaragua</w:t>
      </w:r>
      <w:r w:rsidRPr="00E33D50">
        <w:rPr>
          <w:sz w:val="20"/>
          <w:szCs w:val="20"/>
        </w:rPr>
        <w:t xml:space="preserve">’ (2003) 14 European Journal of International Law 867, 869.  For the respective bases of jurisdiction advanced by the DRC, see, respectively, </w:t>
      </w:r>
      <w:r w:rsidRPr="00E33D50">
        <w:rPr>
          <w:i/>
          <w:sz w:val="20"/>
          <w:szCs w:val="20"/>
        </w:rPr>
        <w:t>DRC</w:t>
      </w:r>
      <w:r w:rsidRPr="00E33D50">
        <w:rPr>
          <w:sz w:val="20"/>
          <w:szCs w:val="20"/>
        </w:rPr>
        <w:t xml:space="preserve"> </w:t>
      </w:r>
      <w:r w:rsidRPr="00E33D50">
        <w:rPr>
          <w:i/>
          <w:sz w:val="20"/>
          <w:szCs w:val="20"/>
        </w:rPr>
        <w:t>v</w:t>
      </w:r>
      <w:r w:rsidRPr="00E33D50">
        <w:rPr>
          <w:sz w:val="20"/>
          <w:szCs w:val="20"/>
        </w:rPr>
        <w:t xml:space="preserve"> </w:t>
      </w:r>
      <w:r w:rsidRPr="00E33D50">
        <w:rPr>
          <w:i/>
          <w:sz w:val="20"/>
          <w:szCs w:val="20"/>
        </w:rPr>
        <w:t>Uganda</w:t>
      </w:r>
      <w:r w:rsidRPr="00E33D50">
        <w:rPr>
          <w:sz w:val="20"/>
          <w:szCs w:val="20"/>
        </w:rPr>
        <w:t xml:space="preserve"> (Application instituting proceedings) (n 1) 10-1; </w:t>
      </w:r>
      <w:r w:rsidRPr="00E33D50">
        <w:rPr>
          <w:i/>
          <w:sz w:val="20"/>
          <w:szCs w:val="20"/>
        </w:rPr>
        <w:t>DRC</w:t>
      </w:r>
      <w:r w:rsidRPr="00E33D50">
        <w:rPr>
          <w:sz w:val="20"/>
          <w:szCs w:val="20"/>
        </w:rPr>
        <w:t xml:space="preserve"> </w:t>
      </w:r>
      <w:r w:rsidRPr="00E33D50">
        <w:rPr>
          <w:i/>
          <w:sz w:val="20"/>
          <w:szCs w:val="20"/>
        </w:rPr>
        <w:t>v</w:t>
      </w:r>
      <w:r w:rsidRPr="00E33D50">
        <w:rPr>
          <w:sz w:val="20"/>
          <w:szCs w:val="20"/>
        </w:rPr>
        <w:t xml:space="preserve"> </w:t>
      </w:r>
      <w:r w:rsidRPr="00E33D50">
        <w:rPr>
          <w:i/>
          <w:sz w:val="20"/>
          <w:szCs w:val="20"/>
        </w:rPr>
        <w:t>Rwanda</w:t>
      </w:r>
      <w:r w:rsidRPr="00E33D50">
        <w:rPr>
          <w:sz w:val="20"/>
          <w:szCs w:val="20"/>
        </w:rPr>
        <w:t xml:space="preserve"> (Application instituting proceedings) (n 2</w:t>
      </w:r>
      <w:r>
        <w:rPr>
          <w:sz w:val="20"/>
          <w:szCs w:val="20"/>
        </w:rPr>
        <w:t>6</w:t>
      </w:r>
      <w:r w:rsidRPr="00E33D50">
        <w:rPr>
          <w:sz w:val="20"/>
          <w:szCs w:val="20"/>
        </w:rPr>
        <w:t xml:space="preserve">) 9-13; and </w:t>
      </w:r>
      <w:r w:rsidRPr="00E33D50">
        <w:rPr>
          <w:i/>
          <w:sz w:val="20"/>
          <w:szCs w:val="20"/>
        </w:rPr>
        <w:t>DRC</w:t>
      </w:r>
      <w:r w:rsidRPr="00E33D50">
        <w:rPr>
          <w:sz w:val="20"/>
          <w:szCs w:val="20"/>
        </w:rPr>
        <w:t xml:space="preserve"> </w:t>
      </w:r>
      <w:r w:rsidRPr="00E33D50">
        <w:rPr>
          <w:i/>
          <w:sz w:val="20"/>
          <w:szCs w:val="20"/>
        </w:rPr>
        <w:t>v</w:t>
      </w:r>
      <w:r w:rsidRPr="00E33D50">
        <w:rPr>
          <w:sz w:val="20"/>
          <w:szCs w:val="20"/>
        </w:rPr>
        <w:t xml:space="preserve"> </w:t>
      </w:r>
      <w:r w:rsidRPr="00E33D50">
        <w:rPr>
          <w:i/>
          <w:sz w:val="20"/>
          <w:szCs w:val="20"/>
        </w:rPr>
        <w:t>Burundi</w:t>
      </w:r>
      <w:r w:rsidRPr="00E33D50">
        <w:rPr>
          <w:sz w:val="20"/>
          <w:szCs w:val="20"/>
        </w:rPr>
        <w:t xml:space="preserve"> (Application instituting proceedings) (n </w:t>
      </w:r>
      <w:r w:rsidRPr="00E33D50">
        <w:rPr>
          <w:sz w:val="20"/>
          <w:szCs w:val="20"/>
        </w:rPr>
        <w:fldChar w:fldCharType="begin"/>
      </w:r>
      <w:r w:rsidRPr="00E33D50">
        <w:rPr>
          <w:sz w:val="20"/>
          <w:szCs w:val="20"/>
        </w:rPr>
        <w:instrText xml:space="preserve"> NOTEREF _Ref473553040 \h </w:instrText>
      </w:r>
      <w:r w:rsidRPr="00E33D50">
        <w:rPr>
          <w:sz w:val="20"/>
          <w:szCs w:val="20"/>
        </w:rPr>
      </w:r>
      <w:r w:rsidRPr="00E33D50">
        <w:rPr>
          <w:sz w:val="20"/>
          <w:szCs w:val="20"/>
        </w:rPr>
        <w:fldChar w:fldCharType="separate"/>
      </w:r>
      <w:r w:rsidRPr="00E33D50">
        <w:rPr>
          <w:sz w:val="20"/>
          <w:szCs w:val="20"/>
        </w:rPr>
        <w:t>26</w:t>
      </w:r>
      <w:r w:rsidRPr="00E33D50">
        <w:rPr>
          <w:sz w:val="20"/>
          <w:szCs w:val="20"/>
        </w:rPr>
        <w:fldChar w:fldCharType="end"/>
      </w:r>
      <w:r w:rsidRPr="00E33D50">
        <w:rPr>
          <w:sz w:val="20"/>
          <w:szCs w:val="20"/>
        </w:rPr>
        <w:t>) 9-11.</w:t>
      </w:r>
    </w:p>
  </w:footnote>
  <w:footnote w:id="37">
    <w:p w14:paraId="369EF1D9" w14:textId="4AF3CB0A"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w:t>
      </w:r>
      <w:r w:rsidRPr="00E33D50">
        <w:rPr>
          <w:i/>
          <w:sz w:val="20"/>
          <w:szCs w:val="20"/>
        </w:rPr>
        <w:t>Armed Activities on the Territory of the Congo</w:t>
      </w:r>
      <w:r w:rsidRPr="00E33D50">
        <w:rPr>
          <w:sz w:val="20"/>
          <w:szCs w:val="20"/>
        </w:rPr>
        <w:t xml:space="preserve"> (</w:t>
      </w:r>
      <w:r w:rsidRPr="00E33D50">
        <w:rPr>
          <w:i/>
          <w:sz w:val="20"/>
          <w:szCs w:val="20"/>
        </w:rPr>
        <w:t>New Application: 2002</w:t>
      </w:r>
      <w:r w:rsidRPr="00E33D50">
        <w:rPr>
          <w:sz w:val="20"/>
          <w:szCs w:val="20"/>
        </w:rPr>
        <w:t>) (</w:t>
      </w:r>
      <w:r w:rsidRPr="00E33D50">
        <w:rPr>
          <w:i/>
          <w:sz w:val="20"/>
          <w:szCs w:val="20"/>
        </w:rPr>
        <w:t>Democratic Republic of the Congo v Rwanda</w:t>
      </w:r>
      <w:r w:rsidRPr="00E33D50">
        <w:rPr>
          <w:sz w:val="20"/>
          <w:szCs w:val="20"/>
        </w:rPr>
        <w:t>) (Requête introductive d’instance à la Cour Internationale de Justice de la Haye contre la République de Rwanda) [28 May 2002] &lt; www.icj-cij.org/docket/files/126/7070.pdf&gt; accessed 7 June 2016.</w:t>
      </w:r>
    </w:p>
  </w:footnote>
  <w:footnote w:id="38">
    <w:p w14:paraId="0AB0D845" w14:textId="77777777" w:rsidR="0022744F" w:rsidRPr="00E33D50" w:rsidRDefault="0022744F" w:rsidP="00BE5BBB">
      <w:pPr>
        <w:pStyle w:val="FootnoteText"/>
        <w:jc w:val="both"/>
      </w:pPr>
      <w:r w:rsidRPr="00E33D50">
        <w:rPr>
          <w:rStyle w:val="FootnoteReference"/>
        </w:rPr>
        <w:footnoteRef/>
      </w:r>
      <w:r w:rsidRPr="00E33D50">
        <w:t xml:space="preserve"> ibid, 33.</w:t>
      </w:r>
    </w:p>
  </w:footnote>
  <w:footnote w:id="39">
    <w:p w14:paraId="3D6578A7" w14:textId="0FFA6469" w:rsidR="0022744F" w:rsidRPr="00E33D50" w:rsidRDefault="0022744F" w:rsidP="00BE5BBB">
      <w:pPr>
        <w:pStyle w:val="FootnoteText"/>
        <w:jc w:val="both"/>
      </w:pPr>
      <w:r w:rsidRPr="00E33D50">
        <w:rPr>
          <w:rStyle w:val="FootnoteReference"/>
        </w:rPr>
        <w:footnoteRef/>
      </w:r>
      <w:r w:rsidRPr="00E33D50">
        <w:t xml:space="preserve"> </w:t>
      </w:r>
      <w:r w:rsidRPr="00E33D50">
        <w:rPr>
          <w:i/>
        </w:rPr>
        <w:t>Armed Activities on the Territory of the Congo</w:t>
      </w:r>
      <w:r w:rsidRPr="00E33D50">
        <w:t xml:space="preserve"> (</w:t>
      </w:r>
      <w:r w:rsidRPr="00E33D50">
        <w:rPr>
          <w:i/>
        </w:rPr>
        <w:t>New Application: 2002</w:t>
      </w:r>
      <w:r w:rsidRPr="00E33D50">
        <w:t>) (</w:t>
      </w:r>
      <w:r w:rsidRPr="00E33D50">
        <w:rPr>
          <w:i/>
        </w:rPr>
        <w:t>Democratic Republic of the Congo v Rwanda</w:t>
      </w:r>
      <w:r w:rsidRPr="00E33D50">
        <w:t>) (Demande de mesures conservatoires) [28 May 2002] &lt;www.icj-cij.org/docket/files/126/8277.pdf&gt; accessed 13 June 2016.</w:t>
      </w:r>
    </w:p>
  </w:footnote>
  <w:footnote w:id="40">
    <w:p w14:paraId="78D2713C" w14:textId="77777777" w:rsidR="0022744F" w:rsidRPr="00E33D50" w:rsidRDefault="0022744F" w:rsidP="00BE5BBB">
      <w:pPr>
        <w:pStyle w:val="FootnoteText"/>
        <w:jc w:val="both"/>
      </w:pPr>
      <w:r w:rsidRPr="00E33D50">
        <w:rPr>
          <w:rStyle w:val="FootnoteReference"/>
        </w:rPr>
        <w:footnoteRef/>
      </w:r>
      <w:r w:rsidRPr="00E33D50">
        <w:t xml:space="preserve"> </w:t>
      </w:r>
      <w:r w:rsidRPr="00E33D50">
        <w:rPr>
          <w:i/>
        </w:rPr>
        <w:t>Armed Activities on the Territory of the Congo</w:t>
      </w:r>
      <w:r w:rsidRPr="00E33D50">
        <w:t xml:space="preserve"> (</w:t>
      </w:r>
      <w:r w:rsidRPr="00E33D50">
        <w:rPr>
          <w:i/>
        </w:rPr>
        <w:t>New Application: 2002</w:t>
      </w:r>
      <w:r w:rsidRPr="00E33D50">
        <w:t>) (</w:t>
      </w:r>
      <w:r w:rsidRPr="00E33D50">
        <w:rPr>
          <w:i/>
        </w:rPr>
        <w:t>Democratic Republic of the Congo v Rwanda</w:t>
      </w:r>
      <w:r w:rsidRPr="00E33D50">
        <w:t>) (Order, request for indication of provisional measures) [10 July 2002] &lt;www.icj-cij.org/docket/files/126/8158.pdf&gt; accessed 13 June 2016, particularly [58-9].  For comment, see John R Crook, ‘The 2002 Judicial Activity of the International Court of Justice’ (2003) 97 American Journal of International Law 352, 356-58.</w:t>
      </w:r>
    </w:p>
  </w:footnote>
  <w:footnote w:id="41">
    <w:p w14:paraId="3C4F1172" w14:textId="77777777" w:rsidR="0022744F" w:rsidRPr="00452B4C" w:rsidRDefault="0022744F" w:rsidP="00BE5BBB">
      <w:pPr>
        <w:pStyle w:val="FootnoteText"/>
        <w:jc w:val="both"/>
      </w:pPr>
      <w:r w:rsidRPr="00E33D50">
        <w:rPr>
          <w:rStyle w:val="FootnoteReference"/>
        </w:rPr>
        <w:footnoteRef/>
      </w:r>
      <w:r w:rsidRPr="00E33D50">
        <w:t xml:space="preserve"> </w:t>
      </w:r>
      <w:r w:rsidRPr="00E33D50">
        <w:rPr>
          <w:i/>
        </w:rPr>
        <w:t>Armed Activities on the Territory of the Congo</w:t>
      </w:r>
      <w:r w:rsidRPr="00E33D50">
        <w:t xml:space="preserve"> (</w:t>
      </w:r>
      <w:r w:rsidRPr="00E33D50">
        <w:rPr>
          <w:i/>
        </w:rPr>
        <w:t>New Application: 2002</w:t>
      </w:r>
      <w:r w:rsidRPr="00E33D50">
        <w:t>) (</w:t>
      </w:r>
      <w:r w:rsidRPr="00E33D50">
        <w:rPr>
          <w:i/>
        </w:rPr>
        <w:t>Democratic Republic of the Congo v Rwanda</w:t>
      </w:r>
      <w:r w:rsidRPr="00E33D50">
        <w:t>) (Judgment, jurisdiction of the court and admissibility of the application) [23 February 2006] &lt;www.icj-cij.</w:t>
      </w:r>
      <w:r w:rsidRPr="00452B4C">
        <w:t>org/docket/files/126/10435.pdf&gt; accessed 13 June 2016, particularly [128].</w:t>
      </w:r>
    </w:p>
  </w:footnote>
  <w:footnote w:id="42">
    <w:p w14:paraId="405D05A0" w14:textId="7E509721" w:rsidR="0022744F" w:rsidRPr="00E33D50" w:rsidRDefault="0022744F" w:rsidP="00BE5BBB">
      <w:pPr>
        <w:pStyle w:val="FootnoteText"/>
        <w:jc w:val="both"/>
      </w:pPr>
      <w:r w:rsidRPr="00452B4C">
        <w:rPr>
          <w:rStyle w:val="FootnoteReference"/>
        </w:rPr>
        <w:footnoteRef/>
      </w:r>
      <w:r w:rsidRPr="00452B4C">
        <w:t xml:space="preserve"> See n 6</w:t>
      </w:r>
      <w:r w:rsidR="00452B4C" w:rsidRPr="00452B4C">
        <w:t>7</w:t>
      </w:r>
      <w:r w:rsidRPr="00452B4C">
        <w:t xml:space="preserve"> and accompanying text.</w:t>
      </w:r>
    </w:p>
  </w:footnote>
  <w:footnote w:id="43">
    <w:p w14:paraId="4BADA257" w14:textId="2EC4B2A1" w:rsidR="0022744F" w:rsidRPr="00E33D50" w:rsidRDefault="0022744F" w:rsidP="00BE5BBB">
      <w:pPr>
        <w:pStyle w:val="FootnoteText"/>
        <w:jc w:val="both"/>
      </w:pPr>
      <w:r w:rsidRPr="00E33D50">
        <w:rPr>
          <w:rStyle w:val="FootnoteReference"/>
        </w:rPr>
        <w:footnoteRef/>
      </w:r>
      <w:r w:rsidRPr="00E33D50">
        <w:t xml:space="preserve"> See, e.g., </w:t>
      </w:r>
      <w:r w:rsidRPr="00E33D50">
        <w:rPr>
          <w:i/>
        </w:rPr>
        <w:t>Armed Activities on the Territory of the Congo</w:t>
      </w:r>
      <w:r w:rsidRPr="00E33D50">
        <w:t xml:space="preserve"> (</w:t>
      </w:r>
      <w:r w:rsidRPr="00E33D50">
        <w:rPr>
          <w:i/>
        </w:rPr>
        <w:t>Democratic Republic of the Congo</w:t>
      </w:r>
      <w:r w:rsidRPr="00E33D50">
        <w:t xml:space="preserve"> </w:t>
      </w:r>
      <w:r w:rsidRPr="00E33D50">
        <w:rPr>
          <w:i/>
        </w:rPr>
        <w:t>v</w:t>
      </w:r>
      <w:r w:rsidRPr="00E33D50">
        <w:t xml:space="preserve"> </w:t>
      </w:r>
      <w:r w:rsidRPr="00E33D50">
        <w:rPr>
          <w:i/>
        </w:rPr>
        <w:t>Uganda</w:t>
      </w:r>
      <w:r w:rsidRPr="00E33D50">
        <w:t>) (Oral pleadings) [12 April 2005] CR 2005/3 (DRC) 25-9 &lt;www.icj-cij.org/docket/files/116/4279.pdf&gt; accessed 16 December 2016.</w:t>
      </w:r>
    </w:p>
  </w:footnote>
  <w:footnote w:id="44">
    <w:p w14:paraId="5F39CDED" w14:textId="45315A52" w:rsidR="0022744F" w:rsidRPr="00E33D50" w:rsidRDefault="0022744F" w:rsidP="00BE5BBB">
      <w:pPr>
        <w:pStyle w:val="FootnoteText"/>
        <w:jc w:val="both"/>
      </w:pPr>
      <w:r w:rsidRPr="00E33D50">
        <w:rPr>
          <w:rStyle w:val="FootnoteReference"/>
        </w:rPr>
        <w:footnoteRef/>
      </w:r>
      <w:r w:rsidRPr="00E33D50">
        <w:t xml:space="preserve"> See, e.g., </w:t>
      </w:r>
      <w:r w:rsidRPr="00E33D50">
        <w:rPr>
          <w:i/>
        </w:rPr>
        <w:t>Armed Activities on the Territory of the Congo</w:t>
      </w:r>
      <w:r w:rsidRPr="00E33D50">
        <w:t xml:space="preserve"> (</w:t>
      </w:r>
      <w:r w:rsidRPr="00E33D50">
        <w:rPr>
          <w:i/>
        </w:rPr>
        <w:t>Democratic Republic of the Congo</w:t>
      </w:r>
      <w:r w:rsidRPr="00E33D50">
        <w:t xml:space="preserve"> </w:t>
      </w:r>
      <w:r w:rsidRPr="00E33D50">
        <w:rPr>
          <w:i/>
        </w:rPr>
        <w:t>v</w:t>
      </w:r>
      <w:r w:rsidRPr="00E33D50">
        <w:t xml:space="preserve"> </w:t>
      </w:r>
      <w:r w:rsidRPr="00E33D50">
        <w:rPr>
          <w:i/>
        </w:rPr>
        <w:t>Uganda</w:t>
      </w:r>
      <w:r w:rsidRPr="00E33D50">
        <w:t>) (Oral pleadings) [12 April 2005] CR 2005/11 (DRC) &lt;www.icj-cij.org/docket/files/116/4271.pdf&gt; accessed 13 June 2016, 24-30.</w:t>
      </w:r>
    </w:p>
  </w:footnote>
  <w:footnote w:id="45">
    <w:p w14:paraId="479DF3A2" w14:textId="77777777" w:rsidR="0022744F" w:rsidRPr="00E33D50" w:rsidRDefault="0022744F" w:rsidP="00BE5BBB">
      <w:pPr>
        <w:pStyle w:val="FootnoteText"/>
        <w:jc w:val="both"/>
      </w:pPr>
      <w:r w:rsidRPr="00E33D50">
        <w:rPr>
          <w:rStyle w:val="FootnoteReference"/>
        </w:rPr>
        <w:footnoteRef/>
      </w:r>
      <w:r w:rsidRPr="00E33D50">
        <w:t xml:space="preserve"> Letter Dated 31 August 1998 from the Permanent Representative of the Democratic Republic of the Congo to the United Nations addressed to the President of the Security Council (2 September 1998) UN Doc S/1998/827. This self-defence report by the DRC was unusually detailed and extensive, running to 13 pages of text.  For discussion, see James A Green, ‘The Article 51 Reporting Requirement for Self-Defense Actions’ (2015) 55 Virginia Journal of International Law 463, 604.</w:t>
      </w:r>
    </w:p>
  </w:footnote>
  <w:footnote w:id="46">
    <w:p w14:paraId="11987555" w14:textId="74C2BD27" w:rsidR="0022744F" w:rsidRPr="00E33D50" w:rsidRDefault="0022744F" w:rsidP="00BE5BBB">
      <w:pPr>
        <w:pStyle w:val="FootnoteText"/>
        <w:jc w:val="both"/>
      </w:pPr>
      <w:r w:rsidRPr="00E33D50">
        <w:rPr>
          <w:rStyle w:val="FootnoteReference"/>
        </w:rPr>
        <w:footnoteRef/>
      </w:r>
      <w:r w:rsidRPr="00E33D50">
        <w:t xml:space="preserve"> It is worth noting that Sudan was also alleged to have intervened in support of Kabila, but it denied this and so, of course, offered no legal justification.  See (n </w:t>
      </w:r>
      <w:r w:rsidRPr="00E33D50">
        <w:fldChar w:fldCharType="begin"/>
      </w:r>
      <w:r w:rsidRPr="00E33D50">
        <w:instrText xml:space="preserve"> NOTEREF _Ref473553244 \h </w:instrText>
      </w:r>
      <w:r w:rsidRPr="00E33D50">
        <w:fldChar w:fldCharType="separate"/>
      </w:r>
      <w:r w:rsidRPr="00E33D50">
        <w:t>1</w:t>
      </w:r>
      <w:r>
        <w:t>5</w:t>
      </w:r>
      <w:r w:rsidRPr="00E33D50">
        <w:fldChar w:fldCharType="end"/>
      </w:r>
      <w:r w:rsidRPr="00E33D50">
        <w:t>).</w:t>
      </w:r>
    </w:p>
  </w:footnote>
  <w:footnote w:id="47">
    <w:p w14:paraId="20D9EB70" w14:textId="77777777" w:rsidR="0022744F" w:rsidRPr="00E33D50" w:rsidRDefault="0022744F" w:rsidP="00BE5BBB">
      <w:pPr>
        <w:pStyle w:val="FootnoteText"/>
        <w:jc w:val="both"/>
      </w:pPr>
      <w:r w:rsidRPr="00E33D50">
        <w:rPr>
          <w:rStyle w:val="FootnoteReference"/>
        </w:rPr>
        <w:footnoteRef/>
      </w:r>
      <w:r w:rsidRPr="00E33D50">
        <w:t xml:space="preserve"> Letter dated 23 September 1998 from the Permanent Representative of Zimbabwe to the United Nations addressed to the President of the Security Council (25 September 1998) UN Doc S/1998/891, 3.</w:t>
      </w:r>
    </w:p>
  </w:footnote>
  <w:footnote w:id="48">
    <w:p w14:paraId="6329EBF2" w14:textId="77777777" w:rsidR="0022744F" w:rsidRPr="00E33D50" w:rsidRDefault="0022744F" w:rsidP="00BE5BBB">
      <w:pPr>
        <w:pStyle w:val="FootnoteText"/>
        <w:jc w:val="both"/>
      </w:pPr>
      <w:r w:rsidRPr="00E33D50">
        <w:rPr>
          <w:rStyle w:val="FootnoteReference"/>
        </w:rPr>
        <w:footnoteRef/>
      </w:r>
      <w:r w:rsidRPr="00E33D50">
        <w:t xml:space="preserve"> ibid.  It is worth noting that the DRC has been a member of the SADC since 8 September 1997.</w:t>
      </w:r>
    </w:p>
  </w:footnote>
  <w:footnote w:id="49">
    <w:p w14:paraId="5A4D8EF6" w14:textId="77777777" w:rsidR="0022744F" w:rsidRPr="00E33D50" w:rsidRDefault="0022744F" w:rsidP="00BE5BBB">
      <w:pPr>
        <w:pStyle w:val="FootnoteText"/>
        <w:jc w:val="both"/>
      </w:pPr>
      <w:r w:rsidRPr="00E33D50">
        <w:rPr>
          <w:rStyle w:val="FootnoteReference"/>
        </w:rPr>
        <w:footnoteRef/>
      </w:r>
      <w:r w:rsidRPr="00E33D50">
        <w:t xml:space="preserve"> UNGA Verbatim Record (23 March 1999) UN Doc A/53/PV.95, 20 (Namibia).</w:t>
      </w:r>
    </w:p>
  </w:footnote>
  <w:footnote w:id="50">
    <w:p w14:paraId="6C724A5B" w14:textId="77777777" w:rsidR="0022744F" w:rsidRPr="00E33D50" w:rsidRDefault="0022744F" w:rsidP="00BE5BBB">
      <w:pPr>
        <w:pStyle w:val="FootnoteText"/>
        <w:jc w:val="both"/>
      </w:pPr>
      <w:r w:rsidRPr="00E33D50">
        <w:rPr>
          <w:rStyle w:val="FootnoteReference"/>
        </w:rPr>
        <w:footnoteRef/>
      </w:r>
      <w:r w:rsidRPr="00E33D50">
        <w:t xml:space="preserve"> UN Doc A/53/PV.9 (n 11) 3 (Burundi).</w:t>
      </w:r>
    </w:p>
  </w:footnote>
  <w:footnote w:id="51">
    <w:p w14:paraId="779B80D6" w14:textId="78B0ACAF"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UNGA Verbatim Record (23 September 1998) UN Doc A/53/PV.12, 44 (Rwanda).  See also (August 1998) 44(8) Keesing’s 42426.</w:t>
      </w:r>
    </w:p>
  </w:footnote>
  <w:footnote w:id="52">
    <w:p w14:paraId="23AA94A5" w14:textId="77777777" w:rsidR="0022744F" w:rsidRPr="00E33D50" w:rsidRDefault="0022744F" w:rsidP="00BE5BBB">
      <w:pPr>
        <w:pStyle w:val="FootnoteText"/>
        <w:jc w:val="both"/>
      </w:pPr>
      <w:r w:rsidRPr="00E33D50">
        <w:rPr>
          <w:rStyle w:val="FootnoteReference"/>
        </w:rPr>
        <w:footnoteRef/>
      </w:r>
      <w:r w:rsidRPr="00E33D50">
        <w:t xml:space="preserve"> See ‘Rwanda Admits Having Troops in Congo’ </w:t>
      </w:r>
      <w:r w:rsidRPr="00E33D50">
        <w:rPr>
          <w:i/>
        </w:rPr>
        <w:t>BBC News</w:t>
      </w:r>
      <w:r w:rsidRPr="00E33D50">
        <w:t xml:space="preserve"> (6 November 1998) &lt;http://news.bbc.co.uk/1/hi/world/africa/209319.stm&gt; accessed 15 December 2016.</w:t>
      </w:r>
    </w:p>
  </w:footnote>
  <w:footnote w:id="53">
    <w:p w14:paraId="62153E01" w14:textId="77777777" w:rsidR="0022744F" w:rsidRPr="00E33D50" w:rsidRDefault="0022744F" w:rsidP="00BE5BBB">
      <w:pPr>
        <w:pStyle w:val="FootnoteText"/>
        <w:jc w:val="both"/>
      </w:pPr>
      <w:r w:rsidRPr="00E33D50">
        <w:rPr>
          <w:rStyle w:val="FootnoteReference"/>
        </w:rPr>
        <w:footnoteRef/>
      </w:r>
      <w:r w:rsidRPr="00E33D50">
        <w:t xml:space="preserve"> UN Doc S/2001/472 (n 12) 2.</w:t>
      </w:r>
    </w:p>
  </w:footnote>
  <w:footnote w:id="54">
    <w:p w14:paraId="63F891D0" w14:textId="77777777" w:rsidR="0022744F" w:rsidRPr="00E33D50" w:rsidRDefault="0022744F" w:rsidP="00BE5BBB">
      <w:pPr>
        <w:pStyle w:val="FootnoteText"/>
        <w:jc w:val="both"/>
      </w:pPr>
      <w:r w:rsidRPr="00E33D50">
        <w:rPr>
          <w:rStyle w:val="FootnoteReference"/>
        </w:rPr>
        <w:footnoteRef/>
      </w:r>
      <w:r w:rsidRPr="00E33D50">
        <w:t xml:space="preserve"> See Sam Kiley, ‘Uganda Joins Rebels to Widen Congo War’ </w:t>
      </w:r>
      <w:r w:rsidRPr="00E33D50">
        <w:rPr>
          <w:i/>
        </w:rPr>
        <w:t>The Times</w:t>
      </w:r>
      <w:r w:rsidRPr="00E33D50">
        <w:t xml:space="preserve"> (26 August 1998) 9.</w:t>
      </w:r>
    </w:p>
  </w:footnote>
  <w:footnote w:id="55">
    <w:p w14:paraId="51FED684" w14:textId="77777777" w:rsidR="0022744F" w:rsidRPr="00E33D50" w:rsidRDefault="0022744F" w:rsidP="00BE5BBB">
      <w:pPr>
        <w:pStyle w:val="FootnoteText"/>
        <w:jc w:val="both"/>
      </w:pPr>
      <w:r w:rsidRPr="00E33D50">
        <w:rPr>
          <w:rStyle w:val="FootnoteReference"/>
        </w:rPr>
        <w:footnoteRef/>
      </w:r>
      <w:r w:rsidRPr="00E33D50">
        <w:t xml:space="preserve"> UNSC Verbatim Record (19 March 1999) UN Doc S/PV.3987 (Resumption 1) 10 (Uganda) emphasis added.  </w:t>
      </w:r>
    </w:p>
  </w:footnote>
  <w:footnote w:id="56">
    <w:p w14:paraId="38786CC1" w14:textId="77777777" w:rsidR="0022744F" w:rsidRPr="00E33D50" w:rsidRDefault="0022744F" w:rsidP="00BE5BBB">
      <w:pPr>
        <w:pStyle w:val="FootnoteText"/>
        <w:jc w:val="both"/>
      </w:pPr>
      <w:r w:rsidRPr="00E33D50">
        <w:rPr>
          <w:rStyle w:val="FootnoteReference"/>
        </w:rPr>
        <w:footnoteRef/>
      </w:r>
      <w:r w:rsidRPr="00E33D50">
        <w:t xml:space="preserve"> UN Doc A/53/PV.95 (n </w:t>
      </w:r>
      <w:r w:rsidRPr="00E33D50">
        <w:fldChar w:fldCharType="begin"/>
      </w:r>
      <w:r w:rsidRPr="00E33D50">
        <w:instrText xml:space="preserve"> NOTEREF _Ref473559951 \h </w:instrText>
      </w:r>
      <w:r w:rsidRPr="00E33D50">
        <w:fldChar w:fldCharType="separate"/>
      </w:r>
      <w:r w:rsidRPr="00E33D50">
        <w:t>48</w:t>
      </w:r>
      <w:r w:rsidRPr="00E33D50">
        <w:fldChar w:fldCharType="end"/>
      </w:r>
      <w:r w:rsidRPr="00E33D50">
        <w:t>) 15 (Uganda).</w:t>
      </w:r>
    </w:p>
  </w:footnote>
  <w:footnote w:id="57">
    <w:p w14:paraId="7EF10A0B" w14:textId="77777777" w:rsidR="0022744F" w:rsidRPr="00E33D50" w:rsidRDefault="0022744F" w:rsidP="00BE5BBB">
      <w:pPr>
        <w:pStyle w:val="FootnoteText"/>
        <w:jc w:val="both"/>
      </w:pPr>
      <w:r w:rsidRPr="00E33D50">
        <w:rPr>
          <w:rStyle w:val="FootnoteReference"/>
        </w:rPr>
        <w:footnoteRef/>
      </w:r>
      <w:r w:rsidRPr="00E33D50">
        <w:t xml:space="preserve"> ibid, 15-6 (Uganda).</w:t>
      </w:r>
    </w:p>
  </w:footnote>
  <w:footnote w:id="58">
    <w:p w14:paraId="001B3159" w14:textId="77777777" w:rsidR="0022744F" w:rsidRPr="00E33D50" w:rsidRDefault="0022744F" w:rsidP="00BE5BBB">
      <w:pPr>
        <w:pStyle w:val="FootnoteText"/>
        <w:jc w:val="both"/>
      </w:pPr>
      <w:r w:rsidRPr="00E33D50">
        <w:rPr>
          <w:rStyle w:val="FootnoteReference"/>
        </w:rPr>
        <w:footnoteRef/>
      </w:r>
      <w:r w:rsidRPr="00E33D50">
        <w:t xml:space="preserve"> ibid, particularly at 14 (Uganda).</w:t>
      </w:r>
    </w:p>
  </w:footnote>
  <w:footnote w:id="59">
    <w:p w14:paraId="2E40E5CB" w14:textId="77777777" w:rsidR="0022744F" w:rsidRPr="00E33D50" w:rsidRDefault="0022744F" w:rsidP="00BE5BBB">
      <w:pPr>
        <w:pStyle w:val="FootnoteText"/>
        <w:jc w:val="both"/>
      </w:pPr>
      <w:r w:rsidRPr="00E33D50">
        <w:rPr>
          <w:rStyle w:val="FootnoteReference"/>
        </w:rPr>
        <w:footnoteRef/>
      </w:r>
      <w:r w:rsidRPr="00E33D50">
        <w:t xml:space="preserve"> ibid, 13-5 (Uganda).</w:t>
      </w:r>
    </w:p>
  </w:footnote>
  <w:footnote w:id="60">
    <w:p w14:paraId="0ABC7B03" w14:textId="77777777" w:rsidR="0022744F" w:rsidRPr="00E33D50" w:rsidRDefault="0022744F" w:rsidP="00BE5BBB">
      <w:pPr>
        <w:pStyle w:val="FootnoteText"/>
        <w:jc w:val="both"/>
      </w:pPr>
      <w:r w:rsidRPr="00E33D50">
        <w:rPr>
          <w:rStyle w:val="FootnoteReference"/>
        </w:rPr>
        <w:footnoteRef/>
      </w:r>
      <w:r w:rsidRPr="00E33D50">
        <w:t xml:space="preserve"> ibid, 14 (Uganda).</w:t>
      </w:r>
    </w:p>
  </w:footnote>
  <w:footnote w:id="61">
    <w:p w14:paraId="7BC7D0EB" w14:textId="77777777" w:rsidR="0022744F" w:rsidRPr="00E33D50" w:rsidRDefault="0022744F" w:rsidP="00BE5BBB">
      <w:pPr>
        <w:pStyle w:val="FootnoteText"/>
        <w:jc w:val="both"/>
      </w:pPr>
      <w:r w:rsidRPr="00E33D50">
        <w:rPr>
          <w:rStyle w:val="FootnoteReference"/>
        </w:rPr>
        <w:footnoteRef/>
      </w:r>
      <w:r w:rsidRPr="00E33D50">
        <w:t xml:space="preserve"> Letter dated 15 June 2000 from the Permanent Representative of Uganda to the United Nations addressed to the President of the Security Council (17 June 2000) UN Doc S/2000/596.  This self-defence report particularly focused on Uganda’s self-defence claim in relation to various clashes in Kisangani.</w:t>
      </w:r>
    </w:p>
  </w:footnote>
  <w:footnote w:id="62">
    <w:p w14:paraId="3BA6B55E" w14:textId="77777777" w:rsidR="0022744F" w:rsidRPr="00E33D50" w:rsidRDefault="0022744F" w:rsidP="00BE5BBB">
      <w:pPr>
        <w:pStyle w:val="FootnoteText"/>
        <w:jc w:val="both"/>
      </w:pPr>
      <w:r w:rsidRPr="00E33D50">
        <w:rPr>
          <w:rStyle w:val="FootnoteReference"/>
        </w:rPr>
        <w:footnoteRef/>
      </w:r>
      <w:r w:rsidRPr="00E33D50">
        <w:t xml:space="preserve"> See, e.g., UN Doc S/PV.3987 (Resumption 1) (n </w:t>
      </w:r>
      <w:r w:rsidRPr="00E33D50">
        <w:fldChar w:fldCharType="begin"/>
      </w:r>
      <w:r w:rsidRPr="00E33D50">
        <w:instrText xml:space="preserve"> NOTEREF _Ref473553323 \h </w:instrText>
      </w:r>
      <w:r w:rsidRPr="00E33D50">
        <w:fldChar w:fldCharType="separate"/>
      </w:r>
      <w:r w:rsidRPr="00E33D50">
        <w:t>54</w:t>
      </w:r>
      <w:r w:rsidRPr="00E33D50">
        <w:fldChar w:fldCharType="end"/>
      </w:r>
      <w:r w:rsidRPr="00E33D50">
        <w:t>) 5 (Rwanda).</w:t>
      </w:r>
    </w:p>
  </w:footnote>
  <w:footnote w:id="63">
    <w:p w14:paraId="0588A381" w14:textId="77777777" w:rsidR="0022744F" w:rsidRPr="00E33D50" w:rsidRDefault="0022744F" w:rsidP="00BE5BBB">
      <w:pPr>
        <w:pStyle w:val="FootnoteText"/>
        <w:jc w:val="both"/>
      </w:pPr>
      <w:r w:rsidRPr="00E33D50">
        <w:rPr>
          <w:rStyle w:val="FootnoteReference"/>
        </w:rPr>
        <w:footnoteRef/>
      </w:r>
      <w:r w:rsidRPr="00E33D50">
        <w:t xml:space="preserve"> Reported in the Ugandan daily newspaper, </w:t>
      </w:r>
      <w:r w:rsidRPr="00E33D50">
        <w:rPr>
          <w:i/>
        </w:rPr>
        <w:t>The New Vision</w:t>
      </w:r>
      <w:r w:rsidRPr="00E33D50">
        <w:t xml:space="preserve"> (26 August 1998) (cited in Phillip A Kasaija, ‘International Law and Uganda’s Involvement in the Democratic Republic of Congo (DROC)’ (2001-2002) 10 Miami International and Comparative Law Review 75, 76-7).</w:t>
      </w:r>
    </w:p>
  </w:footnote>
  <w:footnote w:id="64">
    <w:p w14:paraId="65F542DC" w14:textId="77777777"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Reported by the BBC World Service, ‘World: Africa Vice President of Rwanda Defiant in Face of EU Threat’ </w:t>
      </w:r>
      <w:r w:rsidRPr="00E33D50">
        <w:rPr>
          <w:i/>
          <w:sz w:val="20"/>
          <w:szCs w:val="20"/>
        </w:rPr>
        <w:t>BBC News</w:t>
      </w:r>
      <w:r w:rsidRPr="00E33D50">
        <w:rPr>
          <w:sz w:val="20"/>
          <w:szCs w:val="20"/>
        </w:rPr>
        <w:t xml:space="preserve"> (15 January 1999) &lt;http://news.bbc.co.uk/1/hi/world/africa/255802.stm&gt; accessed 15 June 2016. </w:t>
      </w:r>
    </w:p>
  </w:footnote>
  <w:footnote w:id="65">
    <w:p w14:paraId="0D12D834" w14:textId="0FB3D2EE" w:rsidR="0022744F" w:rsidRPr="00E33D50" w:rsidRDefault="0022744F" w:rsidP="00BE5BBB">
      <w:pPr>
        <w:pStyle w:val="FootnoteText"/>
        <w:jc w:val="both"/>
      </w:pPr>
      <w:r w:rsidRPr="00E33D50">
        <w:rPr>
          <w:rStyle w:val="FootnoteReference"/>
        </w:rPr>
        <w:footnoteRef/>
      </w:r>
      <w:r w:rsidRPr="00E33D50">
        <w:t xml:space="preserve"> </w:t>
      </w:r>
      <w:r w:rsidRPr="00E33D50">
        <w:rPr>
          <w:i/>
        </w:rPr>
        <w:t>Armed Activities on the Territory of the Congo</w:t>
      </w:r>
      <w:r w:rsidRPr="00E33D50">
        <w:t xml:space="preserve"> (</w:t>
      </w:r>
      <w:r w:rsidRPr="00E33D50">
        <w:rPr>
          <w:i/>
        </w:rPr>
        <w:t>Democratic Republic of the Congo</w:t>
      </w:r>
      <w:r w:rsidRPr="00E33D50">
        <w:t xml:space="preserve"> </w:t>
      </w:r>
      <w:r w:rsidRPr="00E33D50">
        <w:rPr>
          <w:i/>
        </w:rPr>
        <w:t>v</w:t>
      </w:r>
      <w:r w:rsidRPr="00E33D50">
        <w:t xml:space="preserve"> </w:t>
      </w:r>
      <w:r w:rsidRPr="00E33D50">
        <w:rPr>
          <w:i/>
        </w:rPr>
        <w:t>Uganda</w:t>
      </w:r>
      <w:r w:rsidRPr="00E33D50">
        <w:t>) (Oral pleadings) [28 June 2000] CR 2000/23 (Uganda) &lt;www.icj-cij.org/docket/files/116/4265.pdf&gt; accessed 15 June 2016.</w:t>
      </w:r>
    </w:p>
  </w:footnote>
  <w:footnote w:id="66">
    <w:p w14:paraId="26FCF40C" w14:textId="43D3AA6C" w:rsidR="0022744F" w:rsidRPr="00E33D50" w:rsidRDefault="0022744F" w:rsidP="00BE5BBB">
      <w:pPr>
        <w:pStyle w:val="FootnoteText"/>
        <w:jc w:val="both"/>
      </w:pPr>
      <w:r w:rsidRPr="00E33D50">
        <w:rPr>
          <w:rStyle w:val="FootnoteReference"/>
        </w:rPr>
        <w:footnoteRef/>
      </w:r>
      <w:r w:rsidRPr="00E33D50">
        <w:t xml:space="preserve"> </w:t>
      </w:r>
      <w:r w:rsidRPr="00E33D50">
        <w:rPr>
          <w:i/>
        </w:rPr>
        <w:t>Armed Activities on the Territory of the Congo</w:t>
      </w:r>
      <w:r w:rsidRPr="00E33D50">
        <w:t xml:space="preserve"> (</w:t>
      </w:r>
      <w:r w:rsidRPr="00E33D50">
        <w:rPr>
          <w:i/>
        </w:rPr>
        <w:t>Democratic Republic of the Congo</w:t>
      </w:r>
      <w:r w:rsidRPr="00E33D50">
        <w:t xml:space="preserve"> </w:t>
      </w:r>
      <w:r w:rsidRPr="00E33D50">
        <w:rPr>
          <w:i/>
        </w:rPr>
        <w:t>v</w:t>
      </w:r>
      <w:r w:rsidRPr="00E33D50">
        <w:t xml:space="preserve"> </w:t>
      </w:r>
      <w:r w:rsidRPr="00E33D50">
        <w:rPr>
          <w:i/>
        </w:rPr>
        <w:t>Uganda</w:t>
      </w:r>
      <w:r w:rsidRPr="00E33D50">
        <w:t>) (R</w:t>
      </w:r>
      <w:r w:rsidRPr="00E33D50">
        <w:rPr>
          <w:bCs/>
        </w:rPr>
        <w:t>ejoinder submitted by Uganda)</w:t>
      </w:r>
      <w:r w:rsidRPr="00E33D50">
        <w:t xml:space="preserve"> [6 December 2002] [89-105] &lt;www.icj-cij.org/docket/files/116/8314.pdf&gt; accessed 15 June 2016.</w:t>
      </w:r>
    </w:p>
  </w:footnote>
  <w:footnote w:id="67">
    <w:p w14:paraId="512B29D4" w14:textId="77777777" w:rsidR="0022744F" w:rsidRPr="00E33D50" w:rsidRDefault="0022744F" w:rsidP="00BE5BBB">
      <w:pPr>
        <w:pStyle w:val="FootnoteText"/>
        <w:jc w:val="both"/>
      </w:pPr>
      <w:r w:rsidRPr="00E33D50">
        <w:rPr>
          <w:rStyle w:val="FootnoteReference"/>
        </w:rPr>
        <w:footnoteRef/>
      </w:r>
      <w:r w:rsidRPr="00E33D50">
        <w:t xml:space="preserve"> ibid [106]-[60] and [551]-[95].</w:t>
      </w:r>
    </w:p>
  </w:footnote>
  <w:footnote w:id="68">
    <w:p w14:paraId="7FF09010" w14:textId="2E83AC3B"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w:t>
      </w:r>
      <w:r w:rsidRPr="00E33D50">
        <w:rPr>
          <w:i/>
          <w:sz w:val="20"/>
          <w:szCs w:val="20"/>
        </w:rPr>
        <w:t>Armed Activities on the Territory of the Congo</w:t>
      </w:r>
      <w:r w:rsidRPr="00E33D50">
        <w:rPr>
          <w:sz w:val="20"/>
          <w:szCs w:val="20"/>
        </w:rPr>
        <w:t xml:space="preserve"> (</w:t>
      </w:r>
      <w:r w:rsidRPr="00E33D50">
        <w:rPr>
          <w:i/>
          <w:sz w:val="20"/>
          <w:szCs w:val="20"/>
        </w:rPr>
        <w:t>Democratic Republic of the Congo</w:t>
      </w:r>
      <w:r w:rsidRPr="00E33D50">
        <w:rPr>
          <w:sz w:val="20"/>
          <w:szCs w:val="20"/>
        </w:rPr>
        <w:t xml:space="preserve"> </w:t>
      </w:r>
      <w:r w:rsidRPr="00E33D50">
        <w:rPr>
          <w:i/>
          <w:sz w:val="20"/>
          <w:szCs w:val="20"/>
        </w:rPr>
        <w:t>v</w:t>
      </w:r>
      <w:r w:rsidRPr="00E33D50">
        <w:rPr>
          <w:sz w:val="20"/>
          <w:szCs w:val="20"/>
        </w:rPr>
        <w:t xml:space="preserve"> </w:t>
      </w:r>
      <w:r w:rsidRPr="00E33D50">
        <w:rPr>
          <w:i/>
          <w:sz w:val="20"/>
          <w:szCs w:val="20"/>
        </w:rPr>
        <w:t>Uganda</w:t>
      </w:r>
      <w:r w:rsidRPr="00E33D50">
        <w:rPr>
          <w:sz w:val="20"/>
          <w:szCs w:val="20"/>
        </w:rPr>
        <w:t xml:space="preserve">) (Counter-memorial submitted by Uganda) [21 April 2001] [11]-[47] &lt;www.icj-cij.org/docket/files/116/8320.pdf&gt; accessed 15 December 2016.  Such attacks had previously occurred prior to Kabila’s ascendancy to power, and Uganda argued, in a strategic shift, that the DRC’s government had again begun to support groups such as the ADF (as Zaire had done previously).  </w:t>
      </w:r>
    </w:p>
  </w:footnote>
  <w:footnote w:id="69">
    <w:p w14:paraId="4AD3C526" w14:textId="77777777" w:rsidR="0022744F" w:rsidRPr="00E33D50" w:rsidRDefault="0022744F" w:rsidP="00BE5BBB">
      <w:pPr>
        <w:pStyle w:val="FootnoteText"/>
        <w:jc w:val="both"/>
      </w:pPr>
      <w:r w:rsidRPr="00E33D50">
        <w:rPr>
          <w:rStyle w:val="FootnoteReference"/>
        </w:rPr>
        <w:footnoteRef/>
      </w:r>
      <w:r w:rsidRPr="00E33D50">
        <w:t xml:space="preserve"> See, e.g., ibid [52]-[4].</w:t>
      </w:r>
    </w:p>
  </w:footnote>
  <w:footnote w:id="70">
    <w:p w14:paraId="393F2F14" w14:textId="6F00AB74" w:rsidR="0022744F" w:rsidRPr="00E33D50" w:rsidRDefault="0022744F" w:rsidP="00BE5BBB">
      <w:pPr>
        <w:pStyle w:val="FootnoteText"/>
        <w:jc w:val="both"/>
      </w:pPr>
      <w:r w:rsidRPr="00E33D50">
        <w:rPr>
          <w:rStyle w:val="FootnoteReference"/>
        </w:rPr>
        <w:footnoteRef/>
      </w:r>
      <w:r w:rsidRPr="00E33D50">
        <w:t xml:space="preserve"> </w:t>
      </w:r>
      <w:r w:rsidR="00452B4C">
        <w:t xml:space="preserve">ibid </w:t>
      </w:r>
      <w:r w:rsidRPr="00E33D50">
        <w:t>[350].</w:t>
      </w:r>
    </w:p>
  </w:footnote>
  <w:footnote w:id="71">
    <w:p w14:paraId="47FDD7CD" w14:textId="77777777" w:rsidR="0022744F" w:rsidRPr="00E33D50" w:rsidRDefault="0022744F" w:rsidP="00BE5BBB">
      <w:pPr>
        <w:pStyle w:val="FootnoteText"/>
        <w:jc w:val="both"/>
      </w:pPr>
      <w:r w:rsidRPr="00E33D50">
        <w:rPr>
          <w:rStyle w:val="FootnoteReference"/>
        </w:rPr>
        <w:footnoteRef/>
      </w:r>
      <w:r w:rsidRPr="00E33D50">
        <w:t xml:space="preserve"> ibid [359].</w:t>
      </w:r>
    </w:p>
  </w:footnote>
  <w:footnote w:id="72">
    <w:p w14:paraId="704C9C86" w14:textId="4E84099C"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w:t>
      </w:r>
      <w:r w:rsidRPr="00E33D50">
        <w:rPr>
          <w:i/>
          <w:sz w:val="20"/>
          <w:szCs w:val="20"/>
        </w:rPr>
        <w:t>Armed Activities on the Territory of the Congo</w:t>
      </w:r>
      <w:r w:rsidRPr="00E33D50">
        <w:rPr>
          <w:sz w:val="20"/>
          <w:szCs w:val="20"/>
        </w:rPr>
        <w:t xml:space="preserve"> (</w:t>
      </w:r>
      <w:r w:rsidRPr="00E33D50">
        <w:rPr>
          <w:i/>
          <w:sz w:val="20"/>
          <w:szCs w:val="20"/>
        </w:rPr>
        <w:t>Democratic Republic of the Congo</w:t>
      </w:r>
      <w:r w:rsidRPr="00E33D50">
        <w:rPr>
          <w:sz w:val="20"/>
          <w:szCs w:val="20"/>
        </w:rPr>
        <w:t xml:space="preserve"> </w:t>
      </w:r>
      <w:r w:rsidRPr="00E33D50">
        <w:rPr>
          <w:i/>
          <w:sz w:val="20"/>
          <w:szCs w:val="20"/>
        </w:rPr>
        <w:t>v Uganda</w:t>
      </w:r>
      <w:r w:rsidRPr="00E33D50">
        <w:rPr>
          <w:sz w:val="20"/>
          <w:szCs w:val="20"/>
        </w:rPr>
        <w:t>) (Mémoire de la Republique Démocratique du Congo) [6 July 2000] [517] &lt;www.icj-cij.org/docket/files/116/8321.pdf&gt; accessed 15 December 2016.</w:t>
      </w:r>
    </w:p>
  </w:footnote>
  <w:footnote w:id="73">
    <w:p w14:paraId="461DC4B4" w14:textId="77777777" w:rsidR="0022744F" w:rsidRPr="00E33D50" w:rsidRDefault="0022744F" w:rsidP="00BE5BBB">
      <w:pPr>
        <w:pStyle w:val="FootnoteText"/>
        <w:jc w:val="both"/>
      </w:pPr>
      <w:r w:rsidRPr="00E33D50">
        <w:rPr>
          <w:rStyle w:val="FootnoteReference"/>
        </w:rPr>
        <w:footnoteRef/>
      </w:r>
      <w:r w:rsidRPr="00E33D50">
        <w:t xml:space="preserve"> ibid, emphasis added.</w:t>
      </w:r>
    </w:p>
  </w:footnote>
  <w:footnote w:id="74">
    <w:p w14:paraId="7F100953" w14:textId="77777777" w:rsidR="0022744F" w:rsidRPr="00E33D50" w:rsidRDefault="0022744F" w:rsidP="00BE5BBB">
      <w:pPr>
        <w:pStyle w:val="FootnoteText"/>
        <w:jc w:val="both"/>
      </w:pPr>
      <w:r w:rsidRPr="00E33D50">
        <w:rPr>
          <w:rStyle w:val="FootnoteReference"/>
        </w:rPr>
        <w:footnoteRef/>
      </w:r>
      <w:r w:rsidRPr="00E33D50">
        <w:t xml:space="preserve"> For discussion, see Tom Ruys, </w:t>
      </w:r>
      <w:r w:rsidRPr="00E33D50">
        <w:rPr>
          <w:i/>
        </w:rPr>
        <w:t>‘Armed Attack’ and Article 51 of the UN Charter</w:t>
      </w:r>
      <w:r w:rsidRPr="00E33D50">
        <w:t xml:space="preserve"> (Cambridge University Press 2010) 479-83.</w:t>
      </w:r>
    </w:p>
  </w:footnote>
  <w:footnote w:id="75">
    <w:p w14:paraId="2542B07C" w14:textId="77777777" w:rsidR="0022744F" w:rsidRPr="00E33D50" w:rsidRDefault="0022744F" w:rsidP="00BE5BBB">
      <w:pPr>
        <w:pStyle w:val="FootnoteText"/>
        <w:jc w:val="both"/>
      </w:pPr>
      <w:r w:rsidRPr="00E33D50">
        <w:rPr>
          <w:rStyle w:val="FootnoteReference"/>
        </w:rPr>
        <w:footnoteRef/>
      </w:r>
      <w:r w:rsidRPr="00E33D50">
        <w:t xml:space="preserve"> See </w:t>
      </w:r>
      <w:r w:rsidRPr="00E33D50">
        <w:rPr>
          <w:i/>
        </w:rPr>
        <w:t>DRC v</w:t>
      </w:r>
      <w:r w:rsidRPr="00E33D50">
        <w:t xml:space="preserve"> </w:t>
      </w:r>
      <w:r w:rsidRPr="00E33D50">
        <w:rPr>
          <w:i/>
        </w:rPr>
        <w:t>Uganda</w:t>
      </w:r>
      <w:r w:rsidRPr="00E33D50">
        <w:t xml:space="preserve">, CR 2000/23 (n </w:t>
      </w:r>
      <w:r w:rsidRPr="00E33D50">
        <w:fldChar w:fldCharType="begin"/>
      </w:r>
      <w:r w:rsidRPr="00E33D50">
        <w:instrText xml:space="preserve"> NOTEREF _Ref473553434 \h </w:instrText>
      </w:r>
      <w:r w:rsidRPr="00E33D50">
        <w:fldChar w:fldCharType="separate"/>
      </w:r>
      <w:r w:rsidRPr="00E33D50">
        <w:t>64</w:t>
      </w:r>
      <w:r w:rsidRPr="00E33D50">
        <w:fldChar w:fldCharType="end"/>
      </w:r>
      <w:r w:rsidRPr="00E33D50">
        <w:t>).</w:t>
      </w:r>
    </w:p>
  </w:footnote>
  <w:footnote w:id="76">
    <w:p w14:paraId="0A795E4A" w14:textId="72F7DA87" w:rsidR="0022744F" w:rsidRPr="00E33D50" w:rsidRDefault="0022744F" w:rsidP="00BE5BBB">
      <w:pPr>
        <w:pStyle w:val="FootnoteText"/>
        <w:jc w:val="both"/>
      </w:pPr>
      <w:r w:rsidRPr="00E33D50">
        <w:rPr>
          <w:rStyle w:val="FootnoteReference"/>
        </w:rPr>
        <w:footnoteRef/>
      </w:r>
      <w:r w:rsidRPr="00E33D50">
        <w:t xml:space="preserve"> See </w:t>
      </w:r>
      <w:r w:rsidRPr="00E33D50">
        <w:rPr>
          <w:i/>
        </w:rPr>
        <w:t>DRC v</w:t>
      </w:r>
      <w:r w:rsidRPr="00E33D50">
        <w:t xml:space="preserve"> </w:t>
      </w:r>
      <w:r w:rsidRPr="00E33D50">
        <w:rPr>
          <w:i/>
        </w:rPr>
        <w:t>Uganda</w:t>
      </w:r>
      <w:r w:rsidRPr="00E33D50">
        <w:t xml:space="preserve"> (Counter-memorial submitted by Uganda) (n </w:t>
      </w:r>
      <w:r w:rsidRPr="00E33D50">
        <w:fldChar w:fldCharType="begin"/>
      </w:r>
      <w:r w:rsidRPr="00E33D50">
        <w:instrText xml:space="preserve"> NOTEREF _Ref473553374 \h </w:instrText>
      </w:r>
      <w:r w:rsidRPr="00E33D50">
        <w:fldChar w:fldCharType="separate"/>
      </w:r>
      <w:r w:rsidRPr="00E33D50">
        <w:t>67</w:t>
      </w:r>
      <w:r w:rsidRPr="00E33D50">
        <w:fldChar w:fldCharType="end"/>
      </w:r>
      <w:r w:rsidRPr="00E33D50">
        <w:t>) [329]-[71].</w:t>
      </w:r>
    </w:p>
  </w:footnote>
  <w:footnote w:id="77">
    <w:p w14:paraId="6D22FD2B" w14:textId="5546F6FC" w:rsidR="0022744F" w:rsidRPr="00E33D50" w:rsidRDefault="0022744F" w:rsidP="00BE5BBB">
      <w:pPr>
        <w:pStyle w:val="FootnoteText"/>
        <w:jc w:val="both"/>
      </w:pPr>
      <w:r w:rsidRPr="00E33D50">
        <w:rPr>
          <w:rStyle w:val="FootnoteReference"/>
        </w:rPr>
        <w:footnoteRef/>
      </w:r>
      <w:r w:rsidRPr="00E33D50">
        <w:t xml:space="preserve"> </w:t>
      </w:r>
      <w:r w:rsidRPr="00E33D50">
        <w:rPr>
          <w:i/>
        </w:rPr>
        <w:t>DRC v Uganda</w:t>
      </w:r>
      <w:r w:rsidRPr="00E33D50">
        <w:t xml:space="preserve"> (Merits) (n </w:t>
      </w:r>
      <w:r w:rsidRPr="00E33D50">
        <w:fldChar w:fldCharType="begin"/>
      </w:r>
      <w:r w:rsidRPr="00E33D50">
        <w:instrText xml:space="preserve"> NOTEREF _Ref473553498 \h </w:instrText>
      </w:r>
      <w:r w:rsidRPr="00E33D50">
        <w:fldChar w:fldCharType="separate"/>
      </w:r>
      <w:r w:rsidRPr="00E33D50">
        <w:t>15</w:t>
      </w:r>
      <w:r w:rsidRPr="00E33D50">
        <w:fldChar w:fldCharType="end"/>
      </w:r>
      <w:r w:rsidRPr="00E33D50">
        <w:t>) [144].</w:t>
      </w:r>
    </w:p>
  </w:footnote>
  <w:footnote w:id="78">
    <w:p w14:paraId="725754FA" w14:textId="28E5D9AA" w:rsidR="0022744F" w:rsidRPr="00E33D50" w:rsidRDefault="0022744F" w:rsidP="00BE5BBB">
      <w:pPr>
        <w:pStyle w:val="FootnoteText"/>
        <w:jc w:val="both"/>
      </w:pPr>
      <w:r w:rsidRPr="00E33D50">
        <w:rPr>
          <w:rStyle w:val="FootnoteReference"/>
        </w:rPr>
        <w:footnoteRef/>
      </w:r>
      <w:r w:rsidRPr="00E33D50">
        <w:t xml:space="preserve"> See, e.g., </w:t>
      </w:r>
      <w:r w:rsidRPr="00E33D50">
        <w:rPr>
          <w:i/>
        </w:rPr>
        <w:t>DRC v</w:t>
      </w:r>
      <w:r w:rsidRPr="00E33D50">
        <w:t xml:space="preserve"> </w:t>
      </w:r>
      <w:r w:rsidRPr="00E33D50">
        <w:rPr>
          <w:i/>
        </w:rPr>
        <w:t>Uganda</w:t>
      </w:r>
      <w:r w:rsidRPr="00E33D50">
        <w:t xml:space="preserve"> (Counter-memorial submitted by Uganda) (n </w:t>
      </w:r>
      <w:r w:rsidRPr="00E33D50">
        <w:fldChar w:fldCharType="begin"/>
      </w:r>
      <w:r w:rsidRPr="00E33D50">
        <w:instrText xml:space="preserve"> NOTEREF _Ref473553374 \h </w:instrText>
      </w:r>
      <w:r w:rsidRPr="00E33D50">
        <w:fldChar w:fldCharType="separate"/>
      </w:r>
      <w:r w:rsidRPr="00E33D50">
        <w:t>67</w:t>
      </w:r>
      <w:r w:rsidRPr="00E33D50">
        <w:fldChar w:fldCharType="end"/>
      </w:r>
      <w:r w:rsidRPr="00E33D50">
        <w:t>) [331].</w:t>
      </w:r>
    </w:p>
  </w:footnote>
  <w:footnote w:id="79">
    <w:p w14:paraId="1B63EC7D" w14:textId="77777777"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Phoebe N Okowa, ‘Case Concerning Armed Activities on the Territory of the Congo’ (2006) 55 International and Comparative Law Quarterly 742, 749.</w:t>
      </w:r>
    </w:p>
  </w:footnote>
  <w:footnote w:id="80">
    <w:p w14:paraId="63744004" w14:textId="77777777"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w:t>
      </w:r>
      <w:r w:rsidRPr="00E33D50">
        <w:rPr>
          <w:i/>
          <w:sz w:val="20"/>
          <w:szCs w:val="20"/>
        </w:rPr>
        <w:t>DRC v</w:t>
      </w:r>
      <w:r w:rsidRPr="00E33D50">
        <w:rPr>
          <w:sz w:val="20"/>
          <w:szCs w:val="20"/>
        </w:rPr>
        <w:t xml:space="preserve"> </w:t>
      </w:r>
      <w:r w:rsidRPr="00E33D50">
        <w:rPr>
          <w:i/>
          <w:sz w:val="20"/>
          <w:szCs w:val="20"/>
        </w:rPr>
        <w:t>Uganda</w:t>
      </w:r>
      <w:r w:rsidRPr="00E33D50">
        <w:rPr>
          <w:sz w:val="20"/>
          <w:szCs w:val="20"/>
        </w:rPr>
        <w:t>, CR 2005/3 (n 42) 42 [35].</w:t>
      </w:r>
    </w:p>
  </w:footnote>
  <w:footnote w:id="81">
    <w:p w14:paraId="7DC8B3AA" w14:textId="73475E88"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See, generally, </w:t>
      </w:r>
      <w:r w:rsidRPr="00E33D50">
        <w:rPr>
          <w:i/>
          <w:sz w:val="20"/>
          <w:szCs w:val="20"/>
        </w:rPr>
        <w:t>Armed Activities on the Territory of the Congo</w:t>
      </w:r>
      <w:r w:rsidRPr="00E33D50">
        <w:rPr>
          <w:sz w:val="20"/>
          <w:szCs w:val="20"/>
        </w:rPr>
        <w:t xml:space="preserve"> (</w:t>
      </w:r>
      <w:r w:rsidRPr="00E33D50">
        <w:rPr>
          <w:i/>
          <w:sz w:val="20"/>
          <w:szCs w:val="20"/>
        </w:rPr>
        <w:t>Democratic Republic of the Congo</w:t>
      </w:r>
      <w:r w:rsidRPr="00E33D50">
        <w:rPr>
          <w:sz w:val="20"/>
          <w:szCs w:val="20"/>
        </w:rPr>
        <w:t xml:space="preserve"> </w:t>
      </w:r>
      <w:r w:rsidRPr="00E33D50">
        <w:rPr>
          <w:i/>
          <w:sz w:val="20"/>
          <w:szCs w:val="20"/>
        </w:rPr>
        <w:t>v Rwanda</w:t>
      </w:r>
      <w:r w:rsidRPr="00E33D50">
        <w:rPr>
          <w:sz w:val="20"/>
          <w:szCs w:val="20"/>
        </w:rPr>
        <w:t xml:space="preserve">), (Memorial of the Republic of Rwanda) [21 April 2000] &lt;www.icj-cij.org/docket/files/117/13465.pdf&gt; accessed 15 June 2016; and </w:t>
      </w:r>
      <w:r w:rsidRPr="00E33D50">
        <w:rPr>
          <w:i/>
          <w:sz w:val="20"/>
          <w:szCs w:val="20"/>
        </w:rPr>
        <w:t>Armed Activities on the Territory of the Congo</w:t>
      </w:r>
      <w:r w:rsidRPr="00E33D50">
        <w:rPr>
          <w:sz w:val="20"/>
          <w:szCs w:val="20"/>
        </w:rPr>
        <w:t xml:space="preserve"> (</w:t>
      </w:r>
      <w:r w:rsidRPr="00E33D50">
        <w:rPr>
          <w:i/>
          <w:sz w:val="20"/>
          <w:szCs w:val="20"/>
        </w:rPr>
        <w:t>Democratic Republic of the Congo</w:t>
      </w:r>
      <w:r w:rsidRPr="00E33D50">
        <w:rPr>
          <w:sz w:val="20"/>
          <w:szCs w:val="20"/>
        </w:rPr>
        <w:t xml:space="preserve"> </w:t>
      </w:r>
      <w:r w:rsidRPr="00E33D50">
        <w:rPr>
          <w:i/>
          <w:sz w:val="20"/>
          <w:szCs w:val="20"/>
        </w:rPr>
        <w:t>v Burundi</w:t>
      </w:r>
      <w:r w:rsidRPr="00E33D50">
        <w:rPr>
          <w:sz w:val="20"/>
          <w:szCs w:val="20"/>
        </w:rPr>
        <w:t>) (Memoire de la République du Burundi) [21 April 2000] &lt;www.icj-cij.org/docket/files/115/13462.pdf&gt; accessed 15 June 2016.</w:t>
      </w:r>
    </w:p>
  </w:footnote>
  <w:footnote w:id="82">
    <w:p w14:paraId="17A17546" w14:textId="5C71D831"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w:t>
      </w:r>
      <w:r w:rsidRPr="00E33D50">
        <w:rPr>
          <w:i/>
          <w:sz w:val="20"/>
          <w:szCs w:val="20"/>
        </w:rPr>
        <w:t>Armed Activities on the Territory of the Congo</w:t>
      </w:r>
      <w:r w:rsidRPr="00E33D50">
        <w:rPr>
          <w:sz w:val="20"/>
          <w:szCs w:val="20"/>
        </w:rPr>
        <w:t xml:space="preserve"> (</w:t>
      </w:r>
      <w:r w:rsidRPr="00E33D50">
        <w:rPr>
          <w:i/>
          <w:sz w:val="20"/>
          <w:szCs w:val="20"/>
        </w:rPr>
        <w:t>New Application: 2002</w:t>
      </w:r>
      <w:r w:rsidRPr="00E33D50">
        <w:rPr>
          <w:sz w:val="20"/>
          <w:szCs w:val="20"/>
        </w:rPr>
        <w:t>) (</w:t>
      </w:r>
      <w:r w:rsidRPr="00E33D50">
        <w:rPr>
          <w:i/>
          <w:sz w:val="20"/>
          <w:szCs w:val="20"/>
        </w:rPr>
        <w:t>Democratic Republic of the Congo v Rwanda</w:t>
      </w:r>
      <w:r w:rsidRPr="00E33D50">
        <w:rPr>
          <w:sz w:val="20"/>
          <w:szCs w:val="20"/>
        </w:rPr>
        <w:t>) (Oral pleadings) [13 June 2002] CR 2002/37, [5] (Rwanda) &lt;www.icj-cij.org/docket/files/126/4143.pdf&gt; accessed 15 June 2016.</w:t>
      </w:r>
    </w:p>
  </w:footnote>
  <w:footnote w:id="83">
    <w:p w14:paraId="281CC34A" w14:textId="77777777" w:rsidR="0022744F" w:rsidRPr="00E33D50" w:rsidRDefault="0022744F" w:rsidP="00BE5BBB">
      <w:pPr>
        <w:pStyle w:val="FootnoteText"/>
        <w:jc w:val="both"/>
      </w:pPr>
      <w:r w:rsidRPr="00E33D50">
        <w:rPr>
          <w:rStyle w:val="FootnoteReference"/>
        </w:rPr>
        <w:footnoteRef/>
      </w:r>
      <w:r w:rsidRPr="00E33D50">
        <w:t xml:space="preserve"> UN Doc S/2001/472 (n 12) 2.</w:t>
      </w:r>
    </w:p>
  </w:footnote>
  <w:footnote w:id="84">
    <w:p w14:paraId="727CC4F2" w14:textId="77777777"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Statement by the President of the Security Council (13 July 1998) UN Doc S/PRST/1998/20.</w:t>
      </w:r>
    </w:p>
  </w:footnote>
  <w:footnote w:id="85">
    <w:p w14:paraId="379C7AAA" w14:textId="77777777"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Statement by the President of the Security Council (31 August 1998) UN Doc S/PRST/1998/26.</w:t>
      </w:r>
    </w:p>
  </w:footnote>
  <w:footnote w:id="86">
    <w:p w14:paraId="091AA440" w14:textId="77777777"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ibid.</w:t>
      </w:r>
    </w:p>
  </w:footnote>
  <w:footnote w:id="87">
    <w:p w14:paraId="5E1BF295" w14:textId="77777777" w:rsidR="0022744F" w:rsidRPr="00E33D50" w:rsidRDefault="0022744F" w:rsidP="00BE5BBB">
      <w:pPr>
        <w:pStyle w:val="FootnoteText"/>
        <w:jc w:val="both"/>
      </w:pPr>
      <w:r w:rsidRPr="00E33D50">
        <w:rPr>
          <w:rStyle w:val="FootnoteReference"/>
        </w:rPr>
        <w:footnoteRef/>
      </w:r>
      <w:r w:rsidRPr="00E33D50">
        <w:t xml:space="preserve"> UNGA Res 53/1 L (11 January 1999) UN Doc A/RES/53/1 L, 6.</w:t>
      </w:r>
    </w:p>
  </w:footnote>
  <w:footnote w:id="88">
    <w:p w14:paraId="713614F8" w14:textId="77777777" w:rsidR="0022744F" w:rsidRPr="00E33D50" w:rsidRDefault="0022744F" w:rsidP="00BE5BBB">
      <w:pPr>
        <w:pStyle w:val="FootnoteText"/>
        <w:jc w:val="both"/>
      </w:pPr>
      <w:r w:rsidRPr="00E33D50">
        <w:rPr>
          <w:rStyle w:val="FootnoteReference"/>
        </w:rPr>
        <w:footnoteRef/>
      </w:r>
      <w:r w:rsidRPr="00E33D50">
        <w:t xml:space="preserve"> UNGA Res 53/160 (9 February 1999) UN Doc A/RES/53/160.  In addition, the General Assembly passed a number of other resolutions during its 53rd session that dealt more broadly with questions of peace and security in central Africa, clearly in response to the conflict, albeit not explicitly engaging with it directly.  See UNGA Res 53/92 (16 December 1998) UN Doc A/RES/53/92; UNGA Res 53/78 A (8 January 1999) UN Doc A/RES/53/78 A; UNGA Res 53/94 (11 February 1999) UN Doc A/RES/53/94.</w:t>
      </w:r>
    </w:p>
  </w:footnote>
  <w:footnote w:id="89">
    <w:p w14:paraId="42CF5BF0" w14:textId="77777777" w:rsidR="0022744F" w:rsidRPr="00E33D50" w:rsidRDefault="0022744F" w:rsidP="00BE5BBB">
      <w:pPr>
        <w:pStyle w:val="FootnoteText"/>
        <w:jc w:val="both"/>
      </w:pPr>
      <w:r w:rsidRPr="00E33D50">
        <w:rPr>
          <w:rStyle w:val="FootnoteReference"/>
        </w:rPr>
        <w:footnoteRef/>
      </w:r>
      <w:r w:rsidRPr="00E33D50">
        <w:t xml:space="preserve"> UNSC Res 1234 (9 April 1999) UN Doc S/RES/1234.  </w:t>
      </w:r>
    </w:p>
  </w:footnote>
  <w:footnote w:id="90">
    <w:p w14:paraId="2806EB1E" w14:textId="77777777" w:rsidR="0022744F" w:rsidRPr="00E33D50" w:rsidRDefault="0022744F" w:rsidP="00BE5BBB">
      <w:pPr>
        <w:pStyle w:val="FootnoteText"/>
        <w:jc w:val="both"/>
      </w:pPr>
      <w:r w:rsidRPr="00E33D50">
        <w:rPr>
          <w:rStyle w:val="FootnoteReference"/>
        </w:rPr>
        <w:footnoteRef/>
      </w:r>
      <w:r w:rsidRPr="00E33D50">
        <w:t xml:space="preserve"> Christine Gray, </w:t>
      </w:r>
      <w:r w:rsidRPr="00E33D50">
        <w:rPr>
          <w:i/>
        </w:rPr>
        <w:t>International Law and the Use of Force</w:t>
      </w:r>
      <w:r w:rsidRPr="00E33D50">
        <w:t xml:space="preserve"> (3rd ed., Oxford University Press 2008) 70.</w:t>
      </w:r>
    </w:p>
  </w:footnote>
  <w:footnote w:id="91">
    <w:p w14:paraId="2C76AB13" w14:textId="07BE6E51" w:rsidR="0022744F" w:rsidRPr="00E33D50" w:rsidRDefault="0022744F" w:rsidP="00BE5BBB">
      <w:pPr>
        <w:pStyle w:val="FootnoteText"/>
        <w:jc w:val="both"/>
      </w:pPr>
      <w:r w:rsidRPr="00E33D50">
        <w:rPr>
          <w:rStyle w:val="FootnoteReference"/>
        </w:rPr>
        <w:footnoteRef/>
      </w:r>
      <w:r w:rsidRPr="00E33D50">
        <w:t xml:space="preserve"> UNSC Res 1304 (16 June 2000) UN Doc S/RES/1304.</w:t>
      </w:r>
    </w:p>
  </w:footnote>
  <w:footnote w:id="92">
    <w:p w14:paraId="5F8DD530" w14:textId="0394E9B2" w:rsidR="0022744F" w:rsidRPr="00E33D50" w:rsidRDefault="0022744F" w:rsidP="00BE5BBB">
      <w:pPr>
        <w:pStyle w:val="FootnoteText"/>
        <w:jc w:val="both"/>
      </w:pPr>
      <w:r w:rsidRPr="00E33D50">
        <w:rPr>
          <w:rStyle w:val="FootnoteReference"/>
        </w:rPr>
        <w:footnoteRef/>
      </w:r>
      <w:r w:rsidRPr="00E33D50">
        <w:t xml:space="preserve"> ibid</w:t>
      </w:r>
      <w:r w:rsidR="00452B4C">
        <w:t>, emphasis added</w:t>
      </w:r>
      <w:r w:rsidRPr="00E33D50">
        <w:t>.</w:t>
      </w:r>
    </w:p>
  </w:footnote>
  <w:footnote w:id="93">
    <w:p w14:paraId="5F3871BF" w14:textId="5EB3E29C" w:rsidR="0022744F" w:rsidRPr="00E33D50" w:rsidRDefault="0022744F" w:rsidP="00BE5BBB">
      <w:pPr>
        <w:pStyle w:val="FootnoteText"/>
        <w:jc w:val="both"/>
      </w:pPr>
      <w:r w:rsidRPr="00481B07">
        <w:rPr>
          <w:rStyle w:val="FootnoteReference"/>
        </w:rPr>
        <w:footnoteRef/>
      </w:r>
      <w:r w:rsidRPr="00481B07">
        <w:t xml:space="preserve"> </w:t>
      </w:r>
      <w:r w:rsidRPr="00452B4C">
        <w:t xml:space="preserve">Gray, </w:t>
      </w:r>
      <w:r w:rsidRPr="00481B07">
        <w:rPr>
          <w:i/>
        </w:rPr>
        <w:t>International Law and the Use of Force</w:t>
      </w:r>
      <w:r w:rsidRPr="00452B4C" w:rsidDel="00481B07">
        <w:rPr>
          <w:i/>
        </w:rPr>
        <w:t xml:space="preserve"> </w:t>
      </w:r>
      <w:r w:rsidRPr="00452B4C">
        <w:t xml:space="preserve">(n </w:t>
      </w:r>
      <w:r w:rsidRPr="00452B4C">
        <w:fldChar w:fldCharType="begin"/>
      </w:r>
      <w:r w:rsidRPr="00452B4C">
        <w:instrText xml:space="preserve"> NOTEREF _Ref473559721 \h </w:instrText>
      </w:r>
      <w:r>
        <w:instrText xml:space="preserve"> \* MERGEFORMAT </w:instrText>
      </w:r>
      <w:r w:rsidRPr="00452B4C">
        <w:fldChar w:fldCharType="separate"/>
      </w:r>
      <w:r w:rsidRPr="00452B4C">
        <w:t>89</w:t>
      </w:r>
      <w:r w:rsidRPr="00452B4C">
        <w:fldChar w:fldCharType="end"/>
      </w:r>
      <w:r w:rsidRPr="00452B4C">
        <w:t>) 70.</w:t>
      </w:r>
    </w:p>
  </w:footnote>
  <w:footnote w:id="94">
    <w:p w14:paraId="13708807" w14:textId="77777777" w:rsidR="0022744F" w:rsidRPr="00E33D50" w:rsidRDefault="0022744F" w:rsidP="00BE5BBB">
      <w:pPr>
        <w:pStyle w:val="FootnoteText"/>
        <w:jc w:val="both"/>
      </w:pPr>
      <w:r w:rsidRPr="00E33D50">
        <w:rPr>
          <w:rStyle w:val="FootnoteReference"/>
        </w:rPr>
        <w:footnoteRef/>
      </w:r>
      <w:r w:rsidRPr="00E33D50">
        <w:t xml:space="preserve"> UNSC Res 1279 (30 November 1999) UN Doc S/RES/1279.</w:t>
      </w:r>
    </w:p>
  </w:footnote>
  <w:footnote w:id="95">
    <w:p w14:paraId="5F1F2DA3" w14:textId="77777777" w:rsidR="0022744F" w:rsidRPr="00E33D50" w:rsidRDefault="0022744F" w:rsidP="00BE5BBB">
      <w:pPr>
        <w:pStyle w:val="FootnoteText"/>
        <w:jc w:val="both"/>
      </w:pPr>
      <w:r w:rsidRPr="00E33D50">
        <w:rPr>
          <w:rStyle w:val="FootnoteReference"/>
        </w:rPr>
        <w:footnoteRef/>
      </w:r>
      <w:r w:rsidRPr="00E33D50">
        <w:t xml:space="preserve"> ibid.</w:t>
      </w:r>
    </w:p>
  </w:footnote>
  <w:footnote w:id="96">
    <w:p w14:paraId="4A26AFCA" w14:textId="77777777" w:rsidR="0022744F" w:rsidRPr="00E33D50" w:rsidRDefault="0022744F" w:rsidP="00BE5BBB">
      <w:pPr>
        <w:pStyle w:val="FootnoteText"/>
        <w:jc w:val="both"/>
      </w:pPr>
      <w:r w:rsidRPr="00E33D50">
        <w:rPr>
          <w:rStyle w:val="FootnoteReference"/>
        </w:rPr>
        <w:footnoteRef/>
      </w:r>
      <w:r w:rsidRPr="00E33D50">
        <w:t xml:space="preserve"> UNSC Res 1291 (24 February 2000) UN Doc S/RES/1291.</w:t>
      </w:r>
    </w:p>
  </w:footnote>
  <w:footnote w:id="97">
    <w:p w14:paraId="4932AF99" w14:textId="77777777"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For a full list of these resolutions, see MONUC, United Nations Organization Mission in the Democratic Republic of the Congo, United Nations Documents on MONUC, Resolutions of the Security Council &lt;www.un.org/en/peacekeeping/missions/past/monuc/resolutions.shtml&gt; accessed 5 July 2016; and MONUSCO, United Nations Organization Stabilization Mission in the Democratic Republic of the Congo, United Nations Documents on MONUSCO, Resolutions of the Security Council &lt;www.un.org/en/peacekeeping/missions/monusco/resolutions.shtml&gt; accessed 5 July 2016.</w:t>
      </w:r>
    </w:p>
  </w:footnote>
  <w:footnote w:id="98">
    <w:p w14:paraId="38876AE8" w14:textId="77777777"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Statement on the situation in the Democratic Republic of the Congo issued in Brussels on 11 August 1998 by the Presidency of the European Union (13 August 1998) UN Doc S/1998/753.</w:t>
      </w:r>
    </w:p>
  </w:footnote>
  <w:footnote w:id="99">
    <w:p w14:paraId="3E1D1674" w14:textId="77777777"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See Declaration by the Presidency of the European Union concerning the humanitarian situation in the Democratic Republic of the Congo (21 August 1998) UN Doc S/1998/788; and Statement on the situation in the Democratic Republic of the Congo issued on 28 August 1998 by the Presidency of the European Union (1 September 1998) UN Doc S/1998/824.</w:t>
      </w:r>
    </w:p>
  </w:footnote>
  <w:footnote w:id="100">
    <w:p w14:paraId="7CF3479D" w14:textId="77777777"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Communiqué issued by the Central Organ of the Organization of African Unity Mechanism for Conflict Prevention, Management and Resolution, at the ambassadorial level (Addis Ababa, 18 August 1998) UN Doc S/1998/774.</w:t>
      </w:r>
    </w:p>
  </w:footnote>
  <w:footnote w:id="101">
    <w:p w14:paraId="1C0F4C52" w14:textId="77777777" w:rsidR="0022744F" w:rsidRPr="00E33D50" w:rsidRDefault="0022744F" w:rsidP="00BE5BBB">
      <w:pPr>
        <w:pStyle w:val="FootnoteText"/>
        <w:jc w:val="both"/>
      </w:pPr>
      <w:r w:rsidRPr="00E33D50">
        <w:rPr>
          <w:rStyle w:val="FootnoteReference"/>
        </w:rPr>
        <w:footnoteRef/>
      </w:r>
      <w:r w:rsidRPr="00E33D50">
        <w:t xml:space="preserve"> See Susan Breau, </w:t>
      </w:r>
      <w:r w:rsidRPr="00E33D50">
        <w:rPr>
          <w:i/>
        </w:rPr>
        <w:t>The Responsibility to Protect in International Law: An Emerging Paradigm Shift</w:t>
      </w:r>
      <w:r w:rsidRPr="00E33D50">
        <w:t xml:space="preserve"> (Routledge 2016) 224-5.</w:t>
      </w:r>
    </w:p>
  </w:footnote>
  <w:footnote w:id="102">
    <w:p w14:paraId="11EFAA0D" w14:textId="77777777" w:rsidR="0022744F" w:rsidRPr="00E33D50" w:rsidRDefault="0022744F" w:rsidP="00BE5BBB">
      <w:pPr>
        <w:pStyle w:val="FootnoteText"/>
        <w:jc w:val="both"/>
      </w:pPr>
      <w:r w:rsidRPr="00E33D50">
        <w:rPr>
          <w:rStyle w:val="FootnoteReference"/>
        </w:rPr>
        <w:footnoteRef/>
      </w:r>
      <w:r w:rsidRPr="00E33D50">
        <w:t xml:space="preserve"> UN Doc A/53/PV.95 (n </w:t>
      </w:r>
      <w:r w:rsidRPr="00E33D50">
        <w:fldChar w:fldCharType="begin"/>
      </w:r>
      <w:r w:rsidRPr="00E33D50">
        <w:instrText xml:space="preserve"> NOTEREF _Ref473559951 \h </w:instrText>
      </w:r>
      <w:r w:rsidRPr="00E33D50">
        <w:fldChar w:fldCharType="separate"/>
      </w:r>
      <w:r w:rsidRPr="00E33D50">
        <w:t>48</w:t>
      </w:r>
      <w:r w:rsidRPr="00E33D50">
        <w:fldChar w:fldCharType="end"/>
      </w:r>
      <w:r w:rsidRPr="00E33D50">
        <w:t>) 7 (Burkina Faso, representing the OAU).</w:t>
      </w:r>
    </w:p>
  </w:footnote>
  <w:footnote w:id="103">
    <w:p w14:paraId="325B7A68" w14:textId="1F9CF006"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The Summit of Heads of State or Governments of the Southern African Development Community (SADC), Grand Baie, the Republic of Mauritius, Communique (13-14 September 1998) 88 &lt;www.sadc.int/files/3913/5292/8384/SADC_SUMMIT_COMMUNIQUES_1980-2006.pdf&gt; accessed 29 November 2016. The Summit ‘commended the Governments of Angola, Namibia and Zimbabwe for timorously providing troops to assist the Government and people of the DRC defeat the illegal attempt by rebels and their allies to capture the capital city, Kinshasa, and other strategic areas’.  For the claim that this acted as legitimating authorisation, </w:t>
      </w:r>
      <w:r w:rsidRPr="009216D2">
        <w:rPr>
          <w:sz w:val="20"/>
          <w:szCs w:val="20"/>
        </w:rPr>
        <w:t>see n 4</w:t>
      </w:r>
      <w:r w:rsidR="009216D2" w:rsidRPr="009216D2">
        <w:rPr>
          <w:sz w:val="20"/>
          <w:szCs w:val="20"/>
        </w:rPr>
        <w:t>7</w:t>
      </w:r>
      <w:r w:rsidRPr="009216D2">
        <w:rPr>
          <w:sz w:val="20"/>
          <w:szCs w:val="20"/>
        </w:rPr>
        <w:t xml:space="preserve"> – n 4</w:t>
      </w:r>
      <w:r w:rsidR="009216D2" w:rsidRPr="009216D2">
        <w:rPr>
          <w:sz w:val="20"/>
          <w:szCs w:val="20"/>
        </w:rPr>
        <w:t>8</w:t>
      </w:r>
      <w:r w:rsidRPr="009216D2">
        <w:rPr>
          <w:sz w:val="20"/>
          <w:szCs w:val="20"/>
        </w:rPr>
        <w:t xml:space="preserve"> and accompanying text.</w:t>
      </w:r>
    </w:p>
  </w:footnote>
  <w:footnote w:id="104">
    <w:p w14:paraId="7A73BEC5" w14:textId="77777777"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Charles R Majinge, ‘The Future of Peacekeeping in Africa and the Normative Role of the African Union’ (2010) 2 Göttingen Journal of International Law 463, 482.</w:t>
      </w:r>
    </w:p>
  </w:footnote>
  <w:footnote w:id="105">
    <w:p w14:paraId="456A8759" w14:textId="77777777"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Rodrigo Tavares, </w:t>
      </w:r>
      <w:r w:rsidRPr="00E33D50">
        <w:rPr>
          <w:i/>
          <w:sz w:val="20"/>
          <w:szCs w:val="20"/>
        </w:rPr>
        <w:t>Regional Security: The Capacity of International Organizations</w:t>
      </w:r>
      <w:r w:rsidRPr="00E33D50">
        <w:rPr>
          <w:sz w:val="20"/>
          <w:szCs w:val="20"/>
        </w:rPr>
        <w:t xml:space="preserve"> (Routledge 2010) 63-4.</w:t>
      </w:r>
    </w:p>
  </w:footnote>
  <w:footnote w:id="106">
    <w:p w14:paraId="22D73DDF" w14:textId="77777777" w:rsidR="0022744F" w:rsidRPr="00E33D50" w:rsidRDefault="0022744F" w:rsidP="00BE5BBB">
      <w:pPr>
        <w:pStyle w:val="FootnoteText"/>
        <w:jc w:val="both"/>
      </w:pPr>
      <w:r w:rsidRPr="00E33D50">
        <w:rPr>
          <w:rStyle w:val="FootnoteReference"/>
        </w:rPr>
        <w:footnoteRef/>
      </w:r>
      <w:r w:rsidRPr="00E33D50">
        <w:t xml:space="preserve"> UNSC ‘Developments in 1998, Communications (August)’ (1998) UNYB 84.</w:t>
      </w:r>
    </w:p>
  </w:footnote>
  <w:footnote w:id="107">
    <w:p w14:paraId="366D5400" w14:textId="77777777"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See Emeric Rogier, </w:t>
      </w:r>
      <w:r w:rsidRPr="00E33D50">
        <w:rPr>
          <w:i/>
          <w:sz w:val="20"/>
          <w:szCs w:val="20"/>
        </w:rPr>
        <w:t>The Labyrinthine Path to Peace in the Democratic Republic of Congo</w:t>
      </w:r>
      <w:r w:rsidRPr="00E33D50">
        <w:rPr>
          <w:sz w:val="20"/>
          <w:szCs w:val="20"/>
        </w:rPr>
        <w:t xml:space="preserve"> (Institute for Security Studies 2003) 4.</w:t>
      </w:r>
    </w:p>
  </w:footnote>
  <w:footnote w:id="108">
    <w:p w14:paraId="1B3C627D" w14:textId="77777777" w:rsidR="0022744F" w:rsidRPr="00E33D50" w:rsidRDefault="0022744F" w:rsidP="00BE5BBB">
      <w:pPr>
        <w:pStyle w:val="FootnoteText"/>
        <w:jc w:val="both"/>
      </w:pPr>
      <w:r w:rsidRPr="00E33D50">
        <w:rPr>
          <w:rStyle w:val="FootnoteReference"/>
        </w:rPr>
        <w:footnoteRef/>
      </w:r>
      <w:r w:rsidRPr="00E33D50">
        <w:t xml:space="preserve"> UNGA Verbatim Record (24 March 1999) UN Doc A/53/PV.96, 9-10 (Zambia).</w:t>
      </w:r>
    </w:p>
  </w:footnote>
  <w:footnote w:id="109">
    <w:p w14:paraId="769B0AC2" w14:textId="77777777" w:rsidR="0022744F" w:rsidRPr="00E33D50" w:rsidRDefault="0022744F" w:rsidP="00BE5BBB">
      <w:pPr>
        <w:pStyle w:val="FootnoteText"/>
        <w:jc w:val="both"/>
      </w:pPr>
      <w:r w:rsidRPr="00E33D50">
        <w:rPr>
          <w:rStyle w:val="FootnoteReference"/>
        </w:rPr>
        <w:footnoteRef/>
      </w:r>
      <w:r w:rsidRPr="00E33D50">
        <w:t xml:space="preserve"> ibid, 4-6 (Libya).</w:t>
      </w:r>
    </w:p>
  </w:footnote>
  <w:footnote w:id="110">
    <w:p w14:paraId="34F89AE8" w14:textId="77777777" w:rsidR="0022744F" w:rsidRPr="00E33D50" w:rsidRDefault="0022744F" w:rsidP="00BE5BBB">
      <w:pPr>
        <w:pStyle w:val="FootnoteText"/>
        <w:jc w:val="both"/>
      </w:pPr>
      <w:r w:rsidRPr="00E33D50">
        <w:rPr>
          <w:rStyle w:val="FootnoteReference"/>
        </w:rPr>
        <w:footnoteRef/>
      </w:r>
      <w:r w:rsidRPr="00E33D50">
        <w:t xml:space="preserve"> UN Doc A/53/PV.95 (n </w:t>
      </w:r>
      <w:r w:rsidRPr="00E33D50">
        <w:fldChar w:fldCharType="begin"/>
      </w:r>
      <w:r w:rsidRPr="00E33D50">
        <w:instrText xml:space="preserve"> NOTEREF _Ref473559951 \h </w:instrText>
      </w:r>
      <w:r w:rsidRPr="00E33D50">
        <w:fldChar w:fldCharType="separate"/>
      </w:r>
      <w:r w:rsidRPr="00E33D50">
        <w:t>48</w:t>
      </w:r>
      <w:r w:rsidRPr="00E33D50">
        <w:fldChar w:fldCharType="end"/>
      </w:r>
      <w:r w:rsidRPr="00E33D50">
        <w:t>) 20 (South Africa).</w:t>
      </w:r>
    </w:p>
  </w:footnote>
  <w:footnote w:id="111">
    <w:p w14:paraId="405B7572" w14:textId="77777777" w:rsidR="0022744F" w:rsidRPr="00E33D50" w:rsidRDefault="0022744F" w:rsidP="00BE5BBB">
      <w:pPr>
        <w:pStyle w:val="FootnoteText"/>
        <w:jc w:val="both"/>
      </w:pPr>
      <w:r w:rsidRPr="00E33D50">
        <w:rPr>
          <w:rStyle w:val="FootnoteReference"/>
        </w:rPr>
        <w:footnoteRef/>
      </w:r>
      <w:r w:rsidRPr="00E33D50">
        <w:t xml:space="preserve"> ibid, 21 (South Africa).</w:t>
      </w:r>
    </w:p>
  </w:footnote>
  <w:footnote w:id="112">
    <w:p w14:paraId="0FB574FA" w14:textId="77777777" w:rsidR="0022744F" w:rsidRPr="00E33D50" w:rsidRDefault="0022744F" w:rsidP="00BE5BBB">
      <w:pPr>
        <w:pStyle w:val="FootnoteText"/>
        <w:jc w:val="both"/>
      </w:pPr>
      <w:r w:rsidRPr="00E33D50">
        <w:rPr>
          <w:rStyle w:val="FootnoteReference"/>
        </w:rPr>
        <w:footnoteRef/>
      </w:r>
      <w:r w:rsidRPr="00E33D50">
        <w:t xml:space="preserve"> ibid, 19 (Malaysia).</w:t>
      </w:r>
    </w:p>
  </w:footnote>
  <w:footnote w:id="113">
    <w:p w14:paraId="3F555723" w14:textId="77777777" w:rsidR="0022744F" w:rsidRPr="00E33D50" w:rsidRDefault="0022744F" w:rsidP="00BE5BBB">
      <w:pPr>
        <w:pStyle w:val="FootnoteText"/>
        <w:jc w:val="both"/>
      </w:pPr>
      <w:r w:rsidRPr="00E33D50">
        <w:rPr>
          <w:rStyle w:val="FootnoteReference"/>
        </w:rPr>
        <w:footnoteRef/>
      </w:r>
      <w:r w:rsidRPr="00E33D50">
        <w:t xml:space="preserve"> UN Doc A/53/PV.96 (n </w:t>
      </w:r>
      <w:r w:rsidRPr="00E33D50">
        <w:fldChar w:fldCharType="begin"/>
      </w:r>
      <w:r w:rsidRPr="00E33D50">
        <w:instrText xml:space="preserve"> NOTEREF _Ref473560308 \h </w:instrText>
      </w:r>
      <w:r w:rsidRPr="00E33D50">
        <w:fldChar w:fldCharType="separate"/>
      </w:r>
      <w:r w:rsidRPr="00E33D50">
        <w:t>107</w:t>
      </w:r>
      <w:r w:rsidRPr="00E33D50">
        <w:fldChar w:fldCharType="end"/>
      </w:r>
      <w:r w:rsidRPr="00E33D50">
        <w:t>) 4 (Slovenia).</w:t>
      </w:r>
    </w:p>
  </w:footnote>
  <w:footnote w:id="114">
    <w:p w14:paraId="47FCBC05" w14:textId="21D01B44" w:rsidR="0022744F" w:rsidRPr="00E33D50" w:rsidRDefault="0022744F" w:rsidP="00BE5BBB">
      <w:pPr>
        <w:pStyle w:val="FootnoteText"/>
        <w:jc w:val="both"/>
      </w:pPr>
      <w:r w:rsidRPr="00E33D50">
        <w:rPr>
          <w:rStyle w:val="FootnoteReference"/>
        </w:rPr>
        <w:footnoteRef/>
      </w:r>
      <w:r w:rsidRPr="00E33D50">
        <w:t xml:space="preserve"> UNSC Verbatim Record (19 March 1999) UN Doc S/PV.3987, 8 (Argentina).  See also </w:t>
      </w:r>
      <w:r w:rsidRPr="00DC50F7">
        <w:t xml:space="preserve">Gray, </w:t>
      </w:r>
      <w:r w:rsidRPr="00DC50F7">
        <w:rPr>
          <w:i/>
        </w:rPr>
        <w:t>International Law and the Use of Force</w:t>
      </w:r>
      <w:r w:rsidRPr="00DC50F7" w:rsidDel="00481B07">
        <w:rPr>
          <w:i/>
        </w:rPr>
        <w:t xml:space="preserve"> </w:t>
      </w:r>
      <w:r w:rsidRPr="00DC50F7">
        <w:t xml:space="preserve">(n </w:t>
      </w:r>
      <w:r w:rsidRPr="00DC50F7">
        <w:fldChar w:fldCharType="begin"/>
      </w:r>
      <w:r w:rsidRPr="00DC50F7">
        <w:instrText xml:space="preserve"> NOTEREF _Ref473559721 \h </w:instrText>
      </w:r>
      <w:r>
        <w:instrText xml:space="preserve"> \* MERGEFORMAT </w:instrText>
      </w:r>
      <w:r w:rsidRPr="00DC50F7">
        <w:fldChar w:fldCharType="separate"/>
      </w:r>
      <w:r w:rsidRPr="00DC50F7">
        <w:t>89</w:t>
      </w:r>
      <w:r w:rsidRPr="00DC50F7">
        <w:fldChar w:fldCharType="end"/>
      </w:r>
      <w:r w:rsidRPr="00DC50F7">
        <w:t xml:space="preserve">) </w:t>
      </w:r>
      <w:r w:rsidRPr="00E33D50">
        <w:t>68.</w:t>
      </w:r>
    </w:p>
  </w:footnote>
  <w:footnote w:id="115">
    <w:p w14:paraId="45C5F1A5" w14:textId="77777777" w:rsidR="0022744F" w:rsidRPr="00E33D50" w:rsidRDefault="0022744F" w:rsidP="00BE5BBB">
      <w:pPr>
        <w:pStyle w:val="FootnoteText"/>
        <w:jc w:val="both"/>
      </w:pPr>
      <w:r w:rsidRPr="00E33D50">
        <w:rPr>
          <w:rStyle w:val="FootnoteReference"/>
        </w:rPr>
        <w:footnoteRef/>
      </w:r>
      <w:r w:rsidRPr="00E33D50">
        <w:t xml:space="preserve"> See, for in-depth analysis, Arimatsu (n </w:t>
      </w:r>
      <w:r w:rsidRPr="00E33D50">
        <w:fldChar w:fldCharType="begin"/>
      </w:r>
      <w:r w:rsidRPr="00E33D50">
        <w:instrText xml:space="preserve"> NOTEREF _Ref473560335 \h </w:instrText>
      </w:r>
      <w:r w:rsidRPr="00E33D50">
        <w:fldChar w:fldCharType="separate"/>
      </w:r>
      <w:r w:rsidRPr="00E33D50">
        <w:t>18</w:t>
      </w:r>
      <w:r w:rsidRPr="00E33D50">
        <w:fldChar w:fldCharType="end"/>
      </w:r>
      <w:r w:rsidRPr="00E33D50">
        <w:t>) in general, but particularly at 167-85.</w:t>
      </w:r>
    </w:p>
  </w:footnote>
  <w:footnote w:id="116">
    <w:p w14:paraId="55D41B03" w14:textId="305F5D0D" w:rsidR="0022744F" w:rsidRPr="00E33D50" w:rsidRDefault="0022744F" w:rsidP="00BE5BBB">
      <w:pPr>
        <w:pStyle w:val="FootnoteText"/>
        <w:jc w:val="both"/>
      </w:pPr>
      <w:r w:rsidRPr="00E33D50">
        <w:rPr>
          <w:rStyle w:val="FootnoteReference"/>
        </w:rPr>
        <w:footnoteRef/>
      </w:r>
      <w:r w:rsidRPr="00E33D50">
        <w:t xml:space="preserve"> See, e.g., </w:t>
      </w:r>
      <w:r w:rsidRPr="00E33D50">
        <w:rPr>
          <w:i/>
        </w:rPr>
        <w:t>DRC v Uganda</w:t>
      </w:r>
      <w:r w:rsidRPr="00E33D50">
        <w:t xml:space="preserve"> </w:t>
      </w:r>
      <w:r>
        <w:t>(</w:t>
      </w:r>
      <w:r w:rsidRPr="00E33D50">
        <w:t>Merits</w:t>
      </w:r>
      <w:r>
        <w:t>)</w:t>
      </w:r>
      <w:r w:rsidRPr="00E33D50">
        <w:t xml:space="preserve"> (n </w:t>
      </w:r>
      <w:r w:rsidRPr="00E33D50">
        <w:fldChar w:fldCharType="begin"/>
      </w:r>
      <w:r w:rsidRPr="00E33D50">
        <w:instrText xml:space="preserve"> NOTEREF _Ref473553498 \h </w:instrText>
      </w:r>
      <w:r w:rsidRPr="00E33D50">
        <w:fldChar w:fldCharType="separate"/>
      </w:r>
      <w:r w:rsidRPr="00E33D50">
        <w:t>15</w:t>
      </w:r>
      <w:r w:rsidRPr="00E33D50">
        <w:fldChar w:fldCharType="end"/>
      </w:r>
      <w:r w:rsidRPr="00E33D50">
        <w:t>) [181]-[221].</w:t>
      </w:r>
    </w:p>
  </w:footnote>
  <w:footnote w:id="117">
    <w:p w14:paraId="451D1449" w14:textId="77777777"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See, e.g., </w:t>
      </w:r>
      <w:r w:rsidRPr="00E33D50">
        <w:rPr>
          <w:i/>
          <w:sz w:val="20"/>
          <w:szCs w:val="20"/>
        </w:rPr>
        <w:t>D.R. Congo v Burundi, Rwanda and Uganda</w:t>
      </w:r>
      <w:r w:rsidRPr="00E33D50">
        <w:rPr>
          <w:sz w:val="20"/>
          <w:szCs w:val="20"/>
        </w:rPr>
        <w:t>, African Commission on Human and Peoples’ Rights, Communication No. 227/99 (2003) &lt;http://hrlibrary.umn.edu/africa/comcases/227-99.html&gt; accessed 21 July 2016.</w:t>
      </w:r>
    </w:p>
  </w:footnote>
  <w:footnote w:id="118">
    <w:p w14:paraId="07A01854" w14:textId="77777777"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See, e.g., Denis M Tull, ‘Peacekeeping in the Democratic Republic of Congo: Waging Peace and Fighting War’ (2009) 16 International Peacekeeping 215.</w:t>
      </w:r>
    </w:p>
  </w:footnote>
  <w:footnote w:id="119">
    <w:p w14:paraId="23D1FFE5" w14:textId="6816FE30" w:rsidR="0022744F" w:rsidRPr="00E33D50" w:rsidRDefault="0022744F" w:rsidP="00BE5BBB">
      <w:pPr>
        <w:pStyle w:val="FootnoteText"/>
        <w:jc w:val="both"/>
      </w:pPr>
      <w:r w:rsidRPr="00E33D50">
        <w:rPr>
          <w:rStyle w:val="FootnoteReference"/>
        </w:rPr>
        <w:footnoteRef/>
      </w:r>
      <w:r w:rsidRPr="00E33D50">
        <w:t xml:space="preserve"> See, e.g., </w:t>
      </w:r>
      <w:r w:rsidRPr="00E33D50">
        <w:rPr>
          <w:i/>
        </w:rPr>
        <w:t>DRC v Uganda</w:t>
      </w:r>
      <w:r w:rsidRPr="00E33D50">
        <w:t xml:space="preserve"> </w:t>
      </w:r>
      <w:r>
        <w:t>(</w:t>
      </w:r>
      <w:r w:rsidRPr="00E33D50">
        <w:t>Merits</w:t>
      </w:r>
      <w:r>
        <w:t>)</w:t>
      </w:r>
      <w:r w:rsidRPr="00E33D50">
        <w:t xml:space="preserve"> (n </w:t>
      </w:r>
      <w:r w:rsidRPr="00E33D50">
        <w:fldChar w:fldCharType="begin"/>
      </w:r>
      <w:r w:rsidRPr="00E33D50">
        <w:instrText xml:space="preserve"> NOTEREF _Ref473553498 \h </w:instrText>
      </w:r>
      <w:r w:rsidRPr="00E33D50">
        <w:fldChar w:fldCharType="separate"/>
      </w:r>
      <w:r w:rsidRPr="00E33D50">
        <w:t>15</w:t>
      </w:r>
      <w:r w:rsidRPr="00E33D50">
        <w:fldChar w:fldCharType="end"/>
      </w:r>
      <w:r w:rsidRPr="00E33D50">
        <w:t>) [222]-[50].</w:t>
      </w:r>
    </w:p>
  </w:footnote>
  <w:footnote w:id="120">
    <w:p w14:paraId="4A52C291" w14:textId="77777777" w:rsidR="0022744F" w:rsidRPr="009216D2" w:rsidRDefault="0022744F" w:rsidP="00BE5BBB">
      <w:pPr>
        <w:pStyle w:val="FootnoteText"/>
        <w:jc w:val="both"/>
      </w:pPr>
      <w:r w:rsidRPr="00E33D50">
        <w:rPr>
          <w:rStyle w:val="FootnoteReference"/>
        </w:rPr>
        <w:footnoteRef/>
      </w:r>
      <w:r w:rsidRPr="00E33D50">
        <w:t xml:space="preserve"> Although the Court held, for example, that it had not been established that Uganda participated in the attack on Kitona on 4 August 1998.  ibid [62]-[</w:t>
      </w:r>
      <w:r w:rsidRPr="009216D2">
        <w:t>71].</w:t>
      </w:r>
    </w:p>
  </w:footnote>
  <w:footnote w:id="121">
    <w:p w14:paraId="63FF0E5D" w14:textId="77777777" w:rsidR="0022744F" w:rsidRPr="009216D2" w:rsidRDefault="0022744F" w:rsidP="00BE5BBB">
      <w:pPr>
        <w:jc w:val="both"/>
        <w:rPr>
          <w:sz w:val="20"/>
          <w:szCs w:val="20"/>
        </w:rPr>
      </w:pPr>
      <w:r w:rsidRPr="009216D2">
        <w:rPr>
          <w:rStyle w:val="FootnoteReference"/>
          <w:sz w:val="20"/>
          <w:szCs w:val="20"/>
        </w:rPr>
        <w:footnoteRef/>
      </w:r>
      <w:r w:rsidRPr="009216D2">
        <w:rPr>
          <w:sz w:val="20"/>
          <w:szCs w:val="20"/>
        </w:rPr>
        <w:t xml:space="preserve"> See, e.g., Andrew Mollel, ‘International Adjudication and Resolution of Armed Conflicts in the African Great Lakes: A Focus on the DRC Conflict’ (2009) 1 Journal of Law and Conflict Resolution 10, particularly at 22.</w:t>
      </w:r>
    </w:p>
  </w:footnote>
  <w:footnote w:id="122">
    <w:p w14:paraId="4AD6EFE2" w14:textId="2482F534" w:rsidR="0022744F" w:rsidRPr="00E33D50" w:rsidRDefault="0022744F" w:rsidP="00BE5BBB">
      <w:pPr>
        <w:pStyle w:val="FootnoteText"/>
        <w:jc w:val="both"/>
      </w:pPr>
      <w:r w:rsidRPr="009216D2">
        <w:rPr>
          <w:rStyle w:val="FootnoteReference"/>
        </w:rPr>
        <w:footnoteRef/>
      </w:r>
      <w:r w:rsidRPr="009216D2">
        <w:t xml:space="preserve"> See n </w:t>
      </w:r>
      <w:r w:rsidR="009216D2" w:rsidRPr="009216D2">
        <w:t xml:space="preserve">55 </w:t>
      </w:r>
      <w:r w:rsidRPr="009216D2">
        <w:t xml:space="preserve">and accompanying text; and n </w:t>
      </w:r>
      <w:r w:rsidR="009216D2" w:rsidRPr="009216D2">
        <w:t xml:space="preserve">65 </w:t>
      </w:r>
      <w:r w:rsidRPr="009216D2">
        <w:t>and accompanying text.</w:t>
      </w:r>
    </w:p>
  </w:footnote>
  <w:footnote w:id="123">
    <w:p w14:paraId="32BD92BC" w14:textId="77777777" w:rsidR="0022744F" w:rsidRPr="00E33D50" w:rsidRDefault="0022744F" w:rsidP="00BE5BBB">
      <w:pPr>
        <w:pStyle w:val="FootnoteText"/>
        <w:jc w:val="both"/>
      </w:pPr>
      <w:r w:rsidRPr="00E33D50">
        <w:rPr>
          <w:rStyle w:val="FootnoteReference"/>
        </w:rPr>
        <w:footnoteRef/>
      </w:r>
      <w:r w:rsidRPr="00E33D50">
        <w:t xml:space="preserve"> See Louise Doswald-Beck, ‘The Legal Validity of Military Intervention by Invitation of the Government’ (1986) 56 British Yearbook of International Law 189; and Max Byrne, ‘Consent and the Use of Force: an Examination of “Intervention by Invitation” as a Basis for US Drone Strikes in Pakistan, Somalia and Yemen’ (2016) 3 Journal on the Use of Force and International Law 97.</w:t>
      </w:r>
    </w:p>
  </w:footnote>
  <w:footnote w:id="124">
    <w:p w14:paraId="2DB303C6" w14:textId="77777777" w:rsidR="0022744F" w:rsidRPr="00E33D50" w:rsidRDefault="0022744F" w:rsidP="00BE5BBB">
      <w:pPr>
        <w:pStyle w:val="FootnoteText"/>
        <w:jc w:val="both"/>
      </w:pPr>
      <w:r w:rsidRPr="00E33D50">
        <w:rPr>
          <w:rStyle w:val="FootnoteReference"/>
        </w:rPr>
        <w:footnoteRef/>
      </w:r>
      <w:r w:rsidRPr="00E33D50">
        <w:t xml:space="preserve"> ibid, 99.</w:t>
      </w:r>
    </w:p>
  </w:footnote>
  <w:footnote w:id="125">
    <w:p w14:paraId="47A495BA" w14:textId="2332F0F5" w:rsidR="0022744F" w:rsidRPr="00E33D50" w:rsidRDefault="0022744F" w:rsidP="00BE5BBB">
      <w:pPr>
        <w:pStyle w:val="FootnoteText"/>
        <w:jc w:val="both"/>
      </w:pPr>
      <w:r w:rsidRPr="00E33D50">
        <w:rPr>
          <w:rStyle w:val="FootnoteReference"/>
        </w:rPr>
        <w:footnoteRef/>
      </w:r>
      <w:r w:rsidRPr="00E33D50">
        <w:t xml:space="preserve"> </w:t>
      </w:r>
      <w:r w:rsidRPr="00E33D50">
        <w:rPr>
          <w:i/>
        </w:rPr>
        <w:t>DRC v Uganda</w:t>
      </w:r>
      <w:r w:rsidRPr="00E33D50">
        <w:t xml:space="preserve"> </w:t>
      </w:r>
      <w:r>
        <w:t>(</w:t>
      </w:r>
      <w:r w:rsidRPr="00E33D50">
        <w:t>Merits</w:t>
      </w:r>
      <w:r>
        <w:t>)</w:t>
      </w:r>
      <w:r w:rsidRPr="00E33D50">
        <w:t xml:space="preserve"> (n </w:t>
      </w:r>
      <w:r w:rsidRPr="00E33D50">
        <w:fldChar w:fldCharType="begin"/>
      </w:r>
      <w:r w:rsidRPr="00E33D50">
        <w:instrText xml:space="preserve"> NOTEREF _Ref473553498 \h </w:instrText>
      </w:r>
      <w:r w:rsidRPr="00E33D50">
        <w:fldChar w:fldCharType="separate"/>
      </w:r>
      <w:r w:rsidRPr="00E33D50">
        <w:t>15</w:t>
      </w:r>
      <w:r w:rsidRPr="00E33D50">
        <w:fldChar w:fldCharType="end"/>
      </w:r>
      <w:r w:rsidRPr="00E33D50">
        <w:t>) [49].</w:t>
      </w:r>
    </w:p>
  </w:footnote>
  <w:footnote w:id="126">
    <w:p w14:paraId="1010CF66" w14:textId="77777777" w:rsidR="0022744F" w:rsidRPr="00E33D50" w:rsidRDefault="0022744F" w:rsidP="00BE5BBB">
      <w:pPr>
        <w:pStyle w:val="FootnoteText"/>
        <w:jc w:val="both"/>
      </w:pPr>
      <w:r w:rsidRPr="00E33D50">
        <w:rPr>
          <w:rStyle w:val="FootnoteReference"/>
        </w:rPr>
        <w:footnoteRef/>
      </w:r>
      <w:r w:rsidRPr="00E33D50">
        <w:t xml:space="preserve"> See, e.g., ibid [106].</w:t>
      </w:r>
    </w:p>
  </w:footnote>
  <w:footnote w:id="127">
    <w:p w14:paraId="6FF132D3" w14:textId="77777777" w:rsidR="0022744F" w:rsidRPr="00E33D50" w:rsidRDefault="0022744F" w:rsidP="00BE5BBB">
      <w:pPr>
        <w:pStyle w:val="FootnoteText"/>
        <w:jc w:val="both"/>
      </w:pPr>
      <w:r w:rsidRPr="00E33D50">
        <w:rPr>
          <w:rStyle w:val="FootnoteReference"/>
        </w:rPr>
        <w:footnoteRef/>
      </w:r>
      <w:r w:rsidRPr="00E33D50">
        <w:t xml:space="preserve"> See ibid [49]-[51]; and Arimatsu (n </w:t>
      </w:r>
      <w:r w:rsidRPr="00E33D50">
        <w:fldChar w:fldCharType="begin"/>
      </w:r>
      <w:r w:rsidRPr="00E33D50">
        <w:instrText xml:space="preserve"> NOTEREF _Ref473560335 \h </w:instrText>
      </w:r>
      <w:r w:rsidRPr="00E33D50">
        <w:fldChar w:fldCharType="separate"/>
      </w:r>
      <w:r w:rsidRPr="00E33D50">
        <w:t>18</w:t>
      </w:r>
      <w:r w:rsidRPr="00E33D50">
        <w:fldChar w:fldCharType="end"/>
      </w:r>
      <w:r w:rsidRPr="00E33D50">
        <w:t>) 174.</w:t>
      </w:r>
    </w:p>
  </w:footnote>
  <w:footnote w:id="128">
    <w:p w14:paraId="1337C064" w14:textId="22E2D0FE" w:rsidR="0022744F" w:rsidRPr="00E33D50" w:rsidRDefault="0022744F" w:rsidP="00BE5BBB">
      <w:pPr>
        <w:pStyle w:val="FootnoteText"/>
        <w:jc w:val="both"/>
      </w:pPr>
      <w:r w:rsidRPr="00E33D50">
        <w:rPr>
          <w:rStyle w:val="FootnoteReference"/>
        </w:rPr>
        <w:footnoteRef/>
      </w:r>
      <w:r w:rsidRPr="00E33D50">
        <w:t xml:space="preserve"> </w:t>
      </w:r>
      <w:r w:rsidRPr="00E33D50">
        <w:rPr>
          <w:i/>
        </w:rPr>
        <w:t>DRC v Uganda</w:t>
      </w:r>
      <w:r w:rsidRPr="00E33D50">
        <w:t xml:space="preserve"> </w:t>
      </w:r>
      <w:r>
        <w:t>(</w:t>
      </w:r>
      <w:r w:rsidRPr="00E33D50">
        <w:t>Merits</w:t>
      </w:r>
      <w:r>
        <w:t>)</w:t>
      </w:r>
      <w:r w:rsidRPr="00E33D50">
        <w:t xml:space="preserve"> (n </w:t>
      </w:r>
      <w:r w:rsidRPr="00E33D50">
        <w:fldChar w:fldCharType="begin"/>
      </w:r>
      <w:r w:rsidRPr="00E33D50">
        <w:instrText xml:space="preserve"> NOTEREF _Ref473553498 \h </w:instrText>
      </w:r>
      <w:r w:rsidRPr="00E33D50">
        <w:fldChar w:fldCharType="separate"/>
      </w:r>
      <w:r w:rsidRPr="00E33D50">
        <w:t>15</w:t>
      </w:r>
      <w:r w:rsidRPr="00E33D50">
        <w:fldChar w:fldCharType="end"/>
      </w:r>
      <w:r w:rsidRPr="00E33D50">
        <w:t>) [42]-[54].</w:t>
      </w:r>
    </w:p>
  </w:footnote>
  <w:footnote w:id="129">
    <w:p w14:paraId="5CDC79FE" w14:textId="77777777" w:rsidR="0022744F" w:rsidRPr="00E33D50" w:rsidRDefault="0022744F" w:rsidP="00BE5BBB">
      <w:pPr>
        <w:pStyle w:val="FootnoteText"/>
        <w:jc w:val="both"/>
      </w:pPr>
      <w:r w:rsidRPr="00E33D50">
        <w:rPr>
          <w:rStyle w:val="FootnoteReference"/>
        </w:rPr>
        <w:footnoteRef/>
      </w:r>
      <w:r w:rsidRPr="00E33D50">
        <w:t xml:space="preserve"> ibid.</w:t>
      </w:r>
    </w:p>
  </w:footnote>
  <w:footnote w:id="130">
    <w:p w14:paraId="1140F1EC" w14:textId="77777777"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See, e.g., Constantine Antonopoulos, ‘The Unilateral Use of Force by States after the End of the Cold War’ (1999) 4 Journal of Armed Conflict Law 117, 138.  However, for a contrary view, see Phillip Apuuli Kasaija, ‘International Law and Uganda’s Involvement in the Democratic Republic of the Congo (DROC)’ (2001-2002) 10 University of Miami International and Comparative Law Review 75, 82-4.</w:t>
      </w:r>
    </w:p>
  </w:footnote>
  <w:footnote w:id="131">
    <w:p w14:paraId="038DACC0" w14:textId="370AD838" w:rsidR="0022744F" w:rsidRPr="00E33D50" w:rsidRDefault="0022744F" w:rsidP="00BE5BBB">
      <w:pPr>
        <w:pStyle w:val="FootnoteText"/>
        <w:jc w:val="both"/>
      </w:pPr>
      <w:r w:rsidRPr="00E33D50">
        <w:rPr>
          <w:rStyle w:val="FootnoteReference"/>
        </w:rPr>
        <w:footnoteRef/>
      </w:r>
      <w:r w:rsidRPr="00E33D50">
        <w:t xml:space="preserve"> See, e.g., Antonopoulos (n </w:t>
      </w:r>
      <w:r w:rsidRPr="00E33D50">
        <w:fldChar w:fldCharType="begin"/>
      </w:r>
      <w:r w:rsidRPr="00E33D50">
        <w:instrText xml:space="preserve"> NOTEREF _Ref473560649 \h </w:instrText>
      </w:r>
      <w:r w:rsidRPr="00E33D50">
        <w:fldChar w:fldCharType="separate"/>
      </w:r>
      <w:r w:rsidRPr="00E33D50">
        <w:t>129</w:t>
      </w:r>
      <w:r w:rsidRPr="00E33D50">
        <w:fldChar w:fldCharType="end"/>
      </w:r>
      <w:r w:rsidRPr="00E33D50">
        <w:t>) 138-9; and André Mbata B Mangu, ‘The Conflict in the Democratic Republic of Congo and the Protection of Rights under the African Charter’ (2003) 3 African Human Rights Law Journal 235, 241.</w:t>
      </w:r>
    </w:p>
  </w:footnote>
  <w:footnote w:id="132">
    <w:p w14:paraId="6D28F633" w14:textId="0EC42C52" w:rsidR="0022744F" w:rsidRPr="00E33D50" w:rsidRDefault="0022744F" w:rsidP="00BE5BBB">
      <w:pPr>
        <w:pStyle w:val="FootnoteText"/>
        <w:jc w:val="both"/>
      </w:pPr>
      <w:r w:rsidRPr="00E33D50">
        <w:rPr>
          <w:rStyle w:val="FootnoteReference"/>
        </w:rPr>
        <w:footnoteRef/>
      </w:r>
      <w:r w:rsidRPr="00E33D50">
        <w:t xml:space="preserve"> </w:t>
      </w:r>
      <w:r w:rsidRPr="00E33D50">
        <w:rPr>
          <w:i/>
        </w:rPr>
        <w:t>DRC v Uganda</w:t>
      </w:r>
      <w:r w:rsidRPr="00E33D50">
        <w:t xml:space="preserve"> </w:t>
      </w:r>
      <w:r>
        <w:t>(</w:t>
      </w:r>
      <w:r w:rsidRPr="00E33D50">
        <w:t>Merits</w:t>
      </w:r>
      <w:r>
        <w:t>)</w:t>
      </w:r>
      <w:r w:rsidRPr="00E33D50">
        <w:t xml:space="preserve"> (n </w:t>
      </w:r>
      <w:r w:rsidRPr="00E33D50">
        <w:fldChar w:fldCharType="begin"/>
      </w:r>
      <w:r w:rsidRPr="00E33D50">
        <w:instrText xml:space="preserve"> NOTEREF _Ref473553498 \h </w:instrText>
      </w:r>
      <w:r w:rsidRPr="00E33D50">
        <w:fldChar w:fldCharType="separate"/>
      </w:r>
      <w:r w:rsidRPr="00E33D50">
        <w:t>15</w:t>
      </w:r>
      <w:r w:rsidRPr="00E33D50">
        <w:fldChar w:fldCharType="end"/>
      </w:r>
      <w:r w:rsidRPr="00E33D50">
        <w:t>) [146].</w:t>
      </w:r>
    </w:p>
  </w:footnote>
  <w:footnote w:id="133">
    <w:p w14:paraId="5779E20F" w14:textId="77777777" w:rsidR="0022744F" w:rsidRPr="00E33D50" w:rsidRDefault="0022744F" w:rsidP="00BE5BBB">
      <w:pPr>
        <w:pStyle w:val="FootnoteText"/>
        <w:jc w:val="both"/>
      </w:pPr>
      <w:r w:rsidRPr="00E33D50">
        <w:rPr>
          <w:rStyle w:val="FootnoteReference"/>
        </w:rPr>
        <w:footnoteRef/>
      </w:r>
      <w:r w:rsidRPr="00E33D50">
        <w:t xml:space="preserve"> ibid [132].</w:t>
      </w:r>
    </w:p>
  </w:footnote>
  <w:footnote w:id="134">
    <w:p w14:paraId="79E24A10" w14:textId="77777777" w:rsidR="0022744F" w:rsidRPr="00E33D50" w:rsidRDefault="0022744F" w:rsidP="00BE5BBB">
      <w:pPr>
        <w:pStyle w:val="FootnoteText"/>
        <w:jc w:val="both"/>
      </w:pPr>
      <w:r w:rsidRPr="00E33D50">
        <w:rPr>
          <w:rStyle w:val="FootnoteReference"/>
        </w:rPr>
        <w:footnoteRef/>
      </w:r>
      <w:r w:rsidRPr="00E33D50">
        <w:t xml:space="preserve"> ibid [133]-[47].</w:t>
      </w:r>
    </w:p>
  </w:footnote>
  <w:footnote w:id="135">
    <w:p w14:paraId="7940483D" w14:textId="2052DD8A" w:rsidR="0022744F" w:rsidRPr="00E33D50" w:rsidRDefault="0022744F" w:rsidP="00BE5BBB">
      <w:pPr>
        <w:pStyle w:val="FootnoteText"/>
        <w:jc w:val="both"/>
      </w:pPr>
      <w:r w:rsidRPr="00E33D50">
        <w:rPr>
          <w:rStyle w:val="FootnoteReference"/>
        </w:rPr>
        <w:footnoteRef/>
      </w:r>
      <w:r w:rsidRPr="00E33D50">
        <w:t xml:space="preserve"> The occurrence of an ‘armed attack’ being a key legal trigger for self-defence, as per UN Charter 1945, Article 51.  See, generally, Ruys (n </w:t>
      </w:r>
      <w:r w:rsidRPr="00E33D50">
        <w:fldChar w:fldCharType="begin"/>
      </w:r>
      <w:r w:rsidRPr="00E33D50">
        <w:instrText xml:space="preserve"> NOTEREF _Ref473560727 \h </w:instrText>
      </w:r>
      <w:r w:rsidRPr="00E33D50">
        <w:fldChar w:fldCharType="separate"/>
      </w:r>
      <w:r w:rsidRPr="00E33D50">
        <w:t>73</w:t>
      </w:r>
      <w:r w:rsidRPr="00E33D50">
        <w:fldChar w:fldCharType="end"/>
      </w:r>
      <w:r w:rsidRPr="00E33D50">
        <w:t>).</w:t>
      </w:r>
    </w:p>
  </w:footnote>
  <w:footnote w:id="136">
    <w:p w14:paraId="322032E3" w14:textId="68F67A7A" w:rsidR="0022744F" w:rsidRPr="00E33D50" w:rsidRDefault="0022744F" w:rsidP="00BE5BBB">
      <w:pPr>
        <w:pStyle w:val="FootnoteText"/>
        <w:jc w:val="both"/>
      </w:pPr>
      <w:r w:rsidRPr="00E33D50">
        <w:rPr>
          <w:rStyle w:val="FootnoteReference"/>
        </w:rPr>
        <w:footnoteRef/>
      </w:r>
      <w:r w:rsidRPr="00E33D50">
        <w:t xml:space="preserve"> </w:t>
      </w:r>
      <w:r w:rsidRPr="00E33D50">
        <w:rPr>
          <w:i/>
        </w:rPr>
        <w:t>DRC v Uganda</w:t>
      </w:r>
      <w:r w:rsidRPr="00E33D50">
        <w:t xml:space="preserve"> </w:t>
      </w:r>
      <w:r>
        <w:t>(</w:t>
      </w:r>
      <w:r w:rsidRPr="00E33D50">
        <w:t>Merits</w:t>
      </w:r>
      <w:r>
        <w:t>)</w:t>
      </w:r>
      <w:r w:rsidRPr="00E33D50">
        <w:t xml:space="preserve"> (n </w:t>
      </w:r>
      <w:r w:rsidRPr="00E33D50">
        <w:fldChar w:fldCharType="begin"/>
      </w:r>
      <w:r w:rsidRPr="00E33D50">
        <w:instrText xml:space="preserve"> NOTEREF _Ref473553498 \h </w:instrText>
      </w:r>
      <w:r w:rsidRPr="00E33D50">
        <w:fldChar w:fldCharType="separate"/>
      </w:r>
      <w:r w:rsidRPr="00E33D50">
        <w:t>15</w:t>
      </w:r>
      <w:r w:rsidRPr="00E33D50">
        <w:fldChar w:fldCharType="end"/>
      </w:r>
      <w:r w:rsidRPr="00E33D50">
        <w:t>) [147].</w:t>
      </w:r>
    </w:p>
  </w:footnote>
  <w:footnote w:id="137">
    <w:p w14:paraId="184D0981" w14:textId="77777777" w:rsidR="0022744F" w:rsidRPr="009216D2" w:rsidRDefault="0022744F" w:rsidP="00BE5BBB">
      <w:pPr>
        <w:pStyle w:val="FootnoteText"/>
        <w:jc w:val="both"/>
      </w:pPr>
      <w:r w:rsidRPr="00E33D50">
        <w:rPr>
          <w:rStyle w:val="FootnoteReference"/>
        </w:rPr>
        <w:footnoteRef/>
      </w:r>
      <w:r w:rsidRPr="00E33D50">
        <w:t xml:space="preserve"> </w:t>
      </w:r>
      <w:r w:rsidRPr="009216D2">
        <w:t>ibid [148]-[65].</w:t>
      </w:r>
    </w:p>
  </w:footnote>
  <w:footnote w:id="138">
    <w:p w14:paraId="5E7267F0" w14:textId="52C589E3" w:rsidR="0022744F" w:rsidRPr="009216D2" w:rsidRDefault="0022744F" w:rsidP="00BE5BBB">
      <w:pPr>
        <w:pStyle w:val="FootnoteText"/>
        <w:jc w:val="both"/>
      </w:pPr>
      <w:r w:rsidRPr="009216D2">
        <w:rPr>
          <w:rStyle w:val="FootnoteReference"/>
        </w:rPr>
        <w:footnoteRef/>
      </w:r>
      <w:r w:rsidRPr="009216D2">
        <w:t xml:space="preserve"> See n 1</w:t>
      </w:r>
      <w:r w:rsidR="009216D2" w:rsidRPr="009216D2">
        <w:t>29</w:t>
      </w:r>
      <w:r w:rsidRPr="009216D2">
        <w:t xml:space="preserve"> and accompanying text.</w:t>
      </w:r>
    </w:p>
  </w:footnote>
  <w:footnote w:id="139">
    <w:p w14:paraId="660A465D" w14:textId="191B7C21" w:rsidR="0022744F" w:rsidRPr="00E33D50" w:rsidRDefault="0022744F" w:rsidP="00BE5BBB">
      <w:pPr>
        <w:jc w:val="both"/>
        <w:rPr>
          <w:sz w:val="20"/>
          <w:szCs w:val="20"/>
        </w:rPr>
      </w:pPr>
      <w:r w:rsidRPr="009216D2">
        <w:rPr>
          <w:rStyle w:val="FootnoteReference"/>
          <w:sz w:val="20"/>
          <w:szCs w:val="20"/>
        </w:rPr>
        <w:footnoteRef/>
      </w:r>
      <w:r w:rsidRPr="009216D2">
        <w:rPr>
          <w:sz w:val="20"/>
          <w:szCs w:val="20"/>
        </w:rPr>
        <w:t xml:space="preserve"> </w:t>
      </w:r>
      <w:r w:rsidRPr="009216D2">
        <w:rPr>
          <w:i/>
          <w:sz w:val="20"/>
          <w:szCs w:val="20"/>
        </w:rPr>
        <w:t>Military and Paramilitary Activities</w:t>
      </w:r>
      <w:r w:rsidRPr="00E33D50">
        <w:rPr>
          <w:i/>
          <w:sz w:val="20"/>
          <w:szCs w:val="20"/>
        </w:rPr>
        <w:t xml:space="preserve"> in and Against Nicaragua </w:t>
      </w:r>
      <w:r w:rsidRPr="00E33D50">
        <w:rPr>
          <w:sz w:val="20"/>
          <w:szCs w:val="20"/>
        </w:rPr>
        <w:t>(</w:t>
      </w:r>
      <w:r w:rsidRPr="00E33D50">
        <w:rPr>
          <w:i/>
          <w:sz w:val="20"/>
          <w:szCs w:val="20"/>
        </w:rPr>
        <w:t>Nicaragua</w:t>
      </w:r>
      <w:r w:rsidRPr="00E33D50">
        <w:rPr>
          <w:sz w:val="20"/>
          <w:szCs w:val="20"/>
        </w:rPr>
        <w:t xml:space="preserve"> </w:t>
      </w:r>
      <w:r w:rsidRPr="00E33D50">
        <w:rPr>
          <w:i/>
          <w:sz w:val="20"/>
          <w:szCs w:val="20"/>
        </w:rPr>
        <w:t>v</w:t>
      </w:r>
      <w:r w:rsidRPr="00E33D50">
        <w:rPr>
          <w:sz w:val="20"/>
          <w:szCs w:val="20"/>
        </w:rPr>
        <w:t xml:space="preserve"> </w:t>
      </w:r>
      <w:r w:rsidRPr="00E33D50">
        <w:rPr>
          <w:i/>
          <w:sz w:val="20"/>
          <w:szCs w:val="20"/>
        </w:rPr>
        <w:t>United States of America</w:t>
      </w:r>
      <w:r w:rsidRPr="00E33D50">
        <w:rPr>
          <w:sz w:val="20"/>
          <w:szCs w:val="20"/>
        </w:rPr>
        <w:t xml:space="preserve">), </w:t>
      </w:r>
      <w:r>
        <w:rPr>
          <w:sz w:val="20"/>
          <w:szCs w:val="20"/>
        </w:rPr>
        <w:t>(</w:t>
      </w:r>
      <w:r w:rsidRPr="00E33D50">
        <w:rPr>
          <w:sz w:val="20"/>
          <w:szCs w:val="20"/>
        </w:rPr>
        <w:t>Merits</w:t>
      </w:r>
      <w:r>
        <w:rPr>
          <w:sz w:val="20"/>
          <w:szCs w:val="20"/>
        </w:rPr>
        <w:t>)</w:t>
      </w:r>
      <w:r w:rsidRPr="00E33D50">
        <w:rPr>
          <w:sz w:val="20"/>
          <w:szCs w:val="20"/>
        </w:rPr>
        <w:t xml:space="preserve"> (1986) ICJ Rep 14 [115] and [195]; and </w:t>
      </w:r>
      <w:r w:rsidRPr="00E33D50">
        <w:rPr>
          <w:i/>
          <w:sz w:val="20"/>
          <w:szCs w:val="20"/>
        </w:rPr>
        <w:t>Legal Consequences of the Construction of a Wall in the Occupied Palestinian Territory</w:t>
      </w:r>
      <w:r w:rsidRPr="00E33D50">
        <w:rPr>
          <w:sz w:val="20"/>
          <w:szCs w:val="20"/>
        </w:rPr>
        <w:t xml:space="preserve"> </w:t>
      </w:r>
      <w:r>
        <w:rPr>
          <w:sz w:val="20"/>
          <w:szCs w:val="20"/>
        </w:rPr>
        <w:t>(</w:t>
      </w:r>
      <w:r w:rsidRPr="00E33D50">
        <w:rPr>
          <w:sz w:val="20"/>
          <w:szCs w:val="20"/>
        </w:rPr>
        <w:t>Advisory Opinion</w:t>
      </w:r>
      <w:r>
        <w:rPr>
          <w:sz w:val="20"/>
          <w:szCs w:val="20"/>
        </w:rPr>
        <w:t>)</w:t>
      </w:r>
      <w:r w:rsidRPr="00E33D50">
        <w:rPr>
          <w:sz w:val="20"/>
          <w:szCs w:val="20"/>
        </w:rPr>
        <w:t xml:space="preserve"> (2004) ICJ Rep 135 [139].  For commentary, see James A Green, </w:t>
      </w:r>
      <w:r w:rsidRPr="00E33D50">
        <w:rPr>
          <w:i/>
          <w:sz w:val="20"/>
          <w:szCs w:val="20"/>
        </w:rPr>
        <w:t>The International Court of Justice and Self-Defence in International Law</w:t>
      </w:r>
      <w:r w:rsidRPr="00E33D50">
        <w:rPr>
          <w:sz w:val="20"/>
          <w:szCs w:val="20"/>
        </w:rPr>
        <w:t xml:space="preserve"> (Hart 2009) 44-51.</w:t>
      </w:r>
    </w:p>
  </w:footnote>
  <w:footnote w:id="140">
    <w:p w14:paraId="333A585E" w14:textId="77777777"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See, e.g., Hans Kelsen, ‘Collective Security and Collective Self-Defense under the Charter of the United Nations’ (1948) 42 American Journal of International Law 783, 791.</w:t>
      </w:r>
    </w:p>
  </w:footnote>
  <w:footnote w:id="141">
    <w:p w14:paraId="605CEE48" w14:textId="13DE1723" w:rsidR="0022744F" w:rsidRPr="00E33D50" w:rsidRDefault="0022744F" w:rsidP="00BE5BBB">
      <w:pPr>
        <w:pStyle w:val="FootnoteText"/>
        <w:jc w:val="both"/>
      </w:pPr>
      <w:r w:rsidRPr="00E33D50">
        <w:rPr>
          <w:rStyle w:val="FootnoteReference"/>
        </w:rPr>
        <w:footnoteRef/>
      </w:r>
      <w:r w:rsidRPr="00E33D50">
        <w:t xml:space="preserve"> </w:t>
      </w:r>
      <w:r w:rsidRPr="00E33D50">
        <w:rPr>
          <w:i/>
        </w:rPr>
        <w:t>DRC v Uganda</w:t>
      </w:r>
      <w:r w:rsidRPr="00E33D50">
        <w:t xml:space="preserve"> </w:t>
      </w:r>
      <w:r>
        <w:t>(</w:t>
      </w:r>
      <w:r w:rsidRPr="00E33D50">
        <w:t>Merits</w:t>
      </w:r>
      <w:r>
        <w:t>)</w:t>
      </w:r>
      <w:r w:rsidRPr="00E33D50">
        <w:t xml:space="preserve"> (n </w:t>
      </w:r>
      <w:r w:rsidRPr="00E33D50">
        <w:fldChar w:fldCharType="begin"/>
      </w:r>
      <w:r w:rsidRPr="00E33D50">
        <w:instrText xml:space="preserve"> NOTEREF _Ref473553498 \h </w:instrText>
      </w:r>
      <w:r w:rsidRPr="00E33D50">
        <w:fldChar w:fldCharType="separate"/>
      </w:r>
      <w:r w:rsidRPr="00E33D50">
        <w:t>15</w:t>
      </w:r>
      <w:r w:rsidRPr="00E33D50">
        <w:fldChar w:fldCharType="end"/>
      </w:r>
      <w:r w:rsidRPr="00E33D50">
        <w:t>) [147].</w:t>
      </w:r>
    </w:p>
  </w:footnote>
  <w:footnote w:id="142">
    <w:p w14:paraId="682E1BB7" w14:textId="77777777" w:rsidR="0022744F" w:rsidRPr="00E33D50" w:rsidRDefault="0022744F" w:rsidP="00BE5BBB">
      <w:pPr>
        <w:pStyle w:val="FootnoteText"/>
        <w:jc w:val="both"/>
      </w:pPr>
      <w:r w:rsidRPr="00E33D50">
        <w:rPr>
          <w:rStyle w:val="FootnoteReference"/>
        </w:rPr>
        <w:footnoteRef/>
      </w:r>
      <w:r w:rsidRPr="00E33D50">
        <w:t xml:space="preserve"> ibid.</w:t>
      </w:r>
    </w:p>
  </w:footnote>
  <w:footnote w:id="143">
    <w:p w14:paraId="4BEA3A55" w14:textId="774E4914"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For discussion, see Green, </w:t>
      </w:r>
      <w:r w:rsidRPr="00E33D50">
        <w:rPr>
          <w:i/>
          <w:sz w:val="20"/>
          <w:szCs w:val="20"/>
        </w:rPr>
        <w:t xml:space="preserve">The </w:t>
      </w:r>
      <w:r w:rsidR="009216D2">
        <w:rPr>
          <w:i/>
          <w:sz w:val="20"/>
          <w:szCs w:val="20"/>
        </w:rPr>
        <w:t>ICJ</w:t>
      </w:r>
      <w:r>
        <w:rPr>
          <w:i/>
          <w:sz w:val="20"/>
          <w:szCs w:val="20"/>
        </w:rPr>
        <w:t xml:space="preserve"> and Self-Defence</w:t>
      </w:r>
      <w:r w:rsidRPr="00E33D50">
        <w:rPr>
          <w:sz w:val="20"/>
          <w:szCs w:val="20"/>
        </w:rPr>
        <w:t xml:space="preserve"> (n </w:t>
      </w:r>
      <w:r w:rsidRPr="00E33D50">
        <w:rPr>
          <w:sz w:val="20"/>
          <w:szCs w:val="20"/>
        </w:rPr>
        <w:fldChar w:fldCharType="begin"/>
      </w:r>
      <w:r w:rsidRPr="00E33D50">
        <w:rPr>
          <w:sz w:val="20"/>
          <w:szCs w:val="20"/>
        </w:rPr>
        <w:instrText xml:space="preserve"> NOTEREF _Ref473560854 \h </w:instrText>
      </w:r>
      <w:r w:rsidRPr="00E33D50">
        <w:rPr>
          <w:sz w:val="20"/>
          <w:szCs w:val="20"/>
        </w:rPr>
      </w:r>
      <w:r w:rsidRPr="00E33D50">
        <w:rPr>
          <w:sz w:val="20"/>
          <w:szCs w:val="20"/>
        </w:rPr>
        <w:fldChar w:fldCharType="separate"/>
      </w:r>
      <w:r w:rsidRPr="00E33D50">
        <w:rPr>
          <w:sz w:val="20"/>
          <w:szCs w:val="20"/>
        </w:rPr>
        <w:t>138</w:t>
      </w:r>
      <w:r w:rsidRPr="00E33D50">
        <w:rPr>
          <w:sz w:val="20"/>
          <w:szCs w:val="20"/>
        </w:rPr>
        <w:fldChar w:fldCharType="end"/>
      </w:r>
      <w:r w:rsidRPr="00E33D50">
        <w:rPr>
          <w:sz w:val="20"/>
          <w:szCs w:val="20"/>
        </w:rPr>
        <w:t>) 4</w:t>
      </w:r>
      <w:r>
        <w:rPr>
          <w:sz w:val="20"/>
          <w:szCs w:val="20"/>
        </w:rPr>
        <w:t>4</w:t>
      </w:r>
      <w:r w:rsidRPr="00E33D50">
        <w:rPr>
          <w:sz w:val="20"/>
          <w:szCs w:val="20"/>
        </w:rPr>
        <w:t>-</w:t>
      </w:r>
      <w:r>
        <w:rPr>
          <w:sz w:val="20"/>
          <w:szCs w:val="20"/>
        </w:rPr>
        <w:t>51</w:t>
      </w:r>
      <w:r w:rsidRPr="00E33D50">
        <w:rPr>
          <w:sz w:val="20"/>
          <w:szCs w:val="20"/>
        </w:rPr>
        <w:t>; and Brent Michael, ‘Responding to Attacks by Non-State Actors: The Attribution Requirement of Self-Defense’ (2009) 16 Australian International Law Journal 133, 142-4.</w:t>
      </w:r>
    </w:p>
  </w:footnote>
  <w:footnote w:id="144">
    <w:p w14:paraId="73CCBC92" w14:textId="64A22FDC" w:rsidR="0022744F" w:rsidRPr="00E33D50" w:rsidRDefault="0022744F" w:rsidP="00BE5BBB">
      <w:pPr>
        <w:pStyle w:val="FootnoteText"/>
        <w:jc w:val="both"/>
      </w:pPr>
      <w:r w:rsidRPr="00E33D50">
        <w:rPr>
          <w:rStyle w:val="FootnoteReference"/>
        </w:rPr>
        <w:footnoteRef/>
      </w:r>
      <w:r w:rsidRPr="00E33D50">
        <w:t xml:space="preserve"> See Green, </w:t>
      </w:r>
      <w:r w:rsidRPr="00E33D50">
        <w:rPr>
          <w:i/>
        </w:rPr>
        <w:t xml:space="preserve">The </w:t>
      </w:r>
      <w:r w:rsidR="009216D2">
        <w:rPr>
          <w:i/>
        </w:rPr>
        <w:t>ICJ</w:t>
      </w:r>
      <w:r>
        <w:rPr>
          <w:i/>
        </w:rPr>
        <w:t xml:space="preserve"> and Self-Defence</w:t>
      </w:r>
      <w:r>
        <w:t xml:space="preserve"> </w:t>
      </w:r>
      <w:r w:rsidRPr="00E33D50">
        <w:t xml:space="preserve">(n </w:t>
      </w:r>
      <w:r w:rsidRPr="00E33D50">
        <w:fldChar w:fldCharType="begin"/>
      </w:r>
      <w:r w:rsidRPr="00E33D50">
        <w:instrText xml:space="preserve"> NOTEREF _Ref473560854 \h </w:instrText>
      </w:r>
      <w:r w:rsidRPr="00E33D50">
        <w:fldChar w:fldCharType="separate"/>
      </w:r>
      <w:r w:rsidRPr="00E33D50">
        <w:t>138</w:t>
      </w:r>
      <w:r w:rsidRPr="00E33D50">
        <w:fldChar w:fldCharType="end"/>
      </w:r>
      <w:r w:rsidRPr="00E33D50">
        <w:t>) 46; and Constantine Antonopoulos, ‘Force by Armed Groups as Armed Attack and the Broadening of Self-Defence’ (2008) 55 Netherlands International Law Review</w:t>
      </w:r>
      <w:r w:rsidRPr="00E33D50">
        <w:rPr>
          <w:i/>
        </w:rPr>
        <w:t xml:space="preserve"> </w:t>
      </w:r>
      <w:r w:rsidRPr="00E33D50">
        <w:t>159, 165.</w:t>
      </w:r>
    </w:p>
  </w:footnote>
  <w:footnote w:id="145">
    <w:p w14:paraId="106B2A3F" w14:textId="77777777"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Stephanie A Barbour and Zoe A Salzman, ‘The Tangled Web: The Right of Self-Defense against Non-State Actors in the Armed Activities Case’ (2007-2008) 40 New York University Journal of International Law and Politics 53, 54.</w:t>
      </w:r>
    </w:p>
  </w:footnote>
  <w:footnote w:id="146">
    <w:p w14:paraId="7A407A71" w14:textId="3D12F086"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See, e.g., Alexander Orakhelashvili, ‘Legal Stability and Claims of Change: The International Court</w:t>
      </w:r>
      <w:r w:rsidR="009216D2">
        <w:rPr>
          <w:sz w:val="20"/>
          <w:szCs w:val="20"/>
        </w:rPr>
        <w:t>’</w:t>
      </w:r>
      <w:r w:rsidRPr="00E33D50">
        <w:rPr>
          <w:sz w:val="20"/>
          <w:szCs w:val="20"/>
        </w:rPr>
        <w:t xml:space="preserve">s Treatment of </w:t>
      </w:r>
      <w:r w:rsidRPr="00E33D50">
        <w:rPr>
          <w:i/>
          <w:sz w:val="20"/>
          <w:szCs w:val="20"/>
        </w:rPr>
        <w:t xml:space="preserve">Jus ad Bellum </w:t>
      </w:r>
      <w:r w:rsidRPr="00E33D50">
        <w:rPr>
          <w:sz w:val="20"/>
          <w:szCs w:val="20"/>
        </w:rPr>
        <w:t>and</w:t>
      </w:r>
      <w:r w:rsidRPr="00E33D50">
        <w:rPr>
          <w:i/>
          <w:sz w:val="20"/>
          <w:szCs w:val="20"/>
        </w:rPr>
        <w:t xml:space="preserve"> Jus in Bello</w:t>
      </w:r>
      <w:r w:rsidRPr="00E33D50">
        <w:rPr>
          <w:sz w:val="20"/>
          <w:szCs w:val="20"/>
        </w:rPr>
        <w:t xml:space="preserve">’ (2006) 75 Nordic Journal of International Law 371, 394-6; and Sten Verhoeven, ‘A Missed Opportunity to Clarify the Modern </w:t>
      </w:r>
      <w:r w:rsidRPr="00E33D50">
        <w:rPr>
          <w:i/>
          <w:sz w:val="20"/>
          <w:szCs w:val="20"/>
        </w:rPr>
        <w:t>Ius ad Bellum</w:t>
      </w:r>
      <w:r w:rsidRPr="00E33D50">
        <w:rPr>
          <w:sz w:val="20"/>
          <w:szCs w:val="20"/>
        </w:rPr>
        <w:t>: Case Concerning Armed Activities on the Territory of the Congo’ (2006) 45 Military Law and Law of War Review 355, 358-60.</w:t>
      </w:r>
    </w:p>
  </w:footnote>
  <w:footnote w:id="147">
    <w:p w14:paraId="16A62CCD" w14:textId="61E84DDF"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See, e.g., Barbour and Salzman (n </w:t>
      </w:r>
      <w:r w:rsidRPr="00E33D50">
        <w:rPr>
          <w:sz w:val="20"/>
          <w:szCs w:val="20"/>
        </w:rPr>
        <w:fldChar w:fldCharType="begin"/>
      </w:r>
      <w:r w:rsidRPr="00E33D50">
        <w:rPr>
          <w:sz w:val="20"/>
          <w:szCs w:val="20"/>
        </w:rPr>
        <w:instrText xml:space="preserve"> NOTEREF _Ref473560973 \h </w:instrText>
      </w:r>
      <w:r w:rsidRPr="00E33D50">
        <w:rPr>
          <w:sz w:val="20"/>
          <w:szCs w:val="20"/>
        </w:rPr>
      </w:r>
      <w:r w:rsidRPr="00E33D50">
        <w:rPr>
          <w:sz w:val="20"/>
          <w:szCs w:val="20"/>
        </w:rPr>
        <w:fldChar w:fldCharType="separate"/>
      </w:r>
      <w:r w:rsidRPr="00E33D50">
        <w:rPr>
          <w:sz w:val="20"/>
          <w:szCs w:val="20"/>
        </w:rPr>
        <w:t>144</w:t>
      </w:r>
      <w:r w:rsidRPr="00E33D50">
        <w:rPr>
          <w:sz w:val="20"/>
          <w:szCs w:val="20"/>
        </w:rPr>
        <w:fldChar w:fldCharType="end"/>
      </w:r>
      <w:r w:rsidRPr="00E33D50">
        <w:rPr>
          <w:sz w:val="20"/>
          <w:szCs w:val="20"/>
        </w:rPr>
        <w:t xml:space="preserve">); Okowa (n </w:t>
      </w:r>
      <w:r w:rsidRPr="00E33D50">
        <w:rPr>
          <w:sz w:val="20"/>
          <w:szCs w:val="20"/>
        </w:rPr>
        <w:fldChar w:fldCharType="begin"/>
      </w:r>
      <w:r w:rsidRPr="00E33D50">
        <w:rPr>
          <w:sz w:val="20"/>
          <w:szCs w:val="20"/>
        </w:rPr>
        <w:instrText xml:space="preserve"> NOTEREF _Ref473562078 \h </w:instrText>
      </w:r>
      <w:r w:rsidRPr="00E33D50">
        <w:rPr>
          <w:sz w:val="20"/>
          <w:szCs w:val="20"/>
        </w:rPr>
      </w:r>
      <w:r w:rsidRPr="00E33D50">
        <w:rPr>
          <w:sz w:val="20"/>
          <w:szCs w:val="20"/>
        </w:rPr>
        <w:fldChar w:fldCharType="separate"/>
      </w:r>
      <w:r w:rsidRPr="00E33D50">
        <w:rPr>
          <w:sz w:val="20"/>
          <w:szCs w:val="20"/>
        </w:rPr>
        <w:t>78</w:t>
      </w:r>
      <w:r w:rsidRPr="00E33D50">
        <w:rPr>
          <w:sz w:val="20"/>
          <w:szCs w:val="20"/>
        </w:rPr>
        <w:fldChar w:fldCharType="end"/>
      </w:r>
      <w:r w:rsidRPr="00E33D50">
        <w:rPr>
          <w:sz w:val="20"/>
          <w:szCs w:val="20"/>
        </w:rPr>
        <w:t>) 747-9; and Natalino Ronzitti, ‘The Expanding Law of Self-Defence’ (2006) 11 Journal of Conflict and Security Law 343, 348-50.</w:t>
      </w:r>
    </w:p>
  </w:footnote>
  <w:footnote w:id="148">
    <w:p w14:paraId="00116FBF" w14:textId="5A3A11D0"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See </w:t>
      </w:r>
      <w:r w:rsidRPr="00E33D50">
        <w:rPr>
          <w:i/>
          <w:sz w:val="20"/>
          <w:szCs w:val="20"/>
        </w:rPr>
        <w:t>DRC v Uganda</w:t>
      </w:r>
      <w:r w:rsidRPr="00E33D50">
        <w:rPr>
          <w:sz w:val="20"/>
          <w:szCs w:val="20"/>
        </w:rPr>
        <w:t xml:space="preserve"> </w:t>
      </w:r>
      <w:r>
        <w:rPr>
          <w:sz w:val="20"/>
          <w:szCs w:val="20"/>
        </w:rPr>
        <w:t>(</w:t>
      </w:r>
      <w:r w:rsidRPr="00E33D50">
        <w:rPr>
          <w:sz w:val="20"/>
          <w:szCs w:val="20"/>
        </w:rPr>
        <w:t>Merits</w:t>
      </w:r>
      <w:r>
        <w:rPr>
          <w:sz w:val="20"/>
          <w:szCs w:val="20"/>
        </w:rPr>
        <w:t>)</w:t>
      </w:r>
      <w:r w:rsidRPr="00E33D50">
        <w:rPr>
          <w:sz w:val="20"/>
          <w:szCs w:val="20"/>
        </w:rPr>
        <w:t xml:space="preserve"> (n </w:t>
      </w:r>
      <w:r w:rsidRPr="00E33D50">
        <w:rPr>
          <w:sz w:val="20"/>
          <w:szCs w:val="20"/>
        </w:rPr>
        <w:fldChar w:fldCharType="begin"/>
      </w:r>
      <w:r w:rsidRPr="00E33D50">
        <w:rPr>
          <w:sz w:val="20"/>
          <w:szCs w:val="20"/>
        </w:rPr>
        <w:instrText xml:space="preserve"> NOTEREF _Ref473553498 \h </w:instrText>
      </w:r>
      <w:r w:rsidRPr="00E33D50">
        <w:rPr>
          <w:sz w:val="20"/>
          <w:szCs w:val="20"/>
        </w:rPr>
      </w:r>
      <w:r w:rsidRPr="00E33D50">
        <w:rPr>
          <w:sz w:val="20"/>
          <w:szCs w:val="20"/>
        </w:rPr>
        <w:fldChar w:fldCharType="separate"/>
      </w:r>
      <w:r w:rsidRPr="00E33D50">
        <w:rPr>
          <w:sz w:val="20"/>
          <w:szCs w:val="20"/>
        </w:rPr>
        <w:t>15</w:t>
      </w:r>
      <w:r w:rsidRPr="00E33D50">
        <w:rPr>
          <w:sz w:val="20"/>
          <w:szCs w:val="20"/>
        </w:rPr>
        <w:fldChar w:fldCharType="end"/>
      </w:r>
      <w:r w:rsidRPr="00E33D50">
        <w:rPr>
          <w:sz w:val="20"/>
          <w:szCs w:val="20"/>
        </w:rPr>
        <w:t>) separate opinion of Judge Simma [4]-[15]; declaration of Judge Koroma [9]; and separate opinion of Judge Kooijmans [19]-[30].</w:t>
      </w:r>
    </w:p>
  </w:footnote>
  <w:footnote w:id="149">
    <w:p w14:paraId="37F89980" w14:textId="2E19F9D9" w:rsidR="0022744F" w:rsidRPr="00E33D50" w:rsidRDefault="0022744F" w:rsidP="00BE5BBB">
      <w:pPr>
        <w:pStyle w:val="FootnoteText"/>
        <w:jc w:val="both"/>
      </w:pPr>
      <w:r w:rsidRPr="00E33D50">
        <w:rPr>
          <w:rStyle w:val="FootnoteReference"/>
        </w:rPr>
        <w:footnoteRef/>
      </w:r>
      <w:r w:rsidRPr="00E33D50">
        <w:t xml:space="preserve"> For discussion, in relation to the ICJ and possible changes to the law on the use of force, see Green, </w:t>
      </w:r>
      <w:r w:rsidRPr="00E33D50">
        <w:rPr>
          <w:i/>
        </w:rPr>
        <w:t xml:space="preserve">The </w:t>
      </w:r>
      <w:r w:rsidR="009216D2">
        <w:rPr>
          <w:i/>
        </w:rPr>
        <w:t>ICJ</w:t>
      </w:r>
      <w:r>
        <w:rPr>
          <w:i/>
        </w:rPr>
        <w:t xml:space="preserve"> and Self-Defence</w:t>
      </w:r>
      <w:r>
        <w:t xml:space="preserve"> </w:t>
      </w:r>
      <w:r w:rsidRPr="00E33D50">
        <w:t>(</w:t>
      </w:r>
      <w:r w:rsidRPr="00E33D50">
        <w:fldChar w:fldCharType="begin"/>
      </w:r>
      <w:r w:rsidRPr="00E33D50">
        <w:instrText xml:space="preserve"> NOTEREF _Ref473560854 \h </w:instrText>
      </w:r>
      <w:r w:rsidRPr="00E33D50">
        <w:fldChar w:fldCharType="separate"/>
      </w:r>
      <w:r w:rsidRPr="00E33D50">
        <w:t>138</w:t>
      </w:r>
      <w:r w:rsidRPr="00E33D50">
        <w:fldChar w:fldCharType="end"/>
      </w:r>
      <w:r w:rsidRPr="00E33D50">
        <w:t>) 24-5.</w:t>
      </w:r>
    </w:p>
  </w:footnote>
  <w:footnote w:id="150">
    <w:p w14:paraId="5725964C" w14:textId="250EB582" w:rsidR="0022744F" w:rsidRPr="00E33D50" w:rsidRDefault="0022744F" w:rsidP="00B42F58">
      <w:pPr>
        <w:jc w:val="both"/>
      </w:pPr>
      <w:r w:rsidRPr="00E33D50">
        <w:rPr>
          <w:rStyle w:val="FootnoteReference"/>
          <w:sz w:val="20"/>
          <w:szCs w:val="20"/>
        </w:rPr>
        <w:footnoteRef/>
      </w:r>
      <w:r w:rsidRPr="00E33D50">
        <w:rPr>
          <w:sz w:val="20"/>
          <w:szCs w:val="20"/>
        </w:rPr>
        <w:t xml:space="preserve"> See, e.g., some of the relevant chapters in this volume engaging with instances from State practice where such a claim has been made: Michael Byers’ chapter ‘The Intervention in Afghanistan – 2001’; Monica Pinto’s chapter ‘Operation Phoenix, Colombian raid against the FARC in Ecuador – 2008’; and Olivier Corten’s chapter ‘The Military Operation against the ‘Islamic State’ (Daesh) – 2014’ </w:t>
      </w:r>
      <w:r w:rsidRPr="00E33D50">
        <w:rPr>
          <w:sz w:val="20"/>
          <w:szCs w:val="20"/>
          <w:highlight w:val="yellow"/>
        </w:rPr>
        <w:t>EDITORS TO ADD CROSS REFERENCES</w:t>
      </w:r>
      <w:r w:rsidRPr="00E33D50">
        <w:rPr>
          <w:sz w:val="20"/>
          <w:szCs w:val="20"/>
        </w:rPr>
        <w:t>.</w:t>
      </w:r>
    </w:p>
  </w:footnote>
  <w:footnote w:id="151">
    <w:p w14:paraId="5803BE12" w14:textId="77777777" w:rsidR="0022744F" w:rsidRPr="00E33D50" w:rsidRDefault="0022744F" w:rsidP="00BE5BBB">
      <w:pPr>
        <w:pStyle w:val="FootnoteText"/>
        <w:jc w:val="both"/>
      </w:pPr>
      <w:r w:rsidRPr="00E33D50">
        <w:rPr>
          <w:rStyle w:val="FootnoteReference"/>
        </w:rPr>
        <w:footnoteRef/>
      </w:r>
      <w:r w:rsidRPr="00E33D50">
        <w:t xml:space="preserve"> See Olivia Flasch, ‘The Legality of the Air Strikes against ISIL in Syria: New Insights on the Extraterritorial Use of Force against Non-State Actors’ (2016) 3 Journal on the Use of Force and International Law 37, 52-64; and Michael Byers, ‘Terrorism, the Use of Force and International Law after 11 September’ (2002) 51 International and Comparative Law Quarterly</w:t>
      </w:r>
      <w:r w:rsidRPr="00E33D50">
        <w:rPr>
          <w:i/>
        </w:rPr>
        <w:t xml:space="preserve"> </w:t>
      </w:r>
      <w:r w:rsidRPr="00E33D50">
        <w:t>401, 407-9.</w:t>
      </w:r>
    </w:p>
  </w:footnote>
  <w:footnote w:id="152">
    <w:p w14:paraId="229F97ED" w14:textId="77777777" w:rsidR="0022744F" w:rsidRPr="00E33D50" w:rsidRDefault="0022744F" w:rsidP="00BE5BBB">
      <w:pPr>
        <w:pStyle w:val="FootnoteText"/>
        <w:jc w:val="both"/>
      </w:pPr>
      <w:r w:rsidRPr="00E33D50">
        <w:rPr>
          <w:rStyle w:val="FootnoteReference"/>
        </w:rPr>
        <w:footnoteRef/>
      </w:r>
      <w:r w:rsidRPr="00E33D50">
        <w:t xml:space="preserve"> See, e.g., Thomas M Franck, ‘Terrorism and the Right of Self-Defence’ (2001) 95 American Journal of International Law 839, 840; Sean D Murphy, ‘Self-Defence and the </w:t>
      </w:r>
      <w:r w:rsidRPr="00E33D50">
        <w:rPr>
          <w:i/>
        </w:rPr>
        <w:t>Israeli Wall</w:t>
      </w:r>
      <w:r w:rsidRPr="00E33D50">
        <w:t xml:space="preserve"> Advisory Opinion: An </w:t>
      </w:r>
      <w:r w:rsidRPr="00E33D50">
        <w:rPr>
          <w:i/>
        </w:rPr>
        <w:t>Ipse Dixit</w:t>
      </w:r>
      <w:r w:rsidRPr="00E33D50">
        <w:t xml:space="preserve"> from the ICJ?’ (2005) 99</w:t>
      </w:r>
      <w:r w:rsidRPr="00E33D50">
        <w:rPr>
          <w:i/>
        </w:rPr>
        <w:t xml:space="preserve"> </w:t>
      </w:r>
      <w:r w:rsidRPr="00E33D50">
        <w:t xml:space="preserve">American Journal of International Law 62, 67-70; Kimberley N Trapp, ‘Back to Basics: Necessity, Proportionality and the Right of Self-Defence Against Non-State Terrorist Actors’ (2007) 56 International and Comparative Law Quarterly 141, particularly 147-55; Kimberley N Trapp, ‘Actor-Pluralism, the “Turn to Responsibility” and the </w:t>
      </w:r>
      <w:r w:rsidRPr="00E33D50">
        <w:rPr>
          <w:i/>
        </w:rPr>
        <w:t>Jus ad Bellum</w:t>
      </w:r>
      <w:r w:rsidRPr="00E33D50">
        <w:t>: “Unwilling or Unable” in Context’ (2015) 2 Journal on the Use of Force and International Law 199; Ruth Wedgwood, ‘Responding to Terrorism: Strikes Against bin Laden’ (1999) 24 Yale Journal of International Law 559, particularly at 564; and Ruth Wedgwood, ‘The ICJ Advisory Opinion on the Israeli Security Fence and the Limits of Self-Defence’ (2005) 99 American Journal of International Law 52, 57-9.</w:t>
      </w:r>
    </w:p>
  </w:footnote>
  <w:footnote w:id="153">
    <w:p w14:paraId="5F941B57" w14:textId="00185F56" w:rsidR="0022744F" w:rsidRPr="00E33D50" w:rsidRDefault="0022744F" w:rsidP="00BE5BBB">
      <w:pPr>
        <w:pStyle w:val="FootnoteText"/>
        <w:jc w:val="both"/>
      </w:pPr>
      <w:r w:rsidRPr="00E33D50">
        <w:rPr>
          <w:rStyle w:val="FootnoteReference"/>
        </w:rPr>
        <w:footnoteRef/>
      </w:r>
      <w:r w:rsidRPr="00E33D50">
        <w:t xml:space="preserve"> See, e.g., Ruys (n </w:t>
      </w:r>
      <w:r w:rsidRPr="00E33D50">
        <w:fldChar w:fldCharType="begin"/>
      </w:r>
      <w:r w:rsidRPr="00E33D50">
        <w:instrText xml:space="preserve"> NOTEREF _Ref473560727 \h </w:instrText>
      </w:r>
      <w:r w:rsidRPr="00E33D50">
        <w:fldChar w:fldCharType="separate"/>
      </w:r>
      <w:r w:rsidRPr="00E33D50">
        <w:t>73</w:t>
      </w:r>
      <w:r w:rsidRPr="00E33D50">
        <w:fldChar w:fldCharType="end"/>
      </w:r>
      <w:r w:rsidRPr="00E33D50">
        <w:t xml:space="preserve">) 368-510; Iain Scobbie, ‘Words My Mother Never Taught Me: In Defence of the International Court’ (2005) 99 American Journal of International Law 76, 80-1; Tarcisio Gazzini, </w:t>
      </w:r>
      <w:r w:rsidRPr="00E33D50">
        <w:rPr>
          <w:i/>
        </w:rPr>
        <w:t>The Changing Rules on the Use of Force in International Law</w:t>
      </w:r>
      <w:r w:rsidRPr="00E33D50">
        <w:t xml:space="preserve"> (Manchester University Press 2005) 84-191; and Olivier Corten, </w:t>
      </w:r>
      <w:r w:rsidRPr="00E33D50">
        <w:rPr>
          <w:i/>
        </w:rPr>
        <w:t>The Law Against War: The Prohibition on the Use of Force in Contemporary International Law</w:t>
      </w:r>
      <w:r w:rsidRPr="00E33D50">
        <w:t xml:space="preserve"> (Hart 2010) 443-70.</w:t>
      </w:r>
    </w:p>
  </w:footnote>
  <w:footnote w:id="154">
    <w:p w14:paraId="4FE9B3F1" w14:textId="45CA6297" w:rsidR="0022744F" w:rsidRPr="00E33D50" w:rsidRDefault="0022744F" w:rsidP="00BE5BBB">
      <w:pPr>
        <w:autoSpaceDE w:val="0"/>
        <w:autoSpaceDN w:val="0"/>
        <w:adjustRightInd w:val="0"/>
        <w:jc w:val="both"/>
        <w:rPr>
          <w:sz w:val="20"/>
          <w:szCs w:val="20"/>
        </w:rPr>
      </w:pPr>
      <w:r w:rsidRPr="00E33D50">
        <w:rPr>
          <w:rStyle w:val="FootnoteReference"/>
          <w:sz w:val="20"/>
          <w:szCs w:val="20"/>
        </w:rPr>
        <w:footnoteRef/>
      </w:r>
      <w:r w:rsidRPr="00E33D50">
        <w:rPr>
          <w:sz w:val="20"/>
          <w:szCs w:val="20"/>
        </w:rPr>
        <w:t xml:space="preserve"> </w:t>
      </w:r>
      <w:r w:rsidRPr="00E33D50">
        <w:rPr>
          <w:i/>
          <w:sz w:val="20"/>
          <w:szCs w:val="20"/>
        </w:rPr>
        <w:t>DRC v Uganda</w:t>
      </w:r>
      <w:r w:rsidRPr="00E33D50">
        <w:rPr>
          <w:sz w:val="20"/>
          <w:szCs w:val="20"/>
        </w:rPr>
        <w:t xml:space="preserve"> (Merits) (n </w:t>
      </w:r>
      <w:r w:rsidRPr="00E33D50">
        <w:rPr>
          <w:sz w:val="20"/>
          <w:szCs w:val="20"/>
        </w:rPr>
        <w:fldChar w:fldCharType="begin"/>
      </w:r>
      <w:r w:rsidRPr="00E33D50">
        <w:rPr>
          <w:sz w:val="20"/>
          <w:szCs w:val="20"/>
        </w:rPr>
        <w:instrText xml:space="preserve"> NOTEREF _Ref473553498 \h </w:instrText>
      </w:r>
      <w:r w:rsidRPr="00E33D50">
        <w:rPr>
          <w:sz w:val="20"/>
          <w:szCs w:val="20"/>
        </w:rPr>
      </w:r>
      <w:r w:rsidRPr="00E33D50">
        <w:rPr>
          <w:sz w:val="20"/>
          <w:szCs w:val="20"/>
        </w:rPr>
        <w:fldChar w:fldCharType="separate"/>
      </w:r>
      <w:r w:rsidRPr="00E33D50">
        <w:rPr>
          <w:sz w:val="20"/>
          <w:szCs w:val="20"/>
        </w:rPr>
        <w:t>15</w:t>
      </w:r>
      <w:r w:rsidRPr="00E33D50">
        <w:rPr>
          <w:sz w:val="20"/>
          <w:szCs w:val="20"/>
        </w:rPr>
        <w:fldChar w:fldCharType="end"/>
      </w:r>
      <w:r w:rsidRPr="00E33D50">
        <w:rPr>
          <w:sz w:val="20"/>
          <w:szCs w:val="20"/>
        </w:rPr>
        <w:t xml:space="preserve">) [146] (‘on the evidence … even if this series of deplorable attacks could be regarded as cumulative in character, they still remained non-attributable to the DRC’).  See also </w:t>
      </w:r>
      <w:r w:rsidRPr="00E33D50">
        <w:rPr>
          <w:i/>
          <w:sz w:val="20"/>
          <w:szCs w:val="20"/>
        </w:rPr>
        <w:t>Nicaragua</w:t>
      </w:r>
      <w:r w:rsidRPr="00E33D50">
        <w:rPr>
          <w:sz w:val="20"/>
          <w:szCs w:val="20"/>
        </w:rPr>
        <w:t>, (</w:t>
      </w:r>
      <w:r>
        <w:rPr>
          <w:sz w:val="20"/>
          <w:szCs w:val="20"/>
        </w:rPr>
        <w:t>M</w:t>
      </w:r>
      <w:r w:rsidRPr="00E33D50">
        <w:rPr>
          <w:sz w:val="20"/>
          <w:szCs w:val="20"/>
        </w:rPr>
        <w:t xml:space="preserve">erits) (n </w:t>
      </w:r>
      <w:r w:rsidRPr="00E33D50">
        <w:rPr>
          <w:sz w:val="20"/>
          <w:szCs w:val="20"/>
        </w:rPr>
        <w:fldChar w:fldCharType="begin"/>
      </w:r>
      <w:r w:rsidRPr="00E33D50">
        <w:rPr>
          <w:sz w:val="20"/>
          <w:szCs w:val="20"/>
        </w:rPr>
        <w:instrText xml:space="preserve"> NOTEREF _Ref473560854 \h </w:instrText>
      </w:r>
      <w:r w:rsidRPr="00E33D50">
        <w:rPr>
          <w:sz w:val="20"/>
          <w:szCs w:val="20"/>
        </w:rPr>
      </w:r>
      <w:r w:rsidRPr="00E33D50">
        <w:rPr>
          <w:sz w:val="20"/>
          <w:szCs w:val="20"/>
        </w:rPr>
        <w:fldChar w:fldCharType="separate"/>
      </w:r>
      <w:r w:rsidRPr="00E33D50">
        <w:rPr>
          <w:sz w:val="20"/>
          <w:szCs w:val="20"/>
        </w:rPr>
        <w:t>138</w:t>
      </w:r>
      <w:r w:rsidRPr="00E33D50">
        <w:rPr>
          <w:sz w:val="20"/>
          <w:szCs w:val="20"/>
        </w:rPr>
        <w:fldChar w:fldCharType="end"/>
      </w:r>
      <w:r w:rsidRPr="00E33D50">
        <w:rPr>
          <w:sz w:val="20"/>
          <w:szCs w:val="20"/>
        </w:rPr>
        <w:t xml:space="preserve">) [231]; and </w:t>
      </w:r>
      <w:r w:rsidRPr="00E33D50">
        <w:rPr>
          <w:i/>
          <w:sz w:val="20"/>
          <w:szCs w:val="20"/>
        </w:rPr>
        <w:t>Case Concerning Oil Platforms</w:t>
      </w:r>
      <w:r w:rsidRPr="00E33D50">
        <w:rPr>
          <w:sz w:val="20"/>
          <w:szCs w:val="20"/>
        </w:rPr>
        <w:t xml:space="preserve"> (</w:t>
      </w:r>
      <w:r w:rsidRPr="00E33D50">
        <w:rPr>
          <w:i/>
          <w:sz w:val="20"/>
          <w:szCs w:val="20"/>
        </w:rPr>
        <w:t>Islamic Republic of Iran v United States of America</w:t>
      </w:r>
      <w:r w:rsidRPr="00E33D50">
        <w:rPr>
          <w:sz w:val="20"/>
          <w:szCs w:val="20"/>
        </w:rPr>
        <w:t>) (</w:t>
      </w:r>
      <w:r>
        <w:rPr>
          <w:sz w:val="20"/>
          <w:szCs w:val="20"/>
        </w:rPr>
        <w:t>M</w:t>
      </w:r>
      <w:r w:rsidRPr="00E33D50">
        <w:rPr>
          <w:sz w:val="20"/>
          <w:szCs w:val="20"/>
        </w:rPr>
        <w:t>erits) [2003] ICJ Rep 161 [64].</w:t>
      </w:r>
    </w:p>
  </w:footnote>
  <w:footnote w:id="155">
    <w:p w14:paraId="53A90E80" w14:textId="1BC24B3F" w:rsidR="0022744F" w:rsidRPr="00E33D50" w:rsidRDefault="0022744F" w:rsidP="00BE5BBB">
      <w:pPr>
        <w:autoSpaceDE w:val="0"/>
        <w:autoSpaceDN w:val="0"/>
        <w:adjustRightInd w:val="0"/>
        <w:jc w:val="both"/>
        <w:rPr>
          <w:sz w:val="20"/>
          <w:szCs w:val="20"/>
        </w:rPr>
      </w:pPr>
      <w:r w:rsidRPr="00E33D50">
        <w:rPr>
          <w:rStyle w:val="FootnoteReference"/>
          <w:sz w:val="20"/>
          <w:szCs w:val="20"/>
        </w:rPr>
        <w:footnoteRef/>
      </w:r>
      <w:r w:rsidRPr="00E33D50">
        <w:rPr>
          <w:sz w:val="20"/>
          <w:szCs w:val="20"/>
        </w:rPr>
        <w:t xml:space="preserve"> See, generally, Norman M Feder, ‘Reading the UN Charter Connotatively: Towards a New Definition of Armed Attack’ (1987) 19 </w:t>
      </w:r>
      <w:r w:rsidRPr="00E33D50">
        <w:rPr>
          <w:iCs/>
          <w:sz w:val="20"/>
          <w:szCs w:val="20"/>
        </w:rPr>
        <w:t>New York</w:t>
      </w:r>
      <w:r w:rsidRPr="00E33D50">
        <w:rPr>
          <w:sz w:val="20"/>
          <w:szCs w:val="20"/>
        </w:rPr>
        <w:t xml:space="preserve"> </w:t>
      </w:r>
      <w:r w:rsidRPr="00E33D50">
        <w:rPr>
          <w:iCs/>
          <w:sz w:val="20"/>
          <w:szCs w:val="20"/>
        </w:rPr>
        <w:t>University Journal of International Law and Politics</w:t>
      </w:r>
      <w:r w:rsidRPr="00E33D50">
        <w:rPr>
          <w:i/>
          <w:iCs/>
          <w:sz w:val="20"/>
          <w:szCs w:val="20"/>
        </w:rPr>
        <w:t xml:space="preserve"> </w:t>
      </w:r>
      <w:r w:rsidRPr="00E33D50">
        <w:rPr>
          <w:sz w:val="20"/>
          <w:szCs w:val="20"/>
        </w:rPr>
        <w:t xml:space="preserve">395, 415-18; Derek W Bowett, ‘Reprisals Involving Recourse to Armed Force’ (1972) 66 </w:t>
      </w:r>
      <w:r w:rsidRPr="00E33D50">
        <w:rPr>
          <w:iCs/>
          <w:sz w:val="20"/>
          <w:szCs w:val="20"/>
        </w:rPr>
        <w:t>American Journal of International Law</w:t>
      </w:r>
      <w:r w:rsidRPr="00E33D50">
        <w:rPr>
          <w:i/>
          <w:iCs/>
          <w:sz w:val="20"/>
          <w:szCs w:val="20"/>
        </w:rPr>
        <w:t xml:space="preserve"> </w:t>
      </w:r>
      <w:r w:rsidRPr="00E33D50">
        <w:rPr>
          <w:sz w:val="20"/>
          <w:szCs w:val="20"/>
        </w:rPr>
        <w:t xml:space="preserve">1, 5; and </w:t>
      </w:r>
      <w:r w:rsidRPr="00481B07">
        <w:rPr>
          <w:sz w:val="20"/>
          <w:szCs w:val="20"/>
        </w:rPr>
        <w:t xml:space="preserve">Gray, </w:t>
      </w:r>
      <w:r w:rsidRPr="00481B07">
        <w:rPr>
          <w:i/>
          <w:sz w:val="20"/>
          <w:szCs w:val="20"/>
        </w:rPr>
        <w:t>International Law and the Use of Force</w:t>
      </w:r>
      <w:r w:rsidRPr="00481B07">
        <w:rPr>
          <w:sz w:val="20"/>
          <w:szCs w:val="20"/>
        </w:rPr>
        <w:t xml:space="preserve"> (n 89) </w:t>
      </w:r>
      <w:r w:rsidRPr="00E33D50">
        <w:rPr>
          <w:sz w:val="20"/>
          <w:szCs w:val="20"/>
        </w:rPr>
        <w:t>155-56.</w:t>
      </w:r>
    </w:p>
  </w:footnote>
  <w:footnote w:id="156">
    <w:p w14:paraId="179E1833" w14:textId="07CD744D" w:rsidR="0022744F" w:rsidRPr="00E33D50" w:rsidRDefault="0022744F" w:rsidP="00BE5BBB">
      <w:pPr>
        <w:pStyle w:val="FootnoteText"/>
        <w:jc w:val="both"/>
      </w:pPr>
      <w:r w:rsidRPr="00E33D50">
        <w:rPr>
          <w:rStyle w:val="FootnoteReference"/>
        </w:rPr>
        <w:footnoteRef/>
      </w:r>
      <w:r w:rsidRPr="00E33D50">
        <w:t xml:space="preserve"> </w:t>
      </w:r>
      <w:r w:rsidRPr="00E33D50">
        <w:rPr>
          <w:i/>
        </w:rPr>
        <w:t>DRC v Uganda</w:t>
      </w:r>
      <w:r w:rsidRPr="00E33D50">
        <w:t xml:space="preserve"> (</w:t>
      </w:r>
      <w:r>
        <w:t>M</w:t>
      </w:r>
      <w:r w:rsidRPr="00E33D50">
        <w:t>erits) (n </w:t>
      </w:r>
      <w:r w:rsidRPr="00E33D50">
        <w:fldChar w:fldCharType="begin"/>
      </w:r>
      <w:r w:rsidRPr="00E33D50">
        <w:instrText xml:space="preserve"> NOTEREF _Ref473553498 \h </w:instrText>
      </w:r>
      <w:r w:rsidRPr="00E33D50">
        <w:fldChar w:fldCharType="separate"/>
      </w:r>
      <w:r w:rsidRPr="00E33D50">
        <w:t>15</w:t>
      </w:r>
      <w:r w:rsidRPr="00E33D50">
        <w:fldChar w:fldCharType="end"/>
      </w:r>
      <w:r w:rsidRPr="00E33D50">
        <w:t>) [147].</w:t>
      </w:r>
    </w:p>
  </w:footnote>
  <w:footnote w:id="157">
    <w:p w14:paraId="27130BE2" w14:textId="77777777" w:rsidR="0022744F" w:rsidRPr="00E33D50" w:rsidRDefault="0022744F" w:rsidP="00BE5BBB">
      <w:pPr>
        <w:pStyle w:val="FootnoteText"/>
        <w:jc w:val="both"/>
      </w:pPr>
      <w:r w:rsidRPr="00E33D50">
        <w:rPr>
          <w:rStyle w:val="FootnoteReference"/>
        </w:rPr>
        <w:footnoteRef/>
      </w:r>
      <w:r w:rsidRPr="00E33D50">
        <w:t xml:space="preserve"> See, e.g., </w:t>
      </w:r>
      <w:r w:rsidRPr="00E33D50">
        <w:rPr>
          <w:shd w:val="clear" w:color="auto" w:fill="FFFFFF"/>
        </w:rPr>
        <w:t>Stanimir A</w:t>
      </w:r>
      <w:r w:rsidRPr="00E33D50">
        <w:t xml:space="preserve"> Alexandrov, </w:t>
      </w:r>
      <w:r w:rsidRPr="00E33D50">
        <w:rPr>
          <w:i/>
        </w:rPr>
        <w:t>Self-Defence Against the Use of Force in International Law</w:t>
      </w:r>
      <w:r w:rsidRPr="00E33D50">
        <w:t xml:space="preserve"> (Kluwer Law International 1996) 20; Judith Gardam, </w:t>
      </w:r>
      <w:r w:rsidRPr="00E33D50">
        <w:rPr>
          <w:i/>
        </w:rPr>
        <w:t>Necessity, Proportionality and the Use of Force by States</w:t>
      </w:r>
      <w:r w:rsidRPr="00E33D50">
        <w:t xml:space="preserve"> (Cambridge University Press 2004) particularly at 6 and 11; and Oscar Schachter, ‘Implementing Limitations on the Use of Force: The Doctrine of Proportionality and Necessity: Remarks’ (1992) 86 American Society of International Law Proceedings 39.</w:t>
      </w:r>
    </w:p>
  </w:footnote>
  <w:footnote w:id="158">
    <w:p w14:paraId="20BBAF26" w14:textId="6FF35B3A" w:rsidR="0022744F" w:rsidRPr="00E33D50" w:rsidRDefault="0022744F" w:rsidP="00BE5BBB">
      <w:pPr>
        <w:pStyle w:val="FootnoteText"/>
        <w:jc w:val="both"/>
      </w:pPr>
      <w:r w:rsidRPr="00E33D50">
        <w:rPr>
          <w:rStyle w:val="FootnoteReference"/>
        </w:rPr>
        <w:footnoteRef/>
      </w:r>
      <w:r w:rsidRPr="00E33D50">
        <w:t xml:space="preserve"> </w:t>
      </w:r>
      <w:r w:rsidRPr="00E33D50">
        <w:rPr>
          <w:i/>
        </w:rPr>
        <w:t>DRC v Uganda</w:t>
      </w:r>
      <w:r w:rsidRPr="00E33D50">
        <w:t xml:space="preserve"> (</w:t>
      </w:r>
      <w:r>
        <w:t>M</w:t>
      </w:r>
      <w:r w:rsidRPr="00E33D50">
        <w:t>erits) (n </w:t>
      </w:r>
      <w:r w:rsidRPr="00E33D50">
        <w:fldChar w:fldCharType="begin"/>
      </w:r>
      <w:r w:rsidRPr="00E33D50">
        <w:instrText xml:space="preserve"> NOTEREF _Ref473553498 \h </w:instrText>
      </w:r>
      <w:r w:rsidRPr="00E33D50">
        <w:fldChar w:fldCharType="separate"/>
      </w:r>
      <w:r w:rsidRPr="00E33D50">
        <w:t>15</w:t>
      </w:r>
      <w:r w:rsidRPr="00E33D50">
        <w:fldChar w:fldCharType="end"/>
      </w:r>
      <w:r w:rsidRPr="00E33D50">
        <w:t>) [147].</w:t>
      </w:r>
    </w:p>
  </w:footnote>
  <w:footnote w:id="159">
    <w:p w14:paraId="5B3B1AAC" w14:textId="1DD6A252"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This view was shared by a number of scholars.  See, e.g., Antonopoulos, The Unilateral Use of Force (n </w:t>
      </w:r>
      <w:r w:rsidRPr="00E33D50">
        <w:rPr>
          <w:sz w:val="20"/>
          <w:szCs w:val="20"/>
        </w:rPr>
        <w:fldChar w:fldCharType="begin"/>
      </w:r>
      <w:r w:rsidRPr="00E33D50">
        <w:rPr>
          <w:sz w:val="20"/>
          <w:szCs w:val="20"/>
        </w:rPr>
        <w:instrText xml:space="preserve"> NOTEREF _Ref473560649 \h </w:instrText>
      </w:r>
      <w:r w:rsidRPr="00E33D50">
        <w:rPr>
          <w:sz w:val="20"/>
          <w:szCs w:val="20"/>
        </w:rPr>
      </w:r>
      <w:r w:rsidRPr="00E33D50">
        <w:rPr>
          <w:sz w:val="20"/>
          <w:szCs w:val="20"/>
        </w:rPr>
        <w:fldChar w:fldCharType="separate"/>
      </w:r>
      <w:r w:rsidRPr="00E33D50">
        <w:rPr>
          <w:sz w:val="20"/>
          <w:szCs w:val="20"/>
        </w:rPr>
        <w:t>129</w:t>
      </w:r>
      <w:r w:rsidRPr="00E33D50">
        <w:rPr>
          <w:sz w:val="20"/>
          <w:szCs w:val="20"/>
        </w:rPr>
        <w:fldChar w:fldCharType="end"/>
      </w:r>
      <w:r w:rsidRPr="00E33D50">
        <w:rPr>
          <w:sz w:val="20"/>
          <w:szCs w:val="20"/>
        </w:rPr>
        <w:t xml:space="preserve">) 138-9; Mangu (n </w:t>
      </w:r>
      <w:r w:rsidRPr="00E33D50">
        <w:rPr>
          <w:sz w:val="20"/>
          <w:szCs w:val="20"/>
        </w:rPr>
        <w:fldChar w:fldCharType="begin"/>
      </w:r>
      <w:r w:rsidRPr="00E33D50">
        <w:rPr>
          <w:sz w:val="20"/>
          <w:szCs w:val="20"/>
        </w:rPr>
        <w:instrText xml:space="preserve"> NOTEREF _Ref473562439 \h </w:instrText>
      </w:r>
      <w:r w:rsidRPr="00E33D50">
        <w:rPr>
          <w:sz w:val="20"/>
          <w:szCs w:val="20"/>
        </w:rPr>
      </w:r>
      <w:r w:rsidRPr="00E33D50">
        <w:rPr>
          <w:sz w:val="20"/>
          <w:szCs w:val="20"/>
        </w:rPr>
        <w:fldChar w:fldCharType="separate"/>
      </w:r>
      <w:r w:rsidRPr="00E33D50">
        <w:rPr>
          <w:sz w:val="20"/>
          <w:szCs w:val="20"/>
        </w:rPr>
        <w:t>130</w:t>
      </w:r>
      <w:r w:rsidRPr="00E33D50">
        <w:rPr>
          <w:sz w:val="20"/>
          <w:szCs w:val="20"/>
        </w:rPr>
        <w:fldChar w:fldCharType="end"/>
      </w:r>
      <w:r w:rsidRPr="00E33D50">
        <w:rPr>
          <w:sz w:val="20"/>
          <w:szCs w:val="20"/>
        </w:rPr>
        <w:t xml:space="preserve">) 241; Faustin Ntoubandi, ‘The Congo/Uganda Case: A Comment on the Main Legal Issues’ (2007) 7 African Human Rights Law Journal 162, 172-3; and Orakhelashvili (n </w:t>
      </w:r>
      <w:r w:rsidRPr="00E33D50">
        <w:rPr>
          <w:sz w:val="20"/>
          <w:szCs w:val="20"/>
        </w:rPr>
        <w:fldChar w:fldCharType="begin"/>
      </w:r>
      <w:r w:rsidRPr="00E33D50">
        <w:rPr>
          <w:sz w:val="20"/>
          <w:szCs w:val="20"/>
        </w:rPr>
        <w:instrText xml:space="preserve"> NOTEREF _Ref473562521 \h </w:instrText>
      </w:r>
      <w:r w:rsidRPr="00E33D50">
        <w:rPr>
          <w:sz w:val="20"/>
          <w:szCs w:val="20"/>
        </w:rPr>
      </w:r>
      <w:r w:rsidRPr="00E33D50">
        <w:rPr>
          <w:sz w:val="20"/>
          <w:szCs w:val="20"/>
        </w:rPr>
        <w:fldChar w:fldCharType="separate"/>
      </w:r>
      <w:r w:rsidRPr="00E33D50">
        <w:rPr>
          <w:sz w:val="20"/>
          <w:szCs w:val="20"/>
        </w:rPr>
        <w:t>145</w:t>
      </w:r>
      <w:r w:rsidRPr="00E33D50">
        <w:rPr>
          <w:sz w:val="20"/>
          <w:szCs w:val="20"/>
        </w:rPr>
        <w:fldChar w:fldCharType="end"/>
      </w:r>
      <w:r w:rsidRPr="00E33D50">
        <w:rPr>
          <w:sz w:val="20"/>
          <w:szCs w:val="20"/>
        </w:rPr>
        <w:t>) 396-9 (implicitly reaching this conclusion).</w:t>
      </w:r>
    </w:p>
  </w:footnote>
  <w:footnote w:id="160">
    <w:p w14:paraId="057B1879" w14:textId="4E1DD9E3" w:rsidR="0022744F" w:rsidRPr="00E33D50" w:rsidRDefault="0022744F" w:rsidP="00BE5BBB">
      <w:pPr>
        <w:pStyle w:val="FootnoteText"/>
        <w:jc w:val="both"/>
      </w:pPr>
      <w:r w:rsidRPr="00E33D50">
        <w:rPr>
          <w:rStyle w:val="FootnoteReference"/>
        </w:rPr>
        <w:footnoteRef/>
      </w:r>
      <w:r w:rsidRPr="00E33D50">
        <w:t xml:space="preserve"> </w:t>
      </w:r>
      <w:r w:rsidRPr="00E33D50">
        <w:rPr>
          <w:i/>
        </w:rPr>
        <w:t>DRC v Uganda</w:t>
      </w:r>
      <w:r w:rsidRPr="00E33D50">
        <w:t xml:space="preserve"> (</w:t>
      </w:r>
      <w:r>
        <w:t>M</w:t>
      </w:r>
      <w:r w:rsidRPr="00E33D50">
        <w:t>erits) (n </w:t>
      </w:r>
      <w:r w:rsidRPr="00E33D50">
        <w:fldChar w:fldCharType="begin"/>
      </w:r>
      <w:r w:rsidRPr="00E33D50">
        <w:instrText xml:space="preserve"> NOTEREF _Ref473553498 \h </w:instrText>
      </w:r>
      <w:r w:rsidRPr="00E33D50">
        <w:fldChar w:fldCharType="separate"/>
      </w:r>
      <w:r w:rsidRPr="00E33D50">
        <w:t>15</w:t>
      </w:r>
      <w:r w:rsidRPr="00E33D50">
        <w:fldChar w:fldCharType="end"/>
      </w:r>
      <w:r>
        <w:t>) [147</w:t>
      </w:r>
      <w:r w:rsidRPr="00E33D50">
        <w:t>].</w:t>
      </w:r>
    </w:p>
  </w:footnote>
  <w:footnote w:id="161">
    <w:p w14:paraId="5E668138" w14:textId="65CE934A" w:rsidR="0022744F" w:rsidRPr="00E33D50" w:rsidRDefault="0022744F" w:rsidP="00BE5BBB">
      <w:pPr>
        <w:pStyle w:val="FootnoteText"/>
        <w:jc w:val="both"/>
      </w:pPr>
      <w:r w:rsidRPr="00E33D50">
        <w:rPr>
          <w:rStyle w:val="FootnoteReference"/>
        </w:rPr>
        <w:footnoteRef/>
      </w:r>
      <w:r w:rsidRPr="00E33D50">
        <w:t xml:space="preserve"> </w:t>
      </w:r>
      <w:r>
        <w:t>ibid [143].</w:t>
      </w:r>
    </w:p>
  </w:footnote>
  <w:footnote w:id="162">
    <w:p w14:paraId="1D782214" w14:textId="07B0DFF8"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Okowa (n </w:t>
      </w:r>
      <w:r w:rsidRPr="00E33D50">
        <w:rPr>
          <w:sz w:val="20"/>
          <w:szCs w:val="20"/>
        </w:rPr>
        <w:fldChar w:fldCharType="begin"/>
      </w:r>
      <w:r w:rsidRPr="00E33D50">
        <w:rPr>
          <w:sz w:val="20"/>
          <w:szCs w:val="20"/>
        </w:rPr>
        <w:instrText xml:space="preserve"> NOTEREF _Ref473562078 \h </w:instrText>
      </w:r>
      <w:r w:rsidRPr="00E33D50">
        <w:rPr>
          <w:sz w:val="20"/>
          <w:szCs w:val="20"/>
        </w:rPr>
      </w:r>
      <w:r w:rsidRPr="00E33D50">
        <w:rPr>
          <w:sz w:val="20"/>
          <w:szCs w:val="20"/>
        </w:rPr>
        <w:fldChar w:fldCharType="separate"/>
      </w:r>
      <w:r w:rsidRPr="00E33D50">
        <w:rPr>
          <w:sz w:val="20"/>
          <w:szCs w:val="20"/>
        </w:rPr>
        <w:t>78</w:t>
      </w:r>
      <w:r w:rsidRPr="00E33D50">
        <w:rPr>
          <w:sz w:val="20"/>
          <w:szCs w:val="20"/>
        </w:rPr>
        <w:fldChar w:fldCharType="end"/>
      </w:r>
      <w:r w:rsidRPr="00E33D50">
        <w:rPr>
          <w:sz w:val="20"/>
          <w:szCs w:val="20"/>
        </w:rPr>
        <w:t>) 749.</w:t>
      </w:r>
    </w:p>
  </w:footnote>
  <w:footnote w:id="163">
    <w:p w14:paraId="24C01FDA" w14:textId="40F5764B" w:rsidR="0022744F" w:rsidRPr="00E33D50" w:rsidRDefault="0022744F" w:rsidP="00B42F58">
      <w:pPr>
        <w:autoSpaceDE w:val="0"/>
        <w:autoSpaceDN w:val="0"/>
        <w:adjustRightInd w:val="0"/>
        <w:jc w:val="both"/>
      </w:pPr>
      <w:r w:rsidRPr="00E33D50">
        <w:rPr>
          <w:rStyle w:val="FootnoteReference"/>
          <w:sz w:val="20"/>
          <w:szCs w:val="20"/>
        </w:rPr>
        <w:footnoteRef/>
      </w:r>
      <w:r w:rsidRPr="00E33D50">
        <w:rPr>
          <w:sz w:val="20"/>
          <w:szCs w:val="20"/>
        </w:rPr>
        <w:t xml:space="preserve"> Under the </w:t>
      </w:r>
      <w:r w:rsidRPr="00E33D50">
        <w:rPr>
          <w:i/>
          <w:iCs/>
          <w:sz w:val="20"/>
          <w:szCs w:val="20"/>
        </w:rPr>
        <w:t xml:space="preserve">non ultra petita </w:t>
      </w:r>
      <w:r w:rsidRPr="00E33D50">
        <w:rPr>
          <w:sz w:val="20"/>
          <w:szCs w:val="20"/>
        </w:rPr>
        <w:t xml:space="preserve">rule, the ICJ cannot examine aspects of a dispute not raised by the parties. See </w:t>
      </w:r>
      <w:r w:rsidRPr="00E33D50">
        <w:rPr>
          <w:i/>
          <w:iCs/>
          <w:sz w:val="20"/>
          <w:szCs w:val="20"/>
        </w:rPr>
        <w:t xml:space="preserve">Asylum </w:t>
      </w:r>
      <w:r w:rsidRPr="00E33D50">
        <w:rPr>
          <w:sz w:val="20"/>
          <w:szCs w:val="20"/>
        </w:rPr>
        <w:t>case (</w:t>
      </w:r>
      <w:r w:rsidRPr="00E33D50">
        <w:rPr>
          <w:i/>
          <w:iCs/>
          <w:sz w:val="20"/>
          <w:szCs w:val="20"/>
        </w:rPr>
        <w:t>Colombia/Peru</w:t>
      </w:r>
      <w:r w:rsidRPr="00E33D50">
        <w:rPr>
          <w:sz w:val="20"/>
          <w:szCs w:val="20"/>
        </w:rPr>
        <w:t xml:space="preserve">) (Merits) [1950] ICJ Rep 266, 402; </w:t>
      </w:r>
      <w:r w:rsidRPr="00E33D50">
        <w:rPr>
          <w:i/>
          <w:iCs/>
          <w:sz w:val="20"/>
          <w:szCs w:val="20"/>
        </w:rPr>
        <w:t xml:space="preserve">Case Concerning Certain German Interests in Polish Silesia </w:t>
      </w:r>
      <w:r w:rsidRPr="00E33D50">
        <w:rPr>
          <w:iCs/>
          <w:sz w:val="20"/>
          <w:szCs w:val="20"/>
        </w:rPr>
        <w:t>(M</w:t>
      </w:r>
      <w:r w:rsidRPr="00E33D50">
        <w:rPr>
          <w:sz w:val="20"/>
          <w:szCs w:val="20"/>
        </w:rPr>
        <w:t xml:space="preserve">erits) [1926] PCIJ Rep, Series A 7, 35; and </w:t>
      </w:r>
      <w:r w:rsidRPr="00E33D50">
        <w:rPr>
          <w:i/>
          <w:sz w:val="20"/>
          <w:szCs w:val="20"/>
        </w:rPr>
        <w:t>Nicaragua</w:t>
      </w:r>
      <w:r w:rsidRPr="00E33D50">
        <w:rPr>
          <w:sz w:val="20"/>
          <w:szCs w:val="20"/>
        </w:rPr>
        <w:t xml:space="preserve"> (</w:t>
      </w:r>
      <w:r>
        <w:rPr>
          <w:sz w:val="20"/>
          <w:szCs w:val="20"/>
        </w:rPr>
        <w:t>M</w:t>
      </w:r>
      <w:r w:rsidRPr="00E33D50">
        <w:rPr>
          <w:sz w:val="20"/>
          <w:szCs w:val="20"/>
        </w:rPr>
        <w:t xml:space="preserve">erits) (n </w:t>
      </w:r>
      <w:r w:rsidRPr="00E33D50">
        <w:rPr>
          <w:sz w:val="20"/>
          <w:szCs w:val="20"/>
        </w:rPr>
        <w:fldChar w:fldCharType="begin"/>
      </w:r>
      <w:r w:rsidRPr="00E33D50">
        <w:rPr>
          <w:sz w:val="20"/>
          <w:szCs w:val="20"/>
        </w:rPr>
        <w:instrText xml:space="preserve"> NOTEREF _Ref473560854 \h </w:instrText>
      </w:r>
      <w:r w:rsidRPr="00E33D50">
        <w:rPr>
          <w:sz w:val="20"/>
          <w:szCs w:val="20"/>
        </w:rPr>
      </w:r>
      <w:r w:rsidRPr="00E33D50">
        <w:rPr>
          <w:sz w:val="20"/>
          <w:szCs w:val="20"/>
        </w:rPr>
        <w:fldChar w:fldCharType="separate"/>
      </w:r>
      <w:r w:rsidRPr="00E33D50">
        <w:rPr>
          <w:sz w:val="20"/>
          <w:szCs w:val="20"/>
        </w:rPr>
        <w:t>138</w:t>
      </w:r>
      <w:r w:rsidRPr="00E33D50">
        <w:rPr>
          <w:sz w:val="20"/>
          <w:szCs w:val="20"/>
        </w:rPr>
        <w:fldChar w:fldCharType="end"/>
      </w:r>
      <w:r w:rsidRPr="00E33D50">
        <w:rPr>
          <w:sz w:val="20"/>
          <w:szCs w:val="20"/>
        </w:rPr>
        <w:t>) [207].</w:t>
      </w:r>
    </w:p>
  </w:footnote>
  <w:footnote w:id="164">
    <w:p w14:paraId="7992A5B7" w14:textId="2B24ACF2"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See, generally, James A Green, ‘The </w:t>
      </w:r>
      <w:r w:rsidRPr="00E33D50">
        <w:rPr>
          <w:i/>
          <w:sz w:val="20"/>
          <w:szCs w:val="20"/>
        </w:rPr>
        <w:t>Ratione Temporis</w:t>
      </w:r>
      <w:r w:rsidRPr="00E33D50">
        <w:rPr>
          <w:sz w:val="20"/>
          <w:szCs w:val="20"/>
        </w:rPr>
        <w:t xml:space="preserve"> Elements of Self-Defence’ (2015) 2 Journal on the Use of Force and International Law 97, 102-8; and Ruys (n </w:t>
      </w:r>
      <w:r w:rsidRPr="00E33D50">
        <w:rPr>
          <w:sz w:val="20"/>
          <w:szCs w:val="20"/>
        </w:rPr>
        <w:fldChar w:fldCharType="begin"/>
      </w:r>
      <w:r w:rsidRPr="00E33D50">
        <w:rPr>
          <w:sz w:val="20"/>
          <w:szCs w:val="20"/>
        </w:rPr>
        <w:instrText xml:space="preserve"> NOTEREF _Ref473560727 \h </w:instrText>
      </w:r>
      <w:r w:rsidRPr="00E33D50">
        <w:rPr>
          <w:sz w:val="20"/>
          <w:szCs w:val="20"/>
        </w:rPr>
      </w:r>
      <w:r w:rsidRPr="00E33D50">
        <w:rPr>
          <w:sz w:val="20"/>
          <w:szCs w:val="20"/>
        </w:rPr>
        <w:fldChar w:fldCharType="separate"/>
      </w:r>
      <w:r w:rsidRPr="00E33D50">
        <w:rPr>
          <w:sz w:val="20"/>
          <w:szCs w:val="20"/>
        </w:rPr>
        <w:t>73</w:t>
      </w:r>
      <w:r w:rsidRPr="00E33D50">
        <w:rPr>
          <w:sz w:val="20"/>
          <w:szCs w:val="20"/>
        </w:rPr>
        <w:fldChar w:fldCharType="end"/>
      </w:r>
      <w:r w:rsidRPr="00E33D50">
        <w:rPr>
          <w:sz w:val="20"/>
          <w:szCs w:val="20"/>
        </w:rPr>
        <w:t>) 250-367.</w:t>
      </w:r>
    </w:p>
  </w:footnote>
  <w:footnote w:id="165">
    <w:p w14:paraId="09EC4E2D" w14:textId="77777777"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For example, see James Thuo Gathii, ‘Armed Activities on the Territory of the Congo (Democratic Republic of the Congo v Uganda)’ (2007) 101 American Journal of International Law 142, 143, 148 (indicating that the use of force by Uganda could not have been lawful as the occurrence of an armed attack is a pre-condition for the exercise of the right of self-defence).</w:t>
      </w:r>
    </w:p>
  </w:footnote>
  <w:footnote w:id="166">
    <w:p w14:paraId="497FCF04" w14:textId="190D86C6" w:rsidR="0022744F" w:rsidRPr="00E33D50" w:rsidRDefault="0022744F" w:rsidP="00BE5BBB">
      <w:pPr>
        <w:pStyle w:val="FootnoteText"/>
        <w:jc w:val="both"/>
      </w:pPr>
      <w:r w:rsidRPr="00E33D50">
        <w:rPr>
          <w:rStyle w:val="FootnoteReference"/>
        </w:rPr>
        <w:footnoteRef/>
      </w:r>
      <w:r w:rsidRPr="00E33D50">
        <w:t xml:space="preserve"> UN Charter 1945, Article 51.</w:t>
      </w:r>
    </w:p>
  </w:footnote>
  <w:footnote w:id="167">
    <w:p w14:paraId="4735AEE9" w14:textId="77777777" w:rsidR="0022744F" w:rsidRPr="00E33D50" w:rsidRDefault="0022744F" w:rsidP="00BE5BBB">
      <w:pPr>
        <w:pStyle w:val="FootnoteText"/>
        <w:jc w:val="both"/>
      </w:pPr>
      <w:r w:rsidRPr="00E33D50">
        <w:rPr>
          <w:rStyle w:val="FootnoteReference"/>
        </w:rPr>
        <w:footnoteRef/>
      </w:r>
      <w:r w:rsidRPr="00E33D50">
        <w:t xml:space="preserve"> ibid [145] (noting this, specifically in relation to Uganda, and clearly drawing a negative inference from it, although not expanding upon what that inference was).</w:t>
      </w:r>
    </w:p>
  </w:footnote>
  <w:footnote w:id="168">
    <w:p w14:paraId="7183EE0B" w14:textId="08C9B6C2" w:rsidR="0022744F" w:rsidRPr="00E33D50" w:rsidRDefault="0022744F" w:rsidP="00BE5BBB">
      <w:pPr>
        <w:autoSpaceDE w:val="0"/>
        <w:autoSpaceDN w:val="0"/>
        <w:adjustRightInd w:val="0"/>
        <w:jc w:val="both"/>
        <w:rPr>
          <w:sz w:val="20"/>
          <w:szCs w:val="20"/>
        </w:rPr>
      </w:pPr>
      <w:r w:rsidRPr="00E33D50">
        <w:rPr>
          <w:rStyle w:val="FootnoteReference"/>
          <w:sz w:val="20"/>
          <w:szCs w:val="20"/>
        </w:rPr>
        <w:footnoteRef/>
      </w:r>
      <w:r w:rsidRPr="00E33D50">
        <w:rPr>
          <w:sz w:val="20"/>
          <w:szCs w:val="20"/>
        </w:rPr>
        <w:t xml:space="preserve"> UN Doc S/2000/596 (n </w:t>
      </w:r>
      <w:r w:rsidRPr="00E33D50">
        <w:rPr>
          <w:sz w:val="20"/>
          <w:szCs w:val="20"/>
        </w:rPr>
        <w:fldChar w:fldCharType="begin"/>
      </w:r>
      <w:r w:rsidRPr="00E33D50">
        <w:rPr>
          <w:sz w:val="20"/>
          <w:szCs w:val="20"/>
        </w:rPr>
        <w:instrText xml:space="preserve"> NOTEREF _Ref473561849 \h </w:instrText>
      </w:r>
      <w:r w:rsidRPr="00E33D50">
        <w:rPr>
          <w:sz w:val="20"/>
          <w:szCs w:val="20"/>
        </w:rPr>
      </w:r>
      <w:r w:rsidRPr="00E33D50">
        <w:rPr>
          <w:sz w:val="20"/>
          <w:szCs w:val="20"/>
        </w:rPr>
        <w:fldChar w:fldCharType="separate"/>
      </w:r>
      <w:r w:rsidRPr="00E33D50">
        <w:rPr>
          <w:sz w:val="20"/>
          <w:szCs w:val="20"/>
        </w:rPr>
        <w:t>60</w:t>
      </w:r>
      <w:r w:rsidRPr="00E33D50">
        <w:rPr>
          <w:sz w:val="20"/>
          <w:szCs w:val="20"/>
        </w:rPr>
        <w:fldChar w:fldCharType="end"/>
      </w:r>
      <w:r w:rsidRPr="00E33D50">
        <w:rPr>
          <w:sz w:val="20"/>
          <w:szCs w:val="20"/>
        </w:rPr>
        <w:t>).</w:t>
      </w:r>
    </w:p>
  </w:footnote>
  <w:footnote w:id="169">
    <w:p w14:paraId="6D500E2F" w14:textId="77777777" w:rsidR="0022744F" w:rsidRPr="00E33D50" w:rsidRDefault="0022744F" w:rsidP="00BE5BBB">
      <w:pPr>
        <w:pStyle w:val="FootnoteText"/>
        <w:jc w:val="both"/>
      </w:pPr>
      <w:r w:rsidRPr="00E33D50">
        <w:rPr>
          <w:rStyle w:val="FootnoteReference"/>
        </w:rPr>
        <w:footnoteRef/>
      </w:r>
      <w:r w:rsidRPr="00E33D50">
        <w:t xml:space="preserve"> UN Doc S/2001/472 (n 12).</w:t>
      </w:r>
    </w:p>
  </w:footnote>
  <w:footnote w:id="170">
    <w:p w14:paraId="333D1A62" w14:textId="23C7F11E" w:rsidR="0022744F" w:rsidRPr="00E33D50" w:rsidRDefault="0022744F" w:rsidP="00BE5BBB">
      <w:pPr>
        <w:pStyle w:val="FootnoteText"/>
        <w:jc w:val="both"/>
      </w:pPr>
      <w:r w:rsidRPr="00E33D50">
        <w:rPr>
          <w:rStyle w:val="FootnoteReference"/>
        </w:rPr>
        <w:footnoteRef/>
      </w:r>
      <w:r w:rsidRPr="00E33D50">
        <w:t xml:space="preserve"> Green, The Article 51</w:t>
      </w:r>
      <w:r>
        <w:t xml:space="preserve"> Reporting Requirement</w:t>
      </w:r>
      <w:r w:rsidRPr="00E33D50">
        <w:t xml:space="preserve"> (n </w:t>
      </w:r>
      <w:r w:rsidRPr="00E33D50">
        <w:fldChar w:fldCharType="begin"/>
      </w:r>
      <w:r w:rsidRPr="00E33D50">
        <w:instrText xml:space="preserve"> NOTEREF _Ref473561910 \h </w:instrText>
      </w:r>
      <w:r w:rsidRPr="00E33D50">
        <w:fldChar w:fldCharType="separate"/>
      </w:r>
      <w:r w:rsidRPr="00E33D50">
        <w:t>44</w:t>
      </w:r>
      <w:r w:rsidRPr="00E33D50">
        <w:fldChar w:fldCharType="end"/>
      </w:r>
      <w:r w:rsidRPr="00E33D50">
        <w:t>) 592-6.</w:t>
      </w:r>
    </w:p>
  </w:footnote>
  <w:footnote w:id="171">
    <w:p w14:paraId="4A29FE70" w14:textId="029B4CF2" w:rsidR="0022744F" w:rsidRPr="00E33D50" w:rsidRDefault="0022744F" w:rsidP="00BE5BBB">
      <w:pPr>
        <w:pStyle w:val="FootnoteText"/>
        <w:jc w:val="both"/>
      </w:pPr>
      <w:r w:rsidRPr="00E33D50">
        <w:rPr>
          <w:rStyle w:val="FootnoteReference"/>
        </w:rPr>
        <w:footnoteRef/>
      </w:r>
      <w:r w:rsidRPr="00E33D50">
        <w:t xml:space="preserve"> See </w:t>
      </w:r>
      <w:r w:rsidRPr="00E33D50">
        <w:rPr>
          <w:i/>
        </w:rPr>
        <w:t>Nicaragua</w:t>
      </w:r>
      <w:r w:rsidRPr="00E33D50">
        <w:t xml:space="preserve"> (</w:t>
      </w:r>
      <w:r>
        <w:t>M</w:t>
      </w:r>
      <w:r w:rsidRPr="00E33D50">
        <w:t xml:space="preserve">erits) (n </w:t>
      </w:r>
      <w:r w:rsidRPr="00E33D50">
        <w:fldChar w:fldCharType="begin"/>
      </w:r>
      <w:r w:rsidRPr="00E33D50">
        <w:instrText xml:space="preserve"> NOTEREF _Ref473560854 \h </w:instrText>
      </w:r>
      <w:r w:rsidRPr="00E33D50">
        <w:fldChar w:fldCharType="separate"/>
      </w:r>
      <w:r w:rsidRPr="00E33D50">
        <w:t>138</w:t>
      </w:r>
      <w:r w:rsidRPr="00E33D50">
        <w:fldChar w:fldCharType="end"/>
      </w:r>
      <w:r w:rsidRPr="00E33D50">
        <w:t>) [200].  However, the ICJ reached this conclusion on the basis of customary international law and not Article 51 itself: the legal implications of the reporting requirement remain somewhat unclear.  See also DW Greig, ‘Self-Defence and the Security Council: What Does Article 51 Require?’ (1991) 40 International and Comparative Law Quarterly 366, particularly 367-88; and Green, The Article 51</w:t>
      </w:r>
      <w:r>
        <w:t xml:space="preserve"> Reporting Requirement</w:t>
      </w:r>
      <w:r w:rsidRPr="00E33D50">
        <w:t xml:space="preserve"> (n </w:t>
      </w:r>
      <w:r w:rsidRPr="00E33D50">
        <w:fldChar w:fldCharType="begin"/>
      </w:r>
      <w:r w:rsidRPr="00E33D50">
        <w:instrText xml:space="preserve"> NOTEREF _Ref473561910 \h </w:instrText>
      </w:r>
      <w:r w:rsidRPr="00E33D50">
        <w:fldChar w:fldCharType="separate"/>
      </w:r>
      <w:r w:rsidRPr="00E33D50">
        <w:t>44</w:t>
      </w:r>
      <w:r w:rsidRPr="00E33D50">
        <w:fldChar w:fldCharType="end"/>
      </w:r>
      <w:r w:rsidRPr="00E33D50">
        <w:t>) particularly at 592-6.</w:t>
      </w:r>
    </w:p>
  </w:footnote>
  <w:footnote w:id="172">
    <w:p w14:paraId="4812EA8D" w14:textId="77777777" w:rsidR="0022744F" w:rsidRPr="00E33D50" w:rsidRDefault="0022744F" w:rsidP="00BE5BBB">
      <w:pPr>
        <w:pStyle w:val="FootnoteText"/>
        <w:jc w:val="both"/>
      </w:pPr>
      <w:r w:rsidRPr="00E33D50">
        <w:rPr>
          <w:rStyle w:val="FootnoteReference"/>
        </w:rPr>
        <w:footnoteRef/>
      </w:r>
      <w:r w:rsidRPr="00E33D50">
        <w:t xml:space="preserve"> ibid, 596-9.</w:t>
      </w:r>
    </w:p>
  </w:footnote>
  <w:footnote w:id="173">
    <w:p w14:paraId="18BCF13A" w14:textId="1AE39A49" w:rsidR="0022744F" w:rsidRPr="00E33D50" w:rsidRDefault="0022744F" w:rsidP="00BE5BBB">
      <w:pPr>
        <w:pStyle w:val="FootnoteText"/>
        <w:jc w:val="both"/>
      </w:pPr>
      <w:r w:rsidRPr="00E33D50">
        <w:rPr>
          <w:rStyle w:val="FootnoteReference"/>
        </w:rPr>
        <w:footnoteRef/>
      </w:r>
      <w:r w:rsidRPr="00E33D50">
        <w:t xml:space="preserve"> </w:t>
      </w:r>
      <w:r w:rsidRPr="00E33D50">
        <w:rPr>
          <w:i/>
        </w:rPr>
        <w:t>DRC v Uganda</w:t>
      </w:r>
      <w:r w:rsidRPr="00E33D50">
        <w:t xml:space="preserve"> (</w:t>
      </w:r>
      <w:r>
        <w:t>M</w:t>
      </w:r>
      <w:r w:rsidRPr="00E33D50">
        <w:t>erits) (n </w:t>
      </w:r>
      <w:r w:rsidRPr="00E33D50">
        <w:fldChar w:fldCharType="begin"/>
      </w:r>
      <w:r w:rsidRPr="00E33D50">
        <w:instrText xml:space="preserve"> NOTEREF _Ref473553498 \h </w:instrText>
      </w:r>
      <w:r w:rsidRPr="00E33D50">
        <w:fldChar w:fldCharType="separate"/>
      </w:r>
      <w:r w:rsidRPr="00E33D50">
        <w:t>15</w:t>
      </w:r>
      <w:r w:rsidRPr="00E33D50">
        <w:fldChar w:fldCharType="end"/>
      </w:r>
      <w:r w:rsidRPr="00E33D50">
        <w:t>) [145].</w:t>
      </w:r>
    </w:p>
  </w:footnote>
  <w:footnote w:id="174">
    <w:p w14:paraId="237EF4EB" w14:textId="28A2A91B" w:rsidR="0022744F" w:rsidRPr="00E33D50" w:rsidRDefault="0022744F" w:rsidP="00BE5BBB">
      <w:pPr>
        <w:pStyle w:val="FootnoteText"/>
        <w:jc w:val="both"/>
      </w:pPr>
      <w:r w:rsidRPr="00E33D50">
        <w:rPr>
          <w:rStyle w:val="FootnoteReference"/>
        </w:rPr>
        <w:footnoteRef/>
      </w:r>
      <w:r w:rsidRPr="00E33D50">
        <w:t xml:space="preserve"> See Green, The Article 51</w:t>
      </w:r>
      <w:r w:rsidRPr="00A31BC8">
        <w:t xml:space="preserve"> </w:t>
      </w:r>
      <w:r>
        <w:t>Reporting Requirement</w:t>
      </w:r>
      <w:r w:rsidRPr="00E33D50">
        <w:t xml:space="preserve"> (n </w:t>
      </w:r>
      <w:r w:rsidRPr="00E33D50">
        <w:fldChar w:fldCharType="begin"/>
      </w:r>
      <w:r w:rsidRPr="00E33D50">
        <w:instrText xml:space="preserve"> NOTEREF _Ref473561910 \h </w:instrText>
      </w:r>
      <w:r w:rsidRPr="00E33D50">
        <w:fldChar w:fldCharType="separate"/>
      </w:r>
      <w:r w:rsidRPr="00E33D50">
        <w:t>44</w:t>
      </w:r>
      <w:r w:rsidRPr="00E33D50">
        <w:fldChar w:fldCharType="end"/>
      </w:r>
      <w:r w:rsidRPr="00E33D50">
        <w:t>) 612.</w:t>
      </w:r>
    </w:p>
  </w:footnote>
  <w:footnote w:id="175">
    <w:p w14:paraId="5886B3B6" w14:textId="033E3F56" w:rsidR="0022744F" w:rsidRPr="00E33D50" w:rsidRDefault="0022744F" w:rsidP="00BE5BBB">
      <w:pPr>
        <w:pStyle w:val="FootnoteText"/>
        <w:jc w:val="both"/>
      </w:pPr>
      <w:r w:rsidRPr="00E33D50">
        <w:rPr>
          <w:rStyle w:val="FootnoteReference"/>
        </w:rPr>
        <w:footnoteRef/>
      </w:r>
      <w:r w:rsidRPr="00E33D50">
        <w:t xml:space="preserve"> </w:t>
      </w:r>
      <w:r w:rsidRPr="00E33D50">
        <w:rPr>
          <w:i/>
        </w:rPr>
        <w:t>DRC v Uganda</w:t>
      </w:r>
      <w:r w:rsidRPr="00E33D50">
        <w:t xml:space="preserve"> (</w:t>
      </w:r>
      <w:r>
        <w:t>M</w:t>
      </w:r>
      <w:r w:rsidRPr="00E33D50">
        <w:t>erits) (n </w:t>
      </w:r>
      <w:r w:rsidRPr="00E33D50">
        <w:fldChar w:fldCharType="begin"/>
      </w:r>
      <w:r w:rsidRPr="00E33D50">
        <w:instrText xml:space="preserve"> NOTEREF _Ref473553498 \h </w:instrText>
      </w:r>
      <w:r w:rsidRPr="00E33D50">
        <w:fldChar w:fldCharType="separate"/>
      </w:r>
      <w:r w:rsidRPr="00E33D50">
        <w:t>15</w:t>
      </w:r>
      <w:r w:rsidRPr="00E33D50">
        <w:fldChar w:fldCharType="end"/>
      </w:r>
      <w:r w:rsidRPr="00E33D50">
        <w:t>) [297]-[301].</w:t>
      </w:r>
    </w:p>
  </w:footnote>
  <w:footnote w:id="176">
    <w:p w14:paraId="42A92CE0" w14:textId="77777777" w:rsidR="0022744F" w:rsidRPr="00E33D50" w:rsidRDefault="0022744F" w:rsidP="00BE5BBB">
      <w:pPr>
        <w:pStyle w:val="FootnoteText"/>
        <w:jc w:val="both"/>
      </w:pPr>
      <w:r w:rsidRPr="00E33D50">
        <w:rPr>
          <w:rStyle w:val="FootnoteReference"/>
        </w:rPr>
        <w:footnoteRef/>
      </w:r>
      <w:r w:rsidRPr="00E33D50">
        <w:t xml:space="preserve"> ibid [303].</w:t>
      </w:r>
    </w:p>
  </w:footnote>
  <w:footnote w:id="177">
    <w:p w14:paraId="6F2B6C75" w14:textId="77777777" w:rsidR="0022744F" w:rsidRPr="00E33D50" w:rsidRDefault="0022744F" w:rsidP="00BE5BBB">
      <w:pPr>
        <w:pStyle w:val="FootnoteText"/>
        <w:jc w:val="both"/>
      </w:pPr>
      <w:r w:rsidRPr="00E33D50">
        <w:rPr>
          <w:rStyle w:val="FootnoteReference"/>
        </w:rPr>
        <w:footnoteRef/>
      </w:r>
      <w:r w:rsidRPr="00E33D50">
        <w:t xml:space="preserve"> ibid [304].</w:t>
      </w:r>
    </w:p>
  </w:footnote>
  <w:footnote w:id="178">
    <w:p w14:paraId="6FECB199" w14:textId="77777777" w:rsidR="0022744F" w:rsidRPr="00E33D50" w:rsidRDefault="0022744F" w:rsidP="00BE5BBB">
      <w:pPr>
        <w:pStyle w:val="FootnoteText"/>
        <w:jc w:val="both"/>
      </w:pPr>
      <w:r w:rsidRPr="00E33D50">
        <w:rPr>
          <w:rStyle w:val="FootnoteReference"/>
        </w:rPr>
        <w:footnoteRef/>
      </w:r>
      <w:r w:rsidRPr="00E33D50">
        <w:t xml:space="preserve"> ibid</w:t>
      </w:r>
      <w:r w:rsidRPr="00E33D50">
        <w:rPr>
          <w:i/>
        </w:rPr>
        <w:t>.</w:t>
      </w:r>
    </w:p>
  </w:footnote>
  <w:footnote w:id="179">
    <w:p w14:paraId="66662667" w14:textId="169295E3" w:rsidR="0022744F" w:rsidRPr="00E33D50" w:rsidRDefault="0022744F" w:rsidP="00BE5BBB">
      <w:pPr>
        <w:pStyle w:val="FootnoteText"/>
        <w:jc w:val="both"/>
      </w:pPr>
      <w:r w:rsidRPr="00E33D50">
        <w:rPr>
          <w:rStyle w:val="FootnoteReference"/>
        </w:rPr>
        <w:footnoteRef/>
      </w:r>
      <w:r w:rsidRPr="00E33D50">
        <w:t xml:space="preserve"> Although a small number of commentators have taken a contrary view.  See, e.g., Okowa (n </w:t>
      </w:r>
      <w:r w:rsidRPr="00E33D50">
        <w:fldChar w:fldCharType="begin"/>
      </w:r>
      <w:r w:rsidRPr="00E33D50">
        <w:instrText xml:space="preserve"> NOTEREF _Ref473562078 \h </w:instrText>
      </w:r>
      <w:r w:rsidRPr="00E33D50">
        <w:fldChar w:fldCharType="separate"/>
      </w:r>
      <w:r w:rsidRPr="00E33D50">
        <w:t>78</w:t>
      </w:r>
      <w:r w:rsidRPr="00E33D50">
        <w:fldChar w:fldCharType="end"/>
      </w:r>
      <w:r w:rsidRPr="00E33D50">
        <w:t>) particularly at 747-9.</w:t>
      </w:r>
    </w:p>
  </w:footnote>
  <w:footnote w:id="180">
    <w:p w14:paraId="77DC25F1" w14:textId="65FA7AC9"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UN Doc S/PRST/1998/26 (n </w:t>
      </w:r>
      <w:r w:rsidRPr="00E33D50">
        <w:rPr>
          <w:sz w:val="20"/>
          <w:szCs w:val="20"/>
        </w:rPr>
        <w:fldChar w:fldCharType="begin"/>
      </w:r>
      <w:r w:rsidRPr="00E33D50">
        <w:rPr>
          <w:sz w:val="20"/>
          <w:szCs w:val="20"/>
        </w:rPr>
        <w:instrText xml:space="preserve"> NOTEREF _Ref473562234 \h </w:instrText>
      </w:r>
      <w:r w:rsidRPr="00E33D50">
        <w:rPr>
          <w:sz w:val="20"/>
          <w:szCs w:val="20"/>
        </w:rPr>
      </w:r>
      <w:r w:rsidRPr="00E33D50">
        <w:rPr>
          <w:sz w:val="20"/>
          <w:szCs w:val="20"/>
        </w:rPr>
        <w:fldChar w:fldCharType="separate"/>
      </w:r>
      <w:r w:rsidRPr="00E33D50">
        <w:rPr>
          <w:sz w:val="20"/>
          <w:szCs w:val="20"/>
        </w:rPr>
        <w:t>84</w:t>
      </w:r>
      <w:r w:rsidRPr="00E33D50">
        <w:rPr>
          <w:sz w:val="20"/>
          <w:szCs w:val="20"/>
        </w:rPr>
        <w:fldChar w:fldCharType="end"/>
      </w:r>
      <w:r w:rsidRPr="00E33D50">
        <w:rPr>
          <w:sz w:val="20"/>
          <w:szCs w:val="20"/>
        </w:rPr>
        <w:t>) emphasis added.</w:t>
      </w:r>
    </w:p>
  </w:footnote>
  <w:footnote w:id="181">
    <w:p w14:paraId="53A8774D" w14:textId="77777777" w:rsidR="0022744F" w:rsidRPr="0085799F" w:rsidRDefault="0022744F" w:rsidP="00BE5BBB">
      <w:pPr>
        <w:autoSpaceDE w:val="0"/>
        <w:autoSpaceDN w:val="0"/>
        <w:adjustRightInd w:val="0"/>
        <w:jc w:val="both"/>
        <w:rPr>
          <w:sz w:val="20"/>
          <w:szCs w:val="20"/>
        </w:rPr>
      </w:pPr>
      <w:r w:rsidRPr="00E33D50">
        <w:rPr>
          <w:rStyle w:val="FootnoteReference"/>
          <w:sz w:val="20"/>
          <w:szCs w:val="20"/>
        </w:rPr>
        <w:footnoteRef/>
      </w:r>
      <w:r w:rsidRPr="00E33D50">
        <w:rPr>
          <w:sz w:val="20"/>
          <w:szCs w:val="20"/>
        </w:rPr>
        <w:t xml:space="preserve"> See Report on the situation of human rights in the Democratic Republic of the Congo, submitted by the Special Rapporteur pursuant to Economic and Social Council decision 1998/260 of 30 July 1998 (10 September 1998) UN Doc A/53/</w:t>
      </w:r>
      <w:r w:rsidRPr="0085799F">
        <w:rPr>
          <w:sz w:val="20"/>
          <w:szCs w:val="20"/>
        </w:rPr>
        <w:t>365 [26].</w:t>
      </w:r>
    </w:p>
  </w:footnote>
  <w:footnote w:id="182">
    <w:p w14:paraId="00F59C6B" w14:textId="432B41B9" w:rsidR="0022744F" w:rsidRPr="00E33D50" w:rsidRDefault="0022744F" w:rsidP="00BE5BBB">
      <w:pPr>
        <w:pStyle w:val="FootnoteText"/>
        <w:jc w:val="both"/>
      </w:pPr>
      <w:r w:rsidRPr="0085799F">
        <w:rPr>
          <w:rStyle w:val="FootnoteReference"/>
        </w:rPr>
        <w:footnoteRef/>
      </w:r>
      <w:r w:rsidRPr="0085799F">
        <w:t xml:space="preserve"> See n </w:t>
      </w:r>
      <w:r w:rsidR="0085799F" w:rsidRPr="0085799F">
        <w:t xml:space="preserve">122 </w:t>
      </w:r>
      <w:r w:rsidRPr="0085799F">
        <w:t xml:space="preserve">– n </w:t>
      </w:r>
      <w:r w:rsidR="0085799F" w:rsidRPr="0085799F">
        <w:t xml:space="preserve">123 </w:t>
      </w:r>
      <w:r w:rsidRPr="0085799F">
        <w:t>and accompanying text.</w:t>
      </w:r>
    </w:p>
  </w:footnote>
  <w:footnote w:id="183">
    <w:p w14:paraId="697E675F" w14:textId="77777777" w:rsidR="0022744F" w:rsidRPr="00E33D50" w:rsidRDefault="0022744F" w:rsidP="00BE5BBB">
      <w:pPr>
        <w:pStyle w:val="FootnoteText"/>
        <w:jc w:val="both"/>
      </w:pPr>
      <w:r w:rsidRPr="00E33D50">
        <w:rPr>
          <w:rStyle w:val="FootnoteReference"/>
        </w:rPr>
        <w:footnoteRef/>
      </w:r>
      <w:r w:rsidRPr="00E33D50">
        <w:t xml:space="preserve"> Nina Wilén, </w:t>
      </w:r>
      <w:r w:rsidRPr="00E33D50">
        <w:rPr>
          <w:i/>
        </w:rPr>
        <w:t xml:space="preserve">Justifying Interventions in Africa: (De)Stabilizing Sovereignty in Liberia, Burundi and the Congo </w:t>
      </w:r>
      <w:r w:rsidRPr="00E33D50">
        <w:t>(Palgrave Macmillan 2012) 102.</w:t>
      </w:r>
    </w:p>
  </w:footnote>
  <w:footnote w:id="184">
    <w:p w14:paraId="315091B0" w14:textId="08EE7EF7" w:rsidR="0022744F" w:rsidRPr="00E33D50" w:rsidRDefault="0022744F" w:rsidP="00BE5BBB">
      <w:pPr>
        <w:pStyle w:val="FootnoteText"/>
        <w:jc w:val="both"/>
      </w:pPr>
      <w:r w:rsidRPr="00E33D50">
        <w:rPr>
          <w:rStyle w:val="FootnoteReference"/>
        </w:rPr>
        <w:footnoteRef/>
      </w:r>
      <w:r w:rsidRPr="00E33D50">
        <w:t xml:space="preserve"> For discussion of the criteria for collective self-defence, see </w:t>
      </w:r>
      <w:r w:rsidRPr="00DC50F7">
        <w:t xml:space="preserve">Gray, </w:t>
      </w:r>
      <w:r w:rsidRPr="00DC50F7">
        <w:rPr>
          <w:i/>
        </w:rPr>
        <w:t>International Law and the Use of Force</w:t>
      </w:r>
      <w:r w:rsidRPr="00DC50F7" w:rsidDel="00481B07">
        <w:rPr>
          <w:i/>
        </w:rPr>
        <w:t xml:space="preserve"> </w:t>
      </w:r>
      <w:r w:rsidRPr="00DC50F7">
        <w:t xml:space="preserve">(n </w:t>
      </w:r>
      <w:r w:rsidRPr="00DC50F7">
        <w:fldChar w:fldCharType="begin"/>
      </w:r>
      <w:r w:rsidRPr="00DC50F7">
        <w:instrText xml:space="preserve"> NOTEREF _Ref473559721 \h </w:instrText>
      </w:r>
      <w:r>
        <w:instrText xml:space="preserve"> \* MERGEFORMAT </w:instrText>
      </w:r>
      <w:r w:rsidRPr="00DC50F7">
        <w:fldChar w:fldCharType="separate"/>
      </w:r>
      <w:r w:rsidRPr="00DC50F7">
        <w:t>89</w:t>
      </w:r>
      <w:r w:rsidRPr="00DC50F7">
        <w:fldChar w:fldCharType="end"/>
      </w:r>
      <w:r w:rsidRPr="00DC50F7">
        <w:t xml:space="preserve">) </w:t>
      </w:r>
      <w:r w:rsidRPr="00E33D50">
        <w:t>167-92.</w:t>
      </w:r>
    </w:p>
  </w:footnote>
  <w:footnote w:id="185">
    <w:p w14:paraId="7AF1DAA3" w14:textId="77777777"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Martin R Rupiya, ‘A Political and Military Review of Zimbabwe’s Involvement in the Second Congo War’ in John F Clark (ed), </w:t>
      </w:r>
      <w:r w:rsidRPr="00E33D50">
        <w:rPr>
          <w:i/>
          <w:sz w:val="20"/>
          <w:szCs w:val="20"/>
        </w:rPr>
        <w:t>The African Stakes of the Congo War</w:t>
      </w:r>
      <w:r w:rsidRPr="00E33D50">
        <w:rPr>
          <w:sz w:val="20"/>
          <w:szCs w:val="20"/>
        </w:rPr>
        <w:t xml:space="preserve"> (Palgrave Macmillan 2002) 93, 96-7.</w:t>
      </w:r>
    </w:p>
  </w:footnote>
  <w:footnote w:id="186">
    <w:p w14:paraId="2B5D86EB" w14:textId="126D2AE2" w:rsidR="0022744F" w:rsidRPr="00E33D50" w:rsidRDefault="0022744F" w:rsidP="00BE5BBB">
      <w:pPr>
        <w:pStyle w:val="FootnoteText"/>
        <w:jc w:val="both"/>
      </w:pPr>
      <w:r w:rsidRPr="00E33D50">
        <w:rPr>
          <w:rStyle w:val="FootnoteReference"/>
        </w:rPr>
        <w:footnoteRef/>
      </w:r>
      <w:r w:rsidRPr="00E33D50">
        <w:t xml:space="preserve"> UN Doc S/RES/1234 (n </w:t>
      </w:r>
      <w:r w:rsidRPr="00E33D50">
        <w:fldChar w:fldCharType="begin"/>
      </w:r>
      <w:r w:rsidRPr="00E33D50">
        <w:instrText xml:space="preserve"> NOTEREF _Ref473562275 \h </w:instrText>
      </w:r>
      <w:r w:rsidRPr="00E33D50">
        <w:fldChar w:fldCharType="separate"/>
      </w:r>
      <w:r w:rsidRPr="00E33D50">
        <w:t>88</w:t>
      </w:r>
      <w:r w:rsidRPr="00E33D50">
        <w:fldChar w:fldCharType="end"/>
      </w:r>
      <w:r w:rsidRPr="00E33D50">
        <w:t>).</w:t>
      </w:r>
    </w:p>
  </w:footnote>
  <w:footnote w:id="187">
    <w:p w14:paraId="3E0DA7D5" w14:textId="50AAACF5" w:rsidR="0022744F" w:rsidRPr="00E33D50" w:rsidRDefault="0022744F" w:rsidP="00BE5BBB">
      <w:pPr>
        <w:pStyle w:val="FootnoteText"/>
        <w:jc w:val="both"/>
      </w:pPr>
      <w:r w:rsidRPr="00E33D50">
        <w:rPr>
          <w:rStyle w:val="FootnoteReference"/>
        </w:rPr>
        <w:footnoteRef/>
      </w:r>
      <w:r w:rsidRPr="00E33D50">
        <w:t xml:space="preserve"> Wilén (n </w:t>
      </w:r>
      <w:r w:rsidRPr="00E33D50">
        <w:fldChar w:fldCharType="begin"/>
      </w:r>
      <w:r w:rsidRPr="00E33D50">
        <w:instrText xml:space="preserve"> NOTEREF _Ref473562308 \h </w:instrText>
      </w:r>
      <w:r w:rsidRPr="00E33D50">
        <w:fldChar w:fldCharType="separate"/>
      </w:r>
      <w:r w:rsidRPr="00E33D50">
        <w:t>182</w:t>
      </w:r>
      <w:r w:rsidRPr="00E33D50">
        <w:fldChar w:fldCharType="end"/>
      </w:r>
      <w:r w:rsidRPr="00E33D50">
        <w:t>) 106.</w:t>
      </w:r>
    </w:p>
  </w:footnote>
  <w:footnote w:id="188">
    <w:p w14:paraId="2CEC74A4" w14:textId="77777777" w:rsidR="0022744F" w:rsidRPr="0085799F" w:rsidRDefault="0022744F" w:rsidP="00BE5BBB">
      <w:pPr>
        <w:pStyle w:val="FootnoteText"/>
        <w:jc w:val="both"/>
      </w:pPr>
      <w:r w:rsidRPr="00E33D50">
        <w:rPr>
          <w:rStyle w:val="FootnoteReference"/>
        </w:rPr>
        <w:footnoteRef/>
      </w:r>
      <w:r w:rsidRPr="00E33D50">
        <w:t xml:space="preserve"> ibid, 106-7.  </w:t>
      </w:r>
      <w:r w:rsidRPr="0085799F">
        <w:t>See also Reyntjens (n 3) 198.</w:t>
      </w:r>
    </w:p>
  </w:footnote>
  <w:footnote w:id="189">
    <w:p w14:paraId="06437E64" w14:textId="31AFACFC" w:rsidR="0022744F" w:rsidRPr="0085799F" w:rsidRDefault="0022744F" w:rsidP="00BE5BBB">
      <w:pPr>
        <w:pStyle w:val="FootnoteText"/>
        <w:jc w:val="both"/>
      </w:pPr>
      <w:r w:rsidRPr="0085799F">
        <w:rPr>
          <w:rStyle w:val="FootnoteReference"/>
        </w:rPr>
        <w:footnoteRef/>
      </w:r>
      <w:r w:rsidRPr="0085799F">
        <w:t xml:space="preserve"> Nigel D White, </w:t>
      </w:r>
      <w:r w:rsidRPr="0085799F">
        <w:rPr>
          <w:i/>
        </w:rPr>
        <w:t>The Law of International Organisations</w:t>
      </w:r>
      <w:r w:rsidRPr="0085799F">
        <w:t xml:space="preserve"> (2nd ed., Manchester University Press 2005) 203-23.</w:t>
      </w:r>
    </w:p>
  </w:footnote>
  <w:footnote w:id="190">
    <w:p w14:paraId="66546864" w14:textId="735EE566" w:rsidR="0022744F" w:rsidRPr="0085799F" w:rsidRDefault="0022744F" w:rsidP="00BE5BBB">
      <w:pPr>
        <w:pStyle w:val="FootnoteText"/>
        <w:jc w:val="both"/>
      </w:pPr>
      <w:r w:rsidRPr="0085799F">
        <w:rPr>
          <w:rStyle w:val="FootnoteReference"/>
        </w:rPr>
        <w:footnoteRef/>
      </w:r>
      <w:r w:rsidRPr="0085799F">
        <w:t xml:space="preserve"> See n 4</w:t>
      </w:r>
      <w:r w:rsidR="0085799F" w:rsidRPr="0085799F">
        <w:t>7</w:t>
      </w:r>
      <w:r w:rsidRPr="0085799F">
        <w:t xml:space="preserve"> – n 4</w:t>
      </w:r>
      <w:r w:rsidR="0085799F" w:rsidRPr="0085799F">
        <w:t>8</w:t>
      </w:r>
      <w:r w:rsidRPr="0085799F">
        <w:t xml:space="preserve"> and accompanying text.</w:t>
      </w:r>
    </w:p>
  </w:footnote>
  <w:footnote w:id="191">
    <w:p w14:paraId="4F35A8A8" w14:textId="1A938007" w:rsidR="0022744F" w:rsidRPr="0085799F" w:rsidRDefault="0022744F" w:rsidP="00BE5BBB">
      <w:pPr>
        <w:jc w:val="both"/>
        <w:rPr>
          <w:sz w:val="20"/>
          <w:szCs w:val="20"/>
        </w:rPr>
      </w:pPr>
      <w:r w:rsidRPr="0085799F">
        <w:rPr>
          <w:rStyle w:val="FootnoteReference"/>
          <w:sz w:val="20"/>
          <w:szCs w:val="20"/>
        </w:rPr>
        <w:footnoteRef/>
      </w:r>
      <w:r w:rsidRPr="0085799F">
        <w:rPr>
          <w:sz w:val="20"/>
          <w:szCs w:val="20"/>
        </w:rPr>
        <w:t xml:space="preserve"> See n </w:t>
      </w:r>
      <w:r w:rsidR="0085799F" w:rsidRPr="0085799F">
        <w:rPr>
          <w:sz w:val="20"/>
          <w:szCs w:val="20"/>
        </w:rPr>
        <w:t xml:space="preserve">103 </w:t>
      </w:r>
      <w:r w:rsidRPr="0085799F">
        <w:rPr>
          <w:sz w:val="20"/>
          <w:szCs w:val="20"/>
        </w:rPr>
        <w:t>and accompanying text.</w:t>
      </w:r>
    </w:p>
  </w:footnote>
  <w:footnote w:id="192">
    <w:p w14:paraId="58941730" w14:textId="0880F423" w:rsidR="0022744F" w:rsidRPr="00E33D50" w:rsidRDefault="0022744F" w:rsidP="00BE5BBB">
      <w:pPr>
        <w:pStyle w:val="FootnoteText"/>
        <w:jc w:val="both"/>
      </w:pPr>
      <w:r w:rsidRPr="0085799F">
        <w:rPr>
          <w:rStyle w:val="FootnoteReference"/>
        </w:rPr>
        <w:footnoteRef/>
      </w:r>
      <w:r w:rsidRPr="0085799F">
        <w:t xml:space="preserve"> Tavares (n </w:t>
      </w:r>
      <w:r w:rsidRPr="00CD718E">
        <w:fldChar w:fldCharType="begin"/>
      </w:r>
      <w:r w:rsidRPr="0085799F">
        <w:instrText xml:space="preserve"> NOTEREF _Ref473562389 \h </w:instrText>
      </w:r>
      <w:r w:rsidR="0085799F">
        <w:instrText xml:space="preserve"> \* MERGEFORMAT </w:instrText>
      </w:r>
      <w:r w:rsidRPr="00CD718E">
        <w:fldChar w:fldCharType="separate"/>
      </w:r>
      <w:r w:rsidRPr="0085799F">
        <w:t>104</w:t>
      </w:r>
      <w:r w:rsidRPr="00CD718E">
        <w:fldChar w:fldCharType="end"/>
      </w:r>
      <w:r w:rsidRPr="0085799F">
        <w:t>) 64.</w:t>
      </w:r>
    </w:p>
  </w:footnote>
  <w:footnote w:id="193">
    <w:p w14:paraId="444A6454" w14:textId="635D7400" w:rsidR="0022744F" w:rsidRPr="00E33D50" w:rsidRDefault="0022744F" w:rsidP="00BE5BBB">
      <w:pPr>
        <w:pStyle w:val="FootnoteText"/>
        <w:jc w:val="both"/>
      </w:pPr>
      <w:r w:rsidRPr="00E33D50">
        <w:rPr>
          <w:rStyle w:val="FootnoteReference"/>
        </w:rPr>
        <w:footnoteRef/>
      </w:r>
      <w:r w:rsidRPr="00E33D50">
        <w:t xml:space="preserve"> White (n </w:t>
      </w:r>
      <w:r w:rsidRPr="00E33D50">
        <w:fldChar w:fldCharType="begin"/>
      </w:r>
      <w:r w:rsidRPr="00E33D50">
        <w:instrText xml:space="preserve"> NOTEREF _Ref473562403 \h </w:instrText>
      </w:r>
      <w:r w:rsidRPr="00E33D50">
        <w:fldChar w:fldCharType="separate"/>
      </w:r>
      <w:r w:rsidRPr="00E33D50">
        <w:t>188</w:t>
      </w:r>
      <w:r w:rsidRPr="00E33D50">
        <w:fldChar w:fldCharType="end"/>
      </w:r>
      <w:r w:rsidRPr="00E33D50">
        <w:t>) 203-23, particularly at 215.</w:t>
      </w:r>
    </w:p>
  </w:footnote>
  <w:footnote w:id="194">
    <w:p w14:paraId="74F7C6D3" w14:textId="27A35DB1"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See, e.g., Antonopoulos, </w:t>
      </w:r>
      <w:r w:rsidRPr="00CD718E">
        <w:rPr>
          <w:sz w:val="20"/>
          <w:szCs w:val="20"/>
        </w:rPr>
        <w:t>The Unilateral Use of Force</w:t>
      </w:r>
      <w:r w:rsidRPr="00E33D50">
        <w:rPr>
          <w:sz w:val="20"/>
          <w:szCs w:val="20"/>
        </w:rPr>
        <w:t xml:space="preserve"> (n </w:t>
      </w:r>
      <w:r w:rsidRPr="00E33D50">
        <w:rPr>
          <w:sz w:val="20"/>
          <w:szCs w:val="20"/>
        </w:rPr>
        <w:fldChar w:fldCharType="begin"/>
      </w:r>
      <w:r w:rsidRPr="00E33D50">
        <w:rPr>
          <w:sz w:val="20"/>
          <w:szCs w:val="20"/>
        </w:rPr>
        <w:instrText xml:space="preserve"> NOTEREF _Ref473560649 \h </w:instrText>
      </w:r>
      <w:r w:rsidRPr="00E33D50">
        <w:rPr>
          <w:sz w:val="20"/>
          <w:szCs w:val="20"/>
        </w:rPr>
      </w:r>
      <w:r w:rsidRPr="00E33D50">
        <w:rPr>
          <w:sz w:val="20"/>
          <w:szCs w:val="20"/>
        </w:rPr>
        <w:fldChar w:fldCharType="separate"/>
      </w:r>
      <w:r w:rsidRPr="00E33D50">
        <w:rPr>
          <w:sz w:val="20"/>
          <w:szCs w:val="20"/>
        </w:rPr>
        <w:t>129</w:t>
      </w:r>
      <w:r w:rsidRPr="00E33D50">
        <w:rPr>
          <w:sz w:val="20"/>
          <w:szCs w:val="20"/>
        </w:rPr>
        <w:fldChar w:fldCharType="end"/>
      </w:r>
      <w:r w:rsidRPr="00E33D50">
        <w:rPr>
          <w:sz w:val="20"/>
          <w:szCs w:val="20"/>
        </w:rPr>
        <w:t>) 138-9; Mangu (n 1</w:t>
      </w:r>
      <w:r>
        <w:rPr>
          <w:sz w:val="20"/>
          <w:szCs w:val="20"/>
        </w:rPr>
        <w:t>30</w:t>
      </w:r>
      <w:r w:rsidRPr="00E33D50">
        <w:rPr>
          <w:sz w:val="20"/>
          <w:szCs w:val="20"/>
        </w:rPr>
        <w:t xml:space="preserve">) 241; Ntoubandi (n </w:t>
      </w:r>
      <w:r w:rsidRPr="00E33D50">
        <w:rPr>
          <w:sz w:val="20"/>
          <w:szCs w:val="20"/>
        </w:rPr>
        <w:fldChar w:fldCharType="begin"/>
      </w:r>
      <w:r w:rsidRPr="00E33D50">
        <w:rPr>
          <w:sz w:val="20"/>
          <w:szCs w:val="20"/>
        </w:rPr>
        <w:instrText xml:space="preserve"> NOTEREF _Ref473562564 \h </w:instrText>
      </w:r>
      <w:r w:rsidRPr="00E33D50">
        <w:rPr>
          <w:sz w:val="20"/>
          <w:szCs w:val="20"/>
        </w:rPr>
      </w:r>
      <w:r w:rsidRPr="00E33D50">
        <w:rPr>
          <w:sz w:val="20"/>
          <w:szCs w:val="20"/>
        </w:rPr>
        <w:fldChar w:fldCharType="separate"/>
      </w:r>
      <w:r w:rsidRPr="00E33D50">
        <w:rPr>
          <w:sz w:val="20"/>
          <w:szCs w:val="20"/>
        </w:rPr>
        <w:t>158</w:t>
      </w:r>
      <w:r w:rsidRPr="00E33D50">
        <w:rPr>
          <w:sz w:val="20"/>
          <w:szCs w:val="20"/>
        </w:rPr>
        <w:fldChar w:fldCharType="end"/>
      </w:r>
      <w:r w:rsidRPr="00E33D50">
        <w:rPr>
          <w:sz w:val="20"/>
          <w:szCs w:val="20"/>
        </w:rPr>
        <w:t xml:space="preserve">) 172-3; and Verhoeven (n </w:t>
      </w:r>
      <w:r w:rsidRPr="00E33D50">
        <w:rPr>
          <w:sz w:val="20"/>
          <w:szCs w:val="20"/>
        </w:rPr>
        <w:fldChar w:fldCharType="begin"/>
      </w:r>
      <w:r w:rsidRPr="00E33D50">
        <w:rPr>
          <w:sz w:val="20"/>
          <w:szCs w:val="20"/>
        </w:rPr>
        <w:instrText xml:space="preserve"> NOTEREF _Ref473562521 \h </w:instrText>
      </w:r>
      <w:r w:rsidRPr="00E33D50">
        <w:rPr>
          <w:sz w:val="20"/>
          <w:szCs w:val="20"/>
        </w:rPr>
      </w:r>
      <w:r w:rsidRPr="00E33D50">
        <w:rPr>
          <w:sz w:val="20"/>
          <w:szCs w:val="20"/>
        </w:rPr>
        <w:fldChar w:fldCharType="separate"/>
      </w:r>
      <w:r w:rsidRPr="00E33D50">
        <w:rPr>
          <w:sz w:val="20"/>
          <w:szCs w:val="20"/>
        </w:rPr>
        <w:t>145</w:t>
      </w:r>
      <w:r w:rsidRPr="00E33D50">
        <w:rPr>
          <w:sz w:val="20"/>
          <w:szCs w:val="20"/>
        </w:rPr>
        <w:fldChar w:fldCharType="end"/>
      </w:r>
      <w:r w:rsidRPr="00E33D50">
        <w:rPr>
          <w:sz w:val="20"/>
          <w:szCs w:val="20"/>
        </w:rPr>
        <w:t>) 358-60.</w:t>
      </w:r>
    </w:p>
  </w:footnote>
  <w:footnote w:id="195">
    <w:p w14:paraId="60938476" w14:textId="0E8B93E5" w:rsidR="0022744F" w:rsidRPr="00E33D50" w:rsidRDefault="0022744F" w:rsidP="00BE5BBB">
      <w:pPr>
        <w:jc w:val="both"/>
        <w:rPr>
          <w:sz w:val="20"/>
          <w:szCs w:val="20"/>
        </w:rPr>
      </w:pPr>
      <w:r w:rsidRPr="00E33D50">
        <w:rPr>
          <w:rStyle w:val="FootnoteReference"/>
          <w:sz w:val="20"/>
          <w:szCs w:val="20"/>
        </w:rPr>
        <w:footnoteRef/>
      </w:r>
      <w:r w:rsidRPr="00E33D50">
        <w:rPr>
          <w:sz w:val="20"/>
          <w:szCs w:val="20"/>
        </w:rPr>
        <w:t xml:space="preserve"> There has been extremely little academic legal appraisal of the use of force by the pro-Kabila States during the Great African War.  However, within the small amount of literature on that question, the general view was that the actions of these States was lawful.  See, e.g., Ben Chigara, ‘Operation of the SADC Protocol on Politics, Defence and Security in the Democratic Republic of Congo’ (2000) 12 African Journal of International and Comparative Law 58; Rupiya (n </w:t>
      </w:r>
      <w:r w:rsidRPr="00E33D50">
        <w:rPr>
          <w:sz w:val="20"/>
          <w:szCs w:val="20"/>
        </w:rPr>
        <w:fldChar w:fldCharType="begin"/>
      </w:r>
      <w:r w:rsidRPr="00E33D50">
        <w:rPr>
          <w:sz w:val="20"/>
          <w:szCs w:val="20"/>
        </w:rPr>
        <w:instrText xml:space="preserve"> NOTEREF _Ref473562644 \h </w:instrText>
      </w:r>
      <w:r w:rsidRPr="00E33D50">
        <w:rPr>
          <w:sz w:val="20"/>
          <w:szCs w:val="20"/>
        </w:rPr>
      </w:r>
      <w:r w:rsidRPr="00E33D50">
        <w:rPr>
          <w:sz w:val="20"/>
          <w:szCs w:val="20"/>
        </w:rPr>
        <w:fldChar w:fldCharType="separate"/>
      </w:r>
      <w:r w:rsidRPr="00E33D50">
        <w:rPr>
          <w:sz w:val="20"/>
          <w:szCs w:val="20"/>
        </w:rPr>
        <w:t>184</w:t>
      </w:r>
      <w:r w:rsidRPr="00E33D50">
        <w:rPr>
          <w:sz w:val="20"/>
          <w:szCs w:val="20"/>
        </w:rPr>
        <w:fldChar w:fldCharType="end"/>
      </w:r>
      <w:r w:rsidRPr="00E33D50">
        <w:rPr>
          <w:sz w:val="20"/>
          <w:szCs w:val="20"/>
        </w:rPr>
        <w:t xml:space="preserve">) 96-7; and Wilén (n </w:t>
      </w:r>
      <w:r w:rsidRPr="00E33D50">
        <w:rPr>
          <w:sz w:val="20"/>
          <w:szCs w:val="20"/>
        </w:rPr>
        <w:fldChar w:fldCharType="begin"/>
      </w:r>
      <w:r w:rsidRPr="00E33D50">
        <w:rPr>
          <w:sz w:val="20"/>
          <w:szCs w:val="20"/>
        </w:rPr>
        <w:instrText xml:space="preserve"> NOTEREF _Ref473562308 \h </w:instrText>
      </w:r>
      <w:r w:rsidRPr="00E33D50">
        <w:rPr>
          <w:sz w:val="20"/>
          <w:szCs w:val="20"/>
        </w:rPr>
      </w:r>
      <w:r w:rsidRPr="00E33D50">
        <w:rPr>
          <w:sz w:val="20"/>
          <w:szCs w:val="20"/>
        </w:rPr>
        <w:fldChar w:fldCharType="separate"/>
      </w:r>
      <w:r w:rsidRPr="00E33D50">
        <w:rPr>
          <w:sz w:val="20"/>
          <w:szCs w:val="20"/>
        </w:rPr>
        <w:t>182</w:t>
      </w:r>
      <w:r w:rsidRPr="00E33D50">
        <w:rPr>
          <w:sz w:val="20"/>
          <w:szCs w:val="20"/>
        </w:rPr>
        <w:fldChar w:fldCharType="end"/>
      </w:r>
      <w:r w:rsidRPr="00E33D50">
        <w:rPr>
          <w:sz w:val="20"/>
          <w:szCs w:val="20"/>
        </w:rPr>
        <w:t>) 102-6.</w:t>
      </w:r>
    </w:p>
  </w:footnote>
  <w:footnote w:id="196">
    <w:p w14:paraId="164D8DCB" w14:textId="6B69DB13" w:rsidR="0022744F" w:rsidRPr="00E33D50" w:rsidRDefault="0022744F" w:rsidP="00BE5BBB">
      <w:pPr>
        <w:pStyle w:val="FootnoteText"/>
        <w:jc w:val="both"/>
      </w:pPr>
      <w:r w:rsidRPr="00E33D50">
        <w:rPr>
          <w:rStyle w:val="FootnoteReference"/>
        </w:rPr>
        <w:footnoteRef/>
      </w:r>
      <w:r w:rsidRPr="00E33D50">
        <w:t xml:space="preserve"> See, e.g., </w:t>
      </w:r>
      <w:r w:rsidRPr="00E33D50">
        <w:rPr>
          <w:i/>
        </w:rPr>
        <w:t>DRC v</w:t>
      </w:r>
      <w:r w:rsidRPr="00E33D50">
        <w:t xml:space="preserve"> </w:t>
      </w:r>
      <w:r w:rsidRPr="00E33D50">
        <w:rPr>
          <w:i/>
        </w:rPr>
        <w:t>Uganda</w:t>
      </w:r>
      <w:r w:rsidRPr="00E33D50">
        <w:t xml:space="preserve">, CR 2005/11 (n </w:t>
      </w:r>
      <w:r w:rsidRPr="00E33D50">
        <w:fldChar w:fldCharType="begin"/>
      </w:r>
      <w:r w:rsidRPr="00E33D50">
        <w:instrText xml:space="preserve"> NOTEREF _Ref473562703 \h </w:instrText>
      </w:r>
      <w:r w:rsidRPr="00E33D50">
        <w:fldChar w:fldCharType="separate"/>
      </w:r>
      <w:r w:rsidRPr="00E33D50">
        <w:t>43</w:t>
      </w:r>
      <w:r w:rsidRPr="00E33D50">
        <w:fldChar w:fldCharType="end"/>
      </w:r>
      <w:r w:rsidRPr="00E33D50">
        <w:t>) 24-30 (DRC).</w:t>
      </w:r>
    </w:p>
  </w:footnote>
  <w:footnote w:id="197">
    <w:p w14:paraId="38455FF1" w14:textId="775EF834" w:rsidR="0022744F" w:rsidRPr="00E33D50" w:rsidRDefault="0022744F" w:rsidP="00BE5BBB">
      <w:pPr>
        <w:pStyle w:val="FootnoteText"/>
        <w:jc w:val="both"/>
      </w:pPr>
      <w:r w:rsidRPr="00E33D50">
        <w:rPr>
          <w:rStyle w:val="FootnoteReference"/>
        </w:rPr>
        <w:footnoteRef/>
      </w:r>
      <w:r w:rsidRPr="00E33D50">
        <w:t xml:space="preserve"> See, e.g., </w:t>
      </w:r>
      <w:r w:rsidRPr="00E33D50">
        <w:rPr>
          <w:i/>
        </w:rPr>
        <w:t>DRC v</w:t>
      </w:r>
      <w:r w:rsidRPr="00E33D50">
        <w:t xml:space="preserve"> </w:t>
      </w:r>
      <w:r w:rsidRPr="00E33D50">
        <w:rPr>
          <w:i/>
        </w:rPr>
        <w:t>Uganda</w:t>
      </w:r>
      <w:r w:rsidRPr="00E33D50">
        <w:t xml:space="preserve"> (Counter-memorial submitted by Uganda) (n </w:t>
      </w:r>
      <w:r w:rsidRPr="00E33D50">
        <w:fldChar w:fldCharType="begin"/>
      </w:r>
      <w:r w:rsidRPr="00E33D50">
        <w:instrText xml:space="preserve"> NOTEREF _Ref473553374 \h </w:instrText>
      </w:r>
      <w:r w:rsidRPr="00E33D50">
        <w:fldChar w:fldCharType="separate"/>
      </w:r>
      <w:r w:rsidRPr="00E33D50">
        <w:t>67</w:t>
      </w:r>
      <w:r w:rsidRPr="00E33D50">
        <w:fldChar w:fldCharType="end"/>
      </w:r>
      <w:r w:rsidRPr="00E33D50">
        <w:t>) [52-4].</w:t>
      </w:r>
    </w:p>
  </w:footnote>
  <w:footnote w:id="198">
    <w:p w14:paraId="587E670F" w14:textId="1A5D8BE2" w:rsidR="0022744F" w:rsidRPr="00E33D50" w:rsidRDefault="0022744F" w:rsidP="00BE5BBB">
      <w:pPr>
        <w:autoSpaceDE w:val="0"/>
        <w:autoSpaceDN w:val="0"/>
        <w:adjustRightInd w:val="0"/>
        <w:jc w:val="both"/>
        <w:rPr>
          <w:sz w:val="20"/>
          <w:szCs w:val="20"/>
        </w:rPr>
      </w:pPr>
      <w:r w:rsidRPr="00E33D50">
        <w:rPr>
          <w:rStyle w:val="FootnoteReference"/>
          <w:sz w:val="20"/>
          <w:szCs w:val="20"/>
        </w:rPr>
        <w:footnoteRef/>
      </w:r>
      <w:r w:rsidRPr="00E33D50">
        <w:rPr>
          <w:sz w:val="20"/>
          <w:szCs w:val="20"/>
        </w:rPr>
        <w:t xml:space="preserve"> See the declaration of the DRC (then Zaire), reproduced in (1988–89) 43 </w:t>
      </w:r>
      <w:r w:rsidRPr="00E33D50">
        <w:rPr>
          <w:iCs/>
          <w:sz w:val="20"/>
          <w:szCs w:val="20"/>
        </w:rPr>
        <w:t>ICJYB</w:t>
      </w:r>
      <w:r w:rsidRPr="00E33D50">
        <w:rPr>
          <w:i/>
          <w:iCs/>
          <w:sz w:val="20"/>
          <w:szCs w:val="20"/>
        </w:rPr>
        <w:t xml:space="preserve"> </w:t>
      </w:r>
      <w:r w:rsidRPr="00E33D50">
        <w:rPr>
          <w:sz w:val="20"/>
          <w:szCs w:val="20"/>
        </w:rPr>
        <w:t xml:space="preserve">95; and the declaration of Uganda, reproduced in Shabtai Rosenne, </w:t>
      </w:r>
      <w:r w:rsidRPr="00E33D50">
        <w:rPr>
          <w:i/>
          <w:sz w:val="20"/>
          <w:szCs w:val="20"/>
        </w:rPr>
        <w:t>Documents on the International Court of Justice</w:t>
      </w:r>
      <w:r w:rsidRPr="00E33D50">
        <w:rPr>
          <w:sz w:val="20"/>
          <w:szCs w:val="20"/>
        </w:rPr>
        <w:t xml:space="preserve"> (2nd ed., Sijthoff &amp; Noordhoof 1979) 407.</w:t>
      </w:r>
    </w:p>
  </w:footnote>
  <w:footnote w:id="199">
    <w:p w14:paraId="0444815F" w14:textId="68CC6CBF" w:rsidR="0022744F" w:rsidRPr="00E33D50" w:rsidRDefault="0022744F" w:rsidP="00BE5BBB">
      <w:pPr>
        <w:pStyle w:val="FootnoteText"/>
        <w:jc w:val="both"/>
      </w:pPr>
      <w:r w:rsidRPr="00E33D50">
        <w:rPr>
          <w:rStyle w:val="FootnoteReference"/>
        </w:rPr>
        <w:footnoteRef/>
      </w:r>
      <w:r w:rsidRPr="00E33D50">
        <w:t xml:space="preserve"> See Green (n </w:t>
      </w:r>
      <w:r w:rsidRPr="00E33D50">
        <w:fldChar w:fldCharType="begin"/>
      </w:r>
      <w:r w:rsidRPr="00E33D50">
        <w:instrText xml:space="preserve"> NOTEREF _Ref473560854 \h </w:instrText>
      </w:r>
      <w:r w:rsidRPr="00E33D50">
        <w:fldChar w:fldCharType="separate"/>
      </w:r>
      <w:r w:rsidRPr="00E33D50">
        <w:t>138</w:t>
      </w:r>
      <w:r w:rsidRPr="00E33D50">
        <w:fldChar w:fldCharType="end"/>
      </w:r>
      <w:r w:rsidRPr="00E33D50">
        <w:t>) particularly at 200.</w:t>
      </w:r>
    </w:p>
  </w:footnote>
  <w:footnote w:id="200">
    <w:p w14:paraId="5323C199" w14:textId="77777777" w:rsidR="0022744F" w:rsidRPr="00E33D50" w:rsidRDefault="0022744F" w:rsidP="00BE5BBB">
      <w:pPr>
        <w:pStyle w:val="FootnoteText"/>
        <w:jc w:val="both"/>
      </w:pPr>
      <w:r w:rsidRPr="00E33D50">
        <w:rPr>
          <w:rStyle w:val="FootnoteReference"/>
        </w:rPr>
        <w:footnoteRef/>
      </w:r>
      <w:r w:rsidRPr="00E33D50">
        <w:t xml:space="preserve"> See, generally, ibid.</w:t>
      </w:r>
    </w:p>
  </w:footnote>
  <w:footnote w:id="201">
    <w:p w14:paraId="1DC6EB3E" w14:textId="77777777" w:rsidR="0022744F" w:rsidRPr="00E33D50" w:rsidRDefault="0022744F" w:rsidP="00BE5BBB">
      <w:pPr>
        <w:autoSpaceDE w:val="0"/>
        <w:autoSpaceDN w:val="0"/>
        <w:adjustRightInd w:val="0"/>
        <w:jc w:val="both"/>
        <w:rPr>
          <w:sz w:val="20"/>
          <w:szCs w:val="20"/>
        </w:rPr>
      </w:pPr>
      <w:r w:rsidRPr="00E33D50">
        <w:rPr>
          <w:rStyle w:val="FootnoteReference"/>
          <w:sz w:val="20"/>
          <w:szCs w:val="20"/>
        </w:rPr>
        <w:footnoteRef/>
      </w:r>
      <w:r w:rsidRPr="00E33D50">
        <w:rPr>
          <w:sz w:val="20"/>
          <w:szCs w:val="20"/>
        </w:rPr>
        <w:t xml:space="preserve"> See Barbour and Salzman (n 144).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AD9"/>
    <w:multiLevelType w:val="hybridMultilevel"/>
    <w:tmpl w:val="4036AF24"/>
    <w:lvl w:ilvl="0" w:tplc="8C3A3194">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7B2B8B"/>
    <w:multiLevelType w:val="hybridMultilevel"/>
    <w:tmpl w:val="65583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2E78A5"/>
    <w:multiLevelType w:val="hybridMultilevel"/>
    <w:tmpl w:val="8DD237E8"/>
    <w:lvl w:ilvl="0" w:tplc="104A6B9A">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1D0AA2"/>
    <w:multiLevelType w:val="hybridMultilevel"/>
    <w:tmpl w:val="4036AF24"/>
    <w:lvl w:ilvl="0" w:tplc="8C3A3194">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4304D8"/>
    <w:multiLevelType w:val="hybridMultilevel"/>
    <w:tmpl w:val="4D121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21489F"/>
    <w:multiLevelType w:val="hybridMultilevel"/>
    <w:tmpl w:val="EADA2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082273"/>
    <w:multiLevelType w:val="hybridMultilevel"/>
    <w:tmpl w:val="EADA2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713F91"/>
    <w:multiLevelType w:val="hybridMultilevel"/>
    <w:tmpl w:val="4A1A2CB0"/>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E780D2A"/>
    <w:multiLevelType w:val="hybridMultilevel"/>
    <w:tmpl w:val="7ED068F8"/>
    <w:lvl w:ilvl="0" w:tplc="86AE558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3"/>
  </w:num>
  <w:num w:numId="5">
    <w:abstractNumId w:val="2"/>
  </w:num>
  <w:num w:numId="6">
    <w:abstractNumId w:val="4"/>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6D"/>
    <w:rsid w:val="00001940"/>
    <w:rsid w:val="00002AB5"/>
    <w:rsid w:val="00004A63"/>
    <w:rsid w:val="00005F38"/>
    <w:rsid w:val="0000694E"/>
    <w:rsid w:val="00024B3F"/>
    <w:rsid w:val="00030FFE"/>
    <w:rsid w:val="000319F3"/>
    <w:rsid w:val="00032787"/>
    <w:rsid w:val="0003410B"/>
    <w:rsid w:val="000346F0"/>
    <w:rsid w:val="000378F2"/>
    <w:rsid w:val="000402DE"/>
    <w:rsid w:val="00040AFD"/>
    <w:rsid w:val="00042712"/>
    <w:rsid w:val="00046B8A"/>
    <w:rsid w:val="00051771"/>
    <w:rsid w:val="000600F9"/>
    <w:rsid w:val="00066699"/>
    <w:rsid w:val="00067833"/>
    <w:rsid w:val="00070C0F"/>
    <w:rsid w:val="000723FA"/>
    <w:rsid w:val="00075FFF"/>
    <w:rsid w:val="00083837"/>
    <w:rsid w:val="00085954"/>
    <w:rsid w:val="0008634F"/>
    <w:rsid w:val="000908E1"/>
    <w:rsid w:val="00090D7F"/>
    <w:rsid w:val="00096032"/>
    <w:rsid w:val="000A1647"/>
    <w:rsid w:val="000A3139"/>
    <w:rsid w:val="000A5FFA"/>
    <w:rsid w:val="000B1936"/>
    <w:rsid w:val="000B63CF"/>
    <w:rsid w:val="000B64FF"/>
    <w:rsid w:val="000B7326"/>
    <w:rsid w:val="000C0679"/>
    <w:rsid w:val="000C29F5"/>
    <w:rsid w:val="000C306A"/>
    <w:rsid w:val="000C4702"/>
    <w:rsid w:val="000C7491"/>
    <w:rsid w:val="000C7DFF"/>
    <w:rsid w:val="000D39A0"/>
    <w:rsid w:val="000E2394"/>
    <w:rsid w:val="000E2A13"/>
    <w:rsid w:val="000E65BA"/>
    <w:rsid w:val="000E6D30"/>
    <w:rsid w:val="000F21D8"/>
    <w:rsid w:val="000F2884"/>
    <w:rsid w:val="000F6EF0"/>
    <w:rsid w:val="00100F64"/>
    <w:rsid w:val="0010231E"/>
    <w:rsid w:val="0010624D"/>
    <w:rsid w:val="0010716E"/>
    <w:rsid w:val="00110B41"/>
    <w:rsid w:val="00112EB1"/>
    <w:rsid w:val="001157E0"/>
    <w:rsid w:val="001246EC"/>
    <w:rsid w:val="00126705"/>
    <w:rsid w:val="00130ABE"/>
    <w:rsid w:val="0013197E"/>
    <w:rsid w:val="0013491E"/>
    <w:rsid w:val="00136464"/>
    <w:rsid w:val="001406C2"/>
    <w:rsid w:val="001524A9"/>
    <w:rsid w:val="001613AA"/>
    <w:rsid w:val="00161433"/>
    <w:rsid w:val="00161437"/>
    <w:rsid w:val="00161943"/>
    <w:rsid w:val="001647D6"/>
    <w:rsid w:val="00165179"/>
    <w:rsid w:val="001659B6"/>
    <w:rsid w:val="001673BF"/>
    <w:rsid w:val="00170E1F"/>
    <w:rsid w:val="001714FA"/>
    <w:rsid w:val="001751A1"/>
    <w:rsid w:val="00177D97"/>
    <w:rsid w:val="00184BD6"/>
    <w:rsid w:val="00186081"/>
    <w:rsid w:val="00187EF9"/>
    <w:rsid w:val="00191635"/>
    <w:rsid w:val="00193FB0"/>
    <w:rsid w:val="00196FBB"/>
    <w:rsid w:val="001A20FB"/>
    <w:rsid w:val="001A52BD"/>
    <w:rsid w:val="001B7628"/>
    <w:rsid w:val="001B7BE1"/>
    <w:rsid w:val="001C12D7"/>
    <w:rsid w:val="001C377B"/>
    <w:rsid w:val="001D38C8"/>
    <w:rsid w:val="001D7221"/>
    <w:rsid w:val="001E1100"/>
    <w:rsid w:val="001E1510"/>
    <w:rsid w:val="001E316F"/>
    <w:rsid w:val="001F430C"/>
    <w:rsid w:val="00202DD1"/>
    <w:rsid w:val="002059FF"/>
    <w:rsid w:val="00213AFC"/>
    <w:rsid w:val="0021738B"/>
    <w:rsid w:val="00217C3C"/>
    <w:rsid w:val="0022744F"/>
    <w:rsid w:val="00233B29"/>
    <w:rsid w:val="002346B7"/>
    <w:rsid w:val="002368C5"/>
    <w:rsid w:val="002457BD"/>
    <w:rsid w:val="00256366"/>
    <w:rsid w:val="0026320F"/>
    <w:rsid w:val="0026358D"/>
    <w:rsid w:val="00263F99"/>
    <w:rsid w:val="0026456C"/>
    <w:rsid w:val="00265CCD"/>
    <w:rsid w:val="00267AFC"/>
    <w:rsid w:val="0027003F"/>
    <w:rsid w:val="00270E20"/>
    <w:rsid w:val="00272C5A"/>
    <w:rsid w:val="00274BFF"/>
    <w:rsid w:val="00275953"/>
    <w:rsid w:val="00281D2C"/>
    <w:rsid w:val="00284972"/>
    <w:rsid w:val="00284D37"/>
    <w:rsid w:val="00286FEA"/>
    <w:rsid w:val="00294A51"/>
    <w:rsid w:val="0029718C"/>
    <w:rsid w:val="002A2287"/>
    <w:rsid w:val="002A445F"/>
    <w:rsid w:val="002B0CD5"/>
    <w:rsid w:val="002B16AA"/>
    <w:rsid w:val="002B16FA"/>
    <w:rsid w:val="002C7BC9"/>
    <w:rsid w:val="002D084D"/>
    <w:rsid w:val="002D1AA8"/>
    <w:rsid w:val="002D33A7"/>
    <w:rsid w:val="002D4928"/>
    <w:rsid w:val="002D673A"/>
    <w:rsid w:val="002E19EA"/>
    <w:rsid w:val="002E1E53"/>
    <w:rsid w:val="002F3C27"/>
    <w:rsid w:val="002F5F79"/>
    <w:rsid w:val="002F758E"/>
    <w:rsid w:val="00303D3F"/>
    <w:rsid w:val="00306EF3"/>
    <w:rsid w:val="00312A3A"/>
    <w:rsid w:val="00313156"/>
    <w:rsid w:val="003172BB"/>
    <w:rsid w:val="00321A1B"/>
    <w:rsid w:val="00323DCF"/>
    <w:rsid w:val="00325B05"/>
    <w:rsid w:val="00325B8E"/>
    <w:rsid w:val="0033478A"/>
    <w:rsid w:val="00337AEC"/>
    <w:rsid w:val="0034389D"/>
    <w:rsid w:val="003454C5"/>
    <w:rsid w:val="00346457"/>
    <w:rsid w:val="003549BC"/>
    <w:rsid w:val="0035788D"/>
    <w:rsid w:val="00361F25"/>
    <w:rsid w:val="003669A0"/>
    <w:rsid w:val="003752A0"/>
    <w:rsid w:val="00382156"/>
    <w:rsid w:val="003840E8"/>
    <w:rsid w:val="00385EC9"/>
    <w:rsid w:val="0038725C"/>
    <w:rsid w:val="00390CEA"/>
    <w:rsid w:val="003920BC"/>
    <w:rsid w:val="0039370E"/>
    <w:rsid w:val="0039516F"/>
    <w:rsid w:val="003A085F"/>
    <w:rsid w:val="003B2F15"/>
    <w:rsid w:val="003B6FD6"/>
    <w:rsid w:val="003B7A2C"/>
    <w:rsid w:val="003C18DD"/>
    <w:rsid w:val="003C218D"/>
    <w:rsid w:val="003E1999"/>
    <w:rsid w:val="003E280F"/>
    <w:rsid w:val="003E3A6F"/>
    <w:rsid w:val="003E3EA3"/>
    <w:rsid w:val="003E3F4A"/>
    <w:rsid w:val="003E4403"/>
    <w:rsid w:val="003E4488"/>
    <w:rsid w:val="003E727F"/>
    <w:rsid w:val="003F22D7"/>
    <w:rsid w:val="004055A5"/>
    <w:rsid w:val="00407ED9"/>
    <w:rsid w:val="004134A0"/>
    <w:rsid w:val="004142C9"/>
    <w:rsid w:val="00415AAB"/>
    <w:rsid w:val="00423A3C"/>
    <w:rsid w:val="0042469E"/>
    <w:rsid w:val="00424E89"/>
    <w:rsid w:val="00425477"/>
    <w:rsid w:val="00426935"/>
    <w:rsid w:val="00430352"/>
    <w:rsid w:val="004304F8"/>
    <w:rsid w:val="004305B1"/>
    <w:rsid w:val="00430CB9"/>
    <w:rsid w:val="004378A1"/>
    <w:rsid w:val="00440D82"/>
    <w:rsid w:val="00441C9F"/>
    <w:rsid w:val="00443124"/>
    <w:rsid w:val="00444794"/>
    <w:rsid w:val="004460C3"/>
    <w:rsid w:val="00451A1D"/>
    <w:rsid w:val="00452B4C"/>
    <w:rsid w:val="0045473B"/>
    <w:rsid w:val="00455014"/>
    <w:rsid w:val="004562F2"/>
    <w:rsid w:val="004577C6"/>
    <w:rsid w:val="00462F41"/>
    <w:rsid w:val="0046652C"/>
    <w:rsid w:val="00467333"/>
    <w:rsid w:val="00471003"/>
    <w:rsid w:val="00481B07"/>
    <w:rsid w:val="0049161E"/>
    <w:rsid w:val="004925FF"/>
    <w:rsid w:val="004955B1"/>
    <w:rsid w:val="00497B2B"/>
    <w:rsid w:val="004A7C18"/>
    <w:rsid w:val="004B0DB8"/>
    <w:rsid w:val="004B3DE5"/>
    <w:rsid w:val="004B5FAA"/>
    <w:rsid w:val="004B694B"/>
    <w:rsid w:val="004B77C7"/>
    <w:rsid w:val="004C452C"/>
    <w:rsid w:val="004C6AE4"/>
    <w:rsid w:val="004E025E"/>
    <w:rsid w:val="004E5867"/>
    <w:rsid w:val="004E644B"/>
    <w:rsid w:val="004E75D1"/>
    <w:rsid w:val="004F2ED3"/>
    <w:rsid w:val="004F5F3D"/>
    <w:rsid w:val="004F6F88"/>
    <w:rsid w:val="00500387"/>
    <w:rsid w:val="0050154B"/>
    <w:rsid w:val="005018C7"/>
    <w:rsid w:val="00505492"/>
    <w:rsid w:val="00511D9A"/>
    <w:rsid w:val="00513882"/>
    <w:rsid w:val="005167CF"/>
    <w:rsid w:val="00516F6B"/>
    <w:rsid w:val="0051750F"/>
    <w:rsid w:val="005229B9"/>
    <w:rsid w:val="0052638B"/>
    <w:rsid w:val="005278D7"/>
    <w:rsid w:val="00537BC7"/>
    <w:rsid w:val="00540260"/>
    <w:rsid w:val="00544B07"/>
    <w:rsid w:val="00547481"/>
    <w:rsid w:val="005560B0"/>
    <w:rsid w:val="005573AE"/>
    <w:rsid w:val="00562752"/>
    <w:rsid w:val="00564428"/>
    <w:rsid w:val="00566E21"/>
    <w:rsid w:val="00570DDF"/>
    <w:rsid w:val="0057232C"/>
    <w:rsid w:val="005727CC"/>
    <w:rsid w:val="00576967"/>
    <w:rsid w:val="005844A7"/>
    <w:rsid w:val="00585D81"/>
    <w:rsid w:val="00590B5E"/>
    <w:rsid w:val="00590B80"/>
    <w:rsid w:val="0059202C"/>
    <w:rsid w:val="005978D6"/>
    <w:rsid w:val="005A1069"/>
    <w:rsid w:val="005A476E"/>
    <w:rsid w:val="005A6B48"/>
    <w:rsid w:val="005A74C5"/>
    <w:rsid w:val="005B0A95"/>
    <w:rsid w:val="005B1FD9"/>
    <w:rsid w:val="005B2B86"/>
    <w:rsid w:val="005C059E"/>
    <w:rsid w:val="005C1185"/>
    <w:rsid w:val="005C1649"/>
    <w:rsid w:val="005C66B3"/>
    <w:rsid w:val="005C6BFB"/>
    <w:rsid w:val="005D1E07"/>
    <w:rsid w:val="005D60A3"/>
    <w:rsid w:val="005E2863"/>
    <w:rsid w:val="005E398F"/>
    <w:rsid w:val="005F28AB"/>
    <w:rsid w:val="005F35B1"/>
    <w:rsid w:val="005F5C04"/>
    <w:rsid w:val="005F76C0"/>
    <w:rsid w:val="00600E76"/>
    <w:rsid w:val="00601407"/>
    <w:rsid w:val="00601EF8"/>
    <w:rsid w:val="006037E0"/>
    <w:rsid w:val="006077FB"/>
    <w:rsid w:val="0061098D"/>
    <w:rsid w:val="00615A02"/>
    <w:rsid w:val="0062066E"/>
    <w:rsid w:val="006213EF"/>
    <w:rsid w:val="00625186"/>
    <w:rsid w:val="00625F21"/>
    <w:rsid w:val="00626111"/>
    <w:rsid w:val="0062654A"/>
    <w:rsid w:val="00631E86"/>
    <w:rsid w:val="006411EF"/>
    <w:rsid w:val="00642F35"/>
    <w:rsid w:val="0064436D"/>
    <w:rsid w:val="00644ADA"/>
    <w:rsid w:val="00646662"/>
    <w:rsid w:val="006477C9"/>
    <w:rsid w:val="00647951"/>
    <w:rsid w:val="0065012D"/>
    <w:rsid w:val="0065299F"/>
    <w:rsid w:val="00653D26"/>
    <w:rsid w:val="00653E6C"/>
    <w:rsid w:val="00654A15"/>
    <w:rsid w:val="00657044"/>
    <w:rsid w:val="00672475"/>
    <w:rsid w:val="00673311"/>
    <w:rsid w:val="00680EA8"/>
    <w:rsid w:val="00680F1D"/>
    <w:rsid w:val="00681B93"/>
    <w:rsid w:val="0068298E"/>
    <w:rsid w:val="00683D46"/>
    <w:rsid w:val="0068518E"/>
    <w:rsid w:val="00691A03"/>
    <w:rsid w:val="006933D1"/>
    <w:rsid w:val="00693C65"/>
    <w:rsid w:val="0069424E"/>
    <w:rsid w:val="00695B26"/>
    <w:rsid w:val="006A1286"/>
    <w:rsid w:val="006A4179"/>
    <w:rsid w:val="006A5652"/>
    <w:rsid w:val="006A6317"/>
    <w:rsid w:val="006B0A0F"/>
    <w:rsid w:val="006B1A3B"/>
    <w:rsid w:val="006B2FAF"/>
    <w:rsid w:val="006B4CBE"/>
    <w:rsid w:val="006B70CF"/>
    <w:rsid w:val="006C09EB"/>
    <w:rsid w:val="006C1FCF"/>
    <w:rsid w:val="006C212B"/>
    <w:rsid w:val="006C4657"/>
    <w:rsid w:val="006C7BCB"/>
    <w:rsid w:val="006D314E"/>
    <w:rsid w:val="006D5CEA"/>
    <w:rsid w:val="006D6253"/>
    <w:rsid w:val="006E05D9"/>
    <w:rsid w:val="006E12C6"/>
    <w:rsid w:val="006E2661"/>
    <w:rsid w:val="006E5458"/>
    <w:rsid w:val="006E6BEE"/>
    <w:rsid w:val="006E72FB"/>
    <w:rsid w:val="006F0850"/>
    <w:rsid w:val="006F4188"/>
    <w:rsid w:val="006F4B3D"/>
    <w:rsid w:val="00700994"/>
    <w:rsid w:val="007024D6"/>
    <w:rsid w:val="0070412A"/>
    <w:rsid w:val="007076FF"/>
    <w:rsid w:val="00710A3C"/>
    <w:rsid w:val="007117F0"/>
    <w:rsid w:val="00714CF4"/>
    <w:rsid w:val="007166D0"/>
    <w:rsid w:val="00721702"/>
    <w:rsid w:val="00721B28"/>
    <w:rsid w:val="00721F46"/>
    <w:rsid w:val="00730927"/>
    <w:rsid w:val="00732FA0"/>
    <w:rsid w:val="00734627"/>
    <w:rsid w:val="0074290B"/>
    <w:rsid w:val="00745B2A"/>
    <w:rsid w:val="00750CEE"/>
    <w:rsid w:val="0075485C"/>
    <w:rsid w:val="00760B03"/>
    <w:rsid w:val="00760F3D"/>
    <w:rsid w:val="00761C9A"/>
    <w:rsid w:val="00763D96"/>
    <w:rsid w:val="0076653A"/>
    <w:rsid w:val="007735C5"/>
    <w:rsid w:val="0077557A"/>
    <w:rsid w:val="00775956"/>
    <w:rsid w:val="00775DD8"/>
    <w:rsid w:val="00777F6B"/>
    <w:rsid w:val="0078158E"/>
    <w:rsid w:val="00787953"/>
    <w:rsid w:val="00787BD7"/>
    <w:rsid w:val="00791E56"/>
    <w:rsid w:val="00794691"/>
    <w:rsid w:val="00797BA1"/>
    <w:rsid w:val="007A3848"/>
    <w:rsid w:val="007B01BE"/>
    <w:rsid w:val="007B15A1"/>
    <w:rsid w:val="007B202F"/>
    <w:rsid w:val="007B37B1"/>
    <w:rsid w:val="007B3CE0"/>
    <w:rsid w:val="007B4B33"/>
    <w:rsid w:val="007B5E8B"/>
    <w:rsid w:val="007C233F"/>
    <w:rsid w:val="007C2A09"/>
    <w:rsid w:val="007C2E32"/>
    <w:rsid w:val="007C40DB"/>
    <w:rsid w:val="007D54E7"/>
    <w:rsid w:val="007E6437"/>
    <w:rsid w:val="007E705F"/>
    <w:rsid w:val="007E7B25"/>
    <w:rsid w:val="007E7F69"/>
    <w:rsid w:val="007F1D48"/>
    <w:rsid w:val="007F1F7B"/>
    <w:rsid w:val="00803767"/>
    <w:rsid w:val="008050D1"/>
    <w:rsid w:val="00807351"/>
    <w:rsid w:val="008104BB"/>
    <w:rsid w:val="0081210C"/>
    <w:rsid w:val="00814736"/>
    <w:rsid w:val="00815F7E"/>
    <w:rsid w:val="00816724"/>
    <w:rsid w:val="008168C4"/>
    <w:rsid w:val="00825611"/>
    <w:rsid w:val="00825A4A"/>
    <w:rsid w:val="00830BB8"/>
    <w:rsid w:val="00840BFB"/>
    <w:rsid w:val="008410E1"/>
    <w:rsid w:val="00843BC6"/>
    <w:rsid w:val="008443E3"/>
    <w:rsid w:val="0085799F"/>
    <w:rsid w:val="008614DD"/>
    <w:rsid w:val="00862CC1"/>
    <w:rsid w:val="00863357"/>
    <w:rsid w:val="00863C6C"/>
    <w:rsid w:val="008649A8"/>
    <w:rsid w:val="00871644"/>
    <w:rsid w:val="008737C3"/>
    <w:rsid w:val="00877BE0"/>
    <w:rsid w:val="00880736"/>
    <w:rsid w:val="00883655"/>
    <w:rsid w:val="00885FA2"/>
    <w:rsid w:val="008862CA"/>
    <w:rsid w:val="00886FD4"/>
    <w:rsid w:val="008911C7"/>
    <w:rsid w:val="00892F04"/>
    <w:rsid w:val="00892FB3"/>
    <w:rsid w:val="00893C65"/>
    <w:rsid w:val="008A07C1"/>
    <w:rsid w:val="008A141D"/>
    <w:rsid w:val="008A3F8A"/>
    <w:rsid w:val="008A47EF"/>
    <w:rsid w:val="008A4888"/>
    <w:rsid w:val="008B285D"/>
    <w:rsid w:val="008B38B2"/>
    <w:rsid w:val="008B64C7"/>
    <w:rsid w:val="008C2519"/>
    <w:rsid w:val="008C7554"/>
    <w:rsid w:val="008D1634"/>
    <w:rsid w:val="008D1715"/>
    <w:rsid w:val="008D369E"/>
    <w:rsid w:val="008D41BA"/>
    <w:rsid w:val="008D587B"/>
    <w:rsid w:val="008D73EF"/>
    <w:rsid w:val="008E1EAB"/>
    <w:rsid w:val="008E2156"/>
    <w:rsid w:val="008E3A80"/>
    <w:rsid w:val="008E61EC"/>
    <w:rsid w:val="008F3A96"/>
    <w:rsid w:val="008F3DEC"/>
    <w:rsid w:val="008F42C3"/>
    <w:rsid w:val="008F439D"/>
    <w:rsid w:val="00901D87"/>
    <w:rsid w:val="009035B8"/>
    <w:rsid w:val="0091057A"/>
    <w:rsid w:val="0091773C"/>
    <w:rsid w:val="009216D2"/>
    <w:rsid w:val="00926996"/>
    <w:rsid w:val="00930FB5"/>
    <w:rsid w:val="00931573"/>
    <w:rsid w:val="009357E9"/>
    <w:rsid w:val="00935A9C"/>
    <w:rsid w:val="0093612F"/>
    <w:rsid w:val="0094079B"/>
    <w:rsid w:val="0094110A"/>
    <w:rsid w:val="00941BCD"/>
    <w:rsid w:val="0094230F"/>
    <w:rsid w:val="0095142C"/>
    <w:rsid w:val="00952484"/>
    <w:rsid w:val="0096510E"/>
    <w:rsid w:val="00973938"/>
    <w:rsid w:val="00975D40"/>
    <w:rsid w:val="00976CAF"/>
    <w:rsid w:val="00982B92"/>
    <w:rsid w:val="00983905"/>
    <w:rsid w:val="00987E2E"/>
    <w:rsid w:val="00991693"/>
    <w:rsid w:val="00995355"/>
    <w:rsid w:val="009A04F6"/>
    <w:rsid w:val="009B01CC"/>
    <w:rsid w:val="009B3CD1"/>
    <w:rsid w:val="009B3DC0"/>
    <w:rsid w:val="009B5198"/>
    <w:rsid w:val="009B5A9A"/>
    <w:rsid w:val="009B5ED8"/>
    <w:rsid w:val="009B7025"/>
    <w:rsid w:val="009C3D2A"/>
    <w:rsid w:val="009C688E"/>
    <w:rsid w:val="009C6E64"/>
    <w:rsid w:val="009D42B6"/>
    <w:rsid w:val="009E2143"/>
    <w:rsid w:val="009E3CED"/>
    <w:rsid w:val="009E4A64"/>
    <w:rsid w:val="009E5120"/>
    <w:rsid w:val="009F6AE2"/>
    <w:rsid w:val="009F7455"/>
    <w:rsid w:val="00A008A1"/>
    <w:rsid w:val="00A03B59"/>
    <w:rsid w:val="00A044E1"/>
    <w:rsid w:val="00A106EC"/>
    <w:rsid w:val="00A10FE1"/>
    <w:rsid w:val="00A11383"/>
    <w:rsid w:val="00A13C47"/>
    <w:rsid w:val="00A15AE6"/>
    <w:rsid w:val="00A17609"/>
    <w:rsid w:val="00A24EB6"/>
    <w:rsid w:val="00A257F8"/>
    <w:rsid w:val="00A263FF"/>
    <w:rsid w:val="00A30A28"/>
    <w:rsid w:val="00A30D61"/>
    <w:rsid w:val="00A319A6"/>
    <w:rsid w:val="00A31BC8"/>
    <w:rsid w:val="00A32540"/>
    <w:rsid w:val="00A33BDF"/>
    <w:rsid w:val="00A34127"/>
    <w:rsid w:val="00A35A72"/>
    <w:rsid w:val="00A361A8"/>
    <w:rsid w:val="00A42B12"/>
    <w:rsid w:val="00A43FD9"/>
    <w:rsid w:val="00A45581"/>
    <w:rsid w:val="00A55988"/>
    <w:rsid w:val="00A60C10"/>
    <w:rsid w:val="00A62287"/>
    <w:rsid w:val="00A63E3C"/>
    <w:rsid w:val="00A71017"/>
    <w:rsid w:val="00A731A1"/>
    <w:rsid w:val="00A75F89"/>
    <w:rsid w:val="00A7753A"/>
    <w:rsid w:val="00A825EE"/>
    <w:rsid w:val="00A83AA5"/>
    <w:rsid w:val="00A85140"/>
    <w:rsid w:val="00A86BA1"/>
    <w:rsid w:val="00A93708"/>
    <w:rsid w:val="00AA067D"/>
    <w:rsid w:val="00AA1461"/>
    <w:rsid w:val="00AA52F8"/>
    <w:rsid w:val="00AB1E20"/>
    <w:rsid w:val="00AB4CE3"/>
    <w:rsid w:val="00AB57C7"/>
    <w:rsid w:val="00AC1EC8"/>
    <w:rsid w:val="00AC264E"/>
    <w:rsid w:val="00AC2BB5"/>
    <w:rsid w:val="00AC38DA"/>
    <w:rsid w:val="00AD14DE"/>
    <w:rsid w:val="00AD2490"/>
    <w:rsid w:val="00AD26E6"/>
    <w:rsid w:val="00AD3FB5"/>
    <w:rsid w:val="00AD7FBE"/>
    <w:rsid w:val="00AE29C7"/>
    <w:rsid w:val="00AE2B39"/>
    <w:rsid w:val="00AE308E"/>
    <w:rsid w:val="00AE68CF"/>
    <w:rsid w:val="00AE69C7"/>
    <w:rsid w:val="00AF03A3"/>
    <w:rsid w:val="00AF33DA"/>
    <w:rsid w:val="00B005B1"/>
    <w:rsid w:val="00B00DB5"/>
    <w:rsid w:val="00B0207F"/>
    <w:rsid w:val="00B1262C"/>
    <w:rsid w:val="00B1340A"/>
    <w:rsid w:val="00B13D6D"/>
    <w:rsid w:val="00B13DE7"/>
    <w:rsid w:val="00B158F2"/>
    <w:rsid w:val="00B20898"/>
    <w:rsid w:val="00B20E26"/>
    <w:rsid w:val="00B222A8"/>
    <w:rsid w:val="00B23218"/>
    <w:rsid w:val="00B24A02"/>
    <w:rsid w:val="00B263FE"/>
    <w:rsid w:val="00B26CE7"/>
    <w:rsid w:val="00B33F00"/>
    <w:rsid w:val="00B378F7"/>
    <w:rsid w:val="00B379E4"/>
    <w:rsid w:val="00B37A64"/>
    <w:rsid w:val="00B41DCC"/>
    <w:rsid w:val="00B42F58"/>
    <w:rsid w:val="00B4475A"/>
    <w:rsid w:val="00B4732A"/>
    <w:rsid w:val="00B52698"/>
    <w:rsid w:val="00B56E3D"/>
    <w:rsid w:val="00B6073C"/>
    <w:rsid w:val="00B615FD"/>
    <w:rsid w:val="00B63F67"/>
    <w:rsid w:val="00B6790B"/>
    <w:rsid w:val="00B7211B"/>
    <w:rsid w:val="00B72BBC"/>
    <w:rsid w:val="00B72E9C"/>
    <w:rsid w:val="00B80A41"/>
    <w:rsid w:val="00B84C92"/>
    <w:rsid w:val="00B96BA8"/>
    <w:rsid w:val="00BA1B3B"/>
    <w:rsid w:val="00BA71CF"/>
    <w:rsid w:val="00BB42BC"/>
    <w:rsid w:val="00BB5B29"/>
    <w:rsid w:val="00BB7FDB"/>
    <w:rsid w:val="00BD1310"/>
    <w:rsid w:val="00BD3B55"/>
    <w:rsid w:val="00BD6658"/>
    <w:rsid w:val="00BE4629"/>
    <w:rsid w:val="00BE5573"/>
    <w:rsid w:val="00BE5BBB"/>
    <w:rsid w:val="00BE6391"/>
    <w:rsid w:val="00BF3A1D"/>
    <w:rsid w:val="00BF4BD3"/>
    <w:rsid w:val="00C02B11"/>
    <w:rsid w:val="00C07720"/>
    <w:rsid w:val="00C077CB"/>
    <w:rsid w:val="00C11863"/>
    <w:rsid w:val="00C121FE"/>
    <w:rsid w:val="00C1650B"/>
    <w:rsid w:val="00C221CD"/>
    <w:rsid w:val="00C2602C"/>
    <w:rsid w:val="00C2767D"/>
    <w:rsid w:val="00C30479"/>
    <w:rsid w:val="00C33159"/>
    <w:rsid w:val="00C4462E"/>
    <w:rsid w:val="00C45056"/>
    <w:rsid w:val="00C5079F"/>
    <w:rsid w:val="00C62C3F"/>
    <w:rsid w:val="00C63E11"/>
    <w:rsid w:val="00C71136"/>
    <w:rsid w:val="00C72808"/>
    <w:rsid w:val="00C72C77"/>
    <w:rsid w:val="00C737CD"/>
    <w:rsid w:val="00C75C6B"/>
    <w:rsid w:val="00C75CFA"/>
    <w:rsid w:val="00C76984"/>
    <w:rsid w:val="00C950F4"/>
    <w:rsid w:val="00CA0683"/>
    <w:rsid w:val="00CA11D2"/>
    <w:rsid w:val="00CA3073"/>
    <w:rsid w:val="00CA315F"/>
    <w:rsid w:val="00CA5655"/>
    <w:rsid w:val="00CA6704"/>
    <w:rsid w:val="00CB259C"/>
    <w:rsid w:val="00CC0B6F"/>
    <w:rsid w:val="00CC4D24"/>
    <w:rsid w:val="00CC6434"/>
    <w:rsid w:val="00CD4433"/>
    <w:rsid w:val="00CD45E2"/>
    <w:rsid w:val="00CD6961"/>
    <w:rsid w:val="00CD718E"/>
    <w:rsid w:val="00CE053E"/>
    <w:rsid w:val="00CE4D10"/>
    <w:rsid w:val="00CE79E1"/>
    <w:rsid w:val="00CF19F1"/>
    <w:rsid w:val="00CF681E"/>
    <w:rsid w:val="00D0356D"/>
    <w:rsid w:val="00D06154"/>
    <w:rsid w:val="00D121A6"/>
    <w:rsid w:val="00D16711"/>
    <w:rsid w:val="00D173F6"/>
    <w:rsid w:val="00D17C0F"/>
    <w:rsid w:val="00D17C12"/>
    <w:rsid w:val="00D2109D"/>
    <w:rsid w:val="00D23601"/>
    <w:rsid w:val="00D24ADA"/>
    <w:rsid w:val="00D26E26"/>
    <w:rsid w:val="00D2753A"/>
    <w:rsid w:val="00D30395"/>
    <w:rsid w:val="00D362BE"/>
    <w:rsid w:val="00D4018F"/>
    <w:rsid w:val="00D40874"/>
    <w:rsid w:val="00D425E1"/>
    <w:rsid w:val="00D47526"/>
    <w:rsid w:val="00D47EC4"/>
    <w:rsid w:val="00D52158"/>
    <w:rsid w:val="00D53322"/>
    <w:rsid w:val="00D53EE2"/>
    <w:rsid w:val="00D63266"/>
    <w:rsid w:val="00D64439"/>
    <w:rsid w:val="00D661CC"/>
    <w:rsid w:val="00D7044A"/>
    <w:rsid w:val="00D75826"/>
    <w:rsid w:val="00D75BD6"/>
    <w:rsid w:val="00D75C35"/>
    <w:rsid w:val="00D76D73"/>
    <w:rsid w:val="00D81C72"/>
    <w:rsid w:val="00D83009"/>
    <w:rsid w:val="00D90867"/>
    <w:rsid w:val="00D92531"/>
    <w:rsid w:val="00D92EF1"/>
    <w:rsid w:val="00D97AF8"/>
    <w:rsid w:val="00DA1038"/>
    <w:rsid w:val="00DA12E4"/>
    <w:rsid w:val="00DA1627"/>
    <w:rsid w:val="00DA2B1E"/>
    <w:rsid w:val="00DA5305"/>
    <w:rsid w:val="00DA7E68"/>
    <w:rsid w:val="00DB1E34"/>
    <w:rsid w:val="00DB23ED"/>
    <w:rsid w:val="00DC2929"/>
    <w:rsid w:val="00DC2CEA"/>
    <w:rsid w:val="00DC5A38"/>
    <w:rsid w:val="00DD0B55"/>
    <w:rsid w:val="00DD68A4"/>
    <w:rsid w:val="00DE2DED"/>
    <w:rsid w:val="00DF0A59"/>
    <w:rsid w:val="00DF0F69"/>
    <w:rsid w:val="00DF19B4"/>
    <w:rsid w:val="00DF30B6"/>
    <w:rsid w:val="00DF76B6"/>
    <w:rsid w:val="00E007B4"/>
    <w:rsid w:val="00E033BF"/>
    <w:rsid w:val="00E03829"/>
    <w:rsid w:val="00E116E6"/>
    <w:rsid w:val="00E12C69"/>
    <w:rsid w:val="00E14C52"/>
    <w:rsid w:val="00E165D0"/>
    <w:rsid w:val="00E1669C"/>
    <w:rsid w:val="00E17BB5"/>
    <w:rsid w:val="00E215E0"/>
    <w:rsid w:val="00E22121"/>
    <w:rsid w:val="00E22DCD"/>
    <w:rsid w:val="00E27509"/>
    <w:rsid w:val="00E32007"/>
    <w:rsid w:val="00E32587"/>
    <w:rsid w:val="00E33D50"/>
    <w:rsid w:val="00E36A8D"/>
    <w:rsid w:val="00E36CF6"/>
    <w:rsid w:val="00E37309"/>
    <w:rsid w:val="00E451AA"/>
    <w:rsid w:val="00E47A98"/>
    <w:rsid w:val="00E53322"/>
    <w:rsid w:val="00E559A8"/>
    <w:rsid w:val="00E71BB1"/>
    <w:rsid w:val="00E738FF"/>
    <w:rsid w:val="00E73B35"/>
    <w:rsid w:val="00E7442D"/>
    <w:rsid w:val="00E779F4"/>
    <w:rsid w:val="00E819F8"/>
    <w:rsid w:val="00E83433"/>
    <w:rsid w:val="00E84EA9"/>
    <w:rsid w:val="00E85F39"/>
    <w:rsid w:val="00E86801"/>
    <w:rsid w:val="00E90637"/>
    <w:rsid w:val="00E90955"/>
    <w:rsid w:val="00E95A41"/>
    <w:rsid w:val="00EA0F66"/>
    <w:rsid w:val="00EA378C"/>
    <w:rsid w:val="00EA6695"/>
    <w:rsid w:val="00EA6D4C"/>
    <w:rsid w:val="00EB0E80"/>
    <w:rsid w:val="00EB1262"/>
    <w:rsid w:val="00EB3177"/>
    <w:rsid w:val="00EC03E7"/>
    <w:rsid w:val="00EC10E3"/>
    <w:rsid w:val="00EC2E7D"/>
    <w:rsid w:val="00EC4637"/>
    <w:rsid w:val="00EC6924"/>
    <w:rsid w:val="00ED14F8"/>
    <w:rsid w:val="00ED35DF"/>
    <w:rsid w:val="00ED6574"/>
    <w:rsid w:val="00ED6BCB"/>
    <w:rsid w:val="00ED7E53"/>
    <w:rsid w:val="00EE18F2"/>
    <w:rsid w:val="00EE26D2"/>
    <w:rsid w:val="00EE4A0F"/>
    <w:rsid w:val="00EE589E"/>
    <w:rsid w:val="00EE65B1"/>
    <w:rsid w:val="00EE761A"/>
    <w:rsid w:val="00EF1295"/>
    <w:rsid w:val="00EF65B2"/>
    <w:rsid w:val="00F04FE6"/>
    <w:rsid w:val="00F05204"/>
    <w:rsid w:val="00F079B5"/>
    <w:rsid w:val="00F1306E"/>
    <w:rsid w:val="00F163C3"/>
    <w:rsid w:val="00F232C2"/>
    <w:rsid w:val="00F24152"/>
    <w:rsid w:val="00F26913"/>
    <w:rsid w:val="00F320A5"/>
    <w:rsid w:val="00F4054C"/>
    <w:rsid w:val="00F460E6"/>
    <w:rsid w:val="00F47CF4"/>
    <w:rsid w:val="00F54D56"/>
    <w:rsid w:val="00F60975"/>
    <w:rsid w:val="00F71E04"/>
    <w:rsid w:val="00F741C3"/>
    <w:rsid w:val="00F7657E"/>
    <w:rsid w:val="00F90DD9"/>
    <w:rsid w:val="00F91605"/>
    <w:rsid w:val="00F96B78"/>
    <w:rsid w:val="00FA068A"/>
    <w:rsid w:val="00FA1532"/>
    <w:rsid w:val="00FB3B13"/>
    <w:rsid w:val="00FB4A03"/>
    <w:rsid w:val="00FB4F4E"/>
    <w:rsid w:val="00FB5BDA"/>
    <w:rsid w:val="00FB6C7D"/>
    <w:rsid w:val="00FC000C"/>
    <w:rsid w:val="00FC3615"/>
    <w:rsid w:val="00FD0E97"/>
    <w:rsid w:val="00FD10B1"/>
    <w:rsid w:val="00FD22C5"/>
    <w:rsid w:val="00FD4DC6"/>
    <w:rsid w:val="00FD4E8D"/>
    <w:rsid w:val="00FD5FCA"/>
    <w:rsid w:val="00FD7279"/>
    <w:rsid w:val="00FE0D5F"/>
    <w:rsid w:val="00FE18ED"/>
    <w:rsid w:val="00FE5D80"/>
    <w:rsid w:val="00FF0E25"/>
    <w:rsid w:val="00FF5C81"/>
    <w:rsid w:val="00FF68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2C6F41"/>
  <w15:docId w15:val="{41914DDD-80AC-4824-BBCC-DA5CC317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116E6"/>
    <w:rPr>
      <w:sz w:val="20"/>
      <w:szCs w:val="20"/>
    </w:rPr>
  </w:style>
  <w:style w:type="character" w:styleId="FootnoteReference">
    <w:name w:val="footnote reference"/>
    <w:uiPriority w:val="99"/>
    <w:semiHidden/>
    <w:rsid w:val="00E116E6"/>
    <w:rPr>
      <w:vertAlign w:val="superscript"/>
    </w:rPr>
  </w:style>
  <w:style w:type="character" w:styleId="Hyperlink">
    <w:name w:val="Hyperlink"/>
    <w:rsid w:val="00E116E6"/>
    <w:rPr>
      <w:color w:val="0000FF"/>
      <w:u w:val="single"/>
    </w:rPr>
  </w:style>
  <w:style w:type="paragraph" w:styleId="Footer">
    <w:name w:val="footer"/>
    <w:basedOn w:val="Normal"/>
    <w:rsid w:val="00E116E6"/>
    <w:pPr>
      <w:tabs>
        <w:tab w:val="center" w:pos="4153"/>
        <w:tab w:val="right" w:pos="8306"/>
      </w:tabs>
    </w:pPr>
  </w:style>
  <w:style w:type="character" w:styleId="PageNumber">
    <w:name w:val="page number"/>
    <w:basedOn w:val="DefaultParagraphFont"/>
    <w:rsid w:val="00E116E6"/>
  </w:style>
  <w:style w:type="paragraph" w:styleId="NormalWeb">
    <w:name w:val="Normal (Web)"/>
    <w:basedOn w:val="Normal"/>
    <w:rsid w:val="00AB57C7"/>
    <w:pPr>
      <w:spacing w:before="100" w:beforeAutospacing="1" w:after="100" w:afterAutospacing="1"/>
    </w:pPr>
    <w:rPr>
      <w:color w:val="000000"/>
    </w:rPr>
  </w:style>
  <w:style w:type="character" w:styleId="Strong">
    <w:name w:val="Strong"/>
    <w:uiPriority w:val="22"/>
    <w:qFormat/>
    <w:rsid w:val="00E779F4"/>
    <w:rPr>
      <w:b/>
      <w:bCs/>
    </w:rPr>
  </w:style>
  <w:style w:type="paragraph" w:styleId="PlainText">
    <w:name w:val="Plain Text"/>
    <w:basedOn w:val="Normal"/>
    <w:link w:val="PlainTextChar"/>
    <w:uiPriority w:val="99"/>
    <w:unhideWhenUsed/>
    <w:rsid w:val="00BE6391"/>
    <w:rPr>
      <w:rFonts w:ascii="Arial" w:eastAsiaTheme="minorHAnsi" w:hAnsi="Arial" w:cs="Consolas"/>
      <w:sz w:val="20"/>
      <w:szCs w:val="21"/>
      <w:lang w:eastAsia="en-US"/>
    </w:rPr>
  </w:style>
  <w:style w:type="character" w:customStyle="1" w:styleId="PlainTextChar">
    <w:name w:val="Plain Text Char"/>
    <w:basedOn w:val="DefaultParagraphFont"/>
    <w:link w:val="PlainText"/>
    <w:uiPriority w:val="99"/>
    <w:rsid w:val="00BE6391"/>
    <w:rPr>
      <w:rFonts w:ascii="Arial" w:eastAsiaTheme="minorHAnsi" w:hAnsi="Arial" w:cs="Consolas"/>
      <w:szCs w:val="21"/>
      <w:lang w:eastAsia="en-US"/>
    </w:rPr>
  </w:style>
  <w:style w:type="paragraph" w:styleId="ListParagraph">
    <w:name w:val="List Paragraph"/>
    <w:basedOn w:val="Normal"/>
    <w:uiPriority w:val="34"/>
    <w:qFormat/>
    <w:rsid w:val="00BE6391"/>
    <w:pPr>
      <w:ind w:left="720"/>
      <w:contextualSpacing/>
    </w:pPr>
  </w:style>
  <w:style w:type="paragraph" w:customStyle="1" w:styleId="Default">
    <w:name w:val="Default"/>
    <w:rsid w:val="00B6790B"/>
    <w:pPr>
      <w:autoSpaceDE w:val="0"/>
      <w:autoSpaceDN w:val="0"/>
      <w:adjustRightInd w:val="0"/>
    </w:pPr>
    <w:rPr>
      <w:color w:val="000000"/>
      <w:sz w:val="24"/>
      <w:szCs w:val="24"/>
    </w:rPr>
  </w:style>
  <w:style w:type="character" w:styleId="FollowedHyperlink">
    <w:name w:val="FollowedHyperlink"/>
    <w:basedOn w:val="DefaultParagraphFont"/>
    <w:semiHidden/>
    <w:unhideWhenUsed/>
    <w:rsid w:val="00C2602C"/>
    <w:rPr>
      <w:color w:val="800080" w:themeColor="followedHyperlink"/>
      <w:u w:val="single"/>
    </w:rPr>
  </w:style>
  <w:style w:type="character" w:customStyle="1" w:styleId="loose1">
    <w:name w:val="loose1"/>
    <w:basedOn w:val="DefaultParagraphFont"/>
    <w:rsid w:val="00EA6D4C"/>
    <w:rPr>
      <w:vanish w:val="0"/>
      <w:webHidden w:val="0"/>
      <w:specVanish w:val="0"/>
    </w:rPr>
  </w:style>
  <w:style w:type="character" w:customStyle="1" w:styleId="FootnoteTextChar">
    <w:name w:val="Footnote Text Char"/>
    <w:basedOn w:val="DefaultParagraphFont"/>
    <w:link w:val="FootnoteText"/>
    <w:uiPriority w:val="99"/>
    <w:semiHidden/>
    <w:rsid w:val="001157E0"/>
  </w:style>
  <w:style w:type="character" w:styleId="CommentReference">
    <w:name w:val="annotation reference"/>
    <w:basedOn w:val="DefaultParagraphFont"/>
    <w:semiHidden/>
    <w:unhideWhenUsed/>
    <w:rsid w:val="00D75826"/>
    <w:rPr>
      <w:sz w:val="16"/>
      <w:szCs w:val="16"/>
    </w:rPr>
  </w:style>
  <w:style w:type="paragraph" w:styleId="CommentText">
    <w:name w:val="annotation text"/>
    <w:basedOn w:val="Normal"/>
    <w:link w:val="CommentTextChar"/>
    <w:semiHidden/>
    <w:unhideWhenUsed/>
    <w:rsid w:val="00D75826"/>
    <w:rPr>
      <w:sz w:val="20"/>
      <w:szCs w:val="20"/>
    </w:rPr>
  </w:style>
  <w:style w:type="character" w:customStyle="1" w:styleId="CommentTextChar">
    <w:name w:val="Comment Text Char"/>
    <w:basedOn w:val="DefaultParagraphFont"/>
    <w:link w:val="CommentText"/>
    <w:semiHidden/>
    <w:rsid w:val="00D75826"/>
  </w:style>
  <w:style w:type="paragraph" w:styleId="CommentSubject">
    <w:name w:val="annotation subject"/>
    <w:basedOn w:val="CommentText"/>
    <w:next w:val="CommentText"/>
    <w:link w:val="CommentSubjectChar"/>
    <w:semiHidden/>
    <w:unhideWhenUsed/>
    <w:rsid w:val="00D75826"/>
    <w:rPr>
      <w:b/>
      <w:bCs/>
    </w:rPr>
  </w:style>
  <w:style w:type="character" w:customStyle="1" w:styleId="CommentSubjectChar">
    <w:name w:val="Comment Subject Char"/>
    <w:basedOn w:val="CommentTextChar"/>
    <w:link w:val="CommentSubject"/>
    <w:semiHidden/>
    <w:rsid w:val="00D75826"/>
    <w:rPr>
      <w:b/>
      <w:bCs/>
    </w:rPr>
  </w:style>
  <w:style w:type="paragraph" w:styleId="BalloonText">
    <w:name w:val="Balloon Text"/>
    <w:basedOn w:val="Normal"/>
    <w:link w:val="BalloonTextChar"/>
    <w:semiHidden/>
    <w:unhideWhenUsed/>
    <w:rsid w:val="00D75826"/>
    <w:rPr>
      <w:rFonts w:ascii="Tahoma" w:hAnsi="Tahoma" w:cs="Tahoma"/>
      <w:sz w:val="16"/>
      <w:szCs w:val="16"/>
    </w:rPr>
  </w:style>
  <w:style w:type="character" w:customStyle="1" w:styleId="BalloonTextChar">
    <w:name w:val="Balloon Text Char"/>
    <w:basedOn w:val="DefaultParagraphFont"/>
    <w:link w:val="BalloonText"/>
    <w:semiHidden/>
    <w:rsid w:val="00D75826"/>
    <w:rPr>
      <w:rFonts w:ascii="Tahoma" w:hAnsi="Tahoma" w:cs="Tahoma"/>
      <w:sz w:val="16"/>
      <w:szCs w:val="16"/>
    </w:rPr>
  </w:style>
  <w:style w:type="paragraph" w:styleId="Revision">
    <w:name w:val="Revision"/>
    <w:hidden/>
    <w:uiPriority w:val="99"/>
    <w:semiHidden/>
    <w:rsid w:val="006D314E"/>
    <w:rPr>
      <w:sz w:val="24"/>
      <w:szCs w:val="24"/>
    </w:rPr>
  </w:style>
  <w:style w:type="paragraph" w:styleId="Header">
    <w:name w:val="header"/>
    <w:basedOn w:val="Normal"/>
    <w:link w:val="HeaderChar"/>
    <w:unhideWhenUsed/>
    <w:rsid w:val="0061098D"/>
    <w:pPr>
      <w:tabs>
        <w:tab w:val="center" w:pos="4513"/>
        <w:tab w:val="right" w:pos="9026"/>
      </w:tabs>
    </w:pPr>
  </w:style>
  <w:style w:type="character" w:customStyle="1" w:styleId="HeaderChar">
    <w:name w:val="Header Char"/>
    <w:basedOn w:val="DefaultParagraphFont"/>
    <w:link w:val="Header"/>
    <w:rsid w:val="006109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0387">
      <w:bodyDiv w:val="1"/>
      <w:marLeft w:val="0"/>
      <w:marRight w:val="0"/>
      <w:marTop w:val="0"/>
      <w:marBottom w:val="0"/>
      <w:divBdr>
        <w:top w:val="none" w:sz="0" w:space="0" w:color="auto"/>
        <w:left w:val="none" w:sz="0" w:space="0" w:color="auto"/>
        <w:bottom w:val="none" w:sz="0" w:space="0" w:color="auto"/>
        <w:right w:val="none" w:sz="0" w:space="0" w:color="auto"/>
      </w:divBdr>
    </w:div>
    <w:div w:id="169835879">
      <w:bodyDiv w:val="1"/>
      <w:marLeft w:val="0"/>
      <w:marRight w:val="0"/>
      <w:marTop w:val="0"/>
      <w:marBottom w:val="0"/>
      <w:divBdr>
        <w:top w:val="none" w:sz="0" w:space="0" w:color="auto"/>
        <w:left w:val="none" w:sz="0" w:space="0" w:color="auto"/>
        <w:bottom w:val="none" w:sz="0" w:space="0" w:color="auto"/>
        <w:right w:val="none" w:sz="0" w:space="0" w:color="auto"/>
      </w:divBdr>
    </w:div>
    <w:div w:id="139586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9670E-952D-43A3-831B-864323D46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7200</Words>
  <Characters>41041</Characters>
  <Application>Microsoft Office Word</Application>
  <DocSecurity>0</DocSecurity>
  <Lines>342</Lines>
  <Paragraphs>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Given that the number of instances where the Court has had the opportunity to examine and develop the international law on the</vt:lpstr>
      <vt:lpstr>Given that the number of instances where the Court has had the opportunity to examine and develop the international law on the</vt:lpstr>
    </vt:vector>
  </TitlesOfParts>
  <Company>University Of Nottingham</Company>
  <LinksUpToDate>false</LinksUpToDate>
  <CharactersWithSpaces>48145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Given that the number of instances where the Court has had the opportunity to examine and develop the international law on the</dc:title>
  <dc:creator>Authorised User</dc:creator>
  <cp:lastModifiedBy>James Green</cp:lastModifiedBy>
  <cp:revision>2</cp:revision>
  <cp:lastPrinted>2017-02-01T09:40:00Z</cp:lastPrinted>
  <dcterms:created xsi:type="dcterms:W3CDTF">2017-02-10T12:07:00Z</dcterms:created>
  <dcterms:modified xsi:type="dcterms:W3CDTF">2017-02-10T12:07:00Z</dcterms:modified>
</cp:coreProperties>
</file>