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4300C" w14:textId="77777777" w:rsidR="006D7263" w:rsidRPr="005D1CB4" w:rsidRDefault="006D7263" w:rsidP="002764BE">
      <w:pPr>
        <w:spacing w:line="360" w:lineRule="auto"/>
        <w:rPr>
          <w:b/>
          <w:bCs/>
        </w:rPr>
      </w:pPr>
      <w:r w:rsidRPr="005D1CB4">
        <w:rPr>
          <w:b/>
          <w:bCs/>
        </w:rPr>
        <w:t>Editorial comment</w:t>
      </w:r>
    </w:p>
    <w:p w14:paraId="2C6418D3" w14:textId="77777777" w:rsidR="00F075EE" w:rsidRDefault="006D7263" w:rsidP="002764BE">
      <w:pPr>
        <w:spacing w:line="360" w:lineRule="auto"/>
        <w:rPr>
          <w:b/>
          <w:bCs/>
        </w:rPr>
      </w:pPr>
      <w:r w:rsidRPr="005D1CB4">
        <w:rPr>
          <w:b/>
          <w:bCs/>
        </w:rPr>
        <w:t xml:space="preserve">The </w:t>
      </w:r>
      <w:r w:rsidR="00451BBA" w:rsidRPr="005D1CB4">
        <w:rPr>
          <w:b/>
          <w:bCs/>
        </w:rPr>
        <w:t>‘</w:t>
      </w:r>
      <w:r w:rsidRPr="005D1CB4">
        <w:rPr>
          <w:b/>
          <w:bCs/>
        </w:rPr>
        <w:t>additional</w:t>
      </w:r>
      <w:r w:rsidR="00451BBA" w:rsidRPr="005D1CB4">
        <w:rPr>
          <w:b/>
          <w:bCs/>
        </w:rPr>
        <w:t>’</w:t>
      </w:r>
      <w:r w:rsidRPr="005D1CB4">
        <w:rPr>
          <w:b/>
          <w:bCs/>
        </w:rPr>
        <w:t xml:space="preserve"> criteria for collective self-defence</w:t>
      </w:r>
      <w:r w:rsidR="00F075EE">
        <w:rPr>
          <w:b/>
          <w:bCs/>
        </w:rPr>
        <w:t>: request but not declaration</w:t>
      </w:r>
    </w:p>
    <w:p w14:paraId="17190FAD" w14:textId="77777777" w:rsidR="00F075EE" w:rsidRDefault="00F075EE" w:rsidP="002764BE">
      <w:pPr>
        <w:spacing w:line="360" w:lineRule="auto"/>
        <w:rPr>
          <w:b/>
          <w:bCs/>
        </w:rPr>
      </w:pPr>
    </w:p>
    <w:p w14:paraId="377B1C17" w14:textId="77777777" w:rsidR="006D7263" w:rsidRPr="00F075EE" w:rsidRDefault="006D7263" w:rsidP="002764BE">
      <w:pPr>
        <w:spacing w:line="360" w:lineRule="auto"/>
        <w:rPr>
          <w:b/>
          <w:bCs/>
        </w:rPr>
      </w:pPr>
      <w:r w:rsidRPr="005D1CB4">
        <w:t>James A Green</w:t>
      </w:r>
      <w:r w:rsidRPr="005D1CB4">
        <w:rPr>
          <w:rStyle w:val="FootnoteReference"/>
        </w:rPr>
        <w:footnoteReference w:customMarkFollows="1" w:id="1"/>
        <w:t>*</w:t>
      </w:r>
    </w:p>
    <w:p w14:paraId="08F179B2" w14:textId="77777777" w:rsidR="002764BE" w:rsidRPr="002764BE" w:rsidRDefault="002764BE" w:rsidP="005D1CB4">
      <w:pPr>
        <w:pStyle w:val="NormalWeb"/>
        <w:spacing w:before="0" w:beforeAutospacing="0" w:after="0" w:afterAutospacing="0" w:line="360" w:lineRule="auto"/>
        <w:jc w:val="both"/>
        <w:rPr>
          <w:sz w:val="20"/>
          <w:szCs w:val="20"/>
        </w:rPr>
      </w:pPr>
      <w:r w:rsidRPr="002764BE">
        <w:rPr>
          <w:sz w:val="20"/>
          <w:szCs w:val="20"/>
        </w:rPr>
        <w:t>Co-editor-in-chief.</w:t>
      </w:r>
      <w:r w:rsidR="002B0C46">
        <w:rPr>
          <w:sz w:val="20"/>
          <w:szCs w:val="20"/>
        </w:rPr>
        <w:t xml:space="preserve"> </w:t>
      </w:r>
      <w:r w:rsidRPr="002764BE">
        <w:rPr>
          <w:sz w:val="20"/>
          <w:szCs w:val="20"/>
        </w:rPr>
        <w:t xml:space="preserve">Professor of Public International Law, University of Reading. </w:t>
      </w:r>
    </w:p>
    <w:p w14:paraId="32D66540" w14:textId="77777777" w:rsidR="006D7263" w:rsidRPr="002764BE" w:rsidRDefault="002764BE" w:rsidP="005D1CB4">
      <w:pPr>
        <w:pStyle w:val="NormalWeb"/>
        <w:spacing w:before="0" w:beforeAutospacing="0" w:after="0" w:afterAutospacing="0" w:line="360" w:lineRule="auto"/>
        <w:jc w:val="both"/>
        <w:rPr>
          <w:sz w:val="20"/>
          <w:szCs w:val="20"/>
        </w:rPr>
      </w:pPr>
      <w:r w:rsidRPr="002764BE">
        <w:rPr>
          <w:sz w:val="20"/>
          <w:szCs w:val="20"/>
        </w:rPr>
        <w:t xml:space="preserve">CONTACT: </w:t>
      </w:r>
      <w:hyperlink r:id="rId8" w:history="1">
        <w:r w:rsidRPr="002764BE">
          <w:rPr>
            <w:rStyle w:val="Hyperlink"/>
            <w:sz w:val="20"/>
            <w:szCs w:val="20"/>
          </w:rPr>
          <w:t>j.a.green@reading.ac.uk</w:t>
        </w:r>
      </w:hyperlink>
    </w:p>
    <w:p w14:paraId="65F71BF1" w14:textId="77777777" w:rsidR="002764BE" w:rsidRPr="005D1CB4" w:rsidRDefault="002764BE" w:rsidP="005D1CB4">
      <w:pPr>
        <w:pStyle w:val="NormalWeb"/>
        <w:spacing w:before="0" w:beforeAutospacing="0" w:after="0" w:afterAutospacing="0" w:line="360" w:lineRule="auto"/>
        <w:jc w:val="both"/>
      </w:pPr>
    </w:p>
    <w:p w14:paraId="53F7E8A2" w14:textId="77777777" w:rsidR="00451BBA" w:rsidRPr="005D1CB4" w:rsidRDefault="002764BE" w:rsidP="005D1CB4">
      <w:pPr>
        <w:pStyle w:val="NormalWeb"/>
        <w:spacing w:before="0" w:beforeAutospacing="0" w:after="0" w:afterAutospacing="0" w:line="360" w:lineRule="auto"/>
        <w:jc w:val="both"/>
        <w:rPr>
          <w:b/>
        </w:rPr>
      </w:pPr>
      <w:r>
        <w:rPr>
          <w:b/>
        </w:rPr>
        <w:t>1</w:t>
      </w:r>
      <w:r w:rsidR="00451BBA" w:rsidRPr="005D1CB4">
        <w:rPr>
          <w:b/>
        </w:rPr>
        <w:t xml:space="preserve">. </w:t>
      </w:r>
      <w:r w:rsidR="002171A2" w:rsidRPr="002171A2">
        <w:rPr>
          <w:b/>
          <w:i/>
        </w:rPr>
        <w:t>Nicaragua</w:t>
      </w:r>
      <w:r w:rsidR="002171A2">
        <w:rPr>
          <w:b/>
        </w:rPr>
        <w:t xml:space="preserve"> and the </w:t>
      </w:r>
      <w:r w:rsidR="0096139A">
        <w:rPr>
          <w:b/>
        </w:rPr>
        <w:t xml:space="preserve">additional </w:t>
      </w:r>
      <w:r w:rsidR="00892CC6">
        <w:rPr>
          <w:b/>
        </w:rPr>
        <w:t xml:space="preserve">criteria for </w:t>
      </w:r>
      <w:r w:rsidR="0096139A">
        <w:rPr>
          <w:b/>
        </w:rPr>
        <w:t>collective self-defence</w:t>
      </w:r>
      <w:r w:rsidR="00905C29">
        <w:rPr>
          <w:b/>
        </w:rPr>
        <w:t xml:space="preserve"> </w:t>
      </w:r>
    </w:p>
    <w:p w14:paraId="68A460E5" w14:textId="77777777" w:rsidR="00451BBA" w:rsidRPr="005D1CB4" w:rsidRDefault="00451BBA" w:rsidP="005D1CB4">
      <w:pPr>
        <w:pStyle w:val="NormalWeb"/>
        <w:spacing w:before="0" w:beforeAutospacing="0" w:after="0" w:afterAutospacing="0" w:line="360" w:lineRule="auto"/>
        <w:jc w:val="both"/>
      </w:pPr>
    </w:p>
    <w:p w14:paraId="05262D6D" w14:textId="77777777" w:rsidR="008E6566" w:rsidRDefault="002B0C46" w:rsidP="00921026">
      <w:pPr>
        <w:pStyle w:val="NormalWeb"/>
        <w:spacing w:before="0" w:beforeAutospacing="0" w:after="0" w:afterAutospacing="0" w:line="360" w:lineRule="auto"/>
        <w:jc w:val="both"/>
      </w:pPr>
      <w:r>
        <w:t>T</w:t>
      </w:r>
      <w:r w:rsidR="00E02D3C">
        <w:t>his editorial consider</w:t>
      </w:r>
      <w:r>
        <w:t>s</w:t>
      </w:r>
      <w:r w:rsidR="00E02D3C">
        <w:t xml:space="preserve"> </w:t>
      </w:r>
      <w:r w:rsidR="00B57A80">
        <w:t xml:space="preserve">briefly </w:t>
      </w:r>
      <w:r w:rsidR="00E02D3C">
        <w:t xml:space="preserve">the </w:t>
      </w:r>
      <w:r w:rsidR="000352F7">
        <w:t xml:space="preserve">‘additional’ </w:t>
      </w:r>
      <w:r w:rsidR="00E02D3C">
        <w:t>criteria for the lawful exercise of c</w:t>
      </w:r>
      <w:r w:rsidR="006D7263" w:rsidRPr="005D1CB4">
        <w:t>ollective self-defence</w:t>
      </w:r>
      <w:r w:rsidR="000352F7">
        <w:t>:</w:t>
      </w:r>
      <w:r w:rsidR="00E02D3C">
        <w:t xml:space="preserve"> </w:t>
      </w:r>
      <w:r w:rsidR="000352F7">
        <w:t>the</w:t>
      </w:r>
      <w:r w:rsidR="00E02D3C">
        <w:t xml:space="preserve"> requirements of ‘declaration’ and ‘request’.</w:t>
      </w:r>
      <w:r w:rsidR="000352F7" w:rsidRPr="005D1CB4">
        <w:rPr>
          <w:rStyle w:val="FootnoteReference"/>
        </w:rPr>
        <w:footnoteReference w:id="2"/>
      </w:r>
      <w:r>
        <w:t xml:space="preserve"> </w:t>
      </w:r>
      <w:r w:rsidR="006D7263" w:rsidRPr="005D1CB4">
        <w:t xml:space="preserve">The commonly agreed (in terms of their existence) but commonly disputed (in terms of their nature and scope) criteria for self-defence </w:t>
      </w:r>
      <w:r w:rsidR="00451BBA" w:rsidRPr="005D1CB4">
        <w:rPr>
          <w:i/>
        </w:rPr>
        <w:t>in genere</w:t>
      </w:r>
      <w:r w:rsidR="006D7263" w:rsidRPr="005D1CB4">
        <w:t xml:space="preserve"> – armed attack,</w:t>
      </w:r>
      <w:r w:rsidR="00720E77" w:rsidRPr="005D1CB4">
        <w:rPr>
          <w:rStyle w:val="FootnoteReference"/>
        </w:rPr>
        <w:footnoteReference w:id="3"/>
      </w:r>
      <w:r w:rsidR="006D7263" w:rsidRPr="005D1CB4">
        <w:t xml:space="preserve"> necessity,</w:t>
      </w:r>
      <w:r w:rsidR="00720E77" w:rsidRPr="005D1CB4">
        <w:rPr>
          <w:rStyle w:val="FootnoteReference"/>
        </w:rPr>
        <w:footnoteReference w:id="4"/>
      </w:r>
      <w:r w:rsidR="006D7263" w:rsidRPr="005D1CB4">
        <w:t xml:space="preserve"> proportionality</w:t>
      </w:r>
      <w:r w:rsidR="00720E77" w:rsidRPr="005D1CB4">
        <w:rPr>
          <w:rStyle w:val="FootnoteReference"/>
        </w:rPr>
        <w:footnoteReference w:id="5"/>
      </w:r>
      <w:r w:rsidR="006D7263" w:rsidRPr="005D1CB4">
        <w:t xml:space="preserve"> and the </w:t>
      </w:r>
      <w:r w:rsidR="00720E77" w:rsidRPr="005D1CB4">
        <w:t>further</w:t>
      </w:r>
      <w:r w:rsidR="006D7263" w:rsidRPr="005D1CB4">
        <w:t xml:space="preserve"> </w:t>
      </w:r>
      <w:r w:rsidR="00451BBA" w:rsidRPr="005D1CB4">
        <w:t>criteria</w:t>
      </w:r>
      <w:r w:rsidR="006D7263" w:rsidRPr="005D1CB4">
        <w:t xml:space="preserve"> relating to the Security Council (the </w:t>
      </w:r>
      <w:r w:rsidR="002171A2">
        <w:t xml:space="preserve">reporting </w:t>
      </w:r>
      <w:r w:rsidR="00451BBA" w:rsidRPr="005D1CB4">
        <w:t>requirement</w:t>
      </w:r>
      <w:r w:rsidR="00720E77" w:rsidRPr="005D1CB4">
        <w:rPr>
          <w:rStyle w:val="FootnoteReference"/>
        </w:rPr>
        <w:footnoteReference w:id="6"/>
      </w:r>
      <w:r w:rsidR="006D7263" w:rsidRPr="005D1CB4">
        <w:t xml:space="preserve"> and </w:t>
      </w:r>
      <w:r w:rsidR="009A4260" w:rsidRPr="005D1CB4">
        <w:t xml:space="preserve">the </w:t>
      </w:r>
      <w:r w:rsidR="002171A2">
        <w:t>‘until clause</w:t>
      </w:r>
      <w:r w:rsidR="00451BBA" w:rsidRPr="005D1CB4">
        <w:t>’</w:t>
      </w:r>
      <w:r w:rsidR="00720E77" w:rsidRPr="005D1CB4">
        <w:rPr>
          <w:rStyle w:val="FootnoteReference"/>
        </w:rPr>
        <w:footnoteReference w:id="7"/>
      </w:r>
      <w:r w:rsidR="00451BBA" w:rsidRPr="005D1CB4">
        <w:t>)</w:t>
      </w:r>
      <w:r w:rsidR="006D7263" w:rsidRPr="005D1CB4">
        <w:t xml:space="preserve"> – all apply to collective self-defence just as they do to individual self-defence.</w:t>
      </w:r>
      <w:r w:rsidR="006D7263" w:rsidRPr="005D1CB4">
        <w:rPr>
          <w:rStyle w:val="FootnoteReference"/>
        </w:rPr>
        <w:footnoteReference w:id="8"/>
      </w:r>
      <w:r w:rsidR="008E6566">
        <w:t xml:space="preserve"> </w:t>
      </w:r>
      <w:r w:rsidR="006D7263" w:rsidRPr="005D1CB4">
        <w:t>However, on top of these</w:t>
      </w:r>
      <w:r w:rsidR="00E40E1F" w:rsidRPr="005D1CB4">
        <w:t xml:space="preserve"> ‘usual’ </w:t>
      </w:r>
      <w:r w:rsidR="006529CF" w:rsidRPr="005D1CB4">
        <w:t xml:space="preserve">requirements for </w:t>
      </w:r>
      <w:r w:rsidR="009A4260" w:rsidRPr="005D1CB4">
        <w:t>self-defence</w:t>
      </w:r>
      <w:r w:rsidR="006D7263" w:rsidRPr="005D1CB4">
        <w:t>,</w:t>
      </w:r>
      <w:r w:rsidR="00E40E1F" w:rsidRPr="005D1CB4">
        <w:t xml:space="preserve"> two further criteria </w:t>
      </w:r>
      <w:r w:rsidR="00007A06" w:rsidRPr="005D1CB4">
        <w:t>are often said to exist</w:t>
      </w:r>
      <w:r w:rsidR="00E40E1F" w:rsidRPr="005D1CB4">
        <w:t xml:space="preserve"> </w:t>
      </w:r>
      <w:r w:rsidR="006529CF" w:rsidRPr="005D1CB4">
        <w:t>specific to</w:t>
      </w:r>
      <w:r w:rsidR="00E40E1F" w:rsidRPr="005D1CB4">
        <w:t xml:space="preserve"> collective self-defence.</w:t>
      </w:r>
      <w:r w:rsidR="00921026">
        <w:t xml:space="preserve"> </w:t>
      </w:r>
      <w:r w:rsidR="00E40E1F" w:rsidRPr="005D1CB4">
        <w:t>These additional criteria were most f</w:t>
      </w:r>
      <w:r w:rsidR="006D7263" w:rsidRPr="005D1CB4">
        <w:t>amously</w:t>
      </w:r>
      <w:r w:rsidR="00E40E1F" w:rsidRPr="005D1CB4">
        <w:t xml:space="preserve"> set out by</w:t>
      </w:r>
      <w:r w:rsidR="006D7263" w:rsidRPr="005D1CB4">
        <w:t xml:space="preserve"> </w:t>
      </w:r>
      <w:r w:rsidR="004D193B" w:rsidRPr="005D1CB4">
        <w:t xml:space="preserve">the </w:t>
      </w:r>
      <w:r w:rsidR="006D7263" w:rsidRPr="005D1CB4">
        <w:t xml:space="preserve">International Court of Justice (ICJ) in the 1986 </w:t>
      </w:r>
      <w:r w:rsidR="006D7263" w:rsidRPr="005D1CB4">
        <w:rPr>
          <w:i/>
        </w:rPr>
        <w:t>Nicaragua</w:t>
      </w:r>
      <w:r w:rsidR="008E6566">
        <w:t xml:space="preserve"> merits decision:</w:t>
      </w:r>
    </w:p>
    <w:p w14:paraId="24A96838" w14:textId="77777777" w:rsidR="00921026" w:rsidRDefault="00921026" w:rsidP="00921026">
      <w:pPr>
        <w:pStyle w:val="NormalWeb"/>
        <w:spacing w:before="0" w:beforeAutospacing="0" w:after="0" w:afterAutospacing="0" w:line="360" w:lineRule="auto"/>
        <w:jc w:val="both"/>
      </w:pPr>
    </w:p>
    <w:p w14:paraId="120FF9F9" w14:textId="77777777" w:rsidR="008E6566" w:rsidRDefault="008E6566" w:rsidP="008E6566">
      <w:pPr>
        <w:pStyle w:val="NormalWeb"/>
        <w:numPr>
          <w:ilvl w:val="0"/>
          <w:numId w:val="1"/>
        </w:numPr>
        <w:spacing w:before="0" w:beforeAutospacing="0" w:after="0" w:afterAutospacing="0" w:line="360" w:lineRule="auto"/>
        <w:jc w:val="both"/>
      </w:pPr>
      <w:r>
        <w:t>T</w:t>
      </w:r>
      <w:r w:rsidR="006D7263" w:rsidRPr="005D1CB4">
        <w:t xml:space="preserve">he ‘victim’ state must </w:t>
      </w:r>
      <w:r w:rsidR="006D7263" w:rsidRPr="005D1CB4">
        <w:rPr>
          <w:i/>
        </w:rPr>
        <w:t>declare</w:t>
      </w:r>
      <w:r w:rsidR="006D7263" w:rsidRPr="005D1CB4">
        <w:t xml:space="preserve"> itself to be the victim of an armed attack</w:t>
      </w:r>
      <w:r>
        <w:t>.</w:t>
      </w:r>
      <w:r w:rsidR="00225D8E" w:rsidRPr="005D1CB4">
        <w:rPr>
          <w:rStyle w:val="FootnoteReference"/>
        </w:rPr>
        <w:footnoteReference w:id="9"/>
      </w:r>
      <w:r>
        <w:t xml:space="preserve"> </w:t>
      </w:r>
    </w:p>
    <w:p w14:paraId="09F57FD4" w14:textId="77777777" w:rsidR="008E6566" w:rsidRDefault="008E6566" w:rsidP="008E6566">
      <w:pPr>
        <w:pStyle w:val="NormalWeb"/>
        <w:numPr>
          <w:ilvl w:val="0"/>
          <w:numId w:val="1"/>
        </w:numPr>
        <w:spacing w:before="0" w:beforeAutospacing="0" w:after="0" w:afterAutospacing="0" w:line="360" w:lineRule="auto"/>
        <w:jc w:val="both"/>
      </w:pPr>
      <w:r>
        <w:t>T</w:t>
      </w:r>
      <w:r w:rsidR="006D7263" w:rsidRPr="005D1CB4">
        <w:t xml:space="preserve">he </w:t>
      </w:r>
      <w:r w:rsidR="00FC6782" w:rsidRPr="005D1CB4">
        <w:t>‘</w:t>
      </w:r>
      <w:r w:rsidR="006D7263" w:rsidRPr="005D1CB4">
        <w:t>victim</w:t>
      </w:r>
      <w:r w:rsidR="00FC6782" w:rsidRPr="005D1CB4">
        <w:t>’</w:t>
      </w:r>
      <w:r w:rsidR="006D7263" w:rsidRPr="005D1CB4">
        <w:t xml:space="preserve"> state must </w:t>
      </w:r>
      <w:r w:rsidR="006D7263" w:rsidRPr="005D1CB4">
        <w:rPr>
          <w:i/>
        </w:rPr>
        <w:t>request</w:t>
      </w:r>
      <w:r w:rsidR="006D7263" w:rsidRPr="005D1CB4">
        <w:t xml:space="preserve"> military aid in </w:t>
      </w:r>
      <w:r w:rsidR="002B0C46">
        <w:t>response</w:t>
      </w:r>
      <w:r w:rsidR="006D7263" w:rsidRPr="005D1CB4">
        <w:t>.</w:t>
      </w:r>
      <w:r w:rsidR="00225D8E" w:rsidRPr="005D1CB4">
        <w:rPr>
          <w:rStyle w:val="FootnoteReference"/>
        </w:rPr>
        <w:footnoteReference w:id="10"/>
      </w:r>
      <w:r w:rsidR="002B0C46">
        <w:t xml:space="preserve"> </w:t>
      </w:r>
    </w:p>
    <w:p w14:paraId="2A35AE9A" w14:textId="77777777" w:rsidR="008E6566" w:rsidRDefault="008E6566" w:rsidP="008E6566">
      <w:pPr>
        <w:pStyle w:val="NormalWeb"/>
        <w:spacing w:before="0" w:beforeAutospacing="0" w:after="0" w:afterAutospacing="0" w:line="360" w:lineRule="auto"/>
        <w:jc w:val="both"/>
      </w:pPr>
    </w:p>
    <w:p w14:paraId="68780177" w14:textId="4882400C" w:rsidR="00AD53AE" w:rsidRDefault="00E02D3C" w:rsidP="002B0C46">
      <w:pPr>
        <w:pStyle w:val="NormalWeb"/>
        <w:spacing w:before="0" w:beforeAutospacing="0" w:after="0" w:afterAutospacing="0" w:line="360" w:lineRule="auto"/>
        <w:jc w:val="both"/>
      </w:pPr>
      <w:r>
        <w:lastRenderedPageBreak/>
        <w:t xml:space="preserve">As one of my co-editors eloquently has </w:t>
      </w:r>
      <w:r w:rsidR="00C65E74">
        <w:t>discussed elsewhere</w:t>
      </w:r>
      <w:r>
        <w:t>,</w:t>
      </w:r>
      <w:r w:rsidR="00A7485E">
        <w:rPr>
          <w:rStyle w:val="FootnoteReference"/>
        </w:rPr>
        <w:footnoteReference w:id="11"/>
      </w:r>
      <w:r>
        <w:t xml:space="preserve"> the identification of these criteria in </w:t>
      </w:r>
      <w:r w:rsidR="003107A3">
        <w:t xml:space="preserve">1986 by </w:t>
      </w:r>
      <w:r>
        <w:t xml:space="preserve">the ICJ </w:t>
      </w:r>
      <w:r w:rsidR="008E6566">
        <w:t xml:space="preserve">has </w:t>
      </w:r>
      <w:r>
        <w:t xml:space="preserve">faced a degree of criticism, </w:t>
      </w:r>
      <w:r w:rsidR="00F81E5A">
        <w:t>including from within the Court itself</w:t>
      </w:r>
      <w:r w:rsidR="0096139A">
        <w:t xml:space="preserve"> at the time</w:t>
      </w:r>
      <w:r w:rsidR="00F81E5A">
        <w:t xml:space="preserve">, </w:t>
      </w:r>
      <w:r>
        <w:t>for a number of reasons.</w:t>
      </w:r>
      <w:r w:rsidR="002B0C46">
        <w:t xml:space="preserve"> </w:t>
      </w:r>
      <w:r w:rsidR="002A769D">
        <w:t xml:space="preserve"> </w:t>
      </w:r>
      <w:r w:rsidR="007B7166">
        <w:t>First, it has been argued that</w:t>
      </w:r>
      <w:r w:rsidR="002A769D">
        <w:t xml:space="preserve"> requiring </w:t>
      </w:r>
      <w:r w:rsidR="007B7166">
        <w:t xml:space="preserve">a </w:t>
      </w:r>
      <w:r w:rsidR="002A769D">
        <w:t xml:space="preserve">declaration and </w:t>
      </w:r>
      <w:r w:rsidR="007B7166">
        <w:t xml:space="preserve">a </w:t>
      </w:r>
      <w:r w:rsidR="002A769D">
        <w:t xml:space="preserve">request </w:t>
      </w:r>
      <w:r w:rsidR="0096139A">
        <w:t>by</w:t>
      </w:r>
      <w:r w:rsidR="002A769D">
        <w:t xml:space="preserve"> the victim state acts to situate collective self-defence, conceptually, as defence of the ‘other’, not of the ‘self’.</w:t>
      </w:r>
      <w:r w:rsidR="00B9419C">
        <w:rPr>
          <w:rStyle w:val="FootnoteReference"/>
        </w:rPr>
        <w:footnoteReference w:id="12"/>
      </w:r>
      <w:r w:rsidR="002B0C46">
        <w:t xml:space="preserve"> </w:t>
      </w:r>
      <w:r w:rsidR="002A769D">
        <w:t xml:space="preserve">This is at odds with the </w:t>
      </w:r>
      <w:r w:rsidR="0096139A">
        <w:t xml:space="preserve">(now minority) </w:t>
      </w:r>
      <w:r w:rsidR="002A769D">
        <w:t xml:space="preserve">view </w:t>
      </w:r>
      <w:r w:rsidR="007B7166">
        <w:t xml:space="preserve">that </w:t>
      </w:r>
      <w:r w:rsidR="002A769D">
        <w:t>collective self-defence is an extension of the right of individual self-defence.</w:t>
      </w:r>
      <w:r w:rsidR="007638EC">
        <w:rPr>
          <w:rStyle w:val="FootnoteReference"/>
        </w:rPr>
        <w:footnoteReference w:id="13"/>
      </w:r>
      <w:r w:rsidR="008E6566">
        <w:t xml:space="preserve"> </w:t>
      </w:r>
      <w:r w:rsidR="00AD1600">
        <w:t>Second</w:t>
      </w:r>
      <w:r w:rsidR="007B7166">
        <w:t>ly</w:t>
      </w:r>
      <w:r w:rsidR="00AD1600">
        <w:t xml:space="preserve">, the </w:t>
      </w:r>
      <w:r w:rsidR="005E06F1">
        <w:t xml:space="preserve">requirements have been seen as overly formal/impractical, and, thus, </w:t>
      </w:r>
      <w:r w:rsidR="005E06F1">
        <w:t xml:space="preserve">as unnecessary and unhelpful procedural restrictions on the exercise of </w:t>
      </w:r>
      <w:bookmarkStart w:id="0" w:name="_GoBack"/>
      <w:bookmarkEnd w:id="0"/>
      <w:r w:rsidR="005E06F1">
        <w:t>the inherent right of self-defence.</w:t>
      </w:r>
      <w:r w:rsidR="00690237">
        <w:rPr>
          <w:rStyle w:val="FootnoteReference"/>
        </w:rPr>
        <w:footnoteReference w:id="14"/>
      </w:r>
      <w:r w:rsidR="002B0C46">
        <w:t xml:space="preserve"> </w:t>
      </w:r>
      <w:r w:rsidR="007B7166">
        <w:t>Thirdly</w:t>
      </w:r>
      <w:r w:rsidR="00AD1600">
        <w:t xml:space="preserve">, </w:t>
      </w:r>
      <w:r w:rsidR="002A769D">
        <w:t>i</w:t>
      </w:r>
      <w:r w:rsidR="00F10737" w:rsidRPr="005D1CB4">
        <w:t xml:space="preserve">n the </w:t>
      </w:r>
      <w:r w:rsidR="00F10737" w:rsidRPr="005D1CB4">
        <w:rPr>
          <w:i/>
        </w:rPr>
        <w:t>Nicaragua</w:t>
      </w:r>
      <w:r w:rsidR="00F10737" w:rsidRPr="005D1CB4">
        <w:t xml:space="preserve"> decision, the ICJ </w:t>
      </w:r>
      <w:r w:rsidR="008E6566">
        <w:t>provided</w:t>
      </w:r>
      <w:r w:rsidR="00F10737" w:rsidRPr="005D1CB4">
        <w:t xml:space="preserve"> </w:t>
      </w:r>
      <w:r w:rsidR="008E6566">
        <w:t>almost no</w:t>
      </w:r>
      <w:r w:rsidR="00F10737" w:rsidRPr="005D1CB4">
        <w:t xml:space="preserve"> </w:t>
      </w:r>
      <w:r w:rsidR="008E6566">
        <w:t>evidence in</w:t>
      </w:r>
      <w:r w:rsidR="00F10737" w:rsidRPr="005D1CB4">
        <w:t xml:space="preserve"> support of the existence</w:t>
      </w:r>
      <w:r w:rsidR="008E2C4F">
        <w:t xml:space="preserve"> </w:t>
      </w:r>
      <w:r w:rsidR="007B7166">
        <w:t>of the requirements</w:t>
      </w:r>
      <w:r w:rsidR="008E6566">
        <w:t>, bring</w:t>
      </w:r>
      <w:r w:rsidR="002B0C46">
        <w:t>ing</w:t>
      </w:r>
      <w:r w:rsidR="008E6566">
        <w:t xml:space="preserve"> their status as rules of customary international law into question.</w:t>
      </w:r>
      <w:r w:rsidR="00B9419C">
        <w:rPr>
          <w:rStyle w:val="FootnoteReference"/>
        </w:rPr>
        <w:footnoteReference w:id="15"/>
      </w:r>
      <w:r w:rsidR="002B0C46">
        <w:t xml:space="preserve"> </w:t>
      </w:r>
      <w:r w:rsidR="002A769D">
        <w:t>Finally, the Court was not</w:t>
      </w:r>
      <w:r w:rsidR="002A769D" w:rsidRPr="005D1CB4">
        <w:t xml:space="preserve"> </w:t>
      </w:r>
      <w:r w:rsidR="002A769D">
        <w:t xml:space="preserve">at all clear as </w:t>
      </w:r>
      <w:r w:rsidR="002A769D" w:rsidRPr="005D1CB4">
        <w:t xml:space="preserve">to the legal consequences of complying (or, more pertinently, </w:t>
      </w:r>
      <w:r w:rsidR="002A769D" w:rsidRPr="007B7166">
        <w:rPr>
          <w:i/>
        </w:rPr>
        <w:t>not</w:t>
      </w:r>
      <w:r w:rsidR="002A769D" w:rsidRPr="005D1CB4">
        <w:t xml:space="preserve"> complying) with the</w:t>
      </w:r>
      <w:r w:rsidR="00AD53AE">
        <w:t xml:space="preserve"> criteria: it gave mixed messages as to whether </w:t>
      </w:r>
      <w:r w:rsidR="008E6566">
        <w:t xml:space="preserve">it considered </w:t>
      </w:r>
      <w:r w:rsidR="00AD53AE">
        <w:t xml:space="preserve">the declaration and request requirements </w:t>
      </w:r>
      <w:r w:rsidR="008E6566">
        <w:t>to be</w:t>
      </w:r>
      <w:r w:rsidR="00AD53AE">
        <w:t xml:space="preserve"> legal</w:t>
      </w:r>
      <w:r w:rsidR="00F53F3F">
        <w:t>ly</w:t>
      </w:r>
      <w:r w:rsidR="00AD53AE">
        <w:t xml:space="preserve"> </w:t>
      </w:r>
      <w:r w:rsidR="00AD53AE" w:rsidRPr="00F53F3F">
        <w:rPr>
          <w:i/>
        </w:rPr>
        <w:t>determinative</w:t>
      </w:r>
      <w:r w:rsidR="00AD53AE">
        <w:t xml:space="preserve"> for collective self-de</w:t>
      </w:r>
      <w:r w:rsidR="008E6566">
        <w:t>fence claims, or merely indicative/evidentiary</w:t>
      </w:r>
      <w:r w:rsidR="002A769D" w:rsidRPr="005D1CB4">
        <w:t>.</w:t>
      </w:r>
      <w:r w:rsidR="004C56D2">
        <w:rPr>
          <w:rStyle w:val="FootnoteReference"/>
        </w:rPr>
        <w:footnoteReference w:id="16"/>
      </w:r>
      <w:r w:rsidR="002B0C46">
        <w:t xml:space="preserve"> </w:t>
      </w:r>
    </w:p>
    <w:p w14:paraId="5EDD22EC" w14:textId="77777777" w:rsidR="006529CF" w:rsidRPr="005D1CB4" w:rsidRDefault="00833339" w:rsidP="00AD53AE">
      <w:pPr>
        <w:spacing w:line="360" w:lineRule="auto"/>
        <w:ind w:firstLine="720"/>
        <w:jc w:val="both"/>
      </w:pPr>
      <w:r w:rsidRPr="005D1CB4">
        <w:t xml:space="preserve">Irrespective of </w:t>
      </w:r>
      <w:r w:rsidR="003107A3">
        <w:t xml:space="preserve">these </w:t>
      </w:r>
      <w:r w:rsidR="00AD53AE">
        <w:t>various</w:t>
      </w:r>
      <w:r w:rsidR="003107A3">
        <w:t xml:space="preserve"> concerns regarding the</w:t>
      </w:r>
      <w:r w:rsidRPr="005D1CB4">
        <w:t xml:space="preserve"> ICJ’s identification </w:t>
      </w:r>
      <w:r w:rsidR="005E06F1">
        <w:t xml:space="preserve">in 1986 </w:t>
      </w:r>
      <w:r w:rsidRPr="005D1CB4">
        <w:t>of the additional requirements of ‘declaration’ and ‘request’, these</w:t>
      </w:r>
      <w:r w:rsidR="003F4732">
        <w:t xml:space="preserve"> criteria continue repeatedly </w:t>
      </w:r>
      <w:r w:rsidR="002B0C46">
        <w:t xml:space="preserve">to </w:t>
      </w:r>
      <w:r w:rsidR="003F4732">
        <w:t xml:space="preserve">be </w:t>
      </w:r>
      <w:r w:rsidR="002B0C46">
        <w:t>identified</w:t>
      </w:r>
      <w:r w:rsidR="008E6566">
        <w:t xml:space="preserve"> </w:t>
      </w:r>
      <w:r w:rsidR="004D193B" w:rsidRPr="005D1CB4">
        <w:t>in the literature.</w:t>
      </w:r>
      <w:r w:rsidR="004D193B" w:rsidRPr="005D1CB4">
        <w:rPr>
          <w:rStyle w:val="FootnoteReference"/>
        </w:rPr>
        <w:footnoteReference w:id="17"/>
      </w:r>
      <w:r w:rsidR="002B0C46">
        <w:t xml:space="preserve"> </w:t>
      </w:r>
      <w:r w:rsidR="004D193B" w:rsidRPr="005D1CB4">
        <w:t>T</w:t>
      </w:r>
      <w:r w:rsidR="0096139A">
        <w:t xml:space="preserve">o some extent, </w:t>
      </w:r>
      <w:r w:rsidR="004D193B" w:rsidRPr="005D1CB4">
        <w:t xml:space="preserve">perhaps </w:t>
      </w:r>
      <w:r w:rsidR="00690237">
        <w:t xml:space="preserve">this </w:t>
      </w:r>
      <w:r w:rsidR="008E2C4F">
        <w:t xml:space="preserve">is </w:t>
      </w:r>
      <w:r w:rsidR="004D193B" w:rsidRPr="005D1CB4">
        <w:t xml:space="preserve">unsurprising, </w:t>
      </w:r>
      <w:r w:rsidR="00AD53AE">
        <w:t xml:space="preserve">because </w:t>
      </w:r>
      <w:r w:rsidR="004D193B" w:rsidRPr="005D1CB4">
        <w:t>they have</w:t>
      </w:r>
      <w:r w:rsidR="006D7263" w:rsidRPr="005D1CB4">
        <w:t xml:space="preserve"> </w:t>
      </w:r>
      <w:r w:rsidR="00A246ED">
        <w:t xml:space="preserve">a </w:t>
      </w:r>
      <w:r w:rsidR="004D193B" w:rsidRPr="005D1CB4">
        <w:t>compelling</w:t>
      </w:r>
      <w:r w:rsidR="006D7263" w:rsidRPr="005D1CB4">
        <w:t xml:space="preserve"> policy goal underpinning </w:t>
      </w:r>
      <w:r w:rsidR="004D193B" w:rsidRPr="005D1CB4">
        <w:t>them</w:t>
      </w:r>
      <w:r w:rsidR="00E40E1F" w:rsidRPr="005D1CB4">
        <w:t>.</w:t>
      </w:r>
      <w:r w:rsidR="002B0C46">
        <w:t xml:space="preserve"> </w:t>
      </w:r>
      <w:r w:rsidR="00E40E1F" w:rsidRPr="005D1CB4">
        <w:t xml:space="preserve">It is undesirable </w:t>
      </w:r>
      <w:r w:rsidR="006529CF" w:rsidRPr="005D1CB4">
        <w:t xml:space="preserve">– </w:t>
      </w:r>
      <w:r w:rsidR="00AD53AE">
        <w:t xml:space="preserve">certainly if one adopts the majority view that collective self-defence is the </w:t>
      </w:r>
      <w:r w:rsidR="007B7166">
        <w:t>(</w:t>
      </w:r>
      <w:r w:rsidR="00AD53AE">
        <w:t>misnamed</w:t>
      </w:r>
      <w:r w:rsidR="007B7166">
        <w:t>)</w:t>
      </w:r>
      <w:r w:rsidR="00AD53AE">
        <w:t xml:space="preserve"> defence of the </w:t>
      </w:r>
      <w:r w:rsidR="00F53F3F">
        <w:t>‘</w:t>
      </w:r>
      <w:r w:rsidR="00AD53AE">
        <w:t>other</w:t>
      </w:r>
      <w:r w:rsidR="00F53F3F">
        <w:t>’</w:t>
      </w:r>
      <w:r w:rsidR="008E6566">
        <w:t xml:space="preserve"> </w:t>
      </w:r>
      <w:r w:rsidR="006529CF" w:rsidRPr="005D1CB4">
        <w:t xml:space="preserve">– </w:t>
      </w:r>
      <w:r w:rsidR="00E40E1F" w:rsidRPr="005D1CB4">
        <w:t>for ‘white knight’ states to make the decision to intervene unilaterally</w:t>
      </w:r>
      <w:r w:rsidR="006D7263" w:rsidRPr="005D1CB4">
        <w:t>,</w:t>
      </w:r>
      <w:r w:rsidR="00E40E1F" w:rsidRPr="005D1CB4">
        <w:t xml:space="preserve"> and </w:t>
      </w:r>
      <w:r w:rsidR="006529CF" w:rsidRPr="005D1CB4">
        <w:t>‘</w:t>
      </w:r>
      <w:r w:rsidR="00E40E1F" w:rsidRPr="005D1CB4">
        <w:t>ride in</w:t>
      </w:r>
      <w:r w:rsidR="006529CF" w:rsidRPr="005D1CB4">
        <w:t>’</w:t>
      </w:r>
      <w:r w:rsidR="00E40E1F" w:rsidRPr="005D1CB4">
        <w:t xml:space="preserve"> to other sovereign </w:t>
      </w:r>
      <w:r w:rsidR="00E40E1F" w:rsidRPr="005D1CB4">
        <w:lastRenderedPageBreak/>
        <w:t>states’ territor</w:t>
      </w:r>
      <w:r w:rsidR="006529CF" w:rsidRPr="005D1CB4">
        <w:t>ies</w:t>
      </w:r>
      <w:r w:rsidR="00E40E1F" w:rsidRPr="005D1CB4">
        <w:t xml:space="preserve"> unneeded and/or unwanted.</w:t>
      </w:r>
      <w:r w:rsidR="006529CF" w:rsidRPr="005D1CB4">
        <w:rPr>
          <w:rStyle w:val="FootnoteReference"/>
        </w:rPr>
        <w:footnoteReference w:id="18"/>
      </w:r>
      <w:r w:rsidR="002B0C46">
        <w:t xml:space="preserve"> </w:t>
      </w:r>
      <w:r w:rsidR="00E40E1F" w:rsidRPr="005D1CB4">
        <w:t>The declaration and request criteria</w:t>
      </w:r>
      <w:r w:rsidR="006D7263" w:rsidRPr="005D1CB4">
        <w:t xml:space="preserve"> aim to stop states from claiming collective self-defence as a pretext for using force for other purposes.</w:t>
      </w:r>
      <w:r w:rsidR="002B0C46">
        <w:t xml:space="preserve"> </w:t>
      </w:r>
    </w:p>
    <w:p w14:paraId="649198C4" w14:textId="55960569" w:rsidR="00632E11" w:rsidRDefault="00AD53AE" w:rsidP="0096139A">
      <w:pPr>
        <w:pStyle w:val="NormalWeb"/>
        <w:spacing w:before="0" w:beforeAutospacing="0" w:after="0" w:afterAutospacing="0" w:line="360" w:lineRule="auto"/>
        <w:ind w:firstLine="720"/>
        <w:jc w:val="both"/>
      </w:pPr>
      <w:r>
        <w:t xml:space="preserve">Ultimately, </w:t>
      </w:r>
      <w:r w:rsidR="0096139A">
        <w:t xml:space="preserve">however, debates over the (un)desirability of the criteria, while important, do not have a direct bearing on their existence, at least as a </w:t>
      </w:r>
      <w:r w:rsidR="0096139A" w:rsidRPr="0096139A">
        <w:rPr>
          <w:i/>
        </w:rPr>
        <w:t>lex lata</w:t>
      </w:r>
      <w:r w:rsidR="0096139A">
        <w:t xml:space="preserve"> matter.</w:t>
      </w:r>
      <w:r w:rsidR="002B0C46">
        <w:t xml:space="preserve"> </w:t>
      </w:r>
      <w:r w:rsidR="008B405D">
        <w:t>For example</w:t>
      </w:r>
      <w:r w:rsidR="0096139A">
        <w:t>, j</w:t>
      </w:r>
      <w:r w:rsidR="003107A3">
        <w:t>ust because the ICJ did not provide evidence supporting the existence of the criteria</w:t>
      </w:r>
      <w:r w:rsidR="0096139A">
        <w:t xml:space="preserve"> i</w:t>
      </w:r>
      <w:r w:rsidR="003107A3">
        <w:t xml:space="preserve">n custom </w:t>
      </w:r>
      <w:r w:rsidR="0096139A">
        <w:t xml:space="preserve">– or clarify their legal implications – </w:t>
      </w:r>
      <w:r w:rsidR="00F53F3F">
        <w:t xml:space="preserve">in 1986 </w:t>
      </w:r>
      <w:r w:rsidR="003107A3">
        <w:t xml:space="preserve">does not mean that no such evidence existed, or that the criteria have not been </w:t>
      </w:r>
      <w:r w:rsidR="008E2C4F">
        <w:t>crystallised</w:t>
      </w:r>
      <w:r w:rsidR="003107A3">
        <w:t xml:space="preserve"> into </w:t>
      </w:r>
      <w:r w:rsidR="0096139A">
        <w:t xml:space="preserve">binding </w:t>
      </w:r>
      <w:r w:rsidR="003107A3">
        <w:t>custom</w:t>
      </w:r>
      <w:r w:rsidR="0096139A">
        <w:t>ary requirements</w:t>
      </w:r>
      <w:r w:rsidR="003107A3">
        <w:t xml:space="preserve"> through state practice/</w:t>
      </w:r>
      <w:r w:rsidR="003107A3" w:rsidRPr="00AD53AE">
        <w:rPr>
          <w:i/>
        </w:rPr>
        <w:t>opinio juris</w:t>
      </w:r>
      <w:r w:rsidR="003107A3">
        <w:t xml:space="preserve"> since</w:t>
      </w:r>
      <w:r w:rsidR="0096139A">
        <w:t>.</w:t>
      </w:r>
      <w:r w:rsidR="002B0C46">
        <w:t xml:space="preserve"> </w:t>
      </w:r>
      <w:r w:rsidR="00F53F3F">
        <w:t xml:space="preserve">For all of the critique of the Court’s identification of the </w:t>
      </w:r>
      <w:r w:rsidR="0096139A">
        <w:t xml:space="preserve">two </w:t>
      </w:r>
      <w:r w:rsidR="00F53F3F">
        <w:t xml:space="preserve">additional collective self-defence criteria, few commentators have gone on to test them against what states actually </w:t>
      </w:r>
      <w:r w:rsidR="00F53F3F" w:rsidRPr="003107A3">
        <w:rPr>
          <w:i/>
        </w:rPr>
        <w:t>do</w:t>
      </w:r>
      <w:r w:rsidR="00F53F3F">
        <w:t>.</w:t>
      </w:r>
      <w:r w:rsidR="008E2C4F">
        <w:rPr>
          <w:rStyle w:val="FootnoteReference"/>
        </w:rPr>
        <w:footnoteReference w:id="19"/>
      </w:r>
      <w:r w:rsidR="002B0C46">
        <w:t xml:space="preserve"> </w:t>
      </w:r>
      <w:r w:rsidR="00E40E1F" w:rsidRPr="005D1CB4">
        <w:t xml:space="preserve">Like many other </w:t>
      </w:r>
      <w:r w:rsidR="0086013C">
        <w:t>writers</w:t>
      </w:r>
      <w:r w:rsidR="00E40E1F" w:rsidRPr="005D1CB4">
        <w:t xml:space="preserve">, in the past I have been guilty of accepting </w:t>
      </w:r>
      <w:r w:rsidR="008B405D" w:rsidRPr="005D1CB4">
        <w:t xml:space="preserve">uncritically </w:t>
      </w:r>
      <w:r w:rsidR="00E40E1F" w:rsidRPr="005D1CB4">
        <w:t xml:space="preserve">the existence in law of the two </w:t>
      </w:r>
      <w:r w:rsidR="009F4D4D" w:rsidRPr="005D1CB4">
        <w:t xml:space="preserve">additional </w:t>
      </w:r>
      <w:r w:rsidR="00E40E1F" w:rsidRPr="005D1CB4">
        <w:t>criteria for coll</w:t>
      </w:r>
      <w:r w:rsidR="00FF17C3">
        <w:t>ective self-defence.</w:t>
      </w:r>
      <w:r w:rsidR="00E40E1F" w:rsidRPr="005D1CB4">
        <w:rPr>
          <w:rStyle w:val="FootnoteReference"/>
        </w:rPr>
        <w:footnoteReference w:id="20"/>
      </w:r>
      <w:r w:rsidR="002B0C46">
        <w:t xml:space="preserve"> </w:t>
      </w:r>
      <w:r w:rsidR="00E40E1F" w:rsidRPr="005D1CB4">
        <w:t xml:space="preserve">However, </w:t>
      </w:r>
      <w:r w:rsidR="009F4D4D" w:rsidRPr="005D1CB4">
        <w:t>having recently</w:t>
      </w:r>
      <w:r w:rsidR="00E40E1F" w:rsidRPr="005D1CB4">
        <w:t xml:space="preserve"> </w:t>
      </w:r>
      <w:r w:rsidR="00690237">
        <w:t>begun work</w:t>
      </w:r>
      <w:r w:rsidR="00E40E1F" w:rsidRPr="005D1CB4">
        <w:t xml:space="preserve"> on a </w:t>
      </w:r>
      <w:r w:rsidR="00690237">
        <w:t xml:space="preserve">wider </w:t>
      </w:r>
      <w:r w:rsidR="00E40E1F" w:rsidRPr="005D1CB4">
        <w:t>project aimed at investigating the right of collective self-defence</w:t>
      </w:r>
      <w:r w:rsidR="006529CF" w:rsidRPr="005D1CB4">
        <w:t xml:space="preserve">, </w:t>
      </w:r>
      <w:r w:rsidR="00905C29">
        <w:t>I am now less sure.</w:t>
      </w:r>
      <w:r w:rsidR="002B0C46">
        <w:t xml:space="preserve"> </w:t>
      </w:r>
      <w:r w:rsidR="0086013C">
        <w:t xml:space="preserve">To put it simply, </w:t>
      </w:r>
      <w:r w:rsidR="008B405D">
        <w:t>I believe</w:t>
      </w:r>
      <w:r w:rsidR="0086013C">
        <w:t xml:space="preserve"> that a legal requirement in custom for the victim state to request aid</w:t>
      </w:r>
      <w:r w:rsidR="008B405D">
        <w:t xml:space="preserve"> does exist</w:t>
      </w:r>
      <w:r w:rsidR="0086013C">
        <w:t xml:space="preserve">, but there is no </w:t>
      </w:r>
      <w:r w:rsidR="00921026">
        <w:t xml:space="preserve">separate </w:t>
      </w:r>
      <w:r w:rsidR="0086013C">
        <w:t xml:space="preserve">requirement for it to declare </w:t>
      </w:r>
      <w:r w:rsidR="007E0F49">
        <w:t xml:space="preserve">formally </w:t>
      </w:r>
      <w:r w:rsidR="0086013C">
        <w:t>that it has suffered an armed attack.</w:t>
      </w:r>
    </w:p>
    <w:p w14:paraId="409E79A9" w14:textId="77777777" w:rsidR="00F53F3F" w:rsidRDefault="00F53F3F" w:rsidP="00F53F3F">
      <w:pPr>
        <w:pStyle w:val="NormalWeb"/>
        <w:spacing w:before="0" w:beforeAutospacing="0" w:after="0" w:afterAutospacing="0" w:line="360" w:lineRule="auto"/>
        <w:jc w:val="both"/>
      </w:pPr>
    </w:p>
    <w:p w14:paraId="1AAE15CC" w14:textId="77777777" w:rsidR="00F53F3F" w:rsidRDefault="002764BE" w:rsidP="00F53F3F">
      <w:pPr>
        <w:pStyle w:val="NormalWeb"/>
        <w:spacing w:before="0" w:beforeAutospacing="0" w:after="0" w:afterAutospacing="0" w:line="360" w:lineRule="auto"/>
        <w:jc w:val="both"/>
        <w:rPr>
          <w:b/>
        </w:rPr>
      </w:pPr>
      <w:r>
        <w:rPr>
          <w:b/>
        </w:rPr>
        <w:t>2</w:t>
      </w:r>
      <w:r w:rsidR="00905C29" w:rsidRPr="0086013C">
        <w:rPr>
          <w:b/>
        </w:rPr>
        <w:t xml:space="preserve">. </w:t>
      </w:r>
      <w:r w:rsidR="00FF17C3">
        <w:rPr>
          <w:b/>
        </w:rPr>
        <w:t>Declaration and request in s</w:t>
      </w:r>
      <w:r w:rsidR="00905C29" w:rsidRPr="0086013C">
        <w:rPr>
          <w:b/>
        </w:rPr>
        <w:t xml:space="preserve">tate </w:t>
      </w:r>
      <w:r w:rsidR="002171A2">
        <w:rPr>
          <w:b/>
        </w:rPr>
        <w:t>practice</w:t>
      </w:r>
    </w:p>
    <w:p w14:paraId="2386FEF0" w14:textId="77777777" w:rsidR="002171A2" w:rsidRDefault="002171A2" w:rsidP="00F53F3F">
      <w:pPr>
        <w:pStyle w:val="NormalWeb"/>
        <w:spacing w:before="0" w:beforeAutospacing="0" w:after="0" w:afterAutospacing="0" w:line="360" w:lineRule="auto"/>
        <w:jc w:val="both"/>
      </w:pPr>
    </w:p>
    <w:p w14:paraId="0CEF1023" w14:textId="77777777" w:rsidR="002171A2" w:rsidRDefault="007B7166" w:rsidP="002171A2">
      <w:pPr>
        <w:pStyle w:val="NormalWeb"/>
        <w:spacing w:before="0" w:beforeAutospacing="0" w:after="0" w:afterAutospacing="0" w:line="360" w:lineRule="auto"/>
        <w:jc w:val="both"/>
      </w:pPr>
      <w:r>
        <w:t>C</w:t>
      </w:r>
      <w:r w:rsidR="00B33DD8" w:rsidRPr="005D1CB4">
        <w:t>ontrary to what has been suggested by some writers,</w:t>
      </w:r>
      <w:r w:rsidR="00B33DD8" w:rsidRPr="005D1CB4">
        <w:rPr>
          <w:rStyle w:val="FootnoteReference"/>
        </w:rPr>
        <w:footnoteReference w:id="21"/>
      </w:r>
      <w:r w:rsidR="00F10737">
        <w:t xml:space="preserve"> </w:t>
      </w:r>
      <w:r w:rsidR="00B33DD8" w:rsidRPr="005D1CB4">
        <w:t xml:space="preserve">the requirement that the victim state </w:t>
      </w:r>
      <w:r w:rsidR="00B33DD8" w:rsidRPr="0086013C">
        <w:t>request</w:t>
      </w:r>
      <w:r w:rsidR="00136586" w:rsidRPr="0086013C">
        <w:t>s</w:t>
      </w:r>
      <w:r w:rsidR="00B33DD8" w:rsidRPr="005D1CB4">
        <w:t xml:space="preserve"> aid in collective self-defence was not ‘invented’ by the ICJ in 1986.</w:t>
      </w:r>
      <w:r w:rsidR="002B0C46">
        <w:t xml:space="preserve"> </w:t>
      </w:r>
      <w:r w:rsidR="008B405D">
        <w:t xml:space="preserve">Such requests </w:t>
      </w:r>
      <w:r w:rsidR="00FF17C3">
        <w:t>have been</w:t>
      </w:r>
      <w:r>
        <w:t xml:space="preserve"> common in </w:t>
      </w:r>
      <w:r w:rsidR="002A3FF5">
        <w:t xml:space="preserve">relevant </w:t>
      </w:r>
      <w:r>
        <w:t>state</w:t>
      </w:r>
      <w:r w:rsidR="002A3FF5">
        <w:t xml:space="preserve"> practice from the </w:t>
      </w:r>
      <w:r w:rsidR="00A7383B">
        <w:t>inception of the UN</w:t>
      </w:r>
      <w:r>
        <w:t xml:space="preserve"> onwards</w:t>
      </w:r>
      <w:r w:rsidR="00905C29">
        <w:t>.</w:t>
      </w:r>
      <w:r w:rsidR="002B0C46">
        <w:t xml:space="preserve"> </w:t>
      </w:r>
      <w:r>
        <w:t>At the same time, a separate declaration by the victim has n</w:t>
      </w:r>
      <w:r w:rsidR="002A3FF5">
        <w:t>ever</w:t>
      </w:r>
      <w:r>
        <w:t xml:space="preserve"> been a </w:t>
      </w:r>
      <w:r w:rsidR="002A3FF5">
        <w:t xml:space="preserve">meaningful </w:t>
      </w:r>
      <w:r>
        <w:t xml:space="preserve">feature of practice </w:t>
      </w:r>
      <w:r w:rsidR="00A7383B">
        <w:t>in</w:t>
      </w:r>
      <w:r>
        <w:t xml:space="preserve"> the UN era.</w:t>
      </w:r>
      <w:r w:rsidR="002B0C46">
        <w:t xml:space="preserve"> </w:t>
      </w:r>
      <w:r w:rsidR="002A3FF5">
        <w:t>While a</w:t>
      </w:r>
      <w:r w:rsidR="002171A2" w:rsidRPr="005D1CB4">
        <w:t>n editorial of this kind does not a</w:t>
      </w:r>
      <w:r w:rsidR="008B405D">
        <w:t>llow for a</w:t>
      </w:r>
      <w:r w:rsidR="002171A2" w:rsidRPr="005D1CB4">
        <w:t xml:space="preserve"> detailed analysis of </w:t>
      </w:r>
      <w:r w:rsidR="008B405D">
        <w:t xml:space="preserve">the </w:t>
      </w:r>
      <w:r w:rsidR="002171A2" w:rsidRPr="005D1CB4">
        <w:t xml:space="preserve">state practice </w:t>
      </w:r>
      <w:r w:rsidR="002171A2">
        <w:t>concerning collective self-defence,</w:t>
      </w:r>
      <w:r w:rsidR="002171A2" w:rsidRPr="005D1CB4">
        <w:t xml:space="preserve"> </w:t>
      </w:r>
      <w:r w:rsidR="002171A2">
        <w:t xml:space="preserve">this section sets out </w:t>
      </w:r>
      <w:r w:rsidR="002171A2" w:rsidRPr="005D1CB4">
        <w:t xml:space="preserve">a </w:t>
      </w:r>
      <w:r w:rsidR="00A7383B">
        <w:t>small number of</w:t>
      </w:r>
      <w:r w:rsidR="002171A2" w:rsidRPr="005D1CB4">
        <w:t xml:space="preserve"> examples</w:t>
      </w:r>
      <w:r w:rsidR="00921026">
        <w:t xml:space="preserve">, which are </w:t>
      </w:r>
      <w:r w:rsidR="00FF17C3">
        <w:t>intended to</w:t>
      </w:r>
      <w:r w:rsidR="002171A2">
        <w:t xml:space="preserve"> illustrat</w:t>
      </w:r>
      <w:r w:rsidR="00A7383B">
        <w:t>e</w:t>
      </w:r>
      <w:r w:rsidR="002171A2">
        <w:t xml:space="preserve"> </w:t>
      </w:r>
      <w:r w:rsidR="00A7383B">
        <w:t>a</w:t>
      </w:r>
      <w:r w:rsidR="002171A2">
        <w:t xml:space="preserve"> wider trend</w:t>
      </w:r>
      <w:r w:rsidR="00A7383B">
        <w:t xml:space="preserve"> in this regard</w:t>
      </w:r>
      <w:r w:rsidR="002171A2" w:rsidRPr="005D1CB4">
        <w:t>.</w:t>
      </w:r>
      <w:r w:rsidR="002B0C46">
        <w:t xml:space="preserve"> </w:t>
      </w:r>
    </w:p>
    <w:p w14:paraId="4A4AC51D" w14:textId="77777777" w:rsidR="00EE5829" w:rsidRPr="002D0275" w:rsidRDefault="00315117" w:rsidP="00EE5829">
      <w:pPr>
        <w:spacing w:line="360" w:lineRule="auto"/>
        <w:ind w:firstLine="720"/>
        <w:jc w:val="both"/>
      </w:pPr>
      <w:r w:rsidRPr="005D1CB4">
        <w:lastRenderedPageBreak/>
        <w:t xml:space="preserve">One of the earliest </w:t>
      </w:r>
      <w:r w:rsidR="008B405D">
        <w:t xml:space="preserve">relevant </w:t>
      </w:r>
      <w:r w:rsidR="00F77B98" w:rsidRPr="005D1CB4">
        <w:t xml:space="preserve">post-1945 </w:t>
      </w:r>
      <w:r w:rsidR="008B405D">
        <w:t xml:space="preserve">examples </w:t>
      </w:r>
      <w:r w:rsidR="00FF17C3">
        <w:t xml:space="preserve">is </w:t>
      </w:r>
      <w:r w:rsidR="00632E11" w:rsidRPr="005D1CB4">
        <w:t>South Korea</w:t>
      </w:r>
      <w:r w:rsidR="00FF17C3">
        <w:t>’s</w:t>
      </w:r>
      <w:r w:rsidR="00632E11" w:rsidRPr="005D1CB4">
        <w:t xml:space="preserve"> request</w:t>
      </w:r>
      <w:r w:rsidR="00FF17C3">
        <w:t xml:space="preserve"> in 1950 for</w:t>
      </w:r>
      <w:r w:rsidR="00632E11" w:rsidRPr="005D1CB4">
        <w:t xml:space="preserve"> </w:t>
      </w:r>
      <w:r w:rsidR="00632E11">
        <w:t>aid to support it against the North</w:t>
      </w:r>
      <w:r w:rsidR="00FF17C3">
        <w:t>.</w:t>
      </w:r>
      <w:r w:rsidR="00632E11" w:rsidRPr="005D1CB4">
        <w:rPr>
          <w:rStyle w:val="FootnoteReference"/>
        </w:rPr>
        <w:footnoteReference w:id="22"/>
      </w:r>
      <w:r w:rsidR="002B0C46">
        <w:t xml:space="preserve"> </w:t>
      </w:r>
      <w:r w:rsidR="0031503F" w:rsidRPr="005D1CB4">
        <w:t>While this request was</w:t>
      </w:r>
      <w:r w:rsidR="00632E11">
        <w:t>, strictly speaking,</w:t>
      </w:r>
      <w:r w:rsidR="0031503F" w:rsidRPr="005D1CB4">
        <w:t xml:space="preserve"> directed at the </w:t>
      </w:r>
      <w:r w:rsidR="00632E11">
        <w:t xml:space="preserve">Security </w:t>
      </w:r>
      <w:r w:rsidR="0031503F" w:rsidRPr="005D1CB4">
        <w:t xml:space="preserve">Council </w:t>
      </w:r>
      <w:r w:rsidR="00921026" w:rsidRPr="00921026">
        <w:rPr>
          <w:i/>
        </w:rPr>
        <w:t>ut totum</w:t>
      </w:r>
      <w:r w:rsidR="0031503F" w:rsidRPr="005D1CB4">
        <w:t>, rather than individual states, t</w:t>
      </w:r>
      <w:r w:rsidR="00FC6782" w:rsidRPr="005D1CB4">
        <w:t xml:space="preserve">he </w:t>
      </w:r>
      <w:r w:rsidR="008B405D">
        <w:t>US,</w:t>
      </w:r>
      <w:r w:rsidR="00FC6782" w:rsidRPr="005D1CB4">
        <w:t xml:space="preserve"> in particular</w:t>
      </w:r>
      <w:r w:rsidR="008B405D">
        <w:t>,</w:t>
      </w:r>
      <w:r w:rsidR="00FC6782" w:rsidRPr="005D1CB4">
        <w:t xml:space="preserve"> </w:t>
      </w:r>
      <w:r w:rsidR="00FC56CF" w:rsidRPr="005D1CB4">
        <w:t>made much of</w:t>
      </w:r>
      <w:r w:rsidR="00FC6782" w:rsidRPr="005D1CB4">
        <w:t xml:space="preserve"> </w:t>
      </w:r>
      <w:r w:rsidR="0031503F" w:rsidRPr="005D1CB4">
        <w:t>South Korea</w:t>
      </w:r>
      <w:r w:rsidR="00921026">
        <w:t>’s</w:t>
      </w:r>
      <w:r w:rsidR="00FC6782" w:rsidRPr="005D1CB4">
        <w:t xml:space="preserve"> request in defending its decision to intervene.</w:t>
      </w:r>
      <w:r w:rsidR="00FC6782" w:rsidRPr="005D1CB4">
        <w:rPr>
          <w:rStyle w:val="FootnoteReference"/>
        </w:rPr>
        <w:footnoteReference w:id="23"/>
      </w:r>
      <w:r w:rsidR="002B0C46">
        <w:t xml:space="preserve"> </w:t>
      </w:r>
      <w:r w:rsidR="008B405D">
        <w:t>The Korean War</w:t>
      </w:r>
      <w:r w:rsidR="00632E11">
        <w:t>, thus, represents an early instance of a request for aid, and a corresponding reliance on that request to support a claim of collective self-defence.</w:t>
      </w:r>
      <w:r w:rsidR="00FF17C3">
        <w:rPr>
          <w:rStyle w:val="FootnoteReference"/>
        </w:rPr>
        <w:footnoteReference w:id="24"/>
      </w:r>
      <w:r w:rsidR="002B0C46">
        <w:t xml:space="preserve"> </w:t>
      </w:r>
      <w:r w:rsidR="007B7166">
        <w:t>At the same time</w:t>
      </w:r>
      <w:r w:rsidR="00632E11">
        <w:t>, while South Korea</w:t>
      </w:r>
      <w:r w:rsidR="00F77B98" w:rsidRPr="005D1CB4">
        <w:t xml:space="preserve"> ‘declared’ that it was the victim of an ‘act of aggression’ on the part of the </w:t>
      </w:r>
      <w:r w:rsidR="00F77B98" w:rsidRPr="00EF23C0">
        <w:t>North</w:t>
      </w:r>
      <w:r w:rsidR="00632E11" w:rsidRPr="00EF23C0">
        <w:t>,</w:t>
      </w:r>
      <w:r w:rsidR="00F77B98" w:rsidRPr="00EF23C0">
        <w:t xml:space="preserve"> this was merely subsumed within </w:t>
      </w:r>
      <w:r w:rsidR="00632E11" w:rsidRPr="00EF23C0">
        <w:t>its</w:t>
      </w:r>
      <w:r w:rsidR="00F77B98" w:rsidRPr="00EF23C0">
        <w:t xml:space="preserve"> request</w:t>
      </w:r>
      <w:r w:rsidR="007B7166">
        <w:t xml:space="preserve"> for help</w:t>
      </w:r>
      <w:r w:rsidR="00F77B98" w:rsidRPr="00EF23C0">
        <w:t xml:space="preserve">, and </w:t>
      </w:r>
      <w:r w:rsidR="00632E11" w:rsidRPr="00EF23C0">
        <w:t xml:space="preserve">it made </w:t>
      </w:r>
      <w:r w:rsidR="00F77B98" w:rsidRPr="00EF23C0">
        <w:t xml:space="preserve">no reference to the notion of an armed </w:t>
      </w:r>
      <w:r w:rsidR="00F77B98" w:rsidRPr="002D0275">
        <w:t>attack.</w:t>
      </w:r>
      <w:r w:rsidR="00632E11" w:rsidRPr="002D0275">
        <w:rPr>
          <w:rStyle w:val="FootnoteReference"/>
        </w:rPr>
        <w:footnoteReference w:id="25"/>
      </w:r>
    </w:p>
    <w:p w14:paraId="3178BE6E" w14:textId="054E4463" w:rsidR="009E4608" w:rsidRDefault="00F23142" w:rsidP="009E4608">
      <w:pPr>
        <w:spacing w:line="360" w:lineRule="auto"/>
        <w:ind w:firstLine="720"/>
        <w:jc w:val="both"/>
      </w:pPr>
      <w:r w:rsidRPr="002D0275">
        <w:t>I</w:t>
      </w:r>
      <w:r w:rsidR="00FC6782" w:rsidRPr="002D0275">
        <w:t>n 1958</w:t>
      </w:r>
      <w:r w:rsidRPr="002D0275">
        <w:t>, Jordan made it very clear that</w:t>
      </w:r>
      <w:r w:rsidRPr="00EF23C0">
        <w:t xml:space="preserve"> it had formally requested that the UK and the US ‘come to its immediate aid’, in response to a threat from the United Arab Republic.</w:t>
      </w:r>
      <w:r w:rsidR="004330C9" w:rsidRPr="00EF23C0">
        <w:rPr>
          <w:rStyle w:val="FootnoteReference"/>
        </w:rPr>
        <w:footnoteReference w:id="26"/>
      </w:r>
      <w:r w:rsidR="002B0C46">
        <w:t xml:space="preserve"> </w:t>
      </w:r>
      <w:r w:rsidR="00416413">
        <w:t>While Jordan</w:t>
      </w:r>
      <w:r w:rsidR="00EF23C0" w:rsidRPr="00EF23C0">
        <w:t xml:space="preserve"> made sure </w:t>
      </w:r>
      <w:r w:rsidR="00416413">
        <w:t xml:space="preserve">that </w:t>
      </w:r>
      <w:r w:rsidR="00EF23C0" w:rsidRPr="00EF23C0">
        <w:t xml:space="preserve">its request was front and centre, it was rather </w:t>
      </w:r>
      <w:r w:rsidR="005E06F1">
        <w:t>less clear</w:t>
      </w:r>
      <w:r w:rsidR="00EF23C0" w:rsidRPr="00EF23C0">
        <w:t xml:space="preserve"> as to w</w:t>
      </w:r>
      <w:r w:rsidR="002A3FF5">
        <w:t xml:space="preserve">hat </w:t>
      </w:r>
      <w:r w:rsidR="00FF17C3">
        <w:t>th</w:t>
      </w:r>
      <w:r w:rsidR="005E06F1">
        <w:t>e</w:t>
      </w:r>
      <w:r w:rsidR="00FF17C3">
        <w:t xml:space="preserve"> request</w:t>
      </w:r>
      <w:r w:rsidR="005E06F1">
        <w:t xml:space="preserve"> that </w:t>
      </w:r>
      <w:r w:rsidR="00025E9F">
        <w:t>it</w:t>
      </w:r>
      <w:r w:rsidR="002A3FF5">
        <w:t xml:space="preserve"> made </w:t>
      </w:r>
      <w:r w:rsidR="005E06F1">
        <w:t xml:space="preserve">was </w:t>
      </w:r>
      <w:r w:rsidR="002A3FF5">
        <w:t>in relation to.</w:t>
      </w:r>
      <w:r w:rsidR="00EF23C0" w:rsidRPr="00EF23C0">
        <w:rPr>
          <w:rStyle w:val="FootnoteReference"/>
        </w:rPr>
        <w:footnoteReference w:id="27"/>
      </w:r>
      <w:r w:rsidR="00EF23C0" w:rsidRPr="00EF23C0">
        <w:t xml:space="preserve"> </w:t>
      </w:r>
      <w:r w:rsidR="002A3FF5">
        <w:t>C</w:t>
      </w:r>
      <w:r w:rsidR="00EF23C0" w:rsidRPr="00EF23C0">
        <w:t xml:space="preserve">ertainly </w:t>
      </w:r>
      <w:r w:rsidR="002A3FF5">
        <w:t xml:space="preserve">it </w:t>
      </w:r>
      <w:r w:rsidR="00EF23C0" w:rsidRPr="00EF23C0">
        <w:t xml:space="preserve">did not label </w:t>
      </w:r>
      <w:r w:rsidR="00554DE5">
        <w:t>the ‘threat’ it faced</w:t>
      </w:r>
      <w:r w:rsidR="00EF23C0" w:rsidRPr="00EF23C0">
        <w:t xml:space="preserve"> an armed attack or make any sort of formal declaration.</w:t>
      </w:r>
      <w:r w:rsidR="002B0C46">
        <w:t xml:space="preserve"> </w:t>
      </w:r>
      <w:r w:rsidRPr="00EF23C0">
        <w:t>The UK – which sent troops</w:t>
      </w:r>
      <w:r w:rsidR="00EF23C0" w:rsidRPr="00EF23C0">
        <w:t xml:space="preserve"> to Jordan</w:t>
      </w:r>
      <w:r w:rsidRPr="00EF23C0">
        <w:t xml:space="preserve"> – made </w:t>
      </w:r>
      <w:r w:rsidR="004330C9" w:rsidRPr="00EF23C0">
        <w:t>a great deal o</w:t>
      </w:r>
      <w:r w:rsidRPr="00EF23C0">
        <w:t>f th</w:t>
      </w:r>
      <w:r w:rsidR="00EF23C0" w:rsidRPr="00EF23C0">
        <w:t>e</w:t>
      </w:r>
      <w:r w:rsidRPr="00EF23C0">
        <w:t xml:space="preserve"> ‘appeal from a Government which felt</w:t>
      </w:r>
      <w:r>
        <w:t xml:space="preserve"> certain that the independence and integrity of its country was imperilled’</w:t>
      </w:r>
      <w:r w:rsidR="004330C9">
        <w:t xml:space="preserve"> in justifying its use of force.</w:t>
      </w:r>
      <w:r w:rsidR="004330C9">
        <w:rPr>
          <w:rStyle w:val="FootnoteReference"/>
        </w:rPr>
        <w:footnoteReference w:id="28"/>
      </w:r>
      <w:r w:rsidR="002B0C46">
        <w:t xml:space="preserve"> </w:t>
      </w:r>
      <w:r w:rsidR="00554DE5">
        <w:t>I</w:t>
      </w:r>
      <w:r w:rsidR="004330C9">
        <w:t xml:space="preserve">n rejecting the UK’s claim of collective self-defence, the USSR questioned the validity of </w:t>
      </w:r>
      <w:r w:rsidR="00EF23C0">
        <w:t>Jordan’s</w:t>
      </w:r>
      <w:r w:rsidR="004330C9">
        <w:t xml:space="preserve"> request (largely on the basis that it was </w:t>
      </w:r>
      <w:r w:rsidR="004330C9" w:rsidRPr="004330C9">
        <w:rPr>
          <w:i/>
        </w:rPr>
        <w:t>ex post facto</w:t>
      </w:r>
      <w:r w:rsidR="004330C9">
        <w:t>)</w:t>
      </w:r>
      <w:r w:rsidR="004330C9">
        <w:rPr>
          <w:rStyle w:val="FootnoteReference"/>
        </w:rPr>
        <w:footnoteReference w:id="29"/>
      </w:r>
      <w:r w:rsidR="004330C9">
        <w:t xml:space="preserve"> and argued that the action could not be one of self-defence as the threat being responded to was illusory.</w:t>
      </w:r>
      <w:r w:rsidR="004330C9">
        <w:rPr>
          <w:rStyle w:val="FootnoteReference"/>
        </w:rPr>
        <w:footnoteReference w:id="30"/>
      </w:r>
      <w:r w:rsidR="002B0C46">
        <w:t xml:space="preserve"> </w:t>
      </w:r>
      <w:r w:rsidR="004330C9">
        <w:t xml:space="preserve">In other words, </w:t>
      </w:r>
      <w:r w:rsidR="00EF23C0">
        <w:t>the Soviet Union</w:t>
      </w:r>
      <w:r w:rsidR="004330C9">
        <w:t xml:space="preserve"> rejected the </w:t>
      </w:r>
      <w:r w:rsidR="00EF23C0">
        <w:t xml:space="preserve">lawfulness of the UK’s </w:t>
      </w:r>
      <w:r w:rsidR="004330C9">
        <w:t xml:space="preserve">action on the </w:t>
      </w:r>
      <w:r w:rsidR="00EF23C0">
        <w:t xml:space="preserve">basis </w:t>
      </w:r>
      <w:r w:rsidR="004330C9">
        <w:t>of</w:t>
      </w:r>
      <w:r w:rsidR="00554DE5">
        <w:t xml:space="preserve"> a lack of</w:t>
      </w:r>
      <w:r w:rsidR="004330C9">
        <w:t xml:space="preserve"> </w:t>
      </w:r>
      <w:r w:rsidR="00EF23C0">
        <w:t xml:space="preserve">1) </w:t>
      </w:r>
      <w:r w:rsidR="004330C9">
        <w:t xml:space="preserve">a (valid) request and </w:t>
      </w:r>
      <w:r w:rsidR="00EF23C0">
        <w:t xml:space="preserve">2) </w:t>
      </w:r>
      <w:r w:rsidR="004330C9">
        <w:t>an armed attack.</w:t>
      </w:r>
      <w:r w:rsidR="002B0C46">
        <w:t xml:space="preserve"> </w:t>
      </w:r>
      <w:r w:rsidR="004330C9">
        <w:t xml:space="preserve">It made no mention of the need – or </w:t>
      </w:r>
      <w:r w:rsidR="00EF23C0">
        <w:t xml:space="preserve">of the </w:t>
      </w:r>
      <w:r w:rsidR="004330C9">
        <w:t>failure to meet the need – for a</w:t>
      </w:r>
      <w:r w:rsidR="00EF23C0">
        <w:t xml:space="preserve"> Jordanian</w:t>
      </w:r>
      <w:r w:rsidR="004330C9">
        <w:t xml:space="preserve"> </w:t>
      </w:r>
      <w:r w:rsidR="004330C9" w:rsidRPr="00EF23C0">
        <w:rPr>
          <w:i/>
        </w:rPr>
        <w:t>declaration</w:t>
      </w:r>
      <w:r w:rsidR="004330C9">
        <w:t xml:space="preserve"> of the occurrence of an armed attack.</w:t>
      </w:r>
    </w:p>
    <w:p w14:paraId="002E5416" w14:textId="77777777" w:rsidR="009E4608" w:rsidRPr="009E4608" w:rsidRDefault="00AD5898" w:rsidP="009E4608">
      <w:pPr>
        <w:spacing w:line="360" w:lineRule="auto"/>
        <w:ind w:firstLine="720"/>
        <w:jc w:val="both"/>
        <w:rPr>
          <w:highlight w:val="yellow"/>
        </w:rPr>
      </w:pPr>
      <w:r>
        <w:t xml:space="preserve">In </w:t>
      </w:r>
      <w:r w:rsidRPr="009E4608">
        <w:t xml:space="preserve">relation to </w:t>
      </w:r>
      <w:r w:rsidR="00D652A1">
        <w:t xml:space="preserve">the military </w:t>
      </w:r>
      <w:r w:rsidRPr="009E4608">
        <w:t xml:space="preserve">action </w:t>
      </w:r>
      <w:r w:rsidR="009E4608" w:rsidRPr="009E4608">
        <w:t xml:space="preserve">by various Warsaw Pact states </w:t>
      </w:r>
      <w:r w:rsidRPr="009E4608">
        <w:t>in Czechoslovakia in</w:t>
      </w:r>
      <w:r w:rsidR="00DA003D" w:rsidRPr="009E4608">
        <w:t xml:space="preserve"> 1968</w:t>
      </w:r>
      <w:r w:rsidRPr="009E4608">
        <w:t xml:space="preserve">, the USSR stressed </w:t>
      </w:r>
      <w:r w:rsidR="00D652A1">
        <w:t xml:space="preserve">repeatedly </w:t>
      </w:r>
      <w:r w:rsidRPr="009E4608">
        <w:t xml:space="preserve">that it was acting in collective self-defence following a </w:t>
      </w:r>
      <w:r w:rsidRPr="009E4608">
        <w:lastRenderedPageBreak/>
        <w:t>request for aid.</w:t>
      </w:r>
      <w:r w:rsidRPr="009E4608">
        <w:rPr>
          <w:rStyle w:val="FootnoteReference"/>
        </w:rPr>
        <w:footnoteReference w:id="31"/>
      </w:r>
      <w:r w:rsidR="002B0C46">
        <w:t xml:space="preserve"> </w:t>
      </w:r>
      <w:r w:rsidR="00FF17C3">
        <w:t>Conversely, the</w:t>
      </w:r>
      <w:r w:rsidRPr="009E4608">
        <w:t xml:space="preserve"> US</w:t>
      </w:r>
      <w:r w:rsidR="00FF17C3">
        <w:t>, Canada</w:t>
      </w:r>
      <w:r w:rsidR="00FF17C3">
        <w:rPr>
          <w:rStyle w:val="FootnoteReference"/>
        </w:rPr>
        <w:footnoteReference w:id="32"/>
      </w:r>
      <w:r w:rsidR="00FF17C3">
        <w:t xml:space="preserve"> and Denmark</w:t>
      </w:r>
      <w:r w:rsidR="00FF17C3">
        <w:rPr>
          <w:rStyle w:val="FootnoteReference"/>
        </w:rPr>
        <w:footnoteReference w:id="33"/>
      </w:r>
      <w:r w:rsidR="00FF17C3">
        <w:t xml:space="preserve"> all</w:t>
      </w:r>
      <w:r w:rsidRPr="009E4608">
        <w:t xml:space="preserve"> rejected the</w:t>
      </w:r>
      <w:r w:rsidR="00FF17C3">
        <w:t xml:space="preserve"> Soviet legal justification</w:t>
      </w:r>
      <w:r w:rsidRPr="009E4608">
        <w:t xml:space="preserve"> on the grounds that the request did not come from the legitimate representatives of the people of </w:t>
      </w:r>
      <w:r w:rsidR="009E4608" w:rsidRPr="009E4608">
        <w:t>Czechoslovakia</w:t>
      </w:r>
      <w:r w:rsidR="00FF17C3">
        <w:t>.</w:t>
      </w:r>
      <w:r w:rsidRPr="009E4608">
        <w:rPr>
          <w:rStyle w:val="FootnoteReference"/>
        </w:rPr>
        <w:footnoteReference w:id="34"/>
      </w:r>
      <w:r w:rsidR="009E4608">
        <w:t xml:space="preserve"> </w:t>
      </w:r>
      <w:r w:rsidRPr="009E4608">
        <w:t>This instance of state practice did involve a rare fo</w:t>
      </w:r>
      <w:r>
        <w:t xml:space="preserve">rmal </w:t>
      </w:r>
      <w:r w:rsidR="00FF17C3">
        <w:t>‘</w:t>
      </w:r>
      <w:r>
        <w:t>declaration</w:t>
      </w:r>
      <w:r w:rsidR="00FF17C3">
        <w:t>’</w:t>
      </w:r>
      <w:r>
        <w:t xml:space="preserve"> by the victim state, but this was to the effect that the intervention </w:t>
      </w:r>
      <w:r w:rsidR="00554DE5">
        <w:t xml:space="preserve">by the states </w:t>
      </w:r>
      <w:r w:rsidR="00DF15D5" w:rsidRPr="00333243">
        <w:rPr>
          <w:i/>
        </w:rPr>
        <w:t>claiming to be acting in collective self-defence</w:t>
      </w:r>
      <w:r w:rsidR="00DF15D5">
        <w:t xml:space="preserve"> </w:t>
      </w:r>
      <w:r w:rsidR="00333243">
        <w:t>amounted to</w:t>
      </w:r>
      <w:r>
        <w:t xml:space="preserve"> an ‘illegal occupation’.</w:t>
      </w:r>
      <w:r w:rsidR="00D652A1">
        <w:rPr>
          <w:rStyle w:val="FootnoteReference"/>
        </w:rPr>
        <w:footnoteReference w:id="35"/>
      </w:r>
      <w:r w:rsidR="002B0C46">
        <w:t xml:space="preserve"> </w:t>
      </w:r>
      <w:r>
        <w:t xml:space="preserve">As such, </w:t>
      </w:r>
      <w:r w:rsidR="00554DE5">
        <w:t>this</w:t>
      </w:r>
      <w:r>
        <w:t xml:space="preserve"> was not a declaration that was </w:t>
      </w:r>
      <w:r w:rsidR="009E4608">
        <w:t xml:space="preserve">then </w:t>
      </w:r>
      <w:r>
        <w:t xml:space="preserve">tied to a claim of collective self-defence, but one </w:t>
      </w:r>
      <w:r w:rsidR="00554DE5">
        <w:t xml:space="preserve">precisely used </w:t>
      </w:r>
      <w:r>
        <w:t xml:space="preserve">to refute </w:t>
      </w:r>
      <w:r w:rsidR="009E4608">
        <w:t>such a claim</w:t>
      </w:r>
      <w:r>
        <w:t>.</w:t>
      </w:r>
      <w:r w:rsidR="002B0C46">
        <w:t xml:space="preserve"> </w:t>
      </w:r>
      <w:r w:rsidR="009E4608">
        <w:t>None of the states that contributed to the Security Council debates on the intervention mentioned a</w:t>
      </w:r>
      <w:r w:rsidR="00333243">
        <w:t>ny form of</w:t>
      </w:r>
      <w:r w:rsidR="009E4608">
        <w:t xml:space="preserve"> declaration requirement for collective self-defence.</w:t>
      </w:r>
    </w:p>
    <w:p w14:paraId="0C5C8678" w14:textId="77777777" w:rsidR="00DA003D" w:rsidRDefault="00D652A1" w:rsidP="00DA003D">
      <w:pPr>
        <w:spacing w:line="360" w:lineRule="auto"/>
        <w:jc w:val="both"/>
      </w:pPr>
      <w:r>
        <w:tab/>
        <w:t>The examples</w:t>
      </w:r>
      <w:r w:rsidR="00DF15D5">
        <w:t xml:space="preserve"> set out </w:t>
      </w:r>
      <w:r w:rsidR="00333243">
        <w:t xml:space="preserve">thus far </w:t>
      </w:r>
      <w:r w:rsidR="00DF15D5">
        <w:t>must,</w:t>
      </w:r>
      <w:r>
        <w:t xml:space="preserve"> of course, be </w:t>
      </w:r>
      <w:r w:rsidR="00AB670A">
        <w:t>considered in the context of the</w:t>
      </w:r>
      <w:r>
        <w:t xml:space="preserve"> </w:t>
      </w:r>
      <w:r w:rsidR="00DF15D5">
        <w:t>climate of ‘</w:t>
      </w:r>
      <w:r w:rsidR="00AB670A">
        <w:t>mutual</w:t>
      </w:r>
      <w:r w:rsidR="00554DE5">
        <w:t>ly assured</w:t>
      </w:r>
      <w:r>
        <w:t xml:space="preserve"> reject</w:t>
      </w:r>
      <w:r w:rsidR="00AB670A">
        <w:t>ion</w:t>
      </w:r>
      <w:r w:rsidR="00DF15D5">
        <w:t>’</w:t>
      </w:r>
      <w:r w:rsidR="00AB670A">
        <w:t xml:space="preserve"> of</w:t>
      </w:r>
      <w:r w:rsidR="00DF15D5">
        <w:t xml:space="preserve"> legal </w:t>
      </w:r>
      <w:r>
        <w:t xml:space="preserve">claims </w:t>
      </w:r>
      <w:r w:rsidR="00AB670A">
        <w:t>made across</w:t>
      </w:r>
      <w:r w:rsidR="00333243">
        <w:t xml:space="preserve"> the</w:t>
      </w:r>
      <w:r>
        <w:t xml:space="preserve"> iron curtain </w:t>
      </w:r>
      <w:r w:rsidR="00AB670A">
        <w:t xml:space="preserve">(in either direction) </w:t>
      </w:r>
      <w:r>
        <w:t xml:space="preserve">that defined </w:t>
      </w:r>
      <w:r w:rsidR="00554DE5">
        <w:t xml:space="preserve">UN </w:t>
      </w:r>
      <w:r>
        <w:t>debate during the Cold War.</w:t>
      </w:r>
      <w:r w:rsidR="002B0C46">
        <w:t xml:space="preserve"> </w:t>
      </w:r>
      <w:r w:rsidR="00CE780F">
        <w:t xml:space="preserve">Nonetheless, </w:t>
      </w:r>
      <w:r w:rsidR="00DF15D5">
        <w:t xml:space="preserve">when it came to collective self-defence, </w:t>
      </w:r>
      <w:r w:rsidR="00CE780F">
        <w:t xml:space="preserve">while the </w:t>
      </w:r>
      <w:r w:rsidR="00DF15D5">
        <w:t xml:space="preserve">Eastern/Western blocs </w:t>
      </w:r>
      <w:r w:rsidR="00CE780F">
        <w:t xml:space="preserve">inevitably disagreed </w:t>
      </w:r>
      <w:r w:rsidR="00333243">
        <w:t xml:space="preserve">with each other </w:t>
      </w:r>
      <w:r w:rsidR="00CE780F">
        <w:t xml:space="preserve">as to whether </w:t>
      </w:r>
      <w:r w:rsidR="008B405D">
        <w:t>the relevant</w:t>
      </w:r>
      <w:r w:rsidR="00CE780F">
        <w:t xml:space="preserve"> request</w:t>
      </w:r>
      <w:r w:rsidR="00DF15D5">
        <w:t xml:space="preserve"> </w:t>
      </w:r>
      <w:r w:rsidR="00333243">
        <w:t>was ‘valid’</w:t>
      </w:r>
      <w:r w:rsidR="00CE780F">
        <w:t xml:space="preserve">, </w:t>
      </w:r>
      <w:r w:rsidR="008B405D">
        <w:t xml:space="preserve">these very debates on validity highlight the shared view that </w:t>
      </w:r>
      <w:r w:rsidR="00CE780F">
        <w:t>the</w:t>
      </w:r>
      <w:r w:rsidR="008B405D">
        <w:t>re</w:t>
      </w:r>
      <w:r w:rsidR="00CE780F">
        <w:t xml:space="preserve"> </w:t>
      </w:r>
      <w:r w:rsidR="008B405D">
        <w:t>was a need</w:t>
      </w:r>
      <w:r w:rsidR="00CE780F">
        <w:t xml:space="preserve"> for a request for ai</w:t>
      </w:r>
      <w:r w:rsidR="007022CB">
        <w:t>d on the part of the victim</w:t>
      </w:r>
      <w:r w:rsidR="00CE780F">
        <w:t>.</w:t>
      </w:r>
      <w:r w:rsidR="002B0C46">
        <w:t xml:space="preserve"> </w:t>
      </w:r>
      <w:r w:rsidR="00AA3570">
        <w:t>This</w:t>
      </w:r>
      <w:r w:rsidR="00CE780F">
        <w:t xml:space="preserve"> cannot</w:t>
      </w:r>
      <w:r w:rsidR="00AA3570">
        <w:t>, however,</w:t>
      </w:r>
      <w:r w:rsidR="00CE780F">
        <w:t xml:space="preserve"> be said for the purported declaration criterion during </w:t>
      </w:r>
      <w:r w:rsidR="008B405D">
        <w:t>the Cold War</w:t>
      </w:r>
      <w:r w:rsidR="00CE780F">
        <w:t xml:space="preserve"> period.</w:t>
      </w:r>
    </w:p>
    <w:p w14:paraId="549F5F18" w14:textId="77777777" w:rsidR="00333243" w:rsidRDefault="00CE780F" w:rsidP="00A97C4B">
      <w:pPr>
        <w:spacing w:line="360" w:lineRule="auto"/>
        <w:ind w:firstLine="720"/>
        <w:jc w:val="both"/>
      </w:pPr>
      <w:r>
        <w:t xml:space="preserve">The same pattern </w:t>
      </w:r>
      <w:r w:rsidR="007B67D2">
        <w:t xml:space="preserve">also </w:t>
      </w:r>
      <w:r>
        <w:t>can be identified in the less ideologically entrenched debates over collective self-defence actions in the post-Cold War era.</w:t>
      </w:r>
      <w:r w:rsidR="002B0C46">
        <w:t xml:space="preserve"> </w:t>
      </w:r>
      <w:r w:rsidR="007B67D2">
        <w:t xml:space="preserve">For example, in 1990, following the invasion by Iraq, Kuwait requested military aid </w:t>
      </w:r>
      <w:r w:rsidR="00333243">
        <w:t xml:space="preserve">repeatedly, </w:t>
      </w:r>
      <w:r w:rsidR="007B67D2">
        <w:t>both formally and informally.</w:t>
      </w:r>
      <w:r w:rsidR="007B67D2">
        <w:rPr>
          <w:rStyle w:val="FootnoteReference"/>
        </w:rPr>
        <w:footnoteReference w:id="36"/>
      </w:r>
      <w:r w:rsidR="002B0C46">
        <w:t xml:space="preserve"> </w:t>
      </w:r>
      <w:r w:rsidR="007B67D2">
        <w:t xml:space="preserve">For its part, the US relied on </w:t>
      </w:r>
      <w:r w:rsidR="00333243">
        <w:t>the</w:t>
      </w:r>
      <w:r w:rsidR="007B67D2">
        <w:t xml:space="preserve"> request</w:t>
      </w:r>
      <w:r w:rsidR="00333243">
        <w:t>(s)</w:t>
      </w:r>
      <w:r w:rsidR="007B67D2">
        <w:t xml:space="preserve"> by Kuwait, as well as requests for military aid by other </w:t>
      </w:r>
      <w:r w:rsidR="00333243">
        <w:t xml:space="preserve">states, notably Saudi Arabia; </w:t>
      </w:r>
      <w:r w:rsidR="007B67D2">
        <w:t xml:space="preserve">the US explicitly linked these requests to Article 51, and stressed that </w:t>
      </w:r>
      <w:r w:rsidR="00333243">
        <w:t xml:space="preserve">they </w:t>
      </w:r>
      <w:r w:rsidR="007B67D2">
        <w:t xml:space="preserve">underpinned </w:t>
      </w:r>
      <w:r w:rsidR="00AA3570">
        <w:t>its</w:t>
      </w:r>
      <w:r w:rsidR="007B67D2">
        <w:t xml:space="preserve"> exercise of collective self-defence.</w:t>
      </w:r>
      <w:r w:rsidR="007B67D2">
        <w:rPr>
          <w:rStyle w:val="FootnoteReference"/>
        </w:rPr>
        <w:footnoteReference w:id="37"/>
      </w:r>
      <w:r w:rsidR="002B0C46">
        <w:t xml:space="preserve"> </w:t>
      </w:r>
      <w:r w:rsidR="007B67D2">
        <w:t xml:space="preserve">The UK similarly made </w:t>
      </w:r>
      <w:r w:rsidR="008B405D">
        <w:t xml:space="preserve">repeated </w:t>
      </w:r>
      <w:r w:rsidR="007B67D2">
        <w:lastRenderedPageBreak/>
        <w:t>referen</w:t>
      </w:r>
      <w:r w:rsidR="008B405D">
        <w:t>ce to Kuwait’s request for aid (</w:t>
      </w:r>
      <w:r w:rsidR="007B67D2">
        <w:t>as well as to separate requests by Saudi Arabia and Bahrain</w:t>
      </w:r>
      <w:r w:rsidR="008B405D">
        <w:t>),</w:t>
      </w:r>
      <w:r w:rsidR="007B67D2">
        <w:t xml:space="preserve"> linked these directly to the exercise of collective self-defence, and implied </w:t>
      </w:r>
      <w:r w:rsidR="008B405D">
        <w:t xml:space="preserve">strongly </w:t>
      </w:r>
      <w:r w:rsidR="007B67D2">
        <w:t>that the various requests acted to validate its military action.</w:t>
      </w:r>
      <w:r w:rsidR="007B67D2">
        <w:rPr>
          <w:rStyle w:val="FootnoteReference"/>
        </w:rPr>
        <w:footnoteReference w:id="38"/>
      </w:r>
      <w:r w:rsidR="002B0C46">
        <w:t xml:space="preserve"> </w:t>
      </w:r>
    </w:p>
    <w:p w14:paraId="010FF81A" w14:textId="14ABF970" w:rsidR="00AA3570" w:rsidRDefault="007B67D2" w:rsidP="00C04F8D">
      <w:pPr>
        <w:spacing w:line="360" w:lineRule="auto"/>
        <w:ind w:firstLine="720"/>
        <w:jc w:val="both"/>
      </w:pPr>
      <w:r>
        <w:t>As was the case during the Cold War, detractor states also focused on the request requirement</w:t>
      </w:r>
      <w:r w:rsidR="00333243">
        <w:t xml:space="preserve"> at the start of the First Gulf War</w:t>
      </w:r>
      <w:r>
        <w:t>.</w:t>
      </w:r>
      <w:r w:rsidR="002B0C46">
        <w:t xml:space="preserve"> </w:t>
      </w:r>
      <w:r>
        <w:t xml:space="preserve">For example, Cuba asserted that the US’ military action was unlawful, based on a range of arguments concerning both </w:t>
      </w:r>
      <w:r w:rsidR="00AA3570">
        <w:t xml:space="preserve">Security </w:t>
      </w:r>
      <w:r>
        <w:t>Council resolution 661 and Article 51.</w:t>
      </w:r>
      <w:r>
        <w:rPr>
          <w:rStyle w:val="FootnoteReference"/>
        </w:rPr>
        <w:footnoteReference w:id="39"/>
      </w:r>
      <w:r>
        <w:t xml:space="preserve"> Of note for our purposes, though, is the fact that, </w:t>
      </w:r>
      <w:r w:rsidRPr="004F4671">
        <w:rPr>
          <w:i/>
        </w:rPr>
        <w:t>inter alia</w:t>
      </w:r>
      <w:r>
        <w:t xml:space="preserve">, one of the issues that Cuba </w:t>
      </w:r>
      <w:r w:rsidR="00A26C62">
        <w:t xml:space="preserve">(counterfactually) </w:t>
      </w:r>
      <w:r>
        <w:t xml:space="preserve">stressed in </w:t>
      </w:r>
      <w:r w:rsidR="00AA3570">
        <w:t>asserting</w:t>
      </w:r>
      <w:r>
        <w:t xml:space="preserve"> the unlawfulness of the action was that </w:t>
      </w:r>
      <w:r w:rsidR="00AA3570">
        <w:t>force had been</w:t>
      </w:r>
      <w:r>
        <w:t xml:space="preserve"> used ‘without any request from any quarter’.</w:t>
      </w:r>
      <w:r>
        <w:rPr>
          <w:rStyle w:val="FootnoteReference"/>
        </w:rPr>
        <w:footnoteReference w:id="40"/>
      </w:r>
      <w:r w:rsidR="00C04F8D">
        <w:t xml:space="preserve"> </w:t>
      </w:r>
    </w:p>
    <w:p w14:paraId="5CADA036" w14:textId="77777777" w:rsidR="00AB670A" w:rsidRDefault="00333243" w:rsidP="00AA3570">
      <w:pPr>
        <w:spacing w:line="360" w:lineRule="auto"/>
        <w:ind w:firstLine="720"/>
        <w:jc w:val="both"/>
      </w:pPr>
      <w:r>
        <w:t xml:space="preserve">In relation to the declaration requirement, </w:t>
      </w:r>
      <w:r w:rsidR="00AA3570">
        <w:t>interestingly, Kuwait’s representative in the Security Council did formally – and separately from its request for aid – stress that it had ‘been subjected to attack in an armed military invasion.’</w:t>
      </w:r>
      <w:r w:rsidR="00AA3570">
        <w:rPr>
          <w:rStyle w:val="FootnoteReference"/>
        </w:rPr>
        <w:footnoteReference w:id="41"/>
      </w:r>
      <w:r w:rsidR="00AA3570">
        <w:t xml:space="preserve"> While Kuwait did not explicitly refer to this as an ‘armed attack’,</w:t>
      </w:r>
      <w:r w:rsidR="00AA3570">
        <w:rPr>
          <w:rStyle w:val="FootnoteReference"/>
        </w:rPr>
        <w:footnoteReference w:id="42"/>
      </w:r>
      <w:r w:rsidR="00AA3570">
        <w:t xml:space="preserve"> its declaration did look rather like what (seemingly) was envisaged by the ICJ in </w:t>
      </w:r>
      <w:r w:rsidR="00AA3570" w:rsidRPr="008E3BF2">
        <w:rPr>
          <w:i/>
        </w:rPr>
        <w:t>Nicaragua</w:t>
      </w:r>
      <w:r w:rsidR="00AA3570">
        <w:t xml:space="preserve">.  However, </w:t>
      </w:r>
      <w:r w:rsidR="007B67D2">
        <w:t xml:space="preserve">while </w:t>
      </w:r>
      <w:r w:rsidR="00AA3570">
        <w:t>this</w:t>
      </w:r>
      <w:r w:rsidR="007B67D2">
        <w:t xml:space="preserve"> represents a rare example in collective self-defence practice of a victim state making an express </w:t>
      </w:r>
      <w:r w:rsidR="00AA3570">
        <w:t xml:space="preserve">– </w:t>
      </w:r>
      <w:r>
        <w:t xml:space="preserve">and </w:t>
      </w:r>
      <w:r w:rsidR="00AA3570">
        <w:t>notably</w:t>
      </w:r>
      <w:r>
        <w:t xml:space="preserve"> formal </w:t>
      </w:r>
      <w:r w:rsidR="00AA3570">
        <w:t xml:space="preserve">– </w:t>
      </w:r>
      <w:r w:rsidR="007B67D2">
        <w:t xml:space="preserve">declaration that it had been attacked, neither the states </w:t>
      </w:r>
      <w:r>
        <w:t xml:space="preserve">that </w:t>
      </w:r>
      <w:r w:rsidR="007B67D2">
        <w:t>interven</w:t>
      </w:r>
      <w:r>
        <w:t>ed on its behalf</w:t>
      </w:r>
      <w:r w:rsidR="007B67D2">
        <w:t xml:space="preserve"> nor those that debated the intervention </w:t>
      </w:r>
      <w:r w:rsidR="00AA3570">
        <w:t>went on to refer</w:t>
      </w:r>
      <w:r w:rsidR="007B67D2">
        <w:t xml:space="preserve"> to this declaration</w:t>
      </w:r>
      <w:r w:rsidR="00AA3570">
        <w:t xml:space="preserve"> at all</w:t>
      </w:r>
      <w:r>
        <w:t>.</w:t>
      </w:r>
    </w:p>
    <w:p w14:paraId="0BE81C40" w14:textId="0373C2FD" w:rsidR="005D1CB4" w:rsidRDefault="007B67D2" w:rsidP="005D1CB4">
      <w:pPr>
        <w:spacing w:line="360" w:lineRule="auto"/>
        <w:ind w:firstLine="720"/>
        <w:jc w:val="both"/>
      </w:pPr>
      <w:r>
        <w:t>To conclude this section with a</w:t>
      </w:r>
      <w:r w:rsidR="00CE780F">
        <w:t xml:space="preserve"> much more </w:t>
      </w:r>
      <w:r>
        <w:t>recent example</w:t>
      </w:r>
      <w:r w:rsidR="00AA3570">
        <w:t xml:space="preserve"> from state practice</w:t>
      </w:r>
      <w:r w:rsidR="00CE780F">
        <w:t xml:space="preserve">, </w:t>
      </w:r>
      <w:r w:rsidR="00AA3570">
        <w:t>it is worth considering</w:t>
      </w:r>
      <w:r w:rsidR="005D1CB4" w:rsidRPr="005D1CB4">
        <w:t xml:space="preserve"> the ongoing military operations </w:t>
      </w:r>
      <w:r w:rsidR="00F36C9C">
        <w:t>in Syria</w:t>
      </w:r>
      <w:r w:rsidR="00FA7BFE">
        <w:t xml:space="preserve"> against ISIS</w:t>
      </w:r>
      <w:r w:rsidR="005D1CB4" w:rsidRPr="005D1CB4">
        <w:t>, since 2014</w:t>
      </w:r>
      <w:r w:rsidR="00AA3570">
        <w:t>; a</w:t>
      </w:r>
      <w:r w:rsidR="005D1CB4" w:rsidRPr="005D1CB4">
        <w:t xml:space="preserve"> number of states</w:t>
      </w:r>
      <w:r w:rsidR="00F36C9C">
        <w:t xml:space="preserve"> </w:t>
      </w:r>
      <w:r w:rsidR="005D1CB4" w:rsidRPr="005D1CB4">
        <w:t xml:space="preserve">justify (or have justified) their uses of force </w:t>
      </w:r>
      <w:r w:rsidR="00AA3570">
        <w:t xml:space="preserve">in Syria </w:t>
      </w:r>
      <w:r w:rsidR="005D1CB4" w:rsidRPr="005D1CB4">
        <w:t>as collective self-defence actions in support of Iraq.</w:t>
      </w:r>
      <w:r w:rsidR="002B0C46">
        <w:t xml:space="preserve"> </w:t>
      </w:r>
      <w:r w:rsidR="005D1CB4" w:rsidRPr="005D1CB4">
        <w:t xml:space="preserve"> </w:t>
      </w:r>
      <w:r w:rsidR="00AA3570">
        <w:t>As the ‘victim’ state in this context</w:t>
      </w:r>
      <w:r w:rsidR="005D1CB4" w:rsidRPr="005D1CB4">
        <w:t xml:space="preserve">, Iraq requested military aid on a number of occasions, including at the Paris </w:t>
      </w:r>
      <w:r w:rsidR="00F36C9C">
        <w:t>conference on 15 September 2014</w:t>
      </w:r>
      <w:r w:rsidR="005D1CB4" w:rsidRPr="005D1CB4">
        <w:t xml:space="preserve"> and, formally, in a letter addressed to the UN Secretary-General.</w:t>
      </w:r>
      <w:r w:rsidR="005D1CB4" w:rsidRPr="005D1CB4">
        <w:rPr>
          <w:rStyle w:val="FootnoteReference"/>
        </w:rPr>
        <w:footnoteReference w:id="43"/>
      </w:r>
      <w:r w:rsidR="002B0C46">
        <w:t xml:space="preserve"> </w:t>
      </w:r>
      <w:r w:rsidR="005D1CB4" w:rsidRPr="005D1CB4">
        <w:t xml:space="preserve">However, while – when making </w:t>
      </w:r>
      <w:r w:rsidR="00AA3570">
        <w:t>these</w:t>
      </w:r>
      <w:r w:rsidR="005D1CB4" w:rsidRPr="005D1CB4">
        <w:t xml:space="preserve"> requests for aid – Iraq referred, for example, to ISIS’s actions in ‘terrorizing citizens, carrying out mass executions, persecuting minorities and women, and destroying mosques, shrines and </w:t>
      </w:r>
      <w:r w:rsidR="005D1CB4" w:rsidRPr="005D1CB4">
        <w:lastRenderedPageBreak/>
        <w:t>churches’</w:t>
      </w:r>
      <w:r w:rsidR="005D1CB4" w:rsidRPr="005D1CB4">
        <w:rPr>
          <w:rStyle w:val="FootnoteReference"/>
        </w:rPr>
        <w:footnoteReference w:id="44"/>
      </w:r>
      <w:r w:rsidR="005D1CB4" w:rsidRPr="005D1CB4">
        <w:t xml:space="preserve"> it did not </w:t>
      </w:r>
      <w:r w:rsidR="00AA3570">
        <w:t xml:space="preserve">come close to </w:t>
      </w:r>
      <w:r w:rsidR="005D1CB4" w:rsidRPr="005D1CB4">
        <w:t>declar</w:t>
      </w:r>
      <w:r w:rsidR="00AA3570">
        <w:t>ing</w:t>
      </w:r>
      <w:r w:rsidR="005D1CB4" w:rsidRPr="005D1CB4">
        <w:t xml:space="preserve"> itself to be the victim of an armed attack</w:t>
      </w:r>
      <w:r w:rsidR="00AA3570">
        <w:t xml:space="preserve"> </w:t>
      </w:r>
      <w:r w:rsidR="00AA3570" w:rsidRPr="005D1CB4">
        <w:t>formally</w:t>
      </w:r>
      <w:r w:rsidR="005D1CB4" w:rsidRPr="005D1CB4">
        <w:t>.</w:t>
      </w:r>
      <w:r w:rsidR="002B0C46">
        <w:t xml:space="preserve"> </w:t>
      </w:r>
      <w:r w:rsidR="005D1CB4" w:rsidRPr="005D1CB4">
        <w:t xml:space="preserve">It simply </w:t>
      </w:r>
      <w:r w:rsidR="00F36C9C">
        <w:t xml:space="preserve">was contextualising its request </w:t>
      </w:r>
      <w:r w:rsidR="005D1CB4" w:rsidRPr="005D1CB4">
        <w:t>for help.</w:t>
      </w:r>
    </w:p>
    <w:p w14:paraId="62908004" w14:textId="0B0C051B" w:rsidR="005D1CB4" w:rsidRPr="000E68AE" w:rsidRDefault="005D1CB4" w:rsidP="005D1CB4">
      <w:pPr>
        <w:spacing w:line="360" w:lineRule="auto"/>
        <w:ind w:firstLine="720"/>
        <w:jc w:val="both"/>
      </w:pPr>
      <w:r>
        <w:t xml:space="preserve">Most </w:t>
      </w:r>
      <w:r w:rsidRPr="005D1CB4">
        <w:t xml:space="preserve">of </w:t>
      </w:r>
      <w:r>
        <w:t xml:space="preserve">the </w:t>
      </w:r>
      <w:r w:rsidRPr="005D1CB4">
        <w:t xml:space="preserve">states </w:t>
      </w:r>
      <w:r>
        <w:t>that invoke</w:t>
      </w:r>
      <w:r w:rsidR="00D738C8">
        <w:t>d</w:t>
      </w:r>
      <w:r>
        <w:t xml:space="preserve"> collective self-defence as the basis of</w:t>
      </w:r>
      <w:r w:rsidRPr="005D1CB4">
        <w:t xml:space="preserve"> their military action </w:t>
      </w:r>
      <w:r>
        <w:t>against ISIS</w:t>
      </w:r>
      <w:r w:rsidR="00F36C9C">
        <w:t xml:space="preserve"> note</w:t>
      </w:r>
      <w:r w:rsidR="00056091">
        <w:t>d</w:t>
      </w:r>
      <w:r w:rsidR="00F36C9C">
        <w:t xml:space="preserve"> Iraq’s</w:t>
      </w:r>
      <w:r w:rsidRPr="005D1CB4">
        <w:t xml:space="preserve"> request for aid, without, at the same time, making any reference to a declaration requirement.</w:t>
      </w:r>
      <w:r w:rsidR="002B0C46">
        <w:t xml:space="preserve"> </w:t>
      </w:r>
      <w:r w:rsidRPr="005D1CB4">
        <w:t>Thus</w:t>
      </w:r>
      <w:r w:rsidR="00AA3570">
        <w:t>,</w:t>
      </w:r>
      <w:r w:rsidRPr="005D1CB4">
        <w:t xml:space="preserve"> Belgium, for example, asserted that it was using force ‘in Syria in the exercise of the right of collective self-defence, in response to the request from the Government of Iraq,’</w:t>
      </w:r>
      <w:r w:rsidRPr="005D1CB4">
        <w:rPr>
          <w:rStyle w:val="FootnoteReference"/>
        </w:rPr>
        <w:footnoteReference w:id="45"/>
      </w:r>
      <w:r w:rsidRPr="005D1CB4">
        <w:t xml:space="preserve"> but did not mention any declaration by Iraq (or</w:t>
      </w:r>
      <w:r>
        <w:t>, more accurately,</w:t>
      </w:r>
      <w:r w:rsidRPr="005D1CB4">
        <w:t xml:space="preserve"> the </w:t>
      </w:r>
      <w:r w:rsidRPr="005D1CB4">
        <w:rPr>
          <w:i/>
        </w:rPr>
        <w:t>need for</w:t>
      </w:r>
      <w:r w:rsidRPr="005D1CB4">
        <w:t xml:space="preserve"> any declaration</w:t>
      </w:r>
      <w:r w:rsidR="00AA3570">
        <w:t xml:space="preserve"> by Iraq,</w:t>
      </w:r>
      <w:r>
        <w:t xml:space="preserve"> given that </w:t>
      </w:r>
      <w:r w:rsidR="00F10737">
        <w:t>there</w:t>
      </w:r>
      <w:r>
        <w:t xml:space="preserve"> wasn’t one</w:t>
      </w:r>
      <w:r w:rsidRPr="005D1CB4">
        <w:t>).</w:t>
      </w:r>
      <w:r w:rsidR="002B0C46">
        <w:t xml:space="preserve"> </w:t>
      </w:r>
      <w:r w:rsidRPr="005D1CB4">
        <w:t>Similarly, Australia,</w:t>
      </w:r>
      <w:r w:rsidRPr="005D1CB4">
        <w:rPr>
          <w:rStyle w:val="FootnoteReference"/>
        </w:rPr>
        <w:footnoteReference w:id="46"/>
      </w:r>
      <w:r w:rsidRPr="005D1CB4">
        <w:t xml:space="preserve"> New Zealand,</w:t>
      </w:r>
      <w:r w:rsidRPr="005D1CB4">
        <w:rPr>
          <w:rStyle w:val="FootnoteReference"/>
        </w:rPr>
        <w:footnoteReference w:id="47"/>
      </w:r>
      <w:r w:rsidRPr="005D1CB4">
        <w:t xml:space="preserve"> The Netherlands,</w:t>
      </w:r>
      <w:r w:rsidRPr="005D1CB4">
        <w:rPr>
          <w:rStyle w:val="FootnoteReference"/>
        </w:rPr>
        <w:footnoteReference w:id="48"/>
      </w:r>
      <w:r w:rsidRPr="005D1CB4">
        <w:t xml:space="preserve"> Norway</w:t>
      </w:r>
      <w:r w:rsidRPr="005D1CB4">
        <w:rPr>
          <w:rStyle w:val="FootnoteReference"/>
        </w:rPr>
        <w:footnoteReference w:id="49"/>
      </w:r>
      <w:r w:rsidRPr="005D1CB4">
        <w:t xml:space="preserve"> and the UK</w:t>
      </w:r>
      <w:r w:rsidRPr="005D1CB4">
        <w:rPr>
          <w:rStyle w:val="FootnoteReference"/>
        </w:rPr>
        <w:footnoteReference w:id="50"/>
      </w:r>
      <w:r w:rsidRPr="005D1CB4">
        <w:t xml:space="preserve"> </w:t>
      </w:r>
      <w:r w:rsidR="00EF46F0">
        <w:t xml:space="preserve">were </w:t>
      </w:r>
      <w:r w:rsidRPr="005D1CB4">
        <w:t xml:space="preserve">all explicit that </w:t>
      </w:r>
      <w:r w:rsidR="00EF46F0" w:rsidRPr="005D1CB4">
        <w:t xml:space="preserve">they were acting in collective self-defence </w:t>
      </w:r>
      <w:r w:rsidRPr="005D1CB4">
        <w:t xml:space="preserve">on the basis of the Iraq’s request for aid: yet, in so doing, none of these states mentioned a declaration </w:t>
      </w:r>
      <w:r w:rsidR="00D738C8">
        <w:t>criterion</w:t>
      </w:r>
      <w:r w:rsidRPr="005D1CB4">
        <w:t>.</w:t>
      </w:r>
      <w:r w:rsidR="002B0C46">
        <w:t xml:space="preserve"> </w:t>
      </w:r>
      <w:r w:rsidRPr="005D1CB4">
        <w:t xml:space="preserve">Only Canada made reference to anything even close to </w:t>
      </w:r>
      <w:r w:rsidR="00D738C8">
        <w:t xml:space="preserve">such </w:t>
      </w:r>
      <w:r w:rsidRPr="005D1CB4">
        <w:t>a requirement, stating that Iraq had made it ‘clear that it was facing a serious threat of continuing attacks’, before – like most other states asserti</w:t>
      </w:r>
      <w:r w:rsidR="00D738C8">
        <w:t>ng</w:t>
      </w:r>
      <w:r w:rsidRPr="005D1CB4">
        <w:t xml:space="preserve"> collective self-defence</w:t>
      </w:r>
      <w:r w:rsidR="00FA7BFE">
        <w:t xml:space="preserve"> </w:t>
      </w:r>
      <w:r w:rsidRPr="005D1CB4">
        <w:t xml:space="preserve">– going on to </w:t>
      </w:r>
      <w:r w:rsidR="00D738C8">
        <w:t>make much of</w:t>
      </w:r>
      <w:r w:rsidRPr="005D1CB4">
        <w:t xml:space="preserve"> Iraq’s corresponding requ</w:t>
      </w:r>
      <w:r w:rsidRPr="000E68AE">
        <w:t>est for aid.</w:t>
      </w:r>
      <w:r w:rsidRPr="000E68AE">
        <w:rPr>
          <w:rStyle w:val="FootnoteReference"/>
        </w:rPr>
        <w:footnoteReference w:id="51"/>
      </w:r>
    </w:p>
    <w:p w14:paraId="5C8BFF34" w14:textId="77777777" w:rsidR="00D738C8" w:rsidRPr="000E68AE" w:rsidRDefault="00E832A3" w:rsidP="000E68AE">
      <w:pPr>
        <w:spacing w:line="360" w:lineRule="auto"/>
        <w:ind w:firstLine="720"/>
        <w:jc w:val="both"/>
      </w:pPr>
      <w:r w:rsidRPr="000E68AE">
        <w:t xml:space="preserve">Similarly telling is that, in formally asserting that the coalition’s actions were unlawful, Syria made it clear that the request of Iraq was insufficient </w:t>
      </w:r>
      <w:r w:rsidR="00031A31">
        <w:t>to legally justify</w:t>
      </w:r>
      <w:r w:rsidRPr="000E68AE">
        <w:t xml:space="preserve"> the use of force, and that such a request needed to have come from Syria itself.</w:t>
      </w:r>
      <w:r w:rsidR="000E68AE" w:rsidRPr="000E68AE">
        <w:rPr>
          <w:rStyle w:val="FootnoteReference"/>
        </w:rPr>
        <w:footnoteReference w:id="52"/>
      </w:r>
      <w:r w:rsidRPr="000E68AE">
        <w:t xml:space="preserve">  </w:t>
      </w:r>
      <w:r w:rsidR="00031A31">
        <w:t>T</w:t>
      </w:r>
      <w:r w:rsidRPr="000E68AE">
        <w:t xml:space="preserve">his raises crucial questions about who </w:t>
      </w:r>
      <w:r w:rsidR="000E68AE" w:rsidRPr="000E68AE">
        <w:t xml:space="preserve">validly </w:t>
      </w:r>
      <w:r w:rsidR="00F97F0E">
        <w:t xml:space="preserve">can </w:t>
      </w:r>
      <w:r w:rsidRPr="000E68AE">
        <w:t>request aid in collective self-defence,</w:t>
      </w:r>
      <w:r w:rsidR="00F97F0E">
        <w:rPr>
          <w:rStyle w:val="FootnoteReference"/>
        </w:rPr>
        <w:footnoteReference w:id="53"/>
      </w:r>
      <w:r w:rsidRPr="000E68AE">
        <w:t xml:space="preserve"> </w:t>
      </w:r>
      <w:r w:rsidR="00031A31">
        <w:t xml:space="preserve">but, </w:t>
      </w:r>
      <w:r w:rsidR="000E68AE" w:rsidRPr="000E68AE">
        <w:t>for our purposes</w:t>
      </w:r>
      <w:r w:rsidR="00031A31">
        <w:t>,</w:t>
      </w:r>
      <w:r w:rsidR="000E68AE" w:rsidRPr="000E68AE">
        <w:t xml:space="preserve"> it is enough to note that </w:t>
      </w:r>
      <w:r w:rsidRPr="000E68AE">
        <w:t>the reque</w:t>
      </w:r>
      <w:r w:rsidR="00031A31">
        <w:t>st criterion was again –</w:t>
      </w:r>
      <w:r w:rsidRPr="000E68AE">
        <w:t xml:space="preserve"> for a state that was rejecting the </w:t>
      </w:r>
      <w:r w:rsidR="00031A31">
        <w:t xml:space="preserve">collective </w:t>
      </w:r>
      <w:r w:rsidRPr="000E68AE">
        <w:t>self-defence claim</w:t>
      </w:r>
      <w:r w:rsidR="00031A31">
        <w:t>s</w:t>
      </w:r>
      <w:r w:rsidRPr="000E68AE">
        <w:t xml:space="preserve"> of others</w:t>
      </w:r>
      <w:r w:rsidR="00031A31">
        <w:t xml:space="preserve"> –</w:t>
      </w:r>
      <w:r w:rsidRPr="000E68AE">
        <w:t xml:space="preserve"> fundamental.</w:t>
      </w:r>
      <w:r w:rsidR="000E68AE" w:rsidRPr="000E68AE">
        <w:t xml:space="preserve"> </w:t>
      </w:r>
      <w:r w:rsidR="00031A31">
        <w:t>It is also worth noting that, w</w:t>
      </w:r>
      <w:r w:rsidR="000E68AE" w:rsidRPr="000E68AE">
        <w:t>hile being less explicit in regard to</w:t>
      </w:r>
      <w:r w:rsidR="00031A31">
        <w:t xml:space="preserve"> the insufficiency of</w:t>
      </w:r>
      <w:r w:rsidR="000E68AE" w:rsidRPr="000E68AE">
        <w:t xml:space="preserve"> Iraq’s request and the wider claim of collective self-defence, </w:t>
      </w:r>
      <w:r w:rsidR="000E68AE" w:rsidRPr="000E68AE">
        <w:lastRenderedPageBreak/>
        <w:t>Russia made a similar point, arguing that the intervention required the ‘unequivocal permission’ of Syria.</w:t>
      </w:r>
      <w:r w:rsidR="000E68AE" w:rsidRPr="000E68AE">
        <w:rPr>
          <w:rStyle w:val="FootnoteReference"/>
        </w:rPr>
        <w:footnoteReference w:id="54"/>
      </w:r>
      <w:r w:rsidR="000E68AE" w:rsidRPr="000E68AE">
        <w:t xml:space="preserve"> </w:t>
      </w:r>
      <w:r w:rsidR="00031A31">
        <w:t>N</w:t>
      </w:r>
      <w:r w:rsidR="000E68AE" w:rsidRPr="000E68AE">
        <w:t xml:space="preserve">either Russia nor Syria made any mention of a declaration criterion.  </w:t>
      </w:r>
    </w:p>
    <w:p w14:paraId="01CA615C" w14:textId="77777777" w:rsidR="00FD6D89" w:rsidRDefault="00FD6D89" w:rsidP="00FD6D89">
      <w:pPr>
        <w:spacing w:line="360" w:lineRule="auto"/>
        <w:jc w:val="both"/>
      </w:pPr>
    </w:p>
    <w:p w14:paraId="4C05B660" w14:textId="77777777" w:rsidR="00905C29" w:rsidRPr="004835E5" w:rsidRDefault="002764BE" w:rsidP="00FD6D89">
      <w:pPr>
        <w:spacing w:line="360" w:lineRule="auto"/>
        <w:jc w:val="both"/>
        <w:rPr>
          <w:b/>
        </w:rPr>
      </w:pPr>
      <w:r>
        <w:rPr>
          <w:b/>
        </w:rPr>
        <w:t>3</w:t>
      </w:r>
      <w:r w:rsidR="004835E5" w:rsidRPr="004835E5">
        <w:rPr>
          <w:b/>
        </w:rPr>
        <w:t>. Conclusion</w:t>
      </w:r>
      <w:r w:rsidR="00EF46F0">
        <w:rPr>
          <w:b/>
        </w:rPr>
        <w:t>: request but not declaration</w:t>
      </w:r>
    </w:p>
    <w:p w14:paraId="1232644F" w14:textId="77777777" w:rsidR="00905C29" w:rsidRDefault="00905C29" w:rsidP="00FD6D89">
      <w:pPr>
        <w:spacing w:line="360" w:lineRule="auto"/>
        <w:jc w:val="both"/>
      </w:pPr>
    </w:p>
    <w:p w14:paraId="323EF69A" w14:textId="77777777" w:rsidR="00153D3F" w:rsidRDefault="007B67D2" w:rsidP="00EF46F0">
      <w:pPr>
        <w:spacing w:line="360" w:lineRule="auto"/>
        <w:jc w:val="both"/>
      </w:pPr>
      <w:r>
        <w:t xml:space="preserve">While the examples set out in the previous section necessarily provide only a </w:t>
      </w:r>
      <w:r w:rsidR="00D738C8">
        <w:t>‘</w:t>
      </w:r>
      <w:r w:rsidR="00A7383B">
        <w:t>shorthand</w:t>
      </w:r>
      <w:r w:rsidR="00D738C8">
        <w:t>’</w:t>
      </w:r>
      <w:r w:rsidR="00A7383B">
        <w:t xml:space="preserve"> appraisal</w:t>
      </w:r>
      <w:r>
        <w:t xml:space="preserve">, </w:t>
      </w:r>
      <w:r w:rsidR="00A7383B">
        <w:t>they are representative of the wider practice:</w:t>
      </w:r>
      <w:r>
        <w:t xml:space="preserve"> i</w:t>
      </w:r>
      <w:r w:rsidR="00905C29">
        <w:t>n</w:t>
      </w:r>
      <w:r w:rsidR="00905C29" w:rsidRPr="005D1CB4">
        <w:t xml:space="preserve"> the UN era, invocation</w:t>
      </w:r>
      <w:r w:rsidR="00EF46F0">
        <w:t>s</w:t>
      </w:r>
      <w:r w:rsidR="00905C29" w:rsidRPr="005D1CB4">
        <w:t xml:space="preserve"> of collective self-defence </w:t>
      </w:r>
      <w:r w:rsidR="00905C29">
        <w:t xml:space="preserve">invariably </w:t>
      </w:r>
      <w:r w:rsidR="00EF46F0">
        <w:t>have</w:t>
      </w:r>
      <w:r w:rsidR="00905C29" w:rsidRPr="005D1CB4">
        <w:t xml:space="preserve"> been coupled with a request </w:t>
      </w:r>
      <w:r w:rsidR="00905C29">
        <w:t>on the part of the victim</w:t>
      </w:r>
      <w:r w:rsidR="002412BF" w:rsidRPr="005D1CB4">
        <w:t>.</w:t>
      </w:r>
      <w:r w:rsidR="00EF46F0">
        <w:t xml:space="preserve"> Indeed</w:t>
      </w:r>
      <w:r w:rsidR="00EF46F0" w:rsidRPr="005D1CB4">
        <w:t>, without claiming to have undertaken a comprehensive survey (as yet), I have been un</w:t>
      </w:r>
      <w:r w:rsidR="00EF46F0">
        <w:t>able to identify a single</w:t>
      </w:r>
      <w:r w:rsidR="00EF46F0" w:rsidRPr="005D1CB4">
        <w:t xml:space="preserve"> instance of a claim of collective self-defence in the UN era where there has not </w:t>
      </w:r>
      <w:r w:rsidR="00031A31">
        <w:t xml:space="preserve">also </w:t>
      </w:r>
      <w:r w:rsidR="00EF46F0" w:rsidRPr="005D1CB4">
        <w:t>been a</w:t>
      </w:r>
      <w:r w:rsidR="00EF46F0">
        <w:t>n underpinning request for aid.</w:t>
      </w:r>
      <w:r w:rsidR="00AD1600">
        <w:rPr>
          <w:rStyle w:val="FootnoteReference"/>
        </w:rPr>
        <w:footnoteReference w:id="55"/>
      </w:r>
      <w:r w:rsidR="002B0C46">
        <w:t xml:space="preserve"> </w:t>
      </w:r>
      <w:r w:rsidR="002412BF" w:rsidRPr="005D1CB4">
        <w:t>Of course, for the request requirement to have legal implications, it is not necessarily enough that states regularly make requests.</w:t>
      </w:r>
      <w:r w:rsidR="002B0C46">
        <w:t xml:space="preserve"> </w:t>
      </w:r>
      <w:r w:rsidR="00D738C8">
        <w:t>Therefore, it also should be noted</w:t>
      </w:r>
      <w:r w:rsidR="00EF46F0">
        <w:t xml:space="preserve"> that </w:t>
      </w:r>
      <w:r w:rsidR="002412BF" w:rsidRPr="005D1CB4">
        <w:t xml:space="preserve">states invoking collective self-defence </w:t>
      </w:r>
      <w:r w:rsidR="002412BF" w:rsidRPr="00F10737">
        <w:rPr>
          <w:i/>
        </w:rPr>
        <w:t>rely</w:t>
      </w:r>
      <w:r w:rsidR="002412BF" w:rsidRPr="005D1CB4">
        <w:t xml:space="preserve"> on the</w:t>
      </w:r>
      <w:r w:rsidR="00F075EE">
        <w:t xml:space="preserve"> victim’s</w:t>
      </w:r>
      <w:r w:rsidR="002412BF" w:rsidRPr="005D1CB4">
        <w:t xml:space="preserve"> request, stressing this in communications and debates concerning their action.</w:t>
      </w:r>
      <w:r w:rsidR="002B0C46">
        <w:t xml:space="preserve"> </w:t>
      </w:r>
      <w:r w:rsidR="00D738C8">
        <w:t>Even more</w:t>
      </w:r>
      <w:r w:rsidR="002412BF" w:rsidRPr="005D1CB4">
        <w:t xml:space="preserve"> telling is that </w:t>
      </w:r>
      <w:r w:rsidR="00031A31">
        <w:t xml:space="preserve">other </w:t>
      </w:r>
      <w:r w:rsidR="002412BF" w:rsidRPr="005D1CB4">
        <w:t>states</w:t>
      </w:r>
      <w:r w:rsidR="00EF46F0">
        <w:t>, on a number of occasions,</w:t>
      </w:r>
      <w:r w:rsidR="002412BF" w:rsidRPr="005D1CB4">
        <w:t xml:space="preserve"> </w:t>
      </w:r>
      <w:r w:rsidR="00EF46F0">
        <w:t xml:space="preserve">have </w:t>
      </w:r>
      <w:r w:rsidR="002412BF" w:rsidRPr="005D1CB4">
        <w:t>rejected collective self-defence claims on the basis that</w:t>
      </w:r>
      <w:r w:rsidR="00EF46F0">
        <w:t xml:space="preserve"> the request relied </w:t>
      </w:r>
      <w:r w:rsidR="00031A31">
        <w:t>upon</w:t>
      </w:r>
      <w:r w:rsidR="00EF46F0">
        <w:t xml:space="preserve"> was in some </w:t>
      </w:r>
      <w:r w:rsidR="00D738C8">
        <w:t>way</w:t>
      </w:r>
      <w:r w:rsidR="00EF46F0">
        <w:t xml:space="preserve"> invalid.</w:t>
      </w:r>
    </w:p>
    <w:p w14:paraId="34874BDC" w14:textId="77777777" w:rsidR="00905C29" w:rsidRDefault="00905C29" w:rsidP="00001CD5">
      <w:pPr>
        <w:spacing w:line="360" w:lineRule="auto"/>
        <w:ind w:firstLine="720"/>
        <w:jc w:val="both"/>
      </w:pPr>
      <w:r w:rsidRPr="005D1CB4">
        <w:t>In contrast, there is little evidence to indicate that a se</w:t>
      </w:r>
      <w:r w:rsidR="00EF46F0">
        <w:t xml:space="preserve">parate ‘declaration’ criterion </w:t>
      </w:r>
      <w:r>
        <w:t>has any basis in state practice</w:t>
      </w:r>
      <w:r w:rsidRPr="005D1CB4">
        <w:t>.</w:t>
      </w:r>
      <w:r w:rsidR="002B0C46">
        <w:t xml:space="preserve"> </w:t>
      </w:r>
      <w:r w:rsidRPr="005D1CB4">
        <w:t xml:space="preserve">This is not to say that </w:t>
      </w:r>
      <w:r>
        <w:t xml:space="preserve">‘victim’ </w:t>
      </w:r>
      <w:r w:rsidRPr="005D1CB4">
        <w:t>states never declare</w:t>
      </w:r>
      <w:r>
        <w:t>, in the context of collective self-defence actions,</w:t>
      </w:r>
      <w:r w:rsidRPr="005D1CB4">
        <w:t xml:space="preserve"> that they have </w:t>
      </w:r>
      <w:r>
        <w:t>suffered</w:t>
      </w:r>
      <w:r w:rsidRPr="005D1CB4">
        <w:t xml:space="preserve"> an </w:t>
      </w:r>
      <w:r>
        <w:t xml:space="preserve">armed </w:t>
      </w:r>
      <w:r w:rsidRPr="005D1CB4">
        <w:t>attack</w:t>
      </w:r>
      <w:r w:rsidR="00D738C8">
        <w:t xml:space="preserve"> (or </w:t>
      </w:r>
      <w:r w:rsidR="00031A31">
        <w:t>made such a declaration using</w:t>
      </w:r>
      <w:r w:rsidR="00D738C8">
        <w:t xml:space="preserve"> broadly comparable </w:t>
      </w:r>
      <w:r w:rsidR="00031A31">
        <w:t>terminology</w:t>
      </w:r>
      <w:r w:rsidR="00D738C8">
        <w:t>, such as ‘aggression’)</w:t>
      </w:r>
      <w:r w:rsidRPr="005D1CB4">
        <w:t>.</w:t>
      </w:r>
      <w:r w:rsidR="002B0C46">
        <w:t xml:space="preserve"> </w:t>
      </w:r>
      <w:r w:rsidRPr="005D1CB4">
        <w:t xml:space="preserve">However, this is </w:t>
      </w:r>
      <w:r w:rsidR="00D738C8">
        <w:t>almost never</w:t>
      </w:r>
      <w:r w:rsidRPr="005D1CB4">
        <w:t xml:space="preserve"> done</w:t>
      </w:r>
      <w:r w:rsidR="00EF46F0">
        <w:t xml:space="preserve"> in a formal manner, and is not </w:t>
      </w:r>
      <w:r w:rsidRPr="005D1CB4">
        <w:t>discussed by third party states</w:t>
      </w:r>
      <w:r>
        <w:t xml:space="preserve"> (and nor, more </w:t>
      </w:r>
      <w:r w:rsidR="00F97F0E">
        <w:t>notably</w:t>
      </w:r>
      <w:r>
        <w:t>, is the absence of such a declaration)</w:t>
      </w:r>
      <w:r w:rsidRPr="005D1CB4">
        <w:t>.</w:t>
      </w:r>
      <w:r w:rsidR="002B0C46">
        <w:t xml:space="preserve"> </w:t>
      </w:r>
      <w:r w:rsidR="00F075EE">
        <w:t>D</w:t>
      </w:r>
      <w:r w:rsidRPr="005D1CB4">
        <w:t>eclarations</w:t>
      </w:r>
      <w:r>
        <w:t xml:space="preserve"> </w:t>
      </w:r>
      <w:r w:rsidRPr="005D1CB4">
        <w:t>on the part of the victim state that i</w:t>
      </w:r>
      <w:r w:rsidR="00D738C8">
        <w:t>t</w:t>
      </w:r>
      <w:r w:rsidRPr="005D1CB4">
        <w:t xml:space="preserve"> has suffered an armed attack</w:t>
      </w:r>
      <w:r>
        <w:t>, if made,</w:t>
      </w:r>
      <w:r w:rsidRPr="005D1CB4">
        <w:t xml:space="preserve"> </w:t>
      </w:r>
      <w:r>
        <w:t>are</w:t>
      </w:r>
      <w:r w:rsidRPr="005D1CB4">
        <w:t xml:space="preserve"> </w:t>
      </w:r>
      <w:r w:rsidR="00F075EE">
        <w:t xml:space="preserve">informal and/or are </w:t>
      </w:r>
      <w:r w:rsidRPr="005D1CB4">
        <w:t>incorpora</w:t>
      </w:r>
      <w:r w:rsidR="00031A31">
        <w:t xml:space="preserve">ted into its request for aid: </w:t>
      </w:r>
      <w:r w:rsidRPr="005D1CB4">
        <w:t>the occurrence of the armed attac</w:t>
      </w:r>
      <w:r>
        <w:t>k being part of, or implicit in,</w:t>
      </w:r>
      <w:r w:rsidRPr="005D1CB4">
        <w:t xml:space="preserve"> the request</w:t>
      </w:r>
      <w:r w:rsidR="00F075EE">
        <w:t xml:space="preserve"> </w:t>
      </w:r>
      <w:r w:rsidR="00031A31">
        <w:t>for help in responding to it</w:t>
      </w:r>
      <w:r w:rsidR="00001CD5">
        <w:t xml:space="preserve">. </w:t>
      </w:r>
      <w:r w:rsidR="00D738C8">
        <w:t>Ultimately – albeit with the same caveat</w:t>
      </w:r>
      <w:r w:rsidR="00153D3F">
        <w:t xml:space="preserve"> about not yet being in a position to base the </w:t>
      </w:r>
      <w:r>
        <w:t xml:space="preserve">following </w:t>
      </w:r>
      <w:r w:rsidR="00D738C8">
        <w:t>assertion</w:t>
      </w:r>
      <w:r w:rsidR="00153D3F">
        <w:t xml:space="preserve"> on a comprehensive survey – I </w:t>
      </w:r>
      <w:r w:rsidR="00031A31">
        <w:t xml:space="preserve">have been </w:t>
      </w:r>
      <w:r w:rsidR="00F97F0E">
        <w:t>un</w:t>
      </w:r>
      <w:r w:rsidR="00031A31">
        <w:t>able to</w:t>
      </w:r>
      <w:r w:rsidR="00153D3F">
        <w:t xml:space="preserve"> identify an</w:t>
      </w:r>
      <w:r w:rsidR="00031A31">
        <w:t>y</w:t>
      </w:r>
      <w:r w:rsidR="00153D3F">
        <w:t xml:space="preserve"> instance</w:t>
      </w:r>
      <w:r w:rsidR="00031A31">
        <w:t>s</w:t>
      </w:r>
      <w:r w:rsidR="00153D3F">
        <w:t xml:space="preserve"> in practice where the </w:t>
      </w:r>
      <w:r w:rsidR="00153D3F" w:rsidRPr="00D738C8">
        <w:rPr>
          <w:i/>
        </w:rPr>
        <w:t>absence</w:t>
      </w:r>
      <w:r w:rsidR="00153D3F">
        <w:t xml:space="preserve"> of a </w:t>
      </w:r>
      <w:r w:rsidR="00153D3F" w:rsidRPr="00D738C8">
        <w:t>declaration</w:t>
      </w:r>
      <w:r w:rsidR="00153D3F">
        <w:t xml:space="preserve"> that </w:t>
      </w:r>
      <w:r w:rsidR="00D738C8">
        <w:t>an armed</w:t>
      </w:r>
      <w:r w:rsidR="00153D3F">
        <w:t xml:space="preserve"> attack </w:t>
      </w:r>
      <w:r w:rsidR="00D738C8">
        <w:t xml:space="preserve">has </w:t>
      </w:r>
      <w:r w:rsidR="00153D3F">
        <w:t xml:space="preserve">occurred was </w:t>
      </w:r>
      <w:r w:rsidR="00EF46F0">
        <w:t xml:space="preserve">even </w:t>
      </w:r>
      <w:r w:rsidR="00153D3F">
        <w:t>noted (let alone seen as determinative)</w:t>
      </w:r>
      <w:r w:rsidR="00EF46F0">
        <w:t xml:space="preserve"> by other </w:t>
      </w:r>
      <w:r w:rsidR="00153D3F">
        <w:t xml:space="preserve">states </w:t>
      </w:r>
      <w:r w:rsidR="00D738C8">
        <w:t>considering</w:t>
      </w:r>
      <w:r w:rsidR="00153D3F">
        <w:t xml:space="preserve"> </w:t>
      </w:r>
      <w:r w:rsidR="00EF46F0">
        <w:t>a collective self-defence</w:t>
      </w:r>
      <w:r w:rsidR="00153D3F">
        <w:t xml:space="preserve"> claim.</w:t>
      </w:r>
    </w:p>
    <w:p w14:paraId="45760F90" w14:textId="77777777" w:rsidR="003A4F9E" w:rsidRDefault="00031A31" w:rsidP="00001CD5">
      <w:pPr>
        <w:spacing w:line="360" w:lineRule="auto"/>
        <w:ind w:firstLine="720"/>
        <w:jc w:val="both"/>
      </w:pPr>
      <w:r>
        <w:lastRenderedPageBreak/>
        <w:t>Moreover, n</w:t>
      </w:r>
      <w:r w:rsidR="00D738C8">
        <w:t>ot only is the declaration requirement not present in practice, it</w:t>
      </w:r>
      <w:r w:rsidR="00001CD5">
        <w:t xml:space="preserve"> is also difficult to justify </w:t>
      </w:r>
      <w:r>
        <w:t>it</w:t>
      </w:r>
      <w:r w:rsidR="00001CD5">
        <w:t xml:space="preserve"> on a policy level.</w:t>
      </w:r>
      <w:r w:rsidR="002B0C46">
        <w:t xml:space="preserve"> </w:t>
      </w:r>
      <w:r w:rsidR="00001CD5">
        <w:t>The rationale advanced for the two requirements – to ensure that aid is truly needed/wanted, and that collective self-defence is not used as a pretext –</w:t>
      </w:r>
      <w:r w:rsidR="000474D4">
        <w:t xml:space="preserve"> </w:t>
      </w:r>
      <w:r w:rsidR="00001CD5">
        <w:t xml:space="preserve">surely </w:t>
      </w:r>
      <w:r w:rsidR="000474D4">
        <w:t xml:space="preserve">is </w:t>
      </w:r>
      <w:r w:rsidR="00001CD5">
        <w:t>fulfilled by the request requirement alone.</w:t>
      </w:r>
      <w:r w:rsidR="003A4F9E">
        <w:rPr>
          <w:rStyle w:val="FootnoteReference"/>
        </w:rPr>
        <w:footnoteReference w:id="56"/>
      </w:r>
      <w:r w:rsidR="002B0C46">
        <w:t xml:space="preserve"> </w:t>
      </w:r>
      <w:r w:rsidR="00001CD5">
        <w:t xml:space="preserve">One should keep in mind that </w:t>
      </w:r>
      <w:r w:rsidR="000474D4">
        <w:t>the</w:t>
      </w:r>
      <w:r w:rsidR="00001CD5">
        <w:t xml:space="preserve"> </w:t>
      </w:r>
      <w:r w:rsidR="000474D4">
        <w:t>‘</w:t>
      </w:r>
      <w:r w:rsidR="00001CD5">
        <w:t>armed attack</w:t>
      </w:r>
      <w:r w:rsidR="000474D4">
        <w:t>’</w:t>
      </w:r>
      <w:r w:rsidR="00001CD5">
        <w:t xml:space="preserve"> requirement </w:t>
      </w:r>
      <w:r w:rsidR="000474D4">
        <w:t>applies</w:t>
      </w:r>
      <w:r w:rsidR="00001CD5">
        <w:t xml:space="preserve"> both </w:t>
      </w:r>
      <w:r w:rsidR="000474D4">
        <w:t xml:space="preserve">to </w:t>
      </w:r>
      <w:r w:rsidR="00001CD5">
        <w:t xml:space="preserve">individual </w:t>
      </w:r>
      <w:r w:rsidR="00001CD5" w:rsidRPr="00001CD5">
        <w:rPr>
          <w:i/>
        </w:rPr>
        <w:t>and</w:t>
      </w:r>
      <w:r w:rsidR="00001CD5">
        <w:t xml:space="preserve"> collective self-defence; if the armed attack criterion is coupled with the requirement for a request for aid, then the need for the victim to also formally </w:t>
      </w:r>
      <w:r w:rsidR="00001CD5" w:rsidRPr="00001CD5">
        <w:rPr>
          <w:i/>
        </w:rPr>
        <w:t>declare</w:t>
      </w:r>
      <w:r w:rsidR="00001CD5">
        <w:t xml:space="preserve"> that the armed attack has occurred seems superfluous (and, </w:t>
      </w:r>
      <w:r w:rsidR="000474D4">
        <w:t xml:space="preserve">indeed, </w:t>
      </w:r>
      <w:r w:rsidR="00001CD5">
        <w:t xml:space="preserve">as critics of this aspect of </w:t>
      </w:r>
      <w:r w:rsidR="00001CD5" w:rsidRPr="003A4F9E">
        <w:rPr>
          <w:i/>
        </w:rPr>
        <w:t>Nicaragua</w:t>
      </w:r>
      <w:r w:rsidR="00001CD5">
        <w:t xml:space="preserve"> have stressed, overly formalistic</w:t>
      </w:r>
      <w:r w:rsidR="000474D4">
        <w:t>/impractical</w:t>
      </w:r>
      <w:r w:rsidR="00001CD5">
        <w:t>).</w:t>
      </w:r>
    </w:p>
    <w:p w14:paraId="5D3FDC94" w14:textId="77777777" w:rsidR="00D965E9" w:rsidRDefault="003A4F9E" w:rsidP="00001CD5">
      <w:pPr>
        <w:spacing w:line="360" w:lineRule="auto"/>
        <w:ind w:firstLine="720"/>
        <w:jc w:val="both"/>
      </w:pPr>
      <w:r>
        <w:t xml:space="preserve">In relation to the policy </w:t>
      </w:r>
      <w:r w:rsidR="000474D4">
        <w:t xml:space="preserve">goal </w:t>
      </w:r>
      <w:r>
        <w:t xml:space="preserve">underpinning the </w:t>
      </w:r>
      <w:r w:rsidRPr="00031A31">
        <w:rPr>
          <w:i/>
        </w:rPr>
        <w:t>request</w:t>
      </w:r>
      <w:r>
        <w:t xml:space="preserve"> criterion</w:t>
      </w:r>
      <w:r w:rsidR="00001CD5">
        <w:t xml:space="preserve">, </w:t>
      </w:r>
      <w:r>
        <w:t xml:space="preserve">however, </w:t>
      </w:r>
      <w:r w:rsidR="00001CD5">
        <w:t xml:space="preserve">my co-editor, Tom Ruys, previously </w:t>
      </w:r>
      <w:r w:rsidR="00031A31">
        <w:t xml:space="preserve">has </w:t>
      </w:r>
      <w:r w:rsidR="00001CD5">
        <w:t>suggested that</w:t>
      </w:r>
      <w:r w:rsidR="00D965E9">
        <w:t xml:space="preserve"> </w:t>
      </w:r>
    </w:p>
    <w:p w14:paraId="75FE0EBA" w14:textId="77777777" w:rsidR="00D965E9" w:rsidRDefault="00D965E9" w:rsidP="00001CD5">
      <w:pPr>
        <w:spacing w:line="360" w:lineRule="auto"/>
        <w:ind w:firstLine="720"/>
        <w:jc w:val="both"/>
      </w:pPr>
    </w:p>
    <w:p w14:paraId="2E87E42A" w14:textId="77777777" w:rsidR="00001CD5" w:rsidRDefault="00D965E9" w:rsidP="00D965E9">
      <w:pPr>
        <w:spacing w:line="360" w:lineRule="auto"/>
        <w:ind w:left="720"/>
        <w:jc w:val="both"/>
      </w:pPr>
      <w:r>
        <w:t>the request criterion is primarily aimed at securing the approval of the victim State. If this approval can be established in some other way, for example, if it is clear that the States’ military actions are closely coordinated or if the States jointly submit a report to the Security Council, a flexible interpretation should arguably prevail.</w:t>
      </w:r>
      <w:r>
        <w:rPr>
          <w:rStyle w:val="FootnoteReference"/>
        </w:rPr>
        <w:footnoteReference w:id="57"/>
      </w:r>
      <w:r w:rsidR="00001CD5">
        <w:t xml:space="preserve"> </w:t>
      </w:r>
    </w:p>
    <w:p w14:paraId="2E48FCFF" w14:textId="77777777" w:rsidR="00001CD5" w:rsidRDefault="00001CD5" w:rsidP="00D965E9">
      <w:pPr>
        <w:spacing w:line="360" w:lineRule="auto"/>
        <w:jc w:val="both"/>
      </w:pPr>
    </w:p>
    <w:p w14:paraId="411E7F07" w14:textId="77777777" w:rsidR="00D738C8" w:rsidRDefault="00D965E9" w:rsidP="00D965E9">
      <w:pPr>
        <w:spacing w:line="360" w:lineRule="auto"/>
        <w:jc w:val="both"/>
      </w:pPr>
      <w:r>
        <w:t>As a policy matter, I agree with Tom’s (admittedly only tentative) suggestion.</w:t>
      </w:r>
      <w:r w:rsidR="002B0C46">
        <w:t xml:space="preserve"> </w:t>
      </w:r>
      <w:r>
        <w:t xml:space="preserve">However, </w:t>
      </w:r>
      <w:r w:rsidR="000474D4">
        <w:t>as I have argued</w:t>
      </w:r>
      <w:r w:rsidR="00031A31">
        <w:t xml:space="preserve"> herein</w:t>
      </w:r>
      <w:r w:rsidR="000474D4">
        <w:t>, this</w:t>
      </w:r>
      <w:r>
        <w:t xml:space="preserve"> is not reflected</w:t>
      </w:r>
      <w:r w:rsidR="00031A31">
        <w:t xml:space="preserve"> in the existing state practice. Therefore,</w:t>
      </w:r>
      <w:r>
        <w:t xml:space="preserve"> at least one ‘test case’ would be required to establish whether states would accept </w:t>
      </w:r>
      <w:r w:rsidR="000474D4">
        <w:t xml:space="preserve">that </w:t>
      </w:r>
      <w:r>
        <w:t xml:space="preserve">such alternative </w:t>
      </w:r>
      <w:r w:rsidR="00031A31">
        <w:t>factors</w:t>
      </w:r>
      <w:r>
        <w:t xml:space="preserve"> would satisfy the </w:t>
      </w:r>
      <w:r w:rsidR="000474D4">
        <w:t>(</w:t>
      </w:r>
      <w:r>
        <w:t>legal</w:t>
      </w:r>
      <w:r w:rsidR="000474D4">
        <w:t>)</w:t>
      </w:r>
      <w:r>
        <w:t xml:space="preserve"> requirement to ensure the victim’s approval.</w:t>
      </w:r>
      <w:r w:rsidR="002B0C46">
        <w:t xml:space="preserve"> </w:t>
      </w:r>
      <w:r w:rsidR="003A4F9E">
        <w:t>Indeed, t</w:t>
      </w:r>
      <w:r>
        <w:t xml:space="preserve">o me, </w:t>
      </w:r>
      <w:r w:rsidR="000474D4">
        <w:t>such alternatives seem</w:t>
      </w:r>
      <w:r>
        <w:t xml:space="preserve"> rather unlikely</w:t>
      </w:r>
      <w:r w:rsidR="000474D4">
        <w:t xml:space="preserve"> to occur or be necessary in practice</w:t>
      </w:r>
      <w:r>
        <w:t xml:space="preserve">, as surely the easiest way </w:t>
      </w:r>
      <w:r w:rsidR="00031A31">
        <w:t xml:space="preserve">for a state </w:t>
      </w:r>
      <w:r>
        <w:t xml:space="preserve">to establish that </w:t>
      </w:r>
      <w:r w:rsidR="00031A31">
        <w:t>it</w:t>
      </w:r>
      <w:r>
        <w:t xml:space="preserve"> want</w:t>
      </w:r>
      <w:r w:rsidR="00031A31">
        <w:t>s</w:t>
      </w:r>
      <w:r>
        <w:t xml:space="preserve"> help is </w:t>
      </w:r>
      <w:r w:rsidR="00F97F0E">
        <w:t xml:space="preserve">for it </w:t>
      </w:r>
      <w:r>
        <w:t>unequivocally to ask for it</w:t>
      </w:r>
      <w:r w:rsidR="003A4F9E">
        <w:t>?</w:t>
      </w:r>
      <w:r w:rsidR="002B0C46">
        <w:t xml:space="preserve"> </w:t>
      </w:r>
      <w:r w:rsidR="000474D4">
        <w:t xml:space="preserve">As such, Tom’s suggestion perhaps remains hypothetical.  To stress again, </w:t>
      </w:r>
      <w:r>
        <w:t xml:space="preserve">significantly, states </w:t>
      </w:r>
      <w:r w:rsidR="003A4F9E">
        <w:t>invariably</w:t>
      </w:r>
      <w:r>
        <w:t xml:space="preserve"> make such requests, rely on them, and critique them.</w:t>
      </w:r>
      <w:r w:rsidR="002B0C46">
        <w:t xml:space="preserve"> </w:t>
      </w:r>
    </w:p>
    <w:p w14:paraId="49FC18D1" w14:textId="458B970F" w:rsidR="00D738C8" w:rsidRDefault="00D738C8" w:rsidP="00D738C8">
      <w:pPr>
        <w:spacing w:line="360" w:lineRule="auto"/>
        <w:ind w:firstLine="720"/>
        <w:jc w:val="both"/>
      </w:pPr>
      <w:r>
        <w:t xml:space="preserve">While the </w:t>
      </w:r>
      <w:r w:rsidRPr="002D0275">
        <w:rPr>
          <w:i/>
        </w:rPr>
        <w:t>Nicaragua</w:t>
      </w:r>
      <w:r>
        <w:t xml:space="preserve"> case is often returned to in rela</w:t>
      </w:r>
      <w:r w:rsidR="000474D4">
        <w:t>tion to collective self-defence – for obvious reasons –</w:t>
      </w:r>
      <w:r>
        <w:t xml:space="preserve"> it is notable that the ICJ has </w:t>
      </w:r>
      <w:r w:rsidRPr="007660A7">
        <w:t>since presented a rather different view of the additional requirement(s) for collective self-defence.</w:t>
      </w:r>
      <w:r>
        <w:t xml:space="preserve"> </w:t>
      </w:r>
      <w:r w:rsidRPr="007660A7">
        <w:t xml:space="preserve">In both the 2003 </w:t>
      </w:r>
      <w:r w:rsidRPr="007660A7">
        <w:rPr>
          <w:i/>
        </w:rPr>
        <w:t>Oil Platforms</w:t>
      </w:r>
      <w:r w:rsidRPr="007660A7">
        <w:t xml:space="preserve"> case</w:t>
      </w:r>
      <w:r w:rsidRPr="007660A7">
        <w:rPr>
          <w:rStyle w:val="FootnoteReference"/>
        </w:rPr>
        <w:footnoteReference w:id="58"/>
      </w:r>
      <w:r w:rsidRPr="007660A7">
        <w:t xml:space="preserve"> and </w:t>
      </w:r>
      <w:r w:rsidRPr="007660A7">
        <w:lastRenderedPageBreak/>
        <w:t xml:space="preserve">the 2005 </w:t>
      </w:r>
      <w:r w:rsidRPr="007660A7">
        <w:rPr>
          <w:i/>
        </w:rPr>
        <w:t>Armed Activities</w:t>
      </w:r>
      <w:r>
        <w:t xml:space="preserve"> decision,</w:t>
      </w:r>
      <w:r w:rsidRPr="007660A7">
        <w:rPr>
          <w:rStyle w:val="FootnoteReference"/>
        </w:rPr>
        <w:footnoteReference w:id="59"/>
      </w:r>
      <w:r w:rsidRPr="007660A7">
        <w:t xml:space="preserve"> the </w:t>
      </w:r>
      <w:r w:rsidR="000474D4">
        <w:t>Court</w:t>
      </w:r>
      <w:r w:rsidRPr="007660A7">
        <w:t xml:space="preserve"> indicated</w:t>
      </w:r>
      <w:r w:rsidRPr="004835E5">
        <w:t xml:space="preserve"> </w:t>
      </w:r>
      <w:r>
        <w:t>that collective self-defence required a request on the part of the victim state.</w:t>
      </w:r>
      <w:r w:rsidRPr="004835E5">
        <w:t xml:space="preserve"> </w:t>
      </w:r>
      <w:r>
        <w:t xml:space="preserve">However, in neither judgment did </w:t>
      </w:r>
      <w:r w:rsidR="000474D4">
        <w:t>it</w:t>
      </w:r>
      <w:r>
        <w:t xml:space="preserve"> make </w:t>
      </w:r>
      <w:r w:rsidRPr="005D1CB4">
        <w:t xml:space="preserve">any reference to a separate, corresponding requirement that </w:t>
      </w:r>
      <w:r>
        <w:t>the victim</w:t>
      </w:r>
      <w:r w:rsidRPr="005D1CB4">
        <w:t xml:space="preserve"> first declare that it has suffered an armed attack.</w:t>
      </w:r>
      <w:r>
        <w:t xml:space="preserve"> </w:t>
      </w:r>
      <w:r w:rsidRPr="005D1CB4">
        <w:t xml:space="preserve">Of course, </w:t>
      </w:r>
      <w:r>
        <w:t xml:space="preserve">in neither </w:t>
      </w:r>
      <w:r w:rsidRPr="00EE1B8A">
        <w:t>case</w:t>
      </w:r>
      <w:r>
        <w:rPr>
          <w:i/>
        </w:rPr>
        <w:t xml:space="preserve"> </w:t>
      </w:r>
      <w:r>
        <w:t xml:space="preserve">did </w:t>
      </w:r>
      <w:r w:rsidRPr="005D1CB4">
        <w:t xml:space="preserve">the </w:t>
      </w:r>
      <w:r w:rsidR="000474D4">
        <w:t>ICJ</w:t>
      </w:r>
      <w:r>
        <w:t xml:space="preserve"> </w:t>
      </w:r>
      <w:r w:rsidRPr="00EE39D9">
        <w:rPr>
          <w:i/>
        </w:rPr>
        <w:t>reject</w:t>
      </w:r>
      <w:r>
        <w:t xml:space="preserve"> explicitly its</w:t>
      </w:r>
      <w:r w:rsidRPr="005D1CB4">
        <w:t xml:space="preserve"> earlier </w:t>
      </w:r>
      <w:r>
        <w:t>‘</w:t>
      </w:r>
      <w:r w:rsidRPr="005D1CB4">
        <w:t>declaration</w:t>
      </w:r>
      <w:r>
        <w:t xml:space="preserve">’ </w:t>
      </w:r>
      <w:r w:rsidR="00031A31">
        <w:t>criterion</w:t>
      </w:r>
      <w:r>
        <w:t xml:space="preserve"> either,</w:t>
      </w:r>
      <w:r w:rsidRPr="005D1CB4">
        <w:t xml:space="preserve"> but </w:t>
      </w:r>
      <w:r>
        <w:t xml:space="preserve">– while a request requirement </w:t>
      </w:r>
      <w:r w:rsidR="000474D4">
        <w:t xml:space="preserve">twice </w:t>
      </w:r>
      <w:r>
        <w:t xml:space="preserve">has been reaffirmed by the </w:t>
      </w:r>
      <w:r w:rsidR="000474D4">
        <w:t>Court</w:t>
      </w:r>
      <w:r>
        <w:t xml:space="preserve"> since </w:t>
      </w:r>
      <w:r w:rsidRPr="007660A7">
        <w:rPr>
          <w:i/>
        </w:rPr>
        <w:t>Nicaragua</w:t>
      </w:r>
      <w:r>
        <w:t xml:space="preserve"> – a requirement of declaration has been notable by its absence in more recent </w:t>
      </w:r>
      <w:r w:rsidR="000474D4">
        <w:t>ICJ</w:t>
      </w:r>
      <w:r>
        <w:t xml:space="preserve"> jurisprudence</w:t>
      </w:r>
      <w:r w:rsidRPr="005D1CB4">
        <w:t>.</w:t>
      </w:r>
      <w:r>
        <w:t xml:space="preserve"> Similarly, while the </w:t>
      </w:r>
      <w:r w:rsidRPr="00A97C4B">
        <w:rPr>
          <w:i/>
        </w:rPr>
        <w:t>Nicaragua</w:t>
      </w:r>
      <w:r>
        <w:t xml:space="preserve"> ‘declaration + request’ formulation still commonly </w:t>
      </w:r>
      <w:r w:rsidR="00FA7BFE">
        <w:t xml:space="preserve">is </w:t>
      </w:r>
      <w:r>
        <w:t>repeated in the literature,</w:t>
      </w:r>
      <w:r>
        <w:rPr>
          <w:rStyle w:val="FootnoteReference"/>
        </w:rPr>
        <w:footnoteReference w:id="60"/>
      </w:r>
      <w:r>
        <w:t xml:space="preserve"> it is notable that there is an increasing tendency for commentators to identify the request criterion but </w:t>
      </w:r>
      <w:r w:rsidRPr="00031A31">
        <w:rPr>
          <w:i/>
        </w:rPr>
        <w:t>not</w:t>
      </w:r>
      <w:r>
        <w:t xml:space="preserve"> the declaration criterion. This has</w:t>
      </w:r>
      <w:r w:rsidR="00F97F0E">
        <w:t>, most often,</w:t>
      </w:r>
      <w:r w:rsidR="000474D4">
        <w:t xml:space="preserve"> involve</w:t>
      </w:r>
      <w:r w:rsidR="00F97F0E">
        <w:t>d</w:t>
      </w:r>
      <w:r>
        <w:t xml:space="preserve"> an acceptance of the </w:t>
      </w:r>
      <w:r w:rsidR="000D1558">
        <w:t xml:space="preserve">request </w:t>
      </w:r>
      <w:r>
        <w:t>requirement with simply no mention being made of the declaration requirement</w:t>
      </w:r>
      <w:r w:rsidR="000474D4">
        <w:t xml:space="preserve"> (rather than an explicit rejection of it)</w:t>
      </w:r>
      <w:r>
        <w:t>,</w:t>
      </w:r>
      <w:r>
        <w:rPr>
          <w:rStyle w:val="FootnoteReference"/>
        </w:rPr>
        <w:footnoteReference w:id="61"/>
      </w:r>
      <w:r>
        <w:t xml:space="preserve"> although some scholars have gone further and endorsed ‘request’ while at the same time expressly rejecting ‘declaration’.</w:t>
      </w:r>
      <w:r w:rsidRPr="005D1CB4">
        <w:rPr>
          <w:rStyle w:val="FootnoteReference"/>
        </w:rPr>
        <w:footnoteReference w:id="62"/>
      </w:r>
      <w:r>
        <w:t xml:space="preserve"> </w:t>
      </w:r>
    </w:p>
    <w:p w14:paraId="6750EBA1" w14:textId="1BA5E41F" w:rsidR="00F075EE" w:rsidRPr="005D1CB4" w:rsidRDefault="000474D4" w:rsidP="004A22B3">
      <w:pPr>
        <w:spacing w:line="360" w:lineRule="auto"/>
        <w:ind w:firstLine="720"/>
        <w:jc w:val="both"/>
      </w:pPr>
      <w:r>
        <w:t>It should be noted that</w:t>
      </w:r>
      <w:r w:rsidR="004A22B3">
        <w:t>,</w:t>
      </w:r>
      <w:r>
        <w:t xml:space="preserve"> e</w:t>
      </w:r>
      <w:r w:rsidR="00D965E9">
        <w:t xml:space="preserve">ven if </w:t>
      </w:r>
      <w:r>
        <w:t>one accepts</w:t>
      </w:r>
      <w:r w:rsidR="00D965E9">
        <w:t xml:space="preserve"> </w:t>
      </w:r>
      <w:r>
        <w:t xml:space="preserve">my </w:t>
      </w:r>
      <w:r w:rsidR="00D965E9">
        <w:t xml:space="preserve">conclusion </w:t>
      </w:r>
      <w:r>
        <w:t>that a request is required under customary international law</w:t>
      </w:r>
      <w:r w:rsidR="00D965E9">
        <w:t>, a</w:t>
      </w:r>
      <w:r w:rsidR="00F075EE">
        <w:t xml:space="preserve"> </w:t>
      </w:r>
      <w:r w:rsidR="00AD1600">
        <w:t xml:space="preserve">number of </w:t>
      </w:r>
      <w:r w:rsidR="004835E5">
        <w:t xml:space="preserve">(crucial) </w:t>
      </w:r>
      <w:r w:rsidR="00AD1600">
        <w:t>questions remain</w:t>
      </w:r>
      <w:r w:rsidR="002D0275">
        <w:t xml:space="preserve"> regarding </w:t>
      </w:r>
      <w:r>
        <w:t>this</w:t>
      </w:r>
      <w:r w:rsidR="002D0275">
        <w:t xml:space="preserve"> criterion</w:t>
      </w:r>
      <w:r w:rsidR="00AD1600">
        <w:t>.</w:t>
      </w:r>
      <w:r w:rsidR="002B0C46">
        <w:t xml:space="preserve"> </w:t>
      </w:r>
      <w:r w:rsidR="004A22B3">
        <w:t>These include to whom the request must be addressed,</w:t>
      </w:r>
      <w:r w:rsidR="004A22B3" w:rsidRPr="00EC6971">
        <w:rPr>
          <w:rStyle w:val="FootnoteReference"/>
        </w:rPr>
        <w:footnoteReference w:id="63"/>
      </w:r>
      <w:r w:rsidR="004A22B3">
        <w:t xml:space="preserve"> </w:t>
      </w:r>
      <w:r w:rsidR="004A22B3" w:rsidRPr="00EC6971">
        <w:t>who validly can make a request for aid,</w:t>
      </w:r>
      <w:r w:rsidR="004A22B3" w:rsidRPr="00EC6971">
        <w:rPr>
          <w:rStyle w:val="FootnoteReference"/>
        </w:rPr>
        <w:footnoteReference w:id="64"/>
      </w:r>
      <w:r w:rsidR="004A22B3" w:rsidRPr="00EC6971">
        <w:t xml:space="preserve"> the form of the request (e.g., whether it must be made publicly and/or formally)</w:t>
      </w:r>
      <w:r w:rsidR="004A22B3" w:rsidRPr="00EC6971">
        <w:rPr>
          <w:rStyle w:val="FootnoteReference"/>
        </w:rPr>
        <w:footnoteReference w:id="65"/>
      </w:r>
      <w:r w:rsidR="004A22B3">
        <w:t xml:space="preserve"> and </w:t>
      </w:r>
      <w:r w:rsidR="004A22B3" w:rsidRPr="00EC6971">
        <w:t>the non-coerced/genuine</w:t>
      </w:r>
      <w:r w:rsidR="004A22B3">
        <w:t xml:space="preserve"> nature of the request.</w:t>
      </w:r>
      <w:r w:rsidR="004A22B3" w:rsidRPr="00EC6971">
        <w:rPr>
          <w:rStyle w:val="FootnoteReference"/>
        </w:rPr>
        <w:footnoteReference w:id="66"/>
      </w:r>
      <w:r w:rsidR="004A22B3">
        <w:t xml:space="preserve"> I intend to return to such questions in the future. I</w:t>
      </w:r>
      <w:r w:rsidR="00F075EE" w:rsidRPr="00EC6971">
        <w:t xml:space="preserve">n this editorial I </w:t>
      </w:r>
      <w:r w:rsidR="00F075EE">
        <w:t xml:space="preserve">wished </w:t>
      </w:r>
      <w:r w:rsidR="0012528F">
        <w:t xml:space="preserve">merely </w:t>
      </w:r>
      <w:r w:rsidR="00F075EE">
        <w:t xml:space="preserve">to highlight my view that the request </w:t>
      </w:r>
      <w:r w:rsidR="0012528F">
        <w:t>criterion</w:t>
      </w:r>
      <w:r w:rsidR="00F075EE">
        <w:t xml:space="preserve"> is</w:t>
      </w:r>
      <w:r w:rsidR="000D1558">
        <w:t>,</w:t>
      </w:r>
      <w:r w:rsidR="00F075EE">
        <w:t xml:space="preserve"> </w:t>
      </w:r>
      <w:r w:rsidR="004A22B3">
        <w:t>indeed</w:t>
      </w:r>
      <w:r w:rsidR="000D1558">
        <w:t>,</w:t>
      </w:r>
      <w:r w:rsidR="00EE1B8A">
        <w:t xml:space="preserve"> a binding requirement for the exercise of collective self-defence under customary international law</w:t>
      </w:r>
      <w:r w:rsidR="00F075EE">
        <w:t xml:space="preserve">, </w:t>
      </w:r>
      <w:r w:rsidR="00EE1B8A">
        <w:t>whereas</w:t>
      </w:r>
      <w:r w:rsidR="00F075EE">
        <w:t xml:space="preserve"> the continued reaffirmation of the need for a declaration is both inaccurate and unhelpful.</w:t>
      </w:r>
      <w:r w:rsidR="00F075EE" w:rsidRPr="00F075EE">
        <w:rPr>
          <w:rStyle w:val="FootnoteReference"/>
        </w:rPr>
        <w:t xml:space="preserve"> </w:t>
      </w:r>
    </w:p>
    <w:p w14:paraId="266C7A4C" w14:textId="77777777" w:rsidR="00153D3F" w:rsidRPr="00AD1600" w:rsidRDefault="00F075EE" w:rsidP="009E494D">
      <w:pPr>
        <w:spacing w:line="360" w:lineRule="auto"/>
        <w:ind w:firstLine="720"/>
        <w:jc w:val="both"/>
      </w:pPr>
      <w:r>
        <w:t xml:space="preserve"> </w:t>
      </w:r>
    </w:p>
    <w:sectPr w:rsidR="00153D3F" w:rsidRPr="00AD160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CBEC3" w14:textId="77777777" w:rsidR="00B57A80" w:rsidRDefault="00B57A80" w:rsidP="006D7263">
      <w:r>
        <w:separator/>
      </w:r>
    </w:p>
  </w:endnote>
  <w:endnote w:type="continuationSeparator" w:id="0">
    <w:p w14:paraId="08C1E472" w14:textId="77777777" w:rsidR="00B57A80" w:rsidRDefault="00B57A80" w:rsidP="006D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20052"/>
      <w:docPartObj>
        <w:docPartGallery w:val="Page Numbers (Bottom of Page)"/>
        <w:docPartUnique/>
      </w:docPartObj>
    </w:sdtPr>
    <w:sdtEndPr>
      <w:rPr>
        <w:noProof/>
      </w:rPr>
    </w:sdtEndPr>
    <w:sdtContent>
      <w:p w14:paraId="0071DD53" w14:textId="77777777" w:rsidR="00B57A80" w:rsidRDefault="00B57A80">
        <w:pPr>
          <w:pStyle w:val="Footer"/>
          <w:jc w:val="center"/>
        </w:pPr>
        <w:r>
          <w:fldChar w:fldCharType="begin"/>
        </w:r>
        <w:r>
          <w:instrText xml:space="preserve"> PAGE   \* MERGEFORMAT </w:instrText>
        </w:r>
        <w:r>
          <w:fldChar w:fldCharType="separate"/>
        </w:r>
        <w:r w:rsidR="00E82985">
          <w:rPr>
            <w:noProof/>
          </w:rPr>
          <w:t>1</w:t>
        </w:r>
        <w:r>
          <w:rPr>
            <w:noProof/>
          </w:rPr>
          <w:fldChar w:fldCharType="end"/>
        </w:r>
      </w:p>
    </w:sdtContent>
  </w:sdt>
  <w:p w14:paraId="2B44777F" w14:textId="77777777" w:rsidR="00B57A80" w:rsidRDefault="00B57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C0D80" w14:textId="77777777" w:rsidR="00B57A80" w:rsidRDefault="00B57A80" w:rsidP="006D7263">
      <w:r>
        <w:separator/>
      </w:r>
    </w:p>
  </w:footnote>
  <w:footnote w:type="continuationSeparator" w:id="0">
    <w:p w14:paraId="54A0EF2C" w14:textId="77777777" w:rsidR="00B57A80" w:rsidRDefault="00B57A80" w:rsidP="006D7263">
      <w:r>
        <w:continuationSeparator/>
      </w:r>
    </w:p>
  </w:footnote>
  <w:footnote w:id="1">
    <w:p w14:paraId="1806CC56" w14:textId="77777777" w:rsidR="00B57A80" w:rsidRPr="00C01DCC" w:rsidRDefault="00B57A80" w:rsidP="009E494D">
      <w:pPr>
        <w:pStyle w:val="FootnoteText"/>
        <w:jc w:val="both"/>
        <w:rPr>
          <w:rFonts w:eastAsiaTheme="minorHAnsi"/>
        </w:rPr>
      </w:pPr>
      <w:r w:rsidRPr="00C01DCC">
        <w:rPr>
          <w:rStyle w:val="FootnoteReference"/>
        </w:rPr>
        <w:t>*</w:t>
      </w:r>
      <w:r w:rsidRPr="00C01DCC">
        <w:t xml:space="preserve"> All websites accessed </w:t>
      </w:r>
      <w:r w:rsidR="00C01DCC" w:rsidRPr="00C01DCC">
        <w:t>1 April 2017</w:t>
      </w:r>
      <w:r w:rsidRPr="00C01DCC">
        <w:t>.</w:t>
      </w:r>
    </w:p>
  </w:footnote>
  <w:footnote w:id="2">
    <w:p w14:paraId="57D9AFDF" w14:textId="77777777" w:rsidR="00B57A80" w:rsidRPr="00C01DCC" w:rsidRDefault="00B57A80" w:rsidP="009E494D">
      <w:pPr>
        <w:pStyle w:val="FootnoteText"/>
        <w:jc w:val="both"/>
      </w:pPr>
      <w:r w:rsidRPr="00C01DCC">
        <w:rPr>
          <w:rStyle w:val="FootnoteReference"/>
        </w:rPr>
        <w:footnoteRef/>
      </w:r>
      <w:r w:rsidRPr="00C01DCC">
        <w:t xml:space="preserve"> As is well-known, </w:t>
      </w:r>
      <w:r w:rsidR="00921026" w:rsidRPr="00C01DCC">
        <w:t xml:space="preserve">the Charter of the United Nations (1945) 1 UNTS XVI, art 51 </w:t>
      </w:r>
      <w:r w:rsidRPr="00C01DCC">
        <w:t xml:space="preserve">sanctifies not only states’ right of individual self-defence, but the ‘inherent right of individual or </w:t>
      </w:r>
      <w:r w:rsidRPr="00C01DCC">
        <w:rPr>
          <w:i/>
        </w:rPr>
        <w:t>collective</w:t>
      </w:r>
      <w:r w:rsidRPr="00C01DCC">
        <w:t xml:space="preserve"> self-defence’</w:t>
      </w:r>
      <w:r w:rsidR="00921026" w:rsidRPr="00C01DCC">
        <w:t xml:space="preserve"> (emphasis added).</w:t>
      </w:r>
      <w:r w:rsidRPr="00C01DCC">
        <w:t xml:space="preserve"> </w:t>
      </w:r>
    </w:p>
  </w:footnote>
  <w:footnote w:id="3">
    <w:p w14:paraId="553CD36E" w14:textId="77777777" w:rsidR="00B57A80" w:rsidRPr="00C01DCC" w:rsidRDefault="00B57A80" w:rsidP="009E494D">
      <w:pPr>
        <w:pStyle w:val="FootnoteText"/>
        <w:jc w:val="both"/>
      </w:pPr>
      <w:r w:rsidRPr="00C01DCC">
        <w:rPr>
          <w:rStyle w:val="FootnoteReference"/>
        </w:rPr>
        <w:footnoteRef/>
      </w:r>
      <w:r w:rsidRPr="00C01DCC">
        <w:t xml:space="preserve"> See Tom Ruys, </w:t>
      </w:r>
      <w:r w:rsidRPr="00C01DCC">
        <w:rPr>
          <w:i/>
        </w:rPr>
        <w:t xml:space="preserve">‘Armed Attack’ and Article 51 of the UN Charter: Evolutions in Customary Law and Practice </w:t>
      </w:r>
      <w:r w:rsidRPr="00C01DCC">
        <w:t>(Cambridge University Press, 2010).</w:t>
      </w:r>
    </w:p>
  </w:footnote>
  <w:footnote w:id="4">
    <w:p w14:paraId="1987FF80" w14:textId="77777777" w:rsidR="00B57A80" w:rsidRPr="00C01DCC" w:rsidRDefault="00B57A80" w:rsidP="009E494D">
      <w:pPr>
        <w:pStyle w:val="FootnoteText"/>
        <w:jc w:val="both"/>
      </w:pPr>
      <w:r w:rsidRPr="00C01DCC">
        <w:rPr>
          <w:rStyle w:val="FootnoteReference"/>
        </w:rPr>
        <w:footnoteRef/>
      </w:r>
      <w:r w:rsidRPr="00C01DCC">
        <w:t xml:space="preserve"> See Mary Ellen O’Connell, ‘The Limited Necessity of Resort to Force’ in Dale Stephens and Paul Babie (eds), </w:t>
      </w:r>
      <w:r w:rsidRPr="00C01DCC">
        <w:rPr>
          <w:i/>
        </w:rPr>
        <w:t>Imagining Law: Essays in Conversation with Judith Gardam</w:t>
      </w:r>
      <w:r w:rsidRPr="00C01DCC">
        <w:t xml:space="preserve"> (University of Adelaide Press, 2016) 37.</w:t>
      </w:r>
    </w:p>
  </w:footnote>
  <w:footnote w:id="5">
    <w:p w14:paraId="1161917E" w14:textId="77777777" w:rsidR="00B57A80" w:rsidRPr="00C01DCC" w:rsidRDefault="00B57A80" w:rsidP="009E494D">
      <w:pPr>
        <w:pStyle w:val="FootnoteText"/>
        <w:jc w:val="both"/>
      </w:pPr>
      <w:r w:rsidRPr="00C01DCC">
        <w:rPr>
          <w:rStyle w:val="FootnoteReference"/>
        </w:rPr>
        <w:footnoteRef/>
      </w:r>
      <w:r w:rsidRPr="00C01DCC">
        <w:t xml:space="preserve"> See Sina Etezazian, ‘The Nature of the Self-Defence Proportionality Requirement’ (2016) 3 </w:t>
      </w:r>
      <w:r w:rsidRPr="00C01DCC">
        <w:rPr>
          <w:i/>
        </w:rPr>
        <w:t>Journal on the Use of Force and International Law</w:t>
      </w:r>
      <w:r w:rsidRPr="00C01DCC">
        <w:t xml:space="preserve"> 260.</w:t>
      </w:r>
    </w:p>
  </w:footnote>
  <w:footnote w:id="6">
    <w:p w14:paraId="671746E5" w14:textId="77777777" w:rsidR="00B57A80" w:rsidRPr="00C01DCC" w:rsidRDefault="00B57A80" w:rsidP="009E494D">
      <w:pPr>
        <w:pStyle w:val="FootnoteText"/>
        <w:jc w:val="both"/>
      </w:pPr>
      <w:r w:rsidRPr="00C01DCC">
        <w:rPr>
          <w:rStyle w:val="FootnoteReference"/>
        </w:rPr>
        <w:footnoteRef/>
      </w:r>
      <w:r w:rsidRPr="00C01DCC">
        <w:t xml:space="preserve"> See James A Green, ‘The Article 51 Reporting Requirement for Self-Defense Actions’ (2015) 55 </w:t>
      </w:r>
      <w:r w:rsidRPr="00C01DCC">
        <w:rPr>
          <w:i/>
        </w:rPr>
        <w:t>Virginia Journal of International Law</w:t>
      </w:r>
      <w:r w:rsidRPr="00C01DCC">
        <w:t xml:space="preserve"> 563.</w:t>
      </w:r>
    </w:p>
  </w:footnote>
  <w:footnote w:id="7">
    <w:p w14:paraId="03079AE8" w14:textId="77777777" w:rsidR="00B57A80" w:rsidRPr="00C01DCC" w:rsidRDefault="00B57A80" w:rsidP="009E494D">
      <w:pPr>
        <w:pStyle w:val="FootnoteText"/>
        <w:jc w:val="both"/>
      </w:pPr>
      <w:r w:rsidRPr="00C01DCC">
        <w:rPr>
          <w:rStyle w:val="FootnoteReference"/>
        </w:rPr>
        <w:footnoteRef/>
      </w:r>
      <w:r w:rsidRPr="00C01DCC">
        <w:t xml:space="preserve"> See Ruys (n </w:t>
      </w:r>
      <w:r w:rsidR="000D1558" w:rsidRPr="00C01DCC">
        <w:t>2</w:t>
      </w:r>
      <w:r w:rsidRPr="00C01DCC">
        <w:t xml:space="preserve">) 74-83 and 517-8. </w:t>
      </w:r>
    </w:p>
  </w:footnote>
  <w:footnote w:id="8">
    <w:p w14:paraId="55CE7658" w14:textId="77777777" w:rsidR="00B57A80" w:rsidRPr="00C01DCC" w:rsidRDefault="00B57A80" w:rsidP="009E494D">
      <w:pPr>
        <w:autoSpaceDE w:val="0"/>
        <w:autoSpaceDN w:val="0"/>
        <w:adjustRightInd w:val="0"/>
        <w:jc w:val="both"/>
        <w:rPr>
          <w:sz w:val="20"/>
          <w:szCs w:val="20"/>
        </w:rPr>
      </w:pPr>
      <w:r w:rsidRPr="00C01DCC">
        <w:rPr>
          <w:rStyle w:val="FootnoteReference"/>
          <w:sz w:val="20"/>
          <w:szCs w:val="20"/>
        </w:rPr>
        <w:footnoteRef/>
      </w:r>
      <w:r w:rsidRPr="00C01DCC">
        <w:rPr>
          <w:sz w:val="20"/>
          <w:szCs w:val="20"/>
        </w:rPr>
        <w:t xml:space="preserve"> See, e.g., Yoram Dinstein, </w:t>
      </w:r>
      <w:r w:rsidRPr="00C01DCC">
        <w:rPr>
          <w:i/>
          <w:sz w:val="20"/>
          <w:szCs w:val="20"/>
        </w:rPr>
        <w:t>War, Aggression and Self-Defence</w:t>
      </w:r>
      <w:r w:rsidRPr="00C01DCC">
        <w:rPr>
          <w:sz w:val="20"/>
          <w:szCs w:val="20"/>
        </w:rPr>
        <w:t xml:space="preserve"> (Cambridge Unive</w:t>
      </w:r>
      <w:r w:rsidR="007B725C">
        <w:rPr>
          <w:sz w:val="20"/>
          <w:szCs w:val="20"/>
        </w:rPr>
        <w:t>rsity Press, 5th edn 2011) 292-</w:t>
      </w:r>
      <w:r w:rsidRPr="00C01DCC">
        <w:rPr>
          <w:sz w:val="20"/>
          <w:szCs w:val="20"/>
        </w:rPr>
        <w:t xml:space="preserve">7. </w:t>
      </w:r>
    </w:p>
  </w:footnote>
  <w:footnote w:id="9">
    <w:p w14:paraId="6C9EF36C" w14:textId="77777777" w:rsidR="00B57A80" w:rsidRPr="00C01DCC" w:rsidRDefault="00B57A80" w:rsidP="009E494D">
      <w:pPr>
        <w:pStyle w:val="FootnoteText"/>
        <w:jc w:val="both"/>
      </w:pPr>
      <w:r w:rsidRPr="00C01DCC">
        <w:rPr>
          <w:rStyle w:val="FootnoteReference"/>
        </w:rPr>
        <w:footnoteRef/>
      </w:r>
      <w:r w:rsidRPr="00C01DCC">
        <w:t xml:space="preserve"> </w:t>
      </w:r>
      <w:r w:rsidRPr="00C01DCC">
        <w:rPr>
          <w:i/>
        </w:rPr>
        <w:t xml:space="preserve">Military and Paramilitary Activities in and Against Nicaragua </w:t>
      </w:r>
      <w:r w:rsidRPr="00C01DCC">
        <w:t>(</w:t>
      </w:r>
      <w:r w:rsidRPr="00C01DCC">
        <w:rPr>
          <w:i/>
        </w:rPr>
        <w:t>Nicaragua v United States of America</w:t>
      </w:r>
      <w:r w:rsidRPr="00C01DCC">
        <w:t>) (merits) [1986] ICJ Rep 14, para 195.</w:t>
      </w:r>
    </w:p>
  </w:footnote>
  <w:footnote w:id="10">
    <w:p w14:paraId="28ED64D5" w14:textId="77777777" w:rsidR="00B57A80" w:rsidRPr="00C01DCC" w:rsidRDefault="00B57A80" w:rsidP="009E494D">
      <w:pPr>
        <w:pStyle w:val="FootnoteText"/>
        <w:jc w:val="both"/>
      </w:pPr>
      <w:r w:rsidRPr="00C01DCC">
        <w:rPr>
          <w:rStyle w:val="FootnoteReference"/>
        </w:rPr>
        <w:footnoteRef/>
      </w:r>
      <w:r w:rsidRPr="00C01DCC">
        <w:t xml:space="preserve"> </w:t>
      </w:r>
      <w:r w:rsidRPr="00C01DCC">
        <w:rPr>
          <w:i/>
        </w:rPr>
        <w:t>Ibid</w:t>
      </w:r>
      <w:r w:rsidRPr="00C01DCC">
        <w:t xml:space="preserve">, paras 165 and </w:t>
      </w:r>
      <w:r w:rsidRPr="00C01DCC">
        <w:rPr>
          <w:lang w:val="it-IT"/>
        </w:rPr>
        <w:t>199</w:t>
      </w:r>
      <w:r w:rsidRPr="00C01DCC">
        <w:t>.</w:t>
      </w:r>
    </w:p>
  </w:footnote>
  <w:footnote w:id="11">
    <w:p w14:paraId="3641F6C0" w14:textId="77777777" w:rsidR="00B57A80" w:rsidRPr="00C01DCC" w:rsidRDefault="00B57A80" w:rsidP="009E494D">
      <w:pPr>
        <w:pStyle w:val="FootnoteText"/>
        <w:jc w:val="both"/>
      </w:pPr>
      <w:r w:rsidRPr="00C01DCC">
        <w:rPr>
          <w:rStyle w:val="FootnoteReference"/>
        </w:rPr>
        <w:footnoteRef/>
      </w:r>
      <w:r w:rsidRPr="00C01DCC">
        <w:t xml:space="preserve"> Ruys (</w:t>
      </w:r>
      <w:r w:rsidR="000D1558" w:rsidRPr="00C01DCC">
        <w:t>n 2</w:t>
      </w:r>
      <w:r w:rsidRPr="00C01DCC">
        <w:t xml:space="preserve">) 83-91. See also D W Greig, ‘Self-Defence and the Security Council: What Does Article 51 Require?’ </w:t>
      </w:r>
      <w:r w:rsidRPr="00C01DCC">
        <w:rPr>
          <w:lang w:val="it-IT"/>
        </w:rPr>
        <w:t xml:space="preserve">(1991) 40 </w:t>
      </w:r>
      <w:r w:rsidRPr="00C01DCC">
        <w:rPr>
          <w:i/>
          <w:lang w:val="it-IT"/>
        </w:rPr>
        <w:t>International and Comparative Law Quarterly</w:t>
      </w:r>
      <w:r w:rsidRPr="00C01DCC">
        <w:rPr>
          <w:lang w:val="it-IT"/>
        </w:rPr>
        <w:t xml:space="preserve"> 366</w:t>
      </w:r>
      <w:r w:rsidRPr="00C01DCC">
        <w:t>, 370-9.</w:t>
      </w:r>
    </w:p>
  </w:footnote>
  <w:footnote w:id="12">
    <w:p w14:paraId="1BA40682"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See, e.g., Dinstein (</w:t>
      </w:r>
      <w:r w:rsidR="000D1558" w:rsidRPr="00C01DCC">
        <w:rPr>
          <w:sz w:val="20"/>
          <w:szCs w:val="20"/>
        </w:rPr>
        <w:t>n 7</w:t>
      </w:r>
      <w:r w:rsidRPr="00C01DCC">
        <w:rPr>
          <w:sz w:val="20"/>
          <w:szCs w:val="20"/>
        </w:rPr>
        <w:t xml:space="preserve">) 295; </w:t>
      </w:r>
      <w:r w:rsidRPr="00C01DCC">
        <w:rPr>
          <w:i/>
          <w:sz w:val="20"/>
          <w:szCs w:val="20"/>
        </w:rPr>
        <w:t>Nicaragua</w:t>
      </w:r>
      <w:r w:rsidRPr="00C01DCC">
        <w:rPr>
          <w:sz w:val="20"/>
          <w:szCs w:val="20"/>
        </w:rPr>
        <w:t xml:space="preserve"> (merits) (</w:t>
      </w:r>
      <w:r w:rsidR="000D1558" w:rsidRPr="00C01DCC">
        <w:rPr>
          <w:sz w:val="20"/>
          <w:szCs w:val="20"/>
        </w:rPr>
        <w:t>n 8</w:t>
      </w:r>
      <w:r w:rsidRPr="00C01DCC">
        <w:rPr>
          <w:sz w:val="20"/>
          <w:szCs w:val="20"/>
        </w:rPr>
        <w:t>) dissenting opinion of Judge Sir Robert Jennings, 545-6.</w:t>
      </w:r>
    </w:p>
  </w:footnote>
  <w:footnote w:id="13">
    <w:p w14:paraId="7E9A6C22" w14:textId="77777777" w:rsidR="00B57A80" w:rsidRPr="00C01DCC" w:rsidRDefault="00B57A80" w:rsidP="009E494D">
      <w:pPr>
        <w:pStyle w:val="FootnoteText"/>
        <w:jc w:val="both"/>
      </w:pPr>
      <w:r w:rsidRPr="00C01DCC">
        <w:rPr>
          <w:rStyle w:val="FootnoteReference"/>
        </w:rPr>
        <w:footnoteRef/>
      </w:r>
      <w:r w:rsidRPr="00C01DCC">
        <w:t xml:space="preserve"> Johanna Friman, </w:t>
      </w:r>
      <w:r w:rsidRPr="00C01DCC">
        <w:rPr>
          <w:i/>
        </w:rPr>
        <w:t>Revisiting the Concept of Defence in the</w:t>
      </w:r>
      <w:r w:rsidRPr="00C01DCC">
        <w:t xml:space="preserve"> Jud ad Bellum</w:t>
      </w:r>
      <w:r w:rsidRPr="00C01DCC">
        <w:rPr>
          <w:i/>
        </w:rPr>
        <w:t>: The Dual Face of Defence</w:t>
      </w:r>
      <w:r w:rsidRPr="00C01DCC">
        <w:t xml:space="preserve"> (Hart, 2017) 94-6.</w:t>
      </w:r>
    </w:p>
  </w:footnote>
  <w:footnote w:id="14">
    <w:p w14:paraId="05335C6D"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See, e.g., Fred L Morrison, ‘Legal Issues in the </w:t>
      </w:r>
      <w:r w:rsidRPr="00C01DCC">
        <w:rPr>
          <w:i/>
          <w:sz w:val="20"/>
          <w:szCs w:val="20"/>
        </w:rPr>
        <w:t>Nicaragua</w:t>
      </w:r>
      <w:r w:rsidRPr="00C01DCC">
        <w:rPr>
          <w:sz w:val="20"/>
          <w:szCs w:val="20"/>
        </w:rPr>
        <w:t xml:space="preserve"> Opinion’ (1987) 81 </w:t>
      </w:r>
      <w:r w:rsidRPr="00C01DCC">
        <w:rPr>
          <w:i/>
          <w:sz w:val="20"/>
          <w:szCs w:val="20"/>
        </w:rPr>
        <w:t xml:space="preserve">American Journal of International Law </w:t>
      </w:r>
      <w:r w:rsidRPr="00C01DCC">
        <w:rPr>
          <w:sz w:val="20"/>
          <w:szCs w:val="20"/>
        </w:rPr>
        <w:t xml:space="preserve">160, 163; </w:t>
      </w:r>
      <w:r w:rsidRPr="00C01DCC">
        <w:rPr>
          <w:i/>
          <w:sz w:val="20"/>
          <w:szCs w:val="20"/>
        </w:rPr>
        <w:t>Nicaragua</w:t>
      </w:r>
      <w:r w:rsidRPr="00C01DCC">
        <w:rPr>
          <w:sz w:val="20"/>
          <w:szCs w:val="20"/>
        </w:rPr>
        <w:t xml:space="preserve"> (merits) (</w:t>
      </w:r>
      <w:r w:rsidR="000D1558" w:rsidRPr="00C01DCC">
        <w:rPr>
          <w:sz w:val="20"/>
          <w:szCs w:val="20"/>
        </w:rPr>
        <w:t>n 8</w:t>
      </w:r>
      <w:r w:rsidRPr="00C01DCC">
        <w:rPr>
          <w:sz w:val="20"/>
          <w:szCs w:val="20"/>
        </w:rPr>
        <w:t xml:space="preserve">) dissenting opinion of Judge Sir Robert Jennings, 544-5; </w:t>
      </w:r>
      <w:r w:rsidRPr="00C01DCC">
        <w:rPr>
          <w:i/>
          <w:sz w:val="20"/>
          <w:szCs w:val="20"/>
        </w:rPr>
        <w:t>ibid</w:t>
      </w:r>
      <w:r w:rsidRPr="00C01DCC">
        <w:rPr>
          <w:sz w:val="20"/>
          <w:szCs w:val="20"/>
        </w:rPr>
        <w:t>, dissenting opinion of Judge Schwebel, para 191.</w:t>
      </w:r>
    </w:p>
  </w:footnote>
  <w:footnote w:id="15">
    <w:p w14:paraId="1E6D6FAE" w14:textId="77777777" w:rsidR="00B57A80" w:rsidRPr="00C01DCC" w:rsidRDefault="00B57A80" w:rsidP="009E494D">
      <w:pPr>
        <w:pStyle w:val="FootnoteText"/>
        <w:jc w:val="both"/>
      </w:pPr>
      <w:r w:rsidRPr="00C01DCC">
        <w:rPr>
          <w:rStyle w:val="FootnoteReference"/>
        </w:rPr>
        <w:footnoteRef/>
      </w:r>
      <w:r w:rsidRPr="00C01DCC">
        <w:t xml:space="preserve"> See e.g., Omar Abubakar Bakhashab, ‘The Relationship between the Right of Self-Defence on the Part of States and the Powers of the Security Council’ (1996) 9 </w:t>
      </w:r>
      <w:r w:rsidRPr="00C01DCC">
        <w:rPr>
          <w:i/>
        </w:rPr>
        <w:t>Journal of King Abdulaziz University: Economics and Administration</w:t>
      </w:r>
      <w:r w:rsidRPr="00C01DCC">
        <w:t xml:space="preserve"> 3, 9-10; </w:t>
      </w:r>
      <w:r w:rsidR="000D1558" w:rsidRPr="00C01DCC">
        <w:t>Greig (n 10</w:t>
      </w:r>
      <w:r w:rsidRPr="00C01DCC">
        <w:t>) 375-6.</w:t>
      </w:r>
    </w:p>
  </w:footnote>
  <w:footnote w:id="16">
    <w:p w14:paraId="676234E2" w14:textId="77777777" w:rsidR="00B57A80" w:rsidRPr="00C01DCC" w:rsidRDefault="00B57A80" w:rsidP="009E494D">
      <w:pPr>
        <w:pStyle w:val="FootnoteText"/>
        <w:jc w:val="both"/>
      </w:pPr>
      <w:r w:rsidRPr="00C01DCC">
        <w:rPr>
          <w:rStyle w:val="FootnoteReference"/>
        </w:rPr>
        <w:footnoteRef/>
      </w:r>
      <w:r w:rsidRPr="00C01DCC">
        <w:t xml:space="preserve"> See, e.g., </w:t>
      </w:r>
      <w:r w:rsidRPr="00C01DCC">
        <w:rPr>
          <w:i/>
        </w:rPr>
        <w:t>ibid</w:t>
      </w:r>
      <w:r w:rsidRPr="00C01DCC">
        <w:t xml:space="preserve">, </w:t>
      </w:r>
      <w:r w:rsidRPr="00C01DCC">
        <w:rPr>
          <w:lang w:val="it-IT"/>
        </w:rPr>
        <w:t xml:space="preserve">376-8; </w:t>
      </w:r>
      <w:r w:rsidRPr="00C01DCC">
        <w:t xml:space="preserve">James A Green, </w:t>
      </w:r>
      <w:r w:rsidRPr="00C01DCC">
        <w:rPr>
          <w:i/>
        </w:rPr>
        <w:t>The International Court of Justice and Self-Defence in International Law</w:t>
      </w:r>
      <w:r w:rsidRPr="00C01DCC">
        <w:t xml:space="preserve"> (Hart, 2009) 53-4</w:t>
      </w:r>
      <w:r w:rsidRPr="00C01DCC">
        <w:rPr>
          <w:lang w:val="it-IT"/>
        </w:rPr>
        <w:t>.</w:t>
      </w:r>
    </w:p>
  </w:footnote>
  <w:footnote w:id="17">
    <w:p w14:paraId="3D93B7AA"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See, e.g., Sir Michael Wood, ‘Self-Defence and Collective Security’ in Marc Weller (ed), </w:t>
      </w:r>
      <w:r w:rsidRPr="00C01DCC">
        <w:rPr>
          <w:i/>
          <w:sz w:val="20"/>
          <w:szCs w:val="20"/>
        </w:rPr>
        <w:t>The Oxford Handbook of the Use of Force in International Law</w:t>
      </w:r>
      <w:r w:rsidRPr="00C01DCC">
        <w:rPr>
          <w:sz w:val="20"/>
          <w:szCs w:val="20"/>
        </w:rPr>
        <w:t xml:space="preserve"> (Oxford University Press, 2015) 649, 654</w:t>
      </w:r>
      <w:r w:rsidR="000D1558" w:rsidRPr="00C01DCC">
        <w:rPr>
          <w:sz w:val="20"/>
          <w:szCs w:val="20"/>
        </w:rPr>
        <w:t>; Friman (n 12</w:t>
      </w:r>
      <w:r w:rsidRPr="00C01DCC">
        <w:rPr>
          <w:sz w:val="20"/>
          <w:szCs w:val="20"/>
        </w:rPr>
        <w:t xml:space="preserve">) 94; Dino Kritsiotis, ‘A Study of the Scope and Operation of the Rights of Individual and Collective Self-Defence under International Law’ in Nigel D White and Christian Henderson (eds), </w:t>
      </w:r>
      <w:r w:rsidRPr="00C01DCC">
        <w:rPr>
          <w:i/>
          <w:sz w:val="20"/>
          <w:szCs w:val="20"/>
        </w:rPr>
        <w:t>Research Handbook on International Conflict and Security Law:</w:t>
      </w:r>
      <w:r w:rsidRPr="00C01DCC">
        <w:rPr>
          <w:sz w:val="20"/>
          <w:szCs w:val="20"/>
        </w:rPr>
        <w:t xml:space="preserve"> Jus </w:t>
      </w:r>
      <w:r w:rsidRPr="00416413">
        <w:rPr>
          <w:sz w:val="20"/>
          <w:szCs w:val="20"/>
        </w:rPr>
        <w:t>ad</w:t>
      </w:r>
      <w:r w:rsidRPr="00C01DCC">
        <w:rPr>
          <w:sz w:val="20"/>
          <w:szCs w:val="20"/>
        </w:rPr>
        <w:t xml:space="preserve"> Bellum</w:t>
      </w:r>
      <w:r w:rsidRPr="00C01DCC">
        <w:rPr>
          <w:i/>
          <w:sz w:val="20"/>
          <w:szCs w:val="20"/>
        </w:rPr>
        <w:t>,</w:t>
      </w:r>
      <w:r w:rsidRPr="00C01DCC">
        <w:rPr>
          <w:sz w:val="20"/>
          <w:szCs w:val="20"/>
        </w:rPr>
        <w:t xml:space="preserve"> Jus </w:t>
      </w:r>
      <w:r w:rsidRPr="00416413">
        <w:rPr>
          <w:sz w:val="20"/>
          <w:szCs w:val="20"/>
        </w:rPr>
        <w:t>in</w:t>
      </w:r>
      <w:r w:rsidRPr="00C01DCC">
        <w:rPr>
          <w:sz w:val="20"/>
          <w:szCs w:val="20"/>
        </w:rPr>
        <w:t xml:space="preserve"> Bello </w:t>
      </w:r>
      <w:r w:rsidRPr="00C01DCC">
        <w:rPr>
          <w:i/>
          <w:sz w:val="20"/>
          <w:szCs w:val="20"/>
        </w:rPr>
        <w:t>and</w:t>
      </w:r>
      <w:r w:rsidRPr="00C01DCC">
        <w:rPr>
          <w:sz w:val="20"/>
          <w:szCs w:val="20"/>
        </w:rPr>
        <w:t xml:space="preserve"> Jus Post Bellum (Routledge, 2013) 170, 185-7; Johan D van der Vyver, ‘Military Intervention in Syria: The American, British and French Alternatives and the Russian Option’ (2015) 48 </w:t>
      </w:r>
      <w:r w:rsidRPr="00C01DCC">
        <w:rPr>
          <w:i/>
          <w:sz w:val="20"/>
          <w:szCs w:val="20"/>
        </w:rPr>
        <w:t>De Jure</w:t>
      </w:r>
      <w:r w:rsidRPr="00C01DCC">
        <w:rPr>
          <w:sz w:val="20"/>
          <w:szCs w:val="20"/>
        </w:rPr>
        <w:t xml:space="preserve"> 36, 42, footnote 20; Christopher Greenwood, ‘Self-Defence’ in Rüdiger Wolfrum (ed), </w:t>
      </w:r>
      <w:r w:rsidRPr="00C01DCC">
        <w:rPr>
          <w:i/>
          <w:sz w:val="20"/>
          <w:szCs w:val="20"/>
        </w:rPr>
        <w:t>Max Planck Encyclopaedia of Public International Law, vol. IX</w:t>
      </w:r>
      <w:r w:rsidRPr="00C01DCC">
        <w:rPr>
          <w:sz w:val="20"/>
          <w:szCs w:val="20"/>
        </w:rPr>
        <w:t xml:space="preserve"> (Oxford University Press, 2012) 103, 110, para 39; Josef Mrazek, ‘Prohibition of the Use and Threat of Force: Self-Defence and Self-Help in International Law’ (1989) 27 </w:t>
      </w:r>
      <w:r w:rsidRPr="00C01DCC">
        <w:rPr>
          <w:i/>
          <w:sz w:val="20"/>
          <w:szCs w:val="20"/>
        </w:rPr>
        <w:t>Canadian Yearbook of International Law</w:t>
      </w:r>
      <w:r w:rsidRPr="00C01DCC">
        <w:rPr>
          <w:sz w:val="20"/>
          <w:szCs w:val="20"/>
        </w:rPr>
        <w:t xml:space="preserve"> 81, 93.</w:t>
      </w:r>
    </w:p>
  </w:footnote>
  <w:footnote w:id="18">
    <w:p w14:paraId="66F9CE5F"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w:t>
      </w:r>
      <w:r w:rsidR="000D1558" w:rsidRPr="00C01DCC">
        <w:rPr>
          <w:i/>
          <w:sz w:val="20"/>
          <w:szCs w:val="20"/>
        </w:rPr>
        <w:t>Nicaragua</w:t>
      </w:r>
      <w:r w:rsidR="000D1558" w:rsidRPr="00C01DCC">
        <w:rPr>
          <w:sz w:val="20"/>
          <w:szCs w:val="20"/>
        </w:rPr>
        <w:t xml:space="preserve"> (merits) (n 8) dissenting opinion of Judge Sir Robert Jennings, 544-5; Yoram Dinstein, ‘The Jurisprudence of the Court in the </w:t>
      </w:r>
      <w:r w:rsidR="000D1558" w:rsidRPr="00C01DCC">
        <w:rPr>
          <w:i/>
          <w:sz w:val="20"/>
          <w:szCs w:val="20"/>
        </w:rPr>
        <w:t>Nicaragua</w:t>
      </w:r>
      <w:r w:rsidR="000D1558" w:rsidRPr="00C01DCC">
        <w:rPr>
          <w:sz w:val="20"/>
          <w:szCs w:val="20"/>
        </w:rPr>
        <w:t xml:space="preserve"> Decision: Remarks’ (1987) 81 </w:t>
      </w:r>
      <w:r w:rsidR="000D1558" w:rsidRPr="00C01DCC">
        <w:rPr>
          <w:i/>
          <w:sz w:val="20"/>
          <w:szCs w:val="20"/>
        </w:rPr>
        <w:t>American Society of International Law Proceedings</w:t>
      </w:r>
      <w:r w:rsidR="000D1558" w:rsidRPr="00C01DCC">
        <w:rPr>
          <w:sz w:val="20"/>
          <w:szCs w:val="20"/>
        </w:rPr>
        <w:t xml:space="preserve"> 266, 268; </w:t>
      </w:r>
      <w:r w:rsidRPr="00C01DCC">
        <w:rPr>
          <w:sz w:val="20"/>
          <w:szCs w:val="20"/>
        </w:rPr>
        <w:t xml:space="preserve">Christine Gray, </w:t>
      </w:r>
      <w:r w:rsidRPr="00C01DCC">
        <w:rPr>
          <w:i/>
          <w:sz w:val="20"/>
          <w:szCs w:val="20"/>
        </w:rPr>
        <w:t>International Law and the Use of Force by States</w:t>
      </w:r>
      <w:r w:rsidRPr="00C01DCC">
        <w:rPr>
          <w:sz w:val="20"/>
          <w:szCs w:val="20"/>
        </w:rPr>
        <w:t xml:space="preserve"> (Oxford Univ</w:t>
      </w:r>
      <w:r w:rsidR="000D1558" w:rsidRPr="00C01DCC">
        <w:rPr>
          <w:sz w:val="20"/>
          <w:szCs w:val="20"/>
        </w:rPr>
        <w:t>ersity Press, 3rd edn 2008) 184</w:t>
      </w:r>
      <w:r w:rsidRPr="00C01DCC">
        <w:rPr>
          <w:sz w:val="20"/>
          <w:szCs w:val="20"/>
        </w:rPr>
        <w:t>.</w:t>
      </w:r>
    </w:p>
  </w:footnote>
  <w:footnote w:id="19">
    <w:p w14:paraId="186EF5A5" w14:textId="77777777" w:rsidR="00B57A80" w:rsidRPr="00C01DCC" w:rsidRDefault="00B57A80" w:rsidP="009E494D">
      <w:pPr>
        <w:pStyle w:val="FootnoteText"/>
        <w:jc w:val="both"/>
      </w:pPr>
      <w:r w:rsidRPr="00C01DCC">
        <w:rPr>
          <w:rStyle w:val="FootnoteReference"/>
        </w:rPr>
        <w:footnoteRef/>
      </w:r>
      <w:r w:rsidRPr="00C01DCC">
        <w:t xml:space="preserve"> Although see, e.g.,</w:t>
      </w:r>
      <w:r w:rsidR="000D1558" w:rsidRPr="00C01DCC">
        <w:t xml:space="preserve"> </w:t>
      </w:r>
      <w:r w:rsidR="000D1558" w:rsidRPr="00C01DCC">
        <w:rPr>
          <w:i/>
        </w:rPr>
        <w:t>ibid</w:t>
      </w:r>
      <w:r w:rsidR="000D1558" w:rsidRPr="00C01DCC">
        <w:t>, 184-7; Ruys (n 2) 81-91.</w:t>
      </w:r>
    </w:p>
  </w:footnote>
  <w:footnote w:id="20">
    <w:p w14:paraId="73D27A54"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See, e.g., Christopher P M Waters and James A Green, ‘International Law: Military Force and Armed Conflict’ in George Kassimeris and John Buckley (eds), </w:t>
      </w:r>
      <w:r w:rsidRPr="00C01DCC">
        <w:rPr>
          <w:rStyle w:val="Emphasis"/>
          <w:sz w:val="20"/>
          <w:szCs w:val="20"/>
        </w:rPr>
        <w:t>The Ashgate Research Companion to Modern Warfare</w:t>
      </w:r>
      <w:r w:rsidRPr="00C01DCC">
        <w:rPr>
          <w:sz w:val="20"/>
          <w:szCs w:val="20"/>
        </w:rPr>
        <w:t xml:space="preserve"> (Ashgate Publishing, 2010) 289, 297.</w:t>
      </w:r>
    </w:p>
  </w:footnote>
  <w:footnote w:id="21">
    <w:p w14:paraId="6CABDBFA" w14:textId="77777777" w:rsidR="00B57A80" w:rsidRPr="00C01DCC" w:rsidRDefault="00B57A80" w:rsidP="009E494D">
      <w:pPr>
        <w:pStyle w:val="FootnoteText"/>
        <w:jc w:val="both"/>
      </w:pPr>
      <w:r w:rsidRPr="00C01DCC">
        <w:rPr>
          <w:rStyle w:val="FootnoteReference"/>
        </w:rPr>
        <w:footnoteRef/>
      </w:r>
      <w:r w:rsidRPr="00C01DCC">
        <w:t xml:space="preserve"> See, e.g., R St J Macdonald, ‘The </w:t>
      </w:r>
      <w:r w:rsidRPr="00C01DCC">
        <w:rPr>
          <w:i/>
        </w:rPr>
        <w:t>Nicaragua</w:t>
      </w:r>
      <w:r w:rsidRPr="00C01DCC">
        <w:t xml:space="preserve"> Case: New Answers to Old Questions’ (1986) 24 </w:t>
      </w:r>
      <w:r w:rsidRPr="00C01DCC">
        <w:rPr>
          <w:i/>
        </w:rPr>
        <w:t>Canadian Yearbook of International Law</w:t>
      </w:r>
      <w:r w:rsidRPr="00C01DCC">
        <w:t xml:space="preserve"> 127, 150.</w:t>
      </w:r>
    </w:p>
  </w:footnote>
  <w:footnote w:id="22">
    <w:p w14:paraId="18230294" w14:textId="77777777" w:rsidR="00B57A80" w:rsidRPr="00C01DCC" w:rsidRDefault="00B57A80" w:rsidP="009E494D">
      <w:pPr>
        <w:pStyle w:val="FootnoteText"/>
        <w:jc w:val="both"/>
      </w:pPr>
      <w:r w:rsidRPr="00C01DCC">
        <w:rPr>
          <w:rStyle w:val="FootnoteReference"/>
        </w:rPr>
        <w:footnoteRef/>
      </w:r>
      <w:r w:rsidRPr="00C01DCC">
        <w:t xml:space="preserve"> UNSC Verbatim Record, UN Doc S/PV.473 (25 June 1950) 8.</w:t>
      </w:r>
    </w:p>
  </w:footnote>
  <w:footnote w:id="23">
    <w:p w14:paraId="1226ABE1" w14:textId="77777777" w:rsidR="00B57A80" w:rsidRPr="00C01DCC" w:rsidRDefault="00B57A80" w:rsidP="009E494D">
      <w:pPr>
        <w:pStyle w:val="FootnoteText"/>
        <w:jc w:val="both"/>
      </w:pPr>
      <w:r w:rsidRPr="00C01DCC">
        <w:rPr>
          <w:rStyle w:val="FootnoteReference"/>
        </w:rPr>
        <w:footnoteRef/>
      </w:r>
      <w:r w:rsidRPr="00C01DCC">
        <w:t xml:space="preserve"> UNSC Verbatim Record, UN Doc S/PV.475 (30 June 1950) 10. </w:t>
      </w:r>
    </w:p>
  </w:footnote>
  <w:footnote w:id="24">
    <w:p w14:paraId="709C8E7B" w14:textId="77777777" w:rsidR="00B57A80" w:rsidRPr="00C01DCC" w:rsidRDefault="00B57A80" w:rsidP="009E494D">
      <w:pPr>
        <w:pStyle w:val="FootnoteText"/>
        <w:jc w:val="both"/>
      </w:pPr>
      <w:r w:rsidRPr="00C01DCC">
        <w:rPr>
          <w:rStyle w:val="FootnoteReference"/>
        </w:rPr>
        <w:footnoteRef/>
      </w:r>
      <w:r w:rsidRPr="00C01DCC">
        <w:t xml:space="preserve"> It is contestable as to whether the legal basis of the action taken in the Korean War was Security Council authorisation or collective self-defence. However, it is submitted that the latter is the better view: see Julius Stone, </w:t>
      </w:r>
      <w:r w:rsidRPr="00C01DCC">
        <w:rPr>
          <w:i/>
        </w:rPr>
        <w:t>Aggression and World Order</w:t>
      </w:r>
      <w:r w:rsidRPr="00C01DCC">
        <w:t xml:space="preserve"> (University of California Press, 1958) 189; Dinstein (</w:t>
      </w:r>
      <w:r w:rsidR="000D1558" w:rsidRPr="00C01DCC">
        <w:t>n 7</w:t>
      </w:r>
      <w:r w:rsidRPr="00C01DCC">
        <w:t xml:space="preserve">) 301-2; Wood (n </w:t>
      </w:r>
      <w:r w:rsidR="000D1558" w:rsidRPr="00C01DCC">
        <w:t>16</w:t>
      </w:r>
      <w:r w:rsidRPr="00C01DCC">
        <w:t>) 650-1.</w:t>
      </w:r>
    </w:p>
  </w:footnote>
  <w:footnote w:id="25">
    <w:p w14:paraId="41130A48" w14:textId="77777777" w:rsidR="00B57A80" w:rsidRPr="00C01DCC" w:rsidRDefault="00B57A80" w:rsidP="009E494D">
      <w:pPr>
        <w:pStyle w:val="FootnoteText"/>
        <w:jc w:val="both"/>
      </w:pPr>
      <w:r w:rsidRPr="00C01DCC">
        <w:rPr>
          <w:rStyle w:val="FootnoteReference"/>
        </w:rPr>
        <w:footnoteRef/>
      </w:r>
      <w:r w:rsidR="000D1558" w:rsidRPr="00C01DCC">
        <w:t xml:space="preserve"> UN Doc S/PV.473 (n 21</w:t>
      </w:r>
      <w:r w:rsidRPr="00C01DCC">
        <w:t>).</w:t>
      </w:r>
    </w:p>
  </w:footnote>
  <w:footnote w:id="26">
    <w:p w14:paraId="127E40E7" w14:textId="77777777" w:rsidR="00B57A80" w:rsidRPr="00C01DCC" w:rsidRDefault="00B57A80" w:rsidP="009E494D">
      <w:pPr>
        <w:pStyle w:val="FootnoteText"/>
        <w:jc w:val="both"/>
      </w:pPr>
      <w:r w:rsidRPr="00C01DCC">
        <w:rPr>
          <w:rStyle w:val="FootnoteReference"/>
        </w:rPr>
        <w:footnoteRef/>
      </w:r>
      <w:r w:rsidRPr="00C01DCC">
        <w:t xml:space="preserve"> UNSC Verbatim Record, UN Doc S/PV.831 (17 July 1958) para 24.</w:t>
      </w:r>
    </w:p>
  </w:footnote>
  <w:footnote w:id="27">
    <w:p w14:paraId="108CA21B" w14:textId="77777777" w:rsidR="00B57A80" w:rsidRPr="00C01DCC" w:rsidRDefault="00B57A80" w:rsidP="009E494D">
      <w:pPr>
        <w:pStyle w:val="FootnoteText"/>
        <w:jc w:val="both"/>
      </w:pPr>
      <w:r w:rsidRPr="00C01DCC">
        <w:rPr>
          <w:rStyle w:val="FootnoteReference"/>
        </w:rPr>
        <w:footnoteRef/>
      </w:r>
      <w:r w:rsidRPr="00C01DCC">
        <w:t xml:space="preserve"> See, e.g., </w:t>
      </w:r>
      <w:r w:rsidRPr="00C01DCC">
        <w:rPr>
          <w:i/>
        </w:rPr>
        <w:t>ibid</w:t>
      </w:r>
      <w:r w:rsidRPr="00C01DCC">
        <w:t>, para 24.</w:t>
      </w:r>
    </w:p>
  </w:footnote>
  <w:footnote w:id="28">
    <w:p w14:paraId="7E33A485" w14:textId="77777777" w:rsidR="00B57A80" w:rsidRPr="00C01DCC" w:rsidRDefault="00B57A80" w:rsidP="009E494D">
      <w:pPr>
        <w:pStyle w:val="FootnoteText"/>
        <w:jc w:val="both"/>
      </w:pPr>
      <w:r w:rsidRPr="00C01DCC">
        <w:rPr>
          <w:rStyle w:val="FootnoteReference"/>
        </w:rPr>
        <w:footnoteRef/>
      </w:r>
      <w:r w:rsidRPr="00C01DCC">
        <w:t xml:space="preserve"> </w:t>
      </w:r>
      <w:r w:rsidRPr="00C01DCC">
        <w:rPr>
          <w:i/>
        </w:rPr>
        <w:t>Ibid</w:t>
      </w:r>
      <w:r w:rsidRPr="00C01DCC">
        <w:t>, paras 27-32.</w:t>
      </w:r>
    </w:p>
  </w:footnote>
  <w:footnote w:id="29">
    <w:p w14:paraId="1E3B83CB" w14:textId="77777777" w:rsidR="00B57A80" w:rsidRPr="00C01DCC" w:rsidRDefault="00B57A80" w:rsidP="009E494D">
      <w:pPr>
        <w:pStyle w:val="FootnoteText"/>
        <w:jc w:val="both"/>
      </w:pPr>
      <w:r w:rsidRPr="00C01DCC">
        <w:rPr>
          <w:rStyle w:val="FootnoteReference"/>
        </w:rPr>
        <w:footnoteRef/>
      </w:r>
      <w:r w:rsidRPr="00C01DCC">
        <w:t xml:space="preserve"> </w:t>
      </w:r>
      <w:r w:rsidRPr="00C01DCC">
        <w:rPr>
          <w:i/>
        </w:rPr>
        <w:t>Ibid</w:t>
      </w:r>
      <w:r w:rsidRPr="00C01DCC">
        <w:t>, paras 62-4.</w:t>
      </w:r>
    </w:p>
  </w:footnote>
  <w:footnote w:id="30">
    <w:p w14:paraId="6C3BD7CA" w14:textId="77777777" w:rsidR="00B57A80" w:rsidRPr="00C01DCC" w:rsidRDefault="00B57A80" w:rsidP="009E494D">
      <w:pPr>
        <w:pStyle w:val="FootnoteText"/>
        <w:jc w:val="both"/>
      </w:pPr>
      <w:r w:rsidRPr="00C01DCC">
        <w:rPr>
          <w:rStyle w:val="FootnoteReference"/>
        </w:rPr>
        <w:footnoteRef/>
      </w:r>
      <w:r w:rsidRPr="00C01DCC">
        <w:t xml:space="preserve"> </w:t>
      </w:r>
      <w:r w:rsidRPr="00C01DCC">
        <w:rPr>
          <w:i/>
        </w:rPr>
        <w:t>Ibid</w:t>
      </w:r>
      <w:r w:rsidRPr="00C01DCC">
        <w:t>, paras 65-8.</w:t>
      </w:r>
    </w:p>
  </w:footnote>
  <w:footnote w:id="31">
    <w:p w14:paraId="4ED24071" w14:textId="77777777" w:rsidR="00B57A80" w:rsidRPr="00C01DCC" w:rsidRDefault="00B57A80" w:rsidP="009E494D">
      <w:pPr>
        <w:pStyle w:val="FootnoteText"/>
        <w:jc w:val="both"/>
      </w:pPr>
      <w:r w:rsidRPr="00C01DCC">
        <w:rPr>
          <w:rStyle w:val="FootnoteReference"/>
        </w:rPr>
        <w:footnoteRef/>
      </w:r>
      <w:r w:rsidRPr="00C01DCC">
        <w:t xml:space="preserve"> UNSC Verbatim Record, UN Doc S/PV.1441 (21 August 1968) paras 3, 75, 104 and 216.</w:t>
      </w:r>
    </w:p>
  </w:footnote>
  <w:footnote w:id="32">
    <w:p w14:paraId="72FF03CB" w14:textId="77777777" w:rsidR="00B57A80" w:rsidRPr="00C01DCC" w:rsidRDefault="00B57A80" w:rsidP="009E494D">
      <w:pPr>
        <w:pStyle w:val="FootnoteText"/>
        <w:jc w:val="both"/>
      </w:pPr>
      <w:r w:rsidRPr="00C01DCC">
        <w:rPr>
          <w:rStyle w:val="FootnoteReference"/>
        </w:rPr>
        <w:footnoteRef/>
      </w:r>
      <w:r w:rsidRPr="00C01DCC">
        <w:t xml:space="preserve"> </w:t>
      </w:r>
      <w:r w:rsidRPr="00C01DCC">
        <w:rPr>
          <w:i/>
        </w:rPr>
        <w:t>Ibid</w:t>
      </w:r>
      <w:r w:rsidRPr="00C01DCC">
        <w:t>, paras 51 and 171.</w:t>
      </w:r>
    </w:p>
  </w:footnote>
  <w:footnote w:id="33">
    <w:p w14:paraId="3C416D4B" w14:textId="77777777" w:rsidR="00B57A80" w:rsidRPr="00C01DCC" w:rsidRDefault="00B57A80" w:rsidP="009E494D">
      <w:pPr>
        <w:pStyle w:val="FootnoteText"/>
        <w:jc w:val="both"/>
      </w:pPr>
      <w:r w:rsidRPr="00C01DCC">
        <w:rPr>
          <w:rStyle w:val="FootnoteReference"/>
        </w:rPr>
        <w:footnoteRef/>
      </w:r>
      <w:r w:rsidRPr="00C01DCC">
        <w:t xml:space="preserve"> </w:t>
      </w:r>
      <w:r w:rsidRPr="00C01DCC">
        <w:rPr>
          <w:i/>
        </w:rPr>
        <w:t>Ibid</w:t>
      </w:r>
      <w:r w:rsidRPr="00C01DCC">
        <w:t>, para 185.</w:t>
      </w:r>
    </w:p>
  </w:footnote>
  <w:footnote w:id="34">
    <w:p w14:paraId="350ABB7A" w14:textId="77777777" w:rsidR="00B57A80" w:rsidRPr="00C01DCC" w:rsidRDefault="00B57A80" w:rsidP="009E494D">
      <w:pPr>
        <w:pStyle w:val="FootnoteText"/>
        <w:jc w:val="both"/>
      </w:pPr>
      <w:r w:rsidRPr="00C01DCC">
        <w:rPr>
          <w:rStyle w:val="FootnoteReference"/>
        </w:rPr>
        <w:footnoteRef/>
      </w:r>
      <w:r w:rsidRPr="00C01DCC">
        <w:t xml:space="preserve"> </w:t>
      </w:r>
      <w:r w:rsidRPr="00C01DCC">
        <w:rPr>
          <w:i/>
        </w:rPr>
        <w:t>Ibid</w:t>
      </w:r>
      <w:r w:rsidRPr="00C01DCC">
        <w:t>, paras 11-2, 30, 36, 40, 46 and 248.</w:t>
      </w:r>
    </w:p>
  </w:footnote>
  <w:footnote w:id="35">
    <w:p w14:paraId="77C6FA01" w14:textId="77777777" w:rsidR="00B57A80" w:rsidRPr="00C01DCC" w:rsidRDefault="00B57A80" w:rsidP="009E494D">
      <w:pPr>
        <w:pStyle w:val="FootnoteText"/>
        <w:jc w:val="both"/>
      </w:pPr>
      <w:r w:rsidRPr="00C01DCC">
        <w:rPr>
          <w:rStyle w:val="FootnoteReference"/>
        </w:rPr>
        <w:footnoteRef/>
      </w:r>
      <w:r w:rsidRPr="00C01DCC">
        <w:t xml:space="preserve"> </w:t>
      </w:r>
      <w:r w:rsidRPr="00C01DCC">
        <w:rPr>
          <w:i/>
        </w:rPr>
        <w:t>Ibid</w:t>
      </w:r>
      <w:r w:rsidRPr="00C01DCC">
        <w:t>, para 138 (Czechoslovakian representative, quoting from Declaration of the Ministry of Foreign Affairs, with the endorsement of the President of the Czechoslovak Socialist Republic and on behalf of the Government of the Republic (21 August 1968)).</w:t>
      </w:r>
    </w:p>
  </w:footnote>
  <w:footnote w:id="36">
    <w:p w14:paraId="2771EB88" w14:textId="77777777" w:rsidR="00B57A80" w:rsidRPr="00C01DCC" w:rsidRDefault="00B57A80" w:rsidP="009E494D">
      <w:pPr>
        <w:pStyle w:val="FootnoteText"/>
        <w:jc w:val="both"/>
        <w:rPr>
          <w:highlight w:val="yellow"/>
        </w:rPr>
      </w:pPr>
      <w:r w:rsidRPr="00C01DCC">
        <w:rPr>
          <w:rStyle w:val="FootnoteReference"/>
        </w:rPr>
        <w:footnoteRef/>
      </w:r>
      <w:r w:rsidRPr="00C01DCC">
        <w:t xml:space="preserve"> See, e.g., </w:t>
      </w:r>
      <w:r w:rsidR="000D1558" w:rsidRPr="00C01DCC">
        <w:rPr>
          <w:color w:val="000000"/>
          <w:shd w:val="clear" w:color="auto" w:fill="FFFFFF"/>
        </w:rPr>
        <w:t>Sheik Jabir al-Ahmad al-Jabir Al Sabah, the Amir of Kuwait, letter to President George H W Bush (12 August 1990): see Statement by Press Secretary Fitzwater on the Persian Gulf Crisis</w:t>
      </w:r>
      <w:r w:rsidR="000D1558" w:rsidRPr="00C01DCC">
        <w:t xml:space="preserve"> </w:t>
      </w:r>
      <w:r w:rsidR="000D1558" w:rsidRPr="00C01DCC">
        <w:rPr>
          <w:color w:val="000000"/>
          <w:shd w:val="clear" w:color="auto" w:fill="FFFFFF"/>
        </w:rPr>
        <w:t xml:space="preserve">(12 August 1990) </w:t>
      </w:r>
      <w:hyperlink r:id="rId1" w:history="1">
        <w:r w:rsidR="000D1558" w:rsidRPr="00C01DCC">
          <w:rPr>
            <w:rStyle w:val="Hyperlink"/>
            <w:shd w:val="clear" w:color="auto" w:fill="FFFFFF"/>
          </w:rPr>
          <w:t>www.presidency.ucsb.edu/ws/?pid=18762</w:t>
        </w:r>
      </w:hyperlink>
      <w:r w:rsidR="000D1558" w:rsidRPr="00C01DCC">
        <w:t>; L</w:t>
      </w:r>
      <w:r w:rsidRPr="00C01DCC">
        <w:t>etter dated 12 August 1990 from the Permanent Representative of Kuwait to the United Nations addressed to the President of the Security Council, UN Doc S/21498 (13 August 1990)</w:t>
      </w:r>
      <w:r w:rsidR="000D1558" w:rsidRPr="00C01DCC">
        <w:t>.</w:t>
      </w:r>
    </w:p>
  </w:footnote>
  <w:footnote w:id="37">
    <w:p w14:paraId="58657AED" w14:textId="77777777" w:rsidR="00B57A80" w:rsidRPr="00C01DCC" w:rsidRDefault="00B57A80" w:rsidP="009E494D">
      <w:pPr>
        <w:autoSpaceDE w:val="0"/>
        <w:autoSpaceDN w:val="0"/>
        <w:adjustRightInd w:val="0"/>
        <w:jc w:val="both"/>
        <w:rPr>
          <w:rFonts w:eastAsiaTheme="minorHAnsi"/>
          <w:sz w:val="20"/>
          <w:szCs w:val="20"/>
          <w:lang w:eastAsia="en-US"/>
        </w:rPr>
      </w:pPr>
      <w:r w:rsidRPr="00C01DCC">
        <w:rPr>
          <w:rStyle w:val="FootnoteReference"/>
          <w:sz w:val="20"/>
          <w:szCs w:val="20"/>
        </w:rPr>
        <w:footnoteRef/>
      </w:r>
      <w:r w:rsidRPr="00C01DCC">
        <w:rPr>
          <w:sz w:val="20"/>
          <w:szCs w:val="20"/>
        </w:rPr>
        <w:t xml:space="preserve"> See </w:t>
      </w:r>
      <w:r w:rsidRPr="00C01DCC">
        <w:rPr>
          <w:color w:val="000000"/>
          <w:sz w:val="20"/>
          <w:szCs w:val="20"/>
          <w:shd w:val="clear" w:color="auto" w:fill="FFFFFF"/>
        </w:rPr>
        <w:t>Statement by Fitzw</w:t>
      </w:r>
      <w:r w:rsidR="000D1558" w:rsidRPr="00C01DCC">
        <w:rPr>
          <w:color w:val="000000"/>
          <w:sz w:val="20"/>
          <w:szCs w:val="20"/>
          <w:shd w:val="clear" w:color="auto" w:fill="FFFFFF"/>
        </w:rPr>
        <w:t>ater (n 35</w:t>
      </w:r>
      <w:r w:rsidRPr="00C01DCC">
        <w:rPr>
          <w:color w:val="000000"/>
          <w:sz w:val="20"/>
          <w:szCs w:val="20"/>
          <w:shd w:val="clear" w:color="auto" w:fill="FFFFFF"/>
        </w:rPr>
        <w:t>)</w:t>
      </w:r>
      <w:r w:rsidRPr="00C01DCC">
        <w:rPr>
          <w:sz w:val="20"/>
          <w:szCs w:val="20"/>
        </w:rPr>
        <w:t xml:space="preserve">; Letter dated 9 August 1990 from the Permanent Representative of the United States of America to the United Nations addressed to the President of the Security Council, UN Doc S/21492 (10 August 1990); UNSC Verbatim Record, UN Doc S/PV.2934 (9 August 1990) 7-8, 17-8; UNSC Verbatim Record, UN Doc S/PV.2938 (25 August 1990) 29-30. It is worth noting that </w:t>
      </w:r>
      <w:r w:rsidRPr="00C01DCC">
        <w:rPr>
          <w:rFonts w:eastAsiaTheme="minorHAnsi"/>
          <w:sz w:val="20"/>
          <w:szCs w:val="20"/>
          <w:lang w:eastAsia="en-US"/>
        </w:rPr>
        <w:t xml:space="preserve">the coalition action in the Gulf could be viewed as having </w:t>
      </w:r>
      <w:r w:rsidR="00E25612">
        <w:rPr>
          <w:rFonts w:eastAsiaTheme="minorHAnsi"/>
          <w:sz w:val="20"/>
          <w:szCs w:val="20"/>
          <w:lang w:eastAsia="en-US"/>
        </w:rPr>
        <w:t xml:space="preserve">its </w:t>
      </w:r>
      <w:r w:rsidRPr="00C01DCC">
        <w:rPr>
          <w:rFonts w:eastAsiaTheme="minorHAnsi"/>
          <w:sz w:val="20"/>
          <w:szCs w:val="20"/>
          <w:lang w:eastAsia="en-US"/>
        </w:rPr>
        <w:t xml:space="preserve">legal basis in collective self-defence, Security Council authorisation or both. See Christian Henderson, </w:t>
      </w:r>
      <w:r w:rsidRPr="00C01DCC">
        <w:rPr>
          <w:rFonts w:eastAsiaTheme="minorHAnsi"/>
          <w:i/>
          <w:sz w:val="20"/>
          <w:szCs w:val="20"/>
          <w:lang w:eastAsia="en-US"/>
        </w:rPr>
        <w:t>The Persistent Advocate and the Use of Force: The Impact of the United States upon the</w:t>
      </w:r>
      <w:r w:rsidRPr="00C01DCC">
        <w:rPr>
          <w:rFonts w:eastAsiaTheme="minorHAnsi"/>
          <w:sz w:val="20"/>
          <w:szCs w:val="20"/>
          <w:lang w:eastAsia="en-US"/>
        </w:rPr>
        <w:t xml:space="preserve"> Jus ad Bellum </w:t>
      </w:r>
      <w:r w:rsidRPr="00C01DCC">
        <w:rPr>
          <w:rFonts w:eastAsiaTheme="minorHAnsi"/>
          <w:i/>
          <w:sz w:val="20"/>
          <w:szCs w:val="20"/>
          <w:lang w:eastAsia="en-US"/>
        </w:rPr>
        <w:t>in the Post-Cold War Era</w:t>
      </w:r>
      <w:r w:rsidRPr="00C01DCC">
        <w:rPr>
          <w:rFonts w:eastAsiaTheme="minorHAnsi"/>
          <w:sz w:val="20"/>
          <w:szCs w:val="20"/>
          <w:lang w:eastAsia="en-US"/>
        </w:rPr>
        <w:t xml:space="preserve"> (Ashgate, 2010) 53-5.</w:t>
      </w:r>
    </w:p>
  </w:footnote>
  <w:footnote w:id="38">
    <w:p w14:paraId="4829AA9E"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See </w:t>
      </w:r>
      <w:r w:rsidRPr="00C01DCC">
        <w:rPr>
          <w:i/>
          <w:sz w:val="20"/>
          <w:szCs w:val="20"/>
        </w:rPr>
        <w:t>ibid</w:t>
      </w:r>
      <w:r w:rsidRPr="00C01DCC">
        <w:rPr>
          <w:sz w:val="20"/>
          <w:szCs w:val="20"/>
        </w:rPr>
        <w:t xml:space="preserve">, 48; Letter dated 13 August 1990 from the Permanent Representative of the United Kingdom of Great Britain and Northern Ireland to the United Nations addressed to the President of the Security Council, UN Doc S/21501 (13 August 1990); </w:t>
      </w:r>
      <w:r w:rsidRPr="00C01DCC">
        <w:rPr>
          <w:i/>
          <w:sz w:val="20"/>
          <w:szCs w:val="20"/>
        </w:rPr>
        <w:t>Hansard</w:t>
      </w:r>
      <w:r w:rsidRPr="00C01DCC">
        <w:rPr>
          <w:sz w:val="20"/>
          <w:szCs w:val="20"/>
        </w:rPr>
        <w:t xml:space="preserve">, House of Commons (6 September 1990) </w:t>
      </w:r>
      <w:hyperlink r:id="rId2" w:history="1">
        <w:r w:rsidRPr="00C01DCC">
          <w:rPr>
            <w:rStyle w:val="Hyperlink"/>
            <w:sz w:val="20"/>
            <w:szCs w:val="20"/>
          </w:rPr>
          <w:t>www.publications.parliament.uk/pa/cm198990/cmhansrd/1990-09-06/Debate-1.html</w:t>
        </w:r>
      </w:hyperlink>
      <w:r w:rsidRPr="00C01DCC">
        <w:rPr>
          <w:sz w:val="20"/>
          <w:szCs w:val="20"/>
        </w:rPr>
        <w:t>, cols 734-5, 738.</w:t>
      </w:r>
    </w:p>
  </w:footnote>
  <w:footnote w:id="39">
    <w:p w14:paraId="0183450C"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UNSC Verbatim Record, UN Doc S/PV.2937 (18 August 1990) 29-31.</w:t>
      </w:r>
    </w:p>
  </w:footnote>
  <w:footnote w:id="40">
    <w:p w14:paraId="23FC8214" w14:textId="77777777" w:rsidR="00B57A80" w:rsidRPr="00C01DCC" w:rsidRDefault="00B57A80" w:rsidP="009E494D">
      <w:pPr>
        <w:pStyle w:val="FootnoteText"/>
        <w:jc w:val="both"/>
      </w:pPr>
      <w:r w:rsidRPr="00C01DCC">
        <w:rPr>
          <w:rStyle w:val="FootnoteReference"/>
        </w:rPr>
        <w:footnoteRef/>
      </w:r>
      <w:r w:rsidRPr="00C01DCC">
        <w:t xml:space="preserve"> </w:t>
      </w:r>
      <w:r w:rsidRPr="00C01DCC">
        <w:rPr>
          <w:i/>
        </w:rPr>
        <w:t>Ibid</w:t>
      </w:r>
      <w:r w:rsidRPr="00C01DCC">
        <w:t>, 29.</w:t>
      </w:r>
    </w:p>
  </w:footnote>
  <w:footnote w:id="41">
    <w:p w14:paraId="2916ECE5" w14:textId="77777777" w:rsidR="00AA3570" w:rsidRPr="00C01DCC" w:rsidRDefault="00AA3570" w:rsidP="009E494D">
      <w:pPr>
        <w:jc w:val="both"/>
        <w:rPr>
          <w:sz w:val="20"/>
          <w:szCs w:val="20"/>
        </w:rPr>
      </w:pPr>
      <w:r w:rsidRPr="00C01DCC">
        <w:rPr>
          <w:rStyle w:val="FootnoteReference"/>
          <w:sz w:val="20"/>
          <w:szCs w:val="20"/>
        </w:rPr>
        <w:footnoteRef/>
      </w:r>
      <w:r w:rsidRPr="00C01DCC">
        <w:rPr>
          <w:sz w:val="20"/>
          <w:szCs w:val="20"/>
        </w:rPr>
        <w:t xml:space="preserve"> UNSC Verbatim Record, UN Doc S/PV.2932 (2 August 1990) 4-5.</w:t>
      </w:r>
    </w:p>
  </w:footnote>
  <w:footnote w:id="42">
    <w:p w14:paraId="6F8AD1EF" w14:textId="77777777" w:rsidR="00AA3570" w:rsidRPr="00C01DCC" w:rsidRDefault="00AA3570" w:rsidP="009E494D">
      <w:pPr>
        <w:pStyle w:val="FootnoteText"/>
        <w:jc w:val="both"/>
      </w:pPr>
      <w:r w:rsidRPr="00C01DCC">
        <w:rPr>
          <w:rStyle w:val="FootnoteReference"/>
        </w:rPr>
        <w:footnoteRef/>
      </w:r>
      <w:r w:rsidR="000D1558" w:rsidRPr="00C01DCC">
        <w:t xml:space="preserve"> As noted by Kritsiotis (n 16</w:t>
      </w:r>
      <w:r w:rsidRPr="00C01DCC">
        <w:t>) 187, footnote 91.</w:t>
      </w:r>
    </w:p>
  </w:footnote>
  <w:footnote w:id="43">
    <w:p w14:paraId="3BA4C3FC"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Letter dated 20 September 2014 from the Permanent Representative of Iraq to the United Nations addressed to the President of the Security Council, UN Doc S/2014/691 (22 September 2014) (this letter not only requested military aid, but also referred to previous requests of this nature).</w:t>
      </w:r>
    </w:p>
  </w:footnote>
  <w:footnote w:id="44">
    <w:p w14:paraId="3AFF6A0C" w14:textId="77777777" w:rsidR="00B57A80" w:rsidRPr="00C01DCC" w:rsidRDefault="00B57A80" w:rsidP="009E494D">
      <w:pPr>
        <w:pStyle w:val="FootnoteText"/>
        <w:jc w:val="both"/>
      </w:pPr>
      <w:r w:rsidRPr="00C01DCC">
        <w:rPr>
          <w:rStyle w:val="FootnoteReference"/>
        </w:rPr>
        <w:footnoteRef/>
      </w:r>
      <w:r w:rsidRPr="00C01DCC">
        <w:t xml:space="preserve"> Letter dated 25 June 2014 from the Permanent Representative of Iraq to the United Nations addressed to the Secretary-General, UN Doc S/2014/440 (25 June 2014).</w:t>
      </w:r>
    </w:p>
  </w:footnote>
  <w:footnote w:id="45">
    <w:p w14:paraId="73941D7B" w14:textId="77777777" w:rsidR="00B57A80" w:rsidRPr="00C01DCC" w:rsidRDefault="00B57A80" w:rsidP="009E494D">
      <w:pPr>
        <w:pStyle w:val="FootnoteText"/>
        <w:jc w:val="both"/>
      </w:pPr>
      <w:r w:rsidRPr="00C01DCC">
        <w:rPr>
          <w:rStyle w:val="FootnoteReference"/>
        </w:rPr>
        <w:footnoteRef/>
      </w:r>
      <w:r w:rsidRPr="00C01DCC">
        <w:t xml:space="preserve"> Letter dated 7 June 2016 from the Permanent Representative of Belgium to the United Nations addressed to the President of the Security Council, UN Doc S/2016/523 (9 June 2016).</w:t>
      </w:r>
    </w:p>
  </w:footnote>
  <w:footnote w:id="46">
    <w:p w14:paraId="143BF0B2"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Letter dated 9 September 2015 from the Permanent Representative of Australia to the United Nations addressed to the President of the Security Council, UN Doc S/2015/693 (9 September 2015).</w:t>
      </w:r>
    </w:p>
  </w:footnote>
  <w:footnote w:id="47">
    <w:p w14:paraId="5A8D9DA0" w14:textId="77777777" w:rsidR="00B57A80" w:rsidRPr="00C01DCC" w:rsidRDefault="00B57A80" w:rsidP="009E494D">
      <w:pPr>
        <w:pStyle w:val="FootnoteText"/>
        <w:jc w:val="both"/>
      </w:pPr>
      <w:r w:rsidRPr="00C01DCC">
        <w:rPr>
          <w:rStyle w:val="FootnoteReference"/>
        </w:rPr>
        <w:footnoteRef/>
      </w:r>
      <w:r w:rsidRPr="00C01DCC">
        <w:t xml:space="preserve"> Speech by New Zealand Prime Minister John Key (24 February 2015) </w:t>
      </w:r>
      <w:hyperlink r:id="rId3" w:history="1">
        <w:r w:rsidRPr="00C01DCC">
          <w:rPr>
            <w:rStyle w:val="Hyperlink"/>
          </w:rPr>
          <w:t>www.beehive.govt.nz/speech/prime-minister%E2%80%99s-ministerial-statement-isil</w:t>
        </w:r>
      </w:hyperlink>
      <w:r w:rsidRPr="00C01DCC">
        <w:t>.</w:t>
      </w:r>
    </w:p>
  </w:footnote>
  <w:footnote w:id="48">
    <w:p w14:paraId="05E4EF7A"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Letter dated 10 February 2016 from the Chargé d’affaires a.i. of the Permanent Mission of the Netherlands to the United Nations addressed to the President of the Security Council, UN S/2016/132 (10 February 2016).</w:t>
      </w:r>
    </w:p>
  </w:footnote>
  <w:footnote w:id="49">
    <w:p w14:paraId="3AC3C176"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Letter dated 3 June 2016 from the Permanent Representative of Norway to the United Nations addressed to the President of the Security Council UN Doc S/2016/513 (3 June 2016).</w:t>
      </w:r>
    </w:p>
  </w:footnote>
  <w:footnote w:id="50">
    <w:p w14:paraId="02E190CE"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Identical letters dated 25 November 2014 from the Permanent Representative of the United Kingdom of Great Britain and Northern Ireland to the United Nations addressed to the Secretary-General and the President of the Security Council, UN Doc S/2014/851 (26 November 2014).</w:t>
      </w:r>
    </w:p>
  </w:footnote>
  <w:footnote w:id="51">
    <w:p w14:paraId="227CE683"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See Letter dated 31 March 2015 from the Chargé d’affaires a.i. of the Permanent Mission of Canada to the United Nations addressed to the President of the Security Council, UN Doc S/2015/221 (31 March 2015).</w:t>
      </w:r>
    </w:p>
  </w:footnote>
  <w:footnote w:id="52">
    <w:p w14:paraId="2CA3E17F" w14:textId="77777777" w:rsidR="00B57A80" w:rsidRPr="00C01DCC" w:rsidRDefault="00B57A80" w:rsidP="009E494D">
      <w:pPr>
        <w:pStyle w:val="FootnoteText"/>
        <w:jc w:val="both"/>
      </w:pPr>
      <w:r w:rsidRPr="00C01DCC">
        <w:rPr>
          <w:rStyle w:val="FootnoteReference"/>
        </w:rPr>
        <w:footnoteRef/>
      </w:r>
      <w:r w:rsidRPr="00C01DCC">
        <w:t xml:space="preserve"> Identical letters dated 17 September 2015 from the Permanent Representative of the Syrian Arab Republic to the United Nations addressed to the Secretary-General and the President of the Security Council, UN Doc S/2015/719 (21 September 2015).</w:t>
      </w:r>
    </w:p>
  </w:footnote>
  <w:footnote w:id="53">
    <w:p w14:paraId="260E8E91" w14:textId="77777777" w:rsidR="00F97F0E" w:rsidRDefault="00F97F0E">
      <w:pPr>
        <w:pStyle w:val="FootnoteText"/>
      </w:pPr>
      <w:r>
        <w:rPr>
          <w:rStyle w:val="FootnoteReference"/>
        </w:rPr>
        <w:footnoteRef/>
      </w:r>
      <w:r>
        <w:t xml:space="preserve"> See n 63 and accompanying text.</w:t>
      </w:r>
    </w:p>
  </w:footnote>
  <w:footnote w:id="54">
    <w:p w14:paraId="17802AD1" w14:textId="77777777" w:rsidR="00B57A80" w:rsidRPr="00C01DCC" w:rsidRDefault="00B57A80" w:rsidP="009E494D">
      <w:pPr>
        <w:pStyle w:val="FootnoteText"/>
        <w:jc w:val="both"/>
      </w:pPr>
      <w:r w:rsidRPr="00C01DCC">
        <w:rPr>
          <w:rStyle w:val="FootnoteReference"/>
        </w:rPr>
        <w:footnoteRef/>
      </w:r>
      <w:r w:rsidRPr="00C01DCC">
        <w:t xml:space="preserve"> See ‘Russia Condemns US Strikes on Islamic State without Syria’s Approval’, </w:t>
      </w:r>
      <w:r w:rsidRPr="00C01DCC">
        <w:rPr>
          <w:i/>
        </w:rPr>
        <w:t>The Moscow Times</w:t>
      </w:r>
      <w:r w:rsidRPr="00C01DCC">
        <w:t xml:space="preserve"> (25 September 2014) </w:t>
      </w:r>
      <w:hyperlink r:id="rId4" w:history="1">
        <w:r w:rsidRPr="00C01DCC">
          <w:rPr>
            <w:rStyle w:val="Hyperlink"/>
          </w:rPr>
          <w:t>www.themoscowtimes.com/news/article/russia-condemns-u-s-strikes-on-islamic-state-without-syria-s-approval/507784.html</w:t>
        </w:r>
      </w:hyperlink>
      <w:r w:rsidRPr="00C01DCC">
        <w:t xml:space="preserve">. </w:t>
      </w:r>
    </w:p>
  </w:footnote>
  <w:footnote w:id="55">
    <w:p w14:paraId="2AF75B1C" w14:textId="77777777" w:rsidR="00B57A80" w:rsidRPr="00C01DCC" w:rsidRDefault="00B57A80" w:rsidP="009E494D">
      <w:pPr>
        <w:pStyle w:val="FootnoteText"/>
        <w:jc w:val="both"/>
      </w:pPr>
      <w:r w:rsidRPr="00C01DCC">
        <w:rPr>
          <w:rStyle w:val="FootnoteReference"/>
        </w:rPr>
        <w:footnoteRef/>
      </w:r>
      <w:r w:rsidRPr="00C01DCC">
        <w:t xml:space="preserve"> See also Gray (n </w:t>
      </w:r>
      <w:r w:rsidR="000D1558" w:rsidRPr="00C01DCC">
        <w:t>17</w:t>
      </w:r>
      <w:r w:rsidRPr="00C01DCC">
        <w:t xml:space="preserve">) 186-7 (stating, in 2008, that this holds true ‘[i]n </w:t>
      </w:r>
      <w:r w:rsidRPr="00C01DCC">
        <w:rPr>
          <w:i/>
        </w:rPr>
        <w:t>every</w:t>
      </w:r>
      <w:r w:rsidRPr="00C01DCC">
        <w:t xml:space="preserve"> case’, emphasis added).</w:t>
      </w:r>
    </w:p>
  </w:footnote>
  <w:footnote w:id="56">
    <w:p w14:paraId="6E6F0A13" w14:textId="77777777" w:rsidR="00B57A80" w:rsidRPr="00C01DCC" w:rsidRDefault="00B57A80" w:rsidP="009E494D">
      <w:pPr>
        <w:pStyle w:val="FootnoteText"/>
        <w:jc w:val="both"/>
      </w:pPr>
      <w:r w:rsidRPr="00C01DCC">
        <w:rPr>
          <w:rStyle w:val="FootnoteReference"/>
        </w:rPr>
        <w:footnoteRef/>
      </w:r>
      <w:r w:rsidRPr="00C01DCC">
        <w:t xml:space="preserve"> </w:t>
      </w:r>
      <w:r w:rsidR="000D1558" w:rsidRPr="00C01DCC">
        <w:t xml:space="preserve">Avra Constantinou, </w:t>
      </w:r>
      <w:r w:rsidR="000D1558" w:rsidRPr="00C01DCC">
        <w:rPr>
          <w:i/>
        </w:rPr>
        <w:t xml:space="preserve">The Right of Self-Defence under Customary International Law and Article 51 of the UN Charter </w:t>
      </w:r>
      <w:r w:rsidR="000D1558" w:rsidRPr="00C01DCC">
        <w:t xml:space="preserve">(Bruylant, 2000) </w:t>
      </w:r>
      <w:r w:rsidRPr="00C01DCC">
        <w:t>182.</w:t>
      </w:r>
    </w:p>
  </w:footnote>
  <w:footnote w:id="57">
    <w:p w14:paraId="34E270FE"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Ruys (n </w:t>
      </w:r>
      <w:r w:rsidR="000D1558" w:rsidRPr="00C01DCC">
        <w:rPr>
          <w:sz w:val="20"/>
          <w:szCs w:val="20"/>
        </w:rPr>
        <w:t>2</w:t>
      </w:r>
      <w:r w:rsidRPr="00C01DCC">
        <w:rPr>
          <w:sz w:val="20"/>
          <w:szCs w:val="20"/>
        </w:rPr>
        <w:t xml:space="preserve">) 91. See also Letter dated 22 December 2008 from the Permanent Representative of Azerbaijan to the United Nations addressed to the Secretary-General, UN Doc A/63/662–S/2008/812 (24 December 2008) para 32 (Azerbaijan, considering the status of ‘declaration’ and ‘request’ as requirements for collective self-defence, and concluding that ‘one thing is clear: if a third State sends troops into the territory of the direct victim of the armed attack … uninvited yet allegedly in order to offer military assistance against the armed attack underway by the attacking State … this will be viewed as another armed attack against the </w:t>
      </w:r>
      <w:r w:rsidR="00921026" w:rsidRPr="00C01DCC">
        <w:rPr>
          <w:sz w:val="20"/>
          <w:szCs w:val="20"/>
        </w:rPr>
        <w:t>[victim s</w:t>
      </w:r>
      <w:r w:rsidRPr="00C01DCC">
        <w:rPr>
          <w:sz w:val="20"/>
          <w:szCs w:val="20"/>
        </w:rPr>
        <w:t>tate</w:t>
      </w:r>
      <w:r w:rsidR="00921026" w:rsidRPr="00C01DCC">
        <w:rPr>
          <w:sz w:val="20"/>
          <w:szCs w:val="20"/>
        </w:rPr>
        <w:t>]</w:t>
      </w:r>
      <w:r w:rsidRPr="00C01DCC">
        <w:rPr>
          <w:sz w:val="20"/>
          <w:szCs w:val="20"/>
        </w:rPr>
        <w:t>’).</w:t>
      </w:r>
    </w:p>
  </w:footnote>
  <w:footnote w:id="58">
    <w:p w14:paraId="6E157DF0" w14:textId="77777777" w:rsidR="00B57A80" w:rsidRPr="00C01DCC" w:rsidRDefault="00B57A80" w:rsidP="009E494D">
      <w:pPr>
        <w:pStyle w:val="FootnoteText"/>
        <w:jc w:val="both"/>
      </w:pPr>
      <w:r w:rsidRPr="00C01DCC">
        <w:rPr>
          <w:rStyle w:val="FootnoteReference"/>
        </w:rPr>
        <w:footnoteRef/>
      </w:r>
      <w:r w:rsidRPr="00C01DCC">
        <w:t xml:space="preserve"> </w:t>
      </w:r>
      <w:r w:rsidRPr="00C01DCC">
        <w:rPr>
          <w:i/>
        </w:rPr>
        <w:t xml:space="preserve">Case Concerning Oil Platforms </w:t>
      </w:r>
      <w:r w:rsidRPr="00C01DCC">
        <w:t>(</w:t>
      </w:r>
      <w:r w:rsidRPr="00C01DCC">
        <w:rPr>
          <w:i/>
        </w:rPr>
        <w:t>Islamic Republic of Iran v United States of America</w:t>
      </w:r>
      <w:r w:rsidRPr="00C01DCC">
        <w:t>) (meri</w:t>
      </w:r>
      <w:r w:rsidR="00921026" w:rsidRPr="00C01DCC">
        <w:t>ts) [2003] ICJ Rep 161, para 51.</w:t>
      </w:r>
    </w:p>
  </w:footnote>
  <w:footnote w:id="59">
    <w:p w14:paraId="498D4CD5" w14:textId="77777777" w:rsidR="00B57A80" w:rsidRPr="00C01DCC" w:rsidRDefault="00B57A80" w:rsidP="009E494D">
      <w:pPr>
        <w:pStyle w:val="FootnoteText"/>
        <w:jc w:val="both"/>
      </w:pPr>
      <w:r w:rsidRPr="00C01DCC">
        <w:rPr>
          <w:rStyle w:val="FootnoteReference"/>
        </w:rPr>
        <w:footnoteRef/>
      </w:r>
      <w:r w:rsidRPr="00C01DCC">
        <w:t xml:space="preserve"> </w:t>
      </w:r>
      <w:r w:rsidRPr="00C01DCC">
        <w:rPr>
          <w:i/>
          <w:iCs/>
        </w:rPr>
        <w:t xml:space="preserve">Armed Activities on the Territory of the Congo </w:t>
      </w:r>
      <w:r w:rsidRPr="00C01DCC">
        <w:t>(</w:t>
      </w:r>
      <w:r w:rsidRPr="00C01DCC">
        <w:rPr>
          <w:i/>
          <w:iCs/>
        </w:rPr>
        <w:t>Democratic</w:t>
      </w:r>
      <w:r w:rsidRPr="00C01DCC">
        <w:t xml:space="preserve"> </w:t>
      </w:r>
      <w:r w:rsidRPr="00C01DCC">
        <w:rPr>
          <w:i/>
          <w:iCs/>
        </w:rPr>
        <w:t>Republic of the Congo v Uganda</w:t>
      </w:r>
      <w:r w:rsidRPr="00C01DCC">
        <w:t xml:space="preserve">) </w:t>
      </w:r>
      <w:r w:rsidRPr="00C01DCC">
        <w:rPr>
          <w:iCs/>
        </w:rPr>
        <w:t>(merits)</w:t>
      </w:r>
      <w:r w:rsidRPr="00C01DCC">
        <w:rPr>
          <w:i/>
          <w:iCs/>
        </w:rPr>
        <w:t xml:space="preserve"> </w:t>
      </w:r>
      <w:r w:rsidRPr="00C01DCC">
        <w:t>[2005] ICJ Rep 223, para 1</w:t>
      </w:r>
      <w:r w:rsidR="00921026" w:rsidRPr="00C01DCC">
        <w:t>28.</w:t>
      </w:r>
    </w:p>
  </w:footnote>
  <w:footnote w:id="60">
    <w:p w14:paraId="4CC96FE7" w14:textId="77777777" w:rsidR="00B57A80" w:rsidRPr="00C01DCC" w:rsidRDefault="00B57A80" w:rsidP="009E494D">
      <w:pPr>
        <w:pStyle w:val="FootnoteText"/>
        <w:jc w:val="both"/>
      </w:pPr>
      <w:r w:rsidRPr="00C01DCC">
        <w:rPr>
          <w:rStyle w:val="FootnoteReference"/>
        </w:rPr>
        <w:footnoteRef/>
      </w:r>
      <w:r w:rsidR="000D1558" w:rsidRPr="00C01DCC">
        <w:t xml:space="preserve"> See n 16</w:t>
      </w:r>
      <w:r w:rsidRPr="00C01DCC">
        <w:t>.</w:t>
      </w:r>
    </w:p>
  </w:footnote>
  <w:footnote w:id="61">
    <w:p w14:paraId="66D6D9AA" w14:textId="77777777" w:rsidR="00B57A80" w:rsidRPr="00C01DCC" w:rsidRDefault="00B57A80" w:rsidP="009E494D">
      <w:pPr>
        <w:jc w:val="both"/>
        <w:rPr>
          <w:sz w:val="20"/>
          <w:szCs w:val="20"/>
        </w:rPr>
      </w:pPr>
      <w:r w:rsidRPr="00C01DCC">
        <w:rPr>
          <w:rStyle w:val="FootnoteReference"/>
          <w:sz w:val="20"/>
          <w:szCs w:val="20"/>
        </w:rPr>
        <w:footnoteRef/>
      </w:r>
      <w:r w:rsidRPr="00C01DCC">
        <w:rPr>
          <w:sz w:val="20"/>
          <w:szCs w:val="20"/>
        </w:rPr>
        <w:t xml:space="preserve"> See, e.g., Marco Roscini, ‘On the “Inherent” Character of the Right of States to Self-Defence’ (2015) 4 </w:t>
      </w:r>
      <w:r w:rsidRPr="00C01DCC">
        <w:rPr>
          <w:i/>
          <w:sz w:val="20"/>
          <w:szCs w:val="20"/>
        </w:rPr>
        <w:t>Cambridge Journal of International and Comparative Law</w:t>
      </w:r>
      <w:r w:rsidRPr="00C01DCC">
        <w:rPr>
          <w:sz w:val="20"/>
          <w:szCs w:val="20"/>
        </w:rPr>
        <w:t xml:space="preserve"> 634, 648; Olivier Corten, </w:t>
      </w:r>
      <w:r w:rsidRPr="00C01DCC">
        <w:rPr>
          <w:i/>
          <w:sz w:val="20"/>
          <w:szCs w:val="20"/>
        </w:rPr>
        <w:t>The Law Against War: The Prohibition on the Use of Force in Contemporary International Law</w:t>
      </w:r>
      <w:r w:rsidRPr="00C01DCC">
        <w:rPr>
          <w:sz w:val="20"/>
          <w:szCs w:val="20"/>
        </w:rPr>
        <w:t xml:space="preserve"> (Hart Publishing, 2010) 404; Gina Heathcote, </w:t>
      </w:r>
      <w:r w:rsidRPr="00C01DCC">
        <w:rPr>
          <w:i/>
          <w:sz w:val="20"/>
          <w:szCs w:val="20"/>
        </w:rPr>
        <w:t>The Law on the Use of Force: A Feminist Analysis</w:t>
      </w:r>
      <w:r w:rsidRPr="00C01DCC">
        <w:rPr>
          <w:sz w:val="20"/>
          <w:szCs w:val="20"/>
        </w:rPr>
        <w:t xml:space="preserve"> (Routledge, 2013) 77, 103. See also Institut De Droit International, Session de Santiago – 2007 (27 October 2007) 10A Resolution EN, 10ème Commission, art 8.</w:t>
      </w:r>
    </w:p>
  </w:footnote>
  <w:footnote w:id="62">
    <w:p w14:paraId="5B694C69" w14:textId="77777777" w:rsidR="00B57A80" w:rsidRPr="00C01DCC" w:rsidRDefault="00B57A80" w:rsidP="009E494D">
      <w:pPr>
        <w:pStyle w:val="FootnoteText"/>
        <w:jc w:val="both"/>
      </w:pPr>
      <w:r w:rsidRPr="00C01DCC">
        <w:rPr>
          <w:rStyle w:val="FootnoteReference"/>
        </w:rPr>
        <w:footnoteRef/>
      </w:r>
      <w:r w:rsidRPr="00C01DCC">
        <w:t xml:space="preserve"> See, e.g., </w:t>
      </w:r>
      <w:r w:rsidR="000D1558" w:rsidRPr="00C01DCC">
        <w:t>Constantinou (n 5</w:t>
      </w:r>
      <w:r w:rsidR="00F97F0E">
        <w:t>5</w:t>
      </w:r>
      <w:r w:rsidR="000D1558" w:rsidRPr="00C01DCC">
        <w:t>)</w:t>
      </w:r>
      <w:r w:rsidRPr="00C01DCC">
        <w:t xml:space="preserve"> 178-83.</w:t>
      </w:r>
    </w:p>
  </w:footnote>
  <w:footnote w:id="63">
    <w:p w14:paraId="71A5496F" w14:textId="77777777" w:rsidR="00B57A80" w:rsidRPr="00C01DCC" w:rsidRDefault="00B57A80" w:rsidP="009E494D">
      <w:pPr>
        <w:jc w:val="both"/>
        <w:rPr>
          <w:sz w:val="20"/>
          <w:szCs w:val="20"/>
        </w:rPr>
      </w:pPr>
      <w:r w:rsidRPr="00C01DCC">
        <w:rPr>
          <w:rStyle w:val="FootnoteReference"/>
          <w:sz w:val="20"/>
          <w:szCs w:val="20"/>
        </w:rPr>
        <w:footnoteRef/>
      </w:r>
      <w:r w:rsidR="00921026" w:rsidRPr="00C01DCC">
        <w:rPr>
          <w:sz w:val="20"/>
          <w:szCs w:val="20"/>
        </w:rPr>
        <w:t xml:space="preserve"> See, e.g.,</w:t>
      </w:r>
      <w:r w:rsidR="000D1558" w:rsidRPr="00C01DCC">
        <w:rPr>
          <w:sz w:val="20"/>
          <w:szCs w:val="20"/>
        </w:rPr>
        <w:t xml:space="preserve"> Green (n 15</w:t>
      </w:r>
      <w:r w:rsidR="00921026" w:rsidRPr="00C01DCC">
        <w:rPr>
          <w:sz w:val="20"/>
          <w:szCs w:val="20"/>
        </w:rPr>
        <w:t>) 52-3.</w:t>
      </w:r>
    </w:p>
  </w:footnote>
  <w:footnote w:id="64">
    <w:p w14:paraId="6CFF19BD" w14:textId="77777777" w:rsidR="00B57A80" w:rsidRPr="00C01DCC" w:rsidRDefault="00B57A80" w:rsidP="009E494D">
      <w:pPr>
        <w:pStyle w:val="FootnoteText"/>
        <w:jc w:val="both"/>
      </w:pPr>
      <w:r w:rsidRPr="00C01DCC">
        <w:rPr>
          <w:rStyle w:val="FootnoteReference"/>
        </w:rPr>
        <w:footnoteRef/>
      </w:r>
      <w:r w:rsidRPr="00C01DCC">
        <w:t xml:space="preserve"> See, e.g., Quincy Wright, ‘United States Intervention in the Lebanon’ (1959) 53 </w:t>
      </w:r>
      <w:r w:rsidRPr="00C01DCC">
        <w:rPr>
          <w:i/>
        </w:rPr>
        <w:t>American Journal of International Law</w:t>
      </w:r>
      <w:r w:rsidRPr="00C01DCC">
        <w:t xml:space="preserve"> 112, 118-9.</w:t>
      </w:r>
    </w:p>
  </w:footnote>
  <w:footnote w:id="65">
    <w:p w14:paraId="118B4F97" w14:textId="77777777" w:rsidR="00B57A80" w:rsidRPr="00C01DCC" w:rsidRDefault="00B57A80" w:rsidP="009E494D">
      <w:pPr>
        <w:pStyle w:val="FootnoteText"/>
        <w:jc w:val="both"/>
      </w:pPr>
      <w:r w:rsidRPr="00C01DCC">
        <w:rPr>
          <w:rStyle w:val="FootnoteReference"/>
        </w:rPr>
        <w:footnoteRef/>
      </w:r>
      <w:r w:rsidRPr="00C01DCC">
        <w:t xml:space="preserve"> See Anthony Clark Arend and Robert J Beck, </w:t>
      </w:r>
      <w:r w:rsidRPr="00C01DCC">
        <w:rPr>
          <w:i/>
        </w:rPr>
        <w:t>International Law and the Use of Force</w:t>
      </w:r>
      <w:r w:rsidRPr="00C01DCC">
        <w:t xml:space="preserve"> (Rout</w:t>
      </w:r>
      <w:r w:rsidR="000D1558" w:rsidRPr="00C01DCC">
        <w:t>ledge, 1993) 36; Kritsiotis (n 16</w:t>
      </w:r>
      <w:r w:rsidRPr="00C01DCC">
        <w:t>) 187, footnote 89.</w:t>
      </w:r>
    </w:p>
  </w:footnote>
  <w:footnote w:id="66">
    <w:p w14:paraId="287904EF" w14:textId="77777777" w:rsidR="00B57A80" w:rsidRPr="00C01DCC" w:rsidRDefault="00B57A80" w:rsidP="009E494D">
      <w:pPr>
        <w:pStyle w:val="FootnoteText"/>
        <w:jc w:val="both"/>
      </w:pPr>
      <w:r w:rsidRPr="00C01DCC">
        <w:rPr>
          <w:rStyle w:val="FootnoteReference"/>
        </w:rPr>
        <w:footnoteRef/>
      </w:r>
      <w:r w:rsidRPr="00C01DCC">
        <w:t xml:space="preserve"> See, e.g., Constantinou (n </w:t>
      </w:r>
      <w:r w:rsidR="000D1558" w:rsidRPr="00C01DCC">
        <w:t>5</w:t>
      </w:r>
      <w:r w:rsidR="00F97F0E">
        <w:t>5</w:t>
      </w:r>
      <w:r w:rsidRPr="00C01DCC">
        <w:t>) 181.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441DE"/>
    <w:multiLevelType w:val="hybridMultilevel"/>
    <w:tmpl w:val="4E0ED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63"/>
    <w:rsid w:val="00001CD5"/>
    <w:rsid w:val="00007A06"/>
    <w:rsid w:val="00015EF1"/>
    <w:rsid w:val="00025E9F"/>
    <w:rsid w:val="00031A31"/>
    <w:rsid w:val="000352F7"/>
    <w:rsid w:val="000474D4"/>
    <w:rsid w:val="00051547"/>
    <w:rsid w:val="00056091"/>
    <w:rsid w:val="0007505E"/>
    <w:rsid w:val="00082494"/>
    <w:rsid w:val="000C5D74"/>
    <w:rsid w:val="000D1558"/>
    <w:rsid w:val="000E68AE"/>
    <w:rsid w:val="0012528F"/>
    <w:rsid w:val="00136586"/>
    <w:rsid w:val="00153D3F"/>
    <w:rsid w:val="001B31A9"/>
    <w:rsid w:val="001C5AEA"/>
    <w:rsid w:val="00210951"/>
    <w:rsid w:val="002171A2"/>
    <w:rsid w:val="00225D8E"/>
    <w:rsid w:val="0023683A"/>
    <w:rsid w:val="002412BF"/>
    <w:rsid w:val="00252BBE"/>
    <w:rsid w:val="002605E0"/>
    <w:rsid w:val="002764BE"/>
    <w:rsid w:val="002A3FF5"/>
    <w:rsid w:val="002A769D"/>
    <w:rsid w:val="002B0C46"/>
    <w:rsid w:val="002D0275"/>
    <w:rsid w:val="003107A3"/>
    <w:rsid w:val="0031503F"/>
    <w:rsid w:val="00315117"/>
    <w:rsid w:val="00333243"/>
    <w:rsid w:val="00383572"/>
    <w:rsid w:val="003A218E"/>
    <w:rsid w:val="003A4F9E"/>
    <w:rsid w:val="003D26B2"/>
    <w:rsid w:val="003F2762"/>
    <w:rsid w:val="003F4732"/>
    <w:rsid w:val="00416413"/>
    <w:rsid w:val="004273AE"/>
    <w:rsid w:val="004330C9"/>
    <w:rsid w:val="0043374D"/>
    <w:rsid w:val="00451BBA"/>
    <w:rsid w:val="00463975"/>
    <w:rsid w:val="004835E5"/>
    <w:rsid w:val="004A22B3"/>
    <w:rsid w:val="004C56D2"/>
    <w:rsid w:val="004D193B"/>
    <w:rsid w:val="00522F88"/>
    <w:rsid w:val="0053535B"/>
    <w:rsid w:val="00542C18"/>
    <w:rsid w:val="00547B51"/>
    <w:rsid w:val="00554DE5"/>
    <w:rsid w:val="0059081B"/>
    <w:rsid w:val="005D1CB4"/>
    <w:rsid w:val="005E06F1"/>
    <w:rsid w:val="005E0BD4"/>
    <w:rsid w:val="005F4BE6"/>
    <w:rsid w:val="005F5EE9"/>
    <w:rsid w:val="006172E1"/>
    <w:rsid w:val="00632E11"/>
    <w:rsid w:val="006529CF"/>
    <w:rsid w:val="00656DA7"/>
    <w:rsid w:val="00690237"/>
    <w:rsid w:val="006A2C60"/>
    <w:rsid w:val="006D7263"/>
    <w:rsid w:val="006F67AE"/>
    <w:rsid w:val="007022CB"/>
    <w:rsid w:val="0070363D"/>
    <w:rsid w:val="007068C6"/>
    <w:rsid w:val="007104E2"/>
    <w:rsid w:val="00720E77"/>
    <w:rsid w:val="00727D8E"/>
    <w:rsid w:val="007638EC"/>
    <w:rsid w:val="007660A7"/>
    <w:rsid w:val="007A6809"/>
    <w:rsid w:val="007B67D2"/>
    <w:rsid w:val="007B7166"/>
    <w:rsid w:val="007B725C"/>
    <w:rsid w:val="007E0F49"/>
    <w:rsid w:val="007E7745"/>
    <w:rsid w:val="00833339"/>
    <w:rsid w:val="0084639F"/>
    <w:rsid w:val="0086013C"/>
    <w:rsid w:val="008636F5"/>
    <w:rsid w:val="00892CC6"/>
    <w:rsid w:val="008B00DA"/>
    <w:rsid w:val="008B405D"/>
    <w:rsid w:val="008E2C4F"/>
    <w:rsid w:val="008E3234"/>
    <w:rsid w:val="008E6566"/>
    <w:rsid w:val="008F0E64"/>
    <w:rsid w:val="008F60BD"/>
    <w:rsid w:val="00902E73"/>
    <w:rsid w:val="00905C29"/>
    <w:rsid w:val="00921026"/>
    <w:rsid w:val="009612BB"/>
    <w:rsid w:val="0096139A"/>
    <w:rsid w:val="009A2F34"/>
    <w:rsid w:val="009A4260"/>
    <w:rsid w:val="009C6C48"/>
    <w:rsid w:val="009E4608"/>
    <w:rsid w:val="009E494D"/>
    <w:rsid w:val="009F4D4D"/>
    <w:rsid w:val="009F71C5"/>
    <w:rsid w:val="00A037DD"/>
    <w:rsid w:val="00A246ED"/>
    <w:rsid w:val="00A26C62"/>
    <w:rsid w:val="00A7383B"/>
    <w:rsid w:val="00A7485E"/>
    <w:rsid w:val="00A814B9"/>
    <w:rsid w:val="00A97C4B"/>
    <w:rsid w:val="00AA3570"/>
    <w:rsid w:val="00AB670A"/>
    <w:rsid w:val="00AD1600"/>
    <w:rsid w:val="00AD53AE"/>
    <w:rsid w:val="00AD5898"/>
    <w:rsid w:val="00AD7332"/>
    <w:rsid w:val="00AF1EFC"/>
    <w:rsid w:val="00B1409D"/>
    <w:rsid w:val="00B33DD8"/>
    <w:rsid w:val="00B51B22"/>
    <w:rsid w:val="00B57A80"/>
    <w:rsid w:val="00B766E8"/>
    <w:rsid w:val="00B9419C"/>
    <w:rsid w:val="00BA338A"/>
    <w:rsid w:val="00BA7BB3"/>
    <w:rsid w:val="00C01DCC"/>
    <w:rsid w:val="00C04F8D"/>
    <w:rsid w:val="00C45363"/>
    <w:rsid w:val="00C65E74"/>
    <w:rsid w:val="00C72DC6"/>
    <w:rsid w:val="00CD07CD"/>
    <w:rsid w:val="00CE780F"/>
    <w:rsid w:val="00D03AB3"/>
    <w:rsid w:val="00D142C8"/>
    <w:rsid w:val="00D36547"/>
    <w:rsid w:val="00D4466B"/>
    <w:rsid w:val="00D652A1"/>
    <w:rsid w:val="00D738C8"/>
    <w:rsid w:val="00D965E9"/>
    <w:rsid w:val="00DA003D"/>
    <w:rsid w:val="00DD7210"/>
    <w:rsid w:val="00DF15D5"/>
    <w:rsid w:val="00E02D3C"/>
    <w:rsid w:val="00E147D8"/>
    <w:rsid w:val="00E25612"/>
    <w:rsid w:val="00E26BB0"/>
    <w:rsid w:val="00E40E1F"/>
    <w:rsid w:val="00E4176B"/>
    <w:rsid w:val="00E565B0"/>
    <w:rsid w:val="00E70D53"/>
    <w:rsid w:val="00E773D2"/>
    <w:rsid w:val="00E82985"/>
    <w:rsid w:val="00E832A3"/>
    <w:rsid w:val="00EC04FF"/>
    <w:rsid w:val="00EC6971"/>
    <w:rsid w:val="00ED1E6B"/>
    <w:rsid w:val="00ED4D5C"/>
    <w:rsid w:val="00EE1B8A"/>
    <w:rsid w:val="00EE39D9"/>
    <w:rsid w:val="00EE5829"/>
    <w:rsid w:val="00EF23C0"/>
    <w:rsid w:val="00EF46F0"/>
    <w:rsid w:val="00F075EE"/>
    <w:rsid w:val="00F10737"/>
    <w:rsid w:val="00F23142"/>
    <w:rsid w:val="00F36C9C"/>
    <w:rsid w:val="00F53F3F"/>
    <w:rsid w:val="00F77B98"/>
    <w:rsid w:val="00F81E5A"/>
    <w:rsid w:val="00F820CA"/>
    <w:rsid w:val="00F97F0E"/>
    <w:rsid w:val="00FA7BFE"/>
    <w:rsid w:val="00FC56CF"/>
    <w:rsid w:val="00FC6782"/>
    <w:rsid w:val="00FD6D89"/>
    <w:rsid w:val="00FF1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CA9B"/>
  <w15:chartTrackingRefBased/>
  <w15:docId w15:val="{2F9C4974-F07B-4A52-92FA-7E2E8763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263"/>
    <w:rPr>
      <w:rFonts w:eastAsia="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kst,Footnote Text Char1 Char,Footnote Text Char Char Char,Footnote Text Char1 Char Char Char,Footnote Text Char Char Char Char Char,Footnote Text Char1 Char Char Char Char Char,Footnote reference,FA Fu,Footnote Text Char Char Char Car,fn"/>
    <w:basedOn w:val="Normal"/>
    <w:link w:val="FootnoteTextChar"/>
    <w:uiPriority w:val="99"/>
    <w:semiHidden/>
    <w:rsid w:val="006D7263"/>
    <w:rPr>
      <w:sz w:val="20"/>
      <w:szCs w:val="20"/>
    </w:rPr>
  </w:style>
  <w:style w:type="character" w:customStyle="1" w:styleId="FootnoteTextChar">
    <w:name w:val="Footnote Text Char"/>
    <w:aliases w:val="tekst Char,Footnote Text Char1 Char Char,Footnote Text Char Char Char Char,Footnote Text Char1 Char Char Char Char,Footnote Text Char Char Char Char Char Char,Footnote Text Char1 Char Char Char Char Char Char,Footnote reference Char"/>
    <w:basedOn w:val="DefaultParagraphFont"/>
    <w:link w:val="FootnoteText"/>
    <w:uiPriority w:val="99"/>
    <w:semiHidden/>
    <w:rsid w:val="006D7263"/>
    <w:rPr>
      <w:rFonts w:eastAsia="Times New Roman"/>
      <w:sz w:val="20"/>
      <w:szCs w:val="20"/>
      <w:lang w:eastAsia="en-GB"/>
    </w:rPr>
  </w:style>
  <w:style w:type="character" w:styleId="FootnoteReference">
    <w:name w:val="footnote reference"/>
    <w:aliases w:val="Ref,de nota al pie,Footnote Reference 2,stylish"/>
    <w:basedOn w:val="DefaultParagraphFont"/>
    <w:uiPriority w:val="99"/>
    <w:semiHidden/>
    <w:rsid w:val="006D7263"/>
    <w:rPr>
      <w:vertAlign w:val="superscript"/>
    </w:rPr>
  </w:style>
  <w:style w:type="paragraph" w:styleId="NormalWeb">
    <w:name w:val="Normal (Web)"/>
    <w:basedOn w:val="Normal"/>
    <w:rsid w:val="006D7263"/>
    <w:pPr>
      <w:spacing w:before="100" w:beforeAutospacing="1" w:after="100" w:afterAutospacing="1"/>
    </w:pPr>
    <w:rPr>
      <w:lang w:val="en-CA" w:eastAsia="en-CA"/>
    </w:rPr>
  </w:style>
  <w:style w:type="character" w:styleId="Emphasis">
    <w:name w:val="Emphasis"/>
    <w:basedOn w:val="DefaultParagraphFont"/>
    <w:uiPriority w:val="20"/>
    <w:qFormat/>
    <w:rsid w:val="006D7263"/>
    <w:rPr>
      <w:i/>
      <w:iCs/>
    </w:rPr>
  </w:style>
  <w:style w:type="character" w:styleId="Hyperlink">
    <w:name w:val="Hyperlink"/>
    <w:basedOn w:val="DefaultParagraphFont"/>
    <w:uiPriority w:val="99"/>
    <w:unhideWhenUsed/>
    <w:rsid w:val="006D7263"/>
    <w:rPr>
      <w:color w:val="0563C1" w:themeColor="hyperlink"/>
      <w:u w:val="single"/>
    </w:rPr>
  </w:style>
  <w:style w:type="paragraph" w:styleId="Header">
    <w:name w:val="header"/>
    <w:basedOn w:val="Normal"/>
    <w:link w:val="HeaderChar"/>
    <w:uiPriority w:val="99"/>
    <w:unhideWhenUsed/>
    <w:rsid w:val="00451BBA"/>
    <w:pPr>
      <w:tabs>
        <w:tab w:val="center" w:pos="4513"/>
        <w:tab w:val="right" w:pos="9026"/>
      </w:tabs>
    </w:pPr>
  </w:style>
  <w:style w:type="character" w:customStyle="1" w:styleId="HeaderChar">
    <w:name w:val="Header Char"/>
    <w:basedOn w:val="DefaultParagraphFont"/>
    <w:link w:val="Header"/>
    <w:uiPriority w:val="99"/>
    <w:rsid w:val="00451BBA"/>
    <w:rPr>
      <w:rFonts w:eastAsia="Times New Roman"/>
      <w:lang w:eastAsia="en-GB"/>
    </w:rPr>
  </w:style>
  <w:style w:type="paragraph" w:styleId="Footer">
    <w:name w:val="footer"/>
    <w:basedOn w:val="Normal"/>
    <w:link w:val="FooterChar"/>
    <w:uiPriority w:val="99"/>
    <w:unhideWhenUsed/>
    <w:rsid w:val="00451BBA"/>
    <w:pPr>
      <w:tabs>
        <w:tab w:val="center" w:pos="4513"/>
        <w:tab w:val="right" w:pos="9026"/>
      </w:tabs>
    </w:pPr>
  </w:style>
  <w:style w:type="character" w:customStyle="1" w:styleId="FooterChar">
    <w:name w:val="Footer Char"/>
    <w:basedOn w:val="DefaultParagraphFont"/>
    <w:link w:val="Footer"/>
    <w:uiPriority w:val="99"/>
    <w:rsid w:val="00451BBA"/>
    <w:rPr>
      <w:rFonts w:eastAsia="Times New Roman"/>
      <w:lang w:eastAsia="en-GB"/>
    </w:rPr>
  </w:style>
  <w:style w:type="character" w:customStyle="1" w:styleId="apple-converted-space">
    <w:name w:val="apple-converted-space"/>
    <w:basedOn w:val="DefaultParagraphFont"/>
    <w:rsid w:val="00E773D2"/>
  </w:style>
  <w:style w:type="character" w:styleId="FollowedHyperlink">
    <w:name w:val="FollowedHyperlink"/>
    <w:basedOn w:val="DefaultParagraphFont"/>
    <w:uiPriority w:val="99"/>
    <w:semiHidden/>
    <w:unhideWhenUsed/>
    <w:rsid w:val="000E68AE"/>
    <w:rPr>
      <w:color w:val="954F72" w:themeColor="followedHyperlink"/>
      <w:u w:val="single"/>
    </w:rPr>
  </w:style>
  <w:style w:type="character" w:styleId="CommentReference">
    <w:name w:val="annotation reference"/>
    <w:basedOn w:val="DefaultParagraphFont"/>
    <w:uiPriority w:val="99"/>
    <w:semiHidden/>
    <w:unhideWhenUsed/>
    <w:rsid w:val="005E06F1"/>
    <w:rPr>
      <w:sz w:val="16"/>
      <w:szCs w:val="16"/>
    </w:rPr>
  </w:style>
  <w:style w:type="paragraph" w:styleId="CommentText">
    <w:name w:val="annotation text"/>
    <w:basedOn w:val="Normal"/>
    <w:link w:val="CommentTextChar"/>
    <w:uiPriority w:val="99"/>
    <w:semiHidden/>
    <w:unhideWhenUsed/>
    <w:rsid w:val="005E06F1"/>
    <w:rPr>
      <w:sz w:val="20"/>
      <w:szCs w:val="20"/>
    </w:rPr>
  </w:style>
  <w:style w:type="character" w:customStyle="1" w:styleId="CommentTextChar">
    <w:name w:val="Comment Text Char"/>
    <w:basedOn w:val="DefaultParagraphFont"/>
    <w:link w:val="CommentText"/>
    <w:uiPriority w:val="99"/>
    <w:semiHidden/>
    <w:rsid w:val="005E06F1"/>
    <w:rPr>
      <w:rFonts w:eastAsia="Times New Roman"/>
      <w:sz w:val="20"/>
      <w:szCs w:val="20"/>
      <w:lang w:eastAsia="en-GB"/>
    </w:rPr>
  </w:style>
  <w:style w:type="paragraph" w:styleId="BalloonText">
    <w:name w:val="Balloon Text"/>
    <w:basedOn w:val="Normal"/>
    <w:link w:val="BalloonTextChar"/>
    <w:uiPriority w:val="99"/>
    <w:semiHidden/>
    <w:unhideWhenUsed/>
    <w:rsid w:val="005E0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6F1"/>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5E06F1"/>
    <w:rPr>
      <w:b/>
      <w:bCs/>
    </w:rPr>
  </w:style>
  <w:style w:type="character" w:customStyle="1" w:styleId="CommentSubjectChar">
    <w:name w:val="Comment Subject Char"/>
    <w:basedOn w:val="CommentTextChar"/>
    <w:link w:val="CommentSubject"/>
    <w:uiPriority w:val="99"/>
    <w:semiHidden/>
    <w:rsid w:val="005E06F1"/>
    <w:rPr>
      <w:rFonts w:eastAsia="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green@reading.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eehive.govt.nz/speech/prime-minister%E2%80%99s-ministerial-statement-isil" TargetMode="External"/><Relationship Id="rId2" Type="http://schemas.openxmlformats.org/officeDocument/2006/relationships/hyperlink" Target="http://www.publications.parliament.uk/pa/cm198990/cmhansrd/1990-09-06/Debate-1.html" TargetMode="External"/><Relationship Id="rId1" Type="http://schemas.openxmlformats.org/officeDocument/2006/relationships/hyperlink" Target="http://www.presidency.ucsb.edu/ws/?pid=18762" TargetMode="External"/><Relationship Id="rId4" Type="http://schemas.openxmlformats.org/officeDocument/2006/relationships/hyperlink" Target="http://www.themoscowtimes.com/news/article/russia-condemns-u-s-strikes-on-islamic-state-without-syria-s-approval/5077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F13A9-4674-4BD0-9901-0526FE9F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Green</dc:creator>
  <cp:keywords/>
  <dc:description/>
  <cp:lastModifiedBy>James Green</cp:lastModifiedBy>
  <cp:revision>7</cp:revision>
  <dcterms:created xsi:type="dcterms:W3CDTF">2017-04-24T12:18:00Z</dcterms:created>
  <dcterms:modified xsi:type="dcterms:W3CDTF">2017-04-24T17:34:00Z</dcterms:modified>
</cp:coreProperties>
</file>