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15" w14:textId="77777777" w:rsidR="00F135CF" w:rsidRPr="001D707C" w:rsidRDefault="00F135CF">
      <w:pPr>
        <w:pStyle w:val="Normal1"/>
        <w:rPr>
          <w:rFonts w:asciiTheme="majorHAnsi" w:hAnsiTheme="majorHAnsi"/>
          <w:sz w:val="28"/>
          <w:szCs w:val="28"/>
        </w:rPr>
      </w:pPr>
      <w:bookmarkStart w:id="0" w:name="_GoBack"/>
    </w:p>
    <w:bookmarkEnd w:id="0"/>
    <w:p w14:paraId="00000016" w14:textId="06DAB452" w:rsidR="00F135CF" w:rsidRPr="001D707C" w:rsidRDefault="00B862A4">
      <w:pPr>
        <w:pStyle w:val="Normal1"/>
        <w:rPr>
          <w:rFonts w:asciiTheme="majorHAnsi" w:hAnsiTheme="majorHAnsi"/>
          <w:sz w:val="32"/>
          <w:szCs w:val="32"/>
        </w:rPr>
      </w:pPr>
      <w:r w:rsidRPr="001D707C">
        <w:rPr>
          <w:rFonts w:asciiTheme="majorHAnsi" w:hAnsiTheme="majorHAnsi"/>
          <w:sz w:val="32"/>
          <w:szCs w:val="32"/>
        </w:rPr>
        <w:t>TITLE</w:t>
      </w:r>
      <w:r w:rsidRPr="001D707C">
        <w:rPr>
          <w:rFonts w:asciiTheme="majorHAnsi" w:hAnsiTheme="majorHAnsi"/>
          <w:sz w:val="32"/>
          <w:szCs w:val="32"/>
        </w:rPr>
        <w:br/>
        <w:t>Bioscience laborato</w:t>
      </w:r>
      <w:r w:rsidR="00143C1C" w:rsidRPr="001D707C">
        <w:rPr>
          <w:rFonts w:asciiTheme="majorHAnsi" w:hAnsiTheme="majorHAnsi"/>
          <w:sz w:val="32"/>
          <w:szCs w:val="32"/>
        </w:rPr>
        <w:t>ry practicals, projects and plac</w:t>
      </w:r>
      <w:r w:rsidRPr="001D707C">
        <w:rPr>
          <w:rFonts w:asciiTheme="majorHAnsi" w:hAnsiTheme="majorHAnsi"/>
          <w:sz w:val="32"/>
          <w:szCs w:val="32"/>
        </w:rPr>
        <w:t>ements in a Covid-19 world</w:t>
      </w:r>
    </w:p>
    <w:p w14:paraId="00000017" w14:textId="77777777" w:rsidR="00F135CF" w:rsidRPr="001D707C" w:rsidRDefault="00B862A4">
      <w:pPr>
        <w:pStyle w:val="Normal1"/>
        <w:rPr>
          <w:rFonts w:asciiTheme="majorHAnsi" w:hAnsiTheme="majorHAnsi"/>
          <w:sz w:val="28"/>
          <w:szCs w:val="28"/>
        </w:rPr>
      </w:pPr>
      <w:r w:rsidRPr="001D707C">
        <w:rPr>
          <w:rFonts w:asciiTheme="majorHAnsi" w:hAnsiTheme="majorHAnsi"/>
          <w:sz w:val="28"/>
          <w:szCs w:val="28"/>
        </w:rPr>
        <w:br/>
      </w:r>
    </w:p>
    <w:p w14:paraId="00000018" w14:textId="77777777" w:rsidR="00F135CF" w:rsidRPr="001D707C" w:rsidRDefault="00B862A4">
      <w:pPr>
        <w:pStyle w:val="Normal1"/>
        <w:spacing w:before="240" w:line="458" w:lineRule="auto"/>
        <w:rPr>
          <w:rFonts w:asciiTheme="majorHAnsi" w:eastAsia="Times New Roman" w:hAnsiTheme="majorHAnsi" w:cs="Times New Roman"/>
          <w:sz w:val="28"/>
          <w:szCs w:val="28"/>
          <w:vertAlign w:val="superscript"/>
        </w:rPr>
      </w:pPr>
      <w:r w:rsidRPr="001D707C">
        <w:rPr>
          <w:rFonts w:asciiTheme="majorHAnsi" w:eastAsia="Times New Roman" w:hAnsiTheme="majorHAnsi" w:cs="Times New Roman"/>
          <w:sz w:val="28"/>
          <w:szCs w:val="28"/>
        </w:rPr>
        <w:t>Vivien Rolfe</w:t>
      </w:r>
      <w:r w:rsidRPr="001D707C">
        <w:rPr>
          <w:rFonts w:asciiTheme="majorHAnsi" w:eastAsia="Times New Roman" w:hAnsiTheme="majorHAnsi" w:cs="Times New Roman"/>
          <w:sz w:val="28"/>
          <w:szCs w:val="28"/>
          <w:vertAlign w:val="superscript"/>
        </w:rPr>
        <w:t>1</w:t>
      </w:r>
      <w:r w:rsidRPr="001D707C">
        <w:rPr>
          <w:rFonts w:asciiTheme="majorHAnsi" w:eastAsia="Times New Roman" w:hAnsiTheme="majorHAnsi" w:cs="Times New Roman"/>
          <w:sz w:val="28"/>
          <w:szCs w:val="28"/>
        </w:rPr>
        <w:t xml:space="preserve"> and Emmanuel Adukwu</w:t>
      </w:r>
      <w:r w:rsidRPr="001D707C">
        <w:rPr>
          <w:rFonts w:asciiTheme="majorHAnsi" w:eastAsia="Times New Roman" w:hAnsiTheme="majorHAnsi" w:cs="Times New Roman"/>
          <w:sz w:val="28"/>
          <w:szCs w:val="28"/>
          <w:vertAlign w:val="superscript"/>
        </w:rPr>
        <w:t>2</w:t>
      </w:r>
    </w:p>
    <w:p w14:paraId="00000019" w14:textId="77777777" w:rsidR="00F135CF" w:rsidRPr="001D707C" w:rsidRDefault="00B862A4">
      <w:pPr>
        <w:pStyle w:val="Normal1"/>
        <w:spacing w:before="240" w:line="392" w:lineRule="auto"/>
        <w:rPr>
          <w:rFonts w:asciiTheme="majorHAnsi" w:eastAsia="Times New Roman" w:hAnsiTheme="majorHAnsi" w:cs="Times New Roman"/>
          <w:i/>
          <w:sz w:val="28"/>
          <w:szCs w:val="28"/>
        </w:rPr>
      </w:pPr>
      <w:r w:rsidRPr="001D707C">
        <w:rPr>
          <w:rFonts w:asciiTheme="majorHAnsi" w:eastAsia="Times New Roman" w:hAnsiTheme="majorHAnsi" w:cs="Times New Roman"/>
          <w:i/>
          <w:sz w:val="28"/>
          <w:szCs w:val="28"/>
        </w:rPr>
        <w:t>1 Head of Herbal Research, Pukka Herbs Ltd, Keynsham UK</w:t>
      </w:r>
    </w:p>
    <w:p w14:paraId="0CC4447D" w14:textId="60841D57" w:rsidR="00B90F26" w:rsidRPr="001D707C" w:rsidRDefault="00B862A4">
      <w:pPr>
        <w:pStyle w:val="Normal1"/>
        <w:spacing w:before="240" w:line="392" w:lineRule="auto"/>
        <w:rPr>
          <w:rFonts w:asciiTheme="majorHAnsi" w:eastAsia="Times New Roman" w:hAnsiTheme="majorHAnsi" w:cs="Times New Roman"/>
          <w:i/>
          <w:sz w:val="28"/>
          <w:szCs w:val="28"/>
        </w:rPr>
      </w:pPr>
      <w:r w:rsidRPr="001D707C">
        <w:rPr>
          <w:rFonts w:asciiTheme="majorHAnsi" w:eastAsia="Times New Roman" w:hAnsiTheme="majorHAnsi" w:cs="Times New Roman"/>
          <w:i/>
          <w:sz w:val="28"/>
          <w:szCs w:val="28"/>
        </w:rPr>
        <w:t>2 Deputy Head of Department of Science, University of the West of England, Bristol UK</w:t>
      </w:r>
    </w:p>
    <w:p w14:paraId="0000001C" w14:textId="77777777" w:rsidR="00F135CF" w:rsidRPr="001D707C" w:rsidRDefault="00F135CF">
      <w:pPr>
        <w:pStyle w:val="Normal1"/>
        <w:spacing w:before="240" w:line="392" w:lineRule="auto"/>
        <w:rPr>
          <w:rFonts w:asciiTheme="majorHAnsi" w:eastAsia="Times New Roman" w:hAnsiTheme="majorHAnsi" w:cs="Times New Roman"/>
          <w:sz w:val="28"/>
          <w:szCs w:val="28"/>
        </w:rPr>
      </w:pPr>
    </w:p>
    <w:p w14:paraId="00000020" w14:textId="2D46BC25" w:rsidR="00F135CF" w:rsidRPr="001D707C" w:rsidRDefault="00C41540">
      <w:pPr>
        <w:pStyle w:val="Normal1"/>
        <w:rPr>
          <w:rFonts w:asciiTheme="majorHAnsi" w:hAnsiTheme="majorHAnsi"/>
          <w:color w:val="333333"/>
          <w:sz w:val="24"/>
          <w:szCs w:val="24"/>
        </w:rPr>
      </w:pPr>
      <w:r>
        <w:rPr>
          <w:rFonts w:asciiTheme="majorHAnsi" w:hAnsiTheme="majorHAnsi"/>
          <w:b/>
          <w:sz w:val="24"/>
          <w:szCs w:val="24"/>
        </w:rPr>
        <w:t>Abstract</w:t>
      </w:r>
    </w:p>
    <w:p w14:paraId="00000021" w14:textId="77777777" w:rsidR="00F135CF" w:rsidRPr="001D707C" w:rsidRDefault="00F135CF">
      <w:pPr>
        <w:pStyle w:val="Normal1"/>
        <w:rPr>
          <w:rFonts w:asciiTheme="majorHAnsi" w:hAnsiTheme="majorHAnsi"/>
          <w:sz w:val="24"/>
          <w:szCs w:val="24"/>
        </w:rPr>
      </w:pPr>
    </w:p>
    <w:p w14:paraId="7B8BE3B9" w14:textId="6F95544F" w:rsidR="00C01C8C" w:rsidRPr="001D707C" w:rsidRDefault="00B57521" w:rsidP="00C01C8C">
      <w:pPr>
        <w:pStyle w:val="Normal1"/>
        <w:rPr>
          <w:rFonts w:asciiTheme="majorHAnsi" w:hAnsiTheme="majorHAnsi"/>
          <w:sz w:val="24"/>
          <w:szCs w:val="24"/>
        </w:rPr>
      </w:pPr>
      <w:r w:rsidRPr="001D707C">
        <w:rPr>
          <w:rFonts w:asciiTheme="majorHAnsi" w:hAnsiTheme="majorHAnsi"/>
          <w:sz w:val="24"/>
          <w:szCs w:val="24"/>
        </w:rPr>
        <w:t>The aim of this review is</w:t>
      </w:r>
      <w:r w:rsidR="00B862A4" w:rsidRPr="001D707C">
        <w:rPr>
          <w:rFonts w:asciiTheme="majorHAnsi" w:hAnsiTheme="majorHAnsi"/>
          <w:sz w:val="24"/>
          <w:szCs w:val="24"/>
        </w:rPr>
        <w:t xml:space="preserve"> to discuss alternatives to the traditional practicals, undergraduate project</w:t>
      </w:r>
      <w:r w:rsidR="00F165FE">
        <w:rPr>
          <w:rFonts w:asciiTheme="majorHAnsi" w:hAnsiTheme="majorHAnsi"/>
          <w:sz w:val="24"/>
          <w:szCs w:val="24"/>
        </w:rPr>
        <w:t>s</w:t>
      </w:r>
      <w:r w:rsidR="00B862A4" w:rsidRPr="001D707C">
        <w:rPr>
          <w:rFonts w:asciiTheme="majorHAnsi" w:hAnsiTheme="majorHAnsi"/>
          <w:sz w:val="24"/>
          <w:szCs w:val="24"/>
        </w:rPr>
        <w:t xml:space="preserve"> and student placements that are presently being disrupted by Covid-19. We focus o</w:t>
      </w:r>
      <w:r w:rsidR="00436EDD" w:rsidRPr="001D707C">
        <w:rPr>
          <w:rFonts w:asciiTheme="majorHAnsi" w:hAnsiTheme="majorHAnsi"/>
          <w:sz w:val="24"/>
          <w:szCs w:val="24"/>
        </w:rPr>
        <w:t>n bioscience higher education (</w:t>
      </w:r>
      <w:r w:rsidR="00B862A4" w:rsidRPr="001D707C">
        <w:rPr>
          <w:rFonts w:asciiTheme="majorHAnsi" w:hAnsiTheme="majorHAnsi"/>
          <w:sz w:val="24"/>
          <w:szCs w:val="24"/>
        </w:rPr>
        <w:t>biology, biomedical sciences)</w:t>
      </w:r>
      <w:r w:rsidR="00436EDD" w:rsidRPr="001D707C">
        <w:rPr>
          <w:rFonts w:asciiTheme="majorHAnsi" w:hAnsiTheme="majorHAnsi"/>
          <w:sz w:val="24"/>
          <w:szCs w:val="24"/>
        </w:rPr>
        <w:t xml:space="preserve"> with an emphasis on the laboratory sciences</w:t>
      </w:r>
      <w:r w:rsidR="00B862A4" w:rsidRPr="001D707C">
        <w:rPr>
          <w:rFonts w:asciiTheme="majorHAnsi" w:hAnsiTheme="majorHAnsi"/>
          <w:sz w:val="24"/>
          <w:szCs w:val="24"/>
        </w:rPr>
        <w:t xml:space="preserve">. In the context of a shifting environmental and political landscape, we consider whether higher education institutions can deliver </w:t>
      </w:r>
      <w:r w:rsidR="00C01C8C" w:rsidRPr="001D707C">
        <w:rPr>
          <w:rFonts w:asciiTheme="majorHAnsi" w:hAnsiTheme="majorHAnsi"/>
          <w:sz w:val="24"/>
          <w:szCs w:val="24"/>
        </w:rPr>
        <w:t>the latest bioscience skills and knoweldge s</w:t>
      </w:r>
      <w:r w:rsidR="00F165FE">
        <w:rPr>
          <w:rFonts w:asciiTheme="majorHAnsi" w:hAnsiTheme="majorHAnsi"/>
          <w:sz w:val="24"/>
          <w:szCs w:val="24"/>
        </w:rPr>
        <w:t>o</w:t>
      </w:r>
      <w:r w:rsidR="00C01C8C" w:rsidRPr="001D707C">
        <w:rPr>
          <w:rFonts w:asciiTheme="majorHAnsi" w:hAnsiTheme="majorHAnsi"/>
          <w:sz w:val="24"/>
          <w:szCs w:val="24"/>
        </w:rPr>
        <w:t>ught by employers through the use of virtual learning. To take the pressure off being in the lab</w:t>
      </w:r>
      <w:r w:rsidR="00436EDD" w:rsidRPr="001D707C">
        <w:rPr>
          <w:rFonts w:asciiTheme="majorHAnsi" w:hAnsiTheme="majorHAnsi"/>
          <w:sz w:val="24"/>
          <w:szCs w:val="24"/>
        </w:rPr>
        <w:t>oratory</w:t>
      </w:r>
      <w:r w:rsidR="00C01C8C" w:rsidRPr="001D707C">
        <w:rPr>
          <w:rFonts w:asciiTheme="majorHAnsi" w:hAnsiTheme="majorHAnsi"/>
          <w:sz w:val="24"/>
          <w:szCs w:val="24"/>
        </w:rPr>
        <w:t>, we</w:t>
      </w:r>
      <w:r w:rsidR="00B862A4" w:rsidRPr="001D707C">
        <w:rPr>
          <w:rFonts w:asciiTheme="majorHAnsi" w:hAnsiTheme="majorHAnsi"/>
          <w:sz w:val="24"/>
          <w:szCs w:val="24"/>
        </w:rPr>
        <w:t xml:space="preserve"> suggest that there may be opportunities to redu</w:t>
      </w:r>
      <w:r w:rsidR="00C01C8C" w:rsidRPr="001D707C">
        <w:rPr>
          <w:rFonts w:asciiTheme="majorHAnsi" w:hAnsiTheme="majorHAnsi"/>
          <w:sz w:val="24"/>
          <w:szCs w:val="24"/>
        </w:rPr>
        <w:t>ce lab teaching</w:t>
      </w:r>
      <w:r w:rsidR="00F165FE">
        <w:rPr>
          <w:rFonts w:asciiTheme="majorHAnsi" w:hAnsiTheme="majorHAnsi"/>
          <w:sz w:val="24"/>
          <w:szCs w:val="24"/>
        </w:rPr>
        <w:t>,</w:t>
      </w:r>
      <w:r w:rsidR="00C01C8C" w:rsidRPr="001D707C">
        <w:rPr>
          <w:rFonts w:asciiTheme="majorHAnsi" w:hAnsiTheme="majorHAnsi"/>
          <w:sz w:val="24"/>
          <w:szCs w:val="24"/>
        </w:rPr>
        <w:t xml:space="preserve"> </w:t>
      </w:r>
      <w:r w:rsidR="00F165FE">
        <w:rPr>
          <w:rFonts w:asciiTheme="majorHAnsi" w:hAnsiTheme="majorHAnsi"/>
          <w:sz w:val="24"/>
          <w:szCs w:val="24"/>
        </w:rPr>
        <w:t>and in doing so,</w:t>
      </w:r>
      <w:r w:rsidR="00F165FE" w:rsidRPr="001D707C">
        <w:rPr>
          <w:rFonts w:asciiTheme="majorHAnsi" w:hAnsiTheme="majorHAnsi"/>
          <w:sz w:val="24"/>
          <w:szCs w:val="24"/>
        </w:rPr>
        <w:t xml:space="preserve"> </w:t>
      </w:r>
      <w:r w:rsidR="00C01C8C" w:rsidRPr="001D707C">
        <w:rPr>
          <w:rFonts w:asciiTheme="majorHAnsi" w:hAnsiTheme="majorHAnsi"/>
          <w:sz w:val="24"/>
          <w:szCs w:val="24"/>
        </w:rPr>
        <w:t xml:space="preserve">meet industry needs for </w:t>
      </w:r>
      <w:r w:rsidR="00B862A4" w:rsidRPr="001D707C">
        <w:rPr>
          <w:rFonts w:asciiTheme="majorHAnsi" w:hAnsiTheme="majorHAnsi"/>
          <w:sz w:val="24"/>
          <w:szCs w:val="24"/>
        </w:rPr>
        <w:t>more computational and policy-related knowle</w:t>
      </w:r>
      <w:r w:rsidR="00C01C8C" w:rsidRPr="001D707C">
        <w:rPr>
          <w:rFonts w:asciiTheme="majorHAnsi" w:hAnsiTheme="majorHAnsi"/>
          <w:sz w:val="24"/>
          <w:szCs w:val="24"/>
        </w:rPr>
        <w:t>dge</w:t>
      </w:r>
      <w:r w:rsidR="00B862A4" w:rsidRPr="001D707C">
        <w:rPr>
          <w:rFonts w:asciiTheme="majorHAnsi" w:hAnsiTheme="majorHAnsi"/>
          <w:sz w:val="24"/>
          <w:szCs w:val="24"/>
        </w:rPr>
        <w:t xml:space="preserve">.  </w:t>
      </w:r>
      <w:r w:rsidR="00C01C8C" w:rsidRPr="001D707C">
        <w:rPr>
          <w:rFonts w:asciiTheme="majorHAnsi" w:hAnsiTheme="majorHAnsi"/>
          <w:sz w:val="24"/>
          <w:szCs w:val="24"/>
        </w:rPr>
        <w:t xml:space="preserve">There may be opportunities for academic teams to build relationships with local business and industry partners to find new solutions, and think about how agility can be incorporated into curriculum design to accommodate the rapidly changing external environment. In this paper we share examples of how the authors work together to enhance student employability. Further research is required to understand the views of each stakeholder - student, academic and business or industry partner, in order to fully understand the context of </w:t>
      </w:r>
      <w:r w:rsidR="00F165FE">
        <w:rPr>
          <w:rFonts w:asciiTheme="majorHAnsi" w:hAnsiTheme="majorHAnsi"/>
          <w:sz w:val="24"/>
          <w:szCs w:val="24"/>
        </w:rPr>
        <w:t xml:space="preserve">the </w:t>
      </w:r>
      <w:r w:rsidR="00C01C8C" w:rsidRPr="001D707C">
        <w:rPr>
          <w:rFonts w:asciiTheme="majorHAnsi" w:hAnsiTheme="majorHAnsi"/>
          <w:sz w:val="24"/>
          <w:szCs w:val="24"/>
        </w:rPr>
        <w:t>problems and possible solutions.</w:t>
      </w:r>
    </w:p>
    <w:p w14:paraId="00000024" w14:textId="77777777" w:rsidR="00F135CF" w:rsidRPr="001D707C" w:rsidRDefault="00F135CF">
      <w:pPr>
        <w:pStyle w:val="Normal1"/>
        <w:rPr>
          <w:rFonts w:asciiTheme="majorHAnsi" w:hAnsiTheme="majorHAnsi"/>
          <w:sz w:val="24"/>
          <w:szCs w:val="24"/>
        </w:rPr>
      </w:pPr>
    </w:p>
    <w:p w14:paraId="00000025" w14:textId="77777777" w:rsidR="00F135CF" w:rsidRPr="001D707C" w:rsidRDefault="00B862A4">
      <w:pPr>
        <w:pStyle w:val="Normal1"/>
        <w:rPr>
          <w:rFonts w:asciiTheme="majorHAnsi" w:hAnsiTheme="majorHAnsi"/>
          <w:sz w:val="24"/>
          <w:szCs w:val="24"/>
        </w:rPr>
      </w:pPr>
      <w:r w:rsidRPr="001D707C">
        <w:rPr>
          <w:rFonts w:asciiTheme="majorHAnsi" w:hAnsiTheme="majorHAnsi"/>
          <w:b/>
          <w:sz w:val="24"/>
          <w:szCs w:val="24"/>
        </w:rPr>
        <w:t>Keywords 5 - 6</w:t>
      </w:r>
    </w:p>
    <w:p w14:paraId="00000026" w14:textId="1E71025F" w:rsidR="00F135CF" w:rsidRPr="001D707C" w:rsidRDefault="00744ACE">
      <w:pPr>
        <w:pStyle w:val="Normal1"/>
        <w:rPr>
          <w:rFonts w:asciiTheme="majorHAnsi" w:hAnsiTheme="majorHAnsi"/>
          <w:sz w:val="24"/>
          <w:szCs w:val="24"/>
        </w:rPr>
      </w:pPr>
      <w:r w:rsidRPr="00822F2E">
        <w:rPr>
          <w:rFonts w:asciiTheme="majorHAnsi" w:hAnsiTheme="majorHAnsi"/>
          <w:sz w:val="24"/>
          <w:szCs w:val="24"/>
        </w:rPr>
        <w:lastRenderedPageBreak/>
        <w:t>SARS-CoV-2</w:t>
      </w:r>
      <w:r>
        <w:rPr>
          <w:rFonts w:asciiTheme="majorHAnsi" w:hAnsiTheme="majorHAnsi"/>
          <w:sz w:val="24"/>
          <w:szCs w:val="24"/>
        </w:rPr>
        <w:t xml:space="preserve">, </w:t>
      </w:r>
      <w:r w:rsidR="00B862A4" w:rsidRPr="001D707C">
        <w:rPr>
          <w:rFonts w:asciiTheme="majorHAnsi" w:hAnsiTheme="majorHAnsi"/>
          <w:sz w:val="24"/>
          <w:szCs w:val="24"/>
        </w:rPr>
        <w:t>Covid-19, laboratory practicals, undergraduate projects, student placements, bioscience, higher education, STEM</w:t>
      </w:r>
    </w:p>
    <w:p w14:paraId="00000027" w14:textId="77777777" w:rsidR="00F135CF" w:rsidRPr="001D707C" w:rsidRDefault="00F135CF">
      <w:pPr>
        <w:pStyle w:val="Normal1"/>
        <w:rPr>
          <w:rFonts w:asciiTheme="majorHAnsi" w:hAnsiTheme="majorHAnsi"/>
          <w:sz w:val="24"/>
          <w:szCs w:val="24"/>
        </w:rPr>
      </w:pPr>
    </w:p>
    <w:p w14:paraId="00000028" w14:textId="77777777" w:rsidR="00F135CF" w:rsidRPr="001D707C" w:rsidRDefault="00B862A4">
      <w:pPr>
        <w:pStyle w:val="Normal1"/>
        <w:rPr>
          <w:rFonts w:asciiTheme="majorHAnsi" w:hAnsiTheme="majorHAnsi"/>
          <w:b/>
          <w:sz w:val="24"/>
          <w:szCs w:val="24"/>
        </w:rPr>
      </w:pPr>
      <w:r w:rsidRPr="001D707C">
        <w:rPr>
          <w:rFonts w:asciiTheme="majorHAnsi" w:hAnsiTheme="majorHAnsi"/>
          <w:b/>
          <w:sz w:val="24"/>
          <w:szCs w:val="24"/>
        </w:rPr>
        <w:t>Introduction</w:t>
      </w:r>
    </w:p>
    <w:p w14:paraId="0000002A" w14:textId="663519BE" w:rsidR="00F135CF" w:rsidRPr="001D707C" w:rsidRDefault="00744ACE">
      <w:pPr>
        <w:pStyle w:val="Normal1"/>
        <w:rPr>
          <w:rFonts w:asciiTheme="majorHAnsi" w:hAnsiTheme="majorHAnsi"/>
          <w:sz w:val="24"/>
          <w:szCs w:val="24"/>
        </w:rPr>
      </w:pPr>
      <w:r w:rsidRPr="00744ACE">
        <w:rPr>
          <w:rFonts w:asciiTheme="majorHAnsi" w:hAnsiTheme="majorHAnsi"/>
          <w:sz w:val="24"/>
          <w:szCs w:val="24"/>
        </w:rPr>
        <w:t>The World Health Organisation characterised the coronavirus 2019 (Covid-19) outbreak as a pandemic on March 11</w:t>
      </w:r>
      <w:r w:rsidRPr="00744ACE">
        <w:rPr>
          <w:rFonts w:asciiTheme="majorHAnsi" w:hAnsiTheme="majorHAnsi"/>
          <w:sz w:val="24"/>
          <w:szCs w:val="24"/>
          <w:vertAlign w:val="superscript"/>
        </w:rPr>
        <w:t>th</w:t>
      </w:r>
      <w:r w:rsidRPr="00744ACE">
        <w:rPr>
          <w:rFonts w:asciiTheme="majorHAnsi" w:hAnsiTheme="majorHAnsi"/>
          <w:sz w:val="24"/>
          <w:szCs w:val="24"/>
        </w:rPr>
        <w:t xml:space="preserve"> 2020, </w:t>
      </w:r>
      <w:r>
        <w:rPr>
          <w:rFonts w:asciiTheme="majorHAnsi" w:hAnsiTheme="majorHAnsi"/>
          <w:sz w:val="24"/>
          <w:szCs w:val="24"/>
        </w:rPr>
        <w:t xml:space="preserve">as </w:t>
      </w:r>
      <w:r w:rsidRPr="00744ACE">
        <w:rPr>
          <w:rFonts w:asciiTheme="majorHAnsi" w:hAnsiTheme="majorHAnsi"/>
          <w:sz w:val="24"/>
          <w:szCs w:val="24"/>
        </w:rPr>
        <w:t>caused by a severe acute respiratory syndrome coronavi</w:t>
      </w:r>
      <w:r>
        <w:rPr>
          <w:rFonts w:asciiTheme="majorHAnsi" w:hAnsiTheme="majorHAnsi"/>
          <w:sz w:val="24"/>
          <w:szCs w:val="24"/>
        </w:rPr>
        <w:t>rus 2 (SARS-CoV-2) (WHO</w:t>
      </w:r>
      <w:r w:rsidRPr="00744ACE">
        <w:rPr>
          <w:rFonts w:asciiTheme="majorHAnsi" w:hAnsiTheme="majorHAnsi"/>
          <w:sz w:val="24"/>
          <w:szCs w:val="24"/>
        </w:rPr>
        <w:t xml:space="preserve"> 2020). </w:t>
      </w:r>
      <w:r w:rsidR="00B862A4" w:rsidRPr="001D707C">
        <w:rPr>
          <w:rFonts w:asciiTheme="majorHAnsi" w:hAnsiTheme="majorHAnsi"/>
          <w:sz w:val="24"/>
          <w:szCs w:val="24"/>
        </w:rPr>
        <w:t>As a result, from mid-March 2020</w:t>
      </w:r>
      <w:r w:rsidR="00F165FE">
        <w:rPr>
          <w:rFonts w:asciiTheme="majorHAnsi" w:hAnsiTheme="majorHAnsi"/>
          <w:sz w:val="24"/>
          <w:szCs w:val="24"/>
        </w:rPr>
        <w:t>,</w:t>
      </w:r>
      <w:r w:rsidR="00B862A4" w:rsidRPr="001D707C">
        <w:rPr>
          <w:rFonts w:asciiTheme="majorHAnsi" w:hAnsiTheme="majorHAnsi"/>
          <w:sz w:val="24"/>
          <w:szCs w:val="24"/>
        </w:rPr>
        <w:t xml:space="preserve"> all UK Higher Education Institutions suspended campus activity and moved to remote learning teaching (</w:t>
      </w:r>
      <w:r w:rsidR="00691C36" w:rsidRPr="001D707C">
        <w:rPr>
          <w:rFonts w:asciiTheme="majorHAnsi" w:hAnsiTheme="majorHAnsi"/>
          <w:sz w:val="24"/>
          <w:szCs w:val="24"/>
        </w:rPr>
        <w:t>Kernohan</w:t>
      </w:r>
      <w:r w:rsidR="00B862A4" w:rsidRPr="001D707C">
        <w:rPr>
          <w:rFonts w:asciiTheme="majorHAnsi" w:hAnsiTheme="majorHAnsi"/>
          <w:sz w:val="24"/>
          <w:szCs w:val="24"/>
        </w:rPr>
        <w:t xml:space="preserve"> 2020</w:t>
      </w:r>
      <w:r w:rsidR="00436EDD" w:rsidRPr="001D707C">
        <w:rPr>
          <w:rFonts w:asciiTheme="majorHAnsi" w:hAnsiTheme="majorHAnsi"/>
          <w:sz w:val="24"/>
          <w:szCs w:val="24"/>
        </w:rPr>
        <w:t>). The start of the A</w:t>
      </w:r>
      <w:r w:rsidR="00B862A4" w:rsidRPr="001D707C">
        <w:rPr>
          <w:rFonts w:asciiTheme="majorHAnsi" w:hAnsiTheme="majorHAnsi"/>
          <w:sz w:val="24"/>
          <w:szCs w:val="24"/>
        </w:rPr>
        <w:t xml:space="preserve">utumn term saw parts of the sector in lockdown once more after a brief respite. </w:t>
      </w:r>
      <w:r w:rsidR="00F06E7A">
        <w:rPr>
          <w:rFonts w:asciiTheme="majorHAnsi" w:hAnsiTheme="majorHAnsi"/>
          <w:sz w:val="24"/>
          <w:szCs w:val="24"/>
        </w:rPr>
        <w:t>Researchers have discussed</w:t>
      </w:r>
      <w:r w:rsidR="00B862A4" w:rsidRPr="001D707C">
        <w:rPr>
          <w:rFonts w:asciiTheme="majorHAnsi" w:hAnsiTheme="majorHAnsi"/>
          <w:sz w:val="24"/>
          <w:szCs w:val="24"/>
        </w:rPr>
        <w:t xml:space="preserve"> how to transfer lectures and tutorials online,  and how to recreate a sense of learning community to facilitate interactions between students, their peers and their teaching staff (</w:t>
      </w:r>
      <w:r w:rsidR="00691C36" w:rsidRPr="001D707C">
        <w:rPr>
          <w:rFonts w:asciiTheme="majorHAnsi" w:hAnsiTheme="majorHAnsi"/>
          <w:sz w:val="24"/>
          <w:szCs w:val="24"/>
        </w:rPr>
        <w:t>Turner</w:t>
      </w:r>
      <w:r w:rsidR="00B862A4" w:rsidRPr="001D707C">
        <w:rPr>
          <w:rFonts w:asciiTheme="majorHAnsi" w:hAnsiTheme="majorHAnsi"/>
          <w:sz w:val="24"/>
          <w:szCs w:val="24"/>
        </w:rPr>
        <w:t xml:space="preserve"> 2020)</w:t>
      </w:r>
      <w:r w:rsidR="00F06E7A">
        <w:rPr>
          <w:rFonts w:asciiTheme="majorHAnsi" w:hAnsiTheme="majorHAnsi"/>
          <w:sz w:val="24"/>
          <w:szCs w:val="24"/>
        </w:rPr>
        <w:t xml:space="preserve">, and </w:t>
      </w:r>
      <w:r w:rsidR="00F165FE">
        <w:rPr>
          <w:rFonts w:asciiTheme="majorHAnsi" w:hAnsiTheme="majorHAnsi"/>
          <w:sz w:val="24"/>
          <w:szCs w:val="24"/>
        </w:rPr>
        <w:t xml:space="preserve">have </w:t>
      </w:r>
      <w:r w:rsidR="00F06E7A">
        <w:rPr>
          <w:rFonts w:asciiTheme="majorHAnsi" w:hAnsiTheme="majorHAnsi"/>
          <w:sz w:val="24"/>
          <w:szCs w:val="24"/>
        </w:rPr>
        <w:t xml:space="preserve">also considered the implications for assessment and quality assurance for </w:t>
      </w:r>
      <w:r w:rsidR="00F165FE">
        <w:rPr>
          <w:rFonts w:asciiTheme="majorHAnsi" w:hAnsiTheme="majorHAnsi"/>
          <w:sz w:val="24"/>
          <w:szCs w:val="24"/>
        </w:rPr>
        <w:t>transfering</w:t>
      </w:r>
      <w:r w:rsidR="00F06E7A">
        <w:rPr>
          <w:rFonts w:asciiTheme="majorHAnsi" w:hAnsiTheme="majorHAnsi"/>
          <w:sz w:val="24"/>
          <w:szCs w:val="24"/>
        </w:rPr>
        <w:t xml:space="preserve"> practicals online </w:t>
      </w:r>
      <w:r w:rsidR="00F165FE">
        <w:rPr>
          <w:rFonts w:asciiTheme="majorHAnsi" w:hAnsiTheme="majorHAnsi"/>
          <w:sz w:val="24"/>
          <w:szCs w:val="24"/>
        </w:rPr>
        <w:t>in</w:t>
      </w:r>
      <w:r w:rsidR="00F06E7A">
        <w:rPr>
          <w:rFonts w:asciiTheme="majorHAnsi" w:hAnsiTheme="majorHAnsi"/>
          <w:sz w:val="24"/>
          <w:szCs w:val="24"/>
        </w:rPr>
        <w:t xml:space="preserve"> engineering and bioscience subjects  (Gamage, </w:t>
      </w:r>
      <w:r w:rsidR="00F06E7A" w:rsidRPr="00626238">
        <w:rPr>
          <w:color w:val="333333"/>
        </w:rPr>
        <w:t xml:space="preserve">Wijesuriya, Ekanayake, Rennie, </w:t>
      </w:r>
      <w:r w:rsidR="00F06E7A">
        <w:rPr>
          <w:color w:val="333333"/>
        </w:rPr>
        <w:t xml:space="preserve">Lambert &amp; </w:t>
      </w:r>
      <w:r w:rsidR="00F06E7A" w:rsidRPr="00626238">
        <w:rPr>
          <w:color w:val="333333"/>
        </w:rPr>
        <w:t>Gunawardhana</w:t>
      </w:r>
      <w:r w:rsidR="00F06E7A">
        <w:rPr>
          <w:color w:val="333333"/>
        </w:rPr>
        <w:t xml:space="preserve"> 2020).</w:t>
      </w:r>
      <w:r w:rsidR="00F06E7A">
        <w:rPr>
          <w:rFonts w:asciiTheme="majorHAnsi" w:hAnsiTheme="majorHAnsi"/>
          <w:sz w:val="24"/>
          <w:szCs w:val="24"/>
        </w:rPr>
        <w:t xml:space="preserve"> </w:t>
      </w:r>
      <w:r w:rsidR="00B862A4" w:rsidRPr="001D707C">
        <w:rPr>
          <w:rFonts w:asciiTheme="majorHAnsi" w:hAnsiTheme="majorHAnsi"/>
          <w:sz w:val="24"/>
          <w:szCs w:val="24"/>
        </w:rPr>
        <w:t xml:space="preserve">However, there has been less conversation about how to accommodate student placements, critical elements within most biological and biomedical science programmes to enable students to achieve the knowledge and skills desired by potential employers. As universities have raced to convert face-to-face teaching to online delivery, perhaps the pandemic also provides an opportunity to reconsider </w:t>
      </w:r>
      <w:r w:rsidR="00211BC6">
        <w:rPr>
          <w:rFonts w:asciiTheme="majorHAnsi" w:hAnsiTheme="majorHAnsi"/>
          <w:sz w:val="24"/>
          <w:szCs w:val="24"/>
        </w:rPr>
        <w:t>some</w:t>
      </w:r>
      <w:r w:rsidR="00F06E7A">
        <w:rPr>
          <w:rFonts w:asciiTheme="majorHAnsi" w:hAnsiTheme="majorHAnsi"/>
          <w:sz w:val="24"/>
          <w:szCs w:val="24"/>
        </w:rPr>
        <w:t xml:space="preserve"> </w:t>
      </w:r>
      <w:r w:rsidR="00B862A4" w:rsidRPr="001D707C">
        <w:rPr>
          <w:rFonts w:asciiTheme="majorHAnsi" w:hAnsiTheme="majorHAnsi"/>
          <w:sz w:val="24"/>
          <w:szCs w:val="24"/>
        </w:rPr>
        <w:t>practicals</w:t>
      </w:r>
      <w:r w:rsidR="00211BC6">
        <w:rPr>
          <w:rFonts w:asciiTheme="majorHAnsi" w:hAnsiTheme="majorHAnsi"/>
          <w:sz w:val="24"/>
          <w:szCs w:val="24"/>
        </w:rPr>
        <w:t>, projects</w:t>
      </w:r>
      <w:r w:rsidR="00B862A4" w:rsidRPr="001D707C">
        <w:rPr>
          <w:rFonts w:asciiTheme="majorHAnsi" w:hAnsiTheme="majorHAnsi"/>
          <w:sz w:val="24"/>
          <w:szCs w:val="24"/>
        </w:rPr>
        <w:t xml:space="preserve"> and placements as part of a wider transformation </w:t>
      </w:r>
      <w:r w:rsidR="00802E93" w:rsidRPr="001D707C">
        <w:rPr>
          <w:rFonts w:asciiTheme="majorHAnsi" w:hAnsiTheme="majorHAnsi"/>
          <w:sz w:val="24"/>
          <w:szCs w:val="24"/>
        </w:rPr>
        <w:t xml:space="preserve">in response to </w:t>
      </w:r>
      <w:r w:rsidR="00B862A4" w:rsidRPr="001D707C">
        <w:rPr>
          <w:rFonts w:asciiTheme="majorHAnsi" w:hAnsiTheme="majorHAnsi"/>
          <w:sz w:val="24"/>
          <w:szCs w:val="24"/>
        </w:rPr>
        <w:t xml:space="preserve">changing local and global contexts. </w:t>
      </w:r>
    </w:p>
    <w:p w14:paraId="0000002B" w14:textId="77777777" w:rsidR="00F135CF" w:rsidRPr="001D707C" w:rsidRDefault="00F135CF">
      <w:pPr>
        <w:pStyle w:val="Normal1"/>
        <w:rPr>
          <w:rFonts w:asciiTheme="majorHAnsi" w:hAnsiTheme="majorHAnsi"/>
          <w:sz w:val="24"/>
          <w:szCs w:val="24"/>
        </w:rPr>
      </w:pPr>
    </w:p>
    <w:p w14:paraId="0000002C" w14:textId="38B5961A" w:rsidR="00F135CF" w:rsidRPr="001D707C" w:rsidRDefault="004A078F">
      <w:pPr>
        <w:pStyle w:val="Normal1"/>
        <w:rPr>
          <w:rFonts w:asciiTheme="majorHAnsi" w:hAnsiTheme="majorHAnsi"/>
          <w:sz w:val="24"/>
          <w:szCs w:val="24"/>
        </w:rPr>
      </w:pPr>
      <w:r w:rsidRPr="001D707C">
        <w:rPr>
          <w:rFonts w:asciiTheme="majorHAnsi" w:hAnsiTheme="majorHAnsi"/>
          <w:sz w:val="24"/>
          <w:szCs w:val="24"/>
        </w:rPr>
        <w:t xml:space="preserve">Biological and biomedical science programmes, often termed ‘biosciences’ or life sciences, are </w:t>
      </w:r>
      <w:r w:rsidR="00B862A4" w:rsidRPr="001D707C">
        <w:rPr>
          <w:rFonts w:asciiTheme="majorHAnsi" w:hAnsiTheme="majorHAnsi"/>
          <w:sz w:val="24"/>
          <w:szCs w:val="24"/>
        </w:rPr>
        <w:t>estimated to include 500 hours of practical teaching</w:t>
      </w:r>
      <w:r w:rsidRPr="001D707C">
        <w:rPr>
          <w:rFonts w:asciiTheme="majorHAnsi" w:hAnsiTheme="majorHAnsi"/>
          <w:sz w:val="24"/>
          <w:szCs w:val="24"/>
        </w:rPr>
        <w:t xml:space="preserve"> over three years</w:t>
      </w:r>
      <w:r w:rsidR="00B862A4" w:rsidRPr="001D707C">
        <w:rPr>
          <w:rFonts w:asciiTheme="majorHAnsi" w:hAnsiTheme="majorHAnsi"/>
          <w:sz w:val="24"/>
          <w:szCs w:val="24"/>
        </w:rPr>
        <w:t>, integrated within modules and final year projects (</w:t>
      </w:r>
      <w:r w:rsidR="00691C36" w:rsidRPr="001D707C">
        <w:rPr>
          <w:rFonts w:asciiTheme="majorHAnsi" w:hAnsiTheme="majorHAnsi"/>
          <w:sz w:val="24"/>
          <w:szCs w:val="24"/>
        </w:rPr>
        <w:t>Coward and Gray</w:t>
      </w:r>
      <w:r w:rsidR="00B862A4" w:rsidRPr="001D707C">
        <w:rPr>
          <w:rFonts w:asciiTheme="majorHAnsi" w:hAnsiTheme="majorHAnsi"/>
          <w:sz w:val="24"/>
          <w:szCs w:val="24"/>
        </w:rPr>
        <w:t xml:space="preserve"> 2014). As a resul</w:t>
      </w:r>
      <w:r w:rsidR="00436EDD" w:rsidRPr="001D707C">
        <w:rPr>
          <w:rFonts w:asciiTheme="majorHAnsi" w:hAnsiTheme="majorHAnsi"/>
          <w:sz w:val="24"/>
          <w:szCs w:val="24"/>
        </w:rPr>
        <w:t>t of Covid-19, practicals were rearranged</w:t>
      </w:r>
      <w:r w:rsidR="00F165FE">
        <w:rPr>
          <w:rFonts w:asciiTheme="majorHAnsi" w:hAnsiTheme="majorHAnsi"/>
          <w:sz w:val="24"/>
          <w:szCs w:val="24"/>
        </w:rPr>
        <w:t>,</w:t>
      </w:r>
      <w:r w:rsidR="00B862A4" w:rsidRPr="001D707C">
        <w:rPr>
          <w:rFonts w:asciiTheme="majorHAnsi" w:hAnsiTheme="majorHAnsi"/>
          <w:sz w:val="24"/>
          <w:szCs w:val="24"/>
        </w:rPr>
        <w:t xml:space="preserve"> and </w:t>
      </w:r>
      <w:r w:rsidR="00F165FE">
        <w:rPr>
          <w:rFonts w:asciiTheme="majorHAnsi" w:hAnsiTheme="majorHAnsi"/>
          <w:sz w:val="24"/>
          <w:szCs w:val="24"/>
        </w:rPr>
        <w:t xml:space="preserve">the sector received </w:t>
      </w:r>
      <w:r w:rsidRPr="001D707C">
        <w:rPr>
          <w:rFonts w:asciiTheme="majorHAnsi" w:hAnsiTheme="majorHAnsi"/>
          <w:sz w:val="24"/>
          <w:szCs w:val="24"/>
        </w:rPr>
        <w:t xml:space="preserve">guidance </w:t>
      </w:r>
      <w:r w:rsidR="00F165FE">
        <w:rPr>
          <w:rFonts w:asciiTheme="majorHAnsi" w:hAnsiTheme="majorHAnsi"/>
          <w:sz w:val="24"/>
          <w:szCs w:val="24"/>
        </w:rPr>
        <w:t>on how</w:t>
      </w:r>
      <w:r w:rsidR="00B862A4" w:rsidRPr="001D707C">
        <w:rPr>
          <w:rFonts w:asciiTheme="majorHAnsi" w:hAnsiTheme="majorHAnsi"/>
          <w:sz w:val="24"/>
          <w:szCs w:val="24"/>
        </w:rPr>
        <w:t xml:space="preserve"> to shift to data projects or use remote assessment including use of video (</w:t>
      </w:r>
      <w:r w:rsidR="008D252B">
        <w:rPr>
          <w:rFonts w:asciiTheme="majorHAnsi" w:hAnsiTheme="majorHAnsi"/>
          <w:sz w:val="24"/>
          <w:szCs w:val="24"/>
        </w:rPr>
        <w:t>QAA</w:t>
      </w:r>
      <w:r w:rsidR="00691C36" w:rsidRPr="001D707C">
        <w:rPr>
          <w:rFonts w:asciiTheme="majorHAnsi" w:hAnsiTheme="majorHAnsi"/>
          <w:sz w:val="24"/>
          <w:szCs w:val="24"/>
        </w:rPr>
        <w:t xml:space="preserve"> </w:t>
      </w:r>
      <w:r w:rsidR="00B862A4" w:rsidRPr="001D707C">
        <w:rPr>
          <w:rFonts w:asciiTheme="majorHAnsi" w:hAnsiTheme="majorHAnsi"/>
          <w:sz w:val="24"/>
          <w:szCs w:val="24"/>
        </w:rPr>
        <w:t>2020). Innovative solutions in the US included home-based and on-line lab experiments (</w:t>
      </w:r>
      <w:r w:rsidR="00691C36" w:rsidRPr="001D707C">
        <w:rPr>
          <w:rFonts w:asciiTheme="majorHAnsi" w:hAnsiTheme="majorHAnsi"/>
          <w:sz w:val="24"/>
          <w:szCs w:val="24"/>
        </w:rPr>
        <w:t>The Conversation</w:t>
      </w:r>
      <w:r w:rsidR="00B862A4" w:rsidRPr="001D707C">
        <w:rPr>
          <w:rFonts w:asciiTheme="majorHAnsi" w:hAnsiTheme="majorHAnsi"/>
          <w:sz w:val="24"/>
          <w:szCs w:val="24"/>
        </w:rPr>
        <w:t xml:space="preserve"> 2020).</w:t>
      </w:r>
      <w:r w:rsidR="00435A90" w:rsidRPr="001D707C">
        <w:rPr>
          <w:rFonts w:asciiTheme="majorHAnsi" w:hAnsiTheme="majorHAnsi"/>
          <w:sz w:val="24"/>
          <w:szCs w:val="24"/>
        </w:rPr>
        <w:t xml:space="preserve"> In the Autumn term, universities had began to re-introduce practicals using social distancing measures.</w:t>
      </w:r>
    </w:p>
    <w:p w14:paraId="0000002D" w14:textId="77777777" w:rsidR="00F135CF" w:rsidRPr="001D707C" w:rsidRDefault="00F135CF">
      <w:pPr>
        <w:pStyle w:val="Normal1"/>
        <w:rPr>
          <w:rFonts w:asciiTheme="majorHAnsi" w:hAnsiTheme="majorHAnsi"/>
          <w:sz w:val="24"/>
          <w:szCs w:val="24"/>
        </w:rPr>
      </w:pPr>
    </w:p>
    <w:p w14:paraId="0000002E" w14:textId="0105E4F1" w:rsidR="00F135CF" w:rsidRPr="001D707C" w:rsidRDefault="00B862A4">
      <w:pPr>
        <w:pStyle w:val="Normal1"/>
        <w:widowControl w:val="0"/>
        <w:rPr>
          <w:rFonts w:asciiTheme="majorHAnsi" w:hAnsiTheme="majorHAnsi"/>
          <w:sz w:val="24"/>
          <w:szCs w:val="24"/>
        </w:rPr>
      </w:pPr>
      <w:r w:rsidRPr="001D707C">
        <w:rPr>
          <w:rFonts w:asciiTheme="majorHAnsi" w:hAnsiTheme="majorHAnsi"/>
          <w:sz w:val="24"/>
          <w:szCs w:val="24"/>
        </w:rPr>
        <w:t xml:space="preserve">For student placements the impact of Covid-19 is less clear but likely to be significant. An estimated 8.1% of science students take a sandwich year (at least a 6 month work placement), and for Biological Sciences this is steadily growing in number ( 7% of students) </w:t>
      </w:r>
      <w:r w:rsidR="00435A90" w:rsidRPr="001D707C">
        <w:rPr>
          <w:rFonts w:asciiTheme="majorHAnsi" w:hAnsiTheme="majorHAnsi"/>
          <w:sz w:val="24"/>
          <w:szCs w:val="24"/>
        </w:rPr>
        <w:t xml:space="preserve">although in other areas, for example, </w:t>
      </w:r>
      <w:r w:rsidRPr="001D707C">
        <w:rPr>
          <w:rFonts w:asciiTheme="majorHAnsi" w:hAnsiTheme="majorHAnsi"/>
          <w:sz w:val="24"/>
          <w:szCs w:val="24"/>
        </w:rPr>
        <w:t>Subjects Allied To Medicine</w:t>
      </w:r>
      <w:r w:rsidR="00435A90" w:rsidRPr="001D707C">
        <w:rPr>
          <w:rFonts w:asciiTheme="majorHAnsi" w:hAnsiTheme="majorHAnsi"/>
          <w:sz w:val="24"/>
          <w:szCs w:val="24"/>
        </w:rPr>
        <w:t>,</w:t>
      </w:r>
      <w:r w:rsidRPr="001D707C">
        <w:rPr>
          <w:rFonts w:asciiTheme="majorHAnsi" w:hAnsiTheme="majorHAnsi"/>
          <w:sz w:val="24"/>
          <w:szCs w:val="24"/>
        </w:rPr>
        <w:t xml:space="preserve"> the popularity is declining (1.7% of students) (</w:t>
      </w:r>
      <w:r w:rsidR="00691C36" w:rsidRPr="001D707C">
        <w:rPr>
          <w:rFonts w:asciiTheme="majorHAnsi" w:hAnsiTheme="majorHAnsi"/>
          <w:sz w:val="24"/>
          <w:szCs w:val="24"/>
        </w:rPr>
        <w:t>HESA 2020a and HESA 2020b</w:t>
      </w:r>
      <w:r w:rsidRPr="001D707C">
        <w:rPr>
          <w:rFonts w:asciiTheme="majorHAnsi" w:hAnsiTheme="majorHAnsi"/>
          <w:sz w:val="24"/>
          <w:szCs w:val="24"/>
        </w:rPr>
        <w:t>). More male students undertake placements than female students. There is no disaggregated data on ethnicity. The impact of Covid-19 on sandwich placements is as yet unknown, but it is estimated that 26% of final year students have lost</w:t>
      </w:r>
      <w:r w:rsidR="00F165FE">
        <w:rPr>
          <w:rFonts w:asciiTheme="majorHAnsi" w:hAnsiTheme="majorHAnsi"/>
          <w:sz w:val="24"/>
          <w:szCs w:val="24"/>
        </w:rPr>
        <w:t xml:space="preserve"> </w:t>
      </w:r>
      <w:r w:rsidR="002515E6" w:rsidRPr="001D707C">
        <w:rPr>
          <w:rFonts w:asciiTheme="majorHAnsi" w:hAnsiTheme="majorHAnsi"/>
          <w:sz w:val="24"/>
          <w:szCs w:val="24"/>
        </w:rPr>
        <w:t xml:space="preserve">internships </w:t>
      </w:r>
      <w:r w:rsidR="00211BC6">
        <w:rPr>
          <w:rFonts w:asciiTheme="majorHAnsi" w:hAnsiTheme="majorHAnsi"/>
          <w:sz w:val="24"/>
          <w:szCs w:val="24"/>
        </w:rPr>
        <w:t>in 2020</w:t>
      </w:r>
      <w:r w:rsidRPr="001D707C">
        <w:rPr>
          <w:rFonts w:asciiTheme="majorHAnsi" w:hAnsiTheme="majorHAnsi"/>
          <w:sz w:val="24"/>
          <w:szCs w:val="24"/>
        </w:rPr>
        <w:t xml:space="preserve"> (</w:t>
      </w:r>
      <w:r w:rsidR="00691C36" w:rsidRPr="001D707C">
        <w:rPr>
          <w:rFonts w:asciiTheme="majorHAnsi" w:hAnsiTheme="majorHAnsi"/>
          <w:sz w:val="24"/>
          <w:szCs w:val="24"/>
        </w:rPr>
        <w:t>Greaves</w:t>
      </w:r>
      <w:r w:rsidRPr="001D707C">
        <w:rPr>
          <w:rFonts w:asciiTheme="majorHAnsi" w:hAnsiTheme="majorHAnsi"/>
          <w:sz w:val="24"/>
          <w:szCs w:val="24"/>
        </w:rPr>
        <w:t xml:space="preserve"> 2020).</w:t>
      </w:r>
    </w:p>
    <w:p w14:paraId="0000002F" w14:textId="77777777" w:rsidR="00F135CF" w:rsidRPr="001D707C" w:rsidRDefault="00F135CF">
      <w:pPr>
        <w:pStyle w:val="Normal1"/>
        <w:rPr>
          <w:rFonts w:asciiTheme="majorHAnsi" w:hAnsiTheme="majorHAnsi"/>
          <w:sz w:val="24"/>
          <w:szCs w:val="24"/>
        </w:rPr>
      </w:pPr>
    </w:p>
    <w:p w14:paraId="00000030" w14:textId="32F8D757" w:rsidR="00F135CF" w:rsidRPr="001D707C" w:rsidRDefault="002515E6">
      <w:pPr>
        <w:pStyle w:val="Normal1"/>
        <w:rPr>
          <w:rFonts w:asciiTheme="majorHAnsi" w:hAnsiTheme="majorHAnsi"/>
          <w:sz w:val="24"/>
          <w:szCs w:val="24"/>
        </w:rPr>
      </w:pPr>
      <w:r w:rsidRPr="001D707C">
        <w:rPr>
          <w:rFonts w:asciiTheme="majorHAnsi" w:hAnsiTheme="majorHAnsi"/>
          <w:sz w:val="24"/>
          <w:szCs w:val="24"/>
        </w:rPr>
        <w:lastRenderedPageBreak/>
        <w:t>G</w:t>
      </w:r>
      <w:r w:rsidR="00B862A4" w:rsidRPr="001D707C">
        <w:rPr>
          <w:rFonts w:asciiTheme="majorHAnsi" w:hAnsiTheme="majorHAnsi"/>
          <w:sz w:val="24"/>
          <w:szCs w:val="24"/>
        </w:rPr>
        <w:t xml:space="preserve">aining work experience during undergraduate study </w:t>
      </w:r>
      <w:r w:rsidRPr="001D707C">
        <w:rPr>
          <w:rFonts w:asciiTheme="majorHAnsi" w:hAnsiTheme="majorHAnsi"/>
          <w:sz w:val="24"/>
          <w:szCs w:val="24"/>
        </w:rPr>
        <w:t>is</w:t>
      </w:r>
      <w:r w:rsidR="00B862A4" w:rsidRPr="001D707C">
        <w:rPr>
          <w:rFonts w:asciiTheme="majorHAnsi" w:hAnsiTheme="majorHAnsi"/>
          <w:sz w:val="24"/>
          <w:szCs w:val="24"/>
        </w:rPr>
        <w:t xml:space="preserve"> an important differentiator to students entering the bioscience job market. Graduates who have undertaken a placement can realise advantages of a higher degree award outcome (rise of at least one grade boundary) and </w:t>
      </w:r>
      <w:r w:rsidR="00211BC6">
        <w:rPr>
          <w:rFonts w:asciiTheme="majorHAnsi" w:hAnsiTheme="majorHAnsi"/>
          <w:sz w:val="24"/>
          <w:szCs w:val="24"/>
        </w:rPr>
        <w:t xml:space="preserve">a </w:t>
      </w:r>
      <w:r w:rsidR="00B862A4" w:rsidRPr="001D707C">
        <w:rPr>
          <w:rFonts w:asciiTheme="majorHAnsi" w:hAnsiTheme="majorHAnsi"/>
          <w:sz w:val="24"/>
          <w:szCs w:val="24"/>
        </w:rPr>
        <w:t>positive impact on their full-time employment prospects (students surveyed were twice as likely to be in full-time work and less likely to be working part time or volunteering) (</w:t>
      </w:r>
      <w:r w:rsidR="00691C36" w:rsidRPr="001D707C">
        <w:rPr>
          <w:rFonts w:asciiTheme="majorHAnsi" w:hAnsiTheme="majorHAnsi"/>
          <w:sz w:val="24"/>
          <w:szCs w:val="24"/>
        </w:rPr>
        <w:t>Brooks and Youngson</w:t>
      </w:r>
      <w:r w:rsidR="00B862A4" w:rsidRPr="001D707C">
        <w:rPr>
          <w:rFonts w:asciiTheme="majorHAnsi" w:hAnsiTheme="majorHAnsi"/>
          <w:sz w:val="24"/>
          <w:szCs w:val="24"/>
        </w:rPr>
        <w:t xml:space="preserve"> 2014).</w:t>
      </w:r>
    </w:p>
    <w:p w14:paraId="00000031" w14:textId="77777777" w:rsidR="00F135CF" w:rsidRPr="001D707C" w:rsidRDefault="00F135CF">
      <w:pPr>
        <w:pStyle w:val="Normal1"/>
        <w:rPr>
          <w:rFonts w:asciiTheme="majorHAnsi" w:hAnsiTheme="majorHAnsi"/>
          <w:sz w:val="24"/>
          <w:szCs w:val="24"/>
        </w:rPr>
      </w:pPr>
    </w:p>
    <w:p w14:paraId="00000032" w14:textId="5A2CA8EC" w:rsidR="00F135CF" w:rsidRPr="001D707C" w:rsidRDefault="00B862A4">
      <w:pPr>
        <w:pStyle w:val="Normal1"/>
        <w:rPr>
          <w:rFonts w:asciiTheme="majorHAnsi" w:hAnsiTheme="majorHAnsi"/>
          <w:sz w:val="24"/>
          <w:szCs w:val="24"/>
        </w:rPr>
      </w:pPr>
      <w:r w:rsidRPr="001D707C">
        <w:rPr>
          <w:rFonts w:asciiTheme="majorHAnsi" w:hAnsiTheme="majorHAnsi"/>
          <w:sz w:val="24"/>
          <w:szCs w:val="24"/>
        </w:rPr>
        <w:t xml:space="preserve">This paper focuses on how the pandemic and other political and global factors may lead to </w:t>
      </w:r>
      <w:r w:rsidR="002515E6" w:rsidRPr="001D707C">
        <w:rPr>
          <w:rFonts w:asciiTheme="majorHAnsi" w:hAnsiTheme="majorHAnsi"/>
          <w:sz w:val="24"/>
          <w:szCs w:val="24"/>
        </w:rPr>
        <w:t xml:space="preserve">necessary </w:t>
      </w:r>
      <w:r w:rsidRPr="001D707C">
        <w:rPr>
          <w:rFonts w:asciiTheme="majorHAnsi" w:hAnsiTheme="majorHAnsi"/>
          <w:sz w:val="24"/>
          <w:szCs w:val="24"/>
        </w:rPr>
        <w:t xml:space="preserve">alterations in </w:t>
      </w:r>
      <w:r w:rsidR="002515E6" w:rsidRPr="001D707C">
        <w:rPr>
          <w:rFonts w:asciiTheme="majorHAnsi" w:hAnsiTheme="majorHAnsi"/>
          <w:sz w:val="24"/>
          <w:szCs w:val="24"/>
        </w:rPr>
        <w:t>bio</w:t>
      </w:r>
      <w:r w:rsidRPr="001D707C">
        <w:rPr>
          <w:rFonts w:asciiTheme="majorHAnsi" w:hAnsiTheme="majorHAnsi"/>
          <w:sz w:val="24"/>
          <w:szCs w:val="24"/>
        </w:rPr>
        <w:t xml:space="preserve">science curricula and ways of working, and whether there are opportunities to enhance student practical and placement activities to redress changing employer needs, and prepare </w:t>
      </w:r>
      <w:r w:rsidRPr="001D707C">
        <w:rPr>
          <w:rFonts w:asciiTheme="majorHAnsi" w:hAnsiTheme="majorHAnsi"/>
          <w:i/>
          <w:sz w:val="24"/>
          <w:szCs w:val="24"/>
        </w:rPr>
        <w:t>all</w:t>
      </w:r>
      <w:r w:rsidRPr="001D707C">
        <w:rPr>
          <w:rFonts w:asciiTheme="majorHAnsi" w:hAnsiTheme="majorHAnsi"/>
          <w:sz w:val="24"/>
          <w:szCs w:val="24"/>
        </w:rPr>
        <w:t xml:space="preserve"> bioscience students </w:t>
      </w:r>
      <w:r w:rsidR="00F165FE">
        <w:rPr>
          <w:rFonts w:asciiTheme="majorHAnsi" w:hAnsiTheme="majorHAnsi"/>
          <w:sz w:val="24"/>
          <w:szCs w:val="24"/>
        </w:rPr>
        <w:t>for</w:t>
      </w:r>
      <w:r w:rsidRPr="001D707C">
        <w:rPr>
          <w:rFonts w:asciiTheme="majorHAnsi" w:hAnsiTheme="majorHAnsi"/>
          <w:sz w:val="24"/>
          <w:szCs w:val="24"/>
        </w:rPr>
        <w:t xml:space="preserve"> a post-Covid-19 world.</w:t>
      </w:r>
    </w:p>
    <w:p w14:paraId="00000033" w14:textId="77777777" w:rsidR="00F135CF" w:rsidRPr="001D707C" w:rsidRDefault="00F135CF">
      <w:pPr>
        <w:pStyle w:val="Normal1"/>
        <w:rPr>
          <w:rFonts w:asciiTheme="majorHAnsi" w:hAnsiTheme="majorHAnsi"/>
          <w:sz w:val="24"/>
          <w:szCs w:val="24"/>
        </w:rPr>
      </w:pPr>
    </w:p>
    <w:p w14:paraId="00000034" w14:textId="77777777" w:rsidR="00F135CF" w:rsidRPr="001D707C" w:rsidRDefault="00F135CF">
      <w:pPr>
        <w:pStyle w:val="Normal1"/>
        <w:rPr>
          <w:rFonts w:asciiTheme="majorHAnsi" w:hAnsiTheme="majorHAnsi"/>
          <w:sz w:val="24"/>
          <w:szCs w:val="24"/>
        </w:rPr>
      </w:pPr>
    </w:p>
    <w:p w14:paraId="00000035" w14:textId="36254AF1" w:rsidR="00F135CF" w:rsidRPr="001D707C" w:rsidRDefault="00B862A4">
      <w:pPr>
        <w:pStyle w:val="Normal1"/>
        <w:rPr>
          <w:rFonts w:asciiTheme="majorHAnsi" w:hAnsiTheme="majorHAnsi"/>
          <w:sz w:val="24"/>
          <w:szCs w:val="24"/>
        </w:rPr>
      </w:pPr>
      <w:r w:rsidRPr="001D707C">
        <w:rPr>
          <w:rFonts w:asciiTheme="majorHAnsi" w:hAnsiTheme="majorHAnsi"/>
          <w:b/>
          <w:sz w:val="24"/>
          <w:szCs w:val="24"/>
        </w:rPr>
        <w:t>The changing bioscience landscape</w:t>
      </w:r>
    </w:p>
    <w:p w14:paraId="00000036" w14:textId="77777777" w:rsidR="00F135CF" w:rsidRPr="001D707C" w:rsidRDefault="00F135CF">
      <w:pPr>
        <w:pStyle w:val="Normal1"/>
        <w:rPr>
          <w:rFonts w:asciiTheme="majorHAnsi" w:hAnsiTheme="majorHAnsi"/>
          <w:sz w:val="24"/>
          <w:szCs w:val="24"/>
        </w:rPr>
      </w:pPr>
    </w:p>
    <w:p w14:paraId="00000037" w14:textId="77777777" w:rsidR="00F135CF" w:rsidRPr="001D707C" w:rsidRDefault="00B862A4">
      <w:pPr>
        <w:pStyle w:val="Normal1"/>
        <w:rPr>
          <w:rFonts w:asciiTheme="majorHAnsi" w:hAnsiTheme="majorHAnsi"/>
          <w:i/>
          <w:sz w:val="24"/>
          <w:szCs w:val="24"/>
        </w:rPr>
      </w:pPr>
      <w:r w:rsidRPr="001D707C">
        <w:rPr>
          <w:rFonts w:asciiTheme="majorHAnsi" w:hAnsiTheme="majorHAnsi"/>
          <w:b/>
          <w:i/>
          <w:sz w:val="24"/>
          <w:szCs w:val="24"/>
        </w:rPr>
        <w:t>Bioscience sector needs</w:t>
      </w:r>
    </w:p>
    <w:p w14:paraId="00000038" w14:textId="77777777" w:rsidR="00F135CF" w:rsidRPr="001D707C" w:rsidRDefault="00F135CF">
      <w:pPr>
        <w:pStyle w:val="Normal1"/>
        <w:rPr>
          <w:rFonts w:asciiTheme="majorHAnsi" w:hAnsiTheme="majorHAnsi"/>
          <w:sz w:val="24"/>
          <w:szCs w:val="24"/>
        </w:rPr>
      </w:pPr>
    </w:p>
    <w:p w14:paraId="00000039" w14:textId="17227F30" w:rsidR="00F135CF" w:rsidRPr="001D707C" w:rsidRDefault="00B862A4">
      <w:pPr>
        <w:pStyle w:val="Normal1"/>
        <w:rPr>
          <w:rFonts w:asciiTheme="majorHAnsi" w:hAnsiTheme="majorHAnsi"/>
          <w:sz w:val="24"/>
          <w:szCs w:val="24"/>
        </w:rPr>
      </w:pPr>
      <w:r w:rsidRPr="001D707C">
        <w:rPr>
          <w:rFonts w:asciiTheme="majorHAnsi" w:hAnsiTheme="majorHAnsi"/>
          <w:sz w:val="24"/>
          <w:szCs w:val="24"/>
        </w:rPr>
        <w:t>The Association of the British Pharmaceutical Industry (ABPI), in their latest skills-gap analysis, highlight the need for graduates and postgraduates to develop knowledge in the areas of genomics and immunology for the biological sciences, and also computational, mathematical and statistical disciplines (</w:t>
      </w:r>
      <w:r w:rsidR="00691C36" w:rsidRPr="001D707C">
        <w:rPr>
          <w:rFonts w:asciiTheme="majorHAnsi" w:hAnsiTheme="majorHAnsi"/>
          <w:sz w:val="24"/>
          <w:szCs w:val="24"/>
        </w:rPr>
        <w:t>ABPI</w:t>
      </w:r>
      <w:r w:rsidRPr="001D707C">
        <w:rPr>
          <w:rFonts w:asciiTheme="majorHAnsi" w:hAnsiTheme="majorHAnsi"/>
          <w:sz w:val="24"/>
          <w:szCs w:val="24"/>
        </w:rPr>
        <w:t xml:space="preserve"> 2019). The report outlines emerging disciplines </w:t>
      </w:r>
      <w:r w:rsidR="00F165FE">
        <w:rPr>
          <w:rFonts w:asciiTheme="majorHAnsi" w:hAnsiTheme="majorHAnsi"/>
          <w:sz w:val="24"/>
          <w:szCs w:val="24"/>
        </w:rPr>
        <w:t>such as</w:t>
      </w:r>
      <w:r w:rsidRPr="001D707C">
        <w:rPr>
          <w:rFonts w:asciiTheme="majorHAnsi" w:hAnsiTheme="majorHAnsi"/>
          <w:sz w:val="24"/>
          <w:szCs w:val="24"/>
        </w:rPr>
        <w:t xml:space="preserve"> bioinformatics, biomedical imaging, automation and physiological modeling, which </w:t>
      </w:r>
      <w:r w:rsidR="00211BC6">
        <w:rPr>
          <w:rFonts w:asciiTheme="majorHAnsi" w:hAnsiTheme="majorHAnsi"/>
          <w:sz w:val="24"/>
          <w:szCs w:val="24"/>
        </w:rPr>
        <w:t>could</w:t>
      </w:r>
      <w:r w:rsidRPr="001D707C">
        <w:rPr>
          <w:rFonts w:asciiTheme="majorHAnsi" w:hAnsiTheme="majorHAnsi"/>
          <w:sz w:val="24"/>
          <w:szCs w:val="24"/>
        </w:rPr>
        <w:t xml:space="preserve"> be better served through revis</w:t>
      </w:r>
      <w:r w:rsidR="00211BC6">
        <w:rPr>
          <w:rFonts w:asciiTheme="majorHAnsi" w:hAnsiTheme="majorHAnsi"/>
          <w:sz w:val="24"/>
          <w:szCs w:val="24"/>
        </w:rPr>
        <w:t>ing</w:t>
      </w:r>
      <w:r w:rsidRPr="001D707C">
        <w:rPr>
          <w:rFonts w:asciiTheme="majorHAnsi" w:hAnsiTheme="majorHAnsi"/>
          <w:sz w:val="24"/>
          <w:szCs w:val="24"/>
        </w:rPr>
        <w:t xml:space="preserve"> bioscience curricula </w:t>
      </w:r>
      <w:r w:rsidR="00211BC6">
        <w:rPr>
          <w:rFonts w:asciiTheme="majorHAnsi" w:hAnsiTheme="majorHAnsi"/>
          <w:sz w:val="24"/>
          <w:szCs w:val="24"/>
        </w:rPr>
        <w:t>for</w:t>
      </w:r>
      <w:r w:rsidRPr="001D707C">
        <w:rPr>
          <w:rFonts w:asciiTheme="majorHAnsi" w:hAnsiTheme="majorHAnsi"/>
          <w:sz w:val="24"/>
          <w:szCs w:val="24"/>
        </w:rPr>
        <w:t xml:space="preserve"> online</w:t>
      </w:r>
      <w:r w:rsidR="00211BC6">
        <w:rPr>
          <w:rFonts w:asciiTheme="majorHAnsi" w:hAnsiTheme="majorHAnsi"/>
          <w:sz w:val="24"/>
          <w:szCs w:val="24"/>
        </w:rPr>
        <w:t xml:space="preserve"> learning</w:t>
      </w:r>
      <w:r w:rsidR="00F165FE">
        <w:rPr>
          <w:rFonts w:asciiTheme="majorHAnsi" w:hAnsiTheme="majorHAnsi"/>
          <w:sz w:val="24"/>
          <w:szCs w:val="24"/>
        </w:rPr>
        <w:t xml:space="preserve"> </w:t>
      </w:r>
      <w:r w:rsidRPr="001D707C">
        <w:rPr>
          <w:rFonts w:asciiTheme="majorHAnsi" w:hAnsiTheme="majorHAnsi"/>
          <w:sz w:val="24"/>
          <w:szCs w:val="24"/>
        </w:rPr>
        <w:t xml:space="preserve">rather than </w:t>
      </w:r>
      <w:r w:rsidR="00211BC6">
        <w:rPr>
          <w:rFonts w:asciiTheme="majorHAnsi" w:hAnsiTheme="majorHAnsi"/>
          <w:sz w:val="24"/>
          <w:szCs w:val="24"/>
        </w:rPr>
        <w:t xml:space="preserve">needing to be in </w:t>
      </w:r>
      <w:r w:rsidRPr="001D707C">
        <w:rPr>
          <w:rFonts w:asciiTheme="majorHAnsi" w:hAnsiTheme="majorHAnsi"/>
          <w:sz w:val="24"/>
          <w:szCs w:val="24"/>
        </w:rPr>
        <w:t>a physical laborator</w:t>
      </w:r>
      <w:r w:rsidR="00436EDD" w:rsidRPr="001D707C">
        <w:rPr>
          <w:rFonts w:asciiTheme="majorHAnsi" w:hAnsiTheme="majorHAnsi"/>
          <w:sz w:val="24"/>
          <w:szCs w:val="24"/>
        </w:rPr>
        <w:t>y.</w:t>
      </w:r>
    </w:p>
    <w:p w14:paraId="4C1B91A0" w14:textId="0349B5B8" w:rsidR="00A62D9C" w:rsidRPr="001D707C" w:rsidRDefault="00A62D9C">
      <w:pPr>
        <w:pStyle w:val="Normal1"/>
        <w:rPr>
          <w:rFonts w:asciiTheme="majorHAnsi" w:hAnsiTheme="majorHAnsi"/>
          <w:sz w:val="24"/>
          <w:szCs w:val="24"/>
        </w:rPr>
      </w:pPr>
      <w:r w:rsidRPr="001D707C">
        <w:rPr>
          <w:rFonts w:asciiTheme="majorHAnsi" w:hAnsiTheme="majorHAnsi"/>
          <w:b/>
          <w:i/>
          <w:sz w:val="24"/>
          <w:szCs w:val="24"/>
        </w:rPr>
        <w:br/>
      </w:r>
    </w:p>
    <w:p w14:paraId="0000003B" w14:textId="77777777" w:rsidR="00F135CF" w:rsidRPr="001D707C" w:rsidRDefault="00B862A4">
      <w:pPr>
        <w:pStyle w:val="Normal1"/>
        <w:rPr>
          <w:rFonts w:asciiTheme="majorHAnsi" w:hAnsiTheme="majorHAnsi"/>
          <w:b/>
          <w:i/>
          <w:sz w:val="24"/>
          <w:szCs w:val="24"/>
        </w:rPr>
      </w:pPr>
      <w:r w:rsidRPr="001D707C">
        <w:rPr>
          <w:rFonts w:asciiTheme="majorHAnsi" w:hAnsiTheme="majorHAnsi"/>
          <w:b/>
          <w:i/>
          <w:sz w:val="24"/>
          <w:szCs w:val="24"/>
        </w:rPr>
        <w:t>Sector considerations post-COVID-19 and post-Brexit</w:t>
      </w:r>
      <w:r w:rsidRPr="001D707C">
        <w:rPr>
          <w:rFonts w:asciiTheme="majorHAnsi" w:hAnsiTheme="majorHAnsi"/>
          <w:b/>
          <w:i/>
          <w:sz w:val="24"/>
          <w:szCs w:val="24"/>
        </w:rPr>
        <w:br/>
      </w:r>
    </w:p>
    <w:p w14:paraId="0000003C" w14:textId="0ADB6E18" w:rsidR="00F135CF" w:rsidRPr="001D707C" w:rsidRDefault="00B862A4">
      <w:pPr>
        <w:pStyle w:val="Normal1"/>
        <w:rPr>
          <w:rFonts w:asciiTheme="majorHAnsi" w:hAnsiTheme="majorHAnsi"/>
          <w:sz w:val="24"/>
          <w:szCs w:val="24"/>
        </w:rPr>
      </w:pPr>
      <w:r w:rsidRPr="001D707C">
        <w:rPr>
          <w:rFonts w:asciiTheme="majorHAnsi" w:hAnsiTheme="majorHAnsi"/>
          <w:sz w:val="24"/>
          <w:szCs w:val="24"/>
        </w:rPr>
        <w:t>There are emerging opportunities for scientists post-Covid-19 to work in government and policy (</w:t>
      </w:r>
      <w:r w:rsidR="00DA5BC6" w:rsidRPr="001D707C">
        <w:rPr>
          <w:rFonts w:asciiTheme="majorHAnsi" w:hAnsiTheme="majorHAnsi"/>
          <w:sz w:val="24"/>
          <w:szCs w:val="24"/>
        </w:rPr>
        <w:t xml:space="preserve">RSB </w:t>
      </w:r>
      <w:r w:rsidRPr="001D707C">
        <w:rPr>
          <w:rFonts w:asciiTheme="majorHAnsi" w:hAnsiTheme="majorHAnsi"/>
          <w:sz w:val="24"/>
          <w:szCs w:val="24"/>
        </w:rPr>
        <w:t>2020</w:t>
      </w:r>
      <w:r w:rsidR="00DA5BC6" w:rsidRPr="001D707C">
        <w:rPr>
          <w:rFonts w:asciiTheme="majorHAnsi" w:hAnsiTheme="majorHAnsi"/>
          <w:sz w:val="24"/>
          <w:szCs w:val="24"/>
        </w:rPr>
        <w:t>a</w:t>
      </w:r>
      <w:r w:rsidRPr="001D707C">
        <w:rPr>
          <w:rFonts w:asciiTheme="majorHAnsi" w:hAnsiTheme="majorHAnsi"/>
          <w:sz w:val="24"/>
          <w:szCs w:val="24"/>
        </w:rPr>
        <w:t xml:space="preserve">), and </w:t>
      </w:r>
      <w:r w:rsidR="00436EDD" w:rsidRPr="001D707C">
        <w:rPr>
          <w:rFonts w:asciiTheme="majorHAnsi" w:hAnsiTheme="majorHAnsi"/>
          <w:sz w:val="24"/>
          <w:szCs w:val="24"/>
        </w:rPr>
        <w:t xml:space="preserve">those </w:t>
      </w:r>
      <w:r w:rsidRPr="001D707C">
        <w:rPr>
          <w:rFonts w:asciiTheme="majorHAnsi" w:hAnsiTheme="majorHAnsi"/>
          <w:sz w:val="24"/>
          <w:szCs w:val="24"/>
        </w:rPr>
        <w:t xml:space="preserve">having a global and entrepreneurial outlook will be important </w:t>
      </w:r>
      <w:r w:rsidR="00F165FE">
        <w:rPr>
          <w:rFonts w:asciiTheme="majorHAnsi" w:hAnsiTheme="majorHAnsi"/>
          <w:sz w:val="24"/>
          <w:szCs w:val="24"/>
        </w:rPr>
        <w:t xml:space="preserve">contributors to </w:t>
      </w:r>
      <w:r w:rsidR="00436EDD" w:rsidRPr="001D707C">
        <w:rPr>
          <w:rFonts w:asciiTheme="majorHAnsi" w:hAnsiTheme="majorHAnsi"/>
          <w:sz w:val="24"/>
          <w:szCs w:val="24"/>
        </w:rPr>
        <w:t xml:space="preserve">the growth of </w:t>
      </w:r>
      <w:r w:rsidRPr="001D707C">
        <w:rPr>
          <w:rFonts w:asciiTheme="majorHAnsi" w:hAnsiTheme="majorHAnsi"/>
          <w:sz w:val="24"/>
          <w:szCs w:val="24"/>
        </w:rPr>
        <w:t xml:space="preserve">the UK’s Life Sciences sector. </w:t>
      </w:r>
      <w:r w:rsidR="00CB0A69" w:rsidRPr="001D707C">
        <w:rPr>
          <w:rFonts w:asciiTheme="majorHAnsi" w:hAnsiTheme="majorHAnsi"/>
          <w:sz w:val="24"/>
          <w:szCs w:val="24"/>
        </w:rPr>
        <w:t>McKee (2020), Minister for Trade, Investment and Innovati</w:t>
      </w:r>
      <w:r w:rsidR="00211BC6">
        <w:rPr>
          <w:rFonts w:asciiTheme="majorHAnsi" w:hAnsiTheme="majorHAnsi"/>
          <w:sz w:val="24"/>
          <w:szCs w:val="24"/>
        </w:rPr>
        <w:t>o</w:t>
      </w:r>
      <w:r w:rsidR="00CB0A69" w:rsidRPr="001D707C">
        <w:rPr>
          <w:rFonts w:asciiTheme="majorHAnsi" w:hAnsiTheme="majorHAnsi"/>
          <w:sz w:val="24"/>
          <w:szCs w:val="24"/>
        </w:rPr>
        <w:t>n in Scotland, in a report on innova</w:t>
      </w:r>
      <w:r w:rsidR="00436EDD" w:rsidRPr="001D707C">
        <w:rPr>
          <w:rFonts w:asciiTheme="majorHAnsi" w:hAnsiTheme="majorHAnsi"/>
          <w:sz w:val="24"/>
          <w:szCs w:val="24"/>
        </w:rPr>
        <w:t>tion</w:t>
      </w:r>
      <w:r w:rsidR="00CB0A69" w:rsidRPr="001D707C">
        <w:rPr>
          <w:rFonts w:asciiTheme="majorHAnsi" w:hAnsiTheme="majorHAnsi"/>
          <w:sz w:val="24"/>
          <w:szCs w:val="24"/>
        </w:rPr>
        <w:t xml:space="preserve"> in life</w:t>
      </w:r>
      <w:r w:rsidR="00436EDD" w:rsidRPr="001D707C">
        <w:rPr>
          <w:rFonts w:asciiTheme="majorHAnsi" w:hAnsiTheme="majorHAnsi"/>
          <w:sz w:val="24"/>
          <w:szCs w:val="24"/>
        </w:rPr>
        <w:t xml:space="preserve"> </w:t>
      </w:r>
      <w:r w:rsidR="00CB0A69" w:rsidRPr="001D707C">
        <w:rPr>
          <w:rFonts w:asciiTheme="majorHAnsi" w:hAnsiTheme="majorHAnsi"/>
          <w:sz w:val="24"/>
          <w:szCs w:val="24"/>
        </w:rPr>
        <w:t xml:space="preserve">sciences and the response to Covid-19, emphasised that the sector would require specialists who are able to think creatively about solving problems, and </w:t>
      </w:r>
      <w:r w:rsidR="00F165FE">
        <w:rPr>
          <w:rFonts w:asciiTheme="majorHAnsi" w:hAnsiTheme="majorHAnsi"/>
          <w:sz w:val="24"/>
          <w:szCs w:val="24"/>
        </w:rPr>
        <w:t xml:space="preserve">who </w:t>
      </w:r>
      <w:r w:rsidR="00CB0A69" w:rsidRPr="001D707C">
        <w:rPr>
          <w:rFonts w:asciiTheme="majorHAnsi" w:hAnsiTheme="majorHAnsi"/>
          <w:sz w:val="24"/>
          <w:szCs w:val="24"/>
        </w:rPr>
        <w:t xml:space="preserve">are adaptable leaders (McKee 2020). It is suggested that there will also be the need for </w:t>
      </w:r>
      <w:r w:rsidRPr="001D707C">
        <w:rPr>
          <w:rFonts w:asciiTheme="majorHAnsi" w:hAnsiTheme="majorHAnsi"/>
          <w:sz w:val="24"/>
          <w:szCs w:val="24"/>
        </w:rPr>
        <w:t xml:space="preserve">more regulatory affairs professionals </w:t>
      </w:r>
      <w:r w:rsidR="00CB0A69" w:rsidRPr="001D707C">
        <w:rPr>
          <w:rFonts w:asciiTheme="majorHAnsi" w:hAnsiTheme="majorHAnsi"/>
          <w:sz w:val="24"/>
          <w:szCs w:val="24"/>
        </w:rPr>
        <w:t xml:space="preserve">in the post-Brexit era, </w:t>
      </w:r>
      <w:r w:rsidRPr="001D707C">
        <w:rPr>
          <w:rFonts w:asciiTheme="majorHAnsi" w:hAnsiTheme="majorHAnsi"/>
          <w:sz w:val="24"/>
          <w:szCs w:val="24"/>
        </w:rPr>
        <w:t>to support innovation and commercial growth in medicines, foods and therapeutics (</w:t>
      </w:r>
      <w:r w:rsidR="00691C36" w:rsidRPr="001D707C">
        <w:rPr>
          <w:rFonts w:asciiTheme="majorHAnsi" w:hAnsiTheme="majorHAnsi"/>
          <w:sz w:val="24"/>
          <w:szCs w:val="24"/>
        </w:rPr>
        <w:t>ABPI</w:t>
      </w:r>
      <w:r w:rsidRPr="001D707C">
        <w:rPr>
          <w:rFonts w:asciiTheme="majorHAnsi" w:hAnsiTheme="majorHAnsi"/>
          <w:sz w:val="24"/>
          <w:szCs w:val="24"/>
        </w:rPr>
        <w:t xml:space="preserve"> 2019</w:t>
      </w:r>
      <w:r w:rsidR="00CB0A69" w:rsidRPr="001D707C">
        <w:rPr>
          <w:rFonts w:asciiTheme="majorHAnsi" w:hAnsiTheme="majorHAnsi"/>
          <w:sz w:val="24"/>
          <w:szCs w:val="24"/>
        </w:rPr>
        <w:t xml:space="preserve">), and graduates with commercial experience </w:t>
      </w:r>
      <w:r w:rsidR="00F165FE">
        <w:rPr>
          <w:rFonts w:asciiTheme="majorHAnsi" w:hAnsiTheme="majorHAnsi"/>
          <w:sz w:val="24"/>
          <w:szCs w:val="24"/>
        </w:rPr>
        <w:t xml:space="preserve">will be desirable </w:t>
      </w:r>
      <w:r w:rsidR="00436EDD" w:rsidRPr="001D707C">
        <w:rPr>
          <w:rFonts w:asciiTheme="majorHAnsi" w:hAnsiTheme="majorHAnsi"/>
          <w:sz w:val="24"/>
          <w:szCs w:val="24"/>
        </w:rPr>
        <w:t>to support</w:t>
      </w:r>
      <w:r w:rsidR="00CB0A69" w:rsidRPr="001D707C">
        <w:rPr>
          <w:rFonts w:asciiTheme="majorHAnsi" w:hAnsiTheme="majorHAnsi"/>
          <w:sz w:val="24"/>
          <w:szCs w:val="24"/>
        </w:rPr>
        <w:t xml:space="preserve"> business growth (Science Industry Partnership 2020). </w:t>
      </w:r>
    </w:p>
    <w:p w14:paraId="0000003D" w14:textId="77777777" w:rsidR="00F135CF" w:rsidRPr="001D707C" w:rsidRDefault="00F135CF">
      <w:pPr>
        <w:pStyle w:val="Normal1"/>
        <w:rPr>
          <w:rFonts w:asciiTheme="majorHAnsi" w:hAnsiTheme="majorHAnsi"/>
          <w:sz w:val="24"/>
          <w:szCs w:val="24"/>
        </w:rPr>
      </w:pPr>
    </w:p>
    <w:p w14:paraId="0000003E" w14:textId="43B2ACB0" w:rsidR="00F135CF" w:rsidRPr="001D707C" w:rsidRDefault="00B862A4">
      <w:pPr>
        <w:pStyle w:val="Normal1"/>
        <w:rPr>
          <w:rFonts w:asciiTheme="majorHAnsi" w:hAnsiTheme="majorHAnsi"/>
          <w:sz w:val="24"/>
          <w:szCs w:val="24"/>
        </w:rPr>
      </w:pPr>
      <w:r w:rsidRPr="001D707C">
        <w:rPr>
          <w:rFonts w:asciiTheme="majorHAnsi" w:hAnsiTheme="majorHAnsi"/>
          <w:sz w:val="24"/>
          <w:szCs w:val="24"/>
        </w:rPr>
        <w:t xml:space="preserve">Therefore, undergraduate </w:t>
      </w:r>
      <w:r w:rsidR="00F165FE">
        <w:rPr>
          <w:rFonts w:asciiTheme="majorHAnsi" w:hAnsiTheme="majorHAnsi"/>
          <w:sz w:val="24"/>
          <w:szCs w:val="24"/>
        </w:rPr>
        <w:t>bio</w:t>
      </w:r>
      <w:r w:rsidRPr="001D707C">
        <w:rPr>
          <w:rFonts w:asciiTheme="majorHAnsi" w:hAnsiTheme="majorHAnsi"/>
          <w:sz w:val="24"/>
          <w:szCs w:val="24"/>
        </w:rPr>
        <w:t>science programmes could consider opportunities to enhan</w:t>
      </w:r>
      <w:r w:rsidR="00436EDD" w:rsidRPr="001D707C">
        <w:rPr>
          <w:rFonts w:asciiTheme="majorHAnsi" w:hAnsiTheme="majorHAnsi"/>
          <w:sz w:val="24"/>
          <w:szCs w:val="24"/>
        </w:rPr>
        <w:t>ce curricula with perspectives o</w:t>
      </w:r>
      <w:r w:rsidRPr="001D707C">
        <w:rPr>
          <w:rFonts w:asciiTheme="majorHAnsi" w:hAnsiTheme="majorHAnsi"/>
          <w:sz w:val="24"/>
          <w:szCs w:val="24"/>
        </w:rPr>
        <w:t xml:space="preserve">n policy, globalisation, commerce, regulatory affairs and entrepreneurship, </w:t>
      </w:r>
      <w:r w:rsidR="00436EDD" w:rsidRPr="001D707C">
        <w:rPr>
          <w:rFonts w:asciiTheme="majorHAnsi" w:hAnsiTheme="majorHAnsi"/>
          <w:sz w:val="24"/>
          <w:szCs w:val="24"/>
        </w:rPr>
        <w:t xml:space="preserve">potentially </w:t>
      </w:r>
      <w:r w:rsidR="00F165FE">
        <w:rPr>
          <w:rFonts w:asciiTheme="majorHAnsi" w:hAnsiTheme="majorHAnsi"/>
          <w:sz w:val="24"/>
          <w:szCs w:val="24"/>
        </w:rPr>
        <w:t xml:space="preserve">also providing </w:t>
      </w:r>
      <w:r w:rsidR="00436EDD" w:rsidRPr="001D707C">
        <w:rPr>
          <w:rFonts w:asciiTheme="majorHAnsi" w:hAnsiTheme="majorHAnsi"/>
          <w:sz w:val="24"/>
          <w:szCs w:val="24"/>
        </w:rPr>
        <w:t>alternatives</w:t>
      </w:r>
      <w:r w:rsidRPr="001D707C">
        <w:rPr>
          <w:rFonts w:asciiTheme="majorHAnsi" w:hAnsiTheme="majorHAnsi"/>
          <w:sz w:val="24"/>
          <w:szCs w:val="24"/>
        </w:rPr>
        <w:t xml:space="preserve"> to laboratory practical teaching. These suggestions could be </w:t>
      </w:r>
      <w:r w:rsidR="00F165FE">
        <w:rPr>
          <w:rFonts w:asciiTheme="majorHAnsi" w:hAnsiTheme="majorHAnsi"/>
          <w:sz w:val="24"/>
          <w:szCs w:val="24"/>
        </w:rPr>
        <w:t>explored through</w:t>
      </w:r>
      <w:r w:rsidR="00F165FE" w:rsidRPr="001D707C">
        <w:rPr>
          <w:rFonts w:asciiTheme="majorHAnsi" w:hAnsiTheme="majorHAnsi"/>
          <w:sz w:val="24"/>
          <w:szCs w:val="24"/>
        </w:rPr>
        <w:t xml:space="preserve"> </w:t>
      </w:r>
      <w:r w:rsidRPr="001D707C">
        <w:rPr>
          <w:rFonts w:asciiTheme="majorHAnsi" w:hAnsiTheme="majorHAnsi"/>
          <w:sz w:val="24"/>
          <w:szCs w:val="24"/>
        </w:rPr>
        <w:t>discussions with employers and industry</w:t>
      </w:r>
      <w:r w:rsidR="00F165FE">
        <w:rPr>
          <w:rFonts w:asciiTheme="majorHAnsi" w:hAnsiTheme="majorHAnsi"/>
          <w:sz w:val="24"/>
          <w:szCs w:val="24"/>
        </w:rPr>
        <w:t>, and also university regulators</w:t>
      </w:r>
      <w:r w:rsidRPr="001D707C">
        <w:rPr>
          <w:rFonts w:asciiTheme="majorHAnsi" w:hAnsiTheme="majorHAnsi"/>
          <w:sz w:val="24"/>
          <w:szCs w:val="24"/>
        </w:rPr>
        <w:t>.</w:t>
      </w:r>
    </w:p>
    <w:p w14:paraId="0000003F" w14:textId="77777777" w:rsidR="00F135CF" w:rsidRPr="001D707C" w:rsidRDefault="00F135CF">
      <w:pPr>
        <w:pStyle w:val="Normal1"/>
        <w:rPr>
          <w:rFonts w:asciiTheme="majorHAnsi" w:hAnsiTheme="majorHAnsi"/>
          <w:sz w:val="24"/>
          <w:szCs w:val="24"/>
        </w:rPr>
      </w:pPr>
    </w:p>
    <w:p w14:paraId="00000040" w14:textId="77777777" w:rsidR="00F135CF" w:rsidRPr="001D707C" w:rsidRDefault="00B862A4">
      <w:pPr>
        <w:pStyle w:val="Normal1"/>
        <w:rPr>
          <w:rFonts w:asciiTheme="majorHAnsi" w:hAnsiTheme="majorHAnsi"/>
          <w:b/>
          <w:i/>
          <w:sz w:val="24"/>
          <w:szCs w:val="24"/>
        </w:rPr>
      </w:pPr>
      <w:r w:rsidRPr="001D707C">
        <w:rPr>
          <w:rFonts w:asciiTheme="majorHAnsi" w:hAnsiTheme="majorHAnsi"/>
          <w:b/>
          <w:i/>
          <w:sz w:val="24"/>
          <w:szCs w:val="24"/>
        </w:rPr>
        <w:t>Growth in remote working</w:t>
      </w:r>
    </w:p>
    <w:p w14:paraId="00000041" w14:textId="77777777" w:rsidR="00F135CF" w:rsidRPr="001D707C" w:rsidRDefault="00F135CF">
      <w:pPr>
        <w:pStyle w:val="Normal1"/>
        <w:rPr>
          <w:rFonts w:asciiTheme="majorHAnsi" w:hAnsiTheme="majorHAnsi"/>
          <w:sz w:val="24"/>
          <w:szCs w:val="24"/>
        </w:rPr>
      </w:pPr>
    </w:p>
    <w:p w14:paraId="00000042" w14:textId="215E3CC7" w:rsidR="00F135CF" w:rsidRPr="001D707C" w:rsidRDefault="00B862A4">
      <w:pPr>
        <w:pStyle w:val="Normal1"/>
        <w:rPr>
          <w:rFonts w:asciiTheme="majorHAnsi" w:hAnsiTheme="majorHAnsi"/>
          <w:sz w:val="24"/>
          <w:szCs w:val="24"/>
        </w:rPr>
      </w:pPr>
      <w:r w:rsidRPr="001D707C">
        <w:rPr>
          <w:rFonts w:asciiTheme="majorHAnsi" w:hAnsiTheme="majorHAnsi"/>
          <w:sz w:val="24"/>
          <w:szCs w:val="24"/>
        </w:rPr>
        <w:t>Up to 49.5% of UK employees were remote working during the height of the pandemic (</w:t>
      </w:r>
      <w:r w:rsidR="00691C36" w:rsidRPr="001D707C">
        <w:rPr>
          <w:rFonts w:asciiTheme="majorHAnsi" w:hAnsiTheme="majorHAnsi"/>
          <w:sz w:val="24"/>
          <w:szCs w:val="24"/>
        </w:rPr>
        <w:t>ONS</w:t>
      </w:r>
      <w:r w:rsidRPr="001D707C">
        <w:rPr>
          <w:rFonts w:asciiTheme="majorHAnsi" w:hAnsiTheme="majorHAnsi"/>
          <w:sz w:val="24"/>
          <w:szCs w:val="24"/>
        </w:rPr>
        <w:t xml:space="preserve"> 2020), and in response </w:t>
      </w:r>
      <w:r w:rsidR="00F165FE">
        <w:rPr>
          <w:rFonts w:asciiTheme="majorHAnsi" w:hAnsiTheme="majorHAnsi"/>
          <w:sz w:val="24"/>
          <w:szCs w:val="24"/>
        </w:rPr>
        <w:t xml:space="preserve">to </w:t>
      </w:r>
      <w:r w:rsidRPr="001D707C">
        <w:rPr>
          <w:rFonts w:asciiTheme="majorHAnsi" w:hAnsiTheme="majorHAnsi"/>
          <w:sz w:val="24"/>
          <w:szCs w:val="24"/>
        </w:rPr>
        <w:t>staff and environmental benefits, several large employers are making permanent changes to enable their staff to work from home either partially or fully (</w:t>
      </w:r>
      <w:r w:rsidR="00691C36" w:rsidRPr="001D707C">
        <w:rPr>
          <w:rFonts w:asciiTheme="majorHAnsi" w:hAnsiTheme="majorHAnsi"/>
          <w:sz w:val="24"/>
          <w:szCs w:val="24"/>
        </w:rPr>
        <w:t>BBC News</w:t>
      </w:r>
      <w:r w:rsidRPr="001D707C">
        <w:rPr>
          <w:rFonts w:asciiTheme="majorHAnsi" w:hAnsiTheme="majorHAnsi"/>
          <w:sz w:val="24"/>
          <w:szCs w:val="24"/>
        </w:rPr>
        <w:t xml:space="preserve"> 2020; </w:t>
      </w:r>
      <w:r w:rsidR="00691C36" w:rsidRPr="001D707C">
        <w:rPr>
          <w:rFonts w:asciiTheme="majorHAnsi" w:hAnsiTheme="majorHAnsi"/>
        </w:rPr>
        <w:t xml:space="preserve">Ralph et al. </w:t>
      </w:r>
      <w:r w:rsidRPr="001D707C">
        <w:rPr>
          <w:rFonts w:asciiTheme="majorHAnsi" w:hAnsiTheme="majorHAnsi"/>
        </w:rPr>
        <w:t>2020)</w:t>
      </w:r>
      <w:r w:rsidRPr="001D707C">
        <w:rPr>
          <w:rFonts w:asciiTheme="majorHAnsi" w:hAnsiTheme="majorHAnsi"/>
          <w:sz w:val="24"/>
          <w:szCs w:val="24"/>
        </w:rPr>
        <w:t xml:space="preserve">. Universities therefore </w:t>
      </w:r>
      <w:r w:rsidR="00AD46E0" w:rsidRPr="001D707C">
        <w:rPr>
          <w:rFonts w:asciiTheme="majorHAnsi" w:hAnsiTheme="majorHAnsi"/>
          <w:sz w:val="24"/>
          <w:szCs w:val="24"/>
        </w:rPr>
        <w:t>could consider</w:t>
      </w:r>
      <w:r w:rsidRPr="001D707C">
        <w:rPr>
          <w:rFonts w:asciiTheme="majorHAnsi" w:hAnsiTheme="majorHAnsi"/>
          <w:sz w:val="24"/>
          <w:szCs w:val="24"/>
        </w:rPr>
        <w:t xml:space="preserve"> int</w:t>
      </w:r>
      <w:r w:rsidR="00CB0A69" w:rsidRPr="001D707C">
        <w:rPr>
          <w:rFonts w:asciiTheme="majorHAnsi" w:hAnsiTheme="majorHAnsi"/>
          <w:sz w:val="24"/>
          <w:szCs w:val="24"/>
        </w:rPr>
        <w:t>egrating ‘on-campus’ and ‘on-li</w:t>
      </w:r>
      <w:r w:rsidRPr="001D707C">
        <w:rPr>
          <w:rFonts w:asciiTheme="majorHAnsi" w:hAnsiTheme="majorHAnsi"/>
          <w:sz w:val="24"/>
          <w:szCs w:val="24"/>
        </w:rPr>
        <w:t xml:space="preserve">ne’ student learning and teaching to equip students with the </w:t>
      </w:r>
      <w:r w:rsidR="00F165FE">
        <w:rPr>
          <w:rFonts w:asciiTheme="majorHAnsi" w:hAnsiTheme="majorHAnsi"/>
          <w:sz w:val="24"/>
          <w:szCs w:val="24"/>
        </w:rPr>
        <w:t>skills</w:t>
      </w:r>
      <w:r w:rsidR="00F165FE" w:rsidRPr="001D707C">
        <w:rPr>
          <w:rFonts w:asciiTheme="majorHAnsi" w:hAnsiTheme="majorHAnsi"/>
          <w:sz w:val="24"/>
          <w:szCs w:val="24"/>
        </w:rPr>
        <w:t xml:space="preserve"> </w:t>
      </w:r>
      <w:r w:rsidRPr="001D707C">
        <w:rPr>
          <w:rFonts w:asciiTheme="majorHAnsi" w:hAnsiTheme="majorHAnsi"/>
          <w:sz w:val="24"/>
          <w:szCs w:val="24"/>
        </w:rPr>
        <w:t xml:space="preserve">to </w:t>
      </w:r>
      <w:r w:rsidR="00CB0A69" w:rsidRPr="001D707C">
        <w:rPr>
          <w:rFonts w:asciiTheme="majorHAnsi" w:hAnsiTheme="majorHAnsi"/>
          <w:sz w:val="24"/>
          <w:szCs w:val="24"/>
        </w:rPr>
        <w:t xml:space="preserve">thrive when remote working </w:t>
      </w:r>
      <w:r w:rsidRPr="001D707C">
        <w:rPr>
          <w:rFonts w:asciiTheme="majorHAnsi" w:hAnsiTheme="majorHAnsi"/>
          <w:sz w:val="24"/>
          <w:szCs w:val="24"/>
        </w:rPr>
        <w:t>become</w:t>
      </w:r>
      <w:r w:rsidR="00CB0A69" w:rsidRPr="001D707C">
        <w:rPr>
          <w:rFonts w:asciiTheme="majorHAnsi" w:hAnsiTheme="majorHAnsi"/>
          <w:sz w:val="24"/>
          <w:szCs w:val="24"/>
        </w:rPr>
        <w:t>s</w:t>
      </w:r>
      <w:r w:rsidRPr="001D707C">
        <w:rPr>
          <w:rFonts w:asciiTheme="majorHAnsi" w:hAnsiTheme="majorHAnsi"/>
          <w:sz w:val="24"/>
          <w:szCs w:val="24"/>
        </w:rPr>
        <w:t xml:space="preserve"> mainstream in some work areas. This will need to </w:t>
      </w:r>
      <w:r w:rsidR="00CB0A69" w:rsidRPr="001D707C">
        <w:rPr>
          <w:rFonts w:asciiTheme="majorHAnsi" w:hAnsiTheme="majorHAnsi"/>
          <w:sz w:val="24"/>
          <w:szCs w:val="24"/>
        </w:rPr>
        <w:t>include training on mental and physical</w:t>
      </w:r>
      <w:r w:rsidRPr="001D707C">
        <w:rPr>
          <w:rFonts w:asciiTheme="majorHAnsi" w:hAnsiTheme="majorHAnsi"/>
          <w:sz w:val="24"/>
          <w:szCs w:val="24"/>
        </w:rPr>
        <w:t xml:space="preserve"> well</w:t>
      </w:r>
      <w:r w:rsidR="00CB0A69" w:rsidRPr="001D707C">
        <w:rPr>
          <w:rFonts w:asciiTheme="majorHAnsi" w:hAnsiTheme="majorHAnsi"/>
          <w:sz w:val="24"/>
          <w:szCs w:val="24"/>
        </w:rPr>
        <w:t xml:space="preserve">being, </w:t>
      </w:r>
      <w:r w:rsidRPr="001D707C">
        <w:rPr>
          <w:rFonts w:asciiTheme="majorHAnsi" w:hAnsiTheme="majorHAnsi"/>
          <w:sz w:val="24"/>
          <w:szCs w:val="24"/>
        </w:rPr>
        <w:t xml:space="preserve"> with the added pressures of integrating work and home life (</w:t>
      </w:r>
      <w:r w:rsidR="00691C36" w:rsidRPr="001D707C">
        <w:rPr>
          <w:rFonts w:asciiTheme="majorHAnsi" w:hAnsiTheme="majorHAnsi"/>
          <w:sz w:val="24"/>
          <w:szCs w:val="24"/>
        </w:rPr>
        <w:t>Bevan, Mason, and Bajorek</w:t>
      </w:r>
      <w:r w:rsidRPr="001D707C">
        <w:rPr>
          <w:rFonts w:asciiTheme="majorHAnsi" w:hAnsiTheme="majorHAnsi"/>
          <w:sz w:val="24"/>
          <w:szCs w:val="24"/>
        </w:rPr>
        <w:t xml:space="preserve"> 2020). Specific problems o</w:t>
      </w:r>
      <w:r w:rsidR="00CB0A69" w:rsidRPr="001D707C">
        <w:rPr>
          <w:rFonts w:asciiTheme="majorHAnsi" w:hAnsiTheme="majorHAnsi"/>
          <w:sz w:val="24"/>
          <w:szCs w:val="24"/>
        </w:rPr>
        <w:t>ccurring during the pandemic include</w:t>
      </w:r>
      <w:r w:rsidRPr="001D707C">
        <w:rPr>
          <w:rFonts w:asciiTheme="majorHAnsi" w:hAnsiTheme="majorHAnsi"/>
          <w:sz w:val="24"/>
          <w:szCs w:val="24"/>
        </w:rPr>
        <w:t xml:space="preserve"> rises in musculo-skeletal complaints, poor sleep and mental health problems, and the long-term impact of remote working on people’s health remains to be seen (</w:t>
      </w:r>
      <w:r w:rsidR="00691C36" w:rsidRPr="001D707C">
        <w:rPr>
          <w:rFonts w:asciiTheme="majorHAnsi" w:hAnsiTheme="majorHAnsi"/>
          <w:sz w:val="24"/>
          <w:szCs w:val="24"/>
        </w:rPr>
        <w:t>Bevan, Mason, and Bajorek</w:t>
      </w:r>
      <w:r w:rsidRPr="001D707C">
        <w:rPr>
          <w:rFonts w:asciiTheme="majorHAnsi" w:hAnsiTheme="majorHAnsi"/>
          <w:sz w:val="24"/>
          <w:szCs w:val="24"/>
        </w:rPr>
        <w:t xml:space="preserve"> 2020). This suggests that wellbeing </w:t>
      </w:r>
      <w:r w:rsidR="00AD46E0" w:rsidRPr="001D707C">
        <w:rPr>
          <w:rFonts w:asciiTheme="majorHAnsi" w:hAnsiTheme="majorHAnsi"/>
          <w:sz w:val="24"/>
          <w:szCs w:val="24"/>
        </w:rPr>
        <w:t xml:space="preserve">education </w:t>
      </w:r>
      <w:r w:rsidRPr="001D707C">
        <w:rPr>
          <w:rFonts w:asciiTheme="majorHAnsi" w:hAnsiTheme="majorHAnsi"/>
          <w:sz w:val="24"/>
          <w:szCs w:val="24"/>
        </w:rPr>
        <w:t>shou</w:t>
      </w:r>
      <w:r w:rsidR="00AD46E0" w:rsidRPr="001D707C">
        <w:rPr>
          <w:rFonts w:asciiTheme="majorHAnsi" w:hAnsiTheme="majorHAnsi"/>
          <w:sz w:val="24"/>
          <w:szCs w:val="24"/>
        </w:rPr>
        <w:t>ld become more integrated into U</w:t>
      </w:r>
      <w:r w:rsidRPr="001D707C">
        <w:rPr>
          <w:rFonts w:asciiTheme="majorHAnsi" w:hAnsiTheme="majorHAnsi"/>
          <w:sz w:val="24"/>
          <w:szCs w:val="24"/>
        </w:rPr>
        <w:t>niversity curricula, and even better, at school.</w:t>
      </w:r>
    </w:p>
    <w:p w14:paraId="00000043" w14:textId="77777777" w:rsidR="00F135CF" w:rsidRPr="001D707C" w:rsidRDefault="00F135CF">
      <w:pPr>
        <w:pStyle w:val="Normal1"/>
        <w:rPr>
          <w:rFonts w:asciiTheme="majorHAnsi" w:hAnsiTheme="majorHAnsi"/>
          <w:sz w:val="24"/>
          <w:szCs w:val="24"/>
        </w:rPr>
      </w:pPr>
    </w:p>
    <w:p w14:paraId="00000044" w14:textId="374E524B" w:rsidR="00F135CF" w:rsidRPr="001D707C" w:rsidRDefault="00481043">
      <w:pPr>
        <w:pStyle w:val="Normal1"/>
        <w:rPr>
          <w:rFonts w:asciiTheme="majorHAnsi" w:hAnsiTheme="majorHAnsi"/>
          <w:b/>
          <w:i/>
          <w:sz w:val="24"/>
          <w:szCs w:val="24"/>
        </w:rPr>
      </w:pPr>
      <w:r>
        <w:rPr>
          <w:rFonts w:asciiTheme="majorHAnsi" w:hAnsiTheme="majorHAnsi"/>
          <w:b/>
          <w:i/>
          <w:sz w:val="24"/>
          <w:szCs w:val="24"/>
        </w:rPr>
        <w:t>Equitable opportunities</w:t>
      </w:r>
    </w:p>
    <w:p w14:paraId="58B77442" w14:textId="77777777" w:rsidR="00B862A4" w:rsidRPr="001D707C" w:rsidRDefault="00B862A4">
      <w:pPr>
        <w:pStyle w:val="Normal1"/>
        <w:rPr>
          <w:rFonts w:asciiTheme="majorHAnsi" w:hAnsiTheme="majorHAnsi"/>
          <w:b/>
          <w:i/>
          <w:sz w:val="24"/>
          <w:szCs w:val="24"/>
        </w:rPr>
      </w:pPr>
    </w:p>
    <w:p w14:paraId="7A41FA64" w14:textId="5B518AD8" w:rsidR="00F06E7A" w:rsidRDefault="00B862A4">
      <w:pPr>
        <w:pStyle w:val="Normal1"/>
        <w:rPr>
          <w:rFonts w:asciiTheme="majorHAnsi" w:hAnsiTheme="majorHAnsi"/>
          <w:sz w:val="24"/>
          <w:szCs w:val="24"/>
        </w:rPr>
      </w:pPr>
      <w:r w:rsidRPr="001D707C">
        <w:rPr>
          <w:rFonts w:asciiTheme="majorHAnsi" w:hAnsiTheme="majorHAnsi"/>
          <w:sz w:val="24"/>
          <w:szCs w:val="24"/>
        </w:rPr>
        <w:t>Strategies to support student education through Covid-19 and beyond need to be carefully considered so as not to widen the attainment gaps between different student groups</w:t>
      </w:r>
      <w:r w:rsidR="00CB0A69" w:rsidRPr="001D707C">
        <w:rPr>
          <w:rFonts w:asciiTheme="majorHAnsi" w:hAnsiTheme="majorHAnsi"/>
          <w:sz w:val="24"/>
          <w:szCs w:val="24"/>
        </w:rPr>
        <w:t>. These are well recognised and have only marginally improved in recent years (a 22% point difference between ethnic minority students and their counterparts in terms of upper second class and first class degree outcomes, HEFCE 2018). The pandemic has explosed inequalities in early years education in differences in p</w:t>
      </w:r>
      <w:r w:rsidR="00AC0D5A" w:rsidRPr="001D707C">
        <w:rPr>
          <w:rFonts w:asciiTheme="majorHAnsi" w:hAnsiTheme="majorHAnsi"/>
          <w:sz w:val="24"/>
          <w:szCs w:val="24"/>
        </w:rPr>
        <w:t xml:space="preserve">arental engagement in the home and differening levels of </w:t>
      </w:r>
      <w:r w:rsidR="00CB0A69" w:rsidRPr="001D707C">
        <w:rPr>
          <w:rFonts w:asciiTheme="majorHAnsi" w:hAnsiTheme="majorHAnsi"/>
          <w:sz w:val="24"/>
          <w:szCs w:val="24"/>
        </w:rPr>
        <w:t>ac</w:t>
      </w:r>
      <w:r w:rsidR="00AC0D5A" w:rsidRPr="001D707C">
        <w:rPr>
          <w:rFonts w:asciiTheme="majorHAnsi" w:hAnsiTheme="majorHAnsi"/>
          <w:sz w:val="24"/>
          <w:szCs w:val="24"/>
        </w:rPr>
        <w:t xml:space="preserve">cess to a learning environment </w:t>
      </w:r>
      <w:r w:rsidR="00CB0A69" w:rsidRPr="001D707C">
        <w:rPr>
          <w:rFonts w:asciiTheme="majorHAnsi" w:hAnsiTheme="majorHAnsi"/>
          <w:sz w:val="24"/>
          <w:szCs w:val="24"/>
        </w:rPr>
        <w:t xml:space="preserve">(Montacute 2020). Inequalties within higher education may arise from lack of access to technology tools, and reduced opportunties for </w:t>
      </w:r>
      <w:r w:rsidR="00481043">
        <w:rPr>
          <w:rFonts w:asciiTheme="majorHAnsi" w:hAnsiTheme="majorHAnsi"/>
          <w:sz w:val="24"/>
          <w:szCs w:val="24"/>
        </w:rPr>
        <w:t>some students to develop peer networks</w:t>
      </w:r>
      <w:r w:rsidR="00CB0A69" w:rsidRPr="001D707C">
        <w:rPr>
          <w:rFonts w:asciiTheme="majorHAnsi" w:hAnsiTheme="majorHAnsi"/>
          <w:sz w:val="24"/>
          <w:szCs w:val="24"/>
        </w:rPr>
        <w:t xml:space="preserve"> (Raaper and Brown 2020).</w:t>
      </w:r>
      <w:r w:rsidR="002235AA" w:rsidRPr="001D707C">
        <w:rPr>
          <w:rFonts w:asciiTheme="majorHAnsi" w:hAnsiTheme="majorHAnsi"/>
          <w:sz w:val="24"/>
          <w:szCs w:val="24"/>
        </w:rPr>
        <w:t xml:space="preserve"> </w:t>
      </w:r>
      <w:r w:rsidR="00481043">
        <w:rPr>
          <w:rFonts w:asciiTheme="majorHAnsi" w:hAnsiTheme="majorHAnsi"/>
          <w:sz w:val="24"/>
          <w:szCs w:val="24"/>
        </w:rPr>
        <w:t xml:space="preserve">Addressing inequality </w:t>
      </w:r>
      <w:r w:rsidR="002235AA" w:rsidRPr="001D707C">
        <w:rPr>
          <w:rFonts w:asciiTheme="majorHAnsi" w:hAnsiTheme="majorHAnsi"/>
          <w:sz w:val="24"/>
          <w:szCs w:val="24"/>
        </w:rPr>
        <w:t xml:space="preserve"> was </w:t>
      </w:r>
      <w:r w:rsidR="00AC0D5A" w:rsidRPr="001D707C">
        <w:rPr>
          <w:rFonts w:asciiTheme="majorHAnsi" w:hAnsiTheme="majorHAnsi"/>
          <w:sz w:val="24"/>
          <w:szCs w:val="24"/>
        </w:rPr>
        <w:t xml:space="preserve">one area </w:t>
      </w:r>
      <w:r w:rsidR="002235AA" w:rsidRPr="001D707C">
        <w:rPr>
          <w:rFonts w:asciiTheme="majorHAnsi" w:hAnsiTheme="majorHAnsi"/>
          <w:sz w:val="24"/>
          <w:szCs w:val="24"/>
        </w:rPr>
        <w:t xml:space="preserve">where work placements </w:t>
      </w:r>
      <w:r w:rsidR="00EE0704">
        <w:rPr>
          <w:rFonts w:asciiTheme="majorHAnsi" w:hAnsiTheme="majorHAnsi"/>
          <w:sz w:val="24"/>
          <w:szCs w:val="24"/>
        </w:rPr>
        <w:t>made</w:t>
      </w:r>
      <w:r w:rsidR="002235AA" w:rsidRPr="001D707C">
        <w:rPr>
          <w:rFonts w:asciiTheme="majorHAnsi" w:hAnsiTheme="majorHAnsi"/>
          <w:sz w:val="24"/>
          <w:szCs w:val="24"/>
        </w:rPr>
        <w:t xml:space="preserve"> a difference</w:t>
      </w:r>
      <w:r w:rsidR="00481043">
        <w:rPr>
          <w:rFonts w:asciiTheme="majorHAnsi" w:hAnsiTheme="majorHAnsi"/>
          <w:sz w:val="24"/>
          <w:szCs w:val="24"/>
        </w:rPr>
        <w:t xml:space="preserve"> and students from disadvantaged groups who undertook them achieved higher qualifiaction outcomes </w:t>
      </w:r>
      <w:r w:rsidR="00805934" w:rsidRPr="001D707C">
        <w:rPr>
          <w:rFonts w:asciiTheme="majorHAnsi" w:hAnsiTheme="majorHAnsi"/>
          <w:sz w:val="24"/>
          <w:szCs w:val="24"/>
        </w:rPr>
        <w:t>(</w:t>
      </w:r>
      <w:r w:rsidR="00691C36" w:rsidRPr="001D707C">
        <w:rPr>
          <w:rFonts w:asciiTheme="majorHAnsi" w:hAnsiTheme="majorHAnsi"/>
          <w:sz w:val="24"/>
          <w:szCs w:val="24"/>
        </w:rPr>
        <w:t>Moores, Birdi, and Higson</w:t>
      </w:r>
      <w:r w:rsidR="00805934" w:rsidRPr="001D707C">
        <w:rPr>
          <w:rFonts w:asciiTheme="majorHAnsi" w:hAnsiTheme="majorHAnsi"/>
          <w:sz w:val="24"/>
          <w:szCs w:val="24"/>
        </w:rPr>
        <w:t xml:space="preserve"> 2017). </w:t>
      </w:r>
      <w:r w:rsidR="002235AA" w:rsidRPr="001D707C">
        <w:rPr>
          <w:rFonts w:asciiTheme="majorHAnsi" w:hAnsiTheme="majorHAnsi"/>
          <w:sz w:val="24"/>
          <w:szCs w:val="24"/>
        </w:rPr>
        <w:t xml:space="preserve"> </w:t>
      </w:r>
      <w:r w:rsidR="00F06E7A">
        <w:rPr>
          <w:rFonts w:asciiTheme="majorHAnsi" w:hAnsiTheme="majorHAnsi"/>
          <w:sz w:val="24"/>
          <w:szCs w:val="24"/>
        </w:rPr>
        <w:t xml:space="preserve">It is already suggested that </w:t>
      </w:r>
      <w:r w:rsidR="00805934" w:rsidRPr="001D707C">
        <w:rPr>
          <w:rFonts w:asciiTheme="majorHAnsi" w:hAnsiTheme="majorHAnsi"/>
          <w:sz w:val="24"/>
          <w:szCs w:val="24"/>
        </w:rPr>
        <w:t>Higher Education needs to work harder to create an “inclusive and transformative system” that is open to all w</w:t>
      </w:r>
      <w:r w:rsidR="00691C36" w:rsidRPr="001D707C">
        <w:rPr>
          <w:rFonts w:asciiTheme="majorHAnsi" w:hAnsiTheme="majorHAnsi"/>
          <w:sz w:val="24"/>
          <w:szCs w:val="24"/>
        </w:rPr>
        <w:t>ho wish to engage in it (Ashwin</w:t>
      </w:r>
      <w:r w:rsidR="00805934" w:rsidRPr="001D707C">
        <w:rPr>
          <w:rFonts w:asciiTheme="majorHAnsi" w:hAnsiTheme="majorHAnsi"/>
          <w:sz w:val="24"/>
          <w:szCs w:val="24"/>
        </w:rPr>
        <w:t xml:space="preserve"> 2020)</w:t>
      </w:r>
      <w:r w:rsidR="002235AA" w:rsidRPr="001D707C">
        <w:rPr>
          <w:rFonts w:asciiTheme="majorHAnsi" w:hAnsiTheme="majorHAnsi"/>
          <w:sz w:val="24"/>
          <w:szCs w:val="24"/>
        </w:rPr>
        <w:t xml:space="preserve">, </w:t>
      </w:r>
      <w:r w:rsidR="007C0DDA">
        <w:rPr>
          <w:rFonts w:asciiTheme="majorHAnsi" w:hAnsiTheme="majorHAnsi"/>
          <w:sz w:val="24"/>
          <w:szCs w:val="24"/>
        </w:rPr>
        <w:t xml:space="preserve">and maintaining </w:t>
      </w:r>
      <w:r w:rsidR="00EE0704">
        <w:rPr>
          <w:rFonts w:asciiTheme="majorHAnsi" w:hAnsiTheme="majorHAnsi"/>
          <w:sz w:val="24"/>
          <w:szCs w:val="24"/>
        </w:rPr>
        <w:t xml:space="preserve">activities such as placements that can support disadvantaged students </w:t>
      </w:r>
      <w:r w:rsidR="007C0DDA">
        <w:rPr>
          <w:rFonts w:asciiTheme="majorHAnsi" w:hAnsiTheme="majorHAnsi"/>
          <w:sz w:val="24"/>
          <w:szCs w:val="24"/>
        </w:rPr>
        <w:t xml:space="preserve">during the </w:t>
      </w:r>
      <w:r w:rsidR="007C0DDA">
        <w:rPr>
          <w:rFonts w:asciiTheme="majorHAnsi" w:hAnsiTheme="majorHAnsi"/>
          <w:sz w:val="24"/>
          <w:szCs w:val="24"/>
        </w:rPr>
        <w:lastRenderedPageBreak/>
        <w:t xml:space="preserve">pandemic is challenging. Leicester University has guidance for those </w:t>
      </w:r>
      <w:r w:rsidR="00481043">
        <w:rPr>
          <w:rFonts w:asciiTheme="majorHAnsi" w:hAnsiTheme="majorHAnsi"/>
          <w:sz w:val="24"/>
          <w:szCs w:val="24"/>
        </w:rPr>
        <w:t>working in</w:t>
      </w:r>
      <w:r w:rsidR="007C0DDA">
        <w:rPr>
          <w:rFonts w:asciiTheme="majorHAnsi" w:hAnsiTheme="majorHAnsi"/>
          <w:sz w:val="24"/>
          <w:szCs w:val="24"/>
        </w:rPr>
        <w:t xml:space="preserve"> student employability </w:t>
      </w:r>
      <w:r w:rsidR="00481043">
        <w:rPr>
          <w:rFonts w:asciiTheme="majorHAnsi" w:hAnsiTheme="majorHAnsi"/>
          <w:sz w:val="24"/>
          <w:szCs w:val="24"/>
        </w:rPr>
        <w:t xml:space="preserve">and placements </w:t>
      </w:r>
      <w:r w:rsidR="007C0DDA">
        <w:rPr>
          <w:rFonts w:asciiTheme="majorHAnsi" w:hAnsiTheme="majorHAnsi"/>
          <w:sz w:val="24"/>
          <w:szCs w:val="24"/>
        </w:rPr>
        <w:t xml:space="preserve">on </w:t>
      </w:r>
      <w:r w:rsidR="00481043">
        <w:rPr>
          <w:rFonts w:asciiTheme="majorHAnsi" w:hAnsiTheme="majorHAnsi"/>
          <w:sz w:val="24"/>
          <w:szCs w:val="24"/>
        </w:rPr>
        <w:t xml:space="preserve">equal opportunities that is relevant in the present context </w:t>
      </w:r>
      <w:r w:rsidR="007C0DDA">
        <w:rPr>
          <w:rFonts w:asciiTheme="majorHAnsi" w:hAnsiTheme="majorHAnsi"/>
          <w:sz w:val="24"/>
          <w:szCs w:val="24"/>
        </w:rPr>
        <w:t xml:space="preserve">(Leicester 2020). Other organisations have established virtual work experience programmes that </w:t>
      </w:r>
      <w:r w:rsidR="00336BD5">
        <w:rPr>
          <w:rFonts w:asciiTheme="majorHAnsi" w:hAnsiTheme="majorHAnsi"/>
          <w:sz w:val="24"/>
          <w:szCs w:val="24"/>
        </w:rPr>
        <w:t>connects</w:t>
      </w:r>
      <w:r w:rsidR="007C0DDA">
        <w:rPr>
          <w:rFonts w:asciiTheme="majorHAnsi" w:hAnsiTheme="majorHAnsi"/>
          <w:sz w:val="24"/>
          <w:szCs w:val="24"/>
        </w:rPr>
        <w:t xml:space="preserve"> school and college students </w:t>
      </w:r>
      <w:r w:rsidR="00336BD5">
        <w:rPr>
          <w:rFonts w:asciiTheme="majorHAnsi" w:hAnsiTheme="majorHAnsi"/>
          <w:sz w:val="24"/>
          <w:szCs w:val="24"/>
        </w:rPr>
        <w:t xml:space="preserve">with employers, </w:t>
      </w:r>
      <w:r w:rsidR="00481043">
        <w:rPr>
          <w:rFonts w:asciiTheme="majorHAnsi" w:hAnsiTheme="majorHAnsi"/>
          <w:sz w:val="24"/>
          <w:szCs w:val="24"/>
        </w:rPr>
        <w:t>where</w:t>
      </w:r>
      <w:r w:rsidR="00336BD5">
        <w:rPr>
          <w:rFonts w:asciiTheme="majorHAnsi" w:hAnsiTheme="majorHAnsi"/>
          <w:sz w:val="24"/>
          <w:szCs w:val="24"/>
        </w:rPr>
        <w:t xml:space="preserve"> online working</w:t>
      </w:r>
      <w:r w:rsidR="00481043">
        <w:rPr>
          <w:rFonts w:asciiTheme="majorHAnsi" w:hAnsiTheme="majorHAnsi"/>
          <w:sz w:val="24"/>
          <w:szCs w:val="24"/>
        </w:rPr>
        <w:t xml:space="preserve"> has</w:t>
      </w:r>
      <w:r w:rsidR="00336BD5">
        <w:rPr>
          <w:rFonts w:asciiTheme="majorHAnsi" w:hAnsiTheme="majorHAnsi"/>
          <w:sz w:val="24"/>
          <w:szCs w:val="24"/>
        </w:rPr>
        <w:t xml:space="preserve"> provided added flexibility in selecting dates and also times to interact (Bell 2020).</w:t>
      </w:r>
    </w:p>
    <w:p w14:paraId="70AF52DE" w14:textId="77777777" w:rsidR="00805934" w:rsidRPr="001D707C" w:rsidRDefault="00805934">
      <w:pPr>
        <w:pStyle w:val="Normal1"/>
        <w:rPr>
          <w:rFonts w:asciiTheme="majorHAnsi" w:eastAsia="Times New Roman" w:hAnsiTheme="majorHAnsi"/>
          <w:color w:val="303030"/>
          <w:sz w:val="20"/>
          <w:szCs w:val="20"/>
          <w:shd w:val="clear" w:color="auto" w:fill="FFFFFF"/>
          <w:lang w:val="en-GB"/>
        </w:rPr>
      </w:pPr>
    </w:p>
    <w:p w14:paraId="0000004F" w14:textId="77777777" w:rsidR="00F135CF" w:rsidRPr="001D707C" w:rsidRDefault="00F135CF">
      <w:pPr>
        <w:pStyle w:val="Normal1"/>
        <w:rPr>
          <w:rFonts w:asciiTheme="majorHAnsi" w:hAnsiTheme="majorHAnsi"/>
          <w:sz w:val="24"/>
          <w:szCs w:val="24"/>
        </w:rPr>
      </w:pPr>
    </w:p>
    <w:p w14:paraId="00000050" w14:textId="77777777" w:rsidR="00F135CF" w:rsidRPr="001D707C" w:rsidRDefault="00B862A4">
      <w:pPr>
        <w:pStyle w:val="Normal1"/>
        <w:rPr>
          <w:rFonts w:asciiTheme="majorHAnsi" w:hAnsiTheme="majorHAnsi"/>
          <w:b/>
          <w:sz w:val="24"/>
          <w:szCs w:val="24"/>
        </w:rPr>
      </w:pPr>
      <w:r w:rsidRPr="001D707C">
        <w:rPr>
          <w:rFonts w:asciiTheme="majorHAnsi" w:hAnsiTheme="majorHAnsi"/>
          <w:b/>
          <w:sz w:val="24"/>
          <w:szCs w:val="24"/>
        </w:rPr>
        <w:t>Solutions for Campus Laboratory Practicals and Projects</w:t>
      </w:r>
    </w:p>
    <w:p w14:paraId="00000051" w14:textId="77777777" w:rsidR="00F135CF" w:rsidRPr="001D707C" w:rsidRDefault="00F135CF">
      <w:pPr>
        <w:pStyle w:val="Normal1"/>
        <w:rPr>
          <w:rFonts w:asciiTheme="majorHAnsi" w:hAnsiTheme="majorHAnsi"/>
          <w:sz w:val="24"/>
          <w:szCs w:val="24"/>
        </w:rPr>
      </w:pPr>
    </w:p>
    <w:p w14:paraId="67E60CEA" w14:textId="7F757C05" w:rsidR="00A62D9C" w:rsidRPr="001D707C" w:rsidRDefault="00A62D9C">
      <w:pPr>
        <w:pStyle w:val="Normal1"/>
        <w:rPr>
          <w:rFonts w:asciiTheme="majorHAnsi" w:hAnsiTheme="majorHAnsi"/>
          <w:sz w:val="24"/>
          <w:szCs w:val="24"/>
        </w:rPr>
      </w:pPr>
      <w:r w:rsidRPr="001D707C">
        <w:rPr>
          <w:rFonts w:asciiTheme="majorHAnsi" w:hAnsiTheme="majorHAnsi"/>
          <w:sz w:val="24"/>
          <w:szCs w:val="24"/>
        </w:rPr>
        <w:t xml:space="preserve">There are potential solutions </w:t>
      </w:r>
      <w:r w:rsidR="00F165FE">
        <w:rPr>
          <w:rFonts w:asciiTheme="majorHAnsi" w:hAnsiTheme="majorHAnsi"/>
          <w:sz w:val="24"/>
          <w:szCs w:val="24"/>
        </w:rPr>
        <w:t xml:space="preserve">that could </w:t>
      </w:r>
      <w:r w:rsidR="002235AA" w:rsidRPr="001D707C">
        <w:rPr>
          <w:rFonts w:asciiTheme="majorHAnsi" w:hAnsiTheme="majorHAnsi"/>
          <w:sz w:val="24"/>
          <w:szCs w:val="24"/>
        </w:rPr>
        <w:t xml:space="preserve">replace current teaching methods with online alternatives, </w:t>
      </w:r>
      <w:r w:rsidRPr="001D707C">
        <w:rPr>
          <w:rFonts w:asciiTheme="majorHAnsi" w:hAnsiTheme="majorHAnsi"/>
          <w:sz w:val="24"/>
          <w:szCs w:val="24"/>
        </w:rPr>
        <w:t>to accommodate the Covid-19 crisis</w:t>
      </w:r>
      <w:r w:rsidR="00F165FE">
        <w:rPr>
          <w:rFonts w:asciiTheme="majorHAnsi" w:hAnsiTheme="majorHAnsi"/>
          <w:sz w:val="24"/>
          <w:szCs w:val="24"/>
        </w:rPr>
        <w:t xml:space="preserve"> and also </w:t>
      </w:r>
      <w:r w:rsidRPr="001D707C">
        <w:rPr>
          <w:rFonts w:asciiTheme="majorHAnsi" w:hAnsiTheme="majorHAnsi"/>
          <w:sz w:val="24"/>
          <w:szCs w:val="24"/>
        </w:rPr>
        <w:t xml:space="preserve">weave in some of the ambitions above. Many </w:t>
      </w:r>
      <w:r w:rsidR="006919BE" w:rsidRPr="001D707C">
        <w:rPr>
          <w:rFonts w:asciiTheme="majorHAnsi" w:hAnsiTheme="majorHAnsi"/>
          <w:sz w:val="24"/>
          <w:szCs w:val="24"/>
        </w:rPr>
        <w:t xml:space="preserve">lecturers have found creative solutions to run </w:t>
      </w:r>
      <w:r w:rsidRPr="001D707C">
        <w:rPr>
          <w:rFonts w:asciiTheme="majorHAnsi" w:hAnsiTheme="majorHAnsi"/>
          <w:sz w:val="24"/>
          <w:szCs w:val="24"/>
        </w:rPr>
        <w:t xml:space="preserve">practicals and projects </w:t>
      </w:r>
      <w:r w:rsidR="002235AA" w:rsidRPr="001D707C">
        <w:rPr>
          <w:rFonts w:asciiTheme="majorHAnsi" w:hAnsiTheme="majorHAnsi"/>
          <w:sz w:val="24"/>
          <w:szCs w:val="24"/>
        </w:rPr>
        <w:t>online</w:t>
      </w:r>
      <w:r w:rsidR="00B862A4" w:rsidRPr="001D707C">
        <w:rPr>
          <w:rFonts w:asciiTheme="majorHAnsi" w:hAnsiTheme="majorHAnsi"/>
          <w:sz w:val="24"/>
          <w:szCs w:val="24"/>
        </w:rPr>
        <w:t>,</w:t>
      </w:r>
      <w:r w:rsidRPr="001D707C">
        <w:rPr>
          <w:rFonts w:asciiTheme="majorHAnsi" w:hAnsiTheme="majorHAnsi"/>
          <w:sz w:val="24"/>
          <w:szCs w:val="24"/>
        </w:rPr>
        <w:t xml:space="preserve"> </w:t>
      </w:r>
      <w:r w:rsidR="006919BE" w:rsidRPr="001D707C">
        <w:rPr>
          <w:rFonts w:asciiTheme="majorHAnsi" w:hAnsiTheme="majorHAnsi"/>
          <w:sz w:val="24"/>
          <w:szCs w:val="24"/>
        </w:rPr>
        <w:t xml:space="preserve">but </w:t>
      </w:r>
      <w:r w:rsidR="00AC0D5A" w:rsidRPr="001D707C">
        <w:rPr>
          <w:rFonts w:asciiTheme="majorHAnsi" w:hAnsiTheme="majorHAnsi"/>
          <w:sz w:val="24"/>
          <w:szCs w:val="24"/>
        </w:rPr>
        <w:t xml:space="preserve">maybe </w:t>
      </w:r>
      <w:r w:rsidR="006919BE" w:rsidRPr="001D707C">
        <w:rPr>
          <w:rFonts w:asciiTheme="majorHAnsi" w:hAnsiTheme="majorHAnsi"/>
          <w:sz w:val="24"/>
          <w:szCs w:val="24"/>
        </w:rPr>
        <w:t>some could be</w:t>
      </w:r>
      <w:r w:rsidR="00B862A4" w:rsidRPr="001D707C">
        <w:rPr>
          <w:rFonts w:asciiTheme="majorHAnsi" w:hAnsiTheme="majorHAnsi"/>
          <w:sz w:val="24"/>
          <w:szCs w:val="24"/>
        </w:rPr>
        <w:t xml:space="preserve"> replace</w:t>
      </w:r>
      <w:r w:rsidRPr="001D707C">
        <w:rPr>
          <w:rFonts w:asciiTheme="majorHAnsi" w:hAnsiTheme="majorHAnsi"/>
          <w:sz w:val="24"/>
          <w:szCs w:val="24"/>
        </w:rPr>
        <w:t>d</w:t>
      </w:r>
      <w:r w:rsidR="006919BE" w:rsidRPr="001D707C">
        <w:rPr>
          <w:rFonts w:asciiTheme="majorHAnsi" w:hAnsiTheme="majorHAnsi"/>
          <w:sz w:val="24"/>
          <w:szCs w:val="24"/>
        </w:rPr>
        <w:t xml:space="preserve"> with</w:t>
      </w:r>
      <w:r w:rsidR="00F165FE">
        <w:rPr>
          <w:rFonts w:asciiTheme="majorHAnsi" w:hAnsiTheme="majorHAnsi"/>
          <w:sz w:val="24"/>
          <w:szCs w:val="24"/>
        </w:rPr>
        <w:t xml:space="preserve"> a</w:t>
      </w:r>
      <w:r w:rsidR="006919BE" w:rsidRPr="001D707C">
        <w:rPr>
          <w:rFonts w:asciiTheme="majorHAnsi" w:hAnsiTheme="majorHAnsi"/>
          <w:sz w:val="24"/>
          <w:szCs w:val="24"/>
        </w:rPr>
        <w:t xml:space="preserve"> ‘capstone’ activity</w:t>
      </w:r>
      <w:r w:rsidR="00B862A4" w:rsidRPr="001D707C">
        <w:rPr>
          <w:rFonts w:asciiTheme="majorHAnsi" w:hAnsiTheme="majorHAnsi"/>
          <w:sz w:val="24"/>
          <w:szCs w:val="24"/>
        </w:rPr>
        <w:t xml:space="preserve">. </w:t>
      </w:r>
      <w:r w:rsidRPr="001D707C">
        <w:rPr>
          <w:rFonts w:asciiTheme="majorHAnsi" w:hAnsiTheme="majorHAnsi"/>
          <w:sz w:val="24"/>
          <w:szCs w:val="24"/>
        </w:rPr>
        <w:t xml:space="preserve">There might be opportunites to </w:t>
      </w:r>
      <w:r w:rsidR="00F165FE">
        <w:rPr>
          <w:rFonts w:asciiTheme="majorHAnsi" w:hAnsiTheme="majorHAnsi"/>
          <w:sz w:val="24"/>
          <w:szCs w:val="24"/>
        </w:rPr>
        <w:t>‘</w:t>
      </w:r>
      <w:r w:rsidRPr="001D707C">
        <w:rPr>
          <w:rFonts w:asciiTheme="majorHAnsi" w:hAnsiTheme="majorHAnsi"/>
          <w:sz w:val="24"/>
          <w:szCs w:val="24"/>
        </w:rPr>
        <w:t>kill two birds with one stone</w:t>
      </w:r>
      <w:r w:rsidR="00F165FE">
        <w:rPr>
          <w:rFonts w:asciiTheme="majorHAnsi" w:hAnsiTheme="majorHAnsi"/>
          <w:sz w:val="24"/>
          <w:szCs w:val="24"/>
        </w:rPr>
        <w:t>’</w:t>
      </w:r>
      <w:r w:rsidRPr="001D707C">
        <w:rPr>
          <w:rFonts w:asciiTheme="majorHAnsi" w:hAnsiTheme="majorHAnsi"/>
          <w:sz w:val="24"/>
          <w:szCs w:val="24"/>
        </w:rPr>
        <w:t>.</w:t>
      </w:r>
    </w:p>
    <w:p w14:paraId="00000052" w14:textId="1C96786A" w:rsidR="00F135CF" w:rsidRPr="001D707C" w:rsidRDefault="00F135CF">
      <w:pPr>
        <w:pStyle w:val="Normal1"/>
        <w:rPr>
          <w:rFonts w:asciiTheme="majorHAnsi" w:hAnsiTheme="majorHAnsi"/>
          <w:sz w:val="24"/>
          <w:szCs w:val="24"/>
        </w:rPr>
      </w:pPr>
    </w:p>
    <w:p w14:paraId="00000054" w14:textId="1AE24082" w:rsidR="00F135CF" w:rsidRPr="001D707C" w:rsidRDefault="00B862A4">
      <w:pPr>
        <w:pStyle w:val="Normal1"/>
        <w:rPr>
          <w:rFonts w:asciiTheme="majorHAnsi" w:hAnsiTheme="majorHAnsi"/>
          <w:sz w:val="24"/>
          <w:szCs w:val="24"/>
        </w:rPr>
      </w:pPr>
      <w:r w:rsidRPr="001D707C">
        <w:rPr>
          <w:rFonts w:asciiTheme="majorHAnsi" w:hAnsiTheme="majorHAnsi"/>
          <w:sz w:val="24"/>
          <w:szCs w:val="24"/>
        </w:rPr>
        <w:t>Laboratory teaching comprises practical sessions that rise in complexity through levels of study, through to independent or group final year projects. The evergreen challenge facing practicals is how to support studen</w:t>
      </w:r>
      <w:r w:rsidR="00AC0D5A" w:rsidRPr="001D707C">
        <w:rPr>
          <w:rFonts w:asciiTheme="majorHAnsi" w:hAnsiTheme="majorHAnsi"/>
          <w:sz w:val="24"/>
          <w:szCs w:val="24"/>
        </w:rPr>
        <w:t>t transition from schools into u</w:t>
      </w:r>
      <w:r w:rsidRPr="001D707C">
        <w:rPr>
          <w:rFonts w:asciiTheme="majorHAnsi" w:hAnsiTheme="majorHAnsi"/>
          <w:sz w:val="24"/>
          <w:szCs w:val="24"/>
        </w:rPr>
        <w:t>niversity labs, coping with growing class sizes, covering the cost of consumables and how to enthuse students in practicals in areas where science is perceived as being boring or tedious (</w:t>
      </w:r>
      <w:r w:rsidR="00691C36" w:rsidRPr="001D707C">
        <w:rPr>
          <w:rFonts w:asciiTheme="majorHAnsi" w:hAnsiTheme="majorHAnsi"/>
          <w:sz w:val="24"/>
          <w:szCs w:val="24"/>
        </w:rPr>
        <w:t>Wilson</w:t>
      </w:r>
      <w:r w:rsidR="00A62D9C" w:rsidRPr="001D707C">
        <w:rPr>
          <w:rFonts w:asciiTheme="majorHAnsi" w:hAnsiTheme="majorHAnsi"/>
          <w:sz w:val="24"/>
          <w:szCs w:val="24"/>
        </w:rPr>
        <w:t xml:space="preserve"> 2008</w:t>
      </w:r>
      <w:r w:rsidRPr="001D707C">
        <w:rPr>
          <w:rFonts w:asciiTheme="majorHAnsi" w:hAnsiTheme="majorHAnsi"/>
          <w:sz w:val="24"/>
          <w:szCs w:val="24"/>
        </w:rPr>
        <w:t>). Final year projects are a further opportunity for students to gain a tast</w:t>
      </w:r>
      <w:r w:rsidR="00AC0D5A" w:rsidRPr="001D707C">
        <w:rPr>
          <w:rFonts w:asciiTheme="majorHAnsi" w:hAnsiTheme="majorHAnsi"/>
          <w:sz w:val="24"/>
          <w:szCs w:val="24"/>
        </w:rPr>
        <w:t xml:space="preserve">e of working independently and </w:t>
      </w:r>
      <w:r w:rsidRPr="001D707C">
        <w:rPr>
          <w:rFonts w:asciiTheme="majorHAnsi" w:hAnsiTheme="majorHAnsi"/>
          <w:sz w:val="24"/>
          <w:szCs w:val="24"/>
        </w:rPr>
        <w:t>de</w:t>
      </w:r>
      <w:r w:rsidR="00A62D9C" w:rsidRPr="001D707C">
        <w:rPr>
          <w:rFonts w:asciiTheme="majorHAnsi" w:hAnsiTheme="majorHAnsi"/>
          <w:sz w:val="24"/>
          <w:szCs w:val="24"/>
        </w:rPr>
        <w:t>veloping their problem solving.</w:t>
      </w:r>
    </w:p>
    <w:p w14:paraId="5B425CEC" w14:textId="77777777" w:rsidR="00A62D9C" w:rsidRPr="001D707C" w:rsidRDefault="00A62D9C">
      <w:pPr>
        <w:pStyle w:val="Normal1"/>
        <w:rPr>
          <w:rFonts w:asciiTheme="majorHAnsi" w:hAnsiTheme="majorHAnsi"/>
          <w:sz w:val="24"/>
          <w:szCs w:val="24"/>
        </w:rPr>
      </w:pPr>
    </w:p>
    <w:p w14:paraId="00000055" w14:textId="52592AD5" w:rsidR="00F135CF" w:rsidRPr="001D707C" w:rsidRDefault="00B862A4">
      <w:pPr>
        <w:pStyle w:val="Normal1"/>
        <w:rPr>
          <w:rFonts w:asciiTheme="majorHAnsi" w:hAnsiTheme="majorHAnsi"/>
          <w:b/>
          <w:i/>
          <w:sz w:val="24"/>
          <w:szCs w:val="24"/>
        </w:rPr>
      </w:pPr>
      <w:r w:rsidRPr="001D707C">
        <w:rPr>
          <w:rFonts w:asciiTheme="majorHAnsi" w:hAnsiTheme="majorHAnsi"/>
          <w:b/>
          <w:i/>
          <w:sz w:val="24"/>
          <w:szCs w:val="24"/>
        </w:rPr>
        <w:t>Use of Virtual Labs</w:t>
      </w:r>
      <w:r w:rsidR="00710CF7" w:rsidRPr="001D707C">
        <w:rPr>
          <w:rFonts w:asciiTheme="majorHAnsi" w:hAnsiTheme="majorHAnsi"/>
          <w:b/>
          <w:i/>
          <w:sz w:val="24"/>
          <w:szCs w:val="24"/>
        </w:rPr>
        <w:br/>
      </w:r>
    </w:p>
    <w:p w14:paraId="00000057" w14:textId="6B066234" w:rsidR="00F135CF" w:rsidRDefault="00B862A4">
      <w:pPr>
        <w:pStyle w:val="Normal1"/>
        <w:rPr>
          <w:rFonts w:asciiTheme="majorHAnsi" w:hAnsiTheme="majorHAnsi"/>
          <w:sz w:val="24"/>
          <w:szCs w:val="24"/>
        </w:rPr>
      </w:pPr>
      <w:r w:rsidRPr="001D707C">
        <w:rPr>
          <w:rFonts w:asciiTheme="majorHAnsi" w:hAnsiTheme="majorHAnsi"/>
          <w:sz w:val="24"/>
          <w:szCs w:val="24"/>
        </w:rPr>
        <w:t xml:space="preserve">There are numerous examples of the use of virtual laboratories </w:t>
      </w:r>
      <w:r w:rsidR="006919BE" w:rsidRPr="001D707C">
        <w:rPr>
          <w:rFonts w:asciiTheme="majorHAnsi" w:hAnsiTheme="majorHAnsi"/>
          <w:sz w:val="24"/>
          <w:szCs w:val="24"/>
        </w:rPr>
        <w:t xml:space="preserve">to support </w:t>
      </w:r>
      <w:r w:rsidR="00AD46E0" w:rsidRPr="001D707C">
        <w:rPr>
          <w:rFonts w:asciiTheme="majorHAnsi" w:hAnsiTheme="majorHAnsi"/>
          <w:sz w:val="24"/>
          <w:szCs w:val="24"/>
        </w:rPr>
        <w:t>student transition to U</w:t>
      </w:r>
      <w:r w:rsidR="00435A90" w:rsidRPr="001D707C">
        <w:rPr>
          <w:rFonts w:asciiTheme="majorHAnsi" w:hAnsiTheme="majorHAnsi"/>
          <w:sz w:val="24"/>
          <w:szCs w:val="24"/>
        </w:rPr>
        <w:t>niversity and</w:t>
      </w:r>
      <w:r w:rsidR="00211BC6">
        <w:rPr>
          <w:rFonts w:asciiTheme="majorHAnsi" w:hAnsiTheme="majorHAnsi"/>
          <w:sz w:val="24"/>
          <w:szCs w:val="24"/>
        </w:rPr>
        <w:t xml:space="preserve"> their development in laboratory skills through all levels of study</w:t>
      </w:r>
      <w:r w:rsidR="00336BD5">
        <w:rPr>
          <w:rFonts w:asciiTheme="majorHAnsi" w:hAnsiTheme="majorHAnsi"/>
          <w:sz w:val="24"/>
          <w:szCs w:val="24"/>
        </w:rPr>
        <w:t xml:space="preserve">. </w:t>
      </w:r>
      <w:r w:rsidRPr="001D707C">
        <w:rPr>
          <w:rFonts w:asciiTheme="majorHAnsi" w:hAnsiTheme="majorHAnsi"/>
          <w:sz w:val="24"/>
          <w:szCs w:val="24"/>
        </w:rPr>
        <w:t xml:space="preserve">Laboratory </w:t>
      </w:r>
      <w:r w:rsidR="00435A90" w:rsidRPr="001D707C">
        <w:rPr>
          <w:rFonts w:asciiTheme="majorHAnsi" w:hAnsiTheme="majorHAnsi"/>
          <w:sz w:val="24"/>
          <w:szCs w:val="24"/>
        </w:rPr>
        <w:t>skill open e</w:t>
      </w:r>
      <w:r w:rsidRPr="001D707C">
        <w:rPr>
          <w:rFonts w:asciiTheme="majorHAnsi" w:hAnsiTheme="majorHAnsi"/>
          <w:sz w:val="24"/>
          <w:szCs w:val="24"/>
        </w:rPr>
        <w:t>ducational</w:t>
      </w:r>
      <w:r w:rsidR="00435A90" w:rsidRPr="001D707C">
        <w:rPr>
          <w:rFonts w:asciiTheme="majorHAnsi" w:hAnsiTheme="majorHAnsi"/>
          <w:sz w:val="24"/>
          <w:szCs w:val="24"/>
        </w:rPr>
        <w:t xml:space="preserve"> r</w:t>
      </w:r>
      <w:r w:rsidRPr="001D707C">
        <w:rPr>
          <w:rFonts w:asciiTheme="majorHAnsi" w:hAnsiTheme="majorHAnsi"/>
          <w:sz w:val="24"/>
          <w:szCs w:val="24"/>
        </w:rPr>
        <w:t>esources</w:t>
      </w:r>
      <w:r w:rsidR="00A62D9C" w:rsidRPr="001D707C">
        <w:rPr>
          <w:rFonts w:asciiTheme="majorHAnsi" w:hAnsiTheme="majorHAnsi"/>
          <w:sz w:val="24"/>
          <w:szCs w:val="24"/>
        </w:rPr>
        <w:t xml:space="preserve"> (OER) </w:t>
      </w:r>
      <w:r w:rsidR="00435A90" w:rsidRPr="001D707C">
        <w:rPr>
          <w:rFonts w:asciiTheme="majorHAnsi" w:hAnsiTheme="majorHAnsi"/>
          <w:sz w:val="24"/>
          <w:szCs w:val="24"/>
        </w:rPr>
        <w:t xml:space="preserve">created for the 2009 </w:t>
      </w:r>
      <w:r w:rsidR="00A62D9C" w:rsidRPr="001D707C">
        <w:rPr>
          <w:rFonts w:asciiTheme="majorHAnsi" w:hAnsiTheme="majorHAnsi"/>
          <w:sz w:val="24"/>
          <w:szCs w:val="24"/>
        </w:rPr>
        <w:t xml:space="preserve">Virtual Analytical Laboratory Project at De Montfort University </w:t>
      </w:r>
      <w:r w:rsidRPr="001D707C">
        <w:rPr>
          <w:rFonts w:asciiTheme="majorHAnsi" w:hAnsiTheme="majorHAnsi"/>
          <w:sz w:val="24"/>
          <w:szCs w:val="24"/>
        </w:rPr>
        <w:t>w</w:t>
      </w:r>
      <w:r w:rsidR="00F165FE">
        <w:rPr>
          <w:rFonts w:asciiTheme="majorHAnsi" w:hAnsiTheme="majorHAnsi"/>
          <w:sz w:val="24"/>
          <w:szCs w:val="24"/>
        </w:rPr>
        <w:t>ere</w:t>
      </w:r>
      <w:r w:rsidRPr="001D707C">
        <w:rPr>
          <w:rFonts w:asciiTheme="majorHAnsi" w:hAnsiTheme="majorHAnsi"/>
          <w:sz w:val="24"/>
          <w:szCs w:val="24"/>
        </w:rPr>
        <w:t xml:space="preserve"> designed to support student transition into labs</w:t>
      </w:r>
      <w:r w:rsidR="00435A90" w:rsidRPr="001D707C">
        <w:rPr>
          <w:rFonts w:asciiTheme="majorHAnsi" w:hAnsiTheme="majorHAnsi"/>
          <w:sz w:val="24"/>
          <w:szCs w:val="24"/>
        </w:rPr>
        <w:t>,</w:t>
      </w:r>
      <w:r w:rsidRPr="001D707C">
        <w:rPr>
          <w:rFonts w:asciiTheme="majorHAnsi" w:hAnsiTheme="majorHAnsi"/>
          <w:sz w:val="24"/>
          <w:szCs w:val="24"/>
        </w:rPr>
        <w:t xml:space="preserve"> and was used at the start of semester 1 in a remote fashion</w:t>
      </w:r>
      <w:r w:rsidR="00F165FE">
        <w:rPr>
          <w:rFonts w:asciiTheme="majorHAnsi" w:hAnsiTheme="majorHAnsi"/>
          <w:sz w:val="24"/>
          <w:szCs w:val="24"/>
        </w:rPr>
        <w:t>;</w:t>
      </w:r>
      <w:r w:rsidR="00B44EEC" w:rsidRPr="001D707C">
        <w:rPr>
          <w:rFonts w:asciiTheme="majorHAnsi" w:hAnsiTheme="majorHAnsi"/>
          <w:sz w:val="24"/>
          <w:szCs w:val="24"/>
        </w:rPr>
        <w:t xml:space="preserve"> students had access to laboratory skills videos, problem solving and test exercises</w:t>
      </w:r>
      <w:r w:rsidRPr="001D707C">
        <w:rPr>
          <w:rFonts w:asciiTheme="majorHAnsi" w:hAnsiTheme="majorHAnsi"/>
          <w:sz w:val="24"/>
          <w:szCs w:val="24"/>
        </w:rPr>
        <w:t xml:space="preserve"> (</w:t>
      </w:r>
      <w:r w:rsidR="00691C36" w:rsidRPr="001D707C">
        <w:rPr>
          <w:rFonts w:asciiTheme="majorHAnsi" w:hAnsiTheme="majorHAnsi"/>
          <w:sz w:val="24"/>
          <w:szCs w:val="24"/>
        </w:rPr>
        <w:t>Rolfe</w:t>
      </w:r>
      <w:r w:rsidRPr="001D707C">
        <w:rPr>
          <w:rFonts w:asciiTheme="majorHAnsi" w:hAnsiTheme="majorHAnsi"/>
          <w:sz w:val="24"/>
          <w:szCs w:val="24"/>
        </w:rPr>
        <w:t xml:space="preserve"> 2012</w:t>
      </w:r>
      <w:r w:rsidR="00A62D9C" w:rsidRPr="001D707C">
        <w:rPr>
          <w:rFonts w:asciiTheme="majorHAnsi" w:hAnsiTheme="majorHAnsi"/>
          <w:sz w:val="24"/>
          <w:szCs w:val="24"/>
        </w:rPr>
        <w:t xml:space="preserve">). </w:t>
      </w:r>
      <w:r w:rsidR="00BF2FFA" w:rsidRPr="001D707C">
        <w:rPr>
          <w:rFonts w:asciiTheme="majorHAnsi" w:hAnsiTheme="majorHAnsi"/>
          <w:sz w:val="24"/>
          <w:szCs w:val="24"/>
        </w:rPr>
        <w:t>(Open educational resources or open content refers to any resource made available under the terms of a Creative Commons license for reuse</w:t>
      </w:r>
      <w:r w:rsidR="004224EA" w:rsidRPr="001D707C">
        <w:rPr>
          <w:rFonts w:asciiTheme="majorHAnsi" w:hAnsiTheme="majorHAnsi"/>
          <w:sz w:val="24"/>
          <w:szCs w:val="24"/>
        </w:rPr>
        <w:t xml:space="preserve"> and often adaptation and repurposing (UNESCO 2020)</w:t>
      </w:r>
      <w:r w:rsidR="00AC0D5A" w:rsidRPr="001D707C">
        <w:rPr>
          <w:rFonts w:asciiTheme="majorHAnsi" w:hAnsiTheme="majorHAnsi"/>
          <w:sz w:val="24"/>
          <w:szCs w:val="24"/>
        </w:rPr>
        <w:t>)</w:t>
      </w:r>
      <w:r w:rsidR="004224EA" w:rsidRPr="001D707C">
        <w:rPr>
          <w:rFonts w:asciiTheme="majorHAnsi" w:hAnsiTheme="majorHAnsi"/>
          <w:sz w:val="24"/>
          <w:szCs w:val="24"/>
        </w:rPr>
        <w:t xml:space="preserve">. </w:t>
      </w:r>
      <w:r w:rsidR="00435A90" w:rsidRPr="001D707C">
        <w:rPr>
          <w:rFonts w:asciiTheme="majorHAnsi" w:hAnsiTheme="majorHAnsi"/>
          <w:sz w:val="24"/>
          <w:szCs w:val="24"/>
        </w:rPr>
        <w:t>In other examples, t</w:t>
      </w:r>
      <w:r w:rsidR="00A62D9C" w:rsidRPr="001D707C">
        <w:rPr>
          <w:rFonts w:asciiTheme="majorHAnsi" w:hAnsiTheme="majorHAnsi"/>
          <w:sz w:val="24"/>
          <w:szCs w:val="24"/>
        </w:rPr>
        <w:t>he use of virtual laborator</w:t>
      </w:r>
      <w:r w:rsidR="00211BC6">
        <w:rPr>
          <w:rFonts w:asciiTheme="majorHAnsi" w:hAnsiTheme="majorHAnsi"/>
          <w:sz w:val="24"/>
          <w:szCs w:val="24"/>
        </w:rPr>
        <w:t xml:space="preserve">ies </w:t>
      </w:r>
      <w:r w:rsidR="00A62D9C" w:rsidRPr="001D707C">
        <w:rPr>
          <w:rFonts w:asciiTheme="majorHAnsi" w:hAnsiTheme="majorHAnsi"/>
          <w:sz w:val="24"/>
          <w:szCs w:val="24"/>
        </w:rPr>
        <w:t xml:space="preserve">enhanced students’ confidence before going into the lab and operating equipment, </w:t>
      </w:r>
      <w:r w:rsidR="000027CA" w:rsidRPr="001D707C">
        <w:rPr>
          <w:rFonts w:asciiTheme="majorHAnsi" w:hAnsiTheme="majorHAnsi"/>
          <w:sz w:val="24"/>
          <w:szCs w:val="24"/>
        </w:rPr>
        <w:t>and they were able to engage in higher level discussions with staff (</w:t>
      </w:r>
      <w:r w:rsidR="00691C36" w:rsidRPr="001D707C">
        <w:rPr>
          <w:rFonts w:asciiTheme="majorHAnsi" w:hAnsiTheme="majorHAnsi"/>
          <w:sz w:val="24"/>
          <w:szCs w:val="24"/>
        </w:rPr>
        <w:t xml:space="preserve">Dyrberg et al. </w:t>
      </w:r>
      <w:r w:rsidRPr="001D707C">
        <w:rPr>
          <w:rFonts w:asciiTheme="majorHAnsi" w:hAnsiTheme="majorHAnsi"/>
          <w:sz w:val="24"/>
          <w:szCs w:val="24"/>
        </w:rPr>
        <w:t>2017</w:t>
      </w:r>
      <w:r w:rsidR="000027CA" w:rsidRPr="001D707C">
        <w:rPr>
          <w:rFonts w:asciiTheme="majorHAnsi" w:hAnsiTheme="majorHAnsi"/>
          <w:sz w:val="24"/>
          <w:szCs w:val="24"/>
        </w:rPr>
        <w:t>).</w:t>
      </w:r>
      <w:r w:rsidR="00F06E7A">
        <w:rPr>
          <w:rFonts w:asciiTheme="majorHAnsi" w:hAnsiTheme="majorHAnsi"/>
          <w:sz w:val="24"/>
          <w:szCs w:val="24"/>
        </w:rPr>
        <w:t xml:space="preserve"> Virtual laboratories can be designed for group learning, and also still permit doctoral and postdoctoral researchers to gain valuable teaching experience in supervising on-line classes (</w:t>
      </w:r>
      <w:r w:rsidR="00F06E7A" w:rsidRPr="00AC790D">
        <w:rPr>
          <w:color w:val="333333"/>
        </w:rPr>
        <w:t>Vasiliadou</w:t>
      </w:r>
      <w:r w:rsidR="00F06E7A">
        <w:rPr>
          <w:color w:val="333333"/>
        </w:rPr>
        <w:t xml:space="preserve"> 2020).</w:t>
      </w:r>
    </w:p>
    <w:p w14:paraId="5824FB48" w14:textId="77777777" w:rsidR="00F06E7A" w:rsidRDefault="00F06E7A">
      <w:pPr>
        <w:pStyle w:val="Normal1"/>
        <w:rPr>
          <w:rFonts w:asciiTheme="majorHAnsi" w:hAnsiTheme="majorHAnsi"/>
          <w:sz w:val="24"/>
          <w:szCs w:val="24"/>
        </w:rPr>
      </w:pPr>
    </w:p>
    <w:p w14:paraId="0000005D" w14:textId="0AC012A3" w:rsidR="00F135CF" w:rsidRDefault="00BF2FFA">
      <w:pPr>
        <w:pStyle w:val="Normal1"/>
        <w:rPr>
          <w:rFonts w:asciiTheme="majorHAnsi" w:hAnsiTheme="majorHAnsi"/>
          <w:sz w:val="24"/>
          <w:szCs w:val="24"/>
        </w:rPr>
      </w:pPr>
      <w:r w:rsidRPr="001D707C">
        <w:rPr>
          <w:rFonts w:asciiTheme="majorHAnsi" w:hAnsiTheme="majorHAnsi"/>
          <w:sz w:val="24"/>
          <w:szCs w:val="24"/>
        </w:rPr>
        <w:t>The use of openly available</w:t>
      </w:r>
      <w:r w:rsidR="00B862A4" w:rsidRPr="001D707C">
        <w:rPr>
          <w:rFonts w:asciiTheme="majorHAnsi" w:hAnsiTheme="majorHAnsi"/>
          <w:sz w:val="24"/>
          <w:szCs w:val="24"/>
        </w:rPr>
        <w:t xml:space="preserve"> content such as the Open University’s ‘Open Science Laboratory’ provides off-the-shelf tools and practical simulations that can be embedded into curricula</w:t>
      </w:r>
      <w:r w:rsidR="000027CA" w:rsidRPr="001D707C">
        <w:rPr>
          <w:rFonts w:asciiTheme="majorHAnsi" w:hAnsiTheme="majorHAnsi"/>
          <w:sz w:val="24"/>
          <w:szCs w:val="24"/>
        </w:rPr>
        <w:t>, inlcuding a virtual histology microscope</w:t>
      </w:r>
      <w:r w:rsidR="00B862A4" w:rsidRPr="001D707C">
        <w:rPr>
          <w:rFonts w:asciiTheme="majorHAnsi" w:hAnsiTheme="majorHAnsi"/>
          <w:sz w:val="24"/>
          <w:szCs w:val="24"/>
        </w:rPr>
        <w:t xml:space="preserve"> (</w:t>
      </w:r>
      <w:r w:rsidR="00691C36" w:rsidRPr="001D707C">
        <w:rPr>
          <w:rFonts w:asciiTheme="majorHAnsi" w:hAnsiTheme="majorHAnsi"/>
          <w:sz w:val="24"/>
          <w:szCs w:val="24"/>
        </w:rPr>
        <w:t>Open University</w:t>
      </w:r>
      <w:r w:rsidR="00B862A4" w:rsidRPr="001D707C">
        <w:rPr>
          <w:rFonts w:asciiTheme="majorHAnsi" w:hAnsiTheme="majorHAnsi"/>
          <w:sz w:val="24"/>
          <w:szCs w:val="24"/>
        </w:rPr>
        <w:t xml:space="preserve"> 2020</w:t>
      </w:r>
      <w:r w:rsidR="001B3FE3" w:rsidRPr="001D707C">
        <w:rPr>
          <w:rFonts w:asciiTheme="majorHAnsi" w:hAnsiTheme="majorHAnsi"/>
          <w:sz w:val="24"/>
          <w:szCs w:val="24"/>
        </w:rPr>
        <w:t xml:space="preserve">). </w:t>
      </w:r>
      <w:r w:rsidR="00B862A4" w:rsidRPr="001D707C">
        <w:rPr>
          <w:rFonts w:asciiTheme="majorHAnsi" w:hAnsiTheme="majorHAnsi"/>
          <w:sz w:val="24"/>
          <w:szCs w:val="24"/>
        </w:rPr>
        <w:t xml:space="preserve">The use of laboratory simulations </w:t>
      </w:r>
      <w:r w:rsidR="00336BD5">
        <w:rPr>
          <w:rFonts w:asciiTheme="majorHAnsi" w:hAnsiTheme="majorHAnsi"/>
          <w:sz w:val="24"/>
          <w:szCs w:val="24"/>
        </w:rPr>
        <w:t xml:space="preserve">specifically </w:t>
      </w:r>
      <w:r w:rsidR="000027CA" w:rsidRPr="001D707C">
        <w:rPr>
          <w:rFonts w:asciiTheme="majorHAnsi" w:hAnsiTheme="majorHAnsi"/>
          <w:sz w:val="24"/>
          <w:szCs w:val="24"/>
        </w:rPr>
        <w:t xml:space="preserve">for neurosicence and anatomy teaching </w:t>
      </w:r>
      <w:r w:rsidR="00336BD5">
        <w:rPr>
          <w:rFonts w:asciiTheme="majorHAnsi" w:hAnsiTheme="majorHAnsi"/>
          <w:sz w:val="24"/>
          <w:szCs w:val="24"/>
        </w:rPr>
        <w:t xml:space="preserve">were found to benefit student learning, </w:t>
      </w:r>
      <w:r w:rsidR="000027CA" w:rsidRPr="001D707C">
        <w:rPr>
          <w:rFonts w:asciiTheme="majorHAnsi" w:hAnsiTheme="majorHAnsi"/>
          <w:sz w:val="24"/>
          <w:szCs w:val="24"/>
        </w:rPr>
        <w:t>although it may</w:t>
      </w:r>
      <w:r w:rsidR="00AC0D5A" w:rsidRPr="001D707C">
        <w:rPr>
          <w:rFonts w:asciiTheme="majorHAnsi" w:hAnsiTheme="majorHAnsi"/>
          <w:sz w:val="24"/>
          <w:szCs w:val="24"/>
        </w:rPr>
        <w:t xml:space="preserve"> </w:t>
      </w:r>
      <w:r w:rsidR="000027CA" w:rsidRPr="001D707C">
        <w:rPr>
          <w:rFonts w:asciiTheme="majorHAnsi" w:hAnsiTheme="majorHAnsi"/>
          <w:sz w:val="24"/>
          <w:szCs w:val="24"/>
        </w:rPr>
        <w:t>be that some</w:t>
      </w:r>
      <w:r w:rsidR="00AC0D5A" w:rsidRPr="001D707C">
        <w:rPr>
          <w:rFonts w:asciiTheme="majorHAnsi" w:hAnsiTheme="majorHAnsi"/>
          <w:sz w:val="24"/>
          <w:szCs w:val="24"/>
        </w:rPr>
        <w:t xml:space="preserve"> subjects are more visual and</w:t>
      </w:r>
      <w:r w:rsidR="000027CA" w:rsidRPr="001D707C">
        <w:rPr>
          <w:rFonts w:asciiTheme="majorHAnsi" w:hAnsiTheme="majorHAnsi"/>
          <w:sz w:val="24"/>
          <w:szCs w:val="24"/>
        </w:rPr>
        <w:t xml:space="preserve"> lend themselves better to this form of teaching </w:t>
      </w:r>
      <w:r w:rsidR="00B862A4" w:rsidRPr="001D707C">
        <w:rPr>
          <w:rFonts w:asciiTheme="majorHAnsi" w:hAnsiTheme="majorHAnsi"/>
          <w:sz w:val="24"/>
          <w:szCs w:val="24"/>
        </w:rPr>
        <w:t>(</w:t>
      </w:r>
      <w:r w:rsidR="00691C36" w:rsidRPr="001D707C">
        <w:rPr>
          <w:rFonts w:asciiTheme="majorHAnsi" w:hAnsiTheme="majorHAnsi"/>
          <w:sz w:val="24"/>
          <w:szCs w:val="24"/>
        </w:rPr>
        <w:t>Bish and Schleidt</w:t>
      </w:r>
      <w:r w:rsidR="00B862A4" w:rsidRPr="001D707C">
        <w:rPr>
          <w:rFonts w:asciiTheme="majorHAnsi" w:hAnsiTheme="majorHAnsi"/>
          <w:sz w:val="24"/>
          <w:szCs w:val="24"/>
        </w:rPr>
        <w:t xml:space="preserve"> 2008; Ferrer-Torregrosa </w:t>
      </w:r>
      <w:r w:rsidR="00691C36" w:rsidRPr="001D707C">
        <w:rPr>
          <w:rFonts w:asciiTheme="majorHAnsi" w:hAnsiTheme="majorHAnsi"/>
          <w:sz w:val="24"/>
          <w:szCs w:val="24"/>
        </w:rPr>
        <w:t>et al.</w:t>
      </w:r>
      <w:r w:rsidR="00B862A4" w:rsidRPr="001D707C">
        <w:rPr>
          <w:rFonts w:asciiTheme="majorHAnsi" w:hAnsiTheme="majorHAnsi"/>
          <w:sz w:val="24"/>
          <w:szCs w:val="24"/>
        </w:rPr>
        <w:t xml:space="preserve"> 2016</w:t>
      </w:r>
      <w:r w:rsidR="000027CA" w:rsidRPr="001D707C">
        <w:rPr>
          <w:rFonts w:asciiTheme="majorHAnsi" w:hAnsiTheme="majorHAnsi"/>
          <w:sz w:val="24"/>
          <w:szCs w:val="24"/>
        </w:rPr>
        <w:t>).</w:t>
      </w:r>
      <w:r w:rsidR="004F7197">
        <w:rPr>
          <w:rFonts w:asciiTheme="majorHAnsi" w:hAnsiTheme="majorHAnsi"/>
          <w:sz w:val="24"/>
          <w:szCs w:val="24"/>
        </w:rPr>
        <w:t xml:space="preserve"> Student learning of physiology practical skills was enhanced using video guides that were both accessed before the class as well as during the timetabled session (Croker, Andersson, Lush, Prince &amp; Gomez (2010). </w:t>
      </w:r>
      <w:r w:rsidR="009C21F0">
        <w:rPr>
          <w:rFonts w:asciiTheme="majorHAnsi" w:hAnsiTheme="majorHAnsi"/>
          <w:sz w:val="24"/>
          <w:szCs w:val="24"/>
        </w:rPr>
        <w:t>Virtual labs also allow for self-paced learning of chemistry techniques such as chromatography and high performance liquid chromatography, and could be used for home learning (Stone 2007).</w:t>
      </w:r>
    </w:p>
    <w:p w14:paraId="67F183C9" w14:textId="77777777" w:rsidR="009C21F0" w:rsidRDefault="009C21F0" w:rsidP="001B3FE3">
      <w:pPr>
        <w:pStyle w:val="Normal1"/>
        <w:rPr>
          <w:rFonts w:asciiTheme="majorHAnsi" w:hAnsiTheme="majorHAnsi"/>
          <w:sz w:val="24"/>
          <w:szCs w:val="24"/>
        </w:rPr>
      </w:pPr>
    </w:p>
    <w:p w14:paraId="1F4DA73B" w14:textId="570D9F7A" w:rsidR="001B3FE3" w:rsidRPr="001D707C" w:rsidRDefault="001B3FE3" w:rsidP="001B3FE3">
      <w:pPr>
        <w:pStyle w:val="Normal1"/>
        <w:rPr>
          <w:rFonts w:asciiTheme="majorHAnsi" w:hAnsiTheme="majorHAnsi"/>
          <w:sz w:val="24"/>
          <w:szCs w:val="24"/>
        </w:rPr>
      </w:pPr>
      <w:r w:rsidRPr="001D707C">
        <w:rPr>
          <w:rFonts w:asciiTheme="majorHAnsi" w:hAnsiTheme="majorHAnsi"/>
          <w:sz w:val="24"/>
          <w:szCs w:val="24"/>
        </w:rPr>
        <w:t xml:space="preserve">The use of augmented reality laboratory classes offer additional dimensions using mobile devices to scan over bar codes to access multimedia resources; these technologies lessen the reliance on the teaching staff so could be easily used in a socially distanced lab, or </w:t>
      </w:r>
      <w:r w:rsidR="008568D3" w:rsidRPr="001D707C">
        <w:rPr>
          <w:rFonts w:asciiTheme="majorHAnsi" w:hAnsiTheme="majorHAnsi"/>
          <w:sz w:val="24"/>
          <w:szCs w:val="24"/>
        </w:rPr>
        <w:t>used as resource to be used at home providing</w:t>
      </w:r>
      <w:r w:rsidRPr="001D707C">
        <w:rPr>
          <w:rFonts w:asciiTheme="majorHAnsi" w:hAnsiTheme="majorHAnsi"/>
          <w:sz w:val="24"/>
          <w:szCs w:val="24"/>
        </w:rPr>
        <w:t xml:space="preserve"> the students had access to a smart phone (Akçayır et al, 2016).</w:t>
      </w:r>
      <w:r w:rsidR="004F7197">
        <w:rPr>
          <w:rFonts w:asciiTheme="majorHAnsi" w:hAnsiTheme="majorHAnsi"/>
          <w:sz w:val="24"/>
          <w:szCs w:val="24"/>
        </w:rPr>
        <w:t xml:space="preserve"> </w:t>
      </w:r>
      <w:r w:rsidR="008568D3" w:rsidRPr="001D707C">
        <w:rPr>
          <w:rFonts w:asciiTheme="majorHAnsi" w:hAnsiTheme="majorHAnsi"/>
          <w:sz w:val="24"/>
          <w:szCs w:val="24"/>
        </w:rPr>
        <w:t xml:space="preserve">The use of commercially available laboratory simulations </w:t>
      </w:r>
      <w:r w:rsidR="004F7197">
        <w:rPr>
          <w:rFonts w:asciiTheme="majorHAnsi" w:hAnsiTheme="majorHAnsi"/>
          <w:sz w:val="24"/>
          <w:szCs w:val="24"/>
        </w:rPr>
        <w:t xml:space="preserve">such as Labster® </w:t>
      </w:r>
      <w:r w:rsidR="008568D3" w:rsidRPr="001D707C">
        <w:rPr>
          <w:rFonts w:asciiTheme="majorHAnsi" w:hAnsiTheme="majorHAnsi"/>
          <w:sz w:val="24"/>
          <w:szCs w:val="24"/>
        </w:rPr>
        <w:t>offer a</w:t>
      </w:r>
      <w:r w:rsidR="004F7197">
        <w:rPr>
          <w:rFonts w:asciiTheme="majorHAnsi" w:hAnsiTheme="majorHAnsi"/>
          <w:sz w:val="24"/>
          <w:szCs w:val="24"/>
        </w:rPr>
        <w:t xml:space="preserve"> means of </w:t>
      </w:r>
      <w:r w:rsidR="008568D3" w:rsidRPr="001D707C">
        <w:rPr>
          <w:rFonts w:asciiTheme="majorHAnsi" w:hAnsiTheme="majorHAnsi"/>
          <w:sz w:val="24"/>
          <w:szCs w:val="24"/>
        </w:rPr>
        <w:t>boosting student confidence and their acquisition of basic skills and knowledge</w:t>
      </w:r>
      <w:r w:rsidR="004F7197">
        <w:rPr>
          <w:rFonts w:asciiTheme="majorHAnsi" w:hAnsiTheme="majorHAnsi"/>
          <w:sz w:val="24"/>
          <w:szCs w:val="24"/>
        </w:rPr>
        <w:t xml:space="preserve"> such as laboratory health and safety</w:t>
      </w:r>
      <w:r w:rsidR="00F165FE">
        <w:rPr>
          <w:rFonts w:asciiTheme="majorHAnsi" w:hAnsiTheme="majorHAnsi"/>
          <w:sz w:val="24"/>
          <w:szCs w:val="24"/>
        </w:rPr>
        <w:t>, although licensing would need to allow access from a remote setting</w:t>
      </w:r>
      <w:r w:rsidR="008568D3" w:rsidRPr="001D707C">
        <w:rPr>
          <w:rFonts w:asciiTheme="majorHAnsi" w:hAnsiTheme="majorHAnsi"/>
          <w:sz w:val="24"/>
          <w:szCs w:val="24"/>
        </w:rPr>
        <w:t xml:space="preserve"> (Coleman and Smith 2019).</w:t>
      </w:r>
    </w:p>
    <w:p w14:paraId="4A4050E1" w14:textId="77777777" w:rsidR="004F7197" w:rsidRPr="001D707C" w:rsidRDefault="004F7197">
      <w:pPr>
        <w:pStyle w:val="Normal1"/>
        <w:rPr>
          <w:rFonts w:asciiTheme="majorHAnsi" w:hAnsiTheme="majorHAnsi"/>
          <w:sz w:val="24"/>
          <w:szCs w:val="24"/>
        </w:rPr>
      </w:pPr>
    </w:p>
    <w:p w14:paraId="7D47D1A1" w14:textId="77777777" w:rsidR="001B3FE3" w:rsidRPr="001D707C" w:rsidRDefault="001B3FE3">
      <w:pPr>
        <w:pStyle w:val="Normal1"/>
        <w:rPr>
          <w:rFonts w:asciiTheme="majorHAnsi" w:hAnsiTheme="majorHAnsi"/>
          <w:sz w:val="24"/>
          <w:szCs w:val="24"/>
        </w:rPr>
      </w:pPr>
    </w:p>
    <w:p w14:paraId="00000060" w14:textId="6BBFB819" w:rsidR="00F135CF" w:rsidRPr="001D707C" w:rsidRDefault="00710CF7">
      <w:pPr>
        <w:pStyle w:val="Normal1"/>
        <w:rPr>
          <w:rFonts w:asciiTheme="majorHAnsi" w:hAnsiTheme="majorHAnsi"/>
          <w:b/>
          <w:sz w:val="24"/>
          <w:szCs w:val="24"/>
        </w:rPr>
      </w:pPr>
      <w:r w:rsidRPr="001D707C">
        <w:rPr>
          <w:rFonts w:asciiTheme="majorHAnsi" w:hAnsiTheme="majorHAnsi"/>
          <w:b/>
          <w:i/>
          <w:sz w:val="24"/>
          <w:szCs w:val="24"/>
        </w:rPr>
        <w:t>Bioinformatics and data work within the curriculum</w:t>
      </w:r>
      <w:r w:rsidRPr="001D707C">
        <w:rPr>
          <w:rFonts w:asciiTheme="majorHAnsi" w:hAnsiTheme="majorHAnsi"/>
          <w:b/>
          <w:i/>
          <w:sz w:val="24"/>
          <w:szCs w:val="24"/>
        </w:rPr>
        <w:br/>
      </w:r>
    </w:p>
    <w:p w14:paraId="5C160D05" w14:textId="3B266EB1" w:rsidR="000027CA" w:rsidRPr="001D707C" w:rsidRDefault="00B61CC5">
      <w:pPr>
        <w:pStyle w:val="Normal1"/>
        <w:rPr>
          <w:rFonts w:asciiTheme="majorHAnsi" w:hAnsiTheme="majorHAnsi"/>
          <w:b/>
          <w:sz w:val="24"/>
          <w:szCs w:val="24"/>
        </w:rPr>
      </w:pPr>
      <w:r w:rsidRPr="001D707C">
        <w:rPr>
          <w:rFonts w:asciiTheme="majorHAnsi" w:hAnsiTheme="majorHAnsi"/>
          <w:sz w:val="24"/>
          <w:szCs w:val="24"/>
        </w:rPr>
        <w:t xml:space="preserve">To address emerging industry needs and to provide further alternatives for remote </w:t>
      </w:r>
      <w:r w:rsidR="00211BC6">
        <w:rPr>
          <w:rFonts w:asciiTheme="majorHAnsi" w:hAnsiTheme="majorHAnsi"/>
          <w:sz w:val="24"/>
          <w:szCs w:val="24"/>
        </w:rPr>
        <w:t>study</w:t>
      </w:r>
      <w:r w:rsidRPr="001D707C">
        <w:rPr>
          <w:rFonts w:asciiTheme="majorHAnsi" w:hAnsiTheme="majorHAnsi"/>
          <w:sz w:val="24"/>
          <w:szCs w:val="24"/>
        </w:rPr>
        <w:t xml:space="preserve">, the use of bioinformatics and data analysis may offer </w:t>
      </w:r>
      <w:r w:rsidR="00F165FE">
        <w:rPr>
          <w:rFonts w:asciiTheme="majorHAnsi" w:hAnsiTheme="majorHAnsi"/>
          <w:sz w:val="24"/>
          <w:szCs w:val="24"/>
        </w:rPr>
        <w:t xml:space="preserve">a </w:t>
      </w:r>
      <w:r w:rsidRPr="001D707C">
        <w:rPr>
          <w:rFonts w:asciiTheme="majorHAnsi" w:hAnsiTheme="majorHAnsi"/>
          <w:sz w:val="24"/>
          <w:szCs w:val="24"/>
        </w:rPr>
        <w:t xml:space="preserve">solution. </w:t>
      </w:r>
      <w:r w:rsidR="00B862A4" w:rsidRPr="001D707C">
        <w:rPr>
          <w:rFonts w:asciiTheme="majorHAnsi" w:hAnsiTheme="majorHAnsi"/>
          <w:sz w:val="24"/>
          <w:szCs w:val="24"/>
        </w:rPr>
        <w:t xml:space="preserve">The use of </w:t>
      </w:r>
      <w:r w:rsidR="00710CF7" w:rsidRPr="001D707C">
        <w:rPr>
          <w:rFonts w:asciiTheme="majorHAnsi" w:hAnsiTheme="majorHAnsi"/>
          <w:sz w:val="24"/>
          <w:szCs w:val="24"/>
        </w:rPr>
        <w:t>bioinformatic</w:t>
      </w:r>
      <w:r w:rsidR="00AD46E0" w:rsidRPr="001D707C">
        <w:rPr>
          <w:rFonts w:asciiTheme="majorHAnsi" w:hAnsiTheme="majorHAnsi"/>
          <w:sz w:val="24"/>
          <w:szCs w:val="24"/>
        </w:rPr>
        <w:t xml:space="preserve">s </w:t>
      </w:r>
      <w:r w:rsidR="00F165FE">
        <w:rPr>
          <w:rFonts w:asciiTheme="majorHAnsi" w:hAnsiTheme="majorHAnsi"/>
          <w:sz w:val="24"/>
          <w:szCs w:val="24"/>
        </w:rPr>
        <w:t xml:space="preserve">resources are </w:t>
      </w:r>
      <w:r w:rsidR="00211BC6">
        <w:rPr>
          <w:rFonts w:asciiTheme="majorHAnsi" w:hAnsiTheme="majorHAnsi"/>
          <w:sz w:val="24"/>
          <w:szCs w:val="24"/>
        </w:rPr>
        <w:t xml:space="preserve">often </w:t>
      </w:r>
      <w:r w:rsidR="00AD46E0" w:rsidRPr="001D707C">
        <w:rPr>
          <w:rFonts w:asciiTheme="majorHAnsi" w:hAnsiTheme="majorHAnsi"/>
          <w:sz w:val="24"/>
          <w:szCs w:val="24"/>
        </w:rPr>
        <w:t xml:space="preserve">well integrated into </w:t>
      </w:r>
      <w:r w:rsidR="00B862A4" w:rsidRPr="001D707C">
        <w:rPr>
          <w:rFonts w:asciiTheme="majorHAnsi" w:hAnsiTheme="majorHAnsi"/>
          <w:sz w:val="24"/>
          <w:szCs w:val="24"/>
        </w:rPr>
        <w:t xml:space="preserve">molecular biology </w:t>
      </w:r>
      <w:r w:rsidR="00F165FE">
        <w:rPr>
          <w:rFonts w:asciiTheme="majorHAnsi" w:hAnsiTheme="majorHAnsi"/>
          <w:sz w:val="24"/>
          <w:szCs w:val="24"/>
        </w:rPr>
        <w:t>curricula</w:t>
      </w:r>
      <w:r w:rsidR="00B862A4" w:rsidRPr="001D707C">
        <w:rPr>
          <w:rFonts w:asciiTheme="majorHAnsi" w:hAnsiTheme="majorHAnsi"/>
          <w:sz w:val="24"/>
          <w:szCs w:val="24"/>
        </w:rPr>
        <w:t xml:space="preserve">, although in </w:t>
      </w:r>
      <w:r w:rsidR="00F165FE">
        <w:rPr>
          <w:rFonts w:asciiTheme="majorHAnsi" w:hAnsiTheme="majorHAnsi"/>
          <w:sz w:val="24"/>
          <w:szCs w:val="24"/>
        </w:rPr>
        <w:t>a</w:t>
      </w:r>
      <w:r w:rsidR="00F165FE" w:rsidRPr="001D707C">
        <w:rPr>
          <w:rFonts w:asciiTheme="majorHAnsi" w:hAnsiTheme="majorHAnsi"/>
          <w:sz w:val="24"/>
          <w:szCs w:val="24"/>
        </w:rPr>
        <w:t xml:space="preserve"> </w:t>
      </w:r>
      <w:r w:rsidR="00B862A4" w:rsidRPr="001D707C">
        <w:rPr>
          <w:rFonts w:asciiTheme="majorHAnsi" w:hAnsiTheme="majorHAnsi"/>
          <w:sz w:val="24"/>
          <w:szCs w:val="24"/>
        </w:rPr>
        <w:t xml:space="preserve">survey of 16 universities, was </w:t>
      </w:r>
      <w:r w:rsidR="000027CA" w:rsidRPr="001D707C">
        <w:rPr>
          <w:rFonts w:asciiTheme="majorHAnsi" w:hAnsiTheme="majorHAnsi"/>
          <w:sz w:val="24"/>
          <w:szCs w:val="24"/>
        </w:rPr>
        <w:t xml:space="preserve">found to be used in a complementary manner </w:t>
      </w:r>
      <w:r w:rsidR="00B862A4" w:rsidRPr="001D707C">
        <w:rPr>
          <w:rFonts w:asciiTheme="majorHAnsi" w:hAnsiTheme="majorHAnsi"/>
          <w:sz w:val="24"/>
          <w:szCs w:val="24"/>
        </w:rPr>
        <w:t>and not a replacement for the wet laboratory experience (</w:t>
      </w:r>
      <w:r w:rsidR="00DA5BC6" w:rsidRPr="001D707C">
        <w:rPr>
          <w:rFonts w:asciiTheme="majorHAnsi" w:hAnsiTheme="majorHAnsi"/>
          <w:sz w:val="24"/>
          <w:szCs w:val="24"/>
        </w:rPr>
        <w:t>Coward and Gray 2</w:t>
      </w:r>
      <w:r w:rsidR="00B862A4" w:rsidRPr="001D707C">
        <w:rPr>
          <w:rFonts w:asciiTheme="majorHAnsi" w:hAnsiTheme="majorHAnsi"/>
          <w:sz w:val="24"/>
          <w:szCs w:val="24"/>
        </w:rPr>
        <w:t>014). In light of the rising sector need for data-</w:t>
      </w:r>
      <w:r w:rsidR="000027CA" w:rsidRPr="001D707C">
        <w:rPr>
          <w:rFonts w:asciiTheme="majorHAnsi" w:hAnsiTheme="majorHAnsi"/>
          <w:sz w:val="24"/>
          <w:szCs w:val="24"/>
        </w:rPr>
        <w:t xml:space="preserve">literate students, </w:t>
      </w:r>
      <w:r w:rsidR="00B862A4" w:rsidRPr="001D707C">
        <w:rPr>
          <w:rFonts w:asciiTheme="majorHAnsi" w:hAnsiTheme="majorHAnsi"/>
          <w:sz w:val="24"/>
          <w:szCs w:val="24"/>
        </w:rPr>
        <w:t xml:space="preserve">and increasing automation of </w:t>
      </w:r>
      <w:r w:rsidR="00710CF7" w:rsidRPr="001D707C">
        <w:rPr>
          <w:rFonts w:asciiTheme="majorHAnsi" w:hAnsiTheme="majorHAnsi"/>
          <w:sz w:val="24"/>
          <w:szCs w:val="24"/>
        </w:rPr>
        <w:t xml:space="preserve">many </w:t>
      </w:r>
      <w:r w:rsidR="00B862A4" w:rsidRPr="001D707C">
        <w:rPr>
          <w:rFonts w:asciiTheme="majorHAnsi" w:hAnsiTheme="majorHAnsi"/>
          <w:sz w:val="24"/>
          <w:szCs w:val="24"/>
        </w:rPr>
        <w:t xml:space="preserve">laboratory procedures </w:t>
      </w:r>
      <w:r w:rsidR="00710CF7" w:rsidRPr="001D707C">
        <w:rPr>
          <w:rFonts w:asciiTheme="majorHAnsi" w:hAnsiTheme="majorHAnsi"/>
          <w:sz w:val="24"/>
          <w:szCs w:val="24"/>
        </w:rPr>
        <w:t>in professional labs</w:t>
      </w:r>
      <w:r w:rsidR="00B862A4" w:rsidRPr="001D707C">
        <w:rPr>
          <w:rFonts w:asciiTheme="majorHAnsi" w:hAnsiTheme="majorHAnsi"/>
          <w:sz w:val="24"/>
          <w:szCs w:val="24"/>
        </w:rPr>
        <w:t>, one might argue there is flexibility to remove some wet practicals</w:t>
      </w:r>
      <w:r w:rsidR="000027CA" w:rsidRPr="001D707C">
        <w:rPr>
          <w:rFonts w:asciiTheme="majorHAnsi" w:hAnsiTheme="majorHAnsi"/>
          <w:sz w:val="24"/>
          <w:szCs w:val="24"/>
        </w:rPr>
        <w:t xml:space="preserve"> in favour of these skills</w:t>
      </w:r>
      <w:r w:rsidR="00B862A4" w:rsidRPr="001D707C">
        <w:rPr>
          <w:rFonts w:asciiTheme="majorHAnsi" w:hAnsiTheme="majorHAnsi"/>
          <w:sz w:val="24"/>
          <w:szCs w:val="24"/>
        </w:rPr>
        <w:t xml:space="preserve">. </w:t>
      </w:r>
    </w:p>
    <w:p w14:paraId="19C1ABBB" w14:textId="77777777" w:rsidR="00710CF7" w:rsidRPr="001D707C" w:rsidRDefault="00710CF7">
      <w:pPr>
        <w:pStyle w:val="Normal1"/>
        <w:rPr>
          <w:rFonts w:asciiTheme="majorHAnsi" w:hAnsiTheme="majorHAnsi"/>
          <w:sz w:val="24"/>
          <w:szCs w:val="24"/>
        </w:rPr>
      </w:pPr>
    </w:p>
    <w:p w14:paraId="3A1BC7A9" w14:textId="02511468" w:rsidR="00F766FC" w:rsidRDefault="00710CF7" w:rsidP="00710CF7">
      <w:pPr>
        <w:rPr>
          <w:rFonts w:asciiTheme="majorHAnsi" w:hAnsiTheme="majorHAnsi"/>
          <w:sz w:val="24"/>
          <w:szCs w:val="24"/>
        </w:rPr>
      </w:pPr>
      <w:r w:rsidRPr="001D707C">
        <w:rPr>
          <w:rFonts w:asciiTheme="majorHAnsi" w:hAnsiTheme="majorHAnsi"/>
          <w:sz w:val="24"/>
          <w:szCs w:val="24"/>
        </w:rPr>
        <w:t>The use of open datasets are used to support biological, earth, and environmental science teaching, and greatly improved data literacy, conceptual understanding of large datasets and problem solving with data (O’Reilly et al</w:t>
      </w:r>
      <w:r w:rsidR="00691C36" w:rsidRPr="001D707C">
        <w:rPr>
          <w:rFonts w:asciiTheme="majorHAnsi" w:hAnsiTheme="majorHAnsi"/>
          <w:sz w:val="24"/>
          <w:szCs w:val="24"/>
        </w:rPr>
        <w:t>.</w:t>
      </w:r>
      <w:r w:rsidRPr="001D707C">
        <w:rPr>
          <w:rFonts w:asciiTheme="majorHAnsi" w:hAnsiTheme="majorHAnsi"/>
          <w:sz w:val="24"/>
          <w:szCs w:val="24"/>
        </w:rPr>
        <w:t xml:space="preserve"> 2017). In other examples, the use of bioinformatics tools are also integrated into the curriculum including BLAST, a National Center for Biotechnology Information (NCBI) tool; students learnt valuable skills effectively through the </w:t>
      </w:r>
      <w:r w:rsidRPr="001D707C">
        <w:rPr>
          <w:rFonts w:asciiTheme="majorHAnsi" w:hAnsiTheme="majorHAnsi"/>
          <w:sz w:val="24"/>
          <w:szCs w:val="24"/>
        </w:rPr>
        <w:lastRenderedPageBreak/>
        <w:t>teaching, and were challenged and enthused by it (Makar</w:t>
      </w:r>
      <w:r w:rsidR="00691C36" w:rsidRPr="001D707C">
        <w:rPr>
          <w:rFonts w:asciiTheme="majorHAnsi" w:hAnsiTheme="majorHAnsi"/>
          <w:sz w:val="24"/>
          <w:szCs w:val="24"/>
        </w:rPr>
        <w:t>evitch, Frechette, and Wiatros</w:t>
      </w:r>
      <w:r w:rsidRPr="001D707C">
        <w:rPr>
          <w:rFonts w:asciiTheme="majorHAnsi" w:hAnsiTheme="majorHAnsi"/>
          <w:sz w:val="24"/>
          <w:szCs w:val="24"/>
        </w:rPr>
        <w:t xml:space="preserve"> 2015).</w:t>
      </w:r>
      <w:r w:rsidR="00EC0D24">
        <w:rPr>
          <w:rFonts w:asciiTheme="majorHAnsi" w:hAnsiTheme="majorHAnsi"/>
          <w:sz w:val="24"/>
          <w:szCs w:val="24"/>
        </w:rPr>
        <w:t xml:space="preserve"> </w:t>
      </w:r>
      <w:r w:rsidR="00F766FC">
        <w:rPr>
          <w:rFonts w:asciiTheme="majorHAnsi" w:hAnsiTheme="majorHAnsi"/>
          <w:sz w:val="24"/>
          <w:szCs w:val="24"/>
        </w:rPr>
        <w:t>Further ideas for</w:t>
      </w:r>
      <w:r w:rsidR="00EC0D24">
        <w:rPr>
          <w:rFonts w:asciiTheme="majorHAnsi" w:hAnsiTheme="majorHAnsi"/>
          <w:sz w:val="24"/>
          <w:szCs w:val="24"/>
        </w:rPr>
        <w:t xml:space="preserve"> data harvesting projects, or those that use previously collected research data are </w:t>
      </w:r>
      <w:r w:rsidR="00F766FC">
        <w:rPr>
          <w:rFonts w:asciiTheme="majorHAnsi" w:hAnsiTheme="majorHAnsi"/>
          <w:sz w:val="24"/>
          <w:szCs w:val="24"/>
        </w:rPr>
        <w:t>available (Elmer &amp; Durocher 2020).</w:t>
      </w:r>
      <w:r w:rsidR="00210C24">
        <w:rPr>
          <w:rFonts w:asciiTheme="majorHAnsi" w:hAnsiTheme="majorHAnsi"/>
          <w:sz w:val="24"/>
          <w:szCs w:val="24"/>
        </w:rPr>
        <w:t xml:space="preserve"> </w:t>
      </w:r>
      <w:r w:rsidR="00F766FC">
        <w:rPr>
          <w:rFonts w:asciiTheme="majorHAnsi" w:hAnsiTheme="majorHAnsi"/>
          <w:sz w:val="24"/>
          <w:szCs w:val="24"/>
        </w:rPr>
        <w:t>Accessing publically available health data for example from the UK Data Archive which requires a simple registration co</w:t>
      </w:r>
      <w:r w:rsidR="00DB2288">
        <w:rPr>
          <w:rFonts w:asciiTheme="majorHAnsi" w:hAnsiTheme="majorHAnsi"/>
          <w:sz w:val="24"/>
          <w:szCs w:val="24"/>
        </w:rPr>
        <w:t xml:space="preserve">uld be useful for a practical or project </w:t>
      </w:r>
      <w:r w:rsidR="00210C24">
        <w:rPr>
          <w:rFonts w:asciiTheme="majorHAnsi" w:hAnsiTheme="majorHAnsi"/>
          <w:sz w:val="24"/>
          <w:szCs w:val="24"/>
        </w:rPr>
        <w:t>(Essex University 2021).</w:t>
      </w:r>
    </w:p>
    <w:p w14:paraId="00000068" w14:textId="0FF95815" w:rsidR="00F135CF" w:rsidRPr="001D707C" w:rsidRDefault="00F135CF" w:rsidP="00210C24">
      <w:pPr>
        <w:rPr>
          <w:rFonts w:asciiTheme="majorHAnsi" w:hAnsiTheme="majorHAnsi"/>
          <w:b/>
          <w:i/>
          <w:sz w:val="24"/>
          <w:szCs w:val="24"/>
        </w:rPr>
      </w:pPr>
    </w:p>
    <w:p w14:paraId="00000069" w14:textId="4C7D894A" w:rsidR="00F135CF" w:rsidRPr="001D707C" w:rsidRDefault="000657BD">
      <w:pPr>
        <w:pStyle w:val="Normal1"/>
        <w:rPr>
          <w:rFonts w:asciiTheme="majorHAnsi" w:hAnsiTheme="majorHAnsi"/>
          <w:b/>
          <w:i/>
          <w:sz w:val="24"/>
          <w:szCs w:val="24"/>
        </w:rPr>
      </w:pPr>
      <w:r w:rsidRPr="001D707C">
        <w:rPr>
          <w:rFonts w:asciiTheme="majorHAnsi" w:hAnsiTheme="majorHAnsi"/>
          <w:b/>
          <w:i/>
          <w:sz w:val="24"/>
          <w:szCs w:val="24"/>
        </w:rPr>
        <w:t>Alternatives to final year laboratory projects</w:t>
      </w:r>
    </w:p>
    <w:p w14:paraId="0000006A" w14:textId="793275C9" w:rsidR="00F135CF" w:rsidRPr="001D707C" w:rsidRDefault="00B862A4">
      <w:pPr>
        <w:pStyle w:val="Normal1"/>
        <w:rPr>
          <w:rFonts w:asciiTheme="majorHAnsi" w:hAnsiTheme="majorHAnsi"/>
          <w:sz w:val="24"/>
          <w:szCs w:val="24"/>
        </w:rPr>
      </w:pPr>
      <w:r w:rsidRPr="001D707C">
        <w:rPr>
          <w:rFonts w:asciiTheme="majorHAnsi" w:hAnsiTheme="majorHAnsi"/>
          <w:sz w:val="24"/>
          <w:szCs w:val="24"/>
        </w:rPr>
        <w:br/>
      </w:r>
      <w:r w:rsidR="00B61CC5" w:rsidRPr="001D707C">
        <w:rPr>
          <w:rFonts w:asciiTheme="majorHAnsi" w:hAnsiTheme="majorHAnsi"/>
          <w:sz w:val="24"/>
          <w:szCs w:val="24"/>
        </w:rPr>
        <w:t xml:space="preserve">Perhaps the most pivotal time for a bioscience student to gain laboratory experience is as part of their final year project. </w:t>
      </w:r>
      <w:r w:rsidRPr="001D707C">
        <w:rPr>
          <w:rFonts w:asciiTheme="majorHAnsi" w:hAnsiTheme="majorHAnsi"/>
          <w:sz w:val="24"/>
          <w:szCs w:val="24"/>
        </w:rPr>
        <w:t>Final year projects and dissertations should be a motivating and empowering experience for students (</w:t>
      </w:r>
      <w:r w:rsidR="00691C36" w:rsidRPr="001D707C">
        <w:rPr>
          <w:rFonts w:asciiTheme="majorHAnsi" w:hAnsiTheme="majorHAnsi"/>
          <w:sz w:val="24"/>
          <w:szCs w:val="24"/>
        </w:rPr>
        <w:t xml:space="preserve">Healey et al. </w:t>
      </w:r>
      <w:r w:rsidRPr="001D707C">
        <w:rPr>
          <w:rFonts w:asciiTheme="majorHAnsi" w:hAnsiTheme="majorHAnsi"/>
          <w:sz w:val="24"/>
          <w:szCs w:val="24"/>
        </w:rPr>
        <w:t xml:space="preserve">2013). As the authors describe, there is often the assumption that students </w:t>
      </w:r>
      <w:r w:rsidR="00B61CC5" w:rsidRPr="001D707C">
        <w:rPr>
          <w:rFonts w:asciiTheme="majorHAnsi" w:hAnsiTheme="majorHAnsi"/>
          <w:sz w:val="24"/>
          <w:szCs w:val="24"/>
        </w:rPr>
        <w:t>actually</w:t>
      </w:r>
      <w:r w:rsidRPr="001D707C">
        <w:rPr>
          <w:rFonts w:asciiTheme="majorHAnsi" w:hAnsiTheme="majorHAnsi"/>
          <w:sz w:val="24"/>
          <w:szCs w:val="24"/>
        </w:rPr>
        <w:t xml:space="preserve"> want to undertake wet laboratory projects, and in one initiative at Durham University students selected between a lab project, </w:t>
      </w:r>
      <w:r w:rsidR="008028D5">
        <w:rPr>
          <w:rFonts w:asciiTheme="majorHAnsi" w:hAnsiTheme="majorHAnsi"/>
          <w:sz w:val="24"/>
          <w:szCs w:val="24"/>
        </w:rPr>
        <w:t xml:space="preserve">a </w:t>
      </w:r>
      <w:r w:rsidRPr="001D707C">
        <w:rPr>
          <w:rFonts w:asciiTheme="majorHAnsi" w:hAnsiTheme="majorHAnsi"/>
          <w:sz w:val="24"/>
          <w:szCs w:val="24"/>
        </w:rPr>
        <w:t>business activity or education and communications activit</w:t>
      </w:r>
      <w:r w:rsidR="008028D5">
        <w:rPr>
          <w:rFonts w:asciiTheme="majorHAnsi" w:hAnsiTheme="majorHAnsi"/>
          <w:sz w:val="24"/>
          <w:szCs w:val="24"/>
        </w:rPr>
        <w:t>ies</w:t>
      </w:r>
      <w:r w:rsidRPr="001D707C">
        <w:rPr>
          <w:rFonts w:asciiTheme="majorHAnsi" w:hAnsiTheme="majorHAnsi"/>
          <w:sz w:val="24"/>
          <w:szCs w:val="24"/>
        </w:rPr>
        <w:t xml:space="preserve">. This flexibility isn’t afforded to those professionally </w:t>
      </w:r>
      <w:r w:rsidR="00B61CC5" w:rsidRPr="001D707C">
        <w:rPr>
          <w:rFonts w:asciiTheme="majorHAnsi" w:hAnsiTheme="majorHAnsi"/>
          <w:sz w:val="24"/>
          <w:szCs w:val="24"/>
        </w:rPr>
        <w:t xml:space="preserve">accredited programmes in which defined </w:t>
      </w:r>
      <w:r w:rsidRPr="001D707C">
        <w:rPr>
          <w:rFonts w:asciiTheme="majorHAnsi" w:hAnsiTheme="majorHAnsi"/>
          <w:sz w:val="24"/>
          <w:szCs w:val="24"/>
        </w:rPr>
        <w:t xml:space="preserve">laboratory hours need to be achieved, but it could be argued with rising automation and changing </w:t>
      </w:r>
      <w:r w:rsidR="00DB2288">
        <w:rPr>
          <w:rFonts w:asciiTheme="majorHAnsi" w:hAnsiTheme="majorHAnsi"/>
          <w:sz w:val="24"/>
          <w:szCs w:val="24"/>
        </w:rPr>
        <w:t>work environents</w:t>
      </w:r>
      <w:r w:rsidRPr="001D707C">
        <w:rPr>
          <w:rFonts w:asciiTheme="majorHAnsi" w:hAnsiTheme="majorHAnsi"/>
          <w:sz w:val="24"/>
          <w:szCs w:val="24"/>
        </w:rPr>
        <w:t>, these requirements could be challenged.</w:t>
      </w:r>
    </w:p>
    <w:p w14:paraId="0000006B" w14:textId="77777777" w:rsidR="00F135CF" w:rsidRPr="001D707C" w:rsidRDefault="00F135CF">
      <w:pPr>
        <w:pStyle w:val="Normal1"/>
        <w:rPr>
          <w:rFonts w:asciiTheme="majorHAnsi" w:hAnsiTheme="majorHAnsi"/>
          <w:sz w:val="24"/>
          <w:szCs w:val="24"/>
        </w:rPr>
      </w:pPr>
    </w:p>
    <w:p w14:paraId="0000006C" w14:textId="1FDD95F5" w:rsidR="00F135CF" w:rsidRPr="001D707C" w:rsidRDefault="00B862A4">
      <w:pPr>
        <w:pStyle w:val="Normal1"/>
        <w:rPr>
          <w:rFonts w:asciiTheme="majorHAnsi" w:hAnsiTheme="majorHAnsi"/>
          <w:sz w:val="24"/>
          <w:szCs w:val="24"/>
        </w:rPr>
      </w:pPr>
      <w:r w:rsidRPr="001D707C">
        <w:rPr>
          <w:rFonts w:asciiTheme="majorHAnsi" w:hAnsiTheme="majorHAnsi"/>
          <w:sz w:val="24"/>
          <w:szCs w:val="24"/>
        </w:rPr>
        <w:t>Capstone projects are more common in the US and Australia, and comprise a final year ‘venture’ in which the student may devise activities to contribute to their own professional portfolio. These projects can be done in conjunction with local communities and businesses (H</w:t>
      </w:r>
      <w:r w:rsidR="00691C36" w:rsidRPr="001D707C">
        <w:rPr>
          <w:rFonts w:asciiTheme="majorHAnsi" w:hAnsiTheme="majorHAnsi"/>
          <w:sz w:val="24"/>
          <w:szCs w:val="24"/>
        </w:rPr>
        <w:t xml:space="preserve">ealey et al. </w:t>
      </w:r>
      <w:r w:rsidRPr="001D707C">
        <w:rPr>
          <w:rFonts w:asciiTheme="majorHAnsi" w:hAnsiTheme="majorHAnsi"/>
          <w:sz w:val="24"/>
          <w:szCs w:val="24"/>
        </w:rPr>
        <w:t xml:space="preserve">2013). Three-way partnerships between students, universities and partners also benefits staff through building networks and gaining </w:t>
      </w:r>
      <w:r w:rsidR="008028D5">
        <w:rPr>
          <w:rFonts w:asciiTheme="majorHAnsi" w:hAnsiTheme="majorHAnsi"/>
          <w:sz w:val="24"/>
          <w:szCs w:val="24"/>
        </w:rPr>
        <w:t xml:space="preserve">business </w:t>
      </w:r>
      <w:r w:rsidRPr="001D707C">
        <w:rPr>
          <w:rFonts w:asciiTheme="majorHAnsi" w:hAnsiTheme="majorHAnsi"/>
          <w:sz w:val="24"/>
          <w:szCs w:val="24"/>
        </w:rPr>
        <w:t>insights for their teaching and research (D</w:t>
      </w:r>
      <w:r w:rsidR="00691C36" w:rsidRPr="001D707C">
        <w:rPr>
          <w:rFonts w:asciiTheme="majorHAnsi" w:hAnsiTheme="majorHAnsi"/>
          <w:sz w:val="24"/>
          <w:szCs w:val="24"/>
        </w:rPr>
        <w:t>erounian</w:t>
      </w:r>
      <w:r w:rsidRPr="001D707C">
        <w:rPr>
          <w:rFonts w:asciiTheme="majorHAnsi" w:hAnsiTheme="majorHAnsi"/>
          <w:sz w:val="24"/>
          <w:szCs w:val="24"/>
        </w:rPr>
        <w:t xml:space="preserve"> 2007).</w:t>
      </w:r>
    </w:p>
    <w:p w14:paraId="0000006D" w14:textId="77777777" w:rsidR="00F135CF" w:rsidRPr="001D707C" w:rsidRDefault="00F135CF">
      <w:pPr>
        <w:pStyle w:val="Normal1"/>
        <w:rPr>
          <w:rFonts w:asciiTheme="majorHAnsi" w:hAnsiTheme="majorHAnsi"/>
          <w:sz w:val="24"/>
          <w:szCs w:val="24"/>
        </w:rPr>
      </w:pPr>
    </w:p>
    <w:p w14:paraId="46A02639" w14:textId="12C3C6FA" w:rsidR="000657BD" w:rsidRPr="001D707C" w:rsidRDefault="000657BD">
      <w:pPr>
        <w:pStyle w:val="Normal1"/>
        <w:rPr>
          <w:rFonts w:asciiTheme="majorHAnsi" w:hAnsiTheme="majorHAnsi"/>
          <w:sz w:val="24"/>
          <w:szCs w:val="24"/>
        </w:rPr>
      </w:pPr>
      <w:r w:rsidRPr="001D707C">
        <w:rPr>
          <w:rFonts w:asciiTheme="majorHAnsi" w:hAnsiTheme="majorHAnsi"/>
          <w:sz w:val="24"/>
          <w:szCs w:val="24"/>
        </w:rPr>
        <w:t xml:space="preserve">A list of diverse capstone project ideas </w:t>
      </w:r>
      <w:r w:rsidR="008028D5">
        <w:rPr>
          <w:rFonts w:asciiTheme="majorHAnsi" w:hAnsiTheme="majorHAnsi"/>
          <w:sz w:val="24"/>
          <w:szCs w:val="24"/>
        </w:rPr>
        <w:t>from</w:t>
      </w:r>
      <w:r w:rsidRPr="001D707C">
        <w:rPr>
          <w:rFonts w:asciiTheme="majorHAnsi" w:hAnsiTheme="majorHAnsi"/>
          <w:sz w:val="24"/>
          <w:szCs w:val="24"/>
        </w:rPr>
        <w:t xml:space="preserve"> the Royal Society of Biology</w:t>
      </w:r>
      <w:r w:rsidR="008028D5">
        <w:rPr>
          <w:rFonts w:asciiTheme="majorHAnsi" w:hAnsiTheme="majorHAnsi"/>
          <w:sz w:val="24"/>
          <w:szCs w:val="24"/>
        </w:rPr>
        <w:t xml:space="preserve"> are a useful starting point, and attempt to avoid the project </w:t>
      </w:r>
      <w:r w:rsidRPr="001D707C">
        <w:rPr>
          <w:rFonts w:asciiTheme="majorHAnsi" w:hAnsiTheme="majorHAnsi"/>
          <w:sz w:val="24"/>
          <w:szCs w:val="24"/>
        </w:rPr>
        <w:t>slipping into ju</w:t>
      </w:r>
      <w:r w:rsidR="00B61CC5" w:rsidRPr="001D707C">
        <w:rPr>
          <w:rFonts w:asciiTheme="majorHAnsi" w:hAnsiTheme="majorHAnsi"/>
          <w:sz w:val="24"/>
          <w:szCs w:val="24"/>
        </w:rPr>
        <w:t>st a literature review</w:t>
      </w:r>
      <w:r w:rsidR="00691C36" w:rsidRPr="001D707C">
        <w:rPr>
          <w:rFonts w:asciiTheme="majorHAnsi" w:hAnsiTheme="majorHAnsi"/>
          <w:sz w:val="24"/>
          <w:szCs w:val="24"/>
        </w:rPr>
        <w:t xml:space="preserve"> (RSB</w:t>
      </w:r>
      <w:r w:rsidRPr="001D707C">
        <w:rPr>
          <w:rFonts w:asciiTheme="majorHAnsi" w:hAnsiTheme="majorHAnsi"/>
          <w:sz w:val="24"/>
          <w:szCs w:val="24"/>
        </w:rPr>
        <w:t xml:space="preserve"> 2020</w:t>
      </w:r>
      <w:r w:rsidR="00DA5BC6" w:rsidRPr="001D707C">
        <w:rPr>
          <w:rFonts w:asciiTheme="majorHAnsi" w:hAnsiTheme="majorHAnsi"/>
          <w:sz w:val="24"/>
          <w:szCs w:val="24"/>
        </w:rPr>
        <w:t>b</w:t>
      </w:r>
      <w:r w:rsidRPr="001D707C">
        <w:rPr>
          <w:rFonts w:asciiTheme="majorHAnsi" w:hAnsiTheme="majorHAnsi"/>
          <w:sz w:val="24"/>
          <w:szCs w:val="24"/>
        </w:rPr>
        <w:t>).</w:t>
      </w:r>
      <w:r w:rsidR="006919BE" w:rsidRPr="001D707C">
        <w:rPr>
          <w:rFonts w:asciiTheme="majorHAnsi" w:hAnsiTheme="majorHAnsi"/>
          <w:sz w:val="24"/>
          <w:szCs w:val="24"/>
        </w:rPr>
        <w:t xml:space="preserve"> Lewis (2020) also described several capstone options for final year p</w:t>
      </w:r>
      <w:r w:rsidR="00DB2288">
        <w:rPr>
          <w:rFonts w:asciiTheme="majorHAnsi" w:hAnsiTheme="majorHAnsi"/>
          <w:sz w:val="24"/>
          <w:szCs w:val="24"/>
        </w:rPr>
        <w:t>r</w:t>
      </w:r>
      <w:r w:rsidR="006919BE" w:rsidRPr="001D707C">
        <w:rPr>
          <w:rFonts w:asciiTheme="majorHAnsi" w:hAnsiTheme="majorHAnsi"/>
          <w:sz w:val="24"/>
          <w:szCs w:val="24"/>
        </w:rPr>
        <w:t xml:space="preserve">ojects for bioscience students, including projects stuiable for remote working or </w:t>
      </w:r>
      <w:r w:rsidR="00DB2288">
        <w:rPr>
          <w:rFonts w:asciiTheme="majorHAnsi" w:hAnsiTheme="majorHAnsi"/>
          <w:sz w:val="24"/>
          <w:szCs w:val="24"/>
        </w:rPr>
        <w:t xml:space="preserve">that </w:t>
      </w:r>
      <w:r w:rsidR="006919BE" w:rsidRPr="001D707C">
        <w:rPr>
          <w:rFonts w:asciiTheme="majorHAnsi" w:hAnsiTheme="majorHAnsi"/>
          <w:sz w:val="24"/>
          <w:szCs w:val="24"/>
        </w:rPr>
        <w:t>were team-based (Lewis 2020).</w:t>
      </w:r>
    </w:p>
    <w:p w14:paraId="36065497" w14:textId="77777777" w:rsidR="000657BD" w:rsidRPr="001D707C" w:rsidRDefault="000657BD">
      <w:pPr>
        <w:pStyle w:val="Normal1"/>
        <w:rPr>
          <w:rFonts w:asciiTheme="majorHAnsi" w:hAnsiTheme="majorHAnsi"/>
          <w:sz w:val="24"/>
          <w:szCs w:val="24"/>
        </w:rPr>
      </w:pPr>
    </w:p>
    <w:p w14:paraId="06A1C209" w14:textId="7214D06A" w:rsidR="000657BD" w:rsidRPr="001D707C" w:rsidRDefault="00B61CC5">
      <w:pPr>
        <w:pStyle w:val="Normal1"/>
        <w:rPr>
          <w:rFonts w:asciiTheme="majorHAnsi" w:hAnsiTheme="majorHAnsi"/>
          <w:sz w:val="24"/>
          <w:szCs w:val="24"/>
        </w:rPr>
      </w:pPr>
      <w:r w:rsidRPr="00DB2288">
        <w:rPr>
          <w:rFonts w:asciiTheme="majorHAnsi" w:hAnsiTheme="majorHAnsi"/>
          <w:sz w:val="24"/>
          <w:szCs w:val="24"/>
        </w:rPr>
        <w:t xml:space="preserve">In providing projects </w:t>
      </w:r>
      <w:r w:rsidR="00DB2288" w:rsidRPr="00B90F26">
        <w:rPr>
          <w:rFonts w:asciiTheme="majorHAnsi" w:hAnsiTheme="majorHAnsi"/>
          <w:sz w:val="24"/>
          <w:szCs w:val="24"/>
        </w:rPr>
        <w:t>that utilise a wider</w:t>
      </w:r>
      <w:r w:rsidRPr="00DB2288">
        <w:rPr>
          <w:rFonts w:asciiTheme="majorHAnsi" w:hAnsiTheme="majorHAnsi"/>
          <w:sz w:val="24"/>
          <w:szCs w:val="24"/>
        </w:rPr>
        <w:t xml:space="preserve"> range of research methods, staff can better </w:t>
      </w:r>
      <w:r w:rsidR="000657BD" w:rsidRPr="00DB2288">
        <w:rPr>
          <w:rFonts w:asciiTheme="majorHAnsi" w:hAnsiTheme="majorHAnsi"/>
          <w:sz w:val="24"/>
          <w:szCs w:val="24"/>
        </w:rPr>
        <w:t>support the interests and career aspirations of the students. The present authors have both carried out</w:t>
      </w:r>
      <w:r w:rsidR="000657BD" w:rsidRPr="001D707C">
        <w:rPr>
          <w:rFonts w:asciiTheme="majorHAnsi" w:hAnsiTheme="majorHAnsi"/>
          <w:sz w:val="24"/>
          <w:szCs w:val="24"/>
        </w:rPr>
        <w:t xml:space="preserve"> systematic reviews with undergraduate students, which offer relevant skills for those wishing to enter healthcare professions. The pros and cons of doing a mini-review for a project are discussed, including the unexpected workload from retrieving and evaluating a large number of publications, plus limiations of the process which should </w:t>
      </w:r>
      <w:r w:rsidR="00DB2288" w:rsidRPr="001D707C">
        <w:rPr>
          <w:rFonts w:asciiTheme="majorHAnsi" w:hAnsiTheme="majorHAnsi"/>
          <w:sz w:val="24"/>
          <w:szCs w:val="24"/>
        </w:rPr>
        <w:t>i</w:t>
      </w:r>
      <w:r w:rsidR="00DB2288">
        <w:rPr>
          <w:rFonts w:asciiTheme="majorHAnsi" w:hAnsiTheme="majorHAnsi"/>
          <w:sz w:val="24"/>
          <w:szCs w:val="24"/>
        </w:rPr>
        <w:t>deally involve</w:t>
      </w:r>
      <w:r w:rsidR="00DB2288" w:rsidRPr="001D707C">
        <w:rPr>
          <w:rFonts w:asciiTheme="majorHAnsi" w:hAnsiTheme="majorHAnsi"/>
          <w:sz w:val="24"/>
          <w:szCs w:val="24"/>
        </w:rPr>
        <w:t xml:space="preserve"> </w:t>
      </w:r>
      <w:r w:rsidR="000657BD" w:rsidRPr="001D707C">
        <w:rPr>
          <w:rFonts w:asciiTheme="majorHAnsi" w:hAnsiTheme="majorHAnsi"/>
          <w:sz w:val="24"/>
          <w:szCs w:val="24"/>
        </w:rPr>
        <w:t>multiple authors (Wissinger 2018).</w:t>
      </w:r>
      <w:r w:rsidR="00A20FB6" w:rsidRPr="001D707C">
        <w:rPr>
          <w:rFonts w:asciiTheme="majorHAnsi" w:hAnsiTheme="majorHAnsi"/>
          <w:sz w:val="24"/>
          <w:szCs w:val="24"/>
        </w:rPr>
        <w:t xml:space="preserve"> With an enthusiatic student and careful supervision, a systematic review project can produce publishable </w:t>
      </w:r>
      <w:r w:rsidR="00DB2288">
        <w:rPr>
          <w:rFonts w:asciiTheme="majorHAnsi" w:hAnsiTheme="majorHAnsi"/>
          <w:sz w:val="24"/>
          <w:szCs w:val="24"/>
        </w:rPr>
        <w:t>data</w:t>
      </w:r>
      <w:r w:rsidR="00DB2288" w:rsidRPr="001D707C">
        <w:rPr>
          <w:rFonts w:asciiTheme="majorHAnsi" w:hAnsiTheme="majorHAnsi"/>
          <w:sz w:val="24"/>
          <w:szCs w:val="24"/>
        </w:rPr>
        <w:t xml:space="preserve"> </w:t>
      </w:r>
      <w:r w:rsidR="00691C36" w:rsidRPr="001D707C">
        <w:rPr>
          <w:rFonts w:asciiTheme="majorHAnsi" w:hAnsiTheme="majorHAnsi"/>
          <w:sz w:val="24"/>
          <w:szCs w:val="24"/>
        </w:rPr>
        <w:t>(Walker and Adukwu</w:t>
      </w:r>
      <w:r w:rsidR="00A20FB6" w:rsidRPr="001D707C">
        <w:rPr>
          <w:rFonts w:asciiTheme="majorHAnsi" w:hAnsiTheme="majorHAnsi"/>
          <w:sz w:val="24"/>
          <w:szCs w:val="24"/>
        </w:rPr>
        <w:t xml:space="preserve"> 2020).</w:t>
      </w:r>
    </w:p>
    <w:p w14:paraId="0491FFA0" w14:textId="77777777" w:rsidR="00222641" w:rsidRPr="001D707C" w:rsidRDefault="00222641">
      <w:pPr>
        <w:pStyle w:val="Normal1"/>
        <w:rPr>
          <w:rFonts w:asciiTheme="majorHAnsi" w:hAnsiTheme="majorHAnsi"/>
          <w:sz w:val="24"/>
          <w:szCs w:val="24"/>
        </w:rPr>
      </w:pPr>
    </w:p>
    <w:p w14:paraId="64A5D370" w14:textId="238C5A49" w:rsidR="009F48F8" w:rsidRPr="001D707C" w:rsidRDefault="009F48F8">
      <w:pPr>
        <w:pStyle w:val="Normal1"/>
        <w:rPr>
          <w:rFonts w:asciiTheme="majorHAnsi" w:hAnsiTheme="majorHAnsi"/>
          <w:sz w:val="24"/>
          <w:szCs w:val="24"/>
        </w:rPr>
      </w:pPr>
      <w:r w:rsidRPr="001D707C">
        <w:rPr>
          <w:rFonts w:asciiTheme="majorHAnsi" w:hAnsiTheme="majorHAnsi"/>
          <w:sz w:val="24"/>
          <w:szCs w:val="24"/>
        </w:rPr>
        <w:t xml:space="preserve">Another fulfilling and popular type of project is undertaking an audit or questionnaire. Those bioscience students who may be studying professional courses such as Healthcare Science or Biomedical Science may have the opportunity to carry out an audit of their laboratory or clinical environment (Tor, Steketee, and Mak 2016). </w:t>
      </w:r>
    </w:p>
    <w:p w14:paraId="00000072" w14:textId="5A706C06" w:rsidR="00F135CF" w:rsidRPr="001D707C" w:rsidRDefault="00B862A4">
      <w:pPr>
        <w:pStyle w:val="Normal1"/>
        <w:spacing w:before="240" w:after="240"/>
        <w:rPr>
          <w:rFonts w:asciiTheme="majorHAnsi" w:hAnsiTheme="majorHAnsi"/>
          <w:sz w:val="24"/>
          <w:szCs w:val="24"/>
        </w:rPr>
      </w:pPr>
      <w:r w:rsidRPr="001D707C">
        <w:rPr>
          <w:rFonts w:asciiTheme="majorHAnsi" w:hAnsiTheme="majorHAnsi"/>
          <w:sz w:val="24"/>
          <w:szCs w:val="24"/>
        </w:rPr>
        <w:t xml:space="preserve">There are </w:t>
      </w:r>
      <w:r w:rsidR="009C21F0">
        <w:rPr>
          <w:rFonts w:asciiTheme="majorHAnsi" w:hAnsiTheme="majorHAnsi"/>
          <w:sz w:val="24"/>
          <w:szCs w:val="24"/>
        </w:rPr>
        <w:t>other</w:t>
      </w:r>
      <w:r w:rsidR="009C21F0" w:rsidRPr="001D707C">
        <w:rPr>
          <w:rFonts w:asciiTheme="majorHAnsi" w:hAnsiTheme="majorHAnsi"/>
          <w:sz w:val="24"/>
          <w:szCs w:val="24"/>
        </w:rPr>
        <w:t xml:space="preserve"> </w:t>
      </w:r>
      <w:r w:rsidRPr="001D707C">
        <w:rPr>
          <w:rFonts w:asciiTheme="majorHAnsi" w:hAnsiTheme="majorHAnsi"/>
          <w:sz w:val="24"/>
          <w:szCs w:val="24"/>
        </w:rPr>
        <w:t>ways in which final year projects could be diversified to remove the pressure of using the lab, provide re</w:t>
      </w:r>
      <w:r w:rsidR="00B61CC5" w:rsidRPr="001D707C">
        <w:rPr>
          <w:rFonts w:asciiTheme="majorHAnsi" w:hAnsiTheme="majorHAnsi"/>
          <w:sz w:val="24"/>
          <w:szCs w:val="24"/>
        </w:rPr>
        <w:t>levant knowledge and skills for the sector</w:t>
      </w:r>
      <w:r w:rsidRPr="001D707C">
        <w:rPr>
          <w:rFonts w:asciiTheme="majorHAnsi" w:hAnsiTheme="majorHAnsi"/>
          <w:sz w:val="24"/>
          <w:szCs w:val="24"/>
        </w:rPr>
        <w:t xml:space="preserve">, and be carried out in what might increasingly be a remote working scenario. Work would need to be done to deliver a robust experience </w:t>
      </w:r>
      <w:r w:rsidR="00B61CC5" w:rsidRPr="001D707C">
        <w:rPr>
          <w:rFonts w:asciiTheme="majorHAnsi" w:hAnsiTheme="majorHAnsi"/>
          <w:sz w:val="24"/>
          <w:szCs w:val="24"/>
        </w:rPr>
        <w:t>with possibly some element of pair and group working</w:t>
      </w:r>
      <w:r w:rsidRPr="001D707C">
        <w:rPr>
          <w:rFonts w:asciiTheme="majorHAnsi" w:hAnsiTheme="majorHAnsi"/>
          <w:sz w:val="24"/>
          <w:szCs w:val="24"/>
        </w:rPr>
        <w:t>, important transferab</w:t>
      </w:r>
      <w:r w:rsidR="00A20FB6" w:rsidRPr="001D707C">
        <w:rPr>
          <w:rFonts w:asciiTheme="majorHAnsi" w:hAnsiTheme="majorHAnsi"/>
          <w:sz w:val="24"/>
          <w:szCs w:val="24"/>
        </w:rPr>
        <w:t>le skills desired by employers</w:t>
      </w:r>
      <w:r w:rsidRPr="001D707C">
        <w:rPr>
          <w:rFonts w:asciiTheme="majorHAnsi" w:hAnsiTheme="majorHAnsi"/>
          <w:sz w:val="24"/>
          <w:szCs w:val="24"/>
        </w:rPr>
        <w:t>.</w:t>
      </w:r>
    </w:p>
    <w:p w14:paraId="00000075" w14:textId="77777777" w:rsidR="00F135CF" w:rsidRPr="001D707C" w:rsidRDefault="00B862A4">
      <w:pPr>
        <w:pStyle w:val="Normal1"/>
        <w:rPr>
          <w:rFonts w:asciiTheme="majorHAnsi" w:hAnsiTheme="majorHAnsi"/>
          <w:b/>
          <w:sz w:val="24"/>
          <w:szCs w:val="24"/>
        </w:rPr>
      </w:pPr>
      <w:r w:rsidRPr="001D707C">
        <w:rPr>
          <w:rFonts w:asciiTheme="majorHAnsi" w:hAnsiTheme="majorHAnsi"/>
          <w:b/>
          <w:sz w:val="24"/>
          <w:szCs w:val="24"/>
        </w:rPr>
        <w:t>Solutions for Placements</w:t>
      </w:r>
    </w:p>
    <w:p w14:paraId="00000076" w14:textId="77777777" w:rsidR="00F135CF" w:rsidRPr="001D707C" w:rsidRDefault="00F135CF">
      <w:pPr>
        <w:pStyle w:val="Normal1"/>
        <w:rPr>
          <w:rFonts w:asciiTheme="majorHAnsi" w:hAnsiTheme="majorHAnsi"/>
          <w:b/>
          <w:sz w:val="24"/>
          <w:szCs w:val="24"/>
        </w:rPr>
      </w:pPr>
    </w:p>
    <w:p w14:paraId="00000078" w14:textId="335B32BA" w:rsidR="00F135CF" w:rsidRPr="001D707C" w:rsidRDefault="00B862A4">
      <w:pPr>
        <w:pStyle w:val="Normal1"/>
        <w:rPr>
          <w:rFonts w:asciiTheme="majorHAnsi" w:hAnsiTheme="majorHAnsi"/>
          <w:sz w:val="24"/>
          <w:szCs w:val="24"/>
        </w:rPr>
      </w:pPr>
      <w:r w:rsidRPr="001D707C">
        <w:rPr>
          <w:rFonts w:asciiTheme="majorHAnsi" w:hAnsiTheme="majorHAnsi"/>
          <w:sz w:val="24"/>
          <w:szCs w:val="24"/>
        </w:rPr>
        <w:t>There are 5,870 Life Science small, medium and large enterprises in the UK (</w:t>
      </w:r>
      <w:r w:rsidR="00691C36" w:rsidRPr="001D707C">
        <w:rPr>
          <w:rFonts w:asciiTheme="majorHAnsi" w:hAnsiTheme="majorHAnsi"/>
          <w:sz w:val="24"/>
          <w:szCs w:val="24"/>
        </w:rPr>
        <w:t>Science Industry Partnership</w:t>
      </w:r>
      <w:r w:rsidRPr="001D707C">
        <w:rPr>
          <w:rFonts w:asciiTheme="majorHAnsi" w:hAnsiTheme="majorHAnsi"/>
          <w:sz w:val="24"/>
          <w:szCs w:val="24"/>
        </w:rPr>
        <w:t xml:space="preserve"> 2020). </w:t>
      </w:r>
      <w:r w:rsidR="00B61CC5" w:rsidRPr="001D707C">
        <w:rPr>
          <w:rFonts w:asciiTheme="majorHAnsi" w:hAnsiTheme="majorHAnsi"/>
          <w:sz w:val="24"/>
          <w:szCs w:val="24"/>
        </w:rPr>
        <w:t xml:space="preserve">Students traditionally gain in-work experience during year-long placements or holiday internships. </w:t>
      </w:r>
      <w:r w:rsidRPr="001D707C">
        <w:rPr>
          <w:rFonts w:asciiTheme="majorHAnsi" w:hAnsiTheme="majorHAnsi"/>
          <w:sz w:val="24"/>
          <w:szCs w:val="24"/>
        </w:rPr>
        <w:t>Given the low uptake of students on sandwich placements despite the opportunities afforded (</w:t>
      </w:r>
      <w:r w:rsidR="00691C36" w:rsidRPr="001D707C">
        <w:rPr>
          <w:rFonts w:asciiTheme="majorHAnsi" w:hAnsiTheme="majorHAnsi"/>
          <w:sz w:val="24"/>
          <w:szCs w:val="24"/>
        </w:rPr>
        <w:t>HESA 2020b</w:t>
      </w:r>
      <w:r w:rsidRPr="001D707C">
        <w:rPr>
          <w:rFonts w:asciiTheme="majorHAnsi" w:hAnsiTheme="majorHAnsi"/>
          <w:sz w:val="24"/>
          <w:szCs w:val="24"/>
        </w:rPr>
        <w:t xml:space="preserve">), </w:t>
      </w:r>
      <w:r w:rsidR="00B61CC5" w:rsidRPr="001D707C">
        <w:rPr>
          <w:rFonts w:asciiTheme="majorHAnsi" w:hAnsiTheme="majorHAnsi"/>
          <w:sz w:val="24"/>
          <w:szCs w:val="24"/>
        </w:rPr>
        <w:t xml:space="preserve">shorter experiences such as a ten week </w:t>
      </w:r>
      <w:r w:rsidRPr="001D707C">
        <w:rPr>
          <w:rFonts w:asciiTheme="majorHAnsi" w:hAnsiTheme="majorHAnsi"/>
          <w:sz w:val="24"/>
          <w:szCs w:val="24"/>
        </w:rPr>
        <w:t xml:space="preserve">summer internships are </w:t>
      </w:r>
      <w:r w:rsidR="00B61CC5" w:rsidRPr="001D707C">
        <w:rPr>
          <w:rFonts w:asciiTheme="majorHAnsi" w:hAnsiTheme="majorHAnsi"/>
          <w:sz w:val="24"/>
          <w:szCs w:val="24"/>
        </w:rPr>
        <w:t xml:space="preserve">a good compromise to enable the student to develop commercial awareness and </w:t>
      </w:r>
      <w:r w:rsidRPr="001D707C">
        <w:rPr>
          <w:rFonts w:asciiTheme="majorHAnsi" w:hAnsiTheme="majorHAnsi"/>
          <w:sz w:val="24"/>
          <w:szCs w:val="24"/>
        </w:rPr>
        <w:t xml:space="preserve">entrepreneurial skills with less disruption to </w:t>
      </w:r>
      <w:r w:rsidR="00B61CC5" w:rsidRPr="001D707C">
        <w:rPr>
          <w:rFonts w:asciiTheme="majorHAnsi" w:hAnsiTheme="majorHAnsi"/>
          <w:sz w:val="24"/>
          <w:szCs w:val="24"/>
        </w:rPr>
        <w:t xml:space="preserve">their </w:t>
      </w:r>
      <w:r w:rsidRPr="001D707C">
        <w:rPr>
          <w:rFonts w:asciiTheme="majorHAnsi" w:hAnsiTheme="majorHAnsi"/>
          <w:sz w:val="24"/>
          <w:szCs w:val="24"/>
        </w:rPr>
        <w:t>study</w:t>
      </w:r>
      <w:r w:rsidR="00A20FB6" w:rsidRPr="001D707C">
        <w:rPr>
          <w:rFonts w:asciiTheme="majorHAnsi" w:hAnsiTheme="majorHAnsi"/>
          <w:sz w:val="24"/>
          <w:szCs w:val="24"/>
        </w:rPr>
        <w:t>.</w:t>
      </w:r>
    </w:p>
    <w:p w14:paraId="4EB55024" w14:textId="77777777" w:rsidR="00A20FB6" w:rsidRPr="001D707C" w:rsidRDefault="00A20FB6">
      <w:pPr>
        <w:pStyle w:val="Normal1"/>
        <w:rPr>
          <w:rFonts w:asciiTheme="majorHAnsi" w:hAnsiTheme="majorHAnsi"/>
          <w:sz w:val="24"/>
          <w:szCs w:val="24"/>
        </w:rPr>
      </w:pPr>
    </w:p>
    <w:p w14:paraId="0757A130" w14:textId="3510A59F" w:rsidR="00A20FB6" w:rsidRPr="001D707C" w:rsidRDefault="00B862A4">
      <w:pPr>
        <w:pStyle w:val="Normal1"/>
        <w:rPr>
          <w:rFonts w:asciiTheme="majorHAnsi" w:hAnsiTheme="majorHAnsi"/>
          <w:sz w:val="24"/>
          <w:szCs w:val="24"/>
        </w:rPr>
      </w:pPr>
      <w:r w:rsidRPr="001D707C">
        <w:rPr>
          <w:rFonts w:asciiTheme="majorHAnsi" w:hAnsiTheme="majorHAnsi"/>
          <w:sz w:val="24"/>
          <w:szCs w:val="24"/>
        </w:rPr>
        <w:t xml:space="preserve">With the advent of more remote working post-Covid-19, universities and partners </w:t>
      </w:r>
      <w:r w:rsidR="006919BE" w:rsidRPr="001D707C">
        <w:rPr>
          <w:rFonts w:asciiTheme="majorHAnsi" w:hAnsiTheme="majorHAnsi"/>
          <w:sz w:val="24"/>
          <w:szCs w:val="24"/>
        </w:rPr>
        <w:t>could</w:t>
      </w:r>
      <w:r w:rsidRPr="001D707C">
        <w:rPr>
          <w:rFonts w:asciiTheme="majorHAnsi" w:hAnsiTheme="majorHAnsi"/>
          <w:sz w:val="24"/>
          <w:szCs w:val="24"/>
        </w:rPr>
        <w:t xml:space="preserve"> con</w:t>
      </w:r>
      <w:r w:rsidR="00A20FB6" w:rsidRPr="001D707C">
        <w:rPr>
          <w:rFonts w:asciiTheme="majorHAnsi" w:hAnsiTheme="majorHAnsi"/>
          <w:sz w:val="24"/>
          <w:szCs w:val="24"/>
        </w:rPr>
        <w:t xml:space="preserve">sider how to facilitate students gaining these opportunities, particularly given the </w:t>
      </w:r>
      <w:r w:rsidR="00DE3CDC" w:rsidRPr="001D707C">
        <w:rPr>
          <w:rFonts w:asciiTheme="majorHAnsi" w:hAnsiTheme="majorHAnsi"/>
          <w:sz w:val="24"/>
          <w:szCs w:val="24"/>
        </w:rPr>
        <w:t>benefits they</w:t>
      </w:r>
      <w:r w:rsidR="00A20FB6" w:rsidRPr="001D707C">
        <w:rPr>
          <w:rFonts w:asciiTheme="majorHAnsi" w:hAnsiTheme="majorHAnsi"/>
          <w:sz w:val="24"/>
          <w:szCs w:val="24"/>
        </w:rPr>
        <w:t xml:space="preserve"> can create for disadvantaged student groups (</w:t>
      </w:r>
      <w:r w:rsidR="00691C36" w:rsidRPr="001D707C">
        <w:rPr>
          <w:rFonts w:asciiTheme="majorHAnsi" w:hAnsiTheme="majorHAnsi"/>
          <w:sz w:val="24"/>
          <w:szCs w:val="24"/>
        </w:rPr>
        <w:t>Moores, Birdi, and Higson 2017</w:t>
      </w:r>
      <w:r w:rsidR="00A20FB6" w:rsidRPr="001D707C">
        <w:rPr>
          <w:rFonts w:asciiTheme="majorHAnsi" w:hAnsiTheme="majorHAnsi"/>
          <w:sz w:val="24"/>
          <w:szCs w:val="24"/>
        </w:rPr>
        <w:t>).</w:t>
      </w:r>
      <w:r w:rsidR="006919BE" w:rsidRPr="001D707C">
        <w:rPr>
          <w:rFonts w:asciiTheme="majorHAnsi" w:hAnsiTheme="majorHAnsi"/>
          <w:sz w:val="24"/>
          <w:szCs w:val="24"/>
        </w:rPr>
        <w:t xml:space="preserve"> The pandemic also provides an avenue for businesses to explore how to support internships, work experience and placements to address some of their emergent needs.</w:t>
      </w:r>
    </w:p>
    <w:p w14:paraId="00000079" w14:textId="11D42EB4" w:rsidR="00F135CF" w:rsidRPr="001D707C" w:rsidRDefault="00B862A4">
      <w:pPr>
        <w:pStyle w:val="Normal1"/>
        <w:rPr>
          <w:rFonts w:asciiTheme="majorHAnsi" w:hAnsiTheme="majorHAnsi"/>
          <w:b/>
          <w:i/>
          <w:sz w:val="24"/>
          <w:szCs w:val="24"/>
        </w:rPr>
      </w:pPr>
      <w:r w:rsidRPr="001D707C">
        <w:rPr>
          <w:rFonts w:asciiTheme="majorHAnsi" w:hAnsiTheme="majorHAnsi"/>
          <w:sz w:val="24"/>
          <w:szCs w:val="24"/>
        </w:rPr>
        <w:br/>
      </w:r>
      <w:r w:rsidRPr="001D707C">
        <w:rPr>
          <w:rFonts w:asciiTheme="majorHAnsi" w:hAnsiTheme="majorHAnsi"/>
          <w:b/>
          <w:i/>
          <w:sz w:val="24"/>
          <w:szCs w:val="24"/>
        </w:rPr>
        <w:t>Embedding Entrepreneurship</w:t>
      </w:r>
    </w:p>
    <w:p w14:paraId="0000007A" w14:textId="77777777" w:rsidR="00F135CF" w:rsidRPr="001D707C" w:rsidRDefault="00F135CF">
      <w:pPr>
        <w:pStyle w:val="Normal1"/>
        <w:rPr>
          <w:rFonts w:asciiTheme="majorHAnsi" w:hAnsiTheme="majorHAnsi"/>
          <w:sz w:val="24"/>
          <w:szCs w:val="24"/>
        </w:rPr>
      </w:pPr>
    </w:p>
    <w:p w14:paraId="23192A9B" w14:textId="25ED034A" w:rsidR="002D45DE" w:rsidRPr="001D707C" w:rsidRDefault="00B862A4" w:rsidP="00DE3CDC">
      <w:pPr>
        <w:pStyle w:val="Normal1"/>
        <w:rPr>
          <w:rFonts w:asciiTheme="majorHAnsi" w:hAnsiTheme="majorHAnsi"/>
          <w:sz w:val="24"/>
          <w:szCs w:val="24"/>
        </w:rPr>
      </w:pPr>
      <w:r w:rsidRPr="001D707C">
        <w:rPr>
          <w:rFonts w:asciiTheme="majorHAnsi" w:hAnsiTheme="majorHAnsi"/>
          <w:sz w:val="24"/>
          <w:szCs w:val="24"/>
        </w:rPr>
        <w:t xml:space="preserve">A </w:t>
      </w:r>
      <w:r w:rsidR="00AD46E0" w:rsidRPr="001D707C">
        <w:rPr>
          <w:rFonts w:asciiTheme="majorHAnsi" w:hAnsiTheme="majorHAnsi"/>
          <w:sz w:val="24"/>
          <w:szCs w:val="24"/>
        </w:rPr>
        <w:t xml:space="preserve">logical </w:t>
      </w:r>
      <w:r w:rsidRPr="001D707C">
        <w:rPr>
          <w:rFonts w:asciiTheme="majorHAnsi" w:hAnsiTheme="majorHAnsi"/>
          <w:sz w:val="24"/>
          <w:szCs w:val="24"/>
        </w:rPr>
        <w:t xml:space="preserve">starting point </w:t>
      </w:r>
      <w:r w:rsidR="00AD46E0" w:rsidRPr="001D707C">
        <w:rPr>
          <w:rFonts w:asciiTheme="majorHAnsi" w:hAnsiTheme="majorHAnsi"/>
          <w:sz w:val="24"/>
          <w:szCs w:val="24"/>
        </w:rPr>
        <w:t>is increasing</w:t>
      </w:r>
      <w:r w:rsidRPr="001D707C">
        <w:rPr>
          <w:rFonts w:asciiTheme="majorHAnsi" w:hAnsiTheme="majorHAnsi"/>
          <w:sz w:val="24"/>
          <w:szCs w:val="24"/>
        </w:rPr>
        <w:t xml:space="preserve"> student awareness of </w:t>
      </w:r>
      <w:r w:rsidR="00DE3CDC" w:rsidRPr="001D707C">
        <w:rPr>
          <w:rFonts w:asciiTheme="majorHAnsi" w:hAnsiTheme="majorHAnsi"/>
          <w:sz w:val="24"/>
          <w:szCs w:val="24"/>
        </w:rPr>
        <w:t xml:space="preserve">the benefits of </w:t>
      </w:r>
      <w:r w:rsidRPr="001D707C">
        <w:rPr>
          <w:rFonts w:asciiTheme="majorHAnsi" w:hAnsiTheme="majorHAnsi"/>
          <w:sz w:val="24"/>
          <w:szCs w:val="24"/>
        </w:rPr>
        <w:t xml:space="preserve">work experience, and </w:t>
      </w:r>
      <w:r w:rsidR="00DE3CDC" w:rsidRPr="001D707C">
        <w:rPr>
          <w:rFonts w:asciiTheme="majorHAnsi" w:hAnsiTheme="majorHAnsi"/>
          <w:sz w:val="24"/>
          <w:szCs w:val="24"/>
        </w:rPr>
        <w:t>gain</w:t>
      </w:r>
      <w:r w:rsidR="00AD46E0" w:rsidRPr="001D707C">
        <w:rPr>
          <w:rFonts w:asciiTheme="majorHAnsi" w:hAnsiTheme="majorHAnsi"/>
          <w:sz w:val="24"/>
          <w:szCs w:val="24"/>
        </w:rPr>
        <w:t>ing</w:t>
      </w:r>
      <w:r w:rsidR="00DE3CDC" w:rsidRPr="001D707C">
        <w:rPr>
          <w:rFonts w:asciiTheme="majorHAnsi" w:hAnsiTheme="majorHAnsi"/>
          <w:sz w:val="24"/>
          <w:szCs w:val="24"/>
        </w:rPr>
        <w:t xml:space="preserve"> their </w:t>
      </w:r>
      <w:r w:rsidRPr="001D707C">
        <w:rPr>
          <w:rFonts w:asciiTheme="majorHAnsi" w:hAnsiTheme="majorHAnsi"/>
          <w:sz w:val="24"/>
          <w:szCs w:val="24"/>
        </w:rPr>
        <w:t>enthusiasm for it. Universities such as</w:t>
      </w:r>
      <w:r w:rsidR="00A20FB6" w:rsidRPr="001D707C">
        <w:rPr>
          <w:rFonts w:asciiTheme="majorHAnsi" w:hAnsiTheme="majorHAnsi"/>
          <w:sz w:val="24"/>
          <w:szCs w:val="24"/>
        </w:rPr>
        <w:t xml:space="preserve"> Loughbourgh</w:t>
      </w:r>
      <w:r w:rsidR="002F69F7" w:rsidRPr="001D707C">
        <w:rPr>
          <w:rFonts w:asciiTheme="majorHAnsi" w:hAnsiTheme="majorHAnsi"/>
          <w:sz w:val="24"/>
          <w:szCs w:val="24"/>
        </w:rPr>
        <w:t xml:space="preserve"> and Nottingham Trent provide entreprene</w:t>
      </w:r>
      <w:r w:rsidR="00DE3CDC" w:rsidRPr="001D707C">
        <w:rPr>
          <w:rFonts w:asciiTheme="majorHAnsi" w:hAnsiTheme="majorHAnsi"/>
          <w:sz w:val="24"/>
          <w:szCs w:val="24"/>
        </w:rPr>
        <w:t>ur</w:t>
      </w:r>
      <w:r w:rsidR="002F69F7" w:rsidRPr="001D707C">
        <w:rPr>
          <w:rFonts w:asciiTheme="majorHAnsi" w:hAnsiTheme="majorHAnsi"/>
          <w:sz w:val="24"/>
          <w:szCs w:val="24"/>
        </w:rPr>
        <w:t>ship</w:t>
      </w:r>
      <w:r w:rsidR="002D45DE" w:rsidRPr="001D707C">
        <w:rPr>
          <w:rFonts w:asciiTheme="majorHAnsi" w:hAnsiTheme="majorHAnsi"/>
          <w:sz w:val="24"/>
          <w:szCs w:val="24"/>
        </w:rPr>
        <w:t xml:space="preserve"> </w:t>
      </w:r>
      <w:r w:rsidR="002F69F7" w:rsidRPr="001D707C">
        <w:rPr>
          <w:rFonts w:asciiTheme="majorHAnsi" w:hAnsiTheme="majorHAnsi"/>
          <w:sz w:val="24"/>
          <w:szCs w:val="24"/>
        </w:rPr>
        <w:t>facilities and ecosystem</w:t>
      </w:r>
      <w:r w:rsidR="002D45DE" w:rsidRPr="001D707C">
        <w:rPr>
          <w:rFonts w:asciiTheme="majorHAnsi" w:hAnsiTheme="majorHAnsi"/>
          <w:sz w:val="24"/>
          <w:szCs w:val="24"/>
        </w:rPr>
        <w:t>s</w:t>
      </w:r>
      <w:r w:rsidR="002F69F7" w:rsidRPr="001D707C">
        <w:rPr>
          <w:rFonts w:asciiTheme="majorHAnsi" w:hAnsiTheme="majorHAnsi"/>
          <w:sz w:val="24"/>
          <w:szCs w:val="24"/>
        </w:rPr>
        <w:t xml:space="preserve"> to support student training and networking</w:t>
      </w:r>
      <w:r w:rsidR="00DE3CDC" w:rsidRPr="001D707C">
        <w:rPr>
          <w:rFonts w:asciiTheme="majorHAnsi" w:hAnsiTheme="majorHAnsi"/>
          <w:sz w:val="24"/>
          <w:szCs w:val="24"/>
        </w:rPr>
        <w:t xml:space="preserve"> on campus</w:t>
      </w:r>
      <w:r w:rsidR="002F69F7" w:rsidRPr="001D707C">
        <w:rPr>
          <w:rFonts w:asciiTheme="majorHAnsi" w:hAnsiTheme="majorHAnsi"/>
          <w:sz w:val="24"/>
          <w:szCs w:val="24"/>
        </w:rPr>
        <w:t xml:space="preserve"> (Loughborough 2020, NTU 2020). At Manchester Metropolitan University, in the Department of Health Professions, a senior lecturer in nutrition established the award-winning social enterprise MetMunch, and embeds entrepreneruial opportunites for student</w:t>
      </w:r>
      <w:r w:rsidR="00B57521" w:rsidRPr="001D707C">
        <w:rPr>
          <w:rFonts w:asciiTheme="majorHAnsi" w:hAnsiTheme="majorHAnsi"/>
          <w:sz w:val="24"/>
          <w:szCs w:val="24"/>
        </w:rPr>
        <w:t>s within the nutrition curriculum</w:t>
      </w:r>
      <w:r w:rsidR="002F69F7" w:rsidRPr="001D707C">
        <w:rPr>
          <w:rFonts w:asciiTheme="majorHAnsi" w:hAnsiTheme="majorHAnsi"/>
          <w:sz w:val="24"/>
          <w:szCs w:val="24"/>
        </w:rPr>
        <w:t xml:space="preserve"> (MetMunch 2020).</w:t>
      </w:r>
      <w:r w:rsidR="00DE3CDC" w:rsidRPr="001D707C">
        <w:rPr>
          <w:rFonts w:asciiTheme="majorHAnsi" w:hAnsiTheme="majorHAnsi"/>
          <w:sz w:val="24"/>
          <w:szCs w:val="24"/>
        </w:rPr>
        <w:t xml:space="preserve"> </w:t>
      </w:r>
      <w:r w:rsidR="002D45DE" w:rsidRPr="001D707C">
        <w:rPr>
          <w:rFonts w:asciiTheme="majorHAnsi" w:hAnsiTheme="majorHAnsi"/>
          <w:sz w:val="24"/>
          <w:szCs w:val="24"/>
        </w:rPr>
        <w:t xml:space="preserve">At Staffordshire University, one initiative </w:t>
      </w:r>
      <w:r w:rsidR="00DE3CDC" w:rsidRPr="001D707C">
        <w:rPr>
          <w:rFonts w:asciiTheme="majorHAnsi" w:hAnsiTheme="majorHAnsi"/>
          <w:sz w:val="24"/>
          <w:szCs w:val="24"/>
        </w:rPr>
        <w:t xml:space="preserve">was based upon a </w:t>
      </w:r>
      <w:r w:rsidRPr="001D707C">
        <w:rPr>
          <w:rFonts w:asciiTheme="majorHAnsi" w:hAnsiTheme="majorHAnsi"/>
          <w:sz w:val="24"/>
          <w:szCs w:val="24"/>
        </w:rPr>
        <w:t xml:space="preserve">two-way collaboration with local private industry in the design and mentoring of </w:t>
      </w:r>
      <w:r w:rsidR="002D45DE" w:rsidRPr="001D707C">
        <w:rPr>
          <w:rFonts w:asciiTheme="majorHAnsi" w:hAnsiTheme="majorHAnsi"/>
          <w:sz w:val="24"/>
          <w:szCs w:val="24"/>
        </w:rPr>
        <w:t xml:space="preserve">its business start-up programme. </w:t>
      </w:r>
      <w:r w:rsidRPr="001D707C">
        <w:rPr>
          <w:rFonts w:asciiTheme="majorHAnsi" w:hAnsiTheme="majorHAnsi"/>
          <w:sz w:val="24"/>
          <w:szCs w:val="24"/>
        </w:rPr>
        <w:t xml:space="preserve">External collaborations </w:t>
      </w:r>
      <w:r w:rsidR="002D45DE" w:rsidRPr="001D707C">
        <w:rPr>
          <w:rFonts w:asciiTheme="majorHAnsi" w:hAnsiTheme="majorHAnsi"/>
          <w:sz w:val="24"/>
          <w:szCs w:val="24"/>
        </w:rPr>
        <w:t xml:space="preserve">help to develop staff expertise and enrich </w:t>
      </w:r>
      <w:r w:rsidR="002D45DE" w:rsidRPr="001D707C">
        <w:rPr>
          <w:rFonts w:asciiTheme="majorHAnsi" w:hAnsiTheme="majorHAnsi"/>
          <w:sz w:val="24"/>
          <w:szCs w:val="24"/>
        </w:rPr>
        <w:lastRenderedPageBreak/>
        <w:t xml:space="preserve">the student experience. </w:t>
      </w:r>
      <w:r w:rsidRPr="001D707C">
        <w:rPr>
          <w:rFonts w:asciiTheme="majorHAnsi" w:hAnsiTheme="majorHAnsi"/>
          <w:sz w:val="24"/>
          <w:szCs w:val="24"/>
        </w:rPr>
        <w:t xml:space="preserve"> </w:t>
      </w:r>
      <w:r w:rsidR="00222641" w:rsidRPr="001D707C">
        <w:rPr>
          <w:rFonts w:asciiTheme="majorHAnsi" w:hAnsiTheme="majorHAnsi"/>
          <w:sz w:val="24"/>
          <w:szCs w:val="24"/>
        </w:rPr>
        <w:t>Additional activites in</w:t>
      </w:r>
      <w:r w:rsidR="002D45DE" w:rsidRPr="001D707C">
        <w:rPr>
          <w:rFonts w:asciiTheme="majorHAnsi" w:hAnsiTheme="majorHAnsi"/>
          <w:sz w:val="24"/>
          <w:szCs w:val="24"/>
        </w:rPr>
        <w:t>c</w:t>
      </w:r>
      <w:r w:rsidR="00222641" w:rsidRPr="001D707C">
        <w:rPr>
          <w:rFonts w:asciiTheme="majorHAnsi" w:hAnsiTheme="majorHAnsi"/>
          <w:sz w:val="24"/>
          <w:szCs w:val="24"/>
        </w:rPr>
        <w:t>l</w:t>
      </w:r>
      <w:r w:rsidR="002D45DE" w:rsidRPr="001D707C">
        <w:rPr>
          <w:rFonts w:asciiTheme="majorHAnsi" w:hAnsiTheme="majorHAnsi"/>
          <w:sz w:val="24"/>
          <w:szCs w:val="24"/>
        </w:rPr>
        <w:t>ude guest lectures, placements and internships and collaborative projects (Clements 2011).</w:t>
      </w:r>
    </w:p>
    <w:p w14:paraId="00000082" w14:textId="55395ED9" w:rsidR="00F135CF" w:rsidRPr="001D707C" w:rsidRDefault="00DE3CDC" w:rsidP="007B19DE">
      <w:pPr>
        <w:pStyle w:val="Normal1"/>
        <w:spacing w:before="240" w:after="240"/>
        <w:rPr>
          <w:rFonts w:asciiTheme="majorHAnsi" w:hAnsiTheme="majorHAnsi"/>
          <w:sz w:val="24"/>
          <w:szCs w:val="24"/>
        </w:rPr>
      </w:pPr>
      <w:r w:rsidRPr="001D707C">
        <w:rPr>
          <w:rFonts w:asciiTheme="majorHAnsi" w:hAnsiTheme="majorHAnsi"/>
          <w:sz w:val="24"/>
          <w:szCs w:val="24"/>
        </w:rPr>
        <w:t xml:space="preserve">Whilst many of these examples are large-scale initiatives built over time, universities and staff can start dialogue with local companies to </w:t>
      </w:r>
      <w:r w:rsidR="00B57521" w:rsidRPr="001D707C">
        <w:rPr>
          <w:rFonts w:asciiTheme="majorHAnsi" w:hAnsiTheme="majorHAnsi"/>
          <w:sz w:val="24"/>
          <w:szCs w:val="24"/>
        </w:rPr>
        <w:t>secure</w:t>
      </w:r>
      <w:r w:rsidRPr="001D707C">
        <w:rPr>
          <w:rFonts w:asciiTheme="majorHAnsi" w:hAnsiTheme="majorHAnsi"/>
          <w:sz w:val="24"/>
          <w:szCs w:val="24"/>
        </w:rPr>
        <w:t xml:space="preserve"> opportunities for students. </w:t>
      </w:r>
      <w:r w:rsidR="00B862A4" w:rsidRPr="001D707C">
        <w:rPr>
          <w:rFonts w:asciiTheme="majorHAnsi" w:hAnsiTheme="majorHAnsi"/>
          <w:sz w:val="24"/>
          <w:szCs w:val="24"/>
        </w:rPr>
        <w:t xml:space="preserve">At Pukka Herbs, we carry out a range of ‘taster’ </w:t>
      </w:r>
      <w:r w:rsidRPr="001D707C">
        <w:rPr>
          <w:rFonts w:asciiTheme="majorHAnsi" w:hAnsiTheme="majorHAnsi"/>
          <w:sz w:val="24"/>
          <w:szCs w:val="24"/>
        </w:rPr>
        <w:t xml:space="preserve">activities </w:t>
      </w:r>
      <w:r w:rsidR="00B862A4" w:rsidRPr="001D707C">
        <w:rPr>
          <w:rFonts w:asciiTheme="majorHAnsi" w:hAnsiTheme="majorHAnsi"/>
          <w:sz w:val="24"/>
          <w:szCs w:val="24"/>
        </w:rPr>
        <w:t>such as sponsoring practicals</w:t>
      </w:r>
      <w:r w:rsidRPr="001D707C">
        <w:rPr>
          <w:rFonts w:asciiTheme="majorHAnsi" w:hAnsiTheme="majorHAnsi"/>
          <w:sz w:val="24"/>
          <w:szCs w:val="24"/>
        </w:rPr>
        <w:t xml:space="preserve"> to carry out a relevant piece of research</w:t>
      </w:r>
      <w:r w:rsidR="00B862A4" w:rsidRPr="001D707C">
        <w:rPr>
          <w:rFonts w:asciiTheme="majorHAnsi" w:hAnsiTheme="majorHAnsi"/>
          <w:sz w:val="24"/>
          <w:szCs w:val="24"/>
        </w:rPr>
        <w:t>, providing student seminars and guest lectures, sponso</w:t>
      </w:r>
      <w:r w:rsidRPr="001D707C">
        <w:rPr>
          <w:rFonts w:asciiTheme="majorHAnsi" w:hAnsiTheme="majorHAnsi"/>
          <w:sz w:val="24"/>
          <w:szCs w:val="24"/>
        </w:rPr>
        <w:t>ring undergraduate projects</w:t>
      </w:r>
      <w:r w:rsidR="00B57521" w:rsidRPr="001D707C">
        <w:rPr>
          <w:rFonts w:asciiTheme="majorHAnsi" w:hAnsiTheme="majorHAnsi"/>
          <w:sz w:val="24"/>
          <w:szCs w:val="24"/>
        </w:rPr>
        <w:t>,</w:t>
      </w:r>
      <w:r w:rsidRPr="001D707C">
        <w:rPr>
          <w:rFonts w:asciiTheme="majorHAnsi" w:hAnsiTheme="majorHAnsi"/>
          <w:sz w:val="24"/>
          <w:szCs w:val="24"/>
        </w:rPr>
        <w:t xml:space="preserve"> and providing internships and placements</w:t>
      </w:r>
      <w:r w:rsidR="00B862A4" w:rsidRPr="001D707C">
        <w:rPr>
          <w:rFonts w:asciiTheme="majorHAnsi" w:hAnsiTheme="majorHAnsi"/>
          <w:sz w:val="24"/>
          <w:szCs w:val="24"/>
        </w:rPr>
        <w:t xml:space="preserve">. </w:t>
      </w:r>
      <w:r w:rsidRPr="001D707C">
        <w:rPr>
          <w:rFonts w:asciiTheme="majorHAnsi" w:hAnsiTheme="majorHAnsi"/>
          <w:sz w:val="24"/>
          <w:szCs w:val="24"/>
        </w:rPr>
        <w:t xml:space="preserve">Each activity raises awareness of different business-related career opportunities available to science students, and faciltiates dialogue between university staff and an industry partner. This has led to many entrepreneurial </w:t>
      </w:r>
      <w:r w:rsidR="007B19DE" w:rsidRPr="001D707C">
        <w:rPr>
          <w:rFonts w:asciiTheme="majorHAnsi" w:hAnsiTheme="majorHAnsi"/>
          <w:sz w:val="24"/>
          <w:szCs w:val="24"/>
        </w:rPr>
        <w:t xml:space="preserve">activities with local </w:t>
      </w:r>
      <w:r w:rsidR="00AC0D5A" w:rsidRPr="001D707C">
        <w:rPr>
          <w:rFonts w:asciiTheme="majorHAnsi" w:hAnsiTheme="majorHAnsi"/>
          <w:sz w:val="24"/>
          <w:szCs w:val="24"/>
        </w:rPr>
        <w:t xml:space="preserve">university </w:t>
      </w:r>
      <w:r w:rsidR="00B57521" w:rsidRPr="001D707C">
        <w:rPr>
          <w:rFonts w:asciiTheme="majorHAnsi" w:hAnsiTheme="majorHAnsi"/>
          <w:sz w:val="24"/>
          <w:szCs w:val="24"/>
        </w:rPr>
        <w:t>bioscience departments</w:t>
      </w:r>
      <w:r w:rsidRPr="001D707C">
        <w:rPr>
          <w:rFonts w:asciiTheme="majorHAnsi" w:hAnsiTheme="majorHAnsi"/>
          <w:sz w:val="24"/>
          <w:szCs w:val="24"/>
        </w:rPr>
        <w:t xml:space="preserve">, </w:t>
      </w:r>
      <w:r w:rsidR="007B19DE" w:rsidRPr="001D707C">
        <w:rPr>
          <w:rFonts w:asciiTheme="majorHAnsi" w:hAnsiTheme="majorHAnsi"/>
          <w:sz w:val="24"/>
          <w:szCs w:val="24"/>
        </w:rPr>
        <w:t>and the authors of this paper</w:t>
      </w:r>
      <w:r w:rsidRPr="001D707C">
        <w:rPr>
          <w:rFonts w:asciiTheme="majorHAnsi" w:hAnsiTheme="majorHAnsi"/>
          <w:sz w:val="24"/>
          <w:szCs w:val="24"/>
        </w:rPr>
        <w:t xml:space="preserve"> have worked together on collaborative </w:t>
      </w:r>
      <w:r w:rsidR="007B19DE" w:rsidRPr="001D707C">
        <w:rPr>
          <w:rFonts w:asciiTheme="majorHAnsi" w:hAnsiTheme="majorHAnsi"/>
          <w:sz w:val="24"/>
          <w:szCs w:val="24"/>
        </w:rPr>
        <w:t>internships that have resulted in publication (Poswal et al</w:t>
      </w:r>
      <w:r w:rsidR="00691C36" w:rsidRPr="001D707C">
        <w:rPr>
          <w:rFonts w:asciiTheme="majorHAnsi" w:hAnsiTheme="majorHAnsi"/>
          <w:sz w:val="24"/>
          <w:szCs w:val="24"/>
        </w:rPr>
        <w:t>,</w:t>
      </w:r>
      <w:r w:rsidR="007B19DE" w:rsidRPr="001D707C">
        <w:rPr>
          <w:rFonts w:asciiTheme="majorHAnsi" w:hAnsiTheme="majorHAnsi"/>
          <w:sz w:val="24"/>
          <w:szCs w:val="24"/>
        </w:rPr>
        <w:t xml:space="preserve"> 2019).</w:t>
      </w:r>
    </w:p>
    <w:p w14:paraId="00000083" w14:textId="77777777" w:rsidR="00F135CF" w:rsidRPr="001D707C" w:rsidRDefault="00B862A4">
      <w:pPr>
        <w:pStyle w:val="Normal1"/>
        <w:rPr>
          <w:rFonts w:asciiTheme="majorHAnsi" w:hAnsiTheme="majorHAnsi"/>
          <w:b/>
          <w:i/>
          <w:sz w:val="24"/>
          <w:szCs w:val="24"/>
        </w:rPr>
      </w:pPr>
      <w:r w:rsidRPr="001D707C">
        <w:rPr>
          <w:rFonts w:asciiTheme="majorHAnsi" w:hAnsiTheme="majorHAnsi"/>
          <w:b/>
          <w:i/>
          <w:sz w:val="24"/>
          <w:szCs w:val="24"/>
        </w:rPr>
        <w:t>Remote Internships</w:t>
      </w:r>
    </w:p>
    <w:p w14:paraId="00000084" w14:textId="77777777" w:rsidR="00F135CF" w:rsidRPr="001D707C" w:rsidRDefault="00F135CF">
      <w:pPr>
        <w:pStyle w:val="Normal1"/>
        <w:rPr>
          <w:rFonts w:asciiTheme="majorHAnsi" w:hAnsiTheme="majorHAnsi"/>
          <w:sz w:val="24"/>
          <w:szCs w:val="24"/>
        </w:rPr>
      </w:pPr>
    </w:p>
    <w:p w14:paraId="5E638869" w14:textId="7F3B3035" w:rsidR="00B57521" w:rsidRPr="001D707C" w:rsidRDefault="00B862A4">
      <w:pPr>
        <w:pStyle w:val="Normal1"/>
        <w:rPr>
          <w:rFonts w:asciiTheme="majorHAnsi" w:hAnsiTheme="majorHAnsi"/>
          <w:sz w:val="24"/>
          <w:szCs w:val="24"/>
        </w:rPr>
      </w:pPr>
      <w:r w:rsidRPr="001D707C">
        <w:rPr>
          <w:rFonts w:asciiTheme="majorHAnsi" w:hAnsiTheme="majorHAnsi"/>
          <w:sz w:val="24"/>
          <w:szCs w:val="24"/>
        </w:rPr>
        <w:t xml:space="preserve">The idea of a remote summer placement or internship is limited in that it does not provide a fully immersive business or industry experience, but it can be argued that it </w:t>
      </w:r>
      <w:r w:rsidR="007B19DE" w:rsidRPr="001D707C">
        <w:rPr>
          <w:rFonts w:asciiTheme="majorHAnsi" w:hAnsiTheme="majorHAnsi"/>
          <w:sz w:val="24"/>
          <w:szCs w:val="24"/>
        </w:rPr>
        <w:t xml:space="preserve">provides a relevant experience that may reflect some of the working practices of the future. </w:t>
      </w:r>
      <w:r w:rsidRPr="001D707C">
        <w:rPr>
          <w:rFonts w:asciiTheme="majorHAnsi" w:hAnsiTheme="majorHAnsi"/>
          <w:sz w:val="24"/>
          <w:szCs w:val="24"/>
        </w:rPr>
        <w:t xml:space="preserve">Remote projects can be fruitful and mutually beneficial to all parties. Carrying out desk-based projects can provide a variety of opportunities for the students </w:t>
      </w:r>
      <w:r w:rsidR="00B57521" w:rsidRPr="001D707C">
        <w:rPr>
          <w:rFonts w:asciiTheme="majorHAnsi" w:hAnsiTheme="majorHAnsi"/>
          <w:sz w:val="24"/>
          <w:szCs w:val="24"/>
        </w:rPr>
        <w:t>such as developing skills in new research methods that</w:t>
      </w:r>
      <w:r w:rsidRPr="001D707C">
        <w:rPr>
          <w:rFonts w:asciiTheme="majorHAnsi" w:hAnsiTheme="majorHAnsi"/>
          <w:sz w:val="24"/>
          <w:szCs w:val="24"/>
        </w:rPr>
        <w:t xml:space="preserve"> they wo</w:t>
      </w:r>
      <w:r w:rsidR="00AD46E0" w:rsidRPr="001D707C">
        <w:rPr>
          <w:rFonts w:asciiTheme="majorHAnsi" w:hAnsiTheme="majorHAnsi"/>
          <w:sz w:val="24"/>
          <w:szCs w:val="24"/>
        </w:rPr>
        <w:t>uldn’t otherwise experience at U</w:t>
      </w:r>
      <w:r w:rsidRPr="001D707C">
        <w:rPr>
          <w:rFonts w:asciiTheme="majorHAnsi" w:hAnsiTheme="majorHAnsi"/>
          <w:sz w:val="24"/>
          <w:szCs w:val="24"/>
        </w:rPr>
        <w:t>niversity (questionnaires, scoping reviews, systematic reviews, data-</w:t>
      </w:r>
      <w:r w:rsidR="007B19DE" w:rsidRPr="001D707C">
        <w:rPr>
          <w:rFonts w:asciiTheme="majorHAnsi" w:hAnsiTheme="majorHAnsi"/>
          <w:sz w:val="24"/>
          <w:szCs w:val="24"/>
        </w:rPr>
        <w:t xml:space="preserve">based </w:t>
      </w:r>
      <w:r w:rsidRPr="001D707C">
        <w:rPr>
          <w:rFonts w:asciiTheme="majorHAnsi" w:hAnsiTheme="majorHAnsi"/>
          <w:sz w:val="24"/>
          <w:szCs w:val="24"/>
        </w:rPr>
        <w:t>projects).</w:t>
      </w:r>
      <w:r w:rsidR="006919BE" w:rsidRPr="001D707C">
        <w:rPr>
          <w:rFonts w:asciiTheme="majorHAnsi" w:hAnsiTheme="majorHAnsi"/>
          <w:sz w:val="24"/>
          <w:szCs w:val="24"/>
        </w:rPr>
        <w:t xml:space="preserve"> Employers and Universities can tailor desk-based projects to meet some of the expectations of industry experience with scheduled client meetings, report writing and dissemination of results.</w:t>
      </w:r>
    </w:p>
    <w:p w14:paraId="463170D3" w14:textId="77777777" w:rsidR="00B57521" w:rsidRPr="001D707C" w:rsidRDefault="00B57521">
      <w:pPr>
        <w:pStyle w:val="Normal1"/>
        <w:rPr>
          <w:rFonts w:asciiTheme="majorHAnsi" w:hAnsiTheme="majorHAnsi"/>
          <w:sz w:val="24"/>
          <w:szCs w:val="24"/>
        </w:rPr>
      </w:pPr>
    </w:p>
    <w:p w14:paraId="2D6B41B8" w14:textId="10A3F0F2" w:rsidR="007B19DE" w:rsidRPr="001D707C" w:rsidRDefault="00DB2288">
      <w:pPr>
        <w:pStyle w:val="Normal1"/>
        <w:rPr>
          <w:rFonts w:asciiTheme="majorHAnsi" w:hAnsiTheme="majorHAnsi"/>
          <w:sz w:val="24"/>
          <w:szCs w:val="24"/>
        </w:rPr>
      </w:pPr>
      <w:r>
        <w:rPr>
          <w:rFonts w:asciiTheme="majorHAnsi" w:hAnsiTheme="majorHAnsi"/>
          <w:sz w:val="24"/>
          <w:szCs w:val="24"/>
        </w:rPr>
        <w:t>The authors of the present paper</w:t>
      </w:r>
      <w:r w:rsidR="00B862A4" w:rsidRPr="001D707C">
        <w:rPr>
          <w:rFonts w:asciiTheme="majorHAnsi" w:hAnsiTheme="majorHAnsi"/>
          <w:sz w:val="24"/>
          <w:szCs w:val="24"/>
        </w:rPr>
        <w:t xml:space="preserve"> have worked with students on </w:t>
      </w:r>
      <w:r w:rsidR="007B19DE" w:rsidRPr="001D707C">
        <w:rPr>
          <w:rFonts w:asciiTheme="majorHAnsi" w:hAnsiTheme="majorHAnsi"/>
          <w:sz w:val="24"/>
          <w:szCs w:val="24"/>
        </w:rPr>
        <w:t>four</w:t>
      </w:r>
      <w:r w:rsidR="00B862A4" w:rsidRPr="001D707C">
        <w:rPr>
          <w:rFonts w:asciiTheme="majorHAnsi" w:hAnsiTheme="majorHAnsi"/>
          <w:sz w:val="24"/>
          <w:szCs w:val="24"/>
        </w:rPr>
        <w:t xml:space="preserve"> summer internships</w:t>
      </w:r>
      <w:r w:rsidR="007B19DE" w:rsidRPr="001D707C">
        <w:rPr>
          <w:rFonts w:asciiTheme="majorHAnsi" w:hAnsiTheme="majorHAnsi"/>
          <w:sz w:val="24"/>
          <w:szCs w:val="24"/>
        </w:rPr>
        <w:t xml:space="preserve">, and the most recent involves a student based at his home in Vietnam. Research supervision at a distance presents particular issues and challenges, including the use of  synchronous and asynchronous IT, negotiating ways of working possibly across time-zones, and </w:t>
      </w:r>
      <w:r w:rsidR="00B57521" w:rsidRPr="001D707C">
        <w:rPr>
          <w:rFonts w:asciiTheme="majorHAnsi" w:hAnsiTheme="majorHAnsi"/>
          <w:sz w:val="24"/>
          <w:szCs w:val="24"/>
        </w:rPr>
        <w:t xml:space="preserve">does require an </w:t>
      </w:r>
      <w:r w:rsidR="007B19DE" w:rsidRPr="001D707C">
        <w:rPr>
          <w:rFonts w:asciiTheme="majorHAnsi" w:hAnsiTheme="majorHAnsi"/>
          <w:sz w:val="24"/>
          <w:szCs w:val="24"/>
        </w:rPr>
        <w:t>increase</w:t>
      </w:r>
      <w:r w:rsidR="00B57521" w:rsidRPr="001D707C">
        <w:rPr>
          <w:rFonts w:asciiTheme="majorHAnsi" w:hAnsiTheme="majorHAnsi"/>
          <w:sz w:val="24"/>
          <w:szCs w:val="24"/>
        </w:rPr>
        <w:t xml:space="preserve">d levels of motivation </w:t>
      </w:r>
      <w:r w:rsidR="007B19DE" w:rsidRPr="001D707C">
        <w:rPr>
          <w:rFonts w:asciiTheme="majorHAnsi" w:hAnsiTheme="majorHAnsi"/>
          <w:sz w:val="24"/>
          <w:szCs w:val="24"/>
        </w:rPr>
        <w:t>b</w:t>
      </w:r>
      <w:r w:rsidR="00691C36" w:rsidRPr="001D707C">
        <w:rPr>
          <w:rFonts w:asciiTheme="majorHAnsi" w:hAnsiTheme="majorHAnsi"/>
          <w:sz w:val="24"/>
          <w:szCs w:val="24"/>
        </w:rPr>
        <w:t>y the learner (Zaheer and Munir</w:t>
      </w:r>
      <w:r w:rsidR="007B19DE" w:rsidRPr="001D707C">
        <w:rPr>
          <w:rFonts w:asciiTheme="majorHAnsi" w:hAnsiTheme="majorHAnsi"/>
          <w:sz w:val="24"/>
          <w:szCs w:val="24"/>
        </w:rPr>
        <w:t xml:space="preserve"> 2020).</w:t>
      </w:r>
      <w:r w:rsidR="009109E4" w:rsidRPr="001D707C">
        <w:rPr>
          <w:rFonts w:asciiTheme="majorHAnsi" w:hAnsiTheme="majorHAnsi"/>
          <w:sz w:val="24"/>
          <w:szCs w:val="24"/>
        </w:rPr>
        <w:t xml:space="preserve"> There is increasing focus on understanding student wellness needs, and aspects of physical, social, intellectual, occupational, spiritual and emotional dimensions of wellness were </w:t>
      </w:r>
      <w:r w:rsidR="00B57521" w:rsidRPr="001D707C">
        <w:rPr>
          <w:rFonts w:asciiTheme="majorHAnsi" w:hAnsiTheme="majorHAnsi"/>
          <w:sz w:val="24"/>
          <w:szCs w:val="24"/>
        </w:rPr>
        <w:t>used as a</w:t>
      </w:r>
      <w:r w:rsidR="009109E4" w:rsidRPr="001D707C">
        <w:rPr>
          <w:rFonts w:asciiTheme="majorHAnsi" w:hAnsiTheme="majorHAnsi"/>
          <w:sz w:val="24"/>
          <w:szCs w:val="24"/>
        </w:rPr>
        <w:t xml:space="preserve"> framework for ensuring students </w:t>
      </w:r>
      <w:r w:rsidR="00B57521" w:rsidRPr="001D707C">
        <w:rPr>
          <w:rFonts w:asciiTheme="majorHAnsi" w:hAnsiTheme="majorHAnsi"/>
          <w:sz w:val="24"/>
          <w:szCs w:val="24"/>
        </w:rPr>
        <w:t>were adequately supported when learning at a distance</w:t>
      </w:r>
      <w:r w:rsidR="009109E4" w:rsidRPr="001D707C">
        <w:rPr>
          <w:rFonts w:asciiTheme="majorHAnsi" w:hAnsiTheme="majorHAnsi"/>
          <w:sz w:val="24"/>
          <w:szCs w:val="24"/>
        </w:rPr>
        <w:t xml:space="preserve"> (Wong and Wong 2020). More research needs to be done to understand student and staff perspectives</w:t>
      </w:r>
      <w:r w:rsidR="00D729D9" w:rsidRPr="001D707C">
        <w:rPr>
          <w:rFonts w:asciiTheme="majorHAnsi" w:hAnsiTheme="majorHAnsi"/>
          <w:sz w:val="24"/>
          <w:szCs w:val="24"/>
        </w:rPr>
        <w:t xml:space="preserve"> on these ways of working</w:t>
      </w:r>
      <w:r w:rsidR="009109E4" w:rsidRPr="001D707C">
        <w:rPr>
          <w:rFonts w:asciiTheme="majorHAnsi" w:hAnsiTheme="majorHAnsi"/>
          <w:sz w:val="24"/>
          <w:szCs w:val="24"/>
        </w:rPr>
        <w:t>.</w:t>
      </w:r>
    </w:p>
    <w:p w14:paraId="00000098" w14:textId="77777777" w:rsidR="00F135CF" w:rsidRPr="001D707C" w:rsidRDefault="00F135CF">
      <w:pPr>
        <w:pStyle w:val="Normal1"/>
        <w:rPr>
          <w:rFonts w:asciiTheme="majorHAnsi" w:hAnsiTheme="majorHAnsi"/>
          <w:sz w:val="24"/>
          <w:szCs w:val="24"/>
        </w:rPr>
      </w:pPr>
    </w:p>
    <w:p w14:paraId="00000099" w14:textId="77777777" w:rsidR="00F135CF" w:rsidRPr="001D707C" w:rsidRDefault="00B862A4">
      <w:pPr>
        <w:pStyle w:val="Normal1"/>
        <w:rPr>
          <w:rFonts w:asciiTheme="majorHAnsi" w:hAnsiTheme="majorHAnsi"/>
          <w:b/>
          <w:sz w:val="24"/>
          <w:szCs w:val="24"/>
        </w:rPr>
      </w:pPr>
      <w:r w:rsidRPr="001D707C">
        <w:rPr>
          <w:rFonts w:asciiTheme="majorHAnsi" w:hAnsiTheme="majorHAnsi"/>
          <w:b/>
          <w:sz w:val="24"/>
          <w:szCs w:val="24"/>
        </w:rPr>
        <w:t>Summary</w:t>
      </w:r>
    </w:p>
    <w:p w14:paraId="2E940D61" w14:textId="77777777" w:rsidR="0098380B" w:rsidRPr="001D707C" w:rsidRDefault="0098380B">
      <w:pPr>
        <w:pStyle w:val="Normal1"/>
        <w:rPr>
          <w:rFonts w:asciiTheme="majorHAnsi" w:hAnsiTheme="majorHAnsi"/>
          <w:b/>
          <w:sz w:val="24"/>
          <w:szCs w:val="24"/>
        </w:rPr>
      </w:pPr>
    </w:p>
    <w:p w14:paraId="00D20D9F" w14:textId="5822C06C" w:rsidR="0098380B" w:rsidRPr="001D707C" w:rsidRDefault="0098380B">
      <w:pPr>
        <w:pStyle w:val="Normal1"/>
        <w:rPr>
          <w:rFonts w:asciiTheme="majorHAnsi" w:hAnsiTheme="majorHAnsi"/>
          <w:b/>
          <w:sz w:val="24"/>
          <w:szCs w:val="24"/>
        </w:rPr>
      </w:pPr>
      <w:r w:rsidRPr="001D707C">
        <w:rPr>
          <w:rFonts w:asciiTheme="majorHAnsi" w:hAnsiTheme="majorHAnsi"/>
          <w:b/>
          <w:sz w:val="24"/>
          <w:szCs w:val="24"/>
        </w:rPr>
        <w:lastRenderedPageBreak/>
        <w:t>Table</w:t>
      </w:r>
      <w:r w:rsidR="00F81D81" w:rsidRPr="001D707C">
        <w:rPr>
          <w:rFonts w:asciiTheme="majorHAnsi" w:hAnsiTheme="majorHAnsi"/>
          <w:b/>
          <w:sz w:val="24"/>
          <w:szCs w:val="24"/>
        </w:rPr>
        <w:t xml:space="preserve"> 1. Remote learning solutions for bioscience education</w:t>
      </w:r>
      <w:r w:rsidR="00F81D81" w:rsidRPr="001D707C">
        <w:rPr>
          <w:rFonts w:asciiTheme="majorHAnsi" w:hAnsiTheme="majorHAnsi"/>
          <w:b/>
          <w:sz w:val="24"/>
          <w:szCs w:val="24"/>
        </w:rPr>
        <w:br/>
      </w:r>
    </w:p>
    <w:tbl>
      <w:tblPr>
        <w:tblStyle w:val="TableGrid"/>
        <w:tblW w:w="0" w:type="auto"/>
        <w:tblLook w:val="04A0" w:firstRow="1" w:lastRow="0" w:firstColumn="1" w:lastColumn="0" w:noHBand="0" w:noVBand="1"/>
      </w:tblPr>
      <w:tblGrid>
        <w:gridCol w:w="9576"/>
      </w:tblGrid>
      <w:tr w:rsidR="0098380B" w:rsidRPr="001D707C" w14:paraId="203820BB" w14:textId="77777777" w:rsidTr="0098380B">
        <w:tc>
          <w:tcPr>
            <w:tcW w:w="9576" w:type="dxa"/>
          </w:tcPr>
          <w:p w14:paraId="182AFC5C" w14:textId="36D54C56" w:rsidR="0098380B" w:rsidRPr="001D707C" w:rsidRDefault="00222641" w:rsidP="0098380B">
            <w:pPr>
              <w:pStyle w:val="Normal1"/>
              <w:rPr>
                <w:rFonts w:asciiTheme="majorHAnsi" w:hAnsiTheme="majorHAnsi"/>
                <w:sz w:val="24"/>
                <w:szCs w:val="24"/>
              </w:rPr>
            </w:pPr>
            <w:r w:rsidRPr="001D707C">
              <w:rPr>
                <w:rFonts w:asciiTheme="majorHAnsi" w:hAnsiTheme="majorHAnsi"/>
                <w:sz w:val="24"/>
                <w:szCs w:val="24"/>
              </w:rPr>
              <w:br/>
            </w:r>
            <w:r w:rsidR="0098380B" w:rsidRPr="001D707C">
              <w:rPr>
                <w:rFonts w:asciiTheme="majorHAnsi" w:hAnsiTheme="majorHAnsi"/>
                <w:sz w:val="24"/>
                <w:szCs w:val="24"/>
              </w:rPr>
              <w:t>Laboratory Practicals and Projects</w:t>
            </w:r>
          </w:p>
          <w:p w14:paraId="442024FF" w14:textId="77777777" w:rsidR="0098380B" w:rsidRPr="001D707C" w:rsidRDefault="0098380B" w:rsidP="0098380B">
            <w:pPr>
              <w:pStyle w:val="Normal1"/>
              <w:rPr>
                <w:rFonts w:asciiTheme="majorHAnsi" w:hAnsiTheme="majorHAnsi"/>
                <w:sz w:val="24"/>
                <w:szCs w:val="24"/>
              </w:rPr>
            </w:pPr>
          </w:p>
        </w:tc>
      </w:tr>
      <w:tr w:rsidR="0098380B" w:rsidRPr="001D707C" w14:paraId="5E065505" w14:textId="77777777" w:rsidTr="0098380B">
        <w:tc>
          <w:tcPr>
            <w:tcW w:w="9576" w:type="dxa"/>
          </w:tcPr>
          <w:p w14:paraId="244C7476" w14:textId="2042B6CD" w:rsidR="0098380B" w:rsidRPr="001D707C" w:rsidRDefault="0098380B" w:rsidP="0098380B">
            <w:pPr>
              <w:pStyle w:val="Normal1"/>
              <w:rPr>
                <w:rFonts w:asciiTheme="majorHAnsi" w:hAnsiTheme="majorHAnsi"/>
                <w:sz w:val="24"/>
                <w:szCs w:val="24"/>
              </w:rPr>
            </w:pPr>
            <w:r w:rsidRPr="001D707C">
              <w:rPr>
                <w:rFonts w:asciiTheme="majorHAnsi" w:hAnsiTheme="majorHAnsi"/>
                <w:sz w:val="24"/>
                <w:szCs w:val="24"/>
              </w:rPr>
              <w:t>Use of Virtual Labs</w:t>
            </w:r>
          </w:p>
          <w:p w14:paraId="5B0314D3" w14:textId="56CAC4F6" w:rsidR="00222641" w:rsidRPr="001D707C" w:rsidRDefault="0098380B" w:rsidP="00222641">
            <w:pPr>
              <w:pStyle w:val="Normal1"/>
              <w:numPr>
                <w:ilvl w:val="0"/>
                <w:numId w:val="1"/>
              </w:numPr>
              <w:rPr>
                <w:rFonts w:asciiTheme="majorHAnsi" w:hAnsiTheme="majorHAnsi"/>
                <w:sz w:val="24"/>
                <w:szCs w:val="24"/>
              </w:rPr>
            </w:pPr>
            <w:r w:rsidRPr="001D707C">
              <w:rPr>
                <w:rFonts w:asciiTheme="majorHAnsi" w:hAnsiTheme="majorHAnsi"/>
                <w:sz w:val="24"/>
                <w:szCs w:val="24"/>
              </w:rPr>
              <w:t>Open educational resources</w:t>
            </w:r>
            <w:r w:rsidR="00222641" w:rsidRPr="001D707C">
              <w:rPr>
                <w:rFonts w:asciiTheme="majorHAnsi" w:hAnsiTheme="majorHAnsi"/>
                <w:sz w:val="24"/>
                <w:szCs w:val="24"/>
              </w:rPr>
              <w:t xml:space="preserve"> as virtual labs (Rolfe 2012)</w:t>
            </w:r>
          </w:p>
          <w:p w14:paraId="776B97D7" w14:textId="756C5566" w:rsidR="0098380B" w:rsidRPr="001D707C" w:rsidRDefault="0098380B" w:rsidP="0098380B">
            <w:pPr>
              <w:pStyle w:val="Normal1"/>
              <w:numPr>
                <w:ilvl w:val="0"/>
                <w:numId w:val="1"/>
              </w:numPr>
              <w:rPr>
                <w:rFonts w:asciiTheme="majorHAnsi" w:hAnsiTheme="majorHAnsi"/>
                <w:sz w:val="24"/>
                <w:szCs w:val="24"/>
              </w:rPr>
            </w:pPr>
            <w:r w:rsidRPr="001D707C">
              <w:rPr>
                <w:rFonts w:asciiTheme="majorHAnsi" w:hAnsiTheme="majorHAnsi"/>
                <w:sz w:val="24"/>
                <w:szCs w:val="24"/>
              </w:rPr>
              <w:t>Multimedia resources</w:t>
            </w:r>
            <w:r w:rsidR="00222641" w:rsidRPr="001D707C">
              <w:rPr>
                <w:rFonts w:asciiTheme="majorHAnsi" w:hAnsiTheme="majorHAnsi"/>
                <w:sz w:val="24"/>
                <w:szCs w:val="24"/>
              </w:rPr>
              <w:t xml:space="preserve"> as virtual labs (Dryberg et al, 2017; Open University 2020)</w:t>
            </w:r>
          </w:p>
          <w:p w14:paraId="75AD1BD9" w14:textId="33F6ED57" w:rsidR="0098380B" w:rsidRPr="001D707C" w:rsidRDefault="0098380B" w:rsidP="0098380B">
            <w:pPr>
              <w:pStyle w:val="Normal1"/>
              <w:numPr>
                <w:ilvl w:val="0"/>
                <w:numId w:val="1"/>
              </w:numPr>
              <w:rPr>
                <w:rFonts w:asciiTheme="majorHAnsi" w:hAnsiTheme="majorHAnsi"/>
                <w:sz w:val="24"/>
                <w:szCs w:val="24"/>
              </w:rPr>
            </w:pPr>
            <w:r w:rsidRPr="001D707C">
              <w:rPr>
                <w:rFonts w:asciiTheme="majorHAnsi" w:hAnsiTheme="majorHAnsi"/>
                <w:sz w:val="24"/>
                <w:szCs w:val="24"/>
              </w:rPr>
              <w:t>Augmented reality</w:t>
            </w:r>
            <w:r w:rsidR="00222641" w:rsidRPr="001D707C">
              <w:rPr>
                <w:rFonts w:asciiTheme="majorHAnsi" w:hAnsiTheme="majorHAnsi"/>
                <w:sz w:val="24"/>
                <w:szCs w:val="24"/>
              </w:rPr>
              <w:t xml:space="preserve"> (Akçayır et al, 2016)</w:t>
            </w:r>
          </w:p>
          <w:p w14:paraId="0D1240B5" w14:textId="7A20D1EF" w:rsidR="0098380B" w:rsidRPr="001D707C" w:rsidRDefault="00222641" w:rsidP="0098380B">
            <w:pPr>
              <w:pStyle w:val="Normal1"/>
              <w:numPr>
                <w:ilvl w:val="0"/>
                <w:numId w:val="1"/>
              </w:numPr>
              <w:rPr>
                <w:rFonts w:asciiTheme="majorHAnsi" w:hAnsiTheme="majorHAnsi"/>
                <w:sz w:val="24"/>
                <w:szCs w:val="24"/>
              </w:rPr>
            </w:pPr>
            <w:r w:rsidRPr="001D707C">
              <w:rPr>
                <w:rFonts w:asciiTheme="majorHAnsi" w:hAnsiTheme="majorHAnsi"/>
                <w:sz w:val="24"/>
                <w:szCs w:val="24"/>
              </w:rPr>
              <w:t>Laboratory simulation (Coleman and Smith 2019)</w:t>
            </w:r>
          </w:p>
          <w:p w14:paraId="10491063" w14:textId="77777777" w:rsidR="0098380B" w:rsidRPr="001D707C" w:rsidRDefault="0098380B" w:rsidP="0098380B">
            <w:pPr>
              <w:pStyle w:val="Normal1"/>
              <w:rPr>
                <w:rFonts w:asciiTheme="majorHAnsi" w:hAnsiTheme="majorHAnsi"/>
                <w:sz w:val="24"/>
                <w:szCs w:val="24"/>
              </w:rPr>
            </w:pPr>
          </w:p>
        </w:tc>
      </w:tr>
      <w:tr w:rsidR="0098380B" w:rsidRPr="001D707C" w14:paraId="5F285323" w14:textId="77777777" w:rsidTr="0098380B">
        <w:tc>
          <w:tcPr>
            <w:tcW w:w="9576" w:type="dxa"/>
          </w:tcPr>
          <w:p w14:paraId="33F87D5B" w14:textId="77777777" w:rsidR="0098380B" w:rsidRPr="001D707C" w:rsidRDefault="0098380B" w:rsidP="0098380B">
            <w:pPr>
              <w:pStyle w:val="Normal1"/>
              <w:rPr>
                <w:rFonts w:asciiTheme="majorHAnsi" w:hAnsiTheme="majorHAnsi"/>
                <w:sz w:val="24"/>
                <w:szCs w:val="24"/>
              </w:rPr>
            </w:pPr>
            <w:r w:rsidRPr="001D707C">
              <w:rPr>
                <w:rFonts w:asciiTheme="majorHAnsi" w:hAnsiTheme="majorHAnsi"/>
                <w:sz w:val="24"/>
                <w:szCs w:val="24"/>
              </w:rPr>
              <w:t>Bioinformatics and data work within the curriculum</w:t>
            </w:r>
          </w:p>
          <w:p w14:paraId="63B9C6D8" w14:textId="7C5F3D31" w:rsidR="0098380B" w:rsidRPr="001D707C" w:rsidRDefault="00222641" w:rsidP="00222641">
            <w:pPr>
              <w:pStyle w:val="ListParagraph"/>
              <w:numPr>
                <w:ilvl w:val="0"/>
                <w:numId w:val="6"/>
              </w:numPr>
              <w:rPr>
                <w:rFonts w:asciiTheme="majorHAnsi" w:hAnsiTheme="majorHAnsi"/>
                <w:sz w:val="24"/>
                <w:szCs w:val="24"/>
              </w:rPr>
            </w:pPr>
            <w:r w:rsidRPr="001D707C">
              <w:rPr>
                <w:rFonts w:asciiTheme="majorHAnsi" w:hAnsiTheme="majorHAnsi"/>
                <w:sz w:val="24"/>
                <w:szCs w:val="24"/>
              </w:rPr>
              <w:t xml:space="preserve">Open datasets / </w:t>
            </w:r>
            <w:r w:rsidR="0098380B" w:rsidRPr="001D707C">
              <w:rPr>
                <w:rFonts w:asciiTheme="majorHAnsi" w:hAnsiTheme="majorHAnsi"/>
                <w:sz w:val="24"/>
                <w:szCs w:val="24"/>
              </w:rPr>
              <w:t>data</w:t>
            </w:r>
            <w:r w:rsidR="00F766FC">
              <w:rPr>
                <w:rFonts w:asciiTheme="majorHAnsi" w:hAnsiTheme="majorHAnsi"/>
                <w:sz w:val="24"/>
                <w:szCs w:val="24"/>
              </w:rPr>
              <w:t xml:space="preserve"> projects</w:t>
            </w:r>
            <w:r w:rsidRPr="001D707C">
              <w:rPr>
                <w:rFonts w:asciiTheme="majorHAnsi" w:hAnsiTheme="majorHAnsi"/>
                <w:sz w:val="24"/>
                <w:szCs w:val="24"/>
              </w:rPr>
              <w:t xml:space="preserve"> (O’Reilly et al, 2017)</w:t>
            </w:r>
          </w:p>
          <w:p w14:paraId="6F6EA2FF" w14:textId="636363C8" w:rsidR="00222641" w:rsidRDefault="00222641" w:rsidP="00222641">
            <w:pPr>
              <w:pStyle w:val="Normal1"/>
              <w:numPr>
                <w:ilvl w:val="0"/>
                <w:numId w:val="1"/>
              </w:numPr>
              <w:rPr>
                <w:rFonts w:asciiTheme="majorHAnsi" w:hAnsiTheme="majorHAnsi"/>
                <w:sz w:val="24"/>
                <w:szCs w:val="24"/>
              </w:rPr>
            </w:pPr>
            <w:r w:rsidRPr="001D707C">
              <w:rPr>
                <w:rFonts w:asciiTheme="majorHAnsi" w:hAnsiTheme="majorHAnsi"/>
                <w:sz w:val="24"/>
                <w:szCs w:val="24"/>
              </w:rPr>
              <w:t>Bioinformatic tools (Makarevitch, Frechette, and Wiatros 2015)</w:t>
            </w:r>
          </w:p>
          <w:p w14:paraId="41846E25" w14:textId="69581369" w:rsidR="00F766FC" w:rsidRPr="001D707C" w:rsidRDefault="00F766FC" w:rsidP="00222641">
            <w:pPr>
              <w:pStyle w:val="Normal1"/>
              <w:numPr>
                <w:ilvl w:val="0"/>
                <w:numId w:val="1"/>
              </w:numPr>
              <w:rPr>
                <w:rFonts w:asciiTheme="majorHAnsi" w:hAnsiTheme="majorHAnsi"/>
                <w:sz w:val="24"/>
                <w:szCs w:val="24"/>
              </w:rPr>
            </w:pPr>
            <w:r>
              <w:rPr>
                <w:rFonts w:asciiTheme="majorHAnsi" w:hAnsiTheme="majorHAnsi"/>
                <w:sz w:val="24"/>
                <w:szCs w:val="24"/>
              </w:rPr>
              <w:t>Assorted data projects – data mining, using existing data (Elmer and Durocher 2020)</w:t>
            </w:r>
          </w:p>
          <w:p w14:paraId="690E282E" w14:textId="77777777" w:rsidR="0098380B" w:rsidRPr="001D707C" w:rsidRDefault="0098380B" w:rsidP="0098380B">
            <w:pPr>
              <w:pStyle w:val="Normal1"/>
              <w:rPr>
                <w:rFonts w:asciiTheme="majorHAnsi" w:hAnsiTheme="majorHAnsi"/>
                <w:sz w:val="24"/>
                <w:szCs w:val="24"/>
              </w:rPr>
            </w:pPr>
          </w:p>
        </w:tc>
      </w:tr>
      <w:tr w:rsidR="0098380B" w:rsidRPr="001D707C" w14:paraId="33CCF50E" w14:textId="77777777" w:rsidTr="0098380B">
        <w:tc>
          <w:tcPr>
            <w:tcW w:w="9576" w:type="dxa"/>
          </w:tcPr>
          <w:p w14:paraId="0AF28837" w14:textId="77777777" w:rsidR="0098380B" w:rsidRPr="001D707C" w:rsidRDefault="0098380B" w:rsidP="0098380B">
            <w:pPr>
              <w:pStyle w:val="Normal1"/>
              <w:rPr>
                <w:rFonts w:asciiTheme="majorHAnsi" w:hAnsiTheme="majorHAnsi"/>
                <w:sz w:val="24"/>
                <w:szCs w:val="24"/>
              </w:rPr>
            </w:pPr>
            <w:r w:rsidRPr="001D707C">
              <w:rPr>
                <w:rFonts w:asciiTheme="majorHAnsi" w:hAnsiTheme="majorHAnsi"/>
                <w:sz w:val="24"/>
                <w:szCs w:val="24"/>
              </w:rPr>
              <w:t>Alternatives to final year laboratory projects</w:t>
            </w:r>
          </w:p>
          <w:p w14:paraId="1560666C" w14:textId="3D3355B8" w:rsidR="0098380B" w:rsidRPr="001D707C" w:rsidRDefault="0098380B" w:rsidP="0098380B">
            <w:pPr>
              <w:pStyle w:val="Normal1"/>
              <w:numPr>
                <w:ilvl w:val="0"/>
                <w:numId w:val="4"/>
              </w:numPr>
              <w:rPr>
                <w:rFonts w:asciiTheme="majorHAnsi" w:hAnsiTheme="majorHAnsi"/>
                <w:sz w:val="24"/>
                <w:szCs w:val="24"/>
              </w:rPr>
            </w:pPr>
            <w:r w:rsidRPr="001D707C">
              <w:rPr>
                <w:rFonts w:asciiTheme="majorHAnsi" w:hAnsiTheme="majorHAnsi"/>
                <w:sz w:val="24"/>
                <w:szCs w:val="24"/>
              </w:rPr>
              <w:t>Capstone projects</w:t>
            </w:r>
            <w:r w:rsidR="00222641" w:rsidRPr="001D707C">
              <w:rPr>
                <w:rFonts w:asciiTheme="majorHAnsi" w:hAnsiTheme="majorHAnsi"/>
                <w:sz w:val="24"/>
                <w:szCs w:val="24"/>
              </w:rPr>
              <w:t xml:space="preserve"> (Healey et al, 2013, RSB 2020b, Lewis 2020)</w:t>
            </w:r>
          </w:p>
          <w:p w14:paraId="2E45F8CE" w14:textId="21DD7490" w:rsidR="0098380B" w:rsidRPr="001D707C" w:rsidRDefault="0098380B" w:rsidP="0098380B">
            <w:pPr>
              <w:pStyle w:val="Normal1"/>
              <w:numPr>
                <w:ilvl w:val="0"/>
                <w:numId w:val="2"/>
              </w:numPr>
              <w:rPr>
                <w:rFonts w:asciiTheme="majorHAnsi" w:hAnsiTheme="majorHAnsi"/>
                <w:sz w:val="24"/>
                <w:szCs w:val="24"/>
              </w:rPr>
            </w:pPr>
            <w:r w:rsidRPr="001D707C">
              <w:rPr>
                <w:rFonts w:asciiTheme="majorHAnsi" w:hAnsiTheme="majorHAnsi"/>
                <w:sz w:val="24"/>
                <w:szCs w:val="24"/>
              </w:rPr>
              <w:t>Systematic review</w:t>
            </w:r>
            <w:r w:rsidR="00222641" w:rsidRPr="001D707C">
              <w:rPr>
                <w:rFonts w:asciiTheme="majorHAnsi" w:hAnsiTheme="majorHAnsi"/>
                <w:sz w:val="24"/>
                <w:szCs w:val="24"/>
              </w:rPr>
              <w:t xml:space="preserve"> (Wissinger 2018; Walker and Adukwu 2020)</w:t>
            </w:r>
          </w:p>
          <w:p w14:paraId="4D66B9D2" w14:textId="5FF88461" w:rsidR="0098380B" w:rsidRPr="001D707C" w:rsidRDefault="0098380B" w:rsidP="0098380B">
            <w:pPr>
              <w:pStyle w:val="Normal1"/>
              <w:numPr>
                <w:ilvl w:val="0"/>
                <w:numId w:val="2"/>
              </w:numPr>
              <w:rPr>
                <w:rFonts w:asciiTheme="majorHAnsi" w:hAnsiTheme="majorHAnsi"/>
                <w:sz w:val="24"/>
                <w:szCs w:val="24"/>
              </w:rPr>
            </w:pPr>
            <w:r w:rsidRPr="001D707C">
              <w:rPr>
                <w:rFonts w:asciiTheme="majorHAnsi" w:hAnsiTheme="majorHAnsi"/>
                <w:sz w:val="24"/>
                <w:szCs w:val="24"/>
              </w:rPr>
              <w:t>Audits and surveys</w:t>
            </w:r>
            <w:r w:rsidR="00222641" w:rsidRPr="001D707C">
              <w:rPr>
                <w:rFonts w:asciiTheme="majorHAnsi" w:hAnsiTheme="majorHAnsi"/>
                <w:sz w:val="24"/>
                <w:szCs w:val="24"/>
              </w:rPr>
              <w:t xml:space="preserve"> (Tor, Steketee, and Mak 2016)</w:t>
            </w:r>
          </w:p>
          <w:p w14:paraId="78F395F6" w14:textId="77777777" w:rsidR="0098380B" w:rsidRPr="001D707C" w:rsidRDefault="0098380B" w:rsidP="0098380B">
            <w:pPr>
              <w:pStyle w:val="Normal1"/>
              <w:rPr>
                <w:rFonts w:asciiTheme="majorHAnsi" w:hAnsiTheme="majorHAnsi"/>
                <w:sz w:val="24"/>
                <w:szCs w:val="24"/>
              </w:rPr>
            </w:pPr>
          </w:p>
        </w:tc>
      </w:tr>
      <w:tr w:rsidR="0098380B" w:rsidRPr="001D707C" w14:paraId="078A7AB4" w14:textId="77777777" w:rsidTr="0098380B">
        <w:tc>
          <w:tcPr>
            <w:tcW w:w="9576" w:type="dxa"/>
          </w:tcPr>
          <w:p w14:paraId="58E1E922" w14:textId="5D5F399C" w:rsidR="0098380B" w:rsidRPr="001D707C" w:rsidRDefault="0098380B" w:rsidP="0098380B">
            <w:pPr>
              <w:pStyle w:val="Normal1"/>
              <w:rPr>
                <w:rFonts w:asciiTheme="majorHAnsi" w:hAnsiTheme="majorHAnsi"/>
                <w:sz w:val="24"/>
                <w:szCs w:val="24"/>
              </w:rPr>
            </w:pPr>
            <w:r w:rsidRPr="001D707C">
              <w:rPr>
                <w:rFonts w:asciiTheme="majorHAnsi" w:hAnsiTheme="majorHAnsi"/>
                <w:sz w:val="24"/>
                <w:szCs w:val="24"/>
              </w:rPr>
              <w:br/>
              <w:t>Placements</w:t>
            </w:r>
          </w:p>
          <w:p w14:paraId="6DB9AF64" w14:textId="77777777" w:rsidR="0098380B" w:rsidRPr="001D707C" w:rsidRDefault="0098380B" w:rsidP="0098380B">
            <w:pPr>
              <w:pStyle w:val="Normal1"/>
              <w:rPr>
                <w:rFonts w:asciiTheme="majorHAnsi" w:hAnsiTheme="majorHAnsi"/>
                <w:sz w:val="24"/>
                <w:szCs w:val="24"/>
              </w:rPr>
            </w:pPr>
          </w:p>
        </w:tc>
      </w:tr>
      <w:tr w:rsidR="0098380B" w:rsidRPr="001D707C" w14:paraId="180EE54B" w14:textId="77777777" w:rsidTr="0098380B">
        <w:tc>
          <w:tcPr>
            <w:tcW w:w="9576" w:type="dxa"/>
          </w:tcPr>
          <w:p w14:paraId="78FD1AE3" w14:textId="77777777" w:rsidR="00222641" w:rsidRPr="001D707C" w:rsidRDefault="0098380B" w:rsidP="00222641">
            <w:pPr>
              <w:pStyle w:val="Normal1"/>
              <w:numPr>
                <w:ilvl w:val="0"/>
                <w:numId w:val="7"/>
              </w:numPr>
              <w:rPr>
                <w:rFonts w:asciiTheme="majorHAnsi" w:hAnsiTheme="majorHAnsi"/>
                <w:sz w:val="24"/>
                <w:szCs w:val="24"/>
              </w:rPr>
            </w:pPr>
            <w:r w:rsidRPr="001D707C">
              <w:rPr>
                <w:rFonts w:asciiTheme="majorHAnsi" w:hAnsiTheme="majorHAnsi"/>
                <w:sz w:val="24"/>
                <w:szCs w:val="24"/>
              </w:rPr>
              <w:t>Embedding entrepreneurship within curriculum</w:t>
            </w:r>
            <w:r w:rsidR="00222641" w:rsidRPr="001D707C">
              <w:rPr>
                <w:rFonts w:asciiTheme="majorHAnsi" w:hAnsiTheme="majorHAnsi"/>
                <w:sz w:val="24"/>
                <w:szCs w:val="24"/>
              </w:rPr>
              <w:t xml:space="preserve"> (Loughborough 2020; NTU 2020; MetMunch 2020</w:t>
            </w:r>
          </w:p>
          <w:p w14:paraId="71F7149C" w14:textId="77777777" w:rsidR="00222641" w:rsidRPr="001D707C" w:rsidRDefault="0098380B" w:rsidP="00222641">
            <w:pPr>
              <w:pStyle w:val="Normal1"/>
              <w:numPr>
                <w:ilvl w:val="0"/>
                <w:numId w:val="3"/>
              </w:numPr>
              <w:rPr>
                <w:rFonts w:asciiTheme="majorHAnsi" w:hAnsiTheme="majorHAnsi"/>
                <w:sz w:val="24"/>
                <w:szCs w:val="24"/>
              </w:rPr>
            </w:pPr>
            <w:r w:rsidRPr="001D707C">
              <w:rPr>
                <w:rFonts w:asciiTheme="majorHAnsi" w:hAnsiTheme="majorHAnsi"/>
                <w:sz w:val="24"/>
                <w:szCs w:val="24"/>
              </w:rPr>
              <w:t>Remote internships and placements</w:t>
            </w:r>
            <w:r w:rsidR="00222641" w:rsidRPr="001D707C">
              <w:rPr>
                <w:rFonts w:asciiTheme="majorHAnsi" w:hAnsiTheme="majorHAnsi"/>
                <w:sz w:val="24"/>
                <w:szCs w:val="24"/>
              </w:rPr>
              <w:t xml:space="preserve"> (Zaheer and Munir 2020)</w:t>
            </w:r>
          </w:p>
          <w:p w14:paraId="14906CA5" w14:textId="2EDE9CA2" w:rsidR="00222641" w:rsidRPr="001D707C" w:rsidRDefault="00222641" w:rsidP="00222641">
            <w:pPr>
              <w:pStyle w:val="Normal1"/>
              <w:numPr>
                <w:ilvl w:val="0"/>
                <w:numId w:val="3"/>
              </w:numPr>
              <w:rPr>
                <w:rFonts w:asciiTheme="majorHAnsi" w:hAnsiTheme="majorHAnsi"/>
                <w:sz w:val="24"/>
                <w:szCs w:val="24"/>
              </w:rPr>
            </w:pPr>
            <w:r w:rsidRPr="001D707C">
              <w:rPr>
                <w:rFonts w:asciiTheme="majorHAnsi" w:hAnsiTheme="majorHAnsi"/>
                <w:sz w:val="24"/>
                <w:szCs w:val="24"/>
              </w:rPr>
              <w:t>Wellbeing framework (Wong and Wong 2020)</w:t>
            </w:r>
          </w:p>
          <w:p w14:paraId="4DD5A45A" w14:textId="77777777" w:rsidR="0098380B" w:rsidRPr="001D707C" w:rsidRDefault="0098380B" w:rsidP="00222641">
            <w:pPr>
              <w:pStyle w:val="Normal1"/>
              <w:ind w:left="720"/>
              <w:rPr>
                <w:rFonts w:asciiTheme="majorHAnsi" w:hAnsiTheme="majorHAnsi"/>
                <w:sz w:val="24"/>
                <w:szCs w:val="24"/>
              </w:rPr>
            </w:pPr>
          </w:p>
        </w:tc>
      </w:tr>
    </w:tbl>
    <w:p w14:paraId="156135E6" w14:textId="77777777" w:rsidR="0098380B" w:rsidRPr="001D707C" w:rsidRDefault="0098380B">
      <w:pPr>
        <w:pStyle w:val="Normal1"/>
        <w:rPr>
          <w:rFonts w:asciiTheme="majorHAnsi" w:hAnsiTheme="majorHAnsi"/>
          <w:b/>
          <w:sz w:val="24"/>
          <w:szCs w:val="24"/>
        </w:rPr>
      </w:pPr>
    </w:p>
    <w:p w14:paraId="0000009A" w14:textId="77777777" w:rsidR="00F135CF" w:rsidRPr="001D707C" w:rsidRDefault="00F135CF">
      <w:pPr>
        <w:pStyle w:val="Normal1"/>
        <w:rPr>
          <w:rFonts w:asciiTheme="majorHAnsi" w:hAnsiTheme="majorHAnsi"/>
          <w:sz w:val="24"/>
          <w:szCs w:val="24"/>
        </w:rPr>
      </w:pPr>
    </w:p>
    <w:p w14:paraId="3875B5A8" w14:textId="01FD2B82" w:rsidR="00DB2288" w:rsidRDefault="00B862A4">
      <w:pPr>
        <w:pStyle w:val="Normal1"/>
        <w:rPr>
          <w:rFonts w:asciiTheme="majorHAnsi" w:hAnsiTheme="majorHAnsi"/>
          <w:sz w:val="24"/>
          <w:szCs w:val="24"/>
        </w:rPr>
      </w:pPr>
      <w:r w:rsidRPr="001D707C">
        <w:rPr>
          <w:rFonts w:asciiTheme="majorHAnsi" w:hAnsiTheme="majorHAnsi"/>
          <w:sz w:val="24"/>
          <w:szCs w:val="24"/>
        </w:rPr>
        <w:t xml:space="preserve">University laboratory teaching is in a challenging situation due to the Covid-19 pandemic with universities </w:t>
      </w:r>
      <w:r w:rsidR="00F81D81" w:rsidRPr="001D707C">
        <w:rPr>
          <w:rFonts w:asciiTheme="majorHAnsi" w:hAnsiTheme="majorHAnsi"/>
          <w:sz w:val="24"/>
          <w:szCs w:val="24"/>
        </w:rPr>
        <w:t xml:space="preserve">in the UK and around the globe </w:t>
      </w:r>
      <w:r w:rsidR="0098380B" w:rsidRPr="001D707C">
        <w:rPr>
          <w:rFonts w:asciiTheme="majorHAnsi" w:hAnsiTheme="majorHAnsi"/>
          <w:sz w:val="24"/>
          <w:szCs w:val="24"/>
        </w:rPr>
        <w:t>teaching remotely or in a blended manner</w:t>
      </w:r>
      <w:r w:rsidR="00F81D81" w:rsidRPr="001D707C">
        <w:rPr>
          <w:rFonts w:asciiTheme="majorHAnsi" w:hAnsiTheme="majorHAnsi"/>
          <w:sz w:val="24"/>
          <w:szCs w:val="24"/>
        </w:rPr>
        <w:t>, and returns to campus facilities</w:t>
      </w:r>
      <w:r w:rsidRPr="001D707C">
        <w:rPr>
          <w:rFonts w:asciiTheme="majorHAnsi" w:hAnsiTheme="majorHAnsi"/>
          <w:sz w:val="24"/>
          <w:szCs w:val="24"/>
        </w:rPr>
        <w:t xml:space="preserve"> likely to be unpredictable through 2021. Employers are </w:t>
      </w:r>
      <w:r w:rsidR="00DB2288">
        <w:rPr>
          <w:rFonts w:asciiTheme="majorHAnsi" w:hAnsiTheme="majorHAnsi"/>
          <w:sz w:val="24"/>
          <w:szCs w:val="24"/>
        </w:rPr>
        <w:t xml:space="preserve">also </w:t>
      </w:r>
      <w:r w:rsidRPr="001D707C">
        <w:rPr>
          <w:rFonts w:asciiTheme="majorHAnsi" w:hAnsiTheme="majorHAnsi"/>
          <w:sz w:val="24"/>
          <w:szCs w:val="24"/>
        </w:rPr>
        <w:t>considering remote working either partially or fully</w:t>
      </w:r>
      <w:r w:rsidR="009109E4" w:rsidRPr="001D707C">
        <w:rPr>
          <w:rFonts w:asciiTheme="majorHAnsi" w:hAnsiTheme="majorHAnsi"/>
          <w:sz w:val="24"/>
          <w:szCs w:val="24"/>
        </w:rPr>
        <w:t>, and some on a permanent basis</w:t>
      </w:r>
      <w:r w:rsidRPr="001D707C">
        <w:rPr>
          <w:rFonts w:asciiTheme="majorHAnsi" w:hAnsiTheme="majorHAnsi"/>
          <w:sz w:val="24"/>
          <w:szCs w:val="24"/>
        </w:rPr>
        <w:t xml:space="preserve">, so this requires changes to be made to </w:t>
      </w:r>
      <w:r w:rsidR="009109E4" w:rsidRPr="001D707C">
        <w:rPr>
          <w:rFonts w:asciiTheme="majorHAnsi" w:hAnsiTheme="majorHAnsi"/>
          <w:sz w:val="24"/>
          <w:szCs w:val="24"/>
        </w:rPr>
        <w:t xml:space="preserve">the </w:t>
      </w:r>
      <w:r w:rsidRPr="001D707C">
        <w:rPr>
          <w:rFonts w:asciiTheme="majorHAnsi" w:hAnsiTheme="majorHAnsi"/>
          <w:sz w:val="24"/>
          <w:szCs w:val="24"/>
        </w:rPr>
        <w:t>deliver</w:t>
      </w:r>
      <w:r w:rsidR="009109E4" w:rsidRPr="001D707C">
        <w:rPr>
          <w:rFonts w:asciiTheme="majorHAnsi" w:hAnsiTheme="majorHAnsi"/>
          <w:sz w:val="24"/>
          <w:szCs w:val="24"/>
        </w:rPr>
        <w:t>y</w:t>
      </w:r>
      <w:r w:rsidRPr="001D707C">
        <w:rPr>
          <w:rFonts w:asciiTheme="majorHAnsi" w:hAnsiTheme="majorHAnsi"/>
          <w:sz w:val="24"/>
          <w:szCs w:val="24"/>
        </w:rPr>
        <w:t xml:space="preserve"> student practicals, projects and placements</w:t>
      </w:r>
      <w:r w:rsidR="009109E4" w:rsidRPr="001D707C">
        <w:rPr>
          <w:rFonts w:asciiTheme="majorHAnsi" w:hAnsiTheme="majorHAnsi"/>
          <w:sz w:val="24"/>
          <w:szCs w:val="24"/>
        </w:rPr>
        <w:t>, to</w:t>
      </w:r>
      <w:r w:rsidR="00DB2288">
        <w:rPr>
          <w:rFonts w:asciiTheme="majorHAnsi" w:hAnsiTheme="majorHAnsi"/>
          <w:sz w:val="24"/>
          <w:szCs w:val="24"/>
        </w:rPr>
        <w:t xml:space="preserve"> provide students with relevant experiences of these changing conditions.</w:t>
      </w:r>
    </w:p>
    <w:p w14:paraId="0000009E" w14:textId="77777777" w:rsidR="00F135CF" w:rsidRPr="001D707C" w:rsidRDefault="00F135CF">
      <w:pPr>
        <w:pStyle w:val="Normal1"/>
        <w:rPr>
          <w:rFonts w:asciiTheme="majorHAnsi" w:hAnsiTheme="majorHAnsi"/>
          <w:sz w:val="24"/>
          <w:szCs w:val="24"/>
        </w:rPr>
      </w:pPr>
    </w:p>
    <w:p w14:paraId="3EF2CD3B" w14:textId="7708F858" w:rsidR="008B7210" w:rsidRPr="001D707C" w:rsidRDefault="009109E4" w:rsidP="00C01C8C">
      <w:pPr>
        <w:pStyle w:val="Normal1"/>
        <w:rPr>
          <w:rFonts w:asciiTheme="majorHAnsi" w:hAnsiTheme="majorHAnsi"/>
          <w:sz w:val="24"/>
          <w:szCs w:val="24"/>
        </w:rPr>
      </w:pPr>
      <w:r w:rsidRPr="001D707C">
        <w:rPr>
          <w:rFonts w:asciiTheme="majorHAnsi" w:hAnsiTheme="majorHAnsi"/>
          <w:sz w:val="24"/>
          <w:szCs w:val="24"/>
        </w:rPr>
        <w:t>The authors acknowledge these are challenging times</w:t>
      </w:r>
      <w:r w:rsidR="00F81D81" w:rsidRPr="001D707C">
        <w:rPr>
          <w:rFonts w:asciiTheme="majorHAnsi" w:hAnsiTheme="majorHAnsi"/>
          <w:sz w:val="24"/>
          <w:szCs w:val="24"/>
        </w:rPr>
        <w:t xml:space="preserve">, but </w:t>
      </w:r>
      <w:r w:rsidR="00DB2288">
        <w:rPr>
          <w:rFonts w:asciiTheme="majorHAnsi" w:hAnsiTheme="majorHAnsi"/>
          <w:sz w:val="24"/>
          <w:szCs w:val="24"/>
        </w:rPr>
        <w:t xml:space="preserve">there </w:t>
      </w:r>
      <w:r w:rsidR="00F81D81" w:rsidRPr="001D707C">
        <w:rPr>
          <w:rFonts w:asciiTheme="majorHAnsi" w:hAnsiTheme="majorHAnsi"/>
          <w:sz w:val="24"/>
          <w:szCs w:val="24"/>
        </w:rPr>
        <w:t xml:space="preserve">maybe </w:t>
      </w:r>
      <w:r w:rsidRPr="001D707C">
        <w:rPr>
          <w:rFonts w:asciiTheme="majorHAnsi" w:hAnsiTheme="majorHAnsi"/>
          <w:sz w:val="24"/>
          <w:szCs w:val="24"/>
        </w:rPr>
        <w:t xml:space="preserve">an opportunity to </w:t>
      </w:r>
      <w:r w:rsidR="0098380B" w:rsidRPr="001D707C">
        <w:rPr>
          <w:rFonts w:asciiTheme="majorHAnsi" w:hAnsiTheme="majorHAnsi"/>
          <w:sz w:val="24"/>
          <w:szCs w:val="24"/>
        </w:rPr>
        <w:t xml:space="preserve">take a longer-term view on the changing </w:t>
      </w:r>
      <w:r w:rsidR="00C01C8C" w:rsidRPr="001D707C">
        <w:rPr>
          <w:rFonts w:asciiTheme="majorHAnsi" w:hAnsiTheme="majorHAnsi"/>
          <w:sz w:val="24"/>
          <w:szCs w:val="24"/>
        </w:rPr>
        <w:t xml:space="preserve">external environment. This may also help address </w:t>
      </w:r>
      <w:r w:rsidR="00F81D81" w:rsidRPr="001D707C">
        <w:rPr>
          <w:rFonts w:asciiTheme="majorHAnsi" w:hAnsiTheme="majorHAnsi"/>
          <w:sz w:val="24"/>
          <w:szCs w:val="24"/>
        </w:rPr>
        <w:t>some of the p</w:t>
      </w:r>
      <w:r w:rsidR="00143C1C" w:rsidRPr="001D707C">
        <w:rPr>
          <w:rFonts w:asciiTheme="majorHAnsi" w:hAnsiTheme="majorHAnsi"/>
          <w:sz w:val="24"/>
          <w:szCs w:val="24"/>
        </w:rPr>
        <w:t>roblems traditionally</w:t>
      </w:r>
      <w:r w:rsidR="00F81D81" w:rsidRPr="001D707C">
        <w:rPr>
          <w:rFonts w:asciiTheme="majorHAnsi" w:hAnsiTheme="majorHAnsi"/>
          <w:sz w:val="24"/>
          <w:szCs w:val="24"/>
        </w:rPr>
        <w:t xml:space="preserve"> associated with practicals and </w:t>
      </w:r>
      <w:r w:rsidR="00B862A4" w:rsidRPr="001D707C">
        <w:rPr>
          <w:rFonts w:asciiTheme="majorHAnsi" w:hAnsiTheme="majorHAnsi"/>
          <w:sz w:val="24"/>
          <w:szCs w:val="24"/>
        </w:rPr>
        <w:t xml:space="preserve">lab-based undergraduate projects. </w:t>
      </w:r>
      <w:r w:rsidR="00C01C8C" w:rsidRPr="001D707C">
        <w:rPr>
          <w:rFonts w:asciiTheme="majorHAnsi" w:hAnsiTheme="majorHAnsi"/>
          <w:sz w:val="24"/>
          <w:szCs w:val="24"/>
        </w:rPr>
        <w:lastRenderedPageBreak/>
        <w:t xml:space="preserve">Also it may be possible to </w:t>
      </w:r>
      <w:r w:rsidR="00B862A4" w:rsidRPr="001D707C">
        <w:rPr>
          <w:rFonts w:asciiTheme="majorHAnsi" w:hAnsiTheme="majorHAnsi"/>
          <w:sz w:val="24"/>
          <w:szCs w:val="24"/>
        </w:rPr>
        <w:t xml:space="preserve">reflect upon the pharmaceutical and other </w:t>
      </w:r>
      <w:r w:rsidR="00F81D81" w:rsidRPr="001D707C">
        <w:rPr>
          <w:rFonts w:asciiTheme="majorHAnsi" w:hAnsiTheme="majorHAnsi"/>
          <w:sz w:val="24"/>
          <w:szCs w:val="24"/>
        </w:rPr>
        <w:t xml:space="preserve">life science sectors that </w:t>
      </w:r>
      <w:r w:rsidR="00B862A4" w:rsidRPr="001D707C">
        <w:rPr>
          <w:rFonts w:asciiTheme="majorHAnsi" w:hAnsiTheme="majorHAnsi"/>
          <w:sz w:val="24"/>
          <w:szCs w:val="24"/>
        </w:rPr>
        <w:t xml:space="preserve">are </w:t>
      </w:r>
      <w:r w:rsidR="00C01C8C" w:rsidRPr="001D707C">
        <w:rPr>
          <w:rFonts w:asciiTheme="majorHAnsi" w:hAnsiTheme="majorHAnsi"/>
          <w:sz w:val="24"/>
          <w:szCs w:val="24"/>
        </w:rPr>
        <w:t xml:space="preserve">seeking </w:t>
      </w:r>
      <w:r w:rsidR="00B862A4" w:rsidRPr="001D707C">
        <w:rPr>
          <w:rFonts w:asciiTheme="majorHAnsi" w:hAnsiTheme="majorHAnsi"/>
          <w:sz w:val="24"/>
          <w:szCs w:val="24"/>
        </w:rPr>
        <w:t xml:space="preserve">computational, graphical, regulatory and desk-based </w:t>
      </w:r>
      <w:r w:rsidR="00F81D81" w:rsidRPr="001D707C">
        <w:rPr>
          <w:rFonts w:asciiTheme="majorHAnsi" w:hAnsiTheme="majorHAnsi"/>
          <w:sz w:val="24"/>
          <w:szCs w:val="24"/>
        </w:rPr>
        <w:t>knowledge and skills</w:t>
      </w:r>
      <w:r w:rsidR="00B862A4" w:rsidRPr="001D707C">
        <w:rPr>
          <w:rFonts w:asciiTheme="majorHAnsi" w:hAnsiTheme="majorHAnsi"/>
          <w:sz w:val="24"/>
          <w:szCs w:val="24"/>
        </w:rPr>
        <w:t>, that could take the strain off the need to be in the lab</w:t>
      </w:r>
      <w:r w:rsidR="00644CB7">
        <w:rPr>
          <w:rFonts w:asciiTheme="majorHAnsi" w:hAnsiTheme="majorHAnsi"/>
          <w:sz w:val="24"/>
          <w:szCs w:val="24"/>
        </w:rPr>
        <w:t xml:space="preserve"> and on-campus</w:t>
      </w:r>
      <w:r w:rsidR="00B862A4" w:rsidRPr="001D707C">
        <w:rPr>
          <w:rFonts w:asciiTheme="majorHAnsi" w:hAnsiTheme="majorHAnsi"/>
          <w:sz w:val="24"/>
          <w:szCs w:val="24"/>
        </w:rPr>
        <w:t>.</w:t>
      </w:r>
      <w:r w:rsidR="005D7FE9">
        <w:rPr>
          <w:rFonts w:asciiTheme="majorHAnsi" w:hAnsiTheme="majorHAnsi"/>
          <w:sz w:val="24"/>
          <w:szCs w:val="24"/>
        </w:rPr>
        <w:t xml:space="preserve"> The Quality Assurance Agency subject benchmark are supportive of digital approaches to </w:t>
      </w:r>
      <w:r w:rsidR="00644CB7">
        <w:rPr>
          <w:rFonts w:asciiTheme="majorHAnsi" w:hAnsiTheme="majorHAnsi"/>
          <w:sz w:val="24"/>
          <w:szCs w:val="24"/>
        </w:rPr>
        <w:t>replace practicals</w:t>
      </w:r>
      <w:r w:rsidR="005D7FE9">
        <w:rPr>
          <w:rFonts w:asciiTheme="majorHAnsi" w:hAnsiTheme="majorHAnsi"/>
          <w:sz w:val="24"/>
          <w:szCs w:val="24"/>
        </w:rPr>
        <w:t xml:space="preserve"> and the </w:t>
      </w:r>
      <w:r w:rsidR="00644CB7">
        <w:rPr>
          <w:rFonts w:asciiTheme="majorHAnsi" w:hAnsiTheme="majorHAnsi"/>
          <w:sz w:val="24"/>
          <w:szCs w:val="24"/>
        </w:rPr>
        <w:t>use</w:t>
      </w:r>
      <w:r w:rsidR="005D7FE9">
        <w:rPr>
          <w:rFonts w:asciiTheme="majorHAnsi" w:hAnsiTheme="majorHAnsi"/>
          <w:sz w:val="24"/>
          <w:szCs w:val="24"/>
        </w:rPr>
        <w:t xml:space="preserve"> of other research methods such as surveys to support student learning (QAA 2021). Admitedly, in professional accredited courses that may have more stringent laboratory requirements, the flexibility and pace of chang</w:t>
      </w:r>
      <w:r w:rsidR="008B7210">
        <w:rPr>
          <w:rFonts w:asciiTheme="majorHAnsi" w:hAnsiTheme="majorHAnsi"/>
          <w:sz w:val="24"/>
          <w:szCs w:val="24"/>
        </w:rPr>
        <w:t>e may be more restricted.</w:t>
      </w:r>
    </w:p>
    <w:p w14:paraId="000000A0" w14:textId="77777777" w:rsidR="00F135CF" w:rsidRDefault="00F135CF">
      <w:pPr>
        <w:pStyle w:val="Normal1"/>
        <w:rPr>
          <w:rFonts w:asciiTheme="majorHAnsi" w:hAnsiTheme="majorHAnsi"/>
          <w:sz w:val="24"/>
          <w:szCs w:val="24"/>
        </w:rPr>
      </w:pPr>
    </w:p>
    <w:p w14:paraId="000000A2" w14:textId="67D9107D" w:rsidR="00F135CF" w:rsidRDefault="005D7FE9">
      <w:pPr>
        <w:pStyle w:val="Normal1"/>
        <w:rPr>
          <w:rFonts w:asciiTheme="majorHAnsi" w:hAnsiTheme="majorHAnsi"/>
          <w:sz w:val="24"/>
          <w:szCs w:val="24"/>
        </w:rPr>
      </w:pPr>
      <w:r>
        <w:rPr>
          <w:rFonts w:asciiTheme="majorHAnsi" w:hAnsiTheme="majorHAnsi"/>
          <w:sz w:val="24"/>
          <w:szCs w:val="24"/>
        </w:rPr>
        <w:t>For placements and work experience, u</w:t>
      </w:r>
      <w:r w:rsidR="0040730B">
        <w:rPr>
          <w:rFonts w:asciiTheme="majorHAnsi" w:hAnsiTheme="majorHAnsi"/>
          <w:sz w:val="24"/>
          <w:szCs w:val="24"/>
        </w:rPr>
        <w:t xml:space="preserve">niversity </w:t>
      </w:r>
      <w:r w:rsidR="00644CB7">
        <w:rPr>
          <w:rFonts w:asciiTheme="majorHAnsi" w:hAnsiTheme="majorHAnsi"/>
          <w:sz w:val="24"/>
          <w:szCs w:val="24"/>
        </w:rPr>
        <w:t>careers teams</w:t>
      </w:r>
      <w:r w:rsidR="0040730B">
        <w:rPr>
          <w:rFonts w:asciiTheme="majorHAnsi" w:hAnsiTheme="majorHAnsi"/>
          <w:sz w:val="24"/>
          <w:szCs w:val="24"/>
        </w:rPr>
        <w:t xml:space="preserve"> and a</w:t>
      </w:r>
      <w:r w:rsidR="00C01C8C" w:rsidRPr="001D707C">
        <w:rPr>
          <w:rFonts w:asciiTheme="majorHAnsi" w:hAnsiTheme="majorHAnsi"/>
          <w:sz w:val="24"/>
          <w:szCs w:val="24"/>
        </w:rPr>
        <w:t>cademic t</w:t>
      </w:r>
      <w:r w:rsidR="00B862A4" w:rsidRPr="001D707C">
        <w:rPr>
          <w:rFonts w:asciiTheme="majorHAnsi" w:hAnsiTheme="majorHAnsi"/>
          <w:sz w:val="24"/>
          <w:szCs w:val="24"/>
        </w:rPr>
        <w:t xml:space="preserve">eams could consider a wider range of </w:t>
      </w:r>
      <w:r w:rsidR="00C01C8C" w:rsidRPr="001D707C">
        <w:rPr>
          <w:rFonts w:asciiTheme="majorHAnsi" w:hAnsiTheme="majorHAnsi"/>
          <w:sz w:val="24"/>
          <w:szCs w:val="24"/>
        </w:rPr>
        <w:t xml:space="preserve">employment-relevant </w:t>
      </w:r>
      <w:r w:rsidR="00B862A4" w:rsidRPr="001D707C">
        <w:rPr>
          <w:rFonts w:asciiTheme="majorHAnsi" w:hAnsiTheme="majorHAnsi"/>
          <w:sz w:val="24"/>
          <w:szCs w:val="24"/>
        </w:rPr>
        <w:t xml:space="preserve">activities, partnering more closely with </w:t>
      </w:r>
      <w:r w:rsidR="00C01C8C" w:rsidRPr="001D707C">
        <w:rPr>
          <w:rFonts w:asciiTheme="majorHAnsi" w:hAnsiTheme="majorHAnsi"/>
          <w:sz w:val="24"/>
          <w:szCs w:val="24"/>
        </w:rPr>
        <w:t xml:space="preserve">local business and </w:t>
      </w:r>
      <w:r w:rsidR="00B862A4" w:rsidRPr="001D707C">
        <w:rPr>
          <w:rFonts w:asciiTheme="majorHAnsi" w:hAnsiTheme="majorHAnsi"/>
          <w:sz w:val="24"/>
          <w:szCs w:val="24"/>
        </w:rPr>
        <w:t>industry to enrich curricula and provide students with developmental opportunities</w:t>
      </w:r>
      <w:r w:rsidR="00C01C8C" w:rsidRPr="001D707C">
        <w:rPr>
          <w:rFonts w:asciiTheme="majorHAnsi" w:hAnsiTheme="majorHAnsi"/>
          <w:sz w:val="24"/>
          <w:szCs w:val="24"/>
        </w:rPr>
        <w:t xml:space="preserve">. Also </w:t>
      </w:r>
      <w:r w:rsidR="00B862A4" w:rsidRPr="001D707C">
        <w:rPr>
          <w:rFonts w:asciiTheme="majorHAnsi" w:hAnsiTheme="majorHAnsi"/>
          <w:sz w:val="24"/>
          <w:szCs w:val="24"/>
        </w:rPr>
        <w:t>consider</w:t>
      </w:r>
      <w:r w:rsidR="0040730B">
        <w:rPr>
          <w:rFonts w:asciiTheme="majorHAnsi" w:hAnsiTheme="majorHAnsi"/>
          <w:sz w:val="24"/>
          <w:szCs w:val="24"/>
        </w:rPr>
        <w:t>ing</w:t>
      </w:r>
      <w:r w:rsidR="00B862A4" w:rsidRPr="001D707C">
        <w:rPr>
          <w:rFonts w:asciiTheme="majorHAnsi" w:hAnsiTheme="majorHAnsi"/>
          <w:sz w:val="24"/>
          <w:szCs w:val="24"/>
        </w:rPr>
        <w:t xml:space="preserve"> other project methodologies such as questionnaire design and systematic reviews </w:t>
      </w:r>
      <w:r w:rsidR="0040730B">
        <w:rPr>
          <w:rFonts w:asciiTheme="majorHAnsi" w:hAnsiTheme="majorHAnsi"/>
          <w:sz w:val="24"/>
          <w:szCs w:val="24"/>
        </w:rPr>
        <w:t xml:space="preserve">could also provide </w:t>
      </w:r>
      <w:r>
        <w:rPr>
          <w:rFonts w:asciiTheme="majorHAnsi" w:hAnsiTheme="majorHAnsi"/>
          <w:sz w:val="24"/>
          <w:szCs w:val="24"/>
        </w:rPr>
        <w:t xml:space="preserve">transferable </w:t>
      </w:r>
      <w:r w:rsidR="0040730B">
        <w:rPr>
          <w:rFonts w:asciiTheme="majorHAnsi" w:hAnsiTheme="majorHAnsi"/>
          <w:sz w:val="24"/>
          <w:szCs w:val="24"/>
        </w:rPr>
        <w:t>skills.</w:t>
      </w:r>
    </w:p>
    <w:p w14:paraId="479D4D3B" w14:textId="79141F59" w:rsidR="009109E4" w:rsidRPr="001D707C" w:rsidRDefault="00210C24">
      <w:pPr>
        <w:pStyle w:val="Normal1"/>
        <w:rPr>
          <w:rFonts w:asciiTheme="majorHAnsi" w:hAnsiTheme="majorHAnsi"/>
          <w:sz w:val="24"/>
          <w:szCs w:val="24"/>
        </w:rPr>
      </w:pPr>
      <w:r>
        <w:rPr>
          <w:rFonts w:asciiTheme="majorHAnsi" w:hAnsiTheme="majorHAnsi"/>
          <w:sz w:val="24"/>
          <w:szCs w:val="24"/>
        </w:rPr>
        <w:br/>
      </w:r>
      <w:r w:rsidR="005D7FE9">
        <w:rPr>
          <w:rFonts w:asciiTheme="majorHAnsi" w:hAnsiTheme="majorHAnsi"/>
          <w:sz w:val="24"/>
          <w:szCs w:val="24"/>
        </w:rPr>
        <w:t>The intention of this article was to identify</w:t>
      </w:r>
      <w:r>
        <w:rPr>
          <w:rFonts w:asciiTheme="majorHAnsi" w:hAnsiTheme="majorHAnsi"/>
          <w:sz w:val="24"/>
          <w:szCs w:val="24"/>
        </w:rPr>
        <w:t xml:space="preserve"> tools and approaches that academic teams might be interested in using and adapting</w:t>
      </w:r>
      <w:r w:rsidR="005D7FE9">
        <w:rPr>
          <w:rFonts w:asciiTheme="majorHAnsi" w:hAnsiTheme="majorHAnsi"/>
          <w:sz w:val="24"/>
          <w:szCs w:val="24"/>
        </w:rPr>
        <w:t xml:space="preserve"> to support remote teaching, with emphasis on practicals, projects and placements. </w:t>
      </w:r>
      <w:r w:rsidR="008B7210">
        <w:rPr>
          <w:rFonts w:asciiTheme="majorHAnsi" w:hAnsiTheme="majorHAnsi"/>
          <w:sz w:val="24"/>
          <w:szCs w:val="24"/>
        </w:rPr>
        <w:t xml:space="preserve">Its limitation is that it </w:t>
      </w:r>
      <w:r>
        <w:rPr>
          <w:rFonts w:asciiTheme="majorHAnsi" w:hAnsiTheme="majorHAnsi"/>
          <w:sz w:val="24"/>
          <w:szCs w:val="24"/>
        </w:rPr>
        <w:t xml:space="preserve">has not focused on student assessment </w:t>
      </w:r>
      <w:r w:rsidR="008B7210">
        <w:rPr>
          <w:rFonts w:asciiTheme="majorHAnsi" w:hAnsiTheme="majorHAnsi"/>
          <w:sz w:val="24"/>
          <w:szCs w:val="24"/>
        </w:rPr>
        <w:t xml:space="preserve">and feedback </w:t>
      </w:r>
      <w:r>
        <w:rPr>
          <w:rFonts w:asciiTheme="majorHAnsi" w:hAnsiTheme="majorHAnsi"/>
          <w:sz w:val="24"/>
          <w:szCs w:val="24"/>
        </w:rPr>
        <w:t xml:space="preserve">that would also need to be </w:t>
      </w:r>
      <w:r w:rsidR="008B7210">
        <w:rPr>
          <w:rFonts w:asciiTheme="majorHAnsi" w:hAnsiTheme="majorHAnsi"/>
          <w:sz w:val="24"/>
          <w:szCs w:val="24"/>
        </w:rPr>
        <w:t>successfully executed remotely. Some suggestions to face-to-face assessment and practical considerations for implementing them are available (Brown and Sambell 2020).</w:t>
      </w:r>
      <w:r w:rsidR="008B7210">
        <w:rPr>
          <w:rFonts w:asciiTheme="majorHAnsi" w:hAnsiTheme="majorHAnsi"/>
          <w:sz w:val="24"/>
          <w:szCs w:val="24"/>
        </w:rPr>
        <w:br/>
      </w:r>
    </w:p>
    <w:p w14:paraId="78A1DC38" w14:textId="5EEFE1E8" w:rsidR="009109E4" w:rsidRPr="001D707C" w:rsidRDefault="0040730B">
      <w:pPr>
        <w:pStyle w:val="Normal1"/>
        <w:rPr>
          <w:rFonts w:asciiTheme="majorHAnsi" w:hAnsiTheme="majorHAnsi"/>
          <w:sz w:val="24"/>
          <w:szCs w:val="24"/>
        </w:rPr>
      </w:pPr>
      <w:r>
        <w:rPr>
          <w:rFonts w:asciiTheme="majorHAnsi" w:hAnsiTheme="majorHAnsi"/>
          <w:sz w:val="24"/>
          <w:szCs w:val="24"/>
        </w:rPr>
        <w:t xml:space="preserve">There is no doubt that university staff and students have had a tumultous year. </w:t>
      </w:r>
      <w:r w:rsidR="009109E4" w:rsidRPr="001D707C">
        <w:rPr>
          <w:rFonts w:asciiTheme="majorHAnsi" w:hAnsiTheme="majorHAnsi"/>
          <w:sz w:val="24"/>
          <w:szCs w:val="24"/>
        </w:rPr>
        <w:t xml:space="preserve">Front of mind should be the wellbeing of all involved, and </w:t>
      </w:r>
      <w:r w:rsidR="00F81D81" w:rsidRPr="001D707C">
        <w:rPr>
          <w:rFonts w:asciiTheme="majorHAnsi" w:hAnsiTheme="majorHAnsi"/>
          <w:sz w:val="24"/>
          <w:szCs w:val="24"/>
        </w:rPr>
        <w:t>new strategies should also be considered through the lens of equality to ensure that those disadvantaged on campus are not equally disadvantaged through remote teaching and working.</w:t>
      </w:r>
      <w:r w:rsidR="0021445E" w:rsidRPr="001D707C">
        <w:rPr>
          <w:rFonts w:asciiTheme="majorHAnsi" w:hAnsiTheme="majorHAnsi"/>
          <w:sz w:val="24"/>
          <w:szCs w:val="24"/>
        </w:rPr>
        <w:t xml:space="preserve"> </w:t>
      </w:r>
      <w:r>
        <w:rPr>
          <w:rFonts w:asciiTheme="majorHAnsi" w:hAnsiTheme="majorHAnsi"/>
          <w:sz w:val="24"/>
          <w:szCs w:val="24"/>
        </w:rPr>
        <w:t xml:space="preserve">Given the transformations to bioscience teaching that have </w:t>
      </w:r>
      <w:r w:rsidR="00F766FC">
        <w:rPr>
          <w:rFonts w:asciiTheme="majorHAnsi" w:hAnsiTheme="majorHAnsi"/>
          <w:sz w:val="24"/>
          <w:szCs w:val="24"/>
        </w:rPr>
        <w:t xml:space="preserve">been made over the course of the pandemic, </w:t>
      </w:r>
      <w:r>
        <w:rPr>
          <w:rFonts w:asciiTheme="majorHAnsi" w:hAnsiTheme="majorHAnsi"/>
          <w:sz w:val="24"/>
          <w:szCs w:val="24"/>
        </w:rPr>
        <w:t xml:space="preserve"> </w:t>
      </w:r>
      <w:r w:rsidR="00F766FC">
        <w:rPr>
          <w:rFonts w:asciiTheme="majorHAnsi" w:hAnsiTheme="majorHAnsi"/>
          <w:sz w:val="24"/>
          <w:szCs w:val="24"/>
        </w:rPr>
        <w:t>opportunites should be made to support staff to</w:t>
      </w:r>
      <w:r>
        <w:rPr>
          <w:rFonts w:asciiTheme="majorHAnsi" w:hAnsiTheme="majorHAnsi"/>
          <w:sz w:val="24"/>
          <w:szCs w:val="24"/>
        </w:rPr>
        <w:t xml:space="preserve"> share </w:t>
      </w:r>
      <w:r w:rsidR="008B7210">
        <w:rPr>
          <w:rFonts w:asciiTheme="majorHAnsi" w:hAnsiTheme="majorHAnsi"/>
          <w:sz w:val="24"/>
          <w:szCs w:val="24"/>
        </w:rPr>
        <w:t xml:space="preserve">their </w:t>
      </w:r>
      <w:r>
        <w:rPr>
          <w:rFonts w:asciiTheme="majorHAnsi" w:hAnsiTheme="majorHAnsi"/>
          <w:sz w:val="24"/>
          <w:szCs w:val="24"/>
        </w:rPr>
        <w:t>practices through publishin</w:t>
      </w:r>
      <w:r w:rsidR="00F766FC">
        <w:rPr>
          <w:rFonts w:asciiTheme="majorHAnsi" w:hAnsiTheme="majorHAnsi"/>
          <w:sz w:val="24"/>
          <w:szCs w:val="24"/>
        </w:rPr>
        <w:t>g case studies and evaluations</w:t>
      </w:r>
      <w:r w:rsidR="008B7210">
        <w:rPr>
          <w:rFonts w:asciiTheme="majorHAnsi" w:hAnsiTheme="majorHAnsi"/>
          <w:sz w:val="24"/>
          <w:szCs w:val="24"/>
        </w:rPr>
        <w:t xml:space="preserve"> for the benefit of the wider community</w:t>
      </w:r>
      <w:r w:rsidR="00F766FC">
        <w:rPr>
          <w:rFonts w:asciiTheme="majorHAnsi" w:hAnsiTheme="majorHAnsi"/>
          <w:sz w:val="24"/>
          <w:szCs w:val="24"/>
        </w:rPr>
        <w:t>.</w:t>
      </w:r>
      <w:r w:rsidR="0021445E" w:rsidRPr="001D707C">
        <w:rPr>
          <w:rFonts w:asciiTheme="majorHAnsi" w:hAnsiTheme="majorHAnsi"/>
          <w:sz w:val="24"/>
          <w:szCs w:val="24"/>
        </w:rPr>
        <w:br/>
      </w:r>
    </w:p>
    <w:p w14:paraId="518E9FF4" w14:textId="6777FC7A" w:rsidR="00DE3CDC" w:rsidRPr="001D707C" w:rsidRDefault="0021445E">
      <w:pPr>
        <w:pStyle w:val="Normal1"/>
        <w:rPr>
          <w:rFonts w:asciiTheme="majorHAnsi" w:hAnsiTheme="majorHAnsi"/>
          <w:sz w:val="24"/>
          <w:szCs w:val="24"/>
        </w:rPr>
      </w:pPr>
      <w:r w:rsidRPr="001D707C">
        <w:rPr>
          <w:rFonts w:asciiTheme="majorHAnsi" w:hAnsiTheme="majorHAnsi"/>
          <w:b/>
          <w:sz w:val="24"/>
          <w:szCs w:val="24"/>
        </w:rPr>
        <w:t>Funding details</w:t>
      </w:r>
      <w:r w:rsidRPr="001D707C">
        <w:rPr>
          <w:rFonts w:asciiTheme="majorHAnsi" w:hAnsiTheme="majorHAnsi"/>
          <w:sz w:val="24"/>
          <w:szCs w:val="24"/>
        </w:rPr>
        <w:br/>
      </w:r>
      <w:r w:rsidR="00B862A4" w:rsidRPr="001D707C">
        <w:rPr>
          <w:rFonts w:asciiTheme="majorHAnsi" w:hAnsiTheme="majorHAnsi"/>
          <w:sz w:val="24"/>
          <w:szCs w:val="24"/>
        </w:rPr>
        <w:t>No funding was received for this work.</w:t>
      </w:r>
      <w:r w:rsidR="00B862A4" w:rsidRPr="001D707C">
        <w:rPr>
          <w:rFonts w:asciiTheme="majorHAnsi" w:hAnsiTheme="majorHAnsi"/>
          <w:sz w:val="24"/>
          <w:szCs w:val="24"/>
        </w:rPr>
        <w:br/>
      </w:r>
      <w:r w:rsidRPr="001D707C">
        <w:rPr>
          <w:rFonts w:asciiTheme="majorHAnsi" w:hAnsiTheme="majorHAnsi"/>
          <w:sz w:val="24"/>
          <w:szCs w:val="24"/>
        </w:rPr>
        <w:br/>
      </w:r>
      <w:r w:rsidR="00B862A4" w:rsidRPr="001D707C">
        <w:rPr>
          <w:rFonts w:asciiTheme="majorHAnsi" w:hAnsiTheme="majorHAnsi"/>
          <w:b/>
          <w:sz w:val="24"/>
          <w:szCs w:val="24"/>
        </w:rPr>
        <w:t>Disclos</w:t>
      </w:r>
      <w:r w:rsidRPr="001D707C">
        <w:rPr>
          <w:rFonts w:asciiTheme="majorHAnsi" w:hAnsiTheme="majorHAnsi"/>
          <w:b/>
          <w:sz w:val="24"/>
          <w:szCs w:val="24"/>
        </w:rPr>
        <w:t>ure statement</w:t>
      </w:r>
      <w:r w:rsidRPr="001D707C">
        <w:rPr>
          <w:rFonts w:asciiTheme="majorHAnsi" w:hAnsiTheme="majorHAnsi"/>
          <w:sz w:val="24"/>
          <w:szCs w:val="24"/>
        </w:rPr>
        <w:br/>
      </w:r>
      <w:r w:rsidR="00B862A4" w:rsidRPr="001D707C">
        <w:rPr>
          <w:rFonts w:asciiTheme="majorHAnsi" w:hAnsiTheme="majorHAnsi"/>
          <w:sz w:val="24"/>
          <w:szCs w:val="24"/>
        </w:rPr>
        <w:t>There is no conflict of interest to declare.</w:t>
      </w:r>
    </w:p>
    <w:p w14:paraId="000000AE" w14:textId="77777777" w:rsidR="00F135CF" w:rsidRPr="001D707C" w:rsidRDefault="00F135CF">
      <w:pPr>
        <w:pStyle w:val="Normal1"/>
        <w:rPr>
          <w:rFonts w:asciiTheme="majorHAnsi" w:hAnsiTheme="majorHAnsi"/>
          <w:color w:val="605B5B"/>
          <w:sz w:val="24"/>
          <w:szCs w:val="24"/>
        </w:rPr>
      </w:pPr>
    </w:p>
    <w:p w14:paraId="70C386C0" w14:textId="555B68DE" w:rsidR="00710CF7" w:rsidRPr="001D707C" w:rsidRDefault="0021445E" w:rsidP="00A62D9C">
      <w:pPr>
        <w:pStyle w:val="Normal1"/>
        <w:rPr>
          <w:rFonts w:asciiTheme="majorHAnsi" w:hAnsiTheme="majorHAnsi"/>
          <w:b/>
          <w:sz w:val="24"/>
          <w:szCs w:val="24"/>
        </w:rPr>
      </w:pPr>
      <w:r w:rsidRPr="001D707C">
        <w:rPr>
          <w:rFonts w:asciiTheme="majorHAnsi" w:hAnsiTheme="majorHAnsi"/>
          <w:b/>
          <w:sz w:val="24"/>
          <w:szCs w:val="24"/>
        </w:rPr>
        <w:t>R</w:t>
      </w:r>
      <w:r w:rsidR="003A5AD7" w:rsidRPr="001D707C">
        <w:rPr>
          <w:rFonts w:asciiTheme="majorHAnsi" w:hAnsiTheme="majorHAnsi"/>
          <w:b/>
          <w:sz w:val="24"/>
          <w:szCs w:val="24"/>
        </w:rPr>
        <w:t>eferences</w:t>
      </w:r>
      <w:r w:rsidRPr="001D707C">
        <w:rPr>
          <w:rFonts w:asciiTheme="majorHAnsi" w:hAnsiTheme="majorHAnsi"/>
          <w:b/>
          <w:sz w:val="24"/>
          <w:szCs w:val="24"/>
        </w:rPr>
        <w:br/>
      </w:r>
    </w:p>
    <w:p w14:paraId="23B13EB6" w14:textId="6D1BB682" w:rsidR="008568D3" w:rsidRPr="00CF1C41" w:rsidRDefault="008568D3" w:rsidP="008568D3">
      <w:pPr>
        <w:rPr>
          <w:rFonts w:asciiTheme="majorHAnsi" w:hAnsiTheme="majorHAnsi"/>
          <w:sz w:val="24"/>
          <w:szCs w:val="24"/>
        </w:rPr>
      </w:pPr>
      <w:r w:rsidRPr="00CF1C41">
        <w:rPr>
          <w:rFonts w:asciiTheme="majorHAnsi" w:hAnsiTheme="majorHAnsi"/>
          <w:sz w:val="24"/>
          <w:szCs w:val="24"/>
        </w:rPr>
        <w:lastRenderedPageBreak/>
        <w:t>Akçayır Murat, Gokçe Akçayır, Pektaş Hüseyin Miraç, and Ocak, Mehmet Akif. 2016. “Augmented reality in science laboratories: The effects of augmented reality on university students’ laboratory skills and attitudes toward science laboratories.” </w:t>
      </w:r>
      <w:r w:rsidRPr="00CF1C41">
        <w:rPr>
          <w:rFonts w:asciiTheme="majorHAnsi" w:hAnsiTheme="majorHAnsi"/>
          <w:i/>
          <w:sz w:val="24"/>
          <w:szCs w:val="24"/>
        </w:rPr>
        <w:t>Computers in Human Behavior </w:t>
      </w:r>
      <w:r w:rsidRPr="00CF1C41">
        <w:rPr>
          <w:rFonts w:asciiTheme="majorHAnsi" w:hAnsiTheme="majorHAnsi"/>
          <w:sz w:val="24"/>
          <w:szCs w:val="24"/>
        </w:rPr>
        <w:t>57</w:t>
      </w:r>
      <w:r w:rsidR="00CF1C41" w:rsidRPr="00CF1C41">
        <w:rPr>
          <w:rFonts w:asciiTheme="majorHAnsi" w:hAnsiTheme="majorHAnsi"/>
          <w:sz w:val="24"/>
          <w:szCs w:val="24"/>
        </w:rPr>
        <w:t>:</w:t>
      </w:r>
      <w:r w:rsidRPr="00CF1C41">
        <w:rPr>
          <w:rFonts w:asciiTheme="majorHAnsi" w:hAnsiTheme="majorHAnsi"/>
          <w:sz w:val="24"/>
          <w:szCs w:val="24"/>
        </w:rPr>
        <w:t xml:space="preserve"> 334-342. </w:t>
      </w:r>
      <w:hyperlink r:id="rId5" w:tgtFrame="_blank" w:tooltip="Persistent link using digital object identifier" w:history="1">
        <w:r w:rsidRPr="00CF1C41">
          <w:rPr>
            <w:rFonts w:asciiTheme="majorHAnsi" w:hAnsiTheme="majorHAnsi"/>
            <w:sz w:val="24"/>
            <w:szCs w:val="24"/>
          </w:rPr>
          <w:t>https://doi.org/10.1016/j.chb.2015.12.054</w:t>
        </w:r>
      </w:hyperlink>
      <w:r w:rsidR="00373E62" w:rsidRPr="00CF1C41">
        <w:rPr>
          <w:rFonts w:asciiTheme="majorHAnsi" w:hAnsiTheme="majorHAnsi"/>
          <w:sz w:val="24"/>
          <w:szCs w:val="24"/>
        </w:rPr>
        <w:t>.</w:t>
      </w:r>
    </w:p>
    <w:p w14:paraId="5ADD0E9A" w14:textId="77777777" w:rsidR="00805934" w:rsidRPr="00CF1C41" w:rsidRDefault="00805934" w:rsidP="00805934">
      <w:pPr>
        <w:pStyle w:val="Normal1"/>
        <w:rPr>
          <w:rFonts w:asciiTheme="majorHAnsi" w:hAnsiTheme="majorHAnsi"/>
          <w:sz w:val="24"/>
          <w:szCs w:val="24"/>
        </w:rPr>
      </w:pPr>
    </w:p>
    <w:p w14:paraId="318E2B4A" w14:textId="6370F89C" w:rsidR="0010363C" w:rsidRPr="00CF1C41" w:rsidRDefault="00185C2A">
      <w:pPr>
        <w:pStyle w:val="Normal1"/>
        <w:rPr>
          <w:rFonts w:asciiTheme="majorHAnsi" w:hAnsiTheme="majorHAnsi"/>
          <w:sz w:val="24"/>
          <w:szCs w:val="24"/>
        </w:rPr>
      </w:pPr>
      <w:r w:rsidRPr="00CF1C41">
        <w:rPr>
          <w:rFonts w:asciiTheme="majorHAnsi" w:hAnsiTheme="majorHAnsi"/>
          <w:sz w:val="24"/>
          <w:szCs w:val="24"/>
        </w:rPr>
        <w:t>Ashwin, Paul. 2020. “Higher Education is Transformative – It Should be Open To All.</w:t>
      </w:r>
      <w:r w:rsidR="0010363C" w:rsidRPr="00CF1C41">
        <w:rPr>
          <w:rFonts w:asciiTheme="majorHAnsi" w:hAnsiTheme="majorHAnsi"/>
          <w:sz w:val="24"/>
          <w:szCs w:val="24"/>
        </w:rPr>
        <w:t xml:space="preserve">” </w:t>
      </w:r>
      <w:r w:rsidR="0010363C" w:rsidRPr="00CF1C41">
        <w:rPr>
          <w:rFonts w:asciiTheme="majorHAnsi" w:hAnsiTheme="majorHAnsi"/>
          <w:i/>
          <w:sz w:val="24"/>
          <w:szCs w:val="24"/>
        </w:rPr>
        <w:t>WONKHE</w:t>
      </w:r>
      <w:r w:rsidR="0010363C" w:rsidRPr="00CF1C41">
        <w:rPr>
          <w:rFonts w:asciiTheme="majorHAnsi" w:hAnsiTheme="majorHAnsi"/>
          <w:sz w:val="24"/>
          <w:szCs w:val="24"/>
        </w:rPr>
        <w:t xml:space="preserve">, September 9 2020. Accessed 6 November 2020. </w:t>
      </w:r>
      <w:hyperlink r:id="rId6">
        <w:r w:rsidRPr="00CF1C41">
          <w:rPr>
            <w:rFonts w:asciiTheme="majorHAnsi" w:hAnsiTheme="majorHAnsi"/>
            <w:sz w:val="24"/>
            <w:szCs w:val="24"/>
          </w:rPr>
          <w:t>https://wonkhe.com/blogs/higher-education-is-transformative-it-should-be-open-to-all/</w:t>
        </w:r>
      </w:hyperlink>
      <w:r w:rsidR="00373E62" w:rsidRPr="00CF1C41">
        <w:rPr>
          <w:rFonts w:asciiTheme="majorHAnsi" w:hAnsiTheme="majorHAnsi"/>
          <w:sz w:val="24"/>
          <w:szCs w:val="24"/>
        </w:rPr>
        <w:t>.</w:t>
      </w:r>
    </w:p>
    <w:p w14:paraId="0A47561C" w14:textId="7FFE5907" w:rsidR="0010363C" w:rsidRPr="00CF1C41" w:rsidRDefault="00B862A4" w:rsidP="00DA5BC6">
      <w:pPr>
        <w:pStyle w:val="Normal1"/>
        <w:spacing w:before="240" w:after="240" w:line="240" w:lineRule="auto"/>
        <w:rPr>
          <w:rFonts w:asciiTheme="majorHAnsi" w:hAnsiTheme="majorHAnsi"/>
          <w:sz w:val="24"/>
          <w:szCs w:val="24"/>
          <w:u w:val="single"/>
        </w:rPr>
      </w:pPr>
      <w:r w:rsidRPr="00CF1C41">
        <w:rPr>
          <w:rFonts w:asciiTheme="majorHAnsi" w:hAnsiTheme="majorHAnsi"/>
          <w:sz w:val="24"/>
          <w:szCs w:val="24"/>
        </w:rPr>
        <w:t>Association of the British Pharmaceutical Industry (ABP</w:t>
      </w:r>
      <w:r w:rsidR="00691C36" w:rsidRPr="00CF1C41">
        <w:rPr>
          <w:rFonts w:asciiTheme="majorHAnsi" w:hAnsiTheme="majorHAnsi"/>
          <w:sz w:val="24"/>
          <w:szCs w:val="24"/>
        </w:rPr>
        <w:t>I)</w:t>
      </w:r>
      <w:r w:rsidR="009F48F8" w:rsidRPr="00CF1C41">
        <w:rPr>
          <w:rFonts w:asciiTheme="majorHAnsi" w:hAnsiTheme="majorHAnsi"/>
          <w:sz w:val="24"/>
          <w:szCs w:val="24"/>
        </w:rPr>
        <w:t>.</w:t>
      </w:r>
      <w:r w:rsidR="00691C36" w:rsidRPr="00CF1C41">
        <w:rPr>
          <w:rFonts w:asciiTheme="majorHAnsi" w:hAnsiTheme="majorHAnsi"/>
          <w:sz w:val="24"/>
          <w:szCs w:val="24"/>
        </w:rPr>
        <w:t xml:space="preserve"> </w:t>
      </w:r>
      <w:r w:rsidRPr="00CF1C41">
        <w:rPr>
          <w:rFonts w:asciiTheme="majorHAnsi" w:hAnsiTheme="majorHAnsi"/>
          <w:sz w:val="24"/>
          <w:szCs w:val="24"/>
        </w:rPr>
        <w:t>2019. “</w:t>
      </w:r>
      <w:r w:rsidR="009F706A" w:rsidRPr="00CF1C41">
        <w:rPr>
          <w:rFonts w:asciiTheme="majorHAnsi" w:hAnsiTheme="majorHAnsi"/>
          <w:i/>
          <w:sz w:val="24"/>
          <w:szCs w:val="24"/>
        </w:rPr>
        <w:t>Bridging the Skills Gap in the</w:t>
      </w:r>
      <w:r w:rsidR="009F706A" w:rsidRPr="00CF1C41">
        <w:rPr>
          <w:rFonts w:asciiTheme="majorHAnsi" w:hAnsiTheme="majorHAnsi"/>
          <w:i/>
          <w:sz w:val="24"/>
          <w:szCs w:val="24"/>
        </w:rPr>
        <w:br/>
      </w:r>
      <w:r w:rsidRPr="00CF1C41">
        <w:rPr>
          <w:rFonts w:asciiTheme="majorHAnsi" w:hAnsiTheme="majorHAnsi"/>
          <w:i/>
          <w:sz w:val="24"/>
          <w:szCs w:val="24"/>
        </w:rPr>
        <w:t>Biopharmaceutical Industry: Maintaining the UK’s Leading Position in Life Sciences.”</w:t>
      </w:r>
      <w:r w:rsidR="00BD38CF" w:rsidRPr="00CF1C41">
        <w:rPr>
          <w:rFonts w:asciiTheme="majorHAnsi" w:hAnsiTheme="majorHAnsi"/>
          <w:i/>
          <w:sz w:val="24"/>
          <w:szCs w:val="24"/>
        </w:rPr>
        <w:t xml:space="preserve"> ABPI,</w:t>
      </w:r>
      <w:r w:rsidR="009F706A" w:rsidRPr="00CF1C41">
        <w:rPr>
          <w:rFonts w:asciiTheme="majorHAnsi" w:hAnsiTheme="majorHAnsi"/>
          <w:i/>
          <w:sz w:val="24"/>
          <w:szCs w:val="24"/>
        </w:rPr>
        <w:br/>
      </w:r>
      <w:r w:rsidR="00BD38CF" w:rsidRPr="00CF1C41">
        <w:rPr>
          <w:rFonts w:asciiTheme="majorHAnsi" w:hAnsiTheme="majorHAnsi"/>
          <w:sz w:val="24"/>
          <w:szCs w:val="24"/>
        </w:rPr>
        <w:t>Accessed 6 November 2020.</w:t>
      </w:r>
      <w:r w:rsidRPr="00CF1C41">
        <w:rPr>
          <w:rFonts w:asciiTheme="majorHAnsi" w:hAnsiTheme="majorHAnsi"/>
          <w:sz w:val="24"/>
          <w:szCs w:val="24"/>
        </w:rPr>
        <w:t xml:space="preserve"> </w:t>
      </w:r>
      <w:hyperlink r:id="rId7" w:history="1">
        <w:r w:rsidR="009F706A" w:rsidRPr="00CF1C41">
          <w:rPr>
            <w:rStyle w:val="Hyperlink"/>
            <w:rFonts w:asciiTheme="majorHAnsi" w:hAnsiTheme="majorHAnsi"/>
            <w:color w:val="auto"/>
            <w:sz w:val="24"/>
            <w:szCs w:val="24"/>
          </w:rPr>
          <w:t>https://www.abpi.org.uk/media/6657/190124-final-abpi-bridging the-gap-in-the-biopharmaceutical-industry_v3.pdf</w:t>
        </w:r>
      </w:hyperlink>
      <w:r w:rsidR="00373E62" w:rsidRPr="00CF1C41">
        <w:rPr>
          <w:rStyle w:val="Hyperlink"/>
          <w:rFonts w:asciiTheme="majorHAnsi" w:hAnsiTheme="majorHAnsi"/>
          <w:color w:val="auto"/>
          <w:sz w:val="24"/>
          <w:szCs w:val="24"/>
        </w:rPr>
        <w:t>.</w:t>
      </w:r>
    </w:p>
    <w:p w14:paraId="2D54CD59" w14:textId="6970AB27" w:rsidR="00336BD5" w:rsidRPr="00CF1C41" w:rsidRDefault="00691C36" w:rsidP="009F706A">
      <w:pPr>
        <w:pStyle w:val="Normal1"/>
        <w:spacing w:before="240" w:after="240"/>
        <w:rPr>
          <w:rFonts w:asciiTheme="majorHAnsi" w:hAnsiTheme="majorHAnsi"/>
          <w:sz w:val="24"/>
          <w:szCs w:val="24"/>
        </w:rPr>
      </w:pPr>
      <w:r w:rsidRPr="00CF1C41">
        <w:rPr>
          <w:rFonts w:asciiTheme="majorHAnsi" w:hAnsiTheme="majorHAnsi"/>
          <w:sz w:val="24"/>
          <w:szCs w:val="24"/>
        </w:rPr>
        <w:t>BBC News</w:t>
      </w:r>
      <w:r w:rsidR="009F48F8" w:rsidRPr="00CF1C41">
        <w:rPr>
          <w:rFonts w:asciiTheme="majorHAnsi" w:hAnsiTheme="majorHAnsi"/>
          <w:sz w:val="24"/>
          <w:szCs w:val="24"/>
        </w:rPr>
        <w:t>.</w:t>
      </w:r>
      <w:r w:rsidR="00B862A4" w:rsidRPr="00CF1C41">
        <w:rPr>
          <w:rFonts w:asciiTheme="majorHAnsi" w:hAnsiTheme="majorHAnsi"/>
          <w:sz w:val="24"/>
          <w:szCs w:val="24"/>
        </w:rPr>
        <w:t xml:space="preserve"> 2020. “Facebook and Google Extend W</w:t>
      </w:r>
      <w:r w:rsidR="0010363C" w:rsidRPr="00CF1C41">
        <w:rPr>
          <w:rFonts w:asciiTheme="majorHAnsi" w:hAnsiTheme="majorHAnsi"/>
          <w:sz w:val="24"/>
          <w:szCs w:val="24"/>
        </w:rPr>
        <w:t>orking from Home to End of Year.</w:t>
      </w:r>
      <w:r w:rsidR="00B862A4" w:rsidRPr="00CF1C41">
        <w:rPr>
          <w:rFonts w:asciiTheme="majorHAnsi" w:hAnsiTheme="majorHAnsi"/>
          <w:sz w:val="24"/>
          <w:szCs w:val="24"/>
        </w:rPr>
        <w:t xml:space="preserve">” </w:t>
      </w:r>
      <w:r w:rsidR="0010363C" w:rsidRPr="00CF1C41">
        <w:rPr>
          <w:rFonts w:asciiTheme="majorHAnsi" w:hAnsiTheme="majorHAnsi"/>
          <w:i/>
          <w:sz w:val="24"/>
          <w:szCs w:val="24"/>
        </w:rPr>
        <w:t>BBC News</w:t>
      </w:r>
      <w:r w:rsidR="0010363C" w:rsidRPr="00CF1C41">
        <w:rPr>
          <w:rFonts w:asciiTheme="majorHAnsi" w:hAnsiTheme="majorHAnsi"/>
          <w:sz w:val="24"/>
          <w:szCs w:val="24"/>
        </w:rPr>
        <w:t>, May 8</w:t>
      </w:r>
      <w:r w:rsidR="00B862A4" w:rsidRPr="00CF1C41">
        <w:rPr>
          <w:rFonts w:asciiTheme="majorHAnsi" w:hAnsiTheme="majorHAnsi"/>
          <w:sz w:val="24"/>
          <w:szCs w:val="24"/>
        </w:rPr>
        <w:t xml:space="preserve"> 2020.</w:t>
      </w:r>
      <w:r w:rsidR="0010363C" w:rsidRPr="00CF1C41">
        <w:rPr>
          <w:rFonts w:asciiTheme="majorHAnsi" w:hAnsiTheme="majorHAnsi"/>
          <w:sz w:val="24"/>
          <w:szCs w:val="24"/>
        </w:rPr>
        <w:t xml:space="preserve"> Accessed 6 November 2020.  </w:t>
      </w:r>
      <w:hyperlink r:id="rId8" w:history="1">
        <w:r w:rsidR="00336BD5" w:rsidRPr="00CF1C41">
          <w:rPr>
            <w:rStyle w:val="Hyperlink"/>
            <w:rFonts w:asciiTheme="majorHAnsi" w:hAnsiTheme="majorHAnsi"/>
            <w:sz w:val="24"/>
            <w:szCs w:val="24"/>
          </w:rPr>
          <w:t>https://www.bbc.co.uk/news/business-52570714</w:t>
        </w:r>
      </w:hyperlink>
      <w:r w:rsidR="00373E62" w:rsidRPr="00CF1C41">
        <w:rPr>
          <w:rFonts w:asciiTheme="majorHAnsi" w:hAnsiTheme="majorHAnsi"/>
          <w:sz w:val="24"/>
          <w:szCs w:val="24"/>
        </w:rPr>
        <w:t>.</w:t>
      </w:r>
    </w:p>
    <w:p w14:paraId="7787B873" w14:textId="4FE64B9C" w:rsidR="00336BD5" w:rsidRPr="00CF1C41" w:rsidRDefault="00336BD5" w:rsidP="00644CB7">
      <w:pPr>
        <w:pStyle w:val="Heading1"/>
        <w:spacing w:before="0" w:after="0"/>
        <w:rPr>
          <w:rFonts w:asciiTheme="majorHAnsi" w:hAnsiTheme="majorHAnsi"/>
          <w:sz w:val="24"/>
          <w:szCs w:val="24"/>
        </w:rPr>
      </w:pPr>
      <w:r w:rsidRPr="00CF1C41">
        <w:rPr>
          <w:rFonts w:asciiTheme="majorHAnsi" w:hAnsiTheme="majorHAnsi"/>
          <w:sz w:val="24"/>
          <w:szCs w:val="24"/>
        </w:rPr>
        <w:t>Bell</w:t>
      </w:r>
      <w:r w:rsidR="00644CB7" w:rsidRPr="00CF1C41">
        <w:rPr>
          <w:rFonts w:asciiTheme="majorHAnsi" w:hAnsiTheme="majorHAnsi"/>
          <w:sz w:val="24"/>
          <w:szCs w:val="24"/>
        </w:rPr>
        <w:t>, Laura 2020</w:t>
      </w:r>
      <w:r w:rsidRPr="00CF1C41">
        <w:rPr>
          <w:rFonts w:asciiTheme="majorHAnsi" w:hAnsiTheme="majorHAnsi"/>
          <w:sz w:val="24"/>
          <w:szCs w:val="24"/>
        </w:rPr>
        <w:t xml:space="preserve">. </w:t>
      </w:r>
      <w:r w:rsidR="00644CB7" w:rsidRPr="00CF1C41">
        <w:rPr>
          <w:rFonts w:asciiTheme="majorHAnsi" w:hAnsiTheme="majorHAnsi"/>
          <w:i/>
          <w:sz w:val="24"/>
          <w:szCs w:val="24"/>
        </w:rPr>
        <w:t>“</w:t>
      </w:r>
      <w:r w:rsidRPr="00CF1C41">
        <w:rPr>
          <w:rFonts w:asciiTheme="majorHAnsi" w:hAnsiTheme="majorHAnsi"/>
          <w:i/>
          <w:sz w:val="24"/>
          <w:szCs w:val="24"/>
        </w:rPr>
        <w:t>Virtual employer encounters: making work experience work in the context of Covid-19</w:t>
      </w:r>
      <w:r w:rsidR="00644CB7" w:rsidRPr="00CF1C41">
        <w:rPr>
          <w:rFonts w:asciiTheme="majorHAnsi" w:hAnsiTheme="majorHAnsi"/>
          <w:i/>
          <w:sz w:val="24"/>
          <w:szCs w:val="24"/>
        </w:rPr>
        <w:t>”</w:t>
      </w:r>
      <w:r w:rsidRPr="00CF1C41">
        <w:rPr>
          <w:rFonts w:asciiTheme="majorHAnsi" w:hAnsiTheme="majorHAnsi"/>
          <w:sz w:val="24"/>
          <w:szCs w:val="24"/>
        </w:rPr>
        <w:t xml:space="preserve">. </w:t>
      </w:r>
      <w:r w:rsidR="00644CB7" w:rsidRPr="00CF1C41">
        <w:rPr>
          <w:rFonts w:asciiTheme="majorHAnsi" w:hAnsiTheme="majorHAnsi"/>
          <w:sz w:val="24"/>
          <w:szCs w:val="24"/>
        </w:rPr>
        <w:t xml:space="preserve">Education Development Turst, Accessed 14 April 2021. </w:t>
      </w:r>
      <w:r w:rsidRPr="00CF1C41">
        <w:rPr>
          <w:rFonts w:asciiTheme="majorHAnsi" w:hAnsiTheme="majorHAnsi"/>
          <w:sz w:val="24"/>
          <w:szCs w:val="24"/>
        </w:rPr>
        <w:t>https://www.educationdevelopmenttrust.com/our-research-and-insights/commentary/virtual-employer-encounters-making-work-experience</w:t>
      </w:r>
    </w:p>
    <w:p w14:paraId="6749157B" w14:textId="3019094B" w:rsidR="00691C36" w:rsidRPr="00CF1C41" w:rsidRDefault="00B862A4" w:rsidP="00691C36">
      <w:pPr>
        <w:pStyle w:val="Normal1"/>
        <w:spacing w:before="240" w:after="240"/>
        <w:rPr>
          <w:rFonts w:asciiTheme="majorHAnsi" w:hAnsiTheme="majorHAnsi"/>
          <w:sz w:val="24"/>
          <w:szCs w:val="24"/>
        </w:rPr>
      </w:pPr>
      <w:r w:rsidRPr="00CF1C41">
        <w:rPr>
          <w:rFonts w:asciiTheme="majorHAnsi" w:hAnsiTheme="majorHAnsi"/>
          <w:sz w:val="24"/>
          <w:szCs w:val="24"/>
        </w:rPr>
        <w:t>Bevan, Stephen, Beth Mason, and Zofia Bajorek. 2020. “</w:t>
      </w:r>
      <w:r w:rsidRPr="00CF1C41">
        <w:rPr>
          <w:rFonts w:asciiTheme="majorHAnsi" w:hAnsiTheme="majorHAnsi"/>
          <w:i/>
          <w:sz w:val="24"/>
          <w:szCs w:val="24"/>
        </w:rPr>
        <w:t>Institute of Employment Studies (IES) Working at Home Wellbeing Survey Interim Findings</w:t>
      </w:r>
      <w:r w:rsidRPr="00CF1C41">
        <w:rPr>
          <w:rFonts w:asciiTheme="majorHAnsi" w:hAnsiTheme="majorHAnsi"/>
          <w:sz w:val="24"/>
          <w:szCs w:val="24"/>
        </w:rPr>
        <w:t>.”</w:t>
      </w:r>
      <w:r w:rsidR="00BD38CF" w:rsidRPr="00CF1C41">
        <w:rPr>
          <w:rFonts w:asciiTheme="majorHAnsi" w:hAnsiTheme="majorHAnsi"/>
          <w:sz w:val="24"/>
          <w:szCs w:val="24"/>
        </w:rPr>
        <w:t xml:space="preserve"> IES, Accessed 6 November 2020. https://www.employment-studies.co.uk/resource/ies-working-home-wellbeing-survey</w:t>
      </w:r>
      <w:r w:rsidR="00373E62" w:rsidRPr="00CF1C41">
        <w:rPr>
          <w:rFonts w:asciiTheme="majorHAnsi" w:hAnsiTheme="majorHAnsi"/>
          <w:sz w:val="24"/>
          <w:szCs w:val="24"/>
        </w:rPr>
        <w:t>.</w:t>
      </w:r>
    </w:p>
    <w:p w14:paraId="000000B5" w14:textId="4B8651AB" w:rsidR="00F135CF" w:rsidRPr="00CF1C41" w:rsidRDefault="00B862A4" w:rsidP="009F706A">
      <w:pPr>
        <w:pStyle w:val="Normal1"/>
        <w:spacing w:before="240" w:after="240"/>
        <w:rPr>
          <w:rFonts w:asciiTheme="majorHAnsi" w:hAnsiTheme="majorHAnsi"/>
          <w:sz w:val="24"/>
          <w:szCs w:val="24"/>
        </w:rPr>
      </w:pPr>
      <w:r w:rsidRPr="00CF1C41">
        <w:rPr>
          <w:rFonts w:asciiTheme="majorHAnsi" w:hAnsiTheme="majorHAnsi"/>
          <w:sz w:val="24"/>
          <w:szCs w:val="24"/>
        </w:rPr>
        <w:t xml:space="preserve">Bish, Joel P, and Stephanie Schleidt. 2008. “Effective Use of Computer Simulations in an Introductory Neuroscience Laboratory.” </w:t>
      </w:r>
      <w:r w:rsidRPr="00CF1C41">
        <w:rPr>
          <w:rFonts w:asciiTheme="majorHAnsi" w:hAnsiTheme="majorHAnsi"/>
          <w:i/>
          <w:sz w:val="24"/>
          <w:szCs w:val="24"/>
        </w:rPr>
        <w:t>The Journal of Undergraduate Neuroscience Education</w:t>
      </w:r>
      <w:r w:rsidRPr="00CF1C41">
        <w:rPr>
          <w:rFonts w:asciiTheme="majorHAnsi" w:hAnsiTheme="majorHAnsi"/>
          <w:sz w:val="24"/>
          <w:szCs w:val="24"/>
        </w:rPr>
        <w:t xml:space="preserve"> 6 (2): 64–67. https://www.ncbi.nlm.n</w:t>
      </w:r>
      <w:r w:rsidR="008568D3" w:rsidRPr="00CF1C41">
        <w:rPr>
          <w:rFonts w:asciiTheme="majorHAnsi" w:hAnsiTheme="majorHAnsi"/>
          <w:sz w:val="24"/>
          <w:szCs w:val="24"/>
        </w:rPr>
        <w:t>ih.gov/pmc/articles/PMC3592658/</w:t>
      </w:r>
      <w:r w:rsidR="00373E62" w:rsidRPr="00CF1C41">
        <w:rPr>
          <w:rFonts w:asciiTheme="majorHAnsi" w:hAnsiTheme="majorHAnsi"/>
          <w:sz w:val="24"/>
          <w:szCs w:val="24"/>
        </w:rPr>
        <w:t>.</w:t>
      </w:r>
    </w:p>
    <w:p w14:paraId="7E26901A" w14:textId="1013F441" w:rsidR="00185C2A" w:rsidRPr="00CF1C41" w:rsidRDefault="00B862A4" w:rsidP="00DA5BC6">
      <w:pPr>
        <w:pStyle w:val="Normal1"/>
        <w:spacing w:before="240" w:after="240"/>
        <w:rPr>
          <w:rFonts w:asciiTheme="majorHAnsi" w:hAnsiTheme="majorHAnsi"/>
          <w:sz w:val="24"/>
          <w:szCs w:val="24"/>
        </w:rPr>
      </w:pPr>
      <w:r w:rsidRPr="00CF1C41">
        <w:rPr>
          <w:rFonts w:asciiTheme="majorHAnsi" w:hAnsiTheme="majorHAnsi"/>
          <w:sz w:val="24"/>
          <w:szCs w:val="24"/>
        </w:rPr>
        <w:t xml:space="preserve">Brooks, Ruth, and Paul L Youngson. 2014. “Undergraduate Work Placements : An Analysis of the Effects on Career Progression.” </w:t>
      </w:r>
      <w:r w:rsidRPr="00CF1C41">
        <w:rPr>
          <w:rFonts w:asciiTheme="majorHAnsi" w:hAnsiTheme="majorHAnsi"/>
          <w:i/>
          <w:sz w:val="24"/>
          <w:szCs w:val="24"/>
        </w:rPr>
        <w:t>Studies in Higher Education</w:t>
      </w:r>
      <w:r w:rsidRPr="00CF1C41">
        <w:rPr>
          <w:rFonts w:asciiTheme="majorHAnsi" w:hAnsiTheme="majorHAnsi"/>
          <w:sz w:val="24"/>
          <w:szCs w:val="24"/>
        </w:rPr>
        <w:t xml:space="preserve"> 41 (9): 1563–78. </w:t>
      </w:r>
      <w:hyperlink r:id="rId9" w:history="1">
        <w:r w:rsidR="00185C2A" w:rsidRPr="00CF1C41">
          <w:rPr>
            <w:rStyle w:val="Hyperlink"/>
            <w:rFonts w:asciiTheme="majorHAnsi" w:hAnsiTheme="majorHAnsi"/>
            <w:color w:val="auto"/>
            <w:sz w:val="24"/>
            <w:szCs w:val="24"/>
          </w:rPr>
          <w:t>https://doi.org/10.1080/03075079.2014.988702</w:t>
        </w:r>
      </w:hyperlink>
      <w:r w:rsidRPr="00CF1C41">
        <w:rPr>
          <w:rFonts w:asciiTheme="majorHAnsi" w:hAnsiTheme="majorHAnsi"/>
          <w:sz w:val="24"/>
          <w:szCs w:val="24"/>
        </w:rPr>
        <w:t>.</w:t>
      </w:r>
    </w:p>
    <w:p w14:paraId="6A48FFB2" w14:textId="55B93B12" w:rsidR="008B7210" w:rsidRPr="00CF1C41" w:rsidRDefault="00644CB7" w:rsidP="008B7210">
      <w:pPr>
        <w:rPr>
          <w:rFonts w:asciiTheme="majorHAnsi" w:hAnsiTheme="majorHAnsi" w:cstheme="minorHAnsi"/>
          <w:sz w:val="24"/>
          <w:szCs w:val="24"/>
        </w:rPr>
      </w:pPr>
      <w:r w:rsidRPr="00CF1C41">
        <w:rPr>
          <w:rFonts w:asciiTheme="majorHAnsi" w:hAnsiTheme="majorHAnsi" w:cstheme="minorHAnsi"/>
          <w:sz w:val="24"/>
          <w:szCs w:val="24"/>
        </w:rPr>
        <w:t xml:space="preserve">Brown, </w:t>
      </w:r>
      <w:r w:rsidR="008B7210" w:rsidRPr="00CF1C41">
        <w:rPr>
          <w:rFonts w:asciiTheme="majorHAnsi" w:hAnsiTheme="majorHAnsi" w:cstheme="minorHAnsi"/>
          <w:sz w:val="24"/>
          <w:szCs w:val="24"/>
        </w:rPr>
        <w:t xml:space="preserve">Sally Brown and </w:t>
      </w:r>
      <w:r w:rsidRPr="00CF1C41">
        <w:rPr>
          <w:rFonts w:asciiTheme="majorHAnsi" w:hAnsiTheme="majorHAnsi" w:cstheme="minorHAnsi"/>
          <w:sz w:val="24"/>
          <w:szCs w:val="24"/>
        </w:rPr>
        <w:t>Kay Sambell. 2020</w:t>
      </w:r>
      <w:r w:rsidR="008B7210" w:rsidRPr="00CF1C41">
        <w:rPr>
          <w:rFonts w:asciiTheme="majorHAnsi" w:hAnsiTheme="majorHAnsi" w:cstheme="minorHAnsi"/>
          <w:sz w:val="24"/>
          <w:szCs w:val="24"/>
        </w:rPr>
        <w:t xml:space="preserve">. </w:t>
      </w:r>
      <w:r w:rsidRPr="00CF1C41">
        <w:rPr>
          <w:rFonts w:asciiTheme="majorHAnsi" w:hAnsiTheme="majorHAnsi" w:cstheme="minorHAnsi"/>
          <w:i/>
          <w:sz w:val="24"/>
          <w:szCs w:val="24"/>
        </w:rPr>
        <w:t>“</w:t>
      </w:r>
      <w:r w:rsidR="008B7210" w:rsidRPr="00CF1C41">
        <w:rPr>
          <w:rFonts w:asciiTheme="majorHAnsi" w:hAnsiTheme="majorHAnsi" w:cstheme="minorHAnsi"/>
          <w:i/>
          <w:sz w:val="24"/>
          <w:szCs w:val="24"/>
        </w:rPr>
        <w:t>Contingency planning: exploring rapid alternatives to face-to-face assessment</w:t>
      </w:r>
      <w:r w:rsidRPr="00CF1C41">
        <w:rPr>
          <w:rFonts w:asciiTheme="majorHAnsi" w:hAnsiTheme="majorHAnsi" w:cstheme="minorHAnsi"/>
          <w:i/>
          <w:sz w:val="24"/>
          <w:szCs w:val="24"/>
        </w:rPr>
        <w:t>”</w:t>
      </w:r>
      <w:r w:rsidR="008B7210" w:rsidRPr="00CF1C41">
        <w:rPr>
          <w:rFonts w:asciiTheme="majorHAnsi" w:hAnsiTheme="majorHAnsi" w:cstheme="minorHAnsi"/>
          <w:i/>
          <w:sz w:val="24"/>
          <w:szCs w:val="24"/>
        </w:rPr>
        <w:t>.</w:t>
      </w:r>
      <w:r w:rsidR="008B7210" w:rsidRPr="00CF1C41">
        <w:rPr>
          <w:rFonts w:asciiTheme="majorHAnsi" w:hAnsiTheme="majorHAnsi" w:cstheme="minorHAnsi"/>
          <w:sz w:val="24"/>
          <w:szCs w:val="24"/>
        </w:rPr>
        <w:t xml:space="preserve"> </w:t>
      </w:r>
      <w:r w:rsidRPr="00CF1C41">
        <w:rPr>
          <w:rFonts w:asciiTheme="majorHAnsi" w:hAnsiTheme="majorHAnsi" w:cstheme="minorHAnsi"/>
          <w:sz w:val="24"/>
          <w:szCs w:val="24"/>
        </w:rPr>
        <w:t>Accessed 14 April 2021.</w:t>
      </w:r>
      <w:r w:rsidR="008B7210" w:rsidRPr="00CF1C41">
        <w:rPr>
          <w:rFonts w:asciiTheme="majorHAnsi" w:hAnsiTheme="majorHAnsi" w:cstheme="minorHAnsi"/>
          <w:sz w:val="24"/>
          <w:szCs w:val="24"/>
        </w:rPr>
        <w:t xml:space="preserve"> </w:t>
      </w:r>
      <w:hyperlink r:id="rId10" w:history="1">
        <w:r w:rsidR="008B7210" w:rsidRPr="00CF1C41">
          <w:rPr>
            <w:rStyle w:val="Hyperlink"/>
            <w:rFonts w:asciiTheme="majorHAnsi" w:hAnsiTheme="majorHAnsi"/>
            <w:sz w:val="24"/>
            <w:szCs w:val="24"/>
          </w:rPr>
          <w:t>https://sally-brown.net/2020/03/13/assessment-alternatives-at-a-time-of-university-closures/</w:t>
        </w:r>
      </w:hyperlink>
    </w:p>
    <w:p w14:paraId="28FC189D" w14:textId="77777777" w:rsidR="008B7210" w:rsidRPr="00CF1C41" w:rsidRDefault="008B7210" w:rsidP="00DA5BC6">
      <w:pPr>
        <w:pStyle w:val="Normal1"/>
        <w:spacing w:before="240" w:after="240"/>
        <w:rPr>
          <w:rFonts w:asciiTheme="majorHAnsi" w:hAnsiTheme="majorHAnsi"/>
          <w:sz w:val="24"/>
          <w:szCs w:val="24"/>
        </w:rPr>
      </w:pPr>
    </w:p>
    <w:p w14:paraId="445624B8" w14:textId="7AF7FBA3" w:rsidR="00C304E2" w:rsidRPr="00CF1C41" w:rsidRDefault="00C304E2" w:rsidP="00C304E2">
      <w:pPr>
        <w:spacing w:before="100" w:beforeAutospacing="1" w:after="100" w:afterAutospacing="1" w:line="240" w:lineRule="auto"/>
        <w:rPr>
          <w:rFonts w:asciiTheme="majorHAnsi" w:hAnsiTheme="majorHAnsi"/>
          <w:sz w:val="24"/>
          <w:szCs w:val="24"/>
        </w:rPr>
      </w:pPr>
      <w:r w:rsidRPr="00CF1C41">
        <w:rPr>
          <w:rFonts w:asciiTheme="majorHAnsi" w:hAnsiTheme="majorHAnsi"/>
          <w:sz w:val="24"/>
          <w:szCs w:val="24"/>
        </w:rPr>
        <w:lastRenderedPageBreak/>
        <w:t>Bueno-de-la-Fuente Gema, Robertson R. John and Boon Stuart</w:t>
      </w:r>
      <w:r w:rsidR="009F48F8" w:rsidRPr="00CF1C41">
        <w:rPr>
          <w:rFonts w:asciiTheme="majorHAnsi" w:hAnsiTheme="majorHAnsi"/>
          <w:sz w:val="24"/>
          <w:szCs w:val="24"/>
        </w:rPr>
        <w:t>.</w:t>
      </w:r>
      <w:r w:rsidRPr="00CF1C41">
        <w:rPr>
          <w:rFonts w:asciiTheme="majorHAnsi" w:hAnsiTheme="majorHAnsi"/>
          <w:sz w:val="24"/>
          <w:szCs w:val="24"/>
        </w:rPr>
        <w:t xml:space="preserve"> 2012. “</w:t>
      </w:r>
      <w:r w:rsidRPr="00CF1C41">
        <w:rPr>
          <w:rFonts w:asciiTheme="majorHAnsi" w:hAnsiTheme="majorHAnsi"/>
          <w:i/>
          <w:sz w:val="24"/>
          <w:szCs w:val="24"/>
        </w:rPr>
        <w:t>The roles of libraries and information professionals in Open Educational Resources (OER) initiatives</w:t>
      </w:r>
      <w:r w:rsidRPr="00CF1C41">
        <w:rPr>
          <w:rFonts w:asciiTheme="majorHAnsi" w:hAnsiTheme="majorHAnsi"/>
          <w:sz w:val="24"/>
          <w:szCs w:val="24"/>
        </w:rPr>
        <w:t xml:space="preserve">.” JISC Cetis, Accessed 6 November 2020. </w:t>
      </w:r>
      <w:hyperlink r:id="rId11" w:history="1">
        <w:r w:rsidRPr="00CF1C41">
          <w:rPr>
            <w:rFonts w:asciiTheme="majorHAnsi" w:hAnsiTheme="majorHAnsi"/>
            <w:sz w:val="24"/>
            <w:szCs w:val="24"/>
          </w:rPr>
          <w:t>http://publications.cetis.org.uk/wp-content/uploads/2012/08/OER-Libraries-Survey-Report.pdf</w:t>
        </w:r>
      </w:hyperlink>
      <w:r w:rsidR="00373E62" w:rsidRPr="00CF1C41">
        <w:rPr>
          <w:rFonts w:asciiTheme="majorHAnsi" w:hAnsiTheme="majorHAnsi"/>
          <w:sz w:val="24"/>
          <w:szCs w:val="24"/>
        </w:rPr>
        <w:t>.</w:t>
      </w:r>
    </w:p>
    <w:p w14:paraId="2BB2D208" w14:textId="04A00F4E" w:rsidR="00185C2A" w:rsidRPr="00CF1C41" w:rsidRDefault="003A5AD7" w:rsidP="00DA5BC6">
      <w:pPr>
        <w:spacing w:line="240" w:lineRule="auto"/>
        <w:rPr>
          <w:rFonts w:asciiTheme="majorHAnsi" w:eastAsia="Times New Roman" w:hAnsiTheme="majorHAnsi" w:cs="Times New Roman"/>
          <w:sz w:val="24"/>
          <w:szCs w:val="24"/>
          <w:lang w:val="en-GB"/>
        </w:rPr>
      </w:pPr>
      <w:r w:rsidRPr="00CF1C41">
        <w:rPr>
          <w:rFonts w:asciiTheme="majorHAnsi" w:eastAsia="Times New Roman" w:hAnsiTheme="majorHAnsi"/>
          <w:sz w:val="24"/>
          <w:szCs w:val="24"/>
          <w:shd w:val="clear" w:color="auto" w:fill="FFFFFF"/>
          <w:lang w:val="en-GB"/>
        </w:rPr>
        <w:t xml:space="preserve">Clements Mike. 2011. </w:t>
      </w:r>
      <w:r w:rsidR="00691C36" w:rsidRPr="00CF1C41">
        <w:rPr>
          <w:rFonts w:asciiTheme="majorHAnsi" w:eastAsia="Times New Roman" w:hAnsiTheme="majorHAnsi"/>
          <w:sz w:val="24"/>
          <w:szCs w:val="24"/>
          <w:shd w:val="clear" w:color="auto" w:fill="FFFFFF"/>
          <w:lang w:val="en-GB"/>
        </w:rPr>
        <w:t>“</w:t>
      </w:r>
      <w:r w:rsidRPr="00CF1C41">
        <w:rPr>
          <w:rFonts w:asciiTheme="majorHAnsi" w:eastAsia="Times New Roman" w:hAnsiTheme="majorHAnsi"/>
          <w:sz w:val="24"/>
          <w:szCs w:val="24"/>
          <w:shd w:val="clear" w:color="auto" w:fill="FFFFFF"/>
          <w:lang w:val="en-GB"/>
        </w:rPr>
        <w:t xml:space="preserve">Embedding enterprise in the university curriculum: Can one solution fit </w:t>
      </w:r>
      <w:proofErr w:type="gramStart"/>
      <w:r w:rsidRPr="00CF1C41">
        <w:rPr>
          <w:rFonts w:asciiTheme="majorHAnsi" w:eastAsia="Times New Roman" w:hAnsiTheme="majorHAnsi"/>
          <w:sz w:val="24"/>
          <w:szCs w:val="24"/>
          <w:shd w:val="clear" w:color="auto" w:fill="FFFFFF"/>
          <w:lang w:val="en-GB"/>
        </w:rPr>
        <w:t>all?.</w:t>
      </w:r>
      <w:proofErr w:type="gramEnd"/>
      <w:r w:rsidR="00691C36" w:rsidRPr="00CF1C41">
        <w:rPr>
          <w:rFonts w:asciiTheme="majorHAnsi" w:eastAsia="Times New Roman" w:hAnsiTheme="majorHAnsi"/>
          <w:sz w:val="24"/>
          <w:szCs w:val="24"/>
          <w:shd w:val="clear" w:color="auto" w:fill="FFFFFF"/>
          <w:lang w:val="en-GB"/>
        </w:rPr>
        <w:t>”</w:t>
      </w:r>
      <w:r w:rsidRPr="00CF1C41">
        <w:rPr>
          <w:rFonts w:asciiTheme="majorHAnsi" w:eastAsia="Times New Roman" w:hAnsiTheme="majorHAnsi"/>
          <w:sz w:val="24"/>
          <w:szCs w:val="24"/>
          <w:shd w:val="clear" w:color="auto" w:fill="FFFFFF"/>
          <w:lang w:val="en-GB"/>
        </w:rPr>
        <w:t> </w:t>
      </w:r>
      <w:r w:rsidRPr="00CF1C41">
        <w:rPr>
          <w:rFonts w:asciiTheme="majorHAnsi" w:eastAsia="Times New Roman" w:hAnsiTheme="majorHAnsi"/>
          <w:i/>
          <w:iCs/>
          <w:sz w:val="24"/>
          <w:szCs w:val="24"/>
          <w:lang w:val="en-GB"/>
        </w:rPr>
        <w:t>Journal of Higher Education Theory and Practice</w:t>
      </w:r>
      <w:r w:rsidRPr="00CF1C41">
        <w:rPr>
          <w:rFonts w:asciiTheme="majorHAnsi" w:eastAsia="Times New Roman" w:hAnsiTheme="majorHAnsi"/>
          <w:sz w:val="24"/>
          <w:szCs w:val="24"/>
          <w:shd w:val="clear" w:color="auto" w:fill="FFFFFF"/>
          <w:lang w:val="en-GB"/>
        </w:rPr>
        <w:t> </w:t>
      </w:r>
      <w:r w:rsidRPr="00CF1C41">
        <w:rPr>
          <w:rFonts w:asciiTheme="majorHAnsi" w:eastAsia="Times New Roman" w:hAnsiTheme="majorHAnsi"/>
          <w:i/>
          <w:iCs/>
          <w:sz w:val="24"/>
          <w:szCs w:val="24"/>
          <w:lang w:val="en-GB"/>
        </w:rPr>
        <w:t>11</w:t>
      </w:r>
      <w:r w:rsidR="00691C36" w:rsidRPr="00CF1C41">
        <w:rPr>
          <w:rFonts w:asciiTheme="majorHAnsi" w:eastAsia="Times New Roman" w:hAnsiTheme="majorHAnsi"/>
          <w:sz w:val="24"/>
          <w:szCs w:val="24"/>
          <w:shd w:val="clear" w:color="auto" w:fill="FFFFFF"/>
          <w:lang w:val="en-GB"/>
        </w:rPr>
        <w:t>(3):</w:t>
      </w:r>
      <w:r w:rsidRPr="00CF1C41">
        <w:rPr>
          <w:rFonts w:asciiTheme="majorHAnsi" w:eastAsia="Times New Roman" w:hAnsiTheme="majorHAnsi"/>
          <w:sz w:val="24"/>
          <w:szCs w:val="24"/>
          <w:shd w:val="clear" w:color="auto" w:fill="FFFFFF"/>
          <w:lang w:val="en-GB"/>
        </w:rPr>
        <w:t xml:space="preserve"> 9-18.</w:t>
      </w:r>
    </w:p>
    <w:p w14:paraId="6F5623FB" w14:textId="77777777" w:rsidR="008568D3" w:rsidRPr="00CF1C41" w:rsidRDefault="008568D3" w:rsidP="008568D3">
      <w:pPr>
        <w:spacing w:line="240" w:lineRule="auto"/>
        <w:rPr>
          <w:rFonts w:asciiTheme="majorHAnsi" w:hAnsiTheme="majorHAnsi"/>
          <w:sz w:val="24"/>
          <w:szCs w:val="24"/>
        </w:rPr>
      </w:pPr>
    </w:p>
    <w:p w14:paraId="7B1E3EB3" w14:textId="167D9959" w:rsidR="008568D3" w:rsidRPr="00CF1C41" w:rsidRDefault="008568D3" w:rsidP="008568D3">
      <w:pPr>
        <w:spacing w:line="240" w:lineRule="auto"/>
        <w:rPr>
          <w:rFonts w:asciiTheme="majorHAnsi" w:hAnsiTheme="majorHAnsi"/>
          <w:sz w:val="24"/>
          <w:szCs w:val="24"/>
        </w:rPr>
      </w:pPr>
      <w:r w:rsidRPr="00CF1C41">
        <w:rPr>
          <w:rFonts w:asciiTheme="majorHAnsi" w:hAnsiTheme="majorHAnsi"/>
          <w:sz w:val="24"/>
          <w:szCs w:val="24"/>
        </w:rPr>
        <w:t>Coleman, Sarah K, and Caroline L. Smith. 2019. “Evaluating the benefits of virtual training for bioscience students.” </w:t>
      </w:r>
      <w:r w:rsidRPr="00CF1C41">
        <w:rPr>
          <w:rFonts w:asciiTheme="majorHAnsi" w:hAnsiTheme="majorHAnsi"/>
          <w:i/>
          <w:sz w:val="24"/>
          <w:szCs w:val="24"/>
        </w:rPr>
        <w:t>Higher Education Pedagogies</w:t>
      </w:r>
      <w:r w:rsidRPr="00CF1C41">
        <w:rPr>
          <w:rFonts w:asciiTheme="majorHAnsi" w:hAnsiTheme="majorHAnsi"/>
          <w:sz w:val="24"/>
          <w:szCs w:val="24"/>
        </w:rPr>
        <w:t xml:space="preserve"> 4(1): 287-299. https://doi.org</w:t>
      </w:r>
      <w:hyperlink r:id="rId12" w:history="1">
        <w:r w:rsidRPr="00CF1C41">
          <w:rPr>
            <w:rFonts w:asciiTheme="majorHAnsi" w:hAnsiTheme="majorHAnsi"/>
            <w:sz w:val="24"/>
            <w:szCs w:val="24"/>
          </w:rPr>
          <w:t>10.1080/23752696.2019.1599689</w:t>
        </w:r>
      </w:hyperlink>
      <w:r w:rsidR="00373E62" w:rsidRPr="00CF1C41">
        <w:rPr>
          <w:rFonts w:asciiTheme="majorHAnsi" w:hAnsiTheme="majorHAnsi"/>
          <w:sz w:val="24"/>
          <w:szCs w:val="24"/>
        </w:rPr>
        <w:t>.</w:t>
      </w:r>
    </w:p>
    <w:p w14:paraId="08FBAD30" w14:textId="770900C6" w:rsidR="009C21F0" w:rsidRPr="00CF1C41" w:rsidRDefault="00B862A4" w:rsidP="00644CB7">
      <w:pPr>
        <w:pStyle w:val="Normal1"/>
        <w:spacing w:before="240" w:after="240"/>
        <w:rPr>
          <w:rFonts w:asciiTheme="majorHAnsi" w:hAnsiTheme="majorHAnsi"/>
          <w:sz w:val="24"/>
          <w:szCs w:val="24"/>
          <w:u w:val="single"/>
        </w:rPr>
      </w:pPr>
      <w:r w:rsidRPr="00CF1C41">
        <w:rPr>
          <w:rFonts w:asciiTheme="majorHAnsi" w:hAnsiTheme="majorHAnsi"/>
          <w:sz w:val="24"/>
          <w:szCs w:val="24"/>
        </w:rPr>
        <w:t>Coward, Kevin, and Joseph V Gray. 2014. “</w:t>
      </w:r>
      <w:r w:rsidRPr="00CF1C41">
        <w:rPr>
          <w:rFonts w:asciiTheme="majorHAnsi" w:hAnsiTheme="majorHAnsi"/>
          <w:i/>
          <w:sz w:val="24"/>
          <w:szCs w:val="24"/>
        </w:rPr>
        <w:t>Audit of Practical Work Undertaken by Undergraduate Bioscience Students across the UK Higher Education Sector</w:t>
      </w:r>
      <w:r w:rsidRPr="00CF1C41">
        <w:rPr>
          <w:rFonts w:asciiTheme="majorHAnsi" w:hAnsiTheme="majorHAnsi"/>
          <w:sz w:val="24"/>
          <w:szCs w:val="24"/>
        </w:rPr>
        <w:t>.”</w:t>
      </w:r>
      <w:r w:rsidR="00BD38CF" w:rsidRPr="00CF1C41">
        <w:rPr>
          <w:rFonts w:asciiTheme="majorHAnsi" w:hAnsiTheme="majorHAnsi"/>
          <w:sz w:val="24"/>
          <w:szCs w:val="24"/>
        </w:rPr>
        <w:t xml:space="preserve"> Royal Society of Biology, Accessed 6 November 2020. </w:t>
      </w:r>
      <w:hyperlink r:id="rId13" w:history="1">
        <w:r w:rsidR="00BD38CF" w:rsidRPr="00CF1C41">
          <w:rPr>
            <w:rStyle w:val="Hyperlink"/>
            <w:rFonts w:asciiTheme="majorHAnsi" w:hAnsiTheme="majorHAnsi"/>
            <w:color w:val="auto"/>
            <w:sz w:val="24"/>
            <w:szCs w:val="24"/>
          </w:rPr>
          <w:t>https://www.rsb.org.uk/images/SB/UG-Practical-Work-Report-Web.pdf</w:t>
        </w:r>
      </w:hyperlink>
      <w:r w:rsidR="00373E62" w:rsidRPr="00CF1C41">
        <w:rPr>
          <w:rStyle w:val="Hyperlink"/>
          <w:rFonts w:asciiTheme="majorHAnsi" w:hAnsiTheme="majorHAnsi"/>
          <w:color w:val="auto"/>
          <w:sz w:val="24"/>
          <w:szCs w:val="24"/>
        </w:rPr>
        <w:t>.</w:t>
      </w:r>
    </w:p>
    <w:p w14:paraId="567875F4" w14:textId="37EC256A" w:rsidR="009C21F0" w:rsidRPr="00CF1C41" w:rsidRDefault="00644CB7" w:rsidP="00644CB7">
      <w:pPr>
        <w:spacing w:line="240" w:lineRule="auto"/>
        <w:rPr>
          <w:rFonts w:asciiTheme="majorHAnsi" w:eastAsia="Times New Roman" w:hAnsiTheme="majorHAnsi" w:cs="Times New Roman"/>
          <w:sz w:val="24"/>
          <w:szCs w:val="24"/>
          <w:lang w:val="en-GB"/>
        </w:rPr>
      </w:pPr>
      <w:r w:rsidRPr="00CF1C41">
        <w:rPr>
          <w:rFonts w:asciiTheme="majorHAnsi" w:eastAsia="Times New Roman" w:hAnsiTheme="majorHAnsi" w:cs="Times New Roman"/>
          <w:color w:val="333333"/>
          <w:sz w:val="24"/>
          <w:szCs w:val="24"/>
          <w:lang w:val="en-GB"/>
        </w:rPr>
        <w:t xml:space="preserve">Croker, Karen, </w:t>
      </w:r>
      <w:r w:rsidR="009C21F0" w:rsidRPr="00CF1C41">
        <w:rPr>
          <w:rFonts w:asciiTheme="majorHAnsi" w:eastAsia="Times New Roman" w:hAnsiTheme="majorHAnsi" w:cs="Times New Roman"/>
          <w:color w:val="333333"/>
          <w:sz w:val="24"/>
          <w:szCs w:val="24"/>
          <w:lang w:val="en-GB"/>
        </w:rPr>
        <w:t>Holger And</w:t>
      </w:r>
      <w:r w:rsidRPr="00CF1C41">
        <w:rPr>
          <w:rFonts w:asciiTheme="majorHAnsi" w:eastAsia="Times New Roman" w:hAnsiTheme="majorHAnsi" w:cs="Times New Roman"/>
          <w:color w:val="333333"/>
          <w:sz w:val="24"/>
          <w:szCs w:val="24"/>
          <w:lang w:val="en-GB"/>
        </w:rPr>
        <w:t>ersson, David Lush, Rob Prince and</w:t>
      </w:r>
      <w:r w:rsidR="009C21F0" w:rsidRPr="00CF1C41">
        <w:rPr>
          <w:rFonts w:asciiTheme="majorHAnsi" w:eastAsia="Times New Roman" w:hAnsiTheme="majorHAnsi" w:cs="Times New Roman"/>
          <w:color w:val="333333"/>
          <w:sz w:val="24"/>
          <w:szCs w:val="24"/>
          <w:lang w:val="en-GB"/>
        </w:rPr>
        <w:t xml:space="preserve"> Stephen Gomez</w:t>
      </w:r>
      <w:r w:rsidRPr="00CF1C41">
        <w:rPr>
          <w:rFonts w:asciiTheme="majorHAnsi" w:eastAsia="Times New Roman" w:hAnsiTheme="majorHAnsi" w:cs="Times New Roman"/>
          <w:color w:val="333333"/>
          <w:sz w:val="24"/>
          <w:szCs w:val="24"/>
          <w:shd w:val="clear" w:color="auto" w:fill="FFFFFF"/>
          <w:lang w:val="en-GB"/>
        </w:rPr>
        <w:t xml:space="preserve">. </w:t>
      </w:r>
      <w:r w:rsidR="009C21F0" w:rsidRPr="00CF1C41">
        <w:rPr>
          <w:rFonts w:asciiTheme="majorHAnsi" w:eastAsia="Times New Roman" w:hAnsiTheme="majorHAnsi" w:cs="Times New Roman"/>
          <w:color w:val="333333"/>
          <w:sz w:val="24"/>
          <w:szCs w:val="24"/>
          <w:lang w:val="en-GB"/>
        </w:rPr>
        <w:t>2010</w:t>
      </w:r>
      <w:r w:rsidRPr="00CF1C41">
        <w:rPr>
          <w:rFonts w:asciiTheme="majorHAnsi" w:eastAsia="Times New Roman" w:hAnsiTheme="majorHAnsi" w:cs="Times New Roman"/>
          <w:color w:val="333333"/>
          <w:sz w:val="24"/>
          <w:szCs w:val="24"/>
          <w:lang w:val="en-GB"/>
        </w:rPr>
        <w:t>.</w:t>
      </w:r>
      <w:r w:rsidR="009C21F0" w:rsidRPr="00CF1C41">
        <w:rPr>
          <w:rFonts w:asciiTheme="majorHAnsi" w:eastAsia="Times New Roman" w:hAnsiTheme="majorHAnsi" w:cs="Times New Roman"/>
          <w:color w:val="333333"/>
          <w:sz w:val="24"/>
          <w:szCs w:val="24"/>
          <w:shd w:val="clear" w:color="auto" w:fill="FFFFFF"/>
          <w:lang w:val="en-GB"/>
        </w:rPr>
        <w:t> </w:t>
      </w:r>
      <w:r w:rsidRPr="00CF1C41">
        <w:rPr>
          <w:rFonts w:asciiTheme="majorHAnsi" w:eastAsia="Times New Roman" w:hAnsiTheme="majorHAnsi" w:cs="Times New Roman"/>
          <w:color w:val="333333"/>
          <w:sz w:val="24"/>
          <w:szCs w:val="24"/>
          <w:shd w:val="clear" w:color="auto" w:fill="FFFFFF"/>
          <w:lang w:val="en-GB"/>
        </w:rPr>
        <w:t>“</w:t>
      </w:r>
      <w:r w:rsidR="009C21F0" w:rsidRPr="00CF1C41">
        <w:rPr>
          <w:rFonts w:asciiTheme="majorHAnsi" w:eastAsia="Times New Roman" w:hAnsiTheme="majorHAnsi" w:cs="Times New Roman"/>
          <w:color w:val="333333"/>
          <w:sz w:val="24"/>
          <w:szCs w:val="24"/>
          <w:lang w:val="en-GB"/>
        </w:rPr>
        <w:t>Enhancing the student experience of laboratory practicals through digital video guides</w:t>
      </w:r>
      <w:r w:rsidRPr="00CF1C41">
        <w:rPr>
          <w:rFonts w:asciiTheme="majorHAnsi" w:eastAsia="Times New Roman" w:hAnsiTheme="majorHAnsi" w:cs="Times New Roman"/>
          <w:color w:val="333333"/>
          <w:sz w:val="24"/>
          <w:szCs w:val="24"/>
          <w:lang w:val="en-GB"/>
        </w:rPr>
        <w:t>.”</w:t>
      </w:r>
      <w:r w:rsidR="009C21F0" w:rsidRPr="00CF1C41">
        <w:rPr>
          <w:rFonts w:asciiTheme="majorHAnsi" w:eastAsia="Times New Roman" w:hAnsiTheme="majorHAnsi" w:cs="Times New Roman"/>
          <w:color w:val="333333"/>
          <w:sz w:val="24"/>
          <w:szCs w:val="24"/>
          <w:lang w:val="en-GB"/>
        </w:rPr>
        <w:t>,</w:t>
      </w:r>
      <w:r w:rsidR="009C21F0" w:rsidRPr="00CF1C41">
        <w:rPr>
          <w:rFonts w:asciiTheme="majorHAnsi" w:eastAsia="Times New Roman" w:hAnsiTheme="majorHAnsi" w:cs="Times New Roman"/>
          <w:color w:val="333333"/>
          <w:sz w:val="24"/>
          <w:szCs w:val="24"/>
          <w:shd w:val="clear" w:color="auto" w:fill="FFFFFF"/>
          <w:lang w:val="en-GB"/>
        </w:rPr>
        <w:t> </w:t>
      </w:r>
      <w:r w:rsidR="009C21F0" w:rsidRPr="00CF1C41">
        <w:rPr>
          <w:rFonts w:asciiTheme="majorHAnsi" w:eastAsia="Times New Roman" w:hAnsiTheme="majorHAnsi" w:cs="Times New Roman"/>
          <w:i/>
          <w:color w:val="333333"/>
          <w:sz w:val="24"/>
          <w:szCs w:val="24"/>
          <w:lang w:val="en-GB"/>
        </w:rPr>
        <w:t>Bioscience Education</w:t>
      </w:r>
      <w:r w:rsidR="009C21F0" w:rsidRPr="00CF1C41">
        <w:rPr>
          <w:rFonts w:asciiTheme="majorHAnsi" w:eastAsia="Times New Roman" w:hAnsiTheme="majorHAnsi" w:cs="Times New Roman"/>
          <w:color w:val="333333"/>
          <w:sz w:val="24"/>
          <w:szCs w:val="24"/>
          <w:lang w:val="en-GB"/>
        </w:rPr>
        <w:t>,</w:t>
      </w:r>
      <w:r w:rsidR="009C21F0" w:rsidRPr="00CF1C41">
        <w:rPr>
          <w:rFonts w:asciiTheme="majorHAnsi" w:eastAsia="Times New Roman" w:hAnsiTheme="majorHAnsi" w:cs="Times New Roman"/>
          <w:color w:val="333333"/>
          <w:sz w:val="24"/>
          <w:szCs w:val="24"/>
          <w:shd w:val="clear" w:color="auto" w:fill="FFFFFF"/>
          <w:lang w:val="en-GB"/>
        </w:rPr>
        <w:t> </w:t>
      </w:r>
      <w:r w:rsidR="009C21F0" w:rsidRPr="00CF1C41">
        <w:rPr>
          <w:rFonts w:asciiTheme="majorHAnsi" w:eastAsia="Times New Roman" w:hAnsiTheme="majorHAnsi" w:cs="Times New Roman"/>
          <w:color w:val="333333"/>
          <w:sz w:val="24"/>
          <w:szCs w:val="24"/>
          <w:lang w:val="en-GB"/>
        </w:rPr>
        <w:t>16</w:t>
      </w:r>
      <w:r w:rsidRPr="00CF1C41">
        <w:rPr>
          <w:rFonts w:asciiTheme="majorHAnsi" w:eastAsia="Times New Roman" w:hAnsiTheme="majorHAnsi" w:cs="Times New Roman"/>
          <w:color w:val="333333"/>
          <w:sz w:val="24"/>
          <w:szCs w:val="24"/>
          <w:lang w:val="en-GB"/>
        </w:rPr>
        <w:t>(1)</w:t>
      </w:r>
      <w:r w:rsidR="00CF1C41" w:rsidRPr="00CF1C41">
        <w:rPr>
          <w:rFonts w:asciiTheme="majorHAnsi" w:eastAsia="Times New Roman" w:hAnsiTheme="majorHAnsi" w:cs="Times New Roman"/>
          <w:color w:val="333333"/>
          <w:sz w:val="24"/>
          <w:szCs w:val="24"/>
          <w:lang w:val="en-GB"/>
        </w:rPr>
        <w:t>:</w:t>
      </w:r>
      <w:r w:rsidR="009C21F0" w:rsidRPr="00CF1C41">
        <w:rPr>
          <w:rFonts w:asciiTheme="majorHAnsi" w:eastAsia="Times New Roman" w:hAnsiTheme="majorHAnsi" w:cs="Times New Roman"/>
          <w:color w:val="333333"/>
          <w:sz w:val="24"/>
          <w:szCs w:val="24"/>
          <w:shd w:val="clear" w:color="auto" w:fill="FFFFFF"/>
          <w:lang w:val="en-GB"/>
        </w:rPr>
        <w:t> </w:t>
      </w:r>
      <w:r w:rsidR="009C21F0" w:rsidRPr="00CF1C41">
        <w:rPr>
          <w:rFonts w:asciiTheme="majorHAnsi" w:eastAsia="Times New Roman" w:hAnsiTheme="majorHAnsi" w:cs="Times New Roman"/>
          <w:color w:val="333333"/>
          <w:sz w:val="24"/>
          <w:szCs w:val="24"/>
          <w:lang w:val="en-GB"/>
        </w:rPr>
        <w:t>1-13</w:t>
      </w:r>
      <w:r w:rsidR="00CF1C41" w:rsidRPr="00CF1C41">
        <w:rPr>
          <w:rFonts w:asciiTheme="majorHAnsi" w:eastAsia="Times New Roman" w:hAnsiTheme="majorHAnsi" w:cs="Times New Roman"/>
          <w:color w:val="333333"/>
          <w:sz w:val="24"/>
          <w:szCs w:val="24"/>
          <w:lang w:val="en-GB"/>
        </w:rPr>
        <w:t>. https://doi.org</w:t>
      </w:r>
      <w:hyperlink r:id="rId14" w:history="1">
        <w:r w:rsidR="009C21F0" w:rsidRPr="00CF1C41">
          <w:rPr>
            <w:rFonts w:asciiTheme="majorHAnsi" w:eastAsia="Times New Roman" w:hAnsiTheme="majorHAnsi" w:cs="Times New Roman"/>
            <w:color w:val="333333"/>
            <w:sz w:val="24"/>
            <w:szCs w:val="24"/>
            <w:u w:val="single"/>
            <w:lang w:val="en-GB"/>
          </w:rPr>
          <w:t>10.3108/beej.16.2</w:t>
        </w:r>
      </w:hyperlink>
      <w:r w:rsidR="00CF1C41" w:rsidRPr="00CF1C41">
        <w:rPr>
          <w:rFonts w:asciiTheme="majorHAnsi" w:eastAsia="Times New Roman" w:hAnsiTheme="majorHAnsi" w:cs="Times New Roman"/>
          <w:color w:val="333333"/>
          <w:sz w:val="24"/>
          <w:szCs w:val="24"/>
          <w:lang w:val="en-GB"/>
        </w:rPr>
        <w:t>.</w:t>
      </w:r>
    </w:p>
    <w:p w14:paraId="000000B8" w14:textId="5C83261C" w:rsidR="00F135CF" w:rsidRPr="00CF1C41" w:rsidRDefault="00B862A4" w:rsidP="009F706A">
      <w:pPr>
        <w:pStyle w:val="Normal1"/>
        <w:spacing w:before="240" w:after="240"/>
        <w:rPr>
          <w:rFonts w:asciiTheme="majorHAnsi" w:hAnsiTheme="majorHAnsi"/>
          <w:sz w:val="24"/>
          <w:szCs w:val="24"/>
        </w:rPr>
      </w:pPr>
      <w:r w:rsidRPr="00CF1C41">
        <w:rPr>
          <w:rFonts w:asciiTheme="majorHAnsi" w:hAnsiTheme="majorHAnsi"/>
          <w:sz w:val="24"/>
          <w:szCs w:val="24"/>
        </w:rPr>
        <w:t xml:space="preserve">Derounian, James. 2007. </w:t>
      </w:r>
      <w:r w:rsidRPr="00CF1C41">
        <w:rPr>
          <w:rFonts w:asciiTheme="majorHAnsi" w:hAnsiTheme="majorHAnsi"/>
          <w:i/>
          <w:sz w:val="24"/>
          <w:szCs w:val="24"/>
        </w:rPr>
        <w:t>“Graduate Contribution to Teaching and Learning: A Case Study in Sustainable Process and Content.”</w:t>
      </w:r>
      <w:r w:rsidRPr="00CF1C41">
        <w:rPr>
          <w:rFonts w:asciiTheme="majorHAnsi" w:hAnsiTheme="majorHAnsi"/>
          <w:sz w:val="24"/>
          <w:szCs w:val="24"/>
        </w:rPr>
        <w:t xml:space="preserve"> Greener by Degrees: Exploring Sustainability through Higher Education Curricula. </w:t>
      </w:r>
      <w:r w:rsidR="004E1804" w:rsidRPr="00CF1C41">
        <w:rPr>
          <w:rFonts w:asciiTheme="majorHAnsi" w:hAnsiTheme="majorHAnsi"/>
          <w:sz w:val="24"/>
          <w:szCs w:val="24"/>
        </w:rPr>
        <w:t xml:space="preserve">Gloucester University, Accessed 6 November 2020. </w:t>
      </w:r>
      <w:hyperlink r:id="rId15" w:history="1">
        <w:r w:rsidR="009F706A" w:rsidRPr="00CF1C41">
          <w:rPr>
            <w:rStyle w:val="Hyperlink"/>
            <w:rFonts w:asciiTheme="majorHAnsi" w:hAnsiTheme="majorHAnsi"/>
            <w:color w:val="auto"/>
            <w:sz w:val="24"/>
            <w:szCs w:val="24"/>
          </w:rPr>
          <w:t>https://www.academia.edu/309247/Graduate_Contribution_to_Teaching_and_Learning_A_Case_Study_In_Sustainable_Process_and_Content</w:t>
        </w:r>
      </w:hyperlink>
      <w:r w:rsidR="00373E62" w:rsidRPr="00CF1C41">
        <w:rPr>
          <w:rStyle w:val="Hyperlink"/>
          <w:rFonts w:asciiTheme="majorHAnsi" w:hAnsiTheme="majorHAnsi"/>
          <w:color w:val="auto"/>
          <w:sz w:val="24"/>
          <w:szCs w:val="24"/>
        </w:rPr>
        <w:t>.</w:t>
      </w:r>
    </w:p>
    <w:p w14:paraId="38241F83" w14:textId="3AF7B3DE" w:rsidR="009F706A" w:rsidRPr="00CF1C41" w:rsidRDefault="009F706A" w:rsidP="00DA5BC6">
      <w:pPr>
        <w:spacing w:before="100" w:beforeAutospacing="1" w:after="100" w:afterAutospacing="1" w:line="240" w:lineRule="auto"/>
        <w:rPr>
          <w:rFonts w:asciiTheme="majorHAnsi" w:hAnsiTheme="majorHAnsi" w:cs="Times New Roman"/>
          <w:sz w:val="24"/>
          <w:szCs w:val="24"/>
          <w:lang w:val="en-GB"/>
        </w:rPr>
      </w:pPr>
      <w:r w:rsidRPr="00CF1C41">
        <w:rPr>
          <w:rFonts w:asciiTheme="majorHAnsi" w:hAnsiTheme="majorHAnsi" w:cs="Times New Roman"/>
          <w:sz w:val="24"/>
          <w:szCs w:val="24"/>
          <w:lang w:val="en-GB"/>
        </w:rPr>
        <w:t xml:space="preserve">Dorling, Danny. 2013. “Are today’s second-year students the unluckiest cohort ever?” </w:t>
      </w:r>
      <w:r w:rsidRPr="00CF1C41">
        <w:rPr>
          <w:rFonts w:asciiTheme="majorHAnsi" w:hAnsiTheme="majorHAnsi" w:cs="Times New Roman"/>
          <w:i/>
          <w:iCs/>
          <w:sz w:val="24"/>
          <w:szCs w:val="24"/>
          <w:lang w:val="en-GB"/>
        </w:rPr>
        <w:t>The Guardian</w:t>
      </w:r>
      <w:r w:rsidRPr="00CF1C41">
        <w:rPr>
          <w:rFonts w:asciiTheme="majorHAnsi" w:hAnsiTheme="majorHAnsi" w:cs="Times New Roman"/>
          <w:sz w:val="24"/>
          <w:szCs w:val="24"/>
          <w:lang w:val="en-GB"/>
        </w:rPr>
        <w:t xml:space="preserve">, October 28. Accessed 13 April </w:t>
      </w:r>
      <w:r w:rsidR="00825643" w:rsidRPr="00CF1C41">
        <w:rPr>
          <w:rFonts w:asciiTheme="majorHAnsi" w:hAnsiTheme="majorHAnsi" w:cs="Times New Roman"/>
          <w:sz w:val="24"/>
          <w:szCs w:val="24"/>
          <w:lang w:val="en-GB"/>
        </w:rPr>
        <w:t>2021</w:t>
      </w:r>
      <w:r w:rsidRPr="00CF1C41">
        <w:rPr>
          <w:rFonts w:asciiTheme="majorHAnsi" w:hAnsiTheme="majorHAnsi" w:cs="Times New Roman"/>
          <w:sz w:val="24"/>
          <w:szCs w:val="24"/>
          <w:lang w:val="en-GB"/>
        </w:rPr>
        <w:t>. http://www.theguardian.com/education/2013/oct/28/danny- dorling-letter-to-</w:t>
      </w:r>
      <w:proofErr w:type="gramStart"/>
      <w:r w:rsidRPr="00CF1C41">
        <w:rPr>
          <w:rFonts w:asciiTheme="majorHAnsi" w:hAnsiTheme="majorHAnsi" w:cs="Times New Roman"/>
          <w:sz w:val="24"/>
          <w:szCs w:val="24"/>
          <w:lang w:val="en-GB"/>
        </w:rPr>
        <w:t xml:space="preserve">students </w:t>
      </w:r>
      <w:r w:rsidR="00373E62" w:rsidRPr="00CF1C41">
        <w:rPr>
          <w:rFonts w:asciiTheme="majorHAnsi" w:hAnsiTheme="majorHAnsi" w:cs="Times New Roman"/>
          <w:sz w:val="24"/>
          <w:szCs w:val="24"/>
          <w:lang w:val="en-GB"/>
        </w:rPr>
        <w:t>.</w:t>
      </w:r>
      <w:proofErr w:type="gramEnd"/>
    </w:p>
    <w:p w14:paraId="000000B9" w14:textId="681C9435" w:rsidR="00F135CF" w:rsidRPr="00CF1C41" w:rsidRDefault="00B862A4" w:rsidP="009F706A">
      <w:pPr>
        <w:pStyle w:val="Normal1"/>
        <w:spacing w:before="240" w:after="240"/>
        <w:rPr>
          <w:rFonts w:asciiTheme="majorHAnsi" w:hAnsiTheme="majorHAnsi"/>
          <w:sz w:val="24"/>
          <w:szCs w:val="24"/>
        </w:rPr>
      </w:pPr>
      <w:r w:rsidRPr="00CF1C41">
        <w:rPr>
          <w:rFonts w:asciiTheme="majorHAnsi" w:hAnsiTheme="majorHAnsi"/>
          <w:sz w:val="24"/>
          <w:szCs w:val="24"/>
        </w:rPr>
        <w:t xml:space="preserve">Dyrberg, Nadia Rahbek, </w:t>
      </w:r>
      <w:r w:rsidR="003537BE" w:rsidRPr="00CF1C41">
        <w:rPr>
          <w:rFonts w:asciiTheme="majorHAnsi" w:hAnsiTheme="majorHAnsi"/>
          <w:sz w:val="24"/>
          <w:szCs w:val="24"/>
        </w:rPr>
        <w:t>Alexander H Treusch, Claudia</w:t>
      </w:r>
      <w:r w:rsidRPr="00CF1C41">
        <w:rPr>
          <w:rFonts w:asciiTheme="majorHAnsi" w:hAnsiTheme="majorHAnsi"/>
          <w:sz w:val="24"/>
          <w:szCs w:val="24"/>
        </w:rPr>
        <w:t xml:space="preserve"> </w:t>
      </w:r>
      <w:r w:rsidR="003537BE" w:rsidRPr="00CF1C41">
        <w:rPr>
          <w:rFonts w:asciiTheme="majorHAnsi" w:hAnsiTheme="majorHAnsi"/>
          <w:sz w:val="24"/>
          <w:szCs w:val="24"/>
        </w:rPr>
        <w:t>Wiegand</w:t>
      </w:r>
      <w:r w:rsidRPr="00CF1C41">
        <w:rPr>
          <w:rFonts w:asciiTheme="majorHAnsi" w:hAnsiTheme="majorHAnsi"/>
          <w:sz w:val="24"/>
          <w:szCs w:val="24"/>
        </w:rPr>
        <w:t xml:space="preserve">. 2017. “Virtual Laboratories in Science Education: Students’ Motivation and Experiences in Two Tertiary Biology Course.” </w:t>
      </w:r>
      <w:r w:rsidRPr="00CF1C41">
        <w:rPr>
          <w:rFonts w:asciiTheme="majorHAnsi" w:hAnsiTheme="majorHAnsi"/>
          <w:i/>
          <w:sz w:val="24"/>
          <w:szCs w:val="24"/>
        </w:rPr>
        <w:t>Journal of Biological Education</w:t>
      </w:r>
      <w:r w:rsidRPr="00CF1C41">
        <w:rPr>
          <w:rFonts w:asciiTheme="majorHAnsi" w:hAnsiTheme="majorHAnsi"/>
          <w:sz w:val="24"/>
          <w:szCs w:val="24"/>
        </w:rPr>
        <w:t xml:space="preserve"> 51 (4): 358–74. </w:t>
      </w:r>
      <w:hyperlink r:id="rId16" w:history="1">
        <w:r w:rsidR="00210C24" w:rsidRPr="00CF1C41">
          <w:rPr>
            <w:rStyle w:val="Hyperlink"/>
            <w:rFonts w:asciiTheme="majorHAnsi" w:hAnsiTheme="majorHAnsi"/>
            <w:sz w:val="24"/>
            <w:szCs w:val="24"/>
          </w:rPr>
          <w:t>https://doi.org/10.1080/00219266.2016.1257498</w:t>
        </w:r>
      </w:hyperlink>
      <w:r w:rsidR="00373E62" w:rsidRPr="00CF1C41">
        <w:rPr>
          <w:rFonts w:asciiTheme="majorHAnsi" w:hAnsiTheme="majorHAnsi"/>
          <w:sz w:val="24"/>
          <w:szCs w:val="24"/>
        </w:rPr>
        <w:t>.</w:t>
      </w:r>
    </w:p>
    <w:p w14:paraId="6A56843B" w14:textId="144A842D" w:rsidR="00644CB7" w:rsidRPr="00CF1C41" w:rsidRDefault="00644CB7" w:rsidP="00644CB7">
      <w:pPr>
        <w:rPr>
          <w:rFonts w:asciiTheme="majorHAnsi" w:eastAsia="Times New Roman" w:hAnsiTheme="majorHAnsi" w:cs="Times New Roman"/>
          <w:sz w:val="24"/>
          <w:szCs w:val="24"/>
          <w:lang w:val="en-GB"/>
        </w:rPr>
      </w:pPr>
      <w:r w:rsidRPr="00CF1C41">
        <w:rPr>
          <w:rFonts w:asciiTheme="majorHAnsi" w:hAnsiTheme="majorHAnsi"/>
          <w:sz w:val="24"/>
          <w:szCs w:val="24"/>
        </w:rPr>
        <w:t>Elmer, Steven J, and John J. Durocher. 2020. “</w:t>
      </w:r>
      <w:hyperlink r:id="rId17" w:history="1">
        <w:r w:rsidRPr="00CF1C41">
          <w:rPr>
            <w:rFonts w:asciiTheme="majorHAnsi" w:eastAsia="Times New Roman" w:hAnsiTheme="majorHAnsi" w:cs="Times New Roman"/>
            <w:color w:val="0000FF"/>
            <w:sz w:val="24"/>
            <w:szCs w:val="24"/>
            <w:lang w:val="en-GB"/>
          </w:rPr>
          <w:t>Moving student research forward during the COVID-19 pandemic</w:t>
        </w:r>
      </w:hyperlink>
      <w:r w:rsidRPr="00CF1C41">
        <w:rPr>
          <w:rFonts w:asciiTheme="majorHAnsi" w:eastAsia="Times New Roman" w:hAnsiTheme="majorHAnsi" w:cs="Times New Roman"/>
          <w:color w:val="1F1F1F"/>
          <w:sz w:val="24"/>
          <w:szCs w:val="24"/>
          <w:lang w:val="en-GB"/>
        </w:rPr>
        <w:t xml:space="preserve">”. </w:t>
      </w:r>
      <w:r w:rsidRPr="00CF1C41">
        <w:rPr>
          <w:rFonts w:asciiTheme="majorHAnsi" w:eastAsia="Times New Roman" w:hAnsiTheme="majorHAnsi" w:cs="Times New Roman"/>
          <w:i/>
          <w:color w:val="1F1F1F"/>
          <w:sz w:val="24"/>
          <w:szCs w:val="24"/>
          <w:lang w:val="en-GB"/>
        </w:rPr>
        <w:t>Advances in Physiology Education</w:t>
      </w:r>
      <w:r w:rsidRPr="00CF1C41">
        <w:rPr>
          <w:rFonts w:asciiTheme="majorHAnsi" w:eastAsia="Times New Roman" w:hAnsiTheme="majorHAnsi" w:cs="Times New Roman"/>
          <w:i/>
          <w:color w:val="1F1F1F"/>
          <w:sz w:val="24"/>
          <w:szCs w:val="24"/>
          <w:shd w:val="clear" w:color="auto" w:fill="FFFFFF"/>
          <w:lang w:val="en-GB"/>
        </w:rPr>
        <w:t> </w:t>
      </w:r>
      <w:r w:rsidRPr="00CF1C41">
        <w:rPr>
          <w:rFonts w:asciiTheme="majorHAnsi" w:eastAsia="Times New Roman" w:hAnsiTheme="majorHAnsi" w:cs="Times New Roman"/>
          <w:color w:val="1F1F1F"/>
          <w:sz w:val="24"/>
          <w:szCs w:val="24"/>
          <w:lang w:val="en-GB"/>
        </w:rPr>
        <w:t>44(4)</w:t>
      </w:r>
      <w:r w:rsidR="00CF1C41" w:rsidRPr="00CF1C41">
        <w:rPr>
          <w:rFonts w:asciiTheme="majorHAnsi" w:eastAsia="Times New Roman" w:hAnsiTheme="majorHAnsi" w:cs="Times New Roman"/>
          <w:color w:val="1F1F1F"/>
          <w:sz w:val="24"/>
          <w:szCs w:val="24"/>
          <w:shd w:val="clear" w:color="auto" w:fill="FFFFFF"/>
          <w:lang w:val="en-GB"/>
        </w:rPr>
        <w:t>:</w:t>
      </w:r>
      <w:r w:rsidRPr="00CF1C41">
        <w:rPr>
          <w:rFonts w:asciiTheme="majorHAnsi" w:eastAsia="Times New Roman" w:hAnsiTheme="majorHAnsi" w:cs="Times New Roman"/>
          <w:color w:val="1F1F1F"/>
          <w:sz w:val="24"/>
          <w:szCs w:val="24"/>
          <w:shd w:val="clear" w:color="auto" w:fill="FFFFFF"/>
          <w:lang w:val="en-GB"/>
        </w:rPr>
        <w:t> </w:t>
      </w:r>
      <w:r w:rsidRPr="00CF1C41">
        <w:rPr>
          <w:rFonts w:asciiTheme="majorHAnsi" w:eastAsia="Times New Roman" w:hAnsiTheme="majorHAnsi" w:cs="Times New Roman"/>
          <w:color w:val="1F1F1F"/>
          <w:sz w:val="24"/>
          <w:szCs w:val="24"/>
          <w:lang w:val="en-GB"/>
        </w:rPr>
        <w:t xml:space="preserve">741-743. </w:t>
      </w:r>
      <w:hyperlink r:id="rId18" w:history="1">
        <w:r w:rsidRPr="00CF1C41">
          <w:rPr>
            <w:rFonts w:asciiTheme="majorHAnsi" w:eastAsia="Times New Roman" w:hAnsiTheme="majorHAnsi" w:cs="Times New Roman"/>
            <w:color w:val="0000FF"/>
            <w:sz w:val="24"/>
            <w:szCs w:val="24"/>
            <w:lang w:val="en-GB"/>
          </w:rPr>
          <w:t>https://doi.org/10.1152/advan.00153.2020</w:t>
        </w:r>
      </w:hyperlink>
      <w:r w:rsidRPr="00CF1C41">
        <w:rPr>
          <w:rFonts w:asciiTheme="majorHAnsi" w:eastAsia="Times New Roman" w:hAnsiTheme="majorHAnsi" w:cs="Times New Roman"/>
          <w:sz w:val="24"/>
          <w:szCs w:val="24"/>
          <w:lang w:val="en-GB"/>
        </w:rPr>
        <w:br/>
      </w:r>
    </w:p>
    <w:p w14:paraId="2B6E990F" w14:textId="642BF082" w:rsidR="00210C24" w:rsidRPr="00CF1C41" w:rsidRDefault="00210C24" w:rsidP="00210C24">
      <w:pPr>
        <w:rPr>
          <w:rFonts w:asciiTheme="majorHAnsi" w:hAnsiTheme="majorHAnsi"/>
          <w:sz w:val="24"/>
          <w:szCs w:val="24"/>
        </w:rPr>
      </w:pPr>
      <w:r w:rsidRPr="00CF1C41">
        <w:rPr>
          <w:rFonts w:asciiTheme="majorHAnsi" w:hAnsiTheme="majorHAnsi"/>
          <w:sz w:val="24"/>
          <w:szCs w:val="24"/>
        </w:rPr>
        <w:t xml:space="preserve">Essex University (2021) UK Data Archive. </w:t>
      </w:r>
      <w:r w:rsidR="00825643" w:rsidRPr="00CF1C41">
        <w:rPr>
          <w:rFonts w:asciiTheme="majorHAnsi" w:hAnsiTheme="majorHAnsi"/>
          <w:sz w:val="24"/>
          <w:szCs w:val="24"/>
        </w:rPr>
        <w:t>Accessed 13 April 2021.</w:t>
      </w:r>
    </w:p>
    <w:p w14:paraId="4CF2AC31" w14:textId="77777777" w:rsidR="00210C24" w:rsidRPr="00CF1C41" w:rsidRDefault="00210C24" w:rsidP="00210C24">
      <w:pPr>
        <w:rPr>
          <w:rFonts w:asciiTheme="majorHAnsi" w:hAnsiTheme="majorHAnsi"/>
          <w:sz w:val="24"/>
          <w:szCs w:val="24"/>
        </w:rPr>
      </w:pPr>
      <w:r w:rsidRPr="00CF1C41">
        <w:rPr>
          <w:rFonts w:asciiTheme="majorHAnsi" w:hAnsiTheme="majorHAnsi"/>
          <w:sz w:val="24"/>
          <w:szCs w:val="24"/>
        </w:rPr>
        <w:t>https://www.essex.ac.uk/business/expertise/data-sets</w:t>
      </w:r>
    </w:p>
    <w:p w14:paraId="2540225D" w14:textId="77777777" w:rsidR="00210C24" w:rsidRPr="00CF1C41" w:rsidRDefault="00210C24" w:rsidP="009F706A">
      <w:pPr>
        <w:pStyle w:val="Normal1"/>
        <w:spacing w:before="240" w:after="240"/>
        <w:rPr>
          <w:rFonts w:asciiTheme="majorHAnsi" w:hAnsiTheme="majorHAnsi"/>
          <w:sz w:val="24"/>
          <w:szCs w:val="24"/>
        </w:rPr>
      </w:pPr>
    </w:p>
    <w:p w14:paraId="000000BA" w14:textId="3BAC236B" w:rsidR="00F135CF" w:rsidRPr="00CF1C41" w:rsidRDefault="00B862A4" w:rsidP="009F706A">
      <w:pPr>
        <w:pStyle w:val="Normal1"/>
        <w:spacing w:before="240" w:after="240"/>
        <w:rPr>
          <w:rFonts w:asciiTheme="majorHAnsi" w:hAnsiTheme="majorHAnsi"/>
          <w:sz w:val="24"/>
          <w:szCs w:val="24"/>
          <w:u w:val="single"/>
        </w:rPr>
      </w:pPr>
      <w:r w:rsidRPr="00CF1C41">
        <w:rPr>
          <w:rFonts w:asciiTheme="majorHAnsi" w:hAnsiTheme="majorHAnsi"/>
          <w:sz w:val="24"/>
          <w:szCs w:val="24"/>
        </w:rPr>
        <w:t xml:space="preserve">Ferrer-Torregrosa, Javier, Miguel Angel Jiménez-Rodríguez, Javier Torralba-Estelles, Fernanda Garzón-Farinós, Marcelo Pérez-Bermejo, and Nadia Fernández-Ehrling. 2016. “Distance Learning Ects and Flipped Classroom in the Anatomy Learning: Comparative Study of the Use of Augmented Reality, Video and Notes.” </w:t>
      </w:r>
      <w:r w:rsidRPr="00CF1C41">
        <w:rPr>
          <w:rFonts w:asciiTheme="majorHAnsi" w:hAnsiTheme="majorHAnsi"/>
          <w:i/>
          <w:sz w:val="24"/>
          <w:szCs w:val="24"/>
        </w:rPr>
        <w:t>BMC Medical Education</w:t>
      </w:r>
      <w:r w:rsidRPr="00CF1C41">
        <w:rPr>
          <w:rFonts w:asciiTheme="majorHAnsi" w:hAnsiTheme="majorHAnsi"/>
          <w:sz w:val="24"/>
          <w:szCs w:val="24"/>
        </w:rPr>
        <w:t xml:space="preserve"> 16 (1): 230. </w:t>
      </w:r>
      <w:hyperlink r:id="rId19">
        <w:r w:rsidRPr="00CF1C41">
          <w:rPr>
            <w:rFonts w:asciiTheme="majorHAnsi" w:hAnsiTheme="majorHAnsi"/>
            <w:sz w:val="24"/>
            <w:szCs w:val="24"/>
            <w:u w:val="single"/>
          </w:rPr>
          <w:t>https://doi.org/10.1186/s12909-016-0757-3</w:t>
        </w:r>
      </w:hyperlink>
      <w:r w:rsidR="00373E62" w:rsidRPr="00CF1C41">
        <w:rPr>
          <w:rFonts w:asciiTheme="majorHAnsi" w:hAnsiTheme="majorHAnsi"/>
          <w:sz w:val="24"/>
          <w:szCs w:val="24"/>
          <w:u w:val="single"/>
        </w:rPr>
        <w:t>.</w:t>
      </w:r>
    </w:p>
    <w:p w14:paraId="7EC1B6FC" w14:textId="259D011A" w:rsidR="00F06E7A" w:rsidRPr="00CF1C41" w:rsidRDefault="00F06E7A" w:rsidP="00825643">
      <w:pPr>
        <w:pStyle w:val="Normal1"/>
        <w:rPr>
          <w:rFonts w:asciiTheme="majorHAnsi" w:hAnsiTheme="majorHAnsi"/>
          <w:sz w:val="24"/>
          <w:szCs w:val="24"/>
        </w:rPr>
      </w:pPr>
      <w:r w:rsidRPr="00CF1C41">
        <w:rPr>
          <w:rFonts w:asciiTheme="majorHAnsi" w:hAnsiTheme="majorHAnsi"/>
          <w:color w:val="333333"/>
          <w:sz w:val="24"/>
          <w:szCs w:val="24"/>
        </w:rPr>
        <w:t>Gamage, K</w:t>
      </w:r>
      <w:r w:rsidR="00CF1C41" w:rsidRPr="00CF1C41">
        <w:rPr>
          <w:rFonts w:asciiTheme="majorHAnsi" w:hAnsiTheme="majorHAnsi"/>
          <w:color w:val="333333"/>
          <w:sz w:val="24"/>
          <w:szCs w:val="24"/>
        </w:rPr>
        <w:t>elum A A, Wijesuriya</w:t>
      </w:r>
      <w:r w:rsidRPr="00CF1C41">
        <w:rPr>
          <w:rFonts w:asciiTheme="majorHAnsi" w:hAnsiTheme="majorHAnsi"/>
          <w:color w:val="333333"/>
          <w:sz w:val="24"/>
          <w:szCs w:val="24"/>
        </w:rPr>
        <w:t xml:space="preserve"> D</w:t>
      </w:r>
      <w:r w:rsidR="00CF1C41" w:rsidRPr="00CF1C41">
        <w:rPr>
          <w:rFonts w:asciiTheme="majorHAnsi" w:hAnsiTheme="majorHAnsi"/>
          <w:color w:val="333333"/>
          <w:sz w:val="24"/>
          <w:szCs w:val="24"/>
        </w:rPr>
        <w:t xml:space="preserve">ilaniI, Ekanayake Sakunthala Y, Rennie Allan E W, </w:t>
      </w:r>
      <w:r w:rsidRPr="00CF1C41">
        <w:rPr>
          <w:rFonts w:asciiTheme="majorHAnsi" w:hAnsiTheme="majorHAnsi"/>
          <w:color w:val="333333"/>
          <w:sz w:val="24"/>
          <w:szCs w:val="24"/>
        </w:rPr>
        <w:t>Lambert,</w:t>
      </w:r>
      <w:r w:rsidR="00CF1C41" w:rsidRPr="00CF1C41">
        <w:rPr>
          <w:rFonts w:asciiTheme="majorHAnsi" w:hAnsiTheme="majorHAnsi"/>
          <w:color w:val="333333"/>
          <w:sz w:val="24"/>
          <w:szCs w:val="24"/>
        </w:rPr>
        <w:t xml:space="preserve"> Chris G and Gunawardhana Nanda. 2020</w:t>
      </w:r>
      <w:r w:rsidRPr="00CF1C41">
        <w:rPr>
          <w:rFonts w:asciiTheme="majorHAnsi" w:hAnsiTheme="majorHAnsi"/>
          <w:color w:val="333333"/>
          <w:sz w:val="24"/>
          <w:szCs w:val="24"/>
        </w:rPr>
        <w:t xml:space="preserve">. </w:t>
      </w:r>
      <w:r w:rsidR="00CF1C41" w:rsidRPr="00CF1C41">
        <w:rPr>
          <w:rFonts w:asciiTheme="majorHAnsi" w:hAnsiTheme="majorHAnsi"/>
          <w:color w:val="333333"/>
          <w:sz w:val="24"/>
          <w:szCs w:val="24"/>
        </w:rPr>
        <w:t>“</w:t>
      </w:r>
      <w:r w:rsidRPr="00CF1C41">
        <w:rPr>
          <w:rFonts w:asciiTheme="majorHAnsi" w:hAnsiTheme="majorHAnsi"/>
          <w:color w:val="333333"/>
          <w:sz w:val="24"/>
          <w:szCs w:val="24"/>
        </w:rPr>
        <w:t>Online Delivery of Teaching and Laboratory Practices: Continuity of University Programmes during COVID-19 Pandemic.</w:t>
      </w:r>
      <w:r w:rsidR="00CF1C41" w:rsidRPr="00CF1C41">
        <w:rPr>
          <w:rFonts w:asciiTheme="majorHAnsi" w:hAnsiTheme="majorHAnsi"/>
          <w:color w:val="333333"/>
          <w:sz w:val="24"/>
          <w:szCs w:val="24"/>
        </w:rPr>
        <w:t>”</w:t>
      </w:r>
      <w:r w:rsidRPr="00CF1C41">
        <w:rPr>
          <w:rFonts w:asciiTheme="majorHAnsi" w:hAnsiTheme="majorHAnsi"/>
          <w:color w:val="333333"/>
          <w:sz w:val="24"/>
          <w:szCs w:val="24"/>
        </w:rPr>
        <w:t> </w:t>
      </w:r>
      <w:r w:rsidRPr="00CF1C41">
        <w:rPr>
          <w:rFonts w:asciiTheme="majorHAnsi" w:hAnsiTheme="majorHAnsi"/>
          <w:i/>
          <w:color w:val="333333"/>
          <w:sz w:val="24"/>
          <w:szCs w:val="24"/>
        </w:rPr>
        <w:t>Educ</w:t>
      </w:r>
      <w:r w:rsidR="00CF1C41" w:rsidRPr="00CF1C41">
        <w:rPr>
          <w:rFonts w:asciiTheme="majorHAnsi" w:hAnsiTheme="majorHAnsi"/>
          <w:i/>
          <w:color w:val="333333"/>
          <w:sz w:val="24"/>
          <w:szCs w:val="24"/>
        </w:rPr>
        <w:t>ation Sciences</w:t>
      </w:r>
      <w:r w:rsidRPr="00CF1C41">
        <w:rPr>
          <w:rFonts w:asciiTheme="majorHAnsi" w:hAnsiTheme="majorHAnsi"/>
          <w:color w:val="333333"/>
          <w:sz w:val="24"/>
          <w:szCs w:val="24"/>
        </w:rPr>
        <w:t>. 10</w:t>
      </w:r>
      <w:r w:rsidR="00CF1C41" w:rsidRPr="00CF1C41">
        <w:rPr>
          <w:rFonts w:asciiTheme="majorHAnsi" w:hAnsiTheme="majorHAnsi"/>
          <w:color w:val="333333"/>
          <w:sz w:val="24"/>
          <w:szCs w:val="24"/>
        </w:rPr>
        <w:t>(10)</w:t>
      </w:r>
      <w:r w:rsidRPr="00CF1C41">
        <w:rPr>
          <w:rFonts w:asciiTheme="majorHAnsi" w:hAnsiTheme="majorHAnsi"/>
          <w:color w:val="333333"/>
          <w:sz w:val="24"/>
          <w:szCs w:val="24"/>
        </w:rPr>
        <w:t>, 291. https://doi.org/10.3390/educsci10100291</w:t>
      </w:r>
      <w:r w:rsidR="00CF1C41" w:rsidRPr="00CF1C41">
        <w:rPr>
          <w:rFonts w:asciiTheme="majorHAnsi" w:hAnsiTheme="majorHAnsi"/>
          <w:color w:val="333333"/>
          <w:sz w:val="24"/>
          <w:szCs w:val="24"/>
        </w:rPr>
        <w:t>.</w:t>
      </w:r>
    </w:p>
    <w:p w14:paraId="000000BB" w14:textId="55D79E94" w:rsidR="00F135CF" w:rsidRPr="00CF1C41" w:rsidRDefault="00B862A4" w:rsidP="009F706A">
      <w:pPr>
        <w:pStyle w:val="Normal1"/>
        <w:spacing w:before="240" w:after="240"/>
        <w:rPr>
          <w:rFonts w:asciiTheme="majorHAnsi" w:hAnsiTheme="majorHAnsi"/>
          <w:sz w:val="24"/>
          <w:szCs w:val="24"/>
        </w:rPr>
      </w:pPr>
      <w:r w:rsidRPr="00CF1C41">
        <w:rPr>
          <w:rFonts w:asciiTheme="majorHAnsi" w:hAnsiTheme="majorHAnsi"/>
          <w:sz w:val="24"/>
          <w:szCs w:val="24"/>
        </w:rPr>
        <w:t>Greaves, Laura. 2020. “Graduating into a pandemic: the impact on university finalists</w:t>
      </w:r>
      <w:r w:rsidR="0010363C" w:rsidRPr="00CF1C41">
        <w:rPr>
          <w:rFonts w:asciiTheme="majorHAnsi" w:hAnsiTheme="majorHAnsi"/>
          <w:sz w:val="24"/>
          <w:szCs w:val="24"/>
        </w:rPr>
        <w:t>.</w:t>
      </w:r>
      <w:r w:rsidRPr="00CF1C41">
        <w:rPr>
          <w:rFonts w:asciiTheme="majorHAnsi" w:hAnsiTheme="majorHAnsi"/>
          <w:sz w:val="24"/>
          <w:szCs w:val="24"/>
        </w:rPr>
        <w:t xml:space="preserve">” </w:t>
      </w:r>
      <w:r w:rsidR="0010363C" w:rsidRPr="00CF1C41">
        <w:rPr>
          <w:rFonts w:asciiTheme="majorHAnsi" w:hAnsiTheme="majorHAnsi"/>
          <w:sz w:val="24"/>
          <w:szCs w:val="24"/>
        </w:rPr>
        <w:t xml:space="preserve"> </w:t>
      </w:r>
      <w:r w:rsidR="0010363C" w:rsidRPr="00CF1C41">
        <w:rPr>
          <w:rFonts w:asciiTheme="majorHAnsi" w:hAnsiTheme="majorHAnsi"/>
          <w:i/>
          <w:sz w:val="24"/>
          <w:szCs w:val="24"/>
        </w:rPr>
        <w:t>Prospects UK</w:t>
      </w:r>
      <w:r w:rsidR="0010363C" w:rsidRPr="00CF1C41">
        <w:rPr>
          <w:rFonts w:asciiTheme="majorHAnsi" w:hAnsiTheme="majorHAnsi"/>
          <w:sz w:val="24"/>
          <w:szCs w:val="24"/>
        </w:rPr>
        <w:t xml:space="preserve">, May 2020. Accessed 6 November 2020. </w:t>
      </w:r>
      <w:hyperlink r:id="rId20" w:history="1">
        <w:r w:rsidR="0010363C" w:rsidRPr="00CF1C41">
          <w:rPr>
            <w:rStyle w:val="Hyperlink"/>
            <w:rFonts w:asciiTheme="majorHAnsi" w:hAnsiTheme="majorHAnsi"/>
            <w:color w:val="auto"/>
            <w:sz w:val="24"/>
            <w:szCs w:val="24"/>
          </w:rPr>
          <w:t>https://luminate.prospects.ac.uk/graduating-into-a-pandemic-the-impact-on-university-finalists</w:t>
        </w:r>
      </w:hyperlink>
      <w:r w:rsidR="00373E62" w:rsidRPr="00CF1C41">
        <w:rPr>
          <w:rStyle w:val="Hyperlink"/>
          <w:rFonts w:asciiTheme="majorHAnsi" w:hAnsiTheme="majorHAnsi"/>
          <w:color w:val="auto"/>
          <w:sz w:val="24"/>
          <w:szCs w:val="24"/>
        </w:rPr>
        <w:t>.</w:t>
      </w:r>
    </w:p>
    <w:p w14:paraId="000000BC" w14:textId="4BEB8462" w:rsidR="00F135CF" w:rsidRPr="00CF1C41" w:rsidRDefault="00B862A4" w:rsidP="009F706A">
      <w:pPr>
        <w:pStyle w:val="Normal1"/>
        <w:spacing w:before="240" w:after="240"/>
        <w:rPr>
          <w:rFonts w:asciiTheme="majorHAnsi" w:hAnsiTheme="majorHAnsi"/>
          <w:sz w:val="24"/>
          <w:szCs w:val="24"/>
        </w:rPr>
      </w:pPr>
      <w:r w:rsidRPr="00CF1C41">
        <w:rPr>
          <w:rFonts w:asciiTheme="majorHAnsi" w:hAnsiTheme="majorHAnsi"/>
          <w:sz w:val="24"/>
          <w:szCs w:val="24"/>
        </w:rPr>
        <w:t xml:space="preserve">Healey, Mick, Laura Lannin, Arran Stibbe, and James Derounian. 2013. </w:t>
      </w:r>
      <w:r w:rsidRPr="00CF1C41">
        <w:rPr>
          <w:rFonts w:asciiTheme="majorHAnsi" w:hAnsiTheme="majorHAnsi"/>
          <w:i/>
          <w:sz w:val="24"/>
          <w:szCs w:val="24"/>
        </w:rPr>
        <w:t>“Developing and Enhancing Undergraduate Final-Year Projects and Dissertations</w:t>
      </w:r>
      <w:r w:rsidRPr="00CF1C41">
        <w:rPr>
          <w:rFonts w:asciiTheme="majorHAnsi" w:hAnsiTheme="majorHAnsi"/>
          <w:sz w:val="24"/>
          <w:szCs w:val="24"/>
        </w:rPr>
        <w:t xml:space="preserve">.” </w:t>
      </w:r>
      <w:r w:rsidR="00BD38CF" w:rsidRPr="00CF1C41">
        <w:rPr>
          <w:rFonts w:asciiTheme="majorHAnsi" w:hAnsiTheme="majorHAnsi"/>
          <w:sz w:val="24"/>
          <w:szCs w:val="24"/>
        </w:rPr>
        <w:t xml:space="preserve">Advance HE, Accessed 6 November 2020. </w:t>
      </w:r>
      <w:hyperlink r:id="rId21" w:history="1">
        <w:r w:rsidR="00185C2A" w:rsidRPr="00CF1C41">
          <w:rPr>
            <w:rStyle w:val="Hyperlink"/>
            <w:rFonts w:asciiTheme="majorHAnsi" w:hAnsiTheme="majorHAnsi"/>
            <w:color w:val="auto"/>
            <w:sz w:val="24"/>
            <w:szCs w:val="24"/>
          </w:rPr>
          <w:t>https://www.advance-he.ac.uk/knowledge-hub/developing-and-enhancing-undergraduate-final-year-projects-and-dissertations</w:t>
        </w:r>
      </w:hyperlink>
      <w:r w:rsidR="00373E62" w:rsidRPr="00CF1C41">
        <w:rPr>
          <w:rStyle w:val="Hyperlink"/>
          <w:rFonts w:asciiTheme="majorHAnsi" w:hAnsiTheme="majorHAnsi"/>
          <w:color w:val="auto"/>
          <w:sz w:val="24"/>
          <w:szCs w:val="24"/>
        </w:rPr>
        <w:t>.</w:t>
      </w:r>
    </w:p>
    <w:p w14:paraId="1D26D675" w14:textId="02DBC957" w:rsidR="00185C2A" w:rsidRPr="00CF1C41" w:rsidRDefault="00185C2A" w:rsidP="00DA5BC6">
      <w:pPr>
        <w:spacing w:line="240" w:lineRule="auto"/>
        <w:rPr>
          <w:rFonts w:asciiTheme="majorHAnsi" w:eastAsia="Times New Roman" w:hAnsiTheme="majorHAnsi" w:cs="Times New Roman"/>
          <w:sz w:val="24"/>
          <w:szCs w:val="24"/>
          <w:shd w:val="clear" w:color="auto" w:fill="FFFFFF"/>
          <w:lang w:val="en-GB"/>
        </w:rPr>
      </w:pPr>
      <w:r w:rsidRPr="00CF1C41">
        <w:rPr>
          <w:rFonts w:asciiTheme="majorHAnsi" w:eastAsia="Times New Roman" w:hAnsiTheme="majorHAnsi" w:cs="Times New Roman"/>
          <w:sz w:val="24"/>
          <w:szCs w:val="24"/>
          <w:shd w:val="clear" w:color="auto" w:fill="FFFFFF"/>
          <w:lang w:val="en-GB"/>
        </w:rPr>
        <w:t xml:space="preserve">Higher Education </w:t>
      </w:r>
      <w:r w:rsidR="00691C36" w:rsidRPr="00CF1C41">
        <w:rPr>
          <w:rFonts w:asciiTheme="majorHAnsi" w:eastAsia="Times New Roman" w:hAnsiTheme="majorHAnsi" w:cs="Times New Roman"/>
          <w:sz w:val="24"/>
          <w:szCs w:val="24"/>
          <w:shd w:val="clear" w:color="auto" w:fill="FFFFFF"/>
          <w:lang w:val="en-GB"/>
        </w:rPr>
        <w:t>Funding Council England (HEFCE)</w:t>
      </w:r>
      <w:r w:rsidR="00373E62"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sz w:val="24"/>
          <w:szCs w:val="24"/>
          <w:shd w:val="clear" w:color="auto" w:fill="FFFFFF"/>
          <w:lang w:val="en-GB"/>
        </w:rPr>
        <w:t xml:space="preserve"> 2018. </w:t>
      </w:r>
      <w:r w:rsidR="00BD38CF"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i/>
          <w:iCs/>
          <w:sz w:val="24"/>
          <w:szCs w:val="24"/>
          <w:lang w:val="en-GB"/>
        </w:rPr>
        <w:t>Differences in Degree Outcomes: The Effect of Subject and Student Characteristics.</w:t>
      </w:r>
      <w:r w:rsidR="00BD38CF" w:rsidRPr="00CF1C41">
        <w:rPr>
          <w:rFonts w:asciiTheme="majorHAnsi" w:eastAsia="Times New Roman" w:hAnsiTheme="majorHAnsi" w:cs="Times New Roman"/>
          <w:i/>
          <w:iCs/>
          <w:sz w:val="24"/>
          <w:szCs w:val="24"/>
          <w:lang w:val="en-GB"/>
        </w:rPr>
        <w:t>”</w:t>
      </w:r>
      <w:r w:rsidR="00BD38CF" w:rsidRPr="00CF1C41">
        <w:rPr>
          <w:rFonts w:asciiTheme="majorHAnsi" w:eastAsia="Times New Roman" w:hAnsiTheme="majorHAnsi" w:cs="Times New Roman"/>
          <w:sz w:val="24"/>
          <w:szCs w:val="24"/>
          <w:shd w:val="clear" w:color="auto" w:fill="FFFFFF"/>
          <w:lang w:val="en-GB"/>
        </w:rPr>
        <w:t xml:space="preserve"> HEFCE Bristol, Accessed 6 November 2020. </w:t>
      </w:r>
      <w:hyperlink r:id="rId22" w:history="1">
        <w:r w:rsidRPr="00CF1C41">
          <w:rPr>
            <w:rStyle w:val="Hyperlink"/>
            <w:rFonts w:asciiTheme="majorHAnsi" w:eastAsia="Times New Roman" w:hAnsiTheme="majorHAnsi" w:cs="Times New Roman"/>
            <w:color w:val="auto"/>
            <w:sz w:val="24"/>
            <w:szCs w:val="24"/>
            <w:shd w:val="clear" w:color="auto" w:fill="FFFFFF"/>
            <w:lang w:val="en-GB"/>
          </w:rPr>
          <w:t>https://dera.ioe.ac.uk/31412/1/HEFCE2017_05%20.pdf</w:t>
        </w:r>
      </w:hyperlink>
      <w:r w:rsidR="00373E62" w:rsidRPr="00CF1C41">
        <w:rPr>
          <w:rStyle w:val="Hyperlink"/>
          <w:rFonts w:asciiTheme="majorHAnsi" w:eastAsia="Times New Roman" w:hAnsiTheme="majorHAnsi" w:cs="Times New Roman"/>
          <w:color w:val="auto"/>
          <w:sz w:val="24"/>
          <w:szCs w:val="24"/>
          <w:shd w:val="clear" w:color="auto" w:fill="FFFFFF"/>
          <w:lang w:val="en-GB"/>
        </w:rPr>
        <w:t>.</w:t>
      </w:r>
    </w:p>
    <w:p w14:paraId="3B098BE3" w14:textId="3C81E76B" w:rsidR="00BD38CF" w:rsidRPr="00CF1C41" w:rsidRDefault="00B862A4" w:rsidP="009F706A">
      <w:pPr>
        <w:pStyle w:val="Normal1"/>
        <w:spacing w:before="240" w:after="240"/>
        <w:rPr>
          <w:rFonts w:asciiTheme="majorHAnsi" w:hAnsiTheme="majorHAnsi"/>
          <w:sz w:val="24"/>
          <w:szCs w:val="24"/>
        </w:rPr>
      </w:pPr>
      <w:r w:rsidRPr="00CF1C41">
        <w:rPr>
          <w:rFonts w:asciiTheme="majorHAnsi" w:hAnsiTheme="majorHAnsi"/>
          <w:sz w:val="24"/>
          <w:szCs w:val="24"/>
        </w:rPr>
        <w:t>Higher Education Statistics Agency (HESA</w:t>
      </w:r>
      <w:r w:rsidR="00691C36" w:rsidRPr="00CF1C41">
        <w:rPr>
          <w:rFonts w:asciiTheme="majorHAnsi" w:hAnsiTheme="majorHAnsi"/>
          <w:sz w:val="24"/>
          <w:szCs w:val="24"/>
        </w:rPr>
        <w:t>)</w:t>
      </w:r>
      <w:r w:rsidR="00373E62" w:rsidRPr="00CF1C41">
        <w:rPr>
          <w:rFonts w:asciiTheme="majorHAnsi" w:hAnsiTheme="majorHAnsi"/>
          <w:sz w:val="24"/>
          <w:szCs w:val="24"/>
        </w:rPr>
        <w:t>.</w:t>
      </w:r>
      <w:r w:rsidR="00691C36" w:rsidRPr="00CF1C41">
        <w:rPr>
          <w:rFonts w:asciiTheme="majorHAnsi" w:hAnsiTheme="majorHAnsi"/>
          <w:sz w:val="24"/>
          <w:szCs w:val="24"/>
        </w:rPr>
        <w:t xml:space="preserve"> 2020a</w:t>
      </w:r>
      <w:r w:rsidRPr="00CF1C41">
        <w:rPr>
          <w:rFonts w:asciiTheme="majorHAnsi" w:hAnsiTheme="majorHAnsi"/>
          <w:sz w:val="24"/>
          <w:szCs w:val="24"/>
        </w:rPr>
        <w:t>. “</w:t>
      </w:r>
      <w:r w:rsidRPr="00CF1C41">
        <w:rPr>
          <w:rFonts w:asciiTheme="majorHAnsi" w:hAnsiTheme="majorHAnsi"/>
          <w:i/>
          <w:sz w:val="24"/>
          <w:szCs w:val="24"/>
        </w:rPr>
        <w:t>What Do HE Students Study?</w:t>
      </w:r>
      <w:r w:rsidR="00BD38CF" w:rsidRPr="00CF1C41">
        <w:rPr>
          <w:rFonts w:asciiTheme="majorHAnsi" w:hAnsiTheme="majorHAnsi"/>
          <w:sz w:val="24"/>
          <w:szCs w:val="24"/>
        </w:rPr>
        <w:t xml:space="preserve">” HESA Student Data, Accessed 6 November </w:t>
      </w:r>
      <w:r w:rsidRPr="00CF1C41">
        <w:rPr>
          <w:rFonts w:asciiTheme="majorHAnsi" w:hAnsiTheme="majorHAnsi"/>
          <w:sz w:val="24"/>
          <w:szCs w:val="24"/>
        </w:rPr>
        <w:t>2020.</w:t>
      </w:r>
      <w:r w:rsidR="00BD38CF" w:rsidRPr="00CF1C41">
        <w:rPr>
          <w:rFonts w:asciiTheme="majorHAnsi" w:hAnsiTheme="majorHAnsi"/>
          <w:sz w:val="24"/>
          <w:szCs w:val="24"/>
        </w:rPr>
        <w:t xml:space="preserve"> https://www.hesa.ac.uk/data-and-analysis/students/what-study</w:t>
      </w:r>
      <w:r w:rsidR="00373E62" w:rsidRPr="00CF1C41">
        <w:rPr>
          <w:rFonts w:asciiTheme="majorHAnsi" w:hAnsiTheme="majorHAnsi"/>
          <w:sz w:val="24"/>
          <w:szCs w:val="24"/>
        </w:rPr>
        <w:t>.</w:t>
      </w:r>
    </w:p>
    <w:p w14:paraId="5C660FA6" w14:textId="007C53A3" w:rsidR="00BD38CF" w:rsidRPr="00CF1C41" w:rsidRDefault="00B862A4" w:rsidP="009F706A">
      <w:pPr>
        <w:pStyle w:val="Normal1"/>
        <w:spacing w:before="240" w:after="240"/>
        <w:rPr>
          <w:rFonts w:asciiTheme="majorHAnsi" w:hAnsiTheme="majorHAnsi"/>
          <w:sz w:val="24"/>
          <w:szCs w:val="24"/>
        </w:rPr>
      </w:pPr>
      <w:r w:rsidRPr="00CF1C41">
        <w:rPr>
          <w:rFonts w:asciiTheme="majorHAnsi" w:hAnsiTheme="majorHAnsi"/>
          <w:sz w:val="24"/>
          <w:szCs w:val="24"/>
        </w:rPr>
        <w:t>Higher Education Statistics Agency (H</w:t>
      </w:r>
      <w:r w:rsidR="00691C36" w:rsidRPr="00CF1C41">
        <w:rPr>
          <w:rFonts w:asciiTheme="majorHAnsi" w:hAnsiTheme="majorHAnsi"/>
          <w:sz w:val="24"/>
          <w:szCs w:val="24"/>
        </w:rPr>
        <w:t>ESA)</w:t>
      </w:r>
      <w:r w:rsidR="00373E62" w:rsidRPr="00CF1C41">
        <w:rPr>
          <w:rFonts w:asciiTheme="majorHAnsi" w:hAnsiTheme="majorHAnsi"/>
          <w:sz w:val="24"/>
          <w:szCs w:val="24"/>
        </w:rPr>
        <w:t>.</w:t>
      </w:r>
      <w:r w:rsidR="00691C36" w:rsidRPr="00CF1C41">
        <w:rPr>
          <w:rFonts w:asciiTheme="majorHAnsi" w:hAnsiTheme="majorHAnsi"/>
          <w:sz w:val="24"/>
          <w:szCs w:val="24"/>
        </w:rPr>
        <w:t xml:space="preserve"> 2020b</w:t>
      </w:r>
      <w:r w:rsidRPr="00CF1C41">
        <w:rPr>
          <w:rFonts w:asciiTheme="majorHAnsi" w:hAnsiTheme="majorHAnsi"/>
          <w:sz w:val="24"/>
          <w:szCs w:val="24"/>
        </w:rPr>
        <w:t>. “</w:t>
      </w:r>
      <w:r w:rsidRPr="00CF1C41">
        <w:rPr>
          <w:rFonts w:asciiTheme="majorHAnsi" w:hAnsiTheme="majorHAnsi"/>
          <w:i/>
          <w:sz w:val="24"/>
          <w:szCs w:val="24"/>
        </w:rPr>
        <w:t>What Do HE Students Study?: Types of Subjects and Courses.”</w:t>
      </w:r>
      <w:r w:rsidR="00BD38CF" w:rsidRPr="00CF1C41">
        <w:rPr>
          <w:rFonts w:asciiTheme="majorHAnsi" w:hAnsiTheme="majorHAnsi"/>
          <w:sz w:val="24"/>
          <w:szCs w:val="24"/>
        </w:rPr>
        <w:t xml:space="preserve"> HESA Student Data, Accessed 6 November 2020. https://www.hesa.ac.uk/data-and-analysis/students/what-study/courses</w:t>
      </w:r>
      <w:r w:rsidR="00373E62" w:rsidRPr="00CF1C41">
        <w:rPr>
          <w:rFonts w:asciiTheme="majorHAnsi" w:hAnsiTheme="majorHAnsi"/>
          <w:sz w:val="24"/>
          <w:szCs w:val="24"/>
        </w:rPr>
        <w:t>.</w:t>
      </w:r>
    </w:p>
    <w:p w14:paraId="000000BF" w14:textId="59A3C09A" w:rsidR="00F135CF" w:rsidRPr="00CF1C41" w:rsidRDefault="00B862A4" w:rsidP="009F706A">
      <w:pPr>
        <w:pStyle w:val="Normal1"/>
        <w:spacing w:before="240" w:after="240"/>
        <w:rPr>
          <w:rFonts w:asciiTheme="majorHAnsi" w:hAnsiTheme="majorHAnsi"/>
          <w:i/>
          <w:sz w:val="24"/>
          <w:szCs w:val="24"/>
        </w:rPr>
      </w:pPr>
      <w:r w:rsidRPr="00CF1C41">
        <w:rPr>
          <w:rFonts w:asciiTheme="majorHAnsi" w:hAnsiTheme="majorHAnsi"/>
          <w:sz w:val="24"/>
          <w:szCs w:val="24"/>
        </w:rPr>
        <w:t xml:space="preserve">Kernohan, David. 2020. “Which Universities Are Moving to Remote Teaching?” </w:t>
      </w:r>
      <w:r w:rsidRPr="00CF1C41">
        <w:rPr>
          <w:rFonts w:asciiTheme="majorHAnsi" w:hAnsiTheme="majorHAnsi"/>
          <w:i/>
          <w:sz w:val="24"/>
          <w:szCs w:val="24"/>
        </w:rPr>
        <w:t>WONKHE</w:t>
      </w:r>
      <w:r w:rsidR="0010363C" w:rsidRPr="00CF1C41">
        <w:rPr>
          <w:rFonts w:asciiTheme="majorHAnsi" w:hAnsiTheme="majorHAnsi"/>
          <w:i/>
          <w:sz w:val="24"/>
          <w:szCs w:val="24"/>
        </w:rPr>
        <w:t xml:space="preserve">, </w:t>
      </w:r>
      <w:r w:rsidR="0010363C" w:rsidRPr="00CF1C41">
        <w:rPr>
          <w:rFonts w:asciiTheme="majorHAnsi" w:hAnsiTheme="majorHAnsi"/>
          <w:sz w:val="24"/>
          <w:szCs w:val="24"/>
        </w:rPr>
        <w:t>March 13 2020. Accessed November 6 2020</w:t>
      </w:r>
      <w:r w:rsidR="0010363C" w:rsidRPr="00CF1C41">
        <w:rPr>
          <w:rFonts w:asciiTheme="majorHAnsi" w:hAnsiTheme="majorHAnsi"/>
          <w:i/>
          <w:sz w:val="24"/>
          <w:szCs w:val="24"/>
        </w:rPr>
        <w:t xml:space="preserve">. </w:t>
      </w:r>
      <w:r w:rsidRPr="00CF1C41">
        <w:rPr>
          <w:rFonts w:asciiTheme="majorHAnsi" w:hAnsiTheme="majorHAnsi"/>
          <w:sz w:val="24"/>
          <w:szCs w:val="24"/>
        </w:rPr>
        <w:t>https://wonkhe.com/blogs/which-universities-are-moving-to-remote-teaching/.</w:t>
      </w:r>
    </w:p>
    <w:p w14:paraId="0E4D34E2" w14:textId="58337361" w:rsidR="00185C2A" w:rsidRPr="00CF1C41" w:rsidRDefault="00373E62" w:rsidP="00185C2A">
      <w:pPr>
        <w:pStyle w:val="Normal1"/>
        <w:rPr>
          <w:rFonts w:asciiTheme="majorHAnsi" w:hAnsiTheme="majorHAnsi"/>
          <w:sz w:val="24"/>
          <w:szCs w:val="24"/>
        </w:rPr>
      </w:pPr>
      <w:r w:rsidRPr="00CF1C41">
        <w:rPr>
          <w:rFonts w:asciiTheme="majorHAnsi" w:eastAsia="Times New Roman" w:hAnsiTheme="majorHAnsi"/>
          <w:sz w:val="24"/>
          <w:szCs w:val="24"/>
          <w:shd w:val="clear" w:color="auto" w:fill="FFFFFF"/>
          <w:lang w:val="en-GB"/>
        </w:rPr>
        <w:t>Leicester.</w:t>
      </w:r>
      <w:r w:rsidR="00185C2A" w:rsidRPr="00CF1C41">
        <w:rPr>
          <w:rFonts w:asciiTheme="majorHAnsi" w:eastAsia="Times New Roman" w:hAnsiTheme="majorHAnsi"/>
          <w:sz w:val="24"/>
          <w:szCs w:val="24"/>
          <w:shd w:val="clear" w:color="auto" w:fill="FFFFFF"/>
          <w:lang w:val="en-GB"/>
        </w:rPr>
        <w:t xml:space="preserve"> 2020. </w:t>
      </w:r>
      <w:r w:rsidR="008772D9" w:rsidRPr="00CF1C41">
        <w:rPr>
          <w:rFonts w:asciiTheme="majorHAnsi" w:eastAsia="Times New Roman" w:hAnsiTheme="majorHAnsi"/>
          <w:sz w:val="24"/>
          <w:szCs w:val="24"/>
          <w:shd w:val="clear" w:color="auto" w:fill="FFFFFF"/>
          <w:lang w:val="en-GB"/>
        </w:rPr>
        <w:t>“</w:t>
      </w:r>
      <w:r w:rsidR="00185C2A" w:rsidRPr="00CF1C41">
        <w:rPr>
          <w:rFonts w:asciiTheme="majorHAnsi" w:eastAsia="Times New Roman" w:hAnsiTheme="majorHAnsi"/>
          <w:sz w:val="24"/>
          <w:szCs w:val="24"/>
          <w:shd w:val="clear" w:color="auto" w:fill="FFFFFF"/>
          <w:lang w:val="en-GB"/>
        </w:rPr>
        <w:t>Job hunting equal opportunities.</w:t>
      </w:r>
      <w:r w:rsidR="008772D9" w:rsidRPr="00CF1C41">
        <w:rPr>
          <w:rFonts w:asciiTheme="majorHAnsi" w:eastAsia="Times New Roman" w:hAnsiTheme="majorHAnsi"/>
          <w:sz w:val="24"/>
          <w:szCs w:val="24"/>
          <w:shd w:val="clear" w:color="auto" w:fill="FFFFFF"/>
          <w:lang w:val="en-GB"/>
        </w:rPr>
        <w:t>” Leicester University. Accessed 6 November</w:t>
      </w:r>
      <w:r w:rsidR="00185C2A" w:rsidRPr="00CF1C41">
        <w:rPr>
          <w:rFonts w:asciiTheme="majorHAnsi" w:eastAsia="Times New Roman" w:hAnsiTheme="majorHAnsi"/>
          <w:sz w:val="24"/>
          <w:szCs w:val="24"/>
          <w:shd w:val="clear" w:color="auto" w:fill="FFFFFF"/>
          <w:lang w:val="en-GB"/>
        </w:rPr>
        <w:t xml:space="preserve"> 2020. </w:t>
      </w:r>
      <w:r w:rsidR="007C0DDA" w:rsidRPr="00CF1C41">
        <w:rPr>
          <w:rFonts w:asciiTheme="majorHAnsi" w:hAnsiTheme="majorHAnsi"/>
          <w:sz w:val="24"/>
          <w:szCs w:val="24"/>
        </w:rPr>
        <w:t>https://www2.le.ac.uk/projects/oer/oers/ssds/ssds-job-hunting-equal-opportunities</w:t>
      </w:r>
      <w:r w:rsidR="00CF1C41" w:rsidRPr="00CF1C41">
        <w:rPr>
          <w:rFonts w:asciiTheme="majorHAnsi" w:hAnsiTheme="majorHAnsi"/>
          <w:sz w:val="24"/>
          <w:szCs w:val="24"/>
        </w:rPr>
        <w:t>.</w:t>
      </w:r>
    </w:p>
    <w:p w14:paraId="42F275BA" w14:textId="77777777" w:rsidR="00185C2A" w:rsidRPr="00CF1C41" w:rsidRDefault="00185C2A" w:rsidP="00185C2A">
      <w:pPr>
        <w:pStyle w:val="Normal1"/>
        <w:rPr>
          <w:rFonts w:asciiTheme="majorHAnsi" w:hAnsiTheme="majorHAnsi"/>
          <w:b/>
          <w:i/>
          <w:sz w:val="24"/>
          <w:szCs w:val="24"/>
        </w:rPr>
      </w:pPr>
    </w:p>
    <w:p w14:paraId="5E3770E8" w14:textId="17F26E99" w:rsidR="006919BE" w:rsidRPr="00CF1C41" w:rsidRDefault="006919BE" w:rsidP="00825643">
      <w:pPr>
        <w:pStyle w:val="Heading2"/>
        <w:spacing w:before="0" w:after="195" w:line="240" w:lineRule="auto"/>
        <w:rPr>
          <w:rFonts w:asciiTheme="majorHAnsi" w:hAnsiTheme="majorHAnsi"/>
          <w:sz w:val="24"/>
          <w:szCs w:val="24"/>
        </w:rPr>
      </w:pPr>
      <w:r w:rsidRPr="00CF1C41">
        <w:rPr>
          <w:rFonts w:asciiTheme="majorHAnsi" w:eastAsia="Times New Roman" w:hAnsiTheme="majorHAnsi"/>
          <w:sz w:val="24"/>
          <w:szCs w:val="24"/>
          <w:shd w:val="clear" w:color="auto" w:fill="FFFFFF"/>
          <w:lang w:val="en-GB"/>
        </w:rPr>
        <w:t>Lewis Dave. 2020. “</w:t>
      </w:r>
      <w:r w:rsidRPr="00CF1C41">
        <w:rPr>
          <w:rFonts w:asciiTheme="majorHAnsi" w:eastAsia="Times New Roman" w:hAnsiTheme="majorHAnsi"/>
          <w:i/>
          <w:sz w:val="24"/>
          <w:szCs w:val="24"/>
          <w:shd w:val="clear" w:color="auto" w:fill="FFFFFF"/>
          <w:lang w:val="en-GB"/>
        </w:rPr>
        <w:t>Final year or honours research projects. Time for a total re-think?”</w:t>
      </w:r>
      <w:r w:rsidRPr="00CF1C41">
        <w:rPr>
          <w:rFonts w:asciiTheme="majorHAnsi" w:eastAsia="Times New Roman" w:hAnsiTheme="majorHAnsi"/>
          <w:sz w:val="24"/>
          <w:szCs w:val="24"/>
          <w:shd w:val="clear" w:color="auto" w:fill="FFFFFF"/>
          <w:lang w:val="en-GB"/>
        </w:rPr>
        <w:t xml:space="preserve"> Physiological Society News and Views. Accessed 6 November 2020. </w:t>
      </w:r>
      <w:hyperlink r:id="rId23" w:history="1">
        <w:r w:rsidRPr="00CF1C41">
          <w:rPr>
            <w:rFonts w:asciiTheme="majorHAnsi" w:eastAsia="Times New Roman" w:hAnsiTheme="majorHAnsi"/>
            <w:sz w:val="24"/>
            <w:szCs w:val="24"/>
            <w:shd w:val="clear" w:color="auto" w:fill="FFFFFF"/>
            <w:lang w:val="en-GB"/>
          </w:rPr>
          <w:t>https://www.physoc.org/magazine-articles/final-year-or-honours-research-projects/</w:t>
        </w:r>
      </w:hyperlink>
      <w:r w:rsidR="00CF1C41" w:rsidRPr="00CF1C41">
        <w:rPr>
          <w:rFonts w:asciiTheme="majorHAnsi" w:eastAsia="Times New Roman" w:hAnsiTheme="majorHAnsi"/>
          <w:sz w:val="24"/>
          <w:szCs w:val="24"/>
          <w:shd w:val="clear" w:color="auto" w:fill="FFFFFF"/>
          <w:lang w:val="en-GB"/>
        </w:rPr>
        <w:t>.</w:t>
      </w:r>
    </w:p>
    <w:p w14:paraId="536F29E6" w14:textId="2F56F83C" w:rsidR="00185C2A" w:rsidRPr="00CF1C41" w:rsidRDefault="00185C2A" w:rsidP="00185C2A">
      <w:pPr>
        <w:pStyle w:val="Normal1"/>
        <w:rPr>
          <w:rFonts w:asciiTheme="majorHAnsi" w:hAnsiTheme="majorHAnsi"/>
          <w:sz w:val="24"/>
          <w:szCs w:val="24"/>
        </w:rPr>
      </w:pPr>
      <w:r w:rsidRPr="00CF1C41">
        <w:rPr>
          <w:rFonts w:asciiTheme="majorHAnsi" w:hAnsiTheme="majorHAnsi"/>
          <w:sz w:val="24"/>
          <w:szCs w:val="24"/>
        </w:rPr>
        <w:t>Loughborough</w:t>
      </w:r>
      <w:r w:rsidR="00825643" w:rsidRPr="00CF1C41">
        <w:rPr>
          <w:rFonts w:asciiTheme="majorHAnsi" w:hAnsiTheme="majorHAnsi"/>
          <w:sz w:val="24"/>
          <w:szCs w:val="24"/>
        </w:rPr>
        <w:t xml:space="preserve"> University</w:t>
      </w:r>
      <w:r w:rsidR="00373E62" w:rsidRPr="00CF1C41">
        <w:rPr>
          <w:rFonts w:asciiTheme="majorHAnsi" w:hAnsiTheme="majorHAnsi"/>
          <w:sz w:val="24"/>
          <w:szCs w:val="24"/>
        </w:rPr>
        <w:t>.</w:t>
      </w:r>
      <w:r w:rsidRPr="00CF1C41">
        <w:rPr>
          <w:rFonts w:asciiTheme="majorHAnsi" w:hAnsiTheme="majorHAnsi"/>
          <w:sz w:val="24"/>
          <w:szCs w:val="24"/>
        </w:rPr>
        <w:t xml:space="preserve"> 2020. </w:t>
      </w:r>
      <w:r w:rsidR="008772D9" w:rsidRPr="00CF1C41">
        <w:rPr>
          <w:rFonts w:asciiTheme="majorHAnsi" w:hAnsiTheme="majorHAnsi"/>
          <w:sz w:val="24"/>
          <w:szCs w:val="24"/>
        </w:rPr>
        <w:t>“</w:t>
      </w:r>
      <w:r w:rsidRPr="00CF1C41">
        <w:rPr>
          <w:rFonts w:asciiTheme="majorHAnsi" w:hAnsiTheme="majorHAnsi"/>
          <w:sz w:val="24"/>
          <w:szCs w:val="24"/>
        </w:rPr>
        <w:t>Loughborough Enterprise Network.</w:t>
      </w:r>
      <w:r w:rsidR="008772D9" w:rsidRPr="00CF1C41">
        <w:rPr>
          <w:rFonts w:asciiTheme="majorHAnsi" w:hAnsiTheme="majorHAnsi"/>
          <w:sz w:val="24"/>
          <w:szCs w:val="24"/>
        </w:rPr>
        <w:t>” Loughborough University. Accessed 6 November</w:t>
      </w:r>
      <w:r w:rsidRPr="00CF1C41">
        <w:rPr>
          <w:rFonts w:asciiTheme="majorHAnsi" w:hAnsiTheme="majorHAnsi"/>
          <w:sz w:val="24"/>
          <w:szCs w:val="24"/>
        </w:rPr>
        <w:t xml:space="preserve"> 2020. </w:t>
      </w:r>
      <w:hyperlink r:id="rId24" w:history="1">
        <w:r w:rsidRPr="00CF1C41">
          <w:rPr>
            <w:rStyle w:val="Hyperlink"/>
            <w:rFonts w:asciiTheme="majorHAnsi" w:hAnsiTheme="majorHAnsi"/>
            <w:color w:val="auto"/>
            <w:sz w:val="24"/>
            <w:szCs w:val="24"/>
          </w:rPr>
          <w:t>https://www.lboro.ac.uk/students/len/</w:t>
        </w:r>
      </w:hyperlink>
      <w:r w:rsidR="00373E62" w:rsidRPr="00CF1C41">
        <w:rPr>
          <w:rStyle w:val="Hyperlink"/>
          <w:rFonts w:asciiTheme="majorHAnsi" w:hAnsiTheme="majorHAnsi"/>
          <w:color w:val="auto"/>
          <w:sz w:val="24"/>
          <w:szCs w:val="24"/>
        </w:rPr>
        <w:t>.</w:t>
      </w:r>
    </w:p>
    <w:p w14:paraId="107501F7" w14:textId="77777777" w:rsidR="00BC6B92" w:rsidRPr="00CF1C41" w:rsidRDefault="00BC6B92" w:rsidP="00BC6B92">
      <w:pPr>
        <w:spacing w:line="240" w:lineRule="auto"/>
        <w:rPr>
          <w:rFonts w:asciiTheme="majorHAnsi" w:eastAsia="Times New Roman" w:hAnsiTheme="majorHAnsi" w:cs="Times New Roman"/>
          <w:sz w:val="24"/>
          <w:szCs w:val="24"/>
          <w:lang w:val="en-GB"/>
        </w:rPr>
      </w:pPr>
    </w:p>
    <w:p w14:paraId="639029BF" w14:textId="5BC615AE" w:rsidR="00BC6B92" w:rsidRPr="00CF1C41" w:rsidRDefault="00BC6B92" w:rsidP="00BC6B92">
      <w:pPr>
        <w:spacing w:line="240" w:lineRule="auto"/>
        <w:rPr>
          <w:rFonts w:asciiTheme="majorHAnsi" w:eastAsia="Times New Roman" w:hAnsiTheme="majorHAnsi" w:cs="Times New Roman"/>
          <w:sz w:val="24"/>
          <w:szCs w:val="24"/>
          <w:lang w:val="en-GB"/>
        </w:rPr>
      </w:pPr>
      <w:r w:rsidRPr="00CF1C41">
        <w:rPr>
          <w:rFonts w:asciiTheme="majorHAnsi" w:eastAsia="Times New Roman" w:hAnsiTheme="majorHAnsi"/>
          <w:sz w:val="24"/>
          <w:szCs w:val="24"/>
          <w:shd w:val="clear" w:color="auto" w:fill="FFFFFF"/>
          <w:lang w:val="en-GB"/>
        </w:rPr>
        <w:t xml:space="preserve">Makarevitch Irina, Frechette Cameo, and Wiatros Natalia. (2015). </w:t>
      </w:r>
      <w:r w:rsidR="003537BE" w:rsidRPr="00CF1C41">
        <w:rPr>
          <w:rFonts w:asciiTheme="majorHAnsi" w:eastAsia="Times New Roman" w:hAnsiTheme="majorHAnsi"/>
          <w:sz w:val="24"/>
          <w:szCs w:val="24"/>
          <w:shd w:val="clear" w:color="auto" w:fill="FFFFFF"/>
          <w:lang w:val="en-GB"/>
        </w:rPr>
        <w:t>“</w:t>
      </w:r>
      <w:r w:rsidRPr="00CF1C41">
        <w:rPr>
          <w:rFonts w:asciiTheme="majorHAnsi" w:eastAsia="Times New Roman" w:hAnsiTheme="majorHAnsi"/>
          <w:sz w:val="24"/>
          <w:szCs w:val="24"/>
          <w:shd w:val="clear" w:color="auto" w:fill="FFFFFF"/>
          <w:lang w:val="en-GB"/>
        </w:rPr>
        <w:t>Authentic Research Experience and "Big Data" Analysis in the Classroom: Maize Response to Abiotic Stress.</w:t>
      </w:r>
      <w:r w:rsidR="003537BE" w:rsidRPr="00CF1C41">
        <w:rPr>
          <w:rFonts w:asciiTheme="majorHAnsi" w:eastAsia="Times New Roman" w:hAnsiTheme="majorHAnsi"/>
          <w:sz w:val="24"/>
          <w:szCs w:val="24"/>
          <w:shd w:val="clear" w:color="auto" w:fill="FFFFFF"/>
          <w:lang w:val="en-GB"/>
        </w:rPr>
        <w:t>”</w:t>
      </w:r>
      <w:r w:rsidRPr="00CF1C41">
        <w:rPr>
          <w:rFonts w:asciiTheme="majorHAnsi" w:eastAsia="Times New Roman" w:hAnsiTheme="majorHAnsi"/>
          <w:sz w:val="24"/>
          <w:szCs w:val="24"/>
          <w:shd w:val="clear" w:color="auto" w:fill="FFFFFF"/>
          <w:lang w:val="en-GB"/>
        </w:rPr>
        <w:t> </w:t>
      </w:r>
      <w:r w:rsidR="003537BE" w:rsidRPr="00CF1C41">
        <w:rPr>
          <w:rFonts w:asciiTheme="majorHAnsi" w:eastAsia="Times New Roman" w:hAnsiTheme="majorHAnsi"/>
          <w:i/>
          <w:iCs/>
          <w:sz w:val="24"/>
          <w:szCs w:val="24"/>
          <w:lang w:val="en-GB"/>
        </w:rPr>
        <w:t>CBE Life Sciences E</w:t>
      </w:r>
      <w:r w:rsidRPr="00CF1C41">
        <w:rPr>
          <w:rFonts w:asciiTheme="majorHAnsi" w:eastAsia="Times New Roman" w:hAnsiTheme="majorHAnsi"/>
          <w:i/>
          <w:iCs/>
          <w:sz w:val="24"/>
          <w:szCs w:val="24"/>
          <w:lang w:val="en-GB"/>
        </w:rPr>
        <w:t>ducation</w:t>
      </w:r>
      <w:r w:rsidRPr="00CF1C41">
        <w:rPr>
          <w:rFonts w:asciiTheme="majorHAnsi" w:eastAsia="Times New Roman" w:hAnsiTheme="majorHAnsi"/>
          <w:sz w:val="24"/>
          <w:szCs w:val="24"/>
          <w:shd w:val="clear" w:color="auto" w:fill="FFFFFF"/>
          <w:lang w:val="en-GB"/>
        </w:rPr>
        <w:t> </w:t>
      </w:r>
      <w:r w:rsidRPr="00CF1C41">
        <w:rPr>
          <w:rFonts w:asciiTheme="majorHAnsi" w:eastAsia="Times New Roman" w:hAnsiTheme="majorHAnsi"/>
          <w:i/>
          <w:iCs/>
          <w:sz w:val="24"/>
          <w:szCs w:val="24"/>
          <w:lang w:val="en-GB"/>
        </w:rPr>
        <w:t>14</w:t>
      </w:r>
      <w:r w:rsidR="003537BE" w:rsidRPr="00CF1C41">
        <w:rPr>
          <w:rFonts w:asciiTheme="majorHAnsi" w:eastAsia="Times New Roman" w:hAnsiTheme="majorHAnsi"/>
          <w:sz w:val="24"/>
          <w:szCs w:val="24"/>
          <w:shd w:val="clear" w:color="auto" w:fill="FFFFFF"/>
          <w:lang w:val="en-GB"/>
        </w:rPr>
        <w:t>(3):</w:t>
      </w:r>
      <w:r w:rsidRPr="00CF1C41">
        <w:rPr>
          <w:rFonts w:asciiTheme="majorHAnsi" w:eastAsia="Times New Roman" w:hAnsiTheme="majorHAnsi"/>
          <w:sz w:val="24"/>
          <w:szCs w:val="24"/>
          <w:shd w:val="clear" w:color="auto" w:fill="FFFFFF"/>
          <w:lang w:val="en-GB"/>
        </w:rPr>
        <w:t xml:space="preserve"> ar27. https://doi.org/10.1187/cbe.15-04-0081</w:t>
      </w:r>
      <w:r w:rsidR="00373E62" w:rsidRPr="00CF1C41">
        <w:rPr>
          <w:rFonts w:asciiTheme="majorHAnsi" w:eastAsia="Times New Roman" w:hAnsiTheme="majorHAnsi"/>
          <w:sz w:val="24"/>
          <w:szCs w:val="24"/>
          <w:shd w:val="clear" w:color="auto" w:fill="FFFFFF"/>
          <w:lang w:val="en-GB"/>
        </w:rPr>
        <w:t>.</w:t>
      </w:r>
    </w:p>
    <w:p w14:paraId="6AA744A1" w14:textId="77777777" w:rsidR="00185C2A" w:rsidRPr="00CF1C41" w:rsidRDefault="00185C2A" w:rsidP="003C175A">
      <w:pPr>
        <w:pStyle w:val="Normal1"/>
        <w:rPr>
          <w:rFonts w:asciiTheme="majorHAnsi" w:hAnsiTheme="majorHAnsi"/>
          <w:sz w:val="24"/>
          <w:szCs w:val="24"/>
        </w:rPr>
      </w:pPr>
    </w:p>
    <w:p w14:paraId="5902F33C" w14:textId="593A910C" w:rsidR="00185C2A" w:rsidRPr="00CF1C41" w:rsidRDefault="003C175A" w:rsidP="003C175A">
      <w:pPr>
        <w:pStyle w:val="Normal1"/>
        <w:rPr>
          <w:rFonts w:asciiTheme="majorHAnsi" w:hAnsiTheme="majorHAnsi"/>
          <w:sz w:val="24"/>
          <w:szCs w:val="24"/>
        </w:rPr>
      </w:pPr>
      <w:r w:rsidRPr="00CF1C41">
        <w:rPr>
          <w:rFonts w:asciiTheme="majorHAnsi" w:hAnsiTheme="majorHAnsi"/>
          <w:sz w:val="24"/>
          <w:szCs w:val="24"/>
        </w:rPr>
        <w:t>MetMunch</w:t>
      </w:r>
      <w:r w:rsidR="00373E62" w:rsidRPr="00CF1C41">
        <w:rPr>
          <w:rFonts w:asciiTheme="majorHAnsi" w:hAnsiTheme="majorHAnsi"/>
          <w:sz w:val="24"/>
          <w:szCs w:val="24"/>
        </w:rPr>
        <w:t>.</w:t>
      </w:r>
      <w:r w:rsidRPr="00CF1C41">
        <w:rPr>
          <w:rFonts w:asciiTheme="majorHAnsi" w:hAnsiTheme="majorHAnsi"/>
          <w:sz w:val="24"/>
          <w:szCs w:val="24"/>
        </w:rPr>
        <w:t xml:space="preserve"> 2020. </w:t>
      </w:r>
      <w:r w:rsidR="008772D9" w:rsidRPr="00CF1C41">
        <w:rPr>
          <w:rFonts w:asciiTheme="majorHAnsi" w:hAnsiTheme="majorHAnsi"/>
          <w:sz w:val="24"/>
          <w:szCs w:val="24"/>
        </w:rPr>
        <w:t>“</w:t>
      </w:r>
      <w:r w:rsidRPr="00CF1C41">
        <w:rPr>
          <w:rFonts w:asciiTheme="majorHAnsi" w:hAnsiTheme="majorHAnsi"/>
          <w:sz w:val="24"/>
          <w:szCs w:val="24"/>
        </w:rPr>
        <w:t>Student-led social enterprise focusing on nutrition, wellbeing and sustainability.</w:t>
      </w:r>
      <w:r w:rsidR="008772D9" w:rsidRPr="00CF1C41">
        <w:rPr>
          <w:rFonts w:asciiTheme="majorHAnsi" w:hAnsiTheme="majorHAnsi"/>
          <w:sz w:val="24"/>
          <w:szCs w:val="24"/>
        </w:rPr>
        <w:t>” MetMunch. Accesssed 6 November</w:t>
      </w:r>
      <w:r w:rsidRPr="00CF1C41">
        <w:rPr>
          <w:rFonts w:asciiTheme="majorHAnsi" w:hAnsiTheme="majorHAnsi"/>
          <w:sz w:val="24"/>
          <w:szCs w:val="24"/>
        </w:rPr>
        <w:t xml:space="preserve"> 2020. </w:t>
      </w:r>
      <w:hyperlink r:id="rId25" w:history="1">
        <w:r w:rsidRPr="00CF1C41">
          <w:rPr>
            <w:rStyle w:val="Hyperlink"/>
            <w:rFonts w:asciiTheme="majorHAnsi" w:hAnsiTheme="majorHAnsi"/>
            <w:color w:val="auto"/>
            <w:sz w:val="24"/>
            <w:szCs w:val="24"/>
          </w:rPr>
          <w:t>https://metmunch.com</w:t>
        </w:r>
      </w:hyperlink>
      <w:r w:rsidR="00373E62" w:rsidRPr="00CF1C41">
        <w:rPr>
          <w:rStyle w:val="Hyperlink"/>
          <w:rFonts w:asciiTheme="majorHAnsi" w:hAnsiTheme="majorHAnsi"/>
          <w:color w:val="auto"/>
          <w:sz w:val="24"/>
          <w:szCs w:val="24"/>
        </w:rPr>
        <w:t>.</w:t>
      </w:r>
    </w:p>
    <w:p w14:paraId="2ABB034C" w14:textId="77777777" w:rsidR="00CB0A69" w:rsidRPr="00CF1C41" w:rsidRDefault="00CB0A69" w:rsidP="003C175A">
      <w:pPr>
        <w:pStyle w:val="Normal1"/>
        <w:rPr>
          <w:rFonts w:asciiTheme="majorHAnsi" w:hAnsiTheme="majorHAnsi"/>
          <w:sz w:val="24"/>
          <w:szCs w:val="24"/>
        </w:rPr>
      </w:pPr>
    </w:p>
    <w:p w14:paraId="3D17ECA1" w14:textId="4F2E2340" w:rsidR="00CB0A69" w:rsidRPr="00CF1C41" w:rsidRDefault="00CB0A69" w:rsidP="003C175A">
      <w:pPr>
        <w:pStyle w:val="Normal1"/>
        <w:rPr>
          <w:rFonts w:asciiTheme="majorHAnsi" w:hAnsiTheme="majorHAnsi"/>
          <w:sz w:val="24"/>
          <w:szCs w:val="24"/>
        </w:rPr>
      </w:pPr>
      <w:r w:rsidRPr="00CF1C41">
        <w:rPr>
          <w:rFonts w:asciiTheme="majorHAnsi" w:hAnsiTheme="majorHAnsi"/>
          <w:sz w:val="24"/>
          <w:szCs w:val="24"/>
        </w:rPr>
        <w:t xml:space="preserve">McKee, Ivan. 2020. </w:t>
      </w:r>
      <w:r w:rsidRPr="00CF1C41">
        <w:rPr>
          <w:rFonts w:asciiTheme="majorHAnsi" w:hAnsiTheme="majorHAnsi"/>
          <w:i/>
          <w:sz w:val="24"/>
          <w:szCs w:val="24"/>
        </w:rPr>
        <w:t xml:space="preserve">“Life Sciences innovation and responding to Covid-19.” </w:t>
      </w:r>
      <w:r w:rsidRPr="00CF1C41">
        <w:rPr>
          <w:rFonts w:asciiTheme="majorHAnsi" w:hAnsiTheme="majorHAnsi"/>
          <w:sz w:val="24"/>
          <w:szCs w:val="24"/>
        </w:rPr>
        <w:t xml:space="preserve">Scottish Government, Accessed 6 November 2020. </w:t>
      </w:r>
      <w:hyperlink r:id="rId26" w:history="1">
        <w:r w:rsidRPr="00CF1C41">
          <w:rPr>
            <w:rStyle w:val="Hyperlink"/>
            <w:rFonts w:asciiTheme="majorHAnsi" w:hAnsiTheme="majorHAnsi"/>
            <w:sz w:val="24"/>
            <w:szCs w:val="24"/>
          </w:rPr>
          <w:t>https://www.gov.scot/publications/coronavirus-covid-19-life-sciences-sector-support/</w:t>
        </w:r>
      </w:hyperlink>
      <w:r w:rsidR="002235AA" w:rsidRPr="00CF1C41">
        <w:rPr>
          <w:rFonts w:asciiTheme="majorHAnsi" w:hAnsiTheme="majorHAnsi"/>
          <w:sz w:val="24"/>
          <w:szCs w:val="24"/>
        </w:rPr>
        <w:t>.</w:t>
      </w:r>
    </w:p>
    <w:p w14:paraId="60519A0B" w14:textId="77777777" w:rsidR="00CB0A69" w:rsidRPr="00CF1C41" w:rsidRDefault="00CB0A69" w:rsidP="003C175A">
      <w:pPr>
        <w:pStyle w:val="Normal1"/>
        <w:rPr>
          <w:rFonts w:asciiTheme="majorHAnsi" w:hAnsiTheme="majorHAnsi"/>
          <w:sz w:val="24"/>
          <w:szCs w:val="24"/>
        </w:rPr>
      </w:pPr>
    </w:p>
    <w:p w14:paraId="6F811FF9" w14:textId="6607AABE" w:rsidR="002235AA" w:rsidRPr="00CF1C41" w:rsidRDefault="002235AA" w:rsidP="002235AA">
      <w:pPr>
        <w:rPr>
          <w:rFonts w:asciiTheme="majorHAnsi" w:hAnsiTheme="majorHAnsi"/>
          <w:sz w:val="24"/>
          <w:szCs w:val="24"/>
        </w:rPr>
      </w:pPr>
      <w:r w:rsidRPr="00CF1C41">
        <w:rPr>
          <w:rFonts w:asciiTheme="majorHAnsi" w:hAnsiTheme="majorHAnsi"/>
          <w:sz w:val="24"/>
          <w:szCs w:val="24"/>
        </w:rPr>
        <w:t xml:space="preserve">Montacute, Rebecca. 2020. </w:t>
      </w:r>
      <w:r w:rsidRPr="00CF1C41">
        <w:rPr>
          <w:rFonts w:asciiTheme="majorHAnsi" w:hAnsiTheme="majorHAnsi"/>
          <w:i/>
          <w:sz w:val="24"/>
          <w:szCs w:val="24"/>
        </w:rPr>
        <w:t>“Social Mobility and COVID-19: Implications of the COVID-19 Crisis for Educational Inequality.”</w:t>
      </w:r>
      <w:r w:rsidRPr="00CF1C41">
        <w:rPr>
          <w:rFonts w:asciiTheme="majorHAnsi" w:hAnsiTheme="majorHAnsi"/>
          <w:sz w:val="24"/>
          <w:szCs w:val="24"/>
        </w:rPr>
        <w:t xml:space="preserve"> Sutton Trust, Accessed 6 November 2020. </w:t>
      </w:r>
      <w:hyperlink r:id="rId27" w:history="1">
        <w:r w:rsidRPr="00CF1C41">
          <w:rPr>
            <w:rFonts w:asciiTheme="majorHAnsi" w:hAnsiTheme="majorHAnsi"/>
            <w:sz w:val="24"/>
            <w:szCs w:val="24"/>
          </w:rPr>
          <w:t>https://www.suttontrust.com/wp-content/uploads/2020/04/COVID-19-and-Social-Mobility-1.pdf</w:t>
        </w:r>
      </w:hyperlink>
      <w:r w:rsidRPr="00CF1C41">
        <w:rPr>
          <w:rFonts w:asciiTheme="majorHAnsi" w:hAnsiTheme="majorHAnsi"/>
          <w:sz w:val="24"/>
          <w:szCs w:val="24"/>
        </w:rPr>
        <w:t>.</w:t>
      </w:r>
    </w:p>
    <w:p w14:paraId="7D3F4E8E" w14:textId="367DF1A9" w:rsidR="002235AA" w:rsidRPr="00CF1C41" w:rsidRDefault="002235AA" w:rsidP="00825643">
      <w:pPr>
        <w:rPr>
          <w:rFonts w:asciiTheme="majorHAnsi" w:hAnsiTheme="majorHAnsi"/>
          <w:sz w:val="24"/>
          <w:szCs w:val="24"/>
        </w:rPr>
      </w:pPr>
      <w:r w:rsidRPr="00CF1C41">
        <w:rPr>
          <w:rFonts w:asciiTheme="majorHAnsi" w:eastAsia="Times New Roman" w:hAnsiTheme="majorHAnsi"/>
          <w:b/>
          <w:bCs/>
          <w:color w:val="333333"/>
          <w:sz w:val="24"/>
          <w:szCs w:val="24"/>
          <w:lang w:val="en-GB"/>
        </w:rPr>
        <w:t xml:space="preserve"> </w:t>
      </w:r>
    </w:p>
    <w:p w14:paraId="06E3D051" w14:textId="36DB5539" w:rsidR="00185C2A" w:rsidRPr="00CF1C41" w:rsidRDefault="00185C2A" w:rsidP="00185C2A">
      <w:pPr>
        <w:spacing w:line="240" w:lineRule="auto"/>
        <w:rPr>
          <w:rFonts w:asciiTheme="majorHAnsi" w:eastAsia="Times New Roman" w:hAnsiTheme="majorHAnsi" w:cs="Times New Roman"/>
          <w:sz w:val="24"/>
          <w:szCs w:val="24"/>
          <w:lang w:val="en-GB"/>
        </w:rPr>
      </w:pPr>
      <w:r w:rsidRPr="00CF1C41">
        <w:rPr>
          <w:rFonts w:asciiTheme="majorHAnsi" w:eastAsia="Times New Roman" w:hAnsiTheme="majorHAnsi"/>
          <w:sz w:val="24"/>
          <w:szCs w:val="24"/>
          <w:shd w:val="clear" w:color="auto" w:fill="FFFFFF"/>
          <w:lang w:val="en-GB"/>
        </w:rPr>
        <w:t>Moores, Elisabeth, Gurkiran K</w:t>
      </w:r>
      <w:r w:rsidR="003537BE" w:rsidRPr="00CF1C41">
        <w:rPr>
          <w:rFonts w:asciiTheme="majorHAnsi" w:eastAsia="Times New Roman" w:hAnsiTheme="majorHAnsi"/>
          <w:sz w:val="24"/>
          <w:szCs w:val="24"/>
          <w:shd w:val="clear" w:color="auto" w:fill="FFFFFF"/>
          <w:lang w:val="en-GB"/>
        </w:rPr>
        <w:t xml:space="preserve"> Birdi</w:t>
      </w:r>
      <w:r w:rsidRPr="00CF1C41">
        <w:rPr>
          <w:rFonts w:asciiTheme="majorHAnsi" w:eastAsia="Times New Roman" w:hAnsiTheme="majorHAnsi"/>
          <w:sz w:val="24"/>
          <w:szCs w:val="24"/>
          <w:shd w:val="clear" w:color="auto" w:fill="FFFFFF"/>
          <w:lang w:val="en-GB"/>
        </w:rPr>
        <w:t xml:space="preserve">, </w:t>
      </w:r>
      <w:r w:rsidR="003537BE" w:rsidRPr="00CF1C41">
        <w:rPr>
          <w:rFonts w:asciiTheme="majorHAnsi" w:eastAsia="Times New Roman" w:hAnsiTheme="majorHAnsi"/>
          <w:sz w:val="24"/>
          <w:szCs w:val="24"/>
          <w:shd w:val="clear" w:color="auto" w:fill="FFFFFF"/>
          <w:lang w:val="en-GB"/>
        </w:rPr>
        <w:t>and</w:t>
      </w:r>
      <w:r w:rsidRPr="00CF1C41">
        <w:rPr>
          <w:rFonts w:asciiTheme="majorHAnsi" w:eastAsia="Times New Roman" w:hAnsiTheme="majorHAnsi"/>
          <w:sz w:val="24"/>
          <w:szCs w:val="24"/>
          <w:shd w:val="clear" w:color="auto" w:fill="FFFFFF"/>
          <w:lang w:val="en-GB"/>
        </w:rPr>
        <w:t xml:space="preserve"> H</w:t>
      </w:r>
      <w:r w:rsidR="003537BE" w:rsidRPr="00CF1C41">
        <w:rPr>
          <w:rFonts w:asciiTheme="majorHAnsi" w:eastAsia="Times New Roman" w:hAnsiTheme="majorHAnsi"/>
          <w:sz w:val="24"/>
          <w:szCs w:val="24"/>
          <w:shd w:val="clear" w:color="auto" w:fill="FFFFFF"/>
          <w:lang w:val="en-GB"/>
        </w:rPr>
        <w:t>elen E. Higson</w:t>
      </w:r>
      <w:r w:rsidRPr="00CF1C41">
        <w:rPr>
          <w:rFonts w:asciiTheme="majorHAnsi" w:eastAsia="Times New Roman" w:hAnsiTheme="majorHAnsi"/>
          <w:sz w:val="24"/>
          <w:szCs w:val="24"/>
          <w:shd w:val="clear" w:color="auto" w:fill="FFFFFF"/>
          <w:lang w:val="en-GB"/>
        </w:rPr>
        <w:t xml:space="preserve">. (2017). </w:t>
      </w:r>
      <w:r w:rsidR="003537BE" w:rsidRPr="00CF1C41">
        <w:rPr>
          <w:rFonts w:asciiTheme="majorHAnsi" w:eastAsia="Times New Roman" w:hAnsiTheme="majorHAnsi"/>
          <w:sz w:val="24"/>
          <w:szCs w:val="24"/>
          <w:shd w:val="clear" w:color="auto" w:fill="FFFFFF"/>
          <w:lang w:val="en-GB"/>
        </w:rPr>
        <w:t>“</w:t>
      </w:r>
      <w:r w:rsidRPr="00CF1C41">
        <w:rPr>
          <w:rFonts w:asciiTheme="majorHAnsi" w:eastAsia="Times New Roman" w:hAnsiTheme="majorHAnsi"/>
          <w:sz w:val="24"/>
          <w:szCs w:val="24"/>
          <w:shd w:val="clear" w:color="auto" w:fill="FFFFFF"/>
          <w:lang w:val="en-GB"/>
        </w:rPr>
        <w:t>Placement Work Experience May Mitigate Lower Achievement Levels of Black and Asian vs. White Students at University.</w:t>
      </w:r>
      <w:r w:rsidR="003537BE" w:rsidRPr="00CF1C41">
        <w:rPr>
          <w:rFonts w:asciiTheme="majorHAnsi" w:eastAsia="Times New Roman" w:hAnsiTheme="majorHAnsi"/>
          <w:sz w:val="24"/>
          <w:szCs w:val="24"/>
          <w:shd w:val="clear" w:color="auto" w:fill="FFFFFF"/>
          <w:lang w:val="en-GB"/>
        </w:rPr>
        <w:t>”</w:t>
      </w:r>
      <w:r w:rsidRPr="00CF1C41">
        <w:rPr>
          <w:rFonts w:asciiTheme="majorHAnsi" w:eastAsia="Times New Roman" w:hAnsiTheme="majorHAnsi"/>
          <w:sz w:val="24"/>
          <w:szCs w:val="24"/>
          <w:shd w:val="clear" w:color="auto" w:fill="FFFFFF"/>
          <w:lang w:val="en-GB"/>
        </w:rPr>
        <w:t> </w:t>
      </w:r>
      <w:r w:rsidR="003537BE" w:rsidRPr="00CF1C41">
        <w:rPr>
          <w:rFonts w:asciiTheme="majorHAnsi" w:eastAsia="Times New Roman" w:hAnsiTheme="majorHAnsi"/>
          <w:i/>
          <w:iCs/>
          <w:sz w:val="24"/>
          <w:szCs w:val="24"/>
          <w:lang w:val="en-GB"/>
        </w:rPr>
        <w:t>Frontiers in P</w:t>
      </w:r>
      <w:r w:rsidRPr="00CF1C41">
        <w:rPr>
          <w:rFonts w:asciiTheme="majorHAnsi" w:eastAsia="Times New Roman" w:hAnsiTheme="majorHAnsi"/>
          <w:i/>
          <w:iCs/>
          <w:sz w:val="24"/>
          <w:szCs w:val="24"/>
          <w:lang w:val="en-GB"/>
        </w:rPr>
        <w:t>sychology</w:t>
      </w:r>
      <w:r w:rsidRPr="00CF1C41">
        <w:rPr>
          <w:rFonts w:asciiTheme="majorHAnsi" w:eastAsia="Times New Roman" w:hAnsiTheme="majorHAnsi"/>
          <w:sz w:val="24"/>
          <w:szCs w:val="24"/>
          <w:shd w:val="clear" w:color="auto" w:fill="FFFFFF"/>
          <w:lang w:val="en-GB"/>
        </w:rPr>
        <w:t> </w:t>
      </w:r>
      <w:r w:rsidRPr="00CF1C41">
        <w:rPr>
          <w:rFonts w:asciiTheme="majorHAnsi" w:eastAsia="Times New Roman" w:hAnsiTheme="majorHAnsi"/>
          <w:i/>
          <w:iCs/>
          <w:sz w:val="24"/>
          <w:szCs w:val="24"/>
          <w:lang w:val="en-GB"/>
        </w:rPr>
        <w:t>8</w:t>
      </w:r>
      <w:r w:rsidR="003537BE" w:rsidRPr="00CF1C41">
        <w:rPr>
          <w:rFonts w:asciiTheme="majorHAnsi" w:eastAsia="Times New Roman" w:hAnsiTheme="majorHAnsi"/>
          <w:sz w:val="24"/>
          <w:szCs w:val="24"/>
          <w:shd w:val="clear" w:color="auto" w:fill="FFFFFF"/>
          <w:lang w:val="en-GB"/>
        </w:rPr>
        <w:t>:</w:t>
      </w:r>
      <w:r w:rsidRPr="00CF1C41">
        <w:rPr>
          <w:rFonts w:asciiTheme="majorHAnsi" w:eastAsia="Times New Roman" w:hAnsiTheme="majorHAnsi"/>
          <w:sz w:val="24"/>
          <w:szCs w:val="24"/>
          <w:shd w:val="clear" w:color="auto" w:fill="FFFFFF"/>
          <w:lang w:val="en-GB"/>
        </w:rPr>
        <w:t xml:space="preserve"> 1518. https://doi.org/10.3389/fpsyg.2017.01518</w:t>
      </w:r>
      <w:r w:rsidR="00373E62" w:rsidRPr="00CF1C41">
        <w:rPr>
          <w:rFonts w:asciiTheme="majorHAnsi" w:eastAsia="Times New Roman" w:hAnsiTheme="majorHAnsi"/>
          <w:sz w:val="24"/>
          <w:szCs w:val="24"/>
          <w:shd w:val="clear" w:color="auto" w:fill="FFFFFF"/>
          <w:lang w:val="en-GB"/>
        </w:rPr>
        <w:t>.</w:t>
      </w:r>
    </w:p>
    <w:p w14:paraId="148FB835" w14:textId="77777777" w:rsidR="008772D9" w:rsidRPr="00CF1C41" w:rsidRDefault="008772D9" w:rsidP="003C175A">
      <w:pPr>
        <w:pStyle w:val="Normal1"/>
        <w:rPr>
          <w:rFonts w:asciiTheme="majorHAnsi" w:hAnsiTheme="majorHAnsi"/>
          <w:sz w:val="24"/>
          <w:szCs w:val="24"/>
        </w:rPr>
      </w:pPr>
    </w:p>
    <w:p w14:paraId="524A41B0" w14:textId="22B3774D" w:rsidR="003C175A" w:rsidRPr="00CF1C41" w:rsidRDefault="00373E62" w:rsidP="003C175A">
      <w:pPr>
        <w:pStyle w:val="Normal1"/>
        <w:rPr>
          <w:rFonts w:asciiTheme="majorHAnsi" w:hAnsiTheme="majorHAnsi"/>
          <w:sz w:val="24"/>
          <w:szCs w:val="24"/>
        </w:rPr>
      </w:pPr>
      <w:r w:rsidRPr="00CF1C41">
        <w:rPr>
          <w:rFonts w:asciiTheme="majorHAnsi" w:hAnsiTheme="majorHAnsi"/>
          <w:sz w:val="24"/>
          <w:szCs w:val="24"/>
        </w:rPr>
        <w:t>Nottingham Trent University (</w:t>
      </w:r>
      <w:r w:rsidR="003C175A" w:rsidRPr="00CF1C41">
        <w:rPr>
          <w:rFonts w:asciiTheme="majorHAnsi" w:hAnsiTheme="majorHAnsi"/>
          <w:sz w:val="24"/>
          <w:szCs w:val="24"/>
        </w:rPr>
        <w:t>NTU</w:t>
      </w:r>
      <w:r w:rsidRPr="00CF1C41">
        <w:rPr>
          <w:rFonts w:asciiTheme="majorHAnsi" w:hAnsiTheme="majorHAnsi"/>
          <w:sz w:val="24"/>
          <w:szCs w:val="24"/>
        </w:rPr>
        <w:t>).</w:t>
      </w:r>
      <w:r w:rsidR="003C175A" w:rsidRPr="00CF1C41">
        <w:rPr>
          <w:rFonts w:asciiTheme="majorHAnsi" w:hAnsiTheme="majorHAnsi"/>
          <w:sz w:val="24"/>
          <w:szCs w:val="24"/>
        </w:rPr>
        <w:t xml:space="preserve"> 2020. </w:t>
      </w:r>
      <w:r w:rsidR="008772D9" w:rsidRPr="00CF1C41">
        <w:rPr>
          <w:rFonts w:asciiTheme="majorHAnsi" w:hAnsiTheme="majorHAnsi"/>
          <w:sz w:val="24"/>
          <w:szCs w:val="24"/>
        </w:rPr>
        <w:t>“</w:t>
      </w:r>
      <w:r w:rsidR="003C175A" w:rsidRPr="00CF1C41">
        <w:rPr>
          <w:rFonts w:asciiTheme="majorHAnsi" w:hAnsiTheme="majorHAnsi"/>
          <w:sz w:val="24"/>
          <w:szCs w:val="24"/>
        </w:rPr>
        <w:t>N</w:t>
      </w:r>
      <w:r w:rsidR="00185C2A" w:rsidRPr="00CF1C41">
        <w:rPr>
          <w:rFonts w:asciiTheme="majorHAnsi" w:hAnsiTheme="majorHAnsi"/>
          <w:sz w:val="24"/>
          <w:szCs w:val="24"/>
        </w:rPr>
        <w:t>ottingham Trent University</w:t>
      </w:r>
      <w:r w:rsidR="003C175A" w:rsidRPr="00CF1C41">
        <w:rPr>
          <w:rFonts w:asciiTheme="majorHAnsi" w:hAnsiTheme="majorHAnsi"/>
          <w:sz w:val="24"/>
          <w:szCs w:val="24"/>
        </w:rPr>
        <w:t xml:space="preserve"> Enterprise.</w:t>
      </w:r>
      <w:r w:rsidR="008772D9" w:rsidRPr="00CF1C41">
        <w:rPr>
          <w:rFonts w:asciiTheme="majorHAnsi" w:hAnsiTheme="majorHAnsi"/>
          <w:sz w:val="24"/>
          <w:szCs w:val="24"/>
        </w:rPr>
        <w:t>” Nottingham Trent University. Accessed 6 November</w:t>
      </w:r>
      <w:r w:rsidR="003C175A" w:rsidRPr="00CF1C41">
        <w:rPr>
          <w:rFonts w:asciiTheme="majorHAnsi" w:hAnsiTheme="majorHAnsi"/>
          <w:sz w:val="24"/>
          <w:szCs w:val="24"/>
        </w:rPr>
        <w:t xml:space="preserve"> </w:t>
      </w:r>
      <w:r w:rsidR="00185C2A" w:rsidRPr="00CF1C41">
        <w:rPr>
          <w:rFonts w:asciiTheme="majorHAnsi" w:hAnsiTheme="majorHAnsi"/>
          <w:sz w:val="24"/>
          <w:szCs w:val="24"/>
        </w:rPr>
        <w:t xml:space="preserve">2020. </w:t>
      </w:r>
      <w:hyperlink r:id="rId28" w:history="1">
        <w:r w:rsidR="003C175A" w:rsidRPr="00CF1C41">
          <w:rPr>
            <w:rStyle w:val="Hyperlink"/>
            <w:rFonts w:asciiTheme="majorHAnsi" w:hAnsiTheme="majorHAnsi"/>
            <w:color w:val="auto"/>
            <w:sz w:val="24"/>
            <w:szCs w:val="24"/>
          </w:rPr>
          <w:t>https://www.ntu.ac.uk/ntu-enterprise</w:t>
        </w:r>
      </w:hyperlink>
      <w:r w:rsidRPr="00CF1C41">
        <w:rPr>
          <w:rStyle w:val="Hyperlink"/>
          <w:rFonts w:asciiTheme="majorHAnsi" w:hAnsiTheme="majorHAnsi"/>
          <w:color w:val="auto"/>
          <w:sz w:val="24"/>
          <w:szCs w:val="24"/>
        </w:rPr>
        <w:t>.</w:t>
      </w:r>
    </w:p>
    <w:p w14:paraId="25ECC181" w14:textId="1386DC66" w:rsidR="00C304E2" w:rsidRPr="00CF1C41" w:rsidRDefault="00691C36" w:rsidP="00C304E2">
      <w:pPr>
        <w:pStyle w:val="Normal1"/>
        <w:spacing w:before="240" w:after="240"/>
        <w:rPr>
          <w:rFonts w:asciiTheme="majorHAnsi" w:hAnsiTheme="majorHAnsi"/>
          <w:sz w:val="24"/>
          <w:szCs w:val="24"/>
        </w:rPr>
      </w:pPr>
      <w:r w:rsidRPr="00CF1C41">
        <w:rPr>
          <w:rFonts w:asciiTheme="majorHAnsi" w:hAnsiTheme="majorHAnsi"/>
          <w:sz w:val="24"/>
          <w:szCs w:val="24"/>
        </w:rPr>
        <w:t>Office for National Statistics</w:t>
      </w:r>
      <w:r w:rsidR="00185C2A" w:rsidRPr="00CF1C41">
        <w:rPr>
          <w:rFonts w:asciiTheme="majorHAnsi" w:hAnsiTheme="majorHAnsi"/>
          <w:sz w:val="24"/>
          <w:szCs w:val="24"/>
        </w:rPr>
        <w:t xml:space="preserve"> </w:t>
      </w:r>
      <w:r w:rsidRPr="00CF1C41">
        <w:rPr>
          <w:rFonts w:asciiTheme="majorHAnsi" w:hAnsiTheme="majorHAnsi"/>
          <w:sz w:val="24"/>
          <w:szCs w:val="24"/>
        </w:rPr>
        <w:t>(ONS)</w:t>
      </w:r>
      <w:r w:rsidR="00373E62" w:rsidRPr="00CF1C41">
        <w:rPr>
          <w:rFonts w:asciiTheme="majorHAnsi" w:hAnsiTheme="majorHAnsi"/>
          <w:sz w:val="24"/>
          <w:szCs w:val="24"/>
        </w:rPr>
        <w:t>.</w:t>
      </w:r>
      <w:r w:rsidRPr="00CF1C41">
        <w:rPr>
          <w:rFonts w:asciiTheme="majorHAnsi" w:hAnsiTheme="majorHAnsi"/>
          <w:sz w:val="24"/>
          <w:szCs w:val="24"/>
        </w:rPr>
        <w:t xml:space="preserve"> </w:t>
      </w:r>
      <w:r w:rsidR="00185C2A" w:rsidRPr="00CF1C41">
        <w:rPr>
          <w:rFonts w:asciiTheme="majorHAnsi" w:hAnsiTheme="majorHAnsi"/>
          <w:sz w:val="24"/>
          <w:szCs w:val="24"/>
        </w:rPr>
        <w:t>2020. “</w:t>
      </w:r>
      <w:r w:rsidR="00185C2A" w:rsidRPr="00CF1C41">
        <w:rPr>
          <w:rFonts w:asciiTheme="majorHAnsi" w:hAnsiTheme="majorHAnsi"/>
          <w:i/>
          <w:sz w:val="24"/>
          <w:szCs w:val="24"/>
        </w:rPr>
        <w:t>Coronavirus and Homeworking in the UK: April 2020</w:t>
      </w:r>
      <w:r w:rsidR="00185C2A" w:rsidRPr="00CF1C41">
        <w:rPr>
          <w:rFonts w:asciiTheme="majorHAnsi" w:hAnsiTheme="majorHAnsi"/>
          <w:sz w:val="24"/>
          <w:szCs w:val="24"/>
        </w:rPr>
        <w:t xml:space="preserve">.” </w:t>
      </w:r>
      <w:r w:rsidR="00BD38CF" w:rsidRPr="00CF1C41">
        <w:rPr>
          <w:rFonts w:asciiTheme="majorHAnsi" w:hAnsiTheme="majorHAnsi"/>
          <w:sz w:val="24"/>
          <w:szCs w:val="24"/>
        </w:rPr>
        <w:t>ONS. Accessed 6 November 2020.</w:t>
      </w:r>
      <w:r w:rsidR="00185C2A" w:rsidRPr="00CF1C41">
        <w:rPr>
          <w:rFonts w:asciiTheme="majorHAnsi" w:hAnsiTheme="majorHAnsi"/>
          <w:sz w:val="24"/>
          <w:szCs w:val="24"/>
        </w:rPr>
        <w:t xml:space="preserve"> </w:t>
      </w:r>
      <w:hyperlink r:id="rId29" w:history="1">
        <w:r w:rsidR="00185C2A" w:rsidRPr="00CF1C41">
          <w:rPr>
            <w:rStyle w:val="Hyperlink"/>
            <w:rFonts w:asciiTheme="majorHAnsi" w:hAnsiTheme="majorHAnsi"/>
            <w:color w:val="auto"/>
            <w:sz w:val="24"/>
            <w:szCs w:val="24"/>
          </w:rPr>
          <w:t>https://www.ons.gov.uk/employmentandlabourmarket/peopleinwork/employmentandemployeetypes/bulletins/coronavirusandhomeworkingintheuk/april2020</w:t>
        </w:r>
      </w:hyperlink>
      <w:r w:rsidR="00373E62" w:rsidRPr="00CF1C41">
        <w:rPr>
          <w:rStyle w:val="Hyperlink"/>
          <w:rFonts w:asciiTheme="majorHAnsi" w:hAnsiTheme="majorHAnsi"/>
          <w:color w:val="auto"/>
          <w:sz w:val="24"/>
          <w:szCs w:val="24"/>
        </w:rPr>
        <w:t>.</w:t>
      </w:r>
    </w:p>
    <w:p w14:paraId="48026421" w14:textId="4D3BCD6A" w:rsidR="00C304E2" w:rsidRPr="00CF1C41" w:rsidRDefault="00C304E2" w:rsidP="00C304E2">
      <w:pPr>
        <w:pStyle w:val="Normal1"/>
        <w:rPr>
          <w:rFonts w:asciiTheme="majorHAnsi" w:hAnsiTheme="majorHAnsi"/>
          <w:sz w:val="24"/>
          <w:szCs w:val="24"/>
        </w:rPr>
      </w:pPr>
      <w:r w:rsidRPr="00CF1C41">
        <w:rPr>
          <w:rFonts w:asciiTheme="majorHAnsi" w:hAnsiTheme="majorHAnsi"/>
          <w:sz w:val="24"/>
          <w:szCs w:val="24"/>
        </w:rPr>
        <w:t>OpenEd</w:t>
      </w:r>
      <w:r w:rsidR="00373E62" w:rsidRPr="00CF1C41">
        <w:rPr>
          <w:rFonts w:asciiTheme="majorHAnsi" w:hAnsiTheme="majorHAnsi"/>
          <w:sz w:val="24"/>
          <w:szCs w:val="24"/>
        </w:rPr>
        <w:t>.</w:t>
      </w:r>
      <w:r w:rsidRPr="00CF1C41">
        <w:rPr>
          <w:rFonts w:asciiTheme="majorHAnsi" w:hAnsiTheme="majorHAnsi"/>
          <w:sz w:val="24"/>
          <w:szCs w:val="24"/>
        </w:rPr>
        <w:t xml:space="preserve"> 2020. “Where to find OER”. Open Educational Resources, University of  Edinburgh. Accessed 6 November 2020. </w:t>
      </w:r>
      <w:hyperlink r:id="rId30" w:history="1">
        <w:r w:rsidRPr="00CF1C41">
          <w:rPr>
            <w:rFonts w:asciiTheme="majorHAnsi" w:hAnsiTheme="majorHAnsi"/>
            <w:sz w:val="24"/>
            <w:szCs w:val="24"/>
          </w:rPr>
          <w:t>https://open.ed.ac.uk/how-to-guides-old/where-to-find-oers/</w:t>
        </w:r>
      </w:hyperlink>
      <w:r w:rsidR="00373E62" w:rsidRPr="00CF1C41">
        <w:rPr>
          <w:rFonts w:asciiTheme="majorHAnsi" w:hAnsiTheme="majorHAnsi"/>
          <w:sz w:val="24"/>
          <w:szCs w:val="24"/>
        </w:rPr>
        <w:t>.</w:t>
      </w:r>
    </w:p>
    <w:p w14:paraId="000000C1" w14:textId="0A4436ED" w:rsidR="00F135CF" w:rsidRPr="00CF1C41" w:rsidRDefault="00691C36" w:rsidP="009F706A">
      <w:pPr>
        <w:pStyle w:val="Normal1"/>
        <w:spacing w:before="240" w:after="240"/>
        <w:rPr>
          <w:rFonts w:asciiTheme="majorHAnsi" w:hAnsiTheme="majorHAnsi"/>
          <w:sz w:val="24"/>
          <w:szCs w:val="24"/>
        </w:rPr>
      </w:pPr>
      <w:r w:rsidRPr="00CF1C41">
        <w:rPr>
          <w:rFonts w:asciiTheme="majorHAnsi" w:hAnsiTheme="majorHAnsi"/>
          <w:sz w:val="24"/>
          <w:szCs w:val="24"/>
        </w:rPr>
        <w:lastRenderedPageBreak/>
        <w:t>Open University</w:t>
      </w:r>
      <w:r w:rsidR="00373E62" w:rsidRPr="00CF1C41">
        <w:rPr>
          <w:rFonts w:asciiTheme="majorHAnsi" w:hAnsiTheme="majorHAnsi"/>
          <w:sz w:val="24"/>
          <w:szCs w:val="24"/>
        </w:rPr>
        <w:t>.</w:t>
      </w:r>
      <w:r w:rsidR="00B862A4" w:rsidRPr="00CF1C41">
        <w:rPr>
          <w:rFonts w:asciiTheme="majorHAnsi" w:hAnsiTheme="majorHAnsi"/>
          <w:sz w:val="24"/>
          <w:szCs w:val="24"/>
        </w:rPr>
        <w:t xml:space="preserve"> 2020. “The Open Science Laboratory.” </w:t>
      </w:r>
      <w:r w:rsidR="008772D9" w:rsidRPr="00CF1C41">
        <w:rPr>
          <w:rFonts w:asciiTheme="majorHAnsi" w:hAnsiTheme="majorHAnsi"/>
          <w:sz w:val="24"/>
          <w:szCs w:val="24"/>
        </w:rPr>
        <w:t xml:space="preserve">Open University. Accessed 6 November </w:t>
      </w:r>
      <w:r w:rsidR="00B862A4" w:rsidRPr="00CF1C41">
        <w:rPr>
          <w:rFonts w:asciiTheme="majorHAnsi" w:hAnsiTheme="majorHAnsi"/>
          <w:sz w:val="24"/>
          <w:szCs w:val="24"/>
        </w:rPr>
        <w:t xml:space="preserve">2020. </w:t>
      </w:r>
      <w:hyperlink r:id="rId31" w:history="1">
        <w:r w:rsidR="00185C2A" w:rsidRPr="00CF1C41">
          <w:rPr>
            <w:rStyle w:val="Hyperlink"/>
            <w:rFonts w:asciiTheme="majorHAnsi" w:hAnsiTheme="majorHAnsi"/>
            <w:color w:val="auto"/>
            <w:sz w:val="24"/>
            <w:szCs w:val="24"/>
          </w:rPr>
          <w:t>https://learn5.open.ac.uk/course/view.php?id=2</w:t>
        </w:r>
      </w:hyperlink>
      <w:r w:rsidR="00373E62" w:rsidRPr="00CF1C41">
        <w:rPr>
          <w:rStyle w:val="Hyperlink"/>
          <w:rFonts w:asciiTheme="majorHAnsi" w:hAnsiTheme="majorHAnsi"/>
          <w:color w:val="auto"/>
          <w:sz w:val="24"/>
          <w:szCs w:val="24"/>
        </w:rPr>
        <w:t>.</w:t>
      </w:r>
    </w:p>
    <w:p w14:paraId="219951E0" w14:textId="75FBC649" w:rsidR="00185C2A" w:rsidRPr="00CF1C41" w:rsidRDefault="003A5AD7" w:rsidP="009F706A">
      <w:pPr>
        <w:spacing w:line="240" w:lineRule="auto"/>
        <w:rPr>
          <w:rFonts w:asciiTheme="majorHAnsi" w:eastAsia="Times New Roman" w:hAnsiTheme="majorHAnsi" w:cs="Times New Roman"/>
          <w:sz w:val="24"/>
          <w:szCs w:val="24"/>
          <w:bdr w:val="none" w:sz="0" w:space="0" w:color="auto" w:frame="1"/>
          <w:lang w:val="en-GB"/>
        </w:rPr>
      </w:pPr>
      <w:r w:rsidRPr="00CF1C41">
        <w:rPr>
          <w:rFonts w:asciiTheme="majorHAnsi" w:eastAsia="Times New Roman" w:hAnsiTheme="majorHAnsi" w:cs="Times New Roman"/>
          <w:sz w:val="24"/>
          <w:szCs w:val="24"/>
          <w:shd w:val="clear" w:color="auto" w:fill="FFFFFF"/>
          <w:lang w:val="en-GB"/>
        </w:rPr>
        <w:t>O'Reilly Catherine M</w:t>
      </w:r>
      <w:r w:rsidR="003537BE"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sz w:val="24"/>
          <w:szCs w:val="24"/>
          <w:shd w:val="clear" w:color="auto" w:fill="FFFFFF"/>
          <w:lang w:val="en-GB"/>
        </w:rPr>
        <w:t>, Rebekka D</w:t>
      </w:r>
      <w:r w:rsidR="003537BE" w:rsidRPr="00CF1C41">
        <w:rPr>
          <w:rFonts w:asciiTheme="majorHAnsi" w:eastAsia="Times New Roman" w:hAnsiTheme="majorHAnsi" w:cs="Times New Roman"/>
          <w:sz w:val="24"/>
          <w:szCs w:val="24"/>
          <w:shd w:val="clear" w:color="auto" w:fill="FFFFFF"/>
          <w:lang w:val="en-GB"/>
        </w:rPr>
        <w:t>. Gougis</w:t>
      </w:r>
      <w:r w:rsidRPr="00CF1C41">
        <w:rPr>
          <w:rFonts w:asciiTheme="majorHAnsi" w:eastAsia="Times New Roman" w:hAnsiTheme="majorHAnsi" w:cs="Times New Roman"/>
          <w:sz w:val="24"/>
          <w:szCs w:val="24"/>
          <w:shd w:val="clear" w:color="auto" w:fill="FFFFFF"/>
          <w:lang w:val="en-GB"/>
        </w:rPr>
        <w:t>, Jennifer L</w:t>
      </w:r>
      <w:r w:rsidR="003537BE" w:rsidRPr="00CF1C41">
        <w:rPr>
          <w:rFonts w:asciiTheme="majorHAnsi" w:eastAsia="Times New Roman" w:hAnsiTheme="majorHAnsi" w:cs="Times New Roman"/>
          <w:sz w:val="24"/>
          <w:szCs w:val="24"/>
          <w:shd w:val="clear" w:color="auto" w:fill="FFFFFF"/>
          <w:lang w:val="en-GB"/>
        </w:rPr>
        <w:t>. Klug</w:t>
      </w:r>
      <w:r w:rsidRPr="00CF1C41">
        <w:rPr>
          <w:rFonts w:asciiTheme="majorHAnsi" w:eastAsia="Times New Roman" w:hAnsiTheme="majorHAnsi" w:cs="Times New Roman"/>
          <w:sz w:val="24"/>
          <w:szCs w:val="24"/>
          <w:shd w:val="clear" w:color="auto" w:fill="FFFFFF"/>
          <w:lang w:val="en-GB"/>
        </w:rPr>
        <w:t>, Cayelan C</w:t>
      </w:r>
      <w:r w:rsidR="003537BE" w:rsidRPr="00CF1C41">
        <w:rPr>
          <w:rFonts w:asciiTheme="majorHAnsi" w:eastAsia="Times New Roman" w:hAnsiTheme="majorHAnsi" w:cs="Times New Roman"/>
          <w:sz w:val="24"/>
          <w:szCs w:val="24"/>
          <w:shd w:val="clear" w:color="auto" w:fill="FFFFFF"/>
          <w:lang w:val="en-GB"/>
        </w:rPr>
        <w:t>. Carey</w:t>
      </w:r>
      <w:r w:rsidRPr="00CF1C41">
        <w:rPr>
          <w:rFonts w:asciiTheme="majorHAnsi" w:eastAsia="Times New Roman" w:hAnsiTheme="majorHAnsi" w:cs="Times New Roman"/>
          <w:sz w:val="24"/>
          <w:szCs w:val="24"/>
          <w:shd w:val="clear" w:color="auto" w:fill="FFFFFF"/>
          <w:lang w:val="en-GB"/>
        </w:rPr>
        <w:t>, David C</w:t>
      </w:r>
      <w:r w:rsidR="003537BE" w:rsidRPr="00CF1C41">
        <w:rPr>
          <w:rFonts w:asciiTheme="majorHAnsi" w:eastAsia="Times New Roman" w:hAnsiTheme="majorHAnsi" w:cs="Times New Roman"/>
          <w:sz w:val="24"/>
          <w:szCs w:val="24"/>
          <w:shd w:val="clear" w:color="auto" w:fill="FFFFFF"/>
          <w:lang w:val="en-GB"/>
        </w:rPr>
        <w:t>. Richardson</w:t>
      </w:r>
      <w:r w:rsidRPr="00CF1C41">
        <w:rPr>
          <w:rFonts w:asciiTheme="majorHAnsi" w:eastAsia="Times New Roman" w:hAnsiTheme="majorHAnsi" w:cs="Times New Roman"/>
          <w:sz w:val="24"/>
          <w:szCs w:val="24"/>
          <w:shd w:val="clear" w:color="auto" w:fill="FFFFFF"/>
          <w:lang w:val="en-GB"/>
        </w:rPr>
        <w:t>, Nicholas E</w:t>
      </w:r>
      <w:r w:rsidR="003537BE" w:rsidRPr="00CF1C41">
        <w:rPr>
          <w:rFonts w:asciiTheme="majorHAnsi" w:eastAsia="Times New Roman" w:hAnsiTheme="majorHAnsi" w:cs="Times New Roman"/>
          <w:sz w:val="24"/>
          <w:szCs w:val="24"/>
          <w:shd w:val="clear" w:color="auto" w:fill="FFFFFF"/>
          <w:lang w:val="en-GB"/>
        </w:rPr>
        <w:t>. Bader</w:t>
      </w:r>
      <w:r w:rsidRPr="00CF1C41">
        <w:rPr>
          <w:rFonts w:asciiTheme="majorHAnsi" w:eastAsia="Times New Roman" w:hAnsiTheme="majorHAnsi" w:cs="Times New Roman"/>
          <w:sz w:val="24"/>
          <w:szCs w:val="24"/>
          <w:shd w:val="clear" w:color="auto" w:fill="FFFFFF"/>
          <w:lang w:val="en-GB"/>
        </w:rPr>
        <w:t>, Dax C</w:t>
      </w:r>
      <w:r w:rsidR="003537BE" w:rsidRPr="00CF1C41">
        <w:rPr>
          <w:rFonts w:asciiTheme="majorHAnsi" w:eastAsia="Times New Roman" w:hAnsiTheme="majorHAnsi" w:cs="Times New Roman"/>
          <w:sz w:val="24"/>
          <w:szCs w:val="24"/>
          <w:shd w:val="clear" w:color="auto" w:fill="FFFFFF"/>
          <w:lang w:val="en-GB"/>
        </w:rPr>
        <w:t>. Soule</w:t>
      </w:r>
      <w:r w:rsidRPr="00CF1C41">
        <w:rPr>
          <w:rFonts w:asciiTheme="majorHAnsi" w:eastAsia="Times New Roman" w:hAnsiTheme="majorHAnsi" w:cs="Times New Roman"/>
          <w:sz w:val="24"/>
          <w:szCs w:val="24"/>
          <w:shd w:val="clear" w:color="auto" w:fill="FFFFFF"/>
          <w:lang w:val="en-GB"/>
        </w:rPr>
        <w:t xml:space="preserve">, et al. 2017. </w:t>
      </w:r>
      <w:r w:rsidR="003537BE"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sz w:val="24"/>
          <w:szCs w:val="24"/>
          <w:shd w:val="clear" w:color="auto" w:fill="FFFFFF"/>
          <w:lang w:val="en-GB"/>
        </w:rPr>
        <w:t>Using Large Data Sets for Open-Ended Inquiry in Undergraduate Science Classrooms</w:t>
      </w:r>
      <w:r w:rsidR="003537BE"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sz w:val="24"/>
          <w:szCs w:val="24"/>
          <w:shd w:val="clear" w:color="auto" w:fill="FFFFFF"/>
          <w:lang w:val="en-GB"/>
        </w:rPr>
        <w:t> </w:t>
      </w:r>
      <w:r w:rsidRPr="00CF1C41">
        <w:rPr>
          <w:rFonts w:asciiTheme="majorHAnsi" w:eastAsia="Times New Roman" w:hAnsiTheme="majorHAnsi" w:cs="Times New Roman"/>
          <w:i/>
          <w:iCs/>
          <w:sz w:val="24"/>
          <w:szCs w:val="24"/>
          <w:bdr w:val="none" w:sz="0" w:space="0" w:color="auto" w:frame="1"/>
          <w:lang w:val="en-GB"/>
        </w:rPr>
        <w:t>BioScience</w:t>
      </w:r>
      <w:r w:rsidR="003537BE" w:rsidRPr="00CF1C41">
        <w:rPr>
          <w:rFonts w:asciiTheme="majorHAnsi" w:eastAsia="Times New Roman" w:hAnsiTheme="majorHAnsi" w:cs="Times New Roman"/>
          <w:sz w:val="24"/>
          <w:szCs w:val="24"/>
          <w:shd w:val="clear" w:color="auto" w:fill="FFFFFF"/>
          <w:lang w:val="en-GB"/>
        </w:rPr>
        <w:t xml:space="preserve"> 67(12): 1052–1061.</w:t>
      </w:r>
      <w:r w:rsidRPr="00CF1C41">
        <w:rPr>
          <w:rFonts w:asciiTheme="majorHAnsi" w:eastAsia="Times New Roman" w:hAnsiTheme="majorHAnsi" w:cs="Times New Roman"/>
          <w:sz w:val="24"/>
          <w:szCs w:val="24"/>
          <w:shd w:val="clear" w:color="auto" w:fill="FFFFFF"/>
          <w:lang w:val="en-GB"/>
        </w:rPr>
        <w:t> </w:t>
      </w:r>
      <w:hyperlink r:id="rId32" w:history="1">
        <w:r w:rsidRPr="00CF1C41">
          <w:rPr>
            <w:rFonts w:asciiTheme="majorHAnsi" w:eastAsia="Times New Roman" w:hAnsiTheme="majorHAnsi" w:cs="Times New Roman"/>
            <w:sz w:val="24"/>
            <w:szCs w:val="24"/>
            <w:bdr w:val="none" w:sz="0" w:space="0" w:color="auto" w:frame="1"/>
            <w:lang w:val="en-GB"/>
          </w:rPr>
          <w:t>https://doi.org/10.1093/biosci/bix118</w:t>
        </w:r>
      </w:hyperlink>
      <w:r w:rsidR="00373E62" w:rsidRPr="00CF1C41">
        <w:rPr>
          <w:rFonts w:asciiTheme="majorHAnsi" w:eastAsia="Times New Roman" w:hAnsiTheme="majorHAnsi" w:cs="Times New Roman"/>
          <w:sz w:val="24"/>
          <w:szCs w:val="24"/>
          <w:bdr w:val="none" w:sz="0" w:space="0" w:color="auto" w:frame="1"/>
          <w:lang w:val="en-GB"/>
        </w:rPr>
        <w:t>.</w:t>
      </w:r>
    </w:p>
    <w:p w14:paraId="37950F89" w14:textId="77777777" w:rsidR="009F706A" w:rsidRPr="00CF1C41" w:rsidRDefault="009F706A" w:rsidP="009F706A">
      <w:pPr>
        <w:spacing w:line="240" w:lineRule="auto"/>
        <w:rPr>
          <w:rFonts w:asciiTheme="majorHAnsi" w:eastAsia="Times New Roman" w:hAnsiTheme="majorHAnsi" w:cs="Times New Roman"/>
          <w:sz w:val="24"/>
          <w:szCs w:val="24"/>
          <w:lang w:val="en-GB"/>
        </w:rPr>
      </w:pPr>
    </w:p>
    <w:p w14:paraId="7DE74C4F" w14:textId="22E49A99" w:rsidR="00185C2A" w:rsidRPr="00CF1C41" w:rsidRDefault="00185C2A" w:rsidP="00185C2A">
      <w:pPr>
        <w:spacing w:line="240" w:lineRule="auto"/>
        <w:rPr>
          <w:rFonts w:asciiTheme="majorHAnsi" w:eastAsia="Times New Roman" w:hAnsiTheme="majorHAnsi" w:cs="Times New Roman"/>
          <w:sz w:val="24"/>
          <w:szCs w:val="24"/>
          <w:shd w:val="clear" w:color="auto" w:fill="FFFFFF"/>
          <w:lang w:val="en-GB"/>
        </w:rPr>
      </w:pPr>
      <w:r w:rsidRPr="00CF1C41">
        <w:rPr>
          <w:rFonts w:asciiTheme="majorHAnsi" w:eastAsia="Times New Roman" w:hAnsiTheme="majorHAnsi" w:cs="Times New Roman"/>
          <w:sz w:val="24"/>
          <w:szCs w:val="24"/>
          <w:shd w:val="clear" w:color="auto" w:fill="FFFFFF"/>
          <w:lang w:val="en-GB"/>
        </w:rPr>
        <w:t>Poswal Fatima S,</w:t>
      </w:r>
      <w:r w:rsidR="003537BE" w:rsidRPr="00CF1C41">
        <w:rPr>
          <w:rFonts w:asciiTheme="majorHAnsi" w:eastAsia="Times New Roman" w:hAnsiTheme="majorHAnsi" w:cs="Times New Roman"/>
          <w:sz w:val="24"/>
          <w:szCs w:val="24"/>
          <w:shd w:val="clear" w:color="auto" w:fill="FFFFFF"/>
          <w:lang w:val="en-GB"/>
        </w:rPr>
        <w:t xml:space="preserve"> Grace Russell</w:t>
      </w:r>
      <w:r w:rsidRPr="00CF1C41">
        <w:rPr>
          <w:rFonts w:asciiTheme="majorHAnsi" w:eastAsia="Times New Roman" w:hAnsiTheme="majorHAnsi" w:cs="Times New Roman"/>
          <w:sz w:val="24"/>
          <w:szCs w:val="24"/>
          <w:shd w:val="clear" w:color="auto" w:fill="FFFFFF"/>
          <w:lang w:val="en-GB"/>
        </w:rPr>
        <w:t xml:space="preserve">, </w:t>
      </w:r>
      <w:r w:rsidR="003537BE" w:rsidRPr="00CF1C41">
        <w:rPr>
          <w:rFonts w:asciiTheme="majorHAnsi" w:eastAsia="Times New Roman" w:hAnsiTheme="majorHAnsi" w:cs="Times New Roman"/>
          <w:sz w:val="24"/>
          <w:szCs w:val="24"/>
          <w:shd w:val="clear" w:color="auto" w:fill="FFFFFF"/>
          <w:lang w:val="en-GB"/>
        </w:rPr>
        <w:t>Marion Mackonochie, Euan MacLennan, Emmanuel C. Adukwu</w:t>
      </w:r>
      <w:r w:rsidRPr="00CF1C41">
        <w:rPr>
          <w:rFonts w:asciiTheme="majorHAnsi" w:eastAsia="Times New Roman" w:hAnsiTheme="majorHAnsi" w:cs="Times New Roman"/>
          <w:sz w:val="24"/>
          <w:szCs w:val="24"/>
          <w:shd w:val="clear" w:color="auto" w:fill="FFFFFF"/>
          <w:lang w:val="en-GB"/>
        </w:rPr>
        <w:t xml:space="preserve">, </w:t>
      </w:r>
      <w:r w:rsidR="003537BE" w:rsidRPr="00CF1C41">
        <w:rPr>
          <w:rFonts w:asciiTheme="majorHAnsi" w:eastAsia="Times New Roman" w:hAnsiTheme="majorHAnsi" w:cs="Times New Roman"/>
          <w:sz w:val="24"/>
          <w:szCs w:val="24"/>
          <w:shd w:val="clear" w:color="auto" w:fill="FFFFFF"/>
          <w:lang w:val="en-GB"/>
        </w:rPr>
        <w:t>Vivien Rolfe</w:t>
      </w:r>
      <w:r w:rsidRPr="00CF1C41">
        <w:rPr>
          <w:rFonts w:asciiTheme="majorHAnsi" w:eastAsia="Times New Roman" w:hAnsiTheme="majorHAnsi" w:cs="Times New Roman"/>
          <w:sz w:val="24"/>
          <w:szCs w:val="24"/>
          <w:shd w:val="clear" w:color="auto" w:fill="FFFFFF"/>
          <w:lang w:val="en-GB"/>
        </w:rPr>
        <w:t xml:space="preserve">. 2019. </w:t>
      </w:r>
      <w:r w:rsidR="003537BE"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sz w:val="24"/>
          <w:szCs w:val="24"/>
          <w:shd w:val="clear" w:color="auto" w:fill="FFFFFF"/>
          <w:lang w:val="en-GB"/>
        </w:rPr>
        <w:t>Herbal Teas and their Health Benefits: A Scoping Review.</w:t>
      </w:r>
      <w:r w:rsidR="003537BE" w:rsidRPr="00CF1C41">
        <w:rPr>
          <w:rFonts w:asciiTheme="majorHAnsi" w:eastAsia="Times New Roman" w:hAnsiTheme="majorHAnsi" w:cs="Times New Roman"/>
          <w:sz w:val="24"/>
          <w:szCs w:val="24"/>
          <w:shd w:val="clear" w:color="auto" w:fill="FFFFFF"/>
          <w:lang w:val="en-GB"/>
        </w:rPr>
        <w:t xml:space="preserve">” </w:t>
      </w:r>
      <w:r w:rsidR="003537BE" w:rsidRPr="00CF1C41">
        <w:rPr>
          <w:rFonts w:asciiTheme="majorHAnsi" w:eastAsia="Times New Roman" w:hAnsiTheme="majorHAnsi" w:cs="Times New Roman"/>
          <w:i/>
          <w:sz w:val="24"/>
          <w:szCs w:val="24"/>
          <w:shd w:val="clear" w:color="auto" w:fill="FFFFFF"/>
          <w:lang w:val="en-GB"/>
        </w:rPr>
        <w:t xml:space="preserve">Plant </w:t>
      </w:r>
      <w:r w:rsidRPr="00CF1C41">
        <w:rPr>
          <w:rFonts w:asciiTheme="majorHAnsi" w:eastAsia="Times New Roman" w:hAnsiTheme="majorHAnsi" w:cs="Times New Roman"/>
          <w:i/>
          <w:sz w:val="24"/>
          <w:szCs w:val="24"/>
          <w:shd w:val="clear" w:color="auto" w:fill="FFFFFF"/>
          <w:lang w:val="en-GB"/>
        </w:rPr>
        <w:t xml:space="preserve">Foods </w:t>
      </w:r>
      <w:r w:rsidR="003537BE" w:rsidRPr="00CF1C41">
        <w:rPr>
          <w:rFonts w:asciiTheme="majorHAnsi" w:eastAsia="Times New Roman" w:hAnsiTheme="majorHAnsi" w:cs="Times New Roman"/>
          <w:i/>
          <w:sz w:val="24"/>
          <w:szCs w:val="24"/>
          <w:shd w:val="clear" w:color="auto" w:fill="FFFFFF"/>
          <w:lang w:val="en-GB"/>
        </w:rPr>
        <w:t xml:space="preserve">for Human </w:t>
      </w:r>
      <w:r w:rsidRPr="00CF1C41">
        <w:rPr>
          <w:rFonts w:asciiTheme="majorHAnsi" w:eastAsia="Times New Roman" w:hAnsiTheme="majorHAnsi" w:cs="Times New Roman"/>
          <w:i/>
          <w:sz w:val="24"/>
          <w:szCs w:val="24"/>
          <w:shd w:val="clear" w:color="auto" w:fill="FFFFFF"/>
          <w:lang w:val="en-GB"/>
        </w:rPr>
        <w:t>Nutr</w:t>
      </w:r>
      <w:r w:rsidR="003537BE" w:rsidRPr="00CF1C41">
        <w:rPr>
          <w:rFonts w:asciiTheme="majorHAnsi" w:eastAsia="Times New Roman" w:hAnsiTheme="majorHAnsi" w:cs="Times New Roman"/>
          <w:i/>
          <w:sz w:val="24"/>
          <w:szCs w:val="24"/>
          <w:shd w:val="clear" w:color="auto" w:fill="FFFFFF"/>
          <w:lang w:val="en-GB"/>
        </w:rPr>
        <w:t>ition</w:t>
      </w:r>
      <w:r w:rsidR="003537BE" w:rsidRPr="00CF1C41">
        <w:rPr>
          <w:rFonts w:asciiTheme="majorHAnsi" w:eastAsia="Times New Roman" w:hAnsiTheme="majorHAnsi" w:cs="Times New Roman"/>
          <w:sz w:val="24"/>
          <w:szCs w:val="24"/>
          <w:shd w:val="clear" w:color="auto" w:fill="FFFFFF"/>
          <w:lang w:val="en-GB"/>
        </w:rPr>
        <w:t xml:space="preserve"> </w:t>
      </w:r>
      <w:r w:rsidRPr="00CF1C41">
        <w:rPr>
          <w:rFonts w:asciiTheme="majorHAnsi" w:eastAsia="Times New Roman" w:hAnsiTheme="majorHAnsi" w:cs="Times New Roman"/>
          <w:sz w:val="24"/>
          <w:szCs w:val="24"/>
          <w:shd w:val="clear" w:color="auto" w:fill="FFFFFF"/>
          <w:lang w:val="en-GB"/>
        </w:rPr>
        <w:t>74(3):</w:t>
      </w:r>
      <w:r w:rsidR="003537BE" w:rsidRPr="00CF1C41">
        <w:rPr>
          <w:rFonts w:asciiTheme="majorHAnsi" w:eastAsia="Times New Roman" w:hAnsiTheme="majorHAnsi" w:cs="Times New Roman"/>
          <w:sz w:val="24"/>
          <w:szCs w:val="24"/>
          <w:shd w:val="clear" w:color="auto" w:fill="FFFFFF"/>
          <w:lang w:val="en-GB"/>
        </w:rPr>
        <w:t xml:space="preserve"> </w:t>
      </w:r>
      <w:r w:rsidRPr="00CF1C41">
        <w:rPr>
          <w:rFonts w:asciiTheme="majorHAnsi" w:eastAsia="Times New Roman" w:hAnsiTheme="majorHAnsi" w:cs="Times New Roman"/>
          <w:sz w:val="24"/>
          <w:szCs w:val="24"/>
          <w:shd w:val="clear" w:color="auto" w:fill="FFFFFF"/>
          <w:lang w:val="en-GB"/>
        </w:rPr>
        <w:t xml:space="preserve">266-276. </w:t>
      </w:r>
      <w:r w:rsidR="00CF1C41" w:rsidRPr="00CF1C41">
        <w:rPr>
          <w:rFonts w:asciiTheme="majorHAnsi" w:eastAsia="Times New Roman" w:hAnsiTheme="majorHAnsi" w:cs="Times New Roman"/>
          <w:sz w:val="24"/>
          <w:szCs w:val="24"/>
          <w:shd w:val="clear" w:color="auto" w:fill="FFFFFF"/>
          <w:lang w:val="en-GB"/>
        </w:rPr>
        <w:t>https://</w:t>
      </w:r>
      <w:r w:rsidRPr="00CF1C41">
        <w:rPr>
          <w:rFonts w:asciiTheme="majorHAnsi" w:eastAsia="Times New Roman" w:hAnsiTheme="majorHAnsi" w:cs="Times New Roman"/>
          <w:sz w:val="24"/>
          <w:szCs w:val="24"/>
          <w:shd w:val="clear" w:color="auto" w:fill="FFFFFF"/>
          <w:lang w:val="en-GB"/>
        </w:rPr>
        <w:t>doi: 10.1007/s11130-019-00750-w. PMID: 31243622.</w:t>
      </w:r>
    </w:p>
    <w:p w14:paraId="000000C2" w14:textId="36DCEF7B" w:rsidR="00F135CF" w:rsidRPr="00CF1C41" w:rsidRDefault="00B862A4" w:rsidP="009F706A">
      <w:pPr>
        <w:pStyle w:val="Normal1"/>
        <w:spacing w:before="240" w:after="240"/>
        <w:rPr>
          <w:rStyle w:val="Hyperlink"/>
          <w:rFonts w:asciiTheme="majorHAnsi" w:hAnsiTheme="majorHAnsi"/>
          <w:color w:val="auto"/>
          <w:sz w:val="24"/>
          <w:szCs w:val="24"/>
        </w:rPr>
      </w:pPr>
      <w:r w:rsidRPr="00B90F26">
        <w:rPr>
          <w:rFonts w:asciiTheme="majorHAnsi" w:hAnsiTheme="majorHAnsi"/>
          <w:sz w:val="24"/>
          <w:szCs w:val="24"/>
        </w:rPr>
        <w:t>Quality Assurance Agency f</w:t>
      </w:r>
      <w:r w:rsidR="00691C36" w:rsidRPr="00CF1C41">
        <w:rPr>
          <w:rFonts w:asciiTheme="majorHAnsi" w:hAnsiTheme="majorHAnsi"/>
          <w:sz w:val="24"/>
          <w:szCs w:val="24"/>
        </w:rPr>
        <w:t>or Higher Education (QAA)</w:t>
      </w:r>
      <w:r w:rsidR="00373E62" w:rsidRPr="00CF1C41">
        <w:rPr>
          <w:rFonts w:asciiTheme="majorHAnsi" w:hAnsiTheme="majorHAnsi"/>
          <w:sz w:val="24"/>
          <w:szCs w:val="24"/>
        </w:rPr>
        <w:t>.</w:t>
      </w:r>
      <w:r w:rsidRPr="00CF1C41">
        <w:rPr>
          <w:rFonts w:asciiTheme="majorHAnsi" w:hAnsiTheme="majorHAnsi"/>
          <w:sz w:val="24"/>
          <w:szCs w:val="24"/>
        </w:rPr>
        <w:t xml:space="preserve"> 2020. “</w:t>
      </w:r>
      <w:r w:rsidRPr="00CF1C41">
        <w:rPr>
          <w:rFonts w:asciiTheme="majorHAnsi" w:hAnsiTheme="majorHAnsi"/>
          <w:i/>
          <w:sz w:val="24"/>
          <w:szCs w:val="24"/>
        </w:rPr>
        <w:t>COVID-19: Thematic Guidance Practice and Lab Based Assessment.”</w:t>
      </w:r>
      <w:r w:rsidR="00BD38CF" w:rsidRPr="00CF1C41">
        <w:rPr>
          <w:rFonts w:asciiTheme="majorHAnsi" w:hAnsiTheme="majorHAnsi"/>
          <w:sz w:val="24"/>
          <w:szCs w:val="24"/>
        </w:rPr>
        <w:t xml:space="preserve"> QAA, Accessed 6 November 2020. </w:t>
      </w:r>
      <w:hyperlink r:id="rId33" w:history="1">
        <w:r w:rsidR="00BD38CF" w:rsidRPr="00CF1C41">
          <w:rPr>
            <w:rStyle w:val="Hyperlink"/>
            <w:rFonts w:asciiTheme="majorHAnsi" w:hAnsiTheme="majorHAnsi"/>
            <w:color w:val="auto"/>
            <w:sz w:val="24"/>
            <w:szCs w:val="24"/>
          </w:rPr>
          <w:t>https://www.qaa.ac.uk/docs/qaa/guidance/covid-19-thematic-guidance-practice-lab-based-assessment.pdf</w:t>
        </w:r>
      </w:hyperlink>
    </w:p>
    <w:p w14:paraId="49F27C35" w14:textId="5C433EDB" w:rsidR="005D7FE9" w:rsidRPr="00CF1C41" w:rsidRDefault="00825643" w:rsidP="009F706A">
      <w:pPr>
        <w:pStyle w:val="Normal1"/>
        <w:spacing w:before="240" w:after="240"/>
        <w:rPr>
          <w:rFonts w:asciiTheme="majorHAnsi" w:hAnsiTheme="majorHAnsi"/>
          <w:sz w:val="24"/>
          <w:szCs w:val="24"/>
          <w:u w:val="single"/>
        </w:rPr>
      </w:pPr>
      <w:r w:rsidRPr="00CF1C41">
        <w:rPr>
          <w:rFonts w:asciiTheme="majorHAnsi" w:hAnsiTheme="majorHAnsi"/>
          <w:sz w:val="24"/>
          <w:szCs w:val="24"/>
        </w:rPr>
        <w:t xml:space="preserve">Quality Assurance Agency for Higher Education (QAA). 2021. </w:t>
      </w:r>
      <w:r w:rsidRPr="00CF1C41">
        <w:rPr>
          <w:rStyle w:val="Hyperlink"/>
          <w:rFonts w:asciiTheme="majorHAnsi" w:hAnsiTheme="majorHAnsi"/>
          <w:color w:val="auto"/>
          <w:sz w:val="24"/>
          <w:szCs w:val="24"/>
        </w:rPr>
        <w:t>“</w:t>
      </w:r>
      <w:r w:rsidR="005D7FE9" w:rsidRPr="00CF1C41">
        <w:rPr>
          <w:rFonts w:asciiTheme="majorHAnsi" w:hAnsiTheme="majorHAnsi"/>
          <w:i/>
          <w:sz w:val="24"/>
          <w:szCs w:val="24"/>
        </w:rPr>
        <w:t>QAA bioscience subject benchmarks support digital approaches to practicals</w:t>
      </w:r>
      <w:r w:rsidRPr="00CF1C41">
        <w:rPr>
          <w:rFonts w:asciiTheme="majorHAnsi" w:hAnsiTheme="majorHAnsi"/>
          <w:sz w:val="24"/>
          <w:szCs w:val="24"/>
        </w:rPr>
        <w:t xml:space="preserve">.” QAA, Accessed 14 April 2021. </w:t>
      </w:r>
      <w:r w:rsidR="005D7FE9" w:rsidRPr="00CF1C41">
        <w:rPr>
          <w:rFonts w:asciiTheme="majorHAnsi" w:hAnsiTheme="majorHAnsi"/>
          <w:sz w:val="24"/>
          <w:szCs w:val="24"/>
        </w:rPr>
        <w:t>https://www.qaa.ac.uk/docs/qaa/subject-benchmark-statements/subject-benchmark-statement-biosciences.pdf?sfvrsn=21f2c881_4</w:t>
      </w:r>
      <w:r w:rsidRPr="00CF1C41">
        <w:rPr>
          <w:rFonts w:asciiTheme="majorHAnsi" w:hAnsiTheme="majorHAnsi"/>
          <w:sz w:val="24"/>
          <w:szCs w:val="24"/>
        </w:rPr>
        <w:t>.</w:t>
      </w:r>
    </w:p>
    <w:p w14:paraId="21625FCF" w14:textId="786019F7" w:rsidR="002235AA" w:rsidRPr="00CF1C41" w:rsidRDefault="002235AA" w:rsidP="002235AA">
      <w:pPr>
        <w:rPr>
          <w:rFonts w:asciiTheme="majorHAnsi" w:hAnsiTheme="majorHAnsi"/>
          <w:sz w:val="24"/>
          <w:szCs w:val="24"/>
        </w:rPr>
      </w:pPr>
      <w:r w:rsidRPr="00CF1C41">
        <w:rPr>
          <w:rFonts w:asciiTheme="majorHAnsi" w:hAnsiTheme="majorHAnsi"/>
          <w:sz w:val="24"/>
          <w:szCs w:val="24"/>
        </w:rPr>
        <w:t xml:space="preserve">Raaper Rille and Chris Brown. 2020. The Covid-19 pandemic and the disollution of the university campus: implications for student support practice. Journal of Professional Capital and Community. Ahead-of-print. </w:t>
      </w:r>
      <w:hyperlink r:id="rId34" w:tooltip="DOI: https://doi.org/10.1108/JPCC-06-2020-0032" w:history="1">
        <w:r w:rsidRPr="00CF1C41">
          <w:rPr>
            <w:rFonts w:asciiTheme="majorHAnsi" w:hAnsiTheme="majorHAnsi"/>
            <w:sz w:val="24"/>
            <w:szCs w:val="24"/>
          </w:rPr>
          <w:t>https://doi.org/10.1108/JPCC-06-2020-0032</w:t>
        </w:r>
      </w:hyperlink>
      <w:r w:rsidR="00825643" w:rsidRPr="00CF1C41">
        <w:rPr>
          <w:rFonts w:asciiTheme="majorHAnsi" w:hAnsiTheme="majorHAnsi"/>
          <w:sz w:val="24"/>
          <w:szCs w:val="24"/>
        </w:rPr>
        <w:t>.</w:t>
      </w:r>
    </w:p>
    <w:p w14:paraId="7C2C9F13" w14:textId="2E5215DA" w:rsidR="009F706A" w:rsidRPr="00CF1C41" w:rsidRDefault="009F706A" w:rsidP="009F706A">
      <w:pPr>
        <w:pStyle w:val="Normal1"/>
        <w:spacing w:before="240" w:after="240"/>
        <w:rPr>
          <w:rFonts w:asciiTheme="majorHAnsi" w:hAnsiTheme="majorHAnsi"/>
          <w:sz w:val="24"/>
          <w:szCs w:val="24"/>
        </w:rPr>
      </w:pPr>
      <w:r w:rsidRPr="00CF1C41">
        <w:rPr>
          <w:rFonts w:asciiTheme="majorHAnsi" w:hAnsiTheme="majorHAnsi"/>
          <w:sz w:val="24"/>
          <w:szCs w:val="24"/>
        </w:rPr>
        <w:t xml:space="preserve">Ralph Alex, Ben Martin, and Louisa Clarence-Smith. 2020. “Big firms like the flexible approach to home working”. </w:t>
      </w:r>
      <w:r w:rsidRPr="00CF1C41">
        <w:rPr>
          <w:rFonts w:asciiTheme="majorHAnsi" w:hAnsiTheme="majorHAnsi"/>
          <w:i/>
          <w:sz w:val="24"/>
          <w:szCs w:val="24"/>
        </w:rPr>
        <w:t>The Times</w:t>
      </w:r>
      <w:r w:rsidRPr="00CF1C41">
        <w:rPr>
          <w:rFonts w:asciiTheme="majorHAnsi" w:hAnsiTheme="majorHAnsi"/>
          <w:sz w:val="24"/>
          <w:szCs w:val="24"/>
        </w:rPr>
        <w:t>, August 29 2020. Accessed 6 November 2020. https://www.thetimes.co.uk/article/big-firms-like-the-flexible-approach-to-home-working-lj8vkfdql</w:t>
      </w:r>
      <w:r w:rsidR="00373E62" w:rsidRPr="00CF1C41">
        <w:rPr>
          <w:rFonts w:asciiTheme="majorHAnsi" w:hAnsiTheme="majorHAnsi"/>
          <w:sz w:val="24"/>
          <w:szCs w:val="24"/>
        </w:rPr>
        <w:t>.</w:t>
      </w:r>
    </w:p>
    <w:p w14:paraId="000000C4" w14:textId="75F974D9" w:rsidR="00F135CF" w:rsidRPr="00CF1C41" w:rsidRDefault="00B862A4" w:rsidP="009F706A">
      <w:pPr>
        <w:pStyle w:val="Normal1"/>
        <w:spacing w:before="240" w:after="240"/>
        <w:rPr>
          <w:rFonts w:asciiTheme="majorHAnsi" w:hAnsiTheme="majorHAnsi"/>
          <w:sz w:val="24"/>
          <w:szCs w:val="24"/>
        </w:rPr>
      </w:pPr>
      <w:r w:rsidRPr="00CF1C41">
        <w:rPr>
          <w:rFonts w:asciiTheme="majorHAnsi" w:hAnsiTheme="majorHAnsi"/>
          <w:sz w:val="24"/>
          <w:szCs w:val="24"/>
        </w:rPr>
        <w:t>Rolfe, Vivien. 2012. “</w:t>
      </w:r>
      <w:r w:rsidRPr="00CF1C41">
        <w:rPr>
          <w:rFonts w:asciiTheme="majorHAnsi" w:hAnsiTheme="majorHAnsi"/>
          <w:i/>
          <w:sz w:val="24"/>
          <w:szCs w:val="24"/>
        </w:rPr>
        <w:t>SCORE: Virtual Analytical Laboratory Final Report</w:t>
      </w:r>
      <w:r w:rsidRPr="00CF1C41">
        <w:rPr>
          <w:rFonts w:asciiTheme="majorHAnsi" w:hAnsiTheme="majorHAnsi"/>
          <w:sz w:val="24"/>
          <w:szCs w:val="24"/>
        </w:rPr>
        <w:t xml:space="preserve">.” </w:t>
      </w:r>
      <w:r w:rsidR="00BD38CF" w:rsidRPr="00CF1C41">
        <w:rPr>
          <w:rFonts w:asciiTheme="majorHAnsi" w:hAnsiTheme="majorHAnsi"/>
          <w:sz w:val="24"/>
          <w:szCs w:val="24"/>
        </w:rPr>
        <w:t xml:space="preserve">Accessed 6 November 2020. </w:t>
      </w:r>
      <w:hyperlink r:id="rId35" w:history="1">
        <w:r w:rsidR="003A5AD7" w:rsidRPr="00CF1C41">
          <w:rPr>
            <w:rStyle w:val="Hyperlink"/>
            <w:rFonts w:asciiTheme="majorHAnsi" w:hAnsiTheme="majorHAnsi"/>
            <w:color w:val="auto"/>
            <w:sz w:val="24"/>
            <w:szCs w:val="24"/>
          </w:rPr>
          <w:t>https://doi.org/10.6084/m9.figshare.12999797.v1</w:t>
        </w:r>
      </w:hyperlink>
      <w:r w:rsidRPr="00CF1C41">
        <w:rPr>
          <w:rFonts w:asciiTheme="majorHAnsi" w:hAnsiTheme="majorHAnsi"/>
          <w:sz w:val="24"/>
          <w:szCs w:val="24"/>
          <w:u w:val="single"/>
        </w:rPr>
        <w:t>.</w:t>
      </w:r>
    </w:p>
    <w:p w14:paraId="2EEB1D7F" w14:textId="5A5DF196" w:rsidR="009F706A" w:rsidRPr="00CF1C41" w:rsidRDefault="009F706A" w:rsidP="00DA5BC6">
      <w:pPr>
        <w:pStyle w:val="Normal1"/>
        <w:spacing w:before="240" w:after="240"/>
        <w:rPr>
          <w:rFonts w:asciiTheme="majorHAnsi" w:hAnsiTheme="majorHAnsi"/>
          <w:sz w:val="24"/>
          <w:szCs w:val="24"/>
        </w:rPr>
      </w:pPr>
      <w:r w:rsidRPr="00CF1C41">
        <w:rPr>
          <w:rFonts w:asciiTheme="majorHAnsi" w:hAnsiTheme="majorHAnsi"/>
          <w:sz w:val="24"/>
          <w:szCs w:val="24"/>
        </w:rPr>
        <w:t>Roya</w:t>
      </w:r>
      <w:r w:rsidR="00DA5BC6" w:rsidRPr="00CF1C41">
        <w:rPr>
          <w:rFonts w:asciiTheme="majorHAnsi" w:hAnsiTheme="majorHAnsi"/>
          <w:sz w:val="24"/>
          <w:szCs w:val="24"/>
        </w:rPr>
        <w:t>l Society of Biology (RSB)</w:t>
      </w:r>
      <w:r w:rsidR="009F48F8" w:rsidRPr="00CF1C41">
        <w:rPr>
          <w:rFonts w:asciiTheme="majorHAnsi" w:hAnsiTheme="majorHAnsi"/>
          <w:sz w:val="24"/>
          <w:szCs w:val="24"/>
        </w:rPr>
        <w:t>.</w:t>
      </w:r>
      <w:r w:rsidR="00DA5BC6" w:rsidRPr="00CF1C41">
        <w:rPr>
          <w:rFonts w:asciiTheme="majorHAnsi" w:hAnsiTheme="majorHAnsi"/>
          <w:sz w:val="24"/>
          <w:szCs w:val="24"/>
        </w:rPr>
        <w:t xml:space="preserve"> </w:t>
      </w:r>
      <w:r w:rsidRPr="00CF1C41">
        <w:rPr>
          <w:rFonts w:asciiTheme="majorHAnsi" w:hAnsiTheme="majorHAnsi"/>
          <w:sz w:val="24"/>
          <w:szCs w:val="24"/>
        </w:rPr>
        <w:t>2020</w:t>
      </w:r>
      <w:r w:rsidR="00DA5BC6" w:rsidRPr="00CF1C41">
        <w:rPr>
          <w:rFonts w:asciiTheme="majorHAnsi" w:hAnsiTheme="majorHAnsi"/>
          <w:sz w:val="24"/>
          <w:szCs w:val="24"/>
        </w:rPr>
        <w:t>a</w:t>
      </w:r>
      <w:r w:rsidRPr="00CF1C41">
        <w:rPr>
          <w:rFonts w:asciiTheme="majorHAnsi" w:hAnsiTheme="majorHAnsi"/>
          <w:sz w:val="24"/>
          <w:szCs w:val="24"/>
        </w:rPr>
        <w:t xml:space="preserve">. “Role of Science in Government Likely to Increase Following COVID-19, Chief Scientific Advisor Tells Parliamentary Links Day.” </w:t>
      </w:r>
      <w:r w:rsidRPr="00CF1C41">
        <w:rPr>
          <w:rFonts w:asciiTheme="majorHAnsi" w:hAnsiTheme="majorHAnsi"/>
          <w:i/>
          <w:sz w:val="24"/>
          <w:szCs w:val="24"/>
        </w:rPr>
        <w:t>Royal Society of Biology News</w:t>
      </w:r>
      <w:r w:rsidRPr="00CF1C41">
        <w:rPr>
          <w:rFonts w:asciiTheme="majorHAnsi" w:hAnsiTheme="majorHAnsi"/>
          <w:sz w:val="24"/>
          <w:szCs w:val="24"/>
        </w:rPr>
        <w:t>, July 16 2020. Accessed 6 November 2020. https://www.rsb.org.uk/news/14-news/2397-role-of-science-in-government-likely-to-increase-following-covid-19-chief-scientific-advisor-tells-parliamentary-links-day</w:t>
      </w:r>
      <w:r w:rsidR="00373E62" w:rsidRPr="00CF1C41">
        <w:rPr>
          <w:rFonts w:asciiTheme="majorHAnsi" w:hAnsiTheme="majorHAnsi"/>
          <w:sz w:val="24"/>
          <w:szCs w:val="24"/>
        </w:rPr>
        <w:t>.</w:t>
      </w:r>
    </w:p>
    <w:p w14:paraId="5DDFD5CE" w14:textId="6109E2D4" w:rsidR="009F706A" w:rsidRPr="00CF1C41" w:rsidRDefault="009F706A" w:rsidP="003A5AD7">
      <w:pPr>
        <w:pStyle w:val="Normal1"/>
        <w:rPr>
          <w:rFonts w:asciiTheme="majorHAnsi" w:hAnsiTheme="majorHAnsi"/>
          <w:sz w:val="24"/>
          <w:szCs w:val="24"/>
        </w:rPr>
      </w:pPr>
      <w:r w:rsidRPr="00CF1C41">
        <w:rPr>
          <w:rFonts w:asciiTheme="majorHAnsi" w:hAnsiTheme="majorHAnsi"/>
          <w:sz w:val="24"/>
          <w:szCs w:val="24"/>
        </w:rPr>
        <w:lastRenderedPageBreak/>
        <w:t>Royal Society of Biology (RSB)</w:t>
      </w:r>
      <w:r w:rsidR="009F48F8" w:rsidRPr="00CF1C41">
        <w:rPr>
          <w:rFonts w:asciiTheme="majorHAnsi" w:hAnsiTheme="majorHAnsi"/>
          <w:sz w:val="24"/>
          <w:szCs w:val="24"/>
        </w:rPr>
        <w:t>.</w:t>
      </w:r>
      <w:r w:rsidRPr="00CF1C41">
        <w:rPr>
          <w:rFonts w:asciiTheme="majorHAnsi" w:hAnsiTheme="majorHAnsi"/>
          <w:sz w:val="24"/>
          <w:szCs w:val="24"/>
        </w:rPr>
        <w:t xml:space="preserve"> 2020</w:t>
      </w:r>
      <w:r w:rsidR="00DA5BC6" w:rsidRPr="00CF1C41">
        <w:rPr>
          <w:rFonts w:asciiTheme="majorHAnsi" w:hAnsiTheme="majorHAnsi"/>
          <w:sz w:val="24"/>
          <w:szCs w:val="24"/>
        </w:rPr>
        <w:t>b</w:t>
      </w:r>
      <w:r w:rsidRPr="00CF1C41">
        <w:rPr>
          <w:rFonts w:asciiTheme="majorHAnsi" w:hAnsiTheme="majorHAnsi"/>
          <w:sz w:val="24"/>
          <w:szCs w:val="24"/>
        </w:rPr>
        <w:t>. “</w:t>
      </w:r>
      <w:r w:rsidRPr="00CF1C41">
        <w:rPr>
          <w:rFonts w:asciiTheme="majorHAnsi" w:hAnsiTheme="majorHAnsi"/>
          <w:i/>
          <w:sz w:val="24"/>
          <w:szCs w:val="24"/>
        </w:rPr>
        <w:t>Suggestions for remote final year MBiol Research or capstone projects.”</w:t>
      </w:r>
      <w:r w:rsidRPr="00CF1C41">
        <w:rPr>
          <w:rFonts w:asciiTheme="majorHAnsi" w:hAnsiTheme="majorHAnsi"/>
          <w:sz w:val="24"/>
          <w:szCs w:val="24"/>
        </w:rPr>
        <w:t xml:space="preserve"> RSB, Accessed 6 November 2020.  https://www.rsb.org.uk/images/Suggestions_for_remote_final_year_MBiol_Research_or_Capstone_projects_00000002.pdf</w:t>
      </w:r>
      <w:r w:rsidR="00373E62" w:rsidRPr="00CF1C41">
        <w:rPr>
          <w:rFonts w:asciiTheme="majorHAnsi" w:hAnsiTheme="majorHAnsi"/>
          <w:sz w:val="24"/>
          <w:szCs w:val="24"/>
        </w:rPr>
        <w:t>.</w:t>
      </w:r>
    </w:p>
    <w:p w14:paraId="000000C6" w14:textId="31C118AF" w:rsidR="00F135CF" w:rsidRPr="00CF1C41" w:rsidRDefault="009F48F8" w:rsidP="009F706A">
      <w:pPr>
        <w:pStyle w:val="Normal1"/>
        <w:spacing w:before="240" w:after="240"/>
        <w:rPr>
          <w:rFonts w:asciiTheme="majorHAnsi" w:hAnsiTheme="majorHAnsi"/>
          <w:sz w:val="24"/>
          <w:szCs w:val="24"/>
        </w:rPr>
      </w:pPr>
      <w:r w:rsidRPr="00CF1C41">
        <w:rPr>
          <w:rFonts w:asciiTheme="majorHAnsi" w:hAnsiTheme="majorHAnsi"/>
          <w:sz w:val="24"/>
          <w:szCs w:val="24"/>
        </w:rPr>
        <w:t>Science Industry Partnership.</w:t>
      </w:r>
      <w:r w:rsidR="00B862A4" w:rsidRPr="00CF1C41">
        <w:rPr>
          <w:rFonts w:asciiTheme="majorHAnsi" w:hAnsiTheme="majorHAnsi"/>
          <w:sz w:val="24"/>
          <w:szCs w:val="24"/>
        </w:rPr>
        <w:t xml:space="preserve"> 2020. “</w:t>
      </w:r>
      <w:r w:rsidR="00B862A4" w:rsidRPr="00CF1C41">
        <w:rPr>
          <w:rFonts w:asciiTheme="majorHAnsi" w:hAnsiTheme="majorHAnsi"/>
          <w:i/>
          <w:sz w:val="24"/>
          <w:szCs w:val="24"/>
        </w:rPr>
        <w:t>Life Sciences 2030 Skills Strategy.”</w:t>
      </w:r>
      <w:r w:rsidR="00BD38CF" w:rsidRPr="00CF1C41">
        <w:rPr>
          <w:rFonts w:asciiTheme="majorHAnsi" w:hAnsiTheme="majorHAnsi"/>
          <w:sz w:val="24"/>
          <w:szCs w:val="24"/>
        </w:rPr>
        <w:t xml:space="preserve"> Science Industry Partnership, Accessed 6 November 2020. </w:t>
      </w:r>
      <w:hyperlink r:id="rId36" w:history="1">
        <w:r w:rsidR="009C21F0" w:rsidRPr="00CF1C41">
          <w:rPr>
            <w:rStyle w:val="Hyperlink"/>
            <w:rFonts w:asciiTheme="majorHAnsi" w:hAnsiTheme="majorHAnsi"/>
            <w:sz w:val="24"/>
            <w:szCs w:val="24"/>
          </w:rPr>
          <w:t>https://www.scienceindustrypartnership.com/media/2070/sip-life-sciences-2030-skills-strategy-digital-version.pdf</w:t>
        </w:r>
      </w:hyperlink>
      <w:r w:rsidR="00373E62" w:rsidRPr="00CF1C41">
        <w:rPr>
          <w:rFonts w:asciiTheme="majorHAnsi" w:hAnsiTheme="majorHAnsi"/>
          <w:sz w:val="24"/>
          <w:szCs w:val="24"/>
        </w:rPr>
        <w:t>.</w:t>
      </w:r>
    </w:p>
    <w:p w14:paraId="33002B69" w14:textId="1E3DCC0D" w:rsidR="009C21F0" w:rsidRPr="00CF1C41" w:rsidRDefault="009C21F0" w:rsidP="00825643">
      <w:pPr>
        <w:rPr>
          <w:rFonts w:asciiTheme="majorHAnsi" w:eastAsia="Times New Roman" w:hAnsiTheme="majorHAnsi" w:cs="Times New Roman"/>
          <w:sz w:val="24"/>
          <w:szCs w:val="24"/>
          <w:lang w:val="en-GB"/>
        </w:rPr>
      </w:pPr>
      <w:r w:rsidRPr="00CF1C41">
        <w:rPr>
          <w:rFonts w:asciiTheme="majorHAnsi" w:eastAsia="Times New Roman" w:hAnsiTheme="majorHAnsi" w:cs="Times New Roman"/>
          <w:color w:val="222222"/>
          <w:sz w:val="24"/>
          <w:szCs w:val="24"/>
          <w:shd w:val="clear" w:color="auto" w:fill="FFFFFF"/>
          <w:lang w:val="en-GB"/>
        </w:rPr>
        <w:t>Stone, D</w:t>
      </w:r>
      <w:r w:rsidR="00825643" w:rsidRPr="00CF1C41">
        <w:rPr>
          <w:rFonts w:asciiTheme="majorHAnsi" w:eastAsia="Times New Roman" w:hAnsiTheme="majorHAnsi" w:cs="Times New Roman"/>
          <w:color w:val="222222"/>
          <w:sz w:val="24"/>
          <w:szCs w:val="24"/>
          <w:shd w:val="clear" w:color="auto" w:fill="FFFFFF"/>
          <w:lang w:val="en-GB"/>
        </w:rPr>
        <w:t>avid C. 2007</w:t>
      </w:r>
      <w:r w:rsidRPr="00CF1C41">
        <w:rPr>
          <w:rFonts w:asciiTheme="majorHAnsi" w:eastAsia="Times New Roman" w:hAnsiTheme="majorHAnsi" w:cs="Times New Roman"/>
          <w:color w:val="222222"/>
          <w:sz w:val="24"/>
          <w:szCs w:val="24"/>
          <w:shd w:val="clear" w:color="auto" w:fill="FFFFFF"/>
          <w:lang w:val="en-GB"/>
        </w:rPr>
        <w:t xml:space="preserve">. </w:t>
      </w:r>
      <w:r w:rsidR="00825643" w:rsidRPr="00CF1C41">
        <w:rPr>
          <w:rFonts w:asciiTheme="majorHAnsi" w:eastAsia="Times New Roman" w:hAnsiTheme="majorHAnsi" w:cs="Times New Roman"/>
          <w:color w:val="222222"/>
          <w:sz w:val="24"/>
          <w:szCs w:val="24"/>
          <w:shd w:val="clear" w:color="auto" w:fill="FFFFFF"/>
          <w:lang w:val="en-GB"/>
        </w:rPr>
        <w:t>“</w:t>
      </w:r>
      <w:r w:rsidRPr="00CF1C41">
        <w:rPr>
          <w:rFonts w:asciiTheme="majorHAnsi" w:eastAsia="Times New Roman" w:hAnsiTheme="majorHAnsi" w:cs="Times New Roman"/>
          <w:color w:val="222222"/>
          <w:sz w:val="24"/>
          <w:szCs w:val="24"/>
          <w:shd w:val="clear" w:color="auto" w:fill="FFFFFF"/>
          <w:lang w:val="en-GB"/>
        </w:rPr>
        <w:t>Teaching chromatography using virtual laboratory exercises.</w:t>
      </w:r>
      <w:r w:rsidR="00825643" w:rsidRPr="00CF1C41">
        <w:rPr>
          <w:rFonts w:asciiTheme="majorHAnsi" w:eastAsia="Times New Roman" w:hAnsiTheme="majorHAnsi" w:cs="Times New Roman"/>
          <w:color w:val="222222"/>
          <w:sz w:val="24"/>
          <w:szCs w:val="24"/>
          <w:shd w:val="clear" w:color="auto" w:fill="FFFFFF"/>
          <w:lang w:val="en-GB"/>
        </w:rPr>
        <w:t>”</w:t>
      </w:r>
      <w:r w:rsidRPr="00CF1C41">
        <w:rPr>
          <w:rFonts w:asciiTheme="majorHAnsi" w:eastAsia="Times New Roman" w:hAnsiTheme="majorHAnsi" w:cs="Times New Roman"/>
          <w:color w:val="222222"/>
          <w:sz w:val="24"/>
          <w:szCs w:val="24"/>
          <w:shd w:val="clear" w:color="auto" w:fill="FFFFFF"/>
          <w:lang w:val="en-GB"/>
        </w:rPr>
        <w:t> </w:t>
      </w:r>
      <w:r w:rsidRPr="00CF1C41">
        <w:rPr>
          <w:rFonts w:asciiTheme="majorHAnsi" w:eastAsia="Times New Roman" w:hAnsiTheme="majorHAnsi" w:cs="Times New Roman"/>
          <w:i/>
          <w:iCs/>
          <w:color w:val="222222"/>
          <w:sz w:val="24"/>
          <w:szCs w:val="24"/>
          <w:lang w:val="en-GB"/>
        </w:rPr>
        <w:t>Journal of Chemical Education</w:t>
      </w:r>
      <w:r w:rsidRPr="00CF1C41">
        <w:rPr>
          <w:rFonts w:asciiTheme="majorHAnsi" w:eastAsia="Times New Roman" w:hAnsiTheme="majorHAnsi" w:cs="Times New Roman"/>
          <w:color w:val="222222"/>
          <w:sz w:val="24"/>
          <w:szCs w:val="24"/>
          <w:shd w:val="clear" w:color="auto" w:fill="FFFFFF"/>
          <w:lang w:val="en-GB"/>
        </w:rPr>
        <w:t>, </w:t>
      </w:r>
      <w:r w:rsidRPr="00CF1C41">
        <w:rPr>
          <w:rFonts w:asciiTheme="majorHAnsi" w:eastAsia="Times New Roman" w:hAnsiTheme="majorHAnsi" w:cs="Times New Roman"/>
          <w:i/>
          <w:iCs/>
          <w:color w:val="222222"/>
          <w:sz w:val="24"/>
          <w:szCs w:val="24"/>
          <w:lang w:val="en-GB"/>
        </w:rPr>
        <w:t>84</w:t>
      </w:r>
      <w:r w:rsidR="00CF1C41" w:rsidRPr="00CF1C41">
        <w:rPr>
          <w:rFonts w:asciiTheme="majorHAnsi" w:eastAsia="Times New Roman" w:hAnsiTheme="majorHAnsi" w:cs="Times New Roman"/>
          <w:color w:val="222222"/>
          <w:sz w:val="24"/>
          <w:szCs w:val="24"/>
          <w:shd w:val="clear" w:color="auto" w:fill="FFFFFF"/>
          <w:lang w:val="en-GB"/>
        </w:rPr>
        <w:t>(9):</w:t>
      </w:r>
      <w:r w:rsidRPr="00CF1C41">
        <w:rPr>
          <w:rFonts w:asciiTheme="majorHAnsi" w:eastAsia="Times New Roman" w:hAnsiTheme="majorHAnsi" w:cs="Times New Roman"/>
          <w:color w:val="222222"/>
          <w:sz w:val="24"/>
          <w:szCs w:val="24"/>
          <w:shd w:val="clear" w:color="auto" w:fill="FFFFFF"/>
          <w:lang w:val="en-GB"/>
        </w:rPr>
        <w:t xml:space="preserve"> 1488.</w:t>
      </w:r>
      <w:r w:rsidR="00825643" w:rsidRPr="00CF1C41">
        <w:rPr>
          <w:rFonts w:asciiTheme="majorHAnsi" w:eastAsia="Times New Roman" w:hAnsiTheme="majorHAnsi" w:cs="Times New Roman"/>
          <w:color w:val="222222"/>
          <w:sz w:val="24"/>
          <w:szCs w:val="24"/>
          <w:shd w:val="clear" w:color="auto" w:fill="FFFFFF"/>
          <w:lang w:val="en-GB"/>
        </w:rPr>
        <w:t xml:space="preserve"> </w:t>
      </w:r>
      <w:hyperlink r:id="rId37" w:tooltip="DOI URL" w:history="1">
        <w:r w:rsidR="00825643" w:rsidRPr="00CF1C41">
          <w:rPr>
            <w:rFonts w:asciiTheme="majorHAnsi" w:eastAsia="Times New Roman" w:hAnsiTheme="majorHAnsi"/>
            <w:color w:val="000000"/>
            <w:sz w:val="24"/>
            <w:szCs w:val="24"/>
            <w:lang w:val="en-GB"/>
          </w:rPr>
          <w:t>https://doi.org/10.1021/ed084p1488</w:t>
        </w:r>
      </w:hyperlink>
      <w:r w:rsidR="00825643" w:rsidRPr="00CF1C41">
        <w:rPr>
          <w:rFonts w:asciiTheme="majorHAnsi" w:eastAsia="Times New Roman" w:hAnsiTheme="majorHAnsi" w:cs="Times New Roman"/>
          <w:sz w:val="24"/>
          <w:szCs w:val="24"/>
          <w:lang w:val="en-GB"/>
        </w:rPr>
        <w:t>.</w:t>
      </w:r>
    </w:p>
    <w:p w14:paraId="000000C7" w14:textId="6785121E" w:rsidR="00F135CF" w:rsidRPr="00CF1C41" w:rsidRDefault="009F48F8" w:rsidP="009F706A">
      <w:pPr>
        <w:pStyle w:val="Normal1"/>
        <w:spacing w:before="240" w:after="240"/>
        <w:rPr>
          <w:rFonts w:asciiTheme="majorHAnsi" w:hAnsiTheme="majorHAnsi"/>
          <w:sz w:val="24"/>
          <w:szCs w:val="24"/>
        </w:rPr>
      </w:pPr>
      <w:r w:rsidRPr="00CF1C41">
        <w:rPr>
          <w:rFonts w:asciiTheme="majorHAnsi" w:hAnsiTheme="majorHAnsi"/>
          <w:sz w:val="24"/>
          <w:szCs w:val="24"/>
        </w:rPr>
        <w:t xml:space="preserve">The Conversation. </w:t>
      </w:r>
      <w:r w:rsidR="00B862A4" w:rsidRPr="00CF1C41">
        <w:rPr>
          <w:rFonts w:asciiTheme="majorHAnsi" w:hAnsiTheme="majorHAnsi"/>
          <w:sz w:val="24"/>
          <w:szCs w:val="24"/>
        </w:rPr>
        <w:t xml:space="preserve">2020. “Lab Experiments in the Pandemic Moved Online or Mailed Home to Uni Students.” </w:t>
      </w:r>
      <w:r w:rsidR="00B862A4" w:rsidRPr="00CF1C41">
        <w:rPr>
          <w:rFonts w:asciiTheme="majorHAnsi" w:hAnsiTheme="majorHAnsi"/>
          <w:i/>
          <w:sz w:val="24"/>
          <w:szCs w:val="24"/>
        </w:rPr>
        <w:t>Independent News for International Students</w:t>
      </w:r>
      <w:r w:rsidR="0010363C" w:rsidRPr="00CF1C41">
        <w:rPr>
          <w:rFonts w:asciiTheme="majorHAnsi" w:hAnsiTheme="majorHAnsi"/>
          <w:sz w:val="24"/>
          <w:szCs w:val="24"/>
        </w:rPr>
        <w:t>, June 1</w:t>
      </w:r>
      <w:r w:rsidR="00B862A4" w:rsidRPr="00CF1C41">
        <w:rPr>
          <w:rFonts w:asciiTheme="majorHAnsi" w:hAnsiTheme="majorHAnsi"/>
          <w:sz w:val="24"/>
          <w:szCs w:val="24"/>
        </w:rPr>
        <w:t xml:space="preserve"> 2020.</w:t>
      </w:r>
      <w:r w:rsidR="0010363C" w:rsidRPr="00CF1C41">
        <w:rPr>
          <w:rFonts w:asciiTheme="majorHAnsi" w:hAnsiTheme="majorHAnsi"/>
          <w:sz w:val="24"/>
          <w:szCs w:val="24"/>
        </w:rPr>
        <w:t xml:space="preserve"> Accessed November 6 2020.</w:t>
      </w:r>
      <w:r w:rsidR="00B862A4" w:rsidRPr="00CF1C41">
        <w:rPr>
          <w:rFonts w:asciiTheme="majorHAnsi" w:hAnsiTheme="majorHAnsi"/>
          <w:sz w:val="24"/>
          <w:szCs w:val="24"/>
        </w:rPr>
        <w:t xml:space="preserve"> </w:t>
      </w:r>
      <w:hyperlink r:id="rId38" w:history="1">
        <w:r w:rsidR="0010363C" w:rsidRPr="00B90F26">
          <w:rPr>
            <w:rStyle w:val="Hyperlink"/>
            <w:rFonts w:asciiTheme="majorHAnsi" w:hAnsiTheme="majorHAnsi"/>
            <w:color w:val="auto"/>
            <w:sz w:val="24"/>
            <w:szCs w:val="24"/>
            <w:u w:val="none"/>
          </w:rPr>
          <w:t>https://www.studyinternational.com/news/lab-experiments-university-online/</w:t>
        </w:r>
      </w:hyperlink>
      <w:r w:rsidR="00B862A4" w:rsidRPr="00CF1C41">
        <w:rPr>
          <w:rFonts w:asciiTheme="majorHAnsi" w:hAnsiTheme="majorHAnsi"/>
          <w:sz w:val="24"/>
          <w:szCs w:val="24"/>
        </w:rPr>
        <w:t>.</w:t>
      </w:r>
    </w:p>
    <w:p w14:paraId="4C6B5452" w14:textId="36DD7F6D" w:rsidR="008568D3" w:rsidRPr="00CF1C41" w:rsidRDefault="008568D3" w:rsidP="004224EA">
      <w:pPr>
        <w:spacing w:line="240" w:lineRule="auto"/>
        <w:rPr>
          <w:rFonts w:asciiTheme="majorHAnsi" w:hAnsiTheme="majorHAnsi"/>
          <w:sz w:val="24"/>
          <w:szCs w:val="24"/>
        </w:rPr>
      </w:pPr>
      <w:r w:rsidRPr="00CF1C41">
        <w:rPr>
          <w:rFonts w:asciiTheme="majorHAnsi" w:hAnsiTheme="majorHAnsi"/>
          <w:sz w:val="24"/>
          <w:szCs w:val="24"/>
        </w:rPr>
        <w:t>Tor Elina, Carole Steketee, and Donna Mak. 2016. “Clinical audit project in undergraduate medical education curriculum: an assessment validation study.” </w:t>
      </w:r>
      <w:r w:rsidRPr="00CF1C41">
        <w:rPr>
          <w:rFonts w:asciiTheme="majorHAnsi" w:hAnsiTheme="majorHAnsi"/>
          <w:i/>
          <w:sz w:val="24"/>
          <w:szCs w:val="24"/>
        </w:rPr>
        <w:t>International Journal of Medical Education</w:t>
      </w:r>
      <w:r w:rsidRPr="00CF1C41">
        <w:rPr>
          <w:rFonts w:asciiTheme="majorHAnsi" w:hAnsiTheme="majorHAnsi"/>
          <w:sz w:val="24"/>
          <w:szCs w:val="24"/>
        </w:rPr>
        <w:t> 7: 309–319. https://doi.org/10.5116/ijme.57da.c89a</w:t>
      </w:r>
      <w:r w:rsidR="00373E62" w:rsidRPr="00CF1C41">
        <w:rPr>
          <w:rFonts w:asciiTheme="majorHAnsi" w:hAnsiTheme="majorHAnsi"/>
          <w:sz w:val="24"/>
          <w:szCs w:val="24"/>
        </w:rPr>
        <w:t>.</w:t>
      </w:r>
    </w:p>
    <w:p w14:paraId="74929B25" w14:textId="24BF4B79" w:rsidR="004224EA" w:rsidRPr="00CF1C41" w:rsidRDefault="009F48F8" w:rsidP="004224EA">
      <w:pPr>
        <w:pStyle w:val="Normal1"/>
        <w:spacing w:before="240" w:after="240"/>
        <w:rPr>
          <w:rFonts w:asciiTheme="majorHAnsi" w:hAnsiTheme="majorHAnsi"/>
          <w:sz w:val="24"/>
          <w:szCs w:val="24"/>
        </w:rPr>
      </w:pPr>
      <w:r w:rsidRPr="00CF1C41">
        <w:rPr>
          <w:rFonts w:asciiTheme="majorHAnsi" w:hAnsiTheme="majorHAnsi"/>
          <w:sz w:val="24"/>
          <w:szCs w:val="24"/>
        </w:rPr>
        <w:t>Turner, Andrew.</w:t>
      </w:r>
      <w:r w:rsidR="00B862A4" w:rsidRPr="00CF1C41">
        <w:rPr>
          <w:rFonts w:asciiTheme="majorHAnsi" w:hAnsiTheme="majorHAnsi"/>
          <w:sz w:val="24"/>
          <w:szCs w:val="24"/>
        </w:rPr>
        <w:t xml:space="preserve"> 2020. “Transforming Learning Is for Life, Not Just until Christmas.” </w:t>
      </w:r>
      <w:r w:rsidR="00B862A4" w:rsidRPr="00CF1C41">
        <w:rPr>
          <w:rFonts w:asciiTheme="majorHAnsi" w:hAnsiTheme="majorHAnsi"/>
          <w:i/>
          <w:sz w:val="24"/>
          <w:szCs w:val="24"/>
        </w:rPr>
        <w:t>WONKHE</w:t>
      </w:r>
      <w:r w:rsidR="008772D9" w:rsidRPr="00CF1C41">
        <w:rPr>
          <w:rFonts w:asciiTheme="majorHAnsi" w:hAnsiTheme="majorHAnsi"/>
          <w:sz w:val="24"/>
          <w:szCs w:val="24"/>
        </w:rPr>
        <w:t xml:space="preserve">, 20 July </w:t>
      </w:r>
      <w:r w:rsidR="00B862A4" w:rsidRPr="00CF1C41">
        <w:rPr>
          <w:rFonts w:asciiTheme="majorHAnsi" w:hAnsiTheme="majorHAnsi"/>
          <w:sz w:val="24"/>
          <w:szCs w:val="24"/>
        </w:rPr>
        <w:t>2020.</w:t>
      </w:r>
      <w:r w:rsidR="008772D9" w:rsidRPr="00CF1C41">
        <w:rPr>
          <w:rFonts w:asciiTheme="majorHAnsi" w:hAnsiTheme="majorHAnsi"/>
          <w:sz w:val="24"/>
          <w:szCs w:val="24"/>
        </w:rPr>
        <w:t xml:space="preserve"> Accessed 6 November 2020. </w:t>
      </w:r>
      <w:hyperlink r:id="rId39" w:history="1">
        <w:r w:rsidR="004224EA" w:rsidRPr="00CF1C41">
          <w:rPr>
            <w:rStyle w:val="Hyperlink"/>
            <w:rFonts w:asciiTheme="majorHAnsi" w:hAnsiTheme="majorHAnsi"/>
            <w:sz w:val="24"/>
            <w:szCs w:val="24"/>
            <w:u w:val="none"/>
          </w:rPr>
          <w:t>https://wonkhe.com/blogs/transforming-learning-is-for-life-not-just-until-christmas/</w:t>
        </w:r>
      </w:hyperlink>
      <w:r w:rsidR="00373E62" w:rsidRPr="00B90F26">
        <w:rPr>
          <w:rStyle w:val="Hyperlink"/>
          <w:rFonts w:asciiTheme="majorHAnsi" w:hAnsiTheme="majorHAnsi"/>
          <w:sz w:val="24"/>
          <w:szCs w:val="24"/>
          <w:u w:val="none"/>
        </w:rPr>
        <w:t>.</w:t>
      </w:r>
      <w:r w:rsidR="004224EA" w:rsidRPr="00CF1C41">
        <w:rPr>
          <w:rFonts w:asciiTheme="majorHAnsi" w:hAnsiTheme="majorHAnsi"/>
          <w:sz w:val="24"/>
          <w:szCs w:val="24"/>
        </w:rPr>
        <w:br/>
      </w:r>
      <w:r w:rsidR="004224EA" w:rsidRPr="00CF1C41">
        <w:rPr>
          <w:rFonts w:asciiTheme="majorHAnsi" w:hAnsiTheme="majorHAnsi"/>
          <w:sz w:val="24"/>
          <w:szCs w:val="24"/>
        </w:rPr>
        <w:br/>
        <w:t xml:space="preserve">UNESCO. 2020. “Open Educational Resources (OER).” UNESCO Organisation, Acccessed 6 November 2020. </w:t>
      </w:r>
      <w:hyperlink r:id="rId40" w:history="1">
        <w:r w:rsidR="004224EA" w:rsidRPr="00B90F26">
          <w:rPr>
            <w:rStyle w:val="Hyperlink"/>
            <w:rFonts w:asciiTheme="majorHAnsi" w:hAnsiTheme="majorHAnsi"/>
            <w:sz w:val="24"/>
            <w:szCs w:val="24"/>
            <w:u w:val="none"/>
          </w:rPr>
          <w:t>https://en.unesco.org/themes/building-knowledge-societies/oer</w:t>
        </w:r>
      </w:hyperlink>
      <w:r w:rsidR="00373E62" w:rsidRPr="00B90F26">
        <w:rPr>
          <w:rStyle w:val="Hyperlink"/>
          <w:rFonts w:asciiTheme="majorHAnsi" w:hAnsiTheme="majorHAnsi"/>
          <w:sz w:val="24"/>
          <w:szCs w:val="24"/>
          <w:u w:val="none"/>
        </w:rPr>
        <w:t>.</w:t>
      </w:r>
    </w:p>
    <w:p w14:paraId="14159D11" w14:textId="68E41F03" w:rsidR="00F06E7A" w:rsidRPr="00CF1C41" w:rsidRDefault="00F06E7A" w:rsidP="00F06E7A">
      <w:pPr>
        <w:pStyle w:val="Normal1"/>
        <w:rPr>
          <w:rFonts w:asciiTheme="majorHAnsi" w:hAnsiTheme="majorHAnsi"/>
          <w:sz w:val="24"/>
          <w:szCs w:val="24"/>
        </w:rPr>
      </w:pPr>
      <w:r w:rsidRPr="00CF1C41">
        <w:rPr>
          <w:rFonts w:asciiTheme="majorHAnsi" w:hAnsiTheme="majorHAnsi"/>
          <w:color w:val="333333"/>
          <w:sz w:val="24"/>
          <w:szCs w:val="24"/>
        </w:rPr>
        <w:t>Vasiliadou R</w:t>
      </w:r>
      <w:r w:rsidR="00825643" w:rsidRPr="00CF1C41">
        <w:rPr>
          <w:rFonts w:asciiTheme="majorHAnsi" w:hAnsiTheme="majorHAnsi"/>
          <w:color w:val="333333"/>
          <w:sz w:val="24"/>
          <w:szCs w:val="24"/>
        </w:rPr>
        <w:t>afaela. 2020</w:t>
      </w:r>
      <w:r w:rsidRPr="00CF1C41">
        <w:rPr>
          <w:rFonts w:asciiTheme="majorHAnsi" w:hAnsiTheme="majorHAnsi"/>
          <w:color w:val="333333"/>
          <w:sz w:val="24"/>
          <w:szCs w:val="24"/>
        </w:rPr>
        <w:t xml:space="preserve">. </w:t>
      </w:r>
      <w:r w:rsidR="00825643" w:rsidRPr="00CF1C41">
        <w:rPr>
          <w:rFonts w:asciiTheme="majorHAnsi" w:hAnsiTheme="majorHAnsi"/>
          <w:color w:val="333333"/>
          <w:sz w:val="24"/>
          <w:szCs w:val="24"/>
        </w:rPr>
        <w:t>“</w:t>
      </w:r>
      <w:r w:rsidRPr="00CF1C41">
        <w:rPr>
          <w:rFonts w:asciiTheme="majorHAnsi" w:hAnsiTheme="majorHAnsi"/>
          <w:color w:val="333333"/>
          <w:sz w:val="24"/>
          <w:szCs w:val="24"/>
        </w:rPr>
        <w:t>Virtual laboratories during coronavirus (COVID-19) pandemic.</w:t>
      </w:r>
      <w:r w:rsidR="00825643" w:rsidRPr="00CF1C41">
        <w:rPr>
          <w:rFonts w:asciiTheme="majorHAnsi" w:hAnsiTheme="majorHAnsi"/>
          <w:color w:val="333333"/>
          <w:sz w:val="24"/>
          <w:szCs w:val="24"/>
        </w:rPr>
        <w:t>”</w:t>
      </w:r>
      <w:r w:rsidRPr="00CF1C41">
        <w:rPr>
          <w:rFonts w:asciiTheme="majorHAnsi" w:hAnsiTheme="majorHAnsi"/>
          <w:color w:val="333333"/>
          <w:sz w:val="24"/>
          <w:szCs w:val="24"/>
        </w:rPr>
        <w:t xml:space="preserve"> </w:t>
      </w:r>
      <w:r w:rsidRPr="00CF1C41">
        <w:rPr>
          <w:rFonts w:asciiTheme="majorHAnsi" w:hAnsiTheme="majorHAnsi"/>
          <w:i/>
          <w:color w:val="333333"/>
          <w:sz w:val="24"/>
          <w:szCs w:val="24"/>
        </w:rPr>
        <w:t>Biochem</w:t>
      </w:r>
      <w:r w:rsidR="00825643" w:rsidRPr="00CF1C41">
        <w:rPr>
          <w:rFonts w:asciiTheme="majorHAnsi" w:hAnsiTheme="majorHAnsi"/>
          <w:i/>
          <w:color w:val="333333"/>
          <w:sz w:val="24"/>
          <w:szCs w:val="24"/>
        </w:rPr>
        <w:t>istry and Molecular Biology Education</w:t>
      </w:r>
      <w:r w:rsidR="00825643" w:rsidRPr="00CF1C41">
        <w:rPr>
          <w:rFonts w:asciiTheme="majorHAnsi" w:hAnsiTheme="majorHAnsi"/>
          <w:color w:val="333333"/>
          <w:sz w:val="24"/>
          <w:szCs w:val="24"/>
        </w:rPr>
        <w:t xml:space="preserve">, </w:t>
      </w:r>
      <w:r w:rsidR="00CF1C41" w:rsidRPr="00CF1C41">
        <w:rPr>
          <w:rFonts w:asciiTheme="majorHAnsi" w:hAnsiTheme="majorHAnsi"/>
          <w:color w:val="333333"/>
          <w:sz w:val="24"/>
          <w:szCs w:val="24"/>
        </w:rPr>
        <w:t>48(5):</w:t>
      </w:r>
      <w:r w:rsidR="00825643" w:rsidRPr="00CF1C41">
        <w:rPr>
          <w:rFonts w:asciiTheme="majorHAnsi" w:hAnsiTheme="majorHAnsi"/>
          <w:color w:val="333333"/>
          <w:sz w:val="24"/>
          <w:szCs w:val="24"/>
        </w:rPr>
        <w:t xml:space="preserve"> </w:t>
      </w:r>
      <w:r w:rsidRPr="00CF1C41">
        <w:rPr>
          <w:rFonts w:asciiTheme="majorHAnsi" w:hAnsiTheme="majorHAnsi"/>
          <w:color w:val="333333"/>
          <w:sz w:val="24"/>
          <w:szCs w:val="24"/>
        </w:rPr>
        <w:t xml:space="preserve">482-483. </w:t>
      </w:r>
      <w:r w:rsidR="00825643" w:rsidRPr="00CF1C41">
        <w:rPr>
          <w:rFonts w:asciiTheme="majorHAnsi" w:hAnsiTheme="majorHAnsi"/>
          <w:color w:val="333333"/>
          <w:sz w:val="24"/>
          <w:szCs w:val="24"/>
        </w:rPr>
        <w:t>https://</w:t>
      </w:r>
      <w:r w:rsidRPr="00CF1C41">
        <w:rPr>
          <w:rFonts w:asciiTheme="majorHAnsi" w:hAnsiTheme="majorHAnsi"/>
          <w:color w:val="333333"/>
          <w:sz w:val="24"/>
          <w:szCs w:val="24"/>
        </w:rPr>
        <w:t>doi: 10.1002/bmb.21407.</w:t>
      </w:r>
      <w:r w:rsidR="00825643" w:rsidRPr="00CF1C41">
        <w:rPr>
          <w:rFonts w:asciiTheme="majorHAnsi" w:hAnsiTheme="majorHAnsi"/>
          <w:color w:val="333333"/>
          <w:sz w:val="24"/>
          <w:szCs w:val="24"/>
        </w:rPr>
        <w:br/>
      </w:r>
    </w:p>
    <w:p w14:paraId="7D010068" w14:textId="30B1A36D" w:rsidR="003A5AD7" w:rsidRPr="00CF1C41" w:rsidRDefault="003A5AD7" w:rsidP="003A5AD7">
      <w:pPr>
        <w:spacing w:line="240" w:lineRule="auto"/>
        <w:rPr>
          <w:rFonts w:asciiTheme="majorHAnsi" w:eastAsia="Times New Roman" w:hAnsiTheme="majorHAnsi" w:cs="Times New Roman"/>
          <w:sz w:val="24"/>
          <w:szCs w:val="24"/>
          <w:lang w:val="en-GB"/>
        </w:rPr>
      </w:pPr>
      <w:r w:rsidRPr="00CF1C41">
        <w:rPr>
          <w:rFonts w:asciiTheme="majorHAnsi" w:eastAsia="Times New Roman" w:hAnsiTheme="majorHAnsi" w:cs="Times New Roman"/>
          <w:sz w:val="24"/>
          <w:szCs w:val="24"/>
          <w:shd w:val="clear" w:color="auto" w:fill="FFFFFF"/>
          <w:lang w:val="en-GB"/>
        </w:rPr>
        <w:t>Walker Brodie F</w:t>
      </w:r>
      <w:r w:rsidR="0010363C"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sz w:val="24"/>
          <w:szCs w:val="24"/>
          <w:shd w:val="clear" w:color="auto" w:fill="FFFFFF"/>
          <w:lang w:val="en-GB"/>
        </w:rPr>
        <w:t xml:space="preserve"> and </w:t>
      </w:r>
      <w:r w:rsidR="0010363C" w:rsidRPr="00CF1C41">
        <w:rPr>
          <w:rFonts w:asciiTheme="majorHAnsi" w:eastAsia="Times New Roman" w:hAnsiTheme="majorHAnsi" w:cs="Times New Roman"/>
          <w:sz w:val="24"/>
          <w:szCs w:val="24"/>
          <w:shd w:val="clear" w:color="auto" w:fill="FFFFFF"/>
          <w:lang w:val="en-GB"/>
        </w:rPr>
        <w:t xml:space="preserve">Emmanuel C. Adukwu. </w:t>
      </w:r>
      <w:r w:rsidRPr="00CF1C41">
        <w:rPr>
          <w:rFonts w:asciiTheme="majorHAnsi" w:eastAsia="Times New Roman" w:hAnsiTheme="majorHAnsi" w:cs="Times New Roman"/>
          <w:sz w:val="24"/>
          <w:szCs w:val="24"/>
          <w:shd w:val="clear" w:color="auto" w:fill="FFFFFF"/>
          <w:lang w:val="en-GB"/>
        </w:rPr>
        <w:t xml:space="preserve">2020. </w:t>
      </w:r>
      <w:r w:rsidR="0010363C"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sz w:val="24"/>
          <w:szCs w:val="24"/>
          <w:shd w:val="clear" w:color="auto" w:fill="FFFFFF"/>
          <w:lang w:val="en-GB"/>
        </w:rPr>
        <w:t>The 2013-2016 Ebola epidemic: evaluating communication strategies between two affected countries in West Africa</w:t>
      </w:r>
      <w:r w:rsidR="00825643"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sz w:val="24"/>
          <w:szCs w:val="24"/>
          <w:shd w:val="clear" w:color="auto" w:fill="FFFFFF"/>
          <w:lang w:val="en-GB"/>
        </w:rPr>
        <w:t xml:space="preserve"> </w:t>
      </w:r>
      <w:r w:rsidRPr="00CF1C41">
        <w:rPr>
          <w:rFonts w:asciiTheme="majorHAnsi" w:eastAsia="Times New Roman" w:hAnsiTheme="majorHAnsi" w:cs="Times New Roman"/>
          <w:i/>
          <w:sz w:val="24"/>
          <w:szCs w:val="24"/>
          <w:shd w:val="clear" w:color="auto" w:fill="FFFFFF"/>
          <w:lang w:val="en-GB"/>
        </w:rPr>
        <w:t>Eur</w:t>
      </w:r>
      <w:r w:rsidR="0010363C" w:rsidRPr="00CF1C41">
        <w:rPr>
          <w:rFonts w:asciiTheme="majorHAnsi" w:eastAsia="Times New Roman" w:hAnsiTheme="majorHAnsi" w:cs="Times New Roman"/>
          <w:i/>
          <w:sz w:val="24"/>
          <w:szCs w:val="24"/>
          <w:shd w:val="clear" w:color="auto" w:fill="FFFFFF"/>
          <w:lang w:val="en-GB"/>
        </w:rPr>
        <w:t>opean Journal of Public Health</w:t>
      </w:r>
      <w:r w:rsidR="0010363C" w:rsidRPr="00CF1C41">
        <w:rPr>
          <w:rFonts w:asciiTheme="majorHAnsi" w:eastAsia="Times New Roman" w:hAnsiTheme="majorHAnsi" w:cs="Times New Roman"/>
          <w:sz w:val="24"/>
          <w:szCs w:val="24"/>
          <w:shd w:val="clear" w:color="auto" w:fill="FFFFFF"/>
          <w:lang w:val="en-GB"/>
        </w:rPr>
        <w:t xml:space="preserve"> </w:t>
      </w:r>
      <w:r w:rsidRPr="00CF1C41">
        <w:rPr>
          <w:rFonts w:asciiTheme="majorHAnsi" w:eastAsia="Times New Roman" w:hAnsiTheme="majorHAnsi" w:cs="Times New Roman"/>
          <w:sz w:val="24"/>
          <w:szCs w:val="24"/>
          <w:shd w:val="clear" w:color="auto" w:fill="FFFFFF"/>
          <w:lang w:val="en-GB"/>
        </w:rPr>
        <w:t>30(1)</w:t>
      </w:r>
      <w:r w:rsidR="00CF1C41" w:rsidRPr="00CF1C41">
        <w:rPr>
          <w:rFonts w:asciiTheme="majorHAnsi" w:eastAsia="Times New Roman" w:hAnsiTheme="majorHAnsi" w:cs="Times New Roman"/>
          <w:sz w:val="24"/>
          <w:szCs w:val="24"/>
          <w:shd w:val="clear" w:color="auto" w:fill="FFFFFF"/>
          <w:lang w:val="en-GB"/>
        </w:rPr>
        <w:t>:</w:t>
      </w:r>
      <w:r w:rsidR="0010363C" w:rsidRPr="00CF1C41">
        <w:rPr>
          <w:rFonts w:asciiTheme="majorHAnsi" w:eastAsia="Times New Roman" w:hAnsiTheme="majorHAnsi" w:cs="Times New Roman"/>
          <w:sz w:val="24"/>
          <w:szCs w:val="24"/>
          <w:shd w:val="clear" w:color="auto" w:fill="FFFFFF"/>
          <w:lang w:val="en-GB"/>
        </w:rPr>
        <w:t xml:space="preserve"> </w:t>
      </w:r>
      <w:r w:rsidRPr="00CF1C41">
        <w:rPr>
          <w:rFonts w:asciiTheme="majorHAnsi" w:eastAsia="Times New Roman" w:hAnsiTheme="majorHAnsi" w:cs="Times New Roman"/>
          <w:sz w:val="24"/>
          <w:szCs w:val="24"/>
          <w:shd w:val="clear" w:color="auto" w:fill="FFFFFF"/>
          <w:lang w:val="en-GB"/>
        </w:rPr>
        <w:t xml:space="preserve">118-124. </w:t>
      </w:r>
      <w:r w:rsidR="0010363C" w:rsidRPr="00CF1C41">
        <w:rPr>
          <w:rFonts w:asciiTheme="majorHAnsi" w:eastAsia="Times New Roman" w:hAnsiTheme="majorHAnsi" w:cs="Times New Roman"/>
          <w:sz w:val="24"/>
          <w:szCs w:val="24"/>
          <w:shd w:val="clear" w:color="auto" w:fill="FFFFFF"/>
          <w:lang w:val="en-GB"/>
        </w:rPr>
        <w:t>https://doi.org/</w:t>
      </w:r>
      <w:r w:rsidRPr="00CF1C41">
        <w:rPr>
          <w:rFonts w:asciiTheme="majorHAnsi" w:eastAsia="Times New Roman" w:hAnsiTheme="majorHAnsi" w:cs="Times New Roman"/>
          <w:sz w:val="24"/>
          <w:szCs w:val="24"/>
          <w:shd w:val="clear" w:color="auto" w:fill="FFFFFF"/>
          <w:lang w:val="en-GB"/>
        </w:rPr>
        <w:t>10.1093/eur</w:t>
      </w:r>
      <w:r w:rsidR="0010363C" w:rsidRPr="00CF1C41">
        <w:rPr>
          <w:rFonts w:asciiTheme="majorHAnsi" w:eastAsia="Times New Roman" w:hAnsiTheme="majorHAnsi" w:cs="Times New Roman"/>
          <w:sz w:val="24"/>
          <w:szCs w:val="24"/>
          <w:shd w:val="clear" w:color="auto" w:fill="FFFFFF"/>
          <w:lang w:val="en-GB"/>
        </w:rPr>
        <w:t>pub/ckz104</w:t>
      </w:r>
      <w:r w:rsidR="00373E62" w:rsidRPr="00CF1C41">
        <w:rPr>
          <w:rFonts w:asciiTheme="majorHAnsi" w:eastAsia="Times New Roman" w:hAnsiTheme="majorHAnsi" w:cs="Times New Roman"/>
          <w:sz w:val="24"/>
          <w:szCs w:val="24"/>
          <w:shd w:val="clear" w:color="auto" w:fill="FFFFFF"/>
          <w:lang w:val="en-GB"/>
        </w:rPr>
        <w:t>.</w:t>
      </w:r>
    </w:p>
    <w:p w14:paraId="2A798101" w14:textId="77777777" w:rsidR="003A5AD7" w:rsidRPr="00CF1C41" w:rsidRDefault="003A5AD7" w:rsidP="003A5AD7">
      <w:pPr>
        <w:pStyle w:val="Normal1"/>
        <w:rPr>
          <w:rFonts w:asciiTheme="majorHAnsi" w:hAnsiTheme="majorHAnsi"/>
          <w:sz w:val="24"/>
          <w:szCs w:val="24"/>
        </w:rPr>
      </w:pPr>
    </w:p>
    <w:p w14:paraId="233DA4F7" w14:textId="17A71CA3" w:rsidR="00185C2A" w:rsidRPr="00CF1C41" w:rsidRDefault="009F706A" w:rsidP="00DA5BC6">
      <w:pPr>
        <w:pStyle w:val="Normal1"/>
        <w:rPr>
          <w:rFonts w:asciiTheme="majorHAnsi" w:hAnsiTheme="majorHAnsi"/>
          <w:sz w:val="24"/>
          <w:szCs w:val="24"/>
        </w:rPr>
      </w:pPr>
      <w:r w:rsidRPr="00CF1C41">
        <w:rPr>
          <w:rFonts w:asciiTheme="majorHAnsi" w:hAnsiTheme="majorHAnsi"/>
          <w:sz w:val="24"/>
          <w:szCs w:val="24"/>
        </w:rPr>
        <w:t xml:space="preserve">Watson, Gordon, and Kathleen M Pike. 2020. </w:t>
      </w:r>
      <w:r w:rsidRPr="00CF1C41">
        <w:rPr>
          <w:rFonts w:asciiTheme="majorHAnsi" w:hAnsiTheme="majorHAnsi"/>
          <w:i/>
          <w:sz w:val="24"/>
          <w:szCs w:val="24"/>
        </w:rPr>
        <w:t>“Supporting Mental Health of Employees During and Beyond Covid-19.”</w:t>
      </w:r>
      <w:r w:rsidRPr="00CF1C41">
        <w:rPr>
          <w:rFonts w:asciiTheme="majorHAnsi" w:hAnsiTheme="majorHAnsi"/>
          <w:sz w:val="24"/>
          <w:szCs w:val="24"/>
        </w:rPr>
        <w:t xml:space="preserve"> AXA Asia, Accessed 6 November 2020.  </w:t>
      </w:r>
      <w:hyperlink r:id="rId41" w:history="1">
        <w:r w:rsidRPr="00CF1C41">
          <w:rPr>
            <w:rStyle w:val="Hyperlink"/>
            <w:rFonts w:asciiTheme="majorHAnsi" w:hAnsiTheme="majorHAnsi"/>
            <w:color w:val="auto"/>
            <w:sz w:val="24"/>
            <w:szCs w:val="24"/>
            <w:u w:val="none"/>
          </w:rPr>
          <w:t>https://www.employment-studies.co.uk/system/files/resources/files/AXAEMHGuide.pdf</w:t>
        </w:r>
      </w:hyperlink>
      <w:r w:rsidR="00373E62" w:rsidRPr="00B90F26">
        <w:rPr>
          <w:rStyle w:val="Hyperlink"/>
          <w:rFonts w:asciiTheme="majorHAnsi" w:hAnsiTheme="majorHAnsi"/>
          <w:color w:val="auto"/>
          <w:sz w:val="24"/>
          <w:szCs w:val="24"/>
          <w:u w:val="none"/>
        </w:rPr>
        <w:t>.</w:t>
      </w:r>
    </w:p>
    <w:p w14:paraId="759004E8" w14:textId="010266D8" w:rsidR="00185C2A" w:rsidRPr="00CF1C41" w:rsidRDefault="00185C2A" w:rsidP="00185C2A">
      <w:pPr>
        <w:pStyle w:val="NormalWeb"/>
        <w:rPr>
          <w:rFonts w:asciiTheme="majorHAnsi" w:hAnsiTheme="majorHAnsi" w:cs="Arial"/>
          <w:sz w:val="24"/>
          <w:szCs w:val="24"/>
          <w:lang w:val="en"/>
        </w:rPr>
      </w:pPr>
      <w:r w:rsidRPr="00CF1C41">
        <w:rPr>
          <w:rFonts w:asciiTheme="majorHAnsi" w:hAnsiTheme="majorHAnsi" w:cs="Arial"/>
          <w:sz w:val="24"/>
          <w:szCs w:val="24"/>
          <w:lang w:val="en"/>
        </w:rPr>
        <w:lastRenderedPageBreak/>
        <w:t xml:space="preserve">Wilson Jackie. 2008. </w:t>
      </w:r>
      <w:r w:rsidR="004E1804" w:rsidRPr="00CF1C41">
        <w:rPr>
          <w:rFonts w:asciiTheme="majorHAnsi" w:hAnsiTheme="majorHAnsi" w:cs="Arial"/>
          <w:i/>
          <w:sz w:val="24"/>
          <w:szCs w:val="24"/>
          <w:lang w:val="en"/>
        </w:rPr>
        <w:t>“</w:t>
      </w:r>
      <w:r w:rsidRPr="00CF1C41">
        <w:rPr>
          <w:rFonts w:asciiTheme="majorHAnsi" w:hAnsiTheme="majorHAnsi" w:cs="Arial"/>
          <w:i/>
          <w:sz w:val="24"/>
          <w:szCs w:val="24"/>
          <w:lang w:val="en"/>
        </w:rPr>
        <w:t>1st Year Practicals: Their Role in Developing Future Bioscientists.</w:t>
      </w:r>
      <w:r w:rsidR="004E1804" w:rsidRPr="00CF1C41">
        <w:rPr>
          <w:rFonts w:asciiTheme="majorHAnsi" w:hAnsiTheme="majorHAnsi" w:cs="Arial"/>
          <w:i/>
          <w:sz w:val="24"/>
          <w:szCs w:val="24"/>
          <w:lang w:val="en"/>
        </w:rPr>
        <w:t>”</w:t>
      </w:r>
      <w:r w:rsidR="004E1804" w:rsidRPr="00CF1C41">
        <w:rPr>
          <w:rFonts w:asciiTheme="majorHAnsi" w:hAnsiTheme="majorHAnsi" w:cs="Arial"/>
          <w:sz w:val="24"/>
          <w:szCs w:val="24"/>
          <w:lang w:val="en"/>
        </w:rPr>
        <w:t xml:space="preserve"> Higher Education Academy, Accessed 6 November 2020.</w:t>
      </w:r>
      <w:r w:rsidRPr="00CF1C41">
        <w:rPr>
          <w:rFonts w:asciiTheme="majorHAnsi" w:hAnsiTheme="majorHAnsi" w:cs="Arial"/>
          <w:sz w:val="24"/>
          <w:szCs w:val="24"/>
          <w:lang w:val="en"/>
        </w:rPr>
        <w:t xml:space="preserve"> </w:t>
      </w:r>
      <w:hyperlink r:id="rId42" w:history="1">
        <w:r w:rsidRPr="00CF1C41">
          <w:rPr>
            <w:rStyle w:val="Hyperlink"/>
            <w:rFonts w:asciiTheme="majorHAnsi" w:hAnsiTheme="majorHAnsi"/>
            <w:color w:val="auto"/>
            <w:sz w:val="24"/>
            <w:szCs w:val="24"/>
            <w:u w:val="none"/>
          </w:rPr>
          <w:t>https://synergy.st-andrews.ac.uk/vannesmithlab/files/2015/08/Adams_et_al08CentreBioReport.pdf</w:t>
        </w:r>
      </w:hyperlink>
      <w:r w:rsidR="00373E62" w:rsidRPr="000E2E95">
        <w:rPr>
          <w:rStyle w:val="Hyperlink"/>
          <w:rFonts w:asciiTheme="majorHAnsi" w:hAnsiTheme="majorHAnsi"/>
          <w:color w:val="auto"/>
          <w:sz w:val="24"/>
          <w:szCs w:val="24"/>
          <w:u w:val="none"/>
        </w:rPr>
        <w:t>.</w:t>
      </w:r>
    </w:p>
    <w:p w14:paraId="3BA1B36E" w14:textId="29D76C6F" w:rsidR="003A5AD7" w:rsidRPr="00CF1C41" w:rsidRDefault="003A5AD7" w:rsidP="003A5AD7">
      <w:pPr>
        <w:spacing w:line="240" w:lineRule="auto"/>
        <w:rPr>
          <w:rFonts w:asciiTheme="majorHAnsi" w:eastAsia="Times New Roman" w:hAnsiTheme="majorHAnsi" w:cs="Times New Roman"/>
          <w:sz w:val="24"/>
          <w:szCs w:val="24"/>
          <w:lang w:val="en-GB"/>
        </w:rPr>
      </w:pPr>
      <w:r w:rsidRPr="00CF1C41">
        <w:rPr>
          <w:rFonts w:asciiTheme="majorHAnsi" w:eastAsia="Times New Roman" w:hAnsiTheme="majorHAnsi"/>
          <w:sz w:val="24"/>
          <w:szCs w:val="24"/>
          <w:shd w:val="clear" w:color="auto" w:fill="FFFFFF"/>
          <w:lang w:val="en-GB"/>
        </w:rPr>
        <w:t xml:space="preserve">Wissinger Christina L. 2018. </w:t>
      </w:r>
      <w:r w:rsidR="0010363C" w:rsidRPr="00CF1C41">
        <w:rPr>
          <w:rFonts w:asciiTheme="majorHAnsi" w:eastAsia="Times New Roman" w:hAnsiTheme="majorHAnsi"/>
          <w:sz w:val="24"/>
          <w:szCs w:val="24"/>
          <w:shd w:val="clear" w:color="auto" w:fill="FFFFFF"/>
          <w:lang w:val="en-GB"/>
        </w:rPr>
        <w:t>“</w:t>
      </w:r>
      <w:r w:rsidRPr="00CF1C41">
        <w:rPr>
          <w:rFonts w:asciiTheme="majorHAnsi" w:eastAsia="Times New Roman" w:hAnsiTheme="majorHAnsi"/>
          <w:sz w:val="24"/>
          <w:szCs w:val="24"/>
          <w:shd w:val="clear" w:color="auto" w:fill="FFFFFF"/>
          <w:lang w:val="en-GB"/>
        </w:rPr>
        <w:t>Is there a place for undergraduate and graduate students in</w:t>
      </w:r>
      <w:r w:rsidR="0010363C" w:rsidRPr="00CF1C41">
        <w:rPr>
          <w:rFonts w:asciiTheme="majorHAnsi" w:eastAsia="Times New Roman" w:hAnsiTheme="majorHAnsi"/>
          <w:sz w:val="24"/>
          <w:szCs w:val="24"/>
          <w:shd w:val="clear" w:color="auto" w:fill="FFFFFF"/>
          <w:lang w:val="en-GB"/>
        </w:rPr>
        <w:t xml:space="preserve"> the systematic review process?”</w:t>
      </w:r>
      <w:r w:rsidRPr="00CF1C41">
        <w:rPr>
          <w:rFonts w:asciiTheme="majorHAnsi" w:eastAsia="Times New Roman" w:hAnsiTheme="majorHAnsi"/>
          <w:sz w:val="24"/>
          <w:szCs w:val="24"/>
          <w:shd w:val="clear" w:color="auto" w:fill="FFFFFF"/>
          <w:lang w:val="en-GB"/>
        </w:rPr>
        <w:t> </w:t>
      </w:r>
      <w:r w:rsidRPr="00CF1C41">
        <w:rPr>
          <w:rFonts w:asciiTheme="majorHAnsi" w:eastAsia="Times New Roman" w:hAnsiTheme="majorHAnsi"/>
          <w:i/>
          <w:iCs/>
          <w:sz w:val="24"/>
          <w:szCs w:val="24"/>
          <w:lang w:val="en-GB"/>
        </w:rPr>
        <w:t>Journal of th</w:t>
      </w:r>
      <w:r w:rsidR="0010363C" w:rsidRPr="00CF1C41">
        <w:rPr>
          <w:rFonts w:asciiTheme="majorHAnsi" w:eastAsia="Times New Roman" w:hAnsiTheme="majorHAnsi"/>
          <w:i/>
          <w:iCs/>
          <w:sz w:val="24"/>
          <w:szCs w:val="24"/>
          <w:lang w:val="en-GB"/>
        </w:rPr>
        <w:t xml:space="preserve">e Medical Library Association </w:t>
      </w:r>
      <w:r w:rsidRPr="00CF1C41">
        <w:rPr>
          <w:rFonts w:asciiTheme="majorHAnsi" w:eastAsia="Times New Roman" w:hAnsiTheme="majorHAnsi"/>
          <w:i/>
          <w:iCs/>
          <w:sz w:val="24"/>
          <w:szCs w:val="24"/>
          <w:lang w:val="en-GB"/>
        </w:rPr>
        <w:t>JMLA</w:t>
      </w:r>
      <w:r w:rsidR="0010363C" w:rsidRPr="00CF1C41">
        <w:rPr>
          <w:rFonts w:asciiTheme="majorHAnsi" w:eastAsia="Times New Roman" w:hAnsiTheme="majorHAnsi"/>
          <w:sz w:val="24"/>
          <w:szCs w:val="24"/>
          <w:shd w:val="clear" w:color="auto" w:fill="FFFFFF"/>
          <w:lang w:val="en-GB"/>
        </w:rPr>
        <w:t>:</w:t>
      </w:r>
      <w:r w:rsidRPr="00CF1C41">
        <w:rPr>
          <w:rFonts w:asciiTheme="majorHAnsi" w:eastAsia="Times New Roman" w:hAnsiTheme="majorHAnsi"/>
          <w:sz w:val="24"/>
          <w:szCs w:val="24"/>
          <w:shd w:val="clear" w:color="auto" w:fill="FFFFFF"/>
          <w:lang w:val="en-GB"/>
        </w:rPr>
        <w:t> </w:t>
      </w:r>
      <w:r w:rsidRPr="00CF1C41">
        <w:rPr>
          <w:rFonts w:asciiTheme="majorHAnsi" w:eastAsia="Times New Roman" w:hAnsiTheme="majorHAnsi"/>
          <w:i/>
          <w:iCs/>
          <w:sz w:val="24"/>
          <w:szCs w:val="24"/>
          <w:lang w:val="en-GB"/>
        </w:rPr>
        <w:t>106</w:t>
      </w:r>
      <w:r w:rsidRPr="00CF1C41">
        <w:rPr>
          <w:rFonts w:asciiTheme="majorHAnsi" w:eastAsia="Times New Roman" w:hAnsiTheme="majorHAnsi"/>
          <w:sz w:val="24"/>
          <w:szCs w:val="24"/>
          <w:shd w:val="clear" w:color="auto" w:fill="FFFFFF"/>
          <w:lang w:val="en-GB"/>
        </w:rPr>
        <w:t>(2</w:t>
      </w:r>
      <w:r w:rsidR="0010363C" w:rsidRPr="00CF1C41">
        <w:rPr>
          <w:rFonts w:asciiTheme="majorHAnsi" w:eastAsia="Times New Roman" w:hAnsiTheme="majorHAnsi"/>
          <w:sz w:val="24"/>
          <w:szCs w:val="24"/>
          <w:shd w:val="clear" w:color="auto" w:fill="FFFFFF"/>
          <w:lang w:val="en-GB"/>
        </w:rPr>
        <w:t>)</w:t>
      </w:r>
      <w:r w:rsidR="00CF1C41" w:rsidRPr="00CF1C41">
        <w:rPr>
          <w:rFonts w:asciiTheme="majorHAnsi" w:eastAsia="Times New Roman" w:hAnsiTheme="majorHAnsi"/>
          <w:sz w:val="24"/>
          <w:szCs w:val="24"/>
          <w:shd w:val="clear" w:color="auto" w:fill="FFFFFF"/>
          <w:lang w:val="en-GB"/>
        </w:rPr>
        <w:t>:</w:t>
      </w:r>
      <w:r w:rsidR="0010363C" w:rsidRPr="00CF1C41">
        <w:rPr>
          <w:rFonts w:asciiTheme="majorHAnsi" w:eastAsia="Times New Roman" w:hAnsiTheme="majorHAnsi"/>
          <w:sz w:val="24"/>
          <w:szCs w:val="24"/>
          <w:shd w:val="clear" w:color="auto" w:fill="FFFFFF"/>
          <w:lang w:val="en-GB"/>
        </w:rPr>
        <w:t xml:space="preserve"> 248–250. </w:t>
      </w:r>
      <w:r w:rsidRPr="00CF1C41">
        <w:rPr>
          <w:rFonts w:asciiTheme="majorHAnsi" w:eastAsia="Times New Roman" w:hAnsiTheme="majorHAnsi"/>
          <w:sz w:val="24"/>
          <w:szCs w:val="24"/>
          <w:shd w:val="clear" w:color="auto" w:fill="FFFFFF"/>
          <w:lang w:val="en-GB"/>
        </w:rPr>
        <w:t>https://doi.org/10.5195/jmla.2018.387</w:t>
      </w:r>
      <w:r w:rsidR="00373E62" w:rsidRPr="00CF1C41">
        <w:rPr>
          <w:rFonts w:asciiTheme="majorHAnsi" w:eastAsia="Times New Roman" w:hAnsiTheme="majorHAnsi"/>
          <w:sz w:val="24"/>
          <w:szCs w:val="24"/>
          <w:shd w:val="clear" w:color="auto" w:fill="FFFFFF"/>
          <w:lang w:val="en-GB"/>
        </w:rPr>
        <w:t>.</w:t>
      </w:r>
    </w:p>
    <w:p w14:paraId="456D5B74" w14:textId="77777777" w:rsidR="003A5AD7" w:rsidRPr="00CF1C41" w:rsidRDefault="003A5AD7" w:rsidP="00185C2A">
      <w:pPr>
        <w:spacing w:line="240" w:lineRule="auto"/>
        <w:rPr>
          <w:rFonts w:asciiTheme="majorHAnsi" w:eastAsia="Times New Roman" w:hAnsiTheme="majorHAnsi" w:cs="Times New Roman"/>
          <w:spacing w:val="4"/>
          <w:sz w:val="24"/>
          <w:szCs w:val="24"/>
          <w:lang w:val="en-GB"/>
        </w:rPr>
      </w:pPr>
    </w:p>
    <w:p w14:paraId="4883D348" w14:textId="4A25C210" w:rsidR="00825643" w:rsidRPr="00CF1C41" w:rsidRDefault="00185C2A" w:rsidP="00CF1C41">
      <w:pPr>
        <w:spacing w:line="240" w:lineRule="auto"/>
        <w:rPr>
          <w:rFonts w:asciiTheme="majorHAnsi" w:eastAsia="Times New Roman" w:hAnsiTheme="majorHAnsi"/>
          <w:bCs/>
          <w:color w:val="3C4245"/>
          <w:kern w:val="36"/>
          <w:sz w:val="24"/>
          <w:szCs w:val="24"/>
          <w:lang w:val="en-GB"/>
        </w:rPr>
      </w:pPr>
      <w:r w:rsidRPr="00CF1C41">
        <w:rPr>
          <w:rFonts w:asciiTheme="majorHAnsi" w:eastAsia="Times New Roman" w:hAnsiTheme="majorHAnsi" w:cs="Times New Roman"/>
          <w:spacing w:val="4"/>
          <w:sz w:val="24"/>
          <w:szCs w:val="24"/>
          <w:lang w:val="en-GB"/>
        </w:rPr>
        <w:t>Wong Billy T</w:t>
      </w:r>
      <w:r w:rsidR="0010363C" w:rsidRPr="00CF1C41">
        <w:rPr>
          <w:rFonts w:asciiTheme="majorHAnsi" w:eastAsia="Times New Roman" w:hAnsiTheme="majorHAnsi" w:cs="Times New Roman"/>
          <w:spacing w:val="4"/>
          <w:sz w:val="24"/>
          <w:szCs w:val="24"/>
          <w:lang w:val="en-GB"/>
        </w:rPr>
        <w:t>.</w:t>
      </w:r>
      <w:r w:rsidRPr="00CF1C41">
        <w:rPr>
          <w:rFonts w:asciiTheme="majorHAnsi" w:eastAsia="Times New Roman" w:hAnsiTheme="majorHAnsi" w:cs="Times New Roman"/>
          <w:spacing w:val="4"/>
          <w:sz w:val="24"/>
          <w:szCs w:val="24"/>
          <w:lang w:val="en-GB"/>
        </w:rPr>
        <w:t xml:space="preserve"> M</w:t>
      </w:r>
      <w:r w:rsidR="0010363C" w:rsidRPr="00CF1C41">
        <w:rPr>
          <w:rFonts w:asciiTheme="majorHAnsi" w:eastAsia="Times New Roman" w:hAnsiTheme="majorHAnsi" w:cs="Times New Roman"/>
          <w:spacing w:val="4"/>
          <w:sz w:val="24"/>
          <w:szCs w:val="24"/>
          <w:lang w:val="en-GB"/>
        </w:rPr>
        <w:t xml:space="preserve">., and </w:t>
      </w:r>
      <w:r w:rsidRPr="00CF1C41">
        <w:rPr>
          <w:rFonts w:asciiTheme="majorHAnsi" w:eastAsia="Times New Roman" w:hAnsiTheme="majorHAnsi" w:cs="Times New Roman"/>
          <w:spacing w:val="4"/>
          <w:sz w:val="24"/>
          <w:szCs w:val="24"/>
          <w:lang w:val="en-GB"/>
        </w:rPr>
        <w:t>Beryl Y</w:t>
      </w:r>
      <w:r w:rsidR="0010363C" w:rsidRPr="00CF1C41">
        <w:rPr>
          <w:rFonts w:asciiTheme="majorHAnsi" w:eastAsia="Times New Roman" w:hAnsiTheme="majorHAnsi" w:cs="Times New Roman"/>
          <w:spacing w:val="4"/>
          <w:sz w:val="24"/>
          <w:szCs w:val="24"/>
          <w:lang w:val="en-GB"/>
        </w:rPr>
        <w:t>.</w:t>
      </w:r>
      <w:r w:rsidRPr="00CF1C41">
        <w:rPr>
          <w:rFonts w:asciiTheme="majorHAnsi" w:eastAsia="Times New Roman" w:hAnsiTheme="majorHAnsi" w:cs="Times New Roman"/>
          <w:spacing w:val="4"/>
          <w:sz w:val="24"/>
          <w:szCs w:val="24"/>
          <w:lang w:val="en-GB"/>
        </w:rPr>
        <w:t xml:space="preserve"> Y. </w:t>
      </w:r>
      <w:r w:rsidR="0010363C" w:rsidRPr="00CF1C41">
        <w:rPr>
          <w:rFonts w:asciiTheme="majorHAnsi" w:eastAsia="Times New Roman" w:hAnsiTheme="majorHAnsi" w:cs="Times New Roman"/>
          <w:spacing w:val="4"/>
          <w:sz w:val="24"/>
          <w:szCs w:val="24"/>
          <w:lang w:val="en-GB"/>
        </w:rPr>
        <w:t xml:space="preserve">Wong. </w:t>
      </w:r>
      <w:r w:rsidRPr="00CF1C41">
        <w:rPr>
          <w:rFonts w:asciiTheme="majorHAnsi" w:eastAsia="Times New Roman" w:hAnsiTheme="majorHAnsi" w:cs="Times New Roman"/>
          <w:spacing w:val="4"/>
          <w:sz w:val="24"/>
          <w:szCs w:val="24"/>
          <w:lang w:val="en-GB"/>
        </w:rPr>
        <w:t xml:space="preserve">2020. </w:t>
      </w:r>
      <w:r w:rsidR="0010363C" w:rsidRPr="00CF1C41">
        <w:rPr>
          <w:rFonts w:asciiTheme="majorHAnsi" w:eastAsia="Times New Roman" w:hAnsiTheme="majorHAnsi" w:cs="Times New Roman"/>
          <w:spacing w:val="4"/>
          <w:sz w:val="24"/>
          <w:szCs w:val="24"/>
          <w:lang w:val="en-GB"/>
        </w:rPr>
        <w:t>“</w:t>
      </w:r>
      <w:r w:rsidRPr="00CF1C41">
        <w:rPr>
          <w:rFonts w:asciiTheme="majorHAnsi" w:eastAsia="Times New Roman" w:hAnsiTheme="majorHAnsi" w:cs="Times New Roman"/>
          <w:spacing w:val="4"/>
          <w:sz w:val="24"/>
          <w:szCs w:val="24"/>
          <w:lang w:val="en-GB"/>
        </w:rPr>
        <w:t>Student Support Needs for Wellness in Distance Learning</w:t>
      </w:r>
      <w:r w:rsidR="00DA5BC6" w:rsidRPr="00CF1C41">
        <w:rPr>
          <w:rFonts w:asciiTheme="majorHAnsi" w:eastAsia="Times New Roman" w:hAnsiTheme="majorHAnsi" w:cs="Times New Roman"/>
          <w:spacing w:val="4"/>
          <w:sz w:val="24"/>
          <w:szCs w:val="24"/>
          <w:lang w:val="en-GB"/>
        </w:rPr>
        <w:t>.</w:t>
      </w:r>
      <w:r w:rsidR="008772D9" w:rsidRPr="00CF1C41">
        <w:rPr>
          <w:rFonts w:asciiTheme="majorHAnsi" w:eastAsia="Times New Roman" w:hAnsiTheme="majorHAnsi" w:cs="Times New Roman"/>
          <w:spacing w:val="4"/>
          <w:sz w:val="24"/>
          <w:szCs w:val="24"/>
          <w:lang w:val="en-GB"/>
        </w:rPr>
        <w:t>”</w:t>
      </w:r>
      <w:r w:rsidRPr="00CF1C41">
        <w:rPr>
          <w:rFonts w:asciiTheme="majorHAnsi" w:eastAsia="Times New Roman" w:hAnsiTheme="majorHAnsi" w:cs="Times New Roman"/>
          <w:spacing w:val="4"/>
          <w:sz w:val="24"/>
          <w:szCs w:val="24"/>
          <w:lang w:val="en-GB"/>
        </w:rPr>
        <w:t xml:space="preserve"> In</w:t>
      </w:r>
      <w:r w:rsidR="008772D9" w:rsidRPr="00CF1C41">
        <w:rPr>
          <w:rFonts w:asciiTheme="majorHAnsi" w:eastAsia="Times New Roman" w:hAnsiTheme="majorHAnsi" w:cs="Times New Roman"/>
          <w:spacing w:val="4"/>
          <w:sz w:val="24"/>
          <w:szCs w:val="24"/>
          <w:lang w:val="en-GB"/>
        </w:rPr>
        <w:t xml:space="preserve"> </w:t>
      </w:r>
      <w:r w:rsidRPr="00CF1C41">
        <w:rPr>
          <w:rFonts w:asciiTheme="majorHAnsi" w:eastAsia="Times New Roman" w:hAnsiTheme="majorHAnsi" w:cs="Times New Roman"/>
          <w:i/>
          <w:spacing w:val="4"/>
          <w:sz w:val="24"/>
          <w:szCs w:val="24"/>
          <w:lang w:val="en-GB"/>
        </w:rPr>
        <w:t>Education in Technology-Supported Environments</w:t>
      </w:r>
      <w:r w:rsidR="008772D9" w:rsidRPr="00CF1C41">
        <w:rPr>
          <w:rFonts w:asciiTheme="majorHAnsi" w:eastAsia="Times New Roman" w:hAnsiTheme="majorHAnsi" w:cs="Times New Roman"/>
          <w:i/>
          <w:spacing w:val="4"/>
          <w:sz w:val="24"/>
          <w:szCs w:val="24"/>
          <w:lang w:val="en-GB"/>
        </w:rPr>
        <w:t xml:space="preserve">, </w:t>
      </w:r>
      <w:r w:rsidR="008772D9" w:rsidRPr="00CF1C41">
        <w:rPr>
          <w:rFonts w:asciiTheme="majorHAnsi" w:eastAsia="Times New Roman" w:hAnsiTheme="majorHAnsi" w:cs="Times New Roman"/>
          <w:spacing w:val="4"/>
          <w:sz w:val="24"/>
          <w:szCs w:val="24"/>
          <w:lang w:val="en-GB"/>
        </w:rPr>
        <w:t>edited by</w:t>
      </w:r>
      <w:r w:rsidR="008772D9" w:rsidRPr="00CF1C41">
        <w:rPr>
          <w:rFonts w:asciiTheme="majorHAnsi" w:eastAsia="Times New Roman" w:hAnsiTheme="majorHAnsi" w:cs="Times New Roman"/>
          <w:i/>
          <w:spacing w:val="4"/>
          <w:sz w:val="24"/>
          <w:szCs w:val="24"/>
          <w:lang w:val="en-GB"/>
        </w:rPr>
        <w:t xml:space="preserve"> </w:t>
      </w:r>
      <w:r w:rsidR="008772D9" w:rsidRPr="00CF1C41">
        <w:rPr>
          <w:rFonts w:asciiTheme="majorHAnsi" w:eastAsia="Times New Roman" w:hAnsiTheme="majorHAnsi" w:cs="Times New Roman"/>
          <w:spacing w:val="4"/>
          <w:sz w:val="24"/>
          <w:szCs w:val="24"/>
          <w:lang w:val="en-GB"/>
        </w:rPr>
        <w:t xml:space="preserve">Li K.C. Tsang and E.Y.M. Wong. Innovating </w:t>
      </w:r>
      <w:r w:rsidRPr="00CF1C41">
        <w:rPr>
          <w:rFonts w:asciiTheme="majorHAnsi" w:eastAsia="Times New Roman" w:hAnsiTheme="majorHAnsi" w:cs="Times New Roman"/>
          <w:spacing w:val="4"/>
          <w:sz w:val="24"/>
          <w:szCs w:val="24"/>
          <w:lang w:val="en-GB"/>
        </w:rPr>
        <w:t xml:space="preserve">Education Innovation Series. Springer, Singapore. </w:t>
      </w:r>
      <w:hyperlink r:id="rId43" w:history="1">
        <w:r w:rsidR="00BC6B92" w:rsidRPr="00CF1C41">
          <w:rPr>
            <w:rStyle w:val="Hyperlink"/>
            <w:rFonts w:asciiTheme="majorHAnsi" w:eastAsia="Times New Roman" w:hAnsiTheme="majorHAnsi" w:cs="Times New Roman"/>
            <w:i/>
            <w:color w:val="auto"/>
            <w:spacing w:val="4"/>
            <w:sz w:val="24"/>
            <w:szCs w:val="24"/>
            <w:lang w:val="en-GB"/>
          </w:rPr>
          <w:t>https://doi.org/10.1007/978-981-15-6591-5_17</w:t>
        </w:r>
      </w:hyperlink>
      <w:r w:rsidR="00373E62" w:rsidRPr="00CF1C41">
        <w:rPr>
          <w:rStyle w:val="Hyperlink"/>
          <w:rFonts w:asciiTheme="majorHAnsi" w:eastAsia="Times New Roman" w:hAnsiTheme="majorHAnsi" w:cs="Times New Roman"/>
          <w:i/>
          <w:color w:val="auto"/>
          <w:spacing w:val="4"/>
          <w:sz w:val="24"/>
          <w:szCs w:val="24"/>
          <w:lang w:val="en-GB"/>
        </w:rPr>
        <w:t>.</w:t>
      </w:r>
      <w:r w:rsidR="00825643" w:rsidRPr="00CF1C41">
        <w:rPr>
          <w:rStyle w:val="Hyperlink"/>
          <w:rFonts w:asciiTheme="majorHAnsi" w:eastAsia="Times New Roman" w:hAnsiTheme="majorHAnsi" w:cs="Times New Roman"/>
          <w:i/>
          <w:color w:val="auto"/>
          <w:spacing w:val="4"/>
          <w:sz w:val="24"/>
          <w:szCs w:val="24"/>
          <w:lang w:val="en-GB"/>
        </w:rPr>
        <w:br/>
      </w:r>
      <w:r w:rsidR="00825643" w:rsidRPr="00CF1C41">
        <w:rPr>
          <w:rStyle w:val="Hyperlink"/>
          <w:rFonts w:asciiTheme="majorHAnsi" w:eastAsia="Times New Roman" w:hAnsiTheme="majorHAnsi" w:cs="Times New Roman"/>
          <w:color w:val="auto"/>
          <w:spacing w:val="4"/>
          <w:sz w:val="24"/>
          <w:szCs w:val="24"/>
          <w:lang w:val="en-GB"/>
        </w:rPr>
        <w:br/>
      </w:r>
      <w:r w:rsidR="00825643" w:rsidRPr="00CF1C41">
        <w:rPr>
          <w:rFonts w:asciiTheme="majorHAnsi" w:hAnsiTheme="majorHAnsi"/>
          <w:sz w:val="24"/>
          <w:szCs w:val="24"/>
        </w:rPr>
        <w:t>World Health Organisation (WHO). 2020. “</w:t>
      </w:r>
      <w:r w:rsidR="00825643" w:rsidRPr="00CF1C41">
        <w:rPr>
          <w:rFonts w:asciiTheme="majorHAnsi" w:hAnsiTheme="majorHAnsi"/>
          <w:i/>
          <w:sz w:val="24"/>
          <w:szCs w:val="24"/>
        </w:rPr>
        <w:t>WHO Director-General's opening remarks at the media briefing on COVID-19 - 11 March 2020.</w:t>
      </w:r>
      <w:r w:rsidR="00825643" w:rsidRPr="00CF1C41">
        <w:rPr>
          <w:rFonts w:asciiTheme="majorHAnsi" w:hAnsiTheme="majorHAnsi"/>
          <w:sz w:val="24"/>
          <w:szCs w:val="24"/>
        </w:rPr>
        <w:t>” World Health Organisation, Accessed  14 April 2021. https://www.who.int/director-general/speeches/detail/who-director-general-s-opening-remarks-at-the-media-briefing-on-covid-19---11-march-2020.</w:t>
      </w:r>
    </w:p>
    <w:p w14:paraId="0D31D69D" w14:textId="77777777" w:rsidR="00BC6B92" w:rsidRPr="00CF1C41" w:rsidRDefault="00BC6B92" w:rsidP="00BC6B92">
      <w:pPr>
        <w:spacing w:line="240" w:lineRule="auto"/>
        <w:rPr>
          <w:rFonts w:asciiTheme="majorHAnsi" w:eastAsia="Times New Roman" w:hAnsiTheme="majorHAnsi" w:cs="Times New Roman"/>
          <w:spacing w:val="4"/>
          <w:sz w:val="24"/>
          <w:szCs w:val="24"/>
          <w:lang w:val="en-GB"/>
        </w:rPr>
      </w:pPr>
    </w:p>
    <w:p w14:paraId="68630E41" w14:textId="280F654A" w:rsidR="00BC6B92" w:rsidRPr="00CF1C41" w:rsidRDefault="00BC6B92" w:rsidP="00BC6B92">
      <w:pPr>
        <w:spacing w:line="240" w:lineRule="auto"/>
        <w:rPr>
          <w:rFonts w:asciiTheme="majorHAnsi" w:eastAsia="Times New Roman" w:hAnsiTheme="majorHAnsi" w:cs="Times New Roman"/>
          <w:sz w:val="24"/>
          <w:szCs w:val="24"/>
          <w:shd w:val="clear" w:color="auto" w:fill="FFFFFF"/>
          <w:lang w:val="en-GB"/>
        </w:rPr>
      </w:pPr>
      <w:r w:rsidRPr="00CF1C41">
        <w:rPr>
          <w:rFonts w:asciiTheme="majorHAnsi" w:eastAsia="Times New Roman" w:hAnsiTheme="majorHAnsi" w:cs="Times New Roman"/>
          <w:sz w:val="24"/>
          <w:szCs w:val="24"/>
          <w:shd w:val="clear" w:color="auto" w:fill="FFFFFF"/>
          <w:lang w:val="en-GB"/>
        </w:rPr>
        <w:t>Zaheer Muhammad</w:t>
      </w:r>
      <w:r w:rsidR="0010363C"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sz w:val="24"/>
          <w:szCs w:val="24"/>
          <w:shd w:val="clear" w:color="auto" w:fill="FFFFFF"/>
          <w:lang w:val="en-GB"/>
        </w:rPr>
        <w:t xml:space="preserve"> and</w:t>
      </w:r>
      <w:r w:rsidR="0010363C" w:rsidRPr="00CF1C41">
        <w:rPr>
          <w:rFonts w:asciiTheme="majorHAnsi" w:eastAsia="Times New Roman" w:hAnsiTheme="majorHAnsi" w:cs="Times New Roman"/>
          <w:sz w:val="24"/>
          <w:szCs w:val="24"/>
          <w:shd w:val="clear" w:color="auto" w:fill="FFFFFF"/>
          <w:lang w:val="en-GB"/>
        </w:rPr>
        <w:t xml:space="preserve"> Saba Munir</w:t>
      </w:r>
      <w:r w:rsidR="003A5AD7" w:rsidRPr="00CF1C41">
        <w:rPr>
          <w:rFonts w:asciiTheme="majorHAnsi" w:eastAsia="Times New Roman" w:hAnsiTheme="majorHAnsi" w:cs="Times New Roman"/>
          <w:sz w:val="24"/>
          <w:szCs w:val="24"/>
          <w:shd w:val="clear" w:color="auto" w:fill="FFFFFF"/>
          <w:lang w:val="en-GB"/>
        </w:rPr>
        <w:t xml:space="preserve">. 2020. </w:t>
      </w:r>
      <w:r w:rsidR="0010363C"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sz w:val="24"/>
          <w:szCs w:val="24"/>
          <w:shd w:val="clear" w:color="auto" w:fill="FFFFFF"/>
          <w:lang w:val="en-GB"/>
        </w:rPr>
        <w:t>Research supervision in distance l</w:t>
      </w:r>
      <w:r w:rsidR="003A5AD7" w:rsidRPr="00CF1C41">
        <w:rPr>
          <w:rFonts w:asciiTheme="majorHAnsi" w:eastAsia="Times New Roman" w:hAnsiTheme="majorHAnsi" w:cs="Times New Roman"/>
          <w:sz w:val="24"/>
          <w:szCs w:val="24"/>
          <w:shd w:val="clear" w:color="auto" w:fill="FFFFFF"/>
          <w:lang w:val="en-GB"/>
        </w:rPr>
        <w:t>earning: issues and challenges.</w:t>
      </w:r>
      <w:r w:rsidR="0010363C" w:rsidRPr="00CF1C41">
        <w:rPr>
          <w:rFonts w:asciiTheme="majorHAnsi" w:eastAsia="Times New Roman" w:hAnsiTheme="majorHAnsi" w:cs="Times New Roman"/>
          <w:sz w:val="24"/>
          <w:szCs w:val="24"/>
          <w:shd w:val="clear" w:color="auto" w:fill="FFFFFF"/>
          <w:lang w:val="en-GB"/>
        </w:rPr>
        <w:t>”</w:t>
      </w:r>
      <w:r w:rsidRPr="00CF1C41">
        <w:rPr>
          <w:rFonts w:asciiTheme="majorHAnsi" w:eastAsia="Times New Roman" w:hAnsiTheme="majorHAnsi" w:cs="Times New Roman"/>
          <w:sz w:val="24"/>
          <w:szCs w:val="24"/>
          <w:shd w:val="clear" w:color="auto" w:fill="FFFFFF"/>
          <w:lang w:val="en-GB"/>
        </w:rPr>
        <w:t> Asian Association of Open Universities Journal</w:t>
      </w:r>
      <w:r w:rsidR="0010363C" w:rsidRPr="00CF1C41">
        <w:rPr>
          <w:rFonts w:asciiTheme="majorHAnsi" w:eastAsia="Times New Roman" w:hAnsiTheme="majorHAnsi" w:cs="Times New Roman"/>
          <w:sz w:val="24"/>
          <w:szCs w:val="24"/>
          <w:shd w:val="clear" w:color="auto" w:fill="FFFFFF"/>
          <w:lang w:val="en-GB"/>
        </w:rPr>
        <w:t xml:space="preserve"> 15(</w:t>
      </w:r>
      <w:r w:rsidRPr="00CF1C41">
        <w:rPr>
          <w:rFonts w:asciiTheme="majorHAnsi" w:eastAsia="Times New Roman" w:hAnsiTheme="majorHAnsi" w:cs="Times New Roman"/>
          <w:sz w:val="24"/>
          <w:szCs w:val="24"/>
          <w:shd w:val="clear" w:color="auto" w:fill="FFFFFF"/>
          <w:lang w:val="en-GB"/>
        </w:rPr>
        <w:t>1</w:t>
      </w:r>
      <w:r w:rsidR="0010363C" w:rsidRPr="00CF1C41">
        <w:rPr>
          <w:rFonts w:asciiTheme="majorHAnsi" w:eastAsia="Times New Roman" w:hAnsiTheme="majorHAnsi" w:cs="Times New Roman"/>
          <w:sz w:val="24"/>
          <w:szCs w:val="24"/>
          <w:shd w:val="clear" w:color="auto" w:fill="FFFFFF"/>
          <w:lang w:val="en-GB"/>
        </w:rPr>
        <w:t xml:space="preserve">): </w:t>
      </w:r>
      <w:r w:rsidRPr="00CF1C41">
        <w:rPr>
          <w:rFonts w:asciiTheme="majorHAnsi" w:eastAsia="Times New Roman" w:hAnsiTheme="majorHAnsi" w:cs="Times New Roman"/>
          <w:sz w:val="24"/>
          <w:szCs w:val="24"/>
          <w:shd w:val="clear" w:color="auto" w:fill="FFFFFF"/>
          <w:lang w:val="en-GB"/>
        </w:rPr>
        <w:t>131-143. </w:t>
      </w:r>
      <w:hyperlink r:id="rId44" w:tooltip="DOI: https://doi.org/10.1108/AAOUJ-01-2020-0003" w:history="1">
        <w:r w:rsidRPr="00CF1C41">
          <w:rPr>
            <w:rFonts w:asciiTheme="majorHAnsi" w:eastAsia="Times New Roman" w:hAnsiTheme="majorHAnsi" w:cs="Times New Roman"/>
            <w:sz w:val="24"/>
            <w:szCs w:val="24"/>
            <w:shd w:val="clear" w:color="auto" w:fill="FFFFFF"/>
            <w:lang w:val="en-GB"/>
          </w:rPr>
          <w:t>https://doi.org/10.1108/AAOUJ-01-2020-0003</w:t>
        </w:r>
      </w:hyperlink>
      <w:r w:rsidR="00373E62" w:rsidRPr="00CF1C41">
        <w:rPr>
          <w:rFonts w:asciiTheme="majorHAnsi" w:eastAsia="Times New Roman" w:hAnsiTheme="majorHAnsi" w:cs="Times New Roman"/>
          <w:sz w:val="24"/>
          <w:szCs w:val="24"/>
          <w:shd w:val="clear" w:color="auto" w:fill="FFFFFF"/>
          <w:lang w:val="en-GB"/>
        </w:rPr>
        <w:t>.</w:t>
      </w:r>
    </w:p>
    <w:p w14:paraId="00000121" w14:textId="77777777" w:rsidR="00F135CF" w:rsidRDefault="00F135CF">
      <w:pPr>
        <w:pStyle w:val="Normal1"/>
      </w:pPr>
    </w:p>
    <w:sectPr w:rsidR="00F135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7FC"/>
    <w:multiLevelType w:val="hybridMultilevel"/>
    <w:tmpl w:val="8E7A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7FC8"/>
    <w:multiLevelType w:val="hybridMultilevel"/>
    <w:tmpl w:val="1F18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60B97"/>
    <w:multiLevelType w:val="hybridMultilevel"/>
    <w:tmpl w:val="BC70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D37BA"/>
    <w:multiLevelType w:val="hybridMultilevel"/>
    <w:tmpl w:val="4C7C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33618"/>
    <w:multiLevelType w:val="hybridMultilevel"/>
    <w:tmpl w:val="E6E0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A7E00"/>
    <w:multiLevelType w:val="hybridMultilevel"/>
    <w:tmpl w:val="450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607E7"/>
    <w:multiLevelType w:val="hybridMultilevel"/>
    <w:tmpl w:val="B3E8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CF"/>
    <w:rsid w:val="000027CA"/>
    <w:rsid w:val="00016EDE"/>
    <w:rsid w:val="000657BD"/>
    <w:rsid w:val="000D0864"/>
    <w:rsid w:val="000E2E95"/>
    <w:rsid w:val="0010363C"/>
    <w:rsid w:val="00143C1C"/>
    <w:rsid w:val="00185C2A"/>
    <w:rsid w:val="00195E08"/>
    <w:rsid w:val="001B3FE3"/>
    <w:rsid w:val="001D707C"/>
    <w:rsid w:val="00210C24"/>
    <w:rsid w:val="00211BC6"/>
    <w:rsid w:val="0021445E"/>
    <w:rsid w:val="00222641"/>
    <w:rsid w:val="002235AA"/>
    <w:rsid w:val="002515E6"/>
    <w:rsid w:val="002D45DE"/>
    <w:rsid w:val="002F69F7"/>
    <w:rsid w:val="00336BD5"/>
    <w:rsid w:val="003537BE"/>
    <w:rsid w:val="00373E62"/>
    <w:rsid w:val="003A5AD7"/>
    <w:rsid w:val="003C175A"/>
    <w:rsid w:val="0040730B"/>
    <w:rsid w:val="004224EA"/>
    <w:rsid w:val="00435A90"/>
    <w:rsid w:val="00436EDD"/>
    <w:rsid w:val="00481043"/>
    <w:rsid w:val="004A078F"/>
    <w:rsid w:val="004E1804"/>
    <w:rsid w:val="004F7197"/>
    <w:rsid w:val="00564AD5"/>
    <w:rsid w:val="00571368"/>
    <w:rsid w:val="005C4390"/>
    <w:rsid w:val="005D7FE9"/>
    <w:rsid w:val="00644CB7"/>
    <w:rsid w:val="006919BE"/>
    <w:rsid w:val="00691C36"/>
    <w:rsid w:val="00710CF7"/>
    <w:rsid w:val="00744ACE"/>
    <w:rsid w:val="007B19DE"/>
    <w:rsid w:val="007C0DDA"/>
    <w:rsid w:val="008028D5"/>
    <w:rsid w:val="00802E93"/>
    <w:rsid w:val="00805934"/>
    <w:rsid w:val="00825643"/>
    <w:rsid w:val="008568D3"/>
    <w:rsid w:val="008772D9"/>
    <w:rsid w:val="008B7210"/>
    <w:rsid w:val="008D252B"/>
    <w:rsid w:val="009109E4"/>
    <w:rsid w:val="00975E35"/>
    <w:rsid w:val="0098380B"/>
    <w:rsid w:val="009C21F0"/>
    <w:rsid w:val="009F48F8"/>
    <w:rsid w:val="009F706A"/>
    <w:rsid w:val="00A20FB6"/>
    <w:rsid w:val="00A25475"/>
    <w:rsid w:val="00A60E67"/>
    <w:rsid w:val="00A62D9C"/>
    <w:rsid w:val="00AC0D5A"/>
    <w:rsid w:val="00AD46E0"/>
    <w:rsid w:val="00B44EEC"/>
    <w:rsid w:val="00B57521"/>
    <w:rsid w:val="00B61CC5"/>
    <w:rsid w:val="00B862A4"/>
    <w:rsid w:val="00B90F26"/>
    <w:rsid w:val="00BC6B92"/>
    <w:rsid w:val="00BD38CF"/>
    <w:rsid w:val="00BF2FFA"/>
    <w:rsid w:val="00C01C8C"/>
    <w:rsid w:val="00C304E2"/>
    <w:rsid w:val="00C41540"/>
    <w:rsid w:val="00CB0A69"/>
    <w:rsid w:val="00CF1C41"/>
    <w:rsid w:val="00D00289"/>
    <w:rsid w:val="00D729D9"/>
    <w:rsid w:val="00DA5BC6"/>
    <w:rsid w:val="00DB2288"/>
    <w:rsid w:val="00DE3CDC"/>
    <w:rsid w:val="00EC0D24"/>
    <w:rsid w:val="00EC35CC"/>
    <w:rsid w:val="00EE0704"/>
    <w:rsid w:val="00F06E7A"/>
    <w:rsid w:val="00F135CF"/>
    <w:rsid w:val="00F165FE"/>
    <w:rsid w:val="00F766FC"/>
    <w:rsid w:val="00F81D81"/>
    <w:rsid w:val="00FD59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306D3DD-AB2B-4343-AEA9-BE7A28F3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400" w:after="120"/>
      <w:outlineLvl w:val="0"/>
    </w:pPr>
    <w:rPr>
      <w:sz w:val="40"/>
      <w:szCs w:val="40"/>
    </w:rPr>
  </w:style>
  <w:style w:type="paragraph" w:styleId="Heading2">
    <w:name w:val="heading 2"/>
    <w:basedOn w:val="Normal1"/>
    <w:next w:val="Normal1"/>
    <w:link w:val="Heading2Char"/>
    <w:uiPriority w:val="9"/>
    <w:qFormat/>
    <w:pPr>
      <w:keepNext/>
      <w:keepLines/>
      <w:spacing w:before="360" w:after="120"/>
      <w:outlineLvl w:val="1"/>
    </w:pPr>
    <w:rPr>
      <w:sz w:val="32"/>
      <w:szCs w:val="32"/>
    </w:rPr>
  </w:style>
  <w:style w:type="paragraph" w:styleId="Heading3">
    <w:name w:val="heading 3"/>
    <w:basedOn w:val="Normal1"/>
    <w:next w:val="Normal1"/>
    <w:link w:val="Heading3Char"/>
    <w:uiPriority w:val="9"/>
    <w:qFormat/>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customStyle="1" w:styleId="Articletitle">
    <w:name w:val="Article title"/>
    <w:basedOn w:val="Normal"/>
    <w:next w:val="Normal"/>
    <w:qFormat/>
    <w:rsid w:val="00B862A4"/>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B862A4"/>
    <w:pPr>
      <w:spacing w:before="24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B862A4"/>
    <w:pPr>
      <w:spacing w:before="24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B862A4"/>
    <w:pPr>
      <w:spacing w:before="24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B862A4"/>
    <w:pPr>
      <w:spacing w:before="240" w:line="360" w:lineRule="auto"/>
    </w:pPr>
    <w:rPr>
      <w:rFonts w:ascii="Times New Roman" w:eastAsia="Times New Roman" w:hAnsi="Times New Roman" w:cs="Times New Roman"/>
      <w:szCs w:val="24"/>
      <w:lang w:val="en-GB" w:eastAsia="en-GB"/>
    </w:rPr>
  </w:style>
  <w:style w:type="character" w:customStyle="1" w:styleId="apple-converted-space">
    <w:name w:val="apple-converted-space"/>
    <w:basedOn w:val="DefaultParagraphFont"/>
    <w:rsid w:val="00B862A4"/>
  </w:style>
  <w:style w:type="character" w:styleId="Emphasis">
    <w:name w:val="Emphasis"/>
    <w:basedOn w:val="DefaultParagraphFont"/>
    <w:uiPriority w:val="20"/>
    <w:qFormat/>
    <w:rsid w:val="00B862A4"/>
    <w:rPr>
      <w:i/>
      <w:iCs/>
    </w:rPr>
  </w:style>
  <w:style w:type="character" w:styleId="Hyperlink">
    <w:name w:val="Hyperlink"/>
    <w:basedOn w:val="DefaultParagraphFont"/>
    <w:uiPriority w:val="99"/>
    <w:unhideWhenUsed/>
    <w:rsid w:val="00A62D9C"/>
    <w:rPr>
      <w:color w:val="0000FF" w:themeColor="hyperlink"/>
      <w:u w:val="single"/>
    </w:rPr>
  </w:style>
  <w:style w:type="paragraph" w:styleId="NormalWeb">
    <w:name w:val="Normal (Web)"/>
    <w:basedOn w:val="Normal"/>
    <w:uiPriority w:val="99"/>
    <w:unhideWhenUsed/>
    <w:rsid w:val="00A62D9C"/>
    <w:pPr>
      <w:spacing w:before="100" w:beforeAutospacing="1" w:after="100" w:afterAutospacing="1" w:line="240" w:lineRule="auto"/>
    </w:pPr>
    <w:rPr>
      <w:rFonts w:ascii="Times New Roman" w:hAnsi="Times New Roman" w:cs="Times New Roman"/>
      <w:sz w:val="20"/>
      <w:szCs w:val="20"/>
      <w:lang w:val="en-GB"/>
    </w:rPr>
  </w:style>
  <w:style w:type="character" w:customStyle="1" w:styleId="authors">
    <w:name w:val="authors"/>
    <w:basedOn w:val="DefaultParagraphFont"/>
    <w:rsid w:val="000027CA"/>
  </w:style>
  <w:style w:type="character" w:customStyle="1" w:styleId="date1">
    <w:name w:val="date1"/>
    <w:basedOn w:val="DefaultParagraphFont"/>
    <w:rsid w:val="000027CA"/>
  </w:style>
  <w:style w:type="character" w:customStyle="1" w:styleId="arttitle">
    <w:name w:val="art_title"/>
    <w:basedOn w:val="DefaultParagraphFont"/>
    <w:rsid w:val="000027CA"/>
  </w:style>
  <w:style w:type="character" w:customStyle="1" w:styleId="serialtitle">
    <w:name w:val="serial_title"/>
    <w:basedOn w:val="DefaultParagraphFont"/>
    <w:rsid w:val="000027CA"/>
  </w:style>
  <w:style w:type="character" w:customStyle="1" w:styleId="volumeissue">
    <w:name w:val="volume_issue"/>
    <w:basedOn w:val="DefaultParagraphFont"/>
    <w:rsid w:val="000027CA"/>
  </w:style>
  <w:style w:type="character" w:customStyle="1" w:styleId="pagerange">
    <w:name w:val="page_range"/>
    <w:basedOn w:val="DefaultParagraphFont"/>
    <w:rsid w:val="000027CA"/>
  </w:style>
  <w:style w:type="character" w:customStyle="1" w:styleId="doilink">
    <w:name w:val="doi_link"/>
    <w:basedOn w:val="DefaultParagraphFont"/>
    <w:rsid w:val="000027CA"/>
  </w:style>
  <w:style w:type="paragraph" w:styleId="BalloonText">
    <w:name w:val="Balloon Text"/>
    <w:basedOn w:val="Normal"/>
    <w:link w:val="BalloonTextChar"/>
    <w:uiPriority w:val="99"/>
    <w:semiHidden/>
    <w:unhideWhenUsed/>
    <w:rsid w:val="00185C2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5C2A"/>
    <w:rPr>
      <w:rFonts w:ascii="Lucida Grande" w:hAnsi="Lucida Grande" w:cs="Lucida Grande"/>
      <w:sz w:val="18"/>
      <w:szCs w:val="18"/>
    </w:rPr>
  </w:style>
  <w:style w:type="character" w:customStyle="1" w:styleId="given-names">
    <w:name w:val="given-names"/>
    <w:basedOn w:val="DefaultParagraphFont"/>
    <w:rsid w:val="00BC6B92"/>
  </w:style>
  <w:style w:type="character" w:customStyle="1" w:styleId="surname">
    <w:name w:val="surname"/>
    <w:basedOn w:val="DefaultParagraphFont"/>
    <w:rsid w:val="00BC6B92"/>
  </w:style>
  <w:style w:type="character" w:styleId="FollowedHyperlink">
    <w:name w:val="FollowedHyperlink"/>
    <w:basedOn w:val="DefaultParagraphFont"/>
    <w:uiPriority w:val="99"/>
    <w:semiHidden/>
    <w:unhideWhenUsed/>
    <w:rsid w:val="00DA5BC6"/>
    <w:rPr>
      <w:color w:val="800080" w:themeColor="followedHyperlink"/>
      <w:u w:val="single"/>
    </w:rPr>
  </w:style>
  <w:style w:type="table" w:styleId="TableGrid">
    <w:name w:val="Table Grid"/>
    <w:basedOn w:val="TableNormal"/>
    <w:uiPriority w:val="59"/>
    <w:rsid w:val="009838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19BE"/>
    <w:rPr>
      <w:sz w:val="32"/>
      <w:szCs w:val="32"/>
    </w:rPr>
  </w:style>
  <w:style w:type="character" w:customStyle="1" w:styleId="Heading3Char">
    <w:name w:val="Heading 3 Char"/>
    <w:basedOn w:val="DefaultParagraphFont"/>
    <w:link w:val="Heading3"/>
    <w:uiPriority w:val="9"/>
    <w:rsid w:val="006919BE"/>
    <w:rPr>
      <w:color w:val="434343"/>
      <w:sz w:val="28"/>
      <w:szCs w:val="28"/>
    </w:rPr>
  </w:style>
  <w:style w:type="paragraph" w:styleId="ListParagraph">
    <w:name w:val="List Paragraph"/>
    <w:basedOn w:val="Normal"/>
    <w:uiPriority w:val="34"/>
    <w:qFormat/>
    <w:rsid w:val="00222641"/>
    <w:pPr>
      <w:ind w:left="720"/>
      <w:contextualSpacing/>
    </w:pPr>
  </w:style>
  <w:style w:type="character" w:customStyle="1" w:styleId="Heading1Char">
    <w:name w:val="Heading 1 Char"/>
    <w:basedOn w:val="DefaultParagraphFont"/>
    <w:link w:val="Heading1"/>
    <w:uiPriority w:val="9"/>
    <w:rsid w:val="00744ACE"/>
    <w:rPr>
      <w:sz w:val="40"/>
      <w:szCs w:val="40"/>
    </w:rPr>
  </w:style>
  <w:style w:type="character" w:customStyle="1" w:styleId="nlmstring-name">
    <w:name w:val="nlm_string-name"/>
    <w:basedOn w:val="DefaultParagraphFont"/>
    <w:rsid w:val="00F766FC"/>
  </w:style>
  <w:style w:type="character" w:customStyle="1" w:styleId="journalname">
    <w:name w:val="journalname"/>
    <w:basedOn w:val="DefaultParagraphFont"/>
    <w:rsid w:val="00F766FC"/>
  </w:style>
  <w:style w:type="character" w:customStyle="1" w:styleId="year">
    <w:name w:val="year"/>
    <w:basedOn w:val="DefaultParagraphFont"/>
    <w:rsid w:val="00F766FC"/>
  </w:style>
  <w:style w:type="character" w:customStyle="1" w:styleId="volume">
    <w:name w:val="volume"/>
    <w:basedOn w:val="DefaultParagraphFont"/>
    <w:rsid w:val="00F766FC"/>
  </w:style>
  <w:style w:type="character" w:customStyle="1" w:styleId="issue">
    <w:name w:val="issue"/>
    <w:basedOn w:val="DefaultParagraphFont"/>
    <w:rsid w:val="00F766FC"/>
  </w:style>
  <w:style w:type="character" w:customStyle="1" w:styleId="page">
    <w:name w:val="page"/>
    <w:basedOn w:val="DefaultParagraphFont"/>
    <w:rsid w:val="00F7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5220">
      <w:bodyDiv w:val="1"/>
      <w:marLeft w:val="0"/>
      <w:marRight w:val="0"/>
      <w:marTop w:val="0"/>
      <w:marBottom w:val="0"/>
      <w:divBdr>
        <w:top w:val="none" w:sz="0" w:space="0" w:color="auto"/>
        <w:left w:val="none" w:sz="0" w:space="0" w:color="auto"/>
        <w:bottom w:val="none" w:sz="0" w:space="0" w:color="auto"/>
        <w:right w:val="none" w:sz="0" w:space="0" w:color="auto"/>
      </w:divBdr>
    </w:div>
    <w:div w:id="47344853">
      <w:bodyDiv w:val="1"/>
      <w:marLeft w:val="0"/>
      <w:marRight w:val="0"/>
      <w:marTop w:val="0"/>
      <w:marBottom w:val="0"/>
      <w:divBdr>
        <w:top w:val="none" w:sz="0" w:space="0" w:color="auto"/>
        <w:left w:val="none" w:sz="0" w:space="0" w:color="auto"/>
        <w:bottom w:val="none" w:sz="0" w:space="0" w:color="auto"/>
        <w:right w:val="none" w:sz="0" w:space="0" w:color="auto"/>
      </w:divBdr>
    </w:div>
    <w:div w:id="88233817">
      <w:bodyDiv w:val="1"/>
      <w:marLeft w:val="0"/>
      <w:marRight w:val="0"/>
      <w:marTop w:val="0"/>
      <w:marBottom w:val="0"/>
      <w:divBdr>
        <w:top w:val="none" w:sz="0" w:space="0" w:color="auto"/>
        <w:left w:val="none" w:sz="0" w:space="0" w:color="auto"/>
        <w:bottom w:val="none" w:sz="0" w:space="0" w:color="auto"/>
        <w:right w:val="none" w:sz="0" w:space="0" w:color="auto"/>
      </w:divBdr>
    </w:div>
    <w:div w:id="113642056">
      <w:bodyDiv w:val="1"/>
      <w:marLeft w:val="0"/>
      <w:marRight w:val="0"/>
      <w:marTop w:val="0"/>
      <w:marBottom w:val="0"/>
      <w:divBdr>
        <w:top w:val="none" w:sz="0" w:space="0" w:color="auto"/>
        <w:left w:val="none" w:sz="0" w:space="0" w:color="auto"/>
        <w:bottom w:val="none" w:sz="0" w:space="0" w:color="auto"/>
        <w:right w:val="none" w:sz="0" w:space="0" w:color="auto"/>
      </w:divBdr>
      <w:divsChild>
        <w:div w:id="2556051">
          <w:marLeft w:val="0"/>
          <w:marRight w:val="0"/>
          <w:marTop w:val="0"/>
          <w:marBottom w:val="0"/>
          <w:divBdr>
            <w:top w:val="none" w:sz="0" w:space="0" w:color="auto"/>
            <w:left w:val="none" w:sz="0" w:space="0" w:color="auto"/>
            <w:bottom w:val="none" w:sz="0" w:space="0" w:color="auto"/>
            <w:right w:val="none" w:sz="0" w:space="0" w:color="auto"/>
          </w:divBdr>
          <w:divsChild>
            <w:div w:id="446122526">
              <w:marLeft w:val="0"/>
              <w:marRight w:val="0"/>
              <w:marTop w:val="0"/>
              <w:marBottom w:val="0"/>
              <w:divBdr>
                <w:top w:val="none" w:sz="0" w:space="0" w:color="auto"/>
                <w:left w:val="none" w:sz="0" w:space="0" w:color="auto"/>
                <w:bottom w:val="none" w:sz="0" w:space="0" w:color="auto"/>
                <w:right w:val="none" w:sz="0" w:space="0" w:color="auto"/>
              </w:divBdr>
              <w:divsChild>
                <w:div w:id="255136173">
                  <w:marLeft w:val="0"/>
                  <w:marRight w:val="0"/>
                  <w:marTop w:val="0"/>
                  <w:marBottom w:val="0"/>
                  <w:divBdr>
                    <w:top w:val="none" w:sz="0" w:space="0" w:color="auto"/>
                    <w:left w:val="none" w:sz="0" w:space="0" w:color="auto"/>
                    <w:bottom w:val="none" w:sz="0" w:space="0" w:color="auto"/>
                    <w:right w:val="none" w:sz="0" w:space="0" w:color="auto"/>
                  </w:divBdr>
                  <w:divsChild>
                    <w:div w:id="7895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1599">
      <w:bodyDiv w:val="1"/>
      <w:marLeft w:val="0"/>
      <w:marRight w:val="0"/>
      <w:marTop w:val="0"/>
      <w:marBottom w:val="0"/>
      <w:divBdr>
        <w:top w:val="none" w:sz="0" w:space="0" w:color="auto"/>
        <w:left w:val="none" w:sz="0" w:space="0" w:color="auto"/>
        <w:bottom w:val="none" w:sz="0" w:space="0" w:color="auto"/>
        <w:right w:val="none" w:sz="0" w:space="0" w:color="auto"/>
      </w:divBdr>
      <w:divsChild>
        <w:div w:id="1225603985">
          <w:marLeft w:val="0"/>
          <w:marRight w:val="0"/>
          <w:marTop w:val="0"/>
          <w:marBottom w:val="0"/>
          <w:divBdr>
            <w:top w:val="none" w:sz="0" w:space="0" w:color="auto"/>
            <w:left w:val="none" w:sz="0" w:space="0" w:color="auto"/>
            <w:bottom w:val="none" w:sz="0" w:space="0" w:color="auto"/>
            <w:right w:val="none" w:sz="0" w:space="0" w:color="auto"/>
          </w:divBdr>
        </w:div>
        <w:div w:id="1427114618">
          <w:marLeft w:val="0"/>
          <w:marRight w:val="0"/>
          <w:marTop w:val="0"/>
          <w:marBottom w:val="0"/>
          <w:divBdr>
            <w:top w:val="none" w:sz="0" w:space="0" w:color="auto"/>
            <w:left w:val="none" w:sz="0" w:space="0" w:color="auto"/>
            <w:bottom w:val="none" w:sz="0" w:space="0" w:color="auto"/>
            <w:right w:val="none" w:sz="0" w:space="0" w:color="auto"/>
          </w:divBdr>
        </w:div>
      </w:divsChild>
    </w:div>
    <w:div w:id="158035701">
      <w:bodyDiv w:val="1"/>
      <w:marLeft w:val="0"/>
      <w:marRight w:val="0"/>
      <w:marTop w:val="0"/>
      <w:marBottom w:val="0"/>
      <w:divBdr>
        <w:top w:val="none" w:sz="0" w:space="0" w:color="auto"/>
        <w:left w:val="none" w:sz="0" w:space="0" w:color="auto"/>
        <w:bottom w:val="none" w:sz="0" w:space="0" w:color="auto"/>
        <w:right w:val="none" w:sz="0" w:space="0" w:color="auto"/>
      </w:divBdr>
    </w:div>
    <w:div w:id="290064845">
      <w:bodyDiv w:val="1"/>
      <w:marLeft w:val="0"/>
      <w:marRight w:val="0"/>
      <w:marTop w:val="0"/>
      <w:marBottom w:val="0"/>
      <w:divBdr>
        <w:top w:val="none" w:sz="0" w:space="0" w:color="auto"/>
        <w:left w:val="none" w:sz="0" w:space="0" w:color="auto"/>
        <w:bottom w:val="none" w:sz="0" w:space="0" w:color="auto"/>
        <w:right w:val="none" w:sz="0" w:space="0" w:color="auto"/>
      </w:divBdr>
    </w:div>
    <w:div w:id="319622434">
      <w:bodyDiv w:val="1"/>
      <w:marLeft w:val="0"/>
      <w:marRight w:val="0"/>
      <w:marTop w:val="0"/>
      <w:marBottom w:val="0"/>
      <w:divBdr>
        <w:top w:val="none" w:sz="0" w:space="0" w:color="auto"/>
        <w:left w:val="none" w:sz="0" w:space="0" w:color="auto"/>
        <w:bottom w:val="none" w:sz="0" w:space="0" w:color="auto"/>
        <w:right w:val="none" w:sz="0" w:space="0" w:color="auto"/>
      </w:divBdr>
    </w:div>
    <w:div w:id="372845461">
      <w:bodyDiv w:val="1"/>
      <w:marLeft w:val="0"/>
      <w:marRight w:val="0"/>
      <w:marTop w:val="0"/>
      <w:marBottom w:val="0"/>
      <w:divBdr>
        <w:top w:val="none" w:sz="0" w:space="0" w:color="auto"/>
        <w:left w:val="none" w:sz="0" w:space="0" w:color="auto"/>
        <w:bottom w:val="none" w:sz="0" w:space="0" w:color="auto"/>
        <w:right w:val="none" w:sz="0" w:space="0" w:color="auto"/>
      </w:divBdr>
      <w:divsChild>
        <w:div w:id="1776364891">
          <w:marLeft w:val="0"/>
          <w:marRight w:val="0"/>
          <w:marTop w:val="0"/>
          <w:marBottom w:val="0"/>
          <w:divBdr>
            <w:top w:val="none" w:sz="0" w:space="0" w:color="auto"/>
            <w:left w:val="none" w:sz="0" w:space="0" w:color="auto"/>
            <w:bottom w:val="none" w:sz="0" w:space="0" w:color="auto"/>
            <w:right w:val="none" w:sz="0" w:space="0" w:color="auto"/>
          </w:divBdr>
          <w:divsChild>
            <w:div w:id="965700201">
              <w:marLeft w:val="0"/>
              <w:marRight w:val="0"/>
              <w:marTop w:val="0"/>
              <w:marBottom w:val="0"/>
              <w:divBdr>
                <w:top w:val="none" w:sz="0" w:space="0" w:color="auto"/>
                <w:left w:val="none" w:sz="0" w:space="0" w:color="auto"/>
                <w:bottom w:val="none" w:sz="0" w:space="0" w:color="auto"/>
                <w:right w:val="none" w:sz="0" w:space="0" w:color="auto"/>
              </w:divBdr>
              <w:divsChild>
                <w:div w:id="593364257">
                  <w:marLeft w:val="0"/>
                  <w:marRight w:val="0"/>
                  <w:marTop w:val="0"/>
                  <w:marBottom w:val="0"/>
                  <w:divBdr>
                    <w:top w:val="none" w:sz="0" w:space="0" w:color="auto"/>
                    <w:left w:val="none" w:sz="0" w:space="0" w:color="auto"/>
                    <w:bottom w:val="none" w:sz="0" w:space="0" w:color="auto"/>
                    <w:right w:val="none" w:sz="0" w:space="0" w:color="auto"/>
                  </w:divBdr>
                  <w:divsChild>
                    <w:div w:id="6621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59373">
      <w:bodyDiv w:val="1"/>
      <w:marLeft w:val="0"/>
      <w:marRight w:val="0"/>
      <w:marTop w:val="0"/>
      <w:marBottom w:val="0"/>
      <w:divBdr>
        <w:top w:val="none" w:sz="0" w:space="0" w:color="auto"/>
        <w:left w:val="none" w:sz="0" w:space="0" w:color="auto"/>
        <w:bottom w:val="none" w:sz="0" w:space="0" w:color="auto"/>
        <w:right w:val="none" w:sz="0" w:space="0" w:color="auto"/>
      </w:divBdr>
      <w:divsChild>
        <w:div w:id="809592279">
          <w:marLeft w:val="0"/>
          <w:marRight w:val="0"/>
          <w:marTop w:val="0"/>
          <w:marBottom w:val="0"/>
          <w:divBdr>
            <w:top w:val="none" w:sz="0" w:space="0" w:color="auto"/>
            <w:left w:val="none" w:sz="0" w:space="0" w:color="auto"/>
            <w:bottom w:val="none" w:sz="0" w:space="0" w:color="auto"/>
            <w:right w:val="none" w:sz="0" w:space="0" w:color="auto"/>
          </w:divBdr>
          <w:divsChild>
            <w:div w:id="893613963">
              <w:marLeft w:val="0"/>
              <w:marRight w:val="0"/>
              <w:marTop w:val="0"/>
              <w:marBottom w:val="0"/>
              <w:divBdr>
                <w:top w:val="none" w:sz="0" w:space="0" w:color="auto"/>
                <w:left w:val="none" w:sz="0" w:space="0" w:color="auto"/>
                <w:bottom w:val="none" w:sz="0" w:space="0" w:color="auto"/>
                <w:right w:val="none" w:sz="0" w:space="0" w:color="auto"/>
              </w:divBdr>
              <w:divsChild>
                <w:div w:id="12239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26471">
      <w:bodyDiv w:val="1"/>
      <w:marLeft w:val="0"/>
      <w:marRight w:val="0"/>
      <w:marTop w:val="0"/>
      <w:marBottom w:val="0"/>
      <w:divBdr>
        <w:top w:val="none" w:sz="0" w:space="0" w:color="auto"/>
        <w:left w:val="none" w:sz="0" w:space="0" w:color="auto"/>
        <w:bottom w:val="none" w:sz="0" w:space="0" w:color="auto"/>
        <w:right w:val="none" w:sz="0" w:space="0" w:color="auto"/>
      </w:divBdr>
    </w:div>
    <w:div w:id="425228851">
      <w:bodyDiv w:val="1"/>
      <w:marLeft w:val="0"/>
      <w:marRight w:val="0"/>
      <w:marTop w:val="0"/>
      <w:marBottom w:val="0"/>
      <w:divBdr>
        <w:top w:val="none" w:sz="0" w:space="0" w:color="auto"/>
        <w:left w:val="none" w:sz="0" w:space="0" w:color="auto"/>
        <w:bottom w:val="none" w:sz="0" w:space="0" w:color="auto"/>
        <w:right w:val="none" w:sz="0" w:space="0" w:color="auto"/>
      </w:divBdr>
    </w:div>
    <w:div w:id="435563990">
      <w:bodyDiv w:val="1"/>
      <w:marLeft w:val="0"/>
      <w:marRight w:val="0"/>
      <w:marTop w:val="0"/>
      <w:marBottom w:val="0"/>
      <w:divBdr>
        <w:top w:val="none" w:sz="0" w:space="0" w:color="auto"/>
        <w:left w:val="none" w:sz="0" w:space="0" w:color="auto"/>
        <w:bottom w:val="none" w:sz="0" w:space="0" w:color="auto"/>
        <w:right w:val="none" w:sz="0" w:space="0" w:color="auto"/>
      </w:divBdr>
    </w:div>
    <w:div w:id="492793818">
      <w:bodyDiv w:val="1"/>
      <w:marLeft w:val="0"/>
      <w:marRight w:val="0"/>
      <w:marTop w:val="0"/>
      <w:marBottom w:val="0"/>
      <w:divBdr>
        <w:top w:val="none" w:sz="0" w:space="0" w:color="auto"/>
        <w:left w:val="none" w:sz="0" w:space="0" w:color="auto"/>
        <w:bottom w:val="none" w:sz="0" w:space="0" w:color="auto"/>
        <w:right w:val="none" w:sz="0" w:space="0" w:color="auto"/>
      </w:divBdr>
    </w:div>
    <w:div w:id="548343401">
      <w:bodyDiv w:val="1"/>
      <w:marLeft w:val="0"/>
      <w:marRight w:val="0"/>
      <w:marTop w:val="0"/>
      <w:marBottom w:val="0"/>
      <w:divBdr>
        <w:top w:val="none" w:sz="0" w:space="0" w:color="auto"/>
        <w:left w:val="none" w:sz="0" w:space="0" w:color="auto"/>
        <w:bottom w:val="none" w:sz="0" w:space="0" w:color="auto"/>
        <w:right w:val="none" w:sz="0" w:space="0" w:color="auto"/>
      </w:divBdr>
      <w:divsChild>
        <w:div w:id="657536912">
          <w:marLeft w:val="0"/>
          <w:marRight w:val="0"/>
          <w:marTop w:val="0"/>
          <w:marBottom w:val="0"/>
          <w:divBdr>
            <w:top w:val="none" w:sz="0" w:space="0" w:color="auto"/>
            <w:left w:val="none" w:sz="0" w:space="0" w:color="auto"/>
            <w:bottom w:val="none" w:sz="0" w:space="0" w:color="auto"/>
            <w:right w:val="none" w:sz="0" w:space="0" w:color="auto"/>
          </w:divBdr>
          <w:divsChild>
            <w:div w:id="1818450604">
              <w:marLeft w:val="0"/>
              <w:marRight w:val="0"/>
              <w:marTop w:val="0"/>
              <w:marBottom w:val="0"/>
              <w:divBdr>
                <w:top w:val="none" w:sz="0" w:space="0" w:color="auto"/>
                <w:left w:val="none" w:sz="0" w:space="0" w:color="auto"/>
                <w:bottom w:val="none" w:sz="0" w:space="0" w:color="auto"/>
                <w:right w:val="none" w:sz="0" w:space="0" w:color="auto"/>
              </w:divBdr>
              <w:divsChild>
                <w:div w:id="20278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3950">
      <w:bodyDiv w:val="1"/>
      <w:marLeft w:val="0"/>
      <w:marRight w:val="0"/>
      <w:marTop w:val="0"/>
      <w:marBottom w:val="0"/>
      <w:divBdr>
        <w:top w:val="none" w:sz="0" w:space="0" w:color="auto"/>
        <w:left w:val="none" w:sz="0" w:space="0" w:color="auto"/>
        <w:bottom w:val="none" w:sz="0" w:space="0" w:color="auto"/>
        <w:right w:val="none" w:sz="0" w:space="0" w:color="auto"/>
      </w:divBdr>
    </w:div>
    <w:div w:id="573584690">
      <w:bodyDiv w:val="1"/>
      <w:marLeft w:val="0"/>
      <w:marRight w:val="0"/>
      <w:marTop w:val="0"/>
      <w:marBottom w:val="0"/>
      <w:divBdr>
        <w:top w:val="none" w:sz="0" w:space="0" w:color="auto"/>
        <w:left w:val="none" w:sz="0" w:space="0" w:color="auto"/>
        <w:bottom w:val="none" w:sz="0" w:space="0" w:color="auto"/>
        <w:right w:val="none" w:sz="0" w:space="0" w:color="auto"/>
      </w:divBdr>
    </w:div>
    <w:div w:id="602692995">
      <w:bodyDiv w:val="1"/>
      <w:marLeft w:val="0"/>
      <w:marRight w:val="0"/>
      <w:marTop w:val="0"/>
      <w:marBottom w:val="0"/>
      <w:divBdr>
        <w:top w:val="none" w:sz="0" w:space="0" w:color="auto"/>
        <w:left w:val="none" w:sz="0" w:space="0" w:color="auto"/>
        <w:bottom w:val="none" w:sz="0" w:space="0" w:color="auto"/>
        <w:right w:val="none" w:sz="0" w:space="0" w:color="auto"/>
      </w:divBdr>
    </w:div>
    <w:div w:id="615217713">
      <w:bodyDiv w:val="1"/>
      <w:marLeft w:val="0"/>
      <w:marRight w:val="0"/>
      <w:marTop w:val="0"/>
      <w:marBottom w:val="0"/>
      <w:divBdr>
        <w:top w:val="none" w:sz="0" w:space="0" w:color="auto"/>
        <w:left w:val="none" w:sz="0" w:space="0" w:color="auto"/>
        <w:bottom w:val="none" w:sz="0" w:space="0" w:color="auto"/>
        <w:right w:val="none" w:sz="0" w:space="0" w:color="auto"/>
      </w:divBdr>
    </w:div>
    <w:div w:id="667173175">
      <w:bodyDiv w:val="1"/>
      <w:marLeft w:val="0"/>
      <w:marRight w:val="0"/>
      <w:marTop w:val="0"/>
      <w:marBottom w:val="0"/>
      <w:divBdr>
        <w:top w:val="none" w:sz="0" w:space="0" w:color="auto"/>
        <w:left w:val="none" w:sz="0" w:space="0" w:color="auto"/>
        <w:bottom w:val="none" w:sz="0" w:space="0" w:color="auto"/>
        <w:right w:val="none" w:sz="0" w:space="0" w:color="auto"/>
      </w:divBdr>
    </w:div>
    <w:div w:id="675763091">
      <w:bodyDiv w:val="1"/>
      <w:marLeft w:val="0"/>
      <w:marRight w:val="0"/>
      <w:marTop w:val="0"/>
      <w:marBottom w:val="0"/>
      <w:divBdr>
        <w:top w:val="none" w:sz="0" w:space="0" w:color="auto"/>
        <w:left w:val="none" w:sz="0" w:space="0" w:color="auto"/>
        <w:bottom w:val="none" w:sz="0" w:space="0" w:color="auto"/>
        <w:right w:val="none" w:sz="0" w:space="0" w:color="auto"/>
      </w:divBdr>
    </w:div>
    <w:div w:id="692465686">
      <w:bodyDiv w:val="1"/>
      <w:marLeft w:val="0"/>
      <w:marRight w:val="0"/>
      <w:marTop w:val="0"/>
      <w:marBottom w:val="0"/>
      <w:divBdr>
        <w:top w:val="none" w:sz="0" w:space="0" w:color="auto"/>
        <w:left w:val="none" w:sz="0" w:space="0" w:color="auto"/>
        <w:bottom w:val="none" w:sz="0" w:space="0" w:color="auto"/>
        <w:right w:val="none" w:sz="0" w:space="0" w:color="auto"/>
      </w:divBdr>
      <w:divsChild>
        <w:div w:id="599606751">
          <w:marLeft w:val="0"/>
          <w:marRight w:val="0"/>
          <w:marTop w:val="0"/>
          <w:marBottom w:val="0"/>
          <w:divBdr>
            <w:top w:val="none" w:sz="0" w:space="0" w:color="auto"/>
            <w:left w:val="none" w:sz="0" w:space="0" w:color="auto"/>
            <w:bottom w:val="none" w:sz="0" w:space="0" w:color="auto"/>
            <w:right w:val="none" w:sz="0" w:space="0" w:color="auto"/>
          </w:divBdr>
          <w:divsChild>
            <w:div w:id="1774547687">
              <w:marLeft w:val="0"/>
              <w:marRight w:val="0"/>
              <w:marTop w:val="0"/>
              <w:marBottom w:val="0"/>
              <w:divBdr>
                <w:top w:val="none" w:sz="0" w:space="0" w:color="auto"/>
                <w:left w:val="none" w:sz="0" w:space="0" w:color="auto"/>
                <w:bottom w:val="none" w:sz="0" w:space="0" w:color="auto"/>
                <w:right w:val="none" w:sz="0" w:space="0" w:color="auto"/>
              </w:divBdr>
              <w:divsChild>
                <w:div w:id="14199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24264">
      <w:bodyDiv w:val="1"/>
      <w:marLeft w:val="0"/>
      <w:marRight w:val="0"/>
      <w:marTop w:val="0"/>
      <w:marBottom w:val="0"/>
      <w:divBdr>
        <w:top w:val="none" w:sz="0" w:space="0" w:color="auto"/>
        <w:left w:val="none" w:sz="0" w:space="0" w:color="auto"/>
        <w:bottom w:val="none" w:sz="0" w:space="0" w:color="auto"/>
        <w:right w:val="none" w:sz="0" w:space="0" w:color="auto"/>
      </w:divBdr>
      <w:divsChild>
        <w:div w:id="926692150">
          <w:marLeft w:val="0"/>
          <w:marRight w:val="0"/>
          <w:marTop w:val="0"/>
          <w:marBottom w:val="0"/>
          <w:divBdr>
            <w:top w:val="none" w:sz="0" w:space="0" w:color="auto"/>
            <w:left w:val="none" w:sz="0" w:space="0" w:color="auto"/>
            <w:bottom w:val="none" w:sz="0" w:space="0" w:color="auto"/>
            <w:right w:val="none" w:sz="0" w:space="0" w:color="auto"/>
          </w:divBdr>
          <w:divsChild>
            <w:div w:id="1926764373">
              <w:marLeft w:val="0"/>
              <w:marRight w:val="0"/>
              <w:marTop w:val="0"/>
              <w:marBottom w:val="0"/>
              <w:divBdr>
                <w:top w:val="none" w:sz="0" w:space="0" w:color="auto"/>
                <w:left w:val="none" w:sz="0" w:space="0" w:color="auto"/>
                <w:bottom w:val="none" w:sz="0" w:space="0" w:color="auto"/>
                <w:right w:val="none" w:sz="0" w:space="0" w:color="auto"/>
              </w:divBdr>
              <w:divsChild>
                <w:div w:id="1738088600">
                  <w:marLeft w:val="0"/>
                  <w:marRight w:val="0"/>
                  <w:marTop w:val="0"/>
                  <w:marBottom w:val="0"/>
                  <w:divBdr>
                    <w:top w:val="none" w:sz="0" w:space="0" w:color="auto"/>
                    <w:left w:val="none" w:sz="0" w:space="0" w:color="auto"/>
                    <w:bottom w:val="none" w:sz="0" w:space="0" w:color="auto"/>
                    <w:right w:val="none" w:sz="0" w:space="0" w:color="auto"/>
                  </w:divBdr>
                  <w:divsChild>
                    <w:div w:id="6717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00593">
      <w:bodyDiv w:val="1"/>
      <w:marLeft w:val="0"/>
      <w:marRight w:val="0"/>
      <w:marTop w:val="0"/>
      <w:marBottom w:val="0"/>
      <w:divBdr>
        <w:top w:val="none" w:sz="0" w:space="0" w:color="auto"/>
        <w:left w:val="none" w:sz="0" w:space="0" w:color="auto"/>
        <w:bottom w:val="none" w:sz="0" w:space="0" w:color="auto"/>
        <w:right w:val="none" w:sz="0" w:space="0" w:color="auto"/>
      </w:divBdr>
      <w:divsChild>
        <w:div w:id="1711105643">
          <w:marLeft w:val="0"/>
          <w:marRight w:val="0"/>
          <w:marTop w:val="0"/>
          <w:marBottom w:val="0"/>
          <w:divBdr>
            <w:top w:val="none" w:sz="0" w:space="0" w:color="auto"/>
            <w:left w:val="none" w:sz="0" w:space="0" w:color="auto"/>
            <w:bottom w:val="none" w:sz="0" w:space="0" w:color="auto"/>
            <w:right w:val="none" w:sz="0" w:space="0" w:color="auto"/>
          </w:divBdr>
          <w:divsChild>
            <w:div w:id="1613974376">
              <w:marLeft w:val="0"/>
              <w:marRight w:val="0"/>
              <w:marTop w:val="0"/>
              <w:marBottom w:val="0"/>
              <w:divBdr>
                <w:top w:val="none" w:sz="0" w:space="0" w:color="auto"/>
                <w:left w:val="none" w:sz="0" w:space="0" w:color="auto"/>
                <w:bottom w:val="none" w:sz="0" w:space="0" w:color="auto"/>
                <w:right w:val="none" w:sz="0" w:space="0" w:color="auto"/>
              </w:divBdr>
              <w:divsChild>
                <w:div w:id="1843356208">
                  <w:marLeft w:val="0"/>
                  <w:marRight w:val="0"/>
                  <w:marTop w:val="0"/>
                  <w:marBottom w:val="0"/>
                  <w:divBdr>
                    <w:top w:val="none" w:sz="0" w:space="0" w:color="auto"/>
                    <w:left w:val="none" w:sz="0" w:space="0" w:color="auto"/>
                    <w:bottom w:val="none" w:sz="0" w:space="0" w:color="auto"/>
                    <w:right w:val="none" w:sz="0" w:space="0" w:color="auto"/>
                  </w:divBdr>
                  <w:divsChild>
                    <w:div w:id="152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38872">
      <w:bodyDiv w:val="1"/>
      <w:marLeft w:val="0"/>
      <w:marRight w:val="0"/>
      <w:marTop w:val="0"/>
      <w:marBottom w:val="0"/>
      <w:divBdr>
        <w:top w:val="none" w:sz="0" w:space="0" w:color="auto"/>
        <w:left w:val="none" w:sz="0" w:space="0" w:color="auto"/>
        <w:bottom w:val="none" w:sz="0" w:space="0" w:color="auto"/>
        <w:right w:val="none" w:sz="0" w:space="0" w:color="auto"/>
      </w:divBdr>
    </w:div>
    <w:div w:id="849565324">
      <w:bodyDiv w:val="1"/>
      <w:marLeft w:val="0"/>
      <w:marRight w:val="0"/>
      <w:marTop w:val="0"/>
      <w:marBottom w:val="0"/>
      <w:divBdr>
        <w:top w:val="none" w:sz="0" w:space="0" w:color="auto"/>
        <w:left w:val="none" w:sz="0" w:space="0" w:color="auto"/>
        <w:bottom w:val="none" w:sz="0" w:space="0" w:color="auto"/>
        <w:right w:val="none" w:sz="0" w:space="0" w:color="auto"/>
      </w:divBdr>
    </w:div>
    <w:div w:id="905845357">
      <w:bodyDiv w:val="1"/>
      <w:marLeft w:val="0"/>
      <w:marRight w:val="0"/>
      <w:marTop w:val="0"/>
      <w:marBottom w:val="0"/>
      <w:divBdr>
        <w:top w:val="none" w:sz="0" w:space="0" w:color="auto"/>
        <w:left w:val="none" w:sz="0" w:space="0" w:color="auto"/>
        <w:bottom w:val="none" w:sz="0" w:space="0" w:color="auto"/>
        <w:right w:val="none" w:sz="0" w:space="0" w:color="auto"/>
      </w:divBdr>
    </w:div>
    <w:div w:id="1011378016">
      <w:bodyDiv w:val="1"/>
      <w:marLeft w:val="0"/>
      <w:marRight w:val="0"/>
      <w:marTop w:val="0"/>
      <w:marBottom w:val="0"/>
      <w:divBdr>
        <w:top w:val="none" w:sz="0" w:space="0" w:color="auto"/>
        <w:left w:val="none" w:sz="0" w:space="0" w:color="auto"/>
        <w:bottom w:val="none" w:sz="0" w:space="0" w:color="auto"/>
        <w:right w:val="none" w:sz="0" w:space="0" w:color="auto"/>
      </w:divBdr>
    </w:div>
    <w:div w:id="1202398239">
      <w:bodyDiv w:val="1"/>
      <w:marLeft w:val="0"/>
      <w:marRight w:val="0"/>
      <w:marTop w:val="0"/>
      <w:marBottom w:val="0"/>
      <w:divBdr>
        <w:top w:val="none" w:sz="0" w:space="0" w:color="auto"/>
        <w:left w:val="none" w:sz="0" w:space="0" w:color="auto"/>
        <w:bottom w:val="none" w:sz="0" w:space="0" w:color="auto"/>
        <w:right w:val="none" w:sz="0" w:space="0" w:color="auto"/>
      </w:divBdr>
      <w:divsChild>
        <w:div w:id="1989632285">
          <w:marLeft w:val="0"/>
          <w:marRight w:val="0"/>
          <w:marTop w:val="0"/>
          <w:marBottom w:val="0"/>
          <w:divBdr>
            <w:top w:val="none" w:sz="0" w:space="0" w:color="auto"/>
            <w:left w:val="none" w:sz="0" w:space="0" w:color="auto"/>
            <w:bottom w:val="none" w:sz="0" w:space="0" w:color="auto"/>
            <w:right w:val="none" w:sz="0" w:space="0" w:color="auto"/>
          </w:divBdr>
          <w:divsChild>
            <w:div w:id="339088318">
              <w:marLeft w:val="0"/>
              <w:marRight w:val="0"/>
              <w:marTop w:val="0"/>
              <w:marBottom w:val="0"/>
              <w:divBdr>
                <w:top w:val="none" w:sz="0" w:space="0" w:color="auto"/>
                <w:left w:val="none" w:sz="0" w:space="0" w:color="auto"/>
                <w:bottom w:val="none" w:sz="0" w:space="0" w:color="auto"/>
                <w:right w:val="none" w:sz="0" w:space="0" w:color="auto"/>
              </w:divBdr>
              <w:divsChild>
                <w:div w:id="2036615817">
                  <w:marLeft w:val="0"/>
                  <w:marRight w:val="0"/>
                  <w:marTop w:val="0"/>
                  <w:marBottom w:val="0"/>
                  <w:divBdr>
                    <w:top w:val="none" w:sz="0" w:space="0" w:color="auto"/>
                    <w:left w:val="none" w:sz="0" w:space="0" w:color="auto"/>
                    <w:bottom w:val="none" w:sz="0" w:space="0" w:color="auto"/>
                    <w:right w:val="none" w:sz="0" w:space="0" w:color="auto"/>
                  </w:divBdr>
                  <w:divsChild>
                    <w:div w:id="10365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69389">
      <w:bodyDiv w:val="1"/>
      <w:marLeft w:val="0"/>
      <w:marRight w:val="0"/>
      <w:marTop w:val="0"/>
      <w:marBottom w:val="0"/>
      <w:divBdr>
        <w:top w:val="none" w:sz="0" w:space="0" w:color="auto"/>
        <w:left w:val="none" w:sz="0" w:space="0" w:color="auto"/>
        <w:bottom w:val="none" w:sz="0" w:space="0" w:color="auto"/>
        <w:right w:val="none" w:sz="0" w:space="0" w:color="auto"/>
      </w:divBdr>
    </w:div>
    <w:div w:id="1243298351">
      <w:bodyDiv w:val="1"/>
      <w:marLeft w:val="0"/>
      <w:marRight w:val="0"/>
      <w:marTop w:val="0"/>
      <w:marBottom w:val="0"/>
      <w:divBdr>
        <w:top w:val="none" w:sz="0" w:space="0" w:color="auto"/>
        <w:left w:val="none" w:sz="0" w:space="0" w:color="auto"/>
        <w:bottom w:val="none" w:sz="0" w:space="0" w:color="auto"/>
        <w:right w:val="none" w:sz="0" w:space="0" w:color="auto"/>
      </w:divBdr>
    </w:div>
    <w:div w:id="1365986492">
      <w:bodyDiv w:val="1"/>
      <w:marLeft w:val="0"/>
      <w:marRight w:val="0"/>
      <w:marTop w:val="0"/>
      <w:marBottom w:val="0"/>
      <w:divBdr>
        <w:top w:val="none" w:sz="0" w:space="0" w:color="auto"/>
        <w:left w:val="none" w:sz="0" w:space="0" w:color="auto"/>
        <w:bottom w:val="none" w:sz="0" w:space="0" w:color="auto"/>
        <w:right w:val="none" w:sz="0" w:space="0" w:color="auto"/>
      </w:divBdr>
    </w:div>
    <w:div w:id="1366905850">
      <w:bodyDiv w:val="1"/>
      <w:marLeft w:val="0"/>
      <w:marRight w:val="0"/>
      <w:marTop w:val="0"/>
      <w:marBottom w:val="0"/>
      <w:divBdr>
        <w:top w:val="none" w:sz="0" w:space="0" w:color="auto"/>
        <w:left w:val="none" w:sz="0" w:space="0" w:color="auto"/>
        <w:bottom w:val="none" w:sz="0" w:space="0" w:color="auto"/>
        <w:right w:val="none" w:sz="0" w:space="0" w:color="auto"/>
      </w:divBdr>
      <w:divsChild>
        <w:div w:id="262419772">
          <w:marLeft w:val="0"/>
          <w:marRight w:val="0"/>
          <w:marTop w:val="0"/>
          <w:marBottom w:val="0"/>
          <w:divBdr>
            <w:top w:val="none" w:sz="0" w:space="0" w:color="auto"/>
            <w:left w:val="none" w:sz="0" w:space="0" w:color="auto"/>
            <w:bottom w:val="none" w:sz="0" w:space="0" w:color="auto"/>
            <w:right w:val="none" w:sz="0" w:space="0" w:color="auto"/>
          </w:divBdr>
          <w:divsChild>
            <w:div w:id="912156343">
              <w:marLeft w:val="0"/>
              <w:marRight w:val="0"/>
              <w:marTop w:val="0"/>
              <w:marBottom w:val="0"/>
              <w:divBdr>
                <w:top w:val="none" w:sz="0" w:space="0" w:color="auto"/>
                <w:left w:val="none" w:sz="0" w:space="0" w:color="auto"/>
                <w:bottom w:val="none" w:sz="0" w:space="0" w:color="auto"/>
                <w:right w:val="none" w:sz="0" w:space="0" w:color="auto"/>
              </w:divBdr>
              <w:divsChild>
                <w:div w:id="1361513784">
                  <w:marLeft w:val="0"/>
                  <w:marRight w:val="0"/>
                  <w:marTop w:val="0"/>
                  <w:marBottom w:val="0"/>
                  <w:divBdr>
                    <w:top w:val="none" w:sz="0" w:space="0" w:color="auto"/>
                    <w:left w:val="none" w:sz="0" w:space="0" w:color="auto"/>
                    <w:bottom w:val="none" w:sz="0" w:space="0" w:color="auto"/>
                    <w:right w:val="none" w:sz="0" w:space="0" w:color="auto"/>
                  </w:divBdr>
                  <w:divsChild>
                    <w:div w:id="3098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8037">
      <w:bodyDiv w:val="1"/>
      <w:marLeft w:val="0"/>
      <w:marRight w:val="0"/>
      <w:marTop w:val="0"/>
      <w:marBottom w:val="0"/>
      <w:divBdr>
        <w:top w:val="none" w:sz="0" w:space="0" w:color="auto"/>
        <w:left w:val="none" w:sz="0" w:space="0" w:color="auto"/>
        <w:bottom w:val="none" w:sz="0" w:space="0" w:color="auto"/>
        <w:right w:val="none" w:sz="0" w:space="0" w:color="auto"/>
      </w:divBdr>
    </w:div>
    <w:div w:id="1420978818">
      <w:bodyDiv w:val="1"/>
      <w:marLeft w:val="0"/>
      <w:marRight w:val="0"/>
      <w:marTop w:val="0"/>
      <w:marBottom w:val="0"/>
      <w:divBdr>
        <w:top w:val="none" w:sz="0" w:space="0" w:color="auto"/>
        <w:left w:val="none" w:sz="0" w:space="0" w:color="auto"/>
        <w:bottom w:val="none" w:sz="0" w:space="0" w:color="auto"/>
        <w:right w:val="none" w:sz="0" w:space="0" w:color="auto"/>
      </w:divBdr>
    </w:div>
    <w:div w:id="1509783200">
      <w:bodyDiv w:val="1"/>
      <w:marLeft w:val="0"/>
      <w:marRight w:val="0"/>
      <w:marTop w:val="0"/>
      <w:marBottom w:val="0"/>
      <w:divBdr>
        <w:top w:val="none" w:sz="0" w:space="0" w:color="auto"/>
        <w:left w:val="none" w:sz="0" w:space="0" w:color="auto"/>
        <w:bottom w:val="none" w:sz="0" w:space="0" w:color="auto"/>
        <w:right w:val="none" w:sz="0" w:space="0" w:color="auto"/>
      </w:divBdr>
    </w:div>
    <w:div w:id="1574966817">
      <w:bodyDiv w:val="1"/>
      <w:marLeft w:val="0"/>
      <w:marRight w:val="0"/>
      <w:marTop w:val="0"/>
      <w:marBottom w:val="0"/>
      <w:divBdr>
        <w:top w:val="none" w:sz="0" w:space="0" w:color="auto"/>
        <w:left w:val="none" w:sz="0" w:space="0" w:color="auto"/>
        <w:bottom w:val="none" w:sz="0" w:space="0" w:color="auto"/>
        <w:right w:val="none" w:sz="0" w:space="0" w:color="auto"/>
      </w:divBdr>
    </w:div>
    <w:div w:id="1619725822">
      <w:bodyDiv w:val="1"/>
      <w:marLeft w:val="0"/>
      <w:marRight w:val="0"/>
      <w:marTop w:val="0"/>
      <w:marBottom w:val="0"/>
      <w:divBdr>
        <w:top w:val="none" w:sz="0" w:space="0" w:color="auto"/>
        <w:left w:val="none" w:sz="0" w:space="0" w:color="auto"/>
        <w:bottom w:val="none" w:sz="0" w:space="0" w:color="auto"/>
        <w:right w:val="none" w:sz="0" w:space="0" w:color="auto"/>
      </w:divBdr>
    </w:div>
    <w:div w:id="1627470845">
      <w:bodyDiv w:val="1"/>
      <w:marLeft w:val="0"/>
      <w:marRight w:val="0"/>
      <w:marTop w:val="0"/>
      <w:marBottom w:val="0"/>
      <w:divBdr>
        <w:top w:val="none" w:sz="0" w:space="0" w:color="auto"/>
        <w:left w:val="none" w:sz="0" w:space="0" w:color="auto"/>
        <w:bottom w:val="none" w:sz="0" w:space="0" w:color="auto"/>
        <w:right w:val="none" w:sz="0" w:space="0" w:color="auto"/>
      </w:divBdr>
      <w:divsChild>
        <w:div w:id="1441610782">
          <w:marLeft w:val="0"/>
          <w:marRight w:val="0"/>
          <w:marTop w:val="166"/>
          <w:marBottom w:val="166"/>
          <w:divBdr>
            <w:top w:val="none" w:sz="0" w:space="0" w:color="auto"/>
            <w:left w:val="none" w:sz="0" w:space="0" w:color="auto"/>
            <w:bottom w:val="none" w:sz="0" w:space="0" w:color="auto"/>
            <w:right w:val="none" w:sz="0" w:space="0" w:color="auto"/>
          </w:divBdr>
          <w:divsChild>
            <w:div w:id="15600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45943">
      <w:bodyDiv w:val="1"/>
      <w:marLeft w:val="0"/>
      <w:marRight w:val="0"/>
      <w:marTop w:val="0"/>
      <w:marBottom w:val="0"/>
      <w:divBdr>
        <w:top w:val="none" w:sz="0" w:space="0" w:color="auto"/>
        <w:left w:val="none" w:sz="0" w:space="0" w:color="auto"/>
        <w:bottom w:val="none" w:sz="0" w:space="0" w:color="auto"/>
        <w:right w:val="none" w:sz="0" w:space="0" w:color="auto"/>
      </w:divBdr>
    </w:div>
    <w:div w:id="1704165292">
      <w:bodyDiv w:val="1"/>
      <w:marLeft w:val="0"/>
      <w:marRight w:val="0"/>
      <w:marTop w:val="0"/>
      <w:marBottom w:val="0"/>
      <w:divBdr>
        <w:top w:val="none" w:sz="0" w:space="0" w:color="auto"/>
        <w:left w:val="none" w:sz="0" w:space="0" w:color="auto"/>
        <w:bottom w:val="none" w:sz="0" w:space="0" w:color="auto"/>
        <w:right w:val="none" w:sz="0" w:space="0" w:color="auto"/>
      </w:divBdr>
    </w:div>
    <w:div w:id="1824394292">
      <w:bodyDiv w:val="1"/>
      <w:marLeft w:val="0"/>
      <w:marRight w:val="0"/>
      <w:marTop w:val="0"/>
      <w:marBottom w:val="0"/>
      <w:divBdr>
        <w:top w:val="none" w:sz="0" w:space="0" w:color="auto"/>
        <w:left w:val="none" w:sz="0" w:space="0" w:color="auto"/>
        <w:bottom w:val="none" w:sz="0" w:space="0" w:color="auto"/>
        <w:right w:val="none" w:sz="0" w:space="0" w:color="auto"/>
      </w:divBdr>
    </w:div>
    <w:div w:id="1853102712">
      <w:bodyDiv w:val="1"/>
      <w:marLeft w:val="0"/>
      <w:marRight w:val="0"/>
      <w:marTop w:val="0"/>
      <w:marBottom w:val="0"/>
      <w:divBdr>
        <w:top w:val="none" w:sz="0" w:space="0" w:color="auto"/>
        <w:left w:val="none" w:sz="0" w:space="0" w:color="auto"/>
        <w:bottom w:val="none" w:sz="0" w:space="0" w:color="auto"/>
        <w:right w:val="none" w:sz="0" w:space="0" w:color="auto"/>
      </w:divBdr>
    </w:div>
    <w:div w:id="1863012610">
      <w:bodyDiv w:val="1"/>
      <w:marLeft w:val="0"/>
      <w:marRight w:val="0"/>
      <w:marTop w:val="0"/>
      <w:marBottom w:val="0"/>
      <w:divBdr>
        <w:top w:val="none" w:sz="0" w:space="0" w:color="auto"/>
        <w:left w:val="none" w:sz="0" w:space="0" w:color="auto"/>
        <w:bottom w:val="none" w:sz="0" w:space="0" w:color="auto"/>
        <w:right w:val="none" w:sz="0" w:space="0" w:color="auto"/>
      </w:divBdr>
    </w:div>
    <w:div w:id="1886671556">
      <w:bodyDiv w:val="1"/>
      <w:marLeft w:val="0"/>
      <w:marRight w:val="0"/>
      <w:marTop w:val="0"/>
      <w:marBottom w:val="0"/>
      <w:divBdr>
        <w:top w:val="none" w:sz="0" w:space="0" w:color="auto"/>
        <w:left w:val="none" w:sz="0" w:space="0" w:color="auto"/>
        <w:bottom w:val="none" w:sz="0" w:space="0" w:color="auto"/>
        <w:right w:val="none" w:sz="0" w:space="0" w:color="auto"/>
      </w:divBdr>
    </w:div>
    <w:div w:id="1961570056">
      <w:bodyDiv w:val="1"/>
      <w:marLeft w:val="0"/>
      <w:marRight w:val="0"/>
      <w:marTop w:val="0"/>
      <w:marBottom w:val="0"/>
      <w:divBdr>
        <w:top w:val="none" w:sz="0" w:space="0" w:color="auto"/>
        <w:left w:val="none" w:sz="0" w:space="0" w:color="auto"/>
        <w:bottom w:val="none" w:sz="0" w:space="0" w:color="auto"/>
        <w:right w:val="none" w:sz="0" w:space="0" w:color="auto"/>
      </w:divBdr>
      <w:divsChild>
        <w:div w:id="656493009">
          <w:marLeft w:val="0"/>
          <w:marRight w:val="0"/>
          <w:marTop w:val="0"/>
          <w:marBottom w:val="0"/>
          <w:divBdr>
            <w:top w:val="none" w:sz="0" w:space="0" w:color="auto"/>
            <w:left w:val="none" w:sz="0" w:space="0" w:color="auto"/>
            <w:bottom w:val="none" w:sz="0" w:space="0" w:color="auto"/>
            <w:right w:val="none" w:sz="0" w:space="0" w:color="auto"/>
          </w:divBdr>
          <w:divsChild>
            <w:div w:id="1370908987">
              <w:marLeft w:val="0"/>
              <w:marRight w:val="0"/>
              <w:marTop w:val="0"/>
              <w:marBottom w:val="0"/>
              <w:divBdr>
                <w:top w:val="none" w:sz="0" w:space="0" w:color="auto"/>
                <w:left w:val="none" w:sz="0" w:space="0" w:color="auto"/>
                <w:bottom w:val="none" w:sz="0" w:space="0" w:color="auto"/>
                <w:right w:val="none" w:sz="0" w:space="0" w:color="auto"/>
              </w:divBdr>
              <w:divsChild>
                <w:div w:id="857695521">
                  <w:marLeft w:val="0"/>
                  <w:marRight w:val="0"/>
                  <w:marTop w:val="0"/>
                  <w:marBottom w:val="0"/>
                  <w:divBdr>
                    <w:top w:val="none" w:sz="0" w:space="0" w:color="auto"/>
                    <w:left w:val="none" w:sz="0" w:space="0" w:color="auto"/>
                    <w:bottom w:val="none" w:sz="0" w:space="0" w:color="auto"/>
                    <w:right w:val="none" w:sz="0" w:space="0" w:color="auto"/>
                  </w:divBdr>
                  <w:divsChild>
                    <w:div w:id="3900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19795">
      <w:bodyDiv w:val="1"/>
      <w:marLeft w:val="0"/>
      <w:marRight w:val="0"/>
      <w:marTop w:val="0"/>
      <w:marBottom w:val="0"/>
      <w:divBdr>
        <w:top w:val="none" w:sz="0" w:space="0" w:color="auto"/>
        <w:left w:val="none" w:sz="0" w:space="0" w:color="auto"/>
        <w:bottom w:val="none" w:sz="0" w:space="0" w:color="auto"/>
        <w:right w:val="none" w:sz="0" w:space="0" w:color="auto"/>
      </w:divBdr>
    </w:div>
    <w:div w:id="2079590567">
      <w:bodyDiv w:val="1"/>
      <w:marLeft w:val="0"/>
      <w:marRight w:val="0"/>
      <w:marTop w:val="0"/>
      <w:marBottom w:val="0"/>
      <w:divBdr>
        <w:top w:val="none" w:sz="0" w:space="0" w:color="auto"/>
        <w:left w:val="none" w:sz="0" w:space="0" w:color="auto"/>
        <w:bottom w:val="none" w:sz="0" w:space="0" w:color="auto"/>
        <w:right w:val="none" w:sz="0" w:space="0" w:color="auto"/>
      </w:divBdr>
    </w:div>
    <w:div w:id="2101641100">
      <w:bodyDiv w:val="1"/>
      <w:marLeft w:val="0"/>
      <w:marRight w:val="0"/>
      <w:marTop w:val="0"/>
      <w:marBottom w:val="0"/>
      <w:divBdr>
        <w:top w:val="none" w:sz="0" w:space="0" w:color="auto"/>
        <w:left w:val="none" w:sz="0" w:space="0" w:color="auto"/>
        <w:bottom w:val="none" w:sz="0" w:space="0" w:color="auto"/>
        <w:right w:val="none" w:sz="0" w:space="0" w:color="auto"/>
      </w:divBdr>
    </w:div>
    <w:div w:id="2110198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business-52570714" TargetMode="External"/><Relationship Id="rId13" Type="http://schemas.openxmlformats.org/officeDocument/2006/relationships/hyperlink" Target="https://www.rsb.org.uk/images/SB/UG-Practical-Work-Report-Web.pdf" TargetMode="External"/><Relationship Id="rId18" Type="http://schemas.openxmlformats.org/officeDocument/2006/relationships/hyperlink" Target="https://doi.org/10.1152/advan.00153.2020" TargetMode="External"/><Relationship Id="rId26" Type="http://schemas.openxmlformats.org/officeDocument/2006/relationships/hyperlink" Target="https://www.gov.scot/publications/coronavirus-covid-19-life-sciences-sector-support/" TargetMode="External"/><Relationship Id="rId39" Type="http://schemas.openxmlformats.org/officeDocument/2006/relationships/hyperlink" Target="https://wonkhe.com/blogs/transforming-learning-is-for-life-not-just-until-christmas/" TargetMode="External"/><Relationship Id="rId3" Type="http://schemas.openxmlformats.org/officeDocument/2006/relationships/settings" Target="settings.xml"/><Relationship Id="rId21" Type="http://schemas.openxmlformats.org/officeDocument/2006/relationships/hyperlink" Target="https://www.advance-he.ac.uk/knowledge-hub/developing-and-enhancing-undergraduate-final-year-projects-and-dissertations" TargetMode="External"/><Relationship Id="rId34" Type="http://schemas.openxmlformats.org/officeDocument/2006/relationships/hyperlink" Target="https://doi.org/10.1108/JPCC-06-2020-0032" TargetMode="External"/><Relationship Id="rId42" Type="http://schemas.openxmlformats.org/officeDocument/2006/relationships/hyperlink" Target="https://synergy.st-andrews.ac.uk/vannesmithlab/files/2015/08/Adams_et_al08CentreBioReport.pdf" TargetMode="External"/><Relationship Id="rId7" Type="http://schemas.openxmlformats.org/officeDocument/2006/relationships/hyperlink" Target="https://www.abpi.org.uk/media/6657/190124-final-abpi-bridging%20the-gap-in-the-biopharmaceutical-industry_v3.pdf" TargetMode="External"/><Relationship Id="rId12" Type="http://schemas.openxmlformats.org/officeDocument/2006/relationships/hyperlink" Target="https://doi.org/10.1080/23752696.2019.1599689" TargetMode="External"/><Relationship Id="rId17" Type="http://schemas.openxmlformats.org/officeDocument/2006/relationships/hyperlink" Target="https://journals.physiology.org/doi/abs/10.1152/advan.00153.2020" TargetMode="External"/><Relationship Id="rId25" Type="http://schemas.openxmlformats.org/officeDocument/2006/relationships/hyperlink" Target="https://metmunch.com" TargetMode="External"/><Relationship Id="rId33" Type="http://schemas.openxmlformats.org/officeDocument/2006/relationships/hyperlink" Target="https://www.qaa.ac.uk/docs/qaa/guidance/covid-19-thematic-guidance-practice-lab-based-assessment.pdf" TargetMode="External"/><Relationship Id="rId38" Type="http://schemas.openxmlformats.org/officeDocument/2006/relationships/hyperlink" Target="https://www.studyinternational.com/news/lab-experiments-university-onlin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0/00219266.2016.1257498" TargetMode="External"/><Relationship Id="rId20" Type="http://schemas.openxmlformats.org/officeDocument/2006/relationships/hyperlink" Target="https://luminate.prospects.ac.uk/graduating-into-a-pandemic-the-impact-on-university-finalists" TargetMode="External"/><Relationship Id="rId29" Type="http://schemas.openxmlformats.org/officeDocument/2006/relationships/hyperlink" Target="https://www.ons.gov.uk/employmentandlabourmarket/peopleinwork/employmentandemployeetypes/bulletins/coronavirusandhomeworkingintheuk/april2020" TargetMode="External"/><Relationship Id="rId41" Type="http://schemas.openxmlformats.org/officeDocument/2006/relationships/hyperlink" Target="https://www.employment-studies.co.uk/system/files/resources/files/AXAEMHGuide.pdf" TargetMode="External"/><Relationship Id="rId1" Type="http://schemas.openxmlformats.org/officeDocument/2006/relationships/numbering" Target="numbering.xml"/><Relationship Id="rId6" Type="http://schemas.openxmlformats.org/officeDocument/2006/relationships/hyperlink" Target="https://wonkhe.com/blogs/higher-education-is-transformative-it-should-be-open-to-all/" TargetMode="External"/><Relationship Id="rId11" Type="http://schemas.openxmlformats.org/officeDocument/2006/relationships/hyperlink" Target="http://publications.cetis.org.uk/wp-content/uploads/2012/08/OER-Libraries-Survey-Report.pdf" TargetMode="External"/><Relationship Id="rId24" Type="http://schemas.openxmlformats.org/officeDocument/2006/relationships/hyperlink" Target="https://www.lboro.ac.uk/students/len/" TargetMode="External"/><Relationship Id="rId32" Type="http://schemas.openxmlformats.org/officeDocument/2006/relationships/hyperlink" Target="https://doi.org/10.1093/biosci/bix118" TargetMode="External"/><Relationship Id="rId37" Type="http://schemas.openxmlformats.org/officeDocument/2006/relationships/hyperlink" Target="https://doi.org/10.1021/ed084p1488" TargetMode="External"/><Relationship Id="rId40" Type="http://schemas.openxmlformats.org/officeDocument/2006/relationships/hyperlink" Target="https://en.unesco.org/themes/building-knowledge-societies/oer" TargetMode="External"/><Relationship Id="rId45" Type="http://schemas.openxmlformats.org/officeDocument/2006/relationships/fontTable" Target="fontTable.xml"/><Relationship Id="rId5" Type="http://schemas.openxmlformats.org/officeDocument/2006/relationships/hyperlink" Target="https://doi.org/10.1016/j.chb.2015.12.054" TargetMode="External"/><Relationship Id="rId15" Type="http://schemas.openxmlformats.org/officeDocument/2006/relationships/hyperlink" Target="https://www.academia.edu/309247/Graduate_Contribution_to_Teaching_and_Learning_A_Case_Study_In_Sustainable_Process_and_Content" TargetMode="External"/><Relationship Id="rId23" Type="http://schemas.openxmlformats.org/officeDocument/2006/relationships/hyperlink" Target="https://www.physoc.org/magazine-articles/final-year-or-honours-research-projects/" TargetMode="External"/><Relationship Id="rId28" Type="http://schemas.openxmlformats.org/officeDocument/2006/relationships/hyperlink" Target="https://www.ntu.ac.uk/ntu-enterprise" TargetMode="External"/><Relationship Id="rId36" Type="http://schemas.openxmlformats.org/officeDocument/2006/relationships/hyperlink" Target="https://www.scienceindustrypartnership.com/media/2070/sip-life-sciences-2030-skills-strategy-digital-version.pdf" TargetMode="External"/><Relationship Id="rId10" Type="http://schemas.openxmlformats.org/officeDocument/2006/relationships/hyperlink" Target="https://sally-brown.net/2020/03/13/assessment-alternatives-at-a-time-of-university-closures/" TargetMode="External"/><Relationship Id="rId19" Type="http://schemas.openxmlformats.org/officeDocument/2006/relationships/hyperlink" Target="https://doi.org/10.1186/s12909-016-0757-3" TargetMode="External"/><Relationship Id="rId31" Type="http://schemas.openxmlformats.org/officeDocument/2006/relationships/hyperlink" Target="https://learn5.open.ac.uk/course/view.php?id=2" TargetMode="External"/><Relationship Id="rId44" Type="http://schemas.openxmlformats.org/officeDocument/2006/relationships/hyperlink" Target="https://doi.org/10.1108/AAOUJ-01-2020-0003" TargetMode="External"/><Relationship Id="rId4" Type="http://schemas.openxmlformats.org/officeDocument/2006/relationships/webSettings" Target="webSettings.xml"/><Relationship Id="rId9" Type="http://schemas.openxmlformats.org/officeDocument/2006/relationships/hyperlink" Target="https://doi.org/10.1080/03075079.2014.988702" TargetMode="External"/><Relationship Id="rId14" Type="http://schemas.openxmlformats.org/officeDocument/2006/relationships/hyperlink" Target="https://doi.org/10.3108/beej.16.2" TargetMode="External"/><Relationship Id="rId22" Type="http://schemas.openxmlformats.org/officeDocument/2006/relationships/hyperlink" Target="https://dera.ioe.ac.uk/31412/1/HEFCE2017_05%20.pdf" TargetMode="External"/><Relationship Id="rId27" Type="http://schemas.openxmlformats.org/officeDocument/2006/relationships/hyperlink" Target="https://www.suttontrust.com/wp-content/uploads/2020/04/COVID-19-and-Social-Mobility-1.pdf" TargetMode="External"/><Relationship Id="rId30" Type="http://schemas.openxmlformats.org/officeDocument/2006/relationships/hyperlink" Target="https://open.ed.ac.uk/how-to-guides-old/where-to-find-oers/" TargetMode="External"/><Relationship Id="rId35" Type="http://schemas.openxmlformats.org/officeDocument/2006/relationships/hyperlink" Target="https://doi.org/10.6084/m9.figshare.12999797.v1" TargetMode="External"/><Relationship Id="rId43" Type="http://schemas.openxmlformats.org/officeDocument/2006/relationships/hyperlink" Target="https://doi.org/10.1007/978-981-15-6591-5_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6917</Words>
  <Characters>38737</Characters>
  <Application>Microsoft Office Word</Application>
  <DocSecurity>0</DocSecurity>
  <Lines>635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Adukwu</dc:creator>
  <cp:lastModifiedBy>Emmanuel Adukwu</cp:lastModifiedBy>
  <cp:revision>2</cp:revision>
  <dcterms:created xsi:type="dcterms:W3CDTF">2021-05-18T17:54:00Z</dcterms:created>
  <dcterms:modified xsi:type="dcterms:W3CDTF">2021-05-18T17:54:00Z</dcterms:modified>
</cp:coreProperties>
</file>