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4215" w14:textId="11280238" w:rsidR="005155E1" w:rsidRDefault="00DA580A" w:rsidP="00CB2EFD">
      <w:pPr>
        <w:spacing w:line="240" w:lineRule="auto"/>
        <w:rPr>
          <w:rFonts w:ascii="Times New Roman" w:hAnsi="Times New Roman" w:cs="Times New Roman"/>
          <w:b/>
          <w:bCs/>
          <w:sz w:val="24"/>
          <w:szCs w:val="24"/>
        </w:rPr>
      </w:pPr>
      <w:r w:rsidRPr="00AB4C1A">
        <w:rPr>
          <w:rFonts w:ascii="Times New Roman" w:hAnsi="Times New Roman" w:cs="Times New Roman"/>
          <w:b/>
          <w:bCs/>
          <w:sz w:val="24"/>
          <w:szCs w:val="24"/>
        </w:rPr>
        <w:t>A Framework for assessing the contribution of UK local authorities towards compliance with the EU Ambient Air Quality Directive</w:t>
      </w:r>
    </w:p>
    <w:p w14:paraId="162E33EB" w14:textId="77777777" w:rsidR="00AB4C1A" w:rsidRPr="00AB4C1A" w:rsidRDefault="00AB4C1A" w:rsidP="00AB4C1A">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Fremantle, K., De Vito, </w:t>
      </w:r>
      <w:proofErr w:type="gramStart"/>
      <w:r w:rsidRPr="00AB4C1A">
        <w:rPr>
          <w:rFonts w:ascii="Times New Roman" w:hAnsi="Times New Roman" w:cs="Times New Roman"/>
          <w:sz w:val="24"/>
          <w:szCs w:val="24"/>
        </w:rPr>
        <w:t>L ;</w:t>
      </w:r>
      <w:proofErr w:type="gramEnd"/>
      <w:r w:rsidRPr="00AB4C1A">
        <w:rPr>
          <w:rFonts w:ascii="Times New Roman" w:hAnsi="Times New Roman" w:cs="Times New Roman"/>
          <w:sz w:val="24"/>
          <w:szCs w:val="24"/>
        </w:rPr>
        <w:t xml:space="preserve"> Williams, B., Longhurst, J. </w:t>
      </w:r>
    </w:p>
    <w:p w14:paraId="058A6D21" w14:textId="77777777" w:rsidR="00AB4C1A" w:rsidRPr="00AB4C1A" w:rsidRDefault="00AB4C1A" w:rsidP="00AB4C1A">
      <w:pPr>
        <w:spacing w:line="240" w:lineRule="auto"/>
        <w:rPr>
          <w:rFonts w:ascii="Times New Roman" w:hAnsi="Times New Roman" w:cs="Times New Roman"/>
          <w:sz w:val="24"/>
          <w:szCs w:val="24"/>
        </w:rPr>
      </w:pPr>
      <w:r w:rsidRPr="00AB4C1A">
        <w:rPr>
          <w:rFonts w:ascii="Times New Roman" w:hAnsi="Times New Roman" w:cs="Times New Roman"/>
          <w:sz w:val="24"/>
          <w:szCs w:val="24"/>
        </w:rPr>
        <w:t>Katie Fremantle, Alumni (MSc) of University of the West of England (UWE), Bristol</w:t>
      </w:r>
    </w:p>
    <w:p w14:paraId="2A894BA7" w14:textId="77777777" w:rsidR="00AB4C1A" w:rsidRPr="00AB4C1A" w:rsidRDefault="00AB4C1A" w:rsidP="00AB4C1A">
      <w:pPr>
        <w:spacing w:line="240" w:lineRule="auto"/>
        <w:rPr>
          <w:rFonts w:ascii="Times New Roman" w:hAnsi="Times New Roman" w:cs="Times New Roman"/>
          <w:sz w:val="24"/>
          <w:szCs w:val="24"/>
        </w:rPr>
      </w:pPr>
      <w:r w:rsidRPr="00AB4C1A">
        <w:rPr>
          <w:rFonts w:ascii="Times New Roman" w:hAnsi="Times New Roman" w:cs="Times New Roman"/>
          <w:sz w:val="24"/>
          <w:szCs w:val="24"/>
        </w:rPr>
        <w:t>Dr Laura De Vito, Air Quality Management Resource Centre, University of the West of England (UWE), Bristol, UK</w:t>
      </w:r>
    </w:p>
    <w:p w14:paraId="70281623" w14:textId="77777777" w:rsidR="00AB4C1A" w:rsidRPr="00AB4C1A" w:rsidRDefault="00AB4C1A" w:rsidP="00AB4C1A">
      <w:pPr>
        <w:spacing w:line="240" w:lineRule="auto"/>
        <w:rPr>
          <w:rFonts w:ascii="Times New Roman" w:hAnsi="Times New Roman" w:cs="Times New Roman"/>
          <w:sz w:val="24"/>
          <w:szCs w:val="24"/>
        </w:rPr>
      </w:pPr>
      <w:r w:rsidRPr="00AB4C1A">
        <w:rPr>
          <w:rFonts w:ascii="Times New Roman" w:hAnsi="Times New Roman" w:cs="Times New Roman"/>
          <w:sz w:val="24"/>
          <w:szCs w:val="24"/>
        </w:rPr>
        <w:t>Dr Ben Williams, Air Quality Management Resource Centre, University of the West of England (UWE), Bristol, UK</w:t>
      </w:r>
    </w:p>
    <w:p w14:paraId="4CE64010" w14:textId="77777777" w:rsidR="00AB4C1A" w:rsidRPr="00AB4C1A" w:rsidRDefault="00AB4C1A" w:rsidP="00AB4C1A">
      <w:pPr>
        <w:spacing w:line="240" w:lineRule="auto"/>
        <w:rPr>
          <w:rFonts w:ascii="Times New Roman" w:hAnsi="Times New Roman" w:cs="Times New Roman"/>
          <w:sz w:val="24"/>
          <w:szCs w:val="24"/>
        </w:rPr>
      </w:pPr>
      <w:r w:rsidRPr="00AB4C1A">
        <w:rPr>
          <w:rFonts w:ascii="Times New Roman" w:hAnsi="Times New Roman" w:cs="Times New Roman"/>
          <w:sz w:val="24"/>
          <w:szCs w:val="24"/>
        </w:rPr>
        <w:t>Prof. Jim Longhurst, Air Quality Management Resource Centre, University of the West of England (UWE), Bristol, UK</w:t>
      </w:r>
    </w:p>
    <w:p w14:paraId="24140E73" w14:textId="77777777" w:rsidR="00DA580A" w:rsidRPr="00AB4C1A" w:rsidRDefault="00DA580A" w:rsidP="00CB2EFD">
      <w:pPr>
        <w:rPr>
          <w:rFonts w:ascii="Times New Roman" w:hAnsi="Times New Roman" w:cs="Times New Roman"/>
          <w:b/>
          <w:bCs/>
          <w:sz w:val="24"/>
          <w:szCs w:val="24"/>
        </w:rPr>
      </w:pPr>
      <w:r w:rsidRPr="00AB4C1A">
        <w:rPr>
          <w:rFonts w:ascii="Times New Roman" w:hAnsi="Times New Roman" w:cs="Times New Roman"/>
          <w:b/>
          <w:bCs/>
          <w:sz w:val="24"/>
          <w:szCs w:val="24"/>
        </w:rPr>
        <w:t>Abstract</w:t>
      </w:r>
    </w:p>
    <w:p w14:paraId="307B1E0E" w14:textId="2E3A6586" w:rsidR="00DA580A" w:rsidRPr="00AB4C1A" w:rsidRDefault="00DA580A"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Implementation outcomes of the Ambient Air Quality Directive</w:t>
      </w:r>
      <w:r w:rsidR="00A03375" w:rsidRPr="00AB4C1A">
        <w:rPr>
          <w:rFonts w:ascii="Times New Roman" w:hAnsi="Times New Roman" w:cs="Times New Roman"/>
          <w:sz w:val="24"/>
          <w:szCs w:val="24"/>
        </w:rPr>
        <w:t xml:space="preserve"> (AAQD)</w:t>
      </w:r>
      <w:r w:rsidRPr="00AB4C1A">
        <w:rPr>
          <w:rFonts w:ascii="Times New Roman" w:hAnsi="Times New Roman" w:cs="Times New Roman"/>
          <w:sz w:val="24"/>
          <w:szCs w:val="24"/>
        </w:rPr>
        <w:t xml:space="preserve"> (2008/50/EC</w:t>
      </w:r>
      <w:r w:rsidR="00A03375" w:rsidRPr="00AB4C1A">
        <w:rPr>
          <w:rFonts w:ascii="Times New Roman" w:hAnsi="Times New Roman" w:cs="Times New Roman"/>
          <w:sz w:val="24"/>
          <w:szCs w:val="24"/>
        </w:rPr>
        <w:t>)</w:t>
      </w:r>
      <w:r w:rsidRPr="00AB4C1A">
        <w:rPr>
          <w:rFonts w:ascii="Times New Roman" w:hAnsi="Times New Roman" w:cs="Times New Roman"/>
          <w:sz w:val="24"/>
          <w:szCs w:val="24"/>
        </w:rPr>
        <w:t xml:space="preserve">) </w:t>
      </w:r>
      <w:r w:rsidR="00283145" w:rsidRPr="00AB4C1A">
        <w:rPr>
          <w:rFonts w:ascii="Times New Roman" w:hAnsi="Times New Roman" w:cs="Times New Roman"/>
          <w:sz w:val="24"/>
          <w:szCs w:val="24"/>
        </w:rPr>
        <w:t>are</w:t>
      </w:r>
      <w:r w:rsidRPr="00AB4C1A">
        <w:rPr>
          <w:rFonts w:ascii="Times New Roman" w:hAnsi="Times New Roman" w:cs="Times New Roman"/>
          <w:sz w:val="24"/>
          <w:szCs w:val="24"/>
        </w:rPr>
        <w:t xml:space="preserve"> weak across European Union (EU) member states. </w:t>
      </w:r>
      <w:r w:rsidR="00DC06AA" w:rsidRPr="00AB4C1A">
        <w:rPr>
          <w:rFonts w:ascii="Times New Roman" w:hAnsi="Times New Roman" w:cs="Times New Roman"/>
          <w:sz w:val="24"/>
          <w:szCs w:val="24"/>
        </w:rPr>
        <w:t>In the UK</w:t>
      </w:r>
      <w:r w:rsidR="007A5750" w:rsidRPr="00AB4C1A">
        <w:rPr>
          <w:rFonts w:ascii="Times New Roman" w:hAnsi="Times New Roman" w:cs="Times New Roman"/>
          <w:sz w:val="24"/>
          <w:szCs w:val="24"/>
        </w:rPr>
        <w:t>, Local Authorities</w:t>
      </w:r>
      <w:r w:rsidR="00B14F7C" w:rsidRPr="00AB4C1A">
        <w:rPr>
          <w:rFonts w:ascii="Times New Roman" w:hAnsi="Times New Roman" w:cs="Times New Roman"/>
          <w:sz w:val="24"/>
          <w:szCs w:val="24"/>
        </w:rPr>
        <w:t xml:space="preserve"> (LA</w:t>
      </w:r>
      <w:r w:rsidR="00DC06AA" w:rsidRPr="00AB4C1A">
        <w:rPr>
          <w:rFonts w:ascii="Times New Roman" w:hAnsi="Times New Roman" w:cs="Times New Roman"/>
          <w:sz w:val="24"/>
          <w:szCs w:val="24"/>
        </w:rPr>
        <w:t>s</w:t>
      </w:r>
      <w:r w:rsidR="00B14F7C" w:rsidRPr="00AB4C1A">
        <w:rPr>
          <w:rFonts w:ascii="Times New Roman" w:hAnsi="Times New Roman" w:cs="Times New Roman"/>
          <w:sz w:val="24"/>
          <w:szCs w:val="24"/>
        </w:rPr>
        <w:t>)</w:t>
      </w:r>
      <w:r w:rsidR="007A5750" w:rsidRPr="00AB4C1A">
        <w:rPr>
          <w:rFonts w:ascii="Times New Roman" w:hAnsi="Times New Roman" w:cs="Times New Roman"/>
          <w:sz w:val="24"/>
          <w:szCs w:val="24"/>
        </w:rPr>
        <w:t xml:space="preserve"> </w:t>
      </w:r>
      <w:r w:rsidR="00675EAF" w:rsidRPr="00AB4C1A">
        <w:rPr>
          <w:rFonts w:ascii="Times New Roman" w:hAnsi="Times New Roman" w:cs="Times New Roman"/>
          <w:sz w:val="24"/>
          <w:szCs w:val="24"/>
        </w:rPr>
        <w:t xml:space="preserve">must </w:t>
      </w:r>
      <w:r w:rsidR="003C7FA8" w:rsidRPr="00AB4C1A">
        <w:rPr>
          <w:rFonts w:ascii="Times New Roman" w:hAnsi="Times New Roman" w:cs="Times New Roman"/>
          <w:sz w:val="24"/>
          <w:szCs w:val="24"/>
        </w:rPr>
        <w:t>work</w:t>
      </w:r>
      <w:r w:rsidR="00EA0A51" w:rsidRPr="00AB4C1A">
        <w:rPr>
          <w:rFonts w:ascii="Times New Roman" w:hAnsi="Times New Roman" w:cs="Times New Roman"/>
          <w:sz w:val="24"/>
          <w:szCs w:val="24"/>
        </w:rPr>
        <w:t xml:space="preserve"> towards</w:t>
      </w:r>
      <w:r w:rsidR="007A5750" w:rsidRPr="00AB4C1A">
        <w:rPr>
          <w:rFonts w:ascii="Times New Roman" w:hAnsi="Times New Roman" w:cs="Times New Roman"/>
          <w:sz w:val="24"/>
          <w:szCs w:val="24"/>
        </w:rPr>
        <w:t xml:space="preserve"> reducing air pollution, however</w:t>
      </w:r>
      <w:r w:rsidR="00283145" w:rsidRPr="00AB4C1A">
        <w:rPr>
          <w:rFonts w:ascii="Times New Roman" w:hAnsi="Times New Roman" w:cs="Times New Roman"/>
          <w:sz w:val="24"/>
          <w:szCs w:val="24"/>
        </w:rPr>
        <w:t xml:space="preserve">, </w:t>
      </w:r>
      <w:r w:rsidR="007A5750" w:rsidRPr="00AB4C1A">
        <w:rPr>
          <w:rFonts w:ascii="Times New Roman" w:hAnsi="Times New Roman" w:cs="Times New Roman"/>
          <w:sz w:val="24"/>
          <w:szCs w:val="24"/>
        </w:rPr>
        <w:t>means of assessing</w:t>
      </w:r>
      <w:r w:rsidR="00EA0A51" w:rsidRPr="00AB4C1A">
        <w:rPr>
          <w:rFonts w:ascii="Times New Roman" w:hAnsi="Times New Roman" w:cs="Times New Roman"/>
          <w:sz w:val="24"/>
          <w:szCs w:val="24"/>
        </w:rPr>
        <w:t xml:space="preserve"> </w:t>
      </w:r>
      <w:r w:rsidR="00AF15BF" w:rsidRPr="00AB4C1A">
        <w:rPr>
          <w:rFonts w:ascii="Times New Roman" w:hAnsi="Times New Roman" w:cs="Times New Roman"/>
          <w:sz w:val="24"/>
          <w:szCs w:val="24"/>
        </w:rPr>
        <w:t xml:space="preserve">the extent and effectiveness of their contribution </w:t>
      </w:r>
      <w:r w:rsidR="007A5750" w:rsidRPr="00AB4C1A">
        <w:rPr>
          <w:rFonts w:ascii="Times New Roman" w:hAnsi="Times New Roman" w:cs="Times New Roman"/>
          <w:sz w:val="24"/>
          <w:szCs w:val="24"/>
        </w:rPr>
        <w:t xml:space="preserve">are limited. </w:t>
      </w:r>
      <w:r w:rsidRPr="00AB4C1A">
        <w:rPr>
          <w:rFonts w:ascii="Times New Roman" w:hAnsi="Times New Roman" w:cs="Times New Roman"/>
          <w:sz w:val="24"/>
          <w:szCs w:val="24"/>
        </w:rPr>
        <w:t xml:space="preserve">This </w:t>
      </w:r>
      <w:r w:rsidR="00EE45F3" w:rsidRPr="00AB4C1A">
        <w:rPr>
          <w:rFonts w:ascii="Times New Roman" w:hAnsi="Times New Roman" w:cs="Times New Roman"/>
          <w:sz w:val="24"/>
          <w:szCs w:val="24"/>
        </w:rPr>
        <w:t xml:space="preserve">paper </w:t>
      </w:r>
      <w:r w:rsidRPr="00AB4C1A">
        <w:rPr>
          <w:rFonts w:ascii="Times New Roman" w:hAnsi="Times New Roman" w:cs="Times New Roman"/>
          <w:sz w:val="24"/>
          <w:szCs w:val="24"/>
        </w:rPr>
        <w:t>develop</w:t>
      </w:r>
      <w:r w:rsidR="003601E4" w:rsidRPr="00AB4C1A">
        <w:rPr>
          <w:rFonts w:ascii="Times New Roman" w:hAnsi="Times New Roman" w:cs="Times New Roman"/>
          <w:sz w:val="24"/>
          <w:szCs w:val="24"/>
        </w:rPr>
        <w:t>s</w:t>
      </w:r>
      <w:r w:rsidRPr="00AB4C1A">
        <w:rPr>
          <w:rFonts w:ascii="Times New Roman" w:hAnsi="Times New Roman" w:cs="Times New Roman"/>
          <w:sz w:val="24"/>
          <w:szCs w:val="24"/>
        </w:rPr>
        <w:t xml:space="preserve"> </w:t>
      </w:r>
      <w:r w:rsidR="00B14F7C" w:rsidRPr="00AB4C1A">
        <w:rPr>
          <w:rFonts w:ascii="Times New Roman" w:hAnsi="Times New Roman" w:cs="Times New Roman"/>
          <w:sz w:val="24"/>
          <w:szCs w:val="24"/>
        </w:rPr>
        <w:t xml:space="preserve">a </w:t>
      </w:r>
      <w:r w:rsidRPr="00AB4C1A">
        <w:rPr>
          <w:rFonts w:ascii="Times New Roman" w:hAnsi="Times New Roman" w:cs="Times New Roman"/>
          <w:sz w:val="24"/>
          <w:szCs w:val="24"/>
        </w:rPr>
        <w:t xml:space="preserve">framework </w:t>
      </w:r>
      <w:r w:rsidR="003601E4" w:rsidRPr="00AB4C1A">
        <w:rPr>
          <w:rFonts w:ascii="Times New Roman" w:hAnsi="Times New Roman" w:cs="Times New Roman"/>
          <w:sz w:val="24"/>
          <w:szCs w:val="24"/>
        </w:rPr>
        <w:t xml:space="preserve">to </w:t>
      </w:r>
      <w:r w:rsidRPr="00AB4C1A">
        <w:rPr>
          <w:rFonts w:ascii="Times New Roman" w:hAnsi="Times New Roman" w:cs="Times New Roman"/>
          <w:sz w:val="24"/>
          <w:szCs w:val="24"/>
        </w:rPr>
        <w:t>evaluate</w:t>
      </w:r>
      <w:r w:rsidR="00D75078" w:rsidRPr="00AB4C1A">
        <w:rPr>
          <w:rFonts w:ascii="Times New Roman" w:hAnsi="Times New Roman" w:cs="Times New Roman"/>
          <w:sz w:val="24"/>
          <w:szCs w:val="24"/>
        </w:rPr>
        <w:t xml:space="preserve"> </w:t>
      </w:r>
      <w:r w:rsidR="0045588C" w:rsidRPr="00AB4C1A">
        <w:rPr>
          <w:rFonts w:ascii="Times New Roman" w:hAnsi="Times New Roman" w:cs="Times New Roman"/>
          <w:sz w:val="24"/>
          <w:szCs w:val="24"/>
        </w:rPr>
        <w:t xml:space="preserve">policies </w:t>
      </w:r>
      <w:r w:rsidR="00283145" w:rsidRPr="00AB4C1A">
        <w:rPr>
          <w:rFonts w:ascii="Times New Roman" w:hAnsi="Times New Roman" w:cs="Times New Roman"/>
          <w:sz w:val="24"/>
          <w:szCs w:val="24"/>
        </w:rPr>
        <w:t>implemented</w:t>
      </w:r>
      <w:r w:rsidR="0045588C" w:rsidRPr="00AB4C1A">
        <w:rPr>
          <w:rFonts w:ascii="Times New Roman" w:hAnsi="Times New Roman" w:cs="Times New Roman"/>
          <w:sz w:val="24"/>
          <w:szCs w:val="24"/>
        </w:rPr>
        <w:t xml:space="preserve"> by</w:t>
      </w:r>
      <w:r w:rsidR="00A7718B" w:rsidRPr="00AB4C1A">
        <w:rPr>
          <w:rFonts w:ascii="Times New Roman" w:hAnsi="Times New Roman" w:cs="Times New Roman"/>
          <w:sz w:val="24"/>
          <w:szCs w:val="24"/>
        </w:rPr>
        <w:t xml:space="preserve"> UK</w:t>
      </w:r>
      <w:r w:rsidR="0045588C" w:rsidRPr="00AB4C1A">
        <w:rPr>
          <w:rFonts w:ascii="Times New Roman" w:hAnsi="Times New Roman" w:cs="Times New Roman"/>
          <w:sz w:val="24"/>
          <w:szCs w:val="24"/>
        </w:rPr>
        <w:t xml:space="preserve"> LAs</w:t>
      </w:r>
      <w:r w:rsidR="009E7430" w:rsidRPr="00AB4C1A">
        <w:rPr>
          <w:rFonts w:ascii="Times New Roman" w:hAnsi="Times New Roman" w:cs="Times New Roman"/>
          <w:sz w:val="24"/>
          <w:szCs w:val="24"/>
        </w:rPr>
        <w:t xml:space="preserve"> to address air pollution </w:t>
      </w:r>
      <w:r w:rsidR="0045588C" w:rsidRPr="00AB4C1A">
        <w:rPr>
          <w:rFonts w:ascii="Times New Roman" w:hAnsi="Times New Roman" w:cs="Times New Roman"/>
          <w:sz w:val="24"/>
          <w:szCs w:val="24"/>
        </w:rPr>
        <w:t xml:space="preserve">and applies it to </w:t>
      </w:r>
      <w:r w:rsidR="002D23BB" w:rsidRPr="00AB4C1A">
        <w:rPr>
          <w:rFonts w:ascii="Times New Roman" w:hAnsi="Times New Roman" w:cs="Times New Roman"/>
          <w:sz w:val="24"/>
          <w:szCs w:val="24"/>
        </w:rPr>
        <w:t>Air Quality Action Plans (AQAP)</w:t>
      </w:r>
      <w:r w:rsidR="0045588C" w:rsidRPr="00AB4C1A">
        <w:rPr>
          <w:rFonts w:ascii="Times New Roman" w:hAnsi="Times New Roman" w:cs="Times New Roman"/>
          <w:sz w:val="24"/>
          <w:szCs w:val="24"/>
        </w:rPr>
        <w:t xml:space="preserve"> of </w:t>
      </w:r>
      <w:r w:rsidR="00821F2F" w:rsidRPr="00AB4C1A">
        <w:rPr>
          <w:rFonts w:ascii="Times New Roman" w:hAnsi="Times New Roman" w:cs="Times New Roman"/>
          <w:sz w:val="24"/>
          <w:szCs w:val="24"/>
        </w:rPr>
        <w:t>five</w:t>
      </w:r>
      <w:r w:rsidR="002A2642" w:rsidRPr="00AB4C1A">
        <w:rPr>
          <w:rFonts w:ascii="Times New Roman" w:hAnsi="Times New Roman" w:cs="Times New Roman"/>
          <w:sz w:val="24"/>
          <w:szCs w:val="24"/>
        </w:rPr>
        <w:t xml:space="preserve"> </w:t>
      </w:r>
      <w:r w:rsidR="0045588C" w:rsidRPr="00AB4C1A">
        <w:rPr>
          <w:rFonts w:ascii="Times New Roman" w:hAnsi="Times New Roman" w:cs="Times New Roman"/>
          <w:sz w:val="24"/>
          <w:szCs w:val="24"/>
        </w:rPr>
        <w:t>cities.</w:t>
      </w:r>
      <w:r w:rsidRPr="00AB4C1A">
        <w:rPr>
          <w:rFonts w:ascii="Times New Roman" w:hAnsi="Times New Roman" w:cs="Times New Roman"/>
          <w:sz w:val="24"/>
          <w:szCs w:val="24"/>
        </w:rPr>
        <w:t xml:space="preserve"> </w:t>
      </w:r>
      <w:r w:rsidR="00C36390" w:rsidRPr="00AB4C1A">
        <w:rPr>
          <w:rFonts w:ascii="Times New Roman" w:hAnsi="Times New Roman" w:cs="Times New Roman"/>
          <w:sz w:val="24"/>
          <w:szCs w:val="24"/>
        </w:rPr>
        <w:t>It</w:t>
      </w:r>
      <w:r w:rsidRPr="00AB4C1A">
        <w:rPr>
          <w:rFonts w:ascii="Times New Roman" w:hAnsi="Times New Roman" w:cs="Times New Roman"/>
          <w:sz w:val="24"/>
          <w:szCs w:val="24"/>
        </w:rPr>
        <w:t xml:space="preserve"> </w:t>
      </w:r>
      <w:r w:rsidR="0045588C" w:rsidRPr="00AB4C1A">
        <w:rPr>
          <w:rFonts w:ascii="Times New Roman" w:hAnsi="Times New Roman" w:cs="Times New Roman"/>
          <w:sz w:val="24"/>
          <w:szCs w:val="24"/>
        </w:rPr>
        <w:t xml:space="preserve">looks at </w:t>
      </w:r>
      <w:r w:rsidRPr="00AB4C1A">
        <w:rPr>
          <w:rFonts w:ascii="Times New Roman" w:hAnsi="Times New Roman" w:cs="Times New Roman"/>
          <w:sz w:val="24"/>
          <w:szCs w:val="24"/>
        </w:rPr>
        <w:t>how</w:t>
      </w:r>
      <w:r w:rsidR="0045588C" w:rsidRPr="00AB4C1A">
        <w:rPr>
          <w:rFonts w:ascii="Times New Roman" w:hAnsi="Times New Roman" w:cs="Times New Roman"/>
          <w:sz w:val="24"/>
          <w:szCs w:val="24"/>
        </w:rPr>
        <w:t xml:space="preserve"> and the extent to which</w:t>
      </w:r>
      <w:r w:rsidR="002A2642" w:rsidRPr="00AB4C1A">
        <w:rPr>
          <w:rFonts w:ascii="Times New Roman" w:hAnsi="Times New Roman" w:cs="Times New Roman"/>
          <w:sz w:val="24"/>
          <w:szCs w:val="24"/>
        </w:rPr>
        <w:t xml:space="preserve"> </w:t>
      </w:r>
      <w:r w:rsidR="00EE45F3" w:rsidRPr="00AB4C1A">
        <w:rPr>
          <w:rFonts w:ascii="Times New Roman" w:hAnsi="Times New Roman" w:cs="Times New Roman"/>
          <w:sz w:val="24"/>
          <w:szCs w:val="24"/>
        </w:rPr>
        <w:t>LA</w:t>
      </w:r>
      <w:r w:rsidRPr="00AB4C1A">
        <w:rPr>
          <w:rFonts w:ascii="Times New Roman" w:hAnsi="Times New Roman" w:cs="Times New Roman"/>
          <w:sz w:val="24"/>
          <w:szCs w:val="24"/>
        </w:rPr>
        <w:t xml:space="preserve"> </w:t>
      </w:r>
      <w:r w:rsidR="00551089" w:rsidRPr="00AB4C1A">
        <w:rPr>
          <w:rFonts w:ascii="Times New Roman" w:hAnsi="Times New Roman" w:cs="Times New Roman"/>
          <w:sz w:val="24"/>
          <w:szCs w:val="24"/>
        </w:rPr>
        <w:t xml:space="preserve">air quality policies </w:t>
      </w:r>
      <w:r w:rsidR="0045588C" w:rsidRPr="00AB4C1A">
        <w:rPr>
          <w:rFonts w:ascii="Times New Roman" w:hAnsi="Times New Roman" w:cs="Times New Roman"/>
          <w:sz w:val="24"/>
          <w:szCs w:val="24"/>
        </w:rPr>
        <w:t>alig</w:t>
      </w:r>
      <w:r w:rsidR="00283145" w:rsidRPr="00AB4C1A">
        <w:rPr>
          <w:rFonts w:ascii="Times New Roman" w:hAnsi="Times New Roman" w:cs="Times New Roman"/>
          <w:sz w:val="24"/>
          <w:szCs w:val="24"/>
        </w:rPr>
        <w:t>n</w:t>
      </w:r>
      <w:r w:rsidR="0045588C" w:rsidRPr="00AB4C1A">
        <w:rPr>
          <w:rFonts w:ascii="Times New Roman" w:hAnsi="Times New Roman" w:cs="Times New Roman"/>
          <w:sz w:val="24"/>
          <w:szCs w:val="24"/>
        </w:rPr>
        <w:t xml:space="preserve"> </w:t>
      </w:r>
      <w:r w:rsidR="00551089" w:rsidRPr="00AB4C1A">
        <w:rPr>
          <w:rFonts w:ascii="Times New Roman" w:hAnsi="Times New Roman" w:cs="Times New Roman"/>
          <w:sz w:val="24"/>
          <w:szCs w:val="24"/>
        </w:rPr>
        <w:t xml:space="preserve">with </w:t>
      </w:r>
      <w:r w:rsidRPr="00AB4C1A">
        <w:rPr>
          <w:rFonts w:ascii="Times New Roman" w:hAnsi="Times New Roman" w:cs="Times New Roman"/>
          <w:sz w:val="24"/>
          <w:szCs w:val="24"/>
        </w:rPr>
        <w:t>AAQD requirements</w:t>
      </w:r>
      <w:r w:rsidR="00B14F7C" w:rsidRPr="00AB4C1A">
        <w:rPr>
          <w:rFonts w:ascii="Times New Roman" w:hAnsi="Times New Roman" w:cs="Times New Roman"/>
          <w:sz w:val="24"/>
          <w:szCs w:val="24"/>
        </w:rPr>
        <w:t>,</w:t>
      </w:r>
      <w:r w:rsidRPr="00AB4C1A">
        <w:rPr>
          <w:rFonts w:ascii="Times New Roman" w:hAnsi="Times New Roman" w:cs="Times New Roman"/>
          <w:sz w:val="24"/>
          <w:szCs w:val="24"/>
        </w:rPr>
        <w:t xml:space="preserve"> </w:t>
      </w:r>
      <w:r w:rsidR="00551089" w:rsidRPr="00AB4C1A">
        <w:rPr>
          <w:rFonts w:ascii="Times New Roman" w:hAnsi="Times New Roman" w:cs="Times New Roman"/>
          <w:sz w:val="24"/>
          <w:szCs w:val="24"/>
        </w:rPr>
        <w:t xml:space="preserve">thus </w:t>
      </w:r>
      <w:r w:rsidRPr="00AB4C1A">
        <w:rPr>
          <w:rFonts w:ascii="Times New Roman" w:hAnsi="Times New Roman" w:cs="Times New Roman"/>
          <w:sz w:val="24"/>
          <w:szCs w:val="24"/>
        </w:rPr>
        <w:t>advanc</w:t>
      </w:r>
      <w:r w:rsidR="00B14F7C" w:rsidRPr="00AB4C1A">
        <w:rPr>
          <w:rFonts w:ascii="Times New Roman" w:hAnsi="Times New Roman" w:cs="Times New Roman"/>
          <w:sz w:val="24"/>
          <w:szCs w:val="24"/>
        </w:rPr>
        <w:t>ing</w:t>
      </w:r>
      <w:r w:rsidRPr="00AB4C1A">
        <w:rPr>
          <w:rFonts w:ascii="Times New Roman" w:hAnsi="Times New Roman" w:cs="Times New Roman"/>
          <w:sz w:val="24"/>
          <w:szCs w:val="24"/>
        </w:rPr>
        <w:t xml:space="preserve"> empirical and academic knowledge on </w:t>
      </w:r>
      <w:r w:rsidR="00A7718B" w:rsidRPr="00AB4C1A">
        <w:rPr>
          <w:rFonts w:ascii="Times New Roman" w:hAnsi="Times New Roman" w:cs="Times New Roman"/>
          <w:sz w:val="24"/>
          <w:szCs w:val="24"/>
        </w:rPr>
        <w:t xml:space="preserve">implementation literature </w:t>
      </w:r>
      <w:r w:rsidR="0037107F" w:rsidRPr="00AB4C1A">
        <w:rPr>
          <w:rFonts w:ascii="Times New Roman" w:hAnsi="Times New Roman" w:cs="Times New Roman"/>
          <w:sz w:val="24"/>
          <w:szCs w:val="24"/>
        </w:rPr>
        <w:t>surrounding multi-level governance, specifically</w:t>
      </w:r>
      <w:r w:rsidR="00A7718B" w:rsidRPr="00AB4C1A">
        <w:rPr>
          <w:rFonts w:ascii="Times New Roman" w:hAnsi="Times New Roman" w:cs="Times New Roman"/>
          <w:sz w:val="24"/>
          <w:szCs w:val="24"/>
        </w:rPr>
        <w:t xml:space="preserve"> </w:t>
      </w:r>
      <w:r w:rsidR="00EE45F3" w:rsidRPr="00AB4C1A">
        <w:rPr>
          <w:rFonts w:ascii="Times New Roman" w:hAnsi="Times New Roman" w:cs="Times New Roman"/>
          <w:sz w:val="24"/>
          <w:szCs w:val="24"/>
        </w:rPr>
        <w:t xml:space="preserve">the </w:t>
      </w:r>
      <w:r w:rsidRPr="00AB4C1A">
        <w:rPr>
          <w:rFonts w:ascii="Times New Roman" w:hAnsi="Times New Roman" w:cs="Times New Roman"/>
          <w:sz w:val="24"/>
          <w:szCs w:val="24"/>
        </w:rPr>
        <w:t xml:space="preserve">policy disconnect between the AAQD and </w:t>
      </w:r>
      <w:r w:rsidR="00C36390" w:rsidRPr="00AB4C1A">
        <w:rPr>
          <w:rFonts w:ascii="Times New Roman" w:hAnsi="Times New Roman" w:cs="Times New Roman"/>
          <w:sz w:val="24"/>
          <w:szCs w:val="24"/>
        </w:rPr>
        <w:t xml:space="preserve">UK </w:t>
      </w:r>
      <w:r w:rsidRPr="00AB4C1A">
        <w:rPr>
          <w:rFonts w:ascii="Times New Roman" w:hAnsi="Times New Roman" w:cs="Times New Roman"/>
          <w:sz w:val="24"/>
          <w:szCs w:val="24"/>
        </w:rPr>
        <w:t xml:space="preserve">Local Air Quality Management (LAQM). </w:t>
      </w:r>
      <w:r w:rsidR="0045588C" w:rsidRPr="00AB4C1A">
        <w:rPr>
          <w:rFonts w:ascii="Times New Roman" w:hAnsi="Times New Roman" w:cs="Times New Roman"/>
          <w:sz w:val="24"/>
          <w:szCs w:val="24"/>
        </w:rPr>
        <w:t>The a</w:t>
      </w:r>
      <w:r w:rsidR="000C3188" w:rsidRPr="00AB4C1A">
        <w:rPr>
          <w:rFonts w:ascii="Times New Roman" w:hAnsi="Times New Roman" w:cs="Times New Roman"/>
          <w:sz w:val="24"/>
          <w:szCs w:val="24"/>
        </w:rPr>
        <w:t xml:space="preserve">pplication of the framework </w:t>
      </w:r>
      <w:r w:rsidR="003D6E5F" w:rsidRPr="00AB4C1A">
        <w:rPr>
          <w:rFonts w:ascii="Times New Roman" w:hAnsi="Times New Roman" w:cs="Times New Roman"/>
          <w:sz w:val="24"/>
          <w:szCs w:val="24"/>
        </w:rPr>
        <w:t xml:space="preserve">shows how </w:t>
      </w:r>
      <w:r w:rsidR="00877E8B" w:rsidRPr="00AB4C1A">
        <w:rPr>
          <w:rFonts w:ascii="Times New Roman" w:hAnsi="Times New Roman" w:cs="Times New Roman"/>
          <w:sz w:val="24"/>
          <w:szCs w:val="24"/>
        </w:rPr>
        <w:t xml:space="preserve">LAs can better integrate AQAPs </w:t>
      </w:r>
      <w:r w:rsidR="00AC38D7" w:rsidRPr="00AB4C1A">
        <w:rPr>
          <w:rFonts w:ascii="Times New Roman" w:hAnsi="Times New Roman" w:cs="Times New Roman"/>
          <w:sz w:val="24"/>
          <w:szCs w:val="24"/>
        </w:rPr>
        <w:t>in</w:t>
      </w:r>
      <w:r w:rsidR="00877E8B" w:rsidRPr="00AB4C1A">
        <w:rPr>
          <w:rFonts w:ascii="Times New Roman" w:hAnsi="Times New Roman" w:cs="Times New Roman"/>
          <w:sz w:val="24"/>
          <w:szCs w:val="24"/>
        </w:rPr>
        <w:t xml:space="preserve">to their LAQM plans </w:t>
      </w:r>
      <w:r w:rsidR="00CA0A3D" w:rsidRPr="00AB4C1A">
        <w:rPr>
          <w:rFonts w:ascii="Times New Roman" w:hAnsi="Times New Roman" w:cs="Times New Roman"/>
          <w:sz w:val="24"/>
          <w:szCs w:val="24"/>
        </w:rPr>
        <w:t>to</w:t>
      </w:r>
      <w:r w:rsidRPr="00AB4C1A">
        <w:rPr>
          <w:rFonts w:ascii="Times New Roman" w:hAnsi="Times New Roman" w:cs="Times New Roman"/>
          <w:sz w:val="24"/>
          <w:szCs w:val="24"/>
        </w:rPr>
        <w:t xml:space="preserve"> assess, develop</w:t>
      </w:r>
      <w:r w:rsidR="00A7718B" w:rsidRPr="00AB4C1A">
        <w:rPr>
          <w:rFonts w:ascii="Times New Roman" w:hAnsi="Times New Roman" w:cs="Times New Roman"/>
          <w:sz w:val="24"/>
          <w:szCs w:val="24"/>
        </w:rPr>
        <w:t>,</w:t>
      </w:r>
      <w:r w:rsidRPr="00AB4C1A">
        <w:rPr>
          <w:rFonts w:ascii="Times New Roman" w:hAnsi="Times New Roman" w:cs="Times New Roman"/>
          <w:sz w:val="24"/>
          <w:szCs w:val="24"/>
        </w:rPr>
        <w:t xml:space="preserve"> improve</w:t>
      </w:r>
      <w:r w:rsidR="00A7718B" w:rsidRPr="00AB4C1A">
        <w:rPr>
          <w:rFonts w:ascii="Times New Roman" w:hAnsi="Times New Roman" w:cs="Times New Roman"/>
          <w:sz w:val="24"/>
          <w:szCs w:val="24"/>
        </w:rPr>
        <w:t xml:space="preserve"> and implement </w:t>
      </w:r>
      <w:r w:rsidRPr="00AB4C1A">
        <w:rPr>
          <w:rFonts w:ascii="Times New Roman" w:hAnsi="Times New Roman" w:cs="Times New Roman"/>
          <w:sz w:val="24"/>
          <w:szCs w:val="24"/>
        </w:rPr>
        <w:t xml:space="preserve">their </w:t>
      </w:r>
      <w:r w:rsidR="003D6E5F" w:rsidRPr="00AB4C1A">
        <w:rPr>
          <w:rFonts w:ascii="Times New Roman" w:hAnsi="Times New Roman" w:cs="Times New Roman"/>
          <w:sz w:val="24"/>
          <w:szCs w:val="24"/>
        </w:rPr>
        <w:t xml:space="preserve">air </w:t>
      </w:r>
      <w:r w:rsidR="00877E8B" w:rsidRPr="00AB4C1A">
        <w:rPr>
          <w:rFonts w:ascii="Times New Roman" w:hAnsi="Times New Roman" w:cs="Times New Roman"/>
          <w:sz w:val="24"/>
          <w:szCs w:val="24"/>
        </w:rPr>
        <w:t>quality policies</w:t>
      </w:r>
      <w:r w:rsidR="00A7718B" w:rsidRPr="00AB4C1A">
        <w:rPr>
          <w:rFonts w:ascii="Times New Roman" w:hAnsi="Times New Roman" w:cs="Times New Roman"/>
          <w:sz w:val="24"/>
          <w:szCs w:val="24"/>
        </w:rPr>
        <w:t xml:space="preserve"> </w:t>
      </w:r>
      <w:r w:rsidRPr="00AB4C1A">
        <w:rPr>
          <w:rFonts w:ascii="Times New Roman" w:hAnsi="Times New Roman" w:cs="Times New Roman"/>
          <w:sz w:val="24"/>
          <w:szCs w:val="24"/>
        </w:rPr>
        <w:t>on the ground.</w:t>
      </w:r>
    </w:p>
    <w:p w14:paraId="7E3CD57A" w14:textId="77777777" w:rsidR="005D3545" w:rsidRPr="00AB4C1A" w:rsidRDefault="005D3545" w:rsidP="00CB2EFD">
      <w:pPr>
        <w:spacing w:line="240" w:lineRule="auto"/>
        <w:rPr>
          <w:rFonts w:ascii="Times New Roman" w:hAnsi="Times New Roman" w:cs="Times New Roman"/>
          <w:sz w:val="24"/>
          <w:szCs w:val="24"/>
        </w:rPr>
      </w:pPr>
      <w:r w:rsidRPr="00AB4C1A">
        <w:rPr>
          <w:rFonts w:ascii="Times New Roman" w:hAnsi="Times New Roman" w:cs="Times New Roman"/>
          <w:i/>
          <w:sz w:val="24"/>
          <w:szCs w:val="24"/>
        </w:rPr>
        <w:t>Keywords</w:t>
      </w:r>
      <w:r w:rsidRPr="00AB4C1A">
        <w:rPr>
          <w:rFonts w:ascii="Times New Roman" w:hAnsi="Times New Roman" w:cs="Times New Roman"/>
          <w:sz w:val="24"/>
          <w:szCs w:val="24"/>
        </w:rPr>
        <w:t xml:space="preserve">: </w:t>
      </w:r>
      <w:r w:rsidR="008E2C96" w:rsidRPr="00AB4C1A">
        <w:rPr>
          <w:rFonts w:ascii="Times New Roman" w:hAnsi="Times New Roman" w:cs="Times New Roman"/>
          <w:sz w:val="24"/>
          <w:szCs w:val="24"/>
        </w:rPr>
        <w:t>EU Ambient Air Quality Directive</w:t>
      </w:r>
      <w:r w:rsidR="00390774" w:rsidRPr="00AB4C1A">
        <w:rPr>
          <w:rFonts w:ascii="Times New Roman" w:hAnsi="Times New Roman" w:cs="Times New Roman"/>
          <w:sz w:val="24"/>
          <w:szCs w:val="24"/>
        </w:rPr>
        <w:t xml:space="preserve"> (2008/50/EC)</w:t>
      </w:r>
      <w:r w:rsidR="008E2C96" w:rsidRPr="00AB4C1A">
        <w:rPr>
          <w:rFonts w:ascii="Times New Roman" w:hAnsi="Times New Roman" w:cs="Times New Roman"/>
          <w:sz w:val="24"/>
          <w:szCs w:val="24"/>
        </w:rPr>
        <w:t>; Policy disconnect;</w:t>
      </w:r>
      <w:r w:rsidR="00FC6DB6" w:rsidRPr="00AB4C1A">
        <w:rPr>
          <w:rFonts w:ascii="Times New Roman" w:hAnsi="Times New Roman" w:cs="Times New Roman"/>
          <w:sz w:val="24"/>
          <w:szCs w:val="24"/>
        </w:rPr>
        <w:t xml:space="preserve"> </w:t>
      </w:r>
      <w:r w:rsidR="009F053C" w:rsidRPr="00AB4C1A">
        <w:rPr>
          <w:rFonts w:ascii="Times New Roman" w:hAnsi="Times New Roman" w:cs="Times New Roman"/>
          <w:sz w:val="24"/>
          <w:szCs w:val="24"/>
        </w:rPr>
        <w:t>Action plans; Local Authorities; Assessment framework</w:t>
      </w:r>
    </w:p>
    <w:p w14:paraId="7ED693B7" w14:textId="77777777" w:rsidR="00DA580A" w:rsidRPr="00AB4C1A" w:rsidRDefault="00DA580A" w:rsidP="00CB2EFD">
      <w:pPr>
        <w:rPr>
          <w:rFonts w:ascii="Times New Roman" w:hAnsi="Times New Roman" w:cs="Times New Roman"/>
          <w:b/>
          <w:bCs/>
          <w:sz w:val="24"/>
          <w:szCs w:val="24"/>
        </w:rPr>
      </w:pPr>
      <w:r w:rsidRPr="00AB4C1A">
        <w:rPr>
          <w:rFonts w:ascii="Times New Roman" w:hAnsi="Times New Roman" w:cs="Times New Roman"/>
          <w:b/>
          <w:bCs/>
          <w:sz w:val="24"/>
          <w:szCs w:val="24"/>
        </w:rPr>
        <w:t>Introduction</w:t>
      </w:r>
    </w:p>
    <w:p w14:paraId="08EDD0FD" w14:textId="77777777" w:rsidR="007D5A0F" w:rsidRPr="00AB4C1A" w:rsidRDefault="006708B0"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E</w:t>
      </w:r>
      <w:r w:rsidR="00A918CD" w:rsidRPr="00AB4C1A">
        <w:rPr>
          <w:rFonts w:ascii="Times New Roman" w:hAnsi="Times New Roman" w:cs="Times New Roman"/>
          <w:sz w:val="24"/>
          <w:szCs w:val="24"/>
        </w:rPr>
        <w:t xml:space="preserve">xceedances of </w:t>
      </w:r>
      <w:r w:rsidR="002B1E51" w:rsidRPr="00AB4C1A">
        <w:rPr>
          <w:rFonts w:ascii="Times New Roman" w:hAnsi="Times New Roman" w:cs="Times New Roman"/>
          <w:sz w:val="24"/>
          <w:szCs w:val="24"/>
        </w:rPr>
        <w:t>n</w:t>
      </w:r>
      <w:r w:rsidR="009B472C" w:rsidRPr="00AB4C1A">
        <w:rPr>
          <w:rFonts w:ascii="Times New Roman" w:hAnsi="Times New Roman" w:cs="Times New Roman"/>
          <w:sz w:val="24"/>
          <w:szCs w:val="24"/>
        </w:rPr>
        <w:t xml:space="preserve">itrogen </w:t>
      </w:r>
      <w:r w:rsidR="002B1E51" w:rsidRPr="00AB4C1A">
        <w:rPr>
          <w:rFonts w:ascii="Times New Roman" w:hAnsi="Times New Roman" w:cs="Times New Roman"/>
          <w:sz w:val="24"/>
          <w:szCs w:val="24"/>
        </w:rPr>
        <w:t>d</w:t>
      </w:r>
      <w:r w:rsidR="009B472C" w:rsidRPr="00AB4C1A">
        <w:rPr>
          <w:rFonts w:ascii="Times New Roman" w:hAnsi="Times New Roman" w:cs="Times New Roman"/>
          <w:sz w:val="24"/>
          <w:szCs w:val="24"/>
        </w:rPr>
        <w:t>ioxide</w:t>
      </w:r>
      <w:r w:rsidR="002B1E51" w:rsidRPr="00AB4C1A">
        <w:rPr>
          <w:rFonts w:ascii="Times New Roman" w:hAnsi="Times New Roman" w:cs="Times New Roman"/>
          <w:sz w:val="24"/>
          <w:szCs w:val="24"/>
        </w:rPr>
        <w:t xml:space="preserve"> </w:t>
      </w:r>
      <w:r w:rsidR="009B472C" w:rsidRPr="00AB4C1A">
        <w:rPr>
          <w:rFonts w:ascii="Times New Roman" w:hAnsi="Times New Roman" w:cs="Times New Roman"/>
          <w:sz w:val="24"/>
          <w:szCs w:val="24"/>
        </w:rPr>
        <w:t>(</w:t>
      </w:r>
      <w:r w:rsidR="00A918CD" w:rsidRPr="00AB4C1A">
        <w:rPr>
          <w:rFonts w:ascii="Times New Roman" w:hAnsi="Times New Roman" w:cs="Times New Roman"/>
          <w:sz w:val="24"/>
          <w:szCs w:val="24"/>
        </w:rPr>
        <w:t>NO</w:t>
      </w:r>
      <w:r w:rsidR="00A918CD" w:rsidRPr="00AB4C1A">
        <w:rPr>
          <w:rFonts w:ascii="Times New Roman" w:hAnsi="Times New Roman" w:cs="Times New Roman"/>
          <w:sz w:val="24"/>
          <w:szCs w:val="24"/>
          <w:vertAlign w:val="subscript"/>
        </w:rPr>
        <w:t>2</w:t>
      </w:r>
      <w:r w:rsidR="009B472C" w:rsidRPr="00AB4C1A">
        <w:rPr>
          <w:rFonts w:ascii="Times New Roman" w:hAnsi="Times New Roman" w:cs="Times New Roman"/>
          <w:sz w:val="24"/>
          <w:szCs w:val="24"/>
        </w:rPr>
        <w:t>)</w:t>
      </w:r>
      <w:r w:rsidR="00A918CD" w:rsidRPr="00AB4C1A">
        <w:rPr>
          <w:rFonts w:ascii="Times New Roman" w:hAnsi="Times New Roman" w:cs="Times New Roman"/>
          <w:sz w:val="24"/>
          <w:szCs w:val="24"/>
        </w:rPr>
        <w:t xml:space="preserve"> </w:t>
      </w:r>
      <w:r w:rsidR="009B472C" w:rsidRPr="00AB4C1A">
        <w:rPr>
          <w:rFonts w:ascii="Times New Roman" w:hAnsi="Times New Roman" w:cs="Times New Roman"/>
          <w:sz w:val="24"/>
          <w:szCs w:val="24"/>
        </w:rPr>
        <w:t>legal limits</w:t>
      </w:r>
      <w:r w:rsidR="00A918CD" w:rsidRPr="00AB4C1A">
        <w:rPr>
          <w:rFonts w:ascii="Times New Roman" w:hAnsi="Times New Roman" w:cs="Times New Roman"/>
          <w:sz w:val="24"/>
          <w:szCs w:val="24"/>
        </w:rPr>
        <w:t xml:space="preserve">, primarily from transport pollution, </w:t>
      </w:r>
      <w:r w:rsidR="00D3616E" w:rsidRPr="00AB4C1A">
        <w:rPr>
          <w:rFonts w:ascii="Times New Roman" w:hAnsi="Times New Roman" w:cs="Times New Roman"/>
          <w:sz w:val="24"/>
          <w:szCs w:val="24"/>
        </w:rPr>
        <w:t>persist</w:t>
      </w:r>
      <w:r w:rsidRPr="00AB4C1A">
        <w:rPr>
          <w:rFonts w:ascii="Times New Roman" w:hAnsi="Times New Roman" w:cs="Times New Roman"/>
          <w:sz w:val="24"/>
          <w:szCs w:val="24"/>
        </w:rPr>
        <w:t xml:space="preserve"> </w:t>
      </w:r>
      <w:r w:rsidR="00A918CD" w:rsidRPr="00AB4C1A">
        <w:rPr>
          <w:rFonts w:ascii="Times New Roman" w:hAnsi="Times New Roman" w:cs="Times New Roman"/>
          <w:sz w:val="24"/>
          <w:szCs w:val="24"/>
        </w:rPr>
        <w:t>across 12 EU member states</w:t>
      </w:r>
      <w:r w:rsidRPr="00AB4C1A">
        <w:rPr>
          <w:rFonts w:ascii="Times New Roman" w:hAnsi="Times New Roman" w:cs="Times New Roman"/>
          <w:sz w:val="24"/>
          <w:szCs w:val="24"/>
        </w:rPr>
        <w:t>, including the UK</w:t>
      </w:r>
      <w:r w:rsidR="007D5A0F" w:rsidRPr="00AB4C1A">
        <w:rPr>
          <w:rFonts w:ascii="Times New Roman" w:hAnsi="Times New Roman" w:cs="Times New Roman"/>
          <w:sz w:val="24"/>
          <w:szCs w:val="24"/>
        </w:rPr>
        <w:t xml:space="preserve"> (EEA, 2017; </w:t>
      </w:r>
      <w:proofErr w:type="spellStart"/>
      <w:r w:rsidR="007D5A0F" w:rsidRPr="00AB4C1A">
        <w:rPr>
          <w:rFonts w:ascii="Times New Roman" w:hAnsi="Times New Roman" w:cs="Times New Roman"/>
          <w:sz w:val="24"/>
          <w:szCs w:val="24"/>
        </w:rPr>
        <w:t>Nagl</w:t>
      </w:r>
      <w:proofErr w:type="spellEnd"/>
      <w:r w:rsidR="007D5A0F" w:rsidRPr="00AB4C1A">
        <w:rPr>
          <w:rFonts w:ascii="Times New Roman" w:hAnsi="Times New Roman" w:cs="Times New Roman"/>
          <w:sz w:val="24"/>
          <w:szCs w:val="24"/>
        </w:rPr>
        <w:t xml:space="preserve">, Schneider &amp; </w:t>
      </w:r>
      <w:proofErr w:type="spellStart"/>
      <w:r w:rsidR="007D5A0F" w:rsidRPr="00AB4C1A">
        <w:rPr>
          <w:rFonts w:ascii="Times New Roman" w:hAnsi="Times New Roman" w:cs="Times New Roman"/>
          <w:sz w:val="24"/>
          <w:szCs w:val="24"/>
        </w:rPr>
        <w:t>Thielen</w:t>
      </w:r>
      <w:proofErr w:type="spellEnd"/>
      <w:r w:rsidR="007D5A0F" w:rsidRPr="00AB4C1A">
        <w:rPr>
          <w:rFonts w:ascii="Times New Roman" w:hAnsi="Times New Roman" w:cs="Times New Roman"/>
          <w:sz w:val="24"/>
          <w:szCs w:val="24"/>
        </w:rPr>
        <w:t>, 2016)</w:t>
      </w:r>
      <w:r w:rsidRPr="00AB4C1A">
        <w:rPr>
          <w:rFonts w:ascii="Times New Roman" w:hAnsi="Times New Roman" w:cs="Times New Roman"/>
          <w:sz w:val="24"/>
          <w:szCs w:val="24"/>
        </w:rPr>
        <w:t>.</w:t>
      </w:r>
      <w:r w:rsidR="007D5A0F" w:rsidRPr="00AB4C1A">
        <w:rPr>
          <w:rFonts w:ascii="Times New Roman" w:hAnsi="Times New Roman" w:cs="Times New Roman"/>
          <w:sz w:val="24"/>
          <w:szCs w:val="24"/>
        </w:rPr>
        <w:t xml:space="preserve"> </w:t>
      </w:r>
    </w:p>
    <w:p w14:paraId="267736FB" w14:textId="604207E0" w:rsidR="00A0279C" w:rsidRPr="00AB4C1A" w:rsidRDefault="00C93856"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The</w:t>
      </w:r>
      <w:r w:rsidR="00CF3955" w:rsidRPr="00AB4C1A">
        <w:rPr>
          <w:rFonts w:ascii="Times New Roman" w:hAnsi="Times New Roman" w:cs="Times New Roman"/>
          <w:sz w:val="24"/>
          <w:szCs w:val="24"/>
        </w:rPr>
        <w:t xml:space="preserve"> implementation of air quality policies is complicated by</w:t>
      </w:r>
      <w:r w:rsidR="009E211E" w:rsidRPr="00AB4C1A">
        <w:rPr>
          <w:rFonts w:ascii="Times New Roman" w:hAnsi="Times New Roman" w:cs="Times New Roman"/>
          <w:sz w:val="24"/>
          <w:szCs w:val="24"/>
        </w:rPr>
        <w:t xml:space="preserve"> the multi-level nature of the problem </w:t>
      </w:r>
      <w:r w:rsidR="00CA0A3D" w:rsidRPr="00AB4C1A">
        <w:rPr>
          <w:rFonts w:ascii="Times New Roman" w:hAnsi="Times New Roman" w:cs="Times New Roman"/>
          <w:sz w:val="24"/>
          <w:szCs w:val="24"/>
        </w:rPr>
        <w:t xml:space="preserve">that </w:t>
      </w:r>
      <w:r w:rsidR="009E211E" w:rsidRPr="00AB4C1A">
        <w:rPr>
          <w:rFonts w:ascii="Times New Roman" w:hAnsi="Times New Roman" w:cs="Times New Roman"/>
          <w:sz w:val="24"/>
          <w:szCs w:val="24"/>
        </w:rPr>
        <w:t xml:space="preserve">they aim to tackle. </w:t>
      </w:r>
      <w:r w:rsidR="00877E8B" w:rsidRPr="00AB4C1A">
        <w:rPr>
          <w:rFonts w:ascii="Times New Roman" w:hAnsi="Times New Roman" w:cs="Times New Roman"/>
          <w:sz w:val="24"/>
          <w:szCs w:val="24"/>
        </w:rPr>
        <w:t>Environmental</w:t>
      </w:r>
      <w:r w:rsidRPr="00AB4C1A">
        <w:rPr>
          <w:rFonts w:ascii="Times New Roman" w:hAnsi="Times New Roman" w:cs="Times New Roman"/>
          <w:sz w:val="24"/>
          <w:szCs w:val="24"/>
        </w:rPr>
        <w:t xml:space="preserve"> issues such as air pollution require</w:t>
      </w:r>
      <w:r w:rsidR="009E211E" w:rsidRPr="00AB4C1A">
        <w:rPr>
          <w:rFonts w:ascii="Times New Roman" w:hAnsi="Times New Roman" w:cs="Times New Roman"/>
          <w:sz w:val="24"/>
          <w:szCs w:val="24"/>
        </w:rPr>
        <w:t xml:space="preserve"> the cooperation of multiple institutional levels </w:t>
      </w:r>
      <w:r w:rsidR="00DE03FC" w:rsidRPr="00AB4C1A">
        <w:rPr>
          <w:rFonts w:ascii="Times New Roman" w:hAnsi="Times New Roman" w:cs="Times New Roman"/>
          <w:sz w:val="24"/>
          <w:szCs w:val="24"/>
        </w:rPr>
        <w:t>vis-à-vis</w:t>
      </w:r>
      <w:r w:rsidR="00770B36" w:rsidRPr="00AB4C1A">
        <w:rPr>
          <w:rFonts w:ascii="Times New Roman" w:hAnsi="Times New Roman" w:cs="Times New Roman"/>
          <w:sz w:val="24"/>
          <w:szCs w:val="24"/>
        </w:rPr>
        <w:t xml:space="preserve"> national</w:t>
      </w:r>
      <w:r w:rsidR="009E211E" w:rsidRPr="00AB4C1A">
        <w:rPr>
          <w:rFonts w:ascii="Times New Roman" w:hAnsi="Times New Roman" w:cs="Times New Roman"/>
          <w:sz w:val="24"/>
          <w:szCs w:val="24"/>
        </w:rPr>
        <w:t xml:space="preserve"> legislative and governance structures (</w:t>
      </w:r>
      <w:proofErr w:type="spellStart"/>
      <w:r w:rsidR="009E211E" w:rsidRPr="00AB4C1A">
        <w:rPr>
          <w:rFonts w:ascii="Times New Roman" w:hAnsi="Times New Roman" w:cs="Times New Roman"/>
          <w:sz w:val="24"/>
          <w:szCs w:val="24"/>
        </w:rPr>
        <w:t>Mickwitz</w:t>
      </w:r>
      <w:proofErr w:type="spellEnd"/>
      <w:r w:rsidR="009E211E" w:rsidRPr="00AB4C1A">
        <w:rPr>
          <w:rFonts w:ascii="Times New Roman" w:hAnsi="Times New Roman" w:cs="Times New Roman"/>
          <w:sz w:val="24"/>
          <w:szCs w:val="24"/>
        </w:rPr>
        <w:t xml:space="preserve">, 2003; </w:t>
      </w:r>
      <w:proofErr w:type="spellStart"/>
      <w:r w:rsidR="009E211E" w:rsidRPr="00AB4C1A">
        <w:rPr>
          <w:rFonts w:ascii="Times New Roman" w:hAnsi="Times New Roman" w:cs="Times New Roman"/>
          <w:sz w:val="24"/>
          <w:szCs w:val="24"/>
        </w:rPr>
        <w:t>Gollata</w:t>
      </w:r>
      <w:proofErr w:type="spellEnd"/>
      <w:r w:rsidR="009E211E" w:rsidRPr="00AB4C1A">
        <w:rPr>
          <w:rFonts w:ascii="Times New Roman" w:hAnsi="Times New Roman" w:cs="Times New Roman"/>
          <w:sz w:val="24"/>
          <w:szCs w:val="24"/>
        </w:rPr>
        <w:t xml:space="preserve"> &amp; </w:t>
      </w:r>
      <w:proofErr w:type="spellStart"/>
      <w:r w:rsidR="009E211E" w:rsidRPr="00AB4C1A">
        <w:rPr>
          <w:rFonts w:ascii="Times New Roman" w:hAnsi="Times New Roman" w:cs="Times New Roman"/>
          <w:sz w:val="24"/>
          <w:szCs w:val="24"/>
        </w:rPr>
        <w:t>Newig</w:t>
      </w:r>
      <w:proofErr w:type="spellEnd"/>
      <w:r w:rsidR="009E211E" w:rsidRPr="00AB4C1A">
        <w:rPr>
          <w:rFonts w:ascii="Times New Roman" w:hAnsi="Times New Roman" w:cs="Times New Roman"/>
          <w:sz w:val="24"/>
          <w:szCs w:val="24"/>
        </w:rPr>
        <w:t xml:space="preserve">, 2017; </w:t>
      </w:r>
      <w:proofErr w:type="spellStart"/>
      <w:r w:rsidR="009E211E" w:rsidRPr="00AB4C1A">
        <w:rPr>
          <w:rFonts w:ascii="Times New Roman" w:hAnsi="Times New Roman" w:cs="Times New Roman"/>
          <w:sz w:val="24"/>
          <w:szCs w:val="24"/>
        </w:rPr>
        <w:t>Knill</w:t>
      </w:r>
      <w:proofErr w:type="spellEnd"/>
      <w:r w:rsidR="009E211E" w:rsidRPr="00AB4C1A">
        <w:rPr>
          <w:rFonts w:ascii="Times New Roman" w:hAnsi="Times New Roman" w:cs="Times New Roman"/>
          <w:sz w:val="24"/>
          <w:szCs w:val="24"/>
        </w:rPr>
        <w:t xml:space="preserve"> &amp; </w:t>
      </w:r>
      <w:proofErr w:type="spellStart"/>
      <w:r w:rsidR="009E211E" w:rsidRPr="00AB4C1A">
        <w:rPr>
          <w:rFonts w:ascii="Times New Roman" w:hAnsi="Times New Roman" w:cs="Times New Roman"/>
          <w:sz w:val="24"/>
          <w:szCs w:val="24"/>
        </w:rPr>
        <w:t>Lens</w:t>
      </w:r>
      <w:r w:rsidR="00A40C19" w:rsidRPr="00AB4C1A">
        <w:rPr>
          <w:rFonts w:ascii="Times New Roman" w:hAnsi="Times New Roman" w:cs="Times New Roman"/>
          <w:sz w:val="24"/>
          <w:szCs w:val="24"/>
        </w:rPr>
        <w:t>c</w:t>
      </w:r>
      <w:r w:rsidR="009E211E" w:rsidRPr="00AB4C1A">
        <w:rPr>
          <w:rFonts w:ascii="Times New Roman" w:hAnsi="Times New Roman" w:cs="Times New Roman"/>
          <w:sz w:val="24"/>
          <w:szCs w:val="24"/>
        </w:rPr>
        <w:t>how</w:t>
      </w:r>
      <w:proofErr w:type="spellEnd"/>
      <w:r w:rsidR="009E211E" w:rsidRPr="00AB4C1A">
        <w:rPr>
          <w:rFonts w:ascii="Times New Roman" w:hAnsi="Times New Roman" w:cs="Times New Roman"/>
          <w:sz w:val="24"/>
          <w:szCs w:val="24"/>
        </w:rPr>
        <w:t>, 1998).</w:t>
      </w:r>
      <w:r w:rsidR="00962E99" w:rsidRPr="00AB4C1A">
        <w:rPr>
          <w:rFonts w:ascii="Times New Roman" w:hAnsi="Times New Roman" w:cs="Times New Roman"/>
          <w:sz w:val="24"/>
          <w:szCs w:val="24"/>
        </w:rPr>
        <w:t xml:space="preserve"> </w:t>
      </w:r>
      <w:r w:rsidR="00770B36" w:rsidRPr="00AB4C1A">
        <w:rPr>
          <w:rFonts w:ascii="Times New Roman" w:hAnsi="Times New Roman" w:cs="Times New Roman"/>
          <w:sz w:val="24"/>
          <w:szCs w:val="24"/>
        </w:rPr>
        <w:t xml:space="preserve">In this regard, </w:t>
      </w:r>
      <w:proofErr w:type="spellStart"/>
      <w:r w:rsidR="00962E99" w:rsidRPr="00AB4C1A">
        <w:rPr>
          <w:rFonts w:ascii="Times New Roman" w:hAnsi="Times New Roman" w:cs="Times New Roman"/>
          <w:sz w:val="24"/>
          <w:szCs w:val="24"/>
        </w:rPr>
        <w:t>B</w:t>
      </w:r>
      <w:r w:rsidR="00A7718B" w:rsidRPr="00AB4C1A">
        <w:rPr>
          <w:rFonts w:ascii="Times New Roman" w:hAnsi="Times New Roman" w:cs="Times New Roman"/>
          <w:sz w:val="24"/>
          <w:szCs w:val="24"/>
        </w:rPr>
        <w:t>o</w:t>
      </w:r>
      <w:r w:rsidR="00962E99" w:rsidRPr="00AB4C1A">
        <w:rPr>
          <w:rFonts w:ascii="Times New Roman" w:hAnsi="Times New Roman" w:cs="Times New Roman"/>
          <w:sz w:val="24"/>
          <w:szCs w:val="24"/>
        </w:rPr>
        <w:t>ndarouk</w:t>
      </w:r>
      <w:proofErr w:type="spellEnd"/>
      <w:r w:rsidR="00962E99" w:rsidRPr="00AB4C1A">
        <w:rPr>
          <w:rFonts w:ascii="Times New Roman" w:hAnsi="Times New Roman" w:cs="Times New Roman"/>
          <w:sz w:val="24"/>
          <w:szCs w:val="24"/>
        </w:rPr>
        <w:t xml:space="preserve"> &amp; </w:t>
      </w:r>
      <w:proofErr w:type="spellStart"/>
      <w:r w:rsidR="00962E99" w:rsidRPr="00AB4C1A">
        <w:rPr>
          <w:rFonts w:ascii="Times New Roman" w:hAnsi="Times New Roman" w:cs="Times New Roman"/>
          <w:sz w:val="24"/>
          <w:szCs w:val="24"/>
        </w:rPr>
        <w:t>Mastenbroek</w:t>
      </w:r>
      <w:proofErr w:type="spellEnd"/>
      <w:r w:rsidR="00962E99" w:rsidRPr="00AB4C1A">
        <w:rPr>
          <w:rFonts w:ascii="Times New Roman" w:hAnsi="Times New Roman" w:cs="Times New Roman"/>
          <w:sz w:val="24"/>
          <w:szCs w:val="24"/>
        </w:rPr>
        <w:t xml:space="preserve"> (2017) have highlighted </w:t>
      </w:r>
      <w:r w:rsidR="008A46F5" w:rsidRPr="00AB4C1A">
        <w:rPr>
          <w:rFonts w:ascii="Times New Roman" w:hAnsi="Times New Roman" w:cs="Times New Roman"/>
          <w:sz w:val="24"/>
          <w:szCs w:val="24"/>
        </w:rPr>
        <w:t xml:space="preserve">the need to </w:t>
      </w:r>
      <w:r w:rsidR="006111E6" w:rsidRPr="00AB4C1A">
        <w:rPr>
          <w:rFonts w:ascii="Times New Roman" w:hAnsi="Times New Roman" w:cs="Times New Roman"/>
          <w:sz w:val="24"/>
          <w:szCs w:val="24"/>
        </w:rPr>
        <w:t xml:space="preserve">better </w:t>
      </w:r>
      <w:r w:rsidR="008A46F5" w:rsidRPr="00AB4C1A">
        <w:rPr>
          <w:rFonts w:ascii="Times New Roman" w:hAnsi="Times New Roman" w:cs="Times New Roman"/>
          <w:sz w:val="24"/>
          <w:szCs w:val="24"/>
        </w:rPr>
        <w:t xml:space="preserve">assess </w:t>
      </w:r>
      <w:r w:rsidR="00BA7479" w:rsidRPr="00AB4C1A">
        <w:rPr>
          <w:rFonts w:ascii="Times New Roman" w:hAnsi="Times New Roman" w:cs="Times New Roman"/>
          <w:sz w:val="24"/>
          <w:szCs w:val="24"/>
        </w:rPr>
        <w:t>the contribution made at local authority (LA) level</w:t>
      </w:r>
      <w:r w:rsidR="008A46F5" w:rsidRPr="00AB4C1A">
        <w:rPr>
          <w:rFonts w:ascii="Times New Roman" w:hAnsi="Times New Roman" w:cs="Times New Roman"/>
          <w:sz w:val="24"/>
          <w:szCs w:val="24"/>
        </w:rPr>
        <w:t xml:space="preserve"> to achieving EU environmental objectives, and proposed a framework </w:t>
      </w:r>
      <w:r w:rsidR="00935FC2" w:rsidRPr="00AB4C1A">
        <w:rPr>
          <w:rFonts w:ascii="Times New Roman" w:hAnsi="Times New Roman" w:cs="Times New Roman"/>
          <w:sz w:val="24"/>
          <w:szCs w:val="24"/>
        </w:rPr>
        <w:t xml:space="preserve">which was </w:t>
      </w:r>
      <w:r w:rsidR="00BA7479" w:rsidRPr="00AB4C1A">
        <w:rPr>
          <w:rFonts w:ascii="Times New Roman" w:hAnsi="Times New Roman" w:cs="Times New Roman"/>
          <w:sz w:val="24"/>
          <w:szCs w:val="24"/>
        </w:rPr>
        <w:t xml:space="preserve">subsequently </w:t>
      </w:r>
      <w:r w:rsidR="00935FC2" w:rsidRPr="00AB4C1A">
        <w:rPr>
          <w:rFonts w:ascii="Times New Roman" w:hAnsi="Times New Roman" w:cs="Times New Roman"/>
          <w:sz w:val="24"/>
          <w:szCs w:val="24"/>
        </w:rPr>
        <w:t>adapted to evaluate the AAQD implementation performance of Dutch municipalities (</w:t>
      </w:r>
      <w:proofErr w:type="spellStart"/>
      <w:r w:rsidR="00935FC2" w:rsidRPr="00AB4C1A">
        <w:rPr>
          <w:rFonts w:ascii="Times New Roman" w:hAnsi="Times New Roman" w:cs="Times New Roman"/>
          <w:sz w:val="24"/>
          <w:szCs w:val="24"/>
        </w:rPr>
        <w:t>B</w:t>
      </w:r>
      <w:r w:rsidR="004D2BEF" w:rsidRPr="00AB4C1A">
        <w:rPr>
          <w:rFonts w:ascii="Times New Roman" w:hAnsi="Times New Roman" w:cs="Times New Roman"/>
          <w:sz w:val="24"/>
          <w:szCs w:val="24"/>
        </w:rPr>
        <w:t>onda</w:t>
      </w:r>
      <w:r w:rsidR="00935FC2" w:rsidRPr="00AB4C1A">
        <w:rPr>
          <w:rFonts w:ascii="Times New Roman" w:hAnsi="Times New Roman" w:cs="Times New Roman"/>
          <w:sz w:val="24"/>
          <w:szCs w:val="24"/>
        </w:rPr>
        <w:t>rouk</w:t>
      </w:r>
      <w:proofErr w:type="spellEnd"/>
      <w:r w:rsidR="00935FC2" w:rsidRPr="00AB4C1A">
        <w:rPr>
          <w:rFonts w:ascii="Times New Roman" w:hAnsi="Times New Roman" w:cs="Times New Roman"/>
          <w:sz w:val="24"/>
          <w:szCs w:val="24"/>
        </w:rPr>
        <w:t xml:space="preserve"> &amp; </w:t>
      </w:r>
      <w:proofErr w:type="spellStart"/>
      <w:r w:rsidR="00935FC2" w:rsidRPr="00AB4C1A">
        <w:rPr>
          <w:rFonts w:ascii="Times New Roman" w:hAnsi="Times New Roman" w:cs="Times New Roman"/>
          <w:sz w:val="24"/>
          <w:szCs w:val="24"/>
        </w:rPr>
        <w:t>Liefferink</w:t>
      </w:r>
      <w:proofErr w:type="spellEnd"/>
      <w:r w:rsidR="00935FC2" w:rsidRPr="00AB4C1A">
        <w:rPr>
          <w:rFonts w:ascii="Times New Roman" w:hAnsi="Times New Roman" w:cs="Times New Roman"/>
          <w:sz w:val="24"/>
          <w:szCs w:val="24"/>
        </w:rPr>
        <w:t>, 2017).</w:t>
      </w:r>
      <w:r w:rsidR="003F4CA7" w:rsidRPr="00AB4C1A">
        <w:rPr>
          <w:rFonts w:ascii="Times New Roman" w:hAnsi="Times New Roman" w:cs="Times New Roman"/>
          <w:sz w:val="24"/>
          <w:szCs w:val="24"/>
        </w:rPr>
        <w:t xml:space="preserve"> </w:t>
      </w:r>
      <w:r w:rsidR="00C0648A" w:rsidRPr="00AB4C1A">
        <w:rPr>
          <w:rFonts w:ascii="Times New Roman" w:hAnsi="Times New Roman" w:cs="Times New Roman"/>
          <w:sz w:val="24"/>
          <w:szCs w:val="24"/>
        </w:rPr>
        <w:t xml:space="preserve"> The authors identify three key dimensions for the evaluation</w:t>
      </w:r>
      <w:r w:rsidR="00BA7479" w:rsidRPr="00AB4C1A">
        <w:rPr>
          <w:rFonts w:ascii="Times New Roman" w:hAnsi="Times New Roman" w:cs="Times New Roman"/>
          <w:sz w:val="24"/>
          <w:szCs w:val="24"/>
        </w:rPr>
        <w:t>:</w:t>
      </w:r>
      <w:r w:rsidR="00C0648A" w:rsidRPr="00AB4C1A">
        <w:rPr>
          <w:rFonts w:ascii="Times New Roman" w:hAnsi="Times New Roman" w:cs="Times New Roman"/>
          <w:sz w:val="24"/>
          <w:szCs w:val="24"/>
        </w:rPr>
        <w:t xml:space="preserve"> </w:t>
      </w:r>
      <w:r w:rsidR="00BA7479" w:rsidRPr="00AB4C1A">
        <w:rPr>
          <w:rFonts w:ascii="Times New Roman" w:hAnsi="Times New Roman" w:cs="Times New Roman"/>
          <w:sz w:val="24"/>
          <w:szCs w:val="24"/>
        </w:rPr>
        <w:t>s</w:t>
      </w:r>
      <w:r w:rsidR="00C0648A" w:rsidRPr="00AB4C1A">
        <w:rPr>
          <w:rFonts w:ascii="Times New Roman" w:hAnsi="Times New Roman" w:cs="Times New Roman"/>
          <w:sz w:val="24"/>
          <w:szCs w:val="24"/>
        </w:rPr>
        <w:t>ubstance</w:t>
      </w:r>
      <w:r w:rsidR="00BA7479" w:rsidRPr="00AB4C1A">
        <w:rPr>
          <w:rFonts w:ascii="Times New Roman" w:hAnsi="Times New Roman" w:cs="Times New Roman"/>
          <w:sz w:val="24"/>
          <w:szCs w:val="24"/>
        </w:rPr>
        <w:t>;</w:t>
      </w:r>
      <w:r w:rsidR="00C0648A" w:rsidRPr="00AB4C1A">
        <w:rPr>
          <w:rFonts w:ascii="Times New Roman" w:hAnsi="Times New Roman" w:cs="Times New Roman"/>
          <w:sz w:val="24"/>
          <w:szCs w:val="24"/>
        </w:rPr>
        <w:t xml:space="preserve"> </w:t>
      </w:r>
      <w:r w:rsidR="00BA7479" w:rsidRPr="00AB4C1A">
        <w:rPr>
          <w:rFonts w:ascii="Times New Roman" w:hAnsi="Times New Roman" w:cs="Times New Roman"/>
          <w:sz w:val="24"/>
          <w:szCs w:val="24"/>
        </w:rPr>
        <w:t>s</w:t>
      </w:r>
      <w:r w:rsidR="00C0648A" w:rsidRPr="00AB4C1A">
        <w:rPr>
          <w:rFonts w:ascii="Times New Roman" w:hAnsi="Times New Roman" w:cs="Times New Roman"/>
          <w:sz w:val="24"/>
          <w:szCs w:val="24"/>
        </w:rPr>
        <w:t>cope</w:t>
      </w:r>
      <w:r w:rsidR="00BA7479" w:rsidRPr="00AB4C1A">
        <w:rPr>
          <w:rFonts w:ascii="Times New Roman" w:hAnsi="Times New Roman" w:cs="Times New Roman"/>
          <w:sz w:val="24"/>
          <w:szCs w:val="24"/>
        </w:rPr>
        <w:t>; and e</w:t>
      </w:r>
      <w:r w:rsidR="00C0648A" w:rsidRPr="00AB4C1A">
        <w:rPr>
          <w:rFonts w:ascii="Times New Roman" w:hAnsi="Times New Roman" w:cs="Times New Roman"/>
          <w:sz w:val="24"/>
          <w:szCs w:val="24"/>
        </w:rPr>
        <w:t>ffort</w:t>
      </w:r>
      <w:r w:rsidR="00A46312" w:rsidRPr="00AB4C1A">
        <w:rPr>
          <w:rFonts w:ascii="Times New Roman" w:hAnsi="Times New Roman" w:cs="Times New Roman"/>
          <w:sz w:val="24"/>
          <w:szCs w:val="24"/>
        </w:rPr>
        <w:t xml:space="preserve">. </w:t>
      </w:r>
      <w:r w:rsidR="00C0648A" w:rsidRPr="00AB4C1A">
        <w:rPr>
          <w:rFonts w:ascii="Times New Roman" w:hAnsi="Times New Roman" w:cs="Times New Roman"/>
          <w:sz w:val="24"/>
          <w:szCs w:val="24"/>
        </w:rPr>
        <w:t xml:space="preserve">Their analysis </w:t>
      </w:r>
      <w:r w:rsidR="00A46312" w:rsidRPr="00AB4C1A">
        <w:rPr>
          <w:rFonts w:ascii="Times New Roman" w:hAnsi="Times New Roman" w:cs="Times New Roman"/>
          <w:sz w:val="24"/>
          <w:szCs w:val="24"/>
        </w:rPr>
        <w:t xml:space="preserve">highlights that implementation performance was </w:t>
      </w:r>
      <w:r w:rsidR="00A87961" w:rsidRPr="00AB4C1A">
        <w:rPr>
          <w:rFonts w:ascii="Times New Roman" w:hAnsi="Times New Roman" w:cs="Times New Roman"/>
          <w:sz w:val="24"/>
          <w:szCs w:val="24"/>
        </w:rPr>
        <w:t xml:space="preserve">dependent upon how serious </w:t>
      </w:r>
      <w:r w:rsidR="00D115D7" w:rsidRPr="00AB4C1A">
        <w:rPr>
          <w:rFonts w:ascii="Times New Roman" w:hAnsi="Times New Roman" w:cs="Times New Roman"/>
          <w:sz w:val="24"/>
          <w:szCs w:val="24"/>
        </w:rPr>
        <w:t>m</w:t>
      </w:r>
      <w:r w:rsidR="00A87961" w:rsidRPr="00AB4C1A">
        <w:rPr>
          <w:rFonts w:ascii="Times New Roman" w:hAnsi="Times New Roman" w:cs="Times New Roman"/>
          <w:sz w:val="24"/>
          <w:szCs w:val="24"/>
        </w:rPr>
        <w:t xml:space="preserve">unicipalities </w:t>
      </w:r>
      <w:r w:rsidR="00D115D7" w:rsidRPr="00AB4C1A">
        <w:rPr>
          <w:rFonts w:ascii="Times New Roman" w:hAnsi="Times New Roman" w:cs="Times New Roman"/>
          <w:sz w:val="24"/>
          <w:szCs w:val="24"/>
        </w:rPr>
        <w:t>were about tackling a</w:t>
      </w:r>
      <w:r w:rsidR="00A87961" w:rsidRPr="00AB4C1A">
        <w:rPr>
          <w:rFonts w:ascii="Times New Roman" w:hAnsi="Times New Roman" w:cs="Times New Roman"/>
          <w:sz w:val="24"/>
          <w:szCs w:val="24"/>
        </w:rPr>
        <w:t xml:space="preserve">ir quality (which in some cases led to over compliance) while </w:t>
      </w:r>
      <w:r w:rsidR="00D115D7" w:rsidRPr="00AB4C1A">
        <w:rPr>
          <w:rFonts w:ascii="Times New Roman" w:hAnsi="Times New Roman" w:cs="Times New Roman"/>
          <w:sz w:val="24"/>
          <w:szCs w:val="24"/>
        </w:rPr>
        <w:t xml:space="preserve">also </w:t>
      </w:r>
      <w:r w:rsidR="00A87961" w:rsidRPr="00AB4C1A">
        <w:rPr>
          <w:rFonts w:ascii="Times New Roman" w:hAnsi="Times New Roman" w:cs="Times New Roman"/>
          <w:sz w:val="24"/>
          <w:szCs w:val="24"/>
        </w:rPr>
        <w:t xml:space="preserve">dealing with the challenges </w:t>
      </w:r>
      <w:r w:rsidR="00D115D7" w:rsidRPr="00AB4C1A">
        <w:rPr>
          <w:rFonts w:ascii="Times New Roman" w:hAnsi="Times New Roman" w:cs="Times New Roman"/>
          <w:sz w:val="24"/>
          <w:szCs w:val="24"/>
        </w:rPr>
        <w:t xml:space="preserve">presented by the </w:t>
      </w:r>
      <w:r w:rsidR="00A87961" w:rsidRPr="00AB4C1A">
        <w:rPr>
          <w:rFonts w:ascii="Times New Roman" w:hAnsi="Times New Roman" w:cs="Times New Roman"/>
          <w:sz w:val="24"/>
          <w:szCs w:val="24"/>
        </w:rPr>
        <w:t>lack of measurable obligations from the AAQD.</w:t>
      </w:r>
      <w:r w:rsidR="00D115D7" w:rsidRPr="00AB4C1A">
        <w:rPr>
          <w:rFonts w:ascii="Times New Roman" w:hAnsi="Times New Roman" w:cs="Times New Roman"/>
          <w:sz w:val="24"/>
          <w:szCs w:val="24"/>
        </w:rPr>
        <w:t xml:space="preserve">  </w:t>
      </w:r>
      <w:r w:rsidR="00E06A8F" w:rsidRPr="00AB4C1A">
        <w:rPr>
          <w:rFonts w:ascii="Times New Roman" w:hAnsi="Times New Roman" w:cs="Times New Roman"/>
          <w:sz w:val="24"/>
          <w:szCs w:val="24"/>
        </w:rPr>
        <w:t xml:space="preserve">This paper builds on these contributions </w:t>
      </w:r>
      <w:r w:rsidR="00084253" w:rsidRPr="00AB4C1A">
        <w:rPr>
          <w:rFonts w:ascii="Times New Roman" w:hAnsi="Times New Roman" w:cs="Times New Roman"/>
          <w:sz w:val="24"/>
          <w:szCs w:val="24"/>
        </w:rPr>
        <w:t>to assess</w:t>
      </w:r>
      <w:r w:rsidR="00D115D7" w:rsidRPr="00AB4C1A">
        <w:rPr>
          <w:rFonts w:ascii="Times New Roman" w:hAnsi="Times New Roman" w:cs="Times New Roman"/>
          <w:sz w:val="24"/>
          <w:szCs w:val="24"/>
        </w:rPr>
        <w:t>ing the</w:t>
      </w:r>
      <w:r w:rsidR="003E2AAE" w:rsidRPr="00AB4C1A">
        <w:rPr>
          <w:rFonts w:ascii="Times New Roman" w:hAnsi="Times New Roman" w:cs="Times New Roman"/>
          <w:sz w:val="24"/>
          <w:szCs w:val="24"/>
        </w:rPr>
        <w:t xml:space="preserve"> LA</w:t>
      </w:r>
      <w:r w:rsidR="00D115D7" w:rsidRPr="00AB4C1A">
        <w:rPr>
          <w:rFonts w:ascii="Times New Roman" w:hAnsi="Times New Roman" w:cs="Times New Roman"/>
          <w:sz w:val="24"/>
          <w:szCs w:val="24"/>
        </w:rPr>
        <w:t>’</w:t>
      </w:r>
      <w:r w:rsidR="003E2AAE" w:rsidRPr="00AB4C1A">
        <w:rPr>
          <w:rFonts w:ascii="Times New Roman" w:hAnsi="Times New Roman" w:cs="Times New Roman"/>
          <w:sz w:val="24"/>
          <w:szCs w:val="24"/>
        </w:rPr>
        <w:t>s role in</w:t>
      </w:r>
      <w:r w:rsidR="009930E3" w:rsidRPr="00AB4C1A">
        <w:rPr>
          <w:rFonts w:ascii="Times New Roman" w:hAnsi="Times New Roman" w:cs="Times New Roman"/>
          <w:sz w:val="24"/>
          <w:szCs w:val="24"/>
        </w:rPr>
        <w:t xml:space="preserve"> reducing ambient air pollution</w:t>
      </w:r>
      <w:r w:rsidR="00D115D7" w:rsidRPr="00AB4C1A">
        <w:rPr>
          <w:rFonts w:ascii="Times New Roman" w:hAnsi="Times New Roman" w:cs="Times New Roman"/>
          <w:sz w:val="24"/>
          <w:szCs w:val="24"/>
        </w:rPr>
        <w:t>, with a focus on</w:t>
      </w:r>
      <w:r w:rsidR="009930E3" w:rsidRPr="00AB4C1A">
        <w:rPr>
          <w:rFonts w:ascii="Times New Roman" w:hAnsi="Times New Roman" w:cs="Times New Roman"/>
          <w:sz w:val="24"/>
          <w:szCs w:val="24"/>
        </w:rPr>
        <w:t xml:space="preserve"> </w:t>
      </w:r>
      <w:r w:rsidR="003E2AAE" w:rsidRPr="00AB4C1A">
        <w:rPr>
          <w:rFonts w:ascii="Times New Roman" w:hAnsi="Times New Roman" w:cs="Times New Roman"/>
          <w:sz w:val="24"/>
          <w:szCs w:val="24"/>
        </w:rPr>
        <w:t>the UK</w:t>
      </w:r>
      <w:r w:rsidR="00D115D7" w:rsidRPr="00AB4C1A">
        <w:rPr>
          <w:rFonts w:ascii="Times New Roman" w:hAnsi="Times New Roman" w:cs="Times New Roman"/>
          <w:sz w:val="24"/>
          <w:szCs w:val="24"/>
        </w:rPr>
        <w:t>. The UK</w:t>
      </w:r>
      <w:r w:rsidR="00D219AC" w:rsidRPr="00AB4C1A">
        <w:rPr>
          <w:rFonts w:ascii="Times New Roman" w:hAnsi="Times New Roman" w:cs="Times New Roman"/>
          <w:sz w:val="24"/>
          <w:szCs w:val="24"/>
        </w:rPr>
        <w:t xml:space="preserve"> </w:t>
      </w:r>
      <w:r w:rsidR="003E2AAE" w:rsidRPr="00AB4C1A">
        <w:rPr>
          <w:rFonts w:ascii="Times New Roman" w:hAnsi="Times New Roman" w:cs="Times New Roman"/>
          <w:sz w:val="24"/>
          <w:szCs w:val="24"/>
        </w:rPr>
        <w:t>require</w:t>
      </w:r>
      <w:r w:rsidR="00D219AC" w:rsidRPr="00AB4C1A">
        <w:rPr>
          <w:rFonts w:ascii="Times New Roman" w:hAnsi="Times New Roman" w:cs="Times New Roman"/>
          <w:sz w:val="24"/>
          <w:szCs w:val="24"/>
        </w:rPr>
        <w:t>s</w:t>
      </w:r>
      <w:r w:rsidR="003E2AAE" w:rsidRPr="00AB4C1A">
        <w:rPr>
          <w:rFonts w:ascii="Times New Roman" w:hAnsi="Times New Roman" w:cs="Times New Roman"/>
          <w:sz w:val="24"/>
          <w:szCs w:val="24"/>
        </w:rPr>
        <w:t xml:space="preserve"> </w:t>
      </w:r>
      <w:r w:rsidR="00FB69AE" w:rsidRPr="00AB4C1A">
        <w:rPr>
          <w:rFonts w:ascii="Times New Roman" w:hAnsi="Times New Roman" w:cs="Times New Roman"/>
          <w:sz w:val="24"/>
          <w:szCs w:val="24"/>
        </w:rPr>
        <w:t xml:space="preserve">new </w:t>
      </w:r>
      <w:r w:rsidR="003E2AAE" w:rsidRPr="00AB4C1A">
        <w:rPr>
          <w:rFonts w:ascii="Times New Roman" w:hAnsi="Times New Roman" w:cs="Times New Roman"/>
          <w:sz w:val="24"/>
          <w:szCs w:val="24"/>
        </w:rPr>
        <w:t>assessment tools</w:t>
      </w:r>
      <w:r w:rsidR="00D115D7" w:rsidRPr="00AB4C1A">
        <w:rPr>
          <w:rFonts w:ascii="Times New Roman" w:hAnsi="Times New Roman" w:cs="Times New Roman"/>
          <w:sz w:val="24"/>
          <w:szCs w:val="24"/>
        </w:rPr>
        <w:t xml:space="preserve"> specifically</w:t>
      </w:r>
      <w:r w:rsidR="003E2AAE" w:rsidRPr="00AB4C1A">
        <w:rPr>
          <w:rFonts w:ascii="Times New Roman" w:hAnsi="Times New Roman" w:cs="Times New Roman"/>
          <w:sz w:val="24"/>
          <w:szCs w:val="24"/>
        </w:rPr>
        <w:t xml:space="preserve"> </w:t>
      </w:r>
      <w:r w:rsidR="00FB69AE" w:rsidRPr="00AB4C1A">
        <w:rPr>
          <w:rFonts w:ascii="Times New Roman" w:hAnsi="Times New Roman" w:cs="Times New Roman"/>
          <w:sz w:val="24"/>
          <w:szCs w:val="24"/>
        </w:rPr>
        <w:t xml:space="preserve">tailored </w:t>
      </w:r>
      <w:r w:rsidR="00DD6CD6" w:rsidRPr="00AB4C1A">
        <w:rPr>
          <w:rFonts w:ascii="Times New Roman" w:hAnsi="Times New Roman" w:cs="Times New Roman"/>
          <w:sz w:val="24"/>
          <w:szCs w:val="24"/>
        </w:rPr>
        <w:t xml:space="preserve">to </w:t>
      </w:r>
      <w:r w:rsidR="00FB69AE" w:rsidRPr="00AB4C1A">
        <w:rPr>
          <w:rFonts w:ascii="Times New Roman" w:hAnsi="Times New Roman" w:cs="Times New Roman"/>
          <w:sz w:val="24"/>
          <w:szCs w:val="24"/>
        </w:rPr>
        <w:t>the</w:t>
      </w:r>
      <w:r w:rsidR="00A7718B" w:rsidRPr="00AB4C1A">
        <w:rPr>
          <w:rFonts w:ascii="Times New Roman" w:hAnsi="Times New Roman" w:cs="Times New Roman"/>
          <w:sz w:val="24"/>
          <w:szCs w:val="24"/>
        </w:rPr>
        <w:t xml:space="preserve"> </w:t>
      </w:r>
      <w:r w:rsidR="00FB69AE" w:rsidRPr="00AB4C1A">
        <w:rPr>
          <w:rFonts w:ascii="Times New Roman" w:hAnsi="Times New Roman" w:cs="Times New Roman"/>
          <w:sz w:val="24"/>
          <w:szCs w:val="24"/>
        </w:rPr>
        <w:t>UK air quality governance str</w:t>
      </w:r>
      <w:r w:rsidR="00DD6CD6" w:rsidRPr="00AB4C1A">
        <w:rPr>
          <w:rFonts w:ascii="Times New Roman" w:hAnsi="Times New Roman" w:cs="Times New Roman"/>
          <w:sz w:val="24"/>
          <w:szCs w:val="24"/>
        </w:rPr>
        <w:t>ucture and legislative approach</w:t>
      </w:r>
      <w:r w:rsidR="00D219AC" w:rsidRPr="00AB4C1A">
        <w:rPr>
          <w:rFonts w:ascii="Times New Roman" w:hAnsi="Times New Roman" w:cs="Times New Roman"/>
          <w:sz w:val="24"/>
          <w:szCs w:val="24"/>
        </w:rPr>
        <w:t xml:space="preserve">, </w:t>
      </w:r>
      <w:r w:rsidR="00DD6CD6" w:rsidRPr="00AB4C1A">
        <w:rPr>
          <w:rFonts w:ascii="Times New Roman" w:hAnsi="Times New Roman" w:cs="Times New Roman"/>
          <w:sz w:val="24"/>
          <w:szCs w:val="24"/>
        </w:rPr>
        <w:t xml:space="preserve">and </w:t>
      </w:r>
      <w:r w:rsidR="00DB35F5" w:rsidRPr="00AB4C1A">
        <w:rPr>
          <w:rFonts w:ascii="Times New Roman" w:hAnsi="Times New Roman" w:cs="Times New Roman"/>
          <w:sz w:val="24"/>
          <w:szCs w:val="24"/>
        </w:rPr>
        <w:t xml:space="preserve">which </w:t>
      </w:r>
      <w:r w:rsidR="00D115D7" w:rsidRPr="00AB4C1A">
        <w:rPr>
          <w:rFonts w:ascii="Times New Roman" w:hAnsi="Times New Roman" w:cs="Times New Roman"/>
          <w:sz w:val="24"/>
          <w:szCs w:val="24"/>
        </w:rPr>
        <w:t xml:space="preserve">are </w:t>
      </w:r>
      <w:r w:rsidR="00DD6CD6" w:rsidRPr="00AB4C1A">
        <w:rPr>
          <w:rFonts w:ascii="Times New Roman" w:hAnsi="Times New Roman" w:cs="Times New Roman"/>
          <w:sz w:val="24"/>
          <w:szCs w:val="24"/>
        </w:rPr>
        <w:t xml:space="preserve">directly actionable by officers and practitioners. </w:t>
      </w:r>
    </w:p>
    <w:p w14:paraId="4684F015" w14:textId="358A8715" w:rsidR="00D40363" w:rsidRPr="00AB4C1A" w:rsidRDefault="00A0279C"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lastRenderedPageBreak/>
        <w:t xml:space="preserve">In the Netherlands, “municipalities are obliged to implement all measures listed under the </w:t>
      </w:r>
      <w:r w:rsidR="00084760" w:rsidRPr="00AB4C1A">
        <w:rPr>
          <w:rFonts w:ascii="Times New Roman" w:hAnsi="Times New Roman" w:cs="Times New Roman"/>
          <w:sz w:val="24"/>
          <w:szCs w:val="24"/>
        </w:rPr>
        <w:t>National Air Quality Cooperation Programme (</w:t>
      </w:r>
      <w:r w:rsidRPr="00AB4C1A">
        <w:rPr>
          <w:rFonts w:ascii="Times New Roman" w:hAnsi="Times New Roman" w:cs="Times New Roman"/>
          <w:sz w:val="24"/>
          <w:szCs w:val="24"/>
        </w:rPr>
        <w:t>NAQCP</w:t>
      </w:r>
      <w:r w:rsidR="00084760" w:rsidRPr="00AB4C1A">
        <w:rPr>
          <w:rFonts w:ascii="Times New Roman" w:hAnsi="Times New Roman" w:cs="Times New Roman"/>
          <w:sz w:val="24"/>
          <w:szCs w:val="24"/>
        </w:rPr>
        <w:t>)</w:t>
      </w:r>
      <w:r w:rsidRPr="00AB4C1A">
        <w:rPr>
          <w:rFonts w:ascii="Times New Roman" w:hAnsi="Times New Roman" w:cs="Times New Roman"/>
          <w:sz w:val="24"/>
          <w:szCs w:val="24"/>
        </w:rPr>
        <w:t xml:space="preserve"> otherwise they would have to pay back funding granted by the national authority” (</w:t>
      </w:r>
      <w:proofErr w:type="spellStart"/>
      <w:r w:rsidRPr="00AB4C1A">
        <w:rPr>
          <w:rFonts w:ascii="Times New Roman" w:hAnsi="Times New Roman" w:cs="Times New Roman"/>
          <w:sz w:val="24"/>
          <w:szCs w:val="24"/>
        </w:rPr>
        <w:t>Bondarouk</w:t>
      </w:r>
      <w:proofErr w:type="spellEnd"/>
      <w:r w:rsidRPr="00AB4C1A">
        <w:rPr>
          <w:rFonts w:ascii="Times New Roman" w:hAnsi="Times New Roman" w:cs="Times New Roman"/>
          <w:sz w:val="24"/>
          <w:szCs w:val="24"/>
        </w:rPr>
        <w:t xml:space="preserve"> &amp; </w:t>
      </w:r>
      <w:proofErr w:type="spellStart"/>
      <w:r w:rsidRPr="00AB4C1A">
        <w:rPr>
          <w:rFonts w:ascii="Times New Roman" w:hAnsi="Times New Roman" w:cs="Times New Roman"/>
          <w:sz w:val="24"/>
          <w:szCs w:val="24"/>
        </w:rPr>
        <w:t>L</w:t>
      </w:r>
      <w:r w:rsidR="00A979B0" w:rsidRPr="00AB4C1A">
        <w:rPr>
          <w:rFonts w:ascii="Times New Roman" w:hAnsi="Times New Roman" w:cs="Times New Roman"/>
          <w:sz w:val="24"/>
          <w:szCs w:val="24"/>
        </w:rPr>
        <w:t>i</w:t>
      </w:r>
      <w:r w:rsidRPr="00AB4C1A">
        <w:rPr>
          <w:rFonts w:ascii="Times New Roman" w:hAnsi="Times New Roman" w:cs="Times New Roman"/>
          <w:sz w:val="24"/>
          <w:szCs w:val="24"/>
        </w:rPr>
        <w:t>efferink</w:t>
      </w:r>
      <w:proofErr w:type="spellEnd"/>
      <w:r w:rsidRPr="00AB4C1A">
        <w:rPr>
          <w:rFonts w:ascii="Times New Roman" w:hAnsi="Times New Roman" w:cs="Times New Roman"/>
          <w:sz w:val="24"/>
          <w:szCs w:val="24"/>
        </w:rPr>
        <w:t>, 2017, p. 738)</w:t>
      </w:r>
      <w:r w:rsidR="00D115D7" w:rsidRPr="00AB4C1A">
        <w:rPr>
          <w:rFonts w:ascii="Times New Roman" w:hAnsi="Times New Roman" w:cs="Times New Roman"/>
          <w:sz w:val="24"/>
          <w:szCs w:val="24"/>
        </w:rPr>
        <w:t xml:space="preserve">.  This implies </w:t>
      </w:r>
      <w:r w:rsidRPr="00AB4C1A">
        <w:rPr>
          <w:rFonts w:ascii="Times New Roman" w:hAnsi="Times New Roman" w:cs="Times New Roman"/>
          <w:sz w:val="24"/>
          <w:szCs w:val="24"/>
        </w:rPr>
        <w:t>that</w:t>
      </w:r>
      <w:r w:rsidR="00D115D7" w:rsidRPr="00AB4C1A">
        <w:rPr>
          <w:rFonts w:ascii="Times New Roman" w:hAnsi="Times New Roman" w:cs="Times New Roman"/>
          <w:sz w:val="24"/>
          <w:szCs w:val="24"/>
        </w:rPr>
        <w:t xml:space="preserve"> </w:t>
      </w:r>
      <w:r w:rsidRPr="00AB4C1A">
        <w:rPr>
          <w:rFonts w:ascii="Times New Roman" w:hAnsi="Times New Roman" w:cs="Times New Roman"/>
          <w:sz w:val="24"/>
          <w:szCs w:val="24"/>
        </w:rPr>
        <w:t>AQAP</w:t>
      </w:r>
      <w:r w:rsidR="00D115D7" w:rsidRPr="00AB4C1A">
        <w:rPr>
          <w:rFonts w:ascii="Times New Roman" w:hAnsi="Times New Roman" w:cs="Times New Roman"/>
          <w:sz w:val="24"/>
          <w:szCs w:val="24"/>
        </w:rPr>
        <w:t>s</w:t>
      </w:r>
      <w:r w:rsidR="00A03375" w:rsidRPr="00AB4C1A">
        <w:rPr>
          <w:rFonts w:ascii="Times New Roman" w:hAnsi="Times New Roman" w:cs="Times New Roman"/>
          <w:sz w:val="24"/>
          <w:szCs w:val="24"/>
        </w:rPr>
        <w:t xml:space="preserve"> in the Netherlands</w:t>
      </w:r>
      <w:r w:rsidRPr="00AB4C1A">
        <w:rPr>
          <w:rFonts w:ascii="Times New Roman" w:hAnsi="Times New Roman" w:cs="Times New Roman"/>
          <w:sz w:val="24"/>
          <w:szCs w:val="24"/>
        </w:rPr>
        <w:t xml:space="preserve"> are automatically implemented locally. This is not the case in the UK, in part due to the limited responsibility </w:t>
      </w:r>
      <w:r w:rsidR="00877E8B" w:rsidRPr="00AB4C1A">
        <w:rPr>
          <w:rFonts w:ascii="Times New Roman" w:hAnsi="Times New Roman" w:cs="Times New Roman"/>
          <w:sz w:val="24"/>
          <w:szCs w:val="24"/>
        </w:rPr>
        <w:t xml:space="preserve">that </w:t>
      </w:r>
      <w:r w:rsidRPr="00AB4C1A">
        <w:rPr>
          <w:rFonts w:ascii="Times New Roman" w:hAnsi="Times New Roman" w:cs="Times New Roman"/>
          <w:sz w:val="24"/>
          <w:szCs w:val="24"/>
        </w:rPr>
        <w:t xml:space="preserve">local authorities </w:t>
      </w:r>
      <w:proofErr w:type="gramStart"/>
      <w:r w:rsidR="00877E8B" w:rsidRPr="00AB4C1A">
        <w:rPr>
          <w:rFonts w:ascii="Times New Roman" w:hAnsi="Times New Roman" w:cs="Times New Roman"/>
          <w:sz w:val="24"/>
          <w:szCs w:val="24"/>
        </w:rPr>
        <w:t xml:space="preserve">have </w:t>
      </w:r>
      <w:r w:rsidRPr="00AB4C1A">
        <w:rPr>
          <w:rFonts w:ascii="Times New Roman" w:hAnsi="Times New Roman" w:cs="Times New Roman"/>
          <w:sz w:val="24"/>
          <w:szCs w:val="24"/>
        </w:rPr>
        <w:t>to</w:t>
      </w:r>
      <w:proofErr w:type="gramEnd"/>
      <w:r w:rsidRPr="00AB4C1A">
        <w:rPr>
          <w:rFonts w:ascii="Times New Roman" w:hAnsi="Times New Roman" w:cs="Times New Roman"/>
          <w:sz w:val="24"/>
          <w:szCs w:val="24"/>
        </w:rPr>
        <w:t xml:space="preserve"> achieve limit values or objectives (Chatterton,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2007; Barnes,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2018). Moreover, t</w:t>
      </w:r>
      <w:r w:rsidR="003E2AAE" w:rsidRPr="00AB4C1A">
        <w:rPr>
          <w:rFonts w:ascii="Times New Roman" w:hAnsi="Times New Roman" w:cs="Times New Roman"/>
          <w:sz w:val="24"/>
          <w:szCs w:val="24"/>
        </w:rPr>
        <w:t>he UK currently implements two separate sets of regulations in a ‘twin-track approach’ to air quality management (Barnes</w:t>
      </w:r>
      <w:r w:rsidR="00E95252" w:rsidRPr="00AB4C1A">
        <w:rPr>
          <w:rFonts w:ascii="Times New Roman" w:hAnsi="Times New Roman" w:cs="Times New Roman"/>
          <w:sz w:val="24"/>
          <w:szCs w:val="24"/>
        </w:rPr>
        <w:t xml:space="preserve">, </w:t>
      </w:r>
      <w:r w:rsidR="00E95252" w:rsidRPr="00AB4C1A">
        <w:rPr>
          <w:rFonts w:ascii="Times New Roman" w:hAnsi="Times New Roman" w:cs="Times New Roman"/>
          <w:i/>
          <w:iCs/>
          <w:sz w:val="24"/>
          <w:szCs w:val="24"/>
        </w:rPr>
        <w:t>et al.,</w:t>
      </w:r>
      <w:r w:rsidR="003E2AAE" w:rsidRPr="00AB4C1A">
        <w:rPr>
          <w:rFonts w:ascii="Times New Roman" w:hAnsi="Times New Roman" w:cs="Times New Roman"/>
          <w:sz w:val="24"/>
          <w:szCs w:val="24"/>
        </w:rPr>
        <w:t xml:space="preserve"> 2018); the national UK air quality legislation </w:t>
      </w:r>
      <w:r w:rsidR="00D40363" w:rsidRPr="00AB4C1A">
        <w:rPr>
          <w:rFonts w:ascii="Times New Roman" w:hAnsi="Times New Roman" w:cs="Times New Roman"/>
          <w:sz w:val="24"/>
          <w:szCs w:val="24"/>
        </w:rPr>
        <w:t xml:space="preserve">which is </w:t>
      </w:r>
      <w:r w:rsidR="003E2AAE" w:rsidRPr="00AB4C1A">
        <w:rPr>
          <w:rFonts w:ascii="Times New Roman" w:hAnsi="Times New Roman" w:cs="Times New Roman"/>
          <w:sz w:val="24"/>
          <w:szCs w:val="24"/>
        </w:rPr>
        <w:t>derived from the Environment Act (1995) (Air Quality Strategy (AQS))</w:t>
      </w:r>
      <w:r w:rsidR="00D40363" w:rsidRPr="00AB4C1A">
        <w:rPr>
          <w:rFonts w:ascii="Times New Roman" w:hAnsi="Times New Roman" w:cs="Times New Roman"/>
          <w:sz w:val="24"/>
          <w:szCs w:val="24"/>
        </w:rPr>
        <w:t>,</w:t>
      </w:r>
      <w:r w:rsidR="003E2AAE" w:rsidRPr="00AB4C1A">
        <w:rPr>
          <w:rFonts w:ascii="Times New Roman" w:hAnsi="Times New Roman" w:cs="Times New Roman"/>
          <w:sz w:val="24"/>
          <w:szCs w:val="24"/>
        </w:rPr>
        <w:t xml:space="preserve"> and the AAQD (</w:t>
      </w:r>
      <w:r w:rsidR="00D40363" w:rsidRPr="00AB4C1A">
        <w:rPr>
          <w:rFonts w:ascii="Times New Roman" w:hAnsi="Times New Roman" w:cs="Times New Roman"/>
          <w:sz w:val="24"/>
          <w:szCs w:val="24"/>
        </w:rPr>
        <w:t xml:space="preserve">the </w:t>
      </w:r>
      <w:r w:rsidR="00A03375" w:rsidRPr="00AB4C1A">
        <w:rPr>
          <w:rFonts w:ascii="Times New Roman" w:hAnsi="Times New Roman" w:cs="Times New Roman"/>
          <w:sz w:val="24"/>
          <w:szCs w:val="24"/>
        </w:rPr>
        <w:t>National Emissions Ceilings (NEC) Directive (2016/2284/EU)</w:t>
      </w:r>
      <w:r w:rsidR="003E2AAE" w:rsidRPr="00AB4C1A">
        <w:rPr>
          <w:rFonts w:ascii="Times New Roman" w:hAnsi="Times New Roman" w:cs="Times New Roman"/>
          <w:sz w:val="24"/>
          <w:szCs w:val="24"/>
        </w:rPr>
        <w:t>). These have different governance</w:t>
      </w:r>
      <w:r w:rsidR="001068A3" w:rsidRPr="00AB4C1A">
        <w:rPr>
          <w:rFonts w:ascii="Times New Roman" w:hAnsi="Times New Roman" w:cs="Times New Roman"/>
          <w:sz w:val="24"/>
          <w:szCs w:val="24"/>
        </w:rPr>
        <w:t xml:space="preserve"> approaches and legal requirements</w:t>
      </w:r>
      <w:r w:rsidR="003E2AAE" w:rsidRPr="00AB4C1A">
        <w:rPr>
          <w:rFonts w:ascii="Times New Roman" w:hAnsi="Times New Roman" w:cs="Times New Roman"/>
          <w:sz w:val="24"/>
          <w:szCs w:val="24"/>
        </w:rPr>
        <w:t>. For example, the EU AAQD requires member states to work at the scale of zones and agglomerations, while the national legislation works at the local authority scale (</w:t>
      </w:r>
      <w:r w:rsidR="00A40C19" w:rsidRPr="00AB4C1A">
        <w:rPr>
          <w:rFonts w:ascii="Times New Roman" w:hAnsi="Times New Roman" w:cs="Times New Roman"/>
          <w:sz w:val="24"/>
          <w:szCs w:val="24"/>
        </w:rPr>
        <w:t>Defra</w:t>
      </w:r>
      <w:r w:rsidR="003E2AAE" w:rsidRPr="00AB4C1A">
        <w:rPr>
          <w:rFonts w:ascii="Times New Roman" w:hAnsi="Times New Roman" w:cs="Times New Roman"/>
          <w:sz w:val="24"/>
          <w:szCs w:val="24"/>
        </w:rPr>
        <w:t>, 2018</w:t>
      </w:r>
      <w:r w:rsidR="00A40C19" w:rsidRPr="00AB4C1A">
        <w:rPr>
          <w:rFonts w:ascii="Times New Roman" w:hAnsi="Times New Roman" w:cs="Times New Roman"/>
          <w:sz w:val="24"/>
          <w:szCs w:val="24"/>
        </w:rPr>
        <w:t>c</w:t>
      </w:r>
      <w:r w:rsidR="003E2AAE" w:rsidRPr="00AB4C1A">
        <w:rPr>
          <w:rFonts w:ascii="Times New Roman" w:hAnsi="Times New Roman" w:cs="Times New Roman"/>
          <w:sz w:val="24"/>
          <w:szCs w:val="24"/>
        </w:rPr>
        <w:t xml:space="preserve">). This makes determining responsibilities for emissions, particularly </w:t>
      </w:r>
      <w:r w:rsidR="008743C0" w:rsidRPr="00AB4C1A">
        <w:rPr>
          <w:rFonts w:ascii="Times New Roman" w:hAnsi="Times New Roman" w:cs="Times New Roman"/>
          <w:sz w:val="24"/>
          <w:szCs w:val="24"/>
        </w:rPr>
        <w:t>those which cross LA boundaries</w:t>
      </w:r>
      <w:r w:rsidR="00877E8B" w:rsidRPr="00AB4C1A">
        <w:rPr>
          <w:rFonts w:ascii="Times New Roman" w:hAnsi="Times New Roman" w:cs="Times New Roman"/>
          <w:sz w:val="24"/>
          <w:szCs w:val="24"/>
        </w:rPr>
        <w:t xml:space="preserve"> challenging</w:t>
      </w:r>
      <w:r w:rsidR="003E2AAE" w:rsidRPr="00AB4C1A">
        <w:rPr>
          <w:rFonts w:ascii="Times New Roman" w:hAnsi="Times New Roman" w:cs="Times New Roman"/>
          <w:sz w:val="24"/>
          <w:szCs w:val="24"/>
        </w:rPr>
        <w:t xml:space="preserve">, </w:t>
      </w:r>
      <w:r w:rsidR="00877E8B" w:rsidRPr="00AB4C1A">
        <w:rPr>
          <w:rFonts w:ascii="Times New Roman" w:hAnsi="Times New Roman" w:cs="Times New Roman"/>
          <w:sz w:val="24"/>
          <w:szCs w:val="24"/>
        </w:rPr>
        <w:t xml:space="preserve">and further complicates </w:t>
      </w:r>
      <w:r w:rsidR="003E2AAE" w:rsidRPr="00AB4C1A">
        <w:rPr>
          <w:rFonts w:ascii="Times New Roman" w:hAnsi="Times New Roman" w:cs="Times New Roman"/>
          <w:sz w:val="24"/>
          <w:szCs w:val="24"/>
        </w:rPr>
        <w:t>reporting to different authorities according to their respective requirements</w:t>
      </w:r>
      <w:r w:rsidR="008743C0" w:rsidRPr="00AB4C1A">
        <w:rPr>
          <w:rFonts w:ascii="Times New Roman" w:hAnsi="Times New Roman" w:cs="Times New Roman"/>
          <w:sz w:val="24"/>
          <w:szCs w:val="24"/>
        </w:rPr>
        <w:t xml:space="preserve"> at each level</w:t>
      </w:r>
      <w:r w:rsidR="003E2AAE" w:rsidRPr="00AB4C1A">
        <w:rPr>
          <w:rFonts w:ascii="Times New Roman" w:hAnsi="Times New Roman" w:cs="Times New Roman"/>
          <w:sz w:val="24"/>
          <w:szCs w:val="24"/>
        </w:rPr>
        <w:t xml:space="preserve"> (Barnes</w:t>
      </w:r>
      <w:r w:rsidR="003E2AAE" w:rsidRPr="00AB4C1A">
        <w:rPr>
          <w:rFonts w:ascii="Times New Roman" w:hAnsi="Times New Roman" w:cs="Times New Roman"/>
          <w:i/>
          <w:sz w:val="24"/>
          <w:szCs w:val="24"/>
        </w:rPr>
        <w:t>, et al.,</w:t>
      </w:r>
      <w:r w:rsidR="003E2AAE" w:rsidRPr="00AB4C1A">
        <w:rPr>
          <w:rFonts w:ascii="Times New Roman" w:hAnsi="Times New Roman" w:cs="Times New Roman"/>
          <w:sz w:val="24"/>
          <w:szCs w:val="24"/>
        </w:rPr>
        <w:t xml:space="preserve"> 2018). </w:t>
      </w:r>
      <w:r w:rsidR="00877E8B" w:rsidRPr="00AB4C1A">
        <w:rPr>
          <w:rFonts w:ascii="Times New Roman" w:hAnsi="Times New Roman" w:cs="Times New Roman"/>
          <w:sz w:val="24"/>
          <w:szCs w:val="24"/>
        </w:rPr>
        <w:t>Attempts</w:t>
      </w:r>
      <w:r w:rsidR="003E2AAE" w:rsidRPr="00AB4C1A">
        <w:rPr>
          <w:rFonts w:ascii="Times New Roman" w:hAnsi="Times New Roman" w:cs="Times New Roman"/>
          <w:sz w:val="24"/>
          <w:szCs w:val="24"/>
        </w:rPr>
        <w:t xml:space="preserve"> to </w:t>
      </w:r>
      <w:r w:rsidR="004105A1" w:rsidRPr="00AB4C1A">
        <w:rPr>
          <w:rFonts w:ascii="Times New Roman" w:hAnsi="Times New Roman" w:cs="Times New Roman"/>
          <w:sz w:val="24"/>
          <w:szCs w:val="24"/>
        </w:rPr>
        <w:t>integrate</w:t>
      </w:r>
      <w:r w:rsidR="003E2AAE" w:rsidRPr="00AB4C1A">
        <w:rPr>
          <w:rFonts w:ascii="Times New Roman" w:hAnsi="Times New Roman" w:cs="Times New Roman"/>
          <w:sz w:val="24"/>
          <w:szCs w:val="24"/>
        </w:rPr>
        <w:t xml:space="preserve"> the AAQD </w:t>
      </w:r>
      <w:r w:rsidR="00D40363" w:rsidRPr="00AB4C1A">
        <w:rPr>
          <w:rFonts w:ascii="Times New Roman" w:hAnsi="Times New Roman" w:cs="Times New Roman"/>
          <w:sz w:val="24"/>
          <w:szCs w:val="24"/>
        </w:rPr>
        <w:t xml:space="preserve">into </w:t>
      </w:r>
      <w:r w:rsidR="003E2AAE" w:rsidRPr="00AB4C1A">
        <w:rPr>
          <w:rFonts w:ascii="Times New Roman" w:hAnsi="Times New Roman" w:cs="Times New Roman"/>
          <w:sz w:val="24"/>
          <w:szCs w:val="24"/>
        </w:rPr>
        <w:t>national legislation have failed</w:t>
      </w:r>
      <w:r w:rsidR="00D40363" w:rsidRPr="00AB4C1A">
        <w:rPr>
          <w:rFonts w:ascii="Times New Roman" w:hAnsi="Times New Roman" w:cs="Times New Roman"/>
          <w:sz w:val="24"/>
          <w:szCs w:val="24"/>
        </w:rPr>
        <w:t xml:space="preserve">, and there therefore </w:t>
      </w:r>
      <w:r w:rsidR="003E2AAE" w:rsidRPr="00AB4C1A">
        <w:rPr>
          <w:rFonts w:ascii="Times New Roman" w:hAnsi="Times New Roman" w:cs="Times New Roman"/>
          <w:sz w:val="24"/>
          <w:szCs w:val="24"/>
        </w:rPr>
        <w:t xml:space="preserve">remains a significant policy disconnect between the two </w:t>
      </w:r>
      <w:r w:rsidR="00351571" w:rsidRPr="00AB4C1A">
        <w:rPr>
          <w:rFonts w:ascii="Times New Roman" w:hAnsi="Times New Roman" w:cs="Times New Roman"/>
          <w:sz w:val="24"/>
          <w:szCs w:val="24"/>
        </w:rPr>
        <w:t xml:space="preserve">regimes </w:t>
      </w:r>
      <w:r w:rsidR="003E2AAE" w:rsidRPr="00AB4C1A">
        <w:rPr>
          <w:rFonts w:ascii="Times New Roman" w:hAnsi="Times New Roman" w:cs="Times New Roman"/>
          <w:sz w:val="24"/>
          <w:szCs w:val="24"/>
        </w:rPr>
        <w:t xml:space="preserve">(Barnes </w:t>
      </w:r>
      <w:r w:rsidR="003E2AAE" w:rsidRPr="00AB4C1A">
        <w:rPr>
          <w:rFonts w:ascii="Times New Roman" w:hAnsi="Times New Roman" w:cs="Times New Roman"/>
          <w:i/>
          <w:sz w:val="24"/>
          <w:szCs w:val="24"/>
        </w:rPr>
        <w:t>et al.,</w:t>
      </w:r>
      <w:r w:rsidR="003E2AAE" w:rsidRPr="00AB4C1A">
        <w:rPr>
          <w:rFonts w:ascii="Times New Roman" w:hAnsi="Times New Roman" w:cs="Times New Roman"/>
          <w:sz w:val="24"/>
          <w:szCs w:val="24"/>
        </w:rPr>
        <w:t xml:space="preserve"> 2018).  </w:t>
      </w:r>
    </w:p>
    <w:p w14:paraId="74FB389B" w14:textId="75871974" w:rsidR="00B73E5F" w:rsidRPr="00AB4C1A" w:rsidRDefault="008F3070"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This paper</w:t>
      </w:r>
      <w:r w:rsidR="00D40363" w:rsidRPr="00AB4C1A">
        <w:rPr>
          <w:rFonts w:ascii="Times New Roman" w:hAnsi="Times New Roman" w:cs="Times New Roman"/>
          <w:sz w:val="24"/>
          <w:szCs w:val="24"/>
        </w:rPr>
        <w:t xml:space="preserve"> </w:t>
      </w:r>
      <w:r w:rsidRPr="00AB4C1A">
        <w:rPr>
          <w:rFonts w:ascii="Times New Roman" w:hAnsi="Times New Roman" w:cs="Times New Roman"/>
          <w:sz w:val="24"/>
          <w:szCs w:val="24"/>
        </w:rPr>
        <w:t xml:space="preserve">tackles the following research question: </w:t>
      </w:r>
      <w:r w:rsidR="001A625A" w:rsidRPr="00AB4C1A">
        <w:rPr>
          <w:rFonts w:ascii="Times New Roman" w:hAnsi="Times New Roman" w:cs="Times New Roman"/>
          <w:sz w:val="24"/>
          <w:szCs w:val="24"/>
        </w:rPr>
        <w:t xml:space="preserve">to what extent </w:t>
      </w:r>
      <w:r w:rsidRPr="00AB4C1A">
        <w:rPr>
          <w:rFonts w:ascii="Times New Roman" w:hAnsi="Times New Roman" w:cs="Times New Roman"/>
          <w:sz w:val="24"/>
          <w:szCs w:val="24"/>
        </w:rPr>
        <w:t xml:space="preserve">are LAs contributing towards the achievement of the AAQD? </w:t>
      </w:r>
      <w:r w:rsidR="00D40363" w:rsidRPr="00AB4C1A">
        <w:rPr>
          <w:rFonts w:ascii="Times New Roman" w:hAnsi="Times New Roman" w:cs="Times New Roman"/>
          <w:sz w:val="24"/>
          <w:szCs w:val="24"/>
        </w:rPr>
        <w:t>By b</w:t>
      </w:r>
      <w:r w:rsidR="00623A43" w:rsidRPr="00AB4C1A">
        <w:rPr>
          <w:rFonts w:ascii="Times New Roman" w:hAnsi="Times New Roman" w:cs="Times New Roman"/>
          <w:sz w:val="24"/>
          <w:szCs w:val="24"/>
        </w:rPr>
        <w:t xml:space="preserve">uilding on </w:t>
      </w:r>
      <w:proofErr w:type="spellStart"/>
      <w:r w:rsidR="00623A43" w:rsidRPr="00AB4C1A">
        <w:rPr>
          <w:rFonts w:ascii="Times New Roman" w:hAnsi="Times New Roman" w:cs="Times New Roman"/>
          <w:sz w:val="24"/>
          <w:szCs w:val="24"/>
        </w:rPr>
        <w:t>B</w:t>
      </w:r>
      <w:r w:rsidR="00FD4D4A" w:rsidRPr="00AB4C1A">
        <w:rPr>
          <w:rFonts w:ascii="Times New Roman" w:hAnsi="Times New Roman" w:cs="Times New Roman"/>
          <w:sz w:val="24"/>
          <w:szCs w:val="24"/>
        </w:rPr>
        <w:t>o</w:t>
      </w:r>
      <w:r w:rsidR="00623A43" w:rsidRPr="00AB4C1A">
        <w:rPr>
          <w:rFonts w:ascii="Times New Roman" w:hAnsi="Times New Roman" w:cs="Times New Roman"/>
          <w:sz w:val="24"/>
          <w:szCs w:val="24"/>
        </w:rPr>
        <w:t>nd</w:t>
      </w:r>
      <w:r w:rsidR="00A40C19" w:rsidRPr="00AB4C1A">
        <w:rPr>
          <w:rFonts w:ascii="Times New Roman" w:hAnsi="Times New Roman" w:cs="Times New Roman"/>
          <w:sz w:val="24"/>
          <w:szCs w:val="24"/>
        </w:rPr>
        <w:t>a</w:t>
      </w:r>
      <w:r w:rsidR="00623A43" w:rsidRPr="00AB4C1A">
        <w:rPr>
          <w:rFonts w:ascii="Times New Roman" w:hAnsi="Times New Roman" w:cs="Times New Roman"/>
          <w:sz w:val="24"/>
          <w:szCs w:val="24"/>
        </w:rPr>
        <w:t>ro</w:t>
      </w:r>
      <w:r w:rsidR="00A40C19" w:rsidRPr="00AB4C1A">
        <w:rPr>
          <w:rFonts w:ascii="Times New Roman" w:hAnsi="Times New Roman" w:cs="Times New Roman"/>
          <w:sz w:val="24"/>
          <w:szCs w:val="24"/>
        </w:rPr>
        <w:t>u</w:t>
      </w:r>
      <w:r w:rsidR="00623A43" w:rsidRPr="00AB4C1A">
        <w:rPr>
          <w:rFonts w:ascii="Times New Roman" w:hAnsi="Times New Roman" w:cs="Times New Roman"/>
          <w:sz w:val="24"/>
          <w:szCs w:val="24"/>
        </w:rPr>
        <w:t>k</w:t>
      </w:r>
      <w:proofErr w:type="spellEnd"/>
      <w:r w:rsidR="00623A43" w:rsidRPr="00AB4C1A">
        <w:rPr>
          <w:rFonts w:ascii="Times New Roman" w:hAnsi="Times New Roman" w:cs="Times New Roman"/>
          <w:sz w:val="24"/>
          <w:szCs w:val="24"/>
        </w:rPr>
        <w:t xml:space="preserve"> and </w:t>
      </w:r>
      <w:proofErr w:type="spellStart"/>
      <w:r w:rsidR="00623A43" w:rsidRPr="00AB4C1A">
        <w:rPr>
          <w:rFonts w:ascii="Times New Roman" w:hAnsi="Times New Roman" w:cs="Times New Roman"/>
          <w:sz w:val="24"/>
          <w:szCs w:val="24"/>
        </w:rPr>
        <w:t>Liefferink’s</w:t>
      </w:r>
      <w:proofErr w:type="spellEnd"/>
      <w:r w:rsidR="00623A43" w:rsidRPr="00AB4C1A">
        <w:rPr>
          <w:rFonts w:ascii="Times New Roman" w:hAnsi="Times New Roman" w:cs="Times New Roman"/>
          <w:sz w:val="24"/>
          <w:szCs w:val="24"/>
        </w:rPr>
        <w:t xml:space="preserve"> framework and integrating multidisciplinary insights, the paper develops a supporting tool for decision-makers to</w:t>
      </w:r>
      <w:r w:rsidR="00D40363" w:rsidRPr="00AB4C1A">
        <w:rPr>
          <w:rFonts w:ascii="Times New Roman" w:hAnsi="Times New Roman" w:cs="Times New Roman"/>
          <w:sz w:val="24"/>
          <w:szCs w:val="24"/>
        </w:rPr>
        <w:t xml:space="preserve"> use to</w:t>
      </w:r>
      <w:r w:rsidR="00623A43" w:rsidRPr="00AB4C1A">
        <w:rPr>
          <w:rFonts w:ascii="Times New Roman" w:hAnsi="Times New Roman" w:cs="Times New Roman"/>
          <w:sz w:val="24"/>
          <w:szCs w:val="24"/>
        </w:rPr>
        <w:t xml:space="preserve"> evaluate UK air quality policies at the local level in a way that </w:t>
      </w:r>
      <w:r w:rsidR="00D40363" w:rsidRPr="00AB4C1A">
        <w:rPr>
          <w:rFonts w:ascii="Times New Roman" w:hAnsi="Times New Roman" w:cs="Times New Roman"/>
          <w:sz w:val="24"/>
          <w:szCs w:val="24"/>
        </w:rPr>
        <w:t>considers,</w:t>
      </w:r>
      <w:r w:rsidR="00623A43" w:rsidRPr="00AB4C1A">
        <w:rPr>
          <w:rFonts w:ascii="Times New Roman" w:hAnsi="Times New Roman" w:cs="Times New Roman"/>
          <w:sz w:val="24"/>
          <w:szCs w:val="24"/>
        </w:rPr>
        <w:t xml:space="preserve"> and crucially, contributes to</w:t>
      </w:r>
      <w:r w:rsidR="00D40363" w:rsidRPr="00AB4C1A">
        <w:rPr>
          <w:rFonts w:ascii="Times New Roman" w:hAnsi="Times New Roman" w:cs="Times New Roman"/>
          <w:sz w:val="24"/>
          <w:szCs w:val="24"/>
        </w:rPr>
        <w:t>,</w:t>
      </w:r>
      <w:r w:rsidR="00623A43" w:rsidRPr="00AB4C1A">
        <w:rPr>
          <w:rFonts w:ascii="Times New Roman" w:hAnsi="Times New Roman" w:cs="Times New Roman"/>
          <w:sz w:val="24"/>
          <w:szCs w:val="24"/>
        </w:rPr>
        <w:t xml:space="preserve"> closing the</w:t>
      </w:r>
      <w:r w:rsidR="002B1E51" w:rsidRPr="00AB4C1A">
        <w:rPr>
          <w:rFonts w:ascii="Times New Roman" w:hAnsi="Times New Roman" w:cs="Times New Roman"/>
          <w:sz w:val="24"/>
          <w:szCs w:val="24"/>
        </w:rPr>
        <w:t xml:space="preserve"> </w:t>
      </w:r>
      <w:r w:rsidR="00623A43" w:rsidRPr="00AB4C1A">
        <w:rPr>
          <w:rFonts w:ascii="Times New Roman" w:hAnsi="Times New Roman" w:cs="Times New Roman"/>
          <w:sz w:val="24"/>
          <w:szCs w:val="24"/>
        </w:rPr>
        <w:t xml:space="preserve">policy disconnect. </w:t>
      </w:r>
      <w:r w:rsidR="00124B07" w:rsidRPr="00AB4C1A">
        <w:rPr>
          <w:rFonts w:ascii="Times New Roman" w:hAnsi="Times New Roman" w:cs="Times New Roman"/>
          <w:sz w:val="24"/>
          <w:szCs w:val="24"/>
        </w:rPr>
        <w:t>The empirical application of our framework to the UK allows</w:t>
      </w:r>
      <w:r w:rsidR="00B54F7E" w:rsidRPr="00AB4C1A">
        <w:rPr>
          <w:rFonts w:ascii="Times New Roman" w:hAnsi="Times New Roman" w:cs="Times New Roman"/>
          <w:sz w:val="24"/>
          <w:szCs w:val="24"/>
        </w:rPr>
        <w:t xml:space="preserve"> us</w:t>
      </w:r>
      <w:r w:rsidR="00124B07" w:rsidRPr="00AB4C1A">
        <w:rPr>
          <w:rFonts w:ascii="Times New Roman" w:hAnsi="Times New Roman" w:cs="Times New Roman"/>
          <w:sz w:val="24"/>
          <w:szCs w:val="24"/>
        </w:rPr>
        <w:t xml:space="preserve"> </w:t>
      </w:r>
      <w:r w:rsidR="001C71F5" w:rsidRPr="00AB4C1A">
        <w:rPr>
          <w:rFonts w:ascii="Times New Roman" w:hAnsi="Times New Roman" w:cs="Times New Roman"/>
          <w:sz w:val="24"/>
          <w:szCs w:val="24"/>
        </w:rPr>
        <w:t xml:space="preserve">to test </w:t>
      </w:r>
      <w:r w:rsidR="00264FC0" w:rsidRPr="00AB4C1A">
        <w:rPr>
          <w:rFonts w:ascii="Times New Roman" w:hAnsi="Times New Roman" w:cs="Times New Roman"/>
          <w:sz w:val="24"/>
          <w:szCs w:val="24"/>
        </w:rPr>
        <w:t xml:space="preserve">it in </w:t>
      </w:r>
      <w:r w:rsidR="001C71F5" w:rsidRPr="00AB4C1A">
        <w:rPr>
          <w:rFonts w:ascii="Times New Roman" w:hAnsi="Times New Roman" w:cs="Times New Roman"/>
          <w:sz w:val="24"/>
          <w:szCs w:val="24"/>
        </w:rPr>
        <w:t xml:space="preserve">a </w:t>
      </w:r>
      <w:r w:rsidR="00BE688B" w:rsidRPr="00AB4C1A">
        <w:rPr>
          <w:rFonts w:ascii="Times New Roman" w:hAnsi="Times New Roman" w:cs="Times New Roman"/>
          <w:sz w:val="24"/>
          <w:szCs w:val="24"/>
        </w:rPr>
        <w:t>multi-level</w:t>
      </w:r>
      <w:r w:rsidR="001C71F5" w:rsidRPr="00AB4C1A">
        <w:rPr>
          <w:rFonts w:ascii="Times New Roman" w:hAnsi="Times New Roman" w:cs="Times New Roman"/>
          <w:sz w:val="24"/>
          <w:szCs w:val="24"/>
        </w:rPr>
        <w:t xml:space="preserve"> governance setting that presents a</w:t>
      </w:r>
      <w:r w:rsidR="002403F5" w:rsidRPr="00AB4C1A">
        <w:rPr>
          <w:rFonts w:ascii="Times New Roman" w:hAnsi="Times New Roman" w:cs="Times New Roman"/>
          <w:sz w:val="24"/>
          <w:szCs w:val="24"/>
        </w:rPr>
        <w:t xml:space="preserve"> clearly</w:t>
      </w:r>
      <w:r w:rsidR="001C71F5" w:rsidRPr="00AB4C1A">
        <w:rPr>
          <w:rFonts w:ascii="Times New Roman" w:hAnsi="Times New Roman" w:cs="Times New Roman"/>
          <w:sz w:val="24"/>
          <w:szCs w:val="24"/>
        </w:rPr>
        <w:t xml:space="preserve"> identifiable and tractable policy disconnect</w:t>
      </w:r>
      <w:r w:rsidR="002403F5" w:rsidRPr="00AB4C1A">
        <w:rPr>
          <w:rFonts w:ascii="Times New Roman" w:hAnsi="Times New Roman" w:cs="Times New Roman"/>
          <w:sz w:val="24"/>
          <w:szCs w:val="24"/>
        </w:rPr>
        <w:t xml:space="preserve"> between two different </w:t>
      </w:r>
      <w:r w:rsidR="00FA693C" w:rsidRPr="00AB4C1A">
        <w:rPr>
          <w:rFonts w:ascii="Times New Roman" w:hAnsi="Times New Roman" w:cs="Times New Roman"/>
          <w:sz w:val="24"/>
          <w:szCs w:val="24"/>
        </w:rPr>
        <w:t xml:space="preserve">government levels. </w:t>
      </w:r>
      <w:r w:rsidR="00AE5CFF" w:rsidRPr="00AB4C1A">
        <w:rPr>
          <w:rFonts w:ascii="Times New Roman" w:hAnsi="Times New Roman" w:cs="Times New Roman"/>
          <w:sz w:val="24"/>
          <w:szCs w:val="24"/>
        </w:rPr>
        <w:t xml:space="preserve">The contribution </w:t>
      </w:r>
      <w:r w:rsidR="0031652F" w:rsidRPr="00AB4C1A">
        <w:rPr>
          <w:rFonts w:ascii="Times New Roman" w:hAnsi="Times New Roman" w:cs="Times New Roman"/>
          <w:sz w:val="24"/>
          <w:szCs w:val="24"/>
        </w:rPr>
        <w:t xml:space="preserve">of </w:t>
      </w:r>
      <w:r w:rsidR="00AE5CFF" w:rsidRPr="00AB4C1A">
        <w:rPr>
          <w:rFonts w:ascii="Times New Roman" w:hAnsi="Times New Roman" w:cs="Times New Roman"/>
          <w:sz w:val="24"/>
          <w:szCs w:val="24"/>
        </w:rPr>
        <w:t>this paper is multidisciplinary as it brings together insights from EU public policy, air quality management, public health, and transport management, which are critical for the success of air quality policies</w:t>
      </w:r>
      <w:r w:rsidR="0031652F" w:rsidRPr="00AB4C1A">
        <w:rPr>
          <w:rFonts w:ascii="Times New Roman" w:hAnsi="Times New Roman" w:cs="Times New Roman"/>
          <w:sz w:val="24"/>
          <w:szCs w:val="24"/>
        </w:rPr>
        <w:t>.</w:t>
      </w:r>
      <w:r w:rsidR="00523E12" w:rsidRPr="00AB4C1A">
        <w:rPr>
          <w:rFonts w:ascii="Times New Roman" w:hAnsi="Times New Roman" w:cs="Times New Roman"/>
          <w:sz w:val="24"/>
          <w:szCs w:val="24"/>
        </w:rPr>
        <w:t xml:space="preserve"> </w:t>
      </w:r>
      <w:r w:rsidR="002339D6" w:rsidRPr="00AB4C1A">
        <w:rPr>
          <w:rFonts w:ascii="Times New Roman" w:hAnsi="Times New Roman" w:cs="Times New Roman"/>
          <w:sz w:val="24"/>
          <w:szCs w:val="24"/>
        </w:rPr>
        <w:t>Tackling the</w:t>
      </w:r>
      <w:r w:rsidR="001D007A" w:rsidRPr="00AB4C1A">
        <w:rPr>
          <w:rFonts w:ascii="Times New Roman" w:hAnsi="Times New Roman" w:cs="Times New Roman"/>
          <w:sz w:val="24"/>
          <w:szCs w:val="24"/>
        </w:rPr>
        <w:t xml:space="preserve"> case of the</w:t>
      </w:r>
      <w:r w:rsidR="002339D6" w:rsidRPr="00AB4C1A">
        <w:rPr>
          <w:rFonts w:ascii="Times New Roman" w:hAnsi="Times New Roman" w:cs="Times New Roman"/>
          <w:sz w:val="24"/>
          <w:szCs w:val="24"/>
        </w:rPr>
        <w:t xml:space="preserve"> policy disconnect in the UK air quality domain allows us to address </w:t>
      </w:r>
      <w:r w:rsidR="009D1EF5" w:rsidRPr="00AB4C1A">
        <w:rPr>
          <w:rFonts w:ascii="Times New Roman" w:hAnsi="Times New Roman" w:cs="Times New Roman"/>
          <w:sz w:val="24"/>
          <w:szCs w:val="24"/>
        </w:rPr>
        <w:t>key</w:t>
      </w:r>
      <w:r w:rsidR="002339D6" w:rsidRPr="00AB4C1A">
        <w:rPr>
          <w:rFonts w:ascii="Times New Roman" w:hAnsi="Times New Roman" w:cs="Times New Roman"/>
          <w:sz w:val="24"/>
          <w:szCs w:val="24"/>
        </w:rPr>
        <w:t xml:space="preserve"> theoretical issues in the </w:t>
      </w:r>
      <w:r w:rsidR="00BE688B" w:rsidRPr="00AB4C1A">
        <w:rPr>
          <w:rFonts w:ascii="Times New Roman" w:hAnsi="Times New Roman" w:cs="Times New Roman"/>
          <w:sz w:val="24"/>
          <w:szCs w:val="24"/>
        </w:rPr>
        <w:t>multi-level</w:t>
      </w:r>
      <w:r w:rsidR="002339D6" w:rsidRPr="00AB4C1A">
        <w:rPr>
          <w:rFonts w:ascii="Times New Roman" w:hAnsi="Times New Roman" w:cs="Times New Roman"/>
          <w:sz w:val="24"/>
          <w:szCs w:val="24"/>
        </w:rPr>
        <w:t xml:space="preserve"> governance literature, namely </w:t>
      </w:r>
      <w:r w:rsidR="00E41F2D" w:rsidRPr="00AB4C1A">
        <w:rPr>
          <w:rFonts w:ascii="Times New Roman" w:hAnsi="Times New Roman" w:cs="Times New Roman"/>
          <w:sz w:val="24"/>
          <w:szCs w:val="24"/>
        </w:rPr>
        <w:t>coordination failures</w:t>
      </w:r>
      <w:r w:rsidR="00460BCE" w:rsidRPr="00AB4C1A">
        <w:rPr>
          <w:rFonts w:ascii="Times New Roman" w:hAnsi="Times New Roman" w:cs="Times New Roman"/>
          <w:sz w:val="24"/>
          <w:szCs w:val="24"/>
        </w:rPr>
        <w:t xml:space="preserve">, </w:t>
      </w:r>
      <w:r w:rsidR="00752802" w:rsidRPr="00AB4C1A">
        <w:rPr>
          <w:rFonts w:ascii="Times New Roman" w:hAnsi="Times New Roman" w:cs="Times New Roman"/>
          <w:sz w:val="24"/>
          <w:szCs w:val="24"/>
        </w:rPr>
        <w:t>mismatches</w:t>
      </w:r>
      <w:r w:rsidR="00197AD2" w:rsidRPr="00AB4C1A">
        <w:rPr>
          <w:rFonts w:ascii="Times New Roman" w:hAnsi="Times New Roman" w:cs="Times New Roman"/>
          <w:sz w:val="24"/>
          <w:szCs w:val="24"/>
        </w:rPr>
        <w:t xml:space="preserve"> between administrative areas</w:t>
      </w:r>
      <w:r w:rsidR="00752802" w:rsidRPr="00AB4C1A">
        <w:rPr>
          <w:rFonts w:ascii="Times New Roman" w:hAnsi="Times New Roman" w:cs="Times New Roman"/>
          <w:sz w:val="24"/>
          <w:szCs w:val="24"/>
        </w:rPr>
        <w:t xml:space="preserve">, </w:t>
      </w:r>
      <w:r w:rsidR="00460BCE" w:rsidRPr="00AB4C1A">
        <w:rPr>
          <w:rFonts w:ascii="Times New Roman" w:hAnsi="Times New Roman" w:cs="Times New Roman"/>
          <w:sz w:val="24"/>
          <w:szCs w:val="24"/>
        </w:rPr>
        <w:t>gaps and asymmetries</w:t>
      </w:r>
      <w:r w:rsidR="00197AD2" w:rsidRPr="00AB4C1A">
        <w:rPr>
          <w:rFonts w:ascii="Times New Roman" w:hAnsi="Times New Roman" w:cs="Times New Roman"/>
          <w:sz w:val="24"/>
          <w:szCs w:val="24"/>
        </w:rPr>
        <w:t xml:space="preserve"> of information</w:t>
      </w:r>
      <w:r w:rsidR="00460BCE" w:rsidRPr="00AB4C1A">
        <w:rPr>
          <w:rFonts w:ascii="Times New Roman" w:hAnsi="Times New Roman" w:cs="Times New Roman"/>
          <w:sz w:val="24"/>
          <w:szCs w:val="24"/>
        </w:rPr>
        <w:t xml:space="preserve"> (Allain-</w:t>
      </w:r>
      <w:proofErr w:type="spellStart"/>
      <w:r w:rsidR="00460BCE" w:rsidRPr="00AB4C1A">
        <w:rPr>
          <w:rFonts w:ascii="Times New Roman" w:hAnsi="Times New Roman" w:cs="Times New Roman"/>
          <w:sz w:val="24"/>
          <w:szCs w:val="24"/>
        </w:rPr>
        <w:t>Dupré</w:t>
      </w:r>
      <w:proofErr w:type="spellEnd"/>
      <w:r w:rsidR="00460BCE" w:rsidRPr="00AB4C1A">
        <w:rPr>
          <w:rFonts w:ascii="Times New Roman" w:hAnsi="Times New Roman" w:cs="Times New Roman"/>
          <w:sz w:val="24"/>
          <w:szCs w:val="24"/>
        </w:rPr>
        <w:t>, 2020</w:t>
      </w:r>
      <w:r w:rsidR="00752802" w:rsidRPr="00AB4C1A">
        <w:rPr>
          <w:rFonts w:ascii="Times New Roman" w:hAnsi="Times New Roman" w:cs="Times New Roman"/>
          <w:sz w:val="24"/>
          <w:szCs w:val="24"/>
        </w:rPr>
        <w:t xml:space="preserve">; </w:t>
      </w:r>
      <w:proofErr w:type="spellStart"/>
      <w:r w:rsidR="00752802" w:rsidRPr="00AB4C1A">
        <w:rPr>
          <w:rFonts w:ascii="Times New Roman" w:hAnsi="Times New Roman" w:cs="Times New Roman"/>
          <w:sz w:val="24"/>
          <w:szCs w:val="24"/>
        </w:rPr>
        <w:t>Charbit</w:t>
      </w:r>
      <w:proofErr w:type="spellEnd"/>
      <w:r w:rsidR="00752802" w:rsidRPr="00AB4C1A">
        <w:rPr>
          <w:rFonts w:ascii="Times New Roman" w:hAnsi="Times New Roman" w:cs="Times New Roman"/>
          <w:sz w:val="24"/>
          <w:szCs w:val="24"/>
        </w:rPr>
        <w:t>, 2020</w:t>
      </w:r>
      <w:r w:rsidR="00460BCE" w:rsidRPr="00AB4C1A">
        <w:rPr>
          <w:rFonts w:ascii="Times New Roman" w:hAnsi="Times New Roman" w:cs="Times New Roman"/>
          <w:sz w:val="24"/>
          <w:szCs w:val="24"/>
        </w:rPr>
        <w:t>)</w:t>
      </w:r>
      <w:r w:rsidR="009D1EF5" w:rsidRPr="00AB4C1A">
        <w:rPr>
          <w:rFonts w:ascii="Times New Roman" w:hAnsi="Times New Roman" w:cs="Times New Roman"/>
          <w:sz w:val="24"/>
          <w:szCs w:val="24"/>
        </w:rPr>
        <w:t xml:space="preserve">. </w:t>
      </w:r>
      <w:r w:rsidR="00C84ABE" w:rsidRPr="00AB4C1A">
        <w:rPr>
          <w:rFonts w:ascii="Times New Roman" w:hAnsi="Times New Roman" w:cs="Times New Roman"/>
          <w:sz w:val="24"/>
          <w:szCs w:val="24"/>
        </w:rPr>
        <w:t xml:space="preserve">Furthermore, building our framework on insights from the EU </w:t>
      </w:r>
      <w:r w:rsidR="00BE688B" w:rsidRPr="00AB4C1A">
        <w:rPr>
          <w:rFonts w:ascii="Times New Roman" w:hAnsi="Times New Roman" w:cs="Times New Roman"/>
          <w:sz w:val="24"/>
          <w:szCs w:val="24"/>
        </w:rPr>
        <w:t>multi-level</w:t>
      </w:r>
      <w:r w:rsidR="00C84ABE" w:rsidRPr="00AB4C1A">
        <w:rPr>
          <w:rFonts w:ascii="Times New Roman" w:hAnsi="Times New Roman" w:cs="Times New Roman"/>
          <w:sz w:val="24"/>
          <w:szCs w:val="24"/>
        </w:rPr>
        <w:t xml:space="preserve"> governance literature </w:t>
      </w:r>
      <w:r w:rsidR="00D7391F" w:rsidRPr="00AB4C1A">
        <w:rPr>
          <w:rFonts w:ascii="Times New Roman" w:hAnsi="Times New Roman" w:cs="Times New Roman"/>
          <w:sz w:val="24"/>
          <w:szCs w:val="24"/>
        </w:rPr>
        <w:t>enables it to be</w:t>
      </w:r>
      <w:r w:rsidR="00C84ABE" w:rsidRPr="00AB4C1A">
        <w:rPr>
          <w:rFonts w:ascii="Times New Roman" w:hAnsi="Times New Roman" w:cs="Times New Roman"/>
          <w:sz w:val="24"/>
          <w:szCs w:val="24"/>
        </w:rPr>
        <w:t xml:space="preserve"> adapted to analyse air quality policies in other EU multi-level governance systems and policies.</w:t>
      </w:r>
      <w:r w:rsidR="00E1135E" w:rsidRPr="00AB4C1A">
        <w:rPr>
          <w:rFonts w:ascii="Times New Roman" w:hAnsi="Times New Roman" w:cs="Times New Roman"/>
          <w:sz w:val="24"/>
          <w:szCs w:val="24"/>
        </w:rPr>
        <w:t xml:space="preserve"> Finally, by directly addressing these key challenges, our framework represents a supporting tool for the development of policies that are better aligned and coordinated, thus reducing policy implementation cost</w:t>
      </w:r>
      <w:r w:rsidR="006B32FE" w:rsidRPr="00AB4C1A">
        <w:rPr>
          <w:rFonts w:ascii="Times New Roman" w:hAnsi="Times New Roman" w:cs="Times New Roman"/>
          <w:sz w:val="24"/>
          <w:szCs w:val="24"/>
        </w:rPr>
        <w:t xml:space="preserve">, </w:t>
      </w:r>
      <w:r w:rsidR="00E1135E" w:rsidRPr="00AB4C1A">
        <w:rPr>
          <w:rFonts w:ascii="Times New Roman" w:hAnsi="Times New Roman" w:cs="Times New Roman"/>
          <w:sz w:val="24"/>
          <w:szCs w:val="24"/>
        </w:rPr>
        <w:t>duplication and enabling the delivery of stronger environmental outcomes.</w:t>
      </w:r>
      <w:r w:rsidR="00F13C57" w:rsidRPr="00AB4C1A">
        <w:rPr>
          <w:rFonts w:ascii="Times New Roman" w:hAnsi="Times New Roman" w:cs="Times New Roman"/>
          <w:sz w:val="24"/>
          <w:szCs w:val="24"/>
        </w:rPr>
        <w:t xml:space="preserve"> </w:t>
      </w:r>
    </w:p>
    <w:p w14:paraId="64B7907C" w14:textId="77777777" w:rsidR="00A16B4D" w:rsidRPr="00AB4C1A" w:rsidRDefault="00B73E5F"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The next section outline</w:t>
      </w:r>
      <w:r w:rsidR="00D40363" w:rsidRPr="00AB4C1A">
        <w:rPr>
          <w:rFonts w:ascii="Times New Roman" w:hAnsi="Times New Roman" w:cs="Times New Roman"/>
          <w:sz w:val="24"/>
          <w:szCs w:val="24"/>
        </w:rPr>
        <w:t>s</w:t>
      </w:r>
      <w:r w:rsidRPr="00AB4C1A">
        <w:rPr>
          <w:rFonts w:ascii="Times New Roman" w:hAnsi="Times New Roman" w:cs="Times New Roman"/>
          <w:sz w:val="24"/>
          <w:szCs w:val="24"/>
        </w:rPr>
        <w:t xml:space="preserve"> the challenges </w:t>
      </w:r>
      <w:r w:rsidR="00594968" w:rsidRPr="00AB4C1A">
        <w:rPr>
          <w:rFonts w:ascii="Times New Roman" w:hAnsi="Times New Roman" w:cs="Times New Roman"/>
          <w:sz w:val="24"/>
          <w:szCs w:val="24"/>
        </w:rPr>
        <w:t>of implementing</w:t>
      </w:r>
      <w:r w:rsidRPr="00AB4C1A">
        <w:rPr>
          <w:rFonts w:ascii="Times New Roman" w:hAnsi="Times New Roman" w:cs="Times New Roman"/>
          <w:sz w:val="24"/>
          <w:szCs w:val="24"/>
        </w:rPr>
        <w:t xml:space="preserve"> EU law and UK </w:t>
      </w:r>
      <w:r w:rsidR="0090717D" w:rsidRPr="00AB4C1A">
        <w:rPr>
          <w:rFonts w:ascii="Times New Roman" w:hAnsi="Times New Roman" w:cs="Times New Roman"/>
          <w:sz w:val="24"/>
          <w:szCs w:val="24"/>
        </w:rPr>
        <w:t>air quality policies</w:t>
      </w:r>
      <w:r w:rsidR="00A40489" w:rsidRPr="00AB4C1A">
        <w:rPr>
          <w:rFonts w:ascii="Times New Roman" w:hAnsi="Times New Roman" w:cs="Times New Roman"/>
          <w:sz w:val="24"/>
          <w:szCs w:val="24"/>
        </w:rPr>
        <w:t>;</w:t>
      </w:r>
      <w:r w:rsidR="002B1E51" w:rsidRPr="00AB4C1A">
        <w:rPr>
          <w:rFonts w:ascii="Times New Roman" w:hAnsi="Times New Roman" w:cs="Times New Roman"/>
          <w:sz w:val="24"/>
          <w:szCs w:val="24"/>
        </w:rPr>
        <w:t xml:space="preserve"> </w:t>
      </w:r>
      <w:r w:rsidR="00877E8B" w:rsidRPr="00AB4C1A">
        <w:rPr>
          <w:rFonts w:ascii="Times New Roman" w:hAnsi="Times New Roman" w:cs="Times New Roman"/>
          <w:sz w:val="24"/>
          <w:szCs w:val="24"/>
        </w:rPr>
        <w:t>i</w:t>
      </w:r>
      <w:r w:rsidR="008743C0" w:rsidRPr="00AB4C1A">
        <w:rPr>
          <w:rFonts w:ascii="Times New Roman" w:hAnsi="Times New Roman" w:cs="Times New Roman"/>
          <w:sz w:val="24"/>
          <w:szCs w:val="24"/>
        </w:rPr>
        <w:t xml:space="preserve">t </w:t>
      </w:r>
      <w:r w:rsidR="002B1E51" w:rsidRPr="00AB4C1A">
        <w:rPr>
          <w:rFonts w:ascii="Times New Roman" w:hAnsi="Times New Roman" w:cs="Times New Roman"/>
          <w:sz w:val="24"/>
          <w:szCs w:val="24"/>
        </w:rPr>
        <w:t>describes</w:t>
      </w:r>
      <w:r w:rsidR="00A40489" w:rsidRPr="00AB4C1A">
        <w:rPr>
          <w:rFonts w:ascii="Times New Roman" w:hAnsi="Times New Roman" w:cs="Times New Roman"/>
          <w:sz w:val="24"/>
          <w:szCs w:val="24"/>
        </w:rPr>
        <w:t xml:space="preserve"> the development of </w:t>
      </w:r>
      <w:r w:rsidR="002B1E51" w:rsidRPr="00AB4C1A">
        <w:rPr>
          <w:rFonts w:ascii="Times New Roman" w:hAnsi="Times New Roman" w:cs="Times New Roman"/>
          <w:sz w:val="24"/>
          <w:szCs w:val="24"/>
        </w:rPr>
        <w:t>a</w:t>
      </w:r>
      <w:r w:rsidR="00A40489" w:rsidRPr="00AB4C1A">
        <w:rPr>
          <w:rFonts w:ascii="Times New Roman" w:hAnsi="Times New Roman" w:cs="Times New Roman"/>
          <w:sz w:val="24"/>
          <w:szCs w:val="24"/>
        </w:rPr>
        <w:t xml:space="preserve"> UK-specific assessment framework</w:t>
      </w:r>
      <w:r w:rsidR="00594968" w:rsidRPr="00AB4C1A">
        <w:rPr>
          <w:rFonts w:ascii="Times New Roman" w:hAnsi="Times New Roman" w:cs="Times New Roman"/>
          <w:sz w:val="24"/>
          <w:szCs w:val="24"/>
        </w:rPr>
        <w:t>,</w:t>
      </w:r>
      <w:r w:rsidR="00A40489" w:rsidRPr="00AB4C1A">
        <w:rPr>
          <w:rFonts w:ascii="Times New Roman" w:hAnsi="Times New Roman" w:cs="Times New Roman"/>
          <w:sz w:val="24"/>
          <w:szCs w:val="24"/>
        </w:rPr>
        <w:t xml:space="preserve"> and applies it to</w:t>
      </w:r>
      <w:r w:rsidR="00BC61B3" w:rsidRPr="00AB4C1A">
        <w:rPr>
          <w:rFonts w:ascii="Times New Roman" w:hAnsi="Times New Roman" w:cs="Times New Roman"/>
          <w:sz w:val="24"/>
          <w:szCs w:val="24"/>
        </w:rPr>
        <w:t xml:space="preserve"> </w:t>
      </w:r>
      <w:r w:rsidR="009C2AE6" w:rsidRPr="00AB4C1A">
        <w:rPr>
          <w:rFonts w:ascii="Times New Roman" w:hAnsi="Times New Roman" w:cs="Times New Roman"/>
          <w:sz w:val="24"/>
          <w:szCs w:val="24"/>
        </w:rPr>
        <w:t>five</w:t>
      </w:r>
      <w:r w:rsidR="00BC61B3" w:rsidRPr="00AB4C1A">
        <w:rPr>
          <w:rFonts w:ascii="Times New Roman" w:hAnsi="Times New Roman" w:cs="Times New Roman"/>
          <w:sz w:val="24"/>
          <w:szCs w:val="24"/>
        </w:rPr>
        <w:t xml:space="preserve"> UK cities (Bristol, Glasgow, Leeds, Manchester and Newcastle)</w:t>
      </w:r>
      <w:r w:rsidR="00594968" w:rsidRPr="00AB4C1A">
        <w:rPr>
          <w:rFonts w:ascii="Times New Roman" w:hAnsi="Times New Roman" w:cs="Times New Roman"/>
          <w:sz w:val="24"/>
          <w:szCs w:val="24"/>
        </w:rPr>
        <w:t>.</w:t>
      </w:r>
      <w:r w:rsidR="00BC61B3" w:rsidRPr="00AB4C1A">
        <w:rPr>
          <w:rFonts w:ascii="Times New Roman" w:hAnsi="Times New Roman" w:cs="Times New Roman"/>
          <w:sz w:val="24"/>
          <w:szCs w:val="24"/>
        </w:rPr>
        <w:t xml:space="preserve"> </w:t>
      </w:r>
      <w:r w:rsidR="002B1E51" w:rsidRPr="00AB4C1A">
        <w:rPr>
          <w:rFonts w:ascii="Times New Roman" w:hAnsi="Times New Roman" w:cs="Times New Roman"/>
          <w:sz w:val="24"/>
          <w:szCs w:val="24"/>
        </w:rPr>
        <w:t xml:space="preserve"> </w:t>
      </w:r>
    </w:p>
    <w:p w14:paraId="712EE0C0" w14:textId="77777777" w:rsidR="0086285C" w:rsidRPr="00AB4C1A" w:rsidRDefault="0086285C" w:rsidP="0086285C">
      <w:pPr>
        <w:rPr>
          <w:rFonts w:ascii="Times New Roman" w:hAnsi="Times New Roman" w:cs="Times New Roman"/>
          <w:b/>
          <w:bCs/>
          <w:sz w:val="24"/>
          <w:szCs w:val="24"/>
        </w:rPr>
      </w:pPr>
      <w:r w:rsidRPr="00AB4C1A">
        <w:rPr>
          <w:rFonts w:ascii="Times New Roman" w:hAnsi="Times New Roman" w:cs="Times New Roman"/>
          <w:b/>
          <w:bCs/>
          <w:sz w:val="24"/>
          <w:szCs w:val="24"/>
        </w:rPr>
        <w:t>AAQD and LAQM in the UK: critical dimensions</w:t>
      </w:r>
    </w:p>
    <w:p w14:paraId="2E7121AF" w14:textId="5AE86103" w:rsidR="00B71627" w:rsidRPr="00AB4C1A" w:rsidRDefault="00DC5615"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Analysing </w:t>
      </w:r>
      <w:r w:rsidR="00AF0054" w:rsidRPr="00AB4C1A">
        <w:rPr>
          <w:rFonts w:ascii="Times New Roman" w:hAnsi="Times New Roman" w:cs="Times New Roman"/>
          <w:sz w:val="24"/>
          <w:szCs w:val="24"/>
        </w:rPr>
        <w:t xml:space="preserve">the </w:t>
      </w:r>
      <w:r w:rsidR="00E46D29" w:rsidRPr="00AB4C1A">
        <w:rPr>
          <w:rFonts w:ascii="Times New Roman" w:hAnsi="Times New Roman" w:cs="Times New Roman"/>
          <w:sz w:val="24"/>
          <w:szCs w:val="24"/>
        </w:rPr>
        <w:t xml:space="preserve">implementation of EU environmental law is complex </w:t>
      </w:r>
      <w:r w:rsidR="00AF0054" w:rsidRPr="00AB4C1A">
        <w:rPr>
          <w:rFonts w:ascii="Times New Roman" w:hAnsi="Times New Roman" w:cs="Times New Roman"/>
          <w:sz w:val="24"/>
          <w:szCs w:val="24"/>
        </w:rPr>
        <w:t>and research in the field has identified various factors that can determine compliance</w:t>
      </w:r>
      <w:r w:rsidRPr="00AB4C1A">
        <w:rPr>
          <w:rFonts w:ascii="Times New Roman" w:hAnsi="Times New Roman" w:cs="Times New Roman"/>
          <w:sz w:val="24"/>
          <w:szCs w:val="24"/>
        </w:rPr>
        <w:t xml:space="preserve"> (</w:t>
      </w:r>
      <w:proofErr w:type="spellStart"/>
      <w:r w:rsidRPr="00AB4C1A">
        <w:rPr>
          <w:rFonts w:ascii="Times New Roman" w:hAnsi="Times New Roman" w:cs="Times New Roman"/>
          <w:sz w:val="24"/>
          <w:szCs w:val="24"/>
        </w:rPr>
        <w:t>Knill</w:t>
      </w:r>
      <w:proofErr w:type="spellEnd"/>
      <w:r w:rsidRPr="00AB4C1A">
        <w:rPr>
          <w:rFonts w:ascii="Times New Roman" w:hAnsi="Times New Roman" w:cs="Times New Roman"/>
          <w:sz w:val="24"/>
          <w:szCs w:val="24"/>
        </w:rPr>
        <w:t xml:space="preserve"> &amp; </w:t>
      </w:r>
      <w:proofErr w:type="spellStart"/>
      <w:r w:rsidRPr="00AB4C1A">
        <w:rPr>
          <w:rFonts w:ascii="Times New Roman" w:hAnsi="Times New Roman" w:cs="Times New Roman"/>
          <w:sz w:val="24"/>
          <w:szCs w:val="24"/>
        </w:rPr>
        <w:t>Lens</w:t>
      </w:r>
      <w:r w:rsidR="00523E12" w:rsidRPr="00AB4C1A">
        <w:rPr>
          <w:rFonts w:ascii="Times New Roman" w:hAnsi="Times New Roman" w:cs="Times New Roman"/>
          <w:sz w:val="24"/>
          <w:szCs w:val="24"/>
        </w:rPr>
        <w:t>c</w:t>
      </w:r>
      <w:r w:rsidRPr="00AB4C1A">
        <w:rPr>
          <w:rFonts w:ascii="Times New Roman" w:hAnsi="Times New Roman" w:cs="Times New Roman"/>
          <w:sz w:val="24"/>
          <w:szCs w:val="24"/>
        </w:rPr>
        <w:t>how</w:t>
      </w:r>
      <w:proofErr w:type="spellEnd"/>
      <w:r w:rsidRPr="00AB4C1A">
        <w:rPr>
          <w:rFonts w:ascii="Times New Roman" w:hAnsi="Times New Roman" w:cs="Times New Roman"/>
          <w:sz w:val="24"/>
          <w:szCs w:val="24"/>
        </w:rPr>
        <w:t>, 1998)</w:t>
      </w:r>
      <w:r w:rsidR="00AF0054" w:rsidRPr="00AB4C1A">
        <w:rPr>
          <w:rFonts w:ascii="Times New Roman" w:hAnsi="Times New Roman" w:cs="Times New Roman"/>
          <w:sz w:val="24"/>
          <w:szCs w:val="24"/>
        </w:rPr>
        <w:t xml:space="preserve">. </w:t>
      </w:r>
      <w:r w:rsidR="00E46D29" w:rsidRPr="00AB4C1A">
        <w:rPr>
          <w:rFonts w:ascii="Times New Roman" w:hAnsi="Times New Roman" w:cs="Times New Roman"/>
          <w:sz w:val="24"/>
          <w:szCs w:val="24"/>
        </w:rPr>
        <w:t xml:space="preserve">For </w:t>
      </w:r>
      <w:r w:rsidR="008368C5" w:rsidRPr="00AB4C1A">
        <w:rPr>
          <w:rFonts w:ascii="Times New Roman" w:hAnsi="Times New Roman" w:cs="Times New Roman"/>
          <w:sz w:val="24"/>
          <w:szCs w:val="24"/>
        </w:rPr>
        <w:t xml:space="preserve">example, </w:t>
      </w:r>
      <w:r w:rsidR="00BE688B" w:rsidRPr="00AB4C1A">
        <w:rPr>
          <w:rFonts w:ascii="Times New Roman" w:hAnsi="Times New Roman" w:cs="Times New Roman"/>
          <w:sz w:val="24"/>
          <w:szCs w:val="24"/>
        </w:rPr>
        <w:t>multi-level</w:t>
      </w:r>
      <w:r w:rsidR="00AF0054" w:rsidRPr="00AB4C1A">
        <w:rPr>
          <w:rFonts w:ascii="Times New Roman" w:hAnsi="Times New Roman" w:cs="Times New Roman"/>
          <w:sz w:val="24"/>
          <w:szCs w:val="24"/>
        </w:rPr>
        <w:t xml:space="preserve"> requirements can conflict with more centralised administrative traditions in some member s</w:t>
      </w:r>
      <w:r w:rsidR="00DE030F" w:rsidRPr="00AB4C1A">
        <w:rPr>
          <w:rFonts w:ascii="Times New Roman" w:hAnsi="Times New Roman" w:cs="Times New Roman"/>
          <w:sz w:val="24"/>
          <w:szCs w:val="24"/>
        </w:rPr>
        <w:t>tates</w:t>
      </w:r>
      <w:r w:rsidR="005C5A4B" w:rsidRPr="00AB4C1A">
        <w:rPr>
          <w:rFonts w:ascii="Times New Roman" w:hAnsi="Times New Roman" w:cs="Times New Roman"/>
          <w:sz w:val="24"/>
          <w:szCs w:val="24"/>
        </w:rPr>
        <w:t xml:space="preserve"> </w:t>
      </w:r>
      <w:r w:rsidR="00DE030F" w:rsidRPr="00AB4C1A">
        <w:rPr>
          <w:rFonts w:ascii="Times New Roman" w:hAnsi="Times New Roman" w:cs="Times New Roman"/>
          <w:sz w:val="24"/>
          <w:szCs w:val="24"/>
        </w:rPr>
        <w:t>leading to poor policy outcomes</w:t>
      </w:r>
      <w:r w:rsidR="00E46D29" w:rsidRPr="00AB4C1A">
        <w:rPr>
          <w:rFonts w:ascii="Times New Roman" w:hAnsi="Times New Roman" w:cs="Times New Roman"/>
          <w:sz w:val="24"/>
          <w:szCs w:val="24"/>
        </w:rPr>
        <w:t xml:space="preserve"> (</w:t>
      </w:r>
      <w:proofErr w:type="spellStart"/>
      <w:r w:rsidR="00E46D29" w:rsidRPr="00AB4C1A">
        <w:rPr>
          <w:rFonts w:ascii="Times New Roman" w:hAnsi="Times New Roman" w:cs="Times New Roman"/>
          <w:sz w:val="24"/>
          <w:szCs w:val="24"/>
        </w:rPr>
        <w:t>Gollata</w:t>
      </w:r>
      <w:proofErr w:type="spellEnd"/>
      <w:r w:rsidR="00E46D29" w:rsidRPr="00AB4C1A">
        <w:rPr>
          <w:rFonts w:ascii="Times New Roman" w:hAnsi="Times New Roman" w:cs="Times New Roman"/>
          <w:sz w:val="24"/>
          <w:szCs w:val="24"/>
        </w:rPr>
        <w:t xml:space="preserve"> &amp; </w:t>
      </w:r>
      <w:proofErr w:type="spellStart"/>
      <w:r w:rsidR="00E46D29" w:rsidRPr="00AB4C1A">
        <w:rPr>
          <w:rFonts w:ascii="Times New Roman" w:hAnsi="Times New Roman" w:cs="Times New Roman"/>
          <w:sz w:val="24"/>
          <w:szCs w:val="24"/>
        </w:rPr>
        <w:t>Newig</w:t>
      </w:r>
      <w:proofErr w:type="spellEnd"/>
      <w:r w:rsidR="00E46D29" w:rsidRPr="00AB4C1A">
        <w:rPr>
          <w:rFonts w:ascii="Times New Roman" w:hAnsi="Times New Roman" w:cs="Times New Roman"/>
          <w:sz w:val="24"/>
          <w:szCs w:val="24"/>
        </w:rPr>
        <w:t xml:space="preserve">, 2017; </w:t>
      </w:r>
      <w:proofErr w:type="spellStart"/>
      <w:r w:rsidR="00E46D29" w:rsidRPr="00AB4C1A">
        <w:rPr>
          <w:rFonts w:ascii="Times New Roman" w:hAnsi="Times New Roman" w:cs="Times New Roman"/>
          <w:sz w:val="24"/>
          <w:szCs w:val="24"/>
        </w:rPr>
        <w:t>Leventon</w:t>
      </w:r>
      <w:proofErr w:type="spellEnd"/>
      <w:r w:rsidR="00E46D29" w:rsidRPr="00AB4C1A">
        <w:rPr>
          <w:rFonts w:ascii="Times New Roman" w:hAnsi="Times New Roman" w:cs="Times New Roman"/>
          <w:sz w:val="24"/>
          <w:szCs w:val="24"/>
        </w:rPr>
        <w:t xml:space="preserve">, 2015, </w:t>
      </w:r>
      <w:proofErr w:type="spellStart"/>
      <w:r w:rsidR="00E46D29" w:rsidRPr="00AB4C1A">
        <w:rPr>
          <w:rFonts w:ascii="Times New Roman" w:hAnsi="Times New Roman" w:cs="Times New Roman"/>
          <w:sz w:val="24"/>
          <w:szCs w:val="24"/>
        </w:rPr>
        <w:t>Lenschow</w:t>
      </w:r>
      <w:proofErr w:type="spellEnd"/>
      <w:r w:rsidR="00E46D29" w:rsidRPr="00AB4C1A">
        <w:rPr>
          <w:rFonts w:ascii="Times New Roman" w:hAnsi="Times New Roman" w:cs="Times New Roman"/>
          <w:sz w:val="24"/>
          <w:szCs w:val="24"/>
        </w:rPr>
        <w:t xml:space="preserve">, Becker &amp; </w:t>
      </w:r>
      <w:proofErr w:type="spellStart"/>
      <w:r w:rsidR="00E46D29" w:rsidRPr="00AB4C1A">
        <w:rPr>
          <w:rFonts w:ascii="Times New Roman" w:hAnsi="Times New Roman" w:cs="Times New Roman"/>
          <w:sz w:val="24"/>
          <w:szCs w:val="24"/>
        </w:rPr>
        <w:t>Me</w:t>
      </w:r>
      <w:r w:rsidR="00220D09" w:rsidRPr="00AB4C1A">
        <w:rPr>
          <w:rFonts w:ascii="Times New Roman" w:hAnsi="Times New Roman" w:cs="Times New Roman"/>
          <w:sz w:val="24"/>
          <w:szCs w:val="24"/>
        </w:rPr>
        <w:t>hl</w:t>
      </w:r>
      <w:proofErr w:type="spellEnd"/>
      <w:r w:rsidR="00220D09" w:rsidRPr="00AB4C1A">
        <w:rPr>
          <w:rFonts w:ascii="Times New Roman" w:hAnsi="Times New Roman" w:cs="Times New Roman"/>
          <w:sz w:val="24"/>
          <w:szCs w:val="24"/>
        </w:rPr>
        <w:t xml:space="preserve">, 2017; </w:t>
      </w:r>
      <w:proofErr w:type="spellStart"/>
      <w:r w:rsidR="00220D09" w:rsidRPr="00AB4C1A">
        <w:rPr>
          <w:rFonts w:ascii="Times New Roman" w:hAnsi="Times New Roman" w:cs="Times New Roman"/>
          <w:sz w:val="24"/>
          <w:szCs w:val="24"/>
        </w:rPr>
        <w:t>Knill</w:t>
      </w:r>
      <w:proofErr w:type="spellEnd"/>
      <w:r w:rsidR="00220D09" w:rsidRPr="00AB4C1A">
        <w:rPr>
          <w:rFonts w:ascii="Times New Roman" w:hAnsi="Times New Roman" w:cs="Times New Roman"/>
          <w:sz w:val="24"/>
          <w:szCs w:val="24"/>
        </w:rPr>
        <w:t xml:space="preserve"> &amp; </w:t>
      </w:r>
      <w:proofErr w:type="spellStart"/>
      <w:r w:rsidR="00220D09" w:rsidRPr="00AB4C1A">
        <w:rPr>
          <w:rFonts w:ascii="Times New Roman" w:hAnsi="Times New Roman" w:cs="Times New Roman"/>
          <w:sz w:val="24"/>
          <w:szCs w:val="24"/>
        </w:rPr>
        <w:t>Lens</w:t>
      </w:r>
      <w:r w:rsidR="00523E12" w:rsidRPr="00AB4C1A">
        <w:rPr>
          <w:rFonts w:ascii="Times New Roman" w:hAnsi="Times New Roman" w:cs="Times New Roman"/>
          <w:sz w:val="24"/>
          <w:szCs w:val="24"/>
        </w:rPr>
        <w:t>c</w:t>
      </w:r>
      <w:r w:rsidR="00220D09" w:rsidRPr="00AB4C1A">
        <w:rPr>
          <w:rFonts w:ascii="Times New Roman" w:hAnsi="Times New Roman" w:cs="Times New Roman"/>
          <w:sz w:val="24"/>
          <w:szCs w:val="24"/>
        </w:rPr>
        <w:t>how</w:t>
      </w:r>
      <w:proofErr w:type="spellEnd"/>
      <w:r w:rsidR="00220D09" w:rsidRPr="00AB4C1A">
        <w:rPr>
          <w:rFonts w:ascii="Times New Roman" w:hAnsi="Times New Roman" w:cs="Times New Roman"/>
          <w:sz w:val="24"/>
          <w:szCs w:val="24"/>
        </w:rPr>
        <w:t>, 1998</w:t>
      </w:r>
      <w:r w:rsidR="00E46D29" w:rsidRPr="00AB4C1A">
        <w:rPr>
          <w:rFonts w:ascii="Times New Roman" w:hAnsi="Times New Roman" w:cs="Times New Roman"/>
          <w:sz w:val="24"/>
          <w:szCs w:val="24"/>
        </w:rPr>
        <w:t xml:space="preserve">). Also, decision makers </w:t>
      </w:r>
      <w:r w:rsidR="00AF0054" w:rsidRPr="00AB4C1A">
        <w:rPr>
          <w:rFonts w:ascii="Times New Roman" w:hAnsi="Times New Roman" w:cs="Times New Roman"/>
          <w:sz w:val="24"/>
          <w:szCs w:val="24"/>
        </w:rPr>
        <w:t xml:space="preserve">may </w:t>
      </w:r>
      <w:r w:rsidR="00E46D29" w:rsidRPr="00AB4C1A">
        <w:rPr>
          <w:rFonts w:ascii="Times New Roman" w:hAnsi="Times New Roman" w:cs="Times New Roman"/>
          <w:sz w:val="24"/>
          <w:szCs w:val="24"/>
        </w:rPr>
        <w:t xml:space="preserve">allocate more resources, expertise or stringent interventions into </w:t>
      </w:r>
      <w:proofErr w:type="gramStart"/>
      <w:r w:rsidR="002F2B3F" w:rsidRPr="00AB4C1A">
        <w:rPr>
          <w:rFonts w:ascii="Times New Roman" w:hAnsi="Times New Roman" w:cs="Times New Roman"/>
          <w:sz w:val="24"/>
          <w:szCs w:val="24"/>
        </w:rPr>
        <w:t>particular</w:t>
      </w:r>
      <w:r w:rsidR="00E46D29" w:rsidRPr="00AB4C1A">
        <w:rPr>
          <w:rFonts w:ascii="Times New Roman" w:hAnsi="Times New Roman" w:cs="Times New Roman"/>
          <w:sz w:val="24"/>
          <w:szCs w:val="24"/>
        </w:rPr>
        <w:t xml:space="preserve"> policies</w:t>
      </w:r>
      <w:proofErr w:type="gramEnd"/>
      <w:r w:rsidR="00E46D29" w:rsidRPr="00AB4C1A">
        <w:rPr>
          <w:rFonts w:ascii="Times New Roman" w:hAnsi="Times New Roman" w:cs="Times New Roman"/>
          <w:sz w:val="24"/>
          <w:szCs w:val="24"/>
        </w:rPr>
        <w:t xml:space="preserve"> or directives</w:t>
      </w:r>
      <w:r w:rsidR="005C5A4B" w:rsidRPr="00AB4C1A">
        <w:rPr>
          <w:rFonts w:ascii="Times New Roman" w:hAnsi="Times New Roman" w:cs="Times New Roman"/>
          <w:sz w:val="24"/>
          <w:szCs w:val="24"/>
        </w:rPr>
        <w:t xml:space="preserve"> </w:t>
      </w:r>
      <w:r w:rsidR="00582874" w:rsidRPr="00AB4C1A">
        <w:rPr>
          <w:rFonts w:ascii="Times New Roman" w:hAnsi="Times New Roman" w:cs="Times New Roman"/>
          <w:sz w:val="24"/>
          <w:szCs w:val="24"/>
        </w:rPr>
        <w:t>(</w:t>
      </w:r>
      <w:proofErr w:type="spellStart"/>
      <w:r w:rsidR="00582874" w:rsidRPr="00AB4C1A">
        <w:rPr>
          <w:rFonts w:ascii="Times New Roman" w:hAnsi="Times New Roman" w:cs="Times New Roman"/>
          <w:sz w:val="24"/>
          <w:szCs w:val="24"/>
        </w:rPr>
        <w:t>Čavoški</w:t>
      </w:r>
      <w:proofErr w:type="spellEnd"/>
      <w:r w:rsidR="00582874" w:rsidRPr="00AB4C1A">
        <w:rPr>
          <w:rFonts w:ascii="Times New Roman" w:hAnsi="Times New Roman" w:cs="Times New Roman"/>
          <w:sz w:val="24"/>
          <w:szCs w:val="24"/>
        </w:rPr>
        <w:t>, 2017)</w:t>
      </w:r>
      <w:r w:rsidR="00E46D29" w:rsidRPr="00AB4C1A">
        <w:rPr>
          <w:rFonts w:ascii="Times New Roman" w:hAnsi="Times New Roman" w:cs="Times New Roman"/>
          <w:sz w:val="24"/>
          <w:szCs w:val="24"/>
        </w:rPr>
        <w:t>.</w:t>
      </w:r>
      <w:r w:rsidR="00067FB9" w:rsidRPr="00AB4C1A">
        <w:rPr>
          <w:rFonts w:ascii="Times New Roman" w:hAnsi="Times New Roman" w:cs="Times New Roman"/>
          <w:sz w:val="24"/>
          <w:szCs w:val="24"/>
        </w:rPr>
        <w:t xml:space="preserve"> </w:t>
      </w:r>
    </w:p>
    <w:p w14:paraId="4525FAD5" w14:textId="200E0059" w:rsidR="005E08B2" w:rsidRPr="00AB4C1A" w:rsidRDefault="009B481E"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lastRenderedPageBreak/>
        <w:t xml:space="preserve">However, the implementation of </w:t>
      </w:r>
      <w:r w:rsidR="007204B7" w:rsidRPr="00AB4C1A">
        <w:rPr>
          <w:rFonts w:ascii="Times New Roman" w:hAnsi="Times New Roman" w:cs="Times New Roman"/>
          <w:sz w:val="24"/>
          <w:szCs w:val="24"/>
        </w:rPr>
        <w:t xml:space="preserve">environmental </w:t>
      </w:r>
      <w:r w:rsidRPr="00AB4C1A">
        <w:rPr>
          <w:rFonts w:ascii="Times New Roman" w:hAnsi="Times New Roman" w:cs="Times New Roman"/>
          <w:sz w:val="24"/>
          <w:szCs w:val="24"/>
        </w:rPr>
        <w:t>policy</w:t>
      </w:r>
      <w:r w:rsidR="000E1C30" w:rsidRPr="00AB4C1A">
        <w:rPr>
          <w:rFonts w:ascii="Times New Roman" w:hAnsi="Times New Roman" w:cs="Times New Roman"/>
          <w:sz w:val="24"/>
          <w:szCs w:val="24"/>
        </w:rPr>
        <w:t xml:space="preserve"> can</w:t>
      </w:r>
      <w:r w:rsidR="008368C5" w:rsidRPr="00AB4C1A">
        <w:rPr>
          <w:rFonts w:ascii="Times New Roman" w:hAnsi="Times New Roman" w:cs="Times New Roman"/>
          <w:sz w:val="24"/>
          <w:szCs w:val="24"/>
        </w:rPr>
        <w:t xml:space="preserve"> also</w:t>
      </w:r>
      <w:r w:rsidR="000E1C30" w:rsidRPr="00AB4C1A">
        <w:rPr>
          <w:rFonts w:ascii="Times New Roman" w:hAnsi="Times New Roman" w:cs="Times New Roman"/>
          <w:sz w:val="24"/>
          <w:szCs w:val="24"/>
        </w:rPr>
        <w:t xml:space="preserve"> be facilitated by</w:t>
      </w:r>
      <w:r w:rsidR="005E08B2" w:rsidRPr="00AB4C1A">
        <w:rPr>
          <w:rFonts w:ascii="Times New Roman" w:hAnsi="Times New Roman" w:cs="Times New Roman"/>
          <w:sz w:val="24"/>
          <w:szCs w:val="24"/>
        </w:rPr>
        <w:t xml:space="preserve"> cross-policy linkages</w:t>
      </w:r>
      <w:r w:rsidR="007204B7" w:rsidRPr="00AB4C1A">
        <w:rPr>
          <w:rFonts w:ascii="Times New Roman" w:hAnsi="Times New Roman" w:cs="Times New Roman"/>
          <w:sz w:val="24"/>
          <w:szCs w:val="24"/>
        </w:rPr>
        <w:t xml:space="preserve"> (</w:t>
      </w:r>
      <w:proofErr w:type="spellStart"/>
      <w:r w:rsidR="007204B7" w:rsidRPr="00AB4C1A">
        <w:rPr>
          <w:rFonts w:ascii="Times New Roman" w:hAnsi="Times New Roman" w:cs="Times New Roman"/>
          <w:sz w:val="24"/>
          <w:szCs w:val="24"/>
        </w:rPr>
        <w:t>Olow</w:t>
      </w:r>
      <w:r w:rsidR="00C2335F" w:rsidRPr="00AB4C1A">
        <w:rPr>
          <w:rFonts w:ascii="Times New Roman" w:hAnsi="Times New Roman" w:cs="Times New Roman"/>
          <w:sz w:val="24"/>
          <w:szCs w:val="24"/>
        </w:rPr>
        <w:t>o</w:t>
      </w:r>
      <w:r w:rsidR="007204B7" w:rsidRPr="00AB4C1A">
        <w:rPr>
          <w:rFonts w:ascii="Times New Roman" w:hAnsi="Times New Roman" w:cs="Times New Roman"/>
          <w:sz w:val="24"/>
          <w:szCs w:val="24"/>
        </w:rPr>
        <w:t>por</w:t>
      </w:r>
      <w:r w:rsidR="00C2335F" w:rsidRPr="00AB4C1A">
        <w:rPr>
          <w:rFonts w:ascii="Times New Roman" w:hAnsi="Times New Roman" w:cs="Times New Roman"/>
          <w:sz w:val="24"/>
          <w:szCs w:val="24"/>
        </w:rPr>
        <w:t>o</w:t>
      </w:r>
      <w:r w:rsidR="007204B7" w:rsidRPr="00AB4C1A">
        <w:rPr>
          <w:rFonts w:ascii="Times New Roman" w:hAnsi="Times New Roman" w:cs="Times New Roman"/>
          <w:sz w:val="24"/>
          <w:szCs w:val="24"/>
        </w:rPr>
        <w:t>ku</w:t>
      </w:r>
      <w:proofErr w:type="spellEnd"/>
      <w:r w:rsidR="007204B7" w:rsidRPr="00AB4C1A">
        <w:rPr>
          <w:rFonts w:ascii="Times New Roman" w:hAnsi="Times New Roman" w:cs="Times New Roman"/>
          <w:sz w:val="24"/>
          <w:szCs w:val="24"/>
        </w:rPr>
        <w:t xml:space="preserve">, </w:t>
      </w:r>
      <w:r w:rsidR="007204B7" w:rsidRPr="00AB4C1A">
        <w:rPr>
          <w:rFonts w:ascii="Times New Roman" w:hAnsi="Times New Roman" w:cs="Times New Roman"/>
          <w:i/>
          <w:iCs/>
          <w:sz w:val="24"/>
          <w:szCs w:val="24"/>
        </w:rPr>
        <w:t>et al.,</w:t>
      </w:r>
      <w:r w:rsidR="007204B7" w:rsidRPr="00AB4C1A">
        <w:rPr>
          <w:rFonts w:ascii="Times New Roman" w:hAnsi="Times New Roman" w:cs="Times New Roman"/>
          <w:sz w:val="24"/>
          <w:szCs w:val="24"/>
        </w:rPr>
        <w:t xml:space="preserve"> 2012)</w:t>
      </w:r>
      <w:r w:rsidR="005E08B2" w:rsidRPr="00AB4C1A">
        <w:rPr>
          <w:rFonts w:ascii="Times New Roman" w:hAnsi="Times New Roman" w:cs="Times New Roman"/>
          <w:sz w:val="24"/>
          <w:szCs w:val="24"/>
        </w:rPr>
        <w:t xml:space="preserve">. </w:t>
      </w:r>
      <w:r w:rsidR="000E1C30" w:rsidRPr="00AB4C1A">
        <w:rPr>
          <w:rFonts w:ascii="Times New Roman" w:hAnsi="Times New Roman" w:cs="Times New Roman"/>
          <w:sz w:val="24"/>
          <w:szCs w:val="24"/>
        </w:rPr>
        <w:t xml:space="preserve">For </w:t>
      </w:r>
      <w:r w:rsidR="005E08B2" w:rsidRPr="00AB4C1A">
        <w:rPr>
          <w:rFonts w:ascii="Times New Roman" w:hAnsi="Times New Roman" w:cs="Times New Roman"/>
          <w:sz w:val="24"/>
          <w:szCs w:val="24"/>
        </w:rPr>
        <w:t>example</w:t>
      </w:r>
      <w:r w:rsidR="007204B7" w:rsidRPr="00AB4C1A">
        <w:rPr>
          <w:rFonts w:ascii="Times New Roman" w:hAnsi="Times New Roman" w:cs="Times New Roman"/>
          <w:sz w:val="24"/>
          <w:szCs w:val="24"/>
        </w:rPr>
        <w:t>,</w:t>
      </w:r>
      <w:r w:rsidR="005E08B2" w:rsidRPr="00AB4C1A">
        <w:rPr>
          <w:rFonts w:ascii="Times New Roman" w:hAnsi="Times New Roman" w:cs="Times New Roman"/>
          <w:sz w:val="24"/>
          <w:szCs w:val="24"/>
        </w:rPr>
        <w:t xml:space="preserve"> </w:t>
      </w:r>
      <w:r w:rsidR="006B32FE" w:rsidRPr="00AB4C1A">
        <w:rPr>
          <w:rFonts w:ascii="Times New Roman" w:hAnsi="Times New Roman" w:cs="Times New Roman"/>
          <w:sz w:val="24"/>
          <w:szCs w:val="24"/>
        </w:rPr>
        <w:t>c</w:t>
      </w:r>
      <w:r w:rsidR="005E08B2" w:rsidRPr="00AB4C1A">
        <w:rPr>
          <w:rFonts w:ascii="Times New Roman" w:hAnsi="Times New Roman" w:cs="Times New Roman"/>
          <w:sz w:val="24"/>
          <w:szCs w:val="24"/>
        </w:rPr>
        <w:t xml:space="preserve">limate </w:t>
      </w:r>
      <w:r w:rsidR="006B32FE" w:rsidRPr="00AB4C1A">
        <w:rPr>
          <w:rFonts w:ascii="Times New Roman" w:hAnsi="Times New Roman" w:cs="Times New Roman"/>
          <w:sz w:val="24"/>
          <w:szCs w:val="24"/>
        </w:rPr>
        <w:t>c</w:t>
      </w:r>
      <w:r w:rsidR="005E08B2" w:rsidRPr="00AB4C1A">
        <w:rPr>
          <w:rFonts w:ascii="Times New Roman" w:hAnsi="Times New Roman" w:cs="Times New Roman"/>
          <w:sz w:val="24"/>
          <w:szCs w:val="24"/>
        </w:rPr>
        <w:t xml:space="preserve">hange and </w:t>
      </w:r>
      <w:r w:rsidR="00211544" w:rsidRPr="00AB4C1A">
        <w:rPr>
          <w:rFonts w:ascii="Times New Roman" w:hAnsi="Times New Roman" w:cs="Times New Roman"/>
          <w:sz w:val="24"/>
          <w:szCs w:val="24"/>
        </w:rPr>
        <w:t>a</w:t>
      </w:r>
      <w:r w:rsidR="005E08B2" w:rsidRPr="00AB4C1A">
        <w:rPr>
          <w:rFonts w:ascii="Times New Roman" w:hAnsi="Times New Roman" w:cs="Times New Roman"/>
          <w:sz w:val="24"/>
          <w:szCs w:val="24"/>
        </w:rPr>
        <w:t xml:space="preserve">ir </w:t>
      </w:r>
      <w:r w:rsidR="006B32FE" w:rsidRPr="00AB4C1A">
        <w:rPr>
          <w:rFonts w:ascii="Times New Roman" w:hAnsi="Times New Roman" w:cs="Times New Roman"/>
          <w:sz w:val="24"/>
          <w:szCs w:val="24"/>
        </w:rPr>
        <w:t>q</w:t>
      </w:r>
      <w:r w:rsidR="005E08B2" w:rsidRPr="00AB4C1A">
        <w:rPr>
          <w:rFonts w:ascii="Times New Roman" w:hAnsi="Times New Roman" w:cs="Times New Roman"/>
          <w:sz w:val="24"/>
          <w:szCs w:val="24"/>
        </w:rPr>
        <w:t>uality policy</w:t>
      </w:r>
      <w:r w:rsidR="00211544" w:rsidRPr="00AB4C1A">
        <w:rPr>
          <w:rFonts w:ascii="Times New Roman" w:hAnsi="Times New Roman" w:cs="Times New Roman"/>
          <w:sz w:val="24"/>
          <w:szCs w:val="24"/>
        </w:rPr>
        <w:t>,</w:t>
      </w:r>
      <w:r w:rsidR="00DA68D8" w:rsidRPr="00AB4C1A">
        <w:rPr>
          <w:rFonts w:ascii="Times New Roman" w:hAnsi="Times New Roman" w:cs="Times New Roman"/>
          <w:sz w:val="24"/>
          <w:szCs w:val="24"/>
        </w:rPr>
        <w:t xml:space="preserve"> as “</w:t>
      </w:r>
      <w:r w:rsidR="005E08B2" w:rsidRPr="00AB4C1A">
        <w:rPr>
          <w:rFonts w:ascii="Times New Roman" w:hAnsi="Times New Roman" w:cs="Times New Roman"/>
          <w:sz w:val="24"/>
          <w:szCs w:val="24"/>
        </w:rPr>
        <w:t>they arise from</w:t>
      </w:r>
      <w:r w:rsidR="00DA68D8" w:rsidRPr="00AB4C1A">
        <w:rPr>
          <w:rFonts w:ascii="Times New Roman" w:hAnsi="Times New Roman" w:cs="Times New Roman"/>
          <w:sz w:val="24"/>
          <w:szCs w:val="24"/>
        </w:rPr>
        <w:t>…</w:t>
      </w:r>
      <w:r w:rsidR="005E08B2" w:rsidRPr="00AB4C1A">
        <w:rPr>
          <w:rFonts w:ascii="Times New Roman" w:hAnsi="Times New Roman" w:cs="Times New Roman"/>
          <w:sz w:val="24"/>
          <w:szCs w:val="24"/>
        </w:rPr>
        <w:t xml:space="preserve"> the same sources and </w:t>
      </w:r>
      <w:r w:rsidR="00DA68D8" w:rsidRPr="00AB4C1A">
        <w:rPr>
          <w:rFonts w:ascii="Times New Roman" w:hAnsi="Times New Roman" w:cs="Times New Roman"/>
          <w:sz w:val="24"/>
          <w:szCs w:val="24"/>
        </w:rPr>
        <w:t>will therefore</w:t>
      </w:r>
      <w:r w:rsidR="005E08B2" w:rsidRPr="00AB4C1A">
        <w:rPr>
          <w:rFonts w:ascii="Times New Roman" w:hAnsi="Times New Roman" w:cs="Times New Roman"/>
          <w:sz w:val="24"/>
          <w:szCs w:val="24"/>
        </w:rPr>
        <w:t xml:space="preserve"> benefit from</w:t>
      </w:r>
      <w:r w:rsidR="00DA68D8" w:rsidRPr="00AB4C1A">
        <w:rPr>
          <w:rFonts w:ascii="Times New Roman" w:hAnsi="Times New Roman" w:cs="Times New Roman"/>
          <w:sz w:val="24"/>
          <w:szCs w:val="24"/>
        </w:rPr>
        <w:t xml:space="preserve"> many of</w:t>
      </w:r>
      <w:r w:rsidR="005E08B2" w:rsidRPr="00AB4C1A">
        <w:rPr>
          <w:rFonts w:ascii="Times New Roman" w:hAnsi="Times New Roman" w:cs="Times New Roman"/>
          <w:sz w:val="24"/>
          <w:szCs w:val="24"/>
        </w:rPr>
        <w:t xml:space="preserve"> the same measures</w:t>
      </w:r>
      <w:r w:rsidR="00DA68D8" w:rsidRPr="00AB4C1A">
        <w:rPr>
          <w:rFonts w:ascii="Times New Roman" w:hAnsi="Times New Roman" w:cs="Times New Roman"/>
          <w:sz w:val="24"/>
          <w:szCs w:val="24"/>
        </w:rPr>
        <w:t>;</w:t>
      </w:r>
      <w:r w:rsidR="005E08B2" w:rsidRPr="00AB4C1A">
        <w:rPr>
          <w:rFonts w:ascii="Times New Roman" w:hAnsi="Times New Roman" w:cs="Times New Roman"/>
          <w:sz w:val="24"/>
          <w:szCs w:val="24"/>
        </w:rPr>
        <w:t xml:space="preserve"> </w:t>
      </w:r>
      <w:proofErr w:type="gramStart"/>
      <w:r w:rsidR="00DA68D8" w:rsidRPr="00AB4C1A">
        <w:rPr>
          <w:rFonts w:ascii="Times New Roman" w:hAnsi="Times New Roman" w:cs="Times New Roman"/>
          <w:sz w:val="24"/>
          <w:szCs w:val="24"/>
        </w:rPr>
        <w:t>so</w:t>
      </w:r>
      <w:proofErr w:type="gramEnd"/>
      <w:r w:rsidR="00DA68D8" w:rsidRPr="00AB4C1A">
        <w:rPr>
          <w:rFonts w:ascii="Times New Roman" w:hAnsi="Times New Roman" w:cs="Times New Roman"/>
          <w:sz w:val="24"/>
          <w:szCs w:val="24"/>
        </w:rPr>
        <w:t xml:space="preserve"> the</w:t>
      </w:r>
      <w:r w:rsidR="005E08B2" w:rsidRPr="00AB4C1A">
        <w:rPr>
          <w:rFonts w:ascii="Times New Roman" w:hAnsi="Times New Roman" w:cs="Times New Roman"/>
          <w:sz w:val="24"/>
          <w:szCs w:val="24"/>
        </w:rPr>
        <w:t xml:space="preserve"> combined benefit</w:t>
      </w:r>
      <w:r w:rsidR="00DA68D8" w:rsidRPr="00AB4C1A">
        <w:rPr>
          <w:rFonts w:ascii="Times New Roman" w:hAnsi="Times New Roman" w:cs="Times New Roman"/>
          <w:sz w:val="24"/>
          <w:szCs w:val="24"/>
        </w:rPr>
        <w:t>s are substantially greater”</w:t>
      </w:r>
      <w:r w:rsidR="005E08B2" w:rsidRPr="00AB4C1A">
        <w:rPr>
          <w:rFonts w:ascii="Times New Roman" w:hAnsi="Times New Roman" w:cs="Times New Roman"/>
          <w:sz w:val="24"/>
          <w:szCs w:val="24"/>
        </w:rPr>
        <w:t xml:space="preserve"> (Defra 2010</w:t>
      </w:r>
      <w:r w:rsidR="000E1C30" w:rsidRPr="00AB4C1A">
        <w:rPr>
          <w:rFonts w:ascii="Times New Roman" w:hAnsi="Times New Roman" w:cs="Times New Roman"/>
          <w:sz w:val="24"/>
          <w:szCs w:val="24"/>
        </w:rPr>
        <w:t>, p.3)</w:t>
      </w:r>
      <w:r w:rsidR="00DA68D8" w:rsidRPr="00AB4C1A">
        <w:rPr>
          <w:rFonts w:ascii="Times New Roman" w:hAnsi="Times New Roman" w:cs="Times New Roman"/>
          <w:sz w:val="24"/>
          <w:szCs w:val="24"/>
        </w:rPr>
        <w:t xml:space="preserve"> </w:t>
      </w:r>
      <w:r w:rsidR="000E1C30" w:rsidRPr="00AB4C1A">
        <w:rPr>
          <w:rFonts w:ascii="Times New Roman" w:hAnsi="Times New Roman" w:cs="Times New Roman"/>
          <w:sz w:val="24"/>
          <w:szCs w:val="24"/>
        </w:rPr>
        <w:t>(</w:t>
      </w:r>
      <w:proofErr w:type="spellStart"/>
      <w:r w:rsidR="00DA68D8" w:rsidRPr="00AB4C1A">
        <w:rPr>
          <w:rFonts w:ascii="Times New Roman" w:hAnsi="Times New Roman" w:cs="Times New Roman"/>
          <w:sz w:val="24"/>
          <w:szCs w:val="24"/>
        </w:rPr>
        <w:t>Čavoški</w:t>
      </w:r>
      <w:proofErr w:type="spellEnd"/>
      <w:r w:rsidR="00DA68D8" w:rsidRPr="00AB4C1A">
        <w:rPr>
          <w:rFonts w:ascii="Times New Roman" w:hAnsi="Times New Roman" w:cs="Times New Roman"/>
          <w:sz w:val="24"/>
          <w:szCs w:val="24"/>
        </w:rPr>
        <w:t>, 2017</w:t>
      </w:r>
      <w:r w:rsidR="005E08B2" w:rsidRPr="00AB4C1A">
        <w:rPr>
          <w:rFonts w:ascii="Times New Roman" w:hAnsi="Times New Roman" w:cs="Times New Roman"/>
          <w:sz w:val="24"/>
          <w:szCs w:val="24"/>
        </w:rPr>
        <w:t>)</w:t>
      </w:r>
      <w:r w:rsidR="00DA68D8" w:rsidRPr="00AB4C1A">
        <w:rPr>
          <w:rFonts w:ascii="Times New Roman" w:hAnsi="Times New Roman" w:cs="Times New Roman"/>
          <w:sz w:val="24"/>
          <w:szCs w:val="24"/>
        </w:rPr>
        <w:t>. Equally</w:t>
      </w:r>
      <w:r w:rsidR="0031652F" w:rsidRPr="00AB4C1A">
        <w:rPr>
          <w:rFonts w:ascii="Times New Roman" w:hAnsi="Times New Roman" w:cs="Times New Roman"/>
          <w:sz w:val="24"/>
          <w:szCs w:val="24"/>
        </w:rPr>
        <w:t>,</w:t>
      </w:r>
      <w:r w:rsidR="00DA68D8" w:rsidRPr="00AB4C1A">
        <w:rPr>
          <w:rFonts w:ascii="Times New Roman" w:hAnsi="Times New Roman" w:cs="Times New Roman"/>
          <w:sz w:val="24"/>
          <w:szCs w:val="24"/>
        </w:rPr>
        <w:t xml:space="preserve"> the joined-</w:t>
      </w:r>
      <w:r w:rsidR="00476251" w:rsidRPr="00AB4C1A">
        <w:rPr>
          <w:rFonts w:ascii="Times New Roman" w:hAnsi="Times New Roman" w:cs="Times New Roman"/>
          <w:sz w:val="24"/>
          <w:szCs w:val="24"/>
        </w:rPr>
        <w:t>up</w:t>
      </w:r>
      <w:r w:rsidR="00DA68D8" w:rsidRPr="00AB4C1A">
        <w:rPr>
          <w:rFonts w:ascii="Times New Roman" w:hAnsi="Times New Roman" w:cs="Times New Roman"/>
          <w:sz w:val="24"/>
          <w:szCs w:val="24"/>
        </w:rPr>
        <w:t xml:space="preserve"> policy approach of </w:t>
      </w:r>
      <w:r w:rsidR="002060A4" w:rsidRPr="00AB4C1A">
        <w:rPr>
          <w:rFonts w:ascii="Times New Roman" w:hAnsi="Times New Roman" w:cs="Times New Roman"/>
          <w:sz w:val="24"/>
          <w:szCs w:val="24"/>
        </w:rPr>
        <w:t>a</w:t>
      </w:r>
      <w:r w:rsidR="00DA68D8" w:rsidRPr="00AB4C1A">
        <w:rPr>
          <w:rFonts w:ascii="Times New Roman" w:hAnsi="Times New Roman" w:cs="Times New Roman"/>
          <w:sz w:val="24"/>
          <w:szCs w:val="24"/>
        </w:rPr>
        <w:t xml:space="preserve">ir </w:t>
      </w:r>
      <w:r w:rsidR="002060A4" w:rsidRPr="00AB4C1A">
        <w:rPr>
          <w:rFonts w:ascii="Times New Roman" w:hAnsi="Times New Roman" w:cs="Times New Roman"/>
          <w:sz w:val="24"/>
          <w:szCs w:val="24"/>
        </w:rPr>
        <w:t>q</w:t>
      </w:r>
      <w:r w:rsidR="00DA68D8" w:rsidRPr="00AB4C1A">
        <w:rPr>
          <w:rFonts w:ascii="Times New Roman" w:hAnsi="Times New Roman" w:cs="Times New Roman"/>
          <w:sz w:val="24"/>
          <w:szCs w:val="24"/>
        </w:rPr>
        <w:t xml:space="preserve">uality </w:t>
      </w:r>
      <w:r w:rsidR="00FB34DD" w:rsidRPr="00AB4C1A">
        <w:rPr>
          <w:rFonts w:ascii="Times New Roman" w:hAnsi="Times New Roman" w:cs="Times New Roman"/>
          <w:sz w:val="24"/>
          <w:szCs w:val="24"/>
        </w:rPr>
        <w:t>management</w:t>
      </w:r>
      <w:r w:rsidR="00DA68D8" w:rsidRPr="00AB4C1A">
        <w:rPr>
          <w:rFonts w:ascii="Times New Roman" w:hAnsi="Times New Roman" w:cs="Times New Roman"/>
          <w:sz w:val="24"/>
          <w:szCs w:val="24"/>
        </w:rPr>
        <w:t xml:space="preserve"> in Local Transport Plans could also make policy implementation more effective (</w:t>
      </w:r>
      <w:proofErr w:type="spellStart"/>
      <w:r w:rsidR="00DA68D8" w:rsidRPr="00AB4C1A">
        <w:rPr>
          <w:rFonts w:ascii="Times New Roman" w:hAnsi="Times New Roman" w:cs="Times New Roman"/>
          <w:sz w:val="24"/>
          <w:szCs w:val="24"/>
        </w:rPr>
        <w:t>Olow</w:t>
      </w:r>
      <w:r w:rsidR="00C2335F" w:rsidRPr="00AB4C1A">
        <w:rPr>
          <w:rFonts w:ascii="Times New Roman" w:hAnsi="Times New Roman" w:cs="Times New Roman"/>
          <w:sz w:val="24"/>
          <w:szCs w:val="24"/>
        </w:rPr>
        <w:t>o</w:t>
      </w:r>
      <w:r w:rsidR="00DA68D8" w:rsidRPr="00AB4C1A">
        <w:rPr>
          <w:rFonts w:ascii="Times New Roman" w:hAnsi="Times New Roman" w:cs="Times New Roman"/>
          <w:sz w:val="24"/>
          <w:szCs w:val="24"/>
        </w:rPr>
        <w:t>por</w:t>
      </w:r>
      <w:r w:rsidR="00C2335F" w:rsidRPr="00AB4C1A">
        <w:rPr>
          <w:rFonts w:ascii="Times New Roman" w:hAnsi="Times New Roman" w:cs="Times New Roman"/>
          <w:sz w:val="24"/>
          <w:szCs w:val="24"/>
        </w:rPr>
        <w:t>o</w:t>
      </w:r>
      <w:r w:rsidR="00DA68D8" w:rsidRPr="00AB4C1A">
        <w:rPr>
          <w:rFonts w:ascii="Times New Roman" w:hAnsi="Times New Roman" w:cs="Times New Roman"/>
          <w:sz w:val="24"/>
          <w:szCs w:val="24"/>
        </w:rPr>
        <w:t>ku</w:t>
      </w:r>
      <w:proofErr w:type="spellEnd"/>
      <w:r w:rsidR="00DA68D8" w:rsidRPr="00AB4C1A">
        <w:rPr>
          <w:rFonts w:ascii="Times New Roman" w:hAnsi="Times New Roman" w:cs="Times New Roman"/>
          <w:sz w:val="24"/>
          <w:szCs w:val="24"/>
        </w:rPr>
        <w:t xml:space="preserve">, </w:t>
      </w:r>
      <w:r w:rsidR="00DA68D8" w:rsidRPr="00AB4C1A">
        <w:rPr>
          <w:rFonts w:ascii="Times New Roman" w:hAnsi="Times New Roman" w:cs="Times New Roman"/>
          <w:i/>
          <w:iCs/>
          <w:sz w:val="24"/>
          <w:szCs w:val="24"/>
        </w:rPr>
        <w:t>et al</w:t>
      </w:r>
      <w:r w:rsidR="000E1C30" w:rsidRPr="00AB4C1A">
        <w:rPr>
          <w:rFonts w:ascii="Times New Roman" w:hAnsi="Times New Roman" w:cs="Times New Roman"/>
          <w:i/>
          <w:iCs/>
          <w:sz w:val="24"/>
          <w:szCs w:val="24"/>
        </w:rPr>
        <w:t>.,</w:t>
      </w:r>
      <w:r w:rsidR="00DA68D8" w:rsidRPr="00AB4C1A">
        <w:rPr>
          <w:rFonts w:ascii="Times New Roman" w:hAnsi="Times New Roman" w:cs="Times New Roman"/>
          <w:sz w:val="24"/>
          <w:szCs w:val="24"/>
        </w:rPr>
        <w:t xml:space="preserve"> 2012). </w:t>
      </w:r>
      <w:r w:rsidR="005E08B2" w:rsidRPr="00AB4C1A">
        <w:rPr>
          <w:rFonts w:ascii="Times New Roman" w:hAnsi="Times New Roman" w:cs="Times New Roman"/>
          <w:sz w:val="24"/>
          <w:szCs w:val="24"/>
        </w:rPr>
        <w:t xml:space="preserve"> However</w:t>
      </w:r>
      <w:r w:rsidR="00DA68D8" w:rsidRPr="00AB4C1A">
        <w:rPr>
          <w:rFonts w:ascii="Times New Roman" w:hAnsi="Times New Roman" w:cs="Times New Roman"/>
          <w:sz w:val="24"/>
          <w:szCs w:val="24"/>
        </w:rPr>
        <w:t>, the integration of environmental policies, either intra-departmental, cross disciplinary or otherwise</w:t>
      </w:r>
      <w:r w:rsidR="0031652F" w:rsidRPr="00AB4C1A">
        <w:rPr>
          <w:rFonts w:ascii="Times New Roman" w:hAnsi="Times New Roman" w:cs="Times New Roman"/>
          <w:sz w:val="24"/>
          <w:szCs w:val="24"/>
        </w:rPr>
        <w:t>,</w:t>
      </w:r>
      <w:r w:rsidR="00DA68D8" w:rsidRPr="00AB4C1A">
        <w:rPr>
          <w:rFonts w:ascii="Times New Roman" w:hAnsi="Times New Roman" w:cs="Times New Roman"/>
          <w:sz w:val="24"/>
          <w:szCs w:val="24"/>
        </w:rPr>
        <w:t xml:space="preserve"> </w:t>
      </w:r>
      <w:r w:rsidR="008368C5" w:rsidRPr="00AB4C1A">
        <w:rPr>
          <w:rFonts w:ascii="Times New Roman" w:hAnsi="Times New Roman" w:cs="Times New Roman"/>
          <w:sz w:val="24"/>
          <w:szCs w:val="24"/>
        </w:rPr>
        <w:t xml:space="preserve">can </w:t>
      </w:r>
      <w:r w:rsidR="00DA68D8" w:rsidRPr="00AB4C1A">
        <w:rPr>
          <w:rFonts w:ascii="Times New Roman" w:hAnsi="Times New Roman" w:cs="Times New Roman"/>
          <w:sz w:val="24"/>
          <w:szCs w:val="24"/>
        </w:rPr>
        <w:t xml:space="preserve">also come with restrictions </w:t>
      </w:r>
      <w:r w:rsidR="00FB34DD" w:rsidRPr="00AB4C1A">
        <w:rPr>
          <w:rFonts w:ascii="Times New Roman" w:hAnsi="Times New Roman" w:cs="Times New Roman"/>
          <w:sz w:val="24"/>
          <w:szCs w:val="24"/>
        </w:rPr>
        <w:t>such as funding, particular</w:t>
      </w:r>
      <w:r w:rsidR="000E1C30" w:rsidRPr="00AB4C1A">
        <w:rPr>
          <w:rFonts w:ascii="Times New Roman" w:hAnsi="Times New Roman" w:cs="Times New Roman"/>
          <w:sz w:val="24"/>
          <w:szCs w:val="24"/>
        </w:rPr>
        <w:t>ly</w:t>
      </w:r>
      <w:r w:rsidR="00FB34DD" w:rsidRPr="00AB4C1A">
        <w:rPr>
          <w:rFonts w:ascii="Times New Roman" w:hAnsi="Times New Roman" w:cs="Times New Roman"/>
          <w:sz w:val="24"/>
          <w:szCs w:val="24"/>
        </w:rPr>
        <w:t xml:space="preserve"> </w:t>
      </w:r>
      <w:r w:rsidR="000E1C30" w:rsidRPr="00AB4C1A">
        <w:rPr>
          <w:rFonts w:ascii="Times New Roman" w:hAnsi="Times New Roman" w:cs="Times New Roman"/>
          <w:sz w:val="24"/>
          <w:szCs w:val="24"/>
        </w:rPr>
        <w:t>in terms of</w:t>
      </w:r>
      <w:r w:rsidR="00FB34DD" w:rsidRPr="00AB4C1A">
        <w:rPr>
          <w:rFonts w:ascii="Times New Roman" w:hAnsi="Times New Roman" w:cs="Times New Roman"/>
          <w:sz w:val="24"/>
          <w:szCs w:val="24"/>
        </w:rPr>
        <w:t xml:space="preserve"> </w:t>
      </w:r>
      <w:r w:rsidR="006B32FE" w:rsidRPr="00AB4C1A">
        <w:rPr>
          <w:rFonts w:ascii="Times New Roman" w:hAnsi="Times New Roman" w:cs="Times New Roman"/>
          <w:sz w:val="24"/>
          <w:szCs w:val="24"/>
        </w:rPr>
        <w:t>a</w:t>
      </w:r>
      <w:r w:rsidR="00FB34DD" w:rsidRPr="00AB4C1A">
        <w:rPr>
          <w:rFonts w:ascii="Times New Roman" w:hAnsi="Times New Roman" w:cs="Times New Roman"/>
          <w:sz w:val="24"/>
          <w:szCs w:val="24"/>
        </w:rPr>
        <w:t xml:space="preserve">ir </w:t>
      </w:r>
      <w:r w:rsidR="006B32FE" w:rsidRPr="00AB4C1A">
        <w:rPr>
          <w:rFonts w:ascii="Times New Roman" w:hAnsi="Times New Roman" w:cs="Times New Roman"/>
          <w:sz w:val="24"/>
          <w:szCs w:val="24"/>
        </w:rPr>
        <w:t>q</w:t>
      </w:r>
      <w:r w:rsidR="00FB34DD" w:rsidRPr="00AB4C1A">
        <w:rPr>
          <w:rFonts w:ascii="Times New Roman" w:hAnsi="Times New Roman" w:cs="Times New Roman"/>
          <w:sz w:val="24"/>
          <w:szCs w:val="24"/>
        </w:rPr>
        <w:t>uality</w:t>
      </w:r>
      <w:r w:rsidR="000E1C30" w:rsidRPr="00AB4C1A">
        <w:rPr>
          <w:rFonts w:ascii="Times New Roman" w:hAnsi="Times New Roman" w:cs="Times New Roman"/>
          <w:sz w:val="24"/>
          <w:szCs w:val="24"/>
        </w:rPr>
        <w:t xml:space="preserve"> policy implementation</w:t>
      </w:r>
      <w:r w:rsidR="00DA68D8" w:rsidRPr="00AB4C1A">
        <w:rPr>
          <w:rFonts w:ascii="Times New Roman" w:hAnsi="Times New Roman" w:cs="Times New Roman"/>
          <w:sz w:val="24"/>
          <w:szCs w:val="24"/>
        </w:rPr>
        <w:t xml:space="preserve"> (</w:t>
      </w:r>
      <w:proofErr w:type="spellStart"/>
      <w:r w:rsidR="00DA68D8" w:rsidRPr="00AB4C1A">
        <w:rPr>
          <w:rFonts w:ascii="Times New Roman" w:hAnsi="Times New Roman" w:cs="Times New Roman"/>
          <w:sz w:val="24"/>
          <w:szCs w:val="24"/>
        </w:rPr>
        <w:t>Olow</w:t>
      </w:r>
      <w:r w:rsidR="00C2335F" w:rsidRPr="00AB4C1A">
        <w:rPr>
          <w:rFonts w:ascii="Times New Roman" w:hAnsi="Times New Roman" w:cs="Times New Roman"/>
          <w:sz w:val="24"/>
          <w:szCs w:val="24"/>
        </w:rPr>
        <w:t>o</w:t>
      </w:r>
      <w:r w:rsidR="00DA68D8" w:rsidRPr="00AB4C1A">
        <w:rPr>
          <w:rFonts w:ascii="Times New Roman" w:hAnsi="Times New Roman" w:cs="Times New Roman"/>
          <w:sz w:val="24"/>
          <w:szCs w:val="24"/>
        </w:rPr>
        <w:t>por</w:t>
      </w:r>
      <w:r w:rsidR="00C2335F" w:rsidRPr="00AB4C1A">
        <w:rPr>
          <w:rFonts w:ascii="Times New Roman" w:hAnsi="Times New Roman" w:cs="Times New Roman"/>
          <w:sz w:val="24"/>
          <w:szCs w:val="24"/>
        </w:rPr>
        <w:t>o</w:t>
      </w:r>
      <w:r w:rsidR="00DA68D8" w:rsidRPr="00AB4C1A">
        <w:rPr>
          <w:rFonts w:ascii="Times New Roman" w:hAnsi="Times New Roman" w:cs="Times New Roman"/>
          <w:sz w:val="24"/>
          <w:szCs w:val="24"/>
        </w:rPr>
        <w:t>ku</w:t>
      </w:r>
      <w:proofErr w:type="spellEnd"/>
      <w:r w:rsidR="00DA68D8" w:rsidRPr="00AB4C1A">
        <w:rPr>
          <w:rFonts w:ascii="Times New Roman" w:hAnsi="Times New Roman" w:cs="Times New Roman"/>
          <w:sz w:val="24"/>
          <w:szCs w:val="24"/>
        </w:rPr>
        <w:t xml:space="preserve">, </w:t>
      </w:r>
      <w:r w:rsidR="00DA68D8" w:rsidRPr="00AB4C1A">
        <w:rPr>
          <w:rFonts w:ascii="Times New Roman" w:hAnsi="Times New Roman" w:cs="Times New Roman"/>
          <w:i/>
          <w:iCs/>
          <w:sz w:val="24"/>
          <w:szCs w:val="24"/>
        </w:rPr>
        <w:t>et al</w:t>
      </w:r>
      <w:r w:rsidR="00FB34DD" w:rsidRPr="00AB4C1A">
        <w:rPr>
          <w:rFonts w:ascii="Times New Roman" w:hAnsi="Times New Roman" w:cs="Times New Roman"/>
          <w:i/>
          <w:iCs/>
          <w:sz w:val="24"/>
          <w:szCs w:val="24"/>
        </w:rPr>
        <w:t>.</w:t>
      </w:r>
      <w:r w:rsidR="000E1C30" w:rsidRPr="00AB4C1A">
        <w:rPr>
          <w:rFonts w:ascii="Times New Roman" w:hAnsi="Times New Roman" w:cs="Times New Roman"/>
          <w:i/>
          <w:iCs/>
          <w:sz w:val="24"/>
          <w:szCs w:val="24"/>
        </w:rPr>
        <w:t>,</w:t>
      </w:r>
      <w:r w:rsidR="00DA68D8" w:rsidRPr="00AB4C1A">
        <w:rPr>
          <w:rFonts w:ascii="Times New Roman" w:hAnsi="Times New Roman" w:cs="Times New Roman"/>
          <w:sz w:val="24"/>
          <w:szCs w:val="24"/>
        </w:rPr>
        <w:t xml:space="preserve"> 2012; </w:t>
      </w:r>
      <w:proofErr w:type="spellStart"/>
      <w:r w:rsidR="00DA68D8" w:rsidRPr="00AB4C1A">
        <w:rPr>
          <w:rFonts w:ascii="Times New Roman" w:hAnsi="Times New Roman" w:cs="Times New Roman"/>
          <w:sz w:val="24"/>
          <w:szCs w:val="24"/>
        </w:rPr>
        <w:t>Čavoški</w:t>
      </w:r>
      <w:proofErr w:type="spellEnd"/>
      <w:r w:rsidR="00DA68D8" w:rsidRPr="00AB4C1A">
        <w:rPr>
          <w:rFonts w:ascii="Times New Roman" w:hAnsi="Times New Roman" w:cs="Times New Roman"/>
          <w:sz w:val="24"/>
          <w:szCs w:val="24"/>
        </w:rPr>
        <w:t>, 2017).</w:t>
      </w:r>
      <w:r w:rsidR="005E08B2" w:rsidRPr="00AB4C1A">
        <w:rPr>
          <w:rFonts w:ascii="Times New Roman" w:hAnsi="Times New Roman" w:cs="Times New Roman"/>
          <w:sz w:val="24"/>
          <w:szCs w:val="24"/>
        </w:rPr>
        <w:t xml:space="preserve"> </w:t>
      </w:r>
    </w:p>
    <w:p w14:paraId="5D14A96D" w14:textId="77777777" w:rsidR="00E46D29" w:rsidRPr="00AB4C1A" w:rsidRDefault="00067FB9"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A comprehensive review of the EU implementation literature is beyond the scope of this paper; what is relevant for the purposes of this paper is the</w:t>
      </w:r>
      <w:r w:rsidR="00E46D29" w:rsidRPr="00AB4C1A">
        <w:rPr>
          <w:rFonts w:ascii="Times New Roman" w:hAnsi="Times New Roman" w:cs="Times New Roman"/>
          <w:sz w:val="24"/>
          <w:szCs w:val="24"/>
        </w:rPr>
        <w:t xml:space="preserve"> </w:t>
      </w:r>
      <w:r w:rsidR="00594968" w:rsidRPr="00AB4C1A">
        <w:rPr>
          <w:rFonts w:ascii="Times New Roman" w:hAnsi="Times New Roman" w:cs="Times New Roman"/>
          <w:sz w:val="24"/>
          <w:szCs w:val="24"/>
        </w:rPr>
        <w:t xml:space="preserve">difference </w:t>
      </w:r>
      <w:r w:rsidR="00E46D29" w:rsidRPr="00AB4C1A">
        <w:rPr>
          <w:rFonts w:ascii="Times New Roman" w:hAnsi="Times New Roman" w:cs="Times New Roman"/>
          <w:sz w:val="24"/>
          <w:szCs w:val="24"/>
        </w:rPr>
        <w:t xml:space="preserve">between </w:t>
      </w:r>
      <w:r w:rsidR="00594968" w:rsidRPr="00AB4C1A">
        <w:rPr>
          <w:rFonts w:ascii="Times New Roman" w:hAnsi="Times New Roman" w:cs="Times New Roman"/>
          <w:sz w:val="24"/>
          <w:szCs w:val="24"/>
        </w:rPr>
        <w:t xml:space="preserve">the </w:t>
      </w:r>
      <w:r w:rsidR="00E46D29" w:rsidRPr="00AB4C1A">
        <w:rPr>
          <w:rFonts w:ascii="Times New Roman" w:hAnsi="Times New Roman" w:cs="Times New Roman"/>
          <w:sz w:val="24"/>
          <w:szCs w:val="24"/>
        </w:rPr>
        <w:t>legal and practical implementation of EU law (</w:t>
      </w:r>
      <w:proofErr w:type="spellStart"/>
      <w:r w:rsidR="00E46D29" w:rsidRPr="00AB4C1A">
        <w:rPr>
          <w:rFonts w:ascii="Times New Roman" w:hAnsi="Times New Roman" w:cs="Times New Roman"/>
          <w:sz w:val="24"/>
          <w:szCs w:val="24"/>
        </w:rPr>
        <w:t>Zhelyazkova</w:t>
      </w:r>
      <w:proofErr w:type="spellEnd"/>
      <w:r w:rsidR="00E46D29" w:rsidRPr="00AB4C1A">
        <w:rPr>
          <w:rFonts w:ascii="Times New Roman" w:hAnsi="Times New Roman" w:cs="Times New Roman"/>
          <w:sz w:val="24"/>
          <w:szCs w:val="24"/>
        </w:rPr>
        <w:t xml:space="preserve">, Kaya, &amp; </w:t>
      </w:r>
      <w:proofErr w:type="spellStart"/>
      <w:r w:rsidR="00E46D29" w:rsidRPr="00AB4C1A">
        <w:rPr>
          <w:rFonts w:ascii="Times New Roman" w:hAnsi="Times New Roman" w:cs="Times New Roman"/>
          <w:sz w:val="24"/>
          <w:szCs w:val="24"/>
        </w:rPr>
        <w:t>Schrama</w:t>
      </w:r>
      <w:proofErr w:type="spellEnd"/>
      <w:r w:rsidR="00E46D29" w:rsidRPr="00AB4C1A">
        <w:rPr>
          <w:rFonts w:ascii="Times New Roman" w:hAnsi="Times New Roman" w:cs="Times New Roman"/>
          <w:sz w:val="24"/>
          <w:szCs w:val="24"/>
        </w:rPr>
        <w:t>,</w:t>
      </w:r>
      <w:r w:rsidR="00220D09" w:rsidRPr="00AB4C1A">
        <w:rPr>
          <w:rFonts w:ascii="Times New Roman" w:hAnsi="Times New Roman" w:cs="Times New Roman"/>
          <w:sz w:val="24"/>
          <w:szCs w:val="24"/>
        </w:rPr>
        <w:t xml:space="preserve"> 2016</w:t>
      </w:r>
      <w:r w:rsidR="00E46D29" w:rsidRPr="00AB4C1A">
        <w:rPr>
          <w:rFonts w:ascii="Times New Roman" w:hAnsi="Times New Roman" w:cs="Times New Roman"/>
          <w:sz w:val="24"/>
          <w:szCs w:val="24"/>
        </w:rPr>
        <w:t xml:space="preserve">). </w:t>
      </w:r>
      <w:r w:rsidR="00582874" w:rsidRPr="00AB4C1A">
        <w:rPr>
          <w:rFonts w:ascii="Times New Roman" w:hAnsi="Times New Roman" w:cs="Times New Roman"/>
          <w:sz w:val="24"/>
          <w:szCs w:val="24"/>
        </w:rPr>
        <w:t>Member states</w:t>
      </w:r>
      <w:r w:rsidR="00E46D29" w:rsidRPr="00AB4C1A">
        <w:rPr>
          <w:rFonts w:ascii="Times New Roman" w:hAnsi="Times New Roman" w:cs="Times New Roman"/>
          <w:sz w:val="24"/>
          <w:szCs w:val="24"/>
        </w:rPr>
        <w:t xml:space="preserve"> may be compliant by </w:t>
      </w:r>
      <w:r w:rsidR="00646B74" w:rsidRPr="00AB4C1A">
        <w:rPr>
          <w:rFonts w:ascii="Times New Roman" w:hAnsi="Times New Roman" w:cs="Times New Roman"/>
          <w:sz w:val="24"/>
          <w:szCs w:val="24"/>
        </w:rPr>
        <w:t>following</w:t>
      </w:r>
      <w:r w:rsidR="00E46D29" w:rsidRPr="00AB4C1A">
        <w:rPr>
          <w:rFonts w:ascii="Times New Roman" w:hAnsi="Times New Roman" w:cs="Times New Roman"/>
          <w:sz w:val="24"/>
          <w:szCs w:val="24"/>
        </w:rPr>
        <w:t xml:space="preserve"> procedures as stipulated by the directive</w:t>
      </w:r>
      <w:r w:rsidR="00582874" w:rsidRPr="00AB4C1A">
        <w:rPr>
          <w:rFonts w:ascii="Times New Roman" w:hAnsi="Times New Roman" w:cs="Times New Roman"/>
          <w:sz w:val="24"/>
          <w:szCs w:val="24"/>
        </w:rPr>
        <w:t xml:space="preserve"> </w:t>
      </w:r>
      <w:r w:rsidR="00220D09" w:rsidRPr="00AB4C1A">
        <w:rPr>
          <w:rFonts w:ascii="Times New Roman" w:hAnsi="Times New Roman" w:cs="Times New Roman"/>
          <w:sz w:val="24"/>
          <w:szCs w:val="24"/>
        </w:rPr>
        <w:t>(</w:t>
      </w:r>
      <w:proofErr w:type="spellStart"/>
      <w:r w:rsidR="00220D09" w:rsidRPr="00AB4C1A">
        <w:rPr>
          <w:rFonts w:ascii="Times New Roman" w:hAnsi="Times New Roman" w:cs="Times New Roman"/>
          <w:sz w:val="24"/>
          <w:szCs w:val="24"/>
        </w:rPr>
        <w:t>Héritier</w:t>
      </w:r>
      <w:proofErr w:type="spellEnd"/>
      <w:r w:rsidR="00220D09" w:rsidRPr="00AB4C1A">
        <w:rPr>
          <w:rFonts w:ascii="Times New Roman" w:hAnsi="Times New Roman" w:cs="Times New Roman"/>
          <w:sz w:val="24"/>
          <w:szCs w:val="24"/>
        </w:rPr>
        <w:t>, 2002</w:t>
      </w:r>
      <w:r w:rsidR="00582874" w:rsidRPr="00AB4C1A">
        <w:rPr>
          <w:rFonts w:ascii="Times New Roman" w:hAnsi="Times New Roman" w:cs="Times New Roman"/>
          <w:sz w:val="24"/>
          <w:szCs w:val="24"/>
        </w:rPr>
        <w:t xml:space="preserve">; </w:t>
      </w:r>
      <w:proofErr w:type="spellStart"/>
      <w:r w:rsidR="00582874" w:rsidRPr="00AB4C1A">
        <w:rPr>
          <w:rFonts w:ascii="Times New Roman" w:hAnsi="Times New Roman" w:cs="Times New Roman"/>
          <w:sz w:val="24"/>
          <w:szCs w:val="24"/>
        </w:rPr>
        <w:t>Liefferink</w:t>
      </w:r>
      <w:proofErr w:type="spellEnd"/>
      <w:r w:rsidR="00582874" w:rsidRPr="00AB4C1A">
        <w:rPr>
          <w:rFonts w:ascii="Times New Roman" w:hAnsi="Times New Roman" w:cs="Times New Roman"/>
          <w:sz w:val="24"/>
          <w:szCs w:val="24"/>
        </w:rPr>
        <w:t xml:space="preserve">, </w:t>
      </w:r>
      <w:proofErr w:type="spellStart"/>
      <w:r w:rsidR="00582874" w:rsidRPr="00AB4C1A">
        <w:rPr>
          <w:rFonts w:ascii="Times New Roman" w:hAnsi="Times New Roman" w:cs="Times New Roman"/>
          <w:sz w:val="24"/>
          <w:szCs w:val="24"/>
        </w:rPr>
        <w:t>Wiering</w:t>
      </w:r>
      <w:proofErr w:type="spellEnd"/>
      <w:r w:rsidR="00582874" w:rsidRPr="00AB4C1A">
        <w:rPr>
          <w:rFonts w:ascii="Times New Roman" w:hAnsi="Times New Roman" w:cs="Times New Roman"/>
          <w:sz w:val="24"/>
          <w:szCs w:val="24"/>
        </w:rPr>
        <w:t xml:space="preserve"> &amp; </w:t>
      </w:r>
      <w:proofErr w:type="spellStart"/>
      <w:r w:rsidR="00582874" w:rsidRPr="00AB4C1A">
        <w:rPr>
          <w:rFonts w:ascii="Times New Roman" w:hAnsi="Times New Roman" w:cs="Times New Roman"/>
          <w:sz w:val="24"/>
          <w:szCs w:val="24"/>
        </w:rPr>
        <w:t>Uitenboogaart</w:t>
      </w:r>
      <w:proofErr w:type="spellEnd"/>
      <w:r w:rsidR="00582874" w:rsidRPr="00AB4C1A">
        <w:rPr>
          <w:rFonts w:ascii="Times New Roman" w:hAnsi="Times New Roman" w:cs="Times New Roman"/>
          <w:sz w:val="24"/>
          <w:szCs w:val="24"/>
        </w:rPr>
        <w:t>, 2011)</w:t>
      </w:r>
      <w:r w:rsidR="00E46D29" w:rsidRPr="00AB4C1A">
        <w:rPr>
          <w:rFonts w:ascii="Times New Roman" w:hAnsi="Times New Roman" w:cs="Times New Roman"/>
          <w:sz w:val="24"/>
          <w:szCs w:val="24"/>
        </w:rPr>
        <w:t xml:space="preserve">, however, they </w:t>
      </w:r>
      <w:r w:rsidR="00594968" w:rsidRPr="00AB4C1A">
        <w:rPr>
          <w:rFonts w:ascii="Times New Roman" w:hAnsi="Times New Roman" w:cs="Times New Roman"/>
          <w:sz w:val="24"/>
          <w:szCs w:val="24"/>
        </w:rPr>
        <w:t xml:space="preserve">can </w:t>
      </w:r>
      <w:r w:rsidR="00037D9C" w:rsidRPr="00AB4C1A">
        <w:rPr>
          <w:rFonts w:ascii="Times New Roman" w:hAnsi="Times New Roman" w:cs="Times New Roman"/>
          <w:sz w:val="24"/>
          <w:szCs w:val="24"/>
        </w:rPr>
        <w:t xml:space="preserve">still fall short </w:t>
      </w:r>
      <w:r w:rsidR="00646B74" w:rsidRPr="00AB4C1A">
        <w:rPr>
          <w:rFonts w:ascii="Times New Roman" w:hAnsi="Times New Roman" w:cs="Times New Roman"/>
          <w:sz w:val="24"/>
          <w:szCs w:val="24"/>
        </w:rPr>
        <w:t xml:space="preserve">of </w:t>
      </w:r>
      <w:r w:rsidR="00037D9C" w:rsidRPr="00AB4C1A">
        <w:rPr>
          <w:rFonts w:ascii="Times New Roman" w:hAnsi="Times New Roman" w:cs="Times New Roman"/>
          <w:sz w:val="24"/>
          <w:szCs w:val="24"/>
        </w:rPr>
        <w:t>achieving the intended outcome</w:t>
      </w:r>
      <w:r w:rsidR="00E46D29" w:rsidRPr="00AB4C1A">
        <w:rPr>
          <w:rFonts w:ascii="Times New Roman" w:hAnsi="Times New Roman" w:cs="Times New Roman"/>
          <w:sz w:val="24"/>
          <w:szCs w:val="24"/>
        </w:rPr>
        <w:t xml:space="preserve"> (e.g. LAQM in the UK (Longhurst </w:t>
      </w:r>
      <w:r w:rsidR="00E46D29" w:rsidRPr="00AB4C1A">
        <w:rPr>
          <w:rFonts w:ascii="Times New Roman" w:hAnsi="Times New Roman" w:cs="Times New Roman"/>
          <w:i/>
          <w:sz w:val="24"/>
          <w:szCs w:val="24"/>
        </w:rPr>
        <w:t>et al.</w:t>
      </w:r>
      <w:r w:rsidR="00E46D29" w:rsidRPr="00AB4C1A">
        <w:rPr>
          <w:rFonts w:ascii="Times New Roman" w:hAnsi="Times New Roman" w:cs="Times New Roman"/>
          <w:sz w:val="24"/>
          <w:szCs w:val="24"/>
        </w:rPr>
        <w:t>, 2009</w:t>
      </w:r>
      <w:r w:rsidR="00DB35F5" w:rsidRPr="00AB4C1A">
        <w:rPr>
          <w:rFonts w:ascii="Times New Roman" w:hAnsi="Times New Roman" w:cs="Times New Roman"/>
          <w:sz w:val="24"/>
          <w:szCs w:val="24"/>
        </w:rPr>
        <w:t>))</w:t>
      </w:r>
      <w:r w:rsidR="00E46D29" w:rsidRPr="00AB4C1A">
        <w:rPr>
          <w:rFonts w:ascii="Times New Roman" w:hAnsi="Times New Roman" w:cs="Times New Roman"/>
          <w:sz w:val="24"/>
          <w:szCs w:val="24"/>
        </w:rPr>
        <w:t xml:space="preserve"> </w:t>
      </w:r>
      <w:r w:rsidR="00DB35F5" w:rsidRPr="00AB4C1A">
        <w:rPr>
          <w:rFonts w:ascii="Times New Roman" w:hAnsi="Times New Roman" w:cs="Times New Roman"/>
          <w:sz w:val="24"/>
          <w:szCs w:val="24"/>
        </w:rPr>
        <w:t>(</w:t>
      </w:r>
      <w:proofErr w:type="spellStart"/>
      <w:r w:rsidR="00E46D29" w:rsidRPr="00AB4C1A">
        <w:rPr>
          <w:rFonts w:ascii="Times New Roman" w:hAnsi="Times New Roman" w:cs="Times New Roman"/>
          <w:sz w:val="24"/>
          <w:szCs w:val="24"/>
        </w:rPr>
        <w:t>Leventon</w:t>
      </w:r>
      <w:proofErr w:type="spellEnd"/>
      <w:r w:rsidR="00E46D29" w:rsidRPr="00AB4C1A">
        <w:rPr>
          <w:rFonts w:ascii="Times New Roman" w:hAnsi="Times New Roman" w:cs="Times New Roman"/>
          <w:sz w:val="24"/>
          <w:szCs w:val="24"/>
        </w:rPr>
        <w:t xml:space="preserve">, 2015). </w:t>
      </w:r>
      <w:r w:rsidR="00C26AEC" w:rsidRPr="00AB4C1A">
        <w:rPr>
          <w:rFonts w:ascii="Times New Roman" w:hAnsi="Times New Roman" w:cs="Times New Roman"/>
          <w:sz w:val="24"/>
          <w:szCs w:val="24"/>
        </w:rPr>
        <w:t xml:space="preserve">In order to </w:t>
      </w:r>
      <w:r w:rsidR="00594968" w:rsidRPr="00AB4C1A">
        <w:rPr>
          <w:rFonts w:ascii="Times New Roman" w:hAnsi="Times New Roman" w:cs="Times New Roman"/>
          <w:sz w:val="24"/>
          <w:szCs w:val="24"/>
        </w:rPr>
        <w:t>meaningfully assess</w:t>
      </w:r>
      <w:r w:rsidR="000037D4" w:rsidRPr="00AB4C1A">
        <w:rPr>
          <w:rFonts w:ascii="Times New Roman" w:hAnsi="Times New Roman" w:cs="Times New Roman"/>
          <w:sz w:val="24"/>
          <w:szCs w:val="24"/>
        </w:rPr>
        <w:t xml:space="preserve"> practical impl</w:t>
      </w:r>
      <w:r w:rsidR="00646B74" w:rsidRPr="00AB4C1A">
        <w:rPr>
          <w:rFonts w:ascii="Times New Roman" w:hAnsi="Times New Roman" w:cs="Times New Roman"/>
          <w:sz w:val="24"/>
          <w:szCs w:val="24"/>
        </w:rPr>
        <w:t>e</w:t>
      </w:r>
      <w:r w:rsidR="000037D4" w:rsidRPr="00AB4C1A">
        <w:rPr>
          <w:rFonts w:ascii="Times New Roman" w:hAnsi="Times New Roman" w:cs="Times New Roman"/>
          <w:sz w:val="24"/>
          <w:szCs w:val="24"/>
        </w:rPr>
        <w:t>mentation</w:t>
      </w:r>
      <w:r w:rsidR="00C26AEC" w:rsidRPr="00AB4C1A">
        <w:rPr>
          <w:rFonts w:ascii="Times New Roman" w:hAnsi="Times New Roman" w:cs="Times New Roman"/>
          <w:sz w:val="24"/>
          <w:szCs w:val="24"/>
        </w:rPr>
        <w:t>,</w:t>
      </w:r>
      <w:r w:rsidR="00877E8B" w:rsidRPr="00AB4C1A">
        <w:rPr>
          <w:rFonts w:ascii="Times New Roman" w:hAnsi="Times New Roman" w:cs="Times New Roman"/>
          <w:sz w:val="24"/>
          <w:szCs w:val="24"/>
        </w:rPr>
        <w:t xml:space="preserve"> UK LAs need</w:t>
      </w:r>
      <w:r w:rsidR="00C26AEC" w:rsidRPr="00AB4C1A">
        <w:rPr>
          <w:rFonts w:ascii="Times New Roman" w:hAnsi="Times New Roman" w:cs="Times New Roman"/>
          <w:sz w:val="24"/>
          <w:szCs w:val="24"/>
        </w:rPr>
        <w:t xml:space="preserve"> an assessment tool </w:t>
      </w:r>
      <w:r w:rsidR="00877E8B" w:rsidRPr="00AB4C1A">
        <w:rPr>
          <w:rFonts w:ascii="Times New Roman" w:hAnsi="Times New Roman" w:cs="Times New Roman"/>
          <w:sz w:val="24"/>
          <w:szCs w:val="24"/>
        </w:rPr>
        <w:t>that goes</w:t>
      </w:r>
      <w:r w:rsidR="00C26AEC" w:rsidRPr="00AB4C1A">
        <w:rPr>
          <w:rFonts w:ascii="Times New Roman" w:hAnsi="Times New Roman" w:cs="Times New Roman"/>
          <w:sz w:val="24"/>
          <w:szCs w:val="24"/>
        </w:rPr>
        <w:t xml:space="preserve"> beyond </w:t>
      </w:r>
      <w:r w:rsidR="00877E8B" w:rsidRPr="00AB4C1A">
        <w:rPr>
          <w:rFonts w:ascii="Times New Roman" w:hAnsi="Times New Roman" w:cs="Times New Roman"/>
          <w:sz w:val="24"/>
          <w:szCs w:val="24"/>
        </w:rPr>
        <w:t xml:space="preserve">a </w:t>
      </w:r>
      <w:r w:rsidR="00296763" w:rsidRPr="00AB4C1A">
        <w:rPr>
          <w:rFonts w:ascii="Times New Roman" w:hAnsi="Times New Roman" w:cs="Times New Roman"/>
          <w:sz w:val="24"/>
          <w:szCs w:val="24"/>
        </w:rPr>
        <w:t xml:space="preserve">dichotomous </w:t>
      </w:r>
      <w:r w:rsidR="00877E8B" w:rsidRPr="00AB4C1A">
        <w:rPr>
          <w:rFonts w:ascii="Times New Roman" w:hAnsi="Times New Roman" w:cs="Times New Roman"/>
          <w:sz w:val="24"/>
          <w:szCs w:val="24"/>
        </w:rPr>
        <w:t>approach to compliance</w:t>
      </w:r>
      <w:r w:rsidR="004A464B" w:rsidRPr="00AB4C1A">
        <w:rPr>
          <w:rFonts w:ascii="Times New Roman" w:hAnsi="Times New Roman" w:cs="Times New Roman"/>
          <w:sz w:val="24"/>
          <w:szCs w:val="24"/>
        </w:rPr>
        <w:t>,</w:t>
      </w:r>
      <w:r w:rsidR="00877E8B" w:rsidRPr="00AB4C1A">
        <w:rPr>
          <w:rFonts w:ascii="Times New Roman" w:hAnsi="Times New Roman" w:cs="Times New Roman"/>
          <w:sz w:val="24"/>
          <w:szCs w:val="24"/>
        </w:rPr>
        <w:t xml:space="preserve"> that is tailored to the UK context</w:t>
      </w:r>
      <w:r w:rsidR="004A464B" w:rsidRPr="00AB4C1A">
        <w:rPr>
          <w:rFonts w:ascii="Times New Roman" w:hAnsi="Times New Roman" w:cs="Times New Roman"/>
          <w:sz w:val="24"/>
          <w:szCs w:val="24"/>
        </w:rPr>
        <w:t xml:space="preserve"> and that contributes to closing the policy disconnect</w:t>
      </w:r>
      <w:r w:rsidR="00147328" w:rsidRPr="00AB4C1A">
        <w:rPr>
          <w:rFonts w:ascii="Times New Roman" w:hAnsi="Times New Roman" w:cs="Times New Roman"/>
          <w:sz w:val="24"/>
          <w:szCs w:val="24"/>
        </w:rPr>
        <w:t>.</w:t>
      </w:r>
    </w:p>
    <w:p w14:paraId="7CB49196" w14:textId="5430151F" w:rsidR="00C770E8" w:rsidRPr="00AB4C1A" w:rsidRDefault="0086285C">
      <w:pPr>
        <w:spacing w:line="240" w:lineRule="auto"/>
        <w:rPr>
          <w:rFonts w:ascii="Times New Roman" w:hAnsi="Times New Roman" w:cs="Times New Roman"/>
          <w:sz w:val="24"/>
          <w:szCs w:val="24"/>
        </w:rPr>
      </w:pPr>
      <w:r w:rsidRPr="00AB4C1A">
        <w:rPr>
          <w:rFonts w:ascii="Times New Roman" w:hAnsi="Times New Roman" w:cs="Times New Roman"/>
          <w:sz w:val="24"/>
          <w:szCs w:val="24"/>
        </w:rPr>
        <w:t>In the UK, r</w:t>
      </w:r>
      <w:r w:rsidR="00C770E8" w:rsidRPr="00AB4C1A">
        <w:rPr>
          <w:rFonts w:ascii="Times New Roman" w:hAnsi="Times New Roman" w:cs="Times New Roman"/>
          <w:sz w:val="24"/>
          <w:szCs w:val="24"/>
        </w:rPr>
        <w:t>esponsibility for meeting EU limit values</w:t>
      </w:r>
      <w:r w:rsidR="00594968" w:rsidRPr="00AB4C1A">
        <w:rPr>
          <w:rFonts w:ascii="Times New Roman" w:hAnsi="Times New Roman" w:cs="Times New Roman"/>
          <w:sz w:val="24"/>
          <w:szCs w:val="24"/>
        </w:rPr>
        <w:t xml:space="preserve"> is</w:t>
      </w:r>
      <w:r w:rsidR="00C770E8" w:rsidRPr="00AB4C1A">
        <w:rPr>
          <w:rFonts w:ascii="Times New Roman" w:hAnsi="Times New Roman" w:cs="Times New Roman"/>
          <w:sz w:val="24"/>
          <w:szCs w:val="24"/>
        </w:rPr>
        <w:t xml:space="preserve"> devolved to the national administrations, who together </w:t>
      </w:r>
      <w:r w:rsidR="00F331A7" w:rsidRPr="00AB4C1A">
        <w:rPr>
          <w:rFonts w:ascii="Times New Roman" w:hAnsi="Times New Roman" w:cs="Times New Roman"/>
          <w:sz w:val="24"/>
          <w:szCs w:val="24"/>
        </w:rPr>
        <w:t xml:space="preserve">with Defra </w:t>
      </w:r>
      <w:r w:rsidR="00594968" w:rsidRPr="00AB4C1A">
        <w:rPr>
          <w:rFonts w:ascii="Times New Roman" w:hAnsi="Times New Roman" w:cs="Times New Roman"/>
          <w:sz w:val="24"/>
          <w:szCs w:val="24"/>
        </w:rPr>
        <w:t xml:space="preserve">have </w:t>
      </w:r>
      <w:r w:rsidR="00C770E8" w:rsidRPr="00AB4C1A">
        <w:rPr>
          <w:rFonts w:ascii="Times New Roman" w:hAnsi="Times New Roman" w:cs="Times New Roman"/>
          <w:sz w:val="24"/>
          <w:szCs w:val="24"/>
        </w:rPr>
        <w:t>produced the UK Air Quality Strategy (AQS) (</w:t>
      </w:r>
      <w:r w:rsidR="00F65E3C" w:rsidRPr="00AB4C1A">
        <w:rPr>
          <w:rFonts w:ascii="Times New Roman" w:hAnsi="Times New Roman" w:cs="Times New Roman"/>
          <w:sz w:val="24"/>
          <w:szCs w:val="24"/>
        </w:rPr>
        <w:t>Defra</w:t>
      </w:r>
      <w:r w:rsidR="00C770E8" w:rsidRPr="00AB4C1A">
        <w:rPr>
          <w:rFonts w:ascii="Times New Roman" w:hAnsi="Times New Roman" w:cs="Times New Roman"/>
          <w:sz w:val="24"/>
          <w:szCs w:val="24"/>
        </w:rPr>
        <w:t>, 2018a</w:t>
      </w:r>
      <w:r w:rsidRPr="00AB4C1A">
        <w:rPr>
          <w:rFonts w:ascii="Times New Roman" w:hAnsi="Times New Roman" w:cs="Times New Roman"/>
          <w:sz w:val="24"/>
          <w:szCs w:val="24"/>
        </w:rPr>
        <w:t xml:space="preserve">; (Longhurst </w:t>
      </w:r>
      <w:r w:rsidRPr="00AB4C1A">
        <w:rPr>
          <w:rFonts w:ascii="Times New Roman" w:hAnsi="Times New Roman" w:cs="Times New Roman"/>
          <w:i/>
          <w:sz w:val="24"/>
          <w:szCs w:val="24"/>
        </w:rPr>
        <w:t>et al.</w:t>
      </w:r>
      <w:r w:rsidRPr="00AB4C1A">
        <w:rPr>
          <w:rFonts w:ascii="Times New Roman" w:hAnsi="Times New Roman" w:cs="Times New Roman"/>
          <w:sz w:val="24"/>
          <w:szCs w:val="24"/>
        </w:rPr>
        <w:t>, 2009).</w:t>
      </w:r>
      <w:r w:rsidR="00C770E8" w:rsidRPr="00AB4C1A">
        <w:rPr>
          <w:rFonts w:ascii="Times New Roman" w:hAnsi="Times New Roman" w:cs="Times New Roman"/>
          <w:sz w:val="24"/>
          <w:szCs w:val="24"/>
        </w:rPr>
        <w:t>)</w:t>
      </w:r>
      <w:r w:rsidR="00F331A7" w:rsidRPr="00AB4C1A">
        <w:rPr>
          <w:rFonts w:ascii="Times New Roman" w:hAnsi="Times New Roman" w:cs="Times New Roman"/>
          <w:sz w:val="24"/>
          <w:szCs w:val="24"/>
        </w:rPr>
        <w:t xml:space="preserve">. </w:t>
      </w:r>
      <w:r w:rsidR="00114B34" w:rsidRPr="00AB4C1A">
        <w:rPr>
          <w:rFonts w:ascii="Times New Roman" w:hAnsi="Times New Roman" w:cs="Times New Roman"/>
          <w:sz w:val="24"/>
          <w:szCs w:val="24"/>
        </w:rPr>
        <w:t xml:space="preserve">Parallel to this, the 1995 Environment </w:t>
      </w:r>
      <w:r w:rsidR="00DB35F5" w:rsidRPr="00AB4C1A">
        <w:rPr>
          <w:rFonts w:ascii="Times New Roman" w:hAnsi="Times New Roman" w:cs="Times New Roman"/>
          <w:sz w:val="24"/>
          <w:szCs w:val="24"/>
        </w:rPr>
        <w:t>A</w:t>
      </w:r>
      <w:r w:rsidR="00114B34" w:rsidRPr="00AB4C1A">
        <w:rPr>
          <w:rFonts w:ascii="Times New Roman" w:hAnsi="Times New Roman" w:cs="Times New Roman"/>
          <w:sz w:val="24"/>
          <w:szCs w:val="24"/>
        </w:rPr>
        <w:t xml:space="preserve">ct </w:t>
      </w:r>
      <w:r w:rsidR="00F331A7" w:rsidRPr="00AB4C1A">
        <w:rPr>
          <w:rFonts w:ascii="Times New Roman" w:hAnsi="Times New Roman" w:cs="Times New Roman"/>
          <w:sz w:val="24"/>
          <w:szCs w:val="24"/>
        </w:rPr>
        <w:t xml:space="preserve">defines </w:t>
      </w:r>
      <w:r w:rsidR="00D65F3D" w:rsidRPr="00AB4C1A">
        <w:rPr>
          <w:rFonts w:ascii="Times New Roman" w:hAnsi="Times New Roman" w:cs="Times New Roman"/>
          <w:sz w:val="24"/>
          <w:szCs w:val="24"/>
        </w:rPr>
        <w:t xml:space="preserve">LA </w:t>
      </w:r>
      <w:r w:rsidR="00C770E8" w:rsidRPr="00AB4C1A">
        <w:rPr>
          <w:rFonts w:ascii="Times New Roman" w:hAnsi="Times New Roman" w:cs="Times New Roman"/>
          <w:sz w:val="24"/>
          <w:szCs w:val="24"/>
        </w:rPr>
        <w:t>responsibility for local air quality</w:t>
      </w:r>
      <w:r w:rsidR="00D65F3D" w:rsidRPr="00AB4C1A">
        <w:rPr>
          <w:rFonts w:ascii="Times New Roman" w:hAnsi="Times New Roman" w:cs="Times New Roman"/>
          <w:sz w:val="24"/>
          <w:szCs w:val="24"/>
        </w:rPr>
        <w:t xml:space="preserve"> (LAQM), </w:t>
      </w:r>
      <w:r w:rsidR="00F331A7" w:rsidRPr="00AB4C1A">
        <w:rPr>
          <w:rFonts w:ascii="Times New Roman" w:hAnsi="Times New Roman" w:cs="Times New Roman"/>
          <w:sz w:val="24"/>
          <w:szCs w:val="24"/>
        </w:rPr>
        <w:t xml:space="preserve">and states that </w:t>
      </w:r>
      <w:r w:rsidR="00D65F3D" w:rsidRPr="00AB4C1A">
        <w:rPr>
          <w:rFonts w:ascii="Times New Roman" w:hAnsi="Times New Roman" w:cs="Times New Roman"/>
          <w:sz w:val="24"/>
          <w:szCs w:val="24"/>
        </w:rPr>
        <w:t xml:space="preserve">LAs </w:t>
      </w:r>
      <w:r w:rsidR="00594968" w:rsidRPr="00AB4C1A">
        <w:rPr>
          <w:rFonts w:ascii="Times New Roman" w:hAnsi="Times New Roman" w:cs="Times New Roman"/>
          <w:sz w:val="24"/>
          <w:szCs w:val="24"/>
        </w:rPr>
        <w:t xml:space="preserve">are </w:t>
      </w:r>
      <w:r w:rsidR="00D65F3D" w:rsidRPr="00AB4C1A">
        <w:rPr>
          <w:rFonts w:ascii="Times New Roman" w:hAnsi="Times New Roman" w:cs="Times New Roman"/>
          <w:sz w:val="24"/>
          <w:szCs w:val="24"/>
        </w:rPr>
        <w:t>required to ‘work towards’ air quality objectives</w:t>
      </w:r>
      <w:r w:rsidR="00C770E8" w:rsidRPr="00AB4C1A">
        <w:rPr>
          <w:rFonts w:ascii="Times New Roman" w:hAnsi="Times New Roman" w:cs="Times New Roman"/>
          <w:sz w:val="24"/>
          <w:szCs w:val="24"/>
        </w:rPr>
        <w:t xml:space="preserve"> </w:t>
      </w:r>
      <w:r w:rsidR="00FD4D4A" w:rsidRPr="00AB4C1A">
        <w:rPr>
          <w:rFonts w:ascii="Times New Roman" w:hAnsi="Times New Roman" w:cs="Times New Roman"/>
          <w:sz w:val="24"/>
          <w:szCs w:val="24"/>
        </w:rPr>
        <w:t>(</w:t>
      </w:r>
      <w:r w:rsidR="00F65E3C" w:rsidRPr="00AB4C1A">
        <w:rPr>
          <w:rFonts w:ascii="Times New Roman" w:hAnsi="Times New Roman" w:cs="Times New Roman"/>
          <w:sz w:val="24"/>
          <w:szCs w:val="24"/>
        </w:rPr>
        <w:t>Defra</w:t>
      </w:r>
      <w:r w:rsidR="00C770E8" w:rsidRPr="00AB4C1A">
        <w:rPr>
          <w:rFonts w:ascii="Times New Roman" w:hAnsi="Times New Roman" w:cs="Times New Roman"/>
          <w:sz w:val="24"/>
          <w:szCs w:val="24"/>
        </w:rPr>
        <w:t xml:space="preserve">, 2018c; </w:t>
      </w:r>
      <w:r w:rsidR="003308E0" w:rsidRPr="00AB4C1A">
        <w:rPr>
          <w:rFonts w:ascii="Times New Roman" w:hAnsi="Times New Roman" w:cs="Times New Roman"/>
          <w:sz w:val="24"/>
          <w:szCs w:val="24"/>
        </w:rPr>
        <w:t xml:space="preserve">Beattie </w:t>
      </w:r>
      <w:r w:rsidR="003308E0" w:rsidRPr="00AB4C1A">
        <w:rPr>
          <w:rFonts w:ascii="Times New Roman" w:hAnsi="Times New Roman" w:cs="Times New Roman"/>
          <w:i/>
          <w:iCs/>
          <w:sz w:val="24"/>
          <w:szCs w:val="24"/>
        </w:rPr>
        <w:t>et al</w:t>
      </w:r>
      <w:r w:rsidR="008E633A" w:rsidRPr="00AB4C1A">
        <w:rPr>
          <w:rFonts w:ascii="Times New Roman" w:hAnsi="Times New Roman" w:cs="Times New Roman"/>
          <w:sz w:val="24"/>
          <w:szCs w:val="24"/>
        </w:rPr>
        <w:t>.,</w:t>
      </w:r>
      <w:r w:rsidR="003308E0" w:rsidRPr="00AB4C1A">
        <w:rPr>
          <w:rFonts w:ascii="Times New Roman" w:hAnsi="Times New Roman" w:cs="Times New Roman"/>
          <w:sz w:val="24"/>
          <w:szCs w:val="24"/>
        </w:rPr>
        <w:t xml:space="preserve"> 2001</w:t>
      </w:r>
      <w:r w:rsidR="00C770E8" w:rsidRPr="00AB4C1A">
        <w:rPr>
          <w:rFonts w:ascii="Times New Roman" w:hAnsi="Times New Roman" w:cs="Times New Roman"/>
          <w:sz w:val="24"/>
          <w:szCs w:val="24"/>
        </w:rPr>
        <w:t xml:space="preserve">; Barnes, </w:t>
      </w:r>
      <w:r w:rsidR="00C770E8" w:rsidRPr="00AB4C1A">
        <w:rPr>
          <w:rFonts w:ascii="Times New Roman" w:hAnsi="Times New Roman" w:cs="Times New Roman"/>
          <w:i/>
          <w:sz w:val="24"/>
          <w:szCs w:val="24"/>
        </w:rPr>
        <w:t>et al.</w:t>
      </w:r>
      <w:r w:rsidR="00C770E8" w:rsidRPr="00AB4C1A">
        <w:rPr>
          <w:rFonts w:ascii="Times New Roman" w:hAnsi="Times New Roman" w:cs="Times New Roman"/>
          <w:sz w:val="24"/>
          <w:szCs w:val="24"/>
        </w:rPr>
        <w:t xml:space="preserve">, 2018). If, after a review and assessment process (conveyed in the Annual Status Report (ASR)), air quality objectives are exceeded or not likely to be met, </w:t>
      </w:r>
      <w:r w:rsidR="006A5CCB" w:rsidRPr="00AB4C1A">
        <w:rPr>
          <w:rFonts w:ascii="Times New Roman" w:hAnsi="Times New Roman" w:cs="Times New Roman"/>
          <w:sz w:val="24"/>
          <w:szCs w:val="24"/>
        </w:rPr>
        <w:t>LAs have to declare an</w:t>
      </w:r>
      <w:r w:rsidR="00C770E8" w:rsidRPr="00AB4C1A">
        <w:rPr>
          <w:rFonts w:ascii="Times New Roman" w:hAnsi="Times New Roman" w:cs="Times New Roman"/>
          <w:sz w:val="24"/>
          <w:szCs w:val="24"/>
        </w:rPr>
        <w:t xml:space="preserve"> Air Quality Management Area (AQMA) </w:t>
      </w:r>
      <w:r w:rsidR="006A5CCB" w:rsidRPr="00AB4C1A">
        <w:rPr>
          <w:rFonts w:ascii="Times New Roman" w:hAnsi="Times New Roman" w:cs="Times New Roman"/>
          <w:sz w:val="24"/>
          <w:szCs w:val="24"/>
        </w:rPr>
        <w:t xml:space="preserve">and produce </w:t>
      </w:r>
      <w:r w:rsidR="00C770E8" w:rsidRPr="00AB4C1A">
        <w:rPr>
          <w:rFonts w:ascii="Times New Roman" w:hAnsi="Times New Roman" w:cs="Times New Roman"/>
          <w:sz w:val="24"/>
          <w:szCs w:val="24"/>
        </w:rPr>
        <w:t>an Air Quality Action Plan (AQAP) with details of initiatives</w:t>
      </w:r>
      <w:r w:rsidR="00594968" w:rsidRPr="00AB4C1A">
        <w:rPr>
          <w:rFonts w:ascii="Times New Roman" w:hAnsi="Times New Roman" w:cs="Times New Roman"/>
          <w:sz w:val="24"/>
          <w:szCs w:val="24"/>
        </w:rPr>
        <w:t xml:space="preserve"> to be put in place </w:t>
      </w:r>
      <w:r w:rsidR="00C770E8" w:rsidRPr="00AB4C1A">
        <w:rPr>
          <w:rFonts w:ascii="Times New Roman" w:hAnsi="Times New Roman" w:cs="Times New Roman"/>
          <w:sz w:val="24"/>
          <w:szCs w:val="24"/>
        </w:rPr>
        <w:t>to meet these objectives (</w:t>
      </w:r>
      <w:r w:rsidR="00F65E3C" w:rsidRPr="00AB4C1A">
        <w:rPr>
          <w:rFonts w:ascii="Times New Roman" w:hAnsi="Times New Roman" w:cs="Times New Roman"/>
          <w:sz w:val="24"/>
          <w:szCs w:val="24"/>
        </w:rPr>
        <w:t>Defra</w:t>
      </w:r>
      <w:r w:rsidR="00C770E8" w:rsidRPr="00AB4C1A">
        <w:rPr>
          <w:rFonts w:ascii="Times New Roman" w:hAnsi="Times New Roman" w:cs="Times New Roman"/>
          <w:sz w:val="24"/>
          <w:szCs w:val="24"/>
        </w:rPr>
        <w:t xml:space="preserve">, 2016; 2017; Longhurst, </w:t>
      </w:r>
      <w:r w:rsidR="00C770E8" w:rsidRPr="00AB4C1A">
        <w:rPr>
          <w:rFonts w:ascii="Times New Roman" w:hAnsi="Times New Roman" w:cs="Times New Roman"/>
          <w:i/>
          <w:sz w:val="24"/>
          <w:szCs w:val="24"/>
        </w:rPr>
        <w:t>et al.</w:t>
      </w:r>
      <w:r w:rsidR="00C770E8" w:rsidRPr="00AB4C1A">
        <w:rPr>
          <w:rFonts w:ascii="Times New Roman" w:hAnsi="Times New Roman" w:cs="Times New Roman"/>
          <w:sz w:val="24"/>
          <w:szCs w:val="24"/>
        </w:rPr>
        <w:t>, 2006; 2009; 2016)</w:t>
      </w:r>
    </w:p>
    <w:p w14:paraId="36422346" w14:textId="204BC063" w:rsidR="00C23727" w:rsidRPr="00AB4C1A" w:rsidRDefault="00861A34">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The UK approach to air quality has evolved from “an exclusively source-control approach” </w:t>
      </w:r>
      <w:r w:rsidR="008814B8" w:rsidRPr="00AB4C1A">
        <w:rPr>
          <w:rFonts w:ascii="Times New Roman" w:hAnsi="Times New Roman" w:cs="Times New Roman"/>
          <w:sz w:val="24"/>
          <w:szCs w:val="24"/>
        </w:rPr>
        <w:t xml:space="preserve">(Longhurst </w:t>
      </w:r>
      <w:r w:rsidR="008814B8" w:rsidRPr="00AB4C1A">
        <w:rPr>
          <w:rFonts w:ascii="Times New Roman" w:hAnsi="Times New Roman" w:cs="Times New Roman"/>
          <w:i/>
          <w:iCs/>
          <w:sz w:val="24"/>
          <w:szCs w:val="24"/>
        </w:rPr>
        <w:t>et al</w:t>
      </w:r>
      <w:r w:rsidR="008814B8" w:rsidRPr="00AB4C1A">
        <w:rPr>
          <w:rFonts w:ascii="Times New Roman" w:hAnsi="Times New Roman" w:cs="Times New Roman"/>
          <w:sz w:val="24"/>
          <w:szCs w:val="24"/>
        </w:rPr>
        <w:t xml:space="preserve">., 2009 p. 76) </w:t>
      </w:r>
      <w:r w:rsidRPr="00AB4C1A">
        <w:rPr>
          <w:rFonts w:ascii="Times New Roman" w:hAnsi="Times New Roman" w:cs="Times New Roman"/>
          <w:sz w:val="24"/>
          <w:szCs w:val="24"/>
        </w:rPr>
        <w:t xml:space="preserve">in the regulation of </w:t>
      </w:r>
      <w:r w:rsidR="003F4B8B" w:rsidRPr="00AB4C1A">
        <w:rPr>
          <w:rFonts w:ascii="Times New Roman" w:hAnsi="Times New Roman" w:cs="Times New Roman"/>
          <w:sz w:val="24"/>
          <w:szCs w:val="24"/>
        </w:rPr>
        <w:t>s</w:t>
      </w:r>
      <w:r w:rsidRPr="00AB4C1A">
        <w:rPr>
          <w:rFonts w:ascii="Times New Roman" w:hAnsi="Times New Roman" w:cs="Times New Roman"/>
          <w:sz w:val="24"/>
          <w:szCs w:val="24"/>
        </w:rPr>
        <w:t>ulphur dioxide from power stations to combat smog through the Clean Air Acts</w:t>
      </w:r>
      <w:r w:rsidR="0031652F" w:rsidRPr="00AB4C1A">
        <w:rPr>
          <w:rFonts w:ascii="Times New Roman" w:hAnsi="Times New Roman" w:cs="Times New Roman"/>
          <w:sz w:val="24"/>
          <w:szCs w:val="24"/>
        </w:rPr>
        <w:t xml:space="preserve"> of</w:t>
      </w:r>
      <w:r w:rsidRPr="00AB4C1A">
        <w:rPr>
          <w:rFonts w:ascii="Times New Roman" w:hAnsi="Times New Roman" w:cs="Times New Roman"/>
          <w:sz w:val="24"/>
          <w:szCs w:val="24"/>
        </w:rPr>
        <w:t xml:space="preserve"> 1956 and 1968</w:t>
      </w:r>
      <w:r w:rsidR="00B15CE1" w:rsidRPr="00AB4C1A">
        <w:rPr>
          <w:rFonts w:ascii="Times New Roman" w:hAnsi="Times New Roman" w:cs="Times New Roman"/>
          <w:sz w:val="24"/>
          <w:szCs w:val="24"/>
        </w:rPr>
        <w:t xml:space="preserve"> </w:t>
      </w:r>
      <w:r w:rsidRPr="00AB4C1A">
        <w:rPr>
          <w:rFonts w:ascii="Times New Roman" w:hAnsi="Times New Roman" w:cs="Times New Roman"/>
          <w:sz w:val="24"/>
          <w:szCs w:val="24"/>
        </w:rPr>
        <w:t>“to a complex but integrated, risk management effects-based process of air quality management”</w:t>
      </w:r>
      <w:r w:rsidR="008814B8" w:rsidRPr="00AB4C1A">
        <w:rPr>
          <w:rFonts w:ascii="Times New Roman" w:hAnsi="Times New Roman" w:cs="Times New Roman"/>
          <w:sz w:val="24"/>
          <w:szCs w:val="24"/>
        </w:rPr>
        <w:t xml:space="preserve"> (ibid.)</w:t>
      </w:r>
      <w:r w:rsidRPr="00AB4C1A">
        <w:rPr>
          <w:rFonts w:ascii="Times New Roman" w:hAnsi="Times New Roman" w:cs="Times New Roman"/>
          <w:sz w:val="24"/>
          <w:szCs w:val="24"/>
        </w:rPr>
        <w:t xml:space="preserve"> in the form of </w:t>
      </w:r>
      <w:r w:rsidR="003F4B8B" w:rsidRPr="00AB4C1A">
        <w:rPr>
          <w:rFonts w:ascii="Times New Roman" w:hAnsi="Times New Roman" w:cs="Times New Roman"/>
          <w:sz w:val="24"/>
          <w:szCs w:val="24"/>
        </w:rPr>
        <w:t>the AQS</w:t>
      </w:r>
      <w:r w:rsidR="00C23727" w:rsidRPr="00AB4C1A">
        <w:rPr>
          <w:rFonts w:ascii="Times New Roman" w:hAnsi="Times New Roman" w:cs="Times New Roman"/>
          <w:sz w:val="24"/>
          <w:szCs w:val="24"/>
        </w:rPr>
        <w:t xml:space="preserve"> today</w:t>
      </w:r>
      <w:r w:rsidRPr="00AB4C1A">
        <w:rPr>
          <w:rFonts w:ascii="Times New Roman" w:hAnsi="Times New Roman" w:cs="Times New Roman"/>
          <w:sz w:val="24"/>
          <w:szCs w:val="24"/>
        </w:rPr>
        <w:t xml:space="preserve">. While </w:t>
      </w:r>
      <w:r w:rsidR="00C85A6C" w:rsidRPr="00AB4C1A">
        <w:rPr>
          <w:rFonts w:ascii="Times New Roman" w:hAnsi="Times New Roman" w:cs="Times New Roman"/>
          <w:sz w:val="24"/>
          <w:szCs w:val="24"/>
        </w:rPr>
        <w:t xml:space="preserve">air quality management was </w:t>
      </w:r>
      <w:r w:rsidRPr="00AB4C1A">
        <w:rPr>
          <w:rFonts w:ascii="Times New Roman" w:hAnsi="Times New Roman" w:cs="Times New Roman"/>
          <w:sz w:val="24"/>
          <w:szCs w:val="24"/>
        </w:rPr>
        <w:t>originally centralised, the Clean Air Acts</w:t>
      </w:r>
      <w:r w:rsidR="00C23727" w:rsidRPr="00AB4C1A">
        <w:rPr>
          <w:rFonts w:ascii="Times New Roman" w:hAnsi="Times New Roman" w:cs="Times New Roman"/>
          <w:sz w:val="24"/>
          <w:szCs w:val="24"/>
        </w:rPr>
        <w:t xml:space="preserve"> supported local air pollution control coupled with </w:t>
      </w:r>
      <w:r w:rsidR="0031652F" w:rsidRPr="00AB4C1A">
        <w:rPr>
          <w:rFonts w:ascii="Times New Roman" w:hAnsi="Times New Roman" w:cs="Times New Roman"/>
          <w:sz w:val="24"/>
          <w:szCs w:val="24"/>
        </w:rPr>
        <w:t xml:space="preserve">a </w:t>
      </w:r>
      <w:r w:rsidR="00C23727" w:rsidRPr="00AB4C1A">
        <w:rPr>
          <w:rFonts w:ascii="Times New Roman" w:hAnsi="Times New Roman" w:cs="Times New Roman"/>
          <w:sz w:val="24"/>
          <w:szCs w:val="24"/>
        </w:rPr>
        <w:t xml:space="preserve">centralised national monitoring network.  </w:t>
      </w:r>
      <w:r w:rsidR="00D36E46" w:rsidRPr="00AB4C1A">
        <w:rPr>
          <w:rFonts w:ascii="Times New Roman" w:hAnsi="Times New Roman" w:cs="Times New Roman"/>
          <w:sz w:val="24"/>
          <w:szCs w:val="24"/>
        </w:rPr>
        <w:t>Since then,</w:t>
      </w:r>
      <w:r w:rsidR="00C23727" w:rsidRPr="00AB4C1A">
        <w:rPr>
          <w:rFonts w:ascii="Times New Roman" w:hAnsi="Times New Roman" w:cs="Times New Roman"/>
          <w:sz w:val="24"/>
          <w:szCs w:val="24"/>
        </w:rPr>
        <w:t xml:space="preserve"> the collaboration between local and national government is considered the most efficient and precautionary approach</w:t>
      </w:r>
      <w:r w:rsidR="00C85A6C" w:rsidRPr="00AB4C1A">
        <w:rPr>
          <w:rFonts w:ascii="Times New Roman" w:hAnsi="Times New Roman" w:cs="Times New Roman"/>
          <w:sz w:val="24"/>
          <w:szCs w:val="24"/>
        </w:rPr>
        <w:t xml:space="preserve"> in the management of air pollution</w:t>
      </w:r>
      <w:r w:rsidR="00C23727" w:rsidRPr="00AB4C1A">
        <w:rPr>
          <w:rFonts w:ascii="Times New Roman" w:hAnsi="Times New Roman" w:cs="Times New Roman"/>
          <w:sz w:val="24"/>
          <w:szCs w:val="24"/>
        </w:rPr>
        <w:t>, as the identification and management of local hotspots is</w:t>
      </w:r>
      <w:r w:rsidR="003F4B8B" w:rsidRPr="00AB4C1A">
        <w:rPr>
          <w:rFonts w:ascii="Times New Roman" w:hAnsi="Times New Roman" w:cs="Times New Roman"/>
          <w:sz w:val="24"/>
          <w:szCs w:val="24"/>
        </w:rPr>
        <w:t xml:space="preserve"> considered</w:t>
      </w:r>
      <w:r w:rsidR="00C23727" w:rsidRPr="00AB4C1A">
        <w:rPr>
          <w:rFonts w:ascii="Times New Roman" w:hAnsi="Times New Roman" w:cs="Times New Roman"/>
          <w:sz w:val="24"/>
          <w:szCs w:val="24"/>
        </w:rPr>
        <w:t xml:space="preserve"> best addressed at a local level</w:t>
      </w:r>
      <w:r w:rsidR="0037107F" w:rsidRPr="00AB4C1A">
        <w:rPr>
          <w:rFonts w:ascii="Times New Roman" w:hAnsi="Times New Roman" w:cs="Times New Roman"/>
          <w:sz w:val="24"/>
          <w:szCs w:val="24"/>
        </w:rPr>
        <w:t xml:space="preserve"> (LAQM)</w:t>
      </w:r>
      <w:r w:rsidR="00C23727" w:rsidRPr="00AB4C1A">
        <w:rPr>
          <w:rFonts w:ascii="Times New Roman" w:hAnsi="Times New Roman" w:cs="Times New Roman"/>
          <w:sz w:val="24"/>
          <w:szCs w:val="24"/>
        </w:rPr>
        <w:t>, and other elements of policy</w:t>
      </w:r>
      <w:r w:rsidR="005F2FBB" w:rsidRPr="00AB4C1A">
        <w:rPr>
          <w:rFonts w:ascii="Times New Roman" w:hAnsi="Times New Roman" w:cs="Times New Roman"/>
          <w:sz w:val="24"/>
          <w:szCs w:val="24"/>
        </w:rPr>
        <w:t>,</w:t>
      </w:r>
      <w:r w:rsidR="008814B8" w:rsidRPr="00AB4C1A">
        <w:rPr>
          <w:rFonts w:ascii="Times New Roman" w:hAnsi="Times New Roman" w:cs="Times New Roman"/>
          <w:sz w:val="24"/>
          <w:szCs w:val="24"/>
        </w:rPr>
        <w:t xml:space="preserve"> such as fuel and engine quality standards,</w:t>
      </w:r>
      <w:r w:rsidR="00C23727" w:rsidRPr="00AB4C1A">
        <w:rPr>
          <w:rFonts w:ascii="Times New Roman" w:hAnsi="Times New Roman" w:cs="Times New Roman"/>
          <w:sz w:val="24"/>
          <w:szCs w:val="24"/>
        </w:rPr>
        <w:t xml:space="preserve"> are addressed </w:t>
      </w:r>
      <w:r w:rsidR="0037107F" w:rsidRPr="00AB4C1A">
        <w:rPr>
          <w:rFonts w:ascii="Times New Roman" w:hAnsi="Times New Roman" w:cs="Times New Roman"/>
          <w:sz w:val="24"/>
          <w:szCs w:val="24"/>
        </w:rPr>
        <w:t>nationally</w:t>
      </w:r>
      <w:r w:rsidR="00FA3BFC" w:rsidRPr="00AB4C1A">
        <w:rPr>
          <w:rFonts w:ascii="Times New Roman" w:hAnsi="Times New Roman" w:cs="Times New Roman"/>
          <w:sz w:val="24"/>
          <w:szCs w:val="24"/>
        </w:rPr>
        <w:t xml:space="preserve"> (Longhurst </w:t>
      </w:r>
      <w:r w:rsidR="00FA3BFC" w:rsidRPr="00AB4C1A">
        <w:rPr>
          <w:rFonts w:ascii="Times New Roman" w:hAnsi="Times New Roman" w:cs="Times New Roman"/>
          <w:i/>
          <w:iCs/>
          <w:sz w:val="24"/>
          <w:szCs w:val="24"/>
        </w:rPr>
        <w:t>et al.,</w:t>
      </w:r>
      <w:r w:rsidR="00FA3BFC" w:rsidRPr="00AB4C1A">
        <w:rPr>
          <w:rFonts w:ascii="Times New Roman" w:hAnsi="Times New Roman" w:cs="Times New Roman"/>
          <w:sz w:val="24"/>
          <w:szCs w:val="24"/>
        </w:rPr>
        <w:t xml:space="preserve"> 2009</w:t>
      </w:r>
      <w:r w:rsidR="008814B8" w:rsidRPr="00AB4C1A">
        <w:rPr>
          <w:rFonts w:ascii="Times New Roman" w:hAnsi="Times New Roman" w:cs="Times New Roman"/>
          <w:sz w:val="24"/>
          <w:szCs w:val="24"/>
        </w:rPr>
        <w:t xml:space="preserve">; Barnes </w:t>
      </w:r>
      <w:r w:rsidR="008814B8" w:rsidRPr="00AB4C1A">
        <w:rPr>
          <w:rFonts w:ascii="Times New Roman" w:hAnsi="Times New Roman" w:cs="Times New Roman"/>
          <w:i/>
          <w:iCs/>
          <w:sz w:val="24"/>
          <w:szCs w:val="24"/>
        </w:rPr>
        <w:t>et al</w:t>
      </w:r>
      <w:r w:rsidR="008814B8" w:rsidRPr="00AB4C1A">
        <w:rPr>
          <w:rFonts w:ascii="Times New Roman" w:hAnsi="Times New Roman" w:cs="Times New Roman"/>
          <w:sz w:val="24"/>
          <w:szCs w:val="24"/>
        </w:rPr>
        <w:t>., 2014</w:t>
      </w:r>
      <w:r w:rsidR="00FA3BFC" w:rsidRPr="00AB4C1A">
        <w:rPr>
          <w:rFonts w:ascii="Times New Roman" w:hAnsi="Times New Roman" w:cs="Times New Roman"/>
          <w:sz w:val="24"/>
          <w:szCs w:val="24"/>
        </w:rPr>
        <w:t>)</w:t>
      </w:r>
      <w:r w:rsidR="00C23727" w:rsidRPr="00AB4C1A">
        <w:rPr>
          <w:rFonts w:ascii="Times New Roman" w:hAnsi="Times New Roman" w:cs="Times New Roman"/>
          <w:sz w:val="24"/>
          <w:szCs w:val="24"/>
        </w:rPr>
        <w:t xml:space="preserve">. </w:t>
      </w:r>
    </w:p>
    <w:p w14:paraId="225010F8" w14:textId="53A72858" w:rsidR="00A979B0" w:rsidRPr="00AB4C1A" w:rsidRDefault="00E46D29">
      <w:pPr>
        <w:spacing w:line="240" w:lineRule="auto"/>
        <w:rPr>
          <w:rFonts w:ascii="Times New Roman" w:hAnsi="Times New Roman" w:cs="Times New Roman"/>
          <w:sz w:val="24"/>
          <w:szCs w:val="24"/>
        </w:rPr>
      </w:pPr>
      <w:r w:rsidRPr="00AB4C1A">
        <w:rPr>
          <w:rFonts w:ascii="Times New Roman" w:hAnsi="Times New Roman" w:cs="Times New Roman"/>
          <w:sz w:val="24"/>
          <w:szCs w:val="24"/>
        </w:rPr>
        <w:t>While initially considered a success, over the last 21 years</w:t>
      </w:r>
      <w:r w:rsidR="00A1500E" w:rsidRPr="00AB4C1A">
        <w:rPr>
          <w:rFonts w:ascii="Times New Roman" w:hAnsi="Times New Roman" w:cs="Times New Roman"/>
          <w:sz w:val="24"/>
          <w:szCs w:val="24"/>
        </w:rPr>
        <w:t>,</w:t>
      </w:r>
      <w:r w:rsidRPr="00AB4C1A">
        <w:rPr>
          <w:rFonts w:ascii="Times New Roman" w:hAnsi="Times New Roman" w:cs="Times New Roman"/>
          <w:sz w:val="24"/>
          <w:szCs w:val="24"/>
        </w:rPr>
        <w:t xml:space="preserve"> LAQM has been subject to criticism due to the continued failure of the UK to meet both UK and EU NO</w:t>
      </w:r>
      <w:r w:rsidRPr="00AB4C1A">
        <w:rPr>
          <w:rFonts w:ascii="Times New Roman" w:hAnsi="Times New Roman" w:cs="Times New Roman"/>
          <w:sz w:val="24"/>
          <w:szCs w:val="24"/>
          <w:vertAlign w:val="subscript"/>
        </w:rPr>
        <w:t>2</w:t>
      </w:r>
      <w:r w:rsidRPr="00AB4C1A">
        <w:rPr>
          <w:rFonts w:ascii="Times New Roman" w:hAnsi="Times New Roman" w:cs="Times New Roman"/>
          <w:sz w:val="24"/>
          <w:szCs w:val="24"/>
        </w:rPr>
        <w:t xml:space="preserve"> and PM</w:t>
      </w:r>
      <w:r w:rsidRPr="00AB4C1A">
        <w:rPr>
          <w:rFonts w:ascii="Times New Roman" w:hAnsi="Times New Roman" w:cs="Times New Roman"/>
          <w:sz w:val="24"/>
          <w:szCs w:val="24"/>
          <w:vertAlign w:val="subscript"/>
        </w:rPr>
        <w:t>10</w:t>
      </w:r>
      <w:r w:rsidRPr="00AB4C1A">
        <w:rPr>
          <w:rFonts w:ascii="Times New Roman" w:hAnsi="Times New Roman" w:cs="Times New Roman"/>
          <w:sz w:val="24"/>
          <w:szCs w:val="24"/>
        </w:rPr>
        <w:t xml:space="preserve"> targets </w:t>
      </w:r>
      <w:r w:rsidR="006769C8" w:rsidRPr="00AB4C1A">
        <w:rPr>
          <w:rFonts w:ascii="Times New Roman" w:hAnsi="Times New Roman" w:cs="Times New Roman"/>
          <w:sz w:val="24"/>
          <w:szCs w:val="24"/>
        </w:rPr>
        <w:t>by</w:t>
      </w:r>
      <w:r w:rsidR="00FD4D4A" w:rsidRPr="00AB4C1A">
        <w:rPr>
          <w:rFonts w:ascii="Times New Roman" w:hAnsi="Times New Roman" w:cs="Times New Roman"/>
          <w:sz w:val="24"/>
          <w:szCs w:val="24"/>
        </w:rPr>
        <w:t xml:space="preserve"> </w:t>
      </w:r>
      <w:r w:rsidRPr="00AB4C1A">
        <w:rPr>
          <w:rFonts w:ascii="Times New Roman" w:hAnsi="Times New Roman" w:cs="Times New Roman"/>
          <w:sz w:val="24"/>
          <w:szCs w:val="24"/>
        </w:rPr>
        <w:t xml:space="preserve">their 2005 (UK) and 2010 (EU) </w:t>
      </w:r>
      <w:r w:rsidR="005B027B" w:rsidRPr="00AB4C1A">
        <w:rPr>
          <w:rFonts w:ascii="Times New Roman" w:hAnsi="Times New Roman" w:cs="Times New Roman"/>
          <w:sz w:val="24"/>
          <w:szCs w:val="24"/>
        </w:rPr>
        <w:t xml:space="preserve">deadlines </w:t>
      </w:r>
      <w:r w:rsidRPr="00AB4C1A">
        <w:rPr>
          <w:rFonts w:ascii="Times New Roman" w:hAnsi="Times New Roman" w:cs="Times New Roman"/>
          <w:sz w:val="24"/>
          <w:szCs w:val="24"/>
        </w:rPr>
        <w:t>(Longhurst,</w:t>
      </w:r>
      <w:r w:rsidR="00506964" w:rsidRPr="00AB4C1A">
        <w:rPr>
          <w:rFonts w:ascii="Times New Roman" w:hAnsi="Times New Roman" w:cs="Times New Roman"/>
          <w:sz w:val="24"/>
          <w:szCs w:val="24"/>
        </w:rPr>
        <w:t xml:space="preserve"> </w:t>
      </w:r>
      <w:r w:rsidR="00506964" w:rsidRPr="00AB4C1A">
        <w:rPr>
          <w:rFonts w:ascii="Times New Roman" w:hAnsi="Times New Roman" w:cs="Times New Roman"/>
          <w:i/>
          <w:iCs/>
          <w:sz w:val="24"/>
          <w:szCs w:val="24"/>
        </w:rPr>
        <w:t>et al.,</w:t>
      </w:r>
      <w:r w:rsidRPr="00AB4C1A">
        <w:rPr>
          <w:rFonts w:ascii="Times New Roman" w:hAnsi="Times New Roman" w:cs="Times New Roman"/>
          <w:sz w:val="24"/>
          <w:szCs w:val="24"/>
        </w:rPr>
        <w:t xml:space="preserve"> 2016; Barnes,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2018, EEA, 2017; Andrews, 2015). Further, action planning </w:t>
      </w:r>
      <w:r w:rsidR="005B027B" w:rsidRPr="00AB4C1A">
        <w:rPr>
          <w:rFonts w:ascii="Times New Roman" w:hAnsi="Times New Roman" w:cs="Times New Roman"/>
          <w:sz w:val="24"/>
          <w:szCs w:val="24"/>
        </w:rPr>
        <w:t xml:space="preserve">to date </w:t>
      </w:r>
      <w:r w:rsidRPr="00AB4C1A">
        <w:rPr>
          <w:rFonts w:ascii="Times New Roman" w:hAnsi="Times New Roman" w:cs="Times New Roman"/>
          <w:sz w:val="24"/>
          <w:szCs w:val="24"/>
        </w:rPr>
        <w:t xml:space="preserve">has been relatively ineffective (Chatterton,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2007; Barnes, </w:t>
      </w:r>
      <w:r w:rsidRPr="00AB4C1A">
        <w:rPr>
          <w:rFonts w:ascii="Times New Roman" w:hAnsi="Times New Roman" w:cs="Times New Roman"/>
          <w:i/>
          <w:sz w:val="24"/>
          <w:szCs w:val="24"/>
        </w:rPr>
        <w:t>et al.,</w:t>
      </w:r>
      <w:r w:rsidR="00331312" w:rsidRPr="00AB4C1A">
        <w:rPr>
          <w:rFonts w:ascii="Times New Roman" w:hAnsi="Times New Roman" w:cs="Times New Roman"/>
          <w:sz w:val="24"/>
          <w:szCs w:val="24"/>
        </w:rPr>
        <w:t xml:space="preserve"> 2014</w:t>
      </w:r>
      <w:r w:rsidRPr="00AB4C1A">
        <w:rPr>
          <w:rFonts w:ascii="Times New Roman" w:hAnsi="Times New Roman" w:cs="Times New Roman"/>
          <w:sz w:val="24"/>
          <w:szCs w:val="24"/>
        </w:rPr>
        <w:t xml:space="preserve">; 2018) with few revocations of AQMAs following the implementation of AQAPs (Longhurst,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2016; Barnes,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2018). </w:t>
      </w:r>
    </w:p>
    <w:p w14:paraId="74A7BA14" w14:textId="030C8485" w:rsidR="00D639B7" w:rsidRPr="00AB4C1A" w:rsidRDefault="00BA42A1">
      <w:pPr>
        <w:spacing w:line="240" w:lineRule="auto"/>
        <w:rPr>
          <w:rFonts w:ascii="Times New Roman" w:hAnsi="Times New Roman" w:cs="Times New Roman"/>
          <w:sz w:val="24"/>
          <w:szCs w:val="24"/>
        </w:rPr>
      </w:pPr>
      <w:r w:rsidRPr="00AB4C1A">
        <w:rPr>
          <w:rFonts w:ascii="Times New Roman" w:hAnsi="Times New Roman" w:cs="Times New Roman"/>
          <w:sz w:val="24"/>
          <w:szCs w:val="24"/>
        </w:rPr>
        <w:lastRenderedPageBreak/>
        <w:t xml:space="preserve">There are many reasons behind the failure to achieve air quality objectives in the UK, spanning from </w:t>
      </w:r>
      <w:r w:rsidR="00E46D29" w:rsidRPr="00AB4C1A">
        <w:rPr>
          <w:rFonts w:ascii="Times New Roman" w:hAnsi="Times New Roman" w:cs="Times New Roman"/>
          <w:sz w:val="24"/>
          <w:szCs w:val="24"/>
        </w:rPr>
        <w:t>the failure of Euro</w:t>
      </w:r>
      <w:r w:rsidR="00650309" w:rsidRPr="00AB4C1A">
        <w:rPr>
          <w:rFonts w:ascii="Times New Roman" w:hAnsi="Times New Roman" w:cs="Times New Roman"/>
          <w:sz w:val="24"/>
          <w:szCs w:val="24"/>
        </w:rPr>
        <w:t xml:space="preserve"> </w:t>
      </w:r>
      <w:r w:rsidR="00E46D29" w:rsidRPr="00AB4C1A">
        <w:rPr>
          <w:rFonts w:ascii="Times New Roman" w:hAnsi="Times New Roman" w:cs="Times New Roman"/>
          <w:sz w:val="24"/>
          <w:szCs w:val="24"/>
        </w:rPr>
        <w:t>Standards to reduce general emissions across Europe</w:t>
      </w:r>
      <w:r w:rsidR="00650309" w:rsidRPr="00AB4C1A">
        <w:rPr>
          <w:rFonts w:ascii="Times New Roman" w:hAnsi="Times New Roman" w:cs="Times New Roman"/>
          <w:sz w:val="24"/>
          <w:szCs w:val="24"/>
        </w:rPr>
        <w:t xml:space="preserve"> as quickly as expected</w:t>
      </w:r>
      <w:r w:rsidR="00E46D29" w:rsidRPr="00AB4C1A">
        <w:rPr>
          <w:rFonts w:ascii="Times New Roman" w:hAnsi="Times New Roman" w:cs="Times New Roman"/>
          <w:sz w:val="24"/>
          <w:szCs w:val="24"/>
        </w:rPr>
        <w:t xml:space="preserve"> and a lack of communication and engagement across departments (</w:t>
      </w:r>
      <w:r w:rsidR="00D61FD0" w:rsidRPr="00AB4C1A">
        <w:rPr>
          <w:rFonts w:ascii="Times New Roman" w:hAnsi="Times New Roman" w:cs="Times New Roman"/>
          <w:sz w:val="24"/>
          <w:szCs w:val="24"/>
        </w:rPr>
        <w:t xml:space="preserve">e.g. </w:t>
      </w:r>
      <w:r w:rsidR="00E46D29" w:rsidRPr="00AB4C1A">
        <w:rPr>
          <w:rFonts w:ascii="Times New Roman" w:hAnsi="Times New Roman" w:cs="Times New Roman"/>
          <w:sz w:val="24"/>
          <w:szCs w:val="24"/>
        </w:rPr>
        <w:t xml:space="preserve">public </w:t>
      </w:r>
      <w:r w:rsidR="005B027B" w:rsidRPr="00AB4C1A">
        <w:rPr>
          <w:rFonts w:ascii="Times New Roman" w:hAnsi="Times New Roman" w:cs="Times New Roman"/>
          <w:sz w:val="24"/>
          <w:szCs w:val="24"/>
        </w:rPr>
        <w:t>h</w:t>
      </w:r>
      <w:r w:rsidR="00E46D29" w:rsidRPr="00AB4C1A">
        <w:rPr>
          <w:rFonts w:ascii="Times New Roman" w:hAnsi="Times New Roman" w:cs="Times New Roman"/>
          <w:sz w:val="24"/>
          <w:szCs w:val="24"/>
        </w:rPr>
        <w:t>ealth, air quality, planning and transport) at different levels of government</w:t>
      </w:r>
      <w:r w:rsidR="00B67E97" w:rsidRPr="00AB4C1A">
        <w:rPr>
          <w:rFonts w:ascii="Times New Roman" w:hAnsi="Times New Roman" w:cs="Times New Roman"/>
          <w:sz w:val="24"/>
          <w:szCs w:val="24"/>
        </w:rPr>
        <w:t xml:space="preserve"> (</w:t>
      </w:r>
      <w:proofErr w:type="spellStart"/>
      <w:r w:rsidR="00B67E97" w:rsidRPr="00AB4C1A">
        <w:rPr>
          <w:rFonts w:ascii="Times New Roman" w:hAnsi="Times New Roman" w:cs="Times New Roman"/>
          <w:sz w:val="24"/>
          <w:szCs w:val="24"/>
        </w:rPr>
        <w:t>Olowopor</w:t>
      </w:r>
      <w:r w:rsidR="00C2335F" w:rsidRPr="00AB4C1A">
        <w:rPr>
          <w:rFonts w:ascii="Times New Roman" w:hAnsi="Times New Roman" w:cs="Times New Roman"/>
          <w:sz w:val="24"/>
          <w:szCs w:val="24"/>
        </w:rPr>
        <w:t>o</w:t>
      </w:r>
      <w:r w:rsidR="00B67E97" w:rsidRPr="00AB4C1A">
        <w:rPr>
          <w:rFonts w:ascii="Times New Roman" w:hAnsi="Times New Roman" w:cs="Times New Roman"/>
          <w:sz w:val="24"/>
          <w:szCs w:val="24"/>
        </w:rPr>
        <w:t>ku</w:t>
      </w:r>
      <w:proofErr w:type="spellEnd"/>
      <w:r w:rsidR="00B67E97" w:rsidRPr="00AB4C1A">
        <w:rPr>
          <w:rFonts w:ascii="Times New Roman" w:hAnsi="Times New Roman" w:cs="Times New Roman"/>
          <w:sz w:val="24"/>
          <w:szCs w:val="24"/>
        </w:rPr>
        <w:t xml:space="preserve">, </w:t>
      </w:r>
      <w:r w:rsidR="00B67E97" w:rsidRPr="00AB4C1A">
        <w:rPr>
          <w:rFonts w:ascii="Times New Roman" w:hAnsi="Times New Roman" w:cs="Times New Roman"/>
          <w:i/>
          <w:sz w:val="24"/>
          <w:szCs w:val="24"/>
        </w:rPr>
        <w:t>et al.,</w:t>
      </w:r>
      <w:r w:rsidR="00B67E97" w:rsidRPr="00AB4C1A">
        <w:rPr>
          <w:rFonts w:ascii="Times New Roman" w:hAnsi="Times New Roman" w:cs="Times New Roman"/>
          <w:sz w:val="24"/>
          <w:szCs w:val="24"/>
        </w:rPr>
        <w:t xml:space="preserve"> 2012)</w:t>
      </w:r>
      <w:r w:rsidR="00E46D29" w:rsidRPr="00AB4C1A">
        <w:rPr>
          <w:rFonts w:ascii="Times New Roman" w:hAnsi="Times New Roman" w:cs="Times New Roman"/>
          <w:sz w:val="24"/>
          <w:szCs w:val="24"/>
        </w:rPr>
        <w:t>.</w:t>
      </w:r>
      <w:r w:rsidR="00D639B7" w:rsidRPr="00AB4C1A">
        <w:rPr>
          <w:rFonts w:ascii="Times New Roman" w:hAnsi="Times New Roman" w:cs="Times New Roman"/>
          <w:sz w:val="24"/>
          <w:szCs w:val="24"/>
        </w:rPr>
        <w:t xml:space="preserve"> </w:t>
      </w:r>
      <w:r w:rsidR="00A82914" w:rsidRPr="00AB4C1A">
        <w:rPr>
          <w:rFonts w:ascii="Times New Roman" w:hAnsi="Times New Roman" w:cs="Times New Roman"/>
          <w:sz w:val="24"/>
          <w:szCs w:val="24"/>
        </w:rPr>
        <w:t>L</w:t>
      </w:r>
      <w:r w:rsidR="00D639B7" w:rsidRPr="00AB4C1A">
        <w:rPr>
          <w:rFonts w:ascii="Times New Roman" w:hAnsi="Times New Roman" w:cs="Times New Roman"/>
          <w:sz w:val="24"/>
          <w:szCs w:val="24"/>
        </w:rPr>
        <w:t xml:space="preserve">ocal decision-makers find themselves restricted </w:t>
      </w:r>
      <w:r w:rsidR="00A82914" w:rsidRPr="00AB4C1A">
        <w:rPr>
          <w:rFonts w:ascii="Times New Roman" w:hAnsi="Times New Roman" w:cs="Times New Roman"/>
          <w:sz w:val="24"/>
          <w:szCs w:val="24"/>
        </w:rPr>
        <w:t>in their abilities to effectively implement air quality policies as result of</w:t>
      </w:r>
      <w:r w:rsidR="00D639B7" w:rsidRPr="00AB4C1A">
        <w:rPr>
          <w:rFonts w:ascii="Times New Roman" w:hAnsi="Times New Roman" w:cs="Times New Roman"/>
          <w:sz w:val="24"/>
          <w:szCs w:val="24"/>
        </w:rPr>
        <w:t xml:space="preserve"> uncertainty as to their responsibilities, coupled with a lack of capacity and competing local policies</w:t>
      </w:r>
      <w:r w:rsidR="00A82914" w:rsidRPr="00AB4C1A">
        <w:rPr>
          <w:rFonts w:ascii="Times New Roman" w:hAnsi="Times New Roman" w:cs="Times New Roman"/>
          <w:sz w:val="24"/>
          <w:szCs w:val="24"/>
        </w:rPr>
        <w:t xml:space="preserve"> (Barnes, </w:t>
      </w:r>
      <w:r w:rsidR="00A82914" w:rsidRPr="00AB4C1A">
        <w:rPr>
          <w:rFonts w:ascii="Times New Roman" w:hAnsi="Times New Roman" w:cs="Times New Roman"/>
          <w:i/>
          <w:sz w:val="24"/>
          <w:szCs w:val="24"/>
        </w:rPr>
        <w:t xml:space="preserve">et al., </w:t>
      </w:r>
      <w:r w:rsidR="00A82914" w:rsidRPr="00AB4C1A">
        <w:rPr>
          <w:rFonts w:ascii="Times New Roman" w:hAnsi="Times New Roman" w:cs="Times New Roman"/>
          <w:iCs/>
          <w:sz w:val="24"/>
          <w:szCs w:val="24"/>
        </w:rPr>
        <w:t>2014;</w:t>
      </w:r>
      <w:r w:rsidR="00A82914" w:rsidRPr="00AB4C1A">
        <w:rPr>
          <w:rFonts w:ascii="Times New Roman" w:hAnsi="Times New Roman" w:cs="Times New Roman"/>
          <w:sz w:val="24"/>
          <w:szCs w:val="24"/>
        </w:rPr>
        <w:t xml:space="preserve"> 2018)</w:t>
      </w:r>
      <w:r w:rsidR="00E036E9" w:rsidRPr="00AB4C1A">
        <w:rPr>
          <w:rFonts w:ascii="Times New Roman" w:hAnsi="Times New Roman" w:cs="Times New Roman"/>
          <w:sz w:val="24"/>
          <w:szCs w:val="24"/>
        </w:rPr>
        <w:t xml:space="preserve">, </w:t>
      </w:r>
      <w:r w:rsidR="004A18F0" w:rsidRPr="00AB4C1A">
        <w:rPr>
          <w:rFonts w:ascii="Times New Roman" w:hAnsi="Times New Roman" w:cs="Times New Roman"/>
          <w:sz w:val="24"/>
          <w:szCs w:val="24"/>
        </w:rPr>
        <w:t xml:space="preserve">which are manifestations of key challenges </w:t>
      </w:r>
      <w:r w:rsidR="00F418C9" w:rsidRPr="00AB4C1A">
        <w:rPr>
          <w:rFonts w:ascii="Times New Roman" w:hAnsi="Times New Roman" w:cs="Times New Roman"/>
          <w:sz w:val="24"/>
          <w:szCs w:val="24"/>
        </w:rPr>
        <w:t xml:space="preserve">as highlighted by the literature on </w:t>
      </w:r>
      <w:r w:rsidR="00BE688B" w:rsidRPr="00AB4C1A">
        <w:rPr>
          <w:rFonts w:ascii="Times New Roman" w:hAnsi="Times New Roman" w:cs="Times New Roman"/>
          <w:sz w:val="24"/>
          <w:szCs w:val="24"/>
        </w:rPr>
        <w:t>multi-level</w:t>
      </w:r>
      <w:r w:rsidR="004A18F0" w:rsidRPr="00AB4C1A">
        <w:rPr>
          <w:rFonts w:ascii="Times New Roman" w:hAnsi="Times New Roman" w:cs="Times New Roman"/>
          <w:sz w:val="24"/>
          <w:szCs w:val="24"/>
        </w:rPr>
        <w:t xml:space="preserve"> </w:t>
      </w:r>
      <w:r w:rsidR="00F418C9" w:rsidRPr="00AB4C1A">
        <w:rPr>
          <w:rFonts w:ascii="Times New Roman" w:hAnsi="Times New Roman" w:cs="Times New Roman"/>
          <w:sz w:val="24"/>
          <w:szCs w:val="24"/>
        </w:rPr>
        <w:t>governance</w:t>
      </w:r>
      <w:r w:rsidR="00CE1E44" w:rsidRPr="00AB4C1A">
        <w:rPr>
          <w:rFonts w:ascii="Times New Roman" w:hAnsi="Times New Roman" w:cs="Times New Roman"/>
          <w:sz w:val="24"/>
          <w:szCs w:val="24"/>
        </w:rPr>
        <w:t xml:space="preserve"> and </w:t>
      </w:r>
      <w:r w:rsidR="00F13C57" w:rsidRPr="00AB4C1A">
        <w:rPr>
          <w:rFonts w:ascii="Times New Roman" w:hAnsi="Times New Roman" w:cs="Times New Roman"/>
          <w:sz w:val="24"/>
          <w:szCs w:val="24"/>
        </w:rPr>
        <w:t>its impact on policy outcomes</w:t>
      </w:r>
      <w:r w:rsidR="006B32FE" w:rsidRPr="00AB4C1A">
        <w:rPr>
          <w:rFonts w:ascii="Times New Roman" w:hAnsi="Times New Roman" w:cs="Times New Roman"/>
          <w:sz w:val="24"/>
          <w:szCs w:val="24"/>
        </w:rPr>
        <w:t>.</w:t>
      </w:r>
      <w:r w:rsidR="00F13C57" w:rsidRPr="00AB4C1A">
        <w:rPr>
          <w:rFonts w:ascii="Times New Roman" w:hAnsi="Times New Roman" w:cs="Times New Roman"/>
          <w:sz w:val="24"/>
          <w:szCs w:val="24"/>
        </w:rPr>
        <w:t xml:space="preserve"> </w:t>
      </w:r>
    </w:p>
    <w:p w14:paraId="619A961D" w14:textId="77777777" w:rsidR="002D7106" w:rsidRPr="00AB4C1A" w:rsidRDefault="00322713">
      <w:pPr>
        <w:spacing w:line="240" w:lineRule="auto"/>
        <w:rPr>
          <w:rFonts w:ascii="Times New Roman" w:hAnsi="Times New Roman" w:cs="Times New Roman"/>
          <w:sz w:val="24"/>
          <w:szCs w:val="24"/>
        </w:rPr>
      </w:pPr>
      <w:r w:rsidRPr="00AB4C1A">
        <w:rPr>
          <w:rFonts w:ascii="Times New Roman" w:hAnsi="Times New Roman" w:cs="Times New Roman"/>
          <w:sz w:val="24"/>
          <w:szCs w:val="24"/>
        </w:rPr>
        <w:t>Further, the uncertainty and assumptions made by DEFRA around emission factors for NO</w:t>
      </w:r>
      <w:r w:rsidRPr="00AB4C1A">
        <w:rPr>
          <w:rFonts w:ascii="Times New Roman" w:hAnsi="Times New Roman" w:cs="Times New Roman"/>
          <w:sz w:val="24"/>
          <w:szCs w:val="24"/>
          <w:vertAlign w:val="subscript"/>
        </w:rPr>
        <w:t>2</w:t>
      </w:r>
      <w:r w:rsidRPr="00AB4C1A">
        <w:rPr>
          <w:rFonts w:ascii="Times New Roman" w:hAnsi="Times New Roman" w:cs="Times New Roman"/>
          <w:sz w:val="24"/>
          <w:szCs w:val="24"/>
        </w:rPr>
        <w:t xml:space="preserve">, fleet dynamics, and future projections for the UK’s Air Quality Plan (or Clean Air Strategy), raise questions as to its robustness (Williams,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2016; Moorcroft &amp; Dore, 2013). </w:t>
      </w:r>
      <w:r w:rsidR="00BA42A1" w:rsidRPr="00AB4C1A">
        <w:rPr>
          <w:rFonts w:ascii="Times New Roman" w:hAnsi="Times New Roman" w:cs="Times New Roman"/>
          <w:sz w:val="24"/>
          <w:szCs w:val="24"/>
        </w:rPr>
        <w:t xml:space="preserve">From a policy perspective, </w:t>
      </w:r>
      <w:r w:rsidRPr="00AB4C1A">
        <w:rPr>
          <w:rFonts w:ascii="Times New Roman" w:hAnsi="Times New Roman" w:cs="Times New Roman"/>
          <w:sz w:val="24"/>
          <w:szCs w:val="24"/>
        </w:rPr>
        <w:t xml:space="preserve">this failure has been driven primarily by a disconnect between </w:t>
      </w:r>
      <w:r w:rsidR="005B027B" w:rsidRPr="00AB4C1A">
        <w:rPr>
          <w:rFonts w:ascii="Times New Roman" w:hAnsi="Times New Roman" w:cs="Times New Roman"/>
          <w:sz w:val="24"/>
          <w:szCs w:val="24"/>
        </w:rPr>
        <w:t xml:space="preserve">the </w:t>
      </w:r>
      <w:r w:rsidRPr="00AB4C1A">
        <w:rPr>
          <w:rFonts w:ascii="Times New Roman" w:hAnsi="Times New Roman" w:cs="Times New Roman"/>
          <w:sz w:val="24"/>
          <w:szCs w:val="24"/>
        </w:rPr>
        <w:t>LAQM and AAQD implementation processe</w:t>
      </w:r>
      <w:r w:rsidR="00A979B0" w:rsidRPr="00AB4C1A">
        <w:rPr>
          <w:rFonts w:ascii="Times New Roman" w:hAnsi="Times New Roman" w:cs="Times New Roman"/>
          <w:sz w:val="24"/>
          <w:szCs w:val="24"/>
        </w:rPr>
        <w:t>s</w:t>
      </w:r>
      <w:r w:rsidRPr="00AB4C1A">
        <w:rPr>
          <w:rFonts w:ascii="Times New Roman" w:hAnsi="Times New Roman" w:cs="Times New Roman"/>
          <w:sz w:val="24"/>
          <w:szCs w:val="24"/>
        </w:rPr>
        <w:t xml:space="preserve">. </w:t>
      </w:r>
      <w:r w:rsidR="00E64C84" w:rsidRPr="00AB4C1A">
        <w:rPr>
          <w:rFonts w:ascii="Times New Roman" w:hAnsi="Times New Roman" w:cs="Times New Roman"/>
          <w:sz w:val="24"/>
          <w:szCs w:val="24"/>
        </w:rPr>
        <w:t xml:space="preserve">For example, while the AAQD monitoring requirement </w:t>
      </w:r>
      <w:r w:rsidR="005B027B" w:rsidRPr="00AB4C1A">
        <w:rPr>
          <w:rFonts w:ascii="Times New Roman" w:hAnsi="Times New Roman" w:cs="Times New Roman"/>
          <w:sz w:val="24"/>
          <w:szCs w:val="24"/>
        </w:rPr>
        <w:t xml:space="preserve">stipulates </w:t>
      </w:r>
      <w:r w:rsidR="00E64C84" w:rsidRPr="00AB4C1A">
        <w:rPr>
          <w:rFonts w:ascii="Times New Roman" w:hAnsi="Times New Roman" w:cs="Times New Roman"/>
          <w:sz w:val="24"/>
          <w:szCs w:val="24"/>
        </w:rPr>
        <w:t>“at least one monitoring station per zone/agglomeration, representing a designated area (m</w:t>
      </w:r>
      <w:r w:rsidR="00E64C84" w:rsidRPr="00AB4C1A">
        <w:rPr>
          <w:rFonts w:ascii="Times New Roman" w:hAnsi="Times New Roman" w:cs="Times New Roman"/>
          <w:sz w:val="24"/>
          <w:szCs w:val="24"/>
          <w:vertAlign w:val="superscript"/>
        </w:rPr>
        <w:t>2</w:t>
      </w:r>
      <w:r w:rsidR="00E64C84" w:rsidRPr="00AB4C1A">
        <w:rPr>
          <w:rFonts w:ascii="Times New Roman" w:hAnsi="Times New Roman" w:cs="Times New Roman"/>
          <w:sz w:val="24"/>
          <w:szCs w:val="24"/>
        </w:rPr>
        <w:t xml:space="preserve">) where concentrations are highest and there is relevant exposure” (Barnes </w:t>
      </w:r>
      <w:r w:rsidR="00E64C84" w:rsidRPr="00AB4C1A">
        <w:rPr>
          <w:rFonts w:ascii="Times New Roman" w:hAnsi="Times New Roman" w:cs="Times New Roman"/>
          <w:i/>
          <w:iCs/>
          <w:sz w:val="24"/>
          <w:szCs w:val="24"/>
        </w:rPr>
        <w:t>et al.,</w:t>
      </w:r>
      <w:r w:rsidR="00E64C84" w:rsidRPr="00AB4C1A">
        <w:rPr>
          <w:rFonts w:ascii="Times New Roman" w:hAnsi="Times New Roman" w:cs="Times New Roman"/>
          <w:sz w:val="24"/>
          <w:szCs w:val="24"/>
        </w:rPr>
        <w:t xml:space="preserve"> 2018 p. 6)</w:t>
      </w:r>
      <w:r w:rsidR="00F331A7" w:rsidRPr="00AB4C1A">
        <w:rPr>
          <w:rFonts w:ascii="Times New Roman" w:hAnsi="Times New Roman" w:cs="Times New Roman"/>
          <w:sz w:val="24"/>
          <w:szCs w:val="24"/>
        </w:rPr>
        <w:t>, f</w:t>
      </w:r>
      <w:r w:rsidR="00E64C84" w:rsidRPr="00AB4C1A">
        <w:rPr>
          <w:rFonts w:ascii="Times New Roman" w:hAnsi="Times New Roman" w:cs="Times New Roman"/>
          <w:sz w:val="24"/>
          <w:szCs w:val="24"/>
        </w:rPr>
        <w:t xml:space="preserve">or LAQM “there is no legal requirement to monitor …but recommended assessment should be made at the ‘worst-case’ location representative of relevant exposure” (ibid.). This </w:t>
      </w:r>
      <w:proofErr w:type="gramStart"/>
      <w:r w:rsidR="00E64C84" w:rsidRPr="00AB4C1A">
        <w:rPr>
          <w:rFonts w:ascii="Times New Roman" w:hAnsi="Times New Roman" w:cs="Times New Roman"/>
          <w:sz w:val="24"/>
          <w:szCs w:val="24"/>
        </w:rPr>
        <w:t>particular example</w:t>
      </w:r>
      <w:proofErr w:type="gramEnd"/>
      <w:r w:rsidR="00E64C84" w:rsidRPr="00AB4C1A">
        <w:rPr>
          <w:rFonts w:ascii="Times New Roman" w:hAnsi="Times New Roman" w:cs="Times New Roman"/>
          <w:sz w:val="24"/>
          <w:szCs w:val="24"/>
        </w:rPr>
        <w:t xml:space="preserve"> highlights the difficulties in determining which authority, national or local, has responsibility for the differing ways of approaching the same issue.</w:t>
      </w:r>
      <w:r w:rsidR="0074276C" w:rsidRPr="00AB4C1A">
        <w:rPr>
          <w:rFonts w:ascii="Times New Roman" w:hAnsi="Times New Roman" w:cs="Times New Roman"/>
          <w:sz w:val="24"/>
          <w:szCs w:val="24"/>
        </w:rPr>
        <w:t xml:space="preserve"> </w:t>
      </w:r>
    </w:p>
    <w:p w14:paraId="027DB254" w14:textId="57A31AD5" w:rsidR="00F331A7" w:rsidRPr="00AB4C1A" w:rsidRDefault="007A27F7">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Directly engaging with the literature on policy implementation in </w:t>
      </w:r>
      <w:r w:rsidR="00BE688B" w:rsidRPr="00AB4C1A">
        <w:rPr>
          <w:rFonts w:ascii="Times New Roman" w:hAnsi="Times New Roman" w:cs="Times New Roman"/>
          <w:sz w:val="24"/>
          <w:szCs w:val="24"/>
        </w:rPr>
        <w:t>multi-level</w:t>
      </w:r>
      <w:r w:rsidRPr="00AB4C1A">
        <w:rPr>
          <w:rFonts w:ascii="Times New Roman" w:hAnsi="Times New Roman" w:cs="Times New Roman"/>
          <w:sz w:val="24"/>
          <w:szCs w:val="24"/>
        </w:rPr>
        <w:t xml:space="preserve"> governance settings</w:t>
      </w:r>
      <w:r w:rsidR="000518E7" w:rsidRPr="00AB4C1A">
        <w:rPr>
          <w:rFonts w:ascii="Times New Roman" w:hAnsi="Times New Roman" w:cs="Times New Roman"/>
          <w:sz w:val="24"/>
          <w:szCs w:val="24"/>
        </w:rPr>
        <w:t>, t</w:t>
      </w:r>
      <w:r w:rsidR="0074276C" w:rsidRPr="00AB4C1A">
        <w:rPr>
          <w:rFonts w:ascii="Times New Roman" w:hAnsi="Times New Roman" w:cs="Times New Roman"/>
          <w:sz w:val="24"/>
          <w:szCs w:val="24"/>
        </w:rPr>
        <w:t xml:space="preserve">his paper develops an assessment tool for better integrating and aligning LAQM and AAQD which can be used by LAs as a guide during the policy development stage and by Defra as a performance assessment tool. </w:t>
      </w:r>
      <w:r w:rsidR="00251D62" w:rsidRPr="00AB4C1A">
        <w:rPr>
          <w:rFonts w:ascii="Times New Roman" w:hAnsi="Times New Roman" w:cs="Times New Roman"/>
          <w:sz w:val="24"/>
          <w:szCs w:val="24"/>
        </w:rPr>
        <w:t>Our focus on integrating</w:t>
      </w:r>
      <w:r w:rsidR="005F2FBB" w:rsidRPr="00AB4C1A">
        <w:rPr>
          <w:rFonts w:ascii="Times New Roman" w:hAnsi="Times New Roman" w:cs="Times New Roman"/>
          <w:sz w:val="24"/>
          <w:szCs w:val="24"/>
        </w:rPr>
        <w:t>,</w:t>
      </w:r>
      <w:r w:rsidR="000F5314" w:rsidRPr="00AB4C1A">
        <w:rPr>
          <w:rFonts w:ascii="Times New Roman" w:hAnsi="Times New Roman" w:cs="Times New Roman"/>
          <w:sz w:val="24"/>
          <w:szCs w:val="24"/>
        </w:rPr>
        <w:t xml:space="preserve"> within a unified assessment tool</w:t>
      </w:r>
      <w:r w:rsidR="005F2FBB" w:rsidRPr="00AB4C1A">
        <w:rPr>
          <w:rFonts w:ascii="Times New Roman" w:hAnsi="Times New Roman" w:cs="Times New Roman"/>
          <w:sz w:val="24"/>
          <w:szCs w:val="24"/>
        </w:rPr>
        <w:t>,</w:t>
      </w:r>
      <w:r w:rsidR="00251D62" w:rsidRPr="00AB4C1A">
        <w:rPr>
          <w:rFonts w:ascii="Times New Roman" w:hAnsi="Times New Roman" w:cs="Times New Roman"/>
          <w:sz w:val="24"/>
          <w:szCs w:val="24"/>
        </w:rPr>
        <w:t xml:space="preserve"> dimensions </w:t>
      </w:r>
      <w:r w:rsidR="005F2FBB" w:rsidRPr="00AB4C1A">
        <w:rPr>
          <w:rFonts w:ascii="Times New Roman" w:hAnsi="Times New Roman" w:cs="Times New Roman"/>
          <w:sz w:val="24"/>
          <w:szCs w:val="24"/>
        </w:rPr>
        <w:t xml:space="preserve">that </w:t>
      </w:r>
      <w:r w:rsidR="00251D62" w:rsidRPr="00AB4C1A">
        <w:rPr>
          <w:rFonts w:ascii="Times New Roman" w:hAnsi="Times New Roman" w:cs="Times New Roman"/>
          <w:sz w:val="24"/>
          <w:szCs w:val="24"/>
        </w:rPr>
        <w:t xml:space="preserve">are critical for air quality and </w:t>
      </w:r>
      <w:r w:rsidR="000F5314" w:rsidRPr="00AB4C1A">
        <w:rPr>
          <w:rFonts w:ascii="Times New Roman" w:hAnsi="Times New Roman" w:cs="Times New Roman"/>
          <w:sz w:val="24"/>
          <w:szCs w:val="24"/>
        </w:rPr>
        <w:t>which operate across different levels of government offers an opportunity for LAs to systematically identify and address coordination issues, mismatches and asymmetries of information</w:t>
      </w:r>
      <w:r w:rsidR="005F2FBB" w:rsidRPr="00AB4C1A">
        <w:rPr>
          <w:rFonts w:ascii="Times New Roman" w:hAnsi="Times New Roman" w:cs="Times New Roman"/>
          <w:sz w:val="24"/>
          <w:szCs w:val="24"/>
        </w:rPr>
        <w:t>,</w:t>
      </w:r>
      <w:r w:rsidR="000F5314" w:rsidRPr="00AB4C1A">
        <w:rPr>
          <w:rFonts w:ascii="Times New Roman" w:hAnsi="Times New Roman" w:cs="Times New Roman"/>
          <w:sz w:val="24"/>
          <w:szCs w:val="24"/>
        </w:rPr>
        <w:t xml:space="preserve"> which undermine </w:t>
      </w:r>
      <w:r w:rsidR="00A014AD" w:rsidRPr="00AB4C1A">
        <w:rPr>
          <w:rFonts w:ascii="Times New Roman" w:hAnsi="Times New Roman" w:cs="Times New Roman"/>
          <w:sz w:val="24"/>
          <w:szCs w:val="24"/>
        </w:rPr>
        <w:t>the achievement of</w:t>
      </w:r>
      <w:r w:rsidR="000F5314" w:rsidRPr="00AB4C1A">
        <w:rPr>
          <w:rFonts w:ascii="Times New Roman" w:hAnsi="Times New Roman" w:cs="Times New Roman"/>
          <w:sz w:val="24"/>
          <w:szCs w:val="24"/>
        </w:rPr>
        <w:t xml:space="preserve"> </w:t>
      </w:r>
      <w:r w:rsidR="00BE688B" w:rsidRPr="00AB4C1A">
        <w:rPr>
          <w:rFonts w:ascii="Times New Roman" w:hAnsi="Times New Roman" w:cs="Times New Roman"/>
          <w:sz w:val="24"/>
          <w:szCs w:val="24"/>
        </w:rPr>
        <w:t>multi-level</w:t>
      </w:r>
      <w:r w:rsidR="000F5314" w:rsidRPr="00AB4C1A">
        <w:rPr>
          <w:rFonts w:ascii="Times New Roman" w:hAnsi="Times New Roman" w:cs="Times New Roman"/>
          <w:sz w:val="24"/>
          <w:szCs w:val="24"/>
        </w:rPr>
        <w:t xml:space="preserve"> polic</w:t>
      </w:r>
      <w:r w:rsidR="00C40659" w:rsidRPr="00AB4C1A">
        <w:rPr>
          <w:rFonts w:ascii="Times New Roman" w:hAnsi="Times New Roman" w:cs="Times New Roman"/>
          <w:sz w:val="24"/>
          <w:szCs w:val="24"/>
        </w:rPr>
        <w:t>y</w:t>
      </w:r>
      <w:r w:rsidR="00A014AD" w:rsidRPr="00AB4C1A">
        <w:rPr>
          <w:rFonts w:ascii="Times New Roman" w:hAnsi="Times New Roman" w:cs="Times New Roman"/>
          <w:sz w:val="24"/>
          <w:szCs w:val="24"/>
        </w:rPr>
        <w:t xml:space="preserve"> goals. </w:t>
      </w:r>
    </w:p>
    <w:p w14:paraId="2B2EE130" w14:textId="77777777" w:rsidR="00F331A7" w:rsidRPr="00AB4C1A" w:rsidRDefault="00F331A7" w:rsidP="00E13F78">
      <w:pPr>
        <w:rPr>
          <w:rFonts w:ascii="Times New Roman" w:hAnsi="Times New Roman" w:cs="Times New Roman"/>
          <w:sz w:val="24"/>
          <w:szCs w:val="24"/>
        </w:rPr>
      </w:pPr>
      <w:r w:rsidRPr="00AB4C1A">
        <w:rPr>
          <w:rFonts w:ascii="Times New Roman" w:hAnsi="Times New Roman" w:cs="Times New Roman"/>
          <w:b/>
          <w:bCs/>
          <w:iCs/>
          <w:sz w:val="24"/>
          <w:szCs w:val="24"/>
        </w:rPr>
        <w:t>Towards a framework to assess UK local air quality policy implementation performance</w:t>
      </w:r>
    </w:p>
    <w:p w14:paraId="4081A969" w14:textId="41AC906D" w:rsidR="0045221D" w:rsidRPr="00AB4C1A" w:rsidRDefault="0074276C" w:rsidP="0074276C">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Bondarouk</w:t>
      </w:r>
      <w:proofErr w:type="spellEnd"/>
      <w:r w:rsidRPr="00AB4C1A">
        <w:rPr>
          <w:rFonts w:ascii="Times New Roman" w:hAnsi="Times New Roman" w:cs="Times New Roman"/>
          <w:sz w:val="24"/>
          <w:szCs w:val="24"/>
        </w:rPr>
        <w:t xml:space="preserve"> &amp; </w:t>
      </w:r>
      <w:proofErr w:type="spellStart"/>
      <w:r w:rsidRPr="00AB4C1A">
        <w:rPr>
          <w:rFonts w:ascii="Times New Roman" w:hAnsi="Times New Roman" w:cs="Times New Roman"/>
          <w:sz w:val="24"/>
          <w:szCs w:val="24"/>
        </w:rPr>
        <w:t>Mastenbroek’s</w:t>
      </w:r>
      <w:proofErr w:type="spellEnd"/>
      <w:r w:rsidRPr="00AB4C1A">
        <w:rPr>
          <w:rFonts w:ascii="Times New Roman" w:hAnsi="Times New Roman" w:cs="Times New Roman"/>
          <w:sz w:val="24"/>
          <w:szCs w:val="24"/>
        </w:rPr>
        <w:t xml:space="preserve"> framework </w:t>
      </w:r>
      <w:r w:rsidR="008A2F47" w:rsidRPr="00AB4C1A">
        <w:rPr>
          <w:rFonts w:ascii="Times New Roman" w:hAnsi="Times New Roman" w:cs="Times New Roman"/>
          <w:sz w:val="24"/>
          <w:szCs w:val="24"/>
        </w:rPr>
        <w:t>included</w:t>
      </w:r>
      <w:r w:rsidRPr="00AB4C1A">
        <w:rPr>
          <w:rFonts w:ascii="Times New Roman" w:hAnsi="Times New Roman" w:cs="Times New Roman"/>
          <w:sz w:val="24"/>
          <w:szCs w:val="24"/>
        </w:rPr>
        <w:t xml:space="preserve"> key aspects against which to assess Dutch cities’ performance. These aspects </w:t>
      </w:r>
      <w:proofErr w:type="gramStart"/>
      <w:r w:rsidRPr="00AB4C1A">
        <w:rPr>
          <w:rFonts w:ascii="Times New Roman" w:hAnsi="Times New Roman" w:cs="Times New Roman"/>
          <w:sz w:val="24"/>
          <w:szCs w:val="24"/>
        </w:rPr>
        <w:t>are:</w:t>
      </w:r>
      <w:proofErr w:type="gramEnd"/>
      <w:r w:rsidRPr="00AB4C1A">
        <w:rPr>
          <w:rFonts w:ascii="Times New Roman" w:hAnsi="Times New Roman" w:cs="Times New Roman"/>
          <w:sz w:val="24"/>
          <w:szCs w:val="24"/>
        </w:rPr>
        <w:t xml:space="preserve"> </w:t>
      </w:r>
      <w:r w:rsidR="008A2F47" w:rsidRPr="00AB4C1A">
        <w:rPr>
          <w:rFonts w:ascii="Times New Roman" w:hAnsi="Times New Roman" w:cs="Times New Roman"/>
          <w:sz w:val="24"/>
          <w:szCs w:val="24"/>
        </w:rPr>
        <w:t xml:space="preserve">for </w:t>
      </w:r>
      <w:r w:rsidRPr="00AB4C1A">
        <w:rPr>
          <w:rFonts w:ascii="Times New Roman" w:hAnsi="Times New Roman" w:cs="Times New Roman"/>
          <w:sz w:val="24"/>
          <w:szCs w:val="24"/>
        </w:rPr>
        <w:t>Substance: Objectives and Definitional details; for Scope: Territory (or Application Area), Duration, &amp; Addressees; for Effort: Expertise, Prioritisation, Monitoring, Staff, and Budget (or Funding).</w:t>
      </w:r>
    </w:p>
    <w:p w14:paraId="494CE9C0" w14:textId="056B1046" w:rsidR="0045221D" w:rsidRPr="00AB4C1A" w:rsidRDefault="0074276C" w:rsidP="00E13F78">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We depart from this framework in </w:t>
      </w:r>
      <w:r w:rsidR="00311C4C" w:rsidRPr="00AB4C1A">
        <w:rPr>
          <w:rFonts w:ascii="Times New Roman" w:hAnsi="Times New Roman" w:cs="Times New Roman"/>
          <w:sz w:val="24"/>
          <w:szCs w:val="24"/>
        </w:rPr>
        <w:t xml:space="preserve">three </w:t>
      </w:r>
      <w:r w:rsidRPr="00AB4C1A">
        <w:rPr>
          <w:rFonts w:ascii="Times New Roman" w:hAnsi="Times New Roman" w:cs="Times New Roman"/>
          <w:sz w:val="24"/>
          <w:szCs w:val="24"/>
        </w:rPr>
        <w:t>ways: first, the</w:t>
      </w:r>
      <w:r w:rsidR="0045221D" w:rsidRPr="00AB4C1A">
        <w:rPr>
          <w:rFonts w:ascii="Times New Roman" w:hAnsi="Times New Roman" w:cs="Times New Roman"/>
          <w:sz w:val="24"/>
          <w:szCs w:val="24"/>
        </w:rPr>
        <w:t xml:space="preserve"> peculiarity of the</w:t>
      </w:r>
      <w:r w:rsidRPr="00AB4C1A">
        <w:rPr>
          <w:rFonts w:ascii="Times New Roman" w:hAnsi="Times New Roman" w:cs="Times New Roman"/>
          <w:sz w:val="24"/>
          <w:szCs w:val="24"/>
        </w:rPr>
        <w:t xml:space="preserve"> UK context forces us to design an assessment tool that is robust and flexible enough to be applied to both the LAQM and AAQD regime</w:t>
      </w:r>
      <w:r w:rsidR="0045221D" w:rsidRPr="00AB4C1A">
        <w:rPr>
          <w:rFonts w:ascii="Times New Roman" w:hAnsi="Times New Roman" w:cs="Times New Roman"/>
          <w:sz w:val="24"/>
          <w:szCs w:val="24"/>
        </w:rPr>
        <w:t xml:space="preserve"> and provide us with an overall measure of performance</w:t>
      </w:r>
      <w:r w:rsidR="00034A4E" w:rsidRPr="00AB4C1A">
        <w:rPr>
          <w:rFonts w:ascii="Times New Roman" w:hAnsi="Times New Roman" w:cs="Times New Roman"/>
          <w:sz w:val="24"/>
          <w:szCs w:val="24"/>
        </w:rPr>
        <w:t xml:space="preserve"> from a </w:t>
      </w:r>
      <w:r w:rsidR="00BE688B" w:rsidRPr="00AB4C1A">
        <w:rPr>
          <w:rFonts w:ascii="Times New Roman" w:hAnsi="Times New Roman" w:cs="Times New Roman"/>
          <w:sz w:val="24"/>
          <w:szCs w:val="24"/>
        </w:rPr>
        <w:t>multi-level</w:t>
      </w:r>
      <w:r w:rsidR="00034A4E" w:rsidRPr="00AB4C1A">
        <w:rPr>
          <w:rFonts w:ascii="Times New Roman" w:hAnsi="Times New Roman" w:cs="Times New Roman"/>
          <w:sz w:val="24"/>
          <w:szCs w:val="24"/>
        </w:rPr>
        <w:t xml:space="preserve"> perspective</w:t>
      </w:r>
      <w:r w:rsidRPr="00AB4C1A">
        <w:rPr>
          <w:rFonts w:ascii="Times New Roman" w:hAnsi="Times New Roman" w:cs="Times New Roman"/>
          <w:sz w:val="24"/>
          <w:szCs w:val="24"/>
        </w:rPr>
        <w:t xml:space="preserve">. </w:t>
      </w:r>
      <w:r w:rsidR="00311C4C" w:rsidRPr="00AB4C1A">
        <w:rPr>
          <w:rFonts w:ascii="Times New Roman" w:hAnsi="Times New Roman" w:cs="Times New Roman"/>
          <w:sz w:val="24"/>
          <w:szCs w:val="24"/>
        </w:rPr>
        <w:t>In so doing, we also specifically assess the management scale</w:t>
      </w:r>
      <w:r w:rsidR="0045221D" w:rsidRPr="00AB4C1A">
        <w:rPr>
          <w:rFonts w:ascii="Times New Roman" w:hAnsi="Times New Roman" w:cs="Times New Roman"/>
          <w:sz w:val="24"/>
          <w:szCs w:val="24"/>
        </w:rPr>
        <w:t xml:space="preserve"> adopted by each city</w:t>
      </w:r>
      <w:r w:rsidR="00311C4C" w:rsidRPr="00AB4C1A">
        <w:rPr>
          <w:rFonts w:ascii="Times New Roman" w:hAnsi="Times New Roman" w:cs="Times New Roman"/>
          <w:sz w:val="24"/>
          <w:szCs w:val="24"/>
        </w:rPr>
        <w:t xml:space="preserve">. This is important as the original LAQM approach designed to tackle very localised ‘pollution hotspots’ has been </w:t>
      </w:r>
      <w:r w:rsidR="00BE688B" w:rsidRPr="00AB4C1A">
        <w:rPr>
          <w:rFonts w:ascii="Times New Roman" w:hAnsi="Times New Roman" w:cs="Times New Roman"/>
          <w:sz w:val="24"/>
          <w:szCs w:val="24"/>
        </w:rPr>
        <w:t>in</w:t>
      </w:r>
      <w:r w:rsidR="00311C4C" w:rsidRPr="00AB4C1A">
        <w:rPr>
          <w:rFonts w:ascii="Times New Roman" w:hAnsi="Times New Roman" w:cs="Times New Roman"/>
          <w:sz w:val="24"/>
          <w:szCs w:val="24"/>
        </w:rPr>
        <w:t>adequate</w:t>
      </w:r>
      <w:r w:rsidR="002B0425" w:rsidRPr="00AB4C1A">
        <w:rPr>
          <w:rFonts w:ascii="Times New Roman" w:hAnsi="Times New Roman" w:cs="Times New Roman"/>
          <w:sz w:val="24"/>
          <w:szCs w:val="24"/>
        </w:rPr>
        <w:t xml:space="preserve"> (Woodfield, </w:t>
      </w:r>
      <w:r w:rsidR="002B0425" w:rsidRPr="00AB4C1A">
        <w:rPr>
          <w:rFonts w:ascii="Times New Roman" w:hAnsi="Times New Roman" w:cs="Times New Roman"/>
          <w:i/>
          <w:sz w:val="24"/>
          <w:szCs w:val="24"/>
        </w:rPr>
        <w:t>et al.,</w:t>
      </w:r>
      <w:r w:rsidR="002B0425" w:rsidRPr="00AB4C1A">
        <w:rPr>
          <w:rFonts w:ascii="Times New Roman" w:hAnsi="Times New Roman" w:cs="Times New Roman"/>
          <w:sz w:val="24"/>
          <w:szCs w:val="24"/>
        </w:rPr>
        <w:t xml:space="preserve"> 2002)</w:t>
      </w:r>
      <w:r w:rsidR="006B78A6" w:rsidRPr="00AB4C1A">
        <w:rPr>
          <w:rFonts w:ascii="Times New Roman" w:hAnsi="Times New Roman" w:cs="Times New Roman"/>
          <w:sz w:val="24"/>
          <w:szCs w:val="24"/>
        </w:rPr>
        <w:t>.</w:t>
      </w:r>
      <w:r w:rsidR="00311C4C" w:rsidRPr="00AB4C1A">
        <w:rPr>
          <w:rFonts w:ascii="Times New Roman" w:hAnsi="Times New Roman" w:cs="Times New Roman"/>
          <w:sz w:val="24"/>
          <w:szCs w:val="24"/>
        </w:rPr>
        <w:t xml:space="preserve"> </w:t>
      </w:r>
      <w:r w:rsidR="006B78A6" w:rsidRPr="00AB4C1A">
        <w:rPr>
          <w:rFonts w:ascii="Times New Roman" w:hAnsi="Times New Roman" w:cs="Times New Roman"/>
          <w:sz w:val="24"/>
          <w:szCs w:val="24"/>
        </w:rPr>
        <w:t>T</w:t>
      </w:r>
      <w:r w:rsidR="00311C4C" w:rsidRPr="00AB4C1A">
        <w:rPr>
          <w:rFonts w:ascii="Times New Roman" w:hAnsi="Times New Roman" w:cs="Times New Roman"/>
          <w:sz w:val="24"/>
          <w:szCs w:val="24"/>
        </w:rPr>
        <w:t>his has led some cities to try city or regional scale AQMAs to address air quality issues more holistically</w:t>
      </w:r>
      <w:r w:rsidR="006B78A6" w:rsidRPr="00AB4C1A">
        <w:rPr>
          <w:rFonts w:ascii="Times New Roman" w:hAnsi="Times New Roman" w:cs="Times New Roman"/>
          <w:sz w:val="24"/>
          <w:szCs w:val="24"/>
        </w:rPr>
        <w:t xml:space="preserve"> which is</w:t>
      </w:r>
      <w:r w:rsidR="00311C4C" w:rsidRPr="00AB4C1A">
        <w:rPr>
          <w:rFonts w:ascii="Times New Roman" w:hAnsi="Times New Roman" w:cs="Times New Roman"/>
          <w:sz w:val="24"/>
          <w:szCs w:val="24"/>
        </w:rPr>
        <w:t xml:space="preserve"> more likely to address the transboundary nature of some pollutants and polluting activities (BCC, 2018; GMCA, 2016; Woodfield, </w:t>
      </w:r>
      <w:r w:rsidR="00311C4C" w:rsidRPr="00AB4C1A">
        <w:rPr>
          <w:rFonts w:ascii="Times New Roman" w:hAnsi="Times New Roman" w:cs="Times New Roman"/>
          <w:i/>
          <w:sz w:val="24"/>
          <w:szCs w:val="24"/>
        </w:rPr>
        <w:t>et al.,</w:t>
      </w:r>
      <w:r w:rsidR="00311C4C" w:rsidRPr="00AB4C1A">
        <w:rPr>
          <w:rFonts w:ascii="Times New Roman" w:hAnsi="Times New Roman" w:cs="Times New Roman"/>
          <w:sz w:val="24"/>
          <w:szCs w:val="24"/>
        </w:rPr>
        <w:t xml:space="preserve"> 2003</w:t>
      </w:r>
      <w:r w:rsidR="002B0425" w:rsidRPr="00AB4C1A">
        <w:rPr>
          <w:rFonts w:ascii="Times New Roman" w:hAnsi="Times New Roman" w:cs="Times New Roman"/>
          <w:sz w:val="24"/>
          <w:szCs w:val="24"/>
        </w:rPr>
        <w:t>, 2004</w:t>
      </w:r>
      <w:r w:rsidR="00311C4C" w:rsidRPr="00AB4C1A">
        <w:rPr>
          <w:rFonts w:ascii="Times New Roman" w:hAnsi="Times New Roman" w:cs="Times New Roman"/>
          <w:sz w:val="24"/>
          <w:szCs w:val="24"/>
        </w:rPr>
        <w:t>).</w:t>
      </w:r>
      <w:r w:rsidR="0045221D" w:rsidRPr="00AB4C1A">
        <w:rPr>
          <w:rFonts w:ascii="Times New Roman" w:hAnsi="Times New Roman" w:cs="Times New Roman"/>
          <w:sz w:val="24"/>
          <w:szCs w:val="24"/>
        </w:rPr>
        <w:t xml:space="preserve"> </w:t>
      </w:r>
      <w:r w:rsidRPr="00AB4C1A">
        <w:rPr>
          <w:rFonts w:ascii="Times New Roman" w:hAnsi="Times New Roman" w:cs="Times New Roman"/>
          <w:sz w:val="24"/>
          <w:szCs w:val="24"/>
        </w:rPr>
        <w:t>This constitute</w:t>
      </w:r>
      <w:r w:rsidR="008A2F47" w:rsidRPr="00AB4C1A">
        <w:rPr>
          <w:rFonts w:ascii="Times New Roman" w:hAnsi="Times New Roman" w:cs="Times New Roman"/>
          <w:sz w:val="24"/>
          <w:szCs w:val="24"/>
        </w:rPr>
        <w:t>s</w:t>
      </w:r>
      <w:r w:rsidRPr="00AB4C1A">
        <w:rPr>
          <w:rFonts w:ascii="Times New Roman" w:hAnsi="Times New Roman" w:cs="Times New Roman"/>
          <w:sz w:val="24"/>
          <w:szCs w:val="24"/>
        </w:rPr>
        <w:t xml:space="preserve"> a step forward towards closing the policy gap discussed above. Second, we adopt a more holistic and integrated perspective by extending the scope of our assessment to include </w:t>
      </w:r>
      <w:r w:rsidR="009631AF" w:rsidRPr="00AB4C1A">
        <w:rPr>
          <w:rFonts w:ascii="Times New Roman" w:hAnsi="Times New Roman" w:cs="Times New Roman"/>
          <w:sz w:val="24"/>
          <w:szCs w:val="24"/>
        </w:rPr>
        <w:t>other substantive policy domains (</w:t>
      </w:r>
      <w:r w:rsidRPr="00AB4C1A">
        <w:rPr>
          <w:rFonts w:ascii="Times New Roman" w:hAnsi="Times New Roman" w:cs="Times New Roman"/>
          <w:sz w:val="24"/>
          <w:szCs w:val="24"/>
        </w:rPr>
        <w:t>local public health policies, transport policies, planning and development and energy use policies</w:t>
      </w:r>
      <w:r w:rsidR="009631AF" w:rsidRPr="00AB4C1A">
        <w:rPr>
          <w:rFonts w:ascii="Times New Roman" w:hAnsi="Times New Roman" w:cs="Times New Roman"/>
          <w:sz w:val="24"/>
          <w:szCs w:val="24"/>
        </w:rPr>
        <w:t>) which are</w:t>
      </w:r>
      <w:r w:rsidR="00311C4C" w:rsidRPr="00AB4C1A">
        <w:rPr>
          <w:rFonts w:ascii="Times New Roman" w:hAnsi="Times New Roman" w:cs="Times New Roman"/>
          <w:sz w:val="24"/>
          <w:szCs w:val="24"/>
        </w:rPr>
        <w:t xml:space="preserve"> drivers for effective air quality managemen</w:t>
      </w:r>
      <w:r w:rsidR="009631AF" w:rsidRPr="00AB4C1A">
        <w:rPr>
          <w:rFonts w:ascii="Times New Roman" w:hAnsi="Times New Roman" w:cs="Times New Roman"/>
          <w:sz w:val="24"/>
          <w:szCs w:val="24"/>
        </w:rPr>
        <w:t xml:space="preserve">t </w:t>
      </w:r>
      <w:r w:rsidR="009631AF" w:rsidRPr="00AB4C1A">
        <w:rPr>
          <w:rFonts w:ascii="Times New Roman" w:hAnsi="Times New Roman" w:cs="Times New Roman"/>
          <w:sz w:val="24"/>
          <w:szCs w:val="24"/>
        </w:rPr>
        <w:lastRenderedPageBreak/>
        <w:t xml:space="preserve">and which will be discussed more in detail. </w:t>
      </w:r>
      <w:r w:rsidR="00311C4C" w:rsidRPr="00AB4C1A">
        <w:rPr>
          <w:rFonts w:ascii="Times New Roman" w:hAnsi="Times New Roman" w:cs="Times New Roman"/>
          <w:sz w:val="24"/>
          <w:szCs w:val="24"/>
        </w:rPr>
        <w:t xml:space="preserve">Third, the </w:t>
      </w:r>
      <w:r w:rsidR="00A43173" w:rsidRPr="00AB4C1A">
        <w:rPr>
          <w:rFonts w:ascii="Times New Roman" w:hAnsi="Times New Roman" w:cs="Times New Roman"/>
          <w:sz w:val="24"/>
          <w:szCs w:val="24"/>
        </w:rPr>
        <w:t>F</w:t>
      </w:r>
      <w:r w:rsidR="00311C4C" w:rsidRPr="00AB4C1A">
        <w:rPr>
          <w:rFonts w:ascii="Times New Roman" w:hAnsi="Times New Roman" w:cs="Times New Roman"/>
          <w:sz w:val="24"/>
          <w:szCs w:val="24"/>
        </w:rPr>
        <w:t xml:space="preserve">ramework we propose allows a critical assessment of both the formal implementation of the AQAP as well as outcomes with reference to air quality targets. </w:t>
      </w:r>
    </w:p>
    <w:p w14:paraId="26B044F7" w14:textId="77777777" w:rsidR="0045221D" w:rsidRPr="00AB4C1A" w:rsidRDefault="009631AF" w:rsidP="0045221D">
      <w:pPr>
        <w:spacing w:line="240" w:lineRule="auto"/>
        <w:rPr>
          <w:rFonts w:ascii="Times New Roman" w:hAnsi="Times New Roman" w:cs="Times New Roman"/>
          <w:sz w:val="24"/>
          <w:szCs w:val="24"/>
        </w:rPr>
      </w:pPr>
      <w:r w:rsidRPr="00AB4C1A">
        <w:rPr>
          <w:rFonts w:ascii="Times New Roman" w:hAnsi="Times New Roman" w:cs="Times New Roman"/>
          <w:sz w:val="24"/>
          <w:szCs w:val="24"/>
        </w:rPr>
        <w:t>The overall structure of our framework</w:t>
      </w:r>
      <w:r w:rsidR="008A2F47" w:rsidRPr="00AB4C1A">
        <w:rPr>
          <w:rFonts w:ascii="Times New Roman" w:hAnsi="Times New Roman" w:cs="Times New Roman"/>
          <w:sz w:val="24"/>
          <w:szCs w:val="24"/>
        </w:rPr>
        <w:t xml:space="preserve"> (hereafter known as The Bridging Framework)</w:t>
      </w:r>
      <w:r w:rsidR="0045221D" w:rsidRPr="00AB4C1A">
        <w:rPr>
          <w:rFonts w:ascii="Times New Roman" w:hAnsi="Times New Roman" w:cs="Times New Roman"/>
          <w:sz w:val="24"/>
          <w:szCs w:val="24"/>
        </w:rPr>
        <w:t xml:space="preserve"> consists of three sections - Context, Output and Outcome</w:t>
      </w:r>
      <w:r w:rsidR="001B2B5F" w:rsidRPr="00AB4C1A">
        <w:rPr>
          <w:rFonts w:ascii="Times New Roman" w:hAnsi="Times New Roman" w:cs="Times New Roman"/>
          <w:sz w:val="24"/>
          <w:szCs w:val="24"/>
        </w:rPr>
        <w:t>.</w:t>
      </w:r>
    </w:p>
    <w:p w14:paraId="535285E1" w14:textId="77777777" w:rsidR="0045221D" w:rsidRPr="00AB4C1A" w:rsidRDefault="0045221D" w:rsidP="0045221D">
      <w:pPr>
        <w:spacing w:line="240" w:lineRule="auto"/>
        <w:rPr>
          <w:rFonts w:ascii="Times New Roman" w:hAnsi="Times New Roman" w:cs="Times New Roman"/>
          <w:b/>
          <w:bCs/>
          <w:i/>
          <w:iCs/>
          <w:sz w:val="24"/>
          <w:szCs w:val="24"/>
        </w:rPr>
      </w:pPr>
      <w:r w:rsidRPr="00AB4C1A">
        <w:rPr>
          <w:rFonts w:ascii="Times New Roman" w:hAnsi="Times New Roman" w:cs="Times New Roman"/>
          <w:b/>
          <w:bCs/>
          <w:i/>
          <w:iCs/>
          <w:sz w:val="24"/>
          <w:szCs w:val="24"/>
        </w:rPr>
        <w:t>1. Context</w:t>
      </w:r>
    </w:p>
    <w:p w14:paraId="1FE6F3E3" w14:textId="775C13C9" w:rsidR="0045221D" w:rsidRPr="00AB4C1A" w:rsidRDefault="0045221D" w:rsidP="0045221D">
      <w:pPr>
        <w:spacing w:line="240" w:lineRule="auto"/>
        <w:rPr>
          <w:rFonts w:ascii="Times New Roman" w:hAnsi="Times New Roman" w:cs="Times New Roman"/>
          <w:sz w:val="24"/>
          <w:szCs w:val="24"/>
        </w:rPr>
      </w:pPr>
      <w:r w:rsidRPr="00AB4C1A">
        <w:rPr>
          <w:rFonts w:ascii="Times New Roman" w:hAnsi="Times New Roman" w:cs="Times New Roman"/>
          <w:sz w:val="24"/>
          <w:szCs w:val="24"/>
        </w:rPr>
        <w:t>This section pertains to the circumstances around the process of LAQM and the production of AQAPs in each city. It concentrates on changes in policy and attitudes towards air quality, as well as obtaining information on the development of LAQM strategy over time. For example, knowledge of the policy successes or failures around AQAP integration into Local Transport Plans (LTP) (</w:t>
      </w:r>
      <w:proofErr w:type="spellStart"/>
      <w:r w:rsidRPr="00AB4C1A">
        <w:rPr>
          <w:rFonts w:ascii="Times New Roman" w:hAnsi="Times New Roman" w:cs="Times New Roman"/>
          <w:sz w:val="24"/>
          <w:szCs w:val="24"/>
        </w:rPr>
        <w:t>Olowoporoku</w:t>
      </w:r>
      <w:proofErr w:type="spellEnd"/>
      <w:r w:rsidRPr="00AB4C1A">
        <w:rPr>
          <w:rFonts w:ascii="Times New Roman" w:hAnsi="Times New Roman" w:cs="Times New Roman"/>
          <w:sz w:val="24"/>
          <w:szCs w:val="24"/>
        </w:rPr>
        <w:t xml:space="preserve">,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2011), or changes in number and size of AQMA(s) (Woodfield </w:t>
      </w:r>
      <w:r w:rsidRPr="00AB4C1A">
        <w:rPr>
          <w:rFonts w:ascii="Times New Roman" w:hAnsi="Times New Roman" w:cs="Times New Roman"/>
          <w:i/>
          <w:iCs/>
          <w:sz w:val="24"/>
          <w:szCs w:val="24"/>
        </w:rPr>
        <w:t>et al.,</w:t>
      </w:r>
      <w:r w:rsidRPr="00AB4C1A">
        <w:rPr>
          <w:rFonts w:ascii="Times New Roman" w:hAnsi="Times New Roman" w:cs="Times New Roman"/>
          <w:sz w:val="24"/>
          <w:szCs w:val="24"/>
        </w:rPr>
        <w:t xml:space="preserve"> 2003).</w:t>
      </w:r>
    </w:p>
    <w:p w14:paraId="7A271B8F" w14:textId="226FF55D" w:rsidR="0045221D" w:rsidRPr="00AB4C1A" w:rsidRDefault="0045221D" w:rsidP="0045221D">
      <w:pPr>
        <w:spacing w:line="240" w:lineRule="auto"/>
        <w:rPr>
          <w:rFonts w:ascii="Times New Roman" w:hAnsi="Times New Roman" w:cs="Times New Roman"/>
          <w:sz w:val="24"/>
          <w:szCs w:val="24"/>
        </w:rPr>
      </w:pPr>
      <w:r w:rsidRPr="00AB4C1A">
        <w:rPr>
          <w:rFonts w:ascii="Times New Roman" w:hAnsi="Times New Roman" w:cs="Times New Roman"/>
          <w:sz w:val="24"/>
          <w:szCs w:val="24"/>
        </w:rPr>
        <w:t>This enables decision makers to better understand the circumstances (politically, economically, etc.) under which these AQAPs were produced and therefore how they compare with others produced at different times. It also helps inform the development of policy within the city context. Further, contextualising policy by placing it within another policy area, i.e. transport, potentially improves understanding of the problem and thus facilitates implementation (</w:t>
      </w:r>
      <w:proofErr w:type="spellStart"/>
      <w:r w:rsidRPr="00AB4C1A">
        <w:rPr>
          <w:rFonts w:ascii="Times New Roman" w:hAnsi="Times New Roman" w:cs="Times New Roman"/>
          <w:sz w:val="24"/>
          <w:szCs w:val="24"/>
        </w:rPr>
        <w:t>Olow</w:t>
      </w:r>
      <w:r w:rsidR="00C40659" w:rsidRPr="00AB4C1A">
        <w:rPr>
          <w:rFonts w:ascii="Times New Roman" w:hAnsi="Times New Roman" w:cs="Times New Roman"/>
          <w:sz w:val="24"/>
          <w:szCs w:val="24"/>
        </w:rPr>
        <w:t>o</w:t>
      </w:r>
      <w:r w:rsidRPr="00AB4C1A">
        <w:rPr>
          <w:rFonts w:ascii="Times New Roman" w:hAnsi="Times New Roman" w:cs="Times New Roman"/>
          <w:sz w:val="24"/>
          <w:szCs w:val="24"/>
        </w:rPr>
        <w:t>poroku</w:t>
      </w:r>
      <w:proofErr w:type="spellEnd"/>
      <w:r w:rsidRPr="00AB4C1A">
        <w:rPr>
          <w:rFonts w:ascii="Times New Roman" w:hAnsi="Times New Roman" w:cs="Times New Roman"/>
          <w:sz w:val="24"/>
          <w:szCs w:val="24"/>
        </w:rPr>
        <w:t xml:space="preserve">, </w:t>
      </w:r>
      <w:r w:rsidRPr="00AB4C1A">
        <w:rPr>
          <w:rFonts w:ascii="Times New Roman" w:hAnsi="Times New Roman" w:cs="Times New Roman"/>
          <w:i/>
          <w:sz w:val="24"/>
          <w:szCs w:val="24"/>
        </w:rPr>
        <w:t xml:space="preserve">et al., </w:t>
      </w:r>
      <w:r w:rsidRPr="00AB4C1A">
        <w:rPr>
          <w:rFonts w:ascii="Times New Roman" w:hAnsi="Times New Roman" w:cs="Times New Roman"/>
          <w:sz w:val="24"/>
          <w:szCs w:val="24"/>
        </w:rPr>
        <w:t>2010).</w:t>
      </w:r>
    </w:p>
    <w:p w14:paraId="495943D2" w14:textId="6A0B32F8" w:rsidR="0045221D" w:rsidRPr="00AB4C1A" w:rsidRDefault="0045221D" w:rsidP="0045221D">
      <w:pPr>
        <w:spacing w:line="240" w:lineRule="auto"/>
        <w:rPr>
          <w:rFonts w:ascii="Times New Roman" w:hAnsi="Times New Roman" w:cs="Times New Roman"/>
          <w:sz w:val="24"/>
          <w:szCs w:val="24"/>
        </w:rPr>
      </w:pPr>
      <w:r w:rsidRPr="00AB4C1A">
        <w:rPr>
          <w:rFonts w:ascii="Times New Roman" w:hAnsi="Times New Roman" w:cs="Times New Roman"/>
          <w:sz w:val="24"/>
          <w:szCs w:val="24"/>
        </w:rPr>
        <w:t>The ‘context’ section includes three aspects requir</w:t>
      </w:r>
      <w:r w:rsidR="00BE688B" w:rsidRPr="00AB4C1A">
        <w:rPr>
          <w:rFonts w:ascii="Times New Roman" w:hAnsi="Times New Roman" w:cs="Times New Roman"/>
          <w:sz w:val="24"/>
          <w:szCs w:val="24"/>
        </w:rPr>
        <w:t>ing</w:t>
      </w:r>
      <w:r w:rsidRPr="00AB4C1A">
        <w:rPr>
          <w:rFonts w:ascii="Times New Roman" w:hAnsi="Times New Roman" w:cs="Times New Roman"/>
          <w:sz w:val="24"/>
          <w:szCs w:val="24"/>
        </w:rPr>
        <w:t xml:space="preserve"> information on the source document type and its date, the current number of AQMAs in the city, and past evidence of change.</w:t>
      </w:r>
    </w:p>
    <w:p w14:paraId="008BA756" w14:textId="77777777" w:rsidR="0045221D" w:rsidRPr="00AB4C1A" w:rsidRDefault="0045221D" w:rsidP="0045221D">
      <w:pPr>
        <w:spacing w:line="240" w:lineRule="auto"/>
        <w:rPr>
          <w:rFonts w:ascii="Times New Roman" w:hAnsi="Times New Roman" w:cs="Times New Roman"/>
          <w:b/>
          <w:bCs/>
          <w:i/>
          <w:iCs/>
          <w:sz w:val="24"/>
          <w:szCs w:val="24"/>
        </w:rPr>
      </w:pPr>
      <w:r w:rsidRPr="00AB4C1A">
        <w:rPr>
          <w:rFonts w:ascii="Times New Roman" w:hAnsi="Times New Roman" w:cs="Times New Roman"/>
          <w:b/>
          <w:bCs/>
          <w:i/>
          <w:iCs/>
          <w:sz w:val="24"/>
          <w:szCs w:val="24"/>
        </w:rPr>
        <w:t>2. Output</w:t>
      </w:r>
    </w:p>
    <w:p w14:paraId="089F2BC5" w14:textId="4AAF38DF" w:rsidR="0045221D" w:rsidRPr="00AB4C1A" w:rsidRDefault="0045221D" w:rsidP="0045221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The </w:t>
      </w:r>
      <w:r w:rsidR="008A2F47" w:rsidRPr="00AB4C1A">
        <w:rPr>
          <w:rFonts w:ascii="Times New Roman" w:hAnsi="Times New Roman" w:cs="Times New Roman"/>
          <w:sz w:val="24"/>
          <w:szCs w:val="24"/>
        </w:rPr>
        <w:t>Bridging F</w:t>
      </w:r>
      <w:r w:rsidRPr="00AB4C1A">
        <w:rPr>
          <w:rFonts w:ascii="Times New Roman" w:hAnsi="Times New Roman" w:cs="Times New Roman"/>
          <w:sz w:val="24"/>
          <w:szCs w:val="24"/>
        </w:rPr>
        <w:t xml:space="preserve">ramework assesses the AQAP as a whole and the measures separately. Changes made include clarifying the scoring system and definitions, the addition of measures relevant to air quality as informed by the literature e.g. public health, and clearly distinguishes the legal stipulations of the AAQD and LAQM. The fundamental structure and scoring system </w:t>
      </w:r>
      <w:r w:rsidR="00290074" w:rsidRPr="00AB4C1A">
        <w:rPr>
          <w:rFonts w:ascii="Times New Roman" w:hAnsi="Times New Roman" w:cs="Times New Roman"/>
          <w:sz w:val="24"/>
          <w:szCs w:val="24"/>
        </w:rPr>
        <w:t>remain</w:t>
      </w:r>
      <w:r w:rsidRPr="00AB4C1A">
        <w:rPr>
          <w:rFonts w:ascii="Times New Roman" w:hAnsi="Times New Roman" w:cs="Times New Roman"/>
          <w:sz w:val="24"/>
          <w:szCs w:val="24"/>
        </w:rPr>
        <w:t xml:space="preserve"> the same as that of </w:t>
      </w:r>
      <w:proofErr w:type="spellStart"/>
      <w:r w:rsidRPr="00AB4C1A">
        <w:rPr>
          <w:rFonts w:ascii="Times New Roman" w:hAnsi="Times New Roman" w:cs="Times New Roman"/>
          <w:sz w:val="24"/>
          <w:szCs w:val="24"/>
        </w:rPr>
        <w:t>Bondarouk</w:t>
      </w:r>
      <w:proofErr w:type="spellEnd"/>
      <w:r w:rsidRPr="00AB4C1A">
        <w:rPr>
          <w:rFonts w:ascii="Times New Roman" w:hAnsi="Times New Roman" w:cs="Times New Roman"/>
          <w:sz w:val="24"/>
          <w:szCs w:val="24"/>
        </w:rPr>
        <w:t xml:space="preserve"> &amp; </w:t>
      </w:r>
      <w:proofErr w:type="spellStart"/>
      <w:r w:rsidRPr="00AB4C1A">
        <w:rPr>
          <w:rFonts w:ascii="Times New Roman" w:hAnsi="Times New Roman" w:cs="Times New Roman"/>
          <w:sz w:val="24"/>
          <w:szCs w:val="24"/>
        </w:rPr>
        <w:t>Liefferink’s</w:t>
      </w:r>
      <w:proofErr w:type="spellEnd"/>
      <w:r w:rsidRPr="00AB4C1A">
        <w:rPr>
          <w:rFonts w:ascii="Times New Roman" w:hAnsi="Times New Roman" w:cs="Times New Roman"/>
          <w:sz w:val="24"/>
          <w:szCs w:val="24"/>
        </w:rPr>
        <w:t xml:space="preserve"> framework.</w:t>
      </w:r>
    </w:p>
    <w:p w14:paraId="5D5EC768" w14:textId="77777777" w:rsidR="00916D2C" w:rsidRPr="00AB4C1A" w:rsidRDefault="0045221D" w:rsidP="0045221D">
      <w:pPr>
        <w:spacing w:line="240" w:lineRule="auto"/>
        <w:rPr>
          <w:rFonts w:ascii="Times New Roman" w:hAnsi="Times New Roman" w:cs="Times New Roman"/>
          <w:sz w:val="24"/>
          <w:szCs w:val="24"/>
        </w:rPr>
      </w:pPr>
      <w:r w:rsidRPr="00AB4C1A">
        <w:rPr>
          <w:rFonts w:ascii="Times New Roman" w:hAnsi="Times New Roman" w:cs="Times New Roman"/>
          <w:sz w:val="24"/>
          <w:szCs w:val="24"/>
        </w:rPr>
        <w:t>In the UK, the method by which AQAP measures are implemented is at the discretion of the local authority (</w:t>
      </w:r>
      <w:r w:rsidR="00F65E3C" w:rsidRPr="00AB4C1A">
        <w:rPr>
          <w:rFonts w:ascii="Times New Roman" w:hAnsi="Times New Roman" w:cs="Times New Roman"/>
          <w:sz w:val="24"/>
          <w:szCs w:val="24"/>
        </w:rPr>
        <w:t>Defra</w:t>
      </w:r>
      <w:r w:rsidRPr="00AB4C1A">
        <w:rPr>
          <w:rFonts w:ascii="Times New Roman" w:hAnsi="Times New Roman" w:cs="Times New Roman"/>
          <w:sz w:val="24"/>
          <w:szCs w:val="24"/>
        </w:rPr>
        <w:t xml:space="preserve">, 2016). Our approach accommodates this leeway, attributed by article 23 of the AAQD, allowing for additional measures to be scored even if not explicitly listed in the </w:t>
      </w:r>
      <w:r w:rsidR="008A2F47" w:rsidRPr="00AB4C1A">
        <w:rPr>
          <w:rFonts w:ascii="Times New Roman" w:hAnsi="Times New Roman" w:cs="Times New Roman"/>
          <w:sz w:val="24"/>
          <w:szCs w:val="24"/>
        </w:rPr>
        <w:t>Bridging F</w:t>
      </w:r>
      <w:r w:rsidRPr="00AB4C1A">
        <w:rPr>
          <w:rFonts w:ascii="Times New Roman" w:hAnsi="Times New Roman" w:cs="Times New Roman"/>
          <w:sz w:val="24"/>
          <w:szCs w:val="24"/>
        </w:rPr>
        <w:t>ramework. A comments column is also supplied for explanation as required. When measures are developed, as in the case of transport, scores are broken down to give more information for analysis.</w:t>
      </w:r>
    </w:p>
    <w:p w14:paraId="1814D7E2" w14:textId="22C27491" w:rsidR="0045221D" w:rsidRPr="00AB4C1A" w:rsidRDefault="0045221D" w:rsidP="0045221D">
      <w:pPr>
        <w:spacing w:line="240" w:lineRule="auto"/>
        <w:rPr>
          <w:rFonts w:ascii="Times New Roman" w:hAnsi="Times New Roman" w:cs="Times New Roman"/>
          <w:sz w:val="24"/>
          <w:szCs w:val="24"/>
        </w:rPr>
      </w:pPr>
      <w:r w:rsidRPr="00AB4C1A">
        <w:rPr>
          <w:rFonts w:ascii="Times New Roman" w:hAnsi="Times New Roman" w:cs="Times New Roman"/>
          <w:sz w:val="24"/>
          <w:szCs w:val="24"/>
        </w:rPr>
        <w:t>Where limited information</w:t>
      </w:r>
      <w:r w:rsidR="00290074" w:rsidRPr="00AB4C1A">
        <w:rPr>
          <w:rFonts w:ascii="Times New Roman" w:hAnsi="Times New Roman" w:cs="Times New Roman"/>
          <w:sz w:val="24"/>
          <w:szCs w:val="24"/>
        </w:rPr>
        <w:t xml:space="preserve"> is</w:t>
      </w:r>
      <w:r w:rsidRPr="00AB4C1A">
        <w:rPr>
          <w:rFonts w:ascii="Times New Roman" w:hAnsi="Times New Roman" w:cs="Times New Roman"/>
          <w:sz w:val="24"/>
          <w:szCs w:val="24"/>
        </w:rPr>
        <w:t xml:space="preserve"> supplied in AQAPs e.g. around staff and funding, these aspects are applied only to the assessment of the </w:t>
      </w:r>
      <w:proofErr w:type="gramStart"/>
      <w:r w:rsidRPr="00AB4C1A">
        <w:rPr>
          <w:rFonts w:ascii="Times New Roman" w:hAnsi="Times New Roman" w:cs="Times New Roman"/>
          <w:sz w:val="24"/>
          <w:szCs w:val="24"/>
        </w:rPr>
        <w:t>AQAP as a whole</w:t>
      </w:r>
      <w:proofErr w:type="gramEnd"/>
      <w:r w:rsidRPr="00AB4C1A">
        <w:rPr>
          <w:rFonts w:ascii="Times New Roman" w:hAnsi="Times New Roman" w:cs="Times New Roman"/>
          <w:sz w:val="24"/>
          <w:szCs w:val="24"/>
        </w:rPr>
        <w:t xml:space="preserve">. Further, new aspects are added to this assessment which aim to evaluate elements of overarching LAQM and AAQD polices, addressing the relevant policy disconnects outlined by Barnes,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(2018). They include measures such as policy tools, equipment specifications (e.g. monitor types), and other recommendations or stipulations surrounding LAQM such as interdepartmental cooperation (Barnes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2018; </w:t>
      </w:r>
      <w:proofErr w:type="spellStart"/>
      <w:r w:rsidRPr="00AB4C1A">
        <w:rPr>
          <w:rFonts w:ascii="Times New Roman" w:hAnsi="Times New Roman" w:cs="Times New Roman"/>
          <w:sz w:val="24"/>
          <w:szCs w:val="24"/>
        </w:rPr>
        <w:t>Olowopor</w:t>
      </w:r>
      <w:r w:rsidR="00C2335F" w:rsidRPr="00AB4C1A">
        <w:rPr>
          <w:rFonts w:ascii="Times New Roman" w:hAnsi="Times New Roman" w:cs="Times New Roman"/>
          <w:sz w:val="24"/>
          <w:szCs w:val="24"/>
        </w:rPr>
        <w:t>o</w:t>
      </w:r>
      <w:r w:rsidRPr="00AB4C1A">
        <w:rPr>
          <w:rFonts w:ascii="Times New Roman" w:hAnsi="Times New Roman" w:cs="Times New Roman"/>
          <w:sz w:val="24"/>
          <w:szCs w:val="24"/>
        </w:rPr>
        <w:t>ku</w:t>
      </w:r>
      <w:proofErr w:type="spellEnd"/>
      <w:r w:rsidRPr="00AB4C1A">
        <w:rPr>
          <w:rFonts w:ascii="Times New Roman" w:hAnsi="Times New Roman" w:cs="Times New Roman"/>
          <w:sz w:val="24"/>
          <w:szCs w:val="24"/>
        </w:rPr>
        <w:t xml:space="preserve">,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2012). This ensures appropriate evaluation of AQAP content </w:t>
      </w:r>
      <w:proofErr w:type="gramStart"/>
      <w:r w:rsidRPr="00AB4C1A">
        <w:rPr>
          <w:rFonts w:ascii="Times New Roman" w:hAnsi="Times New Roman" w:cs="Times New Roman"/>
          <w:sz w:val="24"/>
          <w:szCs w:val="24"/>
        </w:rPr>
        <w:t>in light of</w:t>
      </w:r>
      <w:proofErr w:type="gramEnd"/>
      <w:r w:rsidRPr="00AB4C1A">
        <w:rPr>
          <w:rFonts w:ascii="Times New Roman" w:hAnsi="Times New Roman" w:cs="Times New Roman"/>
          <w:sz w:val="24"/>
          <w:szCs w:val="24"/>
        </w:rPr>
        <w:t xml:space="preserve"> the policy requirements of LAQM and the AAQD. </w:t>
      </w:r>
    </w:p>
    <w:p w14:paraId="72AAB4E4" w14:textId="77777777" w:rsidR="0045221D" w:rsidRPr="00AB4C1A" w:rsidRDefault="0045221D" w:rsidP="0045221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Along with transport measures, the literature points to extra measures required for evaluation (Naik, </w:t>
      </w:r>
      <w:r w:rsidRPr="00AB4C1A">
        <w:rPr>
          <w:rFonts w:ascii="Times New Roman" w:hAnsi="Times New Roman" w:cs="Times New Roman"/>
          <w:i/>
          <w:sz w:val="24"/>
          <w:szCs w:val="24"/>
        </w:rPr>
        <w:t xml:space="preserve">et al., </w:t>
      </w:r>
      <w:r w:rsidRPr="00AB4C1A">
        <w:rPr>
          <w:rFonts w:ascii="Times New Roman" w:hAnsi="Times New Roman" w:cs="Times New Roman"/>
          <w:sz w:val="24"/>
          <w:szCs w:val="24"/>
        </w:rPr>
        <w:t xml:space="preserve">2017). Specifically, public health (Brunt,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2016; Cannibal &amp; Lemon, 2000), planning and development (Naik,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2017; </w:t>
      </w:r>
      <w:r w:rsidR="00BC49C7" w:rsidRPr="00AB4C1A">
        <w:rPr>
          <w:rFonts w:ascii="Times New Roman" w:hAnsi="Times New Roman" w:cs="Times New Roman"/>
          <w:sz w:val="24"/>
          <w:szCs w:val="24"/>
        </w:rPr>
        <w:t>Defra</w:t>
      </w:r>
      <w:r w:rsidRPr="00AB4C1A">
        <w:rPr>
          <w:rFonts w:ascii="Times New Roman" w:hAnsi="Times New Roman" w:cs="Times New Roman"/>
          <w:sz w:val="24"/>
          <w:szCs w:val="24"/>
        </w:rPr>
        <w:t xml:space="preserve">, 2016), and energy use and </w:t>
      </w:r>
      <w:r w:rsidRPr="00AB4C1A">
        <w:rPr>
          <w:rFonts w:ascii="Times New Roman" w:hAnsi="Times New Roman" w:cs="Times New Roman"/>
          <w:sz w:val="24"/>
          <w:szCs w:val="24"/>
        </w:rPr>
        <w:lastRenderedPageBreak/>
        <w:t xml:space="preserve">production (Jonsson &amp; </w:t>
      </w:r>
      <w:proofErr w:type="spellStart"/>
      <w:r w:rsidRPr="00AB4C1A">
        <w:rPr>
          <w:rFonts w:ascii="Times New Roman" w:hAnsi="Times New Roman" w:cs="Times New Roman"/>
          <w:sz w:val="24"/>
          <w:szCs w:val="24"/>
        </w:rPr>
        <w:t>Hillring</w:t>
      </w:r>
      <w:proofErr w:type="spellEnd"/>
      <w:r w:rsidRPr="00AB4C1A">
        <w:rPr>
          <w:rFonts w:ascii="Times New Roman" w:hAnsi="Times New Roman" w:cs="Times New Roman"/>
          <w:sz w:val="24"/>
          <w:szCs w:val="24"/>
        </w:rPr>
        <w:t xml:space="preserve">, 2006; Naik, </w:t>
      </w:r>
      <w:r w:rsidRPr="00AB4C1A">
        <w:rPr>
          <w:rFonts w:ascii="Times New Roman" w:hAnsi="Times New Roman" w:cs="Times New Roman"/>
          <w:i/>
          <w:sz w:val="24"/>
          <w:szCs w:val="24"/>
        </w:rPr>
        <w:t xml:space="preserve">et al., </w:t>
      </w:r>
      <w:r w:rsidRPr="00AB4C1A">
        <w:rPr>
          <w:rFonts w:ascii="Times New Roman" w:hAnsi="Times New Roman" w:cs="Times New Roman"/>
          <w:sz w:val="24"/>
          <w:szCs w:val="24"/>
        </w:rPr>
        <w:t xml:space="preserve">2017; </w:t>
      </w:r>
      <w:r w:rsidR="00BC49C7" w:rsidRPr="00AB4C1A">
        <w:rPr>
          <w:rFonts w:ascii="Times New Roman" w:hAnsi="Times New Roman" w:cs="Times New Roman"/>
          <w:sz w:val="24"/>
          <w:szCs w:val="24"/>
        </w:rPr>
        <w:t>Defra</w:t>
      </w:r>
      <w:r w:rsidRPr="00AB4C1A">
        <w:rPr>
          <w:rFonts w:ascii="Times New Roman" w:hAnsi="Times New Roman" w:cs="Times New Roman"/>
          <w:sz w:val="24"/>
          <w:szCs w:val="24"/>
        </w:rPr>
        <w:t xml:space="preserve">, 2018b). </w:t>
      </w:r>
      <w:r w:rsidR="005B2B59" w:rsidRPr="00AB4C1A">
        <w:rPr>
          <w:rFonts w:ascii="Times New Roman" w:hAnsi="Times New Roman" w:cs="Times New Roman"/>
          <w:sz w:val="24"/>
          <w:szCs w:val="24"/>
        </w:rPr>
        <w:t>These have been added to the Bridging Framework:</w:t>
      </w:r>
    </w:p>
    <w:p w14:paraId="19EA8D16" w14:textId="79EECBB0" w:rsidR="00916D2C" w:rsidRPr="00AB4C1A" w:rsidRDefault="00916D2C" w:rsidP="0045221D">
      <w:pPr>
        <w:spacing w:line="240" w:lineRule="auto"/>
        <w:rPr>
          <w:rFonts w:ascii="Times New Roman" w:hAnsi="Times New Roman" w:cs="Times New Roman"/>
          <w:i/>
          <w:iCs/>
          <w:sz w:val="24"/>
          <w:szCs w:val="24"/>
        </w:rPr>
      </w:pPr>
      <w:r w:rsidRPr="00AB4C1A">
        <w:rPr>
          <w:rFonts w:ascii="Times New Roman" w:hAnsi="Times New Roman" w:cs="Times New Roman"/>
          <w:i/>
          <w:iCs/>
          <w:sz w:val="24"/>
          <w:szCs w:val="24"/>
        </w:rPr>
        <w:t>Public Health</w:t>
      </w:r>
      <w:r w:rsidR="00A16B4D" w:rsidRPr="00AB4C1A">
        <w:rPr>
          <w:rFonts w:ascii="Times New Roman" w:hAnsi="Times New Roman" w:cs="Times New Roman"/>
          <w:i/>
          <w:iCs/>
          <w:sz w:val="24"/>
          <w:szCs w:val="24"/>
        </w:rPr>
        <w:t xml:space="preserve"> </w:t>
      </w:r>
      <w:r w:rsidR="0045221D" w:rsidRPr="00AB4C1A">
        <w:rPr>
          <w:rFonts w:ascii="Times New Roman" w:hAnsi="Times New Roman" w:cs="Times New Roman"/>
          <w:sz w:val="24"/>
          <w:szCs w:val="24"/>
        </w:rPr>
        <w:t xml:space="preserve">Public health policy is a significant dimension when tackling air quality. A recent death and associated hospital admissions bear a striking association between spikes in air pollution and those admissions (Osbourne, 2018). Yet, there is still a disconnect between LAQM and public health policy demonstrated by the lack of obligatory health cost assessments in UK air quality policy requirements (Brunt, </w:t>
      </w:r>
      <w:r w:rsidR="0045221D" w:rsidRPr="00AB4C1A">
        <w:rPr>
          <w:rFonts w:ascii="Times New Roman" w:hAnsi="Times New Roman" w:cs="Times New Roman"/>
          <w:i/>
          <w:sz w:val="24"/>
          <w:szCs w:val="24"/>
        </w:rPr>
        <w:t>et al.,</w:t>
      </w:r>
      <w:r w:rsidR="0045221D" w:rsidRPr="00AB4C1A">
        <w:rPr>
          <w:rFonts w:ascii="Times New Roman" w:hAnsi="Times New Roman" w:cs="Times New Roman"/>
          <w:sz w:val="24"/>
          <w:szCs w:val="24"/>
        </w:rPr>
        <w:t xml:space="preserve"> 2016; </w:t>
      </w:r>
      <w:r w:rsidR="00BC49C7" w:rsidRPr="00AB4C1A">
        <w:rPr>
          <w:rFonts w:ascii="Times New Roman" w:hAnsi="Times New Roman" w:cs="Times New Roman"/>
          <w:sz w:val="24"/>
          <w:szCs w:val="24"/>
        </w:rPr>
        <w:t>Defra</w:t>
      </w:r>
      <w:r w:rsidR="0045221D" w:rsidRPr="00AB4C1A">
        <w:rPr>
          <w:rFonts w:ascii="Times New Roman" w:hAnsi="Times New Roman" w:cs="Times New Roman"/>
          <w:sz w:val="24"/>
          <w:szCs w:val="24"/>
        </w:rPr>
        <w:t>, 2017).</w:t>
      </w:r>
      <w:r w:rsidR="00A916A7" w:rsidRPr="00AB4C1A">
        <w:rPr>
          <w:rFonts w:ascii="Times New Roman" w:hAnsi="Times New Roman" w:cs="Times New Roman"/>
          <w:sz w:val="24"/>
          <w:szCs w:val="24"/>
        </w:rPr>
        <w:t xml:space="preserve"> </w:t>
      </w:r>
      <w:r w:rsidR="00F72A6C" w:rsidRPr="00AB4C1A">
        <w:rPr>
          <w:rFonts w:ascii="Times New Roman" w:hAnsi="Times New Roman" w:cs="Times New Roman"/>
          <w:sz w:val="24"/>
          <w:szCs w:val="24"/>
        </w:rPr>
        <w:t xml:space="preserve"> However, an integrated assessment of costs of measures and health cost savings are considered a sustainable solution (Miranda, </w:t>
      </w:r>
      <w:r w:rsidR="00F72A6C" w:rsidRPr="00AB4C1A">
        <w:rPr>
          <w:rFonts w:ascii="Times New Roman" w:hAnsi="Times New Roman" w:cs="Times New Roman"/>
          <w:i/>
          <w:sz w:val="24"/>
          <w:szCs w:val="24"/>
        </w:rPr>
        <w:t>et al.,</w:t>
      </w:r>
      <w:r w:rsidR="00F72A6C" w:rsidRPr="00AB4C1A">
        <w:rPr>
          <w:rFonts w:ascii="Times New Roman" w:hAnsi="Times New Roman" w:cs="Times New Roman"/>
          <w:sz w:val="24"/>
          <w:szCs w:val="24"/>
        </w:rPr>
        <w:t xml:space="preserve"> 2016) and health impact assessments are being integrated into development plans (WYCA, 201</w:t>
      </w:r>
      <w:r w:rsidR="00EE7E4B" w:rsidRPr="00AB4C1A">
        <w:rPr>
          <w:rFonts w:ascii="Times New Roman" w:hAnsi="Times New Roman" w:cs="Times New Roman"/>
          <w:sz w:val="24"/>
          <w:szCs w:val="24"/>
        </w:rPr>
        <w:t>5</w:t>
      </w:r>
      <w:r w:rsidR="00F72A6C" w:rsidRPr="00AB4C1A">
        <w:rPr>
          <w:rFonts w:ascii="Times New Roman" w:hAnsi="Times New Roman" w:cs="Times New Roman"/>
          <w:sz w:val="24"/>
          <w:szCs w:val="24"/>
        </w:rPr>
        <w:t xml:space="preserve">, </w:t>
      </w:r>
      <w:r w:rsidR="00BC49C7" w:rsidRPr="00AB4C1A">
        <w:rPr>
          <w:rFonts w:ascii="Times New Roman" w:hAnsi="Times New Roman" w:cs="Times New Roman"/>
          <w:sz w:val="24"/>
          <w:szCs w:val="24"/>
        </w:rPr>
        <w:t>Defra</w:t>
      </w:r>
      <w:r w:rsidR="00F72A6C" w:rsidRPr="00AB4C1A">
        <w:rPr>
          <w:rFonts w:ascii="Times New Roman" w:hAnsi="Times New Roman" w:cs="Times New Roman"/>
          <w:sz w:val="24"/>
          <w:szCs w:val="24"/>
        </w:rPr>
        <w:t>, 2018c).</w:t>
      </w:r>
    </w:p>
    <w:p w14:paraId="56333B04" w14:textId="16EC51CA" w:rsidR="00F72A6C" w:rsidRPr="00AB4C1A" w:rsidRDefault="00916D2C" w:rsidP="0045221D">
      <w:pPr>
        <w:spacing w:line="240" w:lineRule="auto"/>
        <w:rPr>
          <w:rFonts w:ascii="Times New Roman" w:hAnsi="Times New Roman" w:cs="Times New Roman"/>
          <w:i/>
          <w:iCs/>
          <w:sz w:val="24"/>
          <w:szCs w:val="24"/>
        </w:rPr>
      </w:pPr>
      <w:r w:rsidRPr="00AB4C1A">
        <w:rPr>
          <w:rFonts w:ascii="Times New Roman" w:hAnsi="Times New Roman" w:cs="Times New Roman"/>
          <w:i/>
          <w:iCs/>
          <w:sz w:val="24"/>
          <w:szCs w:val="24"/>
        </w:rPr>
        <w:t>Transport</w:t>
      </w:r>
      <w:r w:rsidR="00A16B4D" w:rsidRPr="00AB4C1A">
        <w:rPr>
          <w:rFonts w:ascii="Times New Roman" w:hAnsi="Times New Roman" w:cs="Times New Roman"/>
          <w:i/>
          <w:iCs/>
          <w:sz w:val="24"/>
          <w:szCs w:val="24"/>
        </w:rPr>
        <w:t xml:space="preserve"> </w:t>
      </w:r>
      <w:r w:rsidR="00F72A6C" w:rsidRPr="00AB4C1A">
        <w:rPr>
          <w:rFonts w:ascii="Times New Roman" w:hAnsi="Times New Roman" w:cs="Times New Roman"/>
          <w:sz w:val="24"/>
          <w:szCs w:val="24"/>
        </w:rPr>
        <w:t>The literature clearly evidences that it is primarily through transport that NO</w:t>
      </w:r>
      <w:r w:rsidR="00F72A6C" w:rsidRPr="00AB4C1A">
        <w:rPr>
          <w:rFonts w:ascii="Times New Roman" w:hAnsi="Times New Roman" w:cs="Times New Roman"/>
          <w:sz w:val="24"/>
          <w:szCs w:val="24"/>
          <w:vertAlign w:val="subscript"/>
        </w:rPr>
        <w:t>2</w:t>
      </w:r>
      <w:r w:rsidR="00F72A6C" w:rsidRPr="00AB4C1A">
        <w:rPr>
          <w:rFonts w:ascii="Times New Roman" w:hAnsi="Times New Roman" w:cs="Times New Roman"/>
          <w:sz w:val="24"/>
          <w:szCs w:val="24"/>
        </w:rPr>
        <w:t xml:space="preserve"> levels across member states are continually exceeded (EEA, 2017). </w:t>
      </w:r>
      <w:r w:rsidR="00CE318E" w:rsidRPr="00AB4C1A">
        <w:rPr>
          <w:rFonts w:ascii="Times New Roman" w:hAnsi="Times New Roman" w:cs="Times New Roman"/>
          <w:sz w:val="24"/>
          <w:szCs w:val="24"/>
        </w:rPr>
        <w:t>And is</w:t>
      </w:r>
      <w:r w:rsidR="00A916A7" w:rsidRPr="00AB4C1A">
        <w:rPr>
          <w:rFonts w:ascii="Times New Roman" w:hAnsi="Times New Roman" w:cs="Times New Roman"/>
          <w:sz w:val="24"/>
          <w:szCs w:val="24"/>
        </w:rPr>
        <w:t xml:space="preserve"> thus</w:t>
      </w:r>
      <w:r w:rsidR="00CE318E" w:rsidRPr="00AB4C1A">
        <w:rPr>
          <w:rFonts w:ascii="Times New Roman" w:hAnsi="Times New Roman" w:cs="Times New Roman"/>
          <w:sz w:val="24"/>
          <w:szCs w:val="24"/>
        </w:rPr>
        <w:t xml:space="preserve"> a key focus in </w:t>
      </w:r>
      <w:r w:rsidR="006B32FE" w:rsidRPr="00AB4C1A">
        <w:rPr>
          <w:rFonts w:ascii="Times New Roman" w:hAnsi="Times New Roman" w:cs="Times New Roman"/>
          <w:sz w:val="24"/>
          <w:szCs w:val="24"/>
        </w:rPr>
        <w:t>a</w:t>
      </w:r>
      <w:r w:rsidR="00CE318E" w:rsidRPr="00AB4C1A">
        <w:rPr>
          <w:rFonts w:ascii="Times New Roman" w:hAnsi="Times New Roman" w:cs="Times New Roman"/>
          <w:sz w:val="24"/>
          <w:szCs w:val="24"/>
        </w:rPr>
        <w:t xml:space="preserve">ir </w:t>
      </w:r>
      <w:r w:rsidR="006B32FE" w:rsidRPr="00AB4C1A">
        <w:rPr>
          <w:rFonts w:ascii="Times New Roman" w:hAnsi="Times New Roman" w:cs="Times New Roman"/>
          <w:sz w:val="24"/>
          <w:szCs w:val="24"/>
        </w:rPr>
        <w:t>q</w:t>
      </w:r>
      <w:r w:rsidR="00CE318E" w:rsidRPr="00AB4C1A">
        <w:rPr>
          <w:rFonts w:ascii="Times New Roman" w:hAnsi="Times New Roman" w:cs="Times New Roman"/>
          <w:sz w:val="24"/>
          <w:szCs w:val="24"/>
        </w:rPr>
        <w:t xml:space="preserve">uality </w:t>
      </w:r>
      <w:r w:rsidR="00A916A7" w:rsidRPr="00AB4C1A">
        <w:rPr>
          <w:rFonts w:ascii="Times New Roman" w:hAnsi="Times New Roman" w:cs="Times New Roman"/>
          <w:sz w:val="24"/>
          <w:szCs w:val="24"/>
        </w:rPr>
        <w:t>literature</w:t>
      </w:r>
      <w:r w:rsidR="00CE318E" w:rsidRPr="00AB4C1A">
        <w:rPr>
          <w:rFonts w:ascii="Times New Roman" w:hAnsi="Times New Roman" w:cs="Times New Roman"/>
          <w:sz w:val="24"/>
          <w:szCs w:val="24"/>
        </w:rPr>
        <w:t>.</w:t>
      </w:r>
      <w:r w:rsidR="00F72A6C" w:rsidRPr="00AB4C1A">
        <w:rPr>
          <w:rFonts w:ascii="Times New Roman" w:hAnsi="Times New Roman" w:cs="Times New Roman"/>
          <w:sz w:val="24"/>
          <w:szCs w:val="24"/>
        </w:rPr>
        <w:t xml:space="preserve"> </w:t>
      </w:r>
      <w:r w:rsidR="005B2B59" w:rsidRPr="00AB4C1A">
        <w:rPr>
          <w:rFonts w:ascii="Times New Roman" w:hAnsi="Times New Roman" w:cs="Times New Roman"/>
          <w:sz w:val="24"/>
          <w:szCs w:val="24"/>
        </w:rPr>
        <w:t>The Bridging F</w:t>
      </w:r>
      <w:r w:rsidR="00A916A7" w:rsidRPr="00AB4C1A">
        <w:rPr>
          <w:rFonts w:ascii="Times New Roman" w:hAnsi="Times New Roman" w:cs="Times New Roman"/>
          <w:sz w:val="24"/>
          <w:szCs w:val="24"/>
        </w:rPr>
        <w:t>ramework focus</w:t>
      </w:r>
      <w:r w:rsidR="003B2EB0" w:rsidRPr="00AB4C1A">
        <w:rPr>
          <w:rFonts w:ascii="Times New Roman" w:hAnsi="Times New Roman" w:cs="Times New Roman"/>
          <w:sz w:val="24"/>
          <w:szCs w:val="24"/>
        </w:rPr>
        <w:t>es</w:t>
      </w:r>
      <w:r w:rsidR="00A916A7" w:rsidRPr="00AB4C1A">
        <w:rPr>
          <w:rFonts w:ascii="Times New Roman" w:hAnsi="Times New Roman" w:cs="Times New Roman"/>
          <w:sz w:val="24"/>
          <w:szCs w:val="24"/>
        </w:rPr>
        <w:t xml:space="preserve"> </w:t>
      </w:r>
      <w:r w:rsidR="003B2EB0" w:rsidRPr="00AB4C1A">
        <w:rPr>
          <w:rFonts w:ascii="Times New Roman" w:hAnsi="Times New Roman" w:cs="Times New Roman"/>
          <w:sz w:val="24"/>
          <w:szCs w:val="24"/>
        </w:rPr>
        <w:t xml:space="preserve">predominantly </w:t>
      </w:r>
      <w:r w:rsidR="00A916A7" w:rsidRPr="00AB4C1A">
        <w:rPr>
          <w:rFonts w:ascii="Times New Roman" w:hAnsi="Times New Roman" w:cs="Times New Roman"/>
          <w:sz w:val="24"/>
          <w:szCs w:val="24"/>
        </w:rPr>
        <w:t>on Transport on this basis</w:t>
      </w:r>
      <w:r w:rsidR="005B2B59" w:rsidRPr="00AB4C1A">
        <w:rPr>
          <w:rFonts w:ascii="Times New Roman" w:hAnsi="Times New Roman" w:cs="Times New Roman"/>
          <w:sz w:val="24"/>
          <w:szCs w:val="24"/>
        </w:rPr>
        <w:t xml:space="preserve"> (</w:t>
      </w:r>
      <w:proofErr w:type="spellStart"/>
      <w:r w:rsidR="005B2B59" w:rsidRPr="00AB4C1A">
        <w:rPr>
          <w:rFonts w:ascii="Times New Roman" w:hAnsi="Times New Roman" w:cs="Times New Roman"/>
          <w:sz w:val="24"/>
          <w:szCs w:val="24"/>
        </w:rPr>
        <w:t>Bondarouk</w:t>
      </w:r>
      <w:proofErr w:type="spellEnd"/>
      <w:r w:rsidR="005B2B59" w:rsidRPr="00AB4C1A">
        <w:rPr>
          <w:rFonts w:ascii="Times New Roman" w:hAnsi="Times New Roman" w:cs="Times New Roman"/>
          <w:sz w:val="24"/>
          <w:szCs w:val="24"/>
        </w:rPr>
        <w:t xml:space="preserve"> &amp; </w:t>
      </w:r>
      <w:proofErr w:type="spellStart"/>
      <w:r w:rsidR="005B2B59" w:rsidRPr="00AB4C1A">
        <w:rPr>
          <w:rFonts w:ascii="Times New Roman" w:hAnsi="Times New Roman" w:cs="Times New Roman"/>
          <w:sz w:val="24"/>
          <w:szCs w:val="24"/>
        </w:rPr>
        <w:t>Liefferink</w:t>
      </w:r>
      <w:proofErr w:type="spellEnd"/>
      <w:r w:rsidR="005B2B59" w:rsidRPr="00AB4C1A">
        <w:rPr>
          <w:rFonts w:ascii="Times New Roman" w:hAnsi="Times New Roman" w:cs="Times New Roman"/>
          <w:sz w:val="24"/>
          <w:szCs w:val="24"/>
        </w:rPr>
        <w:t>, 2017).</w:t>
      </w:r>
    </w:p>
    <w:p w14:paraId="066BE0DF" w14:textId="030A5E38" w:rsidR="008C4599" w:rsidRPr="00AB4C1A" w:rsidRDefault="00916D2C" w:rsidP="0045221D">
      <w:pPr>
        <w:spacing w:line="240" w:lineRule="auto"/>
        <w:rPr>
          <w:rFonts w:ascii="Times New Roman" w:hAnsi="Times New Roman" w:cs="Times New Roman"/>
          <w:i/>
          <w:iCs/>
          <w:sz w:val="24"/>
          <w:szCs w:val="24"/>
        </w:rPr>
      </w:pPr>
      <w:r w:rsidRPr="00AB4C1A">
        <w:rPr>
          <w:rFonts w:ascii="Times New Roman" w:hAnsi="Times New Roman" w:cs="Times New Roman"/>
          <w:i/>
          <w:iCs/>
          <w:sz w:val="24"/>
          <w:szCs w:val="24"/>
        </w:rPr>
        <w:t>Planning and development</w:t>
      </w:r>
      <w:r w:rsidR="00A16B4D" w:rsidRPr="00AB4C1A">
        <w:rPr>
          <w:rFonts w:ascii="Times New Roman" w:hAnsi="Times New Roman" w:cs="Times New Roman"/>
          <w:i/>
          <w:iCs/>
          <w:sz w:val="24"/>
          <w:szCs w:val="24"/>
        </w:rPr>
        <w:t xml:space="preserve"> </w:t>
      </w:r>
      <w:r w:rsidR="005B2B59" w:rsidRPr="00AB4C1A">
        <w:rPr>
          <w:rFonts w:ascii="Times New Roman" w:hAnsi="Times New Roman" w:cs="Times New Roman"/>
          <w:sz w:val="24"/>
          <w:szCs w:val="24"/>
        </w:rPr>
        <w:t xml:space="preserve">The </w:t>
      </w:r>
      <w:r w:rsidR="008C4599" w:rsidRPr="00AB4C1A">
        <w:rPr>
          <w:rFonts w:ascii="Times New Roman" w:hAnsi="Times New Roman" w:cs="Times New Roman"/>
          <w:sz w:val="24"/>
          <w:szCs w:val="24"/>
        </w:rPr>
        <w:t>Planning and Development measures</w:t>
      </w:r>
      <w:r w:rsidR="003B2EB0" w:rsidRPr="00AB4C1A">
        <w:rPr>
          <w:rFonts w:ascii="Times New Roman" w:hAnsi="Times New Roman" w:cs="Times New Roman"/>
          <w:sz w:val="24"/>
          <w:szCs w:val="24"/>
        </w:rPr>
        <w:t xml:space="preserve"> </w:t>
      </w:r>
      <w:r w:rsidR="008C4599" w:rsidRPr="00AB4C1A">
        <w:rPr>
          <w:rFonts w:ascii="Times New Roman" w:hAnsi="Times New Roman" w:cs="Times New Roman"/>
          <w:sz w:val="24"/>
          <w:szCs w:val="24"/>
        </w:rPr>
        <w:t>assess the existence of technical guidance documents showing alignment of local air quality policy with</w:t>
      </w:r>
      <w:r w:rsidR="003B2EB0" w:rsidRPr="00AB4C1A">
        <w:rPr>
          <w:rFonts w:ascii="Times New Roman" w:hAnsi="Times New Roman" w:cs="Times New Roman"/>
          <w:sz w:val="24"/>
          <w:szCs w:val="24"/>
        </w:rPr>
        <w:t>, for example,</w:t>
      </w:r>
      <w:r w:rsidR="008C4599" w:rsidRPr="00AB4C1A">
        <w:rPr>
          <w:rFonts w:ascii="Times New Roman" w:hAnsi="Times New Roman" w:cs="Times New Roman"/>
          <w:sz w:val="24"/>
          <w:szCs w:val="24"/>
        </w:rPr>
        <w:t xml:space="preserve"> the National Planning Policy Framework (NPPF) (</w:t>
      </w:r>
      <w:r w:rsidR="00BC49C7" w:rsidRPr="00AB4C1A">
        <w:rPr>
          <w:rFonts w:ascii="Times New Roman" w:hAnsi="Times New Roman" w:cs="Times New Roman"/>
          <w:sz w:val="24"/>
          <w:szCs w:val="24"/>
        </w:rPr>
        <w:t>Defra</w:t>
      </w:r>
      <w:r w:rsidR="008C4599" w:rsidRPr="00AB4C1A">
        <w:rPr>
          <w:rFonts w:ascii="Times New Roman" w:hAnsi="Times New Roman" w:cs="Times New Roman"/>
          <w:sz w:val="24"/>
          <w:szCs w:val="24"/>
        </w:rPr>
        <w:t xml:space="preserve">, 2016). These should provide short term action plans for construction projects (Lewis, Shan &amp; Hazzard, 2015). </w:t>
      </w:r>
      <w:r w:rsidR="003B2EB0" w:rsidRPr="00AB4C1A">
        <w:rPr>
          <w:rFonts w:ascii="Times New Roman" w:hAnsi="Times New Roman" w:cs="Times New Roman"/>
          <w:sz w:val="24"/>
          <w:szCs w:val="24"/>
        </w:rPr>
        <w:t>O</w:t>
      </w:r>
      <w:r w:rsidR="008C4599" w:rsidRPr="00AB4C1A">
        <w:rPr>
          <w:rFonts w:ascii="Times New Roman" w:hAnsi="Times New Roman" w:cs="Times New Roman"/>
          <w:sz w:val="24"/>
          <w:szCs w:val="24"/>
        </w:rPr>
        <w:t xml:space="preserve">pportunities to assess the implementation of Clean Air Zones and green </w:t>
      </w:r>
      <w:r w:rsidR="005B2B59" w:rsidRPr="00AB4C1A">
        <w:rPr>
          <w:rFonts w:ascii="Times New Roman" w:hAnsi="Times New Roman" w:cs="Times New Roman"/>
          <w:sz w:val="24"/>
          <w:szCs w:val="24"/>
        </w:rPr>
        <w:t>i</w:t>
      </w:r>
      <w:r w:rsidR="008C4599" w:rsidRPr="00AB4C1A">
        <w:rPr>
          <w:rFonts w:ascii="Times New Roman" w:hAnsi="Times New Roman" w:cs="Times New Roman"/>
          <w:sz w:val="24"/>
          <w:szCs w:val="24"/>
        </w:rPr>
        <w:t>nfrastructure are</w:t>
      </w:r>
      <w:r w:rsidR="003B2EB0" w:rsidRPr="00AB4C1A">
        <w:rPr>
          <w:rFonts w:ascii="Times New Roman" w:hAnsi="Times New Roman" w:cs="Times New Roman"/>
          <w:sz w:val="24"/>
          <w:szCs w:val="24"/>
        </w:rPr>
        <w:t xml:space="preserve"> also</w:t>
      </w:r>
      <w:r w:rsidR="008C4599" w:rsidRPr="00AB4C1A">
        <w:rPr>
          <w:rFonts w:ascii="Times New Roman" w:hAnsi="Times New Roman" w:cs="Times New Roman"/>
          <w:sz w:val="24"/>
          <w:szCs w:val="24"/>
        </w:rPr>
        <w:t xml:space="preserve"> included (Naik, </w:t>
      </w:r>
      <w:r w:rsidR="008C4599" w:rsidRPr="00AB4C1A">
        <w:rPr>
          <w:rFonts w:ascii="Times New Roman" w:hAnsi="Times New Roman" w:cs="Times New Roman"/>
          <w:i/>
          <w:iCs/>
          <w:sz w:val="24"/>
          <w:szCs w:val="24"/>
        </w:rPr>
        <w:t>et al.,</w:t>
      </w:r>
      <w:r w:rsidR="008C4599" w:rsidRPr="00AB4C1A">
        <w:rPr>
          <w:rFonts w:ascii="Times New Roman" w:hAnsi="Times New Roman" w:cs="Times New Roman"/>
          <w:sz w:val="24"/>
          <w:szCs w:val="24"/>
        </w:rPr>
        <w:t xml:space="preserve"> 2017; </w:t>
      </w:r>
      <w:proofErr w:type="spellStart"/>
      <w:r w:rsidR="008C4599" w:rsidRPr="00AB4C1A">
        <w:rPr>
          <w:rFonts w:ascii="Times New Roman" w:hAnsi="Times New Roman" w:cs="Times New Roman"/>
          <w:sz w:val="24"/>
          <w:szCs w:val="24"/>
        </w:rPr>
        <w:t>Abhijith</w:t>
      </w:r>
      <w:proofErr w:type="spellEnd"/>
      <w:r w:rsidR="008C4599" w:rsidRPr="00AB4C1A">
        <w:rPr>
          <w:rFonts w:ascii="Times New Roman" w:hAnsi="Times New Roman" w:cs="Times New Roman"/>
          <w:sz w:val="24"/>
          <w:szCs w:val="24"/>
        </w:rPr>
        <w:t xml:space="preserve">, </w:t>
      </w:r>
      <w:r w:rsidR="008C4599" w:rsidRPr="00AB4C1A">
        <w:rPr>
          <w:rFonts w:ascii="Times New Roman" w:hAnsi="Times New Roman" w:cs="Times New Roman"/>
          <w:i/>
          <w:iCs/>
          <w:sz w:val="24"/>
          <w:szCs w:val="24"/>
        </w:rPr>
        <w:t>et al.,</w:t>
      </w:r>
      <w:r w:rsidR="008C4599" w:rsidRPr="00AB4C1A">
        <w:rPr>
          <w:rFonts w:ascii="Times New Roman" w:hAnsi="Times New Roman" w:cs="Times New Roman"/>
          <w:sz w:val="24"/>
          <w:szCs w:val="24"/>
        </w:rPr>
        <w:t xml:space="preserve"> 2017; Barnes, </w:t>
      </w:r>
      <w:r w:rsidR="008C4599" w:rsidRPr="00AB4C1A">
        <w:rPr>
          <w:rFonts w:ascii="Times New Roman" w:hAnsi="Times New Roman" w:cs="Times New Roman"/>
          <w:i/>
          <w:iCs/>
          <w:sz w:val="24"/>
          <w:szCs w:val="24"/>
        </w:rPr>
        <w:t>et al.,</w:t>
      </w:r>
      <w:r w:rsidR="008C4599" w:rsidRPr="00AB4C1A">
        <w:rPr>
          <w:rFonts w:ascii="Times New Roman" w:hAnsi="Times New Roman" w:cs="Times New Roman"/>
          <w:sz w:val="24"/>
          <w:szCs w:val="24"/>
        </w:rPr>
        <w:t xml:space="preserve"> 2018).</w:t>
      </w:r>
    </w:p>
    <w:p w14:paraId="739E8B5F" w14:textId="3FCD47C9" w:rsidR="006A48BE" w:rsidRPr="00AB4C1A" w:rsidRDefault="00916D2C" w:rsidP="0045221D">
      <w:pPr>
        <w:spacing w:line="240" w:lineRule="auto"/>
        <w:rPr>
          <w:rFonts w:ascii="Times New Roman" w:hAnsi="Times New Roman" w:cs="Times New Roman"/>
          <w:i/>
          <w:iCs/>
          <w:sz w:val="24"/>
          <w:szCs w:val="24"/>
        </w:rPr>
      </w:pPr>
      <w:r w:rsidRPr="00AB4C1A">
        <w:rPr>
          <w:rFonts w:ascii="Times New Roman" w:hAnsi="Times New Roman" w:cs="Times New Roman"/>
          <w:i/>
          <w:iCs/>
          <w:sz w:val="24"/>
          <w:szCs w:val="24"/>
        </w:rPr>
        <w:t>Energy use</w:t>
      </w:r>
      <w:r w:rsidR="00A16B4D" w:rsidRPr="00AB4C1A">
        <w:rPr>
          <w:rFonts w:ascii="Times New Roman" w:hAnsi="Times New Roman" w:cs="Times New Roman"/>
          <w:i/>
          <w:iCs/>
          <w:sz w:val="24"/>
          <w:szCs w:val="24"/>
        </w:rPr>
        <w:t xml:space="preserve"> </w:t>
      </w:r>
      <w:r w:rsidR="006A48BE" w:rsidRPr="00AB4C1A">
        <w:rPr>
          <w:rFonts w:ascii="Times New Roman" w:hAnsi="Times New Roman" w:cs="Times New Roman"/>
          <w:sz w:val="24"/>
          <w:szCs w:val="24"/>
        </w:rPr>
        <w:t>One of the main areas of focus of the new AQS 2018, was towards adopting the WHO standards for particulates (PM2.5) caused by the burning of biofuels as well as NO</w:t>
      </w:r>
      <w:r w:rsidR="006A48BE" w:rsidRPr="00AB4C1A">
        <w:rPr>
          <w:rFonts w:ascii="Times New Roman" w:hAnsi="Times New Roman" w:cs="Times New Roman"/>
          <w:sz w:val="24"/>
          <w:szCs w:val="24"/>
          <w:vertAlign w:val="subscript"/>
        </w:rPr>
        <w:t>2</w:t>
      </w:r>
      <w:r w:rsidR="006A48BE" w:rsidRPr="00AB4C1A">
        <w:rPr>
          <w:rFonts w:ascii="Times New Roman" w:hAnsi="Times New Roman" w:cs="Times New Roman"/>
          <w:sz w:val="24"/>
          <w:szCs w:val="24"/>
        </w:rPr>
        <w:t xml:space="preserve"> derived from natural gas domestic central heating boilers, wood burners or power stations</w:t>
      </w:r>
      <w:r w:rsidR="00C73357" w:rsidRPr="00AB4C1A">
        <w:rPr>
          <w:rFonts w:ascii="Times New Roman" w:hAnsi="Times New Roman" w:cs="Times New Roman"/>
          <w:sz w:val="24"/>
          <w:szCs w:val="24"/>
        </w:rPr>
        <w:t xml:space="preserve"> </w:t>
      </w:r>
      <w:r w:rsidR="006A48BE" w:rsidRPr="00AB4C1A">
        <w:rPr>
          <w:rFonts w:ascii="Times New Roman" w:hAnsi="Times New Roman" w:cs="Times New Roman"/>
          <w:sz w:val="24"/>
          <w:szCs w:val="24"/>
        </w:rPr>
        <w:t xml:space="preserve">(Simkins, 2018; </w:t>
      </w:r>
      <w:r w:rsidR="00BC49C7" w:rsidRPr="00AB4C1A">
        <w:rPr>
          <w:rFonts w:ascii="Times New Roman" w:hAnsi="Times New Roman" w:cs="Times New Roman"/>
          <w:sz w:val="24"/>
          <w:szCs w:val="24"/>
        </w:rPr>
        <w:t>Defra</w:t>
      </w:r>
      <w:r w:rsidR="006A48BE" w:rsidRPr="00AB4C1A">
        <w:rPr>
          <w:rFonts w:ascii="Times New Roman" w:hAnsi="Times New Roman" w:cs="Times New Roman"/>
          <w:sz w:val="24"/>
          <w:szCs w:val="24"/>
        </w:rPr>
        <w:t xml:space="preserve">, 2018b). Energy use and production measures assess the acknowledgement of other pollutants and sources, mitigative actions (e.g. Lo, Norton &amp; Mannis, 2001) and integration into climate change policy (Jaramillo &amp; Muller, 2016; </w:t>
      </w:r>
      <w:proofErr w:type="spellStart"/>
      <w:r w:rsidR="006A48BE" w:rsidRPr="00AB4C1A">
        <w:rPr>
          <w:rFonts w:ascii="Times New Roman" w:hAnsi="Times New Roman" w:cs="Times New Roman"/>
          <w:sz w:val="24"/>
          <w:szCs w:val="24"/>
        </w:rPr>
        <w:t>Ahlers</w:t>
      </w:r>
      <w:proofErr w:type="spellEnd"/>
      <w:r w:rsidR="006A48BE" w:rsidRPr="00AB4C1A">
        <w:rPr>
          <w:rFonts w:ascii="Times New Roman" w:hAnsi="Times New Roman" w:cs="Times New Roman"/>
          <w:sz w:val="24"/>
          <w:szCs w:val="24"/>
        </w:rPr>
        <w:t>, 2016). Their inclusion acknowledges the trans-boundary nature of air pollution thus paving a potential link to policies such as Environmental Permitting Regulations and the Industrial Emissions Directive (GMCA, 2016).</w:t>
      </w:r>
    </w:p>
    <w:p w14:paraId="2455BCD7" w14:textId="77777777" w:rsidR="0045221D" w:rsidRPr="00AB4C1A" w:rsidRDefault="0045221D" w:rsidP="0045221D">
      <w:pPr>
        <w:spacing w:line="240" w:lineRule="auto"/>
        <w:rPr>
          <w:rFonts w:ascii="Times New Roman" w:hAnsi="Times New Roman" w:cs="Times New Roman"/>
          <w:sz w:val="24"/>
          <w:szCs w:val="24"/>
        </w:rPr>
      </w:pPr>
      <w:r w:rsidRPr="00AB4C1A">
        <w:rPr>
          <w:rFonts w:ascii="Times New Roman" w:hAnsi="Times New Roman" w:cs="Times New Roman"/>
          <w:sz w:val="24"/>
          <w:szCs w:val="24"/>
        </w:rPr>
        <w:t>These</w:t>
      </w:r>
      <w:r w:rsidR="003B2EB0" w:rsidRPr="00AB4C1A">
        <w:rPr>
          <w:rFonts w:ascii="Times New Roman" w:hAnsi="Times New Roman" w:cs="Times New Roman"/>
          <w:sz w:val="24"/>
          <w:szCs w:val="24"/>
        </w:rPr>
        <w:t xml:space="preserve"> measures</w:t>
      </w:r>
      <w:r w:rsidRPr="00AB4C1A">
        <w:rPr>
          <w:rFonts w:ascii="Times New Roman" w:hAnsi="Times New Roman" w:cs="Times New Roman"/>
          <w:sz w:val="24"/>
          <w:szCs w:val="24"/>
        </w:rPr>
        <w:t xml:space="preserve"> reflect the current political, environmental and academic conversations around air quality, reflecting where LAQM needs updating (e.g. Brunt,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2016) to sustainably tackle air pollution. These policy domains are assessed in the </w:t>
      </w:r>
      <w:r w:rsidR="005371F1" w:rsidRPr="00AB4C1A">
        <w:rPr>
          <w:rFonts w:ascii="Times New Roman" w:hAnsi="Times New Roman" w:cs="Times New Roman"/>
          <w:sz w:val="24"/>
          <w:szCs w:val="24"/>
        </w:rPr>
        <w:t>Bridging Framework.</w:t>
      </w:r>
      <w:r w:rsidRPr="00AB4C1A">
        <w:rPr>
          <w:rFonts w:ascii="Times New Roman" w:hAnsi="Times New Roman" w:cs="Times New Roman"/>
          <w:sz w:val="24"/>
          <w:szCs w:val="24"/>
        </w:rPr>
        <w:t xml:space="preserve"> </w:t>
      </w:r>
    </w:p>
    <w:p w14:paraId="083A4B5E" w14:textId="77777777" w:rsidR="005B2B59" w:rsidRPr="00AB4C1A" w:rsidRDefault="005B2B59" w:rsidP="0045221D">
      <w:pPr>
        <w:spacing w:line="240" w:lineRule="auto"/>
        <w:rPr>
          <w:rFonts w:ascii="Times New Roman" w:hAnsi="Times New Roman" w:cs="Times New Roman"/>
          <w:i/>
          <w:iCs/>
          <w:sz w:val="24"/>
          <w:szCs w:val="24"/>
        </w:rPr>
      </w:pPr>
      <w:r w:rsidRPr="00AB4C1A">
        <w:rPr>
          <w:rFonts w:ascii="Times New Roman" w:hAnsi="Times New Roman" w:cs="Times New Roman"/>
          <w:i/>
          <w:iCs/>
          <w:sz w:val="24"/>
          <w:szCs w:val="24"/>
        </w:rPr>
        <w:t>Scores</w:t>
      </w:r>
    </w:p>
    <w:p w14:paraId="3F69FEA9" w14:textId="77777777" w:rsidR="005B2B59" w:rsidRPr="00AB4C1A" w:rsidRDefault="003F7219" w:rsidP="0045221D">
      <w:pPr>
        <w:spacing w:line="240" w:lineRule="auto"/>
        <w:rPr>
          <w:rFonts w:ascii="Times New Roman" w:hAnsi="Times New Roman" w:cs="Times New Roman"/>
          <w:b/>
          <w:bCs/>
          <w:sz w:val="24"/>
          <w:szCs w:val="24"/>
        </w:rPr>
      </w:pPr>
      <w:r w:rsidRPr="00AB4C1A">
        <w:rPr>
          <w:rFonts w:ascii="Times New Roman" w:hAnsi="Times New Roman" w:cs="Times New Roman"/>
          <w:sz w:val="24"/>
          <w:szCs w:val="24"/>
        </w:rPr>
        <w:t>Each AQAP measures s</w:t>
      </w:r>
      <w:r w:rsidR="005B2B59" w:rsidRPr="00AB4C1A">
        <w:rPr>
          <w:rFonts w:ascii="Times New Roman" w:hAnsi="Times New Roman" w:cs="Times New Roman"/>
          <w:sz w:val="24"/>
          <w:szCs w:val="24"/>
        </w:rPr>
        <w:t>core</w:t>
      </w:r>
      <w:r w:rsidRPr="00AB4C1A">
        <w:rPr>
          <w:rFonts w:ascii="Times New Roman" w:hAnsi="Times New Roman" w:cs="Times New Roman"/>
          <w:sz w:val="24"/>
          <w:szCs w:val="24"/>
        </w:rPr>
        <w:t xml:space="preserve"> is systemised </w:t>
      </w:r>
      <w:r w:rsidR="005B2B59" w:rsidRPr="00AB4C1A">
        <w:rPr>
          <w:rFonts w:ascii="Times New Roman" w:hAnsi="Times New Roman" w:cs="Times New Roman"/>
          <w:sz w:val="24"/>
          <w:szCs w:val="24"/>
        </w:rPr>
        <w:t>as</w:t>
      </w:r>
      <w:r w:rsidRPr="00AB4C1A">
        <w:rPr>
          <w:rFonts w:ascii="Times New Roman" w:hAnsi="Times New Roman" w:cs="Times New Roman"/>
          <w:sz w:val="24"/>
          <w:szCs w:val="24"/>
        </w:rPr>
        <w:t xml:space="preserve"> a score ‘out of 100’. Total Output scores are also systemised in this way. This</w:t>
      </w:r>
      <w:r w:rsidR="005B2B59" w:rsidRPr="00AB4C1A">
        <w:rPr>
          <w:rFonts w:ascii="Times New Roman" w:hAnsi="Times New Roman" w:cs="Times New Roman"/>
          <w:sz w:val="24"/>
          <w:szCs w:val="24"/>
        </w:rPr>
        <w:t xml:space="preserve"> enab</w:t>
      </w:r>
      <w:r w:rsidRPr="00AB4C1A">
        <w:rPr>
          <w:rFonts w:ascii="Times New Roman" w:hAnsi="Times New Roman" w:cs="Times New Roman"/>
          <w:sz w:val="24"/>
          <w:szCs w:val="24"/>
        </w:rPr>
        <w:t>les</w:t>
      </w:r>
      <w:r w:rsidR="005B2B59" w:rsidRPr="00AB4C1A">
        <w:rPr>
          <w:rFonts w:ascii="Times New Roman" w:hAnsi="Times New Roman" w:cs="Times New Roman"/>
          <w:sz w:val="24"/>
          <w:szCs w:val="24"/>
        </w:rPr>
        <w:t xml:space="preserve"> easy interpretation and comparability across cities, within their AQAPs, and in relation to the set standard of the </w:t>
      </w:r>
      <w:r w:rsidR="00A43173" w:rsidRPr="00AB4C1A">
        <w:rPr>
          <w:rFonts w:ascii="Times New Roman" w:hAnsi="Times New Roman" w:cs="Times New Roman"/>
          <w:sz w:val="24"/>
          <w:szCs w:val="24"/>
        </w:rPr>
        <w:t>Bridging F</w:t>
      </w:r>
      <w:r w:rsidR="005B2B59" w:rsidRPr="00AB4C1A">
        <w:rPr>
          <w:rFonts w:ascii="Times New Roman" w:hAnsi="Times New Roman" w:cs="Times New Roman"/>
          <w:sz w:val="24"/>
          <w:szCs w:val="24"/>
        </w:rPr>
        <w:t xml:space="preserve">ramework itself. </w:t>
      </w:r>
    </w:p>
    <w:p w14:paraId="605B64FF" w14:textId="77777777" w:rsidR="0045221D" w:rsidRPr="00AB4C1A" w:rsidRDefault="0045221D" w:rsidP="0045221D">
      <w:pPr>
        <w:spacing w:line="240" w:lineRule="auto"/>
        <w:rPr>
          <w:rFonts w:ascii="Times New Roman" w:hAnsi="Times New Roman" w:cs="Times New Roman"/>
          <w:b/>
          <w:bCs/>
          <w:i/>
          <w:iCs/>
          <w:sz w:val="24"/>
          <w:szCs w:val="24"/>
        </w:rPr>
      </w:pPr>
      <w:r w:rsidRPr="00AB4C1A">
        <w:rPr>
          <w:rFonts w:ascii="Times New Roman" w:hAnsi="Times New Roman" w:cs="Times New Roman"/>
          <w:b/>
          <w:bCs/>
          <w:i/>
          <w:iCs/>
          <w:sz w:val="24"/>
          <w:szCs w:val="24"/>
        </w:rPr>
        <w:t xml:space="preserve">3. Outcome </w:t>
      </w:r>
    </w:p>
    <w:p w14:paraId="2D3E6F0B" w14:textId="77777777" w:rsidR="0045221D" w:rsidRPr="00AB4C1A" w:rsidRDefault="0045221D" w:rsidP="0045221D">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Bondarouk</w:t>
      </w:r>
      <w:proofErr w:type="spellEnd"/>
      <w:r w:rsidRPr="00AB4C1A">
        <w:rPr>
          <w:rFonts w:ascii="Times New Roman" w:hAnsi="Times New Roman" w:cs="Times New Roman"/>
          <w:sz w:val="24"/>
          <w:szCs w:val="24"/>
        </w:rPr>
        <w:t xml:space="preserve"> &amp; </w:t>
      </w:r>
      <w:proofErr w:type="spellStart"/>
      <w:r w:rsidRPr="00AB4C1A">
        <w:rPr>
          <w:rFonts w:ascii="Times New Roman" w:hAnsi="Times New Roman" w:cs="Times New Roman"/>
          <w:sz w:val="24"/>
          <w:szCs w:val="24"/>
        </w:rPr>
        <w:t>Liefferink</w:t>
      </w:r>
      <w:proofErr w:type="spellEnd"/>
      <w:r w:rsidRPr="00AB4C1A">
        <w:rPr>
          <w:rFonts w:ascii="Times New Roman" w:hAnsi="Times New Roman" w:cs="Times New Roman"/>
          <w:sz w:val="24"/>
          <w:szCs w:val="24"/>
        </w:rPr>
        <w:t xml:space="preserve"> (2017) define policy outcome in terms of air quality improvement. However, the direct outcome of AQAPs is the implementation of its measures (Pohjola,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2013; </w:t>
      </w:r>
      <w:proofErr w:type="spellStart"/>
      <w:r w:rsidRPr="00AB4C1A">
        <w:rPr>
          <w:rFonts w:ascii="Times New Roman" w:hAnsi="Times New Roman" w:cs="Times New Roman"/>
          <w:sz w:val="24"/>
          <w:szCs w:val="24"/>
        </w:rPr>
        <w:t>Mickwitz</w:t>
      </w:r>
      <w:proofErr w:type="spellEnd"/>
      <w:r w:rsidRPr="00AB4C1A">
        <w:rPr>
          <w:rFonts w:ascii="Times New Roman" w:hAnsi="Times New Roman" w:cs="Times New Roman"/>
          <w:sz w:val="24"/>
          <w:szCs w:val="24"/>
        </w:rPr>
        <w:t>, 2003). Both definitions are considered here. This gives insight as to AQAP purpose along with actual deliverable measures, with an eye on any causal relationship between the implementation of air quality measures and an improvement in air quality or even the achievement of AQ objectives.</w:t>
      </w:r>
    </w:p>
    <w:p w14:paraId="4F36BBC2" w14:textId="78E13B37" w:rsidR="00785519" w:rsidRPr="00AB4C1A" w:rsidRDefault="00EC6A32">
      <w:pPr>
        <w:spacing w:line="240" w:lineRule="auto"/>
        <w:rPr>
          <w:rFonts w:ascii="Times New Roman" w:hAnsi="Times New Roman" w:cs="Times New Roman"/>
          <w:sz w:val="24"/>
          <w:szCs w:val="24"/>
        </w:rPr>
      </w:pPr>
      <w:r w:rsidRPr="00AB4C1A">
        <w:rPr>
          <w:rFonts w:ascii="Times New Roman" w:hAnsi="Times New Roman" w:cs="Times New Roman"/>
          <w:sz w:val="24"/>
          <w:szCs w:val="24"/>
        </w:rPr>
        <w:lastRenderedPageBreak/>
        <w:t xml:space="preserve">Additionally, </w:t>
      </w:r>
      <w:r w:rsidR="00785519" w:rsidRPr="00AB4C1A">
        <w:rPr>
          <w:rFonts w:ascii="Times New Roman" w:hAnsi="Times New Roman" w:cs="Times New Roman"/>
          <w:sz w:val="24"/>
          <w:szCs w:val="24"/>
        </w:rPr>
        <w:t xml:space="preserve">AQAP effectiveness is restricted by the limited policy obligations of </w:t>
      </w:r>
      <w:r w:rsidR="00172EB3" w:rsidRPr="00AB4C1A">
        <w:rPr>
          <w:rFonts w:ascii="Times New Roman" w:hAnsi="Times New Roman" w:cs="Times New Roman"/>
          <w:sz w:val="24"/>
          <w:szCs w:val="24"/>
        </w:rPr>
        <w:t>LAs</w:t>
      </w:r>
      <w:r w:rsidR="00785519" w:rsidRPr="00AB4C1A">
        <w:rPr>
          <w:rFonts w:ascii="Times New Roman" w:hAnsi="Times New Roman" w:cs="Times New Roman"/>
          <w:sz w:val="24"/>
          <w:szCs w:val="24"/>
        </w:rPr>
        <w:t xml:space="preserve"> (Barnes, </w:t>
      </w:r>
      <w:r w:rsidR="00785519" w:rsidRPr="00AB4C1A">
        <w:rPr>
          <w:rFonts w:ascii="Times New Roman" w:hAnsi="Times New Roman" w:cs="Times New Roman"/>
          <w:i/>
          <w:sz w:val="24"/>
          <w:szCs w:val="24"/>
        </w:rPr>
        <w:t>et al.,</w:t>
      </w:r>
      <w:r w:rsidR="00785519" w:rsidRPr="00AB4C1A">
        <w:rPr>
          <w:rFonts w:ascii="Times New Roman" w:hAnsi="Times New Roman" w:cs="Times New Roman"/>
          <w:sz w:val="24"/>
          <w:szCs w:val="24"/>
        </w:rPr>
        <w:t xml:space="preserve"> 2018). If AQAP measures</w:t>
      </w:r>
      <w:r w:rsidR="00BF626A" w:rsidRPr="00AB4C1A">
        <w:rPr>
          <w:rFonts w:ascii="Times New Roman" w:hAnsi="Times New Roman" w:cs="Times New Roman"/>
          <w:sz w:val="24"/>
          <w:szCs w:val="24"/>
        </w:rPr>
        <w:t>,</w:t>
      </w:r>
      <w:r w:rsidR="00785519" w:rsidRPr="00AB4C1A">
        <w:rPr>
          <w:rFonts w:ascii="Times New Roman" w:hAnsi="Times New Roman" w:cs="Times New Roman"/>
          <w:sz w:val="24"/>
          <w:szCs w:val="24"/>
        </w:rPr>
        <w:t xml:space="preserve"> </w:t>
      </w:r>
      <w:r w:rsidR="00BF626A" w:rsidRPr="00AB4C1A">
        <w:rPr>
          <w:rFonts w:ascii="Times New Roman" w:hAnsi="Times New Roman" w:cs="Times New Roman"/>
          <w:sz w:val="24"/>
          <w:szCs w:val="24"/>
        </w:rPr>
        <w:t xml:space="preserve">such as the introduction of a new bus route, </w:t>
      </w:r>
      <w:r w:rsidR="00785519" w:rsidRPr="00AB4C1A">
        <w:rPr>
          <w:rFonts w:ascii="Times New Roman" w:hAnsi="Times New Roman" w:cs="Times New Roman"/>
          <w:sz w:val="24"/>
          <w:szCs w:val="24"/>
        </w:rPr>
        <w:t>are implemented</w:t>
      </w:r>
      <w:r w:rsidR="005B027B" w:rsidRPr="00AB4C1A">
        <w:rPr>
          <w:rFonts w:ascii="Times New Roman" w:hAnsi="Times New Roman" w:cs="Times New Roman"/>
          <w:sz w:val="24"/>
          <w:szCs w:val="24"/>
        </w:rPr>
        <w:t xml:space="preserve">, </w:t>
      </w:r>
      <w:r w:rsidR="00785519" w:rsidRPr="00AB4C1A">
        <w:rPr>
          <w:rFonts w:ascii="Times New Roman" w:hAnsi="Times New Roman" w:cs="Times New Roman"/>
          <w:sz w:val="24"/>
          <w:szCs w:val="24"/>
        </w:rPr>
        <w:t xml:space="preserve">this can render, </w:t>
      </w:r>
      <w:r w:rsidR="009631AF" w:rsidRPr="00AB4C1A">
        <w:rPr>
          <w:rFonts w:ascii="Times New Roman" w:hAnsi="Times New Roman" w:cs="Times New Roman"/>
          <w:sz w:val="24"/>
          <w:szCs w:val="24"/>
        </w:rPr>
        <w:t>in principle</w:t>
      </w:r>
      <w:r w:rsidR="00785519" w:rsidRPr="00AB4C1A">
        <w:rPr>
          <w:rFonts w:ascii="Times New Roman" w:hAnsi="Times New Roman" w:cs="Times New Roman"/>
          <w:sz w:val="24"/>
          <w:szCs w:val="24"/>
        </w:rPr>
        <w:t xml:space="preserve">, the AQAP a success. However, despite this, objectives and </w:t>
      </w:r>
      <w:r w:rsidR="00172EB3" w:rsidRPr="00AB4C1A">
        <w:rPr>
          <w:rFonts w:ascii="Times New Roman" w:hAnsi="Times New Roman" w:cs="Times New Roman"/>
          <w:sz w:val="24"/>
          <w:szCs w:val="24"/>
        </w:rPr>
        <w:t>limit values</w:t>
      </w:r>
      <w:r w:rsidR="00785519" w:rsidRPr="00AB4C1A">
        <w:rPr>
          <w:rFonts w:ascii="Times New Roman" w:hAnsi="Times New Roman" w:cs="Times New Roman"/>
          <w:sz w:val="24"/>
          <w:szCs w:val="24"/>
        </w:rPr>
        <w:t xml:space="preserve"> </w:t>
      </w:r>
      <w:r w:rsidR="00D0693F" w:rsidRPr="00AB4C1A">
        <w:rPr>
          <w:rFonts w:ascii="Times New Roman" w:hAnsi="Times New Roman" w:cs="Times New Roman"/>
          <w:sz w:val="24"/>
          <w:szCs w:val="24"/>
        </w:rPr>
        <w:t>may still be unattained</w:t>
      </w:r>
      <w:r w:rsidR="00785519" w:rsidRPr="00AB4C1A">
        <w:rPr>
          <w:rFonts w:ascii="Times New Roman" w:hAnsi="Times New Roman" w:cs="Times New Roman"/>
          <w:sz w:val="24"/>
          <w:szCs w:val="24"/>
        </w:rPr>
        <w:t xml:space="preserve"> (</w:t>
      </w:r>
      <w:r w:rsidR="006E696E" w:rsidRPr="00AB4C1A">
        <w:rPr>
          <w:rFonts w:ascii="Times New Roman" w:hAnsi="Times New Roman" w:cs="Times New Roman"/>
          <w:sz w:val="24"/>
          <w:szCs w:val="24"/>
        </w:rPr>
        <w:t>ibid.</w:t>
      </w:r>
      <w:r w:rsidR="00785519" w:rsidRPr="00AB4C1A">
        <w:rPr>
          <w:rFonts w:ascii="Times New Roman" w:hAnsi="Times New Roman" w:cs="Times New Roman"/>
          <w:sz w:val="24"/>
          <w:szCs w:val="24"/>
        </w:rPr>
        <w:t xml:space="preserve">). Therefore, AQAPs </w:t>
      </w:r>
      <w:r w:rsidR="00BF626A" w:rsidRPr="00AB4C1A">
        <w:rPr>
          <w:rFonts w:ascii="Times New Roman" w:hAnsi="Times New Roman" w:cs="Times New Roman"/>
          <w:sz w:val="24"/>
          <w:szCs w:val="24"/>
        </w:rPr>
        <w:t xml:space="preserve">could be considered </w:t>
      </w:r>
      <w:r w:rsidR="00AF45F6" w:rsidRPr="00AB4C1A">
        <w:rPr>
          <w:rFonts w:ascii="Times New Roman" w:hAnsi="Times New Roman" w:cs="Times New Roman"/>
          <w:sz w:val="24"/>
          <w:szCs w:val="24"/>
        </w:rPr>
        <w:t>an</w:t>
      </w:r>
      <w:r w:rsidR="00785519" w:rsidRPr="00AB4C1A">
        <w:rPr>
          <w:rFonts w:ascii="Times New Roman" w:hAnsi="Times New Roman" w:cs="Times New Roman"/>
          <w:sz w:val="24"/>
          <w:szCs w:val="24"/>
        </w:rPr>
        <w:t xml:space="preserve"> underused resource restricted by UK policy </w:t>
      </w:r>
      <w:r w:rsidR="00A0675B" w:rsidRPr="00AB4C1A">
        <w:rPr>
          <w:rFonts w:ascii="Times New Roman" w:hAnsi="Times New Roman" w:cs="Times New Roman"/>
          <w:sz w:val="24"/>
          <w:szCs w:val="24"/>
        </w:rPr>
        <w:t xml:space="preserve">requirements </w:t>
      </w:r>
      <w:r w:rsidR="00AF45F6" w:rsidRPr="00AB4C1A">
        <w:rPr>
          <w:rFonts w:ascii="Times New Roman" w:hAnsi="Times New Roman" w:cs="Times New Roman"/>
          <w:sz w:val="24"/>
          <w:szCs w:val="24"/>
        </w:rPr>
        <w:t>even though the</w:t>
      </w:r>
      <w:r w:rsidR="00A24C8F" w:rsidRPr="00AB4C1A">
        <w:rPr>
          <w:rFonts w:ascii="Times New Roman" w:hAnsi="Times New Roman" w:cs="Times New Roman"/>
          <w:sz w:val="24"/>
          <w:szCs w:val="24"/>
        </w:rPr>
        <w:t>ir main function is</w:t>
      </w:r>
      <w:r w:rsidR="00AF45F6" w:rsidRPr="00AB4C1A">
        <w:rPr>
          <w:rFonts w:ascii="Times New Roman" w:hAnsi="Times New Roman" w:cs="Times New Roman"/>
          <w:sz w:val="24"/>
          <w:szCs w:val="24"/>
        </w:rPr>
        <w:t xml:space="preserve"> only</w:t>
      </w:r>
      <w:r w:rsidR="00541445" w:rsidRPr="00AB4C1A">
        <w:rPr>
          <w:rFonts w:ascii="Times New Roman" w:hAnsi="Times New Roman" w:cs="Times New Roman"/>
          <w:sz w:val="24"/>
          <w:szCs w:val="24"/>
        </w:rPr>
        <w:t xml:space="preserve"> </w:t>
      </w:r>
      <w:r w:rsidR="00A24C8F" w:rsidRPr="00AB4C1A">
        <w:rPr>
          <w:rFonts w:ascii="Times New Roman" w:hAnsi="Times New Roman" w:cs="Times New Roman"/>
          <w:sz w:val="24"/>
          <w:szCs w:val="24"/>
        </w:rPr>
        <w:t>“</w:t>
      </w:r>
      <w:r w:rsidR="00541445" w:rsidRPr="00AB4C1A">
        <w:rPr>
          <w:rFonts w:ascii="Times New Roman" w:hAnsi="Times New Roman" w:cs="Times New Roman"/>
          <w:sz w:val="24"/>
          <w:szCs w:val="24"/>
        </w:rPr>
        <w:t>to improve air quality in an AQMA” (NSCA, 2000, p.9)</w:t>
      </w:r>
      <w:r w:rsidR="00785519" w:rsidRPr="00AB4C1A">
        <w:rPr>
          <w:rFonts w:ascii="Times New Roman" w:hAnsi="Times New Roman" w:cs="Times New Roman"/>
          <w:sz w:val="24"/>
          <w:szCs w:val="24"/>
        </w:rPr>
        <w:t xml:space="preserve">. </w:t>
      </w:r>
      <w:r w:rsidR="006E696E" w:rsidRPr="00AB4C1A">
        <w:rPr>
          <w:rFonts w:ascii="Times New Roman" w:hAnsi="Times New Roman" w:cs="Times New Roman"/>
          <w:sz w:val="24"/>
          <w:szCs w:val="24"/>
        </w:rPr>
        <w:t>However, i</w:t>
      </w:r>
      <w:r w:rsidR="00785519" w:rsidRPr="00AB4C1A">
        <w:rPr>
          <w:rFonts w:ascii="Times New Roman" w:hAnsi="Times New Roman" w:cs="Times New Roman"/>
          <w:sz w:val="24"/>
          <w:szCs w:val="24"/>
        </w:rPr>
        <w:t xml:space="preserve">n </w:t>
      </w:r>
      <w:r w:rsidR="006E696E" w:rsidRPr="00AB4C1A">
        <w:rPr>
          <w:rFonts w:ascii="Times New Roman" w:hAnsi="Times New Roman" w:cs="Times New Roman"/>
          <w:sz w:val="24"/>
          <w:szCs w:val="24"/>
        </w:rPr>
        <w:t xml:space="preserve">the </w:t>
      </w:r>
      <w:r w:rsidR="00785519" w:rsidRPr="00AB4C1A">
        <w:rPr>
          <w:rFonts w:ascii="Times New Roman" w:hAnsi="Times New Roman" w:cs="Times New Roman"/>
          <w:sz w:val="24"/>
          <w:szCs w:val="24"/>
        </w:rPr>
        <w:t xml:space="preserve">case </w:t>
      </w:r>
      <w:r w:rsidR="006E696E" w:rsidRPr="00AB4C1A">
        <w:rPr>
          <w:rFonts w:ascii="Times New Roman" w:hAnsi="Times New Roman" w:cs="Times New Roman"/>
          <w:sz w:val="24"/>
          <w:szCs w:val="24"/>
        </w:rPr>
        <w:t xml:space="preserve">of this paper </w:t>
      </w:r>
      <w:r w:rsidR="00785519" w:rsidRPr="00AB4C1A">
        <w:rPr>
          <w:rFonts w:ascii="Times New Roman" w:hAnsi="Times New Roman" w:cs="Times New Roman"/>
          <w:sz w:val="24"/>
          <w:szCs w:val="24"/>
        </w:rPr>
        <w:t>they best reflect the implementation of both EU and UK air quality policy at a local level and are integral to LAQM</w:t>
      </w:r>
      <w:r w:rsidR="006E696E" w:rsidRPr="00AB4C1A">
        <w:rPr>
          <w:rFonts w:ascii="Times New Roman" w:hAnsi="Times New Roman" w:cs="Times New Roman"/>
          <w:sz w:val="24"/>
          <w:szCs w:val="24"/>
        </w:rPr>
        <w:t xml:space="preserve"> (</w:t>
      </w:r>
      <w:proofErr w:type="spellStart"/>
      <w:r w:rsidR="006E696E" w:rsidRPr="00AB4C1A">
        <w:rPr>
          <w:rFonts w:ascii="Times New Roman" w:hAnsi="Times New Roman" w:cs="Times New Roman"/>
          <w:sz w:val="24"/>
          <w:szCs w:val="24"/>
        </w:rPr>
        <w:t>Bondarouk</w:t>
      </w:r>
      <w:proofErr w:type="spellEnd"/>
      <w:r w:rsidR="006E696E" w:rsidRPr="00AB4C1A">
        <w:rPr>
          <w:rFonts w:ascii="Times New Roman" w:hAnsi="Times New Roman" w:cs="Times New Roman"/>
          <w:sz w:val="24"/>
          <w:szCs w:val="24"/>
        </w:rPr>
        <w:t xml:space="preserve"> &amp; </w:t>
      </w:r>
      <w:proofErr w:type="spellStart"/>
      <w:r w:rsidR="006E696E" w:rsidRPr="00AB4C1A">
        <w:rPr>
          <w:rFonts w:ascii="Times New Roman" w:hAnsi="Times New Roman" w:cs="Times New Roman"/>
          <w:sz w:val="24"/>
          <w:szCs w:val="24"/>
        </w:rPr>
        <w:t>Liefferink</w:t>
      </w:r>
      <w:proofErr w:type="spellEnd"/>
      <w:r w:rsidR="006E696E" w:rsidRPr="00AB4C1A">
        <w:rPr>
          <w:rFonts w:ascii="Times New Roman" w:hAnsi="Times New Roman" w:cs="Times New Roman"/>
          <w:sz w:val="24"/>
          <w:szCs w:val="24"/>
        </w:rPr>
        <w:t>, 2017)</w:t>
      </w:r>
      <w:r w:rsidR="00785519" w:rsidRPr="00AB4C1A">
        <w:rPr>
          <w:rFonts w:ascii="Times New Roman" w:hAnsi="Times New Roman" w:cs="Times New Roman"/>
          <w:sz w:val="24"/>
          <w:szCs w:val="24"/>
        </w:rPr>
        <w:t xml:space="preserve">. </w:t>
      </w:r>
    </w:p>
    <w:p w14:paraId="01CDD540" w14:textId="77777777" w:rsidR="00312A91" w:rsidRPr="00AB4C1A" w:rsidRDefault="00312A91" w:rsidP="00CB2EFD">
      <w:pPr>
        <w:rPr>
          <w:rFonts w:ascii="Times New Roman" w:hAnsi="Times New Roman" w:cs="Times New Roman"/>
          <w:b/>
          <w:bCs/>
          <w:i/>
          <w:iCs/>
          <w:sz w:val="24"/>
          <w:szCs w:val="24"/>
        </w:rPr>
      </w:pPr>
      <w:r w:rsidRPr="00AB4C1A">
        <w:rPr>
          <w:rFonts w:ascii="Times New Roman" w:hAnsi="Times New Roman" w:cs="Times New Roman"/>
          <w:b/>
          <w:bCs/>
          <w:i/>
          <w:iCs/>
          <w:sz w:val="24"/>
          <w:szCs w:val="24"/>
        </w:rPr>
        <w:t>Application, measures and scoring</w:t>
      </w:r>
    </w:p>
    <w:p w14:paraId="507AAE93" w14:textId="77777777" w:rsidR="00312A91" w:rsidRPr="00AB4C1A" w:rsidRDefault="00312A91"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For the </w:t>
      </w:r>
      <w:proofErr w:type="gramStart"/>
      <w:r w:rsidRPr="00AB4C1A">
        <w:rPr>
          <w:rFonts w:ascii="Times New Roman" w:hAnsi="Times New Roman" w:cs="Times New Roman"/>
          <w:sz w:val="24"/>
          <w:szCs w:val="24"/>
        </w:rPr>
        <w:t>AQAP as a whole,</w:t>
      </w:r>
      <w:r w:rsidR="00054378" w:rsidRPr="00AB4C1A">
        <w:rPr>
          <w:rFonts w:ascii="Times New Roman" w:hAnsi="Times New Roman" w:cs="Times New Roman"/>
          <w:sz w:val="24"/>
          <w:szCs w:val="24"/>
        </w:rPr>
        <w:t xml:space="preserve"> </w:t>
      </w:r>
      <w:r w:rsidR="0038261D" w:rsidRPr="00AB4C1A">
        <w:rPr>
          <w:rFonts w:ascii="Times New Roman" w:hAnsi="Times New Roman" w:cs="Times New Roman"/>
          <w:sz w:val="24"/>
          <w:szCs w:val="24"/>
        </w:rPr>
        <w:t>selected</w:t>
      </w:r>
      <w:proofErr w:type="gramEnd"/>
      <w:r w:rsidR="0038261D" w:rsidRPr="00AB4C1A">
        <w:rPr>
          <w:rFonts w:ascii="Times New Roman" w:hAnsi="Times New Roman" w:cs="Times New Roman"/>
          <w:sz w:val="24"/>
          <w:szCs w:val="24"/>
        </w:rPr>
        <w:t xml:space="preserve"> </w:t>
      </w:r>
      <w:r w:rsidR="00054378" w:rsidRPr="00AB4C1A">
        <w:rPr>
          <w:rFonts w:ascii="Times New Roman" w:hAnsi="Times New Roman" w:cs="Times New Roman"/>
          <w:sz w:val="24"/>
          <w:szCs w:val="24"/>
        </w:rPr>
        <w:t>elements of the documents</w:t>
      </w:r>
      <w:r w:rsidR="0038261D" w:rsidRPr="00AB4C1A">
        <w:rPr>
          <w:rFonts w:ascii="Times New Roman" w:hAnsi="Times New Roman" w:cs="Times New Roman"/>
          <w:sz w:val="24"/>
          <w:szCs w:val="24"/>
        </w:rPr>
        <w:t xml:space="preserve"> are scored</w:t>
      </w:r>
      <w:r w:rsidR="007A1C56" w:rsidRPr="00AB4C1A">
        <w:rPr>
          <w:rFonts w:ascii="Times New Roman" w:hAnsi="Times New Roman" w:cs="Times New Roman"/>
          <w:sz w:val="24"/>
          <w:szCs w:val="24"/>
        </w:rPr>
        <w:t xml:space="preserve"> against the aspects</w:t>
      </w:r>
      <w:r w:rsidR="00B17856" w:rsidRPr="00AB4C1A">
        <w:rPr>
          <w:rFonts w:ascii="Times New Roman" w:hAnsi="Times New Roman" w:cs="Times New Roman"/>
          <w:sz w:val="24"/>
          <w:szCs w:val="24"/>
        </w:rPr>
        <w:t>,</w:t>
      </w:r>
      <w:r w:rsidR="00054378" w:rsidRPr="00AB4C1A">
        <w:rPr>
          <w:rFonts w:ascii="Times New Roman" w:hAnsi="Times New Roman" w:cs="Times New Roman"/>
          <w:sz w:val="24"/>
          <w:szCs w:val="24"/>
        </w:rPr>
        <w:t xml:space="preserve"> </w:t>
      </w:r>
      <w:r w:rsidRPr="00AB4C1A">
        <w:rPr>
          <w:rFonts w:ascii="Times New Roman" w:hAnsi="Times New Roman" w:cs="Times New Roman"/>
          <w:sz w:val="24"/>
          <w:szCs w:val="24"/>
        </w:rPr>
        <w:t xml:space="preserve">including pollution sources and modes, and reporting frequency. For example, </w:t>
      </w:r>
      <w:r w:rsidR="00B17856" w:rsidRPr="00AB4C1A">
        <w:rPr>
          <w:rFonts w:ascii="Times New Roman" w:hAnsi="Times New Roman" w:cs="Times New Roman"/>
          <w:sz w:val="24"/>
          <w:szCs w:val="24"/>
        </w:rPr>
        <w:t>‘O</w:t>
      </w:r>
      <w:r w:rsidRPr="00AB4C1A">
        <w:rPr>
          <w:rFonts w:ascii="Times New Roman" w:hAnsi="Times New Roman" w:cs="Times New Roman"/>
          <w:sz w:val="24"/>
          <w:szCs w:val="24"/>
        </w:rPr>
        <w:t>bjectives</w:t>
      </w:r>
      <w:r w:rsidR="00B17856" w:rsidRPr="00AB4C1A">
        <w:rPr>
          <w:rFonts w:ascii="Times New Roman" w:hAnsi="Times New Roman" w:cs="Times New Roman"/>
          <w:sz w:val="24"/>
          <w:szCs w:val="24"/>
        </w:rPr>
        <w:t>’</w:t>
      </w:r>
      <w:r w:rsidRPr="00AB4C1A">
        <w:rPr>
          <w:rFonts w:ascii="Times New Roman" w:hAnsi="Times New Roman" w:cs="Times New Roman"/>
          <w:sz w:val="24"/>
          <w:szCs w:val="24"/>
        </w:rPr>
        <w:t xml:space="preserve"> measure if national air quality </w:t>
      </w:r>
      <w:r w:rsidR="00A80B80" w:rsidRPr="00AB4C1A">
        <w:rPr>
          <w:rFonts w:ascii="Times New Roman" w:hAnsi="Times New Roman" w:cs="Times New Roman"/>
          <w:sz w:val="24"/>
          <w:szCs w:val="24"/>
        </w:rPr>
        <w:t xml:space="preserve">requirements </w:t>
      </w:r>
      <w:r w:rsidRPr="00AB4C1A">
        <w:rPr>
          <w:rFonts w:ascii="Times New Roman" w:hAnsi="Times New Roman" w:cs="Times New Roman"/>
          <w:sz w:val="24"/>
          <w:szCs w:val="24"/>
        </w:rPr>
        <w:t>are being pursued</w:t>
      </w:r>
      <w:r w:rsidR="00057362" w:rsidRPr="00AB4C1A">
        <w:rPr>
          <w:rFonts w:ascii="Times New Roman" w:hAnsi="Times New Roman" w:cs="Times New Roman"/>
          <w:sz w:val="24"/>
          <w:szCs w:val="24"/>
        </w:rPr>
        <w:t xml:space="preserve"> </w:t>
      </w:r>
      <w:r w:rsidRPr="00AB4C1A">
        <w:rPr>
          <w:rFonts w:ascii="Times New Roman" w:hAnsi="Times New Roman" w:cs="Times New Roman"/>
          <w:sz w:val="24"/>
          <w:szCs w:val="24"/>
        </w:rPr>
        <w:t>(</w:t>
      </w:r>
      <w:proofErr w:type="spellStart"/>
      <w:r w:rsidRPr="00AB4C1A">
        <w:rPr>
          <w:rFonts w:ascii="Times New Roman" w:hAnsi="Times New Roman" w:cs="Times New Roman"/>
          <w:sz w:val="24"/>
          <w:szCs w:val="24"/>
        </w:rPr>
        <w:t>Bondarouk</w:t>
      </w:r>
      <w:proofErr w:type="spellEnd"/>
      <w:r w:rsidRPr="00AB4C1A">
        <w:rPr>
          <w:rFonts w:ascii="Times New Roman" w:hAnsi="Times New Roman" w:cs="Times New Roman"/>
          <w:sz w:val="24"/>
          <w:szCs w:val="24"/>
        </w:rPr>
        <w:t xml:space="preserve"> &amp; </w:t>
      </w:r>
      <w:proofErr w:type="spellStart"/>
      <w:r w:rsidRPr="00AB4C1A">
        <w:rPr>
          <w:rFonts w:ascii="Times New Roman" w:hAnsi="Times New Roman" w:cs="Times New Roman"/>
          <w:sz w:val="24"/>
          <w:szCs w:val="24"/>
        </w:rPr>
        <w:t>Liefferink</w:t>
      </w:r>
      <w:proofErr w:type="spellEnd"/>
      <w:r w:rsidRPr="00AB4C1A">
        <w:rPr>
          <w:rFonts w:ascii="Times New Roman" w:hAnsi="Times New Roman" w:cs="Times New Roman"/>
          <w:sz w:val="24"/>
          <w:szCs w:val="24"/>
        </w:rPr>
        <w:t>, 2017).</w:t>
      </w:r>
      <w:r w:rsidR="007A1C56" w:rsidRPr="00AB4C1A">
        <w:rPr>
          <w:rFonts w:ascii="Times New Roman" w:hAnsi="Times New Roman" w:cs="Times New Roman"/>
          <w:sz w:val="24"/>
          <w:szCs w:val="24"/>
        </w:rPr>
        <w:t xml:space="preserve"> Each aspect of the AQAP assessed is scored to a maximum of three points</w:t>
      </w:r>
      <w:r w:rsidR="004269FA" w:rsidRPr="00AB4C1A">
        <w:rPr>
          <w:rFonts w:ascii="Times New Roman" w:hAnsi="Times New Roman" w:cs="Times New Roman"/>
          <w:sz w:val="24"/>
          <w:szCs w:val="24"/>
        </w:rPr>
        <w:t xml:space="preserve"> (see Table 1)</w:t>
      </w:r>
      <w:r w:rsidR="007A1C56" w:rsidRPr="00AB4C1A">
        <w:rPr>
          <w:rFonts w:ascii="Times New Roman" w:hAnsi="Times New Roman" w:cs="Times New Roman"/>
          <w:sz w:val="24"/>
          <w:szCs w:val="24"/>
        </w:rPr>
        <w:t>.</w:t>
      </w:r>
    </w:p>
    <w:p w14:paraId="0D880B55" w14:textId="09AB10B4" w:rsidR="00312A91" w:rsidRPr="00AB4C1A" w:rsidRDefault="007A1C56"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Equally, </w:t>
      </w:r>
      <w:r w:rsidR="00312A91" w:rsidRPr="00AB4C1A">
        <w:rPr>
          <w:rFonts w:ascii="Times New Roman" w:hAnsi="Times New Roman" w:cs="Times New Roman"/>
          <w:sz w:val="24"/>
          <w:szCs w:val="24"/>
        </w:rPr>
        <w:t xml:space="preserve">AQAP </w:t>
      </w:r>
      <w:r w:rsidR="00B17856" w:rsidRPr="00AB4C1A">
        <w:rPr>
          <w:rFonts w:ascii="Times New Roman" w:hAnsi="Times New Roman" w:cs="Times New Roman"/>
          <w:sz w:val="24"/>
          <w:szCs w:val="24"/>
        </w:rPr>
        <w:t>m</w:t>
      </w:r>
      <w:r w:rsidR="00312A91" w:rsidRPr="00AB4C1A">
        <w:rPr>
          <w:rFonts w:ascii="Times New Roman" w:hAnsi="Times New Roman" w:cs="Times New Roman"/>
          <w:sz w:val="24"/>
          <w:szCs w:val="24"/>
        </w:rPr>
        <w:t>easures are scored to a maximum of three points</w:t>
      </w:r>
      <w:r w:rsidR="0066598C" w:rsidRPr="00AB4C1A">
        <w:rPr>
          <w:rFonts w:ascii="Times New Roman" w:hAnsi="Times New Roman" w:cs="Times New Roman"/>
          <w:sz w:val="24"/>
          <w:szCs w:val="24"/>
        </w:rPr>
        <w:t xml:space="preserve"> (a self-defined scoring system)</w:t>
      </w:r>
      <w:r w:rsidRPr="00AB4C1A">
        <w:rPr>
          <w:rFonts w:ascii="Times New Roman" w:hAnsi="Times New Roman" w:cs="Times New Roman"/>
          <w:sz w:val="24"/>
          <w:szCs w:val="24"/>
        </w:rPr>
        <w:t>. However</w:t>
      </w:r>
      <w:r w:rsidR="0079216C" w:rsidRPr="00AB4C1A">
        <w:rPr>
          <w:rFonts w:ascii="Times New Roman" w:hAnsi="Times New Roman" w:cs="Times New Roman"/>
          <w:sz w:val="24"/>
          <w:szCs w:val="24"/>
        </w:rPr>
        <w:t>,</w:t>
      </w:r>
      <w:r w:rsidRPr="00AB4C1A">
        <w:rPr>
          <w:rFonts w:ascii="Times New Roman" w:hAnsi="Times New Roman" w:cs="Times New Roman"/>
          <w:sz w:val="24"/>
          <w:szCs w:val="24"/>
        </w:rPr>
        <w:t xml:space="preserve"> scores are made </w:t>
      </w:r>
      <w:r w:rsidR="00312A91" w:rsidRPr="00AB4C1A">
        <w:rPr>
          <w:rFonts w:ascii="Times New Roman" w:hAnsi="Times New Roman" w:cs="Times New Roman"/>
          <w:sz w:val="24"/>
          <w:szCs w:val="24"/>
        </w:rPr>
        <w:t xml:space="preserve">according to </w:t>
      </w:r>
      <w:r w:rsidRPr="00AB4C1A">
        <w:rPr>
          <w:rFonts w:ascii="Times New Roman" w:hAnsi="Times New Roman" w:cs="Times New Roman"/>
          <w:sz w:val="24"/>
          <w:szCs w:val="24"/>
        </w:rPr>
        <w:t xml:space="preserve">the </w:t>
      </w:r>
      <w:r w:rsidR="00312A91" w:rsidRPr="00AB4C1A">
        <w:rPr>
          <w:rFonts w:ascii="Times New Roman" w:hAnsi="Times New Roman" w:cs="Times New Roman"/>
          <w:sz w:val="24"/>
          <w:szCs w:val="24"/>
        </w:rPr>
        <w:t xml:space="preserve">quality </w:t>
      </w:r>
      <w:r w:rsidRPr="00AB4C1A">
        <w:rPr>
          <w:rFonts w:ascii="Times New Roman" w:hAnsi="Times New Roman" w:cs="Times New Roman"/>
          <w:sz w:val="24"/>
          <w:szCs w:val="24"/>
        </w:rPr>
        <w:t xml:space="preserve">of the AQAP measure </w:t>
      </w:r>
      <w:r w:rsidR="00312A91" w:rsidRPr="00AB4C1A">
        <w:rPr>
          <w:rFonts w:ascii="Times New Roman" w:hAnsi="Times New Roman" w:cs="Times New Roman"/>
          <w:sz w:val="24"/>
          <w:szCs w:val="24"/>
        </w:rPr>
        <w:t>in relation to the aspect stipulations for the equivalent framework measure. For example, under the</w:t>
      </w:r>
      <w:r w:rsidR="00A43173" w:rsidRPr="00AB4C1A">
        <w:rPr>
          <w:rFonts w:ascii="Times New Roman" w:hAnsi="Times New Roman" w:cs="Times New Roman"/>
          <w:sz w:val="24"/>
          <w:szCs w:val="24"/>
        </w:rPr>
        <w:t xml:space="preserve"> </w:t>
      </w:r>
      <w:r w:rsidR="001619F0" w:rsidRPr="00AB4C1A">
        <w:rPr>
          <w:rFonts w:ascii="Times New Roman" w:hAnsi="Times New Roman" w:cs="Times New Roman"/>
          <w:sz w:val="24"/>
          <w:szCs w:val="24"/>
        </w:rPr>
        <w:t>B</w:t>
      </w:r>
      <w:r w:rsidR="00A43173" w:rsidRPr="00AB4C1A">
        <w:rPr>
          <w:rFonts w:ascii="Times New Roman" w:hAnsi="Times New Roman" w:cs="Times New Roman"/>
          <w:sz w:val="24"/>
          <w:szCs w:val="24"/>
        </w:rPr>
        <w:t>ridging</w:t>
      </w:r>
      <w:r w:rsidR="00312A91" w:rsidRPr="00AB4C1A">
        <w:rPr>
          <w:rFonts w:ascii="Times New Roman" w:hAnsi="Times New Roman" w:cs="Times New Roman"/>
          <w:sz w:val="24"/>
          <w:szCs w:val="24"/>
        </w:rPr>
        <w:t xml:space="preserve"> </w:t>
      </w:r>
      <w:r w:rsidR="00A43173" w:rsidRPr="00AB4C1A">
        <w:rPr>
          <w:rFonts w:ascii="Times New Roman" w:hAnsi="Times New Roman" w:cs="Times New Roman"/>
          <w:sz w:val="24"/>
          <w:szCs w:val="24"/>
        </w:rPr>
        <w:t>F</w:t>
      </w:r>
      <w:r w:rsidR="00312A91" w:rsidRPr="00AB4C1A">
        <w:rPr>
          <w:rFonts w:ascii="Times New Roman" w:hAnsi="Times New Roman" w:cs="Times New Roman"/>
          <w:sz w:val="24"/>
          <w:szCs w:val="24"/>
        </w:rPr>
        <w:t xml:space="preserve">ramework’s </w:t>
      </w:r>
      <w:r w:rsidR="00B17856" w:rsidRPr="00AB4C1A">
        <w:rPr>
          <w:rFonts w:ascii="Times New Roman" w:hAnsi="Times New Roman" w:cs="Times New Roman"/>
          <w:sz w:val="24"/>
          <w:szCs w:val="24"/>
        </w:rPr>
        <w:t>b</w:t>
      </w:r>
      <w:r w:rsidR="00312A91" w:rsidRPr="00AB4C1A">
        <w:rPr>
          <w:rFonts w:ascii="Times New Roman" w:hAnsi="Times New Roman" w:cs="Times New Roman"/>
          <w:sz w:val="24"/>
          <w:szCs w:val="24"/>
        </w:rPr>
        <w:t xml:space="preserve">icycle policy measure, specific definitional details (aspect stipulations) are given for bicycle parking (e.g. free or indoor parking). The score </w:t>
      </w:r>
      <w:r w:rsidR="00B17856" w:rsidRPr="00AB4C1A">
        <w:rPr>
          <w:rFonts w:ascii="Times New Roman" w:hAnsi="Times New Roman" w:cs="Times New Roman"/>
          <w:sz w:val="24"/>
          <w:szCs w:val="24"/>
        </w:rPr>
        <w:t>reflects</w:t>
      </w:r>
      <w:r w:rsidR="00312A91" w:rsidRPr="00AB4C1A">
        <w:rPr>
          <w:rFonts w:ascii="Times New Roman" w:hAnsi="Times New Roman" w:cs="Times New Roman"/>
          <w:sz w:val="24"/>
          <w:szCs w:val="24"/>
        </w:rPr>
        <w:t xml:space="preserve"> </w:t>
      </w:r>
      <w:r w:rsidR="00B17856" w:rsidRPr="00AB4C1A">
        <w:rPr>
          <w:rFonts w:ascii="Times New Roman" w:hAnsi="Times New Roman" w:cs="Times New Roman"/>
          <w:sz w:val="24"/>
          <w:szCs w:val="24"/>
        </w:rPr>
        <w:t>the extent to which the</w:t>
      </w:r>
      <w:r w:rsidR="00312A91" w:rsidRPr="00AB4C1A">
        <w:rPr>
          <w:rFonts w:ascii="Times New Roman" w:hAnsi="Times New Roman" w:cs="Times New Roman"/>
          <w:sz w:val="24"/>
          <w:szCs w:val="24"/>
        </w:rPr>
        <w:t xml:space="preserve"> AQAP measure on bicycle parking relates to those stipulations (e.g. 1 definitional detail scores 1 point; 2-3, 2 points; 4-5, 3 points).</w:t>
      </w:r>
      <w:r w:rsidR="003F79D2" w:rsidRPr="00AB4C1A">
        <w:rPr>
          <w:rFonts w:ascii="Times New Roman" w:hAnsi="Times New Roman" w:cs="Times New Roman"/>
          <w:sz w:val="24"/>
          <w:szCs w:val="24"/>
        </w:rPr>
        <w:t xml:space="preserve"> A high score would be attained if the AQAP (or supporting documents) details information on various initiatives surrounding bicycle parking</w:t>
      </w:r>
      <w:r w:rsidR="00B17856" w:rsidRPr="00AB4C1A">
        <w:rPr>
          <w:rFonts w:ascii="Times New Roman" w:hAnsi="Times New Roman" w:cs="Times New Roman"/>
          <w:sz w:val="24"/>
          <w:szCs w:val="24"/>
        </w:rPr>
        <w:t xml:space="preserve"> (</w:t>
      </w:r>
      <w:r w:rsidR="003F79D2" w:rsidRPr="00AB4C1A">
        <w:rPr>
          <w:rFonts w:ascii="Times New Roman" w:hAnsi="Times New Roman" w:cs="Times New Roman"/>
          <w:sz w:val="24"/>
          <w:szCs w:val="24"/>
        </w:rPr>
        <w:t>for example free and secure parking, provisions for demand, and signage for parking</w:t>
      </w:r>
      <w:r w:rsidR="00B17856" w:rsidRPr="00AB4C1A">
        <w:rPr>
          <w:rFonts w:ascii="Times New Roman" w:hAnsi="Times New Roman" w:cs="Times New Roman"/>
          <w:sz w:val="24"/>
          <w:szCs w:val="24"/>
        </w:rPr>
        <w:t>)</w:t>
      </w:r>
      <w:r w:rsidR="003F79D2" w:rsidRPr="00AB4C1A">
        <w:rPr>
          <w:rFonts w:ascii="Times New Roman" w:hAnsi="Times New Roman" w:cs="Times New Roman"/>
          <w:sz w:val="24"/>
          <w:szCs w:val="24"/>
        </w:rPr>
        <w:t xml:space="preserve">. A low score would reflect </w:t>
      </w:r>
      <w:r w:rsidR="001619F0" w:rsidRPr="00AB4C1A">
        <w:rPr>
          <w:rFonts w:ascii="Times New Roman" w:hAnsi="Times New Roman" w:cs="Times New Roman"/>
          <w:sz w:val="24"/>
          <w:szCs w:val="24"/>
        </w:rPr>
        <w:t>limited information</w:t>
      </w:r>
      <w:r w:rsidR="00A7044C" w:rsidRPr="00AB4C1A">
        <w:rPr>
          <w:rFonts w:ascii="Times New Roman" w:hAnsi="Times New Roman" w:cs="Times New Roman"/>
          <w:sz w:val="24"/>
          <w:szCs w:val="24"/>
        </w:rPr>
        <w:t xml:space="preserve"> in the AQAP or supporting documentation</w:t>
      </w:r>
      <w:r w:rsidR="00B17856" w:rsidRPr="00AB4C1A">
        <w:rPr>
          <w:rFonts w:ascii="Times New Roman" w:hAnsi="Times New Roman" w:cs="Times New Roman"/>
          <w:sz w:val="24"/>
          <w:szCs w:val="24"/>
        </w:rPr>
        <w:t>,</w:t>
      </w:r>
      <w:r w:rsidR="003F79D2" w:rsidRPr="00AB4C1A">
        <w:rPr>
          <w:rFonts w:ascii="Times New Roman" w:hAnsi="Times New Roman" w:cs="Times New Roman"/>
          <w:sz w:val="24"/>
          <w:szCs w:val="24"/>
        </w:rPr>
        <w:t xml:space="preserve"> suggest</w:t>
      </w:r>
      <w:r w:rsidR="00A7044C" w:rsidRPr="00AB4C1A">
        <w:rPr>
          <w:rFonts w:ascii="Times New Roman" w:hAnsi="Times New Roman" w:cs="Times New Roman"/>
          <w:sz w:val="24"/>
          <w:szCs w:val="24"/>
        </w:rPr>
        <w:t>ing that</w:t>
      </w:r>
      <w:r w:rsidR="003F79D2" w:rsidRPr="00AB4C1A">
        <w:rPr>
          <w:rFonts w:ascii="Times New Roman" w:hAnsi="Times New Roman" w:cs="Times New Roman"/>
          <w:sz w:val="24"/>
          <w:szCs w:val="24"/>
        </w:rPr>
        <w:t xml:space="preserve"> these initiatives </w:t>
      </w:r>
      <w:r w:rsidR="00172EB3" w:rsidRPr="00AB4C1A">
        <w:rPr>
          <w:rFonts w:ascii="Times New Roman" w:hAnsi="Times New Roman" w:cs="Times New Roman"/>
          <w:sz w:val="24"/>
          <w:szCs w:val="24"/>
        </w:rPr>
        <w:t>have not</w:t>
      </w:r>
      <w:r w:rsidR="00B17856" w:rsidRPr="00AB4C1A">
        <w:rPr>
          <w:rFonts w:ascii="Times New Roman" w:hAnsi="Times New Roman" w:cs="Times New Roman"/>
          <w:sz w:val="24"/>
          <w:szCs w:val="24"/>
        </w:rPr>
        <w:t xml:space="preserve"> been </w:t>
      </w:r>
      <w:r w:rsidR="003F79D2" w:rsidRPr="00AB4C1A">
        <w:rPr>
          <w:rFonts w:ascii="Times New Roman" w:hAnsi="Times New Roman" w:cs="Times New Roman"/>
          <w:sz w:val="24"/>
          <w:szCs w:val="24"/>
        </w:rPr>
        <w:t>implemented</w:t>
      </w:r>
      <w:r w:rsidR="00A7044C" w:rsidRPr="00AB4C1A">
        <w:rPr>
          <w:rFonts w:ascii="Times New Roman" w:hAnsi="Times New Roman" w:cs="Times New Roman"/>
          <w:sz w:val="24"/>
          <w:szCs w:val="24"/>
        </w:rPr>
        <w:t xml:space="preserve"> or </w:t>
      </w:r>
      <w:r w:rsidR="00B17856" w:rsidRPr="00AB4C1A">
        <w:rPr>
          <w:rFonts w:ascii="Times New Roman" w:hAnsi="Times New Roman" w:cs="Times New Roman"/>
          <w:sz w:val="24"/>
          <w:szCs w:val="24"/>
        </w:rPr>
        <w:t xml:space="preserve">that </w:t>
      </w:r>
      <w:r w:rsidR="00A7044C" w:rsidRPr="00AB4C1A">
        <w:rPr>
          <w:rFonts w:ascii="Times New Roman" w:hAnsi="Times New Roman" w:cs="Times New Roman"/>
          <w:sz w:val="24"/>
          <w:szCs w:val="24"/>
        </w:rPr>
        <w:t xml:space="preserve">the plan is </w:t>
      </w:r>
      <w:r w:rsidR="00172EB3" w:rsidRPr="00AB4C1A">
        <w:rPr>
          <w:rFonts w:ascii="Times New Roman" w:hAnsi="Times New Roman" w:cs="Times New Roman"/>
          <w:sz w:val="24"/>
          <w:szCs w:val="24"/>
        </w:rPr>
        <w:t xml:space="preserve">lacking </w:t>
      </w:r>
      <w:r w:rsidR="00A7044C" w:rsidRPr="00AB4C1A">
        <w:rPr>
          <w:rFonts w:ascii="Times New Roman" w:hAnsi="Times New Roman" w:cs="Times New Roman"/>
          <w:sz w:val="24"/>
          <w:szCs w:val="24"/>
        </w:rPr>
        <w:t>detail</w:t>
      </w:r>
      <w:r w:rsidR="003F79D2" w:rsidRPr="00AB4C1A">
        <w:rPr>
          <w:rFonts w:ascii="Times New Roman" w:hAnsi="Times New Roman" w:cs="Times New Roman"/>
          <w:sz w:val="24"/>
          <w:szCs w:val="24"/>
        </w:rPr>
        <w:t>.</w:t>
      </w:r>
      <w:r w:rsidR="00312A91" w:rsidRPr="00AB4C1A">
        <w:rPr>
          <w:rFonts w:ascii="Times New Roman" w:hAnsi="Times New Roman" w:cs="Times New Roman"/>
          <w:sz w:val="24"/>
          <w:szCs w:val="24"/>
        </w:rPr>
        <w:t xml:space="preserve"> AQAP measures on bicycle parking are also </w:t>
      </w:r>
      <w:r w:rsidR="008A48A4" w:rsidRPr="00AB4C1A">
        <w:rPr>
          <w:rFonts w:ascii="Times New Roman" w:hAnsi="Times New Roman" w:cs="Times New Roman"/>
          <w:sz w:val="24"/>
          <w:szCs w:val="24"/>
        </w:rPr>
        <w:t xml:space="preserve">assessed </w:t>
      </w:r>
      <w:r w:rsidR="00312A91" w:rsidRPr="00AB4C1A">
        <w:rPr>
          <w:rFonts w:ascii="Times New Roman" w:hAnsi="Times New Roman" w:cs="Times New Roman"/>
          <w:sz w:val="24"/>
          <w:szCs w:val="24"/>
        </w:rPr>
        <w:t>under ‘Territory’ and ‘Duration’ aspects and are scored similarly</w:t>
      </w:r>
      <w:r w:rsidR="00A17C82" w:rsidRPr="00AB4C1A">
        <w:rPr>
          <w:rFonts w:ascii="Times New Roman" w:hAnsi="Times New Roman" w:cs="Times New Roman"/>
          <w:sz w:val="24"/>
          <w:szCs w:val="24"/>
        </w:rPr>
        <w:t xml:space="preserve"> (see Table 1)</w:t>
      </w:r>
      <w:r w:rsidR="00312A91" w:rsidRPr="00AB4C1A">
        <w:rPr>
          <w:rFonts w:ascii="Times New Roman" w:hAnsi="Times New Roman" w:cs="Times New Roman"/>
          <w:sz w:val="24"/>
          <w:szCs w:val="24"/>
        </w:rPr>
        <w:t xml:space="preserve">. </w:t>
      </w:r>
    </w:p>
    <w:p w14:paraId="372782C3" w14:textId="53D02981" w:rsidR="00312A91" w:rsidRPr="00AB4C1A" w:rsidRDefault="00B17856"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The s</w:t>
      </w:r>
      <w:r w:rsidR="00312A91" w:rsidRPr="00AB4C1A">
        <w:rPr>
          <w:rFonts w:ascii="Times New Roman" w:hAnsi="Times New Roman" w:cs="Times New Roman"/>
          <w:sz w:val="24"/>
          <w:szCs w:val="24"/>
        </w:rPr>
        <w:t>cores are summed to indicate a total score for the measure. Aspect scores for that measure are also totalled. Finally, total measures scores and aspect scores</w:t>
      </w:r>
      <w:r w:rsidR="000A18AF" w:rsidRPr="00AB4C1A">
        <w:rPr>
          <w:rFonts w:ascii="Times New Roman" w:hAnsi="Times New Roman" w:cs="Times New Roman"/>
          <w:sz w:val="24"/>
          <w:szCs w:val="24"/>
        </w:rPr>
        <w:t xml:space="preserve"> (which will be the same)</w:t>
      </w:r>
      <w:r w:rsidR="00312A91" w:rsidRPr="00AB4C1A">
        <w:rPr>
          <w:rFonts w:ascii="Times New Roman" w:hAnsi="Times New Roman" w:cs="Times New Roman"/>
          <w:sz w:val="24"/>
          <w:szCs w:val="24"/>
        </w:rPr>
        <w:t xml:space="preserve"> for all the measures in the AQAP are </w:t>
      </w:r>
      <w:r w:rsidR="003F7219" w:rsidRPr="00AB4C1A">
        <w:rPr>
          <w:rFonts w:ascii="Times New Roman" w:hAnsi="Times New Roman" w:cs="Times New Roman"/>
          <w:sz w:val="24"/>
          <w:szCs w:val="24"/>
        </w:rPr>
        <w:t>systemised and presented</w:t>
      </w:r>
      <w:r w:rsidR="00312A91" w:rsidRPr="00AB4C1A">
        <w:rPr>
          <w:rFonts w:ascii="Times New Roman" w:hAnsi="Times New Roman" w:cs="Times New Roman"/>
          <w:sz w:val="24"/>
          <w:szCs w:val="24"/>
        </w:rPr>
        <w:t>.</w:t>
      </w:r>
      <w:r w:rsidR="00A17C82" w:rsidRPr="00AB4C1A">
        <w:rPr>
          <w:rFonts w:ascii="Times New Roman" w:hAnsi="Times New Roman" w:cs="Times New Roman"/>
          <w:sz w:val="24"/>
          <w:szCs w:val="24"/>
        </w:rPr>
        <w:t xml:space="preserve"> Equally,</w:t>
      </w:r>
      <w:r w:rsidR="00312A91" w:rsidRPr="00AB4C1A">
        <w:rPr>
          <w:rFonts w:ascii="Times New Roman" w:hAnsi="Times New Roman" w:cs="Times New Roman"/>
          <w:sz w:val="24"/>
          <w:szCs w:val="24"/>
        </w:rPr>
        <w:t xml:space="preserve"> </w:t>
      </w:r>
      <w:r w:rsidR="00A17C82" w:rsidRPr="00AB4C1A">
        <w:rPr>
          <w:rFonts w:ascii="Times New Roman" w:hAnsi="Times New Roman" w:cs="Times New Roman"/>
          <w:sz w:val="24"/>
          <w:szCs w:val="24"/>
        </w:rPr>
        <w:t>w</w:t>
      </w:r>
      <w:r w:rsidR="00312A91" w:rsidRPr="00AB4C1A">
        <w:rPr>
          <w:rFonts w:ascii="Times New Roman" w:hAnsi="Times New Roman" w:cs="Times New Roman"/>
          <w:sz w:val="24"/>
          <w:szCs w:val="24"/>
        </w:rPr>
        <w:t>hen applied to several cities</w:t>
      </w:r>
      <w:r w:rsidR="00A17C82" w:rsidRPr="00AB4C1A">
        <w:rPr>
          <w:rFonts w:ascii="Times New Roman" w:hAnsi="Times New Roman" w:cs="Times New Roman"/>
          <w:sz w:val="24"/>
          <w:szCs w:val="24"/>
        </w:rPr>
        <w:t>,</w:t>
      </w:r>
      <w:r w:rsidR="00312A91" w:rsidRPr="00AB4C1A">
        <w:rPr>
          <w:rFonts w:ascii="Times New Roman" w:hAnsi="Times New Roman" w:cs="Times New Roman"/>
          <w:sz w:val="24"/>
          <w:szCs w:val="24"/>
        </w:rPr>
        <w:t xml:space="preserve"> a comparison can be made between cities’ AQAPs regarding </w:t>
      </w:r>
      <w:r w:rsidR="00A5352E" w:rsidRPr="00AB4C1A">
        <w:rPr>
          <w:rFonts w:ascii="Times New Roman" w:hAnsi="Times New Roman" w:cs="Times New Roman"/>
          <w:sz w:val="24"/>
          <w:szCs w:val="24"/>
        </w:rPr>
        <w:t xml:space="preserve">both </w:t>
      </w:r>
      <w:r w:rsidR="00312A91" w:rsidRPr="00AB4C1A">
        <w:rPr>
          <w:rFonts w:ascii="Times New Roman" w:hAnsi="Times New Roman" w:cs="Times New Roman"/>
          <w:sz w:val="24"/>
          <w:szCs w:val="24"/>
        </w:rPr>
        <w:t xml:space="preserve">aspects and measures </w:t>
      </w:r>
      <w:r w:rsidR="00042DCD" w:rsidRPr="00AB4C1A">
        <w:rPr>
          <w:rFonts w:ascii="Times New Roman" w:hAnsi="Times New Roman" w:cs="Times New Roman"/>
          <w:sz w:val="24"/>
          <w:szCs w:val="24"/>
        </w:rPr>
        <w:t>(see</w:t>
      </w:r>
      <w:r w:rsidR="00172EB3" w:rsidRPr="00AB4C1A">
        <w:rPr>
          <w:rFonts w:ascii="Times New Roman" w:hAnsi="Times New Roman" w:cs="Times New Roman"/>
          <w:sz w:val="24"/>
          <w:szCs w:val="24"/>
        </w:rPr>
        <w:t xml:space="preserve"> </w:t>
      </w:r>
      <w:r w:rsidR="00172EB3" w:rsidRPr="00AB4C1A">
        <w:rPr>
          <w:rFonts w:ascii="Times New Roman" w:hAnsi="Times New Roman" w:cs="Times New Roman"/>
          <w:sz w:val="24"/>
          <w:szCs w:val="24"/>
        </w:rPr>
        <w:fldChar w:fldCharType="begin"/>
      </w:r>
      <w:r w:rsidR="00172EB3" w:rsidRPr="00AB4C1A">
        <w:rPr>
          <w:rFonts w:ascii="Times New Roman" w:hAnsi="Times New Roman" w:cs="Times New Roman"/>
          <w:sz w:val="24"/>
          <w:szCs w:val="24"/>
        </w:rPr>
        <w:instrText xml:space="preserve"> REF _Ref62667865 \h </w:instrText>
      </w:r>
      <w:r w:rsidR="005A7728" w:rsidRPr="00AB4C1A">
        <w:rPr>
          <w:rFonts w:ascii="Times New Roman" w:hAnsi="Times New Roman" w:cs="Times New Roman"/>
          <w:sz w:val="24"/>
          <w:szCs w:val="24"/>
        </w:rPr>
        <w:instrText xml:space="preserve"> \* MERGEFORMAT </w:instrText>
      </w:r>
      <w:r w:rsidR="00172EB3" w:rsidRPr="00AB4C1A">
        <w:rPr>
          <w:rFonts w:ascii="Times New Roman" w:hAnsi="Times New Roman" w:cs="Times New Roman"/>
          <w:sz w:val="24"/>
          <w:szCs w:val="24"/>
        </w:rPr>
      </w:r>
      <w:r w:rsidR="00172EB3" w:rsidRPr="00AB4C1A">
        <w:rPr>
          <w:rFonts w:ascii="Times New Roman" w:hAnsi="Times New Roman" w:cs="Times New Roman"/>
          <w:sz w:val="24"/>
          <w:szCs w:val="24"/>
        </w:rPr>
        <w:fldChar w:fldCharType="separate"/>
      </w:r>
      <w:r w:rsidR="00172EB3" w:rsidRPr="00AB4C1A">
        <w:rPr>
          <w:rFonts w:ascii="Times New Roman" w:hAnsi="Times New Roman" w:cs="Times New Roman"/>
          <w:sz w:val="24"/>
          <w:szCs w:val="24"/>
        </w:rPr>
        <w:t xml:space="preserve">Table </w:t>
      </w:r>
      <w:r w:rsidR="00172EB3" w:rsidRPr="00AB4C1A">
        <w:rPr>
          <w:rFonts w:ascii="Times New Roman" w:hAnsi="Times New Roman" w:cs="Times New Roman"/>
          <w:noProof/>
          <w:sz w:val="24"/>
          <w:szCs w:val="24"/>
        </w:rPr>
        <w:t>2</w:t>
      </w:r>
      <w:r w:rsidR="00172EB3" w:rsidRPr="00AB4C1A">
        <w:rPr>
          <w:rFonts w:ascii="Times New Roman" w:hAnsi="Times New Roman" w:cs="Times New Roman"/>
          <w:sz w:val="24"/>
          <w:szCs w:val="24"/>
        </w:rPr>
        <w:fldChar w:fldCharType="end"/>
      </w:r>
      <w:r w:rsidR="00172EB3" w:rsidRPr="00AB4C1A">
        <w:rPr>
          <w:rFonts w:ascii="Times New Roman" w:hAnsi="Times New Roman" w:cs="Times New Roman"/>
          <w:sz w:val="24"/>
          <w:szCs w:val="24"/>
        </w:rPr>
        <w:t xml:space="preserve">) </w:t>
      </w:r>
      <w:r w:rsidR="00312A91" w:rsidRPr="00AB4C1A">
        <w:rPr>
          <w:rFonts w:ascii="Times New Roman" w:hAnsi="Times New Roman" w:cs="Times New Roman"/>
          <w:sz w:val="24"/>
          <w:szCs w:val="24"/>
        </w:rPr>
        <w:t>(</w:t>
      </w:r>
      <w:proofErr w:type="spellStart"/>
      <w:r w:rsidR="00312A91" w:rsidRPr="00AB4C1A">
        <w:rPr>
          <w:rFonts w:ascii="Times New Roman" w:hAnsi="Times New Roman" w:cs="Times New Roman"/>
          <w:sz w:val="24"/>
          <w:szCs w:val="24"/>
        </w:rPr>
        <w:t>Bondarouk</w:t>
      </w:r>
      <w:proofErr w:type="spellEnd"/>
      <w:r w:rsidR="00312A91" w:rsidRPr="00AB4C1A">
        <w:rPr>
          <w:rFonts w:ascii="Times New Roman" w:hAnsi="Times New Roman" w:cs="Times New Roman"/>
          <w:sz w:val="24"/>
          <w:szCs w:val="24"/>
        </w:rPr>
        <w:t xml:space="preserve"> &amp; </w:t>
      </w:r>
      <w:proofErr w:type="spellStart"/>
      <w:r w:rsidR="00312A91" w:rsidRPr="00AB4C1A">
        <w:rPr>
          <w:rFonts w:ascii="Times New Roman" w:hAnsi="Times New Roman" w:cs="Times New Roman"/>
          <w:sz w:val="24"/>
          <w:szCs w:val="24"/>
        </w:rPr>
        <w:t>Liefferink</w:t>
      </w:r>
      <w:proofErr w:type="spellEnd"/>
      <w:r w:rsidR="00312A91" w:rsidRPr="00AB4C1A">
        <w:rPr>
          <w:rFonts w:ascii="Times New Roman" w:hAnsi="Times New Roman" w:cs="Times New Roman"/>
          <w:sz w:val="24"/>
          <w:szCs w:val="24"/>
        </w:rPr>
        <w:t>, 2017).</w:t>
      </w:r>
    </w:p>
    <w:p w14:paraId="01D0463D" w14:textId="77777777" w:rsidR="002E6AF0" w:rsidRPr="00AB4C1A" w:rsidRDefault="002E6AF0" w:rsidP="002E6AF0">
      <w:pPr>
        <w:pStyle w:val="Caption"/>
        <w:keepNext/>
        <w:rPr>
          <w:rFonts w:ascii="Times New Roman" w:hAnsi="Times New Roman" w:cs="Times New Roman"/>
          <w:color w:val="auto"/>
          <w:sz w:val="24"/>
          <w:szCs w:val="24"/>
        </w:rPr>
      </w:pPr>
      <w:r w:rsidRPr="00AB4C1A">
        <w:rPr>
          <w:rFonts w:ascii="Times New Roman" w:hAnsi="Times New Roman" w:cs="Times New Roman"/>
          <w:color w:val="auto"/>
          <w:sz w:val="24"/>
          <w:szCs w:val="24"/>
        </w:rPr>
        <w:t xml:space="preserve">Table </w:t>
      </w:r>
      <w:r w:rsidR="00AE17AD" w:rsidRPr="00AB4C1A">
        <w:rPr>
          <w:rFonts w:ascii="Times New Roman" w:hAnsi="Times New Roman" w:cs="Times New Roman"/>
          <w:color w:val="auto"/>
          <w:sz w:val="24"/>
          <w:szCs w:val="24"/>
        </w:rPr>
        <w:fldChar w:fldCharType="begin"/>
      </w:r>
      <w:r w:rsidR="00AE17AD" w:rsidRPr="00AB4C1A">
        <w:rPr>
          <w:rFonts w:ascii="Times New Roman" w:hAnsi="Times New Roman" w:cs="Times New Roman"/>
          <w:color w:val="auto"/>
          <w:sz w:val="24"/>
          <w:szCs w:val="24"/>
        </w:rPr>
        <w:instrText xml:space="preserve"> SEQ Table \* ARABIC </w:instrText>
      </w:r>
      <w:r w:rsidR="00AE17AD" w:rsidRPr="00AB4C1A">
        <w:rPr>
          <w:rFonts w:ascii="Times New Roman" w:hAnsi="Times New Roman" w:cs="Times New Roman"/>
          <w:color w:val="auto"/>
          <w:sz w:val="24"/>
          <w:szCs w:val="24"/>
        </w:rPr>
        <w:fldChar w:fldCharType="separate"/>
      </w:r>
      <w:r w:rsidR="00ED25B0" w:rsidRPr="00AB4C1A">
        <w:rPr>
          <w:rFonts w:ascii="Times New Roman" w:hAnsi="Times New Roman" w:cs="Times New Roman"/>
          <w:noProof/>
          <w:color w:val="auto"/>
          <w:sz w:val="24"/>
          <w:szCs w:val="24"/>
        </w:rPr>
        <w:t>1</w:t>
      </w:r>
      <w:r w:rsidR="00AE17AD" w:rsidRPr="00AB4C1A">
        <w:rPr>
          <w:rFonts w:ascii="Times New Roman" w:hAnsi="Times New Roman" w:cs="Times New Roman"/>
          <w:noProof/>
          <w:color w:val="auto"/>
          <w:sz w:val="24"/>
          <w:szCs w:val="24"/>
        </w:rPr>
        <w:fldChar w:fldCharType="end"/>
      </w:r>
      <w:r w:rsidRPr="00AB4C1A">
        <w:rPr>
          <w:rFonts w:ascii="Times New Roman" w:hAnsi="Times New Roman" w:cs="Times New Roman"/>
          <w:color w:val="auto"/>
          <w:sz w:val="24"/>
          <w:szCs w:val="24"/>
        </w:rPr>
        <w:t xml:space="preserve">: Example of assessment of the AQAP </w:t>
      </w:r>
      <w:proofErr w:type="gramStart"/>
      <w:r w:rsidRPr="00AB4C1A">
        <w:rPr>
          <w:rFonts w:ascii="Times New Roman" w:hAnsi="Times New Roman" w:cs="Times New Roman"/>
          <w:color w:val="auto"/>
          <w:sz w:val="24"/>
          <w:szCs w:val="24"/>
        </w:rPr>
        <w:t>as a whole for</w:t>
      </w:r>
      <w:proofErr w:type="gramEnd"/>
      <w:r w:rsidRPr="00AB4C1A">
        <w:rPr>
          <w:rFonts w:ascii="Times New Roman" w:hAnsi="Times New Roman" w:cs="Times New Roman"/>
          <w:color w:val="auto"/>
          <w:sz w:val="24"/>
          <w:szCs w:val="24"/>
        </w:rPr>
        <w:t xml:space="preserve"> various (but not all) Aspects</w:t>
      </w:r>
    </w:p>
    <w:tbl>
      <w:tblPr>
        <w:tblStyle w:val="PlainTable1"/>
        <w:tblpPr w:leftFromText="180" w:rightFromText="180" w:vertAnchor="text" w:horzAnchor="margin" w:tblpY="18"/>
        <w:tblW w:w="9163" w:type="dxa"/>
        <w:tblLook w:val="04A0" w:firstRow="1" w:lastRow="0" w:firstColumn="1" w:lastColumn="0" w:noHBand="0" w:noVBand="1"/>
      </w:tblPr>
      <w:tblGrid>
        <w:gridCol w:w="2359"/>
        <w:gridCol w:w="2684"/>
        <w:gridCol w:w="2776"/>
        <w:gridCol w:w="1344"/>
      </w:tblGrid>
      <w:tr w:rsidR="00AB4C1A" w:rsidRPr="00AB4C1A" w14:paraId="3BDD3C92" w14:textId="77777777" w:rsidTr="00C32EFD">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0" w:type="dxa"/>
            <w:vAlign w:val="center"/>
          </w:tcPr>
          <w:p w14:paraId="2E234C02" w14:textId="77777777" w:rsidR="002E6AF0" w:rsidRPr="00AB4C1A" w:rsidRDefault="002E6AF0" w:rsidP="00FD3E28">
            <w:pPr>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 xml:space="preserve">Aspect </w:t>
            </w:r>
          </w:p>
        </w:tc>
        <w:tc>
          <w:tcPr>
            <w:tcW w:w="0" w:type="dxa"/>
            <w:noWrap/>
            <w:vAlign w:val="center"/>
          </w:tcPr>
          <w:p w14:paraId="1B27A4E6" w14:textId="77777777" w:rsidR="002E6AF0" w:rsidRPr="00AB4C1A" w:rsidRDefault="002E6AF0" w:rsidP="002A26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Aspect Definition</w:t>
            </w:r>
          </w:p>
        </w:tc>
        <w:tc>
          <w:tcPr>
            <w:tcW w:w="0" w:type="dxa"/>
            <w:vAlign w:val="center"/>
          </w:tcPr>
          <w:p w14:paraId="5AEDD090" w14:textId="77777777" w:rsidR="002E6AF0" w:rsidRPr="00AB4C1A" w:rsidRDefault="006527D8" w:rsidP="002A26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 xml:space="preserve">Aspect </w:t>
            </w:r>
            <w:r w:rsidR="002E6AF0" w:rsidRPr="00AB4C1A">
              <w:rPr>
                <w:rFonts w:ascii="Times New Roman" w:eastAsia="Times New Roman" w:hAnsi="Times New Roman" w:cs="Times New Roman"/>
                <w:i/>
                <w:iCs/>
                <w:sz w:val="24"/>
                <w:szCs w:val="24"/>
                <w:lang w:eastAsia="en-GB"/>
              </w:rPr>
              <w:t>Specifications</w:t>
            </w:r>
          </w:p>
        </w:tc>
        <w:tc>
          <w:tcPr>
            <w:tcW w:w="0" w:type="dxa"/>
            <w:vAlign w:val="center"/>
          </w:tcPr>
          <w:p w14:paraId="70670950" w14:textId="77777777" w:rsidR="002E6AF0" w:rsidRPr="00AB4C1A" w:rsidRDefault="002E6AF0" w:rsidP="00C32EF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Score</w:t>
            </w:r>
          </w:p>
        </w:tc>
      </w:tr>
      <w:tr w:rsidR="00AB4C1A" w:rsidRPr="00AB4C1A" w14:paraId="42F702FC" w14:textId="77777777" w:rsidTr="00C32EFD">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0" w:type="dxa"/>
            <w:vAlign w:val="center"/>
          </w:tcPr>
          <w:p w14:paraId="31698648" w14:textId="77777777" w:rsidR="002E6AF0" w:rsidRPr="00AB4C1A" w:rsidRDefault="002E6AF0" w:rsidP="00FD3E28">
            <w:pPr>
              <w:rPr>
                <w:rFonts w:ascii="Times New Roman" w:eastAsia="Times New Roman" w:hAnsi="Times New Roman" w:cs="Times New Roman"/>
                <w:b w:val="0"/>
                <w:bCs w:val="0"/>
                <w:i/>
                <w:iCs/>
                <w:sz w:val="24"/>
                <w:szCs w:val="24"/>
                <w:lang w:eastAsia="en-GB"/>
              </w:rPr>
            </w:pPr>
            <w:r w:rsidRPr="00AB4C1A">
              <w:rPr>
                <w:rFonts w:ascii="Times New Roman" w:hAnsi="Times New Roman" w:cs="Times New Roman"/>
                <w:i/>
                <w:iCs/>
                <w:sz w:val="24"/>
                <w:szCs w:val="24"/>
              </w:rPr>
              <w:t>Addressees</w:t>
            </w:r>
          </w:p>
        </w:tc>
        <w:tc>
          <w:tcPr>
            <w:tcW w:w="0" w:type="dxa"/>
            <w:noWrap/>
            <w:vAlign w:val="center"/>
          </w:tcPr>
          <w:p w14:paraId="38513872" w14:textId="77777777" w:rsidR="002E6AF0" w:rsidRPr="00AB4C1A" w:rsidRDefault="002E6AF0" w:rsidP="002A26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hAnsi="Times New Roman" w:cs="Times New Roman"/>
                <w:i/>
                <w:iCs/>
                <w:sz w:val="24"/>
                <w:szCs w:val="24"/>
              </w:rPr>
              <w:t>Group to which the plan applies</w:t>
            </w:r>
          </w:p>
        </w:tc>
        <w:tc>
          <w:tcPr>
            <w:tcW w:w="0" w:type="dxa"/>
            <w:vAlign w:val="center"/>
          </w:tcPr>
          <w:p w14:paraId="1EEF4169" w14:textId="77777777" w:rsidR="002E6AF0" w:rsidRPr="00AB4C1A" w:rsidRDefault="002E6AF0" w:rsidP="00C32EF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hAnsi="Times New Roman" w:cs="Times New Roman"/>
                <w:i/>
                <w:iCs/>
                <w:sz w:val="24"/>
                <w:szCs w:val="24"/>
              </w:rPr>
              <w:t xml:space="preserve">All citizens (scores 3), </w:t>
            </w:r>
          </w:p>
          <w:p w14:paraId="5BAD245F" w14:textId="77777777" w:rsidR="002E6AF0" w:rsidRPr="00AB4C1A" w:rsidRDefault="002E6AF0" w:rsidP="00C32EF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hAnsi="Times New Roman" w:cs="Times New Roman"/>
                <w:i/>
                <w:iCs/>
                <w:sz w:val="24"/>
                <w:szCs w:val="24"/>
              </w:rPr>
              <w:t xml:space="preserve">Smaller group (scores 2), </w:t>
            </w:r>
          </w:p>
          <w:p w14:paraId="1C593871" w14:textId="77777777" w:rsidR="002E6AF0" w:rsidRPr="00AB4C1A" w:rsidRDefault="002E6AF0" w:rsidP="00C32EF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hAnsi="Times New Roman" w:cs="Times New Roman"/>
                <w:i/>
                <w:iCs/>
                <w:sz w:val="24"/>
                <w:szCs w:val="24"/>
              </w:rPr>
              <w:t>Smallest group (scores 1)</w:t>
            </w:r>
          </w:p>
        </w:tc>
        <w:tc>
          <w:tcPr>
            <w:tcW w:w="0" w:type="dxa"/>
            <w:vAlign w:val="center"/>
          </w:tcPr>
          <w:p w14:paraId="25D6F80E" w14:textId="77777777" w:rsidR="002E6AF0" w:rsidRPr="00AB4C1A" w:rsidRDefault="002E6AF0" w:rsidP="00C32E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3</w:t>
            </w:r>
          </w:p>
        </w:tc>
      </w:tr>
      <w:tr w:rsidR="00AB4C1A" w:rsidRPr="00AB4C1A" w14:paraId="7233FC24" w14:textId="77777777" w:rsidTr="00C32EFD">
        <w:trPr>
          <w:trHeight w:val="794"/>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93A457B" w14:textId="77777777" w:rsidR="002E6AF0" w:rsidRPr="00AB4C1A" w:rsidRDefault="002E6AF0" w:rsidP="00FD3E28">
            <w:pPr>
              <w:rPr>
                <w:rFonts w:ascii="Times New Roman" w:eastAsia="Times New Roman" w:hAnsi="Times New Roman" w:cs="Times New Roman"/>
                <w:b w:val="0"/>
                <w:bCs w:val="0"/>
                <w:i/>
                <w:iCs/>
                <w:sz w:val="24"/>
                <w:szCs w:val="24"/>
                <w:lang w:eastAsia="en-GB"/>
              </w:rPr>
            </w:pPr>
            <w:r w:rsidRPr="00AB4C1A">
              <w:rPr>
                <w:rFonts w:ascii="Times New Roman" w:eastAsia="Times New Roman" w:hAnsi="Times New Roman" w:cs="Times New Roman"/>
                <w:i/>
                <w:iCs/>
                <w:sz w:val="24"/>
                <w:szCs w:val="24"/>
                <w:lang w:eastAsia="en-GB"/>
              </w:rPr>
              <w:t>Plan Duration</w:t>
            </w:r>
          </w:p>
        </w:tc>
        <w:tc>
          <w:tcPr>
            <w:tcW w:w="0" w:type="dxa"/>
            <w:noWrap/>
            <w:vAlign w:val="center"/>
            <w:hideMark/>
          </w:tcPr>
          <w:p w14:paraId="6B88418B" w14:textId="77777777" w:rsidR="002E6AF0" w:rsidRPr="00AB4C1A" w:rsidRDefault="002E6AF0" w:rsidP="002A26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Plan duration</w:t>
            </w:r>
          </w:p>
        </w:tc>
        <w:tc>
          <w:tcPr>
            <w:tcW w:w="0" w:type="dxa"/>
            <w:vAlign w:val="center"/>
            <w:hideMark/>
          </w:tcPr>
          <w:p w14:paraId="654764BC" w14:textId="77777777" w:rsidR="002E6AF0" w:rsidRPr="00AB4C1A" w:rsidRDefault="002E6AF0" w:rsidP="00C32EF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 xml:space="preserve">&lt;5 years (scores 1); </w:t>
            </w:r>
          </w:p>
          <w:p w14:paraId="7EF06838" w14:textId="77777777" w:rsidR="002E6AF0" w:rsidRPr="00AB4C1A" w:rsidRDefault="002E6AF0" w:rsidP="00C32EF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5 - 10 years (scores 2);</w:t>
            </w:r>
          </w:p>
          <w:p w14:paraId="67DB2A12" w14:textId="77777777" w:rsidR="002E6AF0" w:rsidRPr="00AB4C1A" w:rsidRDefault="002E6AF0" w:rsidP="00C32EF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&gt;10 years (scores 3)</w:t>
            </w:r>
          </w:p>
        </w:tc>
        <w:tc>
          <w:tcPr>
            <w:tcW w:w="0" w:type="dxa"/>
            <w:vAlign w:val="center"/>
            <w:hideMark/>
          </w:tcPr>
          <w:p w14:paraId="5DE9ECF3" w14:textId="77777777" w:rsidR="002E6AF0" w:rsidRPr="00AB4C1A" w:rsidRDefault="002E6AF0" w:rsidP="00C32E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2</w:t>
            </w:r>
          </w:p>
        </w:tc>
      </w:tr>
      <w:tr w:rsidR="00AB4C1A" w:rsidRPr="00AB4C1A" w14:paraId="62D76025" w14:textId="77777777" w:rsidTr="00C32EFD">
        <w:trPr>
          <w:cnfStyle w:val="000000100000" w:firstRow="0" w:lastRow="0" w:firstColumn="0" w:lastColumn="0" w:oddVBand="0" w:evenVBand="0" w:oddHBand="1" w:evenHBand="0" w:firstRowFirstColumn="0" w:firstRowLastColumn="0" w:lastRowFirstColumn="0" w:lastRowLastColumn="0"/>
          <w:trHeight w:val="1315"/>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5CF76D" w14:textId="77777777" w:rsidR="002E6AF0" w:rsidRPr="00AB4C1A" w:rsidRDefault="002E6AF0" w:rsidP="00FD3E28">
            <w:pPr>
              <w:rPr>
                <w:rFonts w:ascii="Times New Roman" w:eastAsia="Times New Roman" w:hAnsi="Times New Roman" w:cs="Times New Roman"/>
                <w:b w:val="0"/>
                <w:bCs w:val="0"/>
                <w:i/>
                <w:iCs/>
                <w:sz w:val="24"/>
                <w:szCs w:val="24"/>
                <w:lang w:eastAsia="en-GB"/>
              </w:rPr>
            </w:pPr>
            <w:r w:rsidRPr="00AB4C1A">
              <w:rPr>
                <w:rFonts w:ascii="Times New Roman" w:hAnsi="Times New Roman" w:cs="Times New Roman"/>
                <w:i/>
                <w:iCs/>
                <w:sz w:val="24"/>
                <w:szCs w:val="24"/>
              </w:rPr>
              <w:lastRenderedPageBreak/>
              <w:t>Application area</w:t>
            </w:r>
            <w:r w:rsidR="00E11E8A" w:rsidRPr="00AB4C1A">
              <w:rPr>
                <w:rFonts w:ascii="Times New Roman" w:hAnsi="Times New Roman" w:cs="Times New Roman"/>
                <w:i/>
                <w:iCs/>
                <w:sz w:val="24"/>
                <w:szCs w:val="24"/>
              </w:rPr>
              <w:t xml:space="preserve"> (Formerly ‘Territory’)</w:t>
            </w:r>
          </w:p>
        </w:tc>
        <w:tc>
          <w:tcPr>
            <w:tcW w:w="0" w:type="dxa"/>
            <w:vAlign w:val="center"/>
          </w:tcPr>
          <w:p w14:paraId="3C8CDE4D" w14:textId="77777777" w:rsidR="002E6AF0" w:rsidRPr="00AB4C1A" w:rsidRDefault="002E6AF0" w:rsidP="002A26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hAnsi="Times New Roman" w:cs="Times New Roman"/>
                <w:i/>
                <w:iCs/>
                <w:sz w:val="24"/>
                <w:szCs w:val="24"/>
              </w:rPr>
              <w:t>Geographical Scope of plan</w:t>
            </w:r>
          </w:p>
        </w:tc>
        <w:tc>
          <w:tcPr>
            <w:tcW w:w="0" w:type="dxa"/>
            <w:vAlign w:val="center"/>
          </w:tcPr>
          <w:p w14:paraId="0338F150" w14:textId="77777777" w:rsidR="002E6AF0" w:rsidRPr="00AB4C1A" w:rsidRDefault="002E6AF0" w:rsidP="00C32EF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AB4C1A">
              <w:rPr>
                <w:rFonts w:ascii="Times New Roman" w:hAnsi="Times New Roman" w:cs="Times New Roman"/>
                <w:i/>
                <w:iCs/>
                <w:sz w:val="24"/>
                <w:szCs w:val="24"/>
              </w:rPr>
              <w:t xml:space="preserve">Regional (3), </w:t>
            </w:r>
          </w:p>
          <w:p w14:paraId="3A8E4C86" w14:textId="77777777" w:rsidR="002E6AF0" w:rsidRPr="00AB4C1A" w:rsidRDefault="002E6AF0" w:rsidP="00C32EF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AB4C1A">
              <w:rPr>
                <w:rFonts w:ascii="Times New Roman" w:hAnsi="Times New Roman" w:cs="Times New Roman"/>
                <w:i/>
                <w:iCs/>
                <w:sz w:val="24"/>
                <w:szCs w:val="24"/>
              </w:rPr>
              <w:t xml:space="preserve">City level (2), </w:t>
            </w:r>
          </w:p>
          <w:p w14:paraId="001A8EF2" w14:textId="77777777" w:rsidR="002E6AF0" w:rsidRPr="00AB4C1A" w:rsidRDefault="002E6AF0" w:rsidP="00C32EF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hAnsi="Times New Roman" w:cs="Times New Roman"/>
                <w:i/>
                <w:iCs/>
                <w:sz w:val="24"/>
                <w:szCs w:val="24"/>
              </w:rPr>
              <w:t>local area (1)</w:t>
            </w:r>
          </w:p>
        </w:tc>
        <w:tc>
          <w:tcPr>
            <w:tcW w:w="0" w:type="dxa"/>
            <w:vAlign w:val="center"/>
            <w:hideMark/>
          </w:tcPr>
          <w:p w14:paraId="15EA915D" w14:textId="77777777" w:rsidR="002E6AF0" w:rsidRPr="00AB4C1A" w:rsidRDefault="002E6AF0" w:rsidP="00FD3E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24"/>
                <w:szCs w:val="24"/>
                <w:lang w:eastAsia="en-GB"/>
              </w:rPr>
            </w:pPr>
            <w:r w:rsidRPr="00AB4C1A">
              <w:rPr>
                <w:rFonts w:ascii="Times New Roman" w:eastAsia="Times New Roman" w:hAnsi="Times New Roman" w:cs="Times New Roman"/>
                <w:i/>
                <w:iCs/>
                <w:sz w:val="24"/>
                <w:szCs w:val="24"/>
                <w:lang w:eastAsia="en-GB"/>
              </w:rPr>
              <w:t>3</w:t>
            </w:r>
          </w:p>
        </w:tc>
      </w:tr>
      <w:tr w:rsidR="00AB4C1A" w:rsidRPr="00AB4C1A" w14:paraId="3737F7E8" w14:textId="77777777" w:rsidTr="00C32EFD">
        <w:trPr>
          <w:trHeight w:val="1315"/>
        </w:trPr>
        <w:tc>
          <w:tcPr>
            <w:cnfStyle w:val="001000000000" w:firstRow="0" w:lastRow="0" w:firstColumn="1" w:lastColumn="0" w:oddVBand="0" w:evenVBand="0" w:oddHBand="0" w:evenHBand="0" w:firstRowFirstColumn="0" w:firstRowLastColumn="0" w:lastRowFirstColumn="0" w:lastRowLastColumn="0"/>
            <w:tcW w:w="0" w:type="dxa"/>
            <w:noWrap/>
            <w:vAlign w:val="center"/>
          </w:tcPr>
          <w:p w14:paraId="7B905EF5" w14:textId="77777777" w:rsidR="002E6AF0" w:rsidRPr="00AB4C1A" w:rsidRDefault="002E6AF0" w:rsidP="00FD3E28">
            <w:pPr>
              <w:rPr>
                <w:rFonts w:ascii="Times New Roman" w:eastAsia="Times New Roman" w:hAnsi="Times New Roman" w:cs="Times New Roman"/>
                <w:b w:val="0"/>
                <w:bCs w:val="0"/>
                <w:i/>
                <w:iCs/>
                <w:sz w:val="24"/>
                <w:szCs w:val="24"/>
                <w:lang w:eastAsia="en-GB"/>
              </w:rPr>
            </w:pPr>
          </w:p>
        </w:tc>
        <w:tc>
          <w:tcPr>
            <w:tcW w:w="0" w:type="dxa"/>
            <w:vAlign w:val="center"/>
          </w:tcPr>
          <w:p w14:paraId="6C97E885" w14:textId="77777777" w:rsidR="002E6AF0" w:rsidRPr="00AB4C1A" w:rsidRDefault="002E6AF0" w:rsidP="002A26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lang w:eastAsia="en-GB"/>
              </w:rPr>
            </w:pPr>
          </w:p>
        </w:tc>
        <w:tc>
          <w:tcPr>
            <w:tcW w:w="0" w:type="dxa"/>
            <w:vAlign w:val="center"/>
          </w:tcPr>
          <w:p w14:paraId="1AC0188D" w14:textId="1A2A6CFC" w:rsidR="002E6AF0" w:rsidRPr="00AB4C1A" w:rsidRDefault="002E6AF0" w:rsidP="002A26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4"/>
                <w:szCs w:val="24"/>
                <w:lang w:eastAsia="en-GB"/>
              </w:rPr>
            </w:pPr>
            <w:r w:rsidRPr="00AB4C1A">
              <w:rPr>
                <w:rFonts w:ascii="Times New Roman" w:eastAsia="Times New Roman" w:hAnsi="Times New Roman" w:cs="Times New Roman"/>
                <w:b/>
                <w:bCs/>
                <w:i/>
                <w:iCs/>
                <w:sz w:val="24"/>
                <w:szCs w:val="24"/>
                <w:lang w:eastAsia="en-GB"/>
              </w:rPr>
              <w:t xml:space="preserve">AQAP </w:t>
            </w:r>
            <w:proofErr w:type="gramStart"/>
            <w:r w:rsidRPr="00AB4C1A">
              <w:rPr>
                <w:rFonts w:ascii="Times New Roman" w:eastAsia="Times New Roman" w:hAnsi="Times New Roman" w:cs="Times New Roman"/>
                <w:b/>
                <w:bCs/>
                <w:i/>
                <w:iCs/>
                <w:sz w:val="24"/>
                <w:szCs w:val="24"/>
                <w:lang w:eastAsia="en-GB"/>
              </w:rPr>
              <w:t>as a whole total</w:t>
            </w:r>
            <w:proofErr w:type="gramEnd"/>
            <w:r w:rsidRPr="00AB4C1A">
              <w:rPr>
                <w:rFonts w:ascii="Times New Roman" w:eastAsia="Times New Roman" w:hAnsi="Times New Roman" w:cs="Times New Roman"/>
                <w:b/>
                <w:bCs/>
                <w:i/>
                <w:iCs/>
                <w:sz w:val="24"/>
                <w:szCs w:val="24"/>
                <w:lang w:eastAsia="en-GB"/>
              </w:rPr>
              <w:t xml:space="preserve"> Score</w:t>
            </w:r>
            <w:r w:rsidR="006527D8" w:rsidRPr="00AB4C1A">
              <w:rPr>
                <w:rFonts w:ascii="Times New Roman" w:eastAsia="Times New Roman" w:hAnsi="Times New Roman" w:cs="Times New Roman"/>
                <w:b/>
                <w:bCs/>
                <w:i/>
                <w:iCs/>
                <w:sz w:val="24"/>
                <w:szCs w:val="24"/>
                <w:lang w:eastAsia="en-GB"/>
              </w:rPr>
              <w:t xml:space="preserve"> (exemplar)</w:t>
            </w:r>
          </w:p>
        </w:tc>
        <w:tc>
          <w:tcPr>
            <w:tcW w:w="0" w:type="dxa"/>
            <w:vAlign w:val="center"/>
          </w:tcPr>
          <w:p w14:paraId="567A91CB" w14:textId="77777777" w:rsidR="002E6AF0" w:rsidRPr="00AB4C1A" w:rsidRDefault="002E6AF0" w:rsidP="00C32E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sz w:val="24"/>
                <w:szCs w:val="24"/>
                <w:lang w:eastAsia="en-GB"/>
              </w:rPr>
            </w:pPr>
            <w:r w:rsidRPr="00AB4C1A">
              <w:rPr>
                <w:rFonts w:ascii="Times New Roman" w:eastAsia="Times New Roman" w:hAnsi="Times New Roman" w:cs="Times New Roman"/>
                <w:b/>
                <w:bCs/>
                <w:i/>
                <w:iCs/>
                <w:sz w:val="24"/>
                <w:szCs w:val="24"/>
                <w:lang w:eastAsia="en-GB"/>
              </w:rPr>
              <w:t>8</w:t>
            </w:r>
          </w:p>
        </w:tc>
      </w:tr>
    </w:tbl>
    <w:p w14:paraId="792E4CFB" w14:textId="77777777" w:rsidR="00625D73" w:rsidRPr="00AB4C1A" w:rsidRDefault="00625D73" w:rsidP="00CB2EFD">
      <w:pPr>
        <w:rPr>
          <w:rFonts w:ascii="Times New Roman" w:hAnsi="Times New Roman" w:cs="Times New Roman"/>
          <w:b/>
          <w:bCs/>
          <w:sz w:val="24"/>
          <w:szCs w:val="24"/>
        </w:rPr>
      </w:pPr>
    </w:p>
    <w:p w14:paraId="004C20E3" w14:textId="77777777" w:rsidR="0074276C" w:rsidRPr="00AB4C1A" w:rsidRDefault="0074276C" w:rsidP="0074276C">
      <w:pPr>
        <w:rPr>
          <w:rFonts w:ascii="Times New Roman" w:hAnsi="Times New Roman" w:cs="Times New Roman"/>
          <w:b/>
          <w:bCs/>
          <w:i/>
          <w:iCs/>
          <w:sz w:val="24"/>
          <w:szCs w:val="24"/>
        </w:rPr>
      </w:pPr>
      <w:r w:rsidRPr="00AB4C1A">
        <w:rPr>
          <w:rFonts w:ascii="Times New Roman" w:hAnsi="Times New Roman" w:cs="Times New Roman"/>
          <w:b/>
          <w:bCs/>
          <w:i/>
          <w:iCs/>
          <w:sz w:val="24"/>
          <w:szCs w:val="24"/>
        </w:rPr>
        <w:t>Identification of case studies</w:t>
      </w:r>
      <w:r w:rsidR="009631AF" w:rsidRPr="00AB4C1A">
        <w:rPr>
          <w:rFonts w:ascii="Times New Roman" w:hAnsi="Times New Roman" w:cs="Times New Roman"/>
          <w:b/>
          <w:bCs/>
          <w:i/>
          <w:iCs/>
          <w:sz w:val="24"/>
          <w:szCs w:val="24"/>
        </w:rPr>
        <w:t xml:space="preserve"> and data analysis</w:t>
      </w:r>
    </w:p>
    <w:p w14:paraId="039666EE" w14:textId="66DD86D7" w:rsidR="002014C6" w:rsidRPr="00AB4C1A" w:rsidRDefault="0045221D" w:rsidP="0074276C">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The </w:t>
      </w:r>
      <w:r w:rsidR="00A17C82" w:rsidRPr="00AB4C1A">
        <w:rPr>
          <w:rFonts w:ascii="Times New Roman" w:hAnsi="Times New Roman" w:cs="Times New Roman"/>
          <w:sz w:val="24"/>
          <w:szCs w:val="24"/>
        </w:rPr>
        <w:t>Bridging F</w:t>
      </w:r>
      <w:r w:rsidRPr="00AB4C1A">
        <w:rPr>
          <w:rFonts w:ascii="Times New Roman" w:hAnsi="Times New Roman" w:cs="Times New Roman"/>
          <w:sz w:val="24"/>
          <w:szCs w:val="24"/>
        </w:rPr>
        <w:t xml:space="preserve">ramework is designed and tested in relation to air quality policy and practice in five UK cities.  </w:t>
      </w:r>
      <w:r w:rsidR="0074276C" w:rsidRPr="00AB4C1A">
        <w:rPr>
          <w:rFonts w:ascii="Times New Roman" w:hAnsi="Times New Roman" w:cs="Times New Roman"/>
          <w:sz w:val="24"/>
          <w:szCs w:val="24"/>
        </w:rPr>
        <w:t>The cities used for the application of the</w:t>
      </w:r>
      <w:r w:rsidR="00A43173" w:rsidRPr="00AB4C1A">
        <w:rPr>
          <w:rFonts w:ascii="Times New Roman" w:hAnsi="Times New Roman" w:cs="Times New Roman"/>
          <w:sz w:val="24"/>
          <w:szCs w:val="24"/>
        </w:rPr>
        <w:t xml:space="preserve"> bridging</w:t>
      </w:r>
      <w:r w:rsidR="0074276C" w:rsidRPr="00AB4C1A">
        <w:rPr>
          <w:rFonts w:ascii="Times New Roman" w:hAnsi="Times New Roman" w:cs="Times New Roman"/>
          <w:sz w:val="24"/>
          <w:szCs w:val="24"/>
        </w:rPr>
        <w:t xml:space="preserve"> framework are five of the six UK Core Cities, which are geographically similar in size, face similar air quality challenges (i.e. the source of the objective exceedances in each city is traffic), and have similar-sized economies (Core Cities, 2017). They are Bristol, Glasgow</w:t>
      </w:r>
      <w:r w:rsidR="0074276C" w:rsidRPr="00AB4C1A">
        <w:rPr>
          <w:rStyle w:val="FootnoteReference"/>
          <w:rFonts w:ascii="Times New Roman" w:hAnsi="Times New Roman" w:cs="Times New Roman"/>
          <w:sz w:val="24"/>
          <w:szCs w:val="24"/>
        </w:rPr>
        <w:footnoteReference w:id="1"/>
      </w:r>
      <w:r w:rsidR="0074276C" w:rsidRPr="00AB4C1A">
        <w:rPr>
          <w:rFonts w:ascii="Times New Roman" w:hAnsi="Times New Roman" w:cs="Times New Roman"/>
          <w:sz w:val="24"/>
          <w:szCs w:val="24"/>
        </w:rPr>
        <w:t>, Leeds, Manchester and Newcastle. The</w:t>
      </w:r>
      <w:r w:rsidR="00A17C82" w:rsidRPr="00AB4C1A">
        <w:rPr>
          <w:rFonts w:ascii="Times New Roman" w:hAnsi="Times New Roman" w:cs="Times New Roman"/>
          <w:sz w:val="24"/>
          <w:szCs w:val="24"/>
        </w:rPr>
        <w:t xml:space="preserve"> Bridging</w:t>
      </w:r>
      <w:r w:rsidR="0074276C" w:rsidRPr="00AB4C1A">
        <w:rPr>
          <w:rFonts w:ascii="Times New Roman" w:hAnsi="Times New Roman" w:cs="Times New Roman"/>
          <w:sz w:val="24"/>
          <w:szCs w:val="24"/>
        </w:rPr>
        <w:t xml:space="preserve"> </w:t>
      </w:r>
      <w:r w:rsidR="00A17C82" w:rsidRPr="00AB4C1A">
        <w:rPr>
          <w:rFonts w:ascii="Times New Roman" w:hAnsi="Times New Roman" w:cs="Times New Roman"/>
          <w:sz w:val="24"/>
          <w:szCs w:val="24"/>
        </w:rPr>
        <w:t>F</w:t>
      </w:r>
      <w:r w:rsidR="0074276C" w:rsidRPr="00AB4C1A">
        <w:rPr>
          <w:rFonts w:ascii="Times New Roman" w:hAnsi="Times New Roman" w:cs="Times New Roman"/>
          <w:sz w:val="24"/>
          <w:szCs w:val="24"/>
        </w:rPr>
        <w:t xml:space="preserve">ramework is used to assess the following documents: Air Quality Action Plans (AQAP), Emissions Strategies, Local Transport Plans (LTP) (as assessed with comparable documents in the Netherlands by </w:t>
      </w:r>
      <w:proofErr w:type="spellStart"/>
      <w:r w:rsidR="0074276C" w:rsidRPr="00AB4C1A">
        <w:rPr>
          <w:rFonts w:ascii="Times New Roman" w:hAnsi="Times New Roman" w:cs="Times New Roman"/>
          <w:sz w:val="24"/>
          <w:szCs w:val="24"/>
        </w:rPr>
        <w:t>Bondarouk</w:t>
      </w:r>
      <w:proofErr w:type="spellEnd"/>
      <w:r w:rsidR="0074276C" w:rsidRPr="00AB4C1A">
        <w:rPr>
          <w:rFonts w:ascii="Times New Roman" w:hAnsi="Times New Roman" w:cs="Times New Roman"/>
          <w:sz w:val="24"/>
          <w:szCs w:val="24"/>
        </w:rPr>
        <w:t xml:space="preserve"> &amp; </w:t>
      </w:r>
      <w:proofErr w:type="spellStart"/>
      <w:r w:rsidR="0074276C" w:rsidRPr="00AB4C1A">
        <w:rPr>
          <w:rFonts w:ascii="Times New Roman" w:hAnsi="Times New Roman" w:cs="Times New Roman"/>
          <w:sz w:val="24"/>
          <w:szCs w:val="24"/>
        </w:rPr>
        <w:t>Liefferink</w:t>
      </w:r>
      <w:proofErr w:type="spellEnd"/>
      <w:r w:rsidR="0074276C" w:rsidRPr="00AB4C1A">
        <w:rPr>
          <w:rFonts w:ascii="Times New Roman" w:hAnsi="Times New Roman" w:cs="Times New Roman"/>
          <w:sz w:val="24"/>
          <w:szCs w:val="24"/>
        </w:rPr>
        <w:t>, 2017)</w:t>
      </w:r>
      <w:r w:rsidR="006C7C63" w:rsidRPr="00AB4C1A">
        <w:rPr>
          <w:rFonts w:ascii="Times New Roman" w:hAnsi="Times New Roman" w:cs="Times New Roman"/>
          <w:sz w:val="24"/>
          <w:szCs w:val="24"/>
        </w:rPr>
        <w:t xml:space="preserve"> (dated between 2009 (Newcastle City Centre AQAP) and 2018 (Leeds Transport Strategy)</w:t>
      </w:r>
      <w:r w:rsidR="004E7553" w:rsidRPr="00AB4C1A">
        <w:rPr>
          <w:rFonts w:ascii="Times New Roman" w:hAnsi="Times New Roman" w:cs="Times New Roman"/>
          <w:sz w:val="24"/>
          <w:szCs w:val="24"/>
        </w:rPr>
        <w:t>)</w:t>
      </w:r>
      <w:r w:rsidR="0074276C" w:rsidRPr="00AB4C1A">
        <w:rPr>
          <w:rFonts w:ascii="Times New Roman" w:hAnsi="Times New Roman" w:cs="Times New Roman"/>
          <w:sz w:val="24"/>
          <w:szCs w:val="24"/>
        </w:rPr>
        <w:t>, and Annual Status Reports (ASRs)</w:t>
      </w:r>
      <w:r w:rsidR="006C7C63" w:rsidRPr="00AB4C1A">
        <w:rPr>
          <w:rFonts w:ascii="Times New Roman" w:hAnsi="Times New Roman" w:cs="Times New Roman"/>
          <w:sz w:val="24"/>
          <w:szCs w:val="24"/>
        </w:rPr>
        <w:t xml:space="preserve"> (2016-2018</w:t>
      </w:r>
      <w:r w:rsidR="00A17C82" w:rsidRPr="00AB4C1A">
        <w:rPr>
          <w:rFonts w:ascii="Times New Roman" w:hAnsi="Times New Roman" w:cs="Times New Roman"/>
          <w:sz w:val="24"/>
          <w:szCs w:val="24"/>
        </w:rPr>
        <w:t>)</w:t>
      </w:r>
      <w:r w:rsidR="0074276C" w:rsidRPr="00AB4C1A">
        <w:rPr>
          <w:rFonts w:ascii="Times New Roman" w:hAnsi="Times New Roman" w:cs="Times New Roman"/>
          <w:sz w:val="24"/>
          <w:szCs w:val="24"/>
        </w:rPr>
        <w:t xml:space="preserve">. </w:t>
      </w:r>
      <w:r w:rsidR="006C7C63" w:rsidRPr="00AB4C1A">
        <w:rPr>
          <w:rFonts w:ascii="Times New Roman" w:hAnsi="Times New Roman" w:cs="Times New Roman"/>
          <w:sz w:val="24"/>
          <w:szCs w:val="24"/>
        </w:rPr>
        <w:t xml:space="preserve">These were the most up to date and readily available documents at the time of testing. </w:t>
      </w:r>
      <w:r w:rsidR="0074276C" w:rsidRPr="00AB4C1A">
        <w:rPr>
          <w:rFonts w:ascii="Times New Roman" w:hAnsi="Times New Roman" w:cs="Times New Roman"/>
          <w:sz w:val="24"/>
          <w:szCs w:val="24"/>
        </w:rPr>
        <w:t>These choices enable replication and comparability of the study supporting the reliability of the conclusions (</w:t>
      </w:r>
      <w:proofErr w:type="spellStart"/>
      <w:r w:rsidR="0074276C" w:rsidRPr="00AB4C1A">
        <w:rPr>
          <w:rFonts w:ascii="Times New Roman" w:hAnsi="Times New Roman" w:cs="Times New Roman"/>
          <w:sz w:val="24"/>
          <w:szCs w:val="24"/>
        </w:rPr>
        <w:t>Emmel</w:t>
      </w:r>
      <w:proofErr w:type="spellEnd"/>
      <w:r w:rsidR="0074276C" w:rsidRPr="00AB4C1A">
        <w:rPr>
          <w:rFonts w:ascii="Times New Roman" w:hAnsi="Times New Roman" w:cs="Times New Roman"/>
          <w:sz w:val="24"/>
          <w:szCs w:val="24"/>
        </w:rPr>
        <w:t>, 2013).</w:t>
      </w:r>
    </w:p>
    <w:p w14:paraId="3BF7705C" w14:textId="5B8AD021" w:rsidR="0074276C" w:rsidRPr="00AB4C1A" w:rsidRDefault="00A17C82" w:rsidP="0074276C">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The Bridging </w:t>
      </w:r>
      <w:r w:rsidR="0074276C" w:rsidRPr="00AB4C1A">
        <w:rPr>
          <w:rFonts w:ascii="Times New Roman" w:hAnsi="Times New Roman" w:cs="Times New Roman"/>
          <w:sz w:val="24"/>
          <w:szCs w:val="24"/>
        </w:rPr>
        <w:t xml:space="preserve">framework is designed to enable a deductive quantitative content analysis of the ‘raw data’ as listed above. This method is designed to measure and interpret data collected that allows judgment of implementation performance of UK cities (Schrier, 2012; </w:t>
      </w:r>
      <w:proofErr w:type="spellStart"/>
      <w:r w:rsidR="0074276C" w:rsidRPr="00AB4C1A">
        <w:rPr>
          <w:rFonts w:ascii="Times New Roman" w:hAnsi="Times New Roman" w:cs="Times New Roman"/>
          <w:sz w:val="24"/>
          <w:szCs w:val="24"/>
        </w:rPr>
        <w:t>Bondaro</w:t>
      </w:r>
      <w:r w:rsidR="00EE7E4B" w:rsidRPr="00AB4C1A">
        <w:rPr>
          <w:rFonts w:ascii="Times New Roman" w:hAnsi="Times New Roman" w:cs="Times New Roman"/>
          <w:sz w:val="24"/>
          <w:szCs w:val="24"/>
        </w:rPr>
        <w:t>u</w:t>
      </w:r>
      <w:r w:rsidR="0074276C" w:rsidRPr="00AB4C1A">
        <w:rPr>
          <w:rFonts w:ascii="Times New Roman" w:hAnsi="Times New Roman" w:cs="Times New Roman"/>
          <w:sz w:val="24"/>
          <w:szCs w:val="24"/>
        </w:rPr>
        <w:t>k</w:t>
      </w:r>
      <w:proofErr w:type="spellEnd"/>
      <w:r w:rsidR="0074276C" w:rsidRPr="00AB4C1A">
        <w:rPr>
          <w:rFonts w:ascii="Times New Roman" w:hAnsi="Times New Roman" w:cs="Times New Roman"/>
          <w:sz w:val="24"/>
          <w:szCs w:val="24"/>
        </w:rPr>
        <w:t xml:space="preserve"> &amp; </w:t>
      </w:r>
      <w:proofErr w:type="spellStart"/>
      <w:r w:rsidR="0074276C" w:rsidRPr="00AB4C1A">
        <w:rPr>
          <w:rFonts w:ascii="Times New Roman" w:hAnsi="Times New Roman" w:cs="Times New Roman"/>
          <w:sz w:val="24"/>
          <w:szCs w:val="24"/>
        </w:rPr>
        <w:t>Mastenbroek</w:t>
      </w:r>
      <w:proofErr w:type="spellEnd"/>
      <w:r w:rsidR="0074276C" w:rsidRPr="00AB4C1A">
        <w:rPr>
          <w:rFonts w:ascii="Times New Roman" w:hAnsi="Times New Roman" w:cs="Times New Roman"/>
          <w:sz w:val="24"/>
          <w:szCs w:val="24"/>
        </w:rPr>
        <w:t xml:space="preserve">, 2017). </w:t>
      </w:r>
    </w:p>
    <w:p w14:paraId="1E9E4E9B" w14:textId="77777777" w:rsidR="0074276C" w:rsidRPr="00AB4C1A" w:rsidRDefault="0074276C">
      <w:pPr>
        <w:spacing w:line="240" w:lineRule="auto"/>
        <w:rPr>
          <w:rFonts w:ascii="Times New Roman" w:hAnsi="Times New Roman" w:cs="Times New Roman"/>
          <w:sz w:val="24"/>
          <w:szCs w:val="24"/>
        </w:rPr>
      </w:pPr>
    </w:p>
    <w:p w14:paraId="3A3A4116" w14:textId="77777777" w:rsidR="00100D1D" w:rsidRPr="00AB4C1A" w:rsidRDefault="00100D1D" w:rsidP="00CB2EFD">
      <w:pPr>
        <w:rPr>
          <w:rFonts w:ascii="Times New Roman" w:hAnsi="Times New Roman" w:cs="Times New Roman"/>
          <w:b/>
          <w:bCs/>
          <w:sz w:val="24"/>
          <w:szCs w:val="24"/>
        </w:rPr>
      </w:pPr>
      <w:r w:rsidRPr="00AB4C1A">
        <w:rPr>
          <w:rFonts w:ascii="Times New Roman" w:hAnsi="Times New Roman" w:cs="Times New Roman"/>
          <w:b/>
          <w:bCs/>
          <w:sz w:val="24"/>
          <w:szCs w:val="24"/>
        </w:rPr>
        <w:t>Findings and analysis</w:t>
      </w:r>
    </w:p>
    <w:p w14:paraId="67DFCC58" w14:textId="77777777" w:rsidR="00C4160D" w:rsidRPr="00AB4C1A" w:rsidRDefault="00C4160D" w:rsidP="00CB2EFD">
      <w:pPr>
        <w:rPr>
          <w:rFonts w:ascii="Times New Roman" w:hAnsi="Times New Roman" w:cs="Times New Roman"/>
          <w:b/>
          <w:bCs/>
          <w:i/>
          <w:iCs/>
          <w:sz w:val="24"/>
          <w:szCs w:val="24"/>
        </w:rPr>
      </w:pPr>
      <w:r w:rsidRPr="00AB4C1A">
        <w:rPr>
          <w:rFonts w:ascii="Times New Roman" w:hAnsi="Times New Roman" w:cs="Times New Roman"/>
          <w:b/>
          <w:bCs/>
          <w:i/>
          <w:iCs/>
          <w:sz w:val="24"/>
          <w:szCs w:val="24"/>
        </w:rPr>
        <w:t>Explanation of results</w:t>
      </w:r>
    </w:p>
    <w:p w14:paraId="0FAF46A1" w14:textId="77777777" w:rsidR="006F1BF2" w:rsidRPr="00AB4C1A" w:rsidRDefault="00A43435"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Table </w:t>
      </w:r>
      <w:r w:rsidR="003921ED" w:rsidRPr="00AB4C1A">
        <w:rPr>
          <w:rFonts w:ascii="Times New Roman" w:hAnsi="Times New Roman" w:cs="Times New Roman"/>
          <w:sz w:val="24"/>
          <w:szCs w:val="24"/>
        </w:rPr>
        <w:t xml:space="preserve">2 </w:t>
      </w:r>
      <w:r w:rsidR="00AD3AA3" w:rsidRPr="00AB4C1A">
        <w:rPr>
          <w:rFonts w:ascii="Times New Roman" w:hAnsi="Times New Roman" w:cs="Times New Roman"/>
          <w:sz w:val="24"/>
          <w:szCs w:val="24"/>
        </w:rPr>
        <w:t>summarises</w:t>
      </w:r>
      <w:r w:rsidRPr="00AB4C1A">
        <w:rPr>
          <w:rFonts w:ascii="Times New Roman" w:hAnsi="Times New Roman" w:cs="Times New Roman"/>
          <w:sz w:val="24"/>
          <w:szCs w:val="24"/>
        </w:rPr>
        <w:t xml:space="preserve"> the results of the implementation performance </w:t>
      </w:r>
      <w:r w:rsidR="00453CE4" w:rsidRPr="00AB4C1A">
        <w:rPr>
          <w:rFonts w:ascii="Times New Roman" w:hAnsi="Times New Roman" w:cs="Times New Roman"/>
          <w:sz w:val="24"/>
          <w:szCs w:val="24"/>
        </w:rPr>
        <w:t xml:space="preserve">assessment </w:t>
      </w:r>
      <w:r w:rsidRPr="00AB4C1A">
        <w:rPr>
          <w:rFonts w:ascii="Times New Roman" w:hAnsi="Times New Roman" w:cs="Times New Roman"/>
          <w:sz w:val="24"/>
          <w:szCs w:val="24"/>
        </w:rPr>
        <w:t xml:space="preserve">of the five UK city AQAPs. </w:t>
      </w:r>
      <w:r w:rsidR="006F1BF2" w:rsidRPr="00AB4C1A">
        <w:rPr>
          <w:rFonts w:ascii="Times New Roman" w:hAnsi="Times New Roman" w:cs="Times New Roman"/>
          <w:sz w:val="24"/>
          <w:szCs w:val="24"/>
        </w:rPr>
        <w:t xml:space="preserve">They detail where </w:t>
      </w:r>
      <w:r w:rsidR="00453CE4" w:rsidRPr="00AB4C1A">
        <w:rPr>
          <w:rFonts w:ascii="Times New Roman" w:hAnsi="Times New Roman" w:cs="Times New Roman"/>
          <w:sz w:val="24"/>
          <w:szCs w:val="24"/>
        </w:rPr>
        <w:t xml:space="preserve">a city’s </w:t>
      </w:r>
      <w:r w:rsidR="006F1BF2" w:rsidRPr="00AB4C1A">
        <w:rPr>
          <w:rFonts w:ascii="Times New Roman" w:hAnsi="Times New Roman" w:cs="Times New Roman"/>
          <w:sz w:val="24"/>
          <w:szCs w:val="24"/>
        </w:rPr>
        <w:t>policies may be effective (or not), in what area, and the</w:t>
      </w:r>
      <w:r w:rsidR="00FF4138" w:rsidRPr="00AB4C1A">
        <w:rPr>
          <w:rFonts w:ascii="Times New Roman" w:hAnsi="Times New Roman" w:cs="Times New Roman"/>
          <w:sz w:val="24"/>
          <w:szCs w:val="24"/>
        </w:rPr>
        <w:t xml:space="preserve">ir </w:t>
      </w:r>
      <w:r w:rsidR="00453CE4" w:rsidRPr="00AB4C1A">
        <w:rPr>
          <w:rFonts w:ascii="Times New Roman" w:hAnsi="Times New Roman" w:cs="Times New Roman"/>
          <w:sz w:val="24"/>
          <w:szCs w:val="24"/>
        </w:rPr>
        <w:t xml:space="preserve">respective </w:t>
      </w:r>
      <w:r w:rsidR="00FF4138" w:rsidRPr="00AB4C1A">
        <w:rPr>
          <w:rFonts w:ascii="Times New Roman" w:hAnsi="Times New Roman" w:cs="Times New Roman"/>
          <w:sz w:val="24"/>
          <w:szCs w:val="24"/>
        </w:rPr>
        <w:t xml:space="preserve">progress </w:t>
      </w:r>
      <w:r w:rsidR="00180007" w:rsidRPr="00AB4C1A">
        <w:rPr>
          <w:rFonts w:ascii="Times New Roman" w:hAnsi="Times New Roman" w:cs="Times New Roman"/>
          <w:sz w:val="24"/>
          <w:szCs w:val="24"/>
        </w:rPr>
        <w:t>towards improved local air quality</w:t>
      </w:r>
      <w:r w:rsidR="006F1BF2" w:rsidRPr="00AB4C1A">
        <w:rPr>
          <w:rFonts w:ascii="Times New Roman" w:hAnsi="Times New Roman" w:cs="Times New Roman"/>
          <w:sz w:val="24"/>
          <w:szCs w:val="24"/>
        </w:rPr>
        <w:t>.</w:t>
      </w:r>
      <w:r w:rsidR="003B5BC2" w:rsidRPr="00AB4C1A">
        <w:rPr>
          <w:rFonts w:ascii="Times New Roman" w:hAnsi="Times New Roman" w:cs="Times New Roman"/>
          <w:sz w:val="24"/>
          <w:szCs w:val="24"/>
        </w:rPr>
        <w:t xml:space="preserve"> </w:t>
      </w:r>
    </w:p>
    <w:p w14:paraId="52354F3A" w14:textId="775F5CA6" w:rsidR="00A43435" w:rsidRPr="00AB4C1A" w:rsidRDefault="00ED7C62">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From the top, the </w:t>
      </w:r>
      <w:r w:rsidR="001742EA" w:rsidRPr="00AB4C1A">
        <w:rPr>
          <w:rFonts w:ascii="Times New Roman" w:hAnsi="Times New Roman" w:cs="Times New Roman"/>
          <w:sz w:val="24"/>
          <w:szCs w:val="24"/>
        </w:rPr>
        <w:t>C</w:t>
      </w:r>
      <w:r w:rsidRPr="00AB4C1A">
        <w:rPr>
          <w:rFonts w:ascii="Times New Roman" w:hAnsi="Times New Roman" w:cs="Times New Roman"/>
          <w:sz w:val="24"/>
          <w:szCs w:val="24"/>
        </w:rPr>
        <w:t>ontext section shows the AQAP type</w:t>
      </w:r>
      <w:r w:rsidR="00A72A9B" w:rsidRPr="00AB4C1A">
        <w:rPr>
          <w:rFonts w:ascii="Times New Roman" w:hAnsi="Times New Roman" w:cs="Times New Roman"/>
          <w:sz w:val="24"/>
          <w:szCs w:val="24"/>
        </w:rPr>
        <w:t xml:space="preserve">, </w:t>
      </w:r>
      <w:r w:rsidRPr="00AB4C1A">
        <w:rPr>
          <w:rFonts w:ascii="Times New Roman" w:hAnsi="Times New Roman" w:cs="Times New Roman"/>
          <w:sz w:val="24"/>
          <w:szCs w:val="24"/>
        </w:rPr>
        <w:t>history</w:t>
      </w:r>
      <w:r w:rsidR="00A72A9B" w:rsidRPr="00AB4C1A">
        <w:rPr>
          <w:rFonts w:ascii="Times New Roman" w:hAnsi="Times New Roman" w:cs="Times New Roman"/>
          <w:sz w:val="24"/>
          <w:szCs w:val="24"/>
        </w:rPr>
        <w:t>,</w:t>
      </w:r>
      <w:r w:rsidRPr="00AB4C1A">
        <w:rPr>
          <w:rFonts w:ascii="Times New Roman" w:hAnsi="Times New Roman" w:cs="Times New Roman"/>
          <w:sz w:val="24"/>
          <w:szCs w:val="24"/>
        </w:rPr>
        <w:t xml:space="preserve"> and the number of AQMA’s in the city.</w:t>
      </w:r>
      <w:r w:rsidR="00834724" w:rsidRPr="00AB4C1A">
        <w:rPr>
          <w:rFonts w:ascii="Times New Roman" w:hAnsi="Times New Roman" w:cs="Times New Roman"/>
          <w:sz w:val="24"/>
          <w:szCs w:val="24"/>
        </w:rPr>
        <w:t xml:space="preserve"> This is followed by the Output assessment scores</w:t>
      </w:r>
      <w:r w:rsidR="00453CE4" w:rsidRPr="00AB4C1A">
        <w:rPr>
          <w:rFonts w:ascii="Times New Roman" w:hAnsi="Times New Roman" w:cs="Times New Roman"/>
          <w:sz w:val="24"/>
          <w:szCs w:val="24"/>
        </w:rPr>
        <w:t xml:space="preserve"> </w:t>
      </w:r>
      <w:r w:rsidR="00A43435" w:rsidRPr="00AB4C1A">
        <w:rPr>
          <w:rFonts w:ascii="Times New Roman" w:hAnsi="Times New Roman" w:cs="Times New Roman"/>
          <w:sz w:val="24"/>
          <w:szCs w:val="24"/>
        </w:rPr>
        <w:t xml:space="preserve">systemised into percentages </w:t>
      </w:r>
      <w:r w:rsidR="00453CE4" w:rsidRPr="00AB4C1A">
        <w:rPr>
          <w:rFonts w:ascii="Times New Roman" w:hAnsi="Times New Roman" w:cs="Times New Roman"/>
          <w:sz w:val="24"/>
          <w:szCs w:val="24"/>
        </w:rPr>
        <w:t xml:space="preserve">so to present </w:t>
      </w:r>
      <w:r w:rsidR="00A43435" w:rsidRPr="00AB4C1A">
        <w:rPr>
          <w:rFonts w:ascii="Times New Roman" w:hAnsi="Times New Roman" w:cs="Times New Roman"/>
          <w:sz w:val="24"/>
          <w:szCs w:val="24"/>
        </w:rPr>
        <w:t xml:space="preserve">a clear comparison </w:t>
      </w:r>
      <w:r w:rsidR="00453CE4" w:rsidRPr="00AB4C1A">
        <w:rPr>
          <w:rFonts w:ascii="Times New Roman" w:hAnsi="Times New Roman" w:cs="Times New Roman"/>
          <w:sz w:val="24"/>
          <w:szCs w:val="24"/>
        </w:rPr>
        <w:t>between the</w:t>
      </w:r>
      <w:r w:rsidR="00A43435" w:rsidRPr="00AB4C1A">
        <w:rPr>
          <w:rFonts w:ascii="Times New Roman" w:hAnsi="Times New Roman" w:cs="Times New Roman"/>
          <w:sz w:val="24"/>
          <w:szCs w:val="24"/>
        </w:rPr>
        <w:t xml:space="preserve"> AQAP implementation performance scores</w:t>
      </w:r>
      <w:r w:rsidR="004769A2" w:rsidRPr="00AB4C1A">
        <w:rPr>
          <w:rFonts w:ascii="Times New Roman" w:hAnsi="Times New Roman" w:cs="Times New Roman"/>
          <w:sz w:val="24"/>
          <w:szCs w:val="24"/>
        </w:rPr>
        <w:t>, both within each city AQAP and across all five cities</w:t>
      </w:r>
      <w:r w:rsidR="00A43435" w:rsidRPr="00AB4C1A">
        <w:rPr>
          <w:rFonts w:ascii="Times New Roman" w:hAnsi="Times New Roman" w:cs="Times New Roman"/>
          <w:sz w:val="24"/>
          <w:szCs w:val="24"/>
        </w:rPr>
        <w:t>.</w:t>
      </w:r>
      <w:r w:rsidR="004769A2" w:rsidRPr="00AB4C1A">
        <w:rPr>
          <w:rFonts w:ascii="Times New Roman" w:hAnsi="Times New Roman" w:cs="Times New Roman"/>
          <w:sz w:val="24"/>
          <w:szCs w:val="24"/>
        </w:rPr>
        <w:t xml:space="preserve"> </w:t>
      </w:r>
      <w:r w:rsidR="00A43435" w:rsidRPr="00AB4C1A">
        <w:rPr>
          <w:rFonts w:ascii="Times New Roman" w:hAnsi="Times New Roman" w:cs="Times New Roman"/>
          <w:sz w:val="24"/>
          <w:szCs w:val="24"/>
        </w:rPr>
        <w:t xml:space="preserve"> Appendix A gives the breakdown of the AQAP</w:t>
      </w:r>
      <w:r w:rsidR="003F7250" w:rsidRPr="00AB4C1A">
        <w:rPr>
          <w:rFonts w:ascii="Times New Roman" w:hAnsi="Times New Roman" w:cs="Times New Roman"/>
          <w:sz w:val="24"/>
          <w:szCs w:val="24"/>
        </w:rPr>
        <w:t xml:space="preserve"> </w:t>
      </w:r>
      <w:r w:rsidR="00017C14" w:rsidRPr="00AB4C1A">
        <w:rPr>
          <w:rFonts w:ascii="Times New Roman" w:hAnsi="Times New Roman" w:cs="Times New Roman"/>
          <w:sz w:val="24"/>
          <w:szCs w:val="24"/>
        </w:rPr>
        <w:t>O</w:t>
      </w:r>
      <w:r w:rsidR="00A43435" w:rsidRPr="00AB4C1A">
        <w:rPr>
          <w:rFonts w:ascii="Times New Roman" w:hAnsi="Times New Roman" w:cs="Times New Roman"/>
          <w:sz w:val="24"/>
          <w:szCs w:val="24"/>
        </w:rPr>
        <w:t xml:space="preserve">utput scores and </w:t>
      </w:r>
      <w:r w:rsidR="00017C14" w:rsidRPr="00AB4C1A">
        <w:rPr>
          <w:rFonts w:ascii="Times New Roman" w:hAnsi="Times New Roman" w:cs="Times New Roman"/>
          <w:sz w:val="24"/>
          <w:szCs w:val="24"/>
        </w:rPr>
        <w:t>C</w:t>
      </w:r>
      <w:r w:rsidR="00A43435" w:rsidRPr="00AB4C1A">
        <w:rPr>
          <w:rFonts w:ascii="Times New Roman" w:hAnsi="Times New Roman" w:cs="Times New Roman"/>
          <w:sz w:val="24"/>
          <w:szCs w:val="24"/>
        </w:rPr>
        <w:t>ontext section.</w:t>
      </w:r>
      <w:r w:rsidRPr="00AB4C1A">
        <w:rPr>
          <w:rFonts w:ascii="Times New Roman" w:hAnsi="Times New Roman" w:cs="Times New Roman"/>
          <w:sz w:val="24"/>
          <w:szCs w:val="24"/>
        </w:rPr>
        <w:t xml:space="preserve"> Finally, </w:t>
      </w:r>
      <w:r w:rsidR="00180007" w:rsidRPr="00AB4C1A">
        <w:rPr>
          <w:rFonts w:ascii="Times New Roman" w:hAnsi="Times New Roman" w:cs="Times New Roman"/>
          <w:sz w:val="24"/>
          <w:szCs w:val="24"/>
        </w:rPr>
        <w:t>O</w:t>
      </w:r>
      <w:r w:rsidRPr="00AB4C1A">
        <w:rPr>
          <w:rFonts w:ascii="Times New Roman" w:hAnsi="Times New Roman" w:cs="Times New Roman"/>
          <w:sz w:val="24"/>
          <w:szCs w:val="24"/>
        </w:rPr>
        <w:t xml:space="preserve">utcome shows direct results which </w:t>
      </w:r>
      <w:r w:rsidR="00A72A9B" w:rsidRPr="00AB4C1A">
        <w:rPr>
          <w:rFonts w:ascii="Times New Roman" w:hAnsi="Times New Roman" w:cs="Times New Roman"/>
          <w:sz w:val="24"/>
          <w:szCs w:val="24"/>
        </w:rPr>
        <w:t>indicate</w:t>
      </w:r>
      <w:r w:rsidR="00453CE4" w:rsidRPr="00AB4C1A">
        <w:rPr>
          <w:rFonts w:ascii="Times New Roman" w:hAnsi="Times New Roman" w:cs="Times New Roman"/>
          <w:sz w:val="24"/>
          <w:szCs w:val="24"/>
        </w:rPr>
        <w:t>s</w:t>
      </w:r>
      <w:r w:rsidRPr="00AB4C1A">
        <w:rPr>
          <w:rFonts w:ascii="Times New Roman" w:hAnsi="Times New Roman" w:cs="Times New Roman"/>
          <w:sz w:val="24"/>
          <w:szCs w:val="24"/>
        </w:rPr>
        <w:t xml:space="preserve"> progress made, at the time of writing</w:t>
      </w:r>
      <w:r w:rsidR="00B4439C" w:rsidRPr="00AB4C1A">
        <w:rPr>
          <w:rFonts w:ascii="Times New Roman" w:hAnsi="Times New Roman" w:cs="Times New Roman"/>
          <w:sz w:val="24"/>
          <w:szCs w:val="24"/>
        </w:rPr>
        <w:t xml:space="preserve">, </w:t>
      </w:r>
      <w:r w:rsidR="00453CE4" w:rsidRPr="00AB4C1A">
        <w:rPr>
          <w:rFonts w:ascii="Times New Roman" w:hAnsi="Times New Roman" w:cs="Times New Roman"/>
          <w:sz w:val="24"/>
          <w:szCs w:val="24"/>
        </w:rPr>
        <w:t>in</w:t>
      </w:r>
      <w:r w:rsidR="00B4439C" w:rsidRPr="00AB4C1A">
        <w:rPr>
          <w:rFonts w:ascii="Times New Roman" w:hAnsi="Times New Roman" w:cs="Times New Roman"/>
          <w:sz w:val="24"/>
          <w:szCs w:val="24"/>
        </w:rPr>
        <w:t xml:space="preserve"> policy action (date of </w:t>
      </w:r>
      <w:r w:rsidR="00B4439C" w:rsidRPr="00AB4C1A">
        <w:rPr>
          <w:rFonts w:ascii="Times New Roman" w:hAnsi="Times New Roman" w:cs="Times New Roman"/>
          <w:sz w:val="24"/>
          <w:szCs w:val="24"/>
        </w:rPr>
        <w:lastRenderedPageBreak/>
        <w:t>ASR and Reported implementations), changes in air quality in the cities (Resulting air quality change, AQMA revocations</w:t>
      </w:r>
      <w:r w:rsidR="004E7553" w:rsidRPr="00AB4C1A">
        <w:rPr>
          <w:rFonts w:ascii="Times New Roman" w:hAnsi="Times New Roman" w:cs="Times New Roman"/>
          <w:sz w:val="24"/>
          <w:szCs w:val="24"/>
        </w:rPr>
        <w:t>/</w:t>
      </w:r>
      <w:r w:rsidR="00B4439C" w:rsidRPr="00AB4C1A">
        <w:rPr>
          <w:rFonts w:ascii="Times New Roman" w:hAnsi="Times New Roman" w:cs="Times New Roman"/>
          <w:sz w:val="24"/>
          <w:szCs w:val="24"/>
        </w:rPr>
        <w:t>creations) and changes in NO</w:t>
      </w:r>
      <w:r w:rsidR="00B4439C" w:rsidRPr="00AB4C1A">
        <w:rPr>
          <w:rFonts w:ascii="Times New Roman" w:hAnsi="Times New Roman" w:cs="Times New Roman"/>
          <w:sz w:val="24"/>
          <w:szCs w:val="24"/>
          <w:vertAlign w:val="subscript"/>
        </w:rPr>
        <w:t>2</w:t>
      </w:r>
      <w:r w:rsidR="00B4439C" w:rsidRPr="00AB4C1A">
        <w:rPr>
          <w:rFonts w:ascii="Times New Roman" w:hAnsi="Times New Roman" w:cs="Times New Roman"/>
          <w:sz w:val="24"/>
          <w:szCs w:val="24"/>
        </w:rPr>
        <w:t xml:space="preserve"> value against target levels.</w:t>
      </w:r>
      <w:r w:rsidR="00A72A9B" w:rsidRPr="00AB4C1A">
        <w:rPr>
          <w:rFonts w:ascii="Times New Roman" w:hAnsi="Times New Roman" w:cs="Times New Roman"/>
          <w:sz w:val="24"/>
          <w:szCs w:val="24"/>
        </w:rPr>
        <w:t xml:space="preserve"> </w:t>
      </w:r>
    </w:p>
    <w:p w14:paraId="622D3B83" w14:textId="77777777" w:rsidR="00B479CB" w:rsidRPr="00AB4C1A" w:rsidRDefault="00B479CB" w:rsidP="00B940F3">
      <w:pPr>
        <w:pStyle w:val="Caption"/>
        <w:keepNext/>
        <w:rPr>
          <w:rFonts w:ascii="Times New Roman" w:hAnsi="Times New Roman" w:cs="Times New Roman"/>
          <w:color w:val="auto"/>
          <w:sz w:val="24"/>
          <w:szCs w:val="24"/>
        </w:rPr>
      </w:pPr>
      <w:bookmarkStart w:id="0" w:name="_Ref62667865"/>
      <w:bookmarkStart w:id="1" w:name="_Ref25412977"/>
      <w:r w:rsidRPr="00AB4C1A">
        <w:rPr>
          <w:rFonts w:ascii="Times New Roman" w:hAnsi="Times New Roman" w:cs="Times New Roman"/>
          <w:color w:val="auto"/>
          <w:sz w:val="24"/>
          <w:szCs w:val="24"/>
        </w:rPr>
        <w:t xml:space="preserve">Table </w:t>
      </w:r>
      <w:r w:rsidR="00AE17AD" w:rsidRPr="00AB4C1A">
        <w:rPr>
          <w:rFonts w:ascii="Times New Roman" w:hAnsi="Times New Roman" w:cs="Times New Roman"/>
          <w:color w:val="auto"/>
          <w:sz w:val="24"/>
          <w:szCs w:val="24"/>
        </w:rPr>
        <w:fldChar w:fldCharType="begin"/>
      </w:r>
      <w:r w:rsidR="00AE17AD" w:rsidRPr="00AB4C1A">
        <w:rPr>
          <w:rFonts w:ascii="Times New Roman" w:hAnsi="Times New Roman" w:cs="Times New Roman"/>
          <w:color w:val="auto"/>
          <w:sz w:val="24"/>
          <w:szCs w:val="24"/>
        </w:rPr>
        <w:instrText xml:space="preserve"> SEQ Table \* ARABIC </w:instrText>
      </w:r>
      <w:r w:rsidR="00AE17AD" w:rsidRPr="00AB4C1A">
        <w:rPr>
          <w:rFonts w:ascii="Times New Roman" w:hAnsi="Times New Roman" w:cs="Times New Roman"/>
          <w:color w:val="auto"/>
          <w:sz w:val="24"/>
          <w:szCs w:val="24"/>
        </w:rPr>
        <w:fldChar w:fldCharType="separate"/>
      </w:r>
      <w:r w:rsidR="00ED25B0" w:rsidRPr="00AB4C1A">
        <w:rPr>
          <w:rFonts w:ascii="Times New Roman" w:hAnsi="Times New Roman" w:cs="Times New Roman"/>
          <w:noProof/>
          <w:color w:val="auto"/>
          <w:sz w:val="24"/>
          <w:szCs w:val="24"/>
        </w:rPr>
        <w:t>2</w:t>
      </w:r>
      <w:r w:rsidR="00AE17AD" w:rsidRPr="00AB4C1A">
        <w:rPr>
          <w:rFonts w:ascii="Times New Roman" w:hAnsi="Times New Roman" w:cs="Times New Roman"/>
          <w:noProof/>
          <w:color w:val="auto"/>
          <w:sz w:val="24"/>
          <w:szCs w:val="24"/>
        </w:rPr>
        <w:fldChar w:fldCharType="end"/>
      </w:r>
      <w:bookmarkEnd w:id="0"/>
      <w:r w:rsidRPr="00AB4C1A">
        <w:rPr>
          <w:rFonts w:ascii="Times New Roman" w:hAnsi="Times New Roman" w:cs="Times New Roman"/>
          <w:color w:val="auto"/>
          <w:sz w:val="24"/>
          <w:szCs w:val="24"/>
        </w:rPr>
        <w:t>: Summary results table showing the implementation performance of AQAPs in 5 cities in the UK</w:t>
      </w:r>
      <w:r w:rsidR="00834724" w:rsidRPr="00AB4C1A">
        <w:rPr>
          <w:rFonts w:ascii="Times New Roman" w:hAnsi="Times New Roman" w:cs="Times New Roman"/>
          <w:color w:val="auto"/>
          <w:sz w:val="24"/>
          <w:szCs w:val="24"/>
        </w:rPr>
        <w:t xml:space="preserve"> (only Output scores have been systemised into percentages. Context and Outcome results are directly related to the criteria listed in the ‘</w:t>
      </w:r>
      <w:r w:rsidR="00BB50DA" w:rsidRPr="00AB4C1A">
        <w:rPr>
          <w:rFonts w:ascii="Times New Roman" w:hAnsi="Times New Roman" w:cs="Times New Roman"/>
          <w:color w:val="auto"/>
          <w:sz w:val="24"/>
          <w:szCs w:val="24"/>
        </w:rPr>
        <w:t>Dimensions</w:t>
      </w:r>
      <w:r w:rsidR="00834724" w:rsidRPr="00AB4C1A">
        <w:rPr>
          <w:rFonts w:ascii="Times New Roman" w:hAnsi="Times New Roman" w:cs="Times New Roman"/>
          <w:color w:val="auto"/>
          <w:sz w:val="24"/>
          <w:szCs w:val="24"/>
        </w:rPr>
        <w:t>’ column).</w:t>
      </w:r>
      <w:bookmarkEnd w:id="1"/>
    </w:p>
    <w:tbl>
      <w:tblPr>
        <w:tblStyle w:val="TableGrid"/>
        <w:tblW w:w="0" w:type="auto"/>
        <w:tblLayout w:type="fixed"/>
        <w:tblLook w:val="04A0" w:firstRow="1" w:lastRow="0" w:firstColumn="1" w:lastColumn="0" w:noHBand="0" w:noVBand="1"/>
      </w:tblPr>
      <w:tblGrid>
        <w:gridCol w:w="1271"/>
        <w:gridCol w:w="1559"/>
        <w:gridCol w:w="1134"/>
        <w:gridCol w:w="1276"/>
        <w:gridCol w:w="1276"/>
        <w:gridCol w:w="1276"/>
        <w:gridCol w:w="1224"/>
      </w:tblGrid>
      <w:tr w:rsidR="00AB4C1A" w:rsidRPr="00AB4C1A" w14:paraId="5285D569" w14:textId="77777777" w:rsidTr="00D51999">
        <w:trPr>
          <w:trHeight w:val="290"/>
        </w:trPr>
        <w:tc>
          <w:tcPr>
            <w:tcW w:w="1271" w:type="dxa"/>
            <w:hideMark/>
          </w:tcPr>
          <w:p w14:paraId="7C50E974" w14:textId="77777777" w:rsidR="00AB488F" w:rsidRPr="00AB4C1A" w:rsidRDefault="00A43173">
            <w:pPr>
              <w:rPr>
                <w:rFonts w:ascii="Times New Roman" w:hAnsi="Times New Roman" w:cs="Times New Roman"/>
                <w:sz w:val="24"/>
                <w:szCs w:val="24"/>
              </w:rPr>
            </w:pPr>
            <w:r w:rsidRPr="00AB4C1A">
              <w:rPr>
                <w:rFonts w:ascii="Times New Roman" w:hAnsi="Times New Roman" w:cs="Times New Roman"/>
                <w:sz w:val="24"/>
                <w:szCs w:val="24"/>
              </w:rPr>
              <w:t xml:space="preserve">Bridging </w:t>
            </w:r>
            <w:r w:rsidR="00834724" w:rsidRPr="00AB4C1A">
              <w:rPr>
                <w:rFonts w:ascii="Times New Roman" w:hAnsi="Times New Roman" w:cs="Times New Roman"/>
                <w:sz w:val="24"/>
                <w:szCs w:val="24"/>
              </w:rPr>
              <w:t>Framework Stage</w:t>
            </w:r>
          </w:p>
        </w:tc>
        <w:tc>
          <w:tcPr>
            <w:tcW w:w="1559" w:type="dxa"/>
            <w:hideMark/>
          </w:tcPr>
          <w:p w14:paraId="4718F150" w14:textId="77777777" w:rsidR="00AB488F" w:rsidRPr="00AB4C1A" w:rsidRDefault="00BB50DA">
            <w:pPr>
              <w:rPr>
                <w:rFonts w:ascii="Times New Roman" w:hAnsi="Times New Roman" w:cs="Times New Roman"/>
                <w:sz w:val="24"/>
                <w:szCs w:val="24"/>
              </w:rPr>
            </w:pPr>
            <w:r w:rsidRPr="00AB4C1A">
              <w:rPr>
                <w:rFonts w:ascii="Times New Roman" w:hAnsi="Times New Roman" w:cs="Times New Roman"/>
                <w:sz w:val="24"/>
                <w:szCs w:val="24"/>
              </w:rPr>
              <w:t>Dimensions</w:t>
            </w:r>
          </w:p>
        </w:tc>
        <w:tc>
          <w:tcPr>
            <w:tcW w:w="1134" w:type="dxa"/>
            <w:hideMark/>
          </w:tcPr>
          <w:p w14:paraId="22EE72BD" w14:textId="77777777" w:rsidR="00AB488F" w:rsidRPr="00AB4C1A" w:rsidRDefault="00AB488F">
            <w:pPr>
              <w:rPr>
                <w:rFonts w:ascii="Times New Roman" w:hAnsi="Times New Roman" w:cs="Times New Roman"/>
                <w:sz w:val="24"/>
                <w:szCs w:val="24"/>
              </w:rPr>
            </w:pPr>
            <w:r w:rsidRPr="00AB4C1A">
              <w:rPr>
                <w:rFonts w:ascii="Times New Roman" w:hAnsi="Times New Roman" w:cs="Times New Roman"/>
                <w:sz w:val="24"/>
                <w:szCs w:val="24"/>
              </w:rPr>
              <w:t>Bristol</w:t>
            </w:r>
          </w:p>
        </w:tc>
        <w:tc>
          <w:tcPr>
            <w:tcW w:w="1276" w:type="dxa"/>
            <w:hideMark/>
          </w:tcPr>
          <w:p w14:paraId="30B48CFC" w14:textId="77777777" w:rsidR="00AB488F" w:rsidRPr="00AB4C1A" w:rsidRDefault="00AB488F">
            <w:pPr>
              <w:rPr>
                <w:rFonts w:ascii="Times New Roman" w:hAnsi="Times New Roman" w:cs="Times New Roman"/>
                <w:sz w:val="24"/>
                <w:szCs w:val="24"/>
              </w:rPr>
            </w:pPr>
            <w:r w:rsidRPr="00AB4C1A">
              <w:rPr>
                <w:rFonts w:ascii="Times New Roman" w:hAnsi="Times New Roman" w:cs="Times New Roman"/>
                <w:sz w:val="24"/>
                <w:szCs w:val="24"/>
              </w:rPr>
              <w:t>Glasgow</w:t>
            </w:r>
          </w:p>
        </w:tc>
        <w:tc>
          <w:tcPr>
            <w:tcW w:w="1276" w:type="dxa"/>
            <w:hideMark/>
          </w:tcPr>
          <w:p w14:paraId="19916E99" w14:textId="77777777" w:rsidR="00AB488F" w:rsidRPr="00AB4C1A" w:rsidRDefault="00AB488F">
            <w:pPr>
              <w:rPr>
                <w:rFonts w:ascii="Times New Roman" w:hAnsi="Times New Roman" w:cs="Times New Roman"/>
                <w:sz w:val="24"/>
                <w:szCs w:val="24"/>
              </w:rPr>
            </w:pPr>
            <w:r w:rsidRPr="00AB4C1A">
              <w:rPr>
                <w:rFonts w:ascii="Times New Roman" w:hAnsi="Times New Roman" w:cs="Times New Roman"/>
                <w:sz w:val="24"/>
                <w:szCs w:val="24"/>
              </w:rPr>
              <w:t>Leeds</w:t>
            </w:r>
          </w:p>
        </w:tc>
        <w:tc>
          <w:tcPr>
            <w:tcW w:w="1276" w:type="dxa"/>
            <w:hideMark/>
          </w:tcPr>
          <w:p w14:paraId="7B4CAF42" w14:textId="77777777" w:rsidR="00AB488F" w:rsidRPr="00AB4C1A" w:rsidRDefault="00AB488F">
            <w:pPr>
              <w:rPr>
                <w:rFonts w:ascii="Times New Roman" w:hAnsi="Times New Roman" w:cs="Times New Roman"/>
                <w:sz w:val="24"/>
                <w:szCs w:val="24"/>
              </w:rPr>
            </w:pPr>
            <w:r w:rsidRPr="00AB4C1A">
              <w:rPr>
                <w:rFonts w:ascii="Times New Roman" w:hAnsi="Times New Roman" w:cs="Times New Roman"/>
                <w:sz w:val="24"/>
                <w:szCs w:val="24"/>
              </w:rPr>
              <w:t>Manchester</w:t>
            </w:r>
          </w:p>
        </w:tc>
        <w:tc>
          <w:tcPr>
            <w:tcW w:w="1224" w:type="dxa"/>
            <w:hideMark/>
          </w:tcPr>
          <w:p w14:paraId="47EC6259" w14:textId="77777777" w:rsidR="00AB488F" w:rsidRPr="00AB4C1A" w:rsidRDefault="00AB488F">
            <w:pPr>
              <w:rPr>
                <w:rFonts w:ascii="Times New Roman" w:hAnsi="Times New Roman" w:cs="Times New Roman"/>
                <w:sz w:val="24"/>
                <w:szCs w:val="24"/>
              </w:rPr>
            </w:pPr>
            <w:r w:rsidRPr="00AB4C1A">
              <w:rPr>
                <w:rFonts w:ascii="Times New Roman" w:hAnsi="Times New Roman" w:cs="Times New Roman"/>
                <w:sz w:val="24"/>
                <w:szCs w:val="24"/>
              </w:rPr>
              <w:t>Newcastle</w:t>
            </w:r>
          </w:p>
        </w:tc>
      </w:tr>
      <w:tr w:rsidR="00AB4C1A" w:rsidRPr="00AB4C1A" w14:paraId="62E4F2AD" w14:textId="77777777" w:rsidTr="00D51999">
        <w:trPr>
          <w:trHeight w:val="1180"/>
        </w:trPr>
        <w:tc>
          <w:tcPr>
            <w:tcW w:w="1271" w:type="dxa"/>
            <w:hideMark/>
          </w:tcPr>
          <w:p w14:paraId="7358F841" w14:textId="77777777" w:rsidR="00AB488F" w:rsidRPr="00AB4C1A" w:rsidRDefault="00AB488F" w:rsidP="00B940F3">
            <w:pPr>
              <w:rPr>
                <w:rFonts w:ascii="Times New Roman" w:hAnsi="Times New Roman" w:cs="Times New Roman"/>
                <w:sz w:val="24"/>
                <w:szCs w:val="24"/>
              </w:rPr>
            </w:pPr>
            <w:r w:rsidRPr="00AB4C1A">
              <w:rPr>
                <w:rFonts w:ascii="Times New Roman" w:hAnsi="Times New Roman" w:cs="Times New Roman"/>
                <w:sz w:val="24"/>
                <w:szCs w:val="24"/>
              </w:rPr>
              <w:t>Context</w:t>
            </w:r>
          </w:p>
        </w:tc>
        <w:tc>
          <w:tcPr>
            <w:tcW w:w="1559" w:type="dxa"/>
            <w:hideMark/>
          </w:tcPr>
          <w:p w14:paraId="3738D105" w14:textId="77777777" w:rsidR="00AB488F" w:rsidRPr="00AB4C1A" w:rsidRDefault="00AB488F">
            <w:pPr>
              <w:rPr>
                <w:rFonts w:ascii="Times New Roman" w:hAnsi="Times New Roman" w:cs="Times New Roman"/>
                <w:b/>
                <w:bCs/>
                <w:sz w:val="24"/>
                <w:szCs w:val="24"/>
              </w:rPr>
            </w:pPr>
            <w:r w:rsidRPr="00AB4C1A">
              <w:rPr>
                <w:rFonts w:ascii="Times New Roman" w:hAnsi="Times New Roman" w:cs="Times New Roman"/>
                <w:b/>
                <w:bCs/>
                <w:sz w:val="24"/>
                <w:szCs w:val="24"/>
              </w:rPr>
              <w:t>AQAP type &amp; history</w:t>
            </w:r>
          </w:p>
        </w:tc>
        <w:tc>
          <w:tcPr>
            <w:tcW w:w="1134" w:type="dxa"/>
            <w:hideMark/>
          </w:tcPr>
          <w:p w14:paraId="19B78CF4" w14:textId="77777777" w:rsidR="00AB488F" w:rsidRPr="00AB4C1A" w:rsidRDefault="00AB488F">
            <w:pPr>
              <w:rPr>
                <w:rFonts w:ascii="Times New Roman" w:hAnsi="Times New Roman" w:cs="Times New Roman"/>
                <w:sz w:val="24"/>
                <w:szCs w:val="24"/>
              </w:rPr>
            </w:pPr>
            <w:r w:rsidRPr="00AB4C1A">
              <w:rPr>
                <w:rFonts w:ascii="Times New Roman" w:hAnsi="Times New Roman" w:cs="Times New Roman"/>
                <w:sz w:val="24"/>
                <w:szCs w:val="24"/>
              </w:rPr>
              <w:t>Joint Local Transport Plan (JLTP) 2011-2026</w:t>
            </w:r>
          </w:p>
        </w:tc>
        <w:tc>
          <w:tcPr>
            <w:tcW w:w="1276" w:type="dxa"/>
            <w:hideMark/>
          </w:tcPr>
          <w:p w14:paraId="31A721D7" w14:textId="77777777" w:rsidR="00AB488F" w:rsidRPr="00AB4C1A" w:rsidRDefault="00294878">
            <w:pPr>
              <w:rPr>
                <w:rFonts w:ascii="Times New Roman" w:hAnsi="Times New Roman" w:cs="Times New Roman"/>
                <w:sz w:val="24"/>
                <w:szCs w:val="24"/>
              </w:rPr>
            </w:pPr>
            <w:r w:rsidRPr="00AB4C1A">
              <w:rPr>
                <w:rFonts w:ascii="Times New Roman" w:hAnsi="Times New Roman" w:cs="Times New Roman"/>
                <w:sz w:val="24"/>
                <w:szCs w:val="24"/>
              </w:rPr>
              <w:t xml:space="preserve">Glasgow City </w:t>
            </w:r>
            <w:r w:rsidR="00AB488F" w:rsidRPr="00AB4C1A">
              <w:rPr>
                <w:rFonts w:ascii="Times New Roman" w:hAnsi="Times New Roman" w:cs="Times New Roman"/>
                <w:sz w:val="24"/>
                <w:szCs w:val="24"/>
              </w:rPr>
              <w:t>AQAP 2009</w:t>
            </w:r>
          </w:p>
        </w:tc>
        <w:tc>
          <w:tcPr>
            <w:tcW w:w="1276" w:type="dxa"/>
            <w:hideMark/>
          </w:tcPr>
          <w:p w14:paraId="73CA0D98" w14:textId="77777777" w:rsidR="00AB488F" w:rsidRPr="00AB4C1A" w:rsidRDefault="00AB488F">
            <w:pPr>
              <w:rPr>
                <w:rFonts w:ascii="Times New Roman" w:hAnsi="Times New Roman" w:cs="Times New Roman"/>
                <w:sz w:val="24"/>
                <w:szCs w:val="24"/>
              </w:rPr>
            </w:pPr>
            <w:r w:rsidRPr="00AB4C1A">
              <w:rPr>
                <w:rFonts w:ascii="Times New Roman" w:hAnsi="Times New Roman" w:cs="Times New Roman"/>
                <w:sz w:val="24"/>
                <w:szCs w:val="24"/>
              </w:rPr>
              <w:t>West Yorkshire Low Emission Strategy (WYLES) 2011-2026</w:t>
            </w:r>
          </w:p>
        </w:tc>
        <w:tc>
          <w:tcPr>
            <w:tcW w:w="1276" w:type="dxa"/>
            <w:hideMark/>
          </w:tcPr>
          <w:p w14:paraId="29786DEA" w14:textId="77777777" w:rsidR="00AB488F" w:rsidRPr="00AB4C1A" w:rsidRDefault="00AB488F">
            <w:pPr>
              <w:rPr>
                <w:rFonts w:ascii="Times New Roman" w:hAnsi="Times New Roman" w:cs="Times New Roman"/>
                <w:sz w:val="24"/>
                <w:szCs w:val="24"/>
              </w:rPr>
            </w:pPr>
            <w:r w:rsidRPr="00AB4C1A">
              <w:rPr>
                <w:rFonts w:ascii="Times New Roman" w:hAnsi="Times New Roman" w:cs="Times New Roman"/>
                <w:sz w:val="24"/>
                <w:szCs w:val="24"/>
              </w:rPr>
              <w:t>Greater Manchester AQAP 2016-2021</w:t>
            </w:r>
          </w:p>
        </w:tc>
        <w:tc>
          <w:tcPr>
            <w:tcW w:w="1224" w:type="dxa"/>
            <w:hideMark/>
          </w:tcPr>
          <w:p w14:paraId="0C1D80DA" w14:textId="77777777" w:rsidR="00AB488F" w:rsidRPr="00AB4C1A" w:rsidRDefault="00AB488F">
            <w:pPr>
              <w:rPr>
                <w:rFonts w:ascii="Times New Roman" w:hAnsi="Times New Roman" w:cs="Times New Roman"/>
                <w:sz w:val="24"/>
                <w:szCs w:val="24"/>
              </w:rPr>
            </w:pPr>
            <w:r w:rsidRPr="00AB4C1A">
              <w:rPr>
                <w:rFonts w:ascii="Times New Roman" w:hAnsi="Times New Roman" w:cs="Times New Roman"/>
                <w:sz w:val="24"/>
                <w:szCs w:val="24"/>
              </w:rPr>
              <w:t>Newcastle City Centre AQAP 2006 &amp; South Gosforth AQAP 2011</w:t>
            </w:r>
          </w:p>
        </w:tc>
      </w:tr>
      <w:tr w:rsidR="00AB4C1A" w:rsidRPr="00AB4C1A" w14:paraId="692C71FC" w14:textId="77777777" w:rsidTr="00D51999">
        <w:trPr>
          <w:trHeight w:val="580"/>
        </w:trPr>
        <w:tc>
          <w:tcPr>
            <w:tcW w:w="1271" w:type="dxa"/>
            <w:hideMark/>
          </w:tcPr>
          <w:p w14:paraId="043EBBA1" w14:textId="77777777" w:rsidR="00AB488F" w:rsidRPr="00AB4C1A" w:rsidRDefault="00AB488F" w:rsidP="00B940F3">
            <w:pPr>
              <w:rPr>
                <w:rFonts w:ascii="Times New Roman" w:hAnsi="Times New Roman" w:cs="Times New Roman"/>
                <w:sz w:val="24"/>
                <w:szCs w:val="24"/>
              </w:rPr>
            </w:pPr>
          </w:p>
        </w:tc>
        <w:tc>
          <w:tcPr>
            <w:tcW w:w="1559" w:type="dxa"/>
            <w:hideMark/>
          </w:tcPr>
          <w:p w14:paraId="75B0CEBA" w14:textId="77777777" w:rsidR="00AB488F" w:rsidRPr="00AB4C1A" w:rsidRDefault="00AB488F">
            <w:pPr>
              <w:rPr>
                <w:rFonts w:ascii="Times New Roman" w:hAnsi="Times New Roman" w:cs="Times New Roman"/>
                <w:b/>
                <w:bCs/>
                <w:sz w:val="24"/>
                <w:szCs w:val="24"/>
              </w:rPr>
            </w:pPr>
            <w:r w:rsidRPr="00AB4C1A">
              <w:rPr>
                <w:rFonts w:ascii="Times New Roman" w:hAnsi="Times New Roman" w:cs="Times New Roman"/>
                <w:b/>
                <w:bCs/>
                <w:sz w:val="24"/>
                <w:szCs w:val="24"/>
              </w:rPr>
              <w:t>No. of AQMAs (in city)</w:t>
            </w:r>
          </w:p>
        </w:tc>
        <w:tc>
          <w:tcPr>
            <w:tcW w:w="1134" w:type="dxa"/>
            <w:hideMark/>
          </w:tcPr>
          <w:p w14:paraId="1AF79B1A" w14:textId="77777777" w:rsidR="00AB488F" w:rsidRPr="00AB4C1A" w:rsidRDefault="00AB488F">
            <w:pPr>
              <w:jc w:val="center"/>
              <w:rPr>
                <w:rFonts w:ascii="Times New Roman" w:hAnsi="Times New Roman" w:cs="Times New Roman"/>
                <w:b/>
                <w:bCs/>
                <w:sz w:val="24"/>
                <w:szCs w:val="24"/>
              </w:rPr>
            </w:pPr>
            <w:r w:rsidRPr="00AB4C1A">
              <w:rPr>
                <w:rFonts w:ascii="Times New Roman" w:hAnsi="Times New Roman" w:cs="Times New Roman"/>
                <w:b/>
                <w:bCs/>
                <w:sz w:val="24"/>
                <w:szCs w:val="24"/>
              </w:rPr>
              <w:t>2</w:t>
            </w:r>
          </w:p>
        </w:tc>
        <w:tc>
          <w:tcPr>
            <w:tcW w:w="1276" w:type="dxa"/>
            <w:hideMark/>
          </w:tcPr>
          <w:p w14:paraId="2805ECB8" w14:textId="77777777" w:rsidR="00AB488F" w:rsidRPr="00AB4C1A" w:rsidRDefault="00AB488F">
            <w:pPr>
              <w:jc w:val="center"/>
              <w:rPr>
                <w:rFonts w:ascii="Times New Roman" w:hAnsi="Times New Roman" w:cs="Times New Roman"/>
                <w:b/>
                <w:bCs/>
                <w:sz w:val="24"/>
                <w:szCs w:val="24"/>
              </w:rPr>
            </w:pPr>
            <w:r w:rsidRPr="00AB4C1A">
              <w:rPr>
                <w:rFonts w:ascii="Times New Roman" w:hAnsi="Times New Roman" w:cs="Times New Roman"/>
                <w:b/>
                <w:bCs/>
                <w:sz w:val="24"/>
                <w:szCs w:val="24"/>
              </w:rPr>
              <w:t>3</w:t>
            </w:r>
          </w:p>
        </w:tc>
        <w:tc>
          <w:tcPr>
            <w:tcW w:w="1276" w:type="dxa"/>
            <w:hideMark/>
          </w:tcPr>
          <w:p w14:paraId="06571222" w14:textId="77777777" w:rsidR="00AB488F" w:rsidRPr="00AB4C1A" w:rsidRDefault="00AB488F">
            <w:pPr>
              <w:jc w:val="center"/>
              <w:rPr>
                <w:rFonts w:ascii="Times New Roman" w:hAnsi="Times New Roman" w:cs="Times New Roman"/>
                <w:b/>
                <w:bCs/>
                <w:sz w:val="24"/>
                <w:szCs w:val="24"/>
              </w:rPr>
            </w:pPr>
            <w:r w:rsidRPr="00AB4C1A">
              <w:rPr>
                <w:rFonts w:ascii="Times New Roman" w:hAnsi="Times New Roman" w:cs="Times New Roman"/>
                <w:b/>
                <w:bCs/>
                <w:sz w:val="24"/>
                <w:szCs w:val="24"/>
              </w:rPr>
              <w:t>6</w:t>
            </w:r>
          </w:p>
        </w:tc>
        <w:tc>
          <w:tcPr>
            <w:tcW w:w="1276" w:type="dxa"/>
            <w:hideMark/>
          </w:tcPr>
          <w:p w14:paraId="555F5A2C" w14:textId="77777777" w:rsidR="00AB488F" w:rsidRPr="00AB4C1A" w:rsidRDefault="00AB488F">
            <w:pPr>
              <w:jc w:val="center"/>
              <w:rPr>
                <w:rFonts w:ascii="Times New Roman" w:hAnsi="Times New Roman" w:cs="Times New Roman"/>
                <w:b/>
                <w:bCs/>
                <w:sz w:val="24"/>
                <w:szCs w:val="24"/>
              </w:rPr>
            </w:pPr>
            <w:r w:rsidRPr="00AB4C1A">
              <w:rPr>
                <w:rFonts w:ascii="Times New Roman" w:hAnsi="Times New Roman" w:cs="Times New Roman"/>
                <w:b/>
                <w:bCs/>
                <w:sz w:val="24"/>
                <w:szCs w:val="24"/>
              </w:rPr>
              <w:t>1</w:t>
            </w:r>
          </w:p>
        </w:tc>
        <w:tc>
          <w:tcPr>
            <w:tcW w:w="1224" w:type="dxa"/>
            <w:hideMark/>
          </w:tcPr>
          <w:p w14:paraId="46133030" w14:textId="77777777" w:rsidR="00AB488F" w:rsidRPr="00AB4C1A" w:rsidRDefault="00AB488F">
            <w:pPr>
              <w:jc w:val="center"/>
              <w:rPr>
                <w:rFonts w:ascii="Times New Roman" w:hAnsi="Times New Roman" w:cs="Times New Roman"/>
                <w:b/>
                <w:bCs/>
                <w:sz w:val="24"/>
                <w:szCs w:val="24"/>
              </w:rPr>
            </w:pPr>
            <w:r w:rsidRPr="00AB4C1A">
              <w:rPr>
                <w:rFonts w:ascii="Times New Roman" w:hAnsi="Times New Roman" w:cs="Times New Roman"/>
                <w:b/>
                <w:bCs/>
                <w:sz w:val="24"/>
                <w:szCs w:val="24"/>
              </w:rPr>
              <w:t>2</w:t>
            </w:r>
          </w:p>
        </w:tc>
      </w:tr>
      <w:tr w:rsidR="00AB4C1A" w:rsidRPr="00AB4C1A" w14:paraId="46043559" w14:textId="77777777" w:rsidTr="00D51999">
        <w:trPr>
          <w:trHeight w:val="580"/>
        </w:trPr>
        <w:tc>
          <w:tcPr>
            <w:tcW w:w="1271" w:type="dxa"/>
          </w:tcPr>
          <w:p w14:paraId="691DB480" w14:textId="77777777" w:rsidR="007A7730" w:rsidRPr="00AB4C1A" w:rsidRDefault="007A7730" w:rsidP="00A7718B">
            <w:pPr>
              <w:rPr>
                <w:rFonts w:ascii="Times New Roman" w:hAnsi="Times New Roman" w:cs="Times New Roman"/>
                <w:i/>
                <w:iCs/>
                <w:sz w:val="24"/>
                <w:szCs w:val="24"/>
              </w:rPr>
            </w:pPr>
            <w:r w:rsidRPr="00AB4C1A">
              <w:rPr>
                <w:rFonts w:ascii="Times New Roman" w:hAnsi="Times New Roman" w:cs="Times New Roman"/>
                <w:sz w:val="24"/>
                <w:szCs w:val="24"/>
              </w:rPr>
              <w:t>Output</w:t>
            </w:r>
          </w:p>
        </w:tc>
        <w:tc>
          <w:tcPr>
            <w:tcW w:w="1559" w:type="dxa"/>
          </w:tcPr>
          <w:p w14:paraId="33A2782E" w14:textId="77777777" w:rsidR="007A7730" w:rsidRPr="00AB4C1A" w:rsidRDefault="007A7730" w:rsidP="00A7718B">
            <w:pPr>
              <w:rPr>
                <w:rFonts w:ascii="Times New Roman" w:hAnsi="Times New Roman" w:cs="Times New Roman"/>
                <w:i/>
                <w:iCs/>
                <w:sz w:val="24"/>
                <w:szCs w:val="24"/>
              </w:rPr>
            </w:pPr>
            <w:r w:rsidRPr="00AB4C1A">
              <w:rPr>
                <w:rFonts w:ascii="Times New Roman" w:hAnsi="Times New Roman" w:cs="Times New Roman"/>
                <w:b/>
                <w:bCs/>
                <w:sz w:val="24"/>
                <w:szCs w:val="24"/>
              </w:rPr>
              <w:t xml:space="preserve">Total </w:t>
            </w:r>
            <w:r w:rsidR="00A836C8" w:rsidRPr="00AB4C1A">
              <w:rPr>
                <w:rFonts w:ascii="Times New Roman" w:hAnsi="Times New Roman" w:cs="Times New Roman"/>
                <w:b/>
                <w:bCs/>
                <w:sz w:val="24"/>
                <w:szCs w:val="24"/>
              </w:rPr>
              <w:t>AQAP</w:t>
            </w:r>
            <w:r w:rsidRPr="00AB4C1A">
              <w:rPr>
                <w:rFonts w:ascii="Times New Roman" w:hAnsi="Times New Roman" w:cs="Times New Roman"/>
                <w:b/>
                <w:bCs/>
                <w:sz w:val="24"/>
                <w:szCs w:val="24"/>
              </w:rPr>
              <w:t xml:space="preserve"> </w:t>
            </w:r>
            <w:r w:rsidR="00A836C8" w:rsidRPr="00AB4C1A">
              <w:rPr>
                <w:rFonts w:ascii="Times New Roman" w:hAnsi="Times New Roman" w:cs="Times New Roman"/>
                <w:b/>
                <w:bCs/>
                <w:sz w:val="24"/>
                <w:szCs w:val="24"/>
              </w:rPr>
              <w:t>O</w:t>
            </w:r>
            <w:r w:rsidRPr="00AB4C1A">
              <w:rPr>
                <w:rFonts w:ascii="Times New Roman" w:hAnsi="Times New Roman" w:cs="Times New Roman"/>
                <w:b/>
                <w:bCs/>
                <w:sz w:val="24"/>
                <w:szCs w:val="24"/>
              </w:rPr>
              <w:t xml:space="preserve">utput </w:t>
            </w:r>
            <w:r w:rsidR="00A836C8" w:rsidRPr="00AB4C1A">
              <w:rPr>
                <w:rFonts w:ascii="Times New Roman" w:hAnsi="Times New Roman" w:cs="Times New Roman"/>
                <w:b/>
                <w:bCs/>
                <w:sz w:val="24"/>
                <w:szCs w:val="24"/>
              </w:rPr>
              <w:t>score</w:t>
            </w:r>
          </w:p>
        </w:tc>
        <w:tc>
          <w:tcPr>
            <w:tcW w:w="1134" w:type="dxa"/>
          </w:tcPr>
          <w:p w14:paraId="7AE942D7" w14:textId="77777777" w:rsidR="007A7730" w:rsidRPr="00AB4C1A" w:rsidRDefault="007A7730" w:rsidP="00A7718B">
            <w:pPr>
              <w:jc w:val="center"/>
              <w:rPr>
                <w:rFonts w:ascii="Times New Roman" w:hAnsi="Times New Roman" w:cs="Times New Roman"/>
                <w:i/>
                <w:iCs/>
                <w:sz w:val="24"/>
                <w:szCs w:val="24"/>
              </w:rPr>
            </w:pPr>
            <w:r w:rsidRPr="00AB4C1A">
              <w:rPr>
                <w:rFonts w:ascii="Times New Roman" w:hAnsi="Times New Roman" w:cs="Times New Roman"/>
                <w:b/>
                <w:bCs/>
                <w:sz w:val="24"/>
                <w:szCs w:val="24"/>
              </w:rPr>
              <w:t>56</w:t>
            </w:r>
          </w:p>
        </w:tc>
        <w:tc>
          <w:tcPr>
            <w:tcW w:w="1276" w:type="dxa"/>
          </w:tcPr>
          <w:p w14:paraId="61B632E8" w14:textId="77777777" w:rsidR="007A7730" w:rsidRPr="00AB4C1A" w:rsidRDefault="007A7730" w:rsidP="00A7718B">
            <w:pPr>
              <w:jc w:val="center"/>
              <w:rPr>
                <w:rFonts w:ascii="Times New Roman" w:hAnsi="Times New Roman" w:cs="Times New Roman"/>
                <w:i/>
                <w:iCs/>
                <w:sz w:val="24"/>
                <w:szCs w:val="24"/>
              </w:rPr>
            </w:pPr>
            <w:r w:rsidRPr="00AB4C1A">
              <w:rPr>
                <w:rFonts w:ascii="Times New Roman" w:hAnsi="Times New Roman" w:cs="Times New Roman"/>
                <w:b/>
                <w:bCs/>
                <w:sz w:val="24"/>
                <w:szCs w:val="24"/>
              </w:rPr>
              <w:t>44</w:t>
            </w:r>
          </w:p>
        </w:tc>
        <w:tc>
          <w:tcPr>
            <w:tcW w:w="1276" w:type="dxa"/>
          </w:tcPr>
          <w:p w14:paraId="25CBD16A" w14:textId="77777777" w:rsidR="007A7730" w:rsidRPr="00AB4C1A" w:rsidRDefault="007A7730" w:rsidP="00A7718B">
            <w:pPr>
              <w:jc w:val="center"/>
              <w:rPr>
                <w:rFonts w:ascii="Times New Roman" w:hAnsi="Times New Roman" w:cs="Times New Roman"/>
                <w:i/>
                <w:iCs/>
                <w:sz w:val="24"/>
                <w:szCs w:val="24"/>
              </w:rPr>
            </w:pPr>
            <w:r w:rsidRPr="00AB4C1A">
              <w:rPr>
                <w:rFonts w:ascii="Times New Roman" w:hAnsi="Times New Roman" w:cs="Times New Roman"/>
                <w:b/>
                <w:bCs/>
                <w:sz w:val="24"/>
                <w:szCs w:val="24"/>
              </w:rPr>
              <w:t>54</w:t>
            </w:r>
          </w:p>
        </w:tc>
        <w:tc>
          <w:tcPr>
            <w:tcW w:w="1276" w:type="dxa"/>
          </w:tcPr>
          <w:p w14:paraId="172D8EE6" w14:textId="77777777" w:rsidR="007A7730" w:rsidRPr="00AB4C1A" w:rsidRDefault="007A7730" w:rsidP="00A7718B">
            <w:pPr>
              <w:jc w:val="center"/>
              <w:rPr>
                <w:rFonts w:ascii="Times New Roman" w:hAnsi="Times New Roman" w:cs="Times New Roman"/>
                <w:i/>
                <w:iCs/>
                <w:sz w:val="24"/>
                <w:szCs w:val="24"/>
              </w:rPr>
            </w:pPr>
            <w:r w:rsidRPr="00AB4C1A">
              <w:rPr>
                <w:rFonts w:ascii="Times New Roman" w:hAnsi="Times New Roman" w:cs="Times New Roman"/>
                <w:b/>
                <w:bCs/>
                <w:sz w:val="24"/>
                <w:szCs w:val="24"/>
              </w:rPr>
              <w:t>58</w:t>
            </w:r>
          </w:p>
        </w:tc>
        <w:tc>
          <w:tcPr>
            <w:tcW w:w="1224" w:type="dxa"/>
          </w:tcPr>
          <w:p w14:paraId="49CFDAA8" w14:textId="77777777" w:rsidR="007A7730" w:rsidRPr="00AB4C1A" w:rsidRDefault="007A7730" w:rsidP="00A7718B">
            <w:pPr>
              <w:jc w:val="center"/>
              <w:rPr>
                <w:rFonts w:ascii="Times New Roman" w:hAnsi="Times New Roman" w:cs="Times New Roman"/>
                <w:i/>
                <w:iCs/>
                <w:sz w:val="24"/>
                <w:szCs w:val="24"/>
              </w:rPr>
            </w:pPr>
            <w:r w:rsidRPr="00AB4C1A">
              <w:rPr>
                <w:rFonts w:ascii="Times New Roman" w:hAnsi="Times New Roman" w:cs="Times New Roman"/>
                <w:b/>
                <w:bCs/>
                <w:sz w:val="24"/>
                <w:szCs w:val="24"/>
              </w:rPr>
              <w:t>50</w:t>
            </w:r>
          </w:p>
        </w:tc>
      </w:tr>
      <w:tr w:rsidR="00AB4C1A" w:rsidRPr="00AB4C1A" w14:paraId="5AC8578A" w14:textId="77777777" w:rsidTr="00D51999">
        <w:trPr>
          <w:trHeight w:val="290"/>
        </w:trPr>
        <w:tc>
          <w:tcPr>
            <w:tcW w:w="1271" w:type="dxa"/>
          </w:tcPr>
          <w:p w14:paraId="2A7F7AC3" w14:textId="77777777" w:rsidR="00DE6A44" w:rsidRPr="00AB4C1A" w:rsidRDefault="00DE6A44" w:rsidP="00B940F3">
            <w:pPr>
              <w:rPr>
                <w:rFonts w:ascii="Times New Roman" w:hAnsi="Times New Roman" w:cs="Times New Roman"/>
                <w:sz w:val="24"/>
                <w:szCs w:val="24"/>
              </w:rPr>
            </w:pPr>
          </w:p>
        </w:tc>
        <w:tc>
          <w:tcPr>
            <w:tcW w:w="1559" w:type="dxa"/>
            <w:hideMark/>
          </w:tcPr>
          <w:p w14:paraId="77956619" w14:textId="77777777" w:rsidR="00DE6A44" w:rsidRPr="00AB4C1A" w:rsidRDefault="00DE6A44">
            <w:pPr>
              <w:rPr>
                <w:rFonts w:ascii="Times New Roman" w:hAnsi="Times New Roman" w:cs="Times New Roman"/>
                <w:bCs/>
                <w:sz w:val="24"/>
                <w:szCs w:val="24"/>
              </w:rPr>
            </w:pPr>
            <w:r w:rsidRPr="00AB4C1A">
              <w:rPr>
                <w:rFonts w:ascii="Times New Roman" w:hAnsi="Times New Roman" w:cs="Times New Roman"/>
                <w:bCs/>
                <w:sz w:val="24"/>
                <w:szCs w:val="24"/>
              </w:rPr>
              <w:t xml:space="preserve">AQAP as a whole </w:t>
            </w:r>
            <w:r w:rsidR="00A836C8" w:rsidRPr="00AB4C1A">
              <w:rPr>
                <w:rFonts w:ascii="Times New Roman" w:hAnsi="Times New Roman" w:cs="Times New Roman"/>
                <w:bCs/>
                <w:sz w:val="24"/>
                <w:szCs w:val="24"/>
              </w:rPr>
              <w:t>t</w:t>
            </w:r>
            <w:r w:rsidRPr="00AB4C1A">
              <w:rPr>
                <w:rFonts w:ascii="Times New Roman" w:hAnsi="Times New Roman" w:cs="Times New Roman"/>
                <w:bCs/>
                <w:sz w:val="24"/>
                <w:szCs w:val="24"/>
              </w:rPr>
              <w:t>otal</w:t>
            </w:r>
          </w:p>
        </w:tc>
        <w:tc>
          <w:tcPr>
            <w:tcW w:w="1134" w:type="dxa"/>
            <w:hideMark/>
          </w:tcPr>
          <w:p w14:paraId="397AD66D"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65</w:t>
            </w:r>
          </w:p>
        </w:tc>
        <w:tc>
          <w:tcPr>
            <w:tcW w:w="1276" w:type="dxa"/>
            <w:hideMark/>
          </w:tcPr>
          <w:p w14:paraId="3880EB7D"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51</w:t>
            </w:r>
          </w:p>
        </w:tc>
        <w:tc>
          <w:tcPr>
            <w:tcW w:w="1276" w:type="dxa"/>
            <w:hideMark/>
          </w:tcPr>
          <w:p w14:paraId="44D6F6B9"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57</w:t>
            </w:r>
          </w:p>
        </w:tc>
        <w:tc>
          <w:tcPr>
            <w:tcW w:w="1276" w:type="dxa"/>
            <w:hideMark/>
          </w:tcPr>
          <w:p w14:paraId="05C3E8A8"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65</w:t>
            </w:r>
          </w:p>
        </w:tc>
        <w:tc>
          <w:tcPr>
            <w:tcW w:w="1224" w:type="dxa"/>
            <w:hideMark/>
          </w:tcPr>
          <w:p w14:paraId="47C13984"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53</w:t>
            </w:r>
          </w:p>
        </w:tc>
      </w:tr>
      <w:tr w:rsidR="00AB4C1A" w:rsidRPr="00AB4C1A" w14:paraId="44789C38" w14:textId="77777777" w:rsidTr="00D51999">
        <w:trPr>
          <w:trHeight w:val="580"/>
        </w:trPr>
        <w:tc>
          <w:tcPr>
            <w:tcW w:w="1271" w:type="dxa"/>
          </w:tcPr>
          <w:p w14:paraId="52D33A20" w14:textId="77777777" w:rsidR="00DE6A44" w:rsidRPr="00AB4C1A" w:rsidRDefault="00DE6A44" w:rsidP="00B940F3">
            <w:pPr>
              <w:rPr>
                <w:rFonts w:ascii="Times New Roman" w:hAnsi="Times New Roman" w:cs="Times New Roman"/>
                <w:sz w:val="24"/>
                <w:szCs w:val="24"/>
              </w:rPr>
            </w:pPr>
          </w:p>
        </w:tc>
        <w:tc>
          <w:tcPr>
            <w:tcW w:w="1559" w:type="dxa"/>
            <w:hideMark/>
          </w:tcPr>
          <w:p w14:paraId="0C69B42C" w14:textId="77777777" w:rsidR="00DE6A44" w:rsidRPr="00AB4C1A" w:rsidRDefault="007A7730">
            <w:pPr>
              <w:rPr>
                <w:rFonts w:ascii="Times New Roman" w:hAnsi="Times New Roman" w:cs="Times New Roman"/>
                <w:bCs/>
                <w:sz w:val="24"/>
                <w:szCs w:val="24"/>
              </w:rPr>
            </w:pPr>
            <w:r w:rsidRPr="00AB4C1A">
              <w:rPr>
                <w:rFonts w:ascii="Times New Roman" w:hAnsi="Times New Roman" w:cs="Times New Roman"/>
                <w:bCs/>
                <w:sz w:val="24"/>
                <w:szCs w:val="24"/>
              </w:rPr>
              <w:t xml:space="preserve">AQAP </w:t>
            </w:r>
            <w:r w:rsidR="00DE6A44" w:rsidRPr="00AB4C1A">
              <w:rPr>
                <w:rFonts w:ascii="Times New Roman" w:hAnsi="Times New Roman" w:cs="Times New Roman"/>
                <w:bCs/>
                <w:sz w:val="24"/>
                <w:szCs w:val="24"/>
              </w:rPr>
              <w:t>Measures</w:t>
            </w:r>
            <w:r w:rsidRPr="00AB4C1A">
              <w:rPr>
                <w:rFonts w:ascii="Times New Roman" w:hAnsi="Times New Roman" w:cs="Times New Roman"/>
                <w:bCs/>
                <w:sz w:val="24"/>
                <w:szCs w:val="24"/>
              </w:rPr>
              <w:t xml:space="preserve"> </w:t>
            </w:r>
            <w:r w:rsidR="00DE6A44" w:rsidRPr="00AB4C1A">
              <w:rPr>
                <w:rFonts w:ascii="Times New Roman" w:hAnsi="Times New Roman" w:cs="Times New Roman"/>
                <w:bCs/>
                <w:sz w:val="24"/>
                <w:szCs w:val="24"/>
              </w:rPr>
              <w:t>/</w:t>
            </w:r>
            <w:r w:rsidRPr="00AB4C1A">
              <w:rPr>
                <w:rFonts w:ascii="Times New Roman" w:hAnsi="Times New Roman" w:cs="Times New Roman"/>
                <w:bCs/>
                <w:sz w:val="24"/>
                <w:szCs w:val="24"/>
              </w:rPr>
              <w:t xml:space="preserve"> </w:t>
            </w:r>
            <w:r w:rsidR="00DE6A44" w:rsidRPr="00AB4C1A">
              <w:rPr>
                <w:rFonts w:ascii="Times New Roman" w:hAnsi="Times New Roman" w:cs="Times New Roman"/>
                <w:bCs/>
                <w:sz w:val="24"/>
                <w:szCs w:val="24"/>
              </w:rPr>
              <w:t xml:space="preserve">Aspects </w:t>
            </w:r>
            <w:r w:rsidR="00A836C8" w:rsidRPr="00AB4C1A">
              <w:rPr>
                <w:rFonts w:ascii="Times New Roman" w:hAnsi="Times New Roman" w:cs="Times New Roman"/>
                <w:bCs/>
                <w:sz w:val="24"/>
                <w:szCs w:val="24"/>
              </w:rPr>
              <w:t>t</w:t>
            </w:r>
            <w:r w:rsidR="00DE6A44" w:rsidRPr="00AB4C1A">
              <w:rPr>
                <w:rFonts w:ascii="Times New Roman" w:hAnsi="Times New Roman" w:cs="Times New Roman"/>
                <w:bCs/>
                <w:sz w:val="24"/>
                <w:szCs w:val="24"/>
              </w:rPr>
              <w:t>otal</w:t>
            </w:r>
          </w:p>
        </w:tc>
        <w:tc>
          <w:tcPr>
            <w:tcW w:w="1134" w:type="dxa"/>
            <w:hideMark/>
          </w:tcPr>
          <w:p w14:paraId="4E31A798"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55</w:t>
            </w:r>
          </w:p>
        </w:tc>
        <w:tc>
          <w:tcPr>
            <w:tcW w:w="1276" w:type="dxa"/>
            <w:hideMark/>
          </w:tcPr>
          <w:p w14:paraId="61F7411E"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44</w:t>
            </w:r>
          </w:p>
        </w:tc>
        <w:tc>
          <w:tcPr>
            <w:tcW w:w="1276" w:type="dxa"/>
            <w:hideMark/>
          </w:tcPr>
          <w:p w14:paraId="658A0000"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53</w:t>
            </w:r>
          </w:p>
        </w:tc>
        <w:tc>
          <w:tcPr>
            <w:tcW w:w="1276" w:type="dxa"/>
            <w:hideMark/>
          </w:tcPr>
          <w:p w14:paraId="7A2EF39C"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56</w:t>
            </w:r>
          </w:p>
        </w:tc>
        <w:tc>
          <w:tcPr>
            <w:tcW w:w="1224" w:type="dxa"/>
            <w:hideMark/>
          </w:tcPr>
          <w:p w14:paraId="7644B249" w14:textId="77777777" w:rsidR="00DE6A44" w:rsidRPr="00AB4C1A" w:rsidRDefault="00DE6A44">
            <w:pPr>
              <w:jc w:val="center"/>
              <w:rPr>
                <w:rFonts w:ascii="Times New Roman" w:hAnsi="Times New Roman" w:cs="Times New Roman"/>
                <w:bCs/>
                <w:sz w:val="24"/>
                <w:szCs w:val="24"/>
              </w:rPr>
            </w:pPr>
            <w:r w:rsidRPr="00AB4C1A">
              <w:rPr>
                <w:rFonts w:ascii="Times New Roman" w:hAnsi="Times New Roman" w:cs="Times New Roman"/>
                <w:bCs/>
                <w:sz w:val="24"/>
                <w:szCs w:val="24"/>
              </w:rPr>
              <w:t>49</w:t>
            </w:r>
          </w:p>
        </w:tc>
      </w:tr>
      <w:tr w:rsidR="00AB4C1A" w:rsidRPr="00AB4C1A" w14:paraId="001B9851" w14:textId="77777777" w:rsidTr="00D51999">
        <w:trPr>
          <w:trHeight w:val="580"/>
        </w:trPr>
        <w:tc>
          <w:tcPr>
            <w:tcW w:w="1271" w:type="dxa"/>
            <w:hideMark/>
          </w:tcPr>
          <w:p w14:paraId="620DFA5E" w14:textId="77777777" w:rsidR="007A7730" w:rsidRPr="00AB4C1A" w:rsidRDefault="007A7730" w:rsidP="007A7730">
            <w:pPr>
              <w:rPr>
                <w:rFonts w:ascii="Times New Roman" w:hAnsi="Times New Roman" w:cs="Times New Roman"/>
                <w:b/>
                <w:bCs/>
                <w:i/>
                <w:iCs/>
                <w:sz w:val="24"/>
                <w:szCs w:val="24"/>
              </w:rPr>
            </w:pPr>
            <w:r w:rsidRPr="00AB4C1A">
              <w:rPr>
                <w:rFonts w:ascii="Times New Roman" w:hAnsi="Times New Roman" w:cs="Times New Roman"/>
                <w:i/>
                <w:iCs/>
                <w:sz w:val="24"/>
                <w:szCs w:val="24"/>
              </w:rPr>
              <w:t>Output: Measures</w:t>
            </w:r>
          </w:p>
          <w:p w14:paraId="4D4AC2D0" w14:textId="77777777" w:rsidR="007A7730" w:rsidRPr="00AB4C1A" w:rsidRDefault="007A7730" w:rsidP="007A7730">
            <w:pPr>
              <w:rPr>
                <w:rFonts w:ascii="Times New Roman" w:hAnsi="Times New Roman" w:cs="Times New Roman"/>
                <w:b/>
                <w:sz w:val="24"/>
                <w:szCs w:val="24"/>
              </w:rPr>
            </w:pPr>
            <w:r w:rsidRPr="00AB4C1A">
              <w:rPr>
                <w:rFonts w:ascii="Times New Roman" w:hAnsi="Times New Roman" w:cs="Times New Roman"/>
                <w:i/>
                <w:iCs/>
                <w:sz w:val="24"/>
                <w:szCs w:val="24"/>
              </w:rPr>
              <w:t>Breakdown</w:t>
            </w:r>
          </w:p>
        </w:tc>
        <w:tc>
          <w:tcPr>
            <w:tcW w:w="1559" w:type="dxa"/>
            <w:hideMark/>
          </w:tcPr>
          <w:p w14:paraId="48207729" w14:textId="77777777" w:rsidR="007A7730" w:rsidRPr="00AB4C1A" w:rsidRDefault="007A7730" w:rsidP="007A7730">
            <w:pPr>
              <w:rPr>
                <w:rFonts w:ascii="Times New Roman" w:hAnsi="Times New Roman" w:cs="Times New Roman"/>
                <w:i/>
                <w:iCs/>
                <w:sz w:val="24"/>
                <w:szCs w:val="24"/>
              </w:rPr>
            </w:pPr>
            <w:r w:rsidRPr="00AB4C1A">
              <w:rPr>
                <w:rFonts w:ascii="Times New Roman" w:hAnsi="Times New Roman" w:cs="Times New Roman"/>
                <w:i/>
                <w:iCs/>
                <w:sz w:val="24"/>
                <w:szCs w:val="24"/>
              </w:rPr>
              <w:t xml:space="preserve">Transport measures </w:t>
            </w:r>
          </w:p>
        </w:tc>
        <w:tc>
          <w:tcPr>
            <w:tcW w:w="1134" w:type="dxa"/>
            <w:hideMark/>
          </w:tcPr>
          <w:p w14:paraId="20883251"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73</w:t>
            </w:r>
          </w:p>
        </w:tc>
        <w:tc>
          <w:tcPr>
            <w:tcW w:w="1276" w:type="dxa"/>
            <w:hideMark/>
          </w:tcPr>
          <w:p w14:paraId="23FF1FC6"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53</w:t>
            </w:r>
          </w:p>
        </w:tc>
        <w:tc>
          <w:tcPr>
            <w:tcW w:w="1276" w:type="dxa"/>
            <w:hideMark/>
          </w:tcPr>
          <w:p w14:paraId="0D72BA50"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55</w:t>
            </w:r>
          </w:p>
        </w:tc>
        <w:tc>
          <w:tcPr>
            <w:tcW w:w="1276" w:type="dxa"/>
            <w:hideMark/>
          </w:tcPr>
          <w:p w14:paraId="05623834"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75</w:t>
            </w:r>
          </w:p>
        </w:tc>
        <w:tc>
          <w:tcPr>
            <w:tcW w:w="1224" w:type="dxa"/>
            <w:hideMark/>
          </w:tcPr>
          <w:p w14:paraId="2412CBA7"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70</w:t>
            </w:r>
          </w:p>
        </w:tc>
      </w:tr>
      <w:tr w:rsidR="00AB4C1A" w:rsidRPr="00AB4C1A" w14:paraId="1E91F4F4" w14:textId="77777777" w:rsidTr="00D51999">
        <w:trPr>
          <w:trHeight w:val="290"/>
        </w:trPr>
        <w:tc>
          <w:tcPr>
            <w:tcW w:w="1271" w:type="dxa"/>
            <w:hideMark/>
          </w:tcPr>
          <w:p w14:paraId="3DAF1C50" w14:textId="77777777" w:rsidR="007A7730" w:rsidRPr="00AB4C1A" w:rsidRDefault="007A7730" w:rsidP="007A7730">
            <w:pPr>
              <w:rPr>
                <w:rFonts w:ascii="Times New Roman" w:hAnsi="Times New Roman" w:cs="Times New Roman"/>
                <w:sz w:val="24"/>
                <w:szCs w:val="24"/>
              </w:rPr>
            </w:pPr>
          </w:p>
        </w:tc>
        <w:tc>
          <w:tcPr>
            <w:tcW w:w="1559" w:type="dxa"/>
            <w:hideMark/>
          </w:tcPr>
          <w:p w14:paraId="01DE0E72" w14:textId="77777777" w:rsidR="007A7730" w:rsidRPr="00AB4C1A" w:rsidRDefault="007A7730" w:rsidP="007A7730">
            <w:pPr>
              <w:rPr>
                <w:rFonts w:ascii="Times New Roman" w:hAnsi="Times New Roman" w:cs="Times New Roman"/>
                <w:i/>
                <w:iCs/>
                <w:sz w:val="24"/>
                <w:szCs w:val="24"/>
              </w:rPr>
            </w:pPr>
            <w:r w:rsidRPr="00AB4C1A">
              <w:rPr>
                <w:rFonts w:ascii="Times New Roman" w:hAnsi="Times New Roman" w:cs="Times New Roman"/>
                <w:i/>
                <w:iCs/>
                <w:sz w:val="24"/>
                <w:szCs w:val="24"/>
              </w:rPr>
              <w:t>Public Health</w:t>
            </w:r>
          </w:p>
        </w:tc>
        <w:tc>
          <w:tcPr>
            <w:tcW w:w="1134" w:type="dxa"/>
            <w:hideMark/>
          </w:tcPr>
          <w:p w14:paraId="3EDCE40F"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53</w:t>
            </w:r>
          </w:p>
        </w:tc>
        <w:tc>
          <w:tcPr>
            <w:tcW w:w="1276" w:type="dxa"/>
            <w:hideMark/>
          </w:tcPr>
          <w:p w14:paraId="3B25F994"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33</w:t>
            </w:r>
          </w:p>
        </w:tc>
        <w:tc>
          <w:tcPr>
            <w:tcW w:w="1276" w:type="dxa"/>
            <w:hideMark/>
          </w:tcPr>
          <w:p w14:paraId="3AE48359"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46</w:t>
            </w:r>
          </w:p>
        </w:tc>
        <w:tc>
          <w:tcPr>
            <w:tcW w:w="1276" w:type="dxa"/>
            <w:hideMark/>
          </w:tcPr>
          <w:p w14:paraId="6B8FCC57"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53</w:t>
            </w:r>
          </w:p>
        </w:tc>
        <w:tc>
          <w:tcPr>
            <w:tcW w:w="1224" w:type="dxa"/>
            <w:hideMark/>
          </w:tcPr>
          <w:p w14:paraId="069F0BBD"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31</w:t>
            </w:r>
          </w:p>
        </w:tc>
      </w:tr>
      <w:tr w:rsidR="00AB4C1A" w:rsidRPr="00AB4C1A" w14:paraId="53FEA31B" w14:textId="77777777" w:rsidTr="00D51999">
        <w:trPr>
          <w:trHeight w:val="580"/>
        </w:trPr>
        <w:tc>
          <w:tcPr>
            <w:tcW w:w="1271" w:type="dxa"/>
            <w:hideMark/>
          </w:tcPr>
          <w:p w14:paraId="606EFD52" w14:textId="77777777" w:rsidR="007A7730" w:rsidRPr="00AB4C1A" w:rsidRDefault="007A7730" w:rsidP="007A7730">
            <w:pPr>
              <w:rPr>
                <w:rFonts w:ascii="Times New Roman" w:hAnsi="Times New Roman" w:cs="Times New Roman"/>
                <w:sz w:val="24"/>
                <w:szCs w:val="24"/>
              </w:rPr>
            </w:pPr>
          </w:p>
        </w:tc>
        <w:tc>
          <w:tcPr>
            <w:tcW w:w="1559" w:type="dxa"/>
            <w:hideMark/>
          </w:tcPr>
          <w:p w14:paraId="1CF913F9" w14:textId="77777777" w:rsidR="007A7730" w:rsidRPr="00AB4C1A" w:rsidRDefault="007A7730" w:rsidP="007A7730">
            <w:pPr>
              <w:rPr>
                <w:rFonts w:ascii="Times New Roman" w:hAnsi="Times New Roman" w:cs="Times New Roman"/>
                <w:i/>
                <w:iCs/>
                <w:sz w:val="24"/>
                <w:szCs w:val="24"/>
              </w:rPr>
            </w:pPr>
            <w:r w:rsidRPr="00AB4C1A">
              <w:rPr>
                <w:rFonts w:ascii="Times New Roman" w:hAnsi="Times New Roman" w:cs="Times New Roman"/>
                <w:i/>
                <w:iCs/>
                <w:sz w:val="24"/>
                <w:szCs w:val="24"/>
              </w:rPr>
              <w:t>Planning and Development</w:t>
            </w:r>
          </w:p>
        </w:tc>
        <w:tc>
          <w:tcPr>
            <w:tcW w:w="1134" w:type="dxa"/>
            <w:hideMark/>
          </w:tcPr>
          <w:p w14:paraId="1A80017D"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30</w:t>
            </w:r>
          </w:p>
        </w:tc>
        <w:tc>
          <w:tcPr>
            <w:tcW w:w="1276" w:type="dxa"/>
            <w:hideMark/>
          </w:tcPr>
          <w:p w14:paraId="3BC5DD92"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39</w:t>
            </w:r>
          </w:p>
        </w:tc>
        <w:tc>
          <w:tcPr>
            <w:tcW w:w="1276" w:type="dxa"/>
            <w:hideMark/>
          </w:tcPr>
          <w:p w14:paraId="30D1F69E"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49</w:t>
            </w:r>
          </w:p>
        </w:tc>
        <w:tc>
          <w:tcPr>
            <w:tcW w:w="1276" w:type="dxa"/>
            <w:hideMark/>
          </w:tcPr>
          <w:p w14:paraId="01EED74E"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32</w:t>
            </w:r>
          </w:p>
        </w:tc>
        <w:tc>
          <w:tcPr>
            <w:tcW w:w="1224" w:type="dxa"/>
            <w:hideMark/>
          </w:tcPr>
          <w:p w14:paraId="42C67EE3"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32</w:t>
            </w:r>
          </w:p>
        </w:tc>
      </w:tr>
      <w:tr w:rsidR="00AB4C1A" w:rsidRPr="00AB4C1A" w14:paraId="5CD15DAD" w14:textId="77777777" w:rsidTr="00D51999">
        <w:trPr>
          <w:trHeight w:val="290"/>
        </w:trPr>
        <w:tc>
          <w:tcPr>
            <w:tcW w:w="1271" w:type="dxa"/>
            <w:hideMark/>
          </w:tcPr>
          <w:p w14:paraId="6AC42F14" w14:textId="77777777" w:rsidR="007A7730" w:rsidRPr="00AB4C1A" w:rsidRDefault="007A7730" w:rsidP="007A7730">
            <w:pPr>
              <w:rPr>
                <w:rFonts w:ascii="Times New Roman" w:hAnsi="Times New Roman" w:cs="Times New Roman"/>
                <w:sz w:val="24"/>
                <w:szCs w:val="24"/>
              </w:rPr>
            </w:pPr>
          </w:p>
        </w:tc>
        <w:tc>
          <w:tcPr>
            <w:tcW w:w="1559" w:type="dxa"/>
            <w:hideMark/>
          </w:tcPr>
          <w:p w14:paraId="034EFE2B" w14:textId="77777777" w:rsidR="007A7730" w:rsidRPr="00AB4C1A" w:rsidRDefault="007A7730" w:rsidP="007A7730">
            <w:pPr>
              <w:rPr>
                <w:rFonts w:ascii="Times New Roman" w:hAnsi="Times New Roman" w:cs="Times New Roman"/>
                <w:i/>
                <w:iCs/>
                <w:sz w:val="24"/>
                <w:szCs w:val="24"/>
              </w:rPr>
            </w:pPr>
            <w:r w:rsidRPr="00AB4C1A">
              <w:rPr>
                <w:rFonts w:ascii="Times New Roman" w:hAnsi="Times New Roman" w:cs="Times New Roman"/>
                <w:i/>
                <w:iCs/>
                <w:sz w:val="24"/>
                <w:szCs w:val="24"/>
              </w:rPr>
              <w:t>Energy use and Production</w:t>
            </w:r>
          </w:p>
        </w:tc>
        <w:tc>
          <w:tcPr>
            <w:tcW w:w="1134" w:type="dxa"/>
            <w:hideMark/>
          </w:tcPr>
          <w:p w14:paraId="08795A51"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0</w:t>
            </w:r>
          </w:p>
        </w:tc>
        <w:tc>
          <w:tcPr>
            <w:tcW w:w="1276" w:type="dxa"/>
            <w:hideMark/>
          </w:tcPr>
          <w:p w14:paraId="328A8CBA"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24</w:t>
            </w:r>
          </w:p>
        </w:tc>
        <w:tc>
          <w:tcPr>
            <w:tcW w:w="1276" w:type="dxa"/>
            <w:hideMark/>
          </w:tcPr>
          <w:p w14:paraId="084587FE"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62</w:t>
            </w:r>
          </w:p>
        </w:tc>
        <w:tc>
          <w:tcPr>
            <w:tcW w:w="1276" w:type="dxa"/>
            <w:hideMark/>
          </w:tcPr>
          <w:p w14:paraId="6E7EC9FD"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0</w:t>
            </w:r>
          </w:p>
        </w:tc>
        <w:tc>
          <w:tcPr>
            <w:tcW w:w="1224" w:type="dxa"/>
            <w:hideMark/>
          </w:tcPr>
          <w:p w14:paraId="1117E5A3" w14:textId="77777777" w:rsidR="007A7730" w:rsidRPr="00AB4C1A" w:rsidRDefault="007A7730" w:rsidP="007A7730">
            <w:pPr>
              <w:jc w:val="center"/>
              <w:rPr>
                <w:rFonts w:ascii="Times New Roman" w:hAnsi="Times New Roman" w:cs="Times New Roman"/>
                <w:i/>
                <w:iCs/>
                <w:sz w:val="24"/>
                <w:szCs w:val="24"/>
              </w:rPr>
            </w:pPr>
            <w:r w:rsidRPr="00AB4C1A">
              <w:rPr>
                <w:rFonts w:ascii="Times New Roman" w:hAnsi="Times New Roman" w:cs="Times New Roman"/>
                <w:i/>
                <w:iCs/>
                <w:sz w:val="24"/>
                <w:szCs w:val="24"/>
              </w:rPr>
              <w:t>0</w:t>
            </w:r>
          </w:p>
        </w:tc>
      </w:tr>
      <w:tr w:rsidR="00AB4C1A" w:rsidRPr="00AB4C1A" w14:paraId="628F1C2A" w14:textId="77777777" w:rsidTr="00D51999">
        <w:trPr>
          <w:trHeight w:val="331"/>
        </w:trPr>
        <w:tc>
          <w:tcPr>
            <w:tcW w:w="1271" w:type="dxa"/>
            <w:hideMark/>
          </w:tcPr>
          <w:p w14:paraId="6703B047"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sz w:val="24"/>
                <w:szCs w:val="24"/>
              </w:rPr>
              <w:t>Dimension</w:t>
            </w:r>
          </w:p>
          <w:p w14:paraId="138E8C5B" w14:textId="77777777" w:rsidR="007A7730" w:rsidRPr="00AB4C1A" w:rsidRDefault="007A7730" w:rsidP="007A7730">
            <w:pPr>
              <w:rPr>
                <w:rFonts w:ascii="Times New Roman" w:hAnsi="Times New Roman" w:cs="Times New Roman"/>
                <w:sz w:val="24"/>
                <w:szCs w:val="24"/>
              </w:rPr>
            </w:pPr>
            <w:r w:rsidRPr="00AB4C1A">
              <w:rPr>
                <w:rFonts w:ascii="Times New Roman" w:hAnsi="Times New Roman" w:cs="Times New Roman"/>
                <w:sz w:val="24"/>
                <w:szCs w:val="24"/>
              </w:rPr>
              <w:t>Scores</w:t>
            </w:r>
          </w:p>
        </w:tc>
        <w:tc>
          <w:tcPr>
            <w:tcW w:w="1559" w:type="dxa"/>
          </w:tcPr>
          <w:p w14:paraId="5EAB3C80"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t>Substance</w:t>
            </w:r>
          </w:p>
        </w:tc>
        <w:tc>
          <w:tcPr>
            <w:tcW w:w="1134" w:type="dxa"/>
          </w:tcPr>
          <w:p w14:paraId="6A3CD23D" w14:textId="77777777" w:rsidR="007A7730" w:rsidRPr="00AB4C1A" w:rsidRDefault="007A7730" w:rsidP="007A7730">
            <w:pPr>
              <w:jc w:val="center"/>
              <w:rPr>
                <w:rFonts w:ascii="Times New Roman" w:hAnsi="Times New Roman" w:cs="Times New Roman"/>
                <w:b/>
                <w:bCs/>
                <w:sz w:val="24"/>
                <w:szCs w:val="24"/>
              </w:rPr>
            </w:pPr>
            <w:r w:rsidRPr="00AB4C1A">
              <w:rPr>
                <w:rFonts w:ascii="Times New Roman" w:hAnsi="Times New Roman" w:cs="Times New Roman"/>
                <w:sz w:val="24"/>
                <w:szCs w:val="24"/>
              </w:rPr>
              <w:t>56</w:t>
            </w:r>
          </w:p>
        </w:tc>
        <w:tc>
          <w:tcPr>
            <w:tcW w:w="1276" w:type="dxa"/>
          </w:tcPr>
          <w:p w14:paraId="3A5A62E6" w14:textId="77777777" w:rsidR="007A7730" w:rsidRPr="00AB4C1A" w:rsidRDefault="007A7730" w:rsidP="007A7730">
            <w:pPr>
              <w:jc w:val="center"/>
              <w:rPr>
                <w:rFonts w:ascii="Times New Roman" w:hAnsi="Times New Roman" w:cs="Times New Roman"/>
                <w:b/>
                <w:bCs/>
                <w:sz w:val="24"/>
                <w:szCs w:val="24"/>
              </w:rPr>
            </w:pPr>
            <w:r w:rsidRPr="00AB4C1A">
              <w:rPr>
                <w:rFonts w:ascii="Times New Roman" w:hAnsi="Times New Roman" w:cs="Times New Roman"/>
                <w:sz w:val="24"/>
                <w:szCs w:val="24"/>
              </w:rPr>
              <w:t>37</w:t>
            </w:r>
          </w:p>
        </w:tc>
        <w:tc>
          <w:tcPr>
            <w:tcW w:w="1276" w:type="dxa"/>
          </w:tcPr>
          <w:p w14:paraId="3890EB3F" w14:textId="77777777" w:rsidR="007A7730" w:rsidRPr="00AB4C1A" w:rsidRDefault="007A7730" w:rsidP="007A7730">
            <w:pPr>
              <w:jc w:val="center"/>
              <w:rPr>
                <w:rFonts w:ascii="Times New Roman" w:hAnsi="Times New Roman" w:cs="Times New Roman"/>
                <w:b/>
                <w:bCs/>
                <w:sz w:val="24"/>
                <w:szCs w:val="24"/>
              </w:rPr>
            </w:pPr>
            <w:r w:rsidRPr="00AB4C1A">
              <w:rPr>
                <w:rFonts w:ascii="Times New Roman" w:hAnsi="Times New Roman" w:cs="Times New Roman"/>
                <w:sz w:val="24"/>
                <w:szCs w:val="24"/>
              </w:rPr>
              <w:t>51</w:t>
            </w:r>
          </w:p>
        </w:tc>
        <w:tc>
          <w:tcPr>
            <w:tcW w:w="1276" w:type="dxa"/>
          </w:tcPr>
          <w:p w14:paraId="2A9D93A0" w14:textId="77777777" w:rsidR="007A7730" w:rsidRPr="00AB4C1A" w:rsidRDefault="007A7730" w:rsidP="007A7730">
            <w:pPr>
              <w:jc w:val="center"/>
              <w:rPr>
                <w:rFonts w:ascii="Times New Roman" w:hAnsi="Times New Roman" w:cs="Times New Roman"/>
                <w:b/>
                <w:bCs/>
                <w:sz w:val="24"/>
                <w:szCs w:val="24"/>
              </w:rPr>
            </w:pPr>
            <w:r w:rsidRPr="00AB4C1A">
              <w:rPr>
                <w:rFonts w:ascii="Times New Roman" w:hAnsi="Times New Roman" w:cs="Times New Roman"/>
                <w:sz w:val="24"/>
                <w:szCs w:val="24"/>
              </w:rPr>
              <w:t>43</w:t>
            </w:r>
          </w:p>
        </w:tc>
        <w:tc>
          <w:tcPr>
            <w:tcW w:w="1224" w:type="dxa"/>
          </w:tcPr>
          <w:p w14:paraId="7A351C64" w14:textId="77777777" w:rsidR="007A7730" w:rsidRPr="00AB4C1A" w:rsidRDefault="007A7730" w:rsidP="007A7730">
            <w:pPr>
              <w:jc w:val="center"/>
              <w:rPr>
                <w:rFonts w:ascii="Times New Roman" w:hAnsi="Times New Roman" w:cs="Times New Roman"/>
                <w:b/>
                <w:bCs/>
                <w:sz w:val="24"/>
                <w:szCs w:val="24"/>
              </w:rPr>
            </w:pPr>
            <w:r w:rsidRPr="00AB4C1A">
              <w:rPr>
                <w:rFonts w:ascii="Times New Roman" w:hAnsi="Times New Roman" w:cs="Times New Roman"/>
                <w:sz w:val="24"/>
                <w:szCs w:val="24"/>
              </w:rPr>
              <w:t>51</w:t>
            </w:r>
          </w:p>
        </w:tc>
      </w:tr>
      <w:tr w:rsidR="00AB4C1A" w:rsidRPr="00AB4C1A" w14:paraId="25CD3F29" w14:textId="77777777" w:rsidTr="00D51999">
        <w:trPr>
          <w:trHeight w:val="290"/>
        </w:trPr>
        <w:tc>
          <w:tcPr>
            <w:tcW w:w="1271" w:type="dxa"/>
            <w:hideMark/>
          </w:tcPr>
          <w:p w14:paraId="27387092" w14:textId="77777777" w:rsidR="007A7730" w:rsidRPr="00AB4C1A" w:rsidRDefault="007A7730" w:rsidP="007A7730">
            <w:pPr>
              <w:rPr>
                <w:rFonts w:ascii="Times New Roman" w:hAnsi="Times New Roman" w:cs="Times New Roman"/>
                <w:sz w:val="24"/>
                <w:szCs w:val="24"/>
              </w:rPr>
            </w:pPr>
          </w:p>
        </w:tc>
        <w:tc>
          <w:tcPr>
            <w:tcW w:w="1559" w:type="dxa"/>
            <w:hideMark/>
          </w:tcPr>
          <w:p w14:paraId="3B434770"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t>Scope</w:t>
            </w:r>
          </w:p>
        </w:tc>
        <w:tc>
          <w:tcPr>
            <w:tcW w:w="1134" w:type="dxa"/>
            <w:hideMark/>
          </w:tcPr>
          <w:p w14:paraId="1F186895"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85</w:t>
            </w:r>
          </w:p>
        </w:tc>
        <w:tc>
          <w:tcPr>
            <w:tcW w:w="1276" w:type="dxa"/>
            <w:hideMark/>
          </w:tcPr>
          <w:p w14:paraId="0670EE41"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68</w:t>
            </w:r>
          </w:p>
        </w:tc>
        <w:tc>
          <w:tcPr>
            <w:tcW w:w="1276" w:type="dxa"/>
            <w:hideMark/>
          </w:tcPr>
          <w:p w14:paraId="3570EA16"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76</w:t>
            </w:r>
          </w:p>
        </w:tc>
        <w:tc>
          <w:tcPr>
            <w:tcW w:w="1276" w:type="dxa"/>
            <w:hideMark/>
          </w:tcPr>
          <w:p w14:paraId="47D129DB"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79</w:t>
            </w:r>
          </w:p>
        </w:tc>
        <w:tc>
          <w:tcPr>
            <w:tcW w:w="1224" w:type="dxa"/>
            <w:hideMark/>
          </w:tcPr>
          <w:p w14:paraId="3E3F848F"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66</w:t>
            </w:r>
          </w:p>
        </w:tc>
      </w:tr>
      <w:tr w:rsidR="00AB4C1A" w:rsidRPr="00AB4C1A" w14:paraId="6CBF0ABB" w14:textId="77777777" w:rsidTr="00D51999">
        <w:trPr>
          <w:trHeight w:val="290"/>
        </w:trPr>
        <w:tc>
          <w:tcPr>
            <w:tcW w:w="1271" w:type="dxa"/>
            <w:hideMark/>
          </w:tcPr>
          <w:p w14:paraId="4DFCE03C" w14:textId="77777777" w:rsidR="007A7730" w:rsidRPr="00AB4C1A" w:rsidRDefault="007A7730" w:rsidP="007A7730">
            <w:pPr>
              <w:rPr>
                <w:rFonts w:ascii="Times New Roman" w:hAnsi="Times New Roman" w:cs="Times New Roman"/>
                <w:sz w:val="24"/>
                <w:szCs w:val="24"/>
              </w:rPr>
            </w:pPr>
          </w:p>
        </w:tc>
        <w:tc>
          <w:tcPr>
            <w:tcW w:w="1559" w:type="dxa"/>
            <w:hideMark/>
          </w:tcPr>
          <w:p w14:paraId="79333D8D"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t>Effort</w:t>
            </w:r>
          </w:p>
        </w:tc>
        <w:tc>
          <w:tcPr>
            <w:tcW w:w="1134" w:type="dxa"/>
            <w:hideMark/>
          </w:tcPr>
          <w:p w14:paraId="3DCD4FAC"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42</w:t>
            </w:r>
          </w:p>
        </w:tc>
        <w:tc>
          <w:tcPr>
            <w:tcW w:w="1276" w:type="dxa"/>
            <w:hideMark/>
          </w:tcPr>
          <w:p w14:paraId="0876404C"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33</w:t>
            </w:r>
          </w:p>
        </w:tc>
        <w:tc>
          <w:tcPr>
            <w:tcW w:w="1276" w:type="dxa"/>
            <w:hideMark/>
          </w:tcPr>
          <w:p w14:paraId="3B8D49AC"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45</w:t>
            </w:r>
          </w:p>
        </w:tc>
        <w:tc>
          <w:tcPr>
            <w:tcW w:w="1276" w:type="dxa"/>
            <w:hideMark/>
          </w:tcPr>
          <w:p w14:paraId="36502FD0"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62</w:t>
            </w:r>
          </w:p>
        </w:tc>
        <w:tc>
          <w:tcPr>
            <w:tcW w:w="1224" w:type="dxa"/>
            <w:hideMark/>
          </w:tcPr>
          <w:p w14:paraId="3D4720B8"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43</w:t>
            </w:r>
          </w:p>
        </w:tc>
      </w:tr>
      <w:tr w:rsidR="00AB4C1A" w:rsidRPr="00AB4C1A" w14:paraId="50E3DDAB" w14:textId="77777777" w:rsidTr="00D51999">
        <w:trPr>
          <w:trHeight w:val="290"/>
        </w:trPr>
        <w:tc>
          <w:tcPr>
            <w:tcW w:w="1271" w:type="dxa"/>
            <w:hideMark/>
          </w:tcPr>
          <w:p w14:paraId="780BAA9B" w14:textId="77777777" w:rsidR="007A7730" w:rsidRPr="00AB4C1A" w:rsidRDefault="007A7730" w:rsidP="007A7730">
            <w:pPr>
              <w:rPr>
                <w:rFonts w:ascii="Times New Roman" w:hAnsi="Times New Roman" w:cs="Times New Roman"/>
                <w:sz w:val="24"/>
                <w:szCs w:val="24"/>
              </w:rPr>
            </w:pPr>
            <w:r w:rsidRPr="00AB4C1A">
              <w:rPr>
                <w:rFonts w:ascii="Times New Roman" w:hAnsi="Times New Roman" w:cs="Times New Roman"/>
                <w:sz w:val="24"/>
                <w:szCs w:val="24"/>
              </w:rPr>
              <w:t>Outcome</w:t>
            </w:r>
          </w:p>
        </w:tc>
        <w:tc>
          <w:tcPr>
            <w:tcW w:w="1559" w:type="dxa"/>
            <w:hideMark/>
          </w:tcPr>
          <w:p w14:paraId="729CF41E"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t>Date of ASR</w:t>
            </w:r>
          </w:p>
        </w:tc>
        <w:tc>
          <w:tcPr>
            <w:tcW w:w="1134" w:type="dxa"/>
            <w:hideMark/>
          </w:tcPr>
          <w:p w14:paraId="0A4E0DD3"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bCs/>
                <w:sz w:val="24"/>
                <w:szCs w:val="24"/>
              </w:rPr>
              <w:t>2018</w:t>
            </w:r>
          </w:p>
        </w:tc>
        <w:tc>
          <w:tcPr>
            <w:tcW w:w="1276" w:type="dxa"/>
            <w:hideMark/>
          </w:tcPr>
          <w:p w14:paraId="6F7512EB"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bCs/>
                <w:sz w:val="24"/>
                <w:szCs w:val="24"/>
              </w:rPr>
              <w:t>2017</w:t>
            </w:r>
          </w:p>
        </w:tc>
        <w:tc>
          <w:tcPr>
            <w:tcW w:w="1276" w:type="dxa"/>
            <w:hideMark/>
          </w:tcPr>
          <w:p w14:paraId="7963B535"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bCs/>
                <w:sz w:val="24"/>
                <w:szCs w:val="24"/>
              </w:rPr>
              <w:t>2018</w:t>
            </w:r>
          </w:p>
        </w:tc>
        <w:tc>
          <w:tcPr>
            <w:tcW w:w="1276" w:type="dxa"/>
            <w:hideMark/>
          </w:tcPr>
          <w:p w14:paraId="012BAB91"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bCs/>
                <w:sz w:val="24"/>
                <w:szCs w:val="24"/>
              </w:rPr>
              <w:t>2017</w:t>
            </w:r>
          </w:p>
        </w:tc>
        <w:tc>
          <w:tcPr>
            <w:tcW w:w="1224" w:type="dxa"/>
            <w:hideMark/>
          </w:tcPr>
          <w:p w14:paraId="03619027"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2017</w:t>
            </w:r>
          </w:p>
        </w:tc>
      </w:tr>
      <w:tr w:rsidR="00AB4C1A" w:rsidRPr="00AB4C1A" w14:paraId="43800CAC" w14:textId="77777777" w:rsidTr="00D51999">
        <w:trPr>
          <w:trHeight w:val="290"/>
        </w:trPr>
        <w:tc>
          <w:tcPr>
            <w:tcW w:w="1271" w:type="dxa"/>
            <w:hideMark/>
          </w:tcPr>
          <w:p w14:paraId="50BBC29E" w14:textId="77777777" w:rsidR="007A7730" w:rsidRPr="00AB4C1A" w:rsidRDefault="007A7730" w:rsidP="007A7730">
            <w:pPr>
              <w:rPr>
                <w:rFonts w:ascii="Times New Roman" w:hAnsi="Times New Roman" w:cs="Times New Roman"/>
                <w:sz w:val="24"/>
                <w:szCs w:val="24"/>
              </w:rPr>
            </w:pPr>
          </w:p>
        </w:tc>
        <w:tc>
          <w:tcPr>
            <w:tcW w:w="1559" w:type="dxa"/>
            <w:hideMark/>
          </w:tcPr>
          <w:p w14:paraId="4E260BA7"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t>Reported implementations</w:t>
            </w:r>
          </w:p>
        </w:tc>
        <w:tc>
          <w:tcPr>
            <w:tcW w:w="1134" w:type="dxa"/>
            <w:hideMark/>
          </w:tcPr>
          <w:p w14:paraId="2499E0DC"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3</w:t>
            </w:r>
          </w:p>
        </w:tc>
        <w:tc>
          <w:tcPr>
            <w:tcW w:w="1276" w:type="dxa"/>
            <w:hideMark/>
          </w:tcPr>
          <w:p w14:paraId="3E540D92"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4</w:t>
            </w:r>
          </w:p>
        </w:tc>
        <w:tc>
          <w:tcPr>
            <w:tcW w:w="1276" w:type="dxa"/>
            <w:hideMark/>
          </w:tcPr>
          <w:p w14:paraId="399975FA"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2</w:t>
            </w:r>
          </w:p>
        </w:tc>
        <w:tc>
          <w:tcPr>
            <w:tcW w:w="1276" w:type="dxa"/>
            <w:hideMark/>
          </w:tcPr>
          <w:p w14:paraId="4F4FCCCA"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2</w:t>
            </w:r>
          </w:p>
        </w:tc>
        <w:tc>
          <w:tcPr>
            <w:tcW w:w="1224" w:type="dxa"/>
            <w:hideMark/>
          </w:tcPr>
          <w:p w14:paraId="43703A79"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48</w:t>
            </w:r>
          </w:p>
        </w:tc>
      </w:tr>
      <w:tr w:rsidR="00AB4C1A" w:rsidRPr="00AB4C1A" w14:paraId="7FB21AC0" w14:textId="77777777" w:rsidTr="00D51999">
        <w:trPr>
          <w:trHeight w:val="580"/>
        </w:trPr>
        <w:tc>
          <w:tcPr>
            <w:tcW w:w="1271" w:type="dxa"/>
            <w:hideMark/>
          </w:tcPr>
          <w:p w14:paraId="2272FEB9" w14:textId="6ECDF8D7" w:rsidR="007A7730" w:rsidRPr="00AB4C1A" w:rsidRDefault="007A7730" w:rsidP="007A7730">
            <w:pPr>
              <w:rPr>
                <w:rFonts w:ascii="Times New Roman" w:hAnsi="Times New Roman" w:cs="Times New Roman"/>
                <w:sz w:val="16"/>
                <w:szCs w:val="16"/>
              </w:rPr>
            </w:pPr>
            <w:r w:rsidRPr="00AB4C1A">
              <w:rPr>
                <w:rFonts w:ascii="Times New Roman" w:hAnsi="Times New Roman" w:cs="Times New Roman"/>
                <w:sz w:val="16"/>
                <w:szCs w:val="16"/>
              </w:rPr>
              <w:t xml:space="preserve">key for ‘Resulting </w:t>
            </w:r>
            <w:r w:rsidR="006B32FE" w:rsidRPr="00AB4C1A">
              <w:rPr>
                <w:rFonts w:ascii="Times New Roman" w:hAnsi="Times New Roman" w:cs="Times New Roman"/>
                <w:sz w:val="16"/>
                <w:szCs w:val="16"/>
              </w:rPr>
              <w:t>a</w:t>
            </w:r>
            <w:r w:rsidRPr="00AB4C1A">
              <w:rPr>
                <w:rFonts w:ascii="Times New Roman" w:hAnsi="Times New Roman" w:cs="Times New Roman"/>
                <w:sz w:val="16"/>
                <w:szCs w:val="16"/>
              </w:rPr>
              <w:t xml:space="preserve">ir </w:t>
            </w:r>
            <w:r w:rsidR="006B32FE" w:rsidRPr="00AB4C1A">
              <w:rPr>
                <w:rFonts w:ascii="Times New Roman" w:hAnsi="Times New Roman" w:cs="Times New Roman"/>
                <w:sz w:val="16"/>
                <w:szCs w:val="16"/>
              </w:rPr>
              <w:t>q</w:t>
            </w:r>
            <w:r w:rsidRPr="00AB4C1A">
              <w:rPr>
                <w:rFonts w:ascii="Times New Roman" w:hAnsi="Times New Roman" w:cs="Times New Roman"/>
                <w:sz w:val="16"/>
                <w:szCs w:val="16"/>
              </w:rPr>
              <w:t xml:space="preserve">uality </w:t>
            </w:r>
            <w:r w:rsidR="006B32FE" w:rsidRPr="00AB4C1A">
              <w:rPr>
                <w:rFonts w:ascii="Times New Roman" w:hAnsi="Times New Roman" w:cs="Times New Roman"/>
                <w:sz w:val="16"/>
                <w:szCs w:val="16"/>
              </w:rPr>
              <w:t>c</w:t>
            </w:r>
            <w:r w:rsidRPr="00AB4C1A">
              <w:rPr>
                <w:rFonts w:ascii="Times New Roman" w:hAnsi="Times New Roman" w:cs="Times New Roman"/>
                <w:sz w:val="16"/>
                <w:szCs w:val="16"/>
              </w:rPr>
              <w:t xml:space="preserve">hange’: 0 = no change; </w:t>
            </w:r>
            <w:r w:rsidRPr="00AB4C1A">
              <w:rPr>
                <w:rFonts w:ascii="Times New Roman" w:hAnsi="Times New Roman" w:cs="Times New Roman"/>
                <w:sz w:val="16"/>
                <w:szCs w:val="16"/>
              </w:rPr>
              <w:lastRenderedPageBreak/>
              <w:t>1 = improvement but continued exceedances; 2 = Improvement, pollutants below limit/objective</w:t>
            </w:r>
          </w:p>
        </w:tc>
        <w:tc>
          <w:tcPr>
            <w:tcW w:w="1559" w:type="dxa"/>
            <w:hideMark/>
          </w:tcPr>
          <w:p w14:paraId="30A2C9B0"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lastRenderedPageBreak/>
              <w:t>Resulting air quality change</w:t>
            </w:r>
          </w:p>
        </w:tc>
        <w:tc>
          <w:tcPr>
            <w:tcW w:w="1134" w:type="dxa"/>
            <w:hideMark/>
          </w:tcPr>
          <w:p w14:paraId="70202D8A"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1</w:t>
            </w:r>
          </w:p>
        </w:tc>
        <w:tc>
          <w:tcPr>
            <w:tcW w:w="1276" w:type="dxa"/>
            <w:hideMark/>
          </w:tcPr>
          <w:p w14:paraId="1D8007B6"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1</w:t>
            </w:r>
          </w:p>
        </w:tc>
        <w:tc>
          <w:tcPr>
            <w:tcW w:w="1276" w:type="dxa"/>
            <w:hideMark/>
          </w:tcPr>
          <w:p w14:paraId="53B49F44"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1</w:t>
            </w:r>
          </w:p>
        </w:tc>
        <w:tc>
          <w:tcPr>
            <w:tcW w:w="1276" w:type="dxa"/>
            <w:hideMark/>
          </w:tcPr>
          <w:p w14:paraId="534EDEDA"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1</w:t>
            </w:r>
          </w:p>
        </w:tc>
        <w:tc>
          <w:tcPr>
            <w:tcW w:w="1224" w:type="dxa"/>
            <w:hideMark/>
          </w:tcPr>
          <w:p w14:paraId="13C8214C"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0</w:t>
            </w:r>
          </w:p>
        </w:tc>
      </w:tr>
      <w:tr w:rsidR="00AB4C1A" w:rsidRPr="00AB4C1A" w14:paraId="5F68DD54" w14:textId="77777777" w:rsidTr="00D51999">
        <w:trPr>
          <w:trHeight w:val="290"/>
        </w:trPr>
        <w:tc>
          <w:tcPr>
            <w:tcW w:w="1271" w:type="dxa"/>
          </w:tcPr>
          <w:p w14:paraId="6EB93627" w14:textId="77777777" w:rsidR="007A7730" w:rsidRPr="00AB4C1A" w:rsidRDefault="007A7730" w:rsidP="007A7730">
            <w:pPr>
              <w:rPr>
                <w:rFonts w:ascii="Times New Roman" w:hAnsi="Times New Roman" w:cs="Times New Roman"/>
                <w:sz w:val="24"/>
                <w:szCs w:val="24"/>
              </w:rPr>
            </w:pPr>
          </w:p>
        </w:tc>
        <w:tc>
          <w:tcPr>
            <w:tcW w:w="1559" w:type="dxa"/>
            <w:hideMark/>
          </w:tcPr>
          <w:p w14:paraId="525F607E"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t>AQMA revocations</w:t>
            </w:r>
          </w:p>
        </w:tc>
        <w:tc>
          <w:tcPr>
            <w:tcW w:w="1134" w:type="dxa"/>
            <w:hideMark/>
          </w:tcPr>
          <w:p w14:paraId="30059206"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0</w:t>
            </w:r>
          </w:p>
        </w:tc>
        <w:tc>
          <w:tcPr>
            <w:tcW w:w="1276" w:type="dxa"/>
            <w:hideMark/>
          </w:tcPr>
          <w:p w14:paraId="60BFB842"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1</w:t>
            </w:r>
          </w:p>
        </w:tc>
        <w:tc>
          <w:tcPr>
            <w:tcW w:w="1276" w:type="dxa"/>
            <w:hideMark/>
          </w:tcPr>
          <w:p w14:paraId="360CB224"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2</w:t>
            </w:r>
          </w:p>
        </w:tc>
        <w:tc>
          <w:tcPr>
            <w:tcW w:w="1276" w:type="dxa"/>
            <w:hideMark/>
          </w:tcPr>
          <w:p w14:paraId="201AD3B7"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0</w:t>
            </w:r>
          </w:p>
        </w:tc>
        <w:tc>
          <w:tcPr>
            <w:tcW w:w="1224" w:type="dxa"/>
            <w:hideMark/>
          </w:tcPr>
          <w:p w14:paraId="4038D5A4"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0</w:t>
            </w:r>
          </w:p>
        </w:tc>
      </w:tr>
      <w:tr w:rsidR="00AB4C1A" w:rsidRPr="00AB4C1A" w14:paraId="0C2956DC" w14:textId="77777777" w:rsidTr="00D51999">
        <w:trPr>
          <w:trHeight w:val="290"/>
        </w:trPr>
        <w:tc>
          <w:tcPr>
            <w:tcW w:w="1271" w:type="dxa"/>
            <w:hideMark/>
          </w:tcPr>
          <w:p w14:paraId="54FFB6CE" w14:textId="77777777" w:rsidR="007A7730" w:rsidRPr="00AB4C1A" w:rsidRDefault="007A7730" w:rsidP="007A7730">
            <w:pPr>
              <w:rPr>
                <w:rFonts w:ascii="Times New Roman" w:hAnsi="Times New Roman" w:cs="Times New Roman"/>
                <w:sz w:val="24"/>
                <w:szCs w:val="24"/>
              </w:rPr>
            </w:pPr>
          </w:p>
        </w:tc>
        <w:tc>
          <w:tcPr>
            <w:tcW w:w="1559" w:type="dxa"/>
            <w:hideMark/>
          </w:tcPr>
          <w:p w14:paraId="7114EE20"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t>AQMA Creations</w:t>
            </w:r>
          </w:p>
        </w:tc>
        <w:tc>
          <w:tcPr>
            <w:tcW w:w="1134" w:type="dxa"/>
            <w:hideMark/>
          </w:tcPr>
          <w:p w14:paraId="4B00340A"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0</w:t>
            </w:r>
          </w:p>
        </w:tc>
        <w:tc>
          <w:tcPr>
            <w:tcW w:w="1276" w:type="dxa"/>
            <w:hideMark/>
          </w:tcPr>
          <w:p w14:paraId="61D94B8E"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0</w:t>
            </w:r>
          </w:p>
        </w:tc>
        <w:tc>
          <w:tcPr>
            <w:tcW w:w="1276" w:type="dxa"/>
            <w:hideMark/>
          </w:tcPr>
          <w:p w14:paraId="68348450"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2</w:t>
            </w:r>
          </w:p>
        </w:tc>
        <w:tc>
          <w:tcPr>
            <w:tcW w:w="1276" w:type="dxa"/>
            <w:hideMark/>
          </w:tcPr>
          <w:p w14:paraId="41C4E953"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0</w:t>
            </w:r>
          </w:p>
        </w:tc>
        <w:tc>
          <w:tcPr>
            <w:tcW w:w="1224" w:type="dxa"/>
            <w:hideMark/>
          </w:tcPr>
          <w:p w14:paraId="3A37DD16"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0</w:t>
            </w:r>
          </w:p>
        </w:tc>
      </w:tr>
      <w:tr w:rsidR="00AB4C1A" w:rsidRPr="00AB4C1A" w14:paraId="688DD105" w14:textId="77777777" w:rsidTr="00D51999">
        <w:trPr>
          <w:trHeight w:val="290"/>
        </w:trPr>
        <w:tc>
          <w:tcPr>
            <w:tcW w:w="1271" w:type="dxa"/>
            <w:hideMark/>
          </w:tcPr>
          <w:p w14:paraId="28F5DC70" w14:textId="77777777" w:rsidR="007A7730" w:rsidRPr="00AB4C1A" w:rsidRDefault="007A7730" w:rsidP="007A7730">
            <w:pPr>
              <w:rPr>
                <w:rFonts w:ascii="Times New Roman" w:hAnsi="Times New Roman" w:cs="Times New Roman"/>
                <w:sz w:val="24"/>
                <w:szCs w:val="24"/>
              </w:rPr>
            </w:pPr>
          </w:p>
        </w:tc>
        <w:tc>
          <w:tcPr>
            <w:tcW w:w="1559" w:type="dxa"/>
            <w:hideMark/>
          </w:tcPr>
          <w:p w14:paraId="7B167619"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t>Highest Annual mean NO</w:t>
            </w:r>
            <w:r w:rsidRPr="00AB4C1A">
              <w:rPr>
                <w:rFonts w:ascii="Times New Roman" w:hAnsi="Times New Roman" w:cs="Times New Roman"/>
                <w:b/>
                <w:bCs/>
                <w:sz w:val="24"/>
                <w:szCs w:val="24"/>
                <w:vertAlign w:val="subscript"/>
              </w:rPr>
              <w:t>2</w:t>
            </w:r>
            <w:r w:rsidRPr="00AB4C1A">
              <w:rPr>
                <w:rFonts w:ascii="Times New Roman" w:hAnsi="Times New Roman" w:cs="Times New Roman"/>
                <w:b/>
                <w:bCs/>
                <w:sz w:val="24"/>
                <w:szCs w:val="24"/>
              </w:rPr>
              <w:t xml:space="preserve"> value</w:t>
            </w:r>
          </w:p>
        </w:tc>
        <w:tc>
          <w:tcPr>
            <w:tcW w:w="1134" w:type="dxa"/>
            <w:hideMark/>
          </w:tcPr>
          <w:p w14:paraId="27BD8CE0"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66.8ug/m</w:t>
            </w:r>
            <w:r w:rsidRPr="00AB4C1A">
              <w:rPr>
                <w:rFonts w:ascii="Times New Roman" w:hAnsi="Times New Roman" w:cs="Times New Roman"/>
                <w:bCs/>
                <w:sz w:val="24"/>
                <w:szCs w:val="24"/>
                <w:vertAlign w:val="superscript"/>
              </w:rPr>
              <w:t>3</w:t>
            </w:r>
          </w:p>
        </w:tc>
        <w:tc>
          <w:tcPr>
            <w:tcW w:w="1276" w:type="dxa"/>
            <w:hideMark/>
          </w:tcPr>
          <w:p w14:paraId="2DD24784"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65ug/m</w:t>
            </w:r>
            <w:r w:rsidRPr="00AB4C1A">
              <w:rPr>
                <w:rFonts w:ascii="Times New Roman" w:hAnsi="Times New Roman" w:cs="Times New Roman"/>
                <w:bCs/>
                <w:sz w:val="24"/>
                <w:szCs w:val="24"/>
                <w:vertAlign w:val="superscript"/>
              </w:rPr>
              <w:t>3</w:t>
            </w:r>
          </w:p>
        </w:tc>
        <w:tc>
          <w:tcPr>
            <w:tcW w:w="1276" w:type="dxa"/>
            <w:hideMark/>
          </w:tcPr>
          <w:p w14:paraId="770E5A22"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95ug/m</w:t>
            </w:r>
            <w:r w:rsidRPr="00AB4C1A">
              <w:rPr>
                <w:rFonts w:ascii="Times New Roman" w:hAnsi="Times New Roman" w:cs="Times New Roman"/>
                <w:bCs/>
                <w:sz w:val="24"/>
                <w:szCs w:val="24"/>
                <w:vertAlign w:val="superscript"/>
              </w:rPr>
              <w:t>3</w:t>
            </w:r>
          </w:p>
        </w:tc>
        <w:tc>
          <w:tcPr>
            <w:tcW w:w="1276" w:type="dxa"/>
            <w:hideMark/>
          </w:tcPr>
          <w:p w14:paraId="7CA4B99E"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66ug/m</w:t>
            </w:r>
            <w:r w:rsidRPr="00AB4C1A">
              <w:rPr>
                <w:rFonts w:ascii="Times New Roman" w:hAnsi="Times New Roman" w:cs="Times New Roman"/>
                <w:bCs/>
                <w:sz w:val="24"/>
                <w:szCs w:val="24"/>
                <w:vertAlign w:val="superscript"/>
              </w:rPr>
              <w:t>3</w:t>
            </w:r>
          </w:p>
        </w:tc>
        <w:tc>
          <w:tcPr>
            <w:tcW w:w="1224" w:type="dxa"/>
            <w:hideMark/>
          </w:tcPr>
          <w:p w14:paraId="5671D88F"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61.1ug/m3</w:t>
            </w:r>
          </w:p>
        </w:tc>
      </w:tr>
      <w:tr w:rsidR="007A7730" w:rsidRPr="00AB4C1A" w14:paraId="4FB627D6" w14:textId="77777777" w:rsidTr="00D51999">
        <w:trPr>
          <w:trHeight w:val="580"/>
        </w:trPr>
        <w:tc>
          <w:tcPr>
            <w:tcW w:w="1271" w:type="dxa"/>
            <w:hideMark/>
          </w:tcPr>
          <w:p w14:paraId="23989C50" w14:textId="77777777" w:rsidR="007A7730" w:rsidRPr="00AB4C1A" w:rsidRDefault="007A7730" w:rsidP="007A7730">
            <w:pPr>
              <w:rPr>
                <w:rFonts w:ascii="Times New Roman" w:hAnsi="Times New Roman" w:cs="Times New Roman"/>
                <w:sz w:val="24"/>
                <w:szCs w:val="24"/>
              </w:rPr>
            </w:pPr>
          </w:p>
        </w:tc>
        <w:tc>
          <w:tcPr>
            <w:tcW w:w="1559" w:type="dxa"/>
            <w:hideMark/>
          </w:tcPr>
          <w:p w14:paraId="30B16754" w14:textId="77777777" w:rsidR="007A7730" w:rsidRPr="00AB4C1A" w:rsidRDefault="007A7730" w:rsidP="007A7730">
            <w:pPr>
              <w:rPr>
                <w:rFonts w:ascii="Times New Roman" w:hAnsi="Times New Roman" w:cs="Times New Roman"/>
                <w:b/>
                <w:bCs/>
                <w:sz w:val="24"/>
                <w:szCs w:val="24"/>
              </w:rPr>
            </w:pPr>
            <w:r w:rsidRPr="00AB4C1A">
              <w:rPr>
                <w:rFonts w:ascii="Times New Roman" w:hAnsi="Times New Roman" w:cs="Times New Roman"/>
                <w:b/>
                <w:bCs/>
                <w:sz w:val="24"/>
                <w:szCs w:val="24"/>
              </w:rPr>
              <w:t>Difference NO</w:t>
            </w:r>
            <w:r w:rsidRPr="00AB4C1A">
              <w:rPr>
                <w:rFonts w:ascii="Times New Roman" w:hAnsi="Times New Roman" w:cs="Times New Roman"/>
                <w:b/>
                <w:bCs/>
                <w:sz w:val="24"/>
                <w:szCs w:val="24"/>
                <w:vertAlign w:val="subscript"/>
              </w:rPr>
              <w:t>2</w:t>
            </w:r>
            <w:r w:rsidRPr="00AB4C1A">
              <w:rPr>
                <w:rFonts w:ascii="Times New Roman" w:hAnsi="Times New Roman" w:cs="Times New Roman"/>
                <w:b/>
                <w:bCs/>
                <w:sz w:val="24"/>
                <w:szCs w:val="24"/>
              </w:rPr>
              <w:t xml:space="preserve"> from limit value</w:t>
            </w:r>
          </w:p>
        </w:tc>
        <w:tc>
          <w:tcPr>
            <w:tcW w:w="1134" w:type="dxa"/>
            <w:hideMark/>
          </w:tcPr>
          <w:p w14:paraId="20D5D92F"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26.8ug/m</w:t>
            </w:r>
            <w:r w:rsidRPr="00AB4C1A">
              <w:rPr>
                <w:rFonts w:ascii="Times New Roman" w:hAnsi="Times New Roman" w:cs="Times New Roman"/>
                <w:bCs/>
                <w:sz w:val="24"/>
                <w:szCs w:val="24"/>
                <w:vertAlign w:val="superscript"/>
              </w:rPr>
              <w:t>3</w:t>
            </w:r>
          </w:p>
        </w:tc>
        <w:tc>
          <w:tcPr>
            <w:tcW w:w="1276" w:type="dxa"/>
            <w:hideMark/>
          </w:tcPr>
          <w:p w14:paraId="46F9A77B"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25ug/m</w:t>
            </w:r>
            <w:r w:rsidRPr="00AB4C1A">
              <w:rPr>
                <w:rFonts w:ascii="Times New Roman" w:hAnsi="Times New Roman" w:cs="Times New Roman"/>
                <w:bCs/>
                <w:sz w:val="24"/>
                <w:szCs w:val="24"/>
                <w:vertAlign w:val="superscript"/>
              </w:rPr>
              <w:t>3</w:t>
            </w:r>
          </w:p>
        </w:tc>
        <w:tc>
          <w:tcPr>
            <w:tcW w:w="1276" w:type="dxa"/>
            <w:hideMark/>
          </w:tcPr>
          <w:p w14:paraId="729AF77E"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55ug/m</w:t>
            </w:r>
            <w:r w:rsidRPr="00AB4C1A">
              <w:rPr>
                <w:rFonts w:ascii="Times New Roman" w:hAnsi="Times New Roman" w:cs="Times New Roman"/>
                <w:bCs/>
                <w:sz w:val="24"/>
                <w:szCs w:val="24"/>
                <w:vertAlign w:val="superscript"/>
              </w:rPr>
              <w:t>3</w:t>
            </w:r>
          </w:p>
        </w:tc>
        <w:tc>
          <w:tcPr>
            <w:tcW w:w="1276" w:type="dxa"/>
            <w:hideMark/>
          </w:tcPr>
          <w:p w14:paraId="3E15867F" w14:textId="77777777" w:rsidR="007A7730" w:rsidRPr="00AB4C1A" w:rsidRDefault="007A7730" w:rsidP="007A7730">
            <w:pPr>
              <w:jc w:val="center"/>
              <w:rPr>
                <w:rFonts w:ascii="Times New Roman" w:hAnsi="Times New Roman" w:cs="Times New Roman"/>
                <w:bCs/>
                <w:sz w:val="24"/>
                <w:szCs w:val="24"/>
              </w:rPr>
            </w:pPr>
            <w:r w:rsidRPr="00AB4C1A">
              <w:rPr>
                <w:rFonts w:ascii="Times New Roman" w:hAnsi="Times New Roman" w:cs="Times New Roman"/>
                <w:bCs/>
                <w:sz w:val="24"/>
                <w:szCs w:val="24"/>
              </w:rPr>
              <w:t>26ug/m</w:t>
            </w:r>
            <w:r w:rsidRPr="00AB4C1A">
              <w:rPr>
                <w:rFonts w:ascii="Times New Roman" w:hAnsi="Times New Roman" w:cs="Times New Roman"/>
                <w:bCs/>
                <w:sz w:val="24"/>
                <w:szCs w:val="24"/>
                <w:vertAlign w:val="superscript"/>
              </w:rPr>
              <w:t>3</w:t>
            </w:r>
          </w:p>
        </w:tc>
        <w:tc>
          <w:tcPr>
            <w:tcW w:w="1224" w:type="dxa"/>
            <w:hideMark/>
          </w:tcPr>
          <w:p w14:paraId="5AD59B5D" w14:textId="77777777" w:rsidR="007A7730" w:rsidRPr="00AB4C1A" w:rsidRDefault="007A7730" w:rsidP="007A7730">
            <w:pPr>
              <w:jc w:val="center"/>
              <w:rPr>
                <w:rFonts w:ascii="Times New Roman" w:hAnsi="Times New Roman" w:cs="Times New Roman"/>
                <w:sz w:val="24"/>
                <w:szCs w:val="24"/>
              </w:rPr>
            </w:pPr>
            <w:r w:rsidRPr="00AB4C1A">
              <w:rPr>
                <w:rFonts w:ascii="Times New Roman" w:hAnsi="Times New Roman" w:cs="Times New Roman"/>
                <w:sz w:val="24"/>
                <w:szCs w:val="24"/>
              </w:rPr>
              <w:t>21.1ug/m3</w:t>
            </w:r>
          </w:p>
        </w:tc>
      </w:tr>
    </w:tbl>
    <w:p w14:paraId="1A23098C" w14:textId="77777777" w:rsidR="0006218D" w:rsidRPr="00AB4C1A" w:rsidRDefault="0006218D" w:rsidP="00CB2EFD">
      <w:pPr>
        <w:spacing w:line="240" w:lineRule="auto"/>
        <w:rPr>
          <w:rFonts w:ascii="Times New Roman" w:hAnsi="Times New Roman" w:cs="Times New Roman"/>
          <w:sz w:val="24"/>
          <w:szCs w:val="24"/>
        </w:rPr>
      </w:pPr>
    </w:p>
    <w:p w14:paraId="4D31FA4E" w14:textId="77777777" w:rsidR="00C4160D" w:rsidRPr="00AB4C1A" w:rsidRDefault="000E20A4" w:rsidP="00CB2EFD">
      <w:pPr>
        <w:pStyle w:val="NoSpacing"/>
        <w:rPr>
          <w:rFonts w:ascii="Times New Roman" w:hAnsi="Times New Roman" w:cs="Times New Roman"/>
          <w:b/>
          <w:bCs/>
          <w:i/>
          <w:iCs/>
          <w:sz w:val="24"/>
          <w:szCs w:val="24"/>
        </w:rPr>
      </w:pPr>
      <w:r w:rsidRPr="00AB4C1A">
        <w:rPr>
          <w:rFonts w:ascii="Times New Roman" w:hAnsi="Times New Roman" w:cs="Times New Roman"/>
          <w:b/>
          <w:bCs/>
          <w:i/>
          <w:iCs/>
          <w:sz w:val="24"/>
          <w:szCs w:val="24"/>
        </w:rPr>
        <w:t>Implementation performance of UK Cities</w:t>
      </w:r>
      <w:r w:rsidR="004C1896" w:rsidRPr="00AB4C1A">
        <w:rPr>
          <w:rFonts w:ascii="Times New Roman" w:hAnsi="Times New Roman" w:cs="Times New Roman"/>
          <w:b/>
          <w:bCs/>
          <w:i/>
          <w:iCs/>
          <w:sz w:val="24"/>
          <w:szCs w:val="24"/>
        </w:rPr>
        <w:br/>
      </w:r>
    </w:p>
    <w:p w14:paraId="115C4FE4" w14:textId="6ED03DB9" w:rsidR="00294878" w:rsidRPr="00AB4C1A" w:rsidRDefault="00294878"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The results show both similarities and variations in implementation performance of AQAPs across the </w:t>
      </w:r>
      <w:r w:rsidR="00462D53" w:rsidRPr="00AB4C1A">
        <w:rPr>
          <w:rFonts w:ascii="Times New Roman" w:hAnsi="Times New Roman" w:cs="Times New Roman"/>
          <w:sz w:val="24"/>
          <w:szCs w:val="24"/>
        </w:rPr>
        <w:t>five</w:t>
      </w:r>
      <w:r w:rsidRPr="00AB4C1A">
        <w:rPr>
          <w:rFonts w:ascii="Times New Roman" w:hAnsi="Times New Roman" w:cs="Times New Roman"/>
          <w:sz w:val="24"/>
          <w:szCs w:val="24"/>
        </w:rPr>
        <w:t xml:space="preserve"> UK cities. </w:t>
      </w:r>
      <w:r w:rsidR="0022609C" w:rsidRPr="00AB4C1A">
        <w:rPr>
          <w:rFonts w:ascii="Times New Roman" w:hAnsi="Times New Roman" w:cs="Times New Roman"/>
          <w:sz w:val="24"/>
          <w:szCs w:val="24"/>
        </w:rPr>
        <w:t>There is a variety of scales at which cities’ have produced their AQAPs; a very local scale, e.g. Newcastle, and regional scale, e.g. Leeds.</w:t>
      </w:r>
      <w:r w:rsidR="009608B8" w:rsidRPr="00AB4C1A">
        <w:rPr>
          <w:rFonts w:ascii="Times New Roman" w:hAnsi="Times New Roman" w:cs="Times New Roman"/>
          <w:sz w:val="24"/>
          <w:szCs w:val="24"/>
        </w:rPr>
        <w:t xml:space="preserve"> Other cities have chosen to integrate their plans within other policies, e.g. West of England Partnership’s LTP.</w:t>
      </w:r>
      <w:r w:rsidR="0022609C" w:rsidRPr="00AB4C1A">
        <w:rPr>
          <w:rFonts w:ascii="Times New Roman" w:hAnsi="Times New Roman" w:cs="Times New Roman"/>
          <w:sz w:val="24"/>
          <w:szCs w:val="24"/>
        </w:rPr>
        <w:t xml:space="preserve"> B</w:t>
      </w:r>
      <w:r w:rsidRPr="00AB4C1A">
        <w:rPr>
          <w:rFonts w:ascii="Times New Roman" w:hAnsi="Times New Roman" w:cs="Times New Roman"/>
          <w:sz w:val="24"/>
          <w:szCs w:val="24"/>
        </w:rPr>
        <w:t>oth Transport Measures and the Scope dimension are the highest scoring.</w:t>
      </w:r>
      <w:r w:rsidR="009608B8" w:rsidRPr="00AB4C1A">
        <w:rPr>
          <w:rFonts w:ascii="Times New Roman" w:hAnsi="Times New Roman" w:cs="Times New Roman"/>
          <w:sz w:val="24"/>
          <w:szCs w:val="24"/>
        </w:rPr>
        <w:t xml:space="preserve"> </w:t>
      </w:r>
      <w:r w:rsidRPr="00AB4C1A">
        <w:rPr>
          <w:rFonts w:ascii="Times New Roman" w:hAnsi="Times New Roman" w:cs="Times New Roman"/>
          <w:sz w:val="24"/>
          <w:szCs w:val="24"/>
        </w:rPr>
        <w:t xml:space="preserve">Other than this, no other correlation is </w:t>
      </w:r>
      <w:r w:rsidR="00F935DF" w:rsidRPr="00AB4C1A">
        <w:rPr>
          <w:rFonts w:ascii="Times New Roman" w:hAnsi="Times New Roman" w:cs="Times New Roman"/>
          <w:sz w:val="24"/>
          <w:szCs w:val="24"/>
        </w:rPr>
        <w:t>made,</w:t>
      </w:r>
      <w:r w:rsidRPr="00AB4C1A">
        <w:rPr>
          <w:rFonts w:ascii="Times New Roman" w:hAnsi="Times New Roman" w:cs="Times New Roman"/>
          <w:sz w:val="24"/>
          <w:szCs w:val="24"/>
        </w:rPr>
        <w:t xml:space="preserve"> and each city is unique in its scores.</w:t>
      </w:r>
      <w:r w:rsidR="00F935DF" w:rsidRPr="00AB4C1A">
        <w:rPr>
          <w:rFonts w:ascii="Times New Roman" w:hAnsi="Times New Roman" w:cs="Times New Roman"/>
          <w:sz w:val="24"/>
          <w:szCs w:val="24"/>
        </w:rPr>
        <w:t xml:space="preserve"> Lastly</w:t>
      </w:r>
      <w:r w:rsidRPr="00AB4C1A">
        <w:rPr>
          <w:rFonts w:ascii="Times New Roman" w:hAnsi="Times New Roman" w:cs="Times New Roman"/>
          <w:sz w:val="24"/>
          <w:szCs w:val="24"/>
        </w:rPr>
        <w:t xml:space="preserve">, </w:t>
      </w:r>
      <w:r w:rsidR="00462D53" w:rsidRPr="00AB4C1A">
        <w:rPr>
          <w:rFonts w:ascii="Times New Roman" w:hAnsi="Times New Roman" w:cs="Times New Roman"/>
          <w:sz w:val="24"/>
          <w:szCs w:val="24"/>
        </w:rPr>
        <w:t xml:space="preserve">the </w:t>
      </w:r>
      <w:r w:rsidRPr="00AB4C1A">
        <w:rPr>
          <w:rFonts w:ascii="Times New Roman" w:hAnsi="Times New Roman" w:cs="Times New Roman"/>
          <w:sz w:val="24"/>
          <w:szCs w:val="24"/>
        </w:rPr>
        <w:t>overall highest</w:t>
      </w:r>
      <w:r w:rsidR="00462D53" w:rsidRPr="00AB4C1A">
        <w:rPr>
          <w:rFonts w:ascii="Times New Roman" w:hAnsi="Times New Roman" w:cs="Times New Roman"/>
          <w:sz w:val="24"/>
          <w:szCs w:val="24"/>
        </w:rPr>
        <w:t>-</w:t>
      </w:r>
      <w:r w:rsidRPr="00AB4C1A">
        <w:rPr>
          <w:rFonts w:ascii="Times New Roman" w:hAnsi="Times New Roman" w:cs="Times New Roman"/>
          <w:sz w:val="24"/>
          <w:szCs w:val="24"/>
        </w:rPr>
        <w:t xml:space="preserve">scoring city is Manchester and </w:t>
      </w:r>
      <w:r w:rsidR="00462D53" w:rsidRPr="00AB4C1A">
        <w:rPr>
          <w:rFonts w:ascii="Times New Roman" w:hAnsi="Times New Roman" w:cs="Times New Roman"/>
          <w:sz w:val="24"/>
          <w:szCs w:val="24"/>
        </w:rPr>
        <w:t xml:space="preserve">the </w:t>
      </w:r>
      <w:r w:rsidRPr="00AB4C1A">
        <w:rPr>
          <w:rFonts w:ascii="Times New Roman" w:hAnsi="Times New Roman" w:cs="Times New Roman"/>
          <w:sz w:val="24"/>
          <w:szCs w:val="24"/>
        </w:rPr>
        <w:t>lowest</w:t>
      </w:r>
      <w:r w:rsidR="00462D53" w:rsidRPr="00AB4C1A">
        <w:rPr>
          <w:rFonts w:ascii="Times New Roman" w:hAnsi="Times New Roman" w:cs="Times New Roman"/>
          <w:sz w:val="24"/>
          <w:szCs w:val="24"/>
        </w:rPr>
        <w:t>-</w:t>
      </w:r>
      <w:r w:rsidRPr="00AB4C1A">
        <w:rPr>
          <w:rFonts w:ascii="Times New Roman" w:hAnsi="Times New Roman" w:cs="Times New Roman"/>
          <w:sz w:val="24"/>
          <w:szCs w:val="24"/>
        </w:rPr>
        <w:t xml:space="preserve">scoring is Newcastle, </w:t>
      </w:r>
      <w:r w:rsidR="00CF31D1" w:rsidRPr="00AB4C1A">
        <w:rPr>
          <w:rFonts w:ascii="Times New Roman" w:hAnsi="Times New Roman" w:cs="Times New Roman"/>
          <w:sz w:val="24"/>
          <w:szCs w:val="24"/>
        </w:rPr>
        <w:t xml:space="preserve">which </w:t>
      </w:r>
      <w:r w:rsidRPr="00AB4C1A">
        <w:rPr>
          <w:rFonts w:ascii="Times New Roman" w:hAnsi="Times New Roman" w:cs="Times New Roman"/>
          <w:sz w:val="24"/>
          <w:szCs w:val="24"/>
        </w:rPr>
        <w:t xml:space="preserve">is not necessarily reflected in </w:t>
      </w:r>
      <w:r w:rsidR="00462D53" w:rsidRPr="00AB4C1A">
        <w:rPr>
          <w:rFonts w:ascii="Times New Roman" w:hAnsi="Times New Roman" w:cs="Times New Roman"/>
          <w:sz w:val="24"/>
          <w:szCs w:val="24"/>
        </w:rPr>
        <w:t xml:space="preserve">the </w:t>
      </w:r>
      <w:r w:rsidRPr="00AB4C1A">
        <w:rPr>
          <w:rFonts w:ascii="Times New Roman" w:hAnsi="Times New Roman" w:cs="Times New Roman"/>
          <w:sz w:val="24"/>
          <w:szCs w:val="24"/>
        </w:rPr>
        <w:t>outcome results.</w:t>
      </w:r>
      <w:r w:rsidR="0012433B" w:rsidRPr="00AB4C1A">
        <w:rPr>
          <w:rFonts w:ascii="Times New Roman" w:hAnsi="Times New Roman" w:cs="Times New Roman"/>
          <w:sz w:val="24"/>
          <w:szCs w:val="24"/>
        </w:rPr>
        <w:t xml:space="preserve"> </w:t>
      </w:r>
    </w:p>
    <w:p w14:paraId="1D71913B" w14:textId="77777777" w:rsidR="00BD282A" w:rsidRPr="00AB4C1A" w:rsidDel="0022609C" w:rsidRDefault="006E2863" w:rsidP="00CB2EFD">
      <w:pPr>
        <w:rPr>
          <w:rFonts w:ascii="Times New Roman" w:hAnsi="Times New Roman" w:cs="Times New Roman"/>
          <w:b/>
          <w:bCs/>
          <w:sz w:val="24"/>
          <w:szCs w:val="24"/>
        </w:rPr>
      </w:pPr>
      <w:r w:rsidRPr="00AB4C1A" w:rsidDel="0022609C">
        <w:rPr>
          <w:rFonts w:ascii="Times New Roman" w:hAnsi="Times New Roman" w:cs="Times New Roman"/>
          <w:b/>
          <w:bCs/>
          <w:sz w:val="24"/>
          <w:szCs w:val="24"/>
        </w:rPr>
        <w:t xml:space="preserve">Analysis &amp; </w:t>
      </w:r>
      <w:r w:rsidR="00BD282A" w:rsidRPr="00AB4C1A" w:rsidDel="0022609C">
        <w:rPr>
          <w:rFonts w:ascii="Times New Roman" w:hAnsi="Times New Roman" w:cs="Times New Roman"/>
          <w:b/>
          <w:bCs/>
          <w:sz w:val="24"/>
          <w:szCs w:val="24"/>
        </w:rPr>
        <w:t>Discussion</w:t>
      </w:r>
    </w:p>
    <w:p w14:paraId="28DD4F24" w14:textId="446B38F6" w:rsidR="001D6A9C" w:rsidRPr="00AB4C1A" w:rsidDel="0022609C" w:rsidRDefault="0045221D" w:rsidP="001D6A9C">
      <w:pPr>
        <w:spacing w:line="240" w:lineRule="auto"/>
        <w:rPr>
          <w:rFonts w:ascii="Times New Roman" w:hAnsi="Times New Roman" w:cs="Times New Roman"/>
          <w:sz w:val="24"/>
          <w:szCs w:val="24"/>
        </w:rPr>
      </w:pPr>
      <w:r w:rsidRPr="00AB4C1A" w:rsidDel="0022609C">
        <w:rPr>
          <w:rFonts w:ascii="Times New Roman" w:hAnsi="Times New Roman" w:cs="Times New Roman"/>
          <w:sz w:val="24"/>
          <w:szCs w:val="24"/>
        </w:rPr>
        <w:t>By developing a policy-informed, country-specific and integrated and systemised scoring system, this paper</w:t>
      </w:r>
      <w:r w:rsidR="001D6A9C" w:rsidRPr="00AB4C1A" w:rsidDel="0022609C">
        <w:rPr>
          <w:rFonts w:ascii="Times New Roman" w:hAnsi="Times New Roman" w:cs="Times New Roman"/>
          <w:sz w:val="24"/>
          <w:szCs w:val="24"/>
        </w:rPr>
        <w:t xml:space="preserve"> </w:t>
      </w:r>
      <w:r w:rsidRPr="00AB4C1A" w:rsidDel="0022609C">
        <w:rPr>
          <w:rFonts w:ascii="Times New Roman" w:hAnsi="Times New Roman" w:cs="Times New Roman"/>
          <w:sz w:val="24"/>
          <w:szCs w:val="24"/>
        </w:rPr>
        <w:t>contributes</w:t>
      </w:r>
      <w:r w:rsidR="001D6A9C" w:rsidRPr="00AB4C1A" w:rsidDel="0022609C">
        <w:rPr>
          <w:rFonts w:ascii="Times New Roman" w:hAnsi="Times New Roman" w:cs="Times New Roman"/>
          <w:sz w:val="24"/>
          <w:szCs w:val="24"/>
        </w:rPr>
        <w:t xml:space="preserve"> to overcome the air quality policy disconnect</w:t>
      </w:r>
      <w:r w:rsidR="006D4002" w:rsidRPr="00AB4C1A" w:rsidDel="0022609C">
        <w:rPr>
          <w:rFonts w:ascii="Times New Roman" w:hAnsi="Times New Roman" w:cs="Times New Roman"/>
          <w:sz w:val="24"/>
          <w:szCs w:val="24"/>
        </w:rPr>
        <w:t xml:space="preserve"> between LAQM and the AAQD</w:t>
      </w:r>
      <w:r w:rsidRPr="00AB4C1A" w:rsidDel="0022609C">
        <w:rPr>
          <w:rFonts w:ascii="Times New Roman" w:hAnsi="Times New Roman" w:cs="Times New Roman"/>
          <w:sz w:val="24"/>
          <w:szCs w:val="24"/>
        </w:rPr>
        <w:t xml:space="preserve"> that exists in the UK</w:t>
      </w:r>
      <w:r w:rsidR="00D052A8" w:rsidRPr="00AB4C1A">
        <w:rPr>
          <w:rFonts w:ascii="Times New Roman" w:hAnsi="Times New Roman" w:cs="Times New Roman"/>
          <w:sz w:val="24"/>
          <w:szCs w:val="24"/>
        </w:rPr>
        <w:t>,</w:t>
      </w:r>
      <w:r w:rsidR="003F4B8B" w:rsidRPr="00AB4C1A">
        <w:rPr>
          <w:rFonts w:ascii="Times New Roman" w:hAnsi="Times New Roman" w:cs="Times New Roman"/>
          <w:sz w:val="24"/>
          <w:szCs w:val="24"/>
        </w:rPr>
        <w:t xml:space="preserve"> and </w:t>
      </w:r>
      <w:r w:rsidR="00E03151" w:rsidRPr="00AB4C1A">
        <w:rPr>
          <w:rFonts w:ascii="Times New Roman" w:hAnsi="Times New Roman" w:cs="Times New Roman"/>
          <w:sz w:val="24"/>
          <w:szCs w:val="24"/>
        </w:rPr>
        <w:t>in so doing</w:t>
      </w:r>
      <w:r w:rsidR="005F2FBB" w:rsidRPr="00AB4C1A">
        <w:rPr>
          <w:rFonts w:ascii="Times New Roman" w:hAnsi="Times New Roman" w:cs="Times New Roman"/>
          <w:sz w:val="24"/>
          <w:szCs w:val="24"/>
        </w:rPr>
        <w:t>,</w:t>
      </w:r>
      <w:r w:rsidR="00E03151" w:rsidRPr="00AB4C1A">
        <w:rPr>
          <w:rFonts w:ascii="Times New Roman" w:hAnsi="Times New Roman" w:cs="Times New Roman"/>
          <w:sz w:val="24"/>
          <w:szCs w:val="24"/>
        </w:rPr>
        <w:t xml:space="preserve"> </w:t>
      </w:r>
      <w:r w:rsidR="003F4B8B" w:rsidRPr="00AB4C1A">
        <w:rPr>
          <w:rFonts w:ascii="Times New Roman" w:hAnsi="Times New Roman" w:cs="Times New Roman"/>
          <w:sz w:val="24"/>
          <w:szCs w:val="24"/>
        </w:rPr>
        <w:t xml:space="preserve">contributes to implementation literature </w:t>
      </w:r>
      <w:r w:rsidR="005F2FBB" w:rsidRPr="00AB4C1A">
        <w:rPr>
          <w:rFonts w:ascii="Times New Roman" w:hAnsi="Times New Roman" w:cs="Times New Roman"/>
          <w:sz w:val="24"/>
          <w:szCs w:val="24"/>
        </w:rPr>
        <w:t xml:space="preserve">on </w:t>
      </w:r>
      <w:r w:rsidR="003F4B8B" w:rsidRPr="00AB4C1A">
        <w:rPr>
          <w:rFonts w:ascii="Times New Roman" w:hAnsi="Times New Roman" w:cs="Times New Roman"/>
          <w:sz w:val="24"/>
          <w:szCs w:val="24"/>
        </w:rPr>
        <w:t>multi-level systems</w:t>
      </w:r>
      <w:r w:rsidR="001D6A9C" w:rsidRPr="00AB4C1A" w:rsidDel="0022609C">
        <w:rPr>
          <w:rFonts w:ascii="Times New Roman" w:hAnsi="Times New Roman" w:cs="Times New Roman"/>
          <w:sz w:val="24"/>
          <w:szCs w:val="24"/>
        </w:rPr>
        <w:t xml:space="preserve">.  This analysis highlights how the </w:t>
      </w:r>
      <w:r w:rsidR="0076741F" w:rsidRPr="00AB4C1A" w:rsidDel="0022609C">
        <w:rPr>
          <w:rFonts w:ascii="Times New Roman" w:hAnsi="Times New Roman" w:cs="Times New Roman"/>
          <w:sz w:val="24"/>
          <w:szCs w:val="24"/>
        </w:rPr>
        <w:t>Bridging F</w:t>
      </w:r>
      <w:r w:rsidR="001D6A9C" w:rsidRPr="00AB4C1A" w:rsidDel="0022609C">
        <w:rPr>
          <w:rFonts w:ascii="Times New Roman" w:hAnsi="Times New Roman" w:cs="Times New Roman"/>
          <w:sz w:val="24"/>
          <w:szCs w:val="24"/>
        </w:rPr>
        <w:t xml:space="preserve">ramework can be used to analyse AQAPs implementation performance across an array of aspects. For example, </w:t>
      </w:r>
      <w:r w:rsidR="00C34F64" w:rsidRPr="00AB4C1A">
        <w:rPr>
          <w:rFonts w:ascii="Times New Roman" w:hAnsi="Times New Roman" w:cs="Times New Roman"/>
          <w:sz w:val="24"/>
          <w:szCs w:val="24"/>
        </w:rPr>
        <w:t>i</w:t>
      </w:r>
      <w:r w:rsidR="001D6A9C" w:rsidRPr="00AB4C1A" w:rsidDel="0022609C">
        <w:rPr>
          <w:rFonts w:ascii="Times New Roman" w:hAnsi="Times New Roman" w:cs="Times New Roman"/>
          <w:sz w:val="24"/>
          <w:szCs w:val="24"/>
        </w:rPr>
        <w:t xml:space="preserve">t reflects areas of priority for </w:t>
      </w:r>
      <w:r w:rsidR="00C34F64" w:rsidRPr="00AB4C1A">
        <w:rPr>
          <w:rFonts w:ascii="Times New Roman" w:hAnsi="Times New Roman" w:cs="Times New Roman"/>
          <w:sz w:val="24"/>
          <w:szCs w:val="24"/>
        </w:rPr>
        <w:t>LAs</w:t>
      </w:r>
      <w:r w:rsidR="001D6A9C" w:rsidRPr="00AB4C1A" w:rsidDel="0022609C">
        <w:rPr>
          <w:rFonts w:ascii="Times New Roman" w:hAnsi="Times New Roman" w:cs="Times New Roman"/>
          <w:sz w:val="24"/>
          <w:szCs w:val="24"/>
        </w:rPr>
        <w:t xml:space="preserve">, and fundamentally where improvement is needed. It also enables </w:t>
      </w:r>
      <w:r w:rsidR="007D6D3B" w:rsidRPr="00AB4C1A">
        <w:rPr>
          <w:rFonts w:ascii="Times New Roman" w:hAnsi="Times New Roman" w:cs="Times New Roman"/>
          <w:sz w:val="24"/>
          <w:szCs w:val="24"/>
        </w:rPr>
        <w:t>a detailed</w:t>
      </w:r>
      <w:r w:rsidR="007D6D3B" w:rsidRPr="00AB4C1A" w:rsidDel="0022609C">
        <w:rPr>
          <w:rFonts w:ascii="Times New Roman" w:hAnsi="Times New Roman" w:cs="Times New Roman"/>
          <w:sz w:val="24"/>
          <w:szCs w:val="24"/>
        </w:rPr>
        <w:t xml:space="preserve"> </w:t>
      </w:r>
      <w:r w:rsidR="001D6A9C" w:rsidRPr="00AB4C1A" w:rsidDel="0022609C">
        <w:rPr>
          <w:rFonts w:ascii="Times New Roman" w:hAnsi="Times New Roman" w:cs="Times New Roman"/>
          <w:sz w:val="24"/>
          <w:szCs w:val="24"/>
        </w:rPr>
        <w:t xml:space="preserve">exploration of individual </w:t>
      </w:r>
      <w:r w:rsidR="00CC72B2" w:rsidRPr="00AB4C1A" w:rsidDel="0022609C">
        <w:rPr>
          <w:rFonts w:ascii="Times New Roman" w:hAnsi="Times New Roman" w:cs="Times New Roman"/>
          <w:sz w:val="24"/>
          <w:szCs w:val="24"/>
        </w:rPr>
        <w:t>ci</w:t>
      </w:r>
      <w:r w:rsidR="00CC72B2" w:rsidRPr="00AB4C1A">
        <w:rPr>
          <w:rFonts w:ascii="Times New Roman" w:hAnsi="Times New Roman" w:cs="Times New Roman"/>
          <w:sz w:val="24"/>
          <w:szCs w:val="24"/>
        </w:rPr>
        <w:t>t</w:t>
      </w:r>
      <w:r w:rsidR="005F2FBB" w:rsidRPr="00AB4C1A">
        <w:rPr>
          <w:rFonts w:ascii="Times New Roman" w:hAnsi="Times New Roman" w:cs="Times New Roman"/>
          <w:sz w:val="24"/>
          <w:szCs w:val="24"/>
        </w:rPr>
        <w:t>ies’</w:t>
      </w:r>
      <w:r w:rsidR="00CC72B2" w:rsidRPr="00AB4C1A" w:rsidDel="0022609C">
        <w:rPr>
          <w:rFonts w:ascii="Times New Roman" w:hAnsi="Times New Roman" w:cs="Times New Roman"/>
          <w:sz w:val="24"/>
          <w:szCs w:val="24"/>
        </w:rPr>
        <w:t xml:space="preserve"> </w:t>
      </w:r>
      <w:r w:rsidR="001D6A9C" w:rsidRPr="00AB4C1A" w:rsidDel="0022609C">
        <w:rPr>
          <w:rFonts w:ascii="Times New Roman" w:hAnsi="Times New Roman" w:cs="Times New Roman"/>
          <w:sz w:val="24"/>
          <w:szCs w:val="24"/>
        </w:rPr>
        <w:t xml:space="preserve">air quality circumstances. Finally, this </w:t>
      </w:r>
      <w:r w:rsidR="0076741F" w:rsidRPr="00AB4C1A" w:rsidDel="0022609C">
        <w:rPr>
          <w:rFonts w:ascii="Times New Roman" w:hAnsi="Times New Roman" w:cs="Times New Roman"/>
          <w:sz w:val="24"/>
          <w:szCs w:val="24"/>
        </w:rPr>
        <w:t>Bridging F</w:t>
      </w:r>
      <w:r w:rsidR="001D6A9C" w:rsidRPr="00AB4C1A" w:rsidDel="0022609C">
        <w:rPr>
          <w:rFonts w:ascii="Times New Roman" w:hAnsi="Times New Roman" w:cs="Times New Roman"/>
          <w:sz w:val="24"/>
          <w:szCs w:val="24"/>
        </w:rPr>
        <w:t>ramework allows for the collation of relevant policy documents</w:t>
      </w:r>
      <w:r w:rsidR="00E4577C" w:rsidRPr="00AB4C1A" w:rsidDel="0022609C">
        <w:rPr>
          <w:rFonts w:ascii="Times New Roman" w:hAnsi="Times New Roman" w:cs="Times New Roman"/>
          <w:sz w:val="24"/>
          <w:szCs w:val="24"/>
        </w:rPr>
        <w:t>,</w:t>
      </w:r>
      <w:r w:rsidR="001D6A9C" w:rsidRPr="00AB4C1A" w:rsidDel="0022609C">
        <w:rPr>
          <w:rFonts w:ascii="Times New Roman" w:hAnsi="Times New Roman" w:cs="Times New Roman"/>
          <w:sz w:val="24"/>
          <w:szCs w:val="24"/>
        </w:rPr>
        <w:t xml:space="preserve"> such as ASRs</w:t>
      </w:r>
      <w:r w:rsidR="00E4577C" w:rsidRPr="00AB4C1A" w:rsidDel="0022609C">
        <w:rPr>
          <w:rFonts w:ascii="Times New Roman" w:hAnsi="Times New Roman" w:cs="Times New Roman"/>
          <w:sz w:val="24"/>
          <w:szCs w:val="24"/>
        </w:rPr>
        <w:t>,</w:t>
      </w:r>
      <w:r w:rsidR="001D6A9C" w:rsidRPr="00AB4C1A" w:rsidDel="0022609C">
        <w:rPr>
          <w:rFonts w:ascii="Times New Roman" w:hAnsi="Times New Roman" w:cs="Times New Roman"/>
          <w:sz w:val="24"/>
          <w:szCs w:val="24"/>
        </w:rPr>
        <w:t xml:space="preserve"> which further helps to contextualise scores. </w:t>
      </w:r>
      <w:r w:rsidR="00A236AA" w:rsidRPr="00AB4C1A">
        <w:rPr>
          <w:rFonts w:ascii="Times New Roman" w:hAnsi="Times New Roman" w:cs="Times New Roman"/>
          <w:sz w:val="24"/>
          <w:szCs w:val="24"/>
        </w:rPr>
        <w:t>However, the application of the framework can only offer a snapshot evaluation of performance that highlights areas for integration and support</w:t>
      </w:r>
      <w:r w:rsidR="00CC72B2" w:rsidRPr="00AB4C1A">
        <w:rPr>
          <w:rFonts w:ascii="Times New Roman" w:hAnsi="Times New Roman" w:cs="Times New Roman"/>
          <w:sz w:val="24"/>
          <w:szCs w:val="24"/>
        </w:rPr>
        <w:t>s</w:t>
      </w:r>
      <w:r w:rsidR="00A236AA" w:rsidRPr="00AB4C1A">
        <w:rPr>
          <w:rFonts w:ascii="Times New Roman" w:hAnsi="Times New Roman" w:cs="Times New Roman"/>
          <w:sz w:val="24"/>
          <w:szCs w:val="24"/>
        </w:rPr>
        <w:t xml:space="preserve"> policymakers in identifying existing issues; our analysis does not </w:t>
      </w:r>
      <w:r w:rsidR="00CC72B2" w:rsidRPr="00AB4C1A">
        <w:rPr>
          <w:rFonts w:ascii="Times New Roman" w:hAnsi="Times New Roman" w:cs="Times New Roman"/>
          <w:sz w:val="24"/>
          <w:szCs w:val="24"/>
        </w:rPr>
        <w:t>explore</w:t>
      </w:r>
      <w:r w:rsidR="00A236AA" w:rsidRPr="00AB4C1A">
        <w:rPr>
          <w:rFonts w:ascii="Times New Roman" w:hAnsi="Times New Roman" w:cs="Times New Roman"/>
          <w:sz w:val="24"/>
          <w:szCs w:val="24"/>
        </w:rPr>
        <w:t xml:space="preserve"> the underlying causal mechanisms that led to these scores. Consideration of causal factors and historical trajectories would require a more in-depth within-case investigation which is beyond the scope of this paper</w:t>
      </w:r>
    </w:p>
    <w:p w14:paraId="4D31CF3A" w14:textId="7ABEA8EA" w:rsidR="00C555B9" w:rsidRPr="00AB4C1A" w:rsidRDefault="001D6A9C"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The b</w:t>
      </w:r>
      <w:r w:rsidR="00C555B9" w:rsidRPr="00AB4C1A">
        <w:rPr>
          <w:rFonts w:ascii="Times New Roman" w:hAnsi="Times New Roman" w:cs="Times New Roman"/>
          <w:sz w:val="24"/>
          <w:szCs w:val="24"/>
        </w:rPr>
        <w:t xml:space="preserve">reakdown of </w:t>
      </w:r>
      <w:r w:rsidR="00462D53" w:rsidRPr="00AB4C1A">
        <w:rPr>
          <w:rFonts w:ascii="Times New Roman" w:hAnsi="Times New Roman" w:cs="Times New Roman"/>
          <w:sz w:val="24"/>
          <w:szCs w:val="24"/>
        </w:rPr>
        <w:t xml:space="preserve">the </w:t>
      </w:r>
      <w:r w:rsidR="006B32FE" w:rsidRPr="00AB4C1A">
        <w:rPr>
          <w:rFonts w:ascii="Times New Roman" w:hAnsi="Times New Roman" w:cs="Times New Roman"/>
          <w:sz w:val="24"/>
          <w:szCs w:val="24"/>
        </w:rPr>
        <w:t>AQAP</w:t>
      </w:r>
      <w:r w:rsidR="00C555B9" w:rsidRPr="00AB4C1A">
        <w:rPr>
          <w:rFonts w:ascii="Times New Roman" w:hAnsi="Times New Roman" w:cs="Times New Roman"/>
          <w:sz w:val="24"/>
          <w:szCs w:val="24"/>
        </w:rPr>
        <w:t xml:space="preserve"> scores </w:t>
      </w:r>
      <w:r w:rsidR="00462D53" w:rsidRPr="00AB4C1A">
        <w:rPr>
          <w:rFonts w:ascii="Times New Roman" w:hAnsi="Times New Roman" w:cs="Times New Roman"/>
          <w:sz w:val="24"/>
          <w:szCs w:val="24"/>
        </w:rPr>
        <w:t xml:space="preserve">provides </w:t>
      </w:r>
      <w:r w:rsidR="00C555B9" w:rsidRPr="00AB4C1A">
        <w:rPr>
          <w:rFonts w:ascii="Times New Roman" w:hAnsi="Times New Roman" w:cs="Times New Roman"/>
          <w:sz w:val="24"/>
          <w:szCs w:val="24"/>
        </w:rPr>
        <w:t xml:space="preserve">insight into the possible factors contributing to AQAP </w:t>
      </w:r>
      <w:r w:rsidR="006E2863" w:rsidRPr="00AB4C1A">
        <w:rPr>
          <w:rFonts w:ascii="Times New Roman" w:hAnsi="Times New Roman" w:cs="Times New Roman"/>
          <w:sz w:val="24"/>
          <w:szCs w:val="24"/>
        </w:rPr>
        <w:t>implementation performance</w:t>
      </w:r>
      <w:r w:rsidR="00C555B9" w:rsidRPr="00AB4C1A">
        <w:rPr>
          <w:rFonts w:ascii="Times New Roman" w:hAnsi="Times New Roman" w:cs="Times New Roman"/>
          <w:sz w:val="24"/>
          <w:szCs w:val="24"/>
        </w:rPr>
        <w:t>. For example, Manchester and Bristol have high funding scores, demonstrating greater financial potential for implementation. Manchester scores comparatively higher in Monitoring which</w:t>
      </w:r>
      <w:r w:rsidR="00A13B54" w:rsidRPr="00AB4C1A">
        <w:rPr>
          <w:rFonts w:ascii="Times New Roman" w:hAnsi="Times New Roman" w:cs="Times New Roman"/>
          <w:sz w:val="24"/>
          <w:szCs w:val="24"/>
        </w:rPr>
        <w:t xml:space="preserve"> </w:t>
      </w:r>
      <w:r w:rsidR="00C555B9" w:rsidRPr="00AB4C1A">
        <w:rPr>
          <w:rFonts w:ascii="Times New Roman" w:hAnsi="Times New Roman" w:cs="Times New Roman"/>
          <w:sz w:val="24"/>
          <w:szCs w:val="24"/>
        </w:rPr>
        <w:t>could support a greater adherence to LAQM and AAQD policy stipulations. In general, across the cities, the lowest</w:t>
      </w:r>
      <w:r w:rsidR="00462D53" w:rsidRPr="00AB4C1A">
        <w:rPr>
          <w:rFonts w:ascii="Times New Roman" w:hAnsi="Times New Roman" w:cs="Times New Roman"/>
          <w:sz w:val="24"/>
          <w:szCs w:val="24"/>
        </w:rPr>
        <w:t>-</w:t>
      </w:r>
      <w:r w:rsidR="00C555B9" w:rsidRPr="00AB4C1A">
        <w:rPr>
          <w:rFonts w:ascii="Times New Roman" w:hAnsi="Times New Roman" w:cs="Times New Roman"/>
          <w:sz w:val="24"/>
          <w:szCs w:val="24"/>
        </w:rPr>
        <w:t>scoring aspect is</w:t>
      </w:r>
      <w:r w:rsidR="005C102E" w:rsidRPr="00AB4C1A">
        <w:rPr>
          <w:rFonts w:ascii="Times New Roman" w:hAnsi="Times New Roman" w:cs="Times New Roman"/>
          <w:sz w:val="24"/>
          <w:szCs w:val="24"/>
        </w:rPr>
        <w:t xml:space="preserve"> </w:t>
      </w:r>
      <w:r w:rsidR="00C555B9" w:rsidRPr="00AB4C1A">
        <w:rPr>
          <w:rFonts w:ascii="Times New Roman" w:hAnsi="Times New Roman" w:cs="Times New Roman"/>
          <w:sz w:val="24"/>
          <w:szCs w:val="24"/>
        </w:rPr>
        <w:t xml:space="preserve">‘staff </w:t>
      </w:r>
      <w:r w:rsidR="00C555B9" w:rsidRPr="00AB4C1A">
        <w:rPr>
          <w:rFonts w:ascii="Times New Roman" w:hAnsi="Times New Roman" w:cs="Times New Roman"/>
          <w:sz w:val="24"/>
          <w:szCs w:val="24"/>
        </w:rPr>
        <w:lastRenderedPageBreak/>
        <w:t xml:space="preserve">allocated’ to the implementation of the AQAP, demonstrating a low level of </w:t>
      </w:r>
      <w:r w:rsidR="005C102E" w:rsidRPr="00AB4C1A">
        <w:rPr>
          <w:rFonts w:ascii="Times New Roman" w:hAnsi="Times New Roman" w:cs="Times New Roman"/>
          <w:sz w:val="24"/>
          <w:szCs w:val="24"/>
        </w:rPr>
        <w:t xml:space="preserve">relevant </w:t>
      </w:r>
      <w:proofErr w:type="gramStart"/>
      <w:r w:rsidR="005C102E" w:rsidRPr="00AB4C1A">
        <w:rPr>
          <w:rFonts w:ascii="Times New Roman" w:hAnsi="Times New Roman" w:cs="Times New Roman"/>
          <w:sz w:val="24"/>
          <w:szCs w:val="24"/>
        </w:rPr>
        <w:t>technically</w:t>
      </w:r>
      <w:r w:rsidR="00462D53" w:rsidRPr="00AB4C1A">
        <w:rPr>
          <w:rFonts w:ascii="Times New Roman" w:hAnsi="Times New Roman" w:cs="Times New Roman"/>
          <w:sz w:val="24"/>
          <w:szCs w:val="24"/>
        </w:rPr>
        <w:t>-</w:t>
      </w:r>
      <w:r w:rsidR="005C102E" w:rsidRPr="00AB4C1A">
        <w:rPr>
          <w:rFonts w:ascii="Times New Roman" w:hAnsi="Times New Roman" w:cs="Times New Roman"/>
          <w:sz w:val="24"/>
          <w:szCs w:val="24"/>
        </w:rPr>
        <w:t>trained</w:t>
      </w:r>
      <w:proofErr w:type="gramEnd"/>
      <w:r w:rsidR="005C102E" w:rsidRPr="00AB4C1A">
        <w:rPr>
          <w:rFonts w:ascii="Times New Roman" w:hAnsi="Times New Roman" w:cs="Times New Roman"/>
          <w:sz w:val="24"/>
          <w:szCs w:val="24"/>
        </w:rPr>
        <w:t xml:space="preserve"> </w:t>
      </w:r>
      <w:r w:rsidR="00462D53" w:rsidRPr="00AB4C1A">
        <w:rPr>
          <w:rFonts w:ascii="Times New Roman" w:hAnsi="Times New Roman" w:cs="Times New Roman"/>
          <w:sz w:val="24"/>
          <w:szCs w:val="24"/>
        </w:rPr>
        <w:t xml:space="preserve">human </w:t>
      </w:r>
      <w:r w:rsidR="00C555B9" w:rsidRPr="00AB4C1A">
        <w:rPr>
          <w:rFonts w:ascii="Times New Roman" w:hAnsi="Times New Roman" w:cs="Times New Roman"/>
          <w:sz w:val="24"/>
          <w:szCs w:val="24"/>
        </w:rPr>
        <w:t>resource</w:t>
      </w:r>
      <w:r w:rsidR="00462D53" w:rsidRPr="00AB4C1A">
        <w:rPr>
          <w:rFonts w:ascii="Times New Roman" w:hAnsi="Times New Roman" w:cs="Times New Roman"/>
          <w:sz w:val="24"/>
          <w:szCs w:val="24"/>
        </w:rPr>
        <w:t xml:space="preserve"> dedicated</w:t>
      </w:r>
      <w:r w:rsidR="005C102E" w:rsidRPr="00AB4C1A">
        <w:rPr>
          <w:rFonts w:ascii="Times New Roman" w:hAnsi="Times New Roman" w:cs="Times New Roman"/>
          <w:sz w:val="24"/>
          <w:szCs w:val="24"/>
        </w:rPr>
        <w:t xml:space="preserve"> </w:t>
      </w:r>
      <w:r w:rsidR="00462D53" w:rsidRPr="00AB4C1A">
        <w:rPr>
          <w:rFonts w:ascii="Times New Roman" w:hAnsi="Times New Roman" w:cs="Times New Roman"/>
          <w:sz w:val="24"/>
          <w:szCs w:val="24"/>
        </w:rPr>
        <w:t xml:space="preserve">to </w:t>
      </w:r>
      <w:r w:rsidR="005C102E" w:rsidRPr="00AB4C1A">
        <w:rPr>
          <w:rFonts w:ascii="Times New Roman" w:hAnsi="Times New Roman" w:cs="Times New Roman"/>
          <w:sz w:val="24"/>
          <w:szCs w:val="24"/>
        </w:rPr>
        <w:t>air quality, irrespective of city size</w:t>
      </w:r>
      <w:r w:rsidR="00C555B9" w:rsidRPr="00AB4C1A">
        <w:rPr>
          <w:rFonts w:ascii="Times New Roman" w:hAnsi="Times New Roman" w:cs="Times New Roman"/>
          <w:sz w:val="24"/>
          <w:szCs w:val="24"/>
        </w:rPr>
        <w:t>. However, expertise is generally well reported on, implying a good record of cross and intra-departmental cooperation in the creation of AQAPs. Scores show room for improvement across all cities’ AQAPs.</w:t>
      </w:r>
    </w:p>
    <w:p w14:paraId="0AE7B1ED" w14:textId="20F015BD" w:rsidR="0018072C" w:rsidRPr="00AB4C1A" w:rsidRDefault="00785E24"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T</w:t>
      </w:r>
      <w:r w:rsidR="00817BEE" w:rsidRPr="00AB4C1A">
        <w:rPr>
          <w:rFonts w:ascii="Times New Roman" w:hAnsi="Times New Roman" w:cs="Times New Roman"/>
          <w:sz w:val="24"/>
          <w:szCs w:val="24"/>
        </w:rPr>
        <w:t xml:space="preserve">he application of the framework elicited contextual information </w:t>
      </w:r>
      <w:r w:rsidR="00263EC9" w:rsidRPr="00AB4C1A">
        <w:rPr>
          <w:rFonts w:ascii="Times New Roman" w:hAnsi="Times New Roman" w:cs="Times New Roman"/>
          <w:sz w:val="24"/>
          <w:szCs w:val="24"/>
        </w:rPr>
        <w:t>for</w:t>
      </w:r>
      <w:r w:rsidR="00817BEE" w:rsidRPr="00AB4C1A">
        <w:rPr>
          <w:rFonts w:ascii="Times New Roman" w:hAnsi="Times New Roman" w:cs="Times New Roman"/>
          <w:sz w:val="24"/>
          <w:szCs w:val="24"/>
        </w:rPr>
        <w:t xml:space="preserve"> </w:t>
      </w:r>
      <w:r w:rsidR="00263EC9" w:rsidRPr="00AB4C1A">
        <w:rPr>
          <w:rFonts w:ascii="Times New Roman" w:hAnsi="Times New Roman" w:cs="Times New Roman"/>
          <w:sz w:val="24"/>
          <w:szCs w:val="24"/>
        </w:rPr>
        <w:t>deriving substantive comparative insights into</w:t>
      </w:r>
      <w:r w:rsidR="001F4250" w:rsidRPr="00AB4C1A">
        <w:rPr>
          <w:rFonts w:ascii="Times New Roman" w:hAnsi="Times New Roman" w:cs="Times New Roman"/>
          <w:sz w:val="24"/>
          <w:szCs w:val="24"/>
        </w:rPr>
        <w:t xml:space="preserve"> </w:t>
      </w:r>
      <w:r w:rsidR="00921281" w:rsidRPr="00AB4C1A">
        <w:rPr>
          <w:rFonts w:ascii="Times New Roman" w:hAnsi="Times New Roman" w:cs="Times New Roman"/>
          <w:sz w:val="24"/>
          <w:szCs w:val="24"/>
        </w:rPr>
        <w:t>each city</w:t>
      </w:r>
      <w:r w:rsidR="00263EC9" w:rsidRPr="00AB4C1A">
        <w:rPr>
          <w:rFonts w:ascii="Times New Roman" w:hAnsi="Times New Roman" w:cs="Times New Roman"/>
          <w:sz w:val="24"/>
          <w:szCs w:val="24"/>
        </w:rPr>
        <w:t>’s</w:t>
      </w:r>
      <w:r w:rsidR="00921281" w:rsidRPr="00AB4C1A">
        <w:rPr>
          <w:rFonts w:ascii="Times New Roman" w:hAnsi="Times New Roman" w:cs="Times New Roman"/>
          <w:sz w:val="24"/>
          <w:szCs w:val="24"/>
        </w:rPr>
        <w:t xml:space="preserve"> AQAP. </w:t>
      </w:r>
      <w:r w:rsidR="00A13B54" w:rsidRPr="00AB4C1A">
        <w:rPr>
          <w:rFonts w:ascii="Times New Roman" w:hAnsi="Times New Roman" w:cs="Times New Roman"/>
          <w:sz w:val="24"/>
          <w:szCs w:val="24"/>
        </w:rPr>
        <w:t>E</w:t>
      </w:r>
      <w:r w:rsidR="00921281" w:rsidRPr="00AB4C1A">
        <w:rPr>
          <w:rFonts w:ascii="Times New Roman" w:hAnsi="Times New Roman" w:cs="Times New Roman"/>
          <w:sz w:val="24"/>
          <w:szCs w:val="24"/>
        </w:rPr>
        <w:t>ach cit</w:t>
      </w:r>
      <w:r w:rsidR="00263EC9" w:rsidRPr="00AB4C1A">
        <w:rPr>
          <w:rFonts w:ascii="Times New Roman" w:hAnsi="Times New Roman" w:cs="Times New Roman"/>
          <w:sz w:val="24"/>
          <w:szCs w:val="24"/>
        </w:rPr>
        <w:t>y</w:t>
      </w:r>
      <w:r w:rsidR="00921281" w:rsidRPr="00AB4C1A">
        <w:rPr>
          <w:rFonts w:ascii="Times New Roman" w:hAnsi="Times New Roman" w:cs="Times New Roman"/>
          <w:sz w:val="24"/>
          <w:szCs w:val="24"/>
        </w:rPr>
        <w:t xml:space="preserve"> </w:t>
      </w:r>
      <w:r w:rsidR="00263EC9" w:rsidRPr="00AB4C1A">
        <w:rPr>
          <w:rFonts w:ascii="Times New Roman" w:hAnsi="Times New Roman" w:cs="Times New Roman"/>
          <w:sz w:val="24"/>
          <w:szCs w:val="24"/>
        </w:rPr>
        <w:t>has</w:t>
      </w:r>
      <w:r w:rsidR="00921281" w:rsidRPr="00AB4C1A">
        <w:rPr>
          <w:rFonts w:ascii="Times New Roman" w:hAnsi="Times New Roman" w:cs="Times New Roman"/>
          <w:sz w:val="24"/>
          <w:szCs w:val="24"/>
        </w:rPr>
        <w:t xml:space="preserve"> </w:t>
      </w:r>
      <w:r w:rsidR="00E03151" w:rsidRPr="00AB4C1A">
        <w:rPr>
          <w:rFonts w:ascii="Times New Roman" w:hAnsi="Times New Roman" w:cs="Times New Roman"/>
          <w:sz w:val="24"/>
          <w:szCs w:val="24"/>
        </w:rPr>
        <w:t>taken</w:t>
      </w:r>
      <w:r w:rsidR="00921281" w:rsidRPr="00AB4C1A">
        <w:rPr>
          <w:rFonts w:ascii="Times New Roman" w:hAnsi="Times New Roman" w:cs="Times New Roman"/>
          <w:sz w:val="24"/>
          <w:szCs w:val="24"/>
        </w:rPr>
        <w:t xml:space="preserve"> a different approach to LAQM</w:t>
      </w:r>
      <w:r w:rsidR="00F723D1" w:rsidRPr="00AB4C1A">
        <w:rPr>
          <w:rFonts w:ascii="Times New Roman" w:hAnsi="Times New Roman" w:cs="Times New Roman"/>
          <w:sz w:val="24"/>
          <w:szCs w:val="24"/>
        </w:rPr>
        <w:t xml:space="preserve"> in terms of the scale at which the AQAP has been written. For example, Leeds AQAP is part of the wider </w:t>
      </w:r>
      <w:r w:rsidRPr="00AB4C1A">
        <w:rPr>
          <w:rFonts w:ascii="Times New Roman" w:hAnsi="Times New Roman" w:cs="Times New Roman"/>
          <w:sz w:val="24"/>
          <w:szCs w:val="24"/>
        </w:rPr>
        <w:t>West Yorkshire Low Emission Strateg</w:t>
      </w:r>
      <w:r w:rsidR="00D8254B" w:rsidRPr="00AB4C1A">
        <w:rPr>
          <w:rFonts w:ascii="Times New Roman" w:hAnsi="Times New Roman" w:cs="Times New Roman"/>
          <w:sz w:val="24"/>
          <w:szCs w:val="24"/>
        </w:rPr>
        <w:t>y</w:t>
      </w:r>
      <w:r w:rsidRPr="00AB4C1A">
        <w:rPr>
          <w:rFonts w:ascii="Times New Roman" w:hAnsi="Times New Roman" w:cs="Times New Roman"/>
          <w:sz w:val="24"/>
          <w:szCs w:val="24"/>
        </w:rPr>
        <w:t xml:space="preserve"> (</w:t>
      </w:r>
      <w:r w:rsidR="00E03151" w:rsidRPr="00AB4C1A">
        <w:rPr>
          <w:rFonts w:ascii="Times New Roman" w:hAnsi="Times New Roman" w:cs="Times New Roman"/>
          <w:sz w:val="24"/>
          <w:szCs w:val="24"/>
        </w:rPr>
        <w:t>WYLES</w:t>
      </w:r>
      <w:r w:rsidRPr="00AB4C1A">
        <w:rPr>
          <w:rFonts w:ascii="Times New Roman" w:hAnsi="Times New Roman" w:cs="Times New Roman"/>
          <w:sz w:val="24"/>
          <w:szCs w:val="24"/>
        </w:rPr>
        <w:t>)</w:t>
      </w:r>
      <w:r w:rsidR="00D8254B" w:rsidRPr="00AB4C1A">
        <w:rPr>
          <w:rFonts w:ascii="Times New Roman" w:hAnsi="Times New Roman" w:cs="Times New Roman"/>
          <w:sz w:val="24"/>
          <w:szCs w:val="24"/>
        </w:rPr>
        <w:t xml:space="preserve">, a collaboration of </w:t>
      </w:r>
      <w:r w:rsidR="00A13B54" w:rsidRPr="00AB4C1A">
        <w:rPr>
          <w:rFonts w:ascii="Times New Roman" w:hAnsi="Times New Roman" w:cs="Times New Roman"/>
          <w:sz w:val="24"/>
          <w:szCs w:val="24"/>
        </w:rPr>
        <w:t>several</w:t>
      </w:r>
      <w:r w:rsidR="00D8254B" w:rsidRPr="00AB4C1A">
        <w:rPr>
          <w:rFonts w:ascii="Times New Roman" w:hAnsi="Times New Roman" w:cs="Times New Roman"/>
          <w:sz w:val="24"/>
          <w:szCs w:val="24"/>
        </w:rPr>
        <w:t xml:space="preserve"> LAs across the county of West Yorkshire</w:t>
      </w:r>
      <w:r w:rsidR="00F723D1" w:rsidRPr="00AB4C1A">
        <w:rPr>
          <w:rFonts w:ascii="Times New Roman" w:hAnsi="Times New Roman" w:cs="Times New Roman"/>
          <w:sz w:val="24"/>
          <w:szCs w:val="24"/>
        </w:rPr>
        <w:t xml:space="preserve">, and comparatively scores </w:t>
      </w:r>
      <w:r w:rsidR="004406C9" w:rsidRPr="00AB4C1A">
        <w:rPr>
          <w:rFonts w:ascii="Times New Roman" w:hAnsi="Times New Roman" w:cs="Times New Roman"/>
          <w:bCs/>
          <w:sz w:val="24"/>
          <w:szCs w:val="24"/>
        </w:rPr>
        <w:t>higher</w:t>
      </w:r>
      <w:r w:rsidR="00D8254B" w:rsidRPr="00AB4C1A">
        <w:rPr>
          <w:rFonts w:ascii="Times New Roman" w:hAnsi="Times New Roman" w:cs="Times New Roman"/>
          <w:b/>
          <w:sz w:val="24"/>
          <w:szCs w:val="24"/>
        </w:rPr>
        <w:t xml:space="preserve"> </w:t>
      </w:r>
      <w:r w:rsidR="00F723D1" w:rsidRPr="00AB4C1A">
        <w:rPr>
          <w:rFonts w:ascii="Times New Roman" w:hAnsi="Times New Roman" w:cs="Times New Roman"/>
          <w:sz w:val="24"/>
          <w:szCs w:val="24"/>
        </w:rPr>
        <w:t xml:space="preserve">compared to Newcastle’s more localised approach to each AQMA hotspot. </w:t>
      </w:r>
      <w:r w:rsidR="004406C9" w:rsidRPr="00AB4C1A">
        <w:rPr>
          <w:rFonts w:ascii="Times New Roman" w:hAnsi="Times New Roman" w:cs="Times New Roman"/>
          <w:sz w:val="24"/>
          <w:szCs w:val="24"/>
        </w:rPr>
        <w:t>Whilst</w:t>
      </w:r>
      <w:r w:rsidR="00F723D1" w:rsidRPr="00AB4C1A">
        <w:rPr>
          <w:rFonts w:ascii="Times New Roman" w:hAnsi="Times New Roman" w:cs="Times New Roman"/>
          <w:sz w:val="24"/>
          <w:szCs w:val="24"/>
        </w:rPr>
        <w:t xml:space="preserve"> </w:t>
      </w:r>
      <w:r w:rsidR="00E03151" w:rsidRPr="00AB4C1A">
        <w:rPr>
          <w:rFonts w:ascii="Times New Roman" w:hAnsi="Times New Roman" w:cs="Times New Roman"/>
          <w:sz w:val="24"/>
          <w:szCs w:val="24"/>
        </w:rPr>
        <w:t xml:space="preserve">these </w:t>
      </w:r>
      <w:r w:rsidR="00F723D1" w:rsidRPr="00AB4C1A">
        <w:rPr>
          <w:rFonts w:ascii="Times New Roman" w:hAnsi="Times New Roman" w:cs="Times New Roman"/>
          <w:sz w:val="24"/>
          <w:szCs w:val="24"/>
        </w:rPr>
        <w:t xml:space="preserve">LAs </w:t>
      </w:r>
      <w:r w:rsidR="00E03151" w:rsidRPr="00AB4C1A">
        <w:rPr>
          <w:rFonts w:ascii="Times New Roman" w:hAnsi="Times New Roman" w:cs="Times New Roman"/>
          <w:sz w:val="24"/>
          <w:szCs w:val="24"/>
        </w:rPr>
        <w:t xml:space="preserve">are </w:t>
      </w:r>
      <w:r w:rsidR="00F723D1" w:rsidRPr="00AB4C1A">
        <w:rPr>
          <w:rFonts w:ascii="Times New Roman" w:hAnsi="Times New Roman" w:cs="Times New Roman"/>
          <w:sz w:val="24"/>
          <w:szCs w:val="24"/>
        </w:rPr>
        <w:t>compl</w:t>
      </w:r>
      <w:r w:rsidR="00E03151" w:rsidRPr="00AB4C1A">
        <w:rPr>
          <w:rFonts w:ascii="Times New Roman" w:hAnsi="Times New Roman" w:cs="Times New Roman"/>
          <w:sz w:val="24"/>
          <w:szCs w:val="24"/>
        </w:rPr>
        <w:t>ying</w:t>
      </w:r>
      <w:r w:rsidR="00F723D1" w:rsidRPr="00AB4C1A">
        <w:rPr>
          <w:rFonts w:ascii="Times New Roman" w:hAnsi="Times New Roman" w:cs="Times New Roman"/>
          <w:sz w:val="24"/>
          <w:szCs w:val="24"/>
        </w:rPr>
        <w:t xml:space="preserve"> with the</w:t>
      </w:r>
      <w:r w:rsidR="005D234E" w:rsidRPr="00AB4C1A">
        <w:rPr>
          <w:rFonts w:ascii="Times New Roman" w:hAnsi="Times New Roman" w:cs="Times New Roman"/>
          <w:sz w:val="24"/>
          <w:szCs w:val="24"/>
        </w:rPr>
        <w:t xml:space="preserve"> formal</w:t>
      </w:r>
      <w:r w:rsidR="00CD4939" w:rsidRPr="00AB4C1A">
        <w:rPr>
          <w:rFonts w:ascii="Times New Roman" w:hAnsi="Times New Roman" w:cs="Times New Roman"/>
          <w:sz w:val="24"/>
          <w:szCs w:val="24"/>
        </w:rPr>
        <w:t xml:space="preserve"> </w:t>
      </w:r>
      <w:r w:rsidR="00F723D1" w:rsidRPr="00AB4C1A">
        <w:rPr>
          <w:rFonts w:ascii="Times New Roman" w:hAnsi="Times New Roman" w:cs="Times New Roman"/>
          <w:sz w:val="24"/>
          <w:szCs w:val="24"/>
        </w:rPr>
        <w:t xml:space="preserve">terms of </w:t>
      </w:r>
      <w:r w:rsidR="0018072C" w:rsidRPr="00AB4C1A">
        <w:rPr>
          <w:rFonts w:ascii="Times New Roman" w:hAnsi="Times New Roman" w:cs="Times New Roman"/>
          <w:sz w:val="24"/>
          <w:szCs w:val="24"/>
        </w:rPr>
        <w:t>LAQM</w:t>
      </w:r>
      <w:r w:rsidR="00E03151" w:rsidRPr="00AB4C1A">
        <w:rPr>
          <w:rFonts w:ascii="Times New Roman" w:hAnsi="Times New Roman" w:cs="Times New Roman"/>
          <w:sz w:val="24"/>
          <w:szCs w:val="24"/>
        </w:rPr>
        <w:t xml:space="preserve">, some are </w:t>
      </w:r>
      <w:r w:rsidR="001A50C5" w:rsidRPr="00AB4C1A">
        <w:rPr>
          <w:rFonts w:ascii="Times New Roman" w:hAnsi="Times New Roman" w:cs="Times New Roman"/>
          <w:sz w:val="24"/>
          <w:szCs w:val="24"/>
        </w:rPr>
        <w:t>adopting a broader and more integrated approach than others</w:t>
      </w:r>
      <w:r w:rsidR="00E03151" w:rsidRPr="00AB4C1A">
        <w:rPr>
          <w:rFonts w:ascii="Times New Roman" w:hAnsi="Times New Roman" w:cs="Times New Roman"/>
          <w:sz w:val="24"/>
          <w:szCs w:val="24"/>
        </w:rPr>
        <w:t xml:space="preserve"> </w:t>
      </w:r>
      <w:r w:rsidR="005A7963" w:rsidRPr="00AB4C1A">
        <w:rPr>
          <w:rFonts w:ascii="Times New Roman" w:hAnsi="Times New Roman" w:cs="Times New Roman"/>
          <w:sz w:val="24"/>
          <w:szCs w:val="24"/>
        </w:rPr>
        <w:t>(</w:t>
      </w:r>
      <w:proofErr w:type="spellStart"/>
      <w:r w:rsidR="005A7963" w:rsidRPr="00AB4C1A">
        <w:rPr>
          <w:rFonts w:ascii="Times New Roman" w:hAnsi="Times New Roman" w:cs="Times New Roman"/>
          <w:sz w:val="24"/>
          <w:szCs w:val="24"/>
        </w:rPr>
        <w:t>Bondarouk</w:t>
      </w:r>
      <w:proofErr w:type="spellEnd"/>
      <w:r w:rsidR="005A7963" w:rsidRPr="00AB4C1A">
        <w:rPr>
          <w:rFonts w:ascii="Times New Roman" w:hAnsi="Times New Roman" w:cs="Times New Roman"/>
          <w:sz w:val="24"/>
          <w:szCs w:val="24"/>
        </w:rPr>
        <w:t xml:space="preserve"> &amp; </w:t>
      </w:r>
      <w:proofErr w:type="spellStart"/>
      <w:r w:rsidR="005A7963" w:rsidRPr="00AB4C1A">
        <w:rPr>
          <w:rFonts w:ascii="Times New Roman" w:hAnsi="Times New Roman" w:cs="Times New Roman"/>
          <w:sz w:val="24"/>
          <w:szCs w:val="24"/>
        </w:rPr>
        <w:t>Liefferink</w:t>
      </w:r>
      <w:proofErr w:type="spellEnd"/>
      <w:r w:rsidR="005A7963" w:rsidRPr="00AB4C1A">
        <w:rPr>
          <w:rFonts w:ascii="Times New Roman" w:hAnsi="Times New Roman" w:cs="Times New Roman"/>
          <w:sz w:val="24"/>
          <w:szCs w:val="24"/>
        </w:rPr>
        <w:t xml:space="preserve"> 2017).</w:t>
      </w:r>
      <w:r w:rsidR="0018072C" w:rsidRPr="00AB4C1A">
        <w:rPr>
          <w:rFonts w:ascii="Times New Roman" w:hAnsi="Times New Roman" w:cs="Times New Roman"/>
          <w:sz w:val="24"/>
          <w:szCs w:val="24"/>
        </w:rPr>
        <w:t xml:space="preserve"> </w:t>
      </w:r>
    </w:p>
    <w:p w14:paraId="75A17A01" w14:textId="4F2952EB" w:rsidR="00921281" w:rsidRPr="00AB4C1A" w:rsidRDefault="005576E3"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Comparatively</w:t>
      </w:r>
      <w:r w:rsidR="00DA4079" w:rsidRPr="00AB4C1A">
        <w:rPr>
          <w:rFonts w:ascii="Times New Roman" w:hAnsi="Times New Roman" w:cs="Times New Roman"/>
          <w:sz w:val="24"/>
          <w:szCs w:val="24"/>
        </w:rPr>
        <w:t>,</w:t>
      </w:r>
      <w:r w:rsidR="00A16725" w:rsidRPr="00AB4C1A">
        <w:rPr>
          <w:rFonts w:ascii="Times New Roman" w:hAnsi="Times New Roman" w:cs="Times New Roman"/>
          <w:sz w:val="24"/>
          <w:szCs w:val="24"/>
        </w:rPr>
        <w:t xml:space="preserve"> </w:t>
      </w:r>
      <w:r w:rsidR="00E041C4" w:rsidRPr="00AB4C1A">
        <w:rPr>
          <w:rFonts w:ascii="Times New Roman" w:hAnsi="Times New Roman" w:cs="Times New Roman"/>
          <w:sz w:val="24"/>
          <w:szCs w:val="24"/>
        </w:rPr>
        <w:t>t</w:t>
      </w:r>
      <w:r w:rsidR="0018072C" w:rsidRPr="00AB4C1A">
        <w:rPr>
          <w:rFonts w:ascii="Times New Roman" w:hAnsi="Times New Roman" w:cs="Times New Roman"/>
          <w:sz w:val="24"/>
          <w:szCs w:val="24"/>
        </w:rPr>
        <w:t xml:space="preserve">he low </w:t>
      </w:r>
      <w:r w:rsidR="006F31DC" w:rsidRPr="00AB4C1A">
        <w:rPr>
          <w:rFonts w:ascii="Times New Roman" w:hAnsi="Times New Roman" w:cs="Times New Roman"/>
          <w:sz w:val="24"/>
          <w:szCs w:val="24"/>
        </w:rPr>
        <w:t xml:space="preserve">AQAP </w:t>
      </w:r>
      <w:r w:rsidR="0018072C" w:rsidRPr="00AB4C1A">
        <w:rPr>
          <w:rFonts w:ascii="Times New Roman" w:hAnsi="Times New Roman" w:cs="Times New Roman"/>
          <w:sz w:val="24"/>
          <w:szCs w:val="24"/>
        </w:rPr>
        <w:t>scores of Glasgow</w:t>
      </w:r>
      <w:r w:rsidRPr="00AB4C1A">
        <w:rPr>
          <w:rFonts w:ascii="Times New Roman" w:hAnsi="Times New Roman" w:cs="Times New Roman"/>
          <w:sz w:val="24"/>
          <w:szCs w:val="24"/>
        </w:rPr>
        <w:t>’s AQAP</w:t>
      </w:r>
      <w:r w:rsidR="0018072C" w:rsidRPr="00AB4C1A">
        <w:rPr>
          <w:rFonts w:ascii="Times New Roman" w:hAnsi="Times New Roman" w:cs="Times New Roman"/>
          <w:sz w:val="24"/>
          <w:szCs w:val="24"/>
        </w:rPr>
        <w:t xml:space="preserve"> </w:t>
      </w:r>
      <w:r w:rsidR="002E696C" w:rsidRPr="00AB4C1A">
        <w:rPr>
          <w:rFonts w:ascii="Times New Roman" w:hAnsi="Times New Roman" w:cs="Times New Roman"/>
          <w:sz w:val="24"/>
          <w:szCs w:val="24"/>
        </w:rPr>
        <w:t>point to</w:t>
      </w:r>
      <w:r w:rsidRPr="00AB4C1A">
        <w:rPr>
          <w:rFonts w:ascii="Times New Roman" w:hAnsi="Times New Roman" w:cs="Times New Roman"/>
          <w:sz w:val="24"/>
          <w:szCs w:val="24"/>
        </w:rPr>
        <w:t xml:space="preserve"> limited</w:t>
      </w:r>
      <w:r w:rsidR="0018072C" w:rsidRPr="00AB4C1A">
        <w:rPr>
          <w:rFonts w:ascii="Times New Roman" w:hAnsi="Times New Roman" w:cs="Times New Roman"/>
          <w:sz w:val="24"/>
          <w:szCs w:val="24"/>
        </w:rPr>
        <w:t xml:space="preserve"> resources</w:t>
      </w:r>
      <w:r w:rsidR="00A16725" w:rsidRPr="00AB4C1A">
        <w:rPr>
          <w:rFonts w:ascii="Times New Roman" w:hAnsi="Times New Roman" w:cs="Times New Roman"/>
          <w:sz w:val="24"/>
          <w:szCs w:val="24"/>
        </w:rPr>
        <w:t>, in funding and expertise,</w:t>
      </w:r>
      <w:r w:rsidR="0018072C" w:rsidRPr="00AB4C1A">
        <w:rPr>
          <w:rFonts w:ascii="Times New Roman" w:hAnsi="Times New Roman" w:cs="Times New Roman"/>
          <w:sz w:val="24"/>
          <w:szCs w:val="24"/>
        </w:rPr>
        <w:t xml:space="preserve"> </w:t>
      </w:r>
      <w:r w:rsidRPr="00AB4C1A">
        <w:rPr>
          <w:rFonts w:ascii="Times New Roman" w:hAnsi="Times New Roman" w:cs="Times New Roman"/>
          <w:sz w:val="24"/>
          <w:szCs w:val="24"/>
        </w:rPr>
        <w:t xml:space="preserve">available to tackle air pollution, and the </w:t>
      </w:r>
      <w:r w:rsidR="00A13B54" w:rsidRPr="00AB4C1A">
        <w:rPr>
          <w:rFonts w:ascii="Times New Roman" w:hAnsi="Times New Roman" w:cs="Times New Roman"/>
          <w:sz w:val="24"/>
          <w:szCs w:val="24"/>
        </w:rPr>
        <w:t xml:space="preserve">relatively </w:t>
      </w:r>
      <w:r w:rsidRPr="00AB4C1A">
        <w:rPr>
          <w:rFonts w:ascii="Times New Roman" w:hAnsi="Times New Roman" w:cs="Times New Roman"/>
          <w:sz w:val="24"/>
          <w:szCs w:val="24"/>
        </w:rPr>
        <w:t>limited</w:t>
      </w:r>
      <w:r w:rsidR="00A13B54" w:rsidRPr="00AB4C1A">
        <w:rPr>
          <w:rFonts w:ascii="Times New Roman" w:hAnsi="Times New Roman" w:cs="Times New Roman"/>
          <w:sz w:val="24"/>
          <w:szCs w:val="24"/>
        </w:rPr>
        <w:t xml:space="preserve"> implementation</w:t>
      </w:r>
      <w:r w:rsidRPr="00AB4C1A">
        <w:rPr>
          <w:rFonts w:ascii="Times New Roman" w:hAnsi="Times New Roman" w:cs="Times New Roman"/>
          <w:sz w:val="24"/>
          <w:szCs w:val="24"/>
        </w:rPr>
        <w:t xml:space="preserve"> area</w:t>
      </w:r>
      <w:r w:rsidR="0018072C" w:rsidRPr="00AB4C1A">
        <w:rPr>
          <w:rFonts w:ascii="Times New Roman" w:hAnsi="Times New Roman" w:cs="Times New Roman"/>
          <w:sz w:val="24"/>
          <w:szCs w:val="24"/>
        </w:rPr>
        <w:t xml:space="preserve">. </w:t>
      </w:r>
      <w:r w:rsidR="00A16725" w:rsidRPr="00AB4C1A">
        <w:rPr>
          <w:rFonts w:ascii="Times New Roman" w:hAnsi="Times New Roman" w:cs="Times New Roman"/>
          <w:sz w:val="24"/>
          <w:szCs w:val="24"/>
        </w:rPr>
        <w:t xml:space="preserve">This is </w:t>
      </w:r>
      <w:r w:rsidR="005A1850" w:rsidRPr="00AB4C1A">
        <w:rPr>
          <w:rFonts w:ascii="Times New Roman" w:hAnsi="Times New Roman" w:cs="Times New Roman"/>
          <w:sz w:val="24"/>
          <w:szCs w:val="24"/>
        </w:rPr>
        <w:t>reflected in</w:t>
      </w:r>
      <w:r w:rsidR="00A16725" w:rsidRPr="00AB4C1A">
        <w:rPr>
          <w:rFonts w:ascii="Times New Roman" w:hAnsi="Times New Roman" w:cs="Times New Roman"/>
          <w:sz w:val="24"/>
          <w:szCs w:val="24"/>
        </w:rPr>
        <w:t xml:space="preserve"> the age</w:t>
      </w:r>
      <w:r w:rsidR="006F31DC" w:rsidRPr="00AB4C1A">
        <w:rPr>
          <w:rFonts w:ascii="Times New Roman" w:hAnsi="Times New Roman" w:cs="Times New Roman"/>
          <w:sz w:val="24"/>
          <w:szCs w:val="24"/>
        </w:rPr>
        <w:t xml:space="preserve"> and scale</w:t>
      </w:r>
      <w:r w:rsidR="00A16725" w:rsidRPr="00AB4C1A">
        <w:rPr>
          <w:rFonts w:ascii="Times New Roman" w:hAnsi="Times New Roman" w:cs="Times New Roman"/>
          <w:sz w:val="24"/>
          <w:szCs w:val="24"/>
        </w:rPr>
        <w:t xml:space="preserve"> of its AQAP, which</w:t>
      </w:r>
      <w:r w:rsidR="001F4250" w:rsidRPr="00AB4C1A">
        <w:rPr>
          <w:rFonts w:ascii="Times New Roman" w:hAnsi="Times New Roman" w:cs="Times New Roman"/>
          <w:sz w:val="24"/>
          <w:szCs w:val="24"/>
        </w:rPr>
        <w:t>,</w:t>
      </w:r>
      <w:r w:rsidR="00A16725" w:rsidRPr="00AB4C1A">
        <w:rPr>
          <w:rFonts w:ascii="Times New Roman" w:hAnsi="Times New Roman" w:cs="Times New Roman"/>
          <w:sz w:val="24"/>
          <w:szCs w:val="24"/>
        </w:rPr>
        <w:t xml:space="preserve"> compared to those of the other cities, is </w:t>
      </w:r>
      <w:r w:rsidR="009E79FD" w:rsidRPr="00AB4C1A">
        <w:rPr>
          <w:rFonts w:ascii="Times New Roman" w:hAnsi="Times New Roman" w:cs="Times New Roman"/>
          <w:sz w:val="24"/>
          <w:szCs w:val="24"/>
        </w:rPr>
        <w:t>the oldest</w:t>
      </w:r>
      <w:r w:rsidR="006F31DC" w:rsidRPr="00AB4C1A">
        <w:rPr>
          <w:rFonts w:ascii="Times New Roman" w:hAnsi="Times New Roman" w:cs="Times New Roman"/>
          <w:sz w:val="24"/>
          <w:szCs w:val="24"/>
        </w:rPr>
        <w:t xml:space="preserve"> and </w:t>
      </w:r>
      <w:r w:rsidR="002E696C" w:rsidRPr="00AB4C1A">
        <w:rPr>
          <w:rFonts w:ascii="Times New Roman" w:hAnsi="Times New Roman" w:cs="Times New Roman"/>
          <w:sz w:val="24"/>
          <w:szCs w:val="24"/>
        </w:rPr>
        <w:t>very localised</w:t>
      </w:r>
      <w:r w:rsidR="00A16725" w:rsidRPr="00AB4C1A">
        <w:rPr>
          <w:rFonts w:ascii="Times New Roman" w:hAnsi="Times New Roman" w:cs="Times New Roman"/>
          <w:sz w:val="24"/>
          <w:szCs w:val="24"/>
        </w:rPr>
        <w:t xml:space="preserve">. </w:t>
      </w:r>
      <w:r w:rsidR="00A13B54" w:rsidRPr="00AB4C1A">
        <w:rPr>
          <w:rFonts w:ascii="Times New Roman" w:hAnsi="Times New Roman" w:cs="Times New Roman"/>
          <w:sz w:val="24"/>
          <w:szCs w:val="24"/>
        </w:rPr>
        <w:t>However, Glasgow has</w:t>
      </w:r>
      <w:r w:rsidR="00796D04" w:rsidRPr="00AB4C1A">
        <w:rPr>
          <w:rFonts w:ascii="Times New Roman" w:hAnsi="Times New Roman" w:cs="Times New Roman"/>
          <w:sz w:val="24"/>
          <w:szCs w:val="24"/>
        </w:rPr>
        <w:t xml:space="preserve"> met </w:t>
      </w:r>
      <w:r w:rsidR="00A13B54" w:rsidRPr="00AB4C1A">
        <w:rPr>
          <w:rFonts w:ascii="Times New Roman" w:hAnsi="Times New Roman" w:cs="Times New Roman"/>
          <w:sz w:val="24"/>
          <w:szCs w:val="24"/>
        </w:rPr>
        <w:t xml:space="preserve">its </w:t>
      </w:r>
      <w:r w:rsidR="00796D04" w:rsidRPr="00AB4C1A">
        <w:rPr>
          <w:rFonts w:ascii="Times New Roman" w:hAnsi="Times New Roman" w:cs="Times New Roman"/>
          <w:sz w:val="24"/>
          <w:szCs w:val="24"/>
        </w:rPr>
        <w:t xml:space="preserve">legal obligations to comply with </w:t>
      </w:r>
      <w:r w:rsidR="00CC6896" w:rsidRPr="00AB4C1A">
        <w:rPr>
          <w:rFonts w:ascii="Times New Roman" w:hAnsi="Times New Roman" w:cs="Times New Roman"/>
          <w:sz w:val="24"/>
          <w:szCs w:val="24"/>
        </w:rPr>
        <w:t xml:space="preserve">both AAQD and </w:t>
      </w:r>
      <w:proofErr w:type="gramStart"/>
      <w:r w:rsidR="00CC6896" w:rsidRPr="00AB4C1A">
        <w:rPr>
          <w:rFonts w:ascii="Times New Roman" w:hAnsi="Times New Roman" w:cs="Times New Roman"/>
          <w:sz w:val="24"/>
          <w:szCs w:val="24"/>
        </w:rPr>
        <w:t>LAQM</w:t>
      </w:r>
      <w:proofErr w:type="gramEnd"/>
      <w:r w:rsidR="00A13B54" w:rsidRPr="00AB4C1A">
        <w:rPr>
          <w:rFonts w:ascii="Times New Roman" w:hAnsi="Times New Roman" w:cs="Times New Roman"/>
          <w:sz w:val="24"/>
          <w:szCs w:val="24"/>
        </w:rPr>
        <w:t xml:space="preserve"> but</w:t>
      </w:r>
      <w:r w:rsidR="00796D04" w:rsidRPr="00AB4C1A">
        <w:rPr>
          <w:rFonts w:ascii="Times New Roman" w:hAnsi="Times New Roman" w:cs="Times New Roman"/>
          <w:sz w:val="24"/>
          <w:szCs w:val="24"/>
        </w:rPr>
        <w:t xml:space="preserve"> this does not translate into practical changes in air quality on the ground. </w:t>
      </w:r>
      <w:r w:rsidR="00A13B54" w:rsidRPr="00AB4C1A">
        <w:rPr>
          <w:rFonts w:ascii="Times New Roman" w:hAnsi="Times New Roman" w:cs="Times New Roman"/>
          <w:sz w:val="24"/>
          <w:szCs w:val="24"/>
        </w:rPr>
        <w:t>T</w:t>
      </w:r>
      <w:r w:rsidR="00796D04" w:rsidRPr="00AB4C1A">
        <w:rPr>
          <w:rFonts w:ascii="Times New Roman" w:hAnsi="Times New Roman" w:cs="Times New Roman"/>
          <w:sz w:val="24"/>
          <w:szCs w:val="24"/>
        </w:rPr>
        <w:t>his is true for all the AQAP’s assessed</w:t>
      </w:r>
      <w:r w:rsidR="005A1850" w:rsidRPr="00AB4C1A">
        <w:rPr>
          <w:rFonts w:ascii="Times New Roman" w:hAnsi="Times New Roman" w:cs="Times New Roman"/>
          <w:sz w:val="24"/>
          <w:szCs w:val="24"/>
        </w:rPr>
        <w:t>,</w:t>
      </w:r>
      <w:r w:rsidR="00796D04" w:rsidRPr="00AB4C1A">
        <w:rPr>
          <w:rFonts w:ascii="Times New Roman" w:hAnsi="Times New Roman" w:cs="Times New Roman"/>
          <w:sz w:val="24"/>
          <w:szCs w:val="24"/>
        </w:rPr>
        <w:t xml:space="preserve"> </w:t>
      </w:r>
      <w:r w:rsidR="006F31DC" w:rsidRPr="00AB4C1A">
        <w:rPr>
          <w:rFonts w:ascii="Times New Roman" w:hAnsi="Times New Roman" w:cs="Times New Roman"/>
          <w:sz w:val="24"/>
          <w:szCs w:val="24"/>
        </w:rPr>
        <w:t xml:space="preserve">as none of the cities have met </w:t>
      </w:r>
      <w:r w:rsidR="000E4195" w:rsidRPr="00AB4C1A">
        <w:rPr>
          <w:rFonts w:ascii="Times New Roman" w:hAnsi="Times New Roman" w:cs="Times New Roman"/>
          <w:sz w:val="24"/>
          <w:szCs w:val="24"/>
        </w:rPr>
        <w:t>air quality objectives</w:t>
      </w:r>
      <w:r w:rsidR="00CC6896" w:rsidRPr="00AB4C1A">
        <w:rPr>
          <w:rFonts w:ascii="Times New Roman" w:hAnsi="Times New Roman" w:cs="Times New Roman"/>
          <w:sz w:val="24"/>
          <w:szCs w:val="24"/>
        </w:rPr>
        <w:t xml:space="preserve"> (</w:t>
      </w:r>
      <w:proofErr w:type="spellStart"/>
      <w:r w:rsidR="00CC6896" w:rsidRPr="00AB4C1A">
        <w:rPr>
          <w:rFonts w:ascii="Times New Roman" w:hAnsi="Times New Roman" w:cs="Times New Roman"/>
          <w:sz w:val="24"/>
          <w:szCs w:val="24"/>
        </w:rPr>
        <w:t>Héritier</w:t>
      </w:r>
      <w:proofErr w:type="spellEnd"/>
      <w:r w:rsidR="00CC6896" w:rsidRPr="00AB4C1A">
        <w:rPr>
          <w:rFonts w:ascii="Times New Roman" w:hAnsi="Times New Roman" w:cs="Times New Roman"/>
          <w:sz w:val="24"/>
          <w:szCs w:val="24"/>
        </w:rPr>
        <w:t xml:space="preserve">, 2002; </w:t>
      </w:r>
      <w:proofErr w:type="spellStart"/>
      <w:r w:rsidR="00CC6896" w:rsidRPr="00AB4C1A">
        <w:rPr>
          <w:rFonts w:ascii="Times New Roman" w:hAnsi="Times New Roman" w:cs="Times New Roman"/>
          <w:sz w:val="24"/>
          <w:szCs w:val="24"/>
        </w:rPr>
        <w:t>Liefferink</w:t>
      </w:r>
      <w:proofErr w:type="spellEnd"/>
      <w:r w:rsidR="00CC6896" w:rsidRPr="00AB4C1A">
        <w:rPr>
          <w:rFonts w:ascii="Times New Roman" w:hAnsi="Times New Roman" w:cs="Times New Roman"/>
          <w:sz w:val="24"/>
          <w:szCs w:val="24"/>
        </w:rPr>
        <w:t xml:space="preserve">, </w:t>
      </w:r>
      <w:proofErr w:type="spellStart"/>
      <w:r w:rsidR="00CC6896" w:rsidRPr="00AB4C1A">
        <w:rPr>
          <w:rFonts w:ascii="Times New Roman" w:hAnsi="Times New Roman" w:cs="Times New Roman"/>
          <w:sz w:val="24"/>
          <w:szCs w:val="24"/>
        </w:rPr>
        <w:t>Wiering</w:t>
      </w:r>
      <w:proofErr w:type="spellEnd"/>
      <w:r w:rsidR="00CC6896" w:rsidRPr="00AB4C1A">
        <w:rPr>
          <w:rFonts w:ascii="Times New Roman" w:hAnsi="Times New Roman" w:cs="Times New Roman"/>
          <w:sz w:val="24"/>
          <w:szCs w:val="24"/>
        </w:rPr>
        <w:t xml:space="preserve"> &amp; </w:t>
      </w:r>
      <w:proofErr w:type="spellStart"/>
      <w:r w:rsidR="00CC6896" w:rsidRPr="00AB4C1A">
        <w:rPr>
          <w:rFonts w:ascii="Times New Roman" w:hAnsi="Times New Roman" w:cs="Times New Roman"/>
          <w:sz w:val="24"/>
          <w:szCs w:val="24"/>
        </w:rPr>
        <w:t>Uitenboogaart</w:t>
      </w:r>
      <w:proofErr w:type="spellEnd"/>
      <w:r w:rsidR="00CC6896" w:rsidRPr="00AB4C1A">
        <w:rPr>
          <w:rFonts w:ascii="Times New Roman" w:hAnsi="Times New Roman" w:cs="Times New Roman"/>
          <w:sz w:val="24"/>
          <w:szCs w:val="24"/>
        </w:rPr>
        <w:t xml:space="preserve">, 2011; </w:t>
      </w:r>
      <w:proofErr w:type="spellStart"/>
      <w:r w:rsidR="00CC6896" w:rsidRPr="00AB4C1A">
        <w:rPr>
          <w:rFonts w:ascii="Times New Roman" w:hAnsi="Times New Roman" w:cs="Times New Roman"/>
          <w:sz w:val="24"/>
          <w:szCs w:val="24"/>
        </w:rPr>
        <w:t>Leventon</w:t>
      </w:r>
      <w:proofErr w:type="spellEnd"/>
      <w:r w:rsidR="00CC6896" w:rsidRPr="00AB4C1A">
        <w:rPr>
          <w:rFonts w:ascii="Times New Roman" w:hAnsi="Times New Roman" w:cs="Times New Roman"/>
          <w:sz w:val="24"/>
          <w:szCs w:val="24"/>
        </w:rPr>
        <w:t xml:space="preserve">, 2015; Longhurst </w:t>
      </w:r>
      <w:r w:rsidR="00CC6896" w:rsidRPr="00AB4C1A">
        <w:rPr>
          <w:rFonts w:ascii="Times New Roman" w:hAnsi="Times New Roman" w:cs="Times New Roman"/>
          <w:i/>
          <w:sz w:val="24"/>
          <w:szCs w:val="24"/>
        </w:rPr>
        <w:t>et al.</w:t>
      </w:r>
      <w:r w:rsidR="00CC6896" w:rsidRPr="00AB4C1A">
        <w:rPr>
          <w:rFonts w:ascii="Times New Roman" w:hAnsi="Times New Roman" w:cs="Times New Roman"/>
          <w:sz w:val="24"/>
          <w:szCs w:val="24"/>
        </w:rPr>
        <w:t>, 2009)</w:t>
      </w:r>
      <w:r w:rsidR="00796D04" w:rsidRPr="00AB4C1A">
        <w:rPr>
          <w:rFonts w:ascii="Times New Roman" w:hAnsi="Times New Roman" w:cs="Times New Roman"/>
          <w:sz w:val="24"/>
          <w:szCs w:val="24"/>
        </w:rPr>
        <w:t xml:space="preserve">. </w:t>
      </w:r>
    </w:p>
    <w:p w14:paraId="4ED27F4F" w14:textId="5B51F971" w:rsidR="00F723D1" w:rsidRPr="00AB4C1A" w:rsidRDefault="00F723D1"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Bristol</w:t>
      </w:r>
      <w:r w:rsidR="005A7963" w:rsidRPr="00AB4C1A">
        <w:rPr>
          <w:rFonts w:ascii="Times New Roman" w:hAnsi="Times New Roman" w:cs="Times New Roman"/>
          <w:sz w:val="24"/>
          <w:szCs w:val="24"/>
        </w:rPr>
        <w:t xml:space="preserve"> (and </w:t>
      </w:r>
      <w:proofErr w:type="gramStart"/>
      <w:r w:rsidR="005A7963" w:rsidRPr="00AB4C1A">
        <w:rPr>
          <w:rFonts w:ascii="Times New Roman" w:hAnsi="Times New Roman" w:cs="Times New Roman"/>
          <w:sz w:val="24"/>
          <w:szCs w:val="24"/>
        </w:rPr>
        <w:t>to a greater extent Leeds</w:t>
      </w:r>
      <w:proofErr w:type="gramEnd"/>
      <w:r w:rsidR="005A7963" w:rsidRPr="00AB4C1A">
        <w:rPr>
          <w:rFonts w:ascii="Times New Roman" w:hAnsi="Times New Roman" w:cs="Times New Roman"/>
          <w:sz w:val="24"/>
          <w:szCs w:val="24"/>
        </w:rPr>
        <w:t>)</w:t>
      </w:r>
      <w:r w:rsidRPr="00AB4C1A">
        <w:rPr>
          <w:rFonts w:ascii="Times New Roman" w:hAnsi="Times New Roman" w:cs="Times New Roman"/>
          <w:sz w:val="24"/>
          <w:szCs w:val="24"/>
        </w:rPr>
        <w:t>, as well as taking a spatially strategic approach in creating a West of England Partnership with Bath, built upon their AQAP</w:t>
      </w:r>
      <w:r w:rsidR="005A7963" w:rsidRPr="00AB4C1A">
        <w:rPr>
          <w:rFonts w:ascii="Times New Roman" w:hAnsi="Times New Roman" w:cs="Times New Roman"/>
          <w:sz w:val="24"/>
          <w:szCs w:val="24"/>
        </w:rPr>
        <w:t xml:space="preserve"> strategy by integrating </w:t>
      </w:r>
      <w:r w:rsidR="00BC15B1" w:rsidRPr="00AB4C1A">
        <w:rPr>
          <w:rFonts w:ascii="Times New Roman" w:hAnsi="Times New Roman" w:cs="Times New Roman"/>
          <w:sz w:val="24"/>
          <w:szCs w:val="24"/>
        </w:rPr>
        <w:t>air quality with the</w:t>
      </w:r>
      <w:r w:rsidR="005A1850" w:rsidRPr="00AB4C1A">
        <w:rPr>
          <w:rFonts w:ascii="Times New Roman" w:hAnsi="Times New Roman" w:cs="Times New Roman"/>
          <w:sz w:val="24"/>
          <w:szCs w:val="24"/>
        </w:rPr>
        <w:t>ir</w:t>
      </w:r>
      <w:r w:rsidR="00BC15B1" w:rsidRPr="00AB4C1A">
        <w:rPr>
          <w:rFonts w:ascii="Times New Roman" w:hAnsi="Times New Roman" w:cs="Times New Roman"/>
          <w:sz w:val="24"/>
          <w:szCs w:val="24"/>
        </w:rPr>
        <w:t xml:space="preserve"> Local Transport Plan</w:t>
      </w:r>
      <w:r w:rsidR="004B6963" w:rsidRPr="00AB4C1A">
        <w:rPr>
          <w:rFonts w:ascii="Times New Roman" w:hAnsi="Times New Roman" w:cs="Times New Roman"/>
          <w:sz w:val="24"/>
          <w:szCs w:val="24"/>
        </w:rPr>
        <w:t>.</w:t>
      </w:r>
      <w:r w:rsidR="005A7963" w:rsidRPr="00AB4C1A">
        <w:rPr>
          <w:rFonts w:ascii="Times New Roman" w:hAnsi="Times New Roman" w:cs="Times New Roman"/>
          <w:sz w:val="24"/>
          <w:szCs w:val="24"/>
        </w:rPr>
        <w:t xml:space="preserve"> </w:t>
      </w:r>
      <w:r w:rsidR="004B6963" w:rsidRPr="00AB4C1A">
        <w:rPr>
          <w:rFonts w:ascii="Times New Roman" w:hAnsi="Times New Roman" w:cs="Times New Roman"/>
          <w:sz w:val="24"/>
          <w:szCs w:val="24"/>
        </w:rPr>
        <w:t xml:space="preserve">The </w:t>
      </w:r>
      <w:r w:rsidR="005A7963" w:rsidRPr="00AB4C1A">
        <w:rPr>
          <w:rFonts w:ascii="Times New Roman" w:hAnsi="Times New Roman" w:cs="Times New Roman"/>
          <w:sz w:val="24"/>
          <w:szCs w:val="24"/>
        </w:rPr>
        <w:t xml:space="preserve">high scores </w:t>
      </w:r>
      <w:r w:rsidR="004B6963" w:rsidRPr="00AB4C1A">
        <w:rPr>
          <w:rFonts w:ascii="Times New Roman" w:hAnsi="Times New Roman" w:cs="Times New Roman"/>
          <w:sz w:val="24"/>
          <w:szCs w:val="24"/>
        </w:rPr>
        <w:t>demonstrate</w:t>
      </w:r>
      <w:r w:rsidR="005A7963" w:rsidRPr="00AB4C1A">
        <w:rPr>
          <w:rFonts w:ascii="Times New Roman" w:hAnsi="Times New Roman" w:cs="Times New Roman"/>
          <w:sz w:val="24"/>
          <w:szCs w:val="24"/>
        </w:rPr>
        <w:t xml:space="preserve"> the success of joined up policy</w:t>
      </w:r>
      <w:r w:rsidR="00E041C4" w:rsidRPr="00AB4C1A">
        <w:rPr>
          <w:rFonts w:ascii="Times New Roman" w:hAnsi="Times New Roman" w:cs="Times New Roman"/>
          <w:sz w:val="24"/>
          <w:szCs w:val="24"/>
        </w:rPr>
        <w:t xml:space="preserve"> (</w:t>
      </w:r>
      <w:proofErr w:type="spellStart"/>
      <w:r w:rsidR="00E041C4" w:rsidRPr="00AB4C1A">
        <w:rPr>
          <w:rFonts w:ascii="Times New Roman" w:hAnsi="Times New Roman" w:cs="Times New Roman"/>
          <w:sz w:val="24"/>
          <w:szCs w:val="24"/>
        </w:rPr>
        <w:t>Olow</w:t>
      </w:r>
      <w:r w:rsidR="00D85B8F" w:rsidRPr="00AB4C1A">
        <w:rPr>
          <w:rFonts w:ascii="Times New Roman" w:hAnsi="Times New Roman" w:cs="Times New Roman"/>
          <w:sz w:val="24"/>
          <w:szCs w:val="24"/>
        </w:rPr>
        <w:t>o</w:t>
      </w:r>
      <w:r w:rsidR="00E041C4" w:rsidRPr="00AB4C1A">
        <w:rPr>
          <w:rFonts w:ascii="Times New Roman" w:hAnsi="Times New Roman" w:cs="Times New Roman"/>
          <w:sz w:val="24"/>
          <w:szCs w:val="24"/>
        </w:rPr>
        <w:t>por</w:t>
      </w:r>
      <w:r w:rsidR="00D85B8F" w:rsidRPr="00AB4C1A">
        <w:rPr>
          <w:rFonts w:ascii="Times New Roman" w:hAnsi="Times New Roman" w:cs="Times New Roman"/>
          <w:sz w:val="24"/>
          <w:szCs w:val="24"/>
        </w:rPr>
        <w:t>o</w:t>
      </w:r>
      <w:r w:rsidR="00E041C4" w:rsidRPr="00AB4C1A">
        <w:rPr>
          <w:rFonts w:ascii="Times New Roman" w:hAnsi="Times New Roman" w:cs="Times New Roman"/>
          <w:sz w:val="24"/>
          <w:szCs w:val="24"/>
        </w:rPr>
        <w:t>ku</w:t>
      </w:r>
      <w:proofErr w:type="spellEnd"/>
      <w:r w:rsidR="00E041C4" w:rsidRPr="00AB4C1A">
        <w:rPr>
          <w:rFonts w:ascii="Times New Roman" w:hAnsi="Times New Roman" w:cs="Times New Roman"/>
          <w:sz w:val="24"/>
          <w:szCs w:val="24"/>
        </w:rPr>
        <w:t xml:space="preserve"> </w:t>
      </w:r>
      <w:r w:rsidR="00E041C4" w:rsidRPr="00AB4C1A">
        <w:rPr>
          <w:rFonts w:ascii="Times New Roman" w:hAnsi="Times New Roman" w:cs="Times New Roman"/>
          <w:i/>
          <w:iCs/>
          <w:sz w:val="24"/>
          <w:szCs w:val="24"/>
        </w:rPr>
        <w:t>et al.</w:t>
      </w:r>
      <w:r w:rsidR="00D85B8F" w:rsidRPr="00AB4C1A">
        <w:rPr>
          <w:rFonts w:ascii="Times New Roman" w:hAnsi="Times New Roman" w:cs="Times New Roman"/>
          <w:i/>
          <w:iCs/>
          <w:sz w:val="24"/>
          <w:szCs w:val="24"/>
        </w:rPr>
        <w:t>,</w:t>
      </w:r>
      <w:r w:rsidR="00E041C4" w:rsidRPr="00AB4C1A">
        <w:rPr>
          <w:rFonts w:ascii="Times New Roman" w:hAnsi="Times New Roman" w:cs="Times New Roman"/>
          <w:sz w:val="24"/>
          <w:szCs w:val="24"/>
        </w:rPr>
        <w:t xml:space="preserve"> 2012)</w:t>
      </w:r>
      <w:r w:rsidR="00CD4939" w:rsidRPr="00AB4C1A">
        <w:rPr>
          <w:rFonts w:ascii="Times New Roman" w:hAnsi="Times New Roman" w:cs="Times New Roman"/>
          <w:sz w:val="24"/>
          <w:szCs w:val="24"/>
        </w:rPr>
        <w:t>.</w:t>
      </w:r>
      <w:r w:rsidR="005A7963" w:rsidRPr="00AB4C1A">
        <w:rPr>
          <w:rFonts w:ascii="Times New Roman" w:hAnsi="Times New Roman" w:cs="Times New Roman"/>
          <w:sz w:val="24"/>
          <w:szCs w:val="24"/>
        </w:rPr>
        <w:t xml:space="preserve"> </w:t>
      </w:r>
      <w:r w:rsidR="00D052A8" w:rsidRPr="00AB4C1A">
        <w:rPr>
          <w:rFonts w:ascii="Times New Roman" w:hAnsi="Times New Roman" w:cs="Times New Roman"/>
          <w:sz w:val="24"/>
          <w:szCs w:val="24"/>
        </w:rPr>
        <w:t>However,</w:t>
      </w:r>
      <w:r w:rsidR="005A7963" w:rsidRPr="00AB4C1A">
        <w:rPr>
          <w:rFonts w:ascii="Times New Roman" w:hAnsi="Times New Roman" w:cs="Times New Roman"/>
          <w:sz w:val="24"/>
          <w:szCs w:val="24"/>
        </w:rPr>
        <w:t xml:space="preserve"> </w:t>
      </w:r>
      <w:r w:rsidR="005A1850" w:rsidRPr="00AB4C1A">
        <w:rPr>
          <w:rFonts w:ascii="Times New Roman" w:hAnsi="Times New Roman" w:cs="Times New Roman"/>
          <w:sz w:val="24"/>
          <w:szCs w:val="24"/>
        </w:rPr>
        <w:t>Bristol’s</w:t>
      </w:r>
      <w:r w:rsidR="005A7963" w:rsidRPr="00AB4C1A">
        <w:rPr>
          <w:rFonts w:ascii="Times New Roman" w:hAnsi="Times New Roman" w:cs="Times New Roman"/>
          <w:sz w:val="24"/>
          <w:szCs w:val="24"/>
        </w:rPr>
        <w:t xml:space="preserve"> AQAP does less to address </w:t>
      </w:r>
      <w:r w:rsidR="00E041C4" w:rsidRPr="00AB4C1A">
        <w:rPr>
          <w:rFonts w:ascii="Times New Roman" w:hAnsi="Times New Roman" w:cs="Times New Roman"/>
          <w:sz w:val="24"/>
          <w:szCs w:val="24"/>
        </w:rPr>
        <w:t xml:space="preserve">Planning &amp; Development and omits entirely </w:t>
      </w:r>
      <w:r w:rsidR="005A7963" w:rsidRPr="00AB4C1A">
        <w:rPr>
          <w:rFonts w:ascii="Times New Roman" w:hAnsi="Times New Roman" w:cs="Times New Roman"/>
          <w:sz w:val="24"/>
          <w:szCs w:val="24"/>
        </w:rPr>
        <w:t xml:space="preserve">Energy </w:t>
      </w:r>
      <w:r w:rsidR="00DA4079" w:rsidRPr="00AB4C1A">
        <w:rPr>
          <w:rFonts w:ascii="Times New Roman" w:hAnsi="Times New Roman" w:cs="Times New Roman"/>
          <w:sz w:val="24"/>
          <w:szCs w:val="24"/>
        </w:rPr>
        <w:t xml:space="preserve">Use </w:t>
      </w:r>
      <w:r w:rsidR="000E4195" w:rsidRPr="00AB4C1A">
        <w:rPr>
          <w:rFonts w:ascii="Times New Roman" w:hAnsi="Times New Roman" w:cs="Times New Roman"/>
          <w:sz w:val="24"/>
          <w:szCs w:val="24"/>
        </w:rPr>
        <w:t xml:space="preserve">&amp; </w:t>
      </w:r>
      <w:r w:rsidR="00DA4079" w:rsidRPr="00AB4C1A">
        <w:rPr>
          <w:rFonts w:ascii="Times New Roman" w:hAnsi="Times New Roman" w:cs="Times New Roman"/>
          <w:sz w:val="24"/>
          <w:szCs w:val="24"/>
        </w:rPr>
        <w:t>Production</w:t>
      </w:r>
      <w:r w:rsidR="005A7963" w:rsidRPr="00AB4C1A">
        <w:rPr>
          <w:rFonts w:ascii="Times New Roman" w:hAnsi="Times New Roman" w:cs="Times New Roman"/>
          <w:sz w:val="24"/>
          <w:szCs w:val="24"/>
        </w:rPr>
        <w:t>.</w:t>
      </w:r>
      <w:r w:rsidR="00CD4939" w:rsidRPr="00AB4C1A">
        <w:rPr>
          <w:rFonts w:ascii="Times New Roman" w:hAnsi="Times New Roman" w:cs="Times New Roman"/>
          <w:sz w:val="24"/>
          <w:szCs w:val="24"/>
        </w:rPr>
        <w:t xml:space="preserve"> </w:t>
      </w:r>
      <w:r w:rsidR="00DD24A0" w:rsidRPr="00AB4C1A">
        <w:rPr>
          <w:rFonts w:ascii="Times New Roman" w:hAnsi="Times New Roman" w:cs="Times New Roman"/>
          <w:sz w:val="24"/>
          <w:szCs w:val="24"/>
        </w:rPr>
        <w:t>For the latter</w:t>
      </w:r>
      <w:r w:rsidR="007533D3" w:rsidRPr="00AB4C1A">
        <w:rPr>
          <w:rFonts w:ascii="Times New Roman" w:hAnsi="Times New Roman" w:cs="Times New Roman"/>
          <w:sz w:val="24"/>
          <w:szCs w:val="24"/>
        </w:rPr>
        <w:t>,</w:t>
      </w:r>
      <w:r w:rsidR="00CD4939" w:rsidRPr="00AB4C1A">
        <w:rPr>
          <w:rFonts w:ascii="Times New Roman" w:hAnsi="Times New Roman" w:cs="Times New Roman"/>
          <w:sz w:val="24"/>
          <w:szCs w:val="24"/>
        </w:rPr>
        <w:t xml:space="preserve"> this reflects the</w:t>
      </w:r>
      <w:r w:rsidR="00E041C4" w:rsidRPr="00AB4C1A">
        <w:rPr>
          <w:rFonts w:ascii="Times New Roman" w:hAnsi="Times New Roman" w:cs="Times New Roman"/>
          <w:sz w:val="24"/>
          <w:szCs w:val="24"/>
        </w:rPr>
        <w:t xml:space="preserve"> differing</w:t>
      </w:r>
      <w:r w:rsidR="00CD4939" w:rsidRPr="00AB4C1A">
        <w:rPr>
          <w:rFonts w:ascii="Times New Roman" w:hAnsi="Times New Roman" w:cs="Times New Roman"/>
          <w:sz w:val="24"/>
          <w:szCs w:val="24"/>
        </w:rPr>
        <w:t xml:space="preserve"> level</w:t>
      </w:r>
      <w:r w:rsidR="00E041C4" w:rsidRPr="00AB4C1A">
        <w:rPr>
          <w:rFonts w:ascii="Times New Roman" w:hAnsi="Times New Roman" w:cs="Times New Roman"/>
          <w:sz w:val="24"/>
          <w:szCs w:val="24"/>
        </w:rPr>
        <w:t>s</w:t>
      </w:r>
      <w:r w:rsidR="00CD4939" w:rsidRPr="00AB4C1A">
        <w:rPr>
          <w:rFonts w:ascii="Times New Roman" w:hAnsi="Times New Roman" w:cs="Times New Roman"/>
          <w:sz w:val="24"/>
          <w:szCs w:val="24"/>
        </w:rPr>
        <w:t xml:space="preserve"> of government at which policy responsibilities remain, and the resulting lack of </w:t>
      </w:r>
      <w:r w:rsidR="00DD24A0" w:rsidRPr="00AB4C1A">
        <w:rPr>
          <w:rFonts w:ascii="Times New Roman" w:hAnsi="Times New Roman" w:cs="Times New Roman"/>
          <w:sz w:val="24"/>
          <w:szCs w:val="24"/>
        </w:rPr>
        <w:t xml:space="preserve">responsibility </w:t>
      </w:r>
      <w:r w:rsidR="00CD4939" w:rsidRPr="00AB4C1A">
        <w:rPr>
          <w:rFonts w:ascii="Times New Roman" w:hAnsi="Times New Roman" w:cs="Times New Roman"/>
          <w:sz w:val="24"/>
          <w:szCs w:val="24"/>
        </w:rPr>
        <w:t>at a local level (</w:t>
      </w:r>
      <w:proofErr w:type="spellStart"/>
      <w:r w:rsidR="00CD4939" w:rsidRPr="00AB4C1A">
        <w:rPr>
          <w:rFonts w:ascii="Times New Roman" w:hAnsi="Times New Roman" w:cs="Times New Roman"/>
          <w:sz w:val="24"/>
          <w:szCs w:val="24"/>
        </w:rPr>
        <w:t>Olow</w:t>
      </w:r>
      <w:r w:rsidR="00D85B8F" w:rsidRPr="00AB4C1A">
        <w:rPr>
          <w:rFonts w:ascii="Times New Roman" w:hAnsi="Times New Roman" w:cs="Times New Roman"/>
          <w:sz w:val="24"/>
          <w:szCs w:val="24"/>
        </w:rPr>
        <w:t>op</w:t>
      </w:r>
      <w:r w:rsidR="00CD4939" w:rsidRPr="00AB4C1A">
        <w:rPr>
          <w:rFonts w:ascii="Times New Roman" w:hAnsi="Times New Roman" w:cs="Times New Roman"/>
          <w:sz w:val="24"/>
          <w:szCs w:val="24"/>
        </w:rPr>
        <w:t>or</w:t>
      </w:r>
      <w:r w:rsidR="00D85B8F" w:rsidRPr="00AB4C1A">
        <w:rPr>
          <w:rFonts w:ascii="Times New Roman" w:hAnsi="Times New Roman" w:cs="Times New Roman"/>
          <w:sz w:val="24"/>
          <w:szCs w:val="24"/>
        </w:rPr>
        <w:t>o</w:t>
      </w:r>
      <w:r w:rsidR="00CD4939" w:rsidRPr="00AB4C1A">
        <w:rPr>
          <w:rFonts w:ascii="Times New Roman" w:hAnsi="Times New Roman" w:cs="Times New Roman"/>
          <w:sz w:val="24"/>
          <w:szCs w:val="24"/>
        </w:rPr>
        <w:t>ku</w:t>
      </w:r>
      <w:proofErr w:type="spellEnd"/>
      <w:r w:rsidR="00CD4939" w:rsidRPr="00AB4C1A">
        <w:rPr>
          <w:rFonts w:ascii="Times New Roman" w:hAnsi="Times New Roman" w:cs="Times New Roman"/>
          <w:sz w:val="24"/>
          <w:szCs w:val="24"/>
        </w:rPr>
        <w:t xml:space="preserve"> </w:t>
      </w:r>
      <w:r w:rsidR="00CD4939" w:rsidRPr="00AB4C1A">
        <w:rPr>
          <w:rFonts w:ascii="Times New Roman" w:hAnsi="Times New Roman" w:cs="Times New Roman"/>
          <w:i/>
          <w:iCs/>
          <w:sz w:val="24"/>
          <w:szCs w:val="24"/>
        </w:rPr>
        <w:t>et al.</w:t>
      </w:r>
      <w:r w:rsidR="00D85B8F" w:rsidRPr="00AB4C1A">
        <w:rPr>
          <w:rFonts w:ascii="Times New Roman" w:hAnsi="Times New Roman" w:cs="Times New Roman"/>
          <w:i/>
          <w:iCs/>
          <w:sz w:val="24"/>
          <w:szCs w:val="24"/>
        </w:rPr>
        <w:t>,</w:t>
      </w:r>
      <w:r w:rsidR="00CD4939" w:rsidRPr="00AB4C1A">
        <w:rPr>
          <w:rFonts w:ascii="Times New Roman" w:hAnsi="Times New Roman" w:cs="Times New Roman"/>
          <w:sz w:val="24"/>
          <w:szCs w:val="24"/>
        </w:rPr>
        <w:t xml:space="preserve"> 2012</w:t>
      </w:r>
      <w:r w:rsidR="007533D3" w:rsidRPr="00AB4C1A">
        <w:rPr>
          <w:rFonts w:ascii="Times New Roman" w:hAnsi="Times New Roman" w:cs="Times New Roman"/>
          <w:sz w:val="24"/>
          <w:szCs w:val="24"/>
        </w:rPr>
        <w:t xml:space="preserve">; </w:t>
      </w:r>
      <w:proofErr w:type="spellStart"/>
      <w:r w:rsidR="007533D3" w:rsidRPr="00AB4C1A">
        <w:rPr>
          <w:rFonts w:ascii="Times New Roman" w:hAnsi="Times New Roman" w:cs="Times New Roman"/>
          <w:sz w:val="24"/>
          <w:szCs w:val="24"/>
        </w:rPr>
        <w:t>Knill</w:t>
      </w:r>
      <w:proofErr w:type="spellEnd"/>
      <w:r w:rsidR="007533D3" w:rsidRPr="00AB4C1A">
        <w:rPr>
          <w:rFonts w:ascii="Times New Roman" w:hAnsi="Times New Roman" w:cs="Times New Roman"/>
          <w:sz w:val="24"/>
          <w:szCs w:val="24"/>
        </w:rPr>
        <w:t xml:space="preserve"> &amp; </w:t>
      </w:r>
      <w:proofErr w:type="spellStart"/>
      <w:r w:rsidR="007533D3" w:rsidRPr="00AB4C1A">
        <w:rPr>
          <w:rFonts w:ascii="Times New Roman" w:hAnsi="Times New Roman" w:cs="Times New Roman"/>
          <w:sz w:val="24"/>
          <w:szCs w:val="24"/>
        </w:rPr>
        <w:t>Lenschow</w:t>
      </w:r>
      <w:proofErr w:type="spellEnd"/>
      <w:r w:rsidR="007533D3" w:rsidRPr="00AB4C1A">
        <w:rPr>
          <w:rFonts w:ascii="Times New Roman" w:hAnsi="Times New Roman" w:cs="Times New Roman"/>
          <w:sz w:val="24"/>
          <w:szCs w:val="24"/>
        </w:rPr>
        <w:t>, 1998</w:t>
      </w:r>
      <w:r w:rsidR="00CD4939" w:rsidRPr="00AB4C1A">
        <w:rPr>
          <w:rFonts w:ascii="Times New Roman" w:hAnsi="Times New Roman" w:cs="Times New Roman"/>
          <w:sz w:val="24"/>
          <w:szCs w:val="24"/>
        </w:rPr>
        <w:t>).</w:t>
      </w:r>
    </w:p>
    <w:p w14:paraId="7C6AD8C8" w14:textId="2FCF297A" w:rsidR="00470CB4" w:rsidRPr="00AB4C1A" w:rsidRDefault="00776037"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We have also </w:t>
      </w:r>
      <w:r w:rsidR="003D4B10" w:rsidRPr="00AB4C1A">
        <w:rPr>
          <w:rFonts w:ascii="Times New Roman" w:hAnsi="Times New Roman" w:cs="Times New Roman"/>
          <w:sz w:val="24"/>
          <w:szCs w:val="24"/>
        </w:rPr>
        <w:t>contributed to</w:t>
      </w:r>
      <w:r w:rsidR="00723E52" w:rsidRPr="00AB4C1A">
        <w:rPr>
          <w:rFonts w:ascii="Times New Roman" w:hAnsi="Times New Roman" w:cs="Times New Roman"/>
          <w:sz w:val="24"/>
          <w:szCs w:val="24"/>
        </w:rPr>
        <w:t xml:space="preserve"> AQ policy development by identifying the</w:t>
      </w:r>
      <w:r w:rsidR="00C815EE" w:rsidRPr="00AB4C1A">
        <w:rPr>
          <w:rFonts w:ascii="Times New Roman" w:hAnsi="Times New Roman" w:cs="Times New Roman"/>
          <w:sz w:val="24"/>
          <w:szCs w:val="24"/>
        </w:rPr>
        <w:t xml:space="preserve"> need to</w:t>
      </w:r>
      <w:r w:rsidR="00D51999" w:rsidRPr="00AB4C1A">
        <w:rPr>
          <w:rFonts w:ascii="Times New Roman" w:hAnsi="Times New Roman" w:cs="Times New Roman"/>
          <w:sz w:val="24"/>
          <w:szCs w:val="24"/>
        </w:rPr>
        <w:t xml:space="preserve"> consistently</w:t>
      </w:r>
      <w:r w:rsidR="00723E52" w:rsidRPr="00AB4C1A">
        <w:rPr>
          <w:rFonts w:ascii="Times New Roman" w:hAnsi="Times New Roman" w:cs="Times New Roman"/>
          <w:sz w:val="24"/>
          <w:szCs w:val="24"/>
        </w:rPr>
        <w:t xml:space="preserve"> integra</w:t>
      </w:r>
      <w:r w:rsidR="00C815EE" w:rsidRPr="00AB4C1A">
        <w:rPr>
          <w:rFonts w:ascii="Times New Roman" w:hAnsi="Times New Roman" w:cs="Times New Roman"/>
          <w:sz w:val="24"/>
          <w:szCs w:val="24"/>
        </w:rPr>
        <w:t>te</w:t>
      </w:r>
      <w:r w:rsidR="00723E52" w:rsidRPr="00AB4C1A">
        <w:rPr>
          <w:rFonts w:ascii="Times New Roman" w:hAnsi="Times New Roman" w:cs="Times New Roman"/>
          <w:sz w:val="24"/>
          <w:szCs w:val="24"/>
        </w:rPr>
        <w:t xml:space="preserve"> key policies (Transport, health etc) in</w:t>
      </w:r>
      <w:r w:rsidR="00D51999" w:rsidRPr="00AB4C1A">
        <w:rPr>
          <w:rFonts w:ascii="Times New Roman" w:hAnsi="Times New Roman" w:cs="Times New Roman"/>
          <w:sz w:val="24"/>
          <w:szCs w:val="24"/>
        </w:rPr>
        <w:t>to</w:t>
      </w:r>
      <w:r w:rsidR="00723E52" w:rsidRPr="00AB4C1A">
        <w:rPr>
          <w:rFonts w:ascii="Times New Roman" w:hAnsi="Times New Roman" w:cs="Times New Roman"/>
          <w:sz w:val="24"/>
          <w:szCs w:val="24"/>
        </w:rPr>
        <w:t xml:space="preserve"> the AQAP. For example, </w:t>
      </w:r>
      <w:r w:rsidR="00470CB4" w:rsidRPr="00AB4C1A">
        <w:rPr>
          <w:rFonts w:ascii="Times New Roman" w:hAnsi="Times New Roman" w:cs="Times New Roman"/>
          <w:sz w:val="24"/>
          <w:szCs w:val="24"/>
        </w:rPr>
        <w:t xml:space="preserve">Energy Use and Production is not considered to be in the current scope of </w:t>
      </w:r>
      <w:r w:rsidR="00C815EE" w:rsidRPr="00AB4C1A">
        <w:rPr>
          <w:rFonts w:ascii="Times New Roman" w:hAnsi="Times New Roman" w:cs="Times New Roman"/>
          <w:sz w:val="24"/>
          <w:szCs w:val="24"/>
        </w:rPr>
        <w:t xml:space="preserve">most </w:t>
      </w:r>
      <w:r w:rsidR="00723E52" w:rsidRPr="00AB4C1A">
        <w:rPr>
          <w:rFonts w:ascii="Times New Roman" w:hAnsi="Times New Roman" w:cs="Times New Roman"/>
          <w:sz w:val="24"/>
          <w:szCs w:val="24"/>
        </w:rPr>
        <w:t xml:space="preserve">cities’ </w:t>
      </w:r>
      <w:r w:rsidR="00470CB4" w:rsidRPr="00AB4C1A">
        <w:rPr>
          <w:rFonts w:ascii="Times New Roman" w:hAnsi="Times New Roman" w:cs="Times New Roman"/>
          <w:sz w:val="24"/>
          <w:szCs w:val="24"/>
        </w:rPr>
        <w:t>AQAPs, reflecting the current policy</w:t>
      </w:r>
      <w:r w:rsidR="001979C7" w:rsidRPr="00AB4C1A">
        <w:rPr>
          <w:rFonts w:ascii="Times New Roman" w:hAnsi="Times New Roman" w:cs="Times New Roman"/>
          <w:sz w:val="24"/>
          <w:szCs w:val="24"/>
        </w:rPr>
        <w:t xml:space="preserve"> and technical</w:t>
      </w:r>
      <w:r w:rsidR="00470CB4" w:rsidRPr="00AB4C1A">
        <w:rPr>
          <w:rFonts w:ascii="Times New Roman" w:hAnsi="Times New Roman" w:cs="Times New Roman"/>
          <w:sz w:val="24"/>
          <w:szCs w:val="24"/>
        </w:rPr>
        <w:t xml:space="preserve"> guidance</w:t>
      </w:r>
      <w:r w:rsidR="001979C7" w:rsidRPr="00AB4C1A">
        <w:rPr>
          <w:rFonts w:ascii="Times New Roman" w:hAnsi="Times New Roman" w:cs="Times New Roman"/>
          <w:sz w:val="24"/>
          <w:szCs w:val="24"/>
        </w:rPr>
        <w:t xml:space="preserve"> which focuses </w:t>
      </w:r>
      <w:r w:rsidR="005834C7" w:rsidRPr="00AB4C1A">
        <w:rPr>
          <w:rFonts w:ascii="Times New Roman" w:hAnsi="Times New Roman" w:cs="Times New Roman"/>
          <w:sz w:val="24"/>
          <w:szCs w:val="24"/>
        </w:rPr>
        <w:t>primarily</w:t>
      </w:r>
      <w:r w:rsidR="001979C7" w:rsidRPr="00AB4C1A">
        <w:rPr>
          <w:rFonts w:ascii="Times New Roman" w:hAnsi="Times New Roman" w:cs="Times New Roman"/>
          <w:sz w:val="24"/>
          <w:szCs w:val="24"/>
        </w:rPr>
        <w:t xml:space="preserve"> on Transport</w:t>
      </w:r>
      <w:r w:rsidR="005834C7" w:rsidRPr="00AB4C1A">
        <w:rPr>
          <w:rFonts w:ascii="Times New Roman" w:hAnsi="Times New Roman" w:cs="Times New Roman"/>
          <w:sz w:val="24"/>
          <w:szCs w:val="24"/>
        </w:rPr>
        <w:t>, and Planning and Building Regulations</w:t>
      </w:r>
      <w:r w:rsidR="001979C7" w:rsidRPr="00AB4C1A">
        <w:rPr>
          <w:rFonts w:ascii="Times New Roman" w:hAnsi="Times New Roman" w:cs="Times New Roman"/>
          <w:sz w:val="24"/>
          <w:szCs w:val="24"/>
        </w:rPr>
        <w:t xml:space="preserve"> (Defra, 2016)</w:t>
      </w:r>
      <w:r w:rsidR="009156EA" w:rsidRPr="00AB4C1A">
        <w:rPr>
          <w:rFonts w:ascii="Times New Roman" w:hAnsi="Times New Roman" w:cs="Times New Roman"/>
          <w:sz w:val="24"/>
          <w:szCs w:val="24"/>
        </w:rPr>
        <w:t>. However</w:t>
      </w:r>
      <w:r w:rsidR="00D37750" w:rsidRPr="00AB4C1A">
        <w:rPr>
          <w:rFonts w:ascii="Times New Roman" w:hAnsi="Times New Roman" w:cs="Times New Roman"/>
          <w:sz w:val="24"/>
          <w:szCs w:val="24"/>
        </w:rPr>
        <w:t>,</w:t>
      </w:r>
      <w:r w:rsidR="009156EA" w:rsidRPr="00AB4C1A">
        <w:rPr>
          <w:rFonts w:ascii="Times New Roman" w:hAnsi="Times New Roman" w:cs="Times New Roman"/>
          <w:sz w:val="24"/>
          <w:szCs w:val="24"/>
        </w:rPr>
        <w:t xml:space="preserve"> it</w:t>
      </w:r>
      <w:r w:rsidR="00D15D35" w:rsidRPr="00AB4C1A">
        <w:rPr>
          <w:rFonts w:ascii="Times New Roman" w:hAnsi="Times New Roman" w:cs="Times New Roman"/>
          <w:sz w:val="24"/>
          <w:szCs w:val="24"/>
        </w:rPr>
        <w:t xml:space="preserve"> has been </w:t>
      </w:r>
      <w:r w:rsidR="005834C7" w:rsidRPr="00AB4C1A">
        <w:rPr>
          <w:rFonts w:ascii="Times New Roman" w:hAnsi="Times New Roman" w:cs="Times New Roman"/>
          <w:sz w:val="24"/>
          <w:szCs w:val="24"/>
        </w:rPr>
        <w:t>updated to take a more holistic approach (Defra, 2018</w:t>
      </w:r>
      <w:r w:rsidR="003F6AB5" w:rsidRPr="00AB4C1A">
        <w:rPr>
          <w:rFonts w:ascii="Times New Roman" w:hAnsi="Times New Roman" w:cs="Times New Roman"/>
          <w:sz w:val="24"/>
          <w:szCs w:val="24"/>
        </w:rPr>
        <w:t>c</w:t>
      </w:r>
      <w:r w:rsidR="005834C7" w:rsidRPr="00AB4C1A">
        <w:rPr>
          <w:rFonts w:ascii="Times New Roman" w:hAnsi="Times New Roman" w:cs="Times New Roman"/>
          <w:sz w:val="24"/>
          <w:szCs w:val="24"/>
        </w:rPr>
        <w:t>)</w:t>
      </w:r>
      <w:r w:rsidR="00470CB4" w:rsidRPr="00AB4C1A">
        <w:rPr>
          <w:rFonts w:ascii="Times New Roman" w:hAnsi="Times New Roman" w:cs="Times New Roman"/>
          <w:sz w:val="24"/>
          <w:szCs w:val="24"/>
        </w:rPr>
        <w:t xml:space="preserve">. </w:t>
      </w:r>
      <w:r w:rsidR="005834C7" w:rsidRPr="00AB4C1A">
        <w:rPr>
          <w:rFonts w:ascii="Times New Roman" w:hAnsi="Times New Roman" w:cs="Times New Roman"/>
          <w:sz w:val="24"/>
          <w:szCs w:val="24"/>
        </w:rPr>
        <w:t>Accordingly</w:t>
      </w:r>
      <w:r w:rsidR="00470CB4" w:rsidRPr="00AB4C1A">
        <w:rPr>
          <w:rFonts w:ascii="Times New Roman" w:hAnsi="Times New Roman" w:cs="Times New Roman"/>
          <w:sz w:val="24"/>
          <w:szCs w:val="24"/>
        </w:rPr>
        <w:t xml:space="preserve">, transport policy is prioritised with Bristol, Manchester and Newcastle scoring comparatively highly. In general, measures scores are </w:t>
      </w:r>
      <w:proofErr w:type="gramStart"/>
      <w:r w:rsidR="00470CB4" w:rsidRPr="00AB4C1A">
        <w:rPr>
          <w:rFonts w:ascii="Times New Roman" w:hAnsi="Times New Roman" w:cs="Times New Roman"/>
          <w:sz w:val="24"/>
          <w:szCs w:val="24"/>
        </w:rPr>
        <w:t>low</w:t>
      </w:r>
      <w:proofErr w:type="gramEnd"/>
      <w:r w:rsidR="00470CB4" w:rsidRPr="00AB4C1A">
        <w:rPr>
          <w:rFonts w:ascii="Times New Roman" w:hAnsi="Times New Roman" w:cs="Times New Roman"/>
          <w:sz w:val="24"/>
          <w:szCs w:val="24"/>
        </w:rPr>
        <w:t xml:space="preserve"> </w:t>
      </w:r>
      <w:r w:rsidR="00D15D35" w:rsidRPr="00AB4C1A">
        <w:rPr>
          <w:rFonts w:ascii="Times New Roman" w:hAnsi="Times New Roman" w:cs="Times New Roman"/>
          <w:sz w:val="24"/>
          <w:szCs w:val="24"/>
        </w:rPr>
        <w:t>yet</w:t>
      </w:r>
      <w:r w:rsidR="00470CB4" w:rsidRPr="00AB4C1A">
        <w:rPr>
          <w:rFonts w:ascii="Times New Roman" w:hAnsi="Times New Roman" w:cs="Times New Roman"/>
          <w:sz w:val="24"/>
          <w:szCs w:val="24"/>
        </w:rPr>
        <w:t xml:space="preserve"> health measures</w:t>
      </w:r>
      <w:r w:rsidR="00B50383" w:rsidRPr="00AB4C1A">
        <w:rPr>
          <w:rFonts w:ascii="Times New Roman" w:hAnsi="Times New Roman" w:cs="Times New Roman"/>
          <w:sz w:val="24"/>
          <w:szCs w:val="24"/>
        </w:rPr>
        <w:t xml:space="preserve"> are acknowledged</w:t>
      </w:r>
      <w:r w:rsidR="00470CB4" w:rsidRPr="00AB4C1A">
        <w:rPr>
          <w:rFonts w:ascii="Times New Roman" w:hAnsi="Times New Roman" w:cs="Times New Roman"/>
          <w:sz w:val="24"/>
          <w:szCs w:val="24"/>
        </w:rPr>
        <w:t>, particularly relating to NO</w:t>
      </w:r>
      <w:r w:rsidR="00470CB4" w:rsidRPr="00AB4C1A">
        <w:rPr>
          <w:rFonts w:ascii="Times New Roman" w:hAnsi="Times New Roman" w:cs="Times New Roman"/>
          <w:sz w:val="24"/>
          <w:szCs w:val="24"/>
          <w:vertAlign w:val="subscript"/>
        </w:rPr>
        <w:t>2</w:t>
      </w:r>
      <w:r w:rsidR="00470CB4" w:rsidRPr="00AB4C1A">
        <w:rPr>
          <w:rFonts w:ascii="Times New Roman" w:hAnsi="Times New Roman" w:cs="Times New Roman"/>
          <w:sz w:val="24"/>
          <w:szCs w:val="24"/>
        </w:rPr>
        <w:t xml:space="preserve"> and PM. </w:t>
      </w:r>
    </w:p>
    <w:p w14:paraId="2A0B5DC1" w14:textId="1FC76340" w:rsidR="00470CB4" w:rsidRPr="00AB4C1A" w:rsidRDefault="007B350C"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However, </w:t>
      </w:r>
      <w:r w:rsidR="00470CB4" w:rsidRPr="00AB4C1A">
        <w:rPr>
          <w:rFonts w:ascii="Times New Roman" w:hAnsi="Times New Roman" w:cs="Times New Roman"/>
          <w:sz w:val="24"/>
          <w:szCs w:val="24"/>
        </w:rPr>
        <w:t xml:space="preserve">both Glasgow and Leeds </w:t>
      </w:r>
      <w:r w:rsidRPr="00AB4C1A">
        <w:rPr>
          <w:rFonts w:ascii="Times New Roman" w:hAnsi="Times New Roman" w:cs="Times New Roman"/>
          <w:sz w:val="24"/>
          <w:szCs w:val="24"/>
        </w:rPr>
        <w:t xml:space="preserve">do </w:t>
      </w:r>
      <w:r w:rsidR="00331242" w:rsidRPr="00AB4C1A">
        <w:rPr>
          <w:rFonts w:ascii="Times New Roman" w:hAnsi="Times New Roman" w:cs="Times New Roman"/>
          <w:sz w:val="24"/>
          <w:szCs w:val="24"/>
        </w:rPr>
        <w:t xml:space="preserve">report </w:t>
      </w:r>
      <w:r w:rsidR="00470CB4" w:rsidRPr="00AB4C1A">
        <w:rPr>
          <w:rFonts w:ascii="Times New Roman" w:hAnsi="Times New Roman" w:cs="Times New Roman"/>
          <w:sz w:val="24"/>
          <w:szCs w:val="24"/>
        </w:rPr>
        <w:t xml:space="preserve">on </w:t>
      </w:r>
      <w:r w:rsidR="00D052A8" w:rsidRPr="00AB4C1A">
        <w:rPr>
          <w:rFonts w:ascii="Times New Roman" w:hAnsi="Times New Roman" w:cs="Times New Roman"/>
          <w:sz w:val="24"/>
          <w:szCs w:val="24"/>
        </w:rPr>
        <w:t>E</w:t>
      </w:r>
      <w:r w:rsidR="00470CB4" w:rsidRPr="00AB4C1A">
        <w:rPr>
          <w:rFonts w:ascii="Times New Roman" w:hAnsi="Times New Roman" w:cs="Times New Roman"/>
          <w:sz w:val="24"/>
          <w:szCs w:val="24"/>
        </w:rPr>
        <w:t xml:space="preserve">nergy </w:t>
      </w:r>
      <w:r w:rsidR="00D052A8" w:rsidRPr="00AB4C1A">
        <w:rPr>
          <w:rFonts w:ascii="Times New Roman" w:hAnsi="Times New Roman" w:cs="Times New Roman"/>
          <w:sz w:val="24"/>
          <w:szCs w:val="24"/>
        </w:rPr>
        <w:t>U</w:t>
      </w:r>
      <w:r w:rsidR="00470CB4" w:rsidRPr="00AB4C1A">
        <w:rPr>
          <w:rFonts w:ascii="Times New Roman" w:hAnsi="Times New Roman" w:cs="Times New Roman"/>
          <w:sz w:val="24"/>
          <w:szCs w:val="24"/>
        </w:rPr>
        <w:t xml:space="preserve">se and </w:t>
      </w:r>
      <w:r w:rsidR="00D052A8" w:rsidRPr="00AB4C1A">
        <w:rPr>
          <w:rFonts w:ascii="Times New Roman" w:hAnsi="Times New Roman" w:cs="Times New Roman"/>
          <w:sz w:val="24"/>
          <w:szCs w:val="24"/>
        </w:rPr>
        <w:t>P</w:t>
      </w:r>
      <w:r w:rsidR="00470CB4" w:rsidRPr="00AB4C1A">
        <w:rPr>
          <w:rFonts w:ascii="Times New Roman" w:hAnsi="Times New Roman" w:cs="Times New Roman"/>
          <w:sz w:val="24"/>
          <w:szCs w:val="24"/>
        </w:rPr>
        <w:t xml:space="preserve">roduction and </w:t>
      </w:r>
      <w:r w:rsidR="00D052A8" w:rsidRPr="00AB4C1A">
        <w:rPr>
          <w:rFonts w:ascii="Times New Roman" w:hAnsi="Times New Roman" w:cs="Times New Roman"/>
          <w:sz w:val="24"/>
          <w:szCs w:val="24"/>
        </w:rPr>
        <w:t>P</w:t>
      </w:r>
      <w:r w:rsidR="00470CB4" w:rsidRPr="00AB4C1A">
        <w:rPr>
          <w:rFonts w:ascii="Times New Roman" w:hAnsi="Times New Roman" w:cs="Times New Roman"/>
          <w:sz w:val="24"/>
          <w:szCs w:val="24"/>
        </w:rPr>
        <w:t xml:space="preserve">lanning and </w:t>
      </w:r>
      <w:r w:rsidR="00D052A8" w:rsidRPr="00AB4C1A">
        <w:rPr>
          <w:rFonts w:ascii="Times New Roman" w:hAnsi="Times New Roman" w:cs="Times New Roman"/>
          <w:sz w:val="24"/>
          <w:szCs w:val="24"/>
        </w:rPr>
        <w:t>D</w:t>
      </w:r>
      <w:r w:rsidR="00470CB4" w:rsidRPr="00AB4C1A">
        <w:rPr>
          <w:rFonts w:ascii="Times New Roman" w:hAnsi="Times New Roman" w:cs="Times New Roman"/>
          <w:sz w:val="24"/>
          <w:szCs w:val="24"/>
        </w:rPr>
        <w:t>evelopment</w:t>
      </w:r>
      <w:r w:rsidRPr="00AB4C1A">
        <w:rPr>
          <w:rFonts w:ascii="Times New Roman" w:hAnsi="Times New Roman" w:cs="Times New Roman"/>
          <w:sz w:val="24"/>
          <w:szCs w:val="24"/>
        </w:rPr>
        <w:t>.</w:t>
      </w:r>
      <w:r w:rsidR="00ED32C4" w:rsidRPr="00AB4C1A">
        <w:rPr>
          <w:rFonts w:ascii="Times New Roman" w:hAnsi="Times New Roman" w:cs="Times New Roman"/>
          <w:sz w:val="24"/>
          <w:szCs w:val="24"/>
        </w:rPr>
        <w:t xml:space="preserve"> </w:t>
      </w:r>
      <w:r w:rsidR="00470CB4" w:rsidRPr="00AB4C1A">
        <w:rPr>
          <w:rFonts w:ascii="Times New Roman" w:hAnsi="Times New Roman" w:cs="Times New Roman"/>
          <w:sz w:val="24"/>
          <w:szCs w:val="24"/>
        </w:rPr>
        <w:t>In the case of Leeds’s AQAP</w:t>
      </w:r>
      <w:r w:rsidR="00ED32C4" w:rsidRPr="00AB4C1A">
        <w:rPr>
          <w:rFonts w:ascii="Times New Roman" w:hAnsi="Times New Roman" w:cs="Times New Roman"/>
          <w:sz w:val="24"/>
          <w:szCs w:val="24"/>
        </w:rPr>
        <w:t>, as a subsidiary of the WYLES,</w:t>
      </w:r>
      <w:r w:rsidR="00470CB4" w:rsidRPr="00AB4C1A">
        <w:rPr>
          <w:rFonts w:ascii="Times New Roman" w:hAnsi="Times New Roman" w:cs="Times New Roman"/>
          <w:sz w:val="24"/>
          <w:szCs w:val="24"/>
        </w:rPr>
        <w:t xml:space="preserve"> </w:t>
      </w:r>
      <w:r w:rsidR="00ED32C4" w:rsidRPr="00AB4C1A">
        <w:rPr>
          <w:rFonts w:ascii="Times New Roman" w:hAnsi="Times New Roman" w:cs="Times New Roman"/>
          <w:sz w:val="24"/>
          <w:szCs w:val="24"/>
        </w:rPr>
        <w:t>it further reflects the relevance of</w:t>
      </w:r>
      <w:r w:rsidR="005D2E50" w:rsidRPr="00AB4C1A">
        <w:rPr>
          <w:rFonts w:ascii="Times New Roman" w:hAnsi="Times New Roman" w:cs="Times New Roman"/>
          <w:sz w:val="24"/>
          <w:szCs w:val="24"/>
        </w:rPr>
        <w:t xml:space="preserve"> reporting on</w:t>
      </w:r>
      <w:r w:rsidR="00470CB4" w:rsidRPr="00AB4C1A">
        <w:rPr>
          <w:rFonts w:ascii="Times New Roman" w:hAnsi="Times New Roman" w:cs="Times New Roman"/>
          <w:sz w:val="24"/>
          <w:szCs w:val="24"/>
        </w:rPr>
        <w:t xml:space="preserve"> these </w:t>
      </w:r>
      <w:r w:rsidR="00044B8C" w:rsidRPr="00AB4C1A">
        <w:rPr>
          <w:rFonts w:ascii="Times New Roman" w:hAnsi="Times New Roman" w:cs="Times New Roman"/>
          <w:sz w:val="24"/>
          <w:szCs w:val="24"/>
        </w:rPr>
        <w:t xml:space="preserve">measures </w:t>
      </w:r>
      <w:r w:rsidR="00470CB4" w:rsidRPr="00AB4C1A">
        <w:rPr>
          <w:rFonts w:ascii="Times New Roman" w:hAnsi="Times New Roman" w:cs="Times New Roman"/>
          <w:sz w:val="24"/>
          <w:szCs w:val="24"/>
        </w:rPr>
        <w:t xml:space="preserve">due to the plans </w:t>
      </w:r>
      <w:r w:rsidR="00ED32C4" w:rsidRPr="00AB4C1A">
        <w:rPr>
          <w:rFonts w:ascii="Times New Roman" w:hAnsi="Times New Roman" w:cs="Times New Roman"/>
          <w:sz w:val="24"/>
          <w:szCs w:val="24"/>
        </w:rPr>
        <w:t>in (West) Yorkshire to install</w:t>
      </w:r>
      <w:r w:rsidR="00470CB4" w:rsidRPr="00AB4C1A">
        <w:rPr>
          <w:rFonts w:ascii="Times New Roman" w:hAnsi="Times New Roman" w:cs="Times New Roman"/>
          <w:sz w:val="24"/>
          <w:szCs w:val="24"/>
        </w:rPr>
        <w:t xml:space="preserve"> fracking power stations (WYCA, 2015; Vaughan, 2017). Likewise, Glasgow’s </w:t>
      </w:r>
      <w:r w:rsidR="00044B8C" w:rsidRPr="00AB4C1A">
        <w:rPr>
          <w:rFonts w:ascii="Times New Roman" w:hAnsi="Times New Roman" w:cs="Times New Roman"/>
          <w:sz w:val="24"/>
          <w:szCs w:val="24"/>
        </w:rPr>
        <w:t xml:space="preserve">AQAP </w:t>
      </w:r>
      <w:r w:rsidR="00470CB4" w:rsidRPr="00AB4C1A">
        <w:rPr>
          <w:rFonts w:ascii="Times New Roman" w:hAnsi="Times New Roman" w:cs="Times New Roman"/>
          <w:sz w:val="24"/>
          <w:szCs w:val="24"/>
        </w:rPr>
        <w:t xml:space="preserve">addresses boiler emissions, </w:t>
      </w:r>
      <w:r w:rsidR="00C056F2" w:rsidRPr="00AB4C1A">
        <w:rPr>
          <w:rFonts w:ascii="Times New Roman" w:hAnsi="Times New Roman" w:cs="Times New Roman"/>
          <w:sz w:val="24"/>
          <w:szCs w:val="24"/>
        </w:rPr>
        <w:t>reflecting an incorporation of national policy</w:t>
      </w:r>
      <w:r w:rsidR="00470CB4" w:rsidRPr="00AB4C1A">
        <w:rPr>
          <w:rFonts w:ascii="Times New Roman" w:hAnsi="Times New Roman" w:cs="Times New Roman"/>
          <w:sz w:val="24"/>
          <w:szCs w:val="24"/>
        </w:rPr>
        <w:t xml:space="preserve"> (Glasgow City Council, 2009; AECOM, 2018). </w:t>
      </w:r>
      <w:r w:rsidRPr="00AB4C1A">
        <w:rPr>
          <w:rFonts w:ascii="Times New Roman" w:hAnsi="Times New Roman" w:cs="Times New Roman"/>
          <w:sz w:val="24"/>
          <w:szCs w:val="24"/>
        </w:rPr>
        <w:t xml:space="preserve">Thus, the </w:t>
      </w:r>
      <w:r w:rsidR="00B71DA0" w:rsidRPr="00AB4C1A">
        <w:rPr>
          <w:rFonts w:ascii="Times New Roman" w:hAnsi="Times New Roman" w:cs="Times New Roman"/>
          <w:sz w:val="24"/>
          <w:szCs w:val="24"/>
        </w:rPr>
        <w:t>results show</w:t>
      </w:r>
      <w:r w:rsidRPr="00AB4C1A">
        <w:rPr>
          <w:rFonts w:ascii="Times New Roman" w:hAnsi="Times New Roman" w:cs="Times New Roman"/>
          <w:sz w:val="24"/>
          <w:szCs w:val="24"/>
        </w:rPr>
        <w:t xml:space="preserve"> where some cities’ policies incorporate decisions made at different tiers of governance. </w:t>
      </w:r>
    </w:p>
    <w:p w14:paraId="11187A93" w14:textId="46C74F66" w:rsidR="006E2863" w:rsidRPr="00AB4C1A" w:rsidRDefault="00D15D35"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Regarding</w:t>
      </w:r>
      <w:r w:rsidR="006E2863" w:rsidRPr="00AB4C1A">
        <w:rPr>
          <w:rFonts w:ascii="Times New Roman" w:hAnsi="Times New Roman" w:cs="Times New Roman"/>
          <w:sz w:val="24"/>
          <w:szCs w:val="24"/>
        </w:rPr>
        <w:t xml:space="preserve"> Substance, Scope, and Effort,</w:t>
      </w:r>
      <w:r w:rsidR="0054059A" w:rsidRPr="00AB4C1A">
        <w:rPr>
          <w:rFonts w:ascii="Times New Roman" w:hAnsi="Times New Roman" w:cs="Times New Roman"/>
          <w:sz w:val="24"/>
          <w:szCs w:val="24"/>
        </w:rPr>
        <w:t xml:space="preserve"> </w:t>
      </w:r>
      <w:r w:rsidR="006E2863" w:rsidRPr="00AB4C1A">
        <w:rPr>
          <w:rFonts w:ascii="Times New Roman" w:hAnsi="Times New Roman" w:cs="Times New Roman"/>
          <w:sz w:val="24"/>
          <w:szCs w:val="24"/>
        </w:rPr>
        <w:t>the general mid</w:t>
      </w:r>
      <w:r w:rsidRPr="00AB4C1A">
        <w:rPr>
          <w:rFonts w:ascii="Times New Roman" w:hAnsi="Times New Roman" w:cs="Times New Roman"/>
          <w:sz w:val="24"/>
          <w:szCs w:val="24"/>
        </w:rPr>
        <w:t>-</w:t>
      </w:r>
      <w:r w:rsidR="006E2863" w:rsidRPr="00AB4C1A">
        <w:rPr>
          <w:rFonts w:ascii="Times New Roman" w:hAnsi="Times New Roman" w:cs="Times New Roman"/>
          <w:sz w:val="24"/>
          <w:szCs w:val="24"/>
        </w:rPr>
        <w:t>to</w:t>
      </w:r>
      <w:r w:rsidRPr="00AB4C1A">
        <w:rPr>
          <w:rFonts w:ascii="Times New Roman" w:hAnsi="Times New Roman" w:cs="Times New Roman"/>
          <w:sz w:val="24"/>
          <w:szCs w:val="24"/>
        </w:rPr>
        <w:t>-</w:t>
      </w:r>
      <w:r w:rsidR="006E2863" w:rsidRPr="00AB4C1A">
        <w:rPr>
          <w:rFonts w:ascii="Times New Roman" w:hAnsi="Times New Roman" w:cs="Times New Roman"/>
          <w:sz w:val="24"/>
          <w:szCs w:val="24"/>
        </w:rPr>
        <w:t>low scores</w:t>
      </w:r>
      <w:r w:rsidR="0054059A" w:rsidRPr="00AB4C1A">
        <w:rPr>
          <w:rFonts w:ascii="Times New Roman" w:hAnsi="Times New Roman" w:cs="Times New Roman"/>
          <w:sz w:val="24"/>
          <w:szCs w:val="24"/>
        </w:rPr>
        <w:t xml:space="preserve"> </w:t>
      </w:r>
      <w:r w:rsidR="006E2863" w:rsidRPr="00AB4C1A">
        <w:rPr>
          <w:rFonts w:ascii="Times New Roman" w:hAnsi="Times New Roman" w:cs="Times New Roman"/>
          <w:sz w:val="24"/>
          <w:szCs w:val="24"/>
        </w:rPr>
        <w:t>could reflect the level of responsibility that local authorities have in pursuing air quality targets. These</w:t>
      </w:r>
      <w:proofErr w:type="gramStart"/>
      <w:r w:rsidR="006E2863" w:rsidRPr="00AB4C1A">
        <w:rPr>
          <w:rFonts w:ascii="Times New Roman" w:hAnsi="Times New Roman" w:cs="Times New Roman"/>
          <w:sz w:val="24"/>
          <w:szCs w:val="24"/>
        </w:rPr>
        <w:t>, in particular, relate</w:t>
      </w:r>
      <w:proofErr w:type="gramEnd"/>
      <w:r w:rsidR="006E2863" w:rsidRPr="00AB4C1A">
        <w:rPr>
          <w:rFonts w:ascii="Times New Roman" w:hAnsi="Times New Roman" w:cs="Times New Roman"/>
          <w:sz w:val="24"/>
          <w:szCs w:val="24"/>
        </w:rPr>
        <w:t xml:space="preserve"> to Substance where the definitional details show limited research into mitigative policy </w:t>
      </w:r>
      <w:r w:rsidR="006E2863" w:rsidRPr="00AB4C1A">
        <w:rPr>
          <w:rFonts w:ascii="Times New Roman" w:hAnsi="Times New Roman" w:cs="Times New Roman"/>
          <w:sz w:val="24"/>
          <w:szCs w:val="24"/>
        </w:rPr>
        <w:lastRenderedPageBreak/>
        <w:t xml:space="preserve">measures. Scope, contrarily, shows that generally all AQAPs address the appropriate timescale, area and, social group(s). However, Effort shows </w:t>
      </w:r>
      <w:r w:rsidRPr="00AB4C1A">
        <w:rPr>
          <w:rFonts w:ascii="Times New Roman" w:hAnsi="Times New Roman" w:cs="Times New Roman"/>
          <w:sz w:val="24"/>
          <w:szCs w:val="24"/>
        </w:rPr>
        <w:t xml:space="preserve">a </w:t>
      </w:r>
      <w:r w:rsidR="006E2863" w:rsidRPr="00AB4C1A">
        <w:rPr>
          <w:rFonts w:ascii="Times New Roman" w:hAnsi="Times New Roman" w:cs="Times New Roman"/>
          <w:sz w:val="24"/>
          <w:szCs w:val="24"/>
        </w:rPr>
        <w:t>considerable lacking across the board, with scores below 50. It reflects the current policy situation where resources are not allocated sufficiently due to lack of legal obligation</w:t>
      </w:r>
      <w:r w:rsidR="002C15E8" w:rsidRPr="00AB4C1A">
        <w:rPr>
          <w:rFonts w:ascii="Times New Roman" w:hAnsi="Times New Roman" w:cs="Times New Roman"/>
          <w:sz w:val="24"/>
          <w:szCs w:val="24"/>
        </w:rPr>
        <w:t xml:space="preserve"> (Barnes </w:t>
      </w:r>
      <w:r w:rsidR="002C15E8" w:rsidRPr="00AB4C1A">
        <w:rPr>
          <w:rFonts w:ascii="Times New Roman" w:hAnsi="Times New Roman" w:cs="Times New Roman"/>
          <w:i/>
          <w:iCs/>
          <w:sz w:val="24"/>
          <w:szCs w:val="24"/>
        </w:rPr>
        <w:t>et al</w:t>
      </w:r>
      <w:r w:rsidR="002C15E8" w:rsidRPr="00AB4C1A">
        <w:rPr>
          <w:rFonts w:ascii="Times New Roman" w:hAnsi="Times New Roman" w:cs="Times New Roman"/>
          <w:sz w:val="24"/>
          <w:szCs w:val="24"/>
        </w:rPr>
        <w:t xml:space="preserve">., 2018, Brunt </w:t>
      </w:r>
      <w:r w:rsidR="002C15E8" w:rsidRPr="00AB4C1A">
        <w:rPr>
          <w:rFonts w:ascii="Times New Roman" w:hAnsi="Times New Roman" w:cs="Times New Roman"/>
          <w:i/>
          <w:iCs/>
          <w:sz w:val="24"/>
          <w:szCs w:val="24"/>
        </w:rPr>
        <w:t>et al.,</w:t>
      </w:r>
      <w:r w:rsidR="002C15E8" w:rsidRPr="00AB4C1A">
        <w:rPr>
          <w:rFonts w:ascii="Times New Roman" w:hAnsi="Times New Roman" w:cs="Times New Roman"/>
          <w:sz w:val="24"/>
          <w:szCs w:val="24"/>
        </w:rPr>
        <w:t xml:space="preserve"> 2016)</w:t>
      </w:r>
      <w:r w:rsidR="006E2863" w:rsidRPr="00AB4C1A">
        <w:rPr>
          <w:rFonts w:ascii="Times New Roman" w:hAnsi="Times New Roman" w:cs="Times New Roman"/>
          <w:sz w:val="24"/>
          <w:szCs w:val="24"/>
        </w:rPr>
        <w:t>.</w:t>
      </w:r>
    </w:p>
    <w:p w14:paraId="73231B7C" w14:textId="77777777" w:rsidR="0054059A" w:rsidRPr="00AB4C1A" w:rsidRDefault="006E2863"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While efforts to create </w:t>
      </w:r>
      <w:r w:rsidR="00F85D91" w:rsidRPr="00AB4C1A">
        <w:rPr>
          <w:rFonts w:ascii="Times New Roman" w:hAnsi="Times New Roman" w:cs="Times New Roman"/>
          <w:sz w:val="24"/>
          <w:szCs w:val="24"/>
        </w:rPr>
        <w:t>effective</w:t>
      </w:r>
      <w:r w:rsidR="00A72263" w:rsidRPr="00AB4C1A">
        <w:rPr>
          <w:rFonts w:ascii="Times New Roman" w:hAnsi="Times New Roman" w:cs="Times New Roman"/>
          <w:sz w:val="24"/>
          <w:szCs w:val="24"/>
        </w:rPr>
        <w:t xml:space="preserve"> </w:t>
      </w:r>
      <w:r w:rsidRPr="00AB4C1A">
        <w:rPr>
          <w:rFonts w:ascii="Times New Roman" w:hAnsi="Times New Roman" w:cs="Times New Roman"/>
          <w:sz w:val="24"/>
          <w:szCs w:val="24"/>
        </w:rPr>
        <w:t xml:space="preserve">AQAPs and implement them are demonstrated </w:t>
      </w:r>
      <w:r w:rsidR="00D15D35" w:rsidRPr="00AB4C1A">
        <w:rPr>
          <w:rFonts w:ascii="Times New Roman" w:hAnsi="Times New Roman" w:cs="Times New Roman"/>
          <w:sz w:val="24"/>
          <w:szCs w:val="24"/>
        </w:rPr>
        <w:t xml:space="preserve">across </w:t>
      </w:r>
      <w:r w:rsidRPr="00AB4C1A">
        <w:rPr>
          <w:rFonts w:ascii="Times New Roman" w:hAnsi="Times New Roman" w:cs="Times New Roman"/>
          <w:sz w:val="24"/>
          <w:szCs w:val="24"/>
        </w:rPr>
        <w:t xml:space="preserve">the </w:t>
      </w:r>
      <w:r w:rsidR="00D37750" w:rsidRPr="00AB4C1A">
        <w:rPr>
          <w:rFonts w:ascii="Times New Roman" w:hAnsi="Times New Roman" w:cs="Times New Roman"/>
          <w:sz w:val="24"/>
          <w:szCs w:val="24"/>
        </w:rPr>
        <w:t>Bridging F</w:t>
      </w:r>
      <w:r w:rsidRPr="00AB4C1A">
        <w:rPr>
          <w:rFonts w:ascii="Times New Roman" w:hAnsi="Times New Roman" w:cs="Times New Roman"/>
          <w:sz w:val="24"/>
          <w:szCs w:val="24"/>
        </w:rPr>
        <w:t>ramework scores, fundamentally</w:t>
      </w:r>
      <w:r w:rsidR="00D15D35" w:rsidRPr="00AB4C1A">
        <w:rPr>
          <w:rFonts w:ascii="Times New Roman" w:hAnsi="Times New Roman" w:cs="Times New Roman"/>
          <w:sz w:val="24"/>
          <w:szCs w:val="24"/>
        </w:rPr>
        <w:t>,</w:t>
      </w:r>
      <w:r w:rsidRPr="00AB4C1A">
        <w:rPr>
          <w:rFonts w:ascii="Times New Roman" w:hAnsi="Times New Roman" w:cs="Times New Roman"/>
          <w:sz w:val="24"/>
          <w:szCs w:val="24"/>
        </w:rPr>
        <w:t xml:space="preserve"> </w:t>
      </w:r>
      <w:r w:rsidR="00B0153D" w:rsidRPr="00AB4C1A">
        <w:rPr>
          <w:rFonts w:ascii="Times New Roman" w:hAnsi="Times New Roman" w:cs="Times New Roman"/>
          <w:sz w:val="24"/>
          <w:szCs w:val="24"/>
        </w:rPr>
        <w:t>air quality objectives</w:t>
      </w:r>
      <w:r w:rsidR="009156EA" w:rsidRPr="00AB4C1A">
        <w:rPr>
          <w:rFonts w:ascii="Times New Roman" w:hAnsi="Times New Roman" w:cs="Times New Roman"/>
          <w:sz w:val="24"/>
          <w:szCs w:val="24"/>
        </w:rPr>
        <w:t xml:space="preserve"> and limit values</w:t>
      </w:r>
      <w:r w:rsidR="00B0153D" w:rsidRPr="00AB4C1A">
        <w:rPr>
          <w:rFonts w:ascii="Times New Roman" w:hAnsi="Times New Roman" w:cs="Times New Roman"/>
          <w:sz w:val="24"/>
          <w:szCs w:val="24"/>
        </w:rPr>
        <w:t xml:space="preserve"> have not been met</w:t>
      </w:r>
      <w:r w:rsidRPr="00AB4C1A">
        <w:rPr>
          <w:rFonts w:ascii="Times New Roman" w:hAnsi="Times New Roman" w:cs="Times New Roman"/>
          <w:sz w:val="24"/>
          <w:szCs w:val="24"/>
        </w:rPr>
        <w:t xml:space="preserve">. Even where cities (i.e. Glasgow) have reduced the size of their AQMA(s) or reported revocations, continued declarations are made and the </w:t>
      </w:r>
      <w:r w:rsidR="00094F07" w:rsidRPr="00AB4C1A">
        <w:rPr>
          <w:rFonts w:ascii="Times New Roman" w:hAnsi="Times New Roman" w:cs="Times New Roman"/>
          <w:sz w:val="24"/>
          <w:szCs w:val="24"/>
        </w:rPr>
        <w:t xml:space="preserve">challenge of reducing </w:t>
      </w:r>
      <w:r w:rsidRPr="00AB4C1A">
        <w:rPr>
          <w:rFonts w:ascii="Times New Roman" w:hAnsi="Times New Roman" w:cs="Times New Roman"/>
          <w:sz w:val="24"/>
          <w:szCs w:val="24"/>
        </w:rPr>
        <w:t>levels of NO</w:t>
      </w:r>
      <w:r w:rsidRPr="00AB4C1A">
        <w:rPr>
          <w:rFonts w:ascii="Times New Roman" w:hAnsi="Times New Roman" w:cs="Times New Roman"/>
          <w:sz w:val="24"/>
          <w:szCs w:val="24"/>
          <w:vertAlign w:val="subscript"/>
        </w:rPr>
        <w:t>2</w:t>
      </w:r>
      <w:r w:rsidRPr="00AB4C1A">
        <w:rPr>
          <w:rFonts w:ascii="Times New Roman" w:hAnsi="Times New Roman" w:cs="Times New Roman"/>
          <w:sz w:val="24"/>
          <w:szCs w:val="24"/>
        </w:rPr>
        <w:t xml:space="preserve"> is clearly shown by the differences between NO</w:t>
      </w:r>
      <w:r w:rsidRPr="00AB4C1A">
        <w:rPr>
          <w:rFonts w:ascii="Times New Roman" w:hAnsi="Times New Roman" w:cs="Times New Roman"/>
          <w:sz w:val="24"/>
          <w:szCs w:val="24"/>
          <w:vertAlign w:val="subscript"/>
        </w:rPr>
        <w:t xml:space="preserve">2 </w:t>
      </w:r>
      <w:r w:rsidRPr="00AB4C1A">
        <w:rPr>
          <w:rFonts w:ascii="Times New Roman" w:hAnsi="Times New Roman" w:cs="Times New Roman"/>
          <w:sz w:val="24"/>
          <w:szCs w:val="24"/>
        </w:rPr>
        <w:t xml:space="preserve">and limit value. However, </w:t>
      </w:r>
      <w:r w:rsidR="00D15D35" w:rsidRPr="00AB4C1A">
        <w:rPr>
          <w:rFonts w:ascii="Times New Roman" w:hAnsi="Times New Roman" w:cs="Times New Roman"/>
          <w:sz w:val="24"/>
          <w:szCs w:val="24"/>
        </w:rPr>
        <w:t>four</w:t>
      </w:r>
      <w:r w:rsidRPr="00AB4C1A">
        <w:rPr>
          <w:rFonts w:ascii="Times New Roman" w:hAnsi="Times New Roman" w:cs="Times New Roman"/>
          <w:sz w:val="24"/>
          <w:szCs w:val="24"/>
        </w:rPr>
        <w:t xml:space="preserve"> out of the </w:t>
      </w:r>
      <w:r w:rsidR="00D15D35" w:rsidRPr="00AB4C1A">
        <w:rPr>
          <w:rFonts w:ascii="Times New Roman" w:hAnsi="Times New Roman" w:cs="Times New Roman"/>
          <w:sz w:val="24"/>
          <w:szCs w:val="24"/>
        </w:rPr>
        <w:t>five</w:t>
      </w:r>
      <w:r w:rsidRPr="00AB4C1A">
        <w:rPr>
          <w:rFonts w:ascii="Times New Roman" w:hAnsi="Times New Roman" w:cs="Times New Roman"/>
          <w:sz w:val="24"/>
          <w:szCs w:val="24"/>
        </w:rPr>
        <w:t xml:space="preserve"> cities’ ASRs reported an improvement in air quality. This shows that current AQAPs are working to an extent</w:t>
      </w:r>
      <w:r w:rsidR="00972A5B" w:rsidRPr="00AB4C1A">
        <w:rPr>
          <w:rFonts w:ascii="Times New Roman" w:hAnsi="Times New Roman" w:cs="Times New Roman"/>
          <w:sz w:val="24"/>
          <w:szCs w:val="24"/>
        </w:rPr>
        <w:t xml:space="preserve">, </w:t>
      </w:r>
      <w:r w:rsidRPr="00AB4C1A">
        <w:rPr>
          <w:rFonts w:ascii="Times New Roman" w:hAnsi="Times New Roman" w:cs="Times New Roman"/>
          <w:sz w:val="24"/>
          <w:szCs w:val="24"/>
        </w:rPr>
        <w:t xml:space="preserve">however, they could be improved to better fulfil their designated task. </w:t>
      </w:r>
    </w:p>
    <w:p w14:paraId="24E26C32" w14:textId="673DCD46" w:rsidR="0022609C" w:rsidRPr="00AB4C1A" w:rsidRDefault="008C737D"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By identifying areas of poor performance</w:t>
      </w:r>
      <w:r w:rsidR="00A72263" w:rsidRPr="00AB4C1A">
        <w:rPr>
          <w:rFonts w:ascii="Times New Roman" w:hAnsi="Times New Roman" w:cs="Times New Roman"/>
          <w:sz w:val="24"/>
          <w:szCs w:val="24"/>
        </w:rPr>
        <w:t xml:space="preserve"> </w:t>
      </w:r>
      <w:r w:rsidRPr="00AB4C1A">
        <w:rPr>
          <w:rFonts w:ascii="Times New Roman" w:hAnsi="Times New Roman" w:cs="Times New Roman"/>
          <w:sz w:val="24"/>
          <w:szCs w:val="24"/>
        </w:rPr>
        <w:t>through the output scores, t</w:t>
      </w:r>
      <w:r w:rsidR="006E2863" w:rsidRPr="00AB4C1A">
        <w:rPr>
          <w:rFonts w:ascii="Times New Roman" w:hAnsi="Times New Roman" w:cs="Times New Roman"/>
          <w:sz w:val="24"/>
          <w:szCs w:val="24"/>
        </w:rPr>
        <w:t xml:space="preserve">he </w:t>
      </w:r>
      <w:r w:rsidR="00D37750" w:rsidRPr="00AB4C1A">
        <w:rPr>
          <w:rFonts w:ascii="Times New Roman" w:hAnsi="Times New Roman" w:cs="Times New Roman"/>
          <w:sz w:val="24"/>
          <w:szCs w:val="24"/>
        </w:rPr>
        <w:t>Bridging F</w:t>
      </w:r>
      <w:r w:rsidR="006E2863" w:rsidRPr="00AB4C1A">
        <w:rPr>
          <w:rFonts w:ascii="Times New Roman" w:hAnsi="Times New Roman" w:cs="Times New Roman"/>
          <w:sz w:val="24"/>
          <w:szCs w:val="24"/>
        </w:rPr>
        <w:t>ramework highlight</w:t>
      </w:r>
      <w:r w:rsidRPr="00AB4C1A">
        <w:rPr>
          <w:rFonts w:ascii="Times New Roman" w:hAnsi="Times New Roman" w:cs="Times New Roman"/>
          <w:sz w:val="24"/>
          <w:szCs w:val="24"/>
        </w:rPr>
        <w:t>s</w:t>
      </w:r>
      <w:r w:rsidR="006E2863" w:rsidRPr="00AB4C1A">
        <w:rPr>
          <w:rFonts w:ascii="Times New Roman" w:hAnsi="Times New Roman" w:cs="Times New Roman"/>
          <w:sz w:val="24"/>
          <w:szCs w:val="24"/>
        </w:rPr>
        <w:t xml:space="preserve"> the areas in which </w:t>
      </w:r>
      <w:r w:rsidRPr="00AB4C1A">
        <w:rPr>
          <w:rFonts w:ascii="Times New Roman" w:hAnsi="Times New Roman" w:cs="Times New Roman"/>
          <w:sz w:val="24"/>
          <w:szCs w:val="24"/>
        </w:rPr>
        <w:t xml:space="preserve">LAs </w:t>
      </w:r>
      <w:r w:rsidR="009C00F5" w:rsidRPr="00AB4C1A">
        <w:rPr>
          <w:rFonts w:ascii="Times New Roman" w:hAnsi="Times New Roman" w:cs="Times New Roman"/>
          <w:sz w:val="24"/>
          <w:szCs w:val="24"/>
        </w:rPr>
        <w:t xml:space="preserve">and higher levels of government </w:t>
      </w:r>
      <w:r w:rsidR="006E2863" w:rsidRPr="00AB4C1A">
        <w:rPr>
          <w:rFonts w:ascii="Times New Roman" w:hAnsi="Times New Roman" w:cs="Times New Roman"/>
          <w:sz w:val="24"/>
          <w:szCs w:val="24"/>
        </w:rPr>
        <w:t xml:space="preserve">could </w:t>
      </w:r>
      <w:r w:rsidR="009C00F5" w:rsidRPr="00AB4C1A">
        <w:rPr>
          <w:rFonts w:ascii="Times New Roman" w:hAnsi="Times New Roman" w:cs="Times New Roman"/>
          <w:sz w:val="24"/>
          <w:szCs w:val="24"/>
        </w:rPr>
        <w:t>better align their contributions to the AQAP</w:t>
      </w:r>
      <w:r w:rsidR="007F6FFC" w:rsidRPr="00AB4C1A">
        <w:rPr>
          <w:rFonts w:ascii="Times New Roman" w:hAnsi="Times New Roman" w:cs="Times New Roman"/>
          <w:sz w:val="24"/>
          <w:szCs w:val="24"/>
        </w:rPr>
        <w:t>’</w:t>
      </w:r>
      <w:r w:rsidR="009C00F5" w:rsidRPr="00AB4C1A">
        <w:rPr>
          <w:rFonts w:ascii="Times New Roman" w:hAnsi="Times New Roman" w:cs="Times New Roman"/>
          <w:sz w:val="24"/>
          <w:szCs w:val="24"/>
        </w:rPr>
        <w:t>s objectives</w:t>
      </w:r>
      <w:r w:rsidR="00A72263" w:rsidRPr="00AB4C1A">
        <w:rPr>
          <w:rFonts w:ascii="Times New Roman" w:hAnsi="Times New Roman" w:cs="Times New Roman"/>
          <w:sz w:val="24"/>
          <w:szCs w:val="24"/>
        </w:rPr>
        <w:t>.</w:t>
      </w:r>
      <w:r w:rsidR="006E2863" w:rsidRPr="00AB4C1A">
        <w:rPr>
          <w:rFonts w:ascii="Times New Roman" w:hAnsi="Times New Roman" w:cs="Times New Roman"/>
          <w:sz w:val="24"/>
          <w:szCs w:val="24"/>
        </w:rPr>
        <w:t xml:space="preserve"> </w:t>
      </w:r>
      <w:r w:rsidR="00D37750" w:rsidRPr="00AB4C1A">
        <w:rPr>
          <w:rFonts w:ascii="Times New Roman" w:hAnsi="Times New Roman" w:cs="Times New Roman"/>
          <w:sz w:val="24"/>
          <w:szCs w:val="24"/>
        </w:rPr>
        <w:t>T</w:t>
      </w:r>
      <w:r w:rsidR="00972A5B" w:rsidRPr="00AB4C1A">
        <w:rPr>
          <w:rFonts w:ascii="Times New Roman" w:hAnsi="Times New Roman" w:cs="Times New Roman"/>
          <w:sz w:val="24"/>
          <w:szCs w:val="24"/>
        </w:rPr>
        <w:t>his is on the assumption that the AQAP measures are driving this improvement (not external drivers which are not influenced by LAs such as improvements in vehicle technologies).</w:t>
      </w:r>
      <w:r w:rsidR="00D51999" w:rsidRPr="00AB4C1A">
        <w:rPr>
          <w:rFonts w:ascii="Times New Roman" w:hAnsi="Times New Roman" w:cs="Times New Roman"/>
          <w:sz w:val="24"/>
          <w:szCs w:val="24"/>
        </w:rPr>
        <w:t xml:space="preserve"> </w:t>
      </w:r>
      <w:r w:rsidR="00972A5B" w:rsidRPr="00AB4C1A">
        <w:rPr>
          <w:rFonts w:ascii="Times New Roman" w:hAnsi="Times New Roman" w:cs="Times New Roman"/>
          <w:sz w:val="24"/>
          <w:szCs w:val="24"/>
        </w:rPr>
        <w:t>Currently disaggregating this influence is a challenge</w:t>
      </w:r>
      <w:r w:rsidR="00A72263" w:rsidRPr="00AB4C1A">
        <w:rPr>
          <w:rFonts w:ascii="Times New Roman" w:hAnsi="Times New Roman" w:cs="Times New Roman"/>
          <w:sz w:val="24"/>
          <w:szCs w:val="24"/>
        </w:rPr>
        <w:t>, but with effective targeted measurements this is a feasible approach to assess</w:t>
      </w:r>
      <w:r w:rsidR="007F6FFC" w:rsidRPr="00AB4C1A">
        <w:rPr>
          <w:rFonts w:ascii="Times New Roman" w:hAnsi="Times New Roman" w:cs="Times New Roman"/>
          <w:sz w:val="24"/>
          <w:szCs w:val="24"/>
        </w:rPr>
        <w:t>ing</w:t>
      </w:r>
      <w:r w:rsidR="00A72263" w:rsidRPr="00AB4C1A">
        <w:rPr>
          <w:rFonts w:ascii="Times New Roman" w:hAnsi="Times New Roman" w:cs="Times New Roman"/>
          <w:sz w:val="24"/>
          <w:szCs w:val="24"/>
        </w:rPr>
        <w:t xml:space="preserve"> the impact of many interventions.</w:t>
      </w:r>
    </w:p>
    <w:p w14:paraId="1D5D6F4A" w14:textId="77777777" w:rsidR="00830F32" w:rsidRPr="00AB4C1A" w:rsidRDefault="00737DE4">
      <w:pPr>
        <w:spacing w:line="240" w:lineRule="auto"/>
        <w:rPr>
          <w:rFonts w:ascii="Times New Roman" w:hAnsi="Times New Roman" w:cs="Times New Roman"/>
          <w:sz w:val="24"/>
          <w:szCs w:val="24"/>
        </w:rPr>
      </w:pPr>
      <w:r w:rsidRPr="00AB4C1A">
        <w:rPr>
          <w:rFonts w:ascii="Times New Roman" w:hAnsi="Times New Roman" w:cs="Times New Roman"/>
          <w:sz w:val="24"/>
          <w:szCs w:val="24"/>
        </w:rPr>
        <w:t>T</w:t>
      </w:r>
      <w:r w:rsidR="008F2198" w:rsidRPr="00AB4C1A">
        <w:rPr>
          <w:rFonts w:ascii="Times New Roman" w:hAnsi="Times New Roman" w:cs="Times New Roman"/>
          <w:sz w:val="24"/>
          <w:szCs w:val="24"/>
        </w:rPr>
        <w:t xml:space="preserve">he </w:t>
      </w:r>
      <w:r w:rsidR="009156EA" w:rsidRPr="00AB4C1A">
        <w:rPr>
          <w:rFonts w:ascii="Times New Roman" w:hAnsi="Times New Roman" w:cs="Times New Roman"/>
          <w:sz w:val="24"/>
          <w:szCs w:val="24"/>
        </w:rPr>
        <w:t>C</w:t>
      </w:r>
      <w:r w:rsidR="006E2863" w:rsidRPr="00AB4C1A">
        <w:rPr>
          <w:rFonts w:ascii="Times New Roman" w:hAnsi="Times New Roman" w:cs="Times New Roman"/>
          <w:sz w:val="24"/>
          <w:szCs w:val="24"/>
        </w:rPr>
        <w:t xml:space="preserve">ontext and </w:t>
      </w:r>
      <w:r w:rsidR="009156EA" w:rsidRPr="00AB4C1A">
        <w:rPr>
          <w:rFonts w:ascii="Times New Roman" w:hAnsi="Times New Roman" w:cs="Times New Roman"/>
          <w:sz w:val="24"/>
          <w:szCs w:val="24"/>
        </w:rPr>
        <w:t>O</w:t>
      </w:r>
      <w:r w:rsidR="006E2863" w:rsidRPr="00AB4C1A">
        <w:rPr>
          <w:rFonts w:ascii="Times New Roman" w:hAnsi="Times New Roman" w:cs="Times New Roman"/>
          <w:sz w:val="24"/>
          <w:szCs w:val="24"/>
        </w:rPr>
        <w:t>utcome sections added to the</w:t>
      </w:r>
      <w:r w:rsidR="00867744" w:rsidRPr="00AB4C1A">
        <w:rPr>
          <w:rFonts w:ascii="Times New Roman" w:hAnsi="Times New Roman" w:cs="Times New Roman"/>
          <w:sz w:val="24"/>
          <w:szCs w:val="24"/>
        </w:rPr>
        <w:t xml:space="preserve"> Bridging</w:t>
      </w:r>
      <w:r w:rsidR="006E2863" w:rsidRPr="00AB4C1A">
        <w:rPr>
          <w:rFonts w:ascii="Times New Roman" w:hAnsi="Times New Roman" w:cs="Times New Roman"/>
          <w:sz w:val="24"/>
          <w:szCs w:val="24"/>
        </w:rPr>
        <w:t xml:space="preserve"> Framework work to consolidate the alignment of the AAQD and LAQM and frame the </w:t>
      </w:r>
      <w:r w:rsidR="009156EA" w:rsidRPr="00AB4C1A">
        <w:rPr>
          <w:rFonts w:ascii="Times New Roman" w:hAnsi="Times New Roman" w:cs="Times New Roman"/>
          <w:sz w:val="24"/>
          <w:szCs w:val="24"/>
        </w:rPr>
        <w:t>O</w:t>
      </w:r>
      <w:r w:rsidR="00247B32" w:rsidRPr="00AB4C1A">
        <w:rPr>
          <w:rFonts w:ascii="Times New Roman" w:hAnsi="Times New Roman" w:cs="Times New Roman"/>
          <w:sz w:val="24"/>
          <w:szCs w:val="24"/>
        </w:rPr>
        <w:t>utput section</w:t>
      </w:r>
      <w:r w:rsidR="006E2863" w:rsidRPr="00AB4C1A">
        <w:rPr>
          <w:rFonts w:ascii="Times New Roman" w:hAnsi="Times New Roman" w:cs="Times New Roman"/>
          <w:sz w:val="24"/>
          <w:szCs w:val="24"/>
        </w:rPr>
        <w:t xml:space="preserve"> in this context. </w:t>
      </w:r>
      <w:r w:rsidR="00247B32" w:rsidRPr="00AB4C1A">
        <w:rPr>
          <w:rFonts w:ascii="Times New Roman" w:hAnsi="Times New Roman" w:cs="Times New Roman"/>
          <w:sz w:val="24"/>
          <w:szCs w:val="24"/>
        </w:rPr>
        <w:t xml:space="preserve">Equally, </w:t>
      </w:r>
      <w:r w:rsidR="006E2863" w:rsidRPr="00AB4C1A">
        <w:rPr>
          <w:rFonts w:ascii="Times New Roman" w:hAnsi="Times New Roman" w:cs="Times New Roman"/>
          <w:sz w:val="24"/>
          <w:szCs w:val="24"/>
        </w:rPr>
        <w:t>extra measures added align the</w:t>
      </w:r>
      <w:r w:rsidR="00A43173" w:rsidRPr="00AB4C1A">
        <w:rPr>
          <w:rFonts w:ascii="Times New Roman" w:hAnsi="Times New Roman" w:cs="Times New Roman"/>
          <w:sz w:val="24"/>
          <w:szCs w:val="24"/>
        </w:rPr>
        <w:t xml:space="preserve"> Bridging</w:t>
      </w:r>
      <w:r w:rsidR="006E2863" w:rsidRPr="00AB4C1A">
        <w:rPr>
          <w:rFonts w:ascii="Times New Roman" w:hAnsi="Times New Roman" w:cs="Times New Roman"/>
          <w:sz w:val="24"/>
          <w:szCs w:val="24"/>
        </w:rPr>
        <w:t xml:space="preserve"> Framework with current literature</w:t>
      </w:r>
      <w:r w:rsidR="00867744" w:rsidRPr="00AB4C1A">
        <w:rPr>
          <w:rFonts w:ascii="Times New Roman" w:hAnsi="Times New Roman" w:cs="Times New Roman"/>
          <w:sz w:val="24"/>
          <w:szCs w:val="24"/>
        </w:rPr>
        <w:t>,</w:t>
      </w:r>
      <w:r w:rsidR="006E2863" w:rsidRPr="00AB4C1A">
        <w:rPr>
          <w:rFonts w:ascii="Times New Roman" w:hAnsi="Times New Roman" w:cs="Times New Roman"/>
          <w:sz w:val="24"/>
          <w:szCs w:val="24"/>
        </w:rPr>
        <w:t xml:space="preserve"> </w:t>
      </w:r>
      <w:r w:rsidR="00867744" w:rsidRPr="00AB4C1A">
        <w:rPr>
          <w:rFonts w:ascii="Times New Roman" w:hAnsi="Times New Roman" w:cs="Times New Roman"/>
          <w:sz w:val="24"/>
          <w:szCs w:val="24"/>
        </w:rPr>
        <w:t>and the</w:t>
      </w:r>
      <w:r w:rsidR="009631AF" w:rsidRPr="00AB4C1A">
        <w:rPr>
          <w:rFonts w:ascii="Times New Roman" w:hAnsi="Times New Roman" w:cs="Times New Roman"/>
          <w:sz w:val="24"/>
          <w:szCs w:val="24"/>
        </w:rPr>
        <w:t xml:space="preserve"> systematised</w:t>
      </w:r>
      <w:r w:rsidR="006E2863" w:rsidRPr="00AB4C1A">
        <w:rPr>
          <w:rFonts w:ascii="Times New Roman" w:hAnsi="Times New Roman" w:cs="Times New Roman"/>
          <w:sz w:val="24"/>
          <w:szCs w:val="24"/>
        </w:rPr>
        <w:t xml:space="preserve"> scoring system </w:t>
      </w:r>
      <w:r w:rsidR="00867744" w:rsidRPr="00AB4C1A">
        <w:rPr>
          <w:rFonts w:ascii="Times New Roman" w:hAnsi="Times New Roman" w:cs="Times New Roman"/>
          <w:sz w:val="24"/>
          <w:szCs w:val="24"/>
        </w:rPr>
        <w:t xml:space="preserve">makes </w:t>
      </w:r>
      <w:r w:rsidR="006E2863" w:rsidRPr="00AB4C1A">
        <w:rPr>
          <w:rFonts w:ascii="Times New Roman" w:hAnsi="Times New Roman" w:cs="Times New Roman"/>
          <w:sz w:val="24"/>
          <w:szCs w:val="24"/>
        </w:rPr>
        <w:t xml:space="preserve">the results more meaningful. </w:t>
      </w:r>
      <w:r w:rsidR="00867744" w:rsidRPr="00AB4C1A">
        <w:rPr>
          <w:rFonts w:ascii="Times New Roman" w:hAnsi="Times New Roman" w:cs="Times New Roman"/>
          <w:sz w:val="24"/>
          <w:szCs w:val="24"/>
        </w:rPr>
        <w:t>T</w:t>
      </w:r>
      <w:r w:rsidR="00455F2A" w:rsidRPr="00AB4C1A">
        <w:rPr>
          <w:rFonts w:ascii="Times New Roman" w:hAnsi="Times New Roman" w:cs="Times New Roman"/>
          <w:sz w:val="24"/>
          <w:szCs w:val="24"/>
        </w:rPr>
        <w:t xml:space="preserve">he new measures secure the </w:t>
      </w:r>
      <w:r w:rsidR="00A43173" w:rsidRPr="00AB4C1A">
        <w:rPr>
          <w:rFonts w:ascii="Times New Roman" w:hAnsi="Times New Roman" w:cs="Times New Roman"/>
          <w:sz w:val="24"/>
          <w:szCs w:val="24"/>
        </w:rPr>
        <w:t xml:space="preserve">Bridging </w:t>
      </w:r>
      <w:r w:rsidR="00455F2A" w:rsidRPr="00AB4C1A">
        <w:rPr>
          <w:rFonts w:ascii="Times New Roman" w:hAnsi="Times New Roman" w:cs="Times New Roman"/>
          <w:sz w:val="24"/>
          <w:szCs w:val="24"/>
        </w:rPr>
        <w:t>Framework as a relevant policy tool for current social, economic and political circumstances</w:t>
      </w:r>
      <w:r w:rsidR="008F2198" w:rsidRPr="00AB4C1A">
        <w:rPr>
          <w:rFonts w:ascii="Times New Roman" w:hAnsi="Times New Roman" w:cs="Times New Roman"/>
          <w:sz w:val="24"/>
          <w:szCs w:val="24"/>
        </w:rPr>
        <w:t xml:space="preserve">. </w:t>
      </w:r>
      <w:r w:rsidRPr="00AB4C1A">
        <w:rPr>
          <w:rFonts w:ascii="Times New Roman" w:hAnsi="Times New Roman" w:cs="Times New Roman"/>
          <w:sz w:val="24"/>
          <w:szCs w:val="24"/>
        </w:rPr>
        <w:t xml:space="preserve">They </w:t>
      </w:r>
      <w:r w:rsidR="008F2198" w:rsidRPr="00AB4C1A">
        <w:rPr>
          <w:rFonts w:ascii="Times New Roman" w:hAnsi="Times New Roman" w:cs="Times New Roman"/>
          <w:sz w:val="24"/>
          <w:szCs w:val="24"/>
        </w:rPr>
        <w:t xml:space="preserve">provide relevant criteria for practitioners to make an informed assessment of their cities AQ scenario and compare them against others. This could </w:t>
      </w:r>
      <w:r w:rsidR="00455F2A" w:rsidRPr="00AB4C1A">
        <w:rPr>
          <w:rFonts w:ascii="Times New Roman" w:hAnsi="Times New Roman" w:cs="Times New Roman"/>
          <w:sz w:val="24"/>
          <w:szCs w:val="24"/>
        </w:rPr>
        <w:t>influenc</w:t>
      </w:r>
      <w:r w:rsidR="008F2198" w:rsidRPr="00AB4C1A">
        <w:rPr>
          <w:rFonts w:ascii="Times New Roman" w:hAnsi="Times New Roman" w:cs="Times New Roman"/>
          <w:sz w:val="24"/>
          <w:szCs w:val="24"/>
        </w:rPr>
        <w:t>e</w:t>
      </w:r>
      <w:r w:rsidR="00455F2A" w:rsidRPr="00AB4C1A">
        <w:rPr>
          <w:rFonts w:ascii="Times New Roman" w:hAnsi="Times New Roman" w:cs="Times New Roman"/>
          <w:sz w:val="24"/>
          <w:szCs w:val="24"/>
        </w:rPr>
        <w:t xml:space="preserve"> </w:t>
      </w:r>
      <w:r w:rsidR="008F2198" w:rsidRPr="00AB4C1A">
        <w:rPr>
          <w:rFonts w:ascii="Times New Roman" w:hAnsi="Times New Roman" w:cs="Times New Roman"/>
          <w:sz w:val="24"/>
          <w:szCs w:val="24"/>
        </w:rPr>
        <w:t xml:space="preserve">further </w:t>
      </w:r>
      <w:r w:rsidR="00455F2A" w:rsidRPr="00AB4C1A">
        <w:rPr>
          <w:rFonts w:ascii="Times New Roman" w:hAnsi="Times New Roman" w:cs="Times New Roman"/>
          <w:sz w:val="24"/>
          <w:szCs w:val="24"/>
        </w:rPr>
        <w:t>efforts for action</w:t>
      </w:r>
      <w:r w:rsidR="008F2198" w:rsidRPr="00AB4C1A">
        <w:rPr>
          <w:rFonts w:ascii="Times New Roman" w:hAnsi="Times New Roman" w:cs="Times New Roman"/>
          <w:sz w:val="24"/>
          <w:szCs w:val="24"/>
        </w:rPr>
        <w:t xml:space="preserve"> </w:t>
      </w:r>
      <w:r w:rsidR="00455F2A" w:rsidRPr="00AB4C1A">
        <w:rPr>
          <w:rFonts w:ascii="Times New Roman" w:hAnsi="Times New Roman" w:cs="Times New Roman"/>
          <w:sz w:val="24"/>
          <w:szCs w:val="24"/>
        </w:rPr>
        <w:t xml:space="preserve">(Brunt, </w:t>
      </w:r>
      <w:r w:rsidR="00455F2A" w:rsidRPr="00AB4C1A">
        <w:rPr>
          <w:rFonts w:ascii="Times New Roman" w:hAnsi="Times New Roman" w:cs="Times New Roman"/>
          <w:i/>
          <w:sz w:val="24"/>
          <w:szCs w:val="24"/>
        </w:rPr>
        <w:t>et al.,</w:t>
      </w:r>
      <w:r w:rsidR="00455F2A" w:rsidRPr="00AB4C1A">
        <w:rPr>
          <w:rFonts w:ascii="Times New Roman" w:hAnsi="Times New Roman" w:cs="Times New Roman"/>
          <w:sz w:val="24"/>
          <w:szCs w:val="24"/>
        </w:rPr>
        <w:t xml:space="preserve"> 2016; Cannibal &amp; Lemon, 2000). </w:t>
      </w:r>
    </w:p>
    <w:p w14:paraId="24833B68" w14:textId="5B6517C4" w:rsidR="005A6458" w:rsidRPr="00AB4C1A" w:rsidRDefault="008F2198"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Additionally, t</w:t>
      </w:r>
      <w:r w:rsidR="00455F2A" w:rsidRPr="00AB4C1A">
        <w:rPr>
          <w:rFonts w:ascii="Times New Roman" w:hAnsi="Times New Roman" w:cs="Times New Roman"/>
          <w:sz w:val="24"/>
          <w:szCs w:val="24"/>
        </w:rPr>
        <w:t>he systemisation of scores</w:t>
      </w:r>
      <w:r w:rsidR="005A78C2" w:rsidRPr="00AB4C1A">
        <w:rPr>
          <w:rFonts w:ascii="Times New Roman" w:hAnsi="Times New Roman" w:cs="Times New Roman"/>
          <w:sz w:val="24"/>
          <w:szCs w:val="24"/>
        </w:rPr>
        <w:t xml:space="preserve"> </w:t>
      </w:r>
      <w:r w:rsidR="00455F2A" w:rsidRPr="00AB4C1A">
        <w:rPr>
          <w:rFonts w:ascii="Times New Roman" w:hAnsi="Times New Roman" w:cs="Times New Roman"/>
          <w:sz w:val="24"/>
          <w:szCs w:val="24"/>
        </w:rPr>
        <w:t>make interpretation of the results easier</w:t>
      </w:r>
      <w:r w:rsidR="000E00E1" w:rsidRPr="00AB4C1A">
        <w:rPr>
          <w:rFonts w:ascii="Times New Roman" w:hAnsi="Times New Roman" w:cs="Times New Roman"/>
          <w:sz w:val="24"/>
          <w:szCs w:val="24"/>
        </w:rPr>
        <w:t xml:space="preserve"> </w:t>
      </w:r>
      <w:r w:rsidR="001D6A9C" w:rsidRPr="00AB4C1A">
        <w:rPr>
          <w:rFonts w:ascii="Times New Roman" w:hAnsi="Times New Roman" w:cs="Times New Roman"/>
          <w:sz w:val="24"/>
          <w:szCs w:val="24"/>
        </w:rPr>
        <w:t>as</w:t>
      </w:r>
      <w:r w:rsidR="00455F2A" w:rsidRPr="00AB4C1A">
        <w:rPr>
          <w:rFonts w:ascii="Times New Roman" w:hAnsi="Times New Roman" w:cs="Times New Roman"/>
          <w:sz w:val="24"/>
          <w:szCs w:val="24"/>
        </w:rPr>
        <w:t xml:space="preserve"> </w:t>
      </w:r>
      <w:r w:rsidR="005A78C2" w:rsidRPr="00AB4C1A">
        <w:rPr>
          <w:rFonts w:ascii="Times New Roman" w:hAnsi="Times New Roman" w:cs="Times New Roman"/>
          <w:sz w:val="24"/>
          <w:szCs w:val="24"/>
        </w:rPr>
        <w:t>they</w:t>
      </w:r>
      <w:r w:rsidR="00455F2A" w:rsidRPr="00AB4C1A">
        <w:rPr>
          <w:rFonts w:ascii="Times New Roman" w:hAnsi="Times New Roman" w:cs="Times New Roman"/>
          <w:sz w:val="24"/>
          <w:szCs w:val="24"/>
        </w:rPr>
        <w:t xml:space="preserve"> deliver a comprehensive idea of implementation output performance </w:t>
      </w:r>
      <w:r w:rsidR="005A78C2" w:rsidRPr="00AB4C1A">
        <w:rPr>
          <w:rFonts w:ascii="Times New Roman" w:hAnsi="Times New Roman" w:cs="Times New Roman"/>
          <w:sz w:val="24"/>
          <w:szCs w:val="24"/>
        </w:rPr>
        <w:t xml:space="preserve">of AQAPs </w:t>
      </w:r>
      <w:r w:rsidR="00455F2A" w:rsidRPr="00AB4C1A">
        <w:rPr>
          <w:rFonts w:ascii="Times New Roman" w:hAnsi="Times New Roman" w:cs="Times New Roman"/>
          <w:sz w:val="24"/>
          <w:szCs w:val="24"/>
        </w:rPr>
        <w:t xml:space="preserve">relative to the </w:t>
      </w:r>
      <w:r w:rsidR="00867744" w:rsidRPr="00AB4C1A">
        <w:rPr>
          <w:rFonts w:ascii="Times New Roman" w:hAnsi="Times New Roman" w:cs="Times New Roman"/>
          <w:sz w:val="24"/>
          <w:szCs w:val="24"/>
        </w:rPr>
        <w:t>Bridging F</w:t>
      </w:r>
      <w:r w:rsidR="00455F2A" w:rsidRPr="00AB4C1A">
        <w:rPr>
          <w:rFonts w:ascii="Times New Roman" w:hAnsi="Times New Roman" w:cs="Times New Roman"/>
          <w:sz w:val="24"/>
          <w:szCs w:val="24"/>
        </w:rPr>
        <w:t xml:space="preserve">ramework total scores (the ‘standard’) </w:t>
      </w:r>
      <w:r w:rsidR="005A78C2" w:rsidRPr="00AB4C1A">
        <w:rPr>
          <w:rFonts w:ascii="Times New Roman" w:hAnsi="Times New Roman" w:cs="Times New Roman"/>
          <w:sz w:val="24"/>
          <w:szCs w:val="24"/>
        </w:rPr>
        <w:t xml:space="preserve">and </w:t>
      </w:r>
      <w:r w:rsidR="00753738" w:rsidRPr="00AB4C1A">
        <w:rPr>
          <w:rFonts w:ascii="Times New Roman" w:hAnsi="Times New Roman" w:cs="Times New Roman"/>
          <w:sz w:val="24"/>
          <w:szCs w:val="24"/>
        </w:rPr>
        <w:t>a comparison</w:t>
      </w:r>
      <w:r w:rsidR="005A78C2" w:rsidRPr="00AB4C1A">
        <w:rPr>
          <w:rFonts w:ascii="Times New Roman" w:hAnsi="Times New Roman" w:cs="Times New Roman"/>
          <w:sz w:val="24"/>
          <w:szCs w:val="24"/>
        </w:rPr>
        <w:t xml:space="preserve"> amongst cities</w:t>
      </w:r>
      <w:r w:rsidR="00455F2A" w:rsidRPr="00AB4C1A">
        <w:rPr>
          <w:rFonts w:ascii="Times New Roman" w:hAnsi="Times New Roman" w:cs="Times New Roman"/>
          <w:sz w:val="24"/>
          <w:szCs w:val="24"/>
        </w:rPr>
        <w:t xml:space="preserve">. As a result, </w:t>
      </w:r>
      <w:r w:rsidR="00E77E53" w:rsidRPr="00AB4C1A">
        <w:rPr>
          <w:rFonts w:ascii="Times New Roman" w:hAnsi="Times New Roman" w:cs="Times New Roman"/>
          <w:sz w:val="24"/>
          <w:szCs w:val="24"/>
        </w:rPr>
        <w:t>LAs</w:t>
      </w:r>
      <w:r w:rsidR="00455F2A" w:rsidRPr="00AB4C1A">
        <w:rPr>
          <w:rFonts w:ascii="Times New Roman" w:hAnsi="Times New Roman" w:cs="Times New Roman"/>
          <w:sz w:val="24"/>
          <w:szCs w:val="24"/>
        </w:rPr>
        <w:t xml:space="preserve"> </w:t>
      </w:r>
      <w:r w:rsidR="00BF52EA" w:rsidRPr="00AB4C1A">
        <w:rPr>
          <w:rFonts w:ascii="Times New Roman" w:hAnsi="Times New Roman" w:cs="Times New Roman"/>
          <w:sz w:val="24"/>
          <w:szCs w:val="24"/>
        </w:rPr>
        <w:t xml:space="preserve">can </w:t>
      </w:r>
      <w:r w:rsidR="00455F2A" w:rsidRPr="00AB4C1A">
        <w:rPr>
          <w:rFonts w:ascii="Times New Roman" w:hAnsi="Times New Roman" w:cs="Times New Roman"/>
          <w:sz w:val="24"/>
          <w:szCs w:val="24"/>
        </w:rPr>
        <w:t xml:space="preserve">approach the scoring either collectively or competitively </w:t>
      </w:r>
      <w:r w:rsidR="00BF52EA" w:rsidRPr="00AB4C1A">
        <w:rPr>
          <w:rFonts w:ascii="Times New Roman" w:hAnsi="Times New Roman" w:cs="Times New Roman"/>
          <w:sz w:val="24"/>
          <w:szCs w:val="24"/>
        </w:rPr>
        <w:t xml:space="preserve">which </w:t>
      </w:r>
      <w:r w:rsidR="00455F2A" w:rsidRPr="00AB4C1A">
        <w:rPr>
          <w:rFonts w:ascii="Times New Roman" w:hAnsi="Times New Roman" w:cs="Times New Roman"/>
          <w:sz w:val="24"/>
          <w:szCs w:val="24"/>
        </w:rPr>
        <w:t xml:space="preserve">can help them develop </w:t>
      </w:r>
      <w:r w:rsidR="00476CBE" w:rsidRPr="00AB4C1A">
        <w:rPr>
          <w:rFonts w:ascii="Times New Roman" w:hAnsi="Times New Roman" w:cs="Times New Roman"/>
          <w:sz w:val="24"/>
          <w:szCs w:val="24"/>
        </w:rPr>
        <w:t>better</w:t>
      </w:r>
      <w:r w:rsidR="00455F2A" w:rsidRPr="00AB4C1A">
        <w:rPr>
          <w:rFonts w:ascii="Times New Roman" w:hAnsi="Times New Roman" w:cs="Times New Roman"/>
          <w:sz w:val="24"/>
          <w:szCs w:val="24"/>
        </w:rPr>
        <w:t xml:space="preserve"> AQAPs.</w:t>
      </w:r>
      <w:r w:rsidR="00830F32" w:rsidRPr="00AB4C1A">
        <w:rPr>
          <w:rFonts w:ascii="Times New Roman" w:hAnsi="Times New Roman" w:cs="Times New Roman"/>
          <w:sz w:val="24"/>
          <w:szCs w:val="24"/>
        </w:rPr>
        <w:t xml:space="preserve"> Further, </w:t>
      </w:r>
      <w:r w:rsidR="0013551B" w:rsidRPr="00AB4C1A">
        <w:rPr>
          <w:rFonts w:ascii="Times New Roman" w:hAnsi="Times New Roman" w:cs="Times New Roman"/>
          <w:sz w:val="24"/>
          <w:szCs w:val="24"/>
        </w:rPr>
        <w:t>the</w:t>
      </w:r>
      <w:r w:rsidR="00753738" w:rsidRPr="00AB4C1A">
        <w:rPr>
          <w:rFonts w:ascii="Times New Roman" w:hAnsi="Times New Roman" w:cs="Times New Roman"/>
          <w:sz w:val="24"/>
          <w:szCs w:val="24"/>
        </w:rPr>
        <w:t xml:space="preserve"> breakdown of</w:t>
      </w:r>
      <w:r w:rsidR="0013551B" w:rsidRPr="00AB4C1A">
        <w:rPr>
          <w:rFonts w:ascii="Times New Roman" w:hAnsi="Times New Roman" w:cs="Times New Roman"/>
          <w:sz w:val="24"/>
          <w:szCs w:val="24"/>
        </w:rPr>
        <w:t xml:space="preserve"> </w:t>
      </w:r>
      <w:r w:rsidR="00830F32" w:rsidRPr="00AB4C1A">
        <w:rPr>
          <w:rFonts w:ascii="Times New Roman" w:hAnsi="Times New Roman" w:cs="Times New Roman"/>
          <w:sz w:val="24"/>
          <w:szCs w:val="24"/>
        </w:rPr>
        <w:t xml:space="preserve">scores </w:t>
      </w:r>
      <w:r w:rsidR="0013551B" w:rsidRPr="00AB4C1A">
        <w:rPr>
          <w:rFonts w:ascii="Times New Roman" w:hAnsi="Times New Roman" w:cs="Times New Roman"/>
          <w:sz w:val="24"/>
          <w:szCs w:val="24"/>
        </w:rPr>
        <w:t xml:space="preserve">enables policy makers to </w:t>
      </w:r>
      <w:r w:rsidR="009A589F" w:rsidRPr="00AB4C1A">
        <w:rPr>
          <w:rFonts w:ascii="Times New Roman" w:hAnsi="Times New Roman" w:cs="Times New Roman"/>
          <w:sz w:val="24"/>
          <w:szCs w:val="24"/>
        </w:rPr>
        <w:t>explore</w:t>
      </w:r>
      <w:r w:rsidR="0013551B" w:rsidRPr="00AB4C1A">
        <w:rPr>
          <w:rFonts w:ascii="Times New Roman" w:hAnsi="Times New Roman" w:cs="Times New Roman"/>
          <w:sz w:val="24"/>
          <w:szCs w:val="24"/>
        </w:rPr>
        <w:t xml:space="preserve"> a </w:t>
      </w:r>
      <w:proofErr w:type="gramStart"/>
      <w:r w:rsidR="0013551B" w:rsidRPr="00AB4C1A">
        <w:rPr>
          <w:rFonts w:ascii="Times New Roman" w:hAnsi="Times New Roman" w:cs="Times New Roman"/>
          <w:sz w:val="24"/>
          <w:szCs w:val="24"/>
        </w:rPr>
        <w:t>particular area</w:t>
      </w:r>
      <w:proofErr w:type="gramEnd"/>
      <w:r w:rsidR="0013551B" w:rsidRPr="00AB4C1A">
        <w:rPr>
          <w:rFonts w:ascii="Times New Roman" w:hAnsi="Times New Roman" w:cs="Times New Roman"/>
          <w:sz w:val="24"/>
          <w:szCs w:val="24"/>
        </w:rPr>
        <w:t>, category, or policy</w:t>
      </w:r>
      <w:r w:rsidR="00867744" w:rsidRPr="00AB4C1A">
        <w:rPr>
          <w:rFonts w:ascii="Times New Roman" w:hAnsi="Times New Roman" w:cs="Times New Roman"/>
          <w:sz w:val="24"/>
          <w:szCs w:val="24"/>
        </w:rPr>
        <w:t>,</w:t>
      </w:r>
      <w:r w:rsidR="0013551B" w:rsidRPr="00AB4C1A">
        <w:rPr>
          <w:rFonts w:ascii="Times New Roman" w:hAnsi="Times New Roman" w:cs="Times New Roman"/>
          <w:sz w:val="24"/>
          <w:szCs w:val="24"/>
        </w:rPr>
        <w:t xml:space="preserve"> to focus on</w:t>
      </w:r>
      <w:r w:rsidR="00E77E53" w:rsidRPr="00AB4C1A">
        <w:rPr>
          <w:rFonts w:ascii="Times New Roman" w:hAnsi="Times New Roman" w:cs="Times New Roman"/>
          <w:sz w:val="24"/>
          <w:szCs w:val="24"/>
        </w:rPr>
        <w:t>,</w:t>
      </w:r>
      <w:r w:rsidR="0013551B" w:rsidRPr="00AB4C1A">
        <w:rPr>
          <w:rFonts w:ascii="Times New Roman" w:hAnsi="Times New Roman" w:cs="Times New Roman"/>
          <w:sz w:val="24"/>
          <w:szCs w:val="24"/>
        </w:rPr>
        <w:t xml:space="preserve"> either</w:t>
      </w:r>
      <w:r w:rsidR="000E00E1" w:rsidRPr="00AB4C1A">
        <w:rPr>
          <w:rFonts w:ascii="Times New Roman" w:hAnsi="Times New Roman" w:cs="Times New Roman"/>
          <w:sz w:val="24"/>
          <w:szCs w:val="24"/>
        </w:rPr>
        <w:t xml:space="preserve"> for</w:t>
      </w:r>
      <w:r w:rsidR="0013551B" w:rsidRPr="00AB4C1A">
        <w:rPr>
          <w:rFonts w:ascii="Times New Roman" w:hAnsi="Times New Roman" w:cs="Times New Roman"/>
          <w:sz w:val="24"/>
          <w:szCs w:val="24"/>
        </w:rPr>
        <w:t xml:space="preserve"> improvement or development. The results not only give general information on the (quality of the) contents of the AQAP but also give information </w:t>
      </w:r>
      <w:r w:rsidR="003E6322" w:rsidRPr="00AB4C1A">
        <w:rPr>
          <w:rFonts w:ascii="Times New Roman" w:hAnsi="Times New Roman" w:cs="Times New Roman"/>
          <w:sz w:val="24"/>
          <w:szCs w:val="24"/>
        </w:rPr>
        <w:t xml:space="preserve">beyond </w:t>
      </w:r>
      <w:r w:rsidR="0013551B" w:rsidRPr="00AB4C1A">
        <w:rPr>
          <w:rFonts w:ascii="Times New Roman" w:hAnsi="Times New Roman" w:cs="Times New Roman"/>
          <w:sz w:val="24"/>
          <w:szCs w:val="24"/>
        </w:rPr>
        <w:t>a comparison against other AQAPs.</w:t>
      </w:r>
      <w:r w:rsidR="009342D9" w:rsidRPr="00AB4C1A">
        <w:rPr>
          <w:rFonts w:ascii="Times New Roman" w:hAnsi="Times New Roman" w:cs="Times New Roman"/>
          <w:sz w:val="24"/>
          <w:szCs w:val="24"/>
        </w:rPr>
        <w:t xml:space="preserve"> </w:t>
      </w:r>
      <w:r w:rsidR="0013551B" w:rsidRPr="00AB4C1A">
        <w:rPr>
          <w:rFonts w:ascii="Times New Roman" w:hAnsi="Times New Roman" w:cs="Times New Roman"/>
          <w:sz w:val="24"/>
          <w:szCs w:val="24"/>
        </w:rPr>
        <w:t xml:space="preserve"> </w:t>
      </w:r>
    </w:p>
    <w:p w14:paraId="598AD03C" w14:textId="33BD50B0" w:rsidR="005A6458" w:rsidRPr="00AB4C1A" w:rsidRDefault="005A6458"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The function of the Bridging Framework is to assess the performance of AQAPs and</w:t>
      </w:r>
      <w:r w:rsidR="007F6FFC" w:rsidRPr="00AB4C1A">
        <w:rPr>
          <w:rFonts w:ascii="Times New Roman" w:hAnsi="Times New Roman" w:cs="Times New Roman"/>
          <w:sz w:val="24"/>
          <w:szCs w:val="24"/>
        </w:rPr>
        <w:t>,</w:t>
      </w:r>
      <w:r w:rsidRPr="00AB4C1A">
        <w:rPr>
          <w:rFonts w:ascii="Times New Roman" w:hAnsi="Times New Roman" w:cs="Times New Roman"/>
          <w:sz w:val="24"/>
          <w:szCs w:val="24"/>
        </w:rPr>
        <w:t xml:space="preserve"> in so doing</w:t>
      </w:r>
      <w:r w:rsidR="007F6FFC" w:rsidRPr="00AB4C1A">
        <w:rPr>
          <w:rFonts w:ascii="Times New Roman" w:hAnsi="Times New Roman" w:cs="Times New Roman"/>
          <w:sz w:val="24"/>
          <w:szCs w:val="24"/>
        </w:rPr>
        <w:t>,</w:t>
      </w:r>
      <w:r w:rsidRPr="00AB4C1A">
        <w:rPr>
          <w:rFonts w:ascii="Times New Roman" w:hAnsi="Times New Roman" w:cs="Times New Roman"/>
          <w:sz w:val="24"/>
          <w:szCs w:val="24"/>
        </w:rPr>
        <w:t xml:space="preserve"> aligns both the AQS and AAQD in order to close the policy gap between them. </w:t>
      </w:r>
      <w:r w:rsidR="007F6FFC" w:rsidRPr="00AB4C1A">
        <w:rPr>
          <w:rFonts w:ascii="Times New Roman" w:hAnsi="Times New Roman" w:cs="Times New Roman"/>
          <w:sz w:val="24"/>
          <w:szCs w:val="24"/>
        </w:rPr>
        <w:t>Our</w:t>
      </w:r>
      <w:r w:rsidR="009D0584" w:rsidRPr="00AB4C1A">
        <w:rPr>
          <w:rFonts w:ascii="Times New Roman" w:hAnsi="Times New Roman" w:cs="Times New Roman"/>
          <w:sz w:val="24"/>
          <w:szCs w:val="24"/>
        </w:rPr>
        <w:t xml:space="preserve"> paper </w:t>
      </w:r>
      <w:r w:rsidR="007F6FFC" w:rsidRPr="00AB4C1A">
        <w:rPr>
          <w:rFonts w:ascii="Times New Roman" w:hAnsi="Times New Roman" w:cs="Times New Roman"/>
          <w:sz w:val="24"/>
          <w:szCs w:val="24"/>
        </w:rPr>
        <w:t xml:space="preserve">therefore </w:t>
      </w:r>
      <w:r w:rsidR="009D0584" w:rsidRPr="00AB4C1A">
        <w:rPr>
          <w:rFonts w:ascii="Times New Roman" w:hAnsi="Times New Roman" w:cs="Times New Roman"/>
          <w:sz w:val="24"/>
          <w:szCs w:val="24"/>
        </w:rPr>
        <w:t xml:space="preserve">contributes to the literature on </w:t>
      </w:r>
      <w:r w:rsidR="00BE688B" w:rsidRPr="00AB4C1A">
        <w:rPr>
          <w:rFonts w:ascii="Times New Roman" w:hAnsi="Times New Roman" w:cs="Times New Roman"/>
          <w:sz w:val="24"/>
          <w:szCs w:val="24"/>
        </w:rPr>
        <w:t>multi-level</w:t>
      </w:r>
      <w:r w:rsidR="009D0584" w:rsidRPr="00AB4C1A">
        <w:rPr>
          <w:rFonts w:ascii="Times New Roman" w:hAnsi="Times New Roman" w:cs="Times New Roman"/>
          <w:sz w:val="24"/>
          <w:szCs w:val="24"/>
        </w:rPr>
        <w:t xml:space="preserve"> governance and </w:t>
      </w:r>
      <w:r w:rsidR="00BE688B" w:rsidRPr="00AB4C1A">
        <w:rPr>
          <w:rFonts w:ascii="Times New Roman" w:hAnsi="Times New Roman" w:cs="Times New Roman"/>
          <w:sz w:val="24"/>
          <w:szCs w:val="24"/>
        </w:rPr>
        <w:t>multi-level</w:t>
      </w:r>
      <w:r w:rsidR="009D0584" w:rsidRPr="00AB4C1A">
        <w:rPr>
          <w:rFonts w:ascii="Times New Roman" w:hAnsi="Times New Roman" w:cs="Times New Roman"/>
          <w:sz w:val="24"/>
          <w:szCs w:val="24"/>
        </w:rPr>
        <w:t xml:space="preserve"> policy implementation</w:t>
      </w:r>
      <w:r w:rsidR="00044B8C" w:rsidRPr="00AB4C1A">
        <w:rPr>
          <w:rFonts w:ascii="Times New Roman" w:hAnsi="Times New Roman" w:cs="Times New Roman"/>
          <w:sz w:val="24"/>
          <w:szCs w:val="24"/>
        </w:rPr>
        <w:t>.</w:t>
      </w:r>
      <w:r w:rsidR="009D0584" w:rsidRPr="00AB4C1A">
        <w:rPr>
          <w:rFonts w:ascii="Times New Roman" w:hAnsi="Times New Roman" w:cs="Times New Roman"/>
          <w:sz w:val="24"/>
          <w:szCs w:val="24"/>
        </w:rPr>
        <w:t xml:space="preserve"> </w:t>
      </w:r>
      <w:r w:rsidR="00044B8C" w:rsidRPr="00AB4C1A">
        <w:rPr>
          <w:rFonts w:ascii="Times New Roman" w:hAnsi="Times New Roman" w:cs="Times New Roman"/>
          <w:sz w:val="24"/>
          <w:szCs w:val="24"/>
        </w:rPr>
        <w:t xml:space="preserve">It </w:t>
      </w:r>
      <w:r w:rsidR="009D0584" w:rsidRPr="00AB4C1A">
        <w:rPr>
          <w:rFonts w:ascii="Times New Roman" w:hAnsi="Times New Roman" w:cs="Times New Roman"/>
          <w:sz w:val="24"/>
          <w:szCs w:val="24"/>
        </w:rPr>
        <w:t>explor</w:t>
      </w:r>
      <w:r w:rsidR="00044B8C" w:rsidRPr="00AB4C1A">
        <w:rPr>
          <w:rFonts w:ascii="Times New Roman" w:hAnsi="Times New Roman" w:cs="Times New Roman"/>
          <w:sz w:val="24"/>
          <w:szCs w:val="24"/>
        </w:rPr>
        <w:t>es</w:t>
      </w:r>
      <w:r w:rsidR="009D0584" w:rsidRPr="00AB4C1A">
        <w:rPr>
          <w:rFonts w:ascii="Times New Roman" w:hAnsi="Times New Roman" w:cs="Times New Roman"/>
          <w:sz w:val="24"/>
          <w:szCs w:val="24"/>
        </w:rPr>
        <w:t xml:space="preserve"> the conse</w:t>
      </w:r>
      <w:r w:rsidR="00903399" w:rsidRPr="00AB4C1A">
        <w:rPr>
          <w:rFonts w:ascii="Times New Roman" w:hAnsi="Times New Roman" w:cs="Times New Roman"/>
          <w:sz w:val="24"/>
          <w:szCs w:val="24"/>
        </w:rPr>
        <w:t xml:space="preserve">quences of </w:t>
      </w:r>
      <w:r w:rsidR="00BE688B" w:rsidRPr="00AB4C1A">
        <w:rPr>
          <w:rFonts w:ascii="Times New Roman" w:hAnsi="Times New Roman" w:cs="Times New Roman"/>
          <w:sz w:val="24"/>
          <w:szCs w:val="24"/>
        </w:rPr>
        <w:t>multi-level</w:t>
      </w:r>
      <w:r w:rsidR="00903399" w:rsidRPr="00AB4C1A">
        <w:rPr>
          <w:rFonts w:ascii="Times New Roman" w:hAnsi="Times New Roman" w:cs="Times New Roman"/>
          <w:sz w:val="24"/>
          <w:szCs w:val="24"/>
        </w:rPr>
        <w:t xml:space="preserve"> governance on a specific policy area (</w:t>
      </w:r>
      <w:proofErr w:type="spellStart"/>
      <w:r w:rsidR="00903399" w:rsidRPr="00AB4C1A">
        <w:rPr>
          <w:rFonts w:ascii="Times New Roman" w:hAnsi="Times New Roman" w:cs="Times New Roman"/>
          <w:sz w:val="24"/>
          <w:szCs w:val="24"/>
        </w:rPr>
        <w:t>Kleider</w:t>
      </w:r>
      <w:proofErr w:type="spellEnd"/>
      <w:r w:rsidR="00903399" w:rsidRPr="00AB4C1A">
        <w:rPr>
          <w:rFonts w:ascii="Times New Roman" w:hAnsi="Times New Roman" w:cs="Times New Roman"/>
          <w:sz w:val="24"/>
          <w:szCs w:val="24"/>
        </w:rPr>
        <w:t xml:space="preserve"> 2020) and </w:t>
      </w:r>
      <w:r w:rsidR="00044B8C" w:rsidRPr="00AB4C1A">
        <w:rPr>
          <w:rFonts w:ascii="Times New Roman" w:hAnsi="Times New Roman" w:cs="Times New Roman"/>
          <w:sz w:val="24"/>
          <w:szCs w:val="24"/>
        </w:rPr>
        <w:t>provides</w:t>
      </w:r>
      <w:r w:rsidR="00903399" w:rsidRPr="00AB4C1A">
        <w:rPr>
          <w:rFonts w:ascii="Times New Roman" w:hAnsi="Times New Roman" w:cs="Times New Roman"/>
          <w:sz w:val="24"/>
          <w:szCs w:val="24"/>
        </w:rPr>
        <w:t xml:space="preserve"> a tool that directly tackles key </w:t>
      </w:r>
      <w:r w:rsidR="00BE688B" w:rsidRPr="00AB4C1A">
        <w:rPr>
          <w:rFonts w:ascii="Times New Roman" w:hAnsi="Times New Roman" w:cs="Times New Roman"/>
          <w:sz w:val="24"/>
          <w:szCs w:val="24"/>
        </w:rPr>
        <w:t>multi-level</w:t>
      </w:r>
      <w:r w:rsidR="00903399" w:rsidRPr="00AB4C1A">
        <w:rPr>
          <w:rFonts w:ascii="Times New Roman" w:hAnsi="Times New Roman" w:cs="Times New Roman"/>
          <w:sz w:val="24"/>
          <w:szCs w:val="24"/>
        </w:rPr>
        <w:t xml:space="preserve"> governance challenges such as </w:t>
      </w:r>
      <w:r w:rsidR="002D057F" w:rsidRPr="00AB4C1A">
        <w:rPr>
          <w:rFonts w:ascii="Times New Roman" w:hAnsi="Times New Roman" w:cs="Times New Roman"/>
          <w:sz w:val="24"/>
          <w:szCs w:val="24"/>
        </w:rPr>
        <w:t xml:space="preserve">coordination issues, mismatches and asymmetries of information. </w:t>
      </w:r>
      <w:r w:rsidR="00AF73B5" w:rsidRPr="00AB4C1A">
        <w:rPr>
          <w:rFonts w:ascii="Times New Roman" w:hAnsi="Times New Roman" w:cs="Times New Roman"/>
          <w:sz w:val="24"/>
          <w:szCs w:val="24"/>
        </w:rPr>
        <w:t>Additionally</w:t>
      </w:r>
      <w:r w:rsidR="00A72263" w:rsidRPr="00AB4C1A">
        <w:rPr>
          <w:rFonts w:ascii="Times New Roman" w:hAnsi="Times New Roman" w:cs="Times New Roman"/>
          <w:sz w:val="24"/>
          <w:szCs w:val="24"/>
        </w:rPr>
        <w:t>,</w:t>
      </w:r>
      <w:r w:rsidR="002D057F" w:rsidRPr="00AB4C1A">
        <w:rPr>
          <w:rFonts w:ascii="Times New Roman" w:hAnsi="Times New Roman" w:cs="Times New Roman"/>
          <w:sz w:val="24"/>
          <w:szCs w:val="24"/>
        </w:rPr>
        <w:t xml:space="preserve"> i</w:t>
      </w:r>
      <w:r w:rsidRPr="00AB4C1A">
        <w:rPr>
          <w:rFonts w:ascii="Times New Roman" w:hAnsi="Times New Roman" w:cs="Times New Roman"/>
          <w:sz w:val="24"/>
          <w:szCs w:val="24"/>
        </w:rPr>
        <w:t xml:space="preserve">t </w:t>
      </w:r>
      <w:r w:rsidR="00562A87" w:rsidRPr="00AB4C1A">
        <w:rPr>
          <w:rFonts w:ascii="Times New Roman" w:hAnsi="Times New Roman" w:cs="Times New Roman"/>
          <w:sz w:val="24"/>
          <w:szCs w:val="24"/>
        </w:rPr>
        <w:t xml:space="preserve">supports </w:t>
      </w:r>
      <w:r w:rsidRPr="00AB4C1A">
        <w:rPr>
          <w:rFonts w:ascii="Times New Roman" w:hAnsi="Times New Roman" w:cs="Times New Roman"/>
          <w:sz w:val="24"/>
          <w:szCs w:val="24"/>
        </w:rPr>
        <w:t xml:space="preserve">measures and aspects which reflect both policies and concentrates on where they are both practically implemented – at a local level (Barnes, </w:t>
      </w:r>
      <w:r w:rsidRPr="00AB4C1A">
        <w:rPr>
          <w:rFonts w:ascii="Times New Roman" w:hAnsi="Times New Roman" w:cs="Times New Roman"/>
          <w:i/>
          <w:iCs/>
          <w:sz w:val="24"/>
          <w:szCs w:val="24"/>
        </w:rPr>
        <w:t>et al.,</w:t>
      </w:r>
      <w:r w:rsidRPr="00AB4C1A">
        <w:rPr>
          <w:rFonts w:ascii="Times New Roman" w:hAnsi="Times New Roman" w:cs="Times New Roman"/>
          <w:sz w:val="24"/>
          <w:szCs w:val="24"/>
        </w:rPr>
        <w:t xml:space="preserve"> 2018; </w:t>
      </w:r>
      <w:proofErr w:type="spellStart"/>
      <w:r w:rsidRPr="00AB4C1A">
        <w:rPr>
          <w:rFonts w:ascii="Times New Roman" w:hAnsi="Times New Roman" w:cs="Times New Roman"/>
          <w:sz w:val="24"/>
          <w:szCs w:val="24"/>
        </w:rPr>
        <w:t>Bondarouk</w:t>
      </w:r>
      <w:proofErr w:type="spellEnd"/>
      <w:r w:rsidRPr="00AB4C1A">
        <w:rPr>
          <w:rFonts w:ascii="Times New Roman" w:hAnsi="Times New Roman" w:cs="Times New Roman"/>
          <w:sz w:val="24"/>
          <w:szCs w:val="24"/>
        </w:rPr>
        <w:t xml:space="preserve"> &amp; </w:t>
      </w:r>
      <w:proofErr w:type="spellStart"/>
      <w:r w:rsidRPr="00AB4C1A">
        <w:rPr>
          <w:rFonts w:ascii="Times New Roman" w:hAnsi="Times New Roman" w:cs="Times New Roman"/>
          <w:sz w:val="24"/>
          <w:szCs w:val="24"/>
        </w:rPr>
        <w:t>Liefferink</w:t>
      </w:r>
      <w:proofErr w:type="spellEnd"/>
      <w:r w:rsidRPr="00AB4C1A">
        <w:rPr>
          <w:rFonts w:ascii="Times New Roman" w:hAnsi="Times New Roman" w:cs="Times New Roman"/>
          <w:sz w:val="24"/>
          <w:szCs w:val="24"/>
        </w:rPr>
        <w:t xml:space="preserve">, 2017). As a result, and considering the continued non-compliance of the cities’ AQAPs, the alignment of the AAQD and LAQM in the Bridging Framework </w:t>
      </w:r>
      <w:r w:rsidR="00861810" w:rsidRPr="00AB4C1A">
        <w:rPr>
          <w:rFonts w:ascii="Times New Roman" w:hAnsi="Times New Roman" w:cs="Times New Roman"/>
          <w:sz w:val="24"/>
          <w:szCs w:val="24"/>
        </w:rPr>
        <w:t>will lead to</w:t>
      </w:r>
      <w:r w:rsidRPr="00AB4C1A">
        <w:rPr>
          <w:rFonts w:ascii="Times New Roman" w:hAnsi="Times New Roman" w:cs="Times New Roman"/>
          <w:sz w:val="24"/>
          <w:szCs w:val="24"/>
        </w:rPr>
        <w:t xml:space="preserve"> better aligned policies </w:t>
      </w:r>
      <w:r w:rsidR="00810A60" w:rsidRPr="00AB4C1A">
        <w:rPr>
          <w:rFonts w:ascii="Times New Roman" w:hAnsi="Times New Roman" w:cs="Times New Roman"/>
          <w:sz w:val="24"/>
          <w:szCs w:val="24"/>
        </w:rPr>
        <w:t>thus supporting</w:t>
      </w:r>
      <w:r w:rsidRPr="00AB4C1A">
        <w:rPr>
          <w:rFonts w:ascii="Times New Roman" w:hAnsi="Times New Roman" w:cs="Times New Roman"/>
          <w:sz w:val="24"/>
          <w:szCs w:val="24"/>
        </w:rPr>
        <w:t xml:space="preserve"> LAs with their LAQM streamlining processes </w:t>
      </w:r>
      <w:r w:rsidR="00BF52EA" w:rsidRPr="00AB4C1A">
        <w:rPr>
          <w:rFonts w:ascii="Times New Roman" w:hAnsi="Times New Roman" w:cs="Times New Roman"/>
          <w:sz w:val="24"/>
          <w:szCs w:val="24"/>
        </w:rPr>
        <w:t>thus helping</w:t>
      </w:r>
      <w:r w:rsidRPr="00AB4C1A">
        <w:rPr>
          <w:rFonts w:ascii="Times New Roman" w:hAnsi="Times New Roman" w:cs="Times New Roman"/>
          <w:sz w:val="24"/>
          <w:szCs w:val="24"/>
        </w:rPr>
        <w:t xml:space="preserve"> </w:t>
      </w:r>
      <w:r w:rsidR="00BF52EA" w:rsidRPr="00AB4C1A">
        <w:rPr>
          <w:rFonts w:ascii="Times New Roman" w:hAnsi="Times New Roman" w:cs="Times New Roman"/>
          <w:sz w:val="24"/>
          <w:szCs w:val="24"/>
        </w:rPr>
        <w:t xml:space="preserve">to </w:t>
      </w:r>
      <w:r w:rsidRPr="00AB4C1A">
        <w:rPr>
          <w:rFonts w:ascii="Times New Roman" w:hAnsi="Times New Roman" w:cs="Times New Roman"/>
          <w:sz w:val="24"/>
          <w:szCs w:val="24"/>
        </w:rPr>
        <w:t>close the policy gap</w:t>
      </w:r>
      <w:r w:rsidR="00810A60" w:rsidRPr="00AB4C1A">
        <w:rPr>
          <w:rFonts w:ascii="Times New Roman" w:hAnsi="Times New Roman" w:cs="Times New Roman"/>
          <w:sz w:val="24"/>
          <w:szCs w:val="24"/>
        </w:rPr>
        <w:t xml:space="preserve"> and produce stronger environmental policy </w:t>
      </w:r>
      <w:r w:rsidR="00810A60" w:rsidRPr="00AB4C1A">
        <w:rPr>
          <w:rFonts w:ascii="Times New Roman" w:hAnsi="Times New Roman" w:cs="Times New Roman"/>
          <w:sz w:val="24"/>
          <w:szCs w:val="24"/>
        </w:rPr>
        <w:lastRenderedPageBreak/>
        <w:t>outcomes</w:t>
      </w:r>
      <w:r w:rsidRPr="00AB4C1A">
        <w:rPr>
          <w:rFonts w:ascii="Times New Roman" w:hAnsi="Times New Roman" w:cs="Times New Roman"/>
          <w:sz w:val="24"/>
          <w:szCs w:val="24"/>
        </w:rPr>
        <w:t>. This also address</w:t>
      </w:r>
      <w:r w:rsidR="00BF52EA" w:rsidRPr="00AB4C1A">
        <w:rPr>
          <w:rFonts w:ascii="Times New Roman" w:hAnsi="Times New Roman" w:cs="Times New Roman"/>
          <w:sz w:val="24"/>
          <w:szCs w:val="24"/>
        </w:rPr>
        <w:t>es</w:t>
      </w:r>
      <w:r w:rsidRPr="00AB4C1A">
        <w:rPr>
          <w:rFonts w:ascii="Times New Roman" w:hAnsi="Times New Roman" w:cs="Times New Roman"/>
          <w:sz w:val="24"/>
          <w:szCs w:val="24"/>
        </w:rPr>
        <w:t xml:space="preserve"> the “flawed subsidiarity and devolved responsibilities” (Barnes </w:t>
      </w:r>
      <w:r w:rsidRPr="00AB4C1A">
        <w:rPr>
          <w:rFonts w:ascii="Times New Roman" w:hAnsi="Times New Roman" w:cs="Times New Roman"/>
          <w:i/>
          <w:iCs/>
          <w:sz w:val="24"/>
          <w:szCs w:val="24"/>
        </w:rPr>
        <w:t>et al.,</w:t>
      </w:r>
      <w:r w:rsidRPr="00AB4C1A">
        <w:rPr>
          <w:rFonts w:ascii="Times New Roman" w:hAnsi="Times New Roman" w:cs="Times New Roman"/>
          <w:sz w:val="24"/>
          <w:szCs w:val="24"/>
        </w:rPr>
        <w:t xml:space="preserve"> 2014, p. 660) causing the inefficiencies in air quality management and help</w:t>
      </w:r>
      <w:r w:rsidR="00BF52EA" w:rsidRPr="00AB4C1A">
        <w:rPr>
          <w:rFonts w:ascii="Times New Roman" w:hAnsi="Times New Roman" w:cs="Times New Roman"/>
          <w:sz w:val="24"/>
          <w:szCs w:val="24"/>
        </w:rPr>
        <w:t>s</w:t>
      </w:r>
      <w:r w:rsidRPr="00AB4C1A">
        <w:rPr>
          <w:rFonts w:ascii="Times New Roman" w:hAnsi="Times New Roman" w:cs="Times New Roman"/>
          <w:sz w:val="24"/>
          <w:szCs w:val="24"/>
        </w:rPr>
        <w:t xml:space="preserve"> focus support on LAs to have the powers to competently manage </w:t>
      </w:r>
      <w:r w:rsidR="006B32FE" w:rsidRPr="00AB4C1A">
        <w:rPr>
          <w:rFonts w:ascii="Times New Roman" w:hAnsi="Times New Roman" w:cs="Times New Roman"/>
          <w:sz w:val="24"/>
          <w:szCs w:val="24"/>
        </w:rPr>
        <w:t>a</w:t>
      </w:r>
      <w:r w:rsidRPr="00AB4C1A">
        <w:rPr>
          <w:rFonts w:ascii="Times New Roman" w:hAnsi="Times New Roman" w:cs="Times New Roman"/>
          <w:sz w:val="24"/>
          <w:szCs w:val="24"/>
        </w:rPr>
        <w:t xml:space="preserve">ir </w:t>
      </w:r>
      <w:r w:rsidR="006B32FE" w:rsidRPr="00AB4C1A">
        <w:rPr>
          <w:rFonts w:ascii="Times New Roman" w:hAnsi="Times New Roman" w:cs="Times New Roman"/>
          <w:sz w:val="24"/>
          <w:szCs w:val="24"/>
        </w:rPr>
        <w:t>q</w:t>
      </w:r>
      <w:r w:rsidRPr="00AB4C1A">
        <w:rPr>
          <w:rFonts w:ascii="Times New Roman" w:hAnsi="Times New Roman" w:cs="Times New Roman"/>
          <w:sz w:val="24"/>
          <w:szCs w:val="24"/>
        </w:rPr>
        <w:t xml:space="preserve">uality and </w:t>
      </w:r>
      <w:r w:rsidR="00A72263" w:rsidRPr="00AB4C1A">
        <w:rPr>
          <w:rFonts w:ascii="Times New Roman" w:hAnsi="Times New Roman" w:cs="Times New Roman"/>
          <w:sz w:val="24"/>
          <w:szCs w:val="24"/>
        </w:rPr>
        <w:t xml:space="preserve">positively contribute to the </w:t>
      </w:r>
      <w:r w:rsidRPr="00AB4C1A">
        <w:rPr>
          <w:rFonts w:ascii="Times New Roman" w:hAnsi="Times New Roman" w:cs="Times New Roman"/>
          <w:sz w:val="24"/>
          <w:szCs w:val="24"/>
        </w:rPr>
        <w:t>achieve</w:t>
      </w:r>
      <w:r w:rsidR="00A72263" w:rsidRPr="00AB4C1A">
        <w:rPr>
          <w:rFonts w:ascii="Times New Roman" w:hAnsi="Times New Roman" w:cs="Times New Roman"/>
          <w:sz w:val="24"/>
          <w:szCs w:val="24"/>
        </w:rPr>
        <w:t>ment of</w:t>
      </w:r>
      <w:r w:rsidRPr="00AB4C1A">
        <w:rPr>
          <w:rFonts w:ascii="Times New Roman" w:hAnsi="Times New Roman" w:cs="Times New Roman"/>
          <w:sz w:val="24"/>
          <w:szCs w:val="24"/>
        </w:rPr>
        <w:t xml:space="preserve"> limit values (Barnes </w:t>
      </w:r>
      <w:r w:rsidRPr="00AB4C1A">
        <w:rPr>
          <w:rFonts w:ascii="Times New Roman" w:hAnsi="Times New Roman" w:cs="Times New Roman"/>
          <w:i/>
          <w:iCs/>
          <w:sz w:val="24"/>
          <w:szCs w:val="24"/>
        </w:rPr>
        <w:t>et al</w:t>
      </w:r>
      <w:r w:rsidRPr="00AB4C1A">
        <w:rPr>
          <w:rFonts w:ascii="Times New Roman" w:hAnsi="Times New Roman" w:cs="Times New Roman"/>
          <w:sz w:val="24"/>
          <w:szCs w:val="24"/>
        </w:rPr>
        <w:t>., 2014; 2018).</w:t>
      </w:r>
    </w:p>
    <w:p w14:paraId="0BA0A5C7" w14:textId="199B1079" w:rsidR="00CF4A79" w:rsidRPr="00AB4C1A" w:rsidRDefault="000F1D6C"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The applicability of our framework is not exclusive to the UK context</w:t>
      </w:r>
      <w:r w:rsidR="00610DD6" w:rsidRPr="00AB4C1A">
        <w:rPr>
          <w:rFonts w:ascii="Times New Roman" w:hAnsi="Times New Roman" w:cs="Times New Roman"/>
          <w:sz w:val="24"/>
          <w:szCs w:val="24"/>
        </w:rPr>
        <w:t xml:space="preserve"> and, as we explained, it can be adapted to analyse air quality policies in the context of other </w:t>
      </w:r>
      <w:r w:rsidR="00BE688B" w:rsidRPr="00AB4C1A">
        <w:rPr>
          <w:rFonts w:ascii="Times New Roman" w:hAnsi="Times New Roman" w:cs="Times New Roman"/>
          <w:sz w:val="24"/>
          <w:szCs w:val="24"/>
        </w:rPr>
        <w:t>multi-level</w:t>
      </w:r>
      <w:r w:rsidR="00610DD6" w:rsidRPr="00AB4C1A">
        <w:rPr>
          <w:rFonts w:ascii="Times New Roman" w:hAnsi="Times New Roman" w:cs="Times New Roman"/>
          <w:sz w:val="24"/>
          <w:szCs w:val="24"/>
        </w:rPr>
        <w:t xml:space="preserve"> governance systems.  Nonetheless, w</w:t>
      </w:r>
      <w:r w:rsidR="00CF4A79" w:rsidRPr="00AB4C1A">
        <w:rPr>
          <w:rFonts w:ascii="Times New Roman" w:hAnsi="Times New Roman" w:cs="Times New Roman"/>
          <w:sz w:val="24"/>
          <w:szCs w:val="24"/>
        </w:rPr>
        <w:t xml:space="preserve">hile the </w:t>
      </w:r>
      <w:r w:rsidR="00A43173" w:rsidRPr="00AB4C1A">
        <w:rPr>
          <w:rFonts w:ascii="Times New Roman" w:hAnsi="Times New Roman" w:cs="Times New Roman"/>
          <w:sz w:val="24"/>
          <w:szCs w:val="24"/>
        </w:rPr>
        <w:t>Bridging F</w:t>
      </w:r>
      <w:r w:rsidR="00CF4A79" w:rsidRPr="00AB4C1A">
        <w:rPr>
          <w:rFonts w:ascii="Times New Roman" w:hAnsi="Times New Roman" w:cs="Times New Roman"/>
          <w:sz w:val="24"/>
          <w:szCs w:val="24"/>
        </w:rPr>
        <w:t>ramework</w:t>
      </w:r>
      <w:r w:rsidR="0086343F" w:rsidRPr="00AB4C1A">
        <w:rPr>
          <w:rFonts w:ascii="Times New Roman" w:hAnsi="Times New Roman" w:cs="Times New Roman"/>
          <w:sz w:val="24"/>
          <w:szCs w:val="24"/>
        </w:rPr>
        <w:t xml:space="preserve"> assesses the</w:t>
      </w:r>
      <w:r w:rsidR="00CF4A79" w:rsidRPr="00AB4C1A">
        <w:rPr>
          <w:rFonts w:ascii="Times New Roman" w:hAnsi="Times New Roman" w:cs="Times New Roman"/>
          <w:sz w:val="24"/>
          <w:szCs w:val="24"/>
        </w:rPr>
        <w:t xml:space="preserve"> implementation performance of cit</w:t>
      </w:r>
      <w:r w:rsidR="0086343F" w:rsidRPr="00AB4C1A">
        <w:rPr>
          <w:rFonts w:ascii="Times New Roman" w:hAnsi="Times New Roman" w:cs="Times New Roman"/>
          <w:sz w:val="24"/>
          <w:szCs w:val="24"/>
        </w:rPr>
        <w:t>ies’</w:t>
      </w:r>
      <w:r w:rsidR="00CF4A79" w:rsidRPr="00AB4C1A">
        <w:rPr>
          <w:rFonts w:ascii="Times New Roman" w:hAnsi="Times New Roman" w:cs="Times New Roman"/>
          <w:sz w:val="24"/>
          <w:szCs w:val="24"/>
        </w:rPr>
        <w:t xml:space="preserve"> AQAPs it could be considered inflexible in relation to its ability to assess air quality policy at different scales, i.e.</w:t>
      </w:r>
      <w:r w:rsidR="0096494F" w:rsidRPr="00AB4C1A">
        <w:rPr>
          <w:rFonts w:ascii="Times New Roman" w:hAnsi="Times New Roman" w:cs="Times New Roman"/>
          <w:sz w:val="24"/>
          <w:szCs w:val="24"/>
        </w:rPr>
        <w:t>,</w:t>
      </w:r>
      <w:r w:rsidR="00CF4A79" w:rsidRPr="00AB4C1A">
        <w:rPr>
          <w:rFonts w:ascii="Times New Roman" w:hAnsi="Times New Roman" w:cs="Times New Roman"/>
          <w:sz w:val="24"/>
          <w:szCs w:val="24"/>
        </w:rPr>
        <w:t xml:space="preserve"> </w:t>
      </w:r>
      <w:r w:rsidR="004769C9" w:rsidRPr="00AB4C1A">
        <w:rPr>
          <w:rFonts w:ascii="Times New Roman" w:hAnsi="Times New Roman" w:cs="Times New Roman"/>
          <w:sz w:val="24"/>
          <w:szCs w:val="24"/>
        </w:rPr>
        <w:t>small towns</w:t>
      </w:r>
      <w:r w:rsidR="00CF4A79" w:rsidRPr="00AB4C1A">
        <w:rPr>
          <w:rFonts w:ascii="Times New Roman" w:hAnsi="Times New Roman" w:cs="Times New Roman"/>
          <w:sz w:val="24"/>
          <w:szCs w:val="24"/>
        </w:rPr>
        <w:t xml:space="preserve">, or regions. This could possibly be considered a function of the (in)consistent availability of </w:t>
      </w:r>
      <w:r w:rsidR="0086343F" w:rsidRPr="00AB4C1A">
        <w:rPr>
          <w:rFonts w:ascii="Times New Roman" w:hAnsi="Times New Roman" w:cs="Times New Roman"/>
          <w:sz w:val="24"/>
          <w:szCs w:val="24"/>
        </w:rPr>
        <w:t xml:space="preserve">air quality policies at these scales </w:t>
      </w:r>
      <w:r w:rsidR="006072FE" w:rsidRPr="00AB4C1A">
        <w:rPr>
          <w:rFonts w:ascii="Times New Roman" w:hAnsi="Times New Roman" w:cs="Times New Roman"/>
          <w:sz w:val="24"/>
          <w:szCs w:val="24"/>
        </w:rPr>
        <w:t>e.g.</w:t>
      </w:r>
      <w:r w:rsidR="00CF4A79" w:rsidRPr="00AB4C1A">
        <w:rPr>
          <w:rFonts w:ascii="Times New Roman" w:hAnsi="Times New Roman" w:cs="Times New Roman"/>
          <w:sz w:val="24"/>
          <w:szCs w:val="24"/>
        </w:rPr>
        <w:t xml:space="preserve"> West Yorkshire Low Emissions Strategy</w:t>
      </w:r>
      <w:r w:rsidR="00E135D7" w:rsidRPr="00AB4C1A">
        <w:rPr>
          <w:rFonts w:ascii="Times New Roman" w:hAnsi="Times New Roman" w:cs="Times New Roman"/>
          <w:sz w:val="24"/>
          <w:szCs w:val="24"/>
        </w:rPr>
        <w:t xml:space="preserve"> vs Newcastle’s</w:t>
      </w:r>
      <w:r w:rsidR="003A030F" w:rsidRPr="00AB4C1A">
        <w:rPr>
          <w:rFonts w:ascii="Times New Roman" w:hAnsi="Times New Roman" w:cs="Times New Roman"/>
          <w:sz w:val="24"/>
          <w:szCs w:val="24"/>
        </w:rPr>
        <w:t xml:space="preserve"> ‘hotspot’</w:t>
      </w:r>
      <w:r w:rsidR="00E135D7" w:rsidRPr="00AB4C1A">
        <w:rPr>
          <w:rFonts w:ascii="Times New Roman" w:hAnsi="Times New Roman" w:cs="Times New Roman"/>
          <w:sz w:val="24"/>
          <w:szCs w:val="24"/>
        </w:rPr>
        <w:t xml:space="preserve"> AQAP</w:t>
      </w:r>
      <w:r w:rsidR="00CF4A79" w:rsidRPr="00AB4C1A">
        <w:rPr>
          <w:rFonts w:ascii="Times New Roman" w:hAnsi="Times New Roman" w:cs="Times New Roman"/>
          <w:sz w:val="24"/>
          <w:szCs w:val="24"/>
        </w:rPr>
        <w:t xml:space="preserve">. </w:t>
      </w:r>
      <w:r w:rsidR="00945B16" w:rsidRPr="00AB4C1A">
        <w:rPr>
          <w:rFonts w:ascii="Times New Roman" w:hAnsi="Times New Roman" w:cs="Times New Roman"/>
          <w:sz w:val="24"/>
          <w:szCs w:val="24"/>
        </w:rPr>
        <w:t>O</w:t>
      </w:r>
      <w:r w:rsidR="00CF4A79" w:rsidRPr="00AB4C1A">
        <w:rPr>
          <w:rFonts w:ascii="Times New Roman" w:hAnsi="Times New Roman" w:cs="Times New Roman"/>
          <w:sz w:val="24"/>
          <w:szCs w:val="24"/>
        </w:rPr>
        <w:t xml:space="preserve">n the other hand, as AQAPs are drawn up predominantly at the scale of </w:t>
      </w:r>
      <w:r w:rsidR="003A030F" w:rsidRPr="00AB4C1A">
        <w:rPr>
          <w:rFonts w:ascii="Times New Roman" w:hAnsi="Times New Roman" w:cs="Times New Roman"/>
          <w:sz w:val="24"/>
          <w:szCs w:val="24"/>
        </w:rPr>
        <w:t>LAs</w:t>
      </w:r>
      <w:r w:rsidR="00CF4A79" w:rsidRPr="00AB4C1A">
        <w:rPr>
          <w:rFonts w:ascii="Times New Roman" w:hAnsi="Times New Roman" w:cs="Times New Roman"/>
          <w:sz w:val="24"/>
          <w:szCs w:val="24"/>
        </w:rPr>
        <w:t>, if smaller</w:t>
      </w:r>
      <w:r w:rsidR="00D15D35" w:rsidRPr="00AB4C1A">
        <w:rPr>
          <w:rFonts w:ascii="Times New Roman" w:hAnsi="Times New Roman" w:cs="Times New Roman"/>
          <w:sz w:val="24"/>
          <w:szCs w:val="24"/>
        </w:rPr>
        <w:t>-</w:t>
      </w:r>
      <w:r w:rsidR="00CF4A79" w:rsidRPr="00AB4C1A">
        <w:rPr>
          <w:rFonts w:ascii="Times New Roman" w:hAnsi="Times New Roman" w:cs="Times New Roman"/>
          <w:sz w:val="24"/>
          <w:szCs w:val="24"/>
        </w:rPr>
        <w:t xml:space="preserve">scale areas </w:t>
      </w:r>
      <w:r w:rsidR="003A030F" w:rsidRPr="00AB4C1A">
        <w:rPr>
          <w:rFonts w:ascii="Times New Roman" w:hAnsi="Times New Roman" w:cs="Times New Roman"/>
          <w:sz w:val="24"/>
          <w:szCs w:val="24"/>
        </w:rPr>
        <w:t xml:space="preserve">did not </w:t>
      </w:r>
      <w:r w:rsidR="00CF4A79" w:rsidRPr="00AB4C1A">
        <w:rPr>
          <w:rFonts w:ascii="Times New Roman" w:hAnsi="Times New Roman" w:cs="Times New Roman"/>
          <w:sz w:val="24"/>
          <w:szCs w:val="24"/>
        </w:rPr>
        <w:t xml:space="preserve">have an AQMA, </w:t>
      </w:r>
      <w:r w:rsidR="003A030F" w:rsidRPr="00AB4C1A">
        <w:rPr>
          <w:rFonts w:ascii="Times New Roman" w:hAnsi="Times New Roman" w:cs="Times New Roman"/>
          <w:sz w:val="24"/>
          <w:szCs w:val="24"/>
        </w:rPr>
        <w:t xml:space="preserve">an </w:t>
      </w:r>
      <w:r w:rsidR="00CF4A79" w:rsidRPr="00AB4C1A">
        <w:rPr>
          <w:rFonts w:ascii="Times New Roman" w:hAnsi="Times New Roman" w:cs="Times New Roman"/>
          <w:sz w:val="24"/>
          <w:szCs w:val="24"/>
        </w:rPr>
        <w:t>AQAP</w:t>
      </w:r>
      <w:r w:rsidR="002C5E01" w:rsidRPr="00AB4C1A">
        <w:rPr>
          <w:rFonts w:ascii="Times New Roman" w:hAnsi="Times New Roman" w:cs="Times New Roman"/>
          <w:sz w:val="24"/>
          <w:szCs w:val="24"/>
        </w:rPr>
        <w:t xml:space="preserve"> </w:t>
      </w:r>
      <w:r w:rsidR="003A030F" w:rsidRPr="00AB4C1A">
        <w:rPr>
          <w:rFonts w:ascii="Times New Roman" w:hAnsi="Times New Roman" w:cs="Times New Roman"/>
          <w:sz w:val="24"/>
          <w:szCs w:val="24"/>
        </w:rPr>
        <w:t xml:space="preserve">would not be available </w:t>
      </w:r>
      <w:r w:rsidR="006072FE" w:rsidRPr="00AB4C1A">
        <w:rPr>
          <w:rFonts w:ascii="Times New Roman" w:hAnsi="Times New Roman" w:cs="Times New Roman"/>
          <w:sz w:val="24"/>
          <w:szCs w:val="24"/>
        </w:rPr>
        <w:t xml:space="preserve">to </w:t>
      </w:r>
      <w:r w:rsidR="002C5E01" w:rsidRPr="00AB4C1A">
        <w:rPr>
          <w:rFonts w:ascii="Times New Roman" w:hAnsi="Times New Roman" w:cs="Times New Roman"/>
          <w:sz w:val="24"/>
          <w:szCs w:val="24"/>
        </w:rPr>
        <w:t>assess</w:t>
      </w:r>
      <w:r w:rsidR="006072FE" w:rsidRPr="00AB4C1A">
        <w:rPr>
          <w:rFonts w:ascii="Times New Roman" w:hAnsi="Times New Roman" w:cs="Times New Roman"/>
          <w:sz w:val="24"/>
          <w:szCs w:val="24"/>
        </w:rPr>
        <w:t xml:space="preserve">. </w:t>
      </w:r>
      <w:r w:rsidR="002C5E01" w:rsidRPr="00AB4C1A">
        <w:rPr>
          <w:rFonts w:ascii="Times New Roman" w:hAnsi="Times New Roman" w:cs="Times New Roman"/>
          <w:sz w:val="24"/>
          <w:szCs w:val="24"/>
        </w:rPr>
        <w:t>Therefore</w:t>
      </w:r>
      <w:r w:rsidR="003A030F" w:rsidRPr="00AB4C1A">
        <w:rPr>
          <w:rFonts w:ascii="Times New Roman" w:hAnsi="Times New Roman" w:cs="Times New Roman"/>
          <w:sz w:val="24"/>
          <w:szCs w:val="24"/>
        </w:rPr>
        <w:t>,</w:t>
      </w:r>
      <w:r w:rsidR="002C5E01" w:rsidRPr="00AB4C1A">
        <w:rPr>
          <w:rFonts w:ascii="Times New Roman" w:hAnsi="Times New Roman" w:cs="Times New Roman"/>
          <w:sz w:val="24"/>
          <w:szCs w:val="24"/>
        </w:rPr>
        <w:t xml:space="preserve"> it could be argued</w:t>
      </w:r>
      <w:r w:rsidR="006072FE" w:rsidRPr="00AB4C1A">
        <w:rPr>
          <w:rFonts w:ascii="Times New Roman" w:hAnsi="Times New Roman" w:cs="Times New Roman"/>
          <w:sz w:val="24"/>
          <w:szCs w:val="24"/>
        </w:rPr>
        <w:t xml:space="preserve"> that the application of the</w:t>
      </w:r>
      <w:r w:rsidR="00A43173" w:rsidRPr="00AB4C1A">
        <w:rPr>
          <w:rFonts w:ascii="Times New Roman" w:hAnsi="Times New Roman" w:cs="Times New Roman"/>
          <w:sz w:val="24"/>
          <w:szCs w:val="24"/>
        </w:rPr>
        <w:t xml:space="preserve"> Bridging</w:t>
      </w:r>
      <w:r w:rsidR="006072FE" w:rsidRPr="00AB4C1A">
        <w:rPr>
          <w:rFonts w:ascii="Times New Roman" w:hAnsi="Times New Roman" w:cs="Times New Roman"/>
          <w:sz w:val="24"/>
          <w:szCs w:val="24"/>
        </w:rPr>
        <w:t xml:space="preserve"> </w:t>
      </w:r>
      <w:r w:rsidR="00A43173" w:rsidRPr="00AB4C1A">
        <w:rPr>
          <w:rFonts w:ascii="Times New Roman" w:hAnsi="Times New Roman" w:cs="Times New Roman"/>
          <w:sz w:val="24"/>
          <w:szCs w:val="24"/>
        </w:rPr>
        <w:t>F</w:t>
      </w:r>
      <w:r w:rsidR="006072FE" w:rsidRPr="00AB4C1A">
        <w:rPr>
          <w:rFonts w:ascii="Times New Roman" w:hAnsi="Times New Roman" w:cs="Times New Roman"/>
          <w:sz w:val="24"/>
          <w:szCs w:val="24"/>
        </w:rPr>
        <w:t>ramework is restricted by the availability of policy.</w:t>
      </w:r>
      <w:r w:rsidR="00E135D7" w:rsidRPr="00AB4C1A">
        <w:rPr>
          <w:rFonts w:ascii="Times New Roman" w:hAnsi="Times New Roman" w:cs="Times New Roman"/>
          <w:sz w:val="24"/>
          <w:szCs w:val="24"/>
        </w:rPr>
        <w:t xml:space="preserve"> </w:t>
      </w:r>
    </w:p>
    <w:p w14:paraId="2D0480A9" w14:textId="0E61A64B" w:rsidR="00E135D7" w:rsidRPr="00AB4C1A" w:rsidRDefault="002C5E01"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The limited availability </w:t>
      </w:r>
      <w:r w:rsidR="005A1850" w:rsidRPr="00AB4C1A">
        <w:rPr>
          <w:rFonts w:ascii="Times New Roman" w:hAnsi="Times New Roman" w:cs="Times New Roman"/>
          <w:sz w:val="24"/>
          <w:szCs w:val="24"/>
        </w:rPr>
        <w:t>and</w:t>
      </w:r>
      <w:r w:rsidRPr="00AB4C1A">
        <w:rPr>
          <w:rFonts w:ascii="Times New Roman" w:hAnsi="Times New Roman" w:cs="Times New Roman"/>
          <w:sz w:val="24"/>
          <w:szCs w:val="24"/>
        </w:rPr>
        <w:t xml:space="preserve"> varied content of AQAPs for cities</w:t>
      </w:r>
      <w:r w:rsidR="0096494F" w:rsidRPr="00AB4C1A">
        <w:rPr>
          <w:rFonts w:ascii="Times New Roman" w:hAnsi="Times New Roman" w:cs="Times New Roman"/>
          <w:sz w:val="24"/>
          <w:szCs w:val="24"/>
        </w:rPr>
        <w:t>,</w:t>
      </w:r>
      <w:r w:rsidRPr="00AB4C1A">
        <w:rPr>
          <w:rFonts w:ascii="Times New Roman" w:hAnsi="Times New Roman" w:cs="Times New Roman"/>
          <w:sz w:val="24"/>
          <w:szCs w:val="24"/>
        </w:rPr>
        <w:t xml:space="preserve"> was a considerable limit to the extent of this study. While ASRs were readily available it was challenging to find workable documents from </w:t>
      </w:r>
      <w:r w:rsidR="003A030F" w:rsidRPr="00AB4C1A">
        <w:rPr>
          <w:rFonts w:ascii="Times New Roman" w:hAnsi="Times New Roman" w:cs="Times New Roman"/>
          <w:sz w:val="24"/>
          <w:szCs w:val="24"/>
        </w:rPr>
        <w:t>LA</w:t>
      </w:r>
      <w:r w:rsidRPr="00AB4C1A">
        <w:rPr>
          <w:rFonts w:ascii="Times New Roman" w:hAnsi="Times New Roman" w:cs="Times New Roman"/>
          <w:sz w:val="24"/>
          <w:szCs w:val="24"/>
        </w:rPr>
        <w:t xml:space="preserve"> websites. </w:t>
      </w:r>
      <w:r w:rsidR="00D15D35" w:rsidRPr="00AB4C1A">
        <w:rPr>
          <w:rFonts w:ascii="Times New Roman" w:hAnsi="Times New Roman" w:cs="Times New Roman"/>
          <w:sz w:val="24"/>
          <w:szCs w:val="24"/>
        </w:rPr>
        <w:t>Also</w:t>
      </w:r>
      <w:r w:rsidR="00E135D7" w:rsidRPr="00AB4C1A">
        <w:rPr>
          <w:rFonts w:ascii="Times New Roman" w:hAnsi="Times New Roman" w:cs="Times New Roman"/>
          <w:sz w:val="24"/>
          <w:szCs w:val="24"/>
        </w:rPr>
        <w:t>, AQAP</w:t>
      </w:r>
      <w:r w:rsidR="004769C9" w:rsidRPr="00AB4C1A">
        <w:rPr>
          <w:rFonts w:ascii="Times New Roman" w:hAnsi="Times New Roman" w:cs="Times New Roman"/>
          <w:sz w:val="24"/>
          <w:szCs w:val="24"/>
        </w:rPr>
        <w:t xml:space="preserve"> content is discretionary to</w:t>
      </w:r>
      <w:r w:rsidR="00E135D7" w:rsidRPr="00AB4C1A">
        <w:rPr>
          <w:rFonts w:ascii="Times New Roman" w:hAnsi="Times New Roman" w:cs="Times New Roman"/>
          <w:sz w:val="24"/>
          <w:szCs w:val="24"/>
        </w:rPr>
        <w:t xml:space="preserve"> the </w:t>
      </w:r>
      <w:r w:rsidR="003A030F" w:rsidRPr="00AB4C1A">
        <w:rPr>
          <w:rFonts w:ascii="Times New Roman" w:hAnsi="Times New Roman" w:cs="Times New Roman"/>
          <w:sz w:val="24"/>
          <w:szCs w:val="24"/>
        </w:rPr>
        <w:t>LA</w:t>
      </w:r>
      <w:r w:rsidR="00E135D7" w:rsidRPr="00AB4C1A">
        <w:rPr>
          <w:rFonts w:ascii="Times New Roman" w:hAnsi="Times New Roman" w:cs="Times New Roman"/>
          <w:sz w:val="24"/>
          <w:szCs w:val="24"/>
        </w:rPr>
        <w:t>,</w:t>
      </w:r>
      <w:r w:rsidR="0013349B" w:rsidRPr="00AB4C1A">
        <w:rPr>
          <w:rFonts w:ascii="Times New Roman" w:hAnsi="Times New Roman" w:cs="Times New Roman"/>
          <w:sz w:val="24"/>
          <w:szCs w:val="24"/>
        </w:rPr>
        <w:t xml:space="preserve"> thus</w:t>
      </w:r>
      <w:r w:rsidR="00E135D7" w:rsidRPr="00AB4C1A">
        <w:rPr>
          <w:rFonts w:ascii="Times New Roman" w:hAnsi="Times New Roman" w:cs="Times New Roman"/>
          <w:sz w:val="24"/>
          <w:szCs w:val="24"/>
        </w:rPr>
        <w:t xml:space="preserve"> the interpretation of the practitioner undertaking the assessment of the AQAP may be subjective. </w:t>
      </w:r>
    </w:p>
    <w:p w14:paraId="20C8A42B" w14:textId="77777777" w:rsidR="0013349B" w:rsidRPr="00AB4C1A" w:rsidRDefault="006072FE" w:rsidP="006072FE">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The </w:t>
      </w:r>
      <w:r w:rsidR="00A43173" w:rsidRPr="00AB4C1A">
        <w:rPr>
          <w:rFonts w:ascii="Times New Roman" w:hAnsi="Times New Roman" w:cs="Times New Roman"/>
          <w:sz w:val="24"/>
          <w:szCs w:val="24"/>
        </w:rPr>
        <w:t>Bridging F</w:t>
      </w:r>
      <w:r w:rsidRPr="00AB4C1A">
        <w:rPr>
          <w:rFonts w:ascii="Times New Roman" w:hAnsi="Times New Roman" w:cs="Times New Roman"/>
          <w:sz w:val="24"/>
          <w:szCs w:val="24"/>
        </w:rPr>
        <w:t>ramework currently limits i</w:t>
      </w:r>
      <w:r w:rsidR="003A030F" w:rsidRPr="00AB4C1A">
        <w:rPr>
          <w:rFonts w:ascii="Times New Roman" w:hAnsi="Times New Roman" w:cs="Times New Roman"/>
          <w:sz w:val="24"/>
          <w:szCs w:val="24"/>
        </w:rPr>
        <w:t>t</w:t>
      </w:r>
      <w:r w:rsidRPr="00AB4C1A">
        <w:rPr>
          <w:rFonts w:ascii="Times New Roman" w:hAnsi="Times New Roman" w:cs="Times New Roman"/>
          <w:sz w:val="24"/>
          <w:szCs w:val="24"/>
        </w:rPr>
        <w:t xml:space="preserve">s scope of assessment of </w:t>
      </w:r>
      <w:r w:rsidR="002C5E01" w:rsidRPr="00AB4C1A">
        <w:rPr>
          <w:rFonts w:ascii="Times New Roman" w:hAnsi="Times New Roman" w:cs="Times New Roman"/>
          <w:sz w:val="24"/>
          <w:szCs w:val="24"/>
        </w:rPr>
        <w:t>O</w:t>
      </w:r>
      <w:r w:rsidRPr="00AB4C1A">
        <w:rPr>
          <w:rFonts w:ascii="Times New Roman" w:hAnsi="Times New Roman" w:cs="Times New Roman"/>
          <w:sz w:val="24"/>
          <w:szCs w:val="24"/>
        </w:rPr>
        <w:t>utcome to just NO</w:t>
      </w:r>
      <w:r w:rsidRPr="00AB4C1A">
        <w:rPr>
          <w:rFonts w:ascii="Times New Roman" w:hAnsi="Times New Roman" w:cs="Times New Roman"/>
          <w:sz w:val="24"/>
          <w:szCs w:val="24"/>
          <w:vertAlign w:val="subscript"/>
        </w:rPr>
        <w:t>2</w:t>
      </w:r>
      <w:r w:rsidRPr="00AB4C1A">
        <w:rPr>
          <w:rFonts w:ascii="Times New Roman" w:hAnsi="Times New Roman" w:cs="Times New Roman"/>
          <w:sz w:val="24"/>
          <w:szCs w:val="24"/>
        </w:rPr>
        <w:t xml:space="preserve"> target values and objectives and</w:t>
      </w:r>
      <w:r w:rsidR="002C5E01" w:rsidRPr="00AB4C1A">
        <w:rPr>
          <w:rFonts w:ascii="Times New Roman" w:hAnsi="Times New Roman" w:cs="Times New Roman"/>
          <w:sz w:val="24"/>
          <w:szCs w:val="24"/>
        </w:rPr>
        <w:t xml:space="preserve"> therefore </w:t>
      </w:r>
      <w:r w:rsidRPr="00AB4C1A">
        <w:rPr>
          <w:rFonts w:ascii="Times New Roman" w:hAnsi="Times New Roman" w:cs="Times New Roman"/>
          <w:sz w:val="24"/>
          <w:szCs w:val="24"/>
        </w:rPr>
        <w:t xml:space="preserve">requires inclusion of all pollutants listed in the guidance documents </w:t>
      </w:r>
      <w:r w:rsidR="00A43173" w:rsidRPr="00AB4C1A">
        <w:rPr>
          <w:rFonts w:ascii="Times New Roman" w:hAnsi="Times New Roman" w:cs="Times New Roman"/>
          <w:sz w:val="24"/>
          <w:szCs w:val="24"/>
        </w:rPr>
        <w:t>(</w:t>
      </w:r>
      <w:r w:rsidRPr="00AB4C1A">
        <w:rPr>
          <w:rFonts w:ascii="Times New Roman" w:hAnsi="Times New Roman" w:cs="Times New Roman"/>
          <w:sz w:val="24"/>
          <w:szCs w:val="24"/>
        </w:rPr>
        <w:t>e.g. SO</w:t>
      </w:r>
      <w:r w:rsidR="00ED6E5F" w:rsidRPr="00AB4C1A">
        <w:rPr>
          <w:rFonts w:ascii="Times New Roman" w:hAnsi="Times New Roman" w:cs="Times New Roman"/>
          <w:sz w:val="24"/>
          <w:szCs w:val="24"/>
          <w:vertAlign w:val="subscript"/>
        </w:rPr>
        <w:t>2</w:t>
      </w:r>
      <w:r w:rsidRPr="00AB4C1A">
        <w:rPr>
          <w:rFonts w:ascii="Times New Roman" w:hAnsi="Times New Roman" w:cs="Times New Roman"/>
          <w:sz w:val="24"/>
          <w:szCs w:val="24"/>
        </w:rPr>
        <w:t>, PM10, PM2.5</w:t>
      </w:r>
      <w:r w:rsidR="00A43173" w:rsidRPr="00AB4C1A">
        <w:rPr>
          <w:rFonts w:ascii="Times New Roman" w:hAnsi="Times New Roman" w:cs="Times New Roman"/>
          <w:sz w:val="24"/>
          <w:szCs w:val="24"/>
        </w:rPr>
        <w:t>)</w:t>
      </w:r>
      <w:r w:rsidR="004769C9" w:rsidRPr="00AB4C1A">
        <w:rPr>
          <w:rFonts w:ascii="Times New Roman" w:hAnsi="Times New Roman" w:cs="Times New Roman"/>
          <w:sz w:val="24"/>
          <w:szCs w:val="24"/>
        </w:rPr>
        <w:t xml:space="preserve"> to evidence the declaration of all AQMAs.</w:t>
      </w:r>
      <w:r w:rsidR="00E135D7" w:rsidRPr="00AB4C1A">
        <w:rPr>
          <w:rFonts w:ascii="Times New Roman" w:hAnsi="Times New Roman" w:cs="Times New Roman"/>
          <w:sz w:val="24"/>
          <w:szCs w:val="24"/>
        </w:rPr>
        <w:t xml:space="preserve"> </w:t>
      </w:r>
      <w:r w:rsidR="003A030F" w:rsidRPr="00AB4C1A">
        <w:rPr>
          <w:rFonts w:ascii="Times New Roman" w:hAnsi="Times New Roman" w:cs="Times New Roman"/>
          <w:sz w:val="24"/>
          <w:szCs w:val="24"/>
        </w:rPr>
        <w:t>And m</w:t>
      </w:r>
      <w:r w:rsidR="00E135D7" w:rsidRPr="00AB4C1A">
        <w:rPr>
          <w:rFonts w:ascii="Times New Roman" w:hAnsi="Times New Roman" w:cs="Times New Roman"/>
          <w:sz w:val="24"/>
          <w:szCs w:val="24"/>
        </w:rPr>
        <w:t xml:space="preserve">ore information about the nature of AQMAs </w:t>
      </w:r>
      <w:r w:rsidR="004769C9" w:rsidRPr="00AB4C1A">
        <w:rPr>
          <w:rFonts w:ascii="Times New Roman" w:hAnsi="Times New Roman" w:cs="Times New Roman"/>
          <w:sz w:val="24"/>
          <w:szCs w:val="24"/>
        </w:rPr>
        <w:t xml:space="preserve">is required </w:t>
      </w:r>
      <w:r w:rsidR="00E135D7" w:rsidRPr="00AB4C1A">
        <w:rPr>
          <w:rFonts w:ascii="Times New Roman" w:hAnsi="Times New Roman" w:cs="Times New Roman"/>
          <w:sz w:val="24"/>
          <w:szCs w:val="24"/>
        </w:rPr>
        <w:t xml:space="preserve">in the </w:t>
      </w:r>
      <w:r w:rsidR="00B620F2" w:rsidRPr="00AB4C1A">
        <w:rPr>
          <w:rFonts w:ascii="Times New Roman" w:hAnsi="Times New Roman" w:cs="Times New Roman"/>
          <w:sz w:val="24"/>
          <w:szCs w:val="24"/>
        </w:rPr>
        <w:t>C</w:t>
      </w:r>
      <w:r w:rsidR="00E135D7" w:rsidRPr="00AB4C1A">
        <w:rPr>
          <w:rFonts w:ascii="Times New Roman" w:hAnsi="Times New Roman" w:cs="Times New Roman"/>
          <w:sz w:val="24"/>
          <w:szCs w:val="24"/>
        </w:rPr>
        <w:t>ontext section</w:t>
      </w:r>
      <w:r w:rsidR="002C5E01" w:rsidRPr="00AB4C1A">
        <w:rPr>
          <w:rFonts w:ascii="Times New Roman" w:hAnsi="Times New Roman" w:cs="Times New Roman"/>
          <w:sz w:val="24"/>
          <w:szCs w:val="24"/>
        </w:rPr>
        <w:t>,</w:t>
      </w:r>
      <w:r w:rsidR="00E135D7" w:rsidRPr="00AB4C1A">
        <w:rPr>
          <w:rFonts w:ascii="Times New Roman" w:hAnsi="Times New Roman" w:cs="Times New Roman"/>
          <w:sz w:val="24"/>
          <w:szCs w:val="24"/>
        </w:rPr>
        <w:t xml:space="preserve"> e.g. size and pollutant</w:t>
      </w:r>
      <w:r w:rsidR="002C5E01" w:rsidRPr="00AB4C1A">
        <w:rPr>
          <w:rFonts w:ascii="Times New Roman" w:hAnsi="Times New Roman" w:cs="Times New Roman"/>
          <w:sz w:val="24"/>
          <w:szCs w:val="24"/>
        </w:rPr>
        <w:t>.</w:t>
      </w:r>
      <w:r w:rsidR="00B620F2" w:rsidRPr="00AB4C1A">
        <w:rPr>
          <w:rFonts w:ascii="Times New Roman" w:hAnsi="Times New Roman" w:cs="Times New Roman"/>
          <w:sz w:val="24"/>
          <w:szCs w:val="24"/>
        </w:rPr>
        <w:t xml:space="preserve"> Also</w:t>
      </w:r>
      <w:r w:rsidR="00485218" w:rsidRPr="00AB4C1A">
        <w:rPr>
          <w:rFonts w:ascii="Times New Roman" w:hAnsi="Times New Roman" w:cs="Times New Roman"/>
          <w:sz w:val="24"/>
          <w:szCs w:val="24"/>
        </w:rPr>
        <w:t>,</w:t>
      </w:r>
      <w:r w:rsidR="00B620F2" w:rsidRPr="00AB4C1A">
        <w:rPr>
          <w:rFonts w:ascii="Times New Roman" w:hAnsi="Times New Roman" w:cs="Times New Roman"/>
          <w:sz w:val="24"/>
          <w:szCs w:val="24"/>
        </w:rPr>
        <w:t xml:space="preserve"> c</w:t>
      </w:r>
      <w:r w:rsidR="0013349B" w:rsidRPr="00AB4C1A">
        <w:rPr>
          <w:rFonts w:ascii="Times New Roman" w:hAnsi="Times New Roman" w:cs="Times New Roman"/>
          <w:sz w:val="24"/>
          <w:szCs w:val="24"/>
        </w:rPr>
        <w:t>urrently the</w:t>
      </w:r>
      <w:r w:rsidR="003A030F" w:rsidRPr="00AB4C1A">
        <w:rPr>
          <w:rFonts w:ascii="Times New Roman" w:hAnsi="Times New Roman" w:cs="Times New Roman"/>
          <w:sz w:val="24"/>
          <w:szCs w:val="24"/>
        </w:rPr>
        <w:t xml:space="preserve"> existence of the</w:t>
      </w:r>
      <w:r w:rsidR="0013349B" w:rsidRPr="00AB4C1A">
        <w:rPr>
          <w:rFonts w:ascii="Times New Roman" w:hAnsi="Times New Roman" w:cs="Times New Roman"/>
          <w:sz w:val="24"/>
          <w:szCs w:val="24"/>
        </w:rPr>
        <w:t xml:space="preserve"> </w:t>
      </w:r>
      <w:r w:rsidR="003A030F" w:rsidRPr="00AB4C1A">
        <w:rPr>
          <w:rFonts w:ascii="Times New Roman" w:hAnsi="Times New Roman" w:cs="Times New Roman"/>
          <w:sz w:val="24"/>
          <w:szCs w:val="24"/>
        </w:rPr>
        <w:t>O</w:t>
      </w:r>
      <w:r w:rsidR="0013349B" w:rsidRPr="00AB4C1A">
        <w:rPr>
          <w:rFonts w:ascii="Times New Roman" w:hAnsi="Times New Roman" w:cs="Times New Roman"/>
          <w:sz w:val="24"/>
          <w:szCs w:val="24"/>
        </w:rPr>
        <w:t>utcome section, as directed by the literature on LAQM (DEFRA, 2016), implies a causal relationship between AQAP outputs and improvement of air quality or even the meeting of objectives and limit values. While there is room for this to be researched, current data does not enable accurate assessment to support this relationship (e.g. Schoen, 2018).</w:t>
      </w:r>
    </w:p>
    <w:p w14:paraId="4C4ED81E" w14:textId="5335411E" w:rsidR="006072FE" w:rsidRPr="00AB4C1A" w:rsidRDefault="006072FE" w:rsidP="006072FE">
      <w:pPr>
        <w:spacing w:line="240" w:lineRule="auto"/>
        <w:rPr>
          <w:rFonts w:ascii="Times New Roman" w:hAnsi="Times New Roman" w:cs="Times New Roman"/>
          <w:sz w:val="24"/>
          <w:szCs w:val="24"/>
        </w:rPr>
      </w:pPr>
      <w:r w:rsidRPr="00AB4C1A">
        <w:rPr>
          <w:rFonts w:ascii="Times New Roman" w:hAnsi="Times New Roman" w:cs="Times New Roman"/>
          <w:sz w:val="24"/>
          <w:szCs w:val="24"/>
        </w:rPr>
        <w:t>The</w:t>
      </w:r>
      <w:r w:rsidR="00A43173" w:rsidRPr="00AB4C1A">
        <w:rPr>
          <w:rFonts w:ascii="Times New Roman" w:hAnsi="Times New Roman" w:cs="Times New Roman"/>
          <w:sz w:val="24"/>
          <w:szCs w:val="24"/>
        </w:rPr>
        <w:t xml:space="preserve"> Bridging</w:t>
      </w:r>
      <w:r w:rsidRPr="00AB4C1A">
        <w:rPr>
          <w:rFonts w:ascii="Times New Roman" w:hAnsi="Times New Roman" w:cs="Times New Roman"/>
          <w:sz w:val="24"/>
          <w:szCs w:val="24"/>
        </w:rPr>
        <w:t xml:space="preserve"> Framework’s application to a larger cohort of cities in the UK is needed in order to further critically evaluate its merits, with a possible extension to other member states. </w:t>
      </w:r>
      <w:r w:rsidR="00AF73B5" w:rsidRPr="00AB4C1A">
        <w:rPr>
          <w:rFonts w:ascii="Times New Roman" w:hAnsi="Times New Roman" w:cs="Times New Roman"/>
          <w:sz w:val="24"/>
          <w:szCs w:val="24"/>
        </w:rPr>
        <w:t>It</w:t>
      </w:r>
      <w:r w:rsidRPr="00AB4C1A">
        <w:rPr>
          <w:rFonts w:ascii="Times New Roman" w:hAnsi="Times New Roman" w:cs="Times New Roman"/>
          <w:sz w:val="24"/>
          <w:szCs w:val="24"/>
        </w:rPr>
        <w:t xml:space="preserve"> can be used to further evaluate the general state of LAQM in the UK and the approaches and resources allocated to this endeavour. </w:t>
      </w:r>
      <w:r w:rsidR="00E135D7" w:rsidRPr="00AB4C1A">
        <w:rPr>
          <w:rFonts w:ascii="Times New Roman" w:hAnsi="Times New Roman" w:cs="Times New Roman"/>
          <w:sz w:val="24"/>
          <w:szCs w:val="24"/>
        </w:rPr>
        <w:t>M</w:t>
      </w:r>
      <w:r w:rsidRPr="00AB4C1A">
        <w:rPr>
          <w:rFonts w:ascii="Times New Roman" w:hAnsi="Times New Roman" w:cs="Times New Roman"/>
          <w:sz w:val="24"/>
          <w:szCs w:val="24"/>
        </w:rPr>
        <w:t>ore research is</w:t>
      </w:r>
      <w:r w:rsidR="00E135D7" w:rsidRPr="00AB4C1A">
        <w:rPr>
          <w:rFonts w:ascii="Times New Roman" w:hAnsi="Times New Roman" w:cs="Times New Roman"/>
          <w:sz w:val="24"/>
          <w:szCs w:val="24"/>
        </w:rPr>
        <w:t xml:space="preserve"> also</w:t>
      </w:r>
      <w:r w:rsidRPr="00AB4C1A">
        <w:rPr>
          <w:rFonts w:ascii="Times New Roman" w:hAnsi="Times New Roman" w:cs="Times New Roman"/>
          <w:sz w:val="24"/>
          <w:szCs w:val="24"/>
        </w:rPr>
        <w:t xml:space="preserve"> required around </w:t>
      </w:r>
      <w:r w:rsidR="00265A5D" w:rsidRPr="00AB4C1A">
        <w:rPr>
          <w:rFonts w:ascii="Times New Roman" w:hAnsi="Times New Roman" w:cs="Times New Roman"/>
          <w:sz w:val="24"/>
          <w:szCs w:val="24"/>
        </w:rPr>
        <w:t xml:space="preserve">the causal mechanisms behind the adoption of different AQAP approaches in each case </w:t>
      </w:r>
      <w:r w:rsidR="000C35D3" w:rsidRPr="00AB4C1A">
        <w:rPr>
          <w:rFonts w:ascii="Times New Roman" w:hAnsi="Times New Roman" w:cs="Times New Roman"/>
          <w:sz w:val="24"/>
          <w:szCs w:val="24"/>
        </w:rPr>
        <w:t xml:space="preserve">and on </w:t>
      </w:r>
      <w:r w:rsidRPr="00AB4C1A">
        <w:rPr>
          <w:rFonts w:ascii="Times New Roman" w:hAnsi="Times New Roman" w:cs="Times New Roman"/>
          <w:sz w:val="24"/>
          <w:szCs w:val="24"/>
        </w:rPr>
        <w:t xml:space="preserve">the new measures and innovative approaches to tackling air pollution at a local level (Brunt, </w:t>
      </w:r>
      <w:r w:rsidRPr="00AB4C1A">
        <w:rPr>
          <w:rFonts w:ascii="Times New Roman" w:hAnsi="Times New Roman" w:cs="Times New Roman"/>
          <w:i/>
          <w:sz w:val="24"/>
          <w:szCs w:val="24"/>
        </w:rPr>
        <w:t>et al.,</w:t>
      </w:r>
      <w:r w:rsidRPr="00AB4C1A">
        <w:rPr>
          <w:rFonts w:ascii="Times New Roman" w:hAnsi="Times New Roman" w:cs="Times New Roman"/>
          <w:sz w:val="24"/>
          <w:szCs w:val="24"/>
        </w:rPr>
        <w:t xml:space="preserve"> 2016).</w:t>
      </w:r>
    </w:p>
    <w:p w14:paraId="07C5D037" w14:textId="77777777" w:rsidR="00A05F12" w:rsidRPr="00AB4C1A" w:rsidRDefault="009342D9" w:rsidP="00CB2EFD">
      <w:pPr>
        <w:rPr>
          <w:rFonts w:ascii="Times New Roman" w:hAnsi="Times New Roman" w:cs="Times New Roman"/>
          <w:b/>
          <w:bCs/>
          <w:sz w:val="24"/>
          <w:szCs w:val="24"/>
        </w:rPr>
      </w:pPr>
      <w:r w:rsidRPr="00AB4C1A">
        <w:rPr>
          <w:rFonts w:ascii="Times New Roman" w:hAnsi="Times New Roman" w:cs="Times New Roman"/>
          <w:b/>
          <w:bCs/>
          <w:sz w:val="24"/>
          <w:szCs w:val="24"/>
        </w:rPr>
        <w:t>Conclusion</w:t>
      </w:r>
    </w:p>
    <w:p w14:paraId="4AD1953D" w14:textId="3D100CBE" w:rsidR="001A5AEF" w:rsidRPr="00AB4C1A" w:rsidRDefault="009342D9" w:rsidP="00B940F3">
      <w:pPr>
        <w:spacing w:line="240" w:lineRule="auto"/>
        <w:rPr>
          <w:rFonts w:ascii="Times New Roman" w:hAnsi="Times New Roman" w:cs="Times New Roman"/>
          <w:sz w:val="24"/>
          <w:szCs w:val="24"/>
        </w:rPr>
      </w:pPr>
      <w:r w:rsidRPr="00AB4C1A">
        <w:rPr>
          <w:rFonts w:ascii="Times New Roman" w:hAnsi="Times New Roman" w:cs="Times New Roman"/>
          <w:sz w:val="24"/>
          <w:szCs w:val="24"/>
        </w:rPr>
        <w:t>This</w:t>
      </w:r>
      <w:r w:rsidR="007F32DB" w:rsidRPr="00AB4C1A">
        <w:rPr>
          <w:rFonts w:ascii="Times New Roman" w:hAnsi="Times New Roman" w:cs="Times New Roman"/>
          <w:sz w:val="24"/>
          <w:szCs w:val="24"/>
        </w:rPr>
        <w:t xml:space="preserve"> </w:t>
      </w:r>
      <w:r w:rsidR="000A7339" w:rsidRPr="00AB4C1A">
        <w:rPr>
          <w:rFonts w:ascii="Times New Roman" w:hAnsi="Times New Roman" w:cs="Times New Roman"/>
          <w:sz w:val="24"/>
          <w:szCs w:val="24"/>
        </w:rPr>
        <w:t xml:space="preserve">paper </w:t>
      </w:r>
      <w:r w:rsidR="00320F25" w:rsidRPr="00AB4C1A">
        <w:rPr>
          <w:rFonts w:ascii="Times New Roman" w:hAnsi="Times New Roman" w:cs="Times New Roman"/>
          <w:sz w:val="24"/>
          <w:szCs w:val="24"/>
        </w:rPr>
        <w:t>present</w:t>
      </w:r>
      <w:r w:rsidR="00CF202D" w:rsidRPr="00AB4C1A">
        <w:rPr>
          <w:rFonts w:ascii="Times New Roman" w:hAnsi="Times New Roman" w:cs="Times New Roman"/>
          <w:sz w:val="24"/>
          <w:szCs w:val="24"/>
        </w:rPr>
        <w:t xml:space="preserve">ed a directly actionable tool </w:t>
      </w:r>
      <w:r w:rsidR="000A7339" w:rsidRPr="00AB4C1A">
        <w:rPr>
          <w:rFonts w:ascii="Times New Roman" w:hAnsi="Times New Roman" w:cs="Times New Roman"/>
          <w:sz w:val="24"/>
          <w:szCs w:val="24"/>
        </w:rPr>
        <w:t xml:space="preserve">for </w:t>
      </w:r>
      <w:r w:rsidR="007F53B1" w:rsidRPr="00AB4C1A">
        <w:rPr>
          <w:rFonts w:ascii="Times New Roman" w:hAnsi="Times New Roman" w:cs="Times New Roman"/>
          <w:sz w:val="24"/>
          <w:szCs w:val="24"/>
        </w:rPr>
        <w:t>LAs</w:t>
      </w:r>
      <w:r w:rsidR="000A7339" w:rsidRPr="00AB4C1A">
        <w:rPr>
          <w:rFonts w:ascii="Times New Roman" w:hAnsi="Times New Roman" w:cs="Times New Roman"/>
          <w:sz w:val="24"/>
          <w:szCs w:val="24"/>
        </w:rPr>
        <w:t xml:space="preserve"> to assess </w:t>
      </w:r>
      <w:r w:rsidR="00830F32" w:rsidRPr="00AB4C1A">
        <w:rPr>
          <w:rFonts w:ascii="Times New Roman" w:hAnsi="Times New Roman" w:cs="Times New Roman"/>
          <w:sz w:val="24"/>
          <w:szCs w:val="24"/>
        </w:rPr>
        <w:t>the</w:t>
      </w:r>
      <w:r w:rsidR="001A5AEF" w:rsidRPr="00AB4C1A">
        <w:rPr>
          <w:rFonts w:ascii="Times New Roman" w:hAnsi="Times New Roman" w:cs="Times New Roman"/>
          <w:sz w:val="24"/>
          <w:szCs w:val="24"/>
        </w:rPr>
        <w:t xml:space="preserve"> implement</w:t>
      </w:r>
      <w:r w:rsidR="00FC5820" w:rsidRPr="00AB4C1A">
        <w:rPr>
          <w:rFonts w:ascii="Times New Roman" w:hAnsi="Times New Roman" w:cs="Times New Roman"/>
          <w:sz w:val="24"/>
          <w:szCs w:val="24"/>
        </w:rPr>
        <w:t>ation of</w:t>
      </w:r>
      <w:r w:rsidR="00830F32" w:rsidRPr="00AB4C1A">
        <w:rPr>
          <w:rFonts w:ascii="Times New Roman" w:hAnsi="Times New Roman" w:cs="Times New Roman"/>
          <w:sz w:val="24"/>
          <w:szCs w:val="24"/>
        </w:rPr>
        <w:t xml:space="preserve"> the </w:t>
      </w:r>
      <w:r w:rsidR="001A5AEF" w:rsidRPr="00AB4C1A">
        <w:rPr>
          <w:rFonts w:ascii="Times New Roman" w:hAnsi="Times New Roman" w:cs="Times New Roman"/>
          <w:sz w:val="24"/>
          <w:szCs w:val="24"/>
        </w:rPr>
        <w:t>AAQD and UK national air quality policy</w:t>
      </w:r>
      <w:r w:rsidR="00FC5820" w:rsidRPr="00AB4C1A">
        <w:rPr>
          <w:rFonts w:ascii="Times New Roman" w:hAnsi="Times New Roman" w:cs="Times New Roman"/>
          <w:sz w:val="24"/>
          <w:szCs w:val="24"/>
        </w:rPr>
        <w:t xml:space="preserve"> within</w:t>
      </w:r>
      <w:r w:rsidR="00830F32" w:rsidRPr="00AB4C1A">
        <w:rPr>
          <w:rFonts w:ascii="Times New Roman" w:hAnsi="Times New Roman" w:cs="Times New Roman"/>
          <w:sz w:val="24"/>
          <w:szCs w:val="24"/>
        </w:rPr>
        <w:t xml:space="preserve"> their</w:t>
      </w:r>
      <w:r w:rsidR="00FC5820" w:rsidRPr="00AB4C1A">
        <w:rPr>
          <w:rFonts w:ascii="Times New Roman" w:hAnsi="Times New Roman" w:cs="Times New Roman"/>
          <w:sz w:val="24"/>
          <w:szCs w:val="24"/>
        </w:rPr>
        <w:t xml:space="preserve"> AQAPs</w:t>
      </w:r>
      <w:r w:rsidR="001A5AEF" w:rsidRPr="00AB4C1A">
        <w:rPr>
          <w:rFonts w:ascii="Times New Roman" w:hAnsi="Times New Roman" w:cs="Times New Roman"/>
          <w:sz w:val="24"/>
          <w:szCs w:val="24"/>
        </w:rPr>
        <w:t xml:space="preserve">. By doing so it </w:t>
      </w:r>
      <w:r w:rsidR="00CF202D" w:rsidRPr="00AB4C1A">
        <w:rPr>
          <w:rFonts w:ascii="Times New Roman" w:hAnsi="Times New Roman" w:cs="Times New Roman"/>
          <w:sz w:val="24"/>
          <w:szCs w:val="24"/>
        </w:rPr>
        <w:t xml:space="preserve">contributes to reducing </w:t>
      </w:r>
      <w:r w:rsidR="001A5AEF" w:rsidRPr="00AB4C1A">
        <w:rPr>
          <w:rFonts w:ascii="Times New Roman" w:hAnsi="Times New Roman" w:cs="Times New Roman"/>
          <w:sz w:val="24"/>
          <w:szCs w:val="24"/>
        </w:rPr>
        <w:t>the policy disconnect that exists between these two policies</w:t>
      </w:r>
      <w:r w:rsidR="00C87928" w:rsidRPr="00AB4C1A">
        <w:rPr>
          <w:rFonts w:ascii="Times New Roman" w:hAnsi="Times New Roman" w:cs="Times New Roman"/>
          <w:sz w:val="24"/>
          <w:szCs w:val="24"/>
        </w:rPr>
        <w:t xml:space="preserve"> and contributes to implementation literature in </w:t>
      </w:r>
      <w:r w:rsidR="003F4B8B" w:rsidRPr="00AB4C1A">
        <w:rPr>
          <w:rFonts w:ascii="Times New Roman" w:hAnsi="Times New Roman" w:cs="Times New Roman"/>
          <w:sz w:val="24"/>
          <w:szCs w:val="24"/>
        </w:rPr>
        <w:t>the</w:t>
      </w:r>
      <w:r w:rsidR="00C87928" w:rsidRPr="00AB4C1A">
        <w:rPr>
          <w:rFonts w:ascii="Times New Roman" w:hAnsi="Times New Roman" w:cs="Times New Roman"/>
          <w:sz w:val="24"/>
          <w:szCs w:val="24"/>
        </w:rPr>
        <w:t xml:space="preserve"> </w:t>
      </w:r>
      <w:r w:rsidR="003F4B8B" w:rsidRPr="00AB4C1A">
        <w:rPr>
          <w:rFonts w:ascii="Times New Roman" w:hAnsi="Times New Roman" w:cs="Times New Roman"/>
          <w:sz w:val="24"/>
          <w:szCs w:val="24"/>
        </w:rPr>
        <w:t>context of multilevel systems</w:t>
      </w:r>
      <w:r w:rsidR="001A5AEF" w:rsidRPr="00AB4C1A">
        <w:rPr>
          <w:rFonts w:ascii="Times New Roman" w:hAnsi="Times New Roman" w:cs="Times New Roman"/>
          <w:sz w:val="24"/>
          <w:szCs w:val="24"/>
        </w:rPr>
        <w:t xml:space="preserve">. </w:t>
      </w:r>
    </w:p>
    <w:p w14:paraId="65571508" w14:textId="5AC3DE8A" w:rsidR="009342D9" w:rsidRPr="00AB4C1A" w:rsidRDefault="001A5AEF">
      <w:pPr>
        <w:spacing w:line="240" w:lineRule="auto"/>
        <w:rPr>
          <w:rFonts w:ascii="Times New Roman" w:hAnsi="Times New Roman" w:cs="Times New Roman"/>
          <w:sz w:val="24"/>
          <w:szCs w:val="24"/>
        </w:rPr>
      </w:pPr>
      <w:r w:rsidRPr="00AB4C1A">
        <w:rPr>
          <w:rFonts w:ascii="Times New Roman" w:hAnsi="Times New Roman" w:cs="Times New Roman"/>
          <w:sz w:val="24"/>
          <w:szCs w:val="24"/>
        </w:rPr>
        <w:t>This new tool</w:t>
      </w:r>
      <w:r w:rsidR="009342D9" w:rsidRPr="00AB4C1A">
        <w:rPr>
          <w:rFonts w:ascii="Times New Roman" w:hAnsi="Times New Roman" w:cs="Times New Roman"/>
          <w:sz w:val="24"/>
          <w:szCs w:val="24"/>
        </w:rPr>
        <w:t xml:space="preserve"> assesses AQAPs and guides development of</w:t>
      </w:r>
      <w:r w:rsidR="00A3649B" w:rsidRPr="00AB4C1A">
        <w:rPr>
          <w:rFonts w:ascii="Times New Roman" w:hAnsi="Times New Roman" w:cs="Times New Roman"/>
          <w:sz w:val="24"/>
          <w:szCs w:val="24"/>
        </w:rPr>
        <w:t xml:space="preserve"> UK</w:t>
      </w:r>
      <w:r w:rsidR="009342D9" w:rsidRPr="00AB4C1A">
        <w:rPr>
          <w:rFonts w:ascii="Times New Roman" w:hAnsi="Times New Roman" w:cs="Times New Roman"/>
          <w:sz w:val="24"/>
          <w:szCs w:val="24"/>
        </w:rPr>
        <w:t xml:space="preserve"> local air quality policy. It assesses the extent to which AQAP’s comply </w:t>
      </w:r>
      <w:r w:rsidR="00FD68D3" w:rsidRPr="00AB4C1A">
        <w:rPr>
          <w:rFonts w:ascii="Times New Roman" w:hAnsi="Times New Roman" w:cs="Times New Roman"/>
          <w:sz w:val="24"/>
          <w:szCs w:val="24"/>
        </w:rPr>
        <w:t>with</w:t>
      </w:r>
      <w:r w:rsidR="009342D9" w:rsidRPr="00AB4C1A">
        <w:rPr>
          <w:rFonts w:ascii="Times New Roman" w:hAnsi="Times New Roman" w:cs="Times New Roman"/>
          <w:sz w:val="24"/>
          <w:szCs w:val="24"/>
        </w:rPr>
        <w:t xml:space="preserve"> </w:t>
      </w:r>
      <w:r w:rsidR="004E2ECE" w:rsidRPr="00AB4C1A">
        <w:rPr>
          <w:rFonts w:ascii="Times New Roman" w:hAnsi="Times New Roman" w:cs="Times New Roman"/>
          <w:sz w:val="24"/>
          <w:szCs w:val="24"/>
        </w:rPr>
        <w:t xml:space="preserve">air quality </w:t>
      </w:r>
      <w:r w:rsidR="009342D9" w:rsidRPr="00AB4C1A">
        <w:rPr>
          <w:rFonts w:ascii="Times New Roman" w:hAnsi="Times New Roman" w:cs="Times New Roman"/>
          <w:sz w:val="24"/>
          <w:szCs w:val="24"/>
        </w:rPr>
        <w:t>policy as well as helping to ensure that they do. It serves as a guide and standard for</w:t>
      </w:r>
      <w:r w:rsidR="004E2ECE" w:rsidRPr="00AB4C1A">
        <w:rPr>
          <w:rFonts w:ascii="Times New Roman" w:hAnsi="Times New Roman" w:cs="Times New Roman"/>
          <w:sz w:val="24"/>
          <w:szCs w:val="24"/>
        </w:rPr>
        <w:t xml:space="preserve"> </w:t>
      </w:r>
      <w:r w:rsidR="002D1513" w:rsidRPr="00AB4C1A">
        <w:rPr>
          <w:rFonts w:ascii="Times New Roman" w:hAnsi="Times New Roman" w:cs="Times New Roman"/>
          <w:sz w:val="24"/>
          <w:szCs w:val="24"/>
        </w:rPr>
        <w:t>LAs</w:t>
      </w:r>
      <w:r w:rsidR="004E2ECE" w:rsidRPr="00AB4C1A">
        <w:rPr>
          <w:rFonts w:ascii="Times New Roman" w:hAnsi="Times New Roman" w:cs="Times New Roman"/>
          <w:sz w:val="24"/>
          <w:szCs w:val="24"/>
        </w:rPr>
        <w:t xml:space="preserve"> to</w:t>
      </w:r>
      <w:r w:rsidR="009342D9" w:rsidRPr="00AB4C1A">
        <w:rPr>
          <w:rFonts w:ascii="Times New Roman" w:hAnsi="Times New Roman" w:cs="Times New Roman"/>
          <w:sz w:val="24"/>
          <w:szCs w:val="24"/>
        </w:rPr>
        <w:t xml:space="preserve"> </w:t>
      </w:r>
      <w:r w:rsidR="00485218" w:rsidRPr="00AB4C1A">
        <w:rPr>
          <w:rFonts w:ascii="Times New Roman" w:hAnsi="Times New Roman" w:cs="Times New Roman"/>
          <w:sz w:val="24"/>
          <w:szCs w:val="24"/>
        </w:rPr>
        <w:t xml:space="preserve">develop </w:t>
      </w:r>
      <w:r w:rsidR="004E2ECE" w:rsidRPr="00AB4C1A">
        <w:rPr>
          <w:rFonts w:ascii="Times New Roman" w:hAnsi="Times New Roman" w:cs="Times New Roman"/>
          <w:sz w:val="24"/>
          <w:szCs w:val="24"/>
        </w:rPr>
        <w:t>their</w:t>
      </w:r>
      <w:r w:rsidR="009342D9" w:rsidRPr="00AB4C1A">
        <w:rPr>
          <w:rFonts w:ascii="Times New Roman" w:hAnsi="Times New Roman" w:cs="Times New Roman"/>
          <w:sz w:val="24"/>
          <w:szCs w:val="24"/>
        </w:rPr>
        <w:t xml:space="preserve"> AQAP content and measures, encouraging focus toward</w:t>
      </w:r>
      <w:r w:rsidR="00485218" w:rsidRPr="00AB4C1A">
        <w:rPr>
          <w:rFonts w:ascii="Times New Roman" w:hAnsi="Times New Roman" w:cs="Times New Roman"/>
          <w:sz w:val="24"/>
          <w:szCs w:val="24"/>
        </w:rPr>
        <w:t>s the</w:t>
      </w:r>
      <w:r w:rsidR="009342D9" w:rsidRPr="00AB4C1A">
        <w:rPr>
          <w:rFonts w:ascii="Times New Roman" w:hAnsi="Times New Roman" w:cs="Times New Roman"/>
          <w:sz w:val="24"/>
          <w:szCs w:val="24"/>
        </w:rPr>
        <w:t xml:space="preserve"> achievement of air quality objectives</w:t>
      </w:r>
      <w:r w:rsidR="007F53B1" w:rsidRPr="00AB4C1A">
        <w:rPr>
          <w:rFonts w:ascii="Times New Roman" w:hAnsi="Times New Roman" w:cs="Times New Roman"/>
          <w:sz w:val="24"/>
          <w:szCs w:val="24"/>
        </w:rPr>
        <w:t xml:space="preserve"> and limit values</w:t>
      </w:r>
      <w:r w:rsidR="004E2ECE" w:rsidRPr="00AB4C1A">
        <w:rPr>
          <w:rFonts w:ascii="Times New Roman" w:hAnsi="Times New Roman" w:cs="Times New Roman"/>
          <w:sz w:val="24"/>
          <w:szCs w:val="24"/>
        </w:rPr>
        <w:t>, and</w:t>
      </w:r>
      <w:r w:rsidR="009342D9" w:rsidRPr="00AB4C1A">
        <w:rPr>
          <w:rFonts w:ascii="Times New Roman" w:hAnsi="Times New Roman" w:cs="Times New Roman"/>
          <w:sz w:val="24"/>
          <w:szCs w:val="24"/>
        </w:rPr>
        <w:t xml:space="preserve"> thus render</w:t>
      </w:r>
      <w:r w:rsidR="002D1513" w:rsidRPr="00AB4C1A">
        <w:rPr>
          <w:rFonts w:ascii="Times New Roman" w:hAnsi="Times New Roman" w:cs="Times New Roman"/>
          <w:sz w:val="24"/>
          <w:szCs w:val="24"/>
        </w:rPr>
        <w:t>s</w:t>
      </w:r>
      <w:r w:rsidR="009342D9" w:rsidRPr="00AB4C1A">
        <w:rPr>
          <w:rFonts w:ascii="Times New Roman" w:hAnsi="Times New Roman" w:cs="Times New Roman"/>
          <w:sz w:val="24"/>
          <w:szCs w:val="24"/>
        </w:rPr>
        <w:t xml:space="preserve"> the AQAP a useful policy document. It is easily replicated in other UK cities and it is useful both in applica</w:t>
      </w:r>
      <w:r w:rsidR="00FD68D3" w:rsidRPr="00AB4C1A">
        <w:rPr>
          <w:rFonts w:ascii="Times New Roman" w:hAnsi="Times New Roman" w:cs="Times New Roman"/>
          <w:sz w:val="24"/>
          <w:szCs w:val="24"/>
        </w:rPr>
        <w:t>tion to a single city AQAP, or</w:t>
      </w:r>
      <w:r w:rsidR="009342D9" w:rsidRPr="00AB4C1A">
        <w:rPr>
          <w:rFonts w:ascii="Times New Roman" w:hAnsi="Times New Roman" w:cs="Times New Roman"/>
          <w:sz w:val="24"/>
          <w:szCs w:val="24"/>
        </w:rPr>
        <w:t xml:space="preserve"> many</w:t>
      </w:r>
      <w:r w:rsidR="00FD68D3" w:rsidRPr="00AB4C1A">
        <w:rPr>
          <w:rFonts w:ascii="Times New Roman" w:hAnsi="Times New Roman" w:cs="Times New Roman"/>
          <w:sz w:val="24"/>
          <w:szCs w:val="24"/>
        </w:rPr>
        <w:t>,</w:t>
      </w:r>
      <w:r w:rsidR="009342D9" w:rsidRPr="00AB4C1A">
        <w:rPr>
          <w:rFonts w:ascii="Times New Roman" w:hAnsi="Times New Roman" w:cs="Times New Roman"/>
          <w:sz w:val="24"/>
          <w:szCs w:val="24"/>
        </w:rPr>
        <w:t xml:space="preserve"> in order to </w:t>
      </w:r>
      <w:r w:rsidR="009342D9" w:rsidRPr="00AB4C1A">
        <w:rPr>
          <w:rFonts w:ascii="Times New Roman" w:hAnsi="Times New Roman" w:cs="Times New Roman"/>
          <w:sz w:val="24"/>
          <w:szCs w:val="24"/>
        </w:rPr>
        <w:lastRenderedPageBreak/>
        <w:t xml:space="preserve">compare performance within or amongst </w:t>
      </w:r>
      <w:r w:rsidR="007F53B1" w:rsidRPr="00AB4C1A">
        <w:rPr>
          <w:rFonts w:ascii="Times New Roman" w:hAnsi="Times New Roman" w:cs="Times New Roman"/>
          <w:sz w:val="24"/>
          <w:szCs w:val="24"/>
        </w:rPr>
        <w:t xml:space="preserve">different cities’ </w:t>
      </w:r>
      <w:r w:rsidR="009342D9" w:rsidRPr="00AB4C1A">
        <w:rPr>
          <w:rFonts w:ascii="Times New Roman" w:hAnsi="Times New Roman" w:cs="Times New Roman"/>
          <w:sz w:val="24"/>
          <w:szCs w:val="24"/>
        </w:rPr>
        <w:t>AQAPs.</w:t>
      </w:r>
      <w:r w:rsidR="00046884" w:rsidRPr="00AB4C1A">
        <w:rPr>
          <w:rFonts w:ascii="Times New Roman" w:hAnsi="Times New Roman" w:cs="Times New Roman"/>
          <w:sz w:val="24"/>
          <w:szCs w:val="24"/>
        </w:rPr>
        <w:t xml:space="preserve"> The </w:t>
      </w:r>
      <w:r w:rsidR="00A43173" w:rsidRPr="00AB4C1A">
        <w:rPr>
          <w:rFonts w:ascii="Times New Roman" w:hAnsi="Times New Roman" w:cs="Times New Roman"/>
          <w:sz w:val="24"/>
          <w:szCs w:val="24"/>
        </w:rPr>
        <w:t xml:space="preserve">Bridging </w:t>
      </w:r>
      <w:r w:rsidR="00046884" w:rsidRPr="00AB4C1A">
        <w:rPr>
          <w:rFonts w:ascii="Times New Roman" w:hAnsi="Times New Roman" w:cs="Times New Roman"/>
          <w:sz w:val="24"/>
          <w:szCs w:val="24"/>
        </w:rPr>
        <w:t>framework can also be expanded to include other dimensions</w:t>
      </w:r>
      <w:r w:rsidR="00485218" w:rsidRPr="00AB4C1A">
        <w:rPr>
          <w:rFonts w:ascii="Times New Roman" w:hAnsi="Times New Roman" w:cs="Times New Roman"/>
          <w:sz w:val="24"/>
          <w:szCs w:val="24"/>
        </w:rPr>
        <w:t>,</w:t>
      </w:r>
      <w:r w:rsidR="00046884" w:rsidRPr="00AB4C1A">
        <w:rPr>
          <w:rFonts w:ascii="Times New Roman" w:hAnsi="Times New Roman" w:cs="Times New Roman"/>
          <w:sz w:val="24"/>
          <w:szCs w:val="24"/>
        </w:rPr>
        <w:t xml:space="preserve"> giving local authorities flexibility in how they want to assess their AQAPs</w:t>
      </w:r>
      <w:r w:rsidR="00485218" w:rsidRPr="00AB4C1A">
        <w:rPr>
          <w:rFonts w:ascii="Times New Roman" w:hAnsi="Times New Roman" w:cs="Times New Roman"/>
          <w:sz w:val="24"/>
          <w:szCs w:val="24"/>
        </w:rPr>
        <w:t>.</w:t>
      </w:r>
      <w:r w:rsidR="00A960A1" w:rsidRPr="00AB4C1A">
        <w:rPr>
          <w:rFonts w:ascii="Times New Roman" w:hAnsi="Times New Roman" w:cs="Times New Roman"/>
          <w:sz w:val="24"/>
          <w:szCs w:val="24"/>
        </w:rPr>
        <w:t xml:space="preserve"> </w:t>
      </w:r>
    </w:p>
    <w:p w14:paraId="58CEC5DF" w14:textId="73B17D40" w:rsidR="00C80A84" w:rsidRPr="00AB4C1A" w:rsidRDefault="00476CBE" w:rsidP="00A960A1">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Following Brexit and the </w:t>
      </w:r>
      <w:r w:rsidR="0016771E" w:rsidRPr="00AB4C1A">
        <w:rPr>
          <w:rFonts w:ascii="Times New Roman" w:hAnsi="Times New Roman" w:cs="Times New Roman"/>
          <w:sz w:val="24"/>
          <w:szCs w:val="24"/>
        </w:rPr>
        <w:t>UK departure</w:t>
      </w:r>
      <w:r w:rsidR="00FE167B" w:rsidRPr="00AB4C1A">
        <w:rPr>
          <w:rFonts w:ascii="Times New Roman" w:hAnsi="Times New Roman" w:cs="Times New Roman"/>
          <w:sz w:val="24"/>
          <w:szCs w:val="24"/>
        </w:rPr>
        <w:t xml:space="preserve"> from the EU, the UK is not under international obligation to comply with the AAQD</w:t>
      </w:r>
      <w:r w:rsidR="0016771E" w:rsidRPr="00AB4C1A">
        <w:rPr>
          <w:rFonts w:ascii="Times New Roman" w:hAnsi="Times New Roman" w:cs="Times New Roman"/>
          <w:sz w:val="24"/>
          <w:szCs w:val="24"/>
        </w:rPr>
        <w:t xml:space="preserve"> anymore</w:t>
      </w:r>
      <w:r w:rsidR="00CF202D" w:rsidRPr="00AB4C1A">
        <w:rPr>
          <w:rFonts w:ascii="Times New Roman" w:hAnsi="Times New Roman" w:cs="Times New Roman"/>
          <w:sz w:val="24"/>
          <w:szCs w:val="24"/>
        </w:rPr>
        <w:t xml:space="preserve">. Nevertheless, </w:t>
      </w:r>
      <w:r w:rsidR="00220E95" w:rsidRPr="00AB4C1A">
        <w:rPr>
          <w:rFonts w:ascii="Times New Roman" w:hAnsi="Times New Roman" w:cs="Times New Roman"/>
          <w:sz w:val="24"/>
          <w:szCs w:val="24"/>
        </w:rPr>
        <w:t>all existing EU legislation was transpo</w:t>
      </w:r>
      <w:r w:rsidR="009B4C5C" w:rsidRPr="00AB4C1A">
        <w:rPr>
          <w:rFonts w:ascii="Times New Roman" w:hAnsi="Times New Roman" w:cs="Times New Roman"/>
          <w:sz w:val="24"/>
          <w:szCs w:val="24"/>
        </w:rPr>
        <w:t>sed</w:t>
      </w:r>
      <w:r w:rsidR="00220E95" w:rsidRPr="00AB4C1A">
        <w:rPr>
          <w:rFonts w:ascii="Times New Roman" w:hAnsi="Times New Roman" w:cs="Times New Roman"/>
          <w:sz w:val="24"/>
          <w:szCs w:val="24"/>
        </w:rPr>
        <w:t xml:space="preserve"> into national legislation</w:t>
      </w:r>
      <w:r w:rsidR="0096494F" w:rsidRPr="00AB4C1A">
        <w:rPr>
          <w:rFonts w:ascii="Times New Roman" w:hAnsi="Times New Roman" w:cs="Times New Roman"/>
          <w:sz w:val="24"/>
          <w:szCs w:val="24"/>
        </w:rPr>
        <w:t>,</w:t>
      </w:r>
      <w:r w:rsidR="00220E95" w:rsidRPr="00AB4C1A">
        <w:rPr>
          <w:rFonts w:ascii="Times New Roman" w:hAnsi="Times New Roman" w:cs="Times New Roman"/>
          <w:sz w:val="24"/>
          <w:szCs w:val="24"/>
        </w:rPr>
        <w:t xml:space="preserve"> so the </w:t>
      </w:r>
      <w:r w:rsidR="004C1C25" w:rsidRPr="00AB4C1A">
        <w:rPr>
          <w:rFonts w:ascii="Times New Roman" w:hAnsi="Times New Roman" w:cs="Times New Roman"/>
          <w:sz w:val="24"/>
          <w:szCs w:val="24"/>
        </w:rPr>
        <w:t>air quality regime as</w:t>
      </w:r>
      <w:r w:rsidR="00220E95" w:rsidRPr="00AB4C1A">
        <w:rPr>
          <w:rFonts w:ascii="Times New Roman" w:hAnsi="Times New Roman" w:cs="Times New Roman"/>
          <w:sz w:val="24"/>
          <w:szCs w:val="24"/>
        </w:rPr>
        <w:t xml:space="preserve"> </w:t>
      </w:r>
      <w:r w:rsidR="004C1C25" w:rsidRPr="00AB4C1A">
        <w:rPr>
          <w:rFonts w:ascii="Times New Roman" w:hAnsi="Times New Roman" w:cs="Times New Roman"/>
          <w:sz w:val="24"/>
          <w:szCs w:val="24"/>
        </w:rPr>
        <w:t>set up by the AAQD is still in place</w:t>
      </w:r>
      <w:r w:rsidR="00B8340B" w:rsidRPr="00AB4C1A">
        <w:rPr>
          <w:rFonts w:ascii="Times New Roman" w:hAnsi="Times New Roman" w:cs="Times New Roman"/>
          <w:sz w:val="24"/>
          <w:szCs w:val="24"/>
        </w:rPr>
        <w:t xml:space="preserve">. This means </w:t>
      </w:r>
      <w:r w:rsidR="004C1C25" w:rsidRPr="00AB4C1A">
        <w:rPr>
          <w:rFonts w:ascii="Times New Roman" w:hAnsi="Times New Roman" w:cs="Times New Roman"/>
          <w:sz w:val="24"/>
          <w:szCs w:val="24"/>
        </w:rPr>
        <w:t>that, at the time of writing, the UK law on air pollution remains unchanged</w:t>
      </w:r>
      <w:r w:rsidR="004906B9" w:rsidRPr="00AB4C1A">
        <w:rPr>
          <w:rFonts w:ascii="Times New Roman" w:hAnsi="Times New Roman" w:cs="Times New Roman"/>
          <w:sz w:val="24"/>
          <w:szCs w:val="24"/>
        </w:rPr>
        <w:t>.</w:t>
      </w:r>
      <w:r w:rsidR="009B4C5C" w:rsidRPr="00AB4C1A">
        <w:rPr>
          <w:rFonts w:ascii="Times New Roman" w:hAnsi="Times New Roman" w:cs="Times New Roman"/>
          <w:sz w:val="24"/>
          <w:szCs w:val="24"/>
        </w:rPr>
        <w:t xml:space="preserve"> Should limits and objectives change in the future this Bridging </w:t>
      </w:r>
      <w:r w:rsidR="002D1513" w:rsidRPr="00AB4C1A">
        <w:rPr>
          <w:rFonts w:ascii="Times New Roman" w:hAnsi="Times New Roman" w:cs="Times New Roman"/>
          <w:sz w:val="24"/>
          <w:szCs w:val="24"/>
        </w:rPr>
        <w:t>F</w:t>
      </w:r>
      <w:r w:rsidR="009B4C5C" w:rsidRPr="00AB4C1A">
        <w:rPr>
          <w:rFonts w:ascii="Times New Roman" w:hAnsi="Times New Roman" w:cs="Times New Roman"/>
          <w:sz w:val="24"/>
          <w:szCs w:val="24"/>
        </w:rPr>
        <w:t>ramework will remain adoptable and relevant as it assesses the implementation</w:t>
      </w:r>
      <w:r w:rsidR="00870731" w:rsidRPr="00AB4C1A">
        <w:rPr>
          <w:rFonts w:ascii="Times New Roman" w:hAnsi="Times New Roman" w:cs="Times New Roman"/>
          <w:sz w:val="24"/>
          <w:szCs w:val="24"/>
        </w:rPr>
        <w:t xml:space="preserve"> </w:t>
      </w:r>
      <w:r w:rsidR="009B4C5C" w:rsidRPr="00AB4C1A">
        <w:rPr>
          <w:rFonts w:ascii="Times New Roman" w:hAnsi="Times New Roman" w:cs="Times New Roman"/>
          <w:sz w:val="24"/>
          <w:szCs w:val="24"/>
        </w:rPr>
        <w:t>of solutions as opposed to the</w:t>
      </w:r>
      <w:r w:rsidR="00DA776E" w:rsidRPr="00AB4C1A">
        <w:rPr>
          <w:rFonts w:ascii="Times New Roman" w:hAnsi="Times New Roman" w:cs="Times New Roman"/>
          <w:sz w:val="24"/>
          <w:szCs w:val="24"/>
        </w:rPr>
        <w:t>se specific</w:t>
      </w:r>
      <w:r w:rsidR="00870731" w:rsidRPr="00AB4C1A">
        <w:rPr>
          <w:rFonts w:ascii="Times New Roman" w:hAnsi="Times New Roman" w:cs="Times New Roman"/>
          <w:sz w:val="24"/>
          <w:szCs w:val="24"/>
        </w:rPr>
        <w:t xml:space="preserve"> </w:t>
      </w:r>
      <w:r w:rsidR="009B4C5C" w:rsidRPr="00AB4C1A">
        <w:rPr>
          <w:rFonts w:ascii="Times New Roman" w:hAnsi="Times New Roman" w:cs="Times New Roman"/>
          <w:sz w:val="24"/>
          <w:szCs w:val="24"/>
        </w:rPr>
        <w:t>limits.</w:t>
      </w:r>
    </w:p>
    <w:p w14:paraId="0F89E06B" w14:textId="79AAF08A" w:rsidR="009C3650" w:rsidRPr="00AB4C1A" w:rsidRDefault="004906B9" w:rsidP="00A960A1">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As is the case with most environmental problems </w:t>
      </w:r>
      <w:r w:rsidR="0096494F" w:rsidRPr="00AB4C1A">
        <w:rPr>
          <w:rFonts w:ascii="Times New Roman" w:hAnsi="Times New Roman" w:cs="Times New Roman"/>
          <w:sz w:val="24"/>
          <w:szCs w:val="24"/>
        </w:rPr>
        <w:t xml:space="preserve">that </w:t>
      </w:r>
      <w:r w:rsidRPr="00AB4C1A">
        <w:rPr>
          <w:rFonts w:ascii="Times New Roman" w:hAnsi="Times New Roman" w:cs="Times New Roman"/>
          <w:sz w:val="24"/>
          <w:szCs w:val="24"/>
        </w:rPr>
        <w:t xml:space="preserve">do not fall within </w:t>
      </w:r>
      <w:r w:rsidR="00C80A84" w:rsidRPr="00AB4C1A">
        <w:rPr>
          <w:rFonts w:ascii="Times New Roman" w:hAnsi="Times New Roman" w:cs="Times New Roman"/>
          <w:sz w:val="24"/>
          <w:szCs w:val="24"/>
        </w:rPr>
        <w:t xml:space="preserve">the limits of </w:t>
      </w:r>
      <w:r w:rsidRPr="00AB4C1A">
        <w:rPr>
          <w:rFonts w:ascii="Times New Roman" w:hAnsi="Times New Roman" w:cs="Times New Roman"/>
          <w:sz w:val="24"/>
          <w:szCs w:val="24"/>
        </w:rPr>
        <w:t>well-defined administrative boundarie</w:t>
      </w:r>
      <w:r w:rsidR="00FB2266" w:rsidRPr="00AB4C1A">
        <w:rPr>
          <w:rFonts w:ascii="Times New Roman" w:hAnsi="Times New Roman" w:cs="Times New Roman"/>
          <w:sz w:val="24"/>
          <w:szCs w:val="24"/>
        </w:rPr>
        <w:t>s</w:t>
      </w:r>
      <w:r w:rsidRPr="00AB4C1A">
        <w:rPr>
          <w:rFonts w:ascii="Times New Roman" w:hAnsi="Times New Roman" w:cs="Times New Roman"/>
          <w:sz w:val="24"/>
          <w:szCs w:val="24"/>
        </w:rPr>
        <w:t xml:space="preserve">, tackling air pollution will require some degree of cooperation and involvement </w:t>
      </w:r>
      <w:r w:rsidR="00FB2266" w:rsidRPr="00AB4C1A">
        <w:rPr>
          <w:rFonts w:ascii="Times New Roman" w:hAnsi="Times New Roman" w:cs="Times New Roman"/>
          <w:sz w:val="24"/>
          <w:szCs w:val="24"/>
        </w:rPr>
        <w:t>between multiple level</w:t>
      </w:r>
      <w:r w:rsidR="009B4C5C" w:rsidRPr="00AB4C1A">
        <w:rPr>
          <w:rFonts w:ascii="Times New Roman" w:hAnsi="Times New Roman" w:cs="Times New Roman"/>
          <w:sz w:val="24"/>
          <w:szCs w:val="24"/>
        </w:rPr>
        <w:t>s</w:t>
      </w:r>
      <w:r w:rsidR="00FB2266" w:rsidRPr="00AB4C1A">
        <w:rPr>
          <w:rFonts w:ascii="Times New Roman" w:hAnsi="Times New Roman" w:cs="Times New Roman"/>
          <w:sz w:val="24"/>
          <w:szCs w:val="24"/>
        </w:rPr>
        <w:t xml:space="preserve"> of government</w:t>
      </w:r>
      <w:r w:rsidR="00DA6AD7" w:rsidRPr="00AB4C1A">
        <w:rPr>
          <w:rFonts w:ascii="Times New Roman" w:hAnsi="Times New Roman" w:cs="Times New Roman"/>
          <w:sz w:val="24"/>
          <w:szCs w:val="24"/>
        </w:rPr>
        <w:t>. As</w:t>
      </w:r>
      <w:r w:rsidR="00870731" w:rsidRPr="00AB4C1A">
        <w:rPr>
          <w:rFonts w:ascii="Times New Roman" w:hAnsi="Times New Roman" w:cs="Times New Roman"/>
          <w:sz w:val="24"/>
          <w:szCs w:val="24"/>
        </w:rPr>
        <w:t xml:space="preserve"> </w:t>
      </w:r>
      <w:r w:rsidR="004243EB" w:rsidRPr="00AB4C1A">
        <w:rPr>
          <w:rFonts w:ascii="Times New Roman" w:hAnsi="Times New Roman" w:cs="Times New Roman"/>
          <w:sz w:val="24"/>
          <w:szCs w:val="24"/>
        </w:rPr>
        <w:t xml:space="preserve">demonstrated in this paper, </w:t>
      </w:r>
      <w:r w:rsidR="005A42AB" w:rsidRPr="00AB4C1A">
        <w:rPr>
          <w:rFonts w:ascii="Times New Roman" w:hAnsi="Times New Roman" w:cs="Times New Roman"/>
          <w:sz w:val="24"/>
          <w:szCs w:val="24"/>
        </w:rPr>
        <w:t xml:space="preserve">tools that help policymakers to conduct </w:t>
      </w:r>
      <w:r w:rsidR="004243EB" w:rsidRPr="00AB4C1A">
        <w:rPr>
          <w:rFonts w:ascii="Times New Roman" w:hAnsi="Times New Roman" w:cs="Times New Roman"/>
          <w:sz w:val="24"/>
          <w:szCs w:val="24"/>
        </w:rPr>
        <w:t>more integrated assessment</w:t>
      </w:r>
      <w:r w:rsidR="0096494F" w:rsidRPr="00AB4C1A">
        <w:rPr>
          <w:rFonts w:ascii="Times New Roman" w:hAnsi="Times New Roman" w:cs="Times New Roman"/>
          <w:sz w:val="24"/>
          <w:szCs w:val="24"/>
        </w:rPr>
        <w:t>s</w:t>
      </w:r>
      <w:r w:rsidR="004243EB" w:rsidRPr="00AB4C1A">
        <w:rPr>
          <w:rFonts w:ascii="Times New Roman" w:hAnsi="Times New Roman" w:cs="Times New Roman"/>
          <w:sz w:val="24"/>
          <w:szCs w:val="24"/>
        </w:rPr>
        <w:t xml:space="preserve"> of contexts, outputs and outcomes</w:t>
      </w:r>
      <w:r w:rsidR="005A42AB" w:rsidRPr="00AB4C1A">
        <w:rPr>
          <w:rFonts w:ascii="Times New Roman" w:hAnsi="Times New Roman" w:cs="Times New Roman"/>
          <w:sz w:val="24"/>
          <w:szCs w:val="24"/>
        </w:rPr>
        <w:t xml:space="preserve"> can help to address this challenge. </w:t>
      </w:r>
    </w:p>
    <w:p w14:paraId="37732BA2" w14:textId="77777777" w:rsidR="00C87928" w:rsidRPr="00AB4C1A" w:rsidRDefault="00C87928">
      <w:pPr>
        <w:spacing w:line="240" w:lineRule="auto"/>
        <w:rPr>
          <w:rFonts w:ascii="Times New Roman" w:hAnsi="Times New Roman" w:cs="Times New Roman"/>
          <w:sz w:val="24"/>
          <w:szCs w:val="24"/>
        </w:rPr>
      </w:pPr>
    </w:p>
    <w:p w14:paraId="585DB99F" w14:textId="77777777" w:rsidR="007F32DB" w:rsidRPr="00AB4C1A" w:rsidRDefault="007F32DB" w:rsidP="00CB2EFD">
      <w:pPr>
        <w:rPr>
          <w:rFonts w:ascii="Times New Roman" w:hAnsi="Times New Roman" w:cs="Times New Roman"/>
          <w:sz w:val="24"/>
          <w:szCs w:val="24"/>
        </w:rPr>
      </w:pPr>
      <w:r w:rsidRPr="00AB4C1A">
        <w:rPr>
          <w:rFonts w:ascii="Times New Roman" w:hAnsi="Times New Roman" w:cs="Times New Roman"/>
          <w:b/>
          <w:bCs/>
          <w:sz w:val="24"/>
          <w:szCs w:val="24"/>
        </w:rPr>
        <w:t>References</w:t>
      </w:r>
      <w:r w:rsidRPr="00AB4C1A">
        <w:rPr>
          <w:rFonts w:ascii="Times New Roman" w:hAnsi="Times New Roman" w:cs="Times New Roman"/>
          <w:sz w:val="24"/>
          <w:szCs w:val="24"/>
        </w:rPr>
        <w:t>:</w:t>
      </w:r>
    </w:p>
    <w:p w14:paraId="1EA6E573" w14:textId="77777777" w:rsidR="003006D0" w:rsidRPr="00AB4C1A" w:rsidRDefault="003006D0" w:rsidP="003006D0">
      <w:pPr>
        <w:rPr>
          <w:rFonts w:ascii="Times New Roman" w:hAnsi="Times New Roman" w:cs="Times New Roman"/>
          <w:sz w:val="24"/>
          <w:szCs w:val="24"/>
        </w:rPr>
      </w:pPr>
      <w:proofErr w:type="spellStart"/>
      <w:r w:rsidRPr="00AB4C1A">
        <w:rPr>
          <w:rFonts w:ascii="Times New Roman" w:hAnsi="Times New Roman" w:cs="Times New Roman"/>
          <w:sz w:val="24"/>
          <w:szCs w:val="24"/>
        </w:rPr>
        <w:t>Abhijith</w:t>
      </w:r>
      <w:proofErr w:type="spellEnd"/>
      <w:r w:rsidRPr="00AB4C1A">
        <w:rPr>
          <w:rFonts w:ascii="Times New Roman" w:hAnsi="Times New Roman" w:cs="Times New Roman"/>
          <w:sz w:val="24"/>
          <w:szCs w:val="24"/>
        </w:rPr>
        <w:t xml:space="preserve">, K., Kumar, P., Gallagher, J., </w:t>
      </w:r>
      <w:proofErr w:type="spellStart"/>
      <w:r w:rsidRPr="00AB4C1A">
        <w:rPr>
          <w:rFonts w:ascii="Times New Roman" w:hAnsi="Times New Roman" w:cs="Times New Roman"/>
          <w:sz w:val="24"/>
          <w:szCs w:val="24"/>
        </w:rPr>
        <w:t>McNabola</w:t>
      </w:r>
      <w:proofErr w:type="spellEnd"/>
      <w:r w:rsidRPr="00AB4C1A">
        <w:rPr>
          <w:rFonts w:ascii="Times New Roman" w:hAnsi="Times New Roman" w:cs="Times New Roman"/>
          <w:sz w:val="24"/>
          <w:szCs w:val="24"/>
        </w:rPr>
        <w:t xml:space="preserve">, A., </w:t>
      </w:r>
      <w:proofErr w:type="spellStart"/>
      <w:r w:rsidRPr="00AB4C1A">
        <w:rPr>
          <w:rFonts w:ascii="Times New Roman" w:hAnsi="Times New Roman" w:cs="Times New Roman"/>
          <w:sz w:val="24"/>
          <w:szCs w:val="24"/>
        </w:rPr>
        <w:t>Baldauf</w:t>
      </w:r>
      <w:proofErr w:type="spellEnd"/>
      <w:r w:rsidRPr="00AB4C1A">
        <w:rPr>
          <w:rFonts w:ascii="Times New Roman" w:hAnsi="Times New Roman" w:cs="Times New Roman"/>
          <w:sz w:val="24"/>
          <w:szCs w:val="24"/>
        </w:rPr>
        <w:t xml:space="preserve">, R., </w:t>
      </w:r>
      <w:proofErr w:type="spellStart"/>
      <w:r w:rsidRPr="00AB4C1A">
        <w:rPr>
          <w:rFonts w:ascii="Times New Roman" w:hAnsi="Times New Roman" w:cs="Times New Roman"/>
          <w:sz w:val="24"/>
          <w:szCs w:val="24"/>
        </w:rPr>
        <w:t>Pilla</w:t>
      </w:r>
      <w:proofErr w:type="spellEnd"/>
      <w:r w:rsidRPr="00AB4C1A">
        <w:rPr>
          <w:rFonts w:ascii="Times New Roman" w:hAnsi="Times New Roman" w:cs="Times New Roman"/>
          <w:sz w:val="24"/>
          <w:szCs w:val="24"/>
        </w:rPr>
        <w:t xml:space="preserve">, F., Broderick, B., Di </w:t>
      </w:r>
      <w:proofErr w:type="spellStart"/>
      <w:r w:rsidRPr="00AB4C1A">
        <w:rPr>
          <w:rFonts w:ascii="Times New Roman" w:hAnsi="Times New Roman" w:cs="Times New Roman"/>
          <w:sz w:val="24"/>
          <w:szCs w:val="24"/>
        </w:rPr>
        <w:t>Sabatino</w:t>
      </w:r>
      <w:proofErr w:type="spellEnd"/>
      <w:r w:rsidRPr="00AB4C1A">
        <w:rPr>
          <w:rFonts w:ascii="Times New Roman" w:hAnsi="Times New Roman" w:cs="Times New Roman"/>
          <w:sz w:val="24"/>
          <w:szCs w:val="24"/>
        </w:rPr>
        <w:t xml:space="preserve">, S., </w:t>
      </w:r>
      <w:proofErr w:type="spellStart"/>
      <w:r w:rsidRPr="00AB4C1A">
        <w:rPr>
          <w:rFonts w:ascii="Times New Roman" w:hAnsi="Times New Roman" w:cs="Times New Roman"/>
          <w:sz w:val="24"/>
          <w:szCs w:val="24"/>
        </w:rPr>
        <w:t>Pulvirenti</w:t>
      </w:r>
      <w:proofErr w:type="spellEnd"/>
      <w:r w:rsidRPr="00AB4C1A">
        <w:rPr>
          <w:rFonts w:ascii="Times New Roman" w:hAnsi="Times New Roman" w:cs="Times New Roman"/>
          <w:sz w:val="24"/>
          <w:szCs w:val="24"/>
        </w:rPr>
        <w:t xml:space="preserve">, B. (2017) Air pollution abatement performances of green infrastructure in open road and built-up street canyon environments – A review. </w:t>
      </w:r>
      <w:r w:rsidRPr="00AB4C1A">
        <w:rPr>
          <w:rFonts w:ascii="Times New Roman" w:hAnsi="Times New Roman" w:cs="Times New Roman"/>
          <w:i/>
          <w:sz w:val="24"/>
          <w:szCs w:val="24"/>
        </w:rPr>
        <w:t>Atmospheric Environment</w:t>
      </w:r>
      <w:r w:rsidRPr="00AB4C1A">
        <w:rPr>
          <w:rFonts w:ascii="Times New Roman" w:hAnsi="Times New Roman" w:cs="Times New Roman"/>
          <w:sz w:val="24"/>
          <w:szCs w:val="24"/>
        </w:rPr>
        <w:t xml:space="preserve">, 162, pp. 71-86. </w:t>
      </w:r>
    </w:p>
    <w:p w14:paraId="03BD3AB5"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AECOM (2018) </w:t>
      </w:r>
      <w:r w:rsidRPr="00AB4C1A">
        <w:rPr>
          <w:rFonts w:ascii="Times New Roman" w:hAnsi="Times New Roman" w:cs="Times New Roman"/>
          <w:i/>
          <w:iCs/>
          <w:sz w:val="24"/>
          <w:szCs w:val="24"/>
        </w:rPr>
        <w:t>Domestic Boiler Emission Testing</w:t>
      </w:r>
      <w:r w:rsidRPr="00AB4C1A">
        <w:rPr>
          <w:rFonts w:ascii="Times New Roman" w:hAnsi="Times New Roman" w:cs="Times New Roman"/>
          <w:sz w:val="24"/>
          <w:szCs w:val="24"/>
        </w:rPr>
        <w:t xml:space="preserve">. Greater London Authority. Available from: </w:t>
      </w:r>
      <w:hyperlink r:id="rId11" w:history="1">
        <w:r w:rsidRPr="00AB4C1A">
          <w:rPr>
            <w:rStyle w:val="Hyperlink"/>
            <w:rFonts w:ascii="Times New Roman" w:hAnsi="Times New Roman" w:cs="Times New Roman"/>
            <w:color w:val="auto"/>
            <w:sz w:val="24"/>
            <w:szCs w:val="24"/>
          </w:rPr>
          <w:t>https://www.london.gov.uk/sites/default/files/domestic_boiler_emission_testing_report.pdf</w:t>
        </w:r>
      </w:hyperlink>
      <w:r w:rsidRPr="00AB4C1A">
        <w:rPr>
          <w:rFonts w:ascii="Times New Roman" w:hAnsi="Times New Roman" w:cs="Times New Roman"/>
          <w:sz w:val="24"/>
          <w:szCs w:val="24"/>
        </w:rPr>
        <w:t xml:space="preserve"> [Accessed 27 July 2019].</w:t>
      </w:r>
    </w:p>
    <w:p w14:paraId="0D81E1A3" w14:textId="77777777" w:rsidR="003006D0" w:rsidRPr="00AB4C1A" w:rsidRDefault="003006D0" w:rsidP="003006D0">
      <w:pPr>
        <w:rPr>
          <w:rFonts w:ascii="Times New Roman" w:hAnsi="Times New Roman" w:cs="Times New Roman"/>
          <w:sz w:val="24"/>
          <w:szCs w:val="24"/>
        </w:rPr>
      </w:pPr>
      <w:proofErr w:type="spellStart"/>
      <w:r w:rsidRPr="00AB4C1A">
        <w:rPr>
          <w:rFonts w:ascii="Times New Roman" w:hAnsi="Times New Roman" w:cs="Times New Roman"/>
          <w:sz w:val="24"/>
          <w:szCs w:val="24"/>
        </w:rPr>
        <w:t>Ahlers</w:t>
      </w:r>
      <w:proofErr w:type="spellEnd"/>
      <w:r w:rsidRPr="00AB4C1A">
        <w:rPr>
          <w:rFonts w:ascii="Times New Roman" w:hAnsi="Times New Roman" w:cs="Times New Roman"/>
          <w:sz w:val="24"/>
          <w:szCs w:val="24"/>
        </w:rPr>
        <w:t xml:space="preserve">, C. D. (2016) Wood burning, Air pollution, and climate change. </w:t>
      </w:r>
      <w:r w:rsidRPr="00AB4C1A">
        <w:rPr>
          <w:rFonts w:ascii="Times New Roman" w:hAnsi="Times New Roman" w:cs="Times New Roman"/>
          <w:i/>
          <w:sz w:val="24"/>
          <w:szCs w:val="24"/>
        </w:rPr>
        <w:t>Environmental Law</w:t>
      </w:r>
      <w:r w:rsidRPr="00AB4C1A">
        <w:rPr>
          <w:rFonts w:ascii="Times New Roman" w:hAnsi="Times New Roman" w:cs="Times New Roman"/>
          <w:sz w:val="24"/>
          <w:szCs w:val="24"/>
        </w:rPr>
        <w:t xml:space="preserve">, 46(1), pp. 49-104. </w:t>
      </w:r>
    </w:p>
    <w:p w14:paraId="4AB9E050"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Air Quality in Scotland (2018) </w:t>
      </w:r>
      <w:r w:rsidRPr="00AB4C1A">
        <w:rPr>
          <w:rFonts w:ascii="Times New Roman" w:hAnsi="Times New Roman" w:cs="Times New Roman"/>
          <w:i/>
          <w:sz w:val="24"/>
          <w:szCs w:val="24"/>
        </w:rPr>
        <w:t>Standards</w:t>
      </w:r>
      <w:r w:rsidRPr="00AB4C1A">
        <w:rPr>
          <w:rFonts w:ascii="Times New Roman" w:hAnsi="Times New Roman" w:cs="Times New Roman"/>
          <w:sz w:val="24"/>
          <w:szCs w:val="24"/>
        </w:rPr>
        <w:t xml:space="preserve">. Available from: </w:t>
      </w:r>
      <w:hyperlink r:id="rId12" w:history="1">
        <w:r w:rsidRPr="00AB4C1A">
          <w:rPr>
            <w:rStyle w:val="Hyperlink"/>
            <w:rFonts w:ascii="Times New Roman" w:hAnsi="Times New Roman" w:cs="Times New Roman"/>
            <w:color w:val="auto"/>
            <w:sz w:val="24"/>
            <w:szCs w:val="24"/>
          </w:rPr>
          <w:t>http://www.scottishairquality.scot/air-quality/standards</w:t>
        </w:r>
      </w:hyperlink>
      <w:r w:rsidRPr="00AB4C1A">
        <w:rPr>
          <w:rFonts w:ascii="Times New Roman" w:hAnsi="Times New Roman" w:cs="Times New Roman"/>
          <w:sz w:val="24"/>
          <w:szCs w:val="24"/>
        </w:rPr>
        <w:t xml:space="preserve"> [Accessed 15 October 2018].</w:t>
      </w:r>
    </w:p>
    <w:p w14:paraId="57DF3C72" w14:textId="77777777" w:rsidR="005230A0" w:rsidRPr="00AB4C1A" w:rsidRDefault="005230A0" w:rsidP="005230A0">
      <w:pPr>
        <w:spacing w:after="0" w:line="240" w:lineRule="auto"/>
        <w:rPr>
          <w:rFonts w:ascii="Times New Roman" w:eastAsia="Times New Roman" w:hAnsi="Times New Roman" w:cs="Times New Roman"/>
          <w:sz w:val="24"/>
          <w:szCs w:val="24"/>
          <w:lang w:eastAsia="en-GB"/>
        </w:rPr>
      </w:pPr>
      <w:r w:rsidRPr="00AB4C1A">
        <w:rPr>
          <w:rFonts w:ascii="Times New Roman" w:eastAsia="Times New Roman" w:hAnsi="Times New Roman" w:cs="Times New Roman"/>
          <w:sz w:val="24"/>
          <w:szCs w:val="24"/>
          <w:lang w:eastAsia="en-GB"/>
        </w:rPr>
        <w:t>Allain-</w:t>
      </w:r>
      <w:proofErr w:type="spellStart"/>
      <w:r w:rsidRPr="00AB4C1A">
        <w:rPr>
          <w:rFonts w:ascii="Times New Roman" w:eastAsia="Times New Roman" w:hAnsi="Times New Roman" w:cs="Times New Roman"/>
          <w:sz w:val="24"/>
          <w:szCs w:val="24"/>
          <w:lang w:eastAsia="en-GB"/>
        </w:rPr>
        <w:t>Dupré</w:t>
      </w:r>
      <w:proofErr w:type="spellEnd"/>
      <w:r w:rsidRPr="00AB4C1A">
        <w:rPr>
          <w:rFonts w:ascii="Times New Roman" w:eastAsia="Times New Roman" w:hAnsi="Times New Roman" w:cs="Times New Roman"/>
          <w:sz w:val="24"/>
          <w:szCs w:val="24"/>
          <w:lang w:eastAsia="en-GB"/>
        </w:rPr>
        <w:t xml:space="preserve">, D. (2020). The multi-level governance imperative. </w:t>
      </w:r>
      <w:r w:rsidRPr="00AB4C1A">
        <w:rPr>
          <w:rFonts w:ascii="Times New Roman" w:eastAsia="Times New Roman" w:hAnsi="Times New Roman" w:cs="Times New Roman"/>
          <w:i/>
          <w:iCs/>
          <w:sz w:val="24"/>
          <w:szCs w:val="24"/>
          <w:lang w:eastAsia="en-GB"/>
        </w:rPr>
        <w:t>The British Journal of Politics and International Relations</w:t>
      </w:r>
      <w:r w:rsidRPr="00AB4C1A">
        <w:rPr>
          <w:rFonts w:ascii="Times New Roman" w:eastAsia="Times New Roman" w:hAnsi="Times New Roman" w:cs="Times New Roman"/>
          <w:sz w:val="24"/>
          <w:szCs w:val="24"/>
          <w:lang w:eastAsia="en-GB"/>
        </w:rPr>
        <w:t xml:space="preserve">, </w:t>
      </w:r>
      <w:r w:rsidRPr="00AB4C1A">
        <w:rPr>
          <w:rFonts w:ascii="Times New Roman" w:eastAsia="Times New Roman" w:hAnsi="Times New Roman" w:cs="Times New Roman"/>
          <w:i/>
          <w:iCs/>
          <w:sz w:val="24"/>
          <w:szCs w:val="24"/>
          <w:lang w:eastAsia="en-GB"/>
        </w:rPr>
        <w:t>22</w:t>
      </w:r>
      <w:r w:rsidRPr="00AB4C1A">
        <w:rPr>
          <w:rFonts w:ascii="Times New Roman" w:eastAsia="Times New Roman" w:hAnsi="Times New Roman" w:cs="Times New Roman"/>
          <w:sz w:val="24"/>
          <w:szCs w:val="24"/>
          <w:lang w:eastAsia="en-GB"/>
        </w:rPr>
        <w:t>(4), 800-808.</w:t>
      </w:r>
    </w:p>
    <w:p w14:paraId="2A1EC405" w14:textId="77777777" w:rsidR="005230A0" w:rsidRPr="00AB4C1A" w:rsidRDefault="005230A0" w:rsidP="002060A4">
      <w:pPr>
        <w:spacing w:after="0" w:line="240" w:lineRule="auto"/>
        <w:rPr>
          <w:rFonts w:ascii="Times New Roman" w:eastAsia="Times New Roman" w:hAnsi="Times New Roman" w:cs="Times New Roman"/>
          <w:sz w:val="24"/>
          <w:szCs w:val="24"/>
          <w:lang w:eastAsia="en-GB"/>
        </w:rPr>
      </w:pPr>
    </w:p>
    <w:p w14:paraId="7952CF27"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Andrews, A. (2015) </w:t>
      </w:r>
      <w:r w:rsidRPr="00AB4C1A">
        <w:rPr>
          <w:rFonts w:ascii="Times New Roman" w:hAnsi="Times New Roman" w:cs="Times New Roman"/>
          <w:i/>
          <w:sz w:val="24"/>
          <w:szCs w:val="24"/>
        </w:rPr>
        <w:t xml:space="preserve">The Clean Air Handbook: A practical guide to EU air quality law (Version 2.0) </w:t>
      </w:r>
      <w:r w:rsidRPr="00AB4C1A">
        <w:rPr>
          <w:rFonts w:ascii="Times New Roman" w:hAnsi="Times New Roman" w:cs="Times New Roman"/>
          <w:sz w:val="24"/>
          <w:szCs w:val="24"/>
        </w:rPr>
        <w:t xml:space="preserve">[online]. London: Client Earth. Available from: </w:t>
      </w:r>
      <w:hyperlink r:id="rId13" w:history="1">
        <w:r w:rsidRPr="00AB4C1A">
          <w:rPr>
            <w:rStyle w:val="Hyperlink"/>
            <w:rFonts w:ascii="Times New Roman" w:hAnsi="Times New Roman" w:cs="Times New Roman"/>
            <w:color w:val="auto"/>
            <w:sz w:val="24"/>
            <w:szCs w:val="24"/>
          </w:rPr>
          <w:t>https://www.documents.clientearth.org/wp-content/uploads/library/2015-11-30-clean-air-handbook-version-two-ce-en.pdf</w:t>
        </w:r>
      </w:hyperlink>
      <w:r w:rsidRPr="00AB4C1A">
        <w:rPr>
          <w:rFonts w:ascii="Times New Roman" w:hAnsi="Times New Roman" w:cs="Times New Roman"/>
          <w:sz w:val="24"/>
          <w:szCs w:val="24"/>
        </w:rPr>
        <w:t xml:space="preserve"> [Accessed 19 February 2018].</w:t>
      </w:r>
    </w:p>
    <w:p w14:paraId="78E1F51D"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Barnes, J. H., Hayes, E. T., Chatterton, T. J. &amp; Longhurst, J. W. S. (2014) Air quality action planning: why do barriers to remediation in local air quality management remain? </w:t>
      </w:r>
      <w:r w:rsidRPr="00AB4C1A">
        <w:rPr>
          <w:rFonts w:ascii="Times New Roman" w:hAnsi="Times New Roman" w:cs="Times New Roman"/>
          <w:i/>
          <w:sz w:val="24"/>
          <w:szCs w:val="24"/>
        </w:rPr>
        <w:t>Journal of Environmental Planning and Management</w:t>
      </w:r>
      <w:r w:rsidRPr="00AB4C1A">
        <w:rPr>
          <w:rFonts w:ascii="Times New Roman" w:hAnsi="Times New Roman" w:cs="Times New Roman"/>
          <w:sz w:val="24"/>
          <w:szCs w:val="24"/>
        </w:rPr>
        <w:t xml:space="preserve"> 57 (5): 660-681.</w:t>
      </w:r>
    </w:p>
    <w:p w14:paraId="0F8553BF"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Barnes, J. H., Hayes, E. T., Chatterton, T. J. &amp; Longhurst, J. W. S. (2018) Policy disconnect: A Critical review of UK air quality policy in relation to EU and LAQM responsibilities over the last 20 years. </w:t>
      </w:r>
      <w:r w:rsidRPr="00AB4C1A">
        <w:rPr>
          <w:rFonts w:ascii="Times New Roman" w:hAnsi="Times New Roman" w:cs="Times New Roman"/>
          <w:i/>
          <w:sz w:val="24"/>
          <w:szCs w:val="24"/>
        </w:rPr>
        <w:t>Environmental Science &amp; Policy</w:t>
      </w:r>
      <w:r w:rsidRPr="00AB4C1A">
        <w:rPr>
          <w:rFonts w:ascii="Times New Roman" w:hAnsi="Times New Roman" w:cs="Times New Roman"/>
          <w:sz w:val="24"/>
          <w:szCs w:val="24"/>
        </w:rPr>
        <w:t xml:space="preserve"> 85: 28-39. </w:t>
      </w:r>
    </w:p>
    <w:p w14:paraId="08EA83C2"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lastRenderedPageBreak/>
        <w:t xml:space="preserve">BCC (Bristol City Council) (2018) </w:t>
      </w:r>
      <w:r w:rsidRPr="00AB4C1A">
        <w:rPr>
          <w:rFonts w:ascii="Times New Roman" w:hAnsi="Times New Roman" w:cs="Times New Roman"/>
          <w:i/>
          <w:sz w:val="24"/>
          <w:szCs w:val="24"/>
        </w:rPr>
        <w:t>2018 Air Quality Annual Status Report (ASR)</w:t>
      </w:r>
      <w:r w:rsidRPr="00AB4C1A">
        <w:rPr>
          <w:rFonts w:ascii="Times New Roman" w:hAnsi="Times New Roman" w:cs="Times New Roman"/>
          <w:sz w:val="24"/>
          <w:szCs w:val="24"/>
        </w:rPr>
        <w:t xml:space="preserve"> [online]. Available from: </w:t>
      </w:r>
      <w:hyperlink r:id="rId14" w:history="1">
        <w:r w:rsidRPr="00AB4C1A">
          <w:rPr>
            <w:rStyle w:val="Hyperlink"/>
            <w:rFonts w:ascii="Times New Roman" w:hAnsi="Times New Roman" w:cs="Times New Roman"/>
            <w:color w:val="auto"/>
            <w:sz w:val="24"/>
            <w:szCs w:val="24"/>
          </w:rPr>
          <w:t>https://www.bristol.gov.uk/documents/20182/32675/Bristol+City+Council+2018+Air+Quality+Annual+Status+Report+ASR/3d5c287b-f379-e484-7924-2aa02fc8bb0a</w:t>
        </w:r>
      </w:hyperlink>
      <w:r w:rsidRPr="00AB4C1A">
        <w:rPr>
          <w:rFonts w:ascii="Times New Roman" w:hAnsi="Times New Roman" w:cs="Times New Roman"/>
          <w:sz w:val="24"/>
          <w:szCs w:val="24"/>
        </w:rPr>
        <w:t xml:space="preserve"> [Accessed 15 August 2018].</w:t>
      </w:r>
    </w:p>
    <w:p w14:paraId="27CD53E3"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Beattie, C. I., Longhurst, J. W. S., Woodfield, N. K. (2001) Air quality management: evolution of policy and practice in the UK as exemplified by the experience of the English local government. </w:t>
      </w:r>
      <w:r w:rsidRPr="00AB4C1A">
        <w:rPr>
          <w:rFonts w:ascii="Times New Roman" w:hAnsi="Times New Roman" w:cs="Times New Roman"/>
          <w:i/>
          <w:sz w:val="24"/>
          <w:szCs w:val="24"/>
        </w:rPr>
        <w:t>Atmospheric Environment</w:t>
      </w:r>
      <w:r w:rsidRPr="00AB4C1A">
        <w:rPr>
          <w:rFonts w:ascii="Times New Roman" w:hAnsi="Times New Roman" w:cs="Times New Roman"/>
          <w:sz w:val="24"/>
          <w:szCs w:val="24"/>
        </w:rPr>
        <w:t xml:space="preserve"> 35: 1479-1490.</w:t>
      </w:r>
    </w:p>
    <w:p w14:paraId="0B17FDF7"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Bondarouk</w:t>
      </w:r>
      <w:proofErr w:type="spellEnd"/>
      <w:r w:rsidRPr="00AB4C1A">
        <w:rPr>
          <w:rFonts w:ascii="Times New Roman" w:hAnsi="Times New Roman" w:cs="Times New Roman"/>
          <w:sz w:val="24"/>
          <w:szCs w:val="24"/>
        </w:rPr>
        <w:t xml:space="preserve">, E. &amp; </w:t>
      </w:r>
      <w:proofErr w:type="spellStart"/>
      <w:r w:rsidRPr="00AB4C1A">
        <w:rPr>
          <w:rFonts w:ascii="Times New Roman" w:hAnsi="Times New Roman" w:cs="Times New Roman"/>
          <w:sz w:val="24"/>
          <w:szCs w:val="24"/>
        </w:rPr>
        <w:t>Liefferink</w:t>
      </w:r>
      <w:proofErr w:type="spellEnd"/>
      <w:r w:rsidRPr="00AB4C1A">
        <w:rPr>
          <w:rFonts w:ascii="Times New Roman" w:hAnsi="Times New Roman" w:cs="Times New Roman"/>
          <w:sz w:val="24"/>
          <w:szCs w:val="24"/>
        </w:rPr>
        <w:t xml:space="preserve">, D. (2017) Diversity in sub-national EU implementation: the application of the EU Ambient Air Quality Directive in 13 municipalities in the Netherlands. </w:t>
      </w:r>
      <w:r w:rsidRPr="00AB4C1A">
        <w:rPr>
          <w:rFonts w:ascii="Times New Roman" w:hAnsi="Times New Roman" w:cs="Times New Roman"/>
          <w:i/>
          <w:sz w:val="24"/>
          <w:szCs w:val="24"/>
        </w:rPr>
        <w:t>Journal of Environmental Policy &amp; Planning</w:t>
      </w:r>
      <w:r w:rsidRPr="00AB4C1A">
        <w:rPr>
          <w:rFonts w:ascii="Times New Roman" w:hAnsi="Times New Roman" w:cs="Times New Roman"/>
          <w:sz w:val="24"/>
          <w:szCs w:val="24"/>
        </w:rPr>
        <w:t xml:space="preserve"> 16 (6): 733-753.</w:t>
      </w:r>
    </w:p>
    <w:p w14:paraId="32769FAF"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Bondarouk</w:t>
      </w:r>
      <w:proofErr w:type="spellEnd"/>
      <w:r w:rsidRPr="00AB4C1A">
        <w:rPr>
          <w:rFonts w:ascii="Times New Roman" w:hAnsi="Times New Roman" w:cs="Times New Roman"/>
          <w:sz w:val="24"/>
          <w:szCs w:val="24"/>
        </w:rPr>
        <w:t xml:space="preserve">, E. &amp; </w:t>
      </w:r>
      <w:proofErr w:type="spellStart"/>
      <w:r w:rsidRPr="00AB4C1A">
        <w:rPr>
          <w:rFonts w:ascii="Times New Roman" w:hAnsi="Times New Roman" w:cs="Times New Roman"/>
          <w:sz w:val="24"/>
          <w:szCs w:val="24"/>
        </w:rPr>
        <w:t>Mastenbroek</w:t>
      </w:r>
      <w:proofErr w:type="spellEnd"/>
      <w:r w:rsidRPr="00AB4C1A">
        <w:rPr>
          <w:rFonts w:ascii="Times New Roman" w:hAnsi="Times New Roman" w:cs="Times New Roman"/>
          <w:sz w:val="24"/>
          <w:szCs w:val="24"/>
        </w:rPr>
        <w:t xml:space="preserve">, E. (2017) Reconsidering EU Compliance: Implementation performance in the field of environmental policy. </w:t>
      </w:r>
      <w:r w:rsidRPr="00AB4C1A">
        <w:rPr>
          <w:rFonts w:ascii="Times New Roman" w:hAnsi="Times New Roman" w:cs="Times New Roman"/>
          <w:i/>
          <w:sz w:val="24"/>
          <w:szCs w:val="24"/>
        </w:rPr>
        <w:t>Environmental Policy and Governance</w:t>
      </w:r>
      <w:r w:rsidRPr="00AB4C1A">
        <w:rPr>
          <w:rFonts w:ascii="Times New Roman" w:hAnsi="Times New Roman" w:cs="Times New Roman"/>
          <w:sz w:val="24"/>
          <w:szCs w:val="24"/>
        </w:rPr>
        <w:t>. Paper presented at the EUOPAL PhD seminar on EU implementation, 26 February 2015, Nijmegen.</w:t>
      </w:r>
    </w:p>
    <w:p w14:paraId="0BD8C3D6"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Brunt, H., Barnes, J., Longhurst., Scally, G., Hayes, E. (2016) Local Air Quality Management policy in the UK: the case for greater Public Health integration and engagement. </w:t>
      </w:r>
      <w:r w:rsidRPr="00AB4C1A">
        <w:rPr>
          <w:rFonts w:ascii="Times New Roman" w:hAnsi="Times New Roman" w:cs="Times New Roman"/>
          <w:i/>
          <w:sz w:val="24"/>
          <w:szCs w:val="24"/>
        </w:rPr>
        <w:t>Environmental Science and Policy</w:t>
      </w:r>
      <w:r w:rsidRPr="00AB4C1A">
        <w:rPr>
          <w:rFonts w:ascii="Times New Roman" w:hAnsi="Times New Roman" w:cs="Times New Roman"/>
          <w:sz w:val="24"/>
          <w:szCs w:val="24"/>
        </w:rPr>
        <w:t xml:space="preserve"> 58: 52-60.</w:t>
      </w:r>
    </w:p>
    <w:p w14:paraId="15DD9241"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Cannibal, G, &amp; Lemon, M. (2000) The strategic gap in air-quality management. </w:t>
      </w:r>
      <w:r w:rsidRPr="00AB4C1A">
        <w:rPr>
          <w:rFonts w:ascii="Times New Roman" w:hAnsi="Times New Roman" w:cs="Times New Roman"/>
          <w:i/>
          <w:sz w:val="24"/>
          <w:szCs w:val="24"/>
        </w:rPr>
        <w:t>Journal of Environmental Management</w:t>
      </w:r>
      <w:r w:rsidRPr="00AB4C1A">
        <w:rPr>
          <w:rFonts w:ascii="Times New Roman" w:hAnsi="Times New Roman" w:cs="Times New Roman"/>
          <w:sz w:val="24"/>
          <w:szCs w:val="24"/>
        </w:rPr>
        <w:t xml:space="preserve"> 60: 289-300. </w:t>
      </w:r>
    </w:p>
    <w:p w14:paraId="70409337"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Čavoški</w:t>
      </w:r>
      <w:proofErr w:type="spellEnd"/>
      <w:r w:rsidRPr="00AB4C1A">
        <w:rPr>
          <w:rFonts w:ascii="Times New Roman" w:hAnsi="Times New Roman" w:cs="Times New Roman"/>
          <w:sz w:val="24"/>
          <w:szCs w:val="24"/>
        </w:rPr>
        <w:t xml:space="preserve">, A. (2017) The unintended consequences of EU law and policy on air pollution. </w:t>
      </w:r>
      <w:r w:rsidRPr="00AB4C1A">
        <w:rPr>
          <w:rFonts w:ascii="Times New Roman" w:hAnsi="Times New Roman" w:cs="Times New Roman"/>
          <w:i/>
          <w:sz w:val="24"/>
          <w:szCs w:val="24"/>
        </w:rPr>
        <w:t>Review of European Comparative &amp; international Environmental Law</w:t>
      </w:r>
      <w:r w:rsidRPr="00AB4C1A">
        <w:rPr>
          <w:rFonts w:ascii="Times New Roman" w:hAnsi="Times New Roman" w:cs="Times New Roman"/>
          <w:sz w:val="24"/>
          <w:szCs w:val="24"/>
        </w:rPr>
        <w:t xml:space="preserve"> 26 (3): 255-265.</w:t>
      </w:r>
    </w:p>
    <w:p w14:paraId="785C8962" w14:textId="77777777" w:rsidR="006D5668" w:rsidRPr="00AB4C1A" w:rsidRDefault="006D5668" w:rsidP="006D5668">
      <w:pPr>
        <w:spacing w:after="0" w:line="240" w:lineRule="auto"/>
        <w:rPr>
          <w:rFonts w:ascii="Times New Roman" w:eastAsia="Times New Roman" w:hAnsi="Times New Roman" w:cs="Times New Roman"/>
          <w:sz w:val="24"/>
          <w:szCs w:val="24"/>
          <w:lang w:eastAsia="en-GB"/>
        </w:rPr>
      </w:pPr>
      <w:proofErr w:type="spellStart"/>
      <w:r w:rsidRPr="00AB4C1A">
        <w:rPr>
          <w:rFonts w:ascii="Times New Roman" w:eastAsia="Times New Roman" w:hAnsi="Times New Roman" w:cs="Times New Roman"/>
          <w:sz w:val="24"/>
          <w:szCs w:val="24"/>
          <w:lang w:eastAsia="en-GB"/>
        </w:rPr>
        <w:t>Charbit</w:t>
      </w:r>
      <w:proofErr w:type="spellEnd"/>
      <w:r w:rsidRPr="00AB4C1A">
        <w:rPr>
          <w:rFonts w:ascii="Times New Roman" w:eastAsia="Times New Roman" w:hAnsi="Times New Roman" w:cs="Times New Roman"/>
          <w:sz w:val="24"/>
          <w:szCs w:val="24"/>
          <w:lang w:eastAsia="en-GB"/>
        </w:rPr>
        <w:t xml:space="preserve">, C. (2020). From ‘de </w:t>
      </w:r>
      <w:proofErr w:type="spellStart"/>
      <w:r w:rsidRPr="00AB4C1A">
        <w:rPr>
          <w:rFonts w:ascii="Times New Roman" w:eastAsia="Times New Roman" w:hAnsi="Times New Roman" w:cs="Times New Roman"/>
          <w:sz w:val="24"/>
          <w:szCs w:val="24"/>
          <w:lang w:eastAsia="en-GB"/>
        </w:rPr>
        <w:t>jure’to</w:t>
      </w:r>
      <w:proofErr w:type="spellEnd"/>
      <w:r w:rsidRPr="00AB4C1A">
        <w:rPr>
          <w:rFonts w:ascii="Times New Roman" w:eastAsia="Times New Roman" w:hAnsi="Times New Roman" w:cs="Times New Roman"/>
          <w:sz w:val="24"/>
          <w:szCs w:val="24"/>
          <w:lang w:eastAsia="en-GB"/>
        </w:rPr>
        <w:t xml:space="preserve"> ‘de </w:t>
      </w:r>
      <w:proofErr w:type="spellStart"/>
      <w:r w:rsidRPr="00AB4C1A">
        <w:rPr>
          <w:rFonts w:ascii="Times New Roman" w:eastAsia="Times New Roman" w:hAnsi="Times New Roman" w:cs="Times New Roman"/>
          <w:sz w:val="24"/>
          <w:szCs w:val="24"/>
          <w:lang w:eastAsia="en-GB"/>
        </w:rPr>
        <w:t>facto’decentralised</w:t>
      </w:r>
      <w:proofErr w:type="spellEnd"/>
      <w:r w:rsidRPr="00AB4C1A">
        <w:rPr>
          <w:rFonts w:ascii="Times New Roman" w:eastAsia="Times New Roman" w:hAnsi="Times New Roman" w:cs="Times New Roman"/>
          <w:sz w:val="24"/>
          <w:szCs w:val="24"/>
          <w:lang w:eastAsia="en-GB"/>
        </w:rPr>
        <w:t xml:space="preserve"> public policies: The multi-level governance approach. </w:t>
      </w:r>
      <w:r w:rsidRPr="00AB4C1A">
        <w:rPr>
          <w:rFonts w:ascii="Times New Roman" w:eastAsia="Times New Roman" w:hAnsi="Times New Roman" w:cs="Times New Roman"/>
          <w:i/>
          <w:iCs/>
          <w:sz w:val="24"/>
          <w:szCs w:val="24"/>
          <w:lang w:eastAsia="en-GB"/>
        </w:rPr>
        <w:t>The British Journal of Politics and International Relations</w:t>
      </w:r>
      <w:r w:rsidRPr="00AB4C1A">
        <w:rPr>
          <w:rFonts w:ascii="Times New Roman" w:eastAsia="Times New Roman" w:hAnsi="Times New Roman" w:cs="Times New Roman"/>
          <w:sz w:val="24"/>
          <w:szCs w:val="24"/>
          <w:lang w:eastAsia="en-GB"/>
        </w:rPr>
        <w:t xml:space="preserve">, </w:t>
      </w:r>
      <w:r w:rsidRPr="00AB4C1A">
        <w:rPr>
          <w:rFonts w:ascii="Times New Roman" w:eastAsia="Times New Roman" w:hAnsi="Times New Roman" w:cs="Times New Roman"/>
          <w:i/>
          <w:iCs/>
          <w:sz w:val="24"/>
          <w:szCs w:val="24"/>
          <w:lang w:eastAsia="en-GB"/>
        </w:rPr>
        <w:t>22</w:t>
      </w:r>
      <w:r w:rsidRPr="00AB4C1A">
        <w:rPr>
          <w:rFonts w:ascii="Times New Roman" w:eastAsia="Times New Roman" w:hAnsi="Times New Roman" w:cs="Times New Roman"/>
          <w:sz w:val="24"/>
          <w:szCs w:val="24"/>
          <w:lang w:eastAsia="en-GB"/>
        </w:rPr>
        <w:t>(4), 809-819.</w:t>
      </w:r>
    </w:p>
    <w:p w14:paraId="110F5DBB" w14:textId="77777777" w:rsidR="006D5668" w:rsidRPr="00AB4C1A" w:rsidRDefault="006D5668" w:rsidP="002060A4">
      <w:pPr>
        <w:spacing w:after="0" w:line="240" w:lineRule="auto"/>
        <w:rPr>
          <w:rFonts w:ascii="Times New Roman" w:eastAsia="Times New Roman" w:hAnsi="Times New Roman" w:cs="Times New Roman"/>
          <w:sz w:val="24"/>
          <w:szCs w:val="24"/>
          <w:lang w:eastAsia="en-GB"/>
        </w:rPr>
      </w:pPr>
    </w:p>
    <w:p w14:paraId="158B7C6B"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Chatterton, T., Longhurst, J., </w:t>
      </w:r>
      <w:proofErr w:type="spellStart"/>
      <w:r w:rsidRPr="00AB4C1A">
        <w:rPr>
          <w:rFonts w:ascii="Times New Roman" w:hAnsi="Times New Roman" w:cs="Times New Roman"/>
          <w:sz w:val="24"/>
          <w:szCs w:val="24"/>
        </w:rPr>
        <w:t>Leksmono</w:t>
      </w:r>
      <w:proofErr w:type="spellEnd"/>
      <w:r w:rsidRPr="00AB4C1A">
        <w:rPr>
          <w:rFonts w:ascii="Times New Roman" w:hAnsi="Times New Roman" w:cs="Times New Roman"/>
          <w:sz w:val="24"/>
          <w:szCs w:val="24"/>
        </w:rPr>
        <w:t xml:space="preserve">, N., Hayes, E. T. and Symonds, J. (2007) Ten years of Local Air Quality Management experience in the UK: An analysis of the process. </w:t>
      </w:r>
      <w:r w:rsidRPr="00AB4C1A">
        <w:rPr>
          <w:rFonts w:ascii="Times New Roman" w:hAnsi="Times New Roman" w:cs="Times New Roman"/>
          <w:i/>
          <w:sz w:val="24"/>
          <w:szCs w:val="24"/>
        </w:rPr>
        <w:t>Clean Air and Environmental Quality</w:t>
      </w:r>
      <w:r w:rsidRPr="00AB4C1A">
        <w:rPr>
          <w:rFonts w:ascii="Times New Roman" w:hAnsi="Times New Roman" w:cs="Times New Roman"/>
          <w:sz w:val="24"/>
          <w:szCs w:val="24"/>
        </w:rPr>
        <w:t xml:space="preserve"> 41 (4): 26-31.</w:t>
      </w:r>
    </w:p>
    <w:p w14:paraId="2330D22A" w14:textId="77777777" w:rsidR="008F23DA" w:rsidRPr="00AB4C1A" w:rsidRDefault="008F23DA"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Defra (2010) Air Pollution: Action in a Changing Climate [online]. Department for Environment Food and Rural Affairs: London, UK. Available from: </w:t>
      </w:r>
      <w:hyperlink r:id="rId15" w:history="1">
        <w:r w:rsidRPr="00AB4C1A">
          <w:rPr>
            <w:rStyle w:val="Hyperlink"/>
            <w:rFonts w:ascii="Times New Roman" w:hAnsi="Times New Roman" w:cs="Times New Roman"/>
            <w:color w:val="auto"/>
            <w:sz w:val="24"/>
            <w:szCs w:val="24"/>
          </w:rPr>
          <w:t>https://assets.publishing.service.gov.uk/government/uploads/system/uploads/attachment_data/file/69340/pb13378-air-pollution.pdf</w:t>
        </w:r>
      </w:hyperlink>
      <w:r w:rsidRPr="00AB4C1A">
        <w:rPr>
          <w:rFonts w:ascii="Times New Roman" w:hAnsi="Times New Roman" w:cs="Times New Roman"/>
          <w:sz w:val="24"/>
          <w:szCs w:val="24"/>
        </w:rPr>
        <w:t xml:space="preserve"> [Accessed 17 January 2021].</w:t>
      </w:r>
    </w:p>
    <w:p w14:paraId="22FB5F10"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Defra (2016) </w:t>
      </w:r>
      <w:r w:rsidRPr="00AB4C1A">
        <w:rPr>
          <w:rFonts w:ascii="Times New Roman" w:hAnsi="Times New Roman" w:cs="Times New Roman"/>
          <w:i/>
          <w:sz w:val="24"/>
          <w:szCs w:val="24"/>
        </w:rPr>
        <w:t>Local Air Quality Management: Policy Guidance (PG16)</w:t>
      </w:r>
      <w:r w:rsidRPr="00AB4C1A">
        <w:rPr>
          <w:rFonts w:ascii="Times New Roman" w:hAnsi="Times New Roman" w:cs="Times New Roman"/>
          <w:sz w:val="24"/>
          <w:szCs w:val="24"/>
        </w:rPr>
        <w:t xml:space="preserve"> [online]. Department for Environment Food &amp; Rural Affairs: London, UK. Available from:  </w:t>
      </w:r>
      <w:hyperlink r:id="rId16" w:history="1">
        <w:r w:rsidRPr="00AB4C1A">
          <w:rPr>
            <w:rStyle w:val="Hyperlink"/>
            <w:rFonts w:ascii="Times New Roman" w:hAnsi="Times New Roman" w:cs="Times New Roman"/>
            <w:color w:val="auto"/>
            <w:sz w:val="24"/>
            <w:szCs w:val="24"/>
          </w:rPr>
          <w:t>https://laqm.defra.gov.uk/documents/LAQM-PG16-April-16-v1.pdf</w:t>
        </w:r>
      </w:hyperlink>
      <w:r w:rsidRPr="00AB4C1A">
        <w:rPr>
          <w:rFonts w:ascii="Times New Roman" w:hAnsi="Times New Roman" w:cs="Times New Roman"/>
          <w:sz w:val="24"/>
          <w:szCs w:val="24"/>
        </w:rPr>
        <w:t xml:space="preserve"> [Accessed 14 September 2018].</w:t>
      </w:r>
    </w:p>
    <w:p w14:paraId="207ABF6F" w14:textId="77777777"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Defra (2017) </w:t>
      </w:r>
      <w:r w:rsidRPr="00AB4C1A">
        <w:rPr>
          <w:rFonts w:ascii="Times New Roman" w:hAnsi="Times New Roman" w:cs="Times New Roman"/>
          <w:i/>
          <w:sz w:val="24"/>
          <w:szCs w:val="24"/>
        </w:rPr>
        <w:t>Air Quality: A Briefing for Directors of Public Health</w:t>
      </w:r>
      <w:r w:rsidRPr="00AB4C1A">
        <w:rPr>
          <w:rFonts w:ascii="Times New Roman" w:hAnsi="Times New Roman" w:cs="Times New Roman"/>
          <w:sz w:val="24"/>
          <w:szCs w:val="24"/>
        </w:rPr>
        <w:t xml:space="preserve"> [online]. DEFRA &amp; Public Health England: London, UK. Available from: </w:t>
      </w:r>
      <w:hyperlink r:id="rId17" w:history="1">
        <w:r w:rsidRPr="00AB4C1A">
          <w:rPr>
            <w:rStyle w:val="Hyperlink"/>
            <w:rFonts w:ascii="Times New Roman" w:hAnsi="Times New Roman" w:cs="Times New Roman"/>
            <w:color w:val="auto"/>
            <w:sz w:val="24"/>
            <w:szCs w:val="24"/>
          </w:rPr>
          <w:t>https://laqm.defra.gov.uk/assets/63091defraairqualityguide9web.pdf</w:t>
        </w:r>
      </w:hyperlink>
      <w:r w:rsidRPr="00AB4C1A">
        <w:rPr>
          <w:rFonts w:ascii="Times New Roman" w:hAnsi="Times New Roman" w:cs="Times New Roman"/>
          <w:sz w:val="24"/>
          <w:szCs w:val="24"/>
        </w:rPr>
        <w:t xml:space="preserve"> [Accessed 15 August 2018].</w:t>
      </w:r>
    </w:p>
    <w:p w14:paraId="200EB7E7" w14:textId="77777777"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Defra (2018a) </w:t>
      </w:r>
      <w:r w:rsidRPr="00AB4C1A">
        <w:rPr>
          <w:rFonts w:ascii="Times New Roman" w:hAnsi="Times New Roman" w:cs="Times New Roman"/>
          <w:i/>
          <w:sz w:val="24"/>
          <w:szCs w:val="24"/>
        </w:rPr>
        <w:t>UK and EU Air Quality Policy Context</w:t>
      </w:r>
      <w:r w:rsidRPr="00AB4C1A">
        <w:rPr>
          <w:rFonts w:ascii="Times New Roman" w:hAnsi="Times New Roman" w:cs="Times New Roman"/>
          <w:sz w:val="24"/>
          <w:szCs w:val="24"/>
        </w:rPr>
        <w:t xml:space="preserve">. Available from: </w:t>
      </w:r>
      <w:hyperlink r:id="rId18" w:history="1">
        <w:r w:rsidRPr="00AB4C1A">
          <w:rPr>
            <w:rStyle w:val="Hyperlink"/>
            <w:rFonts w:ascii="Times New Roman" w:hAnsi="Times New Roman" w:cs="Times New Roman"/>
            <w:color w:val="auto"/>
            <w:sz w:val="24"/>
            <w:szCs w:val="24"/>
          </w:rPr>
          <w:t>https://uk-air.defra.gov.uk/air-pollution/uk-eu-policy-context</w:t>
        </w:r>
      </w:hyperlink>
      <w:r w:rsidRPr="00AB4C1A">
        <w:rPr>
          <w:rFonts w:ascii="Times New Roman" w:hAnsi="Times New Roman" w:cs="Times New Roman"/>
          <w:sz w:val="24"/>
          <w:szCs w:val="24"/>
        </w:rPr>
        <w:t xml:space="preserve"> [Accessed 25 February 2018].</w:t>
      </w:r>
    </w:p>
    <w:p w14:paraId="6FB1E3B2"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lastRenderedPageBreak/>
        <w:t xml:space="preserve">Defra (2018b) </w:t>
      </w:r>
      <w:r w:rsidRPr="00AB4C1A">
        <w:rPr>
          <w:rFonts w:ascii="Times New Roman" w:hAnsi="Times New Roman" w:cs="Times New Roman"/>
          <w:i/>
          <w:sz w:val="24"/>
          <w:szCs w:val="24"/>
        </w:rPr>
        <w:t>Clean Air Strategy 2018</w:t>
      </w:r>
      <w:r w:rsidRPr="00AB4C1A">
        <w:rPr>
          <w:rFonts w:ascii="Times New Roman" w:hAnsi="Times New Roman" w:cs="Times New Roman"/>
          <w:sz w:val="24"/>
          <w:szCs w:val="24"/>
        </w:rPr>
        <w:t xml:space="preserve"> [online]. Department for Environment, Food &amp; Rural Affairs: UK. Available from: </w:t>
      </w:r>
      <w:hyperlink r:id="rId19" w:history="1">
        <w:r w:rsidRPr="00AB4C1A">
          <w:rPr>
            <w:rStyle w:val="Hyperlink"/>
            <w:rFonts w:ascii="Times New Roman" w:hAnsi="Times New Roman" w:cs="Times New Roman"/>
            <w:color w:val="auto"/>
            <w:sz w:val="24"/>
            <w:szCs w:val="24"/>
          </w:rPr>
          <w:t>https://consult.defra.gov.uk/environmental-quality/clean-air-strategy-consultation/user_uploads/clean-air-strategy-2018-consultation.pdf</w:t>
        </w:r>
      </w:hyperlink>
      <w:r w:rsidRPr="00AB4C1A">
        <w:rPr>
          <w:rFonts w:ascii="Times New Roman" w:hAnsi="Times New Roman" w:cs="Times New Roman"/>
          <w:sz w:val="24"/>
          <w:szCs w:val="24"/>
        </w:rPr>
        <w:t xml:space="preserve"> [Accessed 6 June 2018]. </w:t>
      </w:r>
    </w:p>
    <w:p w14:paraId="16790825"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Defra (2018c) </w:t>
      </w:r>
      <w:r w:rsidRPr="00AB4C1A">
        <w:rPr>
          <w:rFonts w:ascii="Times New Roman" w:hAnsi="Times New Roman" w:cs="Times New Roman"/>
          <w:i/>
          <w:sz w:val="24"/>
          <w:szCs w:val="24"/>
        </w:rPr>
        <w:t xml:space="preserve">Local Air Quality Management: Technical Guidance (TG16) </w:t>
      </w:r>
      <w:r w:rsidRPr="00AB4C1A">
        <w:rPr>
          <w:rFonts w:ascii="Times New Roman" w:hAnsi="Times New Roman" w:cs="Times New Roman"/>
          <w:sz w:val="24"/>
          <w:szCs w:val="24"/>
        </w:rPr>
        <w:t xml:space="preserve">[online]. Department for Environment Food &amp; Rural Affairs: London, UK. Available from: </w:t>
      </w:r>
      <w:r w:rsidRPr="00AB4C1A">
        <w:rPr>
          <w:rStyle w:val="Hyperlink"/>
          <w:rFonts w:ascii="Times New Roman" w:hAnsi="Times New Roman" w:cs="Times New Roman"/>
          <w:color w:val="auto"/>
          <w:sz w:val="24"/>
          <w:szCs w:val="24"/>
        </w:rPr>
        <w:t>https://laqm.defra.gov.uk/documents/LAQM-TG16-February-18-v1.pdf</w:t>
      </w:r>
      <w:r w:rsidRPr="00AB4C1A">
        <w:rPr>
          <w:rFonts w:ascii="Times New Roman" w:hAnsi="Times New Roman" w:cs="Times New Roman"/>
          <w:sz w:val="24"/>
          <w:szCs w:val="24"/>
        </w:rPr>
        <w:t xml:space="preserve"> [Accessed 15 August 2018].</w:t>
      </w:r>
    </w:p>
    <w:p w14:paraId="3C3A3D3F"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EEA (2017) </w:t>
      </w:r>
      <w:r w:rsidRPr="00AB4C1A">
        <w:rPr>
          <w:rFonts w:ascii="Times New Roman" w:hAnsi="Times New Roman" w:cs="Times New Roman"/>
          <w:i/>
          <w:sz w:val="24"/>
          <w:szCs w:val="24"/>
        </w:rPr>
        <w:t>Air Quality in Europe – 2017 Report</w:t>
      </w:r>
      <w:r w:rsidRPr="00AB4C1A">
        <w:rPr>
          <w:rFonts w:ascii="Times New Roman" w:hAnsi="Times New Roman" w:cs="Times New Roman"/>
          <w:sz w:val="24"/>
          <w:szCs w:val="24"/>
        </w:rPr>
        <w:t xml:space="preserve"> [online]. No13/2017; ISSN 1977-8449. European Environment Agency: Denmark. Available from: </w:t>
      </w:r>
      <w:proofErr w:type="gramStart"/>
      <w:r w:rsidRPr="00AB4C1A">
        <w:rPr>
          <w:rStyle w:val="Hyperlink"/>
          <w:rFonts w:ascii="Times New Roman" w:hAnsi="Times New Roman" w:cs="Times New Roman"/>
          <w:color w:val="auto"/>
          <w:sz w:val="24"/>
          <w:szCs w:val="24"/>
        </w:rPr>
        <w:t xml:space="preserve">https://www.eea.europa.eu/publications/air-quality-in-europe-2017  </w:t>
      </w:r>
      <w:r w:rsidRPr="00AB4C1A">
        <w:rPr>
          <w:rFonts w:ascii="Times New Roman" w:hAnsi="Times New Roman" w:cs="Times New Roman"/>
          <w:sz w:val="24"/>
          <w:szCs w:val="24"/>
        </w:rPr>
        <w:t>[</w:t>
      </w:r>
      <w:proofErr w:type="gramEnd"/>
      <w:r w:rsidRPr="00AB4C1A">
        <w:rPr>
          <w:rFonts w:ascii="Times New Roman" w:hAnsi="Times New Roman" w:cs="Times New Roman"/>
          <w:sz w:val="24"/>
          <w:szCs w:val="24"/>
        </w:rPr>
        <w:t>Accessed 20 June 2018].</w:t>
      </w:r>
    </w:p>
    <w:p w14:paraId="214C7082"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Emmel</w:t>
      </w:r>
      <w:proofErr w:type="spellEnd"/>
      <w:r w:rsidRPr="00AB4C1A">
        <w:rPr>
          <w:rFonts w:ascii="Times New Roman" w:hAnsi="Times New Roman" w:cs="Times New Roman"/>
          <w:sz w:val="24"/>
          <w:szCs w:val="24"/>
        </w:rPr>
        <w:t xml:space="preserve">, N. (2013) </w:t>
      </w:r>
      <w:r w:rsidRPr="00AB4C1A">
        <w:rPr>
          <w:rFonts w:ascii="Times New Roman" w:hAnsi="Times New Roman" w:cs="Times New Roman"/>
          <w:i/>
          <w:sz w:val="24"/>
          <w:szCs w:val="24"/>
        </w:rPr>
        <w:t>Sampling and choosing cases in qualitative research: a realist approach</w:t>
      </w:r>
      <w:r w:rsidRPr="00AB4C1A">
        <w:rPr>
          <w:rFonts w:ascii="Times New Roman" w:hAnsi="Times New Roman" w:cs="Times New Roman"/>
          <w:sz w:val="24"/>
          <w:szCs w:val="24"/>
        </w:rPr>
        <w:t>. London: Sage.</w:t>
      </w:r>
    </w:p>
    <w:p w14:paraId="0C84DDCE" w14:textId="77777777"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Glasgow City Council (2009) </w:t>
      </w:r>
      <w:r w:rsidRPr="00AB4C1A">
        <w:rPr>
          <w:rFonts w:ascii="Times New Roman" w:hAnsi="Times New Roman" w:cs="Times New Roman"/>
          <w:i/>
          <w:sz w:val="24"/>
          <w:szCs w:val="24"/>
        </w:rPr>
        <w:t>Air Quality Action Plan 2009</w:t>
      </w:r>
      <w:r w:rsidRPr="00AB4C1A">
        <w:rPr>
          <w:rFonts w:ascii="Times New Roman" w:hAnsi="Times New Roman" w:cs="Times New Roman"/>
          <w:sz w:val="24"/>
          <w:szCs w:val="24"/>
        </w:rPr>
        <w:t xml:space="preserve"> [online]. Environmental Health, Land and Environmental Services: Glasgow. Available from: </w:t>
      </w:r>
      <w:hyperlink r:id="rId20" w:history="1">
        <w:r w:rsidRPr="00AB4C1A">
          <w:rPr>
            <w:rStyle w:val="Hyperlink"/>
            <w:rFonts w:ascii="Times New Roman" w:hAnsi="Times New Roman" w:cs="Times New Roman"/>
            <w:color w:val="auto"/>
            <w:sz w:val="24"/>
            <w:szCs w:val="24"/>
          </w:rPr>
          <w:t>https://www.glasgow.gov.uk/CHttpHandler.ashx?id=32447&amp;p=0</w:t>
        </w:r>
      </w:hyperlink>
      <w:r w:rsidRPr="00AB4C1A">
        <w:rPr>
          <w:rFonts w:ascii="Times New Roman" w:hAnsi="Times New Roman" w:cs="Times New Roman"/>
          <w:sz w:val="24"/>
          <w:szCs w:val="24"/>
        </w:rPr>
        <w:t xml:space="preserve"> [Accessed 22 August 2018].</w:t>
      </w:r>
    </w:p>
    <w:p w14:paraId="603DF29D"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Gollata</w:t>
      </w:r>
      <w:proofErr w:type="spellEnd"/>
      <w:r w:rsidRPr="00AB4C1A">
        <w:rPr>
          <w:rFonts w:ascii="Times New Roman" w:hAnsi="Times New Roman" w:cs="Times New Roman"/>
          <w:sz w:val="24"/>
          <w:szCs w:val="24"/>
        </w:rPr>
        <w:t xml:space="preserve">, J. &amp; </w:t>
      </w:r>
      <w:proofErr w:type="spellStart"/>
      <w:r w:rsidRPr="00AB4C1A">
        <w:rPr>
          <w:rFonts w:ascii="Times New Roman" w:hAnsi="Times New Roman" w:cs="Times New Roman"/>
          <w:sz w:val="24"/>
          <w:szCs w:val="24"/>
        </w:rPr>
        <w:t>Newig</w:t>
      </w:r>
      <w:proofErr w:type="spellEnd"/>
      <w:r w:rsidRPr="00AB4C1A">
        <w:rPr>
          <w:rFonts w:ascii="Times New Roman" w:hAnsi="Times New Roman" w:cs="Times New Roman"/>
          <w:sz w:val="24"/>
          <w:szCs w:val="24"/>
        </w:rPr>
        <w:t xml:space="preserve">, J. (2017) Policy implementation through multi-level governance: analysing practical implementation of EU air quality directives in Germany. </w:t>
      </w:r>
      <w:r w:rsidRPr="00AB4C1A">
        <w:rPr>
          <w:rFonts w:ascii="Times New Roman" w:hAnsi="Times New Roman" w:cs="Times New Roman"/>
          <w:i/>
          <w:sz w:val="24"/>
          <w:szCs w:val="24"/>
        </w:rPr>
        <w:t>Journal of European Public Policy</w:t>
      </w:r>
      <w:r w:rsidRPr="00AB4C1A">
        <w:rPr>
          <w:rFonts w:ascii="Times New Roman" w:hAnsi="Times New Roman" w:cs="Times New Roman"/>
          <w:sz w:val="24"/>
          <w:szCs w:val="24"/>
        </w:rPr>
        <w:t xml:space="preserve"> 24 (9): 1308-1327.</w:t>
      </w:r>
    </w:p>
    <w:p w14:paraId="43915584"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GMCA (2017) </w:t>
      </w:r>
      <w:r w:rsidRPr="00AB4C1A">
        <w:rPr>
          <w:rFonts w:ascii="Times New Roman" w:hAnsi="Times New Roman" w:cs="Times New Roman"/>
          <w:i/>
          <w:sz w:val="24"/>
          <w:szCs w:val="24"/>
        </w:rPr>
        <w:t>2016 Air Quality Annual Status Report for Greater Manchester</w:t>
      </w:r>
      <w:r w:rsidRPr="00AB4C1A">
        <w:rPr>
          <w:rFonts w:ascii="Times New Roman" w:hAnsi="Times New Roman" w:cs="Times New Roman"/>
          <w:sz w:val="24"/>
          <w:szCs w:val="24"/>
        </w:rPr>
        <w:t xml:space="preserve"> [online]. 31 July. Greater Manchester Combined Authority: Manchester, UK. Available from: </w:t>
      </w:r>
      <w:hyperlink r:id="rId21" w:history="1">
        <w:r w:rsidRPr="00AB4C1A">
          <w:rPr>
            <w:rStyle w:val="Hyperlink"/>
            <w:rFonts w:ascii="Times New Roman" w:hAnsi="Times New Roman" w:cs="Times New Roman"/>
            <w:color w:val="auto"/>
            <w:sz w:val="24"/>
            <w:szCs w:val="24"/>
          </w:rPr>
          <w:t>https://www.manchester.gov.uk/downloads/file/25718/greater_manchester_air_quality_annual_status_report_asr_2016</w:t>
        </w:r>
      </w:hyperlink>
      <w:r w:rsidRPr="00AB4C1A">
        <w:rPr>
          <w:rFonts w:ascii="Times New Roman" w:hAnsi="Times New Roman" w:cs="Times New Roman"/>
          <w:sz w:val="24"/>
          <w:szCs w:val="24"/>
        </w:rPr>
        <w:t xml:space="preserve"> [Accessed 2 August 2018].</w:t>
      </w:r>
    </w:p>
    <w:p w14:paraId="398A72AF"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GMCA (2016) </w:t>
      </w:r>
      <w:r w:rsidRPr="00AB4C1A">
        <w:rPr>
          <w:rFonts w:ascii="Times New Roman" w:hAnsi="Times New Roman" w:cs="Times New Roman"/>
          <w:i/>
          <w:sz w:val="24"/>
          <w:szCs w:val="24"/>
        </w:rPr>
        <w:t>Greater Manchester Air Quality Action Plan 2016-2021</w:t>
      </w:r>
      <w:r w:rsidRPr="00AB4C1A">
        <w:rPr>
          <w:rFonts w:ascii="Times New Roman" w:hAnsi="Times New Roman" w:cs="Times New Roman"/>
          <w:sz w:val="24"/>
          <w:szCs w:val="24"/>
        </w:rPr>
        <w:t xml:space="preserve">. Greater Manchester Combined Authority: Manchester, UK. Available from: </w:t>
      </w:r>
      <w:hyperlink r:id="rId22" w:history="1">
        <w:r w:rsidRPr="00AB4C1A">
          <w:rPr>
            <w:rStyle w:val="Hyperlink"/>
            <w:rFonts w:ascii="Times New Roman" w:hAnsi="Times New Roman" w:cs="Times New Roman"/>
            <w:color w:val="auto"/>
            <w:sz w:val="24"/>
            <w:szCs w:val="24"/>
          </w:rPr>
          <w:t>https://www.greatermanchester-ca.gov.uk/downloads/download/78/gm_air_quality_action_plan_2016-21</w:t>
        </w:r>
      </w:hyperlink>
      <w:r w:rsidRPr="00AB4C1A">
        <w:rPr>
          <w:rFonts w:ascii="Times New Roman" w:hAnsi="Times New Roman" w:cs="Times New Roman"/>
          <w:sz w:val="24"/>
          <w:szCs w:val="24"/>
        </w:rPr>
        <w:t xml:space="preserve"> [Accessed 15 August 2018].</w:t>
      </w:r>
    </w:p>
    <w:p w14:paraId="0F5E733A"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Héritier</w:t>
      </w:r>
      <w:proofErr w:type="spellEnd"/>
      <w:r w:rsidRPr="00AB4C1A">
        <w:rPr>
          <w:rFonts w:ascii="Times New Roman" w:hAnsi="Times New Roman" w:cs="Times New Roman"/>
          <w:sz w:val="24"/>
          <w:szCs w:val="24"/>
        </w:rPr>
        <w:t xml:space="preserve">, A. (2002) New modes of governance in Europe: Policy making without legislating. In A. </w:t>
      </w:r>
      <w:proofErr w:type="spellStart"/>
      <w:r w:rsidRPr="00AB4C1A">
        <w:rPr>
          <w:rFonts w:ascii="Times New Roman" w:hAnsi="Times New Roman" w:cs="Times New Roman"/>
          <w:sz w:val="24"/>
          <w:szCs w:val="24"/>
        </w:rPr>
        <w:t>Hériter</w:t>
      </w:r>
      <w:proofErr w:type="spellEnd"/>
      <w:r w:rsidRPr="00AB4C1A">
        <w:rPr>
          <w:rFonts w:ascii="Times New Roman" w:hAnsi="Times New Roman" w:cs="Times New Roman"/>
          <w:sz w:val="24"/>
          <w:szCs w:val="24"/>
        </w:rPr>
        <w:t xml:space="preserve"> (Ed.) </w:t>
      </w:r>
      <w:r w:rsidRPr="00AB4C1A">
        <w:rPr>
          <w:rFonts w:ascii="Times New Roman" w:hAnsi="Times New Roman" w:cs="Times New Roman"/>
          <w:i/>
          <w:sz w:val="24"/>
          <w:szCs w:val="24"/>
        </w:rPr>
        <w:t>The provision of common goods: Governance across multiple arenas</w:t>
      </w:r>
      <w:r w:rsidRPr="00AB4C1A">
        <w:rPr>
          <w:rFonts w:ascii="Times New Roman" w:hAnsi="Times New Roman" w:cs="Times New Roman"/>
          <w:sz w:val="24"/>
          <w:szCs w:val="24"/>
        </w:rPr>
        <w:t xml:space="preserve"> (pp.185-206). Boulder, CO: Rowman &amp; Littlefield.</w:t>
      </w:r>
    </w:p>
    <w:p w14:paraId="35772EC5" w14:textId="77777777"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Jaramillo, P. &amp; Muller, N. Z. (2016) Air pollution emissions and damages from energy production in the US: 2002 – 2011. </w:t>
      </w:r>
      <w:r w:rsidRPr="00AB4C1A">
        <w:rPr>
          <w:rFonts w:ascii="Times New Roman" w:hAnsi="Times New Roman" w:cs="Times New Roman"/>
          <w:i/>
          <w:sz w:val="24"/>
          <w:szCs w:val="24"/>
        </w:rPr>
        <w:t>Energy Policy,</w:t>
      </w:r>
      <w:r w:rsidRPr="00AB4C1A">
        <w:rPr>
          <w:rFonts w:ascii="Times New Roman" w:hAnsi="Times New Roman" w:cs="Times New Roman"/>
          <w:sz w:val="24"/>
          <w:szCs w:val="24"/>
        </w:rPr>
        <w:t xml:space="preserve"> 90, pp. 202-211. </w:t>
      </w:r>
    </w:p>
    <w:p w14:paraId="384A05F9"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Jonsson, A. &amp; </w:t>
      </w:r>
      <w:proofErr w:type="spellStart"/>
      <w:r w:rsidRPr="00AB4C1A">
        <w:rPr>
          <w:rFonts w:ascii="Times New Roman" w:hAnsi="Times New Roman" w:cs="Times New Roman"/>
          <w:sz w:val="24"/>
          <w:szCs w:val="24"/>
        </w:rPr>
        <w:t>Hillring</w:t>
      </w:r>
      <w:proofErr w:type="spellEnd"/>
      <w:r w:rsidRPr="00AB4C1A">
        <w:rPr>
          <w:rFonts w:ascii="Times New Roman" w:hAnsi="Times New Roman" w:cs="Times New Roman"/>
          <w:sz w:val="24"/>
          <w:szCs w:val="24"/>
        </w:rPr>
        <w:t xml:space="preserve">, B. (2006) Planning for increased bioenergy use – Evaluating the impact on local air quality. </w:t>
      </w:r>
      <w:r w:rsidRPr="00AB4C1A">
        <w:rPr>
          <w:rFonts w:ascii="Times New Roman" w:hAnsi="Times New Roman" w:cs="Times New Roman"/>
          <w:i/>
          <w:sz w:val="24"/>
          <w:szCs w:val="24"/>
        </w:rPr>
        <w:t>Biomass and Bioenergy</w:t>
      </w:r>
      <w:r w:rsidRPr="00AB4C1A">
        <w:rPr>
          <w:rFonts w:ascii="Times New Roman" w:hAnsi="Times New Roman" w:cs="Times New Roman"/>
          <w:sz w:val="24"/>
          <w:szCs w:val="24"/>
        </w:rPr>
        <w:t xml:space="preserve"> 30(6): 543-554. </w:t>
      </w:r>
    </w:p>
    <w:p w14:paraId="0AD3E319" w14:textId="7B1F071E" w:rsidR="002A6B7E" w:rsidRPr="00AB4C1A" w:rsidRDefault="002A6B7E" w:rsidP="002A6B7E">
      <w:pPr>
        <w:spacing w:after="0" w:line="240" w:lineRule="auto"/>
        <w:rPr>
          <w:rFonts w:ascii="Times New Roman" w:eastAsia="Times New Roman" w:hAnsi="Times New Roman" w:cs="Times New Roman"/>
          <w:sz w:val="24"/>
          <w:szCs w:val="24"/>
          <w:lang w:eastAsia="en-GB"/>
        </w:rPr>
      </w:pPr>
      <w:proofErr w:type="spellStart"/>
      <w:r w:rsidRPr="00AB4C1A">
        <w:rPr>
          <w:rFonts w:ascii="Times New Roman" w:eastAsia="Times New Roman" w:hAnsi="Times New Roman" w:cs="Times New Roman"/>
          <w:sz w:val="24"/>
          <w:szCs w:val="24"/>
          <w:lang w:eastAsia="en-GB"/>
        </w:rPr>
        <w:t>Kleider</w:t>
      </w:r>
      <w:proofErr w:type="spellEnd"/>
      <w:r w:rsidRPr="00AB4C1A">
        <w:rPr>
          <w:rFonts w:ascii="Times New Roman" w:eastAsia="Times New Roman" w:hAnsi="Times New Roman" w:cs="Times New Roman"/>
          <w:sz w:val="24"/>
          <w:szCs w:val="24"/>
          <w:lang w:eastAsia="en-GB"/>
        </w:rPr>
        <w:t xml:space="preserve">, H. (2020). </w:t>
      </w:r>
      <w:r w:rsidR="00BE688B" w:rsidRPr="00AB4C1A">
        <w:rPr>
          <w:rFonts w:ascii="Times New Roman" w:eastAsia="Times New Roman" w:hAnsi="Times New Roman" w:cs="Times New Roman"/>
          <w:sz w:val="24"/>
          <w:szCs w:val="24"/>
          <w:lang w:eastAsia="en-GB"/>
        </w:rPr>
        <w:t>Multi-level</w:t>
      </w:r>
      <w:r w:rsidRPr="00AB4C1A">
        <w:rPr>
          <w:rFonts w:ascii="Times New Roman" w:eastAsia="Times New Roman" w:hAnsi="Times New Roman" w:cs="Times New Roman"/>
          <w:sz w:val="24"/>
          <w:szCs w:val="24"/>
          <w:lang w:eastAsia="en-GB"/>
        </w:rPr>
        <w:t xml:space="preserve"> governance: Identity, political contestation, and policy. </w:t>
      </w:r>
      <w:r w:rsidRPr="00AB4C1A">
        <w:rPr>
          <w:rFonts w:ascii="Times New Roman" w:eastAsia="Times New Roman" w:hAnsi="Times New Roman" w:cs="Times New Roman"/>
          <w:i/>
          <w:iCs/>
          <w:sz w:val="24"/>
          <w:szCs w:val="24"/>
          <w:lang w:eastAsia="en-GB"/>
        </w:rPr>
        <w:t>The British Journal of Politics and International Relations</w:t>
      </w:r>
      <w:r w:rsidRPr="00AB4C1A">
        <w:rPr>
          <w:rFonts w:ascii="Times New Roman" w:eastAsia="Times New Roman" w:hAnsi="Times New Roman" w:cs="Times New Roman"/>
          <w:sz w:val="24"/>
          <w:szCs w:val="24"/>
          <w:lang w:eastAsia="en-GB"/>
        </w:rPr>
        <w:t xml:space="preserve">, </w:t>
      </w:r>
      <w:r w:rsidRPr="00AB4C1A">
        <w:rPr>
          <w:rFonts w:ascii="Times New Roman" w:eastAsia="Times New Roman" w:hAnsi="Times New Roman" w:cs="Times New Roman"/>
          <w:i/>
          <w:iCs/>
          <w:sz w:val="24"/>
          <w:szCs w:val="24"/>
          <w:lang w:eastAsia="en-GB"/>
        </w:rPr>
        <w:t>22</w:t>
      </w:r>
      <w:r w:rsidRPr="00AB4C1A">
        <w:rPr>
          <w:rFonts w:ascii="Times New Roman" w:eastAsia="Times New Roman" w:hAnsi="Times New Roman" w:cs="Times New Roman"/>
          <w:sz w:val="24"/>
          <w:szCs w:val="24"/>
          <w:lang w:eastAsia="en-GB"/>
        </w:rPr>
        <w:t>(4), 792-799.</w:t>
      </w:r>
    </w:p>
    <w:p w14:paraId="7DBBEE0D" w14:textId="77777777" w:rsidR="002A6B7E" w:rsidRPr="00AB4C1A" w:rsidRDefault="002A6B7E" w:rsidP="003006D0">
      <w:pPr>
        <w:spacing w:line="240" w:lineRule="auto"/>
        <w:rPr>
          <w:rFonts w:ascii="Times New Roman" w:hAnsi="Times New Roman" w:cs="Times New Roman"/>
          <w:sz w:val="24"/>
          <w:szCs w:val="24"/>
        </w:rPr>
      </w:pPr>
    </w:p>
    <w:p w14:paraId="2DA85CDD"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Knill</w:t>
      </w:r>
      <w:proofErr w:type="spellEnd"/>
      <w:r w:rsidRPr="00AB4C1A">
        <w:rPr>
          <w:rFonts w:ascii="Times New Roman" w:hAnsi="Times New Roman" w:cs="Times New Roman"/>
          <w:sz w:val="24"/>
          <w:szCs w:val="24"/>
        </w:rPr>
        <w:t xml:space="preserve">, C. &amp; </w:t>
      </w:r>
      <w:proofErr w:type="spellStart"/>
      <w:r w:rsidRPr="00AB4C1A">
        <w:rPr>
          <w:rFonts w:ascii="Times New Roman" w:hAnsi="Times New Roman" w:cs="Times New Roman"/>
          <w:sz w:val="24"/>
          <w:szCs w:val="24"/>
        </w:rPr>
        <w:t>Lenschow</w:t>
      </w:r>
      <w:proofErr w:type="spellEnd"/>
      <w:r w:rsidRPr="00AB4C1A">
        <w:rPr>
          <w:rFonts w:ascii="Times New Roman" w:hAnsi="Times New Roman" w:cs="Times New Roman"/>
          <w:sz w:val="24"/>
          <w:szCs w:val="24"/>
        </w:rPr>
        <w:t>, A. (1998) Coping with Europe: The impact of British and German administrations on the implementation of EU environmental policy. Journal of European Public Policy, 5(4): 595-614.</w:t>
      </w:r>
    </w:p>
    <w:p w14:paraId="2EFF52BE" w14:textId="7061084D"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lastRenderedPageBreak/>
        <w:t xml:space="preserve">Leeds City Council (2016) </w:t>
      </w:r>
      <w:r w:rsidRPr="00AB4C1A">
        <w:rPr>
          <w:rFonts w:ascii="Times New Roman" w:hAnsi="Times New Roman" w:cs="Times New Roman"/>
          <w:i/>
          <w:sz w:val="24"/>
          <w:szCs w:val="24"/>
        </w:rPr>
        <w:t>Leeds Transport Strategy, Interim December 2016</w:t>
      </w:r>
      <w:r w:rsidRPr="00AB4C1A">
        <w:rPr>
          <w:rFonts w:ascii="Times New Roman" w:hAnsi="Times New Roman" w:cs="Times New Roman"/>
          <w:sz w:val="24"/>
          <w:szCs w:val="24"/>
        </w:rPr>
        <w:t xml:space="preserve"> [online</w:t>
      </w:r>
      <w:r w:rsidR="007D262F" w:rsidRPr="00AB4C1A">
        <w:rPr>
          <w:rFonts w:ascii="Times New Roman" w:hAnsi="Times New Roman" w:cs="Times New Roman"/>
          <w:sz w:val="24"/>
          <w:szCs w:val="24"/>
        </w:rPr>
        <w:t>]</w:t>
      </w:r>
      <w:r w:rsidRPr="00AB4C1A">
        <w:rPr>
          <w:rFonts w:ascii="Times New Roman" w:hAnsi="Times New Roman" w:cs="Times New Roman"/>
          <w:sz w:val="24"/>
          <w:szCs w:val="24"/>
        </w:rPr>
        <w:t xml:space="preserve">. Leeds City Council: Leeds, UK. Available from: </w:t>
      </w:r>
      <w:hyperlink r:id="rId23" w:history="1">
        <w:r w:rsidRPr="00AB4C1A">
          <w:rPr>
            <w:rStyle w:val="Hyperlink"/>
            <w:rFonts w:ascii="Times New Roman" w:hAnsi="Times New Roman" w:cs="Times New Roman"/>
            <w:color w:val="auto"/>
            <w:sz w:val="24"/>
            <w:szCs w:val="24"/>
          </w:rPr>
          <w:t>https://www.leeds.gov.uk/docs/Leeds%20Transport%20Strategy.pdf</w:t>
        </w:r>
      </w:hyperlink>
      <w:r w:rsidRPr="00AB4C1A">
        <w:rPr>
          <w:rFonts w:ascii="Times New Roman" w:hAnsi="Times New Roman" w:cs="Times New Roman"/>
          <w:sz w:val="24"/>
          <w:szCs w:val="24"/>
        </w:rPr>
        <w:t xml:space="preserve"> [Accessed 22 August 2018].</w:t>
      </w:r>
    </w:p>
    <w:p w14:paraId="14160F4E"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Leeds City Council (2018) </w:t>
      </w:r>
      <w:r w:rsidRPr="00AB4C1A">
        <w:rPr>
          <w:rFonts w:ascii="Times New Roman" w:hAnsi="Times New Roman" w:cs="Times New Roman"/>
          <w:i/>
          <w:sz w:val="24"/>
          <w:szCs w:val="24"/>
        </w:rPr>
        <w:t>Air Quality Annual Status Report</w:t>
      </w:r>
      <w:r w:rsidRPr="00AB4C1A">
        <w:rPr>
          <w:rFonts w:ascii="Times New Roman" w:hAnsi="Times New Roman" w:cs="Times New Roman"/>
          <w:sz w:val="24"/>
          <w:szCs w:val="24"/>
        </w:rPr>
        <w:t xml:space="preserve"> [online]. Clean air Leeds: Leeds, UK. Available from: </w:t>
      </w:r>
      <w:hyperlink r:id="rId24" w:history="1">
        <w:r w:rsidRPr="00AB4C1A">
          <w:rPr>
            <w:rStyle w:val="Hyperlink"/>
            <w:rFonts w:ascii="Times New Roman" w:hAnsi="Times New Roman" w:cs="Times New Roman"/>
            <w:color w:val="auto"/>
            <w:sz w:val="24"/>
            <w:szCs w:val="24"/>
          </w:rPr>
          <w:t>https://cleanairleeds.co.uk/sites/default/files/Leeds%20ASR%202018.pdf</w:t>
        </w:r>
      </w:hyperlink>
      <w:r w:rsidRPr="00AB4C1A">
        <w:rPr>
          <w:rFonts w:ascii="Times New Roman" w:hAnsi="Times New Roman" w:cs="Times New Roman"/>
          <w:sz w:val="24"/>
          <w:szCs w:val="24"/>
        </w:rPr>
        <w:t xml:space="preserve"> [Accessed 22 August 2018].</w:t>
      </w:r>
    </w:p>
    <w:p w14:paraId="2D55D35E"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Lenschow</w:t>
      </w:r>
      <w:proofErr w:type="spellEnd"/>
      <w:r w:rsidRPr="00AB4C1A">
        <w:rPr>
          <w:rFonts w:ascii="Times New Roman" w:hAnsi="Times New Roman" w:cs="Times New Roman"/>
          <w:sz w:val="24"/>
          <w:szCs w:val="24"/>
        </w:rPr>
        <w:t xml:space="preserve">, A., Becker, S. &amp; </w:t>
      </w:r>
      <w:proofErr w:type="spellStart"/>
      <w:r w:rsidRPr="00AB4C1A">
        <w:rPr>
          <w:rFonts w:ascii="Times New Roman" w:hAnsi="Times New Roman" w:cs="Times New Roman"/>
          <w:sz w:val="24"/>
          <w:szCs w:val="24"/>
        </w:rPr>
        <w:t>Mehl</w:t>
      </w:r>
      <w:proofErr w:type="spellEnd"/>
      <w:r w:rsidRPr="00AB4C1A">
        <w:rPr>
          <w:rFonts w:ascii="Times New Roman" w:hAnsi="Times New Roman" w:cs="Times New Roman"/>
          <w:sz w:val="24"/>
          <w:szCs w:val="24"/>
        </w:rPr>
        <w:t xml:space="preserve">, C. (2017) Scalar dynamics and implications of ambient air quality management in the EU. </w:t>
      </w:r>
      <w:r w:rsidRPr="00AB4C1A">
        <w:rPr>
          <w:rFonts w:ascii="Times New Roman" w:hAnsi="Times New Roman" w:cs="Times New Roman"/>
          <w:i/>
          <w:sz w:val="24"/>
          <w:szCs w:val="24"/>
        </w:rPr>
        <w:t>Journal of Environmental Policy and Planning</w:t>
      </w:r>
      <w:r w:rsidRPr="00AB4C1A">
        <w:rPr>
          <w:rFonts w:ascii="Times New Roman" w:hAnsi="Times New Roman" w:cs="Times New Roman"/>
          <w:sz w:val="24"/>
          <w:szCs w:val="24"/>
        </w:rPr>
        <w:t>,19 (5): 520-533.</w:t>
      </w:r>
    </w:p>
    <w:p w14:paraId="509A812F"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Leventon</w:t>
      </w:r>
      <w:proofErr w:type="spellEnd"/>
      <w:r w:rsidRPr="00AB4C1A">
        <w:rPr>
          <w:rFonts w:ascii="Times New Roman" w:hAnsi="Times New Roman" w:cs="Times New Roman"/>
          <w:sz w:val="24"/>
          <w:szCs w:val="24"/>
        </w:rPr>
        <w:t xml:space="preserve">, J. (2015) Explaining implementation deficits through multi-level governance in the EU’s new member states: EU limits for arsenic in drinking water in Hungary. </w:t>
      </w:r>
      <w:r w:rsidRPr="00AB4C1A">
        <w:rPr>
          <w:rFonts w:ascii="Times New Roman" w:hAnsi="Times New Roman" w:cs="Times New Roman"/>
          <w:i/>
          <w:sz w:val="24"/>
          <w:szCs w:val="24"/>
        </w:rPr>
        <w:t>Journal of Environmental Planning and Management</w:t>
      </w:r>
      <w:r w:rsidRPr="00AB4C1A">
        <w:rPr>
          <w:rFonts w:ascii="Times New Roman" w:hAnsi="Times New Roman" w:cs="Times New Roman"/>
          <w:sz w:val="24"/>
          <w:szCs w:val="24"/>
        </w:rPr>
        <w:t xml:space="preserve"> 58 (7): 1137-1153.</w:t>
      </w:r>
    </w:p>
    <w:p w14:paraId="525ABF37" w14:textId="77777777"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Lewis, P., Shan, Y., Hazzard, E. (2015) Sustainability Planning Framework for Reducing Ground-Level ozone Formation in Construction Activities. </w:t>
      </w:r>
      <w:r w:rsidRPr="00AB4C1A">
        <w:rPr>
          <w:rFonts w:ascii="Times New Roman" w:hAnsi="Times New Roman" w:cs="Times New Roman"/>
          <w:i/>
          <w:sz w:val="24"/>
          <w:szCs w:val="24"/>
        </w:rPr>
        <w:t>Procedia Engineering</w:t>
      </w:r>
      <w:r w:rsidRPr="00AB4C1A">
        <w:rPr>
          <w:rFonts w:ascii="Times New Roman" w:hAnsi="Times New Roman" w:cs="Times New Roman"/>
          <w:sz w:val="24"/>
          <w:szCs w:val="24"/>
        </w:rPr>
        <w:t>, 118, pp. 766-773</w:t>
      </w:r>
    </w:p>
    <w:p w14:paraId="7E668455"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Liefferink</w:t>
      </w:r>
      <w:proofErr w:type="spellEnd"/>
      <w:r w:rsidRPr="00AB4C1A">
        <w:rPr>
          <w:rFonts w:ascii="Times New Roman" w:hAnsi="Times New Roman" w:cs="Times New Roman"/>
          <w:sz w:val="24"/>
          <w:szCs w:val="24"/>
        </w:rPr>
        <w:t xml:space="preserve">, D., </w:t>
      </w:r>
      <w:proofErr w:type="spellStart"/>
      <w:r w:rsidRPr="00AB4C1A">
        <w:rPr>
          <w:rFonts w:ascii="Times New Roman" w:hAnsi="Times New Roman" w:cs="Times New Roman"/>
          <w:sz w:val="24"/>
          <w:szCs w:val="24"/>
        </w:rPr>
        <w:t>Wiering</w:t>
      </w:r>
      <w:proofErr w:type="spellEnd"/>
      <w:r w:rsidRPr="00AB4C1A">
        <w:rPr>
          <w:rFonts w:ascii="Times New Roman" w:hAnsi="Times New Roman" w:cs="Times New Roman"/>
          <w:sz w:val="24"/>
          <w:szCs w:val="24"/>
        </w:rPr>
        <w:t xml:space="preserve">, M. A., &amp; </w:t>
      </w:r>
      <w:proofErr w:type="spellStart"/>
      <w:r w:rsidRPr="00AB4C1A">
        <w:rPr>
          <w:rFonts w:ascii="Times New Roman" w:hAnsi="Times New Roman" w:cs="Times New Roman"/>
          <w:sz w:val="24"/>
          <w:szCs w:val="24"/>
        </w:rPr>
        <w:t>Uitenboogaart</w:t>
      </w:r>
      <w:proofErr w:type="spellEnd"/>
      <w:r w:rsidRPr="00AB4C1A">
        <w:rPr>
          <w:rFonts w:ascii="Times New Roman" w:hAnsi="Times New Roman" w:cs="Times New Roman"/>
          <w:sz w:val="24"/>
          <w:szCs w:val="24"/>
        </w:rPr>
        <w:t xml:space="preserve">, Y. (2011) The EU water framework directive: A multi-dimensional analysis of implementation and domestic impact. </w:t>
      </w:r>
      <w:r w:rsidRPr="00AB4C1A">
        <w:rPr>
          <w:rFonts w:ascii="Times New Roman" w:hAnsi="Times New Roman" w:cs="Times New Roman"/>
          <w:i/>
          <w:sz w:val="24"/>
          <w:szCs w:val="24"/>
        </w:rPr>
        <w:t>Land Use Policy</w:t>
      </w:r>
      <w:r w:rsidRPr="00AB4C1A">
        <w:rPr>
          <w:rFonts w:ascii="Times New Roman" w:hAnsi="Times New Roman" w:cs="Times New Roman"/>
          <w:sz w:val="24"/>
          <w:szCs w:val="24"/>
        </w:rPr>
        <w:t xml:space="preserve"> 28(4): 712-722. </w:t>
      </w:r>
    </w:p>
    <w:p w14:paraId="3DEFAB89" w14:textId="77777777"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Lo, S. N. G., Norton, B., &amp; Mannis, A. (2001) Domestic energy use and air quality; a case study of the city of Belfast. </w:t>
      </w:r>
      <w:r w:rsidRPr="00AB4C1A">
        <w:rPr>
          <w:rFonts w:ascii="Times New Roman" w:hAnsi="Times New Roman" w:cs="Times New Roman"/>
          <w:i/>
          <w:sz w:val="24"/>
          <w:szCs w:val="24"/>
        </w:rPr>
        <w:t>Applied Energy</w:t>
      </w:r>
      <w:r w:rsidRPr="00AB4C1A">
        <w:rPr>
          <w:rFonts w:ascii="Times New Roman" w:hAnsi="Times New Roman" w:cs="Times New Roman"/>
          <w:sz w:val="24"/>
          <w:szCs w:val="24"/>
        </w:rPr>
        <w:t xml:space="preserve">, 68, pp. 1-18. </w:t>
      </w:r>
    </w:p>
    <w:p w14:paraId="2E948DF2" w14:textId="77777777" w:rsidR="003006D0" w:rsidRPr="00AB4C1A" w:rsidRDefault="003006D0" w:rsidP="003006D0">
      <w:pPr>
        <w:pStyle w:val="ListParagraph"/>
        <w:widowControl w:val="0"/>
        <w:spacing w:after="0" w:line="240" w:lineRule="auto"/>
        <w:ind w:left="0"/>
        <w:rPr>
          <w:rFonts w:ascii="Times New Roman" w:hAnsi="Times New Roman" w:cs="Times New Roman"/>
          <w:sz w:val="24"/>
          <w:szCs w:val="24"/>
        </w:rPr>
      </w:pPr>
      <w:r w:rsidRPr="00AB4C1A">
        <w:rPr>
          <w:rFonts w:ascii="Times New Roman" w:hAnsi="Times New Roman" w:cs="Times New Roman"/>
          <w:sz w:val="24"/>
          <w:szCs w:val="24"/>
        </w:rPr>
        <w:t xml:space="preserve">Longhurst, J.W.S., Beattie, C.I., Chatterton, T., Hayes, E.T., </w:t>
      </w:r>
      <w:proofErr w:type="spellStart"/>
      <w:r w:rsidRPr="00AB4C1A">
        <w:rPr>
          <w:rFonts w:ascii="Times New Roman" w:hAnsi="Times New Roman" w:cs="Times New Roman"/>
          <w:sz w:val="24"/>
          <w:szCs w:val="24"/>
        </w:rPr>
        <w:t>Leksmono</w:t>
      </w:r>
      <w:proofErr w:type="spellEnd"/>
      <w:r w:rsidRPr="00AB4C1A">
        <w:rPr>
          <w:rFonts w:ascii="Times New Roman" w:hAnsi="Times New Roman" w:cs="Times New Roman"/>
          <w:sz w:val="24"/>
          <w:szCs w:val="24"/>
        </w:rPr>
        <w:t xml:space="preserve">, N.S., and Woodfield, N.K. (2006) Local air quality management as a risk management process: assessing, managing and remediating the risk of exceeding an air quality objective in Great Britain. </w:t>
      </w:r>
      <w:r w:rsidRPr="00AB4C1A">
        <w:rPr>
          <w:rFonts w:ascii="Times New Roman" w:hAnsi="Times New Roman" w:cs="Times New Roman"/>
          <w:i/>
          <w:iCs/>
          <w:sz w:val="24"/>
          <w:szCs w:val="24"/>
        </w:rPr>
        <w:t>Environment International,</w:t>
      </w:r>
      <w:r w:rsidRPr="00AB4C1A">
        <w:rPr>
          <w:rFonts w:ascii="Times New Roman" w:hAnsi="Times New Roman" w:cs="Times New Roman"/>
          <w:sz w:val="24"/>
          <w:szCs w:val="24"/>
        </w:rPr>
        <w:t xml:space="preserve"> 32 (8): 934-947.</w:t>
      </w:r>
    </w:p>
    <w:p w14:paraId="14165B54" w14:textId="77777777" w:rsidR="003006D0" w:rsidRPr="00AB4C1A" w:rsidRDefault="003006D0" w:rsidP="003006D0">
      <w:pPr>
        <w:pStyle w:val="ListParagraph"/>
        <w:widowControl w:val="0"/>
        <w:spacing w:after="0" w:line="240" w:lineRule="auto"/>
        <w:ind w:left="0"/>
        <w:rPr>
          <w:rFonts w:ascii="Times New Roman" w:hAnsi="Times New Roman" w:cs="Times New Roman"/>
          <w:sz w:val="24"/>
          <w:szCs w:val="24"/>
        </w:rPr>
      </w:pPr>
    </w:p>
    <w:p w14:paraId="38BA53E6"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Longhurst, J.W.S., Irwin, J.G., Chatterton, T.J</w:t>
      </w:r>
      <w:proofErr w:type="gramStart"/>
      <w:r w:rsidRPr="00AB4C1A">
        <w:rPr>
          <w:rFonts w:ascii="Times New Roman" w:hAnsi="Times New Roman" w:cs="Times New Roman"/>
          <w:sz w:val="24"/>
          <w:szCs w:val="24"/>
        </w:rPr>
        <w:t>,  Hayes</w:t>
      </w:r>
      <w:proofErr w:type="gramEnd"/>
      <w:r w:rsidRPr="00AB4C1A">
        <w:rPr>
          <w:rFonts w:ascii="Times New Roman" w:hAnsi="Times New Roman" w:cs="Times New Roman"/>
          <w:sz w:val="24"/>
          <w:szCs w:val="24"/>
        </w:rPr>
        <w:t xml:space="preserve">, E.T., </w:t>
      </w:r>
      <w:proofErr w:type="spellStart"/>
      <w:r w:rsidRPr="00AB4C1A">
        <w:rPr>
          <w:rFonts w:ascii="Times New Roman" w:hAnsi="Times New Roman" w:cs="Times New Roman"/>
          <w:sz w:val="24"/>
          <w:szCs w:val="24"/>
        </w:rPr>
        <w:t>Leksmono</w:t>
      </w:r>
      <w:proofErr w:type="spellEnd"/>
      <w:r w:rsidRPr="00AB4C1A">
        <w:rPr>
          <w:rFonts w:ascii="Times New Roman" w:hAnsi="Times New Roman" w:cs="Times New Roman"/>
          <w:sz w:val="24"/>
          <w:szCs w:val="24"/>
        </w:rPr>
        <w:t>, N.S., &amp; Symons, J.K., (2009). The development of effects</w:t>
      </w:r>
      <w:r w:rsidR="007D3906" w:rsidRPr="00AB4C1A">
        <w:rPr>
          <w:rFonts w:ascii="Times New Roman" w:hAnsi="Times New Roman" w:cs="Times New Roman"/>
          <w:sz w:val="24"/>
          <w:szCs w:val="24"/>
        </w:rPr>
        <w:t>-</w:t>
      </w:r>
      <w:r w:rsidRPr="00AB4C1A">
        <w:rPr>
          <w:rFonts w:ascii="Times New Roman" w:hAnsi="Times New Roman" w:cs="Times New Roman"/>
          <w:sz w:val="24"/>
          <w:szCs w:val="24"/>
        </w:rPr>
        <w:t>based air quality management regime</w:t>
      </w:r>
      <w:r w:rsidR="007D3906" w:rsidRPr="00AB4C1A">
        <w:rPr>
          <w:rFonts w:ascii="Times New Roman" w:hAnsi="Times New Roman" w:cs="Times New Roman"/>
          <w:sz w:val="24"/>
          <w:szCs w:val="24"/>
        </w:rPr>
        <w:t>s</w:t>
      </w:r>
      <w:r w:rsidRPr="00AB4C1A">
        <w:rPr>
          <w:rFonts w:ascii="Times New Roman" w:hAnsi="Times New Roman" w:cs="Times New Roman"/>
          <w:sz w:val="24"/>
          <w:szCs w:val="24"/>
        </w:rPr>
        <w:t xml:space="preserve">.  </w:t>
      </w:r>
      <w:r w:rsidRPr="00AB4C1A">
        <w:rPr>
          <w:rFonts w:ascii="Times New Roman" w:hAnsi="Times New Roman" w:cs="Times New Roman"/>
          <w:i/>
          <w:iCs/>
          <w:sz w:val="24"/>
          <w:szCs w:val="24"/>
        </w:rPr>
        <w:t>Atmospheric Environment,</w:t>
      </w:r>
      <w:r w:rsidRPr="00AB4C1A">
        <w:rPr>
          <w:rFonts w:ascii="Times New Roman" w:hAnsi="Times New Roman" w:cs="Times New Roman"/>
          <w:sz w:val="24"/>
          <w:szCs w:val="24"/>
        </w:rPr>
        <w:t xml:space="preserve"> 43 (1): 64-78</w:t>
      </w:r>
    </w:p>
    <w:p w14:paraId="5F3162BD"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Longhurst, J. W., Barnes, J., Chatterton, T., Hayes, E. and Williams, W. (2016) Progress with Air Quality Management in the 60 years since the UK Clean Air Act, 1956. Lessons, failures, challenges and opportunities. </w:t>
      </w:r>
      <w:r w:rsidRPr="00AB4C1A">
        <w:rPr>
          <w:rFonts w:ascii="Times New Roman" w:hAnsi="Times New Roman" w:cs="Times New Roman"/>
          <w:i/>
          <w:sz w:val="24"/>
          <w:szCs w:val="24"/>
        </w:rPr>
        <w:t>International Journal of Sustainable Development &amp; Planning</w:t>
      </w:r>
      <w:r w:rsidRPr="00AB4C1A">
        <w:rPr>
          <w:rFonts w:ascii="Times New Roman" w:hAnsi="Times New Roman" w:cs="Times New Roman"/>
          <w:sz w:val="24"/>
          <w:szCs w:val="24"/>
        </w:rPr>
        <w:t xml:space="preserve"> 11 (4): 491-499.</w:t>
      </w:r>
    </w:p>
    <w:p w14:paraId="04A5D1BE"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Mickwitz</w:t>
      </w:r>
      <w:proofErr w:type="spellEnd"/>
      <w:r w:rsidRPr="00AB4C1A">
        <w:rPr>
          <w:rFonts w:ascii="Times New Roman" w:hAnsi="Times New Roman" w:cs="Times New Roman"/>
          <w:sz w:val="24"/>
          <w:szCs w:val="24"/>
        </w:rPr>
        <w:t xml:space="preserve">, P. (2003) A Framework for Evaluating Environmental Policy Instruments: Context and Key Concepts. </w:t>
      </w:r>
      <w:r w:rsidRPr="00AB4C1A">
        <w:rPr>
          <w:rFonts w:ascii="Times New Roman" w:hAnsi="Times New Roman" w:cs="Times New Roman"/>
          <w:i/>
          <w:sz w:val="24"/>
          <w:szCs w:val="24"/>
        </w:rPr>
        <w:t>Evaluation</w:t>
      </w:r>
      <w:r w:rsidRPr="00AB4C1A">
        <w:rPr>
          <w:rFonts w:ascii="Times New Roman" w:hAnsi="Times New Roman" w:cs="Times New Roman"/>
          <w:sz w:val="24"/>
          <w:szCs w:val="24"/>
        </w:rPr>
        <w:t xml:space="preserve"> 9 (4): 415-436. </w:t>
      </w:r>
    </w:p>
    <w:p w14:paraId="686C1AC5" w14:textId="55885C4B"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Miranda, A., </w:t>
      </w:r>
      <w:proofErr w:type="spellStart"/>
      <w:r w:rsidRPr="00AB4C1A">
        <w:rPr>
          <w:rFonts w:ascii="Times New Roman" w:hAnsi="Times New Roman" w:cs="Times New Roman"/>
          <w:sz w:val="24"/>
          <w:szCs w:val="24"/>
        </w:rPr>
        <w:t>Ferriera</w:t>
      </w:r>
      <w:proofErr w:type="spellEnd"/>
      <w:r w:rsidRPr="00AB4C1A">
        <w:rPr>
          <w:rFonts w:ascii="Times New Roman" w:hAnsi="Times New Roman" w:cs="Times New Roman"/>
          <w:sz w:val="24"/>
          <w:szCs w:val="24"/>
        </w:rPr>
        <w:t xml:space="preserve">, J., Silveira, C., </w:t>
      </w:r>
      <w:proofErr w:type="spellStart"/>
      <w:r w:rsidRPr="00AB4C1A">
        <w:rPr>
          <w:rFonts w:ascii="Times New Roman" w:hAnsi="Times New Roman" w:cs="Times New Roman"/>
          <w:sz w:val="24"/>
          <w:szCs w:val="24"/>
        </w:rPr>
        <w:t>Relvas</w:t>
      </w:r>
      <w:proofErr w:type="spellEnd"/>
      <w:r w:rsidRPr="00AB4C1A">
        <w:rPr>
          <w:rFonts w:ascii="Times New Roman" w:hAnsi="Times New Roman" w:cs="Times New Roman"/>
          <w:sz w:val="24"/>
          <w:szCs w:val="24"/>
        </w:rPr>
        <w:t xml:space="preserve">, H., Duque, L., </w:t>
      </w:r>
      <w:proofErr w:type="spellStart"/>
      <w:r w:rsidRPr="00AB4C1A">
        <w:rPr>
          <w:rFonts w:ascii="Times New Roman" w:hAnsi="Times New Roman" w:cs="Times New Roman"/>
          <w:sz w:val="24"/>
          <w:szCs w:val="24"/>
        </w:rPr>
        <w:t>Rebeling</w:t>
      </w:r>
      <w:proofErr w:type="spellEnd"/>
      <w:r w:rsidRPr="00AB4C1A">
        <w:rPr>
          <w:rFonts w:ascii="Times New Roman" w:hAnsi="Times New Roman" w:cs="Times New Roman"/>
          <w:sz w:val="24"/>
          <w:szCs w:val="24"/>
        </w:rPr>
        <w:t xml:space="preserve">, P., Lopes, M., Costa, S., Monteiro, A., Gama, C., Sa, Borrego, C., Teixeira, J. P. (2016) A cost-efficiency and health benefit approach to improve urban air quality. </w:t>
      </w:r>
      <w:r w:rsidRPr="00AB4C1A">
        <w:rPr>
          <w:rFonts w:ascii="Times New Roman" w:hAnsi="Times New Roman" w:cs="Times New Roman"/>
          <w:i/>
          <w:sz w:val="24"/>
          <w:szCs w:val="24"/>
        </w:rPr>
        <w:t>Science of the Total Environment</w:t>
      </w:r>
      <w:r w:rsidRPr="00AB4C1A">
        <w:rPr>
          <w:rFonts w:ascii="Times New Roman" w:hAnsi="Times New Roman" w:cs="Times New Roman"/>
          <w:sz w:val="24"/>
          <w:szCs w:val="24"/>
        </w:rPr>
        <w:t xml:space="preserve">, 569-570, pp. 342-351. </w:t>
      </w:r>
    </w:p>
    <w:p w14:paraId="164BF2FA"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Moorcroft, S. &amp; Dore, C. (2013</w:t>
      </w:r>
      <w:r w:rsidRPr="00AB4C1A">
        <w:rPr>
          <w:rFonts w:ascii="Times New Roman" w:hAnsi="Times New Roman" w:cs="Times New Roman"/>
          <w:i/>
          <w:sz w:val="24"/>
          <w:szCs w:val="24"/>
        </w:rPr>
        <w:t>) Review of Effectiveness of Local Authority Action Plans and Future Policy Options for LAQM</w:t>
      </w:r>
      <w:r w:rsidRPr="00AB4C1A">
        <w:rPr>
          <w:rFonts w:ascii="Times New Roman" w:hAnsi="Times New Roman" w:cs="Times New Roman"/>
          <w:sz w:val="24"/>
          <w:szCs w:val="24"/>
        </w:rPr>
        <w:t xml:space="preserve"> [online]. DEFRA, Report no. 1372/1/F1. </w:t>
      </w:r>
      <w:hyperlink r:id="rId25" w:history="1">
        <w:r w:rsidRPr="00AB4C1A">
          <w:rPr>
            <w:rStyle w:val="Hyperlink"/>
            <w:rFonts w:ascii="Times New Roman" w:hAnsi="Times New Roman" w:cs="Times New Roman"/>
            <w:color w:val="auto"/>
            <w:sz w:val="24"/>
            <w:szCs w:val="24"/>
          </w:rPr>
          <w:t>https://uk-</w:t>
        </w:r>
        <w:r w:rsidRPr="00AB4C1A">
          <w:rPr>
            <w:rStyle w:val="Hyperlink"/>
            <w:rFonts w:ascii="Times New Roman" w:hAnsi="Times New Roman" w:cs="Times New Roman"/>
            <w:color w:val="auto"/>
            <w:sz w:val="24"/>
            <w:szCs w:val="24"/>
          </w:rPr>
          <w:lastRenderedPageBreak/>
          <w:t>air.defra.gov.uk/assets/documents/reports/cat09/1306281250_AQAP_Review_Final_Report.pdf</w:t>
        </w:r>
      </w:hyperlink>
      <w:r w:rsidRPr="00AB4C1A">
        <w:rPr>
          <w:rFonts w:ascii="Times New Roman" w:hAnsi="Times New Roman" w:cs="Times New Roman"/>
          <w:sz w:val="24"/>
          <w:szCs w:val="24"/>
        </w:rPr>
        <w:t xml:space="preserve"> [Accessed 4 July 2018].</w:t>
      </w:r>
    </w:p>
    <w:p w14:paraId="7AB51A83"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Nagl</w:t>
      </w:r>
      <w:proofErr w:type="spellEnd"/>
      <w:r w:rsidRPr="00AB4C1A">
        <w:rPr>
          <w:rFonts w:ascii="Times New Roman" w:hAnsi="Times New Roman" w:cs="Times New Roman"/>
          <w:sz w:val="24"/>
          <w:szCs w:val="24"/>
        </w:rPr>
        <w:t xml:space="preserve">, C., Schneider, J. &amp; </w:t>
      </w:r>
      <w:proofErr w:type="spellStart"/>
      <w:r w:rsidRPr="00AB4C1A">
        <w:rPr>
          <w:rFonts w:ascii="Times New Roman" w:hAnsi="Times New Roman" w:cs="Times New Roman"/>
          <w:sz w:val="24"/>
          <w:szCs w:val="24"/>
        </w:rPr>
        <w:t>Thielen</w:t>
      </w:r>
      <w:proofErr w:type="spellEnd"/>
      <w:r w:rsidRPr="00AB4C1A">
        <w:rPr>
          <w:rFonts w:ascii="Times New Roman" w:hAnsi="Times New Roman" w:cs="Times New Roman"/>
          <w:sz w:val="24"/>
          <w:szCs w:val="24"/>
        </w:rPr>
        <w:t xml:space="preserve">, P. (2016) </w:t>
      </w:r>
      <w:r w:rsidRPr="00AB4C1A">
        <w:rPr>
          <w:rFonts w:ascii="Times New Roman" w:hAnsi="Times New Roman" w:cs="Times New Roman"/>
          <w:i/>
          <w:sz w:val="24"/>
          <w:szCs w:val="24"/>
        </w:rPr>
        <w:t>Implementation of the Ambient Air Quality Directive</w:t>
      </w:r>
      <w:r w:rsidRPr="00AB4C1A">
        <w:rPr>
          <w:rFonts w:ascii="Times New Roman" w:hAnsi="Times New Roman" w:cs="Times New Roman"/>
          <w:sz w:val="24"/>
          <w:szCs w:val="24"/>
        </w:rPr>
        <w:t xml:space="preserve"> [online]. European Union. </w:t>
      </w:r>
      <w:hyperlink r:id="rId26" w:history="1">
        <w:r w:rsidRPr="00AB4C1A">
          <w:rPr>
            <w:rStyle w:val="Hyperlink"/>
            <w:rFonts w:ascii="Times New Roman" w:hAnsi="Times New Roman" w:cs="Times New Roman"/>
            <w:color w:val="auto"/>
            <w:sz w:val="24"/>
            <w:szCs w:val="24"/>
          </w:rPr>
          <w:t>http://www.europarl.europa.eu/RegData/etudes/STUD/2016/578986/IPOL_STU(2016)578986_EN.pdf</w:t>
        </w:r>
      </w:hyperlink>
      <w:r w:rsidRPr="00AB4C1A">
        <w:rPr>
          <w:rFonts w:ascii="Times New Roman" w:hAnsi="Times New Roman" w:cs="Times New Roman"/>
          <w:sz w:val="24"/>
          <w:szCs w:val="24"/>
        </w:rPr>
        <w:t xml:space="preserve"> [Accessed 25 February 2018].</w:t>
      </w:r>
    </w:p>
    <w:p w14:paraId="10C70E8D"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Naik, Y., Jones, S., Christmas, H., Roderick, P., Cooper, D., </w:t>
      </w:r>
      <w:proofErr w:type="spellStart"/>
      <w:r w:rsidRPr="00AB4C1A">
        <w:rPr>
          <w:rFonts w:ascii="Times New Roman" w:hAnsi="Times New Roman" w:cs="Times New Roman"/>
          <w:sz w:val="24"/>
          <w:szCs w:val="24"/>
        </w:rPr>
        <w:t>McGready</w:t>
      </w:r>
      <w:proofErr w:type="spellEnd"/>
      <w:r w:rsidRPr="00AB4C1A">
        <w:rPr>
          <w:rFonts w:ascii="Times New Roman" w:hAnsi="Times New Roman" w:cs="Times New Roman"/>
          <w:sz w:val="24"/>
          <w:szCs w:val="24"/>
        </w:rPr>
        <w:t xml:space="preserve">, K., Gent, M. (2017) Collaborative Health Impact Assessment and Policy development to Improve Air Quality in West Yorkshire – A Case study and Critical Reflection. </w:t>
      </w:r>
      <w:r w:rsidRPr="00AB4C1A">
        <w:rPr>
          <w:rFonts w:ascii="Times New Roman" w:hAnsi="Times New Roman" w:cs="Times New Roman"/>
          <w:i/>
          <w:sz w:val="24"/>
          <w:szCs w:val="24"/>
        </w:rPr>
        <w:t>Climate</w:t>
      </w:r>
      <w:r w:rsidRPr="00AB4C1A">
        <w:rPr>
          <w:rFonts w:ascii="Times New Roman" w:hAnsi="Times New Roman" w:cs="Times New Roman"/>
          <w:sz w:val="24"/>
          <w:szCs w:val="24"/>
        </w:rPr>
        <w:t xml:space="preserve"> 5 (3): 62-73. </w:t>
      </w:r>
    </w:p>
    <w:p w14:paraId="3F85ED8C"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NSCA (2000) Air Quality Action Plans: Interim Guidance for Local Authorities, National Society for Clean Air and Environmental Protection. Available from: </w:t>
      </w:r>
      <w:hyperlink r:id="rId27" w:history="1">
        <w:r w:rsidRPr="00AB4C1A">
          <w:rPr>
            <w:rStyle w:val="Hyperlink"/>
            <w:rFonts w:ascii="Times New Roman" w:hAnsi="Times New Roman" w:cs="Times New Roman"/>
            <w:color w:val="auto"/>
            <w:sz w:val="24"/>
            <w:szCs w:val="24"/>
          </w:rPr>
          <w:t>https://laqm.defra.gov.uk/assets/aqactionplansinterim.pdf</w:t>
        </w:r>
      </w:hyperlink>
      <w:r w:rsidRPr="00AB4C1A">
        <w:rPr>
          <w:rFonts w:ascii="Times New Roman" w:hAnsi="Times New Roman" w:cs="Times New Roman"/>
          <w:sz w:val="24"/>
          <w:szCs w:val="24"/>
        </w:rPr>
        <w:t xml:space="preserve"> [Accessed 7 July 2019]. </w:t>
      </w:r>
    </w:p>
    <w:p w14:paraId="0FF6E1CA" w14:textId="77777777" w:rsidR="003006D0" w:rsidRPr="00AB4C1A" w:rsidRDefault="003006D0" w:rsidP="003006D0">
      <w:pPr>
        <w:rPr>
          <w:rFonts w:ascii="Times New Roman" w:hAnsi="Times New Roman" w:cs="Times New Roman"/>
          <w:sz w:val="24"/>
          <w:szCs w:val="24"/>
        </w:rPr>
      </w:pPr>
      <w:proofErr w:type="spellStart"/>
      <w:r w:rsidRPr="00AB4C1A">
        <w:rPr>
          <w:rFonts w:ascii="Times New Roman" w:hAnsi="Times New Roman" w:cs="Times New Roman"/>
          <w:sz w:val="24"/>
          <w:szCs w:val="24"/>
        </w:rPr>
        <w:t>Olowoporoku</w:t>
      </w:r>
      <w:proofErr w:type="spellEnd"/>
      <w:r w:rsidRPr="00AB4C1A">
        <w:rPr>
          <w:rFonts w:ascii="Times New Roman" w:hAnsi="Times New Roman" w:cs="Times New Roman"/>
          <w:sz w:val="24"/>
          <w:szCs w:val="24"/>
        </w:rPr>
        <w:t xml:space="preserve">, D., Hayes, E., </w:t>
      </w:r>
      <w:proofErr w:type="spellStart"/>
      <w:r w:rsidRPr="00AB4C1A">
        <w:rPr>
          <w:rFonts w:ascii="Times New Roman" w:hAnsi="Times New Roman" w:cs="Times New Roman"/>
          <w:sz w:val="24"/>
          <w:szCs w:val="24"/>
        </w:rPr>
        <w:t>Leksmono</w:t>
      </w:r>
      <w:proofErr w:type="spellEnd"/>
      <w:r w:rsidRPr="00AB4C1A">
        <w:rPr>
          <w:rFonts w:ascii="Times New Roman" w:hAnsi="Times New Roman" w:cs="Times New Roman"/>
          <w:sz w:val="24"/>
          <w:szCs w:val="24"/>
        </w:rPr>
        <w:t xml:space="preserve">, N., Longhurst., J., Parkhurst, G. (2010) A longitudinal study of the links between Local Air Quality Management and Local Transport Planning policy processes in England. </w:t>
      </w:r>
      <w:r w:rsidRPr="00AB4C1A">
        <w:rPr>
          <w:rFonts w:ascii="Times New Roman" w:hAnsi="Times New Roman" w:cs="Times New Roman"/>
          <w:i/>
          <w:sz w:val="24"/>
          <w:szCs w:val="24"/>
        </w:rPr>
        <w:t>Journal of Environmental Planning and Management</w:t>
      </w:r>
      <w:r w:rsidRPr="00AB4C1A">
        <w:rPr>
          <w:rFonts w:ascii="Times New Roman" w:hAnsi="Times New Roman" w:cs="Times New Roman"/>
          <w:sz w:val="24"/>
          <w:szCs w:val="24"/>
        </w:rPr>
        <w:t>, 53(3), pp 385-403.</w:t>
      </w:r>
    </w:p>
    <w:p w14:paraId="0D40B244" w14:textId="77777777" w:rsidR="003006D0" w:rsidRPr="00AB4C1A" w:rsidRDefault="003006D0" w:rsidP="003006D0">
      <w:pPr>
        <w:rPr>
          <w:rFonts w:ascii="Times New Roman" w:hAnsi="Times New Roman" w:cs="Times New Roman"/>
          <w:sz w:val="24"/>
          <w:szCs w:val="24"/>
        </w:rPr>
      </w:pPr>
      <w:proofErr w:type="spellStart"/>
      <w:r w:rsidRPr="00AB4C1A">
        <w:rPr>
          <w:rFonts w:ascii="Times New Roman" w:hAnsi="Times New Roman" w:cs="Times New Roman"/>
          <w:sz w:val="24"/>
          <w:szCs w:val="24"/>
        </w:rPr>
        <w:t>Olowoporoku</w:t>
      </w:r>
      <w:proofErr w:type="spellEnd"/>
      <w:r w:rsidRPr="00AB4C1A">
        <w:rPr>
          <w:rFonts w:ascii="Times New Roman" w:hAnsi="Times New Roman" w:cs="Times New Roman"/>
          <w:sz w:val="24"/>
          <w:szCs w:val="24"/>
        </w:rPr>
        <w:t xml:space="preserve">, D., Hayes, E., Longhurst., J., Parkhurst, G. (2011) Improving road transport related air quality in England through joint working between Environmental Health Officers and Transport Planners. </w:t>
      </w:r>
      <w:r w:rsidRPr="00AB4C1A">
        <w:rPr>
          <w:rFonts w:ascii="Times New Roman" w:hAnsi="Times New Roman" w:cs="Times New Roman"/>
          <w:i/>
          <w:sz w:val="24"/>
          <w:szCs w:val="24"/>
        </w:rPr>
        <w:t>Local Environment</w:t>
      </w:r>
      <w:r w:rsidRPr="00AB4C1A">
        <w:rPr>
          <w:rFonts w:ascii="Times New Roman" w:hAnsi="Times New Roman" w:cs="Times New Roman"/>
          <w:sz w:val="24"/>
          <w:szCs w:val="24"/>
        </w:rPr>
        <w:t>, 16(7), pp. 603-618.</w:t>
      </w:r>
    </w:p>
    <w:p w14:paraId="060390CE" w14:textId="77777777" w:rsidR="003006D0" w:rsidRPr="00AB4C1A" w:rsidRDefault="003006D0" w:rsidP="003006D0">
      <w:pPr>
        <w:spacing w:line="240" w:lineRule="auto"/>
        <w:rPr>
          <w:rFonts w:ascii="Times New Roman" w:hAnsi="Times New Roman" w:cs="Times New Roman"/>
          <w:sz w:val="24"/>
          <w:szCs w:val="24"/>
        </w:rPr>
      </w:pPr>
      <w:proofErr w:type="spellStart"/>
      <w:r w:rsidRPr="00AB4C1A">
        <w:rPr>
          <w:rFonts w:ascii="Times New Roman" w:hAnsi="Times New Roman" w:cs="Times New Roman"/>
          <w:sz w:val="24"/>
          <w:szCs w:val="24"/>
        </w:rPr>
        <w:t>Olowoporoku</w:t>
      </w:r>
      <w:proofErr w:type="spellEnd"/>
      <w:r w:rsidRPr="00AB4C1A">
        <w:rPr>
          <w:rFonts w:ascii="Times New Roman" w:hAnsi="Times New Roman" w:cs="Times New Roman"/>
          <w:sz w:val="24"/>
          <w:szCs w:val="24"/>
        </w:rPr>
        <w:t xml:space="preserve">, D., Hayes, E., Longhurst., J., Parkhurst, G. (2012) The rhetoric and realities of integrating air quality into the local transport planning process in English local authorities. </w:t>
      </w:r>
      <w:r w:rsidRPr="00AB4C1A">
        <w:rPr>
          <w:rFonts w:ascii="Times New Roman" w:hAnsi="Times New Roman" w:cs="Times New Roman"/>
          <w:i/>
          <w:sz w:val="24"/>
          <w:szCs w:val="24"/>
        </w:rPr>
        <w:t>Journal of Environmental Management</w:t>
      </w:r>
      <w:r w:rsidRPr="00AB4C1A">
        <w:rPr>
          <w:rFonts w:ascii="Times New Roman" w:hAnsi="Times New Roman" w:cs="Times New Roman"/>
          <w:sz w:val="24"/>
          <w:szCs w:val="24"/>
        </w:rPr>
        <w:t xml:space="preserve"> 101: 23-32.</w:t>
      </w:r>
    </w:p>
    <w:p w14:paraId="51D6E7DB"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Osborne, S. (2018) Young girl’s death first to be linked to illegal levels of air pollution. </w:t>
      </w:r>
      <w:r w:rsidRPr="00AB4C1A">
        <w:rPr>
          <w:rFonts w:ascii="Times New Roman" w:hAnsi="Times New Roman" w:cs="Times New Roman"/>
          <w:i/>
          <w:sz w:val="24"/>
          <w:szCs w:val="24"/>
        </w:rPr>
        <w:t>Independent</w:t>
      </w:r>
      <w:r w:rsidRPr="00AB4C1A">
        <w:rPr>
          <w:rFonts w:ascii="Times New Roman" w:hAnsi="Times New Roman" w:cs="Times New Roman"/>
          <w:sz w:val="24"/>
          <w:szCs w:val="24"/>
        </w:rPr>
        <w:t xml:space="preserve"> (4 July). Available from: </w:t>
      </w:r>
      <w:hyperlink r:id="rId28" w:history="1">
        <w:r w:rsidRPr="00AB4C1A">
          <w:rPr>
            <w:rStyle w:val="Hyperlink"/>
            <w:rFonts w:ascii="Times New Roman" w:hAnsi="Times New Roman" w:cs="Times New Roman"/>
            <w:color w:val="auto"/>
            <w:sz w:val="24"/>
            <w:szCs w:val="24"/>
          </w:rPr>
          <w:t>https://www.independent.co.uk/environment/asthma-girl-death-air-pollution-level-illegal-ella-kissidebrah-a8430456.html</w:t>
        </w:r>
      </w:hyperlink>
      <w:r w:rsidRPr="00AB4C1A">
        <w:rPr>
          <w:rFonts w:ascii="Times New Roman" w:hAnsi="Times New Roman" w:cs="Times New Roman"/>
          <w:sz w:val="24"/>
          <w:szCs w:val="24"/>
        </w:rPr>
        <w:t xml:space="preserve"> [Accessed 4 April 2019].</w:t>
      </w:r>
    </w:p>
    <w:p w14:paraId="3C899F2A" w14:textId="77777777"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Pohjola, M., Pohjola, P., </w:t>
      </w:r>
      <w:proofErr w:type="spellStart"/>
      <w:r w:rsidRPr="00AB4C1A">
        <w:rPr>
          <w:rFonts w:ascii="Times New Roman" w:hAnsi="Times New Roman" w:cs="Times New Roman"/>
          <w:sz w:val="24"/>
          <w:szCs w:val="24"/>
        </w:rPr>
        <w:t>Tainio</w:t>
      </w:r>
      <w:proofErr w:type="spellEnd"/>
      <w:r w:rsidRPr="00AB4C1A">
        <w:rPr>
          <w:rFonts w:ascii="Times New Roman" w:hAnsi="Times New Roman" w:cs="Times New Roman"/>
          <w:sz w:val="24"/>
          <w:szCs w:val="24"/>
        </w:rPr>
        <w:t xml:space="preserve">, M., </w:t>
      </w:r>
      <w:proofErr w:type="spellStart"/>
      <w:r w:rsidRPr="00AB4C1A">
        <w:rPr>
          <w:rFonts w:ascii="Times New Roman" w:hAnsi="Times New Roman" w:cs="Times New Roman"/>
          <w:sz w:val="24"/>
          <w:szCs w:val="24"/>
        </w:rPr>
        <w:t>Tuomisto</w:t>
      </w:r>
      <w:proofErr w:type="spellEnd"/>
      <w:r w:rsidRPr="00AB4C1A">
        <w:rPr>
          <w:rFonts w:ascii="Times New Roman" w:hAnsi="Times New Roman" w:cs="Times New Roman"/>
          <w:sz w:val="24"/>
          <w:szCs w:val="24"/>
        </w:rPr>
        <w:t xml:space="preserve">, J. (2013) Perspectives to performance of environment and health assessments and models-from outputs to outcomes? </w:t>
      </w:r>
      <w:r w:rsidRPr="00AB4C1A">
        <w:rPr>
          <w:rFonts w:ascii="Times New Roman" w:hAnsi="Times New Roman" w:cs="Times New Roman"/>
          <w:i/>
          <w:sz w:val="24"/>
          <w:szCs w:val="24"/>
        </w:rPr>
        <w:t>International Journal of Environmental Research and Public Health</w:t>
      </w:r>
      <w:r w:rsidRPr="00AB4C1A">
        <w:rPr>
          <w:rFonts w:ascii="Times New Roman" w:hAnsi="Times New Roman" w:cs="Times New Roman"/>
          <w:sz w:val="24"/>
          <w:szCs w:val="24"/>
        </w:rPr>
        <w:t xml:space="preserve">, 10, pp. 2621-2642. </w:t>
      </w:r>
    </w:p>
    <w:p w14:paraId="06ABE999"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Schoen, L. (2018) </w:t>
      </w:r>
      <w:r w:rsidRPr="00AB4C1A">
        <w:rPr>
          <w:rFonts w:ascii="Times New Roman" w:hAnsi="Times New Roman" w:cs="Times New Roman"/>
          <w:i/>
          <w:sz w:val="24"/>
          <w:szCs w:val="24"/>
        </w:rPr>
        <w:t>Air quality 2017: Mitigation of nitrogen dioxide pollution still missing the mark</w:t>
      </w:r>
      <w:r w:rsidRPr="00AB4C1A">
        <w:rPr>
          <w:rFonts w:ascii="Times New Roman" w:hAnsi="Times New Roman" w:cs="Times New Roman"/>
          <w:sz w:val="24"/>
          <w:szCs w:val="24"/>
        </w:rPr>
        <w:t xml:space="preserve"> [Press release]. Umwelt </w:t>
      </w:r>
      <w:proofErr w:type="spellStart"/>
      <w:r w:rsidRPr="00AB4C1A">
        <w:rPr>
          <w:rFonts w:ascii="Times New Roman" w:hAnsi="Times New Roman" w:cs="Times New Roman"/>
          <w:sz w:val="24"/>
          <w:szCs w:val="24"/>
        </w:rPr>
        <w:t>Bundesamt</w:t>
      </w:r>
      <w:proofErr w:type="spellEnd"/>
      <w:r w:rsidRPr="00AB4C1A">
        <w:rPr>
          <w:rFonts w:ascii="Times New Roman" w:hAnsi="Times New Roman" w:cs="Times New Roman"/>
          <w:sz w:val="24"/>
          <w:szCs w:val="24"/>
        </w:rPr>
        <w:t xml:space="preserve">: Germany. Available from: </w:t>
      </w:r>
      <w:hyperlink r:id="rId29" w:history="1">
        <w:r w:rsidRPr="00AB4C1A">
          <w:rPr>
            <w:rStyle w:val="Hyperlink"/>
            <w:rFonts w:ascii="Times New Roman" w:hAnsi="Times New Roman" w:cs="Times New Roman"/>
            <w:color w:val="auto"/>
            <w:sz w:val="24"/>
            <w:szCs w:val="24"/>
          </w:rPr>
          <w:t>https://www.umweltbundesamt.de/en/press/pressinformation/air-quality-2017-mitigation-of-nitrogen-dioxide</w:t>
        </w:r>
      </w:hyperlink>
      <w:r w:rsidRPr="00AB4C1A">
        <w:rPr>
          <w:rFonts w:ascii="Times New Roman" w:hAnsi="Times New Roman" w:cs="Times New Roman"/>
          <w:sz w:val="24"/>
          <w:szCs w:val="24"/>
        </w:rPr>
        <w:t xml:space="preserve"> [Accessed 29 September 2018]</w:t>
      </w:r>
    </w:p>
    <w:p w14:paraId="0C2D562C"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Schrier, M. (2012) </w:t>
      </w:r>
      <w:r w:rsidRPr="00AB4C1A">
        <w:rPr>
          <w:rFonts w:ascii="Times New Roman" w:hAnsi="Times New Roman" w:cs="Times New Roman"/>
          <w:i/>
          <w:sz w:val="24"/>
          <w:szCs w:val="24"/>
        </w:rPr>
        <w:t>Qualitative Content Analysis in Practice</w:t>
      </w:r>
      <w:r w:rsidRPr="00AB4C1A">
        <w:rPr>
          <w:rFonts w:ascii="Times New Roman" w:hAnsi="Times New Roman" w:cs="Times New Roman"/>
          <w:sz w:val="24"/>
          <w:szCs w:val="24"/>
        </w:rPr>
        <w:t>. SAGE Publications: London, UK.</w:t>
      </w:r>
    </w:p>
    <w:p w14:paraId="424F8351" w14:textId="77777777"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Simkins, G (2018) Clean Air Strategy: Government promises revolution in air quality management. </w:t>
      </w:r>
      <w:r w:rsidRPr="00AB4C1A">
        <w:rPr>
          <w:rFonts w:ascii="Times New Roman" w:hAnsi="Times New Roman" w:cs="Times New Roman"/>
          <w:i/>
          <w:sz w:val="24"/>
          <w:szCs w:val="24"/>
        </w:rPr>
        <w:t>ENDS report</w:t>
      </w:r>
      <w:r w:rsidRPr="00AB4C1A">
        <w:rPr>
          <w:rFonts w:ascii="Times New Roman" w:hAnsi="Times New Roman" w:cs="Times New Roman"/>
          <w:sz w:val="24"/>
          <w:szCs w:val="24"/>
        </w:rPr>
        <w:t xml:space="preserve"> [online] 22 May. Available from: </w:t>
      </w:r>
      <w:hyperlink r:id="rId30" w:history="1">
        <w:r w:rsidRPr="00AB4C1A">
          <w:rPr>
            <w:rStyle w:val="Hyperlink"/>
            <w:rFonts w:ascii="Times New Roman" w:hAnsi="Times New Roman" w:cs="Times New Roman"/>
            <w:color w:val="auto"/>
            <w:sz w:val="24"/>
            <w:szCs w:val="24"/>
          </w:rPr>
          <w:t>https://www.endsreport.com/article/59808/clean-air-strategy-government-promises-revolution-in-air-quality-management</w:t>
        </w:r>
      </w:hyperlink>
      <w:r w:rsidRPr="00AB4C1A">
        <w:rPr>
          <w:rFonts w:ascii="Times New Roman" w:hAnsi="Times New Roman" w:cs="Times New Roman"/>
          <w:sz w:val="24"/>
          <w:szCs w:val="24"/>
        </w:rPr>
        <w:t xml:space="preserve"> [Accessed 8 August 2020)</w:t>
      </w:r>
    </w:p>
    <w:p w14:paraId="7F6D9024" w14:textId="77777777" w:rsidR="003006D0" w:rsidRPr="00AB4C1A" w:rsidRDefault="003006D0" w:rsidP="003006D0">
      <w:pPr>
        <w:rPr>
          <w:rFonts w:ascii="Times New Roman" w:hAnsi="Times New Roman" w:cs="Times New Roman"/>
          <w:sz w:val="24"/>
          <w:szCs w:val="24"/>
        </w:rPr>
      </w:pPr>
      <w:r w:rsidRPr="00AB4C1A">
        <w:rPr>
          <w:rFonts w:ascii="Times New Roman" w:hAnsi="Times New Roman" w:cs="Times New Roman"/>
          <w:sz w:val="24"/>
          <w:szCs w:val="24"/>
        </w:rPr>
        <w:t xml:space="preserve">Vaughan, A. (2017) UK fracking to begin in earnest in 2018 after tough year for industry. </w:t>
      </w:r>
      <w:r w:rsidRPr="00AB4C1A">
        <w:rPr>
          <w:rFonts w:ascii="Times New Roman" w:hAnsi="Times New Roman" w:cs="Times New Roman"/>
          <w:i/>
          <w:sz w:val="24"/>
          <w:szCs w:val="24"/>
        </w:rPr>
        <w:t>The Guardian</w:t>
      </w:r>
      <w:r w:rsidRPr="00AB4C1A">
        <w:rPr>
          <w:rFonts w:ascii="Times New Roman" w:hAnsi="Times New Roman" w:cs="Times New Roman"/>
          <w:sz w:val="24"/>
          <w:szCs w:val="24"/>
        </w:rPr>
        <w:t xml:space="preserve"> [online] 25 December. Available from: </w:t>
      </w:r>
      <w:hyperlink r:id="rId31" w:history="1">
        <w:r w:rsidRPr="00AB4C1A">
          <w:rPr>
            <w:rStyle w:val="Hyperlink"/>
            <w:rFonts w:ascii="Times New Roman" w:hAnsi="Times New Roman" w:cs="Times New Roman"/>
            <w:color w:val="auto"/>
            <w:sz w:val="24"/>
            <w:szCs w:val="24"/>
          </w:rPr>
          <w:t>https://www.theguardian.com/environment/2017/dec/25/fracking-start-2018-shale-gas-uk-industry-protests</w:t>
        </w:r>
      </w:hyperlink>
      <w:r w:rsidRPr="00AB4C1A">
        <w:rPr>
          <w:rFonts w:ascii="Times New Roman" w:hAnsi="Times New Roman" w:cs="Times New Roman"/>
          <w:sz w:val="24"/>
          <w:szCs w:val="24"/>
        </w:rPr>
        <w:t xml:space="preserve"> [Accessed 22 August 2018].</w:t>
      </w:r>
    </w:p>
    <w:p w14:paraId="293FAD7D"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Williams, B., Barnes, J., Chatterton, T., Hayes, E. T. and Longhurst, J. (2016) A Critical review of the robustness of the UK governments air quality plan and expected compliance dates. </w:t>
      </w:r>
      <w:r w:rsidRPr="00AB4C1A">
        <w:rPr>
          <w:rFonts w:ascii="Times New Roman" w:hAnsi="Times New Roman" w:cs="Times New Roman"/>
          <w:i/>
          <w:sz w:val="24"/>
          <w:szCs w:val="24"/>
        </w:rPr>
        <w:t>WIT Transactions on Ecology and the Environment</w:t>
      </w:r>
      <w:r w:rsidRPr="00AB4C1A">
        <w:rPr>
          <w:rFonts w:ascii="Times New Roman" w:hAnsi="Times New Roman" w:cs="Times New Roman"/>
          <w:sz w:val="24"/>
          <w:szCs w:val="24"/>
        </w:rPr>
        <w:t xml:space="preserve"> 207: 1-9.</w:t>
      </w:r>
    </w:p>
    <w:p w14:paraId="0AEF6A5B"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Woodfield, N. K., Longhurst, J. W. S., Beattie, C. I., </w:t>
      </w:r>
      <w:proofErr w:type="spellStart"/>
      <w:r w:rsidRPr="00AB4C1A">
        <w:rPr>
          <w:rFonts w:ascii="Times New Roman" w:hAnsi="Times New Roman" w:cs="Times New Roman"/>
          <w:sz w:val="24"/>
          <w:szCs w:val="24"/>
        </w:rPr>
        <w:t>Laxen</w:t>
      </w:r>
      <w:proofErr w:type="spellEnd"/>
      <w:r w:rsidRPr="00AB4C1A">
        <w:rPr>
          <w:rFonts w:ascii="Times New Roman" w:hAnsi="Times New Roman" w:cs="Times New Roman"/>
          <w:sz w:val="24"/>
          <w:szCs w:val="24"/>
        </w:rPr>
        <w:t>, D. P. H. (2002) Designating Air Quality Management Areas (AQMAs) in the UK Implications for Securing UK Air Quality Objectives. Water, Air and Soil Pollution: Focus 2 (5-6): 677-688.</w:t>
      </w:r>
    </w:p>
    <w:p w14:paraId="1DCFE5A6"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Woodfield, N. K., Longhurst, J. W. S., Beattie, C. I., </w:t>
      </w:r>
      <w:proofErr w:type="spellStart"/>
      <w:r w:rsidRPr="00AB4C1A">
        <w:rPr>
          <w:rFonts w:ascii="Times New Roman" w:hAnsi="Times New Roman" w:cs="Times New Roman"/>
          <w:sz w:val="24"/>
          <w:szCs w:val="24"/>
        </w:rPr>
        <w:t>Laxen</w:t>
      </w:r>
      <w:proofErr w:type="spellEnd"/>
      <w:r w:rsidRPr="00AB4C1A">
        <w:rPr>
          <w:rFonts w:ascii="Times New Roman" w:hAnsi="Times New Roman" w:cs="Times New Roman"/>
          <w:sz w:val="24"/>
          <w:szCs w:val="24"/>
        </w:rPr>
        <w:t>, D. P. H. (2003) Regional Variations in the Implementation of the Local Air Quality Management Process within Great Britain</w:t>
      </w:r>
      <w:r w:rsidRPr="00AB4C1A">
        <w:rPr>
          <w:rFonts w:ascii="Times New Roman" w:hAnsi="Times New Roman" w:cs="Times New Roman"/>
          <w:i/>
          <w:sz w:val="24"/>
          <w:szCs w:val="24"/>
        </w:rPr>
        <w:t>. Journal of Environmental Planning and Management</w:t>
      </w:r>
      <w:r w:rsidRPr="00AB4C1A">
        <w:rPr>
          <w:rFonts w:ascii="Times New Roman" w:hAnsi="Times New Roman" w:cs="Times New Roman"/>
          <w:sz w:val="24"/>
          <w:szCs w:val="24"/>
        </w:rPr>
        <w:t xml:space="preserve"> 46 (1): 49-64.</w:t>
      </w:r>
    </w:p>
    <w:p w14:paraId="4BA9DACF"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Woodfield, N.K., Longhurst, J. W. S., Beattie, C. I., </w:t>
      </w:r>
      <w:proofErr w:type="spellStart"/>
      <w:r w:rsidRPr="00AB4C1A">
        <w:rPr>
          <w:rFonts w:ascii="Times New Roman" w:hAnsi="Times New Roman" w:cs="Times New Roman"/>
          <w:sz w:val="24"/>
          <w:szCs w:val="24"/>
        </w:rPr>
        <w:t>Laxen</w:t>
      </w:r>
      <w:proofErr w:type="spellEnd"/>
      <w:r w:rsidRPr="00AB4C1A">
        <w:rPr>
          <w:rFonts w:ascii="Times New Roman" w:hAnsi="Times New Roman" w:cs="Times New Roman"/>
          <w:sz w:val="24"/>
          <w:szCs w:val="24"/>
        </w:rPr>
        <w:t xml:space="preserve">, D. P. H. (2004) Regional </w:t>
      </w:r>
      <w:proofErr w:type="spellStart"/>
      <w:r w:rsidRPr="00AB4C1A">
        <w:rPr>
          <w:rFonts w:ascii="Times New Roman" w:hAnsi="Times New Roman" w:cs="Times New Roman"/>
          <w:sz w:val="24"/>
          <w:szCs w:val="24"/>
        </w:rPr>
        <w:t>collaborateive</w:t>
      </w:r>
      <w:proofErr w:type="spellEnd"/>
      <w:r w:rsidRPr="00AB4C1A">
        <w:rPr>
          <w:rFonts w:ascii="Times New Roman" w:hAnsi="Times New Roman" w:cs="Times New Roman"/>
          <w:sz w:val="24"/>
          <w:szCs w:val="24"/>
        </w:rPr>
        <w:t xml:space="preserve"> urban air quality management: case studies across Great Britain. Environmental Modelling &amp; Software 21 (4): 595-599.</w:t>
      </w:r>
    </w:p>
    <w:p w14:paraId="4E3C184E" w14:textId="77777777" w:rsidR="003006D0" w:rsidRPr="00AB4C1A" w:rsidRDefault="003006D0" w:rsidP="003006D0">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WYCA (2015) </w:t>
      </w:r>
      <w:r w:rsidRPr="00AB4C1A">
        <w:rPr>
          <w:rFonts w:ascii="Times New Roman" w:hAnsi="Times New Roman" w:cs="Times New Roman"/>
          <w:i/>
          <w:sz w:val="24"/>
          <w:szCs w:val="24"/>
        </w:rPr>
        <w:t>West Yorkshire Low Emissions Strategy (WYLES) 2016-2021</w:t>
      </w:r>
      <w:r w:rsidRPr="00AB4C1A">
        <w:rPr>
          <w:rFonts w:ascii="Times New Roman" w:hAnsi="Times New Roman" w:cs="Times New Roman"/>
          <w:sz w:val="24"/>
          <w:szCs w:val="24"/>
        </w:rPr>
        <w:t xml:space="preserve"> [online]. West Yorkshire Combined Authority (WYCA). Available from: https://www.bradford.gov.uk/media/3590/west-yorkshire-low-emissions-strategy.pdf</w:t>
      </w:r>
    </w:p>
    <w:p w14:paraId="727D51C2" w14:textId="77777777" w:rsidR="003006D0" w:rsidRPr="00AB4C1A" w:rsidRDefault="003006D0" w:rsidP="003006D0">
      <w:pPr>
        <w:spacing w:line="240" w:lineRule="auto"/>
        <w:rPr>
          <w:rFonts w:ascii="Times New Roman" w:hAnsi="Times New Roman" w:cs="Times New Roman"/>
          <w:sz w:val="24"/>
          <w:szCs w:val="24"/>
        </w:rPr>
        <w:sectPr w:rsidR="003006D0" w:rsidRPr="00AB4C1A" w:rsidSect="00AB4C1A">
          <w:footerReference w:type="default" r:id="rId32"/>
          <w:type w:val="continuous"/>
          <w:pgSz w:w="11906" w:h="16838"/>
          <w:pgMar w:top="1440" w:right="1440" w:bottom="1440" w:left="1440" w:header="708" w:footer="708" w:gutter="0"/>
          <w:cols w:space="708"/>
          <w:docGrid w:linePitch="360"/>
        </w:sectPr>
      </w:pPr>
      <w:proofErr w:type="spellStart"/>
      <w:r w:rsidRPr="00AB4C1A">
        <w:rPr>
          <w:rFonts w:ascii="Times New Roman" w:hAnsi="Times New Roman" w:cs="Times New Roman"/>
          <w:sz w:val="24"/>
          <w:szCs w:val="24"/>
        </w:rPr>
        <w:t>Zhelyazkova</w:t>
      </w:r>
      <w:proofErr w:type="spellEnd"/>
      <w:r w:rsidRPr="00AB4C1A">
        <w:rPr>
          <w:rFonts w:ascii="Times New Roman" w:hAnsi="Times New Roman" w:cs="Times New Roman"/>
          <w:sz w:val="24"/>
          <w:szCs w:val="24"/>
        </w:rPr>
        <w:t xml:space="preserve">, A., Kaya, C. &amp; </w:t>
      </w:r>
      <w:proofErr w:type="spellStart"/>
      <w:r w:rsidRPr="00AB4C1A">
        <w:rPr>
          <w:rFonts w:ascii="Times New Roman" w:hAnsi="Times New Roman" w:cs="Times New Roman"/>
          <w:sz w:val="24"/>
          <w:szCs w:val="24"/>
        </w:rPr>
        <w:t>Schrama</w:t>
      </w:r>
      <w:proofErr w:type="spellEnd"/>
      <w:r w:rsidRPr="00AB4C1A">
        <w:rPr>
          <w:rFonts w:ascii="Times New Roman" w:hAnsi="Times New Roman" w:cs="Times New Roman"/>
          <w:sz w:val="24"/>
          <w:szCs w:val="24"/>
        </w:rPr>
        <w:t xml:space="preserve">, R. (2016) Decoupling practical and legal compliance: Analysis of member states’ implementation of EU policy. </w:t>
      </w:r>
      <w:r w:rsidRPr="00AB4C1A">
        <w:rPr>
          <w:rFonts w:ascii="Times New Roman" w:hAnsi="Times New Roman" w:cs="Times New Roman"/>
          <w:i/>
          <w:sz w:val="24"/>
          <w:szCs w:val="24"/>
        </w:rPr>
        <w:t>European Journal of Political Research</w:t>
      </w:r>
      <w:r w:rsidRPr="00AB4C1A">
        <w:rPr>
          <w:rFonts w:ascii="Times New Roman" w:hAnsi="Times New Roman" w:cs="Times New Roman"/>
          <w:sz w:val="24"/>
          <w:szCs w:val="24"/>
        </w:rPr>
        <w:t xml:space="preserve"> 55: 827-846.</w:t>
      </w:r>
    </w:p>
    <w:p w14:paraId="4CB66F1F" w14:textId="77777777" w:rsidR="00C4591D" w:rsidRPr="00AB4C1A" w:rsidRDefault="00C4591D" w:rsidP="0059651C">
      <w:pPr>
        <w:spacing w:line="240" w:lineRule="auto"/>
        <w:rPr>
          <w:rFonts w:ascii="Times New Roman" w:hAnsi="Times New Roman" w:cs="Times New Roman"/>
          <w:b/>
          <w:bCs/>
          <w:sz w:val="24"/>
          <w:szCs w:val="24"/>
        </w:rPr>
      </w:pPr>
      <w:r w:rsidRPr="00AB4C1A">
        <w:rPr>
          <w:rFonts w:ascii="Times New Roman" w:hAnsi="Times New Roman" w:cs="Times New Roman"/>
          <w:b/>
          <w:bCs/>
          <w:sz w:val="24"/>
          <w:szCs w:val="24"/>
        </w:rPr>
        <w:lastRenderedPageBreak/>
        <w:t>Appendices</w:t>
      </w:r>
    </w:p>
    <w:p w14:paraId="0DD1C49E" w14:textId="77777777" w:rsidR="00E265A9" w:rsidRPr="00AB4C1A" w:rsidRDefault="00402BB8" w:rsidP="00CB2EFD">
      <w:pPr>
        <w:spacing w:line="240" w:lineRule="auto"/>
        <w:rPr>
          <w:rFonts w:ascii="Times New Roman" w:hAnsi="Times New Roman" w:cs="Times New Roman"/>
          <w:sz w:val="24"/>
          <w:szCs w:val="24"/>
        </w:rPr>
      </w:pPr>
      <w:r w:rsidRPr="00AB4C1A">
        <w:rPr>
          <w:rFonts w:ascii="Times New Roman" w:hAnsi="Times New Roman" w:cs="Times New Roman"/>
          <w:sz w:val="24"/>
          <w:szCs w:val="24"/>
        </w:rPr>
        <w:t xml:space="preserve">Appendix </w:t>
      </w:r>
      <w:r w:rsidR="00A3649B" w:rsidRPr="00AB4C1A">
        <w:rPr>
          <w:rFonts w:ascii="Times New Roman" w:hAnsi="Times New Roman" w:cs="Times New Roman"/>
          <w:sz w:val="24"/>
          <w:szCs w:val="24"/>
        </w:rPr>
        <w:t>A</w:t>
      </w:r>
      <w:r w:rsidRPr="00AB4C1A">
        <w:rPr>
          <w:rFonts w:ascii="Times New Roman" w:hAnsi="Times New Roman" w:cs="Times New Roman"/>
          <w:sz w:val="24"/>
          <w:szCs w:val="24"/>
        </w:rPr>
        <w:t>: New Framework Test results</w:t>
      </w:r>
    </w:p>
    <w:p w14:paraId="43709865" w14:textId="77777777" w:rsidR="00402BB8" w:rsidRPr="00AB4C1A" w:rsidRDefault="00402BB8" w:rsidP="00B940F3">
      <w:pPr>
        <w:pStyle w:val="Caption"/>
        <w:keepNext/>
        <w:rPr>
          <w:rFonts w:ascii="Times New Roman" w:hAnsi="Times New Roman" w:cs="Times New Roman"/>
          <w:color w:val="auto"/>
          <w:sz w:val="24"/>
          <w:szCs w:val="24"/>
        </w:rPr>
      </w:pPr>
      <w:bookmarkStart w:id="2" w:name="_Toc530571868"/>
      <w:r w:rsidRPr="00AB4C1A">
        <w:rPr>
          <w:rFonts w:ascii="Times New Roman" w:hAnsi="Times New Roman" w:cs="Times New Roman"/>
          <w:color w:val="auto"/>
          <w:sz w:val="24"/>
          <w:szCs w:val="24"/>
        </w:rPr>
        <w:t xml:space="preserve">Table </w:t>
      </w:r>
      <w:r w:rsidRPr="00AB4C1A">
        <w:rPr>
          <w:rFonts w:ascii="Times New Roman" w:hAnsi="Times New Roman" w:cs="Times New Roman"/>
          <w:noProof/>
          <w:color w:val="auto"/>
          <w:sz w:val="24"/>
          <w:szCs w:val="24"/>
        </w:rPr>
        <w:fldChar w:fldCharType="begin"/>
      </w:r>
      <w:r w:rsidRPr="00AB4C1A">
        <w:rPr>
          <w:rFonts w:ascii="Times New Roman" w:hAnsi="Times New Roman" w:cs="Times New Roman"/>
          <w:noProof/>
          <w:color w:val="auto"/>
          <w:sz w:val="24"/>
          <w:szCs w:val="24"/>
        </w:rPr>
        <w:instrText xml:space="preserve"> SEQ Table \* ARABIC </w:instrText>
      </w:r>
      <w:r w:rsidRPr="00AB4C1A">
        <w:rPr>
          <w:rFonts w:ascii="Times New Roman" w:hAnsi="Times New Roman" w:cs="Times New Roman"/>
          <w:noProof/>
          <w:color w:val="auto"/>
          <w:sz w:val="24"/>
          <w:szCs w:val="24"/>
        </w:rPr>
        <w:fldChar w:fldCharType="separate"/>
      </w:r>
      <w:r w:rsidR="00ED25B0" w:rsidRPr="00AB4C1A">
        <w:rPr>
          <w:rFonts w:ascii="Times New Roman" w:hAnsi="Times New Roman" w:cs="Times New Roman"/>
          <w:noProof/>
          <w:color w:val="auto"/>
          <w:sz w:val="24"/>
          <w:szCs w:val="24"/>
        </w:rPr>
        <w:t>3</w:t>
      </w:r>
      <w:r w:rsidRPr="00AB4C1A">
        <w:rPr>
          <w:rFonts w:ascii="Times New Roman" w:hAnsi="Times New Roman" w:cs="Times New Roman"/>
          <w:noProof/>
          <w:color w:val="auto"/>
          <w:sz w:val="24"/>
          <w:szCs w:val="24"/>
        </w:rPr>
        <w:fldChar w:fldCharType="end"/>
      </w:r>
      <w:r w:rsidRPr="00AB4C1A">
        <w:rPr>
          <w:rFonts w:ascii="Times New Roman" w:hAnsi="Times New Roman" w:cs="Times New Roman"/>
          <w:color w:val="auto"/>
          <w:sz w:val="24"/>
          <w:szCs w:val="24"/>
        </w:rPr>
        <w:t>: Air Quality Action Plan</w:t>
      </w:r>
      <w:r w:rsidR="003F7250" w:rsidRPr="00AB4C1A">
        <w:rPr>
          <w:rFonts w:ascii="Times New Roman" w:hAnsi="Times New Roman" w:cs="Times New Roman"/>
          <w:color w:val="auto"/>
          <w:sz w:val="24"/>
          <w:szCs w:val="24"/>
        </w:rPr>
        <w:t xml:space="preserve"> (as a whole)</w:t>
      </w:r>
      <w:r w:rsidRPr="00AB4C1A">
        <w:rPr>
          <w:rFonts w:ascii="Times New Roman" w:hAnsi="Times New Roman" w:cs="Times New Roman"/>
          <w:color w:val="auto"/>
          <w:sz w:val="24"/>
          <w:szCs w:val="24"/>
        </w:rPr>
        <w:t xml:space="preserve"> Breakdown</w:t>
      </w:r>
      <w:bookmarkEnd w:id="2"/>
    </w:p>
    <w:p w14:paraId="519340F8" w14:textId="77777777" w:rsidR="00402BB8" w:rsidRPr="00AB4C1A" w:rsidRDefault="00791B77">
      <w:pPr>
        <w:spacing w:line="240" w:lineRule="auto"/>
        <w:rPr>
          <w:rFonts w:ascii="Times New Roman" w:hAnsi="Times New Roman" w:cs="Times New Roman"/>
          <w:sz w:val="24"/>
          <w:szCs w:val="24"/>
        </w:rPr>
      </w:pPr>
      <w:r w:rsidRPr="00AB4C1A">
        <w:rPr>
          <w:rFonts w:ascii="Times New Roman" w:hAnsi="Times New Roman" w:cs="Times New Roman"/>
          <w:noProof/>
          <w:sz w:val="24"/>
          <w:szCs w:val="24"/>
        </w:rPr>
        <w:object w:dxaOrig="13958" w:dyaOrig="2206" w14:anchorId="76CAC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9pt;height:111.75pt;mso-width-percent:0;mso-height-percent:0;mso-width-percent:0;mso-height-percent:0" o:ole="">
            <v:imagedata r:id="rId33" o:title=""/>
          </v:shape>
          <o:OLEObject Type="Embed" ProgID="Word.Document.12" ShapeID="_x0000_i1025" DrawAspect="Content" ObjectID="_1681401117" r:id="rId34">
            <o:FieldCodes>\s</o:FieldCodes>
          </o:OLEObject>
        </w:object>
      </w:r>
    </w:p>
    <w:p w14:paraId="1930419D" w14:textId="77777777" w:rsidR="00402BB8" w:rsidRPr="00AB4C1A" w:rsidRDefault="00402BB8">
      <w:pPr>
        <w:spacing w:line="240" w:lineRule="auto"/>
        <w:rPr>
          <w:rFonts w:ascii="Times New Roman" w:hAnsi="Times New Roman" w:cs="Times New Roman"/>
          <w:sz w:val="24"/>
          <w:szCs w:val="24"/>
        </w:rPr>
      </w:pPr>
    </w:p>
    <w:p w14:paraId="6B51DD81" w14:textId="77777777" w:rsidR="00402BB8" w:rsidRPr="00AB4C1A" w:rsidRDefault="00402BB8">
      <w:pPr>
        <w:spacing w:line="240" w:lineRule="auto"/>
        <w:rPr>
          <w:rFonts w:ascii="Times New Roman" w:hAnsi="Times New Roman" w:cs="Times New Roman"/>
          <w:sz w:val="24"/>
          <w:szCs w:val="24"/>
        </w:rPr>
        <w:sectPr w:rsidR="00402BB8" w:rsidRPr="00AB4C1A" w:rsidSect="00AB4C1A">
          <w:footerReference w:type="default" r:id="rId35"/>
          <w:type w:val="continuous"/>
          <w:pgSz w:w="16838" w:h="11906" w:orient="landscape"/>
          <w:pgMar w:top="1440" w:right="1440" w:bottom="1440" w:left="1440" w:header="708" w:footer="708" w:gutter="0"/>
          <w:cols w:space="708"/>
          <w:docGrid w:linePitch="360"/>
        </w:sectPr>
      </w:pPr>
    </w:p>
    <w:p w14:paraId="3EAB83EB" w14:textId="77777777" w:rsidR="00402BB8" w:rsidRPr="00AB4C1A" w:rsidRDefault="00402BB8">
      <w:pPr>
        <w:pStyle w:val="Caption"/>
        <w:keepNext/>
        <w:rPr>
          <w:rFonts w:ascii="Times New Roman" w:hAnsi="Times New Roman" w:cs="Times New Roman"/>
          <w:color w:val="auto"/>
          <w:sz w:val="24"/>
          <w:szCs w:val="24"/>
        </w:rPr>
      </w:pPr>
      <w:bookmarkStart w:id="3" w:name="_Toc530571867"/>
      <w:r w:rsidRPr="00AB4C1A">
        <w:rPr>
          <w:rFonts w:ascii="Times New Roman" w:hAnsi="Times New Roman" w:cs="Times New Roman"/>
          <w:color w:val="auto"/>
          <w:sz w:val="24"/>
          <w:szCs w:val="24"/>
        </w:rPr>
        <w:lastRenderedPageBreak/>
        <w:t xml:space="preserve">Table </w:t>
      </w:r>
      <w:r w:rsidRPr="00AB4C1A">
        <w:rPr>
          <w:rFonts w:ascii="Times New Roman" w:hAnsi="Times New Roman" w:cs="Times New Roman"/>
          <w:noProof/>
          <w:color w:val="auto"/>
          <w:sz w:val="24"/>
          <w:szCs w:val="24"/>
        </w:rPr>
        <w:fldChar w:fldCharType="begin"/>
      </w:r>
      <w:r w:rsidRPr="00AB4C1A">
        <w:rPr>
          <w:rFonts w:ascii="Times New Roman" w:hAnsi="Times New Roman" w:cs="Times New Roman"/>
          <w:noProof/>
          <w:color w:val="auto"/>
          <w:sz w:val="24"/>
          <w:szCs w:val="24"/>
        </w:rPr>
        <w:instrText xml:space="preserve"> SEQ Table \* ARABIC </w:instrText>
      </w:r>
      <w:r w:rsidRPr="00AB4C1A">
        <w:rPr>
          <w:rFonts w:ascii="Times New Roman" w:hAnsi="Times New Roman" w:cs="Times New Roman"/>
          <w:noProof/>
          <w:color w:val="auto"/>
          <w:sz w:val="24"/>
          <w:szCs w:val="24"/>
        </w:rPr>
        <w:fldChar w:fldCharType="separate"/>
      </w:r>
      <w:r w:rsidR="00ED25B0" w:rsidRPr="00AB4C1A">
        <w:rPr>
          <w:rFonts w:ascii="Times New Roman" w:hAnsi="Times New Roman" w:cs="Times New Roman"/>
          <w:noProof/>
          <w:color w:val="auto"/>
          <w:sz w:val="24"/>
          <w:szCs w:val="24"/>
        </w:rPr>
        <w:t>4</w:t>
      </w:r>
      <w:r w:rsidRPr="00AB4C1A">
        <w:rPr>
          <w:rFonts w:ascii="Times New Roman" w:hAnsi="Times New Roman" w:cs="Times New Roman"/>
          <w:noProof/>
          <w:color w:val="auto"/>
          <w:sz w:val="24"/>
          <w:szCs w:val="24"/>
        </w:rPr>
        <w:fldChar w:fldCharType="end"/>
      </w:r>
      <w:r w:rsidRPr="00AB4C1A">
        <w:rPr>
          <w:rFonts w:ascii="Times New Roman" w:hAnsi="Times New Roman" w:cs="Times New Roman"/>
          <w:color w:val="auto"/>
          <w:sz w:val="24"/>
          <w:szCs w:val="24"/>
        </w:rPr>
        <w:t>: Context results table</w:t>
      </w:r>
      <w:bookmarkEnd w:id="3"/>
    </w:p>
    <w:tbl>
      <w:tblPr>
        <w:tblStyle w:val="PlainTable2"/>
        <w:tblW w:w="0" w:type="auto"/>
        <w:tblLook w:val="04A0" w:firstRow="1" w:lastRow="0" w:firstColumn="1" w:lastColumn="0" w:noHBand="0" w:noVBand="1"/>
      </w:tblPr>
      <w:tblGrid>
        <w:gridCol w:w="1429"/>
        <w:gridCol w:w="2335"/>
        <w:gridCol w:w="1658"/>
        <w:gridCol w:w="3604"/>
      </w:tblGrid>
      <w:tr w:rsidR="00AB4C1A" w:rsidRPr="00AB4C1A" w14:paraId="04B83F23" w14:textId="77777777" w:rsidTr="0051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4F09122" w14:textId="77777777" w:rsidR="00402BB8" w:rsidRPr="00AB4C1A" w:rsidRDefault="00402BB8">
            <w:pPr>
              <w:rPr>
                <w:rFonts w:ascii="Times New Roman" w:hAnsi="Times New Roman" w:cs="Times New Roman"/>
                <w:b w:val="0"/>
                <w:sz w:val="24"/>
                <w:szCs w:val="24"/>
              </w:rPr>
            </w:pPr>
            <w:r w:rsidRPr="00AB4C1A">
              <w:rPr>
                <w:rFonts w:ascii="Times New Roman" w:hAnsi="Times New Roman" w:cs="Times New Roman"/>
                <w:sz w:val="24"/>
                <w:szCs w:val="24"/>
              </w:rPr>
              <w:t>Cities</w:t>
            </w:r>
          </w:p>
        </w:tc>
        <w:tc>
          <w:tcPr>
            <w:tcW w:w="2410" w:type="dxa"/>
          </w:tcPr>
          <w:p w14:paraId="2BFC991F" w14:textId="77777777" w:rsidR="00402BB8" w:rsidRPr="00AB4C1A" w:rsidRDefault="00402B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4C1A">
              <w:rPr>
                <w:rFonts w:ascii="Times New Roman" w:hAnsi="Times New Roman" w:cs="Times New Roman"/>
                <w:sz w:val="24"/>
                <w:szCs w:val="24"/>
              </w:rPr>
              <w:t>AQAP Type &amp; version history</w:t>
            </w:r>
          </w:p>
        </w:tc>
        <w:tc>
          <w:tcPr>
            <w:tcW w:w="1701" w:type="dxa"/>
          </w:tcPr>
          <w:p w14:paraId="148B16F3" w14:textId="77777777" w:rsidR="00402BB8" w:rsidRPr="00AB4C1A" w:rsidRDefault="00402B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4C1A">
              <w:rPr>
                <w:rFonts w:ascii="Times New Roman" w:hAnsi="Times New Roman" w:cs="Times New Roman"/>
                <w:sz w:val="24"/>
                <w:szCs w:val="24"/>
              </w:rPr>
              <w:t>Number of AQMAs</w:t>
            </w:r>
          </w:p>
        </w:tc>
        <w:tc>
          <w:tcPr>
            <w:tcW w:w="3776" w:type="dxa"/>
          </w:tcPr>
          <w:p w14:paraId="36FC3634" w14:textId="77777777" w:rsidR="00402BB8" w:rsidRPr="00AB4C1A" w:rsidRDefault="00402B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4C1A">
              <w:rPr>
                <w:rFonts w:ascii="Times New Roman" w:hAnsi="Times New Roman" w:cs="Times New Roman"/>
                <w:sz w:val="24"/>
                <w:szCs w:val="24"/>
              </w:rPr>
              <w:t>Evidence of historical change</w:t>
            </w:r>
          </w:p>
        </w:tc>
      </w:tr>
      <w:tr w:rsidR="00AB4C1A" w:rsidRPr="00AB4C1A" w14:paraId="4FE0849E" w14:textId="77777777" w:rsidTr="00515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5AD7D1" w14:textId="77777777" w:rsidR="00402BB8" w:rsidRPr="00AB4C1A" w:rsidRDefault="00402BB8" w:rsidP="00B940F3">
            <w:pPr>
              <w:rPr>
                <w:rFonts w:ascii="Times New Roman" w:hAnsi="Times New Roman" w:cs="Times New Roman"/>
                <w:b w:val="0"/>
                <w:sz w:val="24"/>
                <w:szCs w:val="24"/>
              </w:rPr>
            </w:pPr>
            <w:r w:rsidRPr="00AB4C1A">
              <w:rPr>
                <w:rFonts w:ascii="Times New Roman" w:hAnsi="Times New Roman" w:cs="Times New Roman"/>
                <w:sz w:val="24"/>
                <w:szCs w:val="24"/>
              </w:rPr>
              <w:t>Bristol</w:t>
            </w:r>
          </w:p>
        </w:tc>
        <w:tc>
          <w:tcPr>
            <w:tcW w:w="2410" w:type="dxa"/>
          </w:tcPr>
          <w:p w14:paraId="571625F2" w14:textId="77777777" w:rsidR="00402BB8" w:rsidRPr="00AB4C1A" w:rsidRDefault="00402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Joint Local Transport Plan (JLTP) 2006/7-2010/11 (covers both Bath and Bristol); JLTP 2011-2026 (West of England Partnership, 2011). [2018 Clean air plan strategic outline case available only (Clean Air for Bristol, 2018)].</w:t>
            </w:r>
          </w:p>
        </w:tc>
        <w:tc>
          <w:tcPr>
            <w:tcW w:w="1701" w:type="dxa"/>
          </w:tcPr>
          <w:p w14:paraId="07BA9786" w14:textId="77777777" w:rsidR="00402BB8" w:rsidRPr="00AB4C1A" w:rsidRDefault="00402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6 in all (2011); 3 (2 Bristol and 1 Bath) (2006); Central Bristol and Bath each one extended AQMA and 4 more outside Bristol city centre</w:t>
            </w:r>
          </w:p>
        </w:tc>
        <w:tc>
          <w:tcPr>
            <w:tcW w:w="3776" w:type="dxa"/>
          </w:tcPr>
          <w:p w14:paraId="1C53A4A8" w14:textId="77777777" w:rsidR="00402BB8" w:rsidRPr="00AB4C1A" w:rsidRDefault="00402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Stage 4 review and assessment sees Both Bristol and Bath AQMAs in need of extension. With further detailed investigation needed. 2004 AQAP for Bristol AQMA and Bath's one is integrated into the JLTP. 2002-2005 schemes and measures delivered aimed at promoting public transport, sustainable modes, better management of road network.</w:t>
            </w:r>
          </w:p>
        </w:tc>
      </w:tr>
      <w:tr w:rsidR="00AB4C1A" w:rsidRPr="00AB4C1A" w14:paraId="25F57A3E" w14:textId="77777777" w:rsidTr="005155E1">
        <w:tc>
          <w:tcPr>
            <w:cnfStyle w:val="001000000000" w:firstRow="0" w:lastRow="0" w:firstColumn="1" w:lastColumn="0" w:oddVBand="0" w:evenVBand="0" w:oddHBand="0" w:evenHBand="0" w:firstRowFirstColumn="0" w:firstRowLastColumn="0" w:lastRowFirstColumn="0" w:lastRowLastColumn="0"/>
            <w:tcW w:w="1129" w:type="dxa"/>
          </w:tcPr>
          <w:p w14:paraId="734C7517" w14:textId="77777777" w:rsidR="00402BB8" w:rsidRPr="00AB4C1A" w:rsidRDefault="00402BB8" w:rsidP="00B940F3">
            <w:pPr>
              <w:rPr>
                <w:rFonts w:ascii="Times New Roman" w:hAnsi="Times New Roman" w:cs="Times New Roman"/>
                <w:b w:val="0"/>
                <w:sz w:val="24"/>
                <w:szCs w:val="24"/>
              </w:rPr>
            </w:pPr>
            <w:r w:rsidRPr="00AB4C1A">
              <w:rPr>
                <w:rFonts w:ascii="Times New Roman" w:hAnsi="Times New Roman" w:cs="Times New Roman"/>
                <w:sz w:val="24"/>
                <w:szCs w:val="24"/>
              </w:rPr>
              <w:t>Glasgow</w:t>
            </w:r>
          </w:p>
        </w:tc>
        <w:tc>
          <w:tcPr>
            <w:tcW w:w="2410" w:type="dxa"/>
          </w:tcPr>
          <w:p w14:paraId="5734EF70" w14:textId="77777777" w:rsidR="00402BB8" w:rsidRPr="00AB4C1A" w:rsidRDefault="00402B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AQAP (2009): development of that produced in 2004 (Glasgow City Council, 2009)</w:t>
            </w:r>
          </w:p>
        </w:tc>
        <w:tc>
          <w:tcPr>
            <w:tcW w:w="1701" w:type="dxa"/>
          </w:tcPr>
          <w:p w14:paraId="24D26DBC" w14:textId="77777777" w:rsidR="00402BB8" w:rsidRPr="00AB4C1A" w:rsidRDefault="00402B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3</w:t>
            </w:r>
          </w:p>
        </w:tc>
        <w:tc>
          <w:tcPr>
            <w:tcW w:w="3776" w:type="dxa"/>
          </w:tcPr>
          <w:p w14:paraId="37C89B2A" w14:textId="77777777" w:rsidR="00402BB8" w:rsidRPr="00AB4C1A" w:rsidRDefault="00402B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Boundaries of the original City Centre AQMA needed increasing and new AQMAs required (2007). Transport plan developed (2014) (Glasgow City Council, 2009).</w:t>
            </w:r>
          </w:p>
        </w:tc>
      </w:tr>
      <w:tr w:rsidR="00AB4C1A" w:rsidRPr="00AB4C1A" w14:paraId="359A3A7A" w14:textId="77777777" w:rsidTr="00515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55F6A26" w14:textId="77777777" w:rsidR="00402BB8" w:rsidRPr="00AB4C1A" w:rsidRDefault="00402BB8" w:rsidP="00B940F3">
            <w:pPr>
              <w:rPr>
                <w:rFonts w:ascii="Times New Roman" w:hAnsi="Times New Roman" w:cs="Times New Roman"/>
                <w:b w:val="0"/>
                <w:sz w:val="24"/>
                <w:szCs w:val="24"/>
              </w:rPr>
            </w:pPr>
            <w:r w:rsidRPr="00AB4C1A">
              <w:rPr>
                <w:rFonts w:ascii="Times New Roman" w:hAnsi="Times New Roman" w:cs="Times New Roman"/>
                <w:sz w:val="24"/>
                <w:szCs w:val="24"/>
              </w:rPr>
              <w:t>Leeds</w:t>
            </w:r>
          </w:p>
        </w:tc>
        <w:tc>
          <w:tcPr>
            <w:tcW w:w="2410" w:type="dxa"/>
          </w:tcPr>
          <w:p w14:paraId="48781489" w14:textId="77777777" w:rsidR="00402BB8" w:rsidRPr="00AB4C1A" w:rsidRDefault="00402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West Yorkshire Low Emissions Strategy (2016-2021) appended by Leeds AQAP (infographic) (WYCA, 2015); Local Transport Plan &amp; strategy (2006-2011; 2011-2026) (Leeds City Council, 2016)</w:t>
            </w:r>
          </w:p>
        </w:tc>
        <w:tc>
          <w:tcPr>
            <w:tcW w:w="1701" w:type="dxa"/>
          </w:tcPr>
          <w:p w14:paraId="41B8B8B7" w14:textId="77777777" w:rsidR="00402BB8" w:rsidRPr="00AB4C1A" w:rsidRDefault="00402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6 in City of Leeds (Leeds City Council, 2018); 29 (28 NO</w:t>
            </w:r>
            <w:r w:rsidRPr="00AB4C1A">
              <w:rPr>
                <w:rFonts w:ascii="Times New Roman" w:hAnsi="Times New Roman" w:cs="Times New Roman"/>
                <w:sz w:val="24"/>
                <w:szCs w:val="24"/>
                <w:vertAlign w:val="subscript"/>
              </w:rPr>
              <w:t>2</w:t>
            </w:r>
            <w:r w:rsidRPr="00AB4C1A">
              <w:rPr>
                <w:rFonts w:ascii="Times New Roman" w:hAnsi="Times New Roman" w:cs="Times New Roman"/>
                <w:sz w:val="24"/>
                <w:szCs w:val="24"/>
              </w:rPr>
              <w:t xml:space="preserve"> &amp; 1 PM10) in West Yorkshire Area.</w:t>
            </w:r>
          </w:p>
        </w:tc>
        <w:tc>
          <w:tcPr>
            <w:tcW w:w="3776" w:type="dxa"/>
          </w:tcPr>
          <w:p w14:paraId="6693225D" w14:textId="77777777" w:rsidR="00402BB8" w:rsidRPr="00AB4C1A" w:rsidRDefault="00402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Recent improvements, proposals to revoke 2 AQMAs in 2016 and declare another 2, in Leeds (Leeds City Council, 2018).</w:t>
            </w:r>
          </w:p>
        </w:tc>
      </w:tr>
      <w:tr w:rsidR="00AB4C1A" w:rsidRPr="00AB4C1A" w14:paraId="245AFA61" w14:textId="77777777" w:rsidTr="005155E1">
        <w:tc>
          <w:tcPr>
            <w:cnfStyle w:val="001000000000" w:firstRow="0" w:lastRow="0" w:firstColumn="1" w:lastColumn="0" w:oddVBand="0" w:evenVBand="0" w:oddHBand="0" w:evenHBand="0" w:firstRowFirstColumn="0" w:firstRowLastColumn="0" w:lastRowFirstColumn="0" w:lastRowLastColumn="0"/>
            <w:tcW w:w="1129" w:type="dxa"/>
          </w:tcPr>
          <w:p w14:paraId="78C23B59" w14:textId="77777777" w:rsidR="00402BB8" w:rsidRPr="00AB4C1A" w:rsidRDefault="00402BB8" w:rsidP="00B940F3">
            <w:pPr>
              <w:rPr>
                <w:rFonts w:ascii="Times New Roman" w:hAnsi="Times New Roman" w:cs="Times New Roman"/>
                <w:b w:val="0"/>
                <w:sz w:val="24"/>
                <w:szCs w:val="24"/>
              </w:rPr>
            </w:pPr>
            <w:r w:rsidRPr="00AB4C1A">
              <w:rPr>
                <w:rFonts w:ascii="Times New Roman" w:hAnsi="Times New Roman" w:cs="Times New Roman"/>
                <w:sz w:val="24"/>
                <w:szCs w:val="24"/>
              </w:rPr>
              <w:t>Manchester</w:t>
            </w:r>
          </w:p>
        </w:tc>
        <w:tc>
          <w:tcPr>
            <w:tcW w:w="2410" w:type="dxa"/>
          </w:tcPr>
          <w:p w14:paraId="4E6BCE27" w14:textId="77777777" w:rsidR="00402BB8" w:rsidRPr="00AB4C1A" w:rsidRDefault="00402B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 xml:space="preserve">Greater Manchester AQAP (2016-2021); </w:t>
            </w:r>
            <w:bookmarkStart w:id="4" w:name="_GoBack"/>
            <w:bookmarkEnd w:id="4"/>
            <w:r w:rsidRPr="00AB4C1A">
              <w:rPr>
                <w:rFonts w:ascii="Times New Roman" w:hAnsi="Times New Roman" w:cs="Times New Roman"/>
                <w:sz w:val="24"/>
                <w:szCs w:val="24"/>
              </w:rPr>
              <w:t>previously GM Air Quality Strategy and Action Plan (2006) developed jointly with LTP2; LTP3 developed 2011-2016 (GMCA, 2016)</w:t>
            </w:r>
          </w:p>
        </w:tc>
        <w:tc>
          <w:tcPr>
            <w:tcW w:w="1701" w:type="dxa"/>
          </w:tcPr>
          <w:p w14:paraId="18D07BB9" w14:textId="77777777" w:rsidR="00402BB8" w:rsidRPr="00AB4C1A" w:rsidRDefault="00402B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1 (May 2016), reduced in size.</w:t>
            </w:r>
          </w:p>
        </w:tc>
        <w:tc>
          <w:tcPr>
            <w:tcW w:w="3776" w:type="dxa"/>
          </w:tcPr>
          <w:p w14:paraId="11271B9C" w14:textId="77777777" w:rsidR="00402BB8" w:rsidRPr="00AB4C1A" w:rsidRDefault="00402BB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2001/2 AQMAs for both PM10 and NO</w:t>
            </w:r>
            <w:r w:rsidRPr="00AB4C1A">
              <w:rPr>
                <w:rFonts w:ascii="Times New Roman" w:hAnsi="Times New Roman" w:cs="Times New Roman"/>
                <w:sz w:val="24"/>
                <w:szCs w:val="24"/>
                <w:vertAlign w:val="subscript"/>
              </w:rPr>
              <w:t>2</w:t>
            </w:r>
            <w:r w:rsidRPr="00AB4C1A">
              <w:rPr>
                <w:rFonts w:ascii="Times New Roman" w:hAnsi="Times New Roman" w:cs="Times New Roman"/>
                <w:sz w:val="24"/>
                <w:szCs w:val="24"/>
              </w:rPr>
              <w:t>. 2004/6 PM10 AQMA revoked. 2005-2006 10 AQMAs declared for whole of Greater Manchester based on modelled 35ug/m</w:t>
            </w:r>
            <w:r w:rsidRPr="00AB4C1A">
              <w:rPr>
                <w:rFonts w:ascii="Times New Roman" w:hAnsi="Times New Roman" w:cs="Times New Roman"/>
                <w:sz w:val="24"/>
                <w:szCs w:val="24"/>
                <w:vertAlign w:val="superscript"/>
              </w:rPr>
              <w:t>3</w:t>
            </w:r>
            <w:r w:rsidRPr="00AB4C1A">
              <w:rPr>
                <w:rFonts w:ascii="Times New Roman" w:hAnsi="Times New Roman" w:cs="Times New Roman"/>
                <w:sz w:val="24"/>
                <w:szCs w:val="24"/>
              </w:rPr>
              <w:t xml:space="preserve"> isopleths for annual mean NO</w:t>
            </w:r>
            <w:r w:rsidRPr="00AB4C1A">
              <w:rPr>
                <w:rFonts w:ascii="Times New Roman" w:hAnsi="Times New Roman" w:cs="Times New Roman"/>
                <w:sz w:val="24"/>
                <w:szCs w:val="24"/>
                <w:vertAlign w:val="subscript"/>
              </w:rPr>
              <w:t>2</w:t>
            </w:r>
            <w:r w:rsidRPr="00AB4C1A">
              <w:rPr>
                <w:rFonts w:ascii="Times New Roman" w:hAnsi="Times New Roman" w:cs="Times New Roman"/>
                <w:sz w:val="24"/>
                <w:szCs w:val="24"/>
              </w:rPr>
              <w:t>. AQMA reduced in size recently due to improvement in NOx emissions. 2016 New single AQMA declared for GM (GMCA, 2016)</w:t>
            </w:r>
          </w:p>
        </w:tc>
      </w:tr>
      <w:tr w:rsidR="00AB4C1A" w:rsidRPr="00AB4C1A" w14:paraId="79F92C2E" w14:textId="77777777" w:rsidTr="00515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1441263" w14:textId="77777777" w:rsidR="00402BB8" w:rsidRPr="00AB4C1A" w:rsidRDefault="00402BB8" w:rsidP="00B940F3">
            <w:pPr>
              <w:rPr>
                <w:rFonts w:ascii="Times New Roman" w:hAnsi="Times New Roman" w:cs="Times New Roman"/>
                <w:b w:val="0"/>
                <w:sz w:val="24"/>
                <w:szCs w:val="24"/>
              </w:rPr>
            </w:pPr>
            <w:r w:rsidRPr="00AB4C1A">
              <w:rPr>
                <w:rFonts w:ascii="Times New Roman" w:hAnsi="Times New Roman" w:cs="Times New Roman"/>
                <w:sz w:val="24"/>
                <w:szCs w:val="24"/>
              </w:rPr>
              <w:t>Newcastle</w:t>
            </w:r>
          </w:p>
        </w:tc>
        <w:tc>
          <w:tcPr>
            <w:tcW w:w="2410" w:type="dxa"/>
          </w:tcPr>
          <w:p w14:paraId="3B822DD1" w14:textId="77777777" w:rsidR="00402BB8" w:rsidRPr="00AB4C1A" w:rsidRDefault="00402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 xml:space="preserve">Individual AQAPs for each AQMA. Newcastle City Centre (2006) and South Gosforth (2011) (Newcastle </w:t>
            </w:r>
            <w:r w:rsidRPr="00AB4C1A">
              <w:rPr>
                <w:rFonts w:ascii="Times New Roman" w:hAnsi="Times New Roman" w:cs="Times New Roman"/>
                <w:sz w:val="24"/>
                <w:szCs w:val="24"/>
              </w:rPr>
              <w:lastRenderedPageBreak/>
              <w:t>City Council, 2006; 2011).</w:t>
            </w:r>
          </w:p>
        </w:tc>
        <w:tc>
          <w:tcPr>
            <w:tcW w:w="1701" w:type="dxa"/>
          </w:tcPr>
          <w:p w14:paraId="0C247A34" w14:textId="77777777" w:rsidR="00402BB8" w:rsidRPr="00AB4C1A" w:rsidRDefault="00402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lastRenderedPageBreak/>
              <w:t>2</w:t>
            </w:r>
          </w:p>
        </w:tc>
        <w:tc>
          <w:tcPr>
            <w:tcW w:w="3776" w:type="dxa"/>
          </w:tcPr>
          <w:p w14:paraId="6E70D71B" w14:textId="77777777" w:rsidR="00402BB8" w:rsidRPr="00AB4C1A" w:rsidRDefault="00402B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4C1A">
              <w:rPr>
                <w:rFonts w:ascii="Times New Roman" w:hAnsi="Times New Roman" w:cs="Times New Roman"/>
                <w:sz w:val="24"/>
                <w:szCs w:val="24"/>
              </w:rPr>
              <w:t xml:space="preserve">Newcastle City centre AQMA declared in 2004, 2 more declared in 2005. Boundaries merged 2006 = 1 AQMA in the city centre. South Gosforth AQMA declared 2008 (2011 plan is 1st for this </w:t>
            </w:r>
            <w:r w:rsidRPr="00AB4C1A">
              <w:rPr>
                <w:rFonts w:ascii="Times New Roman" w:hAnsi="Times New Roman" w:cs="Times New Roman"/>
                <w:sz w:val="24"/>
                <w:szCs w:val="24"/>
              </w:rPr>
              <w:lastRenderedPageBreak/>
              <w:t>AQMA) (Newcastle City Council, 2006; 2011).</w:t>
            </w:r>
          </w:p>
        </w:tc>
      </w:tr>
    </w:tbl>
    <w:p w14:paraId="6720C6D6" w14:textId="77777777" w:rsidR="00402BB8" w:rsidRPr="00AB4C1A" w:rsidRDefault="00402BB8" w:rsidP="00B940F3">
      <w:pPr>
        <w:spacing w:line="240" w:lineRule="auto"/>
        <w:rPr>
          <w:rFonts w:ascii="Times New Roman" w:hAnsi="Times New Roman" w:cs="Times New Roman"/>
          <w:sz w:val="24"/>
          <w:szCs w:val="24"/>
        </w:rPr>
        <w:sectPr w:rsidR="00402BB8" w:rsidRPr="00AB4C1A" w:rsidSect="00AB4C1A">
          <w:type w:val="continuous"/>
          <w:pgSz w:w="11906" w:h="16838"/>
          <w:pgMar w:top="1440" w:right="1440" w:bottom="1440" w:left="1440" w:header="708" w:footer="708" w:gutter="0"/>
          <w:cols w:space="708"/>
          <w:docGrid w:linePitch="360"/>
        </w:sectPr>
      </w:pPr>
    </w:p>
    <w:p w14:paraId="6F78EFC2" w14:textId="77777777" w:rsidR="00402BB8" w:rsidRPr="00AB4C1A" w:rsidRDefault="00402BB8" w:rsidP="00A46C77">
      <w:pPr>
        <w:pStyle w:val="Caption"/>
        <w:keepNext/>
        <w:rPr>
          <w:rFonts w:ascii="Times New Roman" w:hAnsi="Times New Roman" w:cs="Times New Roman"/>
          <w:color w:val="auto"/>
          <w:sz w:val="24"/>
          <w:szCs w:val="24"/>
        </w:rPr>
      </w:pPr>
    </w:p>
    <w:sectPr w:rsidR="00402BB8" w:rsidRPr="00AB4C1A" w:rsidSect="00A46C77">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87709" w16cex:dateUtc="2021-01-24T22:45:00Z"/>
  <w16cex:commentExtensible w16cex:durableId="23B87881" w16cex:dateUtc="2021-01-24T22: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0F919" w14:textId="77777777" w:rsidR="00E53344" w:rsidRDefault="00E53344" w:rsidP="00821F08">
      <w:pPr>
        <w:spacing w:after="0" w:line="240" w:lineRule="auto"/>
      </w:pPr>
      <w:r>
        <w:separator/>
      </w:r>
    </w:p>
  </w:endnote>
  <w:endnote w:type="continuationSeparator" w:id="0">
    <w:p w14:paraId="449E014B" w14:textId="77777777" w:rsidR="00E53344" w:rsidRDefault="00E53344" w:rsidP="0082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816035"/>
      <w:docPartObj>
        <w:docPartGallery w:val="Page Numbers (Bottom of Page)"/>
        <w:docPartUnique/>
      </w:docPartObj>
    </w:sdtPr>
    <w:sdtEndPr>
      <w:rPr>
        <w:noProof/>
      </w:rPr>
    </w:sdtEndPr>
    <w:sdtContent>
      <w:p w14:paraId="0BE926AF" w14:textId="77777777" w:rsidR="0090757E" w:rsidRDefault="0090757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0A7DB728" w14:textId="77777777" w:rsidR="0090757E" w:rsidRDefault="00907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688"/>
      <w:docPartObj>
        <w:docPartGallery w:val="Page Numbers (Bottom of Page)"/>
        <w:docPartUnique/>
      </w:docPartObj>
    </w:sdtPr>
    <w:sdtEndPr>
      <w:rPr>
        <w:noProof/>
      </w:rPr>
    </w:sdtEndPr>
    <w:sdtContent>
      <w:p w14:paraId="4F0A80C4" w14:textId="77777777" w:rsidR="0090757E" w:rsidRDefault="0090757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0FAC04F" w14:textId="77777777" w:rsidR="0090757E" w:rsidRDefault="00907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880A5" w14:textId="77777777" w:rsidR="00E53344" w:rsidRDefault="00E53344" w:rsidP="00821F08">
      <w:pPr>
        <w:spacing w:after="0" w:line="240" w:lineRule="auto"/>
      </w:pPr>
      <w:r>
        <w:separator/>
      </w:r>
    </w:p>
  </w:footnote>
  <w:footnote w:type="continuationSeparator" w:id="0">
    <w:p w14:paraId="3CD7BDEF" w14:textId="77777777" w:rsidR="00E53344" w:rsidRDefault="00E53344" w:rsidP="00821F08">
      <w:pPr>
        <w:spacing w:after="0" w:line="240" w:lineRule="auto"/>
      </w:pPr>
      <w:r>
        <w:continuationSeparator/>
      </w:r>
    </w:p>
  </w:footnote>
  <w:footnote w:id="1">
    <w:p w14:paraId="639ED47B" w14:textId="77777777" w:rsidR="0090757E" w:rsidRDefault="0090757E" w:rsidP="0074276C">
      <w:pPr>
        <w:pStyle w:val="FootnoteText"/>
      </w:pPr>
      <w:r>
        <w:rPr>
          <w:rStyle w:val="FootnoteReference"/>
        </w:rPr>
        <w:footnoteRef/>
      </w:r>
      <w:r>
        <w:t xml:space="preserve"> Scotland, is a devolved administration, but still adheres to the UK AQS and LAQM, therefore Glasgow’s AQAP will be similar to, and can be used with, the other case studies. However, for clarity, the objectives are set out in the Air Quality (Scotland) regulations 2000, the Air Quality (Scotland Amendment Regulations 2002 and the Air Quality (Scotland) Amendment Regulations, 2016 (Air Quality in Scotland,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16E2"/>
    <w:multiLevelType w:val="hybridMultilevel"/>
    <w:tmpl w:val="1E6A1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D2D53"/>
    <w:multiLevelType w:val="hybridMultilevel"/>
    <w:tmpl w:val="165656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F58EF"/>
    <w:multiLevelType w:val="hybridMultilevel"/>
    <w:tmpl w:val="34840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2231AD"/>
    <w:multiLevelType w:val="hybridMultilevel"/>
    <w:tmpl w:val="DB968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431A60"/>
    <w:multiLevelType w:val="hybridMultilevel"/>
    <w:tmpl w:val="07CED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FD5368"/>
    <w:multiLevelType w:val="hybridMultilevel"/>
    <w:tmpl w:val="03F63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122740"/>
    <w:multiLevelType w:val="hybridMultilevel"/>
    <w:tmpl w:val="0EBECBAA"/>
    <w:lvl w:ilvl="0" w:tplc="CF987D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F0ADF"/>
    <w:multiLevelType w:val="hybridMultilevel"/>
    <w:tmpl w:val="8CBEE368"/>
    <w:lvl w:ilvl="0" w:tplc="C038DAA6">
      <w:start w:val="1"/>
      <w:numFmt w:val="decimal"/>
      <w:lvlText w:val="%1."/>
      <w:lvlJc w:val="left"/>
      <w:pPr>
        <w:ind w:left="644" w:hanging="360"/>
      </w:pPr>
      <w:rPr>
        <w:rFonts w:ascii="Arial" w:hAnsi="Arial" w:cs="Aria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A677D1"/>
    <w:multiLevelType w:val="hybridMultilevel"/>
    <w:tmpl w:val="B774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C6795"/>
    <w:multiLevelType w:val="hybridMultilevel"/>
    <w:tmpl w:val="01929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2F6F1A"/>
    <w:multiLevelType w:val="hybridMultilevel"/>
    <w:tmpl w:val="EFA8B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873860"/>
    <w:multiLevelType w:val="hybridMultilevel"/>
    <w:tmpl w:val="7000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8"/>
  </w:num>
  <w:num w:numId="5">
    <w:abstractNumId w:val="7"/>
  </w:num>
  <w:num w:numId="6">
    <w:abstractNumId w:val="3"/>
  </w:num>
  <w:num w:numId="7">
    <w:abstractNumId w:val="10"/>
  </w:num>
  <w:num w:numId="8">
    <w:abstractNumId w:val="0"/>
  </w:num>
  <w:num w:numId="9">
    <w:abstractNumId w:val="4"/>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BC"/>
    <w:rsid w:val="00001132"/>
    <w:rsid w:val="00003156"/>
    <w:rsid w:val="000037D4"/>
    <w:rsid w:val="000108E8"/>
    <w:rsid w:val="000109C4"/>
    <w:rsid w:val="00014306"/>
    <w:rsid w:val="00016A7C"/>
    <w:rsid w:val="00017C14"/>
    <w:rsid w:val="0002032E"/>
    <w:rsid w:val="00021204"/>
    <w:rsid w:val="000231F0"/>
    <w:rsid w:val="00030208"/>
    <w:rsid w:val="000347CF"/>
    <w:rsid w:val="00034A4E"/>
    <w:rsid w:val="00035353"/>
    <w:rsid w:val="00035839"/>
    <w:rsid w:val="0003690E"/>
    <w:rsid w:val="00037D9C"/>
    <w:rsid w:val="00040BDE"/>
    <w:rsid w:val="00042DCD"/>
    <w:rsid w:val="00043D03"/>
    <w:rsid w:val="00044B8C"/>
    <w:rsid w:val="000457AD"/>
    <w:rsid w:val="00046884"/>
    <w:rsid w:val="000518E7"/>
    <w:rsid w:val="00054378"/>
    <w:rsid w:val="00055D23"/>
    <w:rsid w:val="00057362"/>
    <w:rsid w:val="00057A6A"/>
    <w:rsid w:val="0006218D"/>
    <w:rsid w:val="000625A6"/>
    <w:rsid w:val="00067066"/>
    <w:rsid w:val="00067FB9"/>
    <w:rsid w:val="000723AD"/>
    <w:rsid w:val="00084253"/>
    <w:rsid w:val="00084760"/>
    <w:rsid w:val="00094F07"/>
    <w:rsid w:val="000962A7"/>
    <w:rsid w:val="000A18AF"/>
    <w:rsid w:val="000A2B7D"/>
    <w:rsid w:val="000A7339"/>
    <w:rsid w:val="000B0D2A"/>
    <w:rsid w:val="000B3500"/>
    <w:rsid w:val="000B3EA7"/>
    <w:rsid w:val="000C1A09"/>
    <w:rsid w:val="000C3188"/>
    <w:rsid w:val="000C35D3"/>
    <w:rsid w:val="000C37C1"/>
    <w:rsid w:val="000D3E2E"/>
    <w:rsid w:val="000D55BD"/>
    <w:rsid w:val="000D5A27"/>
    <w:rsid w:val="000D68F6"/>
    <w:rsid w:val="000D73D7"/>
    <w:rsid w:val="000E00E1"/>
    <w:rsid w:val="000E1C30"/>
    <w:rsid w:val="000E20A4"/>
    <w:rsid w:val="000E4195"/>
    <w:rsid w:val="000E6139"/>
    <w:rsid w:val="000F1D6C"/>
    <w:rsid w:val="000F2DAA"/>
    <w:rsid w:val="000F5314"/>
    <w:rsid w:val="000F6EBA"/>
    <w:rsid w:val="000F7552"/>
    <w:rsid w:val="000F7F06"/>
    <w:rsid w:val="001000E9"/>
    <w:rsid w:val="00100D1D"/>
    <w:rsid w:val="00104617"/>
    <w:rsid w:val="001068A3"/>
    <w:rsid w:val="0011429C"/>
    <w:rsid w:val="00114B34"/>
    <w:rsid w:val="00116407"/>
    <w:rsid w:val="00117734"/>
    <w:rsid w:val="00117B3D"/>
    <w:rsid w:val="00120466"/>
    <w:rsid w:val="00123887"/>
    <w:rsid w:val="0012433B"/>
    <w:rsid w:val="00124B07"/>
    <w:rsid w:val="00126E33"/>
    <w:rsid w:val="00126F18"/>
    <w:rsid w:val="0013154A"/>
    <w:rsid w:val="0013349B"/>
    <w:rsid w:val="001335CB"/>
    <w:rsid w:val="001343E3"/>
    <w:rsid w:val="0013551B"/>
    <w:rsid w:val="001361CA"/>
    <w:rsid w:val="00136F82"/>
    <w:rsid w:val="00145CDB"/>
    <w:rsid w:val="00147328"/>
    <w:rsid w:val="00153AB7"/>
    <w:rsid w:val="001619F0"/>
    <w:rsid w:val="0016215A"/>
    <w:rsid w:val="0016771E"/>
    <w:rsid w:val="0017089D"/>
    <w:rsid w:val="0017260B"/>
    <w:rsid w:val="00172EB3"/>
    <w:rsid w:val="001742EA"/>
    <w:rsid w:val="00175296"/>
    <w:rsid w:val="0017632A"/>
    <w:rsid w:val="00180007"/>
    <w:rsid w:val="0018072C"/>
    <w:rsid w:val="00186015"/>
    <w:rsid w:val="00191D5A"/>
    <w:rsid w:val="00194E39"/>
    <w:rsid w:val="001956F2"/>
    <w:rsid w:val="001979C7"/>
    <w:rsid w:val="00197AD2"/>
    <w:rsid w:val="001A3976"/>
    <w:rsid w:val="001A50C5"/>
    <w:rsid w:val="001A57B1"/>
    <w:rsid w:val="001A5AEF"/>
    <w:rsid w:val="001A625A"/>
    <w:rsid w:val="001B075B"/>
    <w:rsid w:val="001B2B5F"/>
    <w:rsid w:val="001B5170"/>
    <w:rsid w:val="001C2EED"/>
    <w:rsid w:val="001C4571"/>
    <w:rsid w:val="001C6492"/>
    <w:rsid w:val="001C71F5"/>
    <w:rsid w:val="001D007A"/>
    <w:rsid w:val="001D25E7"/>
    <w:rsid w:val="001D6A9C"/>
    <w:rsid w:val="001E2F32"/>
    <w:rsid w:val="001E4495"/>
    <w:rsid w:val="001F0DC0"/>
    <w:rsid w:val="001F2274"/>
    <w:rsid w:val="001F2B21"/>
    <w:rsid w:val="001F362C"/>
    <w:rsid w:val="001F3FD2"/>
    <w:rsid w:val="001F4250"/>
    <w:rsid w:val="001F6470"/>
    <w:rsid w:val="001F68B9"/>
    <w:rsid w:val="002014C6"/>
    <w:rsid w:val="00205EC1"/>
    <w:rsid w:val="00206083"/>
    <w:rsid w:val="002060A4"/>
    <w:rsid w:val="002072BD"/>
    <w:rsid w:val="002074AB"/>
    <w:rsid w:val="00207C2B"/>
    <w:rsid w:val="00211544"/>
    <w:rsid w:val="00220D09"/>
    <w:rsid w:val="00220E95"/>
    <w:rsid w:val="002243EA"/>
    <w:rsid w:val="0022609C"/>
    <w:rsid w:val="00231F85"/>
    <w:rsid w:val="002339D6"/>
    <w:rsid w:val="002403F5"/>
    <w:rsid w:val="00240F67"/>
    <w:rsid w:val="0024456E"/>
    <w:rsid w:val="00247B32"/>
    <w:rsid w:val="0025082A"/>
    <w:rsid w:val="00251D62"/>
    <w:rsid w:val="00254FF5"/>
    <w:rsid w:val="002558E7"/>
    <w:rsid w:val="00261043"/>
    <w:rsid w:val="00263EC9"/>
    <w:rsid w:val="00264421"/>
    <w:rsid w:val="00264FC0"/>
    <w:rsid w:val="00265A5D"/>
    <w:rsid w:val="00267450"/>
    <w:rsid w:val="00275DE5"/>
    <w:rsid w:val="00283145"/>
    <w:rsid w:val="00290074"/>
    <w:rsid w:val="00290ECC"/>
    <w:rsid w:val="00294878"/>
    <w:rsid w:val="00296763"/>
    <w:rsid w:val="002A1A86"/>
    <w:rsid w:val="002A2642"/>
    <w:rsid w:val="002A576E"/>
    <w:rsid w:val="002A6B7E"/>
    <w:rsid w:val="002B0425"/>
    <w:rsid w:val="002B1E51"/>
    <w:rsid w:val="002B3030"/>
    <w:rsid w:val="002C15E8"/>
    <w:rsid w:val="002C1B7B"/>
    <w:rsid w:val="002C3F26"/>
    <w:rsid w:val="002C5E01"/>
    <w:rsid w:val="002D057F"/>
    <w:rsid w:val="002D0EEF"/>
    <w:rsid w:val="002D1513"/>
    <w:rsid w:val="002D23BB"/>
    <w:rsid w:val="002D359B"/>
    <w:rsid w:val="002D7106"/>
    <w:rsid w:val="002E5FD6"/>
    <w:rsid w:val="002E696C"/>
    <w:rsid w:val="002E6AF0"/>
    <w:rsid w:val="002F0789"/>
    <w:rsid w:val="002F0CCD"/>
    <w:rsid w:val="002F1F3B"/>
    <w:rsid w:val="002F2B3F"/>
    <w:rsid w:val="002F38F0"/>
    <w:rsid w:val="003006D0"/>
    <w:rsid w:val="00303515"/>
    <w:rsid w:val="00306BB8"/>
    <w:rsid w:val="00311C4C"/>
    <w:rsid w:val="0031226F"/>
    <w:rsid w:val="0031237E"/>
    <w:rsid w:val="00312856"/>
    <w:rsid w:val="00312A91"/>
    <w:rsid w:val="003160E7"/>
    <w:rsid w:val="0031652F"/>
    <w:rsid w:val="0032025E"/>
    <w:rsid w:val="00320F25"/>
    <w:rsid w:val="00322713"/>
    <w:rsid w:val="00324B7D"/>
    <w:rsid w:val="00327682"/>
    <w:rsid w:val="003308E0"/>
    <w:rsid w:val="00331242"/>
    <w:rsid w:val="00331312"/>
    <w:rsid w:val="00337101"/>
    <w:rsid w:val="003377F3"/>
    <w:rsid w:val="003432C4"/>
    <w:rsid w:val="00345B06"/>
    <w:rsid w:val="00346802"/>
    <w:rsid w:val="00351571"/>
    <w:rsid w:val="003526A2"/>
    <w:rsid w:val="00357077"/>
    <w:rsid w:val="003601E4"/>
    <w:rsid w:val="0037107F"/>
    <w:rsid w:val="003720BB"/>
    <w:rsid w:val="003731C2"/>
    <w:rsid w:val="003732B2"/>
    <w:rsid w:val="00374A12"/>
    <w:rsid w:val="0037749C"/>
    <w:rsid w:val="00377FCB"/>
    <w:rsid w:val="0038261D"/>
    <w:rsid w:val="0038443C"/>
    <w:rsid w:val="00390774"/>
    <w:rsid w:val="003921ED"/>
    <w:rsid w:val="003A030F"/>
    <w:rsid w:val="003A5206"/>
    <w:rsid w:val="003A65F0"/>
    <w:rsid w:val="003B0682"/>
    <w:rsid w:val="003B12C1"/>
    <w:rsid w:val="003B1558"/>
    <w:rsid w:val="003B1A40"/>
    <w:rsid w:val="003B2EB0"/>
    <w:rsid w:val="003B5BC2"/>
    <w:rsid w:val="003C16DA"/>
    <w:rsid w:val="003C2147"/>
    <w:rsid w:val="003C23CA"/>
    <w:rsid w:val="003C7FA8"/>
    <w:rsid w:val="003D3661"/>
    <w:rsid w:val="003D4B10"/>
    <w:rsid w:val="003D6E5F"/>
    <w:rsid w:val="003D6E9D"/>
    <w:rsid w:val="003E12B8"/>
    <w:rsid w:val="003E15FC"/>
    <w:rsid w:val="003E2AAE"/>
    <w:rsid w:val="003E6322"/>
    <w:rsid w:val="003E78DF"/>
    <w:rsid w:val="003F29E5"/>
    <w:rsid w:val="003F4B8B"/>
    <w:rsid w:val="003F4CA7"/>
    <w:rsid w:val="003F6AB5"/>
    <w:rsid w:val="003F7219"/>
    <w:rsid w:val="003F7250"/>
    <w:rsid w:val="003F79D2"/>
    <w:rsid w:val="00402BB8"/>
    <w:rsid w:val="00406634"/>
    <w:rsid w:val="004079F8"/>
    <w:rsid w:val="004105A1"/>
    <w:rsid w:val="00414314"/>
    <w:rsid w:val="0041514E"/>
    <w:rsid w:val="0041747F"/>
    <w:rsid w:val="00417B6A"/>
    <w:rsid w:val="00421CAD"/>
    <w:rsid w:val="004230F7"/>
    <w:rsid w:val="004243EB"/>
    <w:rsid w:val="004249D9"/>
    <w:rsid w:val="004269FA"/>
    <w:rsid w:val="00436B42"/>
    <w:rsid w:val="004406C9"/>
    <w:rsid w:val="004509BF"/>
    <w:rsid w:val="00451C1D"/>
    <w:rsid w:val="0045221D"/>
    <w:rsid w:val="00453CE4"/>
    <w:rsid w:val="0045588C"/>
    <w:rsid w:val="00455F2A"/>
    <w:rsid w:val="00460BCE"/>
    <w:rsid w:val="00462D53"/>
    <w:rsid w:val="004640B0"/>
    <w:rsid w:val="004671D7"/>
    <w:rsid w:val="00467A02"/>
    <w:rsid w:val="00470CB4"/>
    <w:rsid w:val="00476251"/>
    <w:rsid w:val="004769A2"/>
    <w:rsid w:val="004769C9"/>
    <w:rsid w:val="00476CBE"/>
    <w:rsid w:val="00481864"/>
    <w:rsid w:val="00483563"/>
    <w:rsid w:val="00484EAB"/>
    <w:rsid w:val="00485218"/>
    <w:rsid w:val="0048532D"/>
    <w:rsid w:val="00487B80"/>
    <w:rsid w:val="004906B9"/>
    <w:rsid w:val="00492B76"/>
    <w:rsid w:val="004952BC"/>
    <w:rsid w:val="00497525"/>
    <w:rsid w:val="004A0E31"/>
    <w:rsid w:val="004A18F0"/>
    <w:rsid w:val="004A3230"/>
    <w:rsid w:val="004A464B"/>
    <w:rsid w:val="004A5E43"/>
    <w:rsid w:val="004A6C8F"/>
    <w:rsid w:val="004B66EC"/>
    <w:rsid w:val="004B6963"/>
    <w:rsid w:val="004C1896"/>
    <w:rsid w:val="004C1C25"/>
    <w:rsid w:val="004C5910"/>
    <w:rsid w:val="004D2BEF"/>
    <w:rsid w:val="004D3BC2"/>
    <w:rsid w:val="004E2ECE"/>
    <w:rsid w:val="004E6F61"/>
    <w:rsid w:val="004E7553"/>
    <w:rsid w:val="004F41D6"/>
    <w:rsid w:val="00503311"/>
    <w:rsid w:val="005036F3"/>
    <w:rsid w:val="00503E58"/>
    <w:rsid w:val="00506183"/>
    <w:rsid w:val="00506964"/>
    <w:rsid w:val="005155E1"/>
    <w:rsid w:val="00515C89"/>
    <w:rsid w:val="00516610"/>
    <w:rsid w:val="00516762"/>
    <w:rsid w:val="00517711"/>
    <w:rsid w:val="0052022C"/>
    <w:rsid w:val="00521DE0"/>
    <w:rsid w:val="005230A0"/>
    <w:rsid w:val="005239DE"/>
    <w:rsid w:val="00523E12"/>
    <w:rsid w:val="005278F5"/>
    <w:rsid w:val="005371F1"/>
    <w:rsid w:val="0054059A"/>
    <w:rsid w:val="00541445"/>
    <w:rsid w:val="005415AB"/>
    <w:rsid w:val="0054766D"/>
    <w:rsid w:val="0055042A"/>
    <w:rsid w:val="00551089"/>
    <w:rsid w:val="00551C87"/>
    <w:rsid w:val="005532AC"/>
    <w:rsid w:val="005576E3"/>
    <w:rsid w:val="00561C00"/>
    <w:rsid w:val="00562A87"/>
    <w:rsid w:val="00562B16"/>
    <w:rsid w:val="005654CF"/>
    <w:rsid w:val="00571ECD"/>
    <w:rsid w:val="005741FA"/>
    <w:rsid w:val="00574902"/>
    <w:rsid w:val="0057732B"/>
    <w:rsid w:val="00582874"/>
    <w:rsid w:val="005834C7"/>
    <w:rsid w:val="00590032"/>
    <w:rsid w:val="005943A4"/>
    <w:rsid w:val="00594968"/>
    <w:rsid w:val="0059651C"/>
    <w:rsid w:val="005966B5"/>
    <w:rsid w:val="005A1850"/>
    <w:rsid w:val="005A2A85"/>
    <w:rsid w:val="005A2D11"/>
    <w:rsid w:val="005A3BBC"/>
    <w:rsid w:val="005A42AB"/>
    <w:rsid w:val="005A4E91"/>
    <w:rsid w:val="005A6458"/>
    <w:rsid w:val="005A6EB5"/>
    <w:rsid w:val="005A7728"/>
    <w:rsid w:val="005A78C2"/>
    <w:rsid w:val="005A7963"/>
    <w:rsid w:val="005B027B"/>
    <w:rsid w:val="005B09A4"/>
    <w:rsid w:val="005B2B59"/>
    <w:rsid w:val="005C0B8B"/>
    <w:rsid w:val="005C102E"/>
    <w:rsid w:val="005C1684"/>
    <w:rsid w:val="005C3F6E"/>
    <w:rsid w:val="005C5A4B"/>
    <w:rsid w:val="005D076D"/>
    <w:rsid w:val="005D234E"/>
    <w:rsid w:val="005D2E50"/>
    <w:rsid w:val="005D3545"/>
    <w:rsid w:val="005E08B2"/>
    <w:rsid w:val="005E255D"/>
    <w:rsid w:val="005E2599"/>
    <w:rsid w:val="005E4CA4"/>
    <w:rsid w:val="005F2FBB"/>
    <w:rsid w:val="005F377F"/>
    <w:rsid w:val="005F7937"/>
    <w:rsid w:val="0060594E"/>
    <w:rsid w:val="006072FE"/>
    <w:rsid w:val="00610DD6"/>
    <w:rsid w:val="006111E6"/>
    <w:rsid w:val="006225A5"/>
    <w:rsid w:val="00623A43"/>
    <w:rsid w:val="00624C41"/>
    <w:rsid w:val="00625D73"/>
    <w:rsid w:val="006305EA"/>
    <w:rsid w:val="00641E59"/>
    <w:rsid w:val="00641F4D"/>
    <w:rsid w:val="006465A3"/>
    <w:rsid w:val="00646B74"/>
    <w:rsid w:val="0064716C"/>
    <w:rsid w:val="00650309"/>
    <w:rsid w:val="00651F90"/>
    <w:rsid w:val="006527D8"/>
    <w:rsid w:val="0065552A"/>
    <w:rsid w:val="00661421"/>
    <w:rsid w:val="006637F8"/>
    <w:rsid w:val="0066598C"/>
    <w:rsid w:val="006708B0"/>
    <w:rsid w:val="00671382"/>
    <w:rsid w:val="006714DE"/>
    <w:rsid w:val="00675C8A"/>
    <w:rsid w:val="00675EAF"/>
    <w:rsid w:val="006769C8"/>
    <w:rsid w:val="00683087"/>
    <w:rsid w:val="00687749"/>
    <w:rsid w:val="00690D17"/>
    <w:rsid w:val="006929AB"/>
    <w:rsid w:val="006A133D"/>
    <w:rsid w:val="006A1C67"/>
    <w:rsid w:val="006A48BE"/>
    <w:rsid w:val="006A58FA"/>
    <w:rsid w:val="006A5CCB"/>
    <w:rsid w:val="006A6C77"/>
    <w:rsid w:val="006B072F"/>
    <w:rsid w:val="006B28F9"/>
    <w:rsid w:val="006B32FE"/>
    <w:rsid w:val="006B4D08"/>
    <w:rsid w:val="006B78A6"/>
    <w:rsid w:val="006C7C63"/>
    <w:rsid w:val="006D09B6"/>
    <w:rsid w:val="006D2A56"/>
    <w:rsid w:val="006D4002"/>
    <w:rsid w:val="006D5668"/>
    <w:rsid w:val="006D6547"/>
    <w:rsid w:val="006E2863"/>
    <w:rsid w:val="006E5136"/>
    <w:rsid w:val="006E63C5"/>
    <w:rsid w:val="006E696E"/>
    <w:rsid w:val="006F058D"/>
    <w:rsid w:val="006F1BF2"/>
    <w:rsid w:val="006F31DC"/>
    <w:rsid w:val="006F4015"/>
    <w:rsid w:val="007021F4"/>
    <w:rsid w:val="00711782"/>
    <w:rsid w:val="00712D98"/>
    <w:rsid w:val="00717CF9"/>
    <w:rsid w:val="00717E1E"/>
    <w:rsid w:val="007204B7"/>
    <w:rsid w:val="00722127"/>
    <w:rsid w:val="00723E52"/>
    <w:rsid w:val="00723F06"/>
    <w:rsid w:val="00726662"/>
    <w:rsid w:val="0072696A"/>
    <w:rsid w:val="0073351A"/>
    <w:rsid w:val="00735E42"/>
    <w:rsid w:val="00737DE4"/>
    <w:rsid w:val="0074276C"/>
    <w:rsid w:val="00744877"/>
    <w:rsid w:val="00744E90"/>
    <w:rsid w:val="0074770E"/>
    <w:rsid w:val="00752802"/>
    <w:rsid w:val="007533D3"/>
    <w:rsid w:val="00753738"/>
    <w:rsid w:val="00754FB5"/>
    <w:rsid w:val="0075540E"/>
    <w:rsid w:val="00756EFB"/>
    <w:rsid w:val="00761003"/>
    <w:rsid w:val="00762A67"/>
    <w:rsid w:val="00766D14"/>
    <w:rsid w:val="0076741F"/>
    <w:rsid w:val="00770401"/>
    <w:rsid w:val="00770B36"/>
    <w:rsid w:val="007723E7"/>
    <w:rsid w:val="00774924"/>
    <w:rsid w:val="00776037"/>
    <w:rsid w:val="00777297"/>
    <w:rsid w:val="00781AA3"/>
    <w:rsid w:val="0078256A"/>
    <w:rsid w:val="00783617"/>
    <w:rsid w:val="00785519"/>
    <w:rsid w:val="00785E24"/>
    <w:rsid w:val="00786013"/>
    <w:rsid w:val="00791B77"/>
    <w:rsid w:val="00791BF7"/>
    <w:rsid w:val="0079216C"/>
    <w:rsid w:val="0079356E"/>
    <w:rsid w:val="00794371"/>
    <w:rsid w:val="00796D04"/>
    <w:rsid w:val="007A0718"/>
    <w:rsid w:val="007A1A36"/>
    <w:rsid w:val="007A1C56"/>
    <w:rsid w:val="007A27F7"/>
    <w:rsid w:val="007A3FF8"/>
    <w:rsid w:val="007A5750"/>
    <w:rsid w:val="007A7730"/>
    <w:rsid w:val="007B0962"/>
    <w:rsid w:val="007B32B4"/>
    <w:rsid w:val="007B350C"/>
    <w:rsid w:val="007C1F01"/>
    <w:rsid w:val="007C69ED"/>
    <w:rsid w:val="007D262F"/>
    <w:rsid w:val="007D3906"/>
    <w:rsid w:val="007D3CBB"/>
    <w:rsid w:val="007D3F2D"/>
    <w:rsid w:val="007D59F5"/>
    <w:rsid w:val="007D5A0F"/>
    <w:rsid w:val="007D6D3B"/>
    <w:rsid w:val="007E0538"/>
    <w:rsid w:val="007E1A2D"/>
    <w:rsid w:val="007E2D5C"/>
    <w:rsid w:val="007E6551"/>
    <w:rsid w:val="007F22E8"/>
    <w:rsid w:val="007F32DB"/>
    <w:rsid w:val="007F53B1"/>
    <w:rsid w:val="007F64A0"/>
    <w:rsid w:val="007F6FFC"/>
    <w:rsid w:val="00800085"/>
    <w:rsid w:val="008006D1"/>
    <w:rsid w:val="008034D6"/>
    <w:rsid w:val="00803807"/>
    <w:rsid w:val="0080781E"/>
    <w:rsid w:val="0080798A"/>
    <w:rsid w:val="00807D2F"/>
    <w:rsid w:val="00810A60"/>
    <w:rsid w:val="00817BEE"/>
    <w:rsid w:val="00821748"/>
    <w:rsid w:val="00821F08"/>
    <w:rsid w:val="00821F2F"/>
    <w:rsid w:val="00825A6A"/>
    <w:rsid w:val="00830F32"/>
    <w:rsid w:val="008344A0"/>
    <w:rsid w:val="00834724"/>
    <w:rsid w:val="00834745"/>
    <w:rsid w:val="008368C5"/>
    <w:rsid w:val="00846EAD"/>
    <w:rsid w:val="0084745E"/>
    <w:rsid w:val="008551C5"/>
    <w:rsid w:val="0085546A"/>
    <w:rsid w:val="008559CD"/>
    <w:rsid w:val="00860259"/>
    <w:rsid w:val="0086100B"/>
    <w:rsid w:val="0086119E"/>
    <w:rsid w:val="00861810"/>
    <w:rsid w:val="00861A34"/>
    <w:rsid w:val="0086285C"/>
    <w:rsid w:val="0086343F"/>
    <w:rsid w:val="0086407D"/>
    <w:rsid w:val="00866A1B"/>
    <w:rsid w:val="008670DB"/>
    <w:rsid w:val="00867744"/>
    <w:rsid w:val="00867C4E"/>
    <w:rsid w:val="00870731"/>
    <w:rsid w:val="008743C0"/>
    <w:rsid w:val="00876883"/>
    <w:rsid w:val="00877E8B"/>
    <w:rsid w:val="008814B8"/>
    <w:rsid w:val="00881B2F"/>
    <w:rsid w:val="0088370A"/>
    <w:rsid w:val="00883E02"/>
    <w:rsid w:val="00884448"/>
    <w:rsid w:val="00890CF1"/>
    <w:rsid w:val="008910CD"/>
    <w:rsid w:val="00894D57"/>
    <w:rsid w:val="008A2D10"/>
    <w:rsid w:val="008A2F47"/>
    <w:rsid w:val="008A3823"/>
    <w:rsid w:val="008A46F5"/>
    <w:rsid w:val="008A48A4"/>
    <w:rsid w:val="008A6731"/>
    <w:rsid w:val="008A7B0A"/>
    <w:rsid w:val="008B0B86"/>
    <w:rsid w:val="008B19D3"/>
    <w:rsid w:val="008B4F71"/>
    <w:rsid w:val="008B5FB8"/>
    <w:rsid w:val="008C4599"/>
    <w:rsid w:val="008C737D"/>
    <w:rsid w:val="008D3413"/>
    <w:rsid w:val="008D746F"/>
    <w:rsid w:val="008E29D9"/>
    <w:rsid w:val="008E2C96"/>
    <w:rsid w:val="008E5D44"/>
    <w:rsid w:val="008E60E9"/>
    <w:rsid w:val="008E633A"/>
    <w:rsid w:val="008F07D5"/>
    <w:rsid w:val="008F0E53"/>
    <w:rsid w:val="008F2198"/>
    <w:rsid w:val="008F23DA"/>
    <w:rsid w:val="008F2FF9"/>
    <w:rsid w:val="008F3070"/>
    <w:rsid w:val="00903399"/>
    <w:rsid w:val="00904E0D"/>
    <w:rsid w:val="0090717D"/>
    <w:rsid w:val="0090757E"/>
    <w:rsid w:val="009156EA"/>
    <w:rsid w:val="00916D2C"/>
    <w:rsid w:val="00921281"/>
    <w:rsid w:val="0092238E"/>
    <w:rsid w:val="00923366"/>
    <w:rsid w:val="00925640"/>
    <w:rsid w:val="00926E55"/>
    <w:rsid w:val="009342D9"/>
    <w:rsid w:val="0093479D"/>
    <w:rsid w:val="00935FC2"/>
    <w:rsid w:val="00943365"/>
    <w:rsid w:val="009439C7"/>
    <w:rsid w:val="00944504"/>
    <w:rsid w:val="00945B16"/>
    <w:rsid w:val="00945EED"/>
    <w:rsid w:val="00947222"/>
    <w:rsid w:val="00952DB9"/>
    <w:rsid w:val="00953807"/>
    <w:rsid w:val="009608B8"/>
    <w:rsid w:val="00962E99"/>
    <w:rsid w:val="009631AF"/>
    <w:rsid w:val="00963815"/>
    <w:rsid w:val="00963923"/>
    <w:rsid w:val="0096494F"/>
    <w:rsid w:val="00967C14"/>
    <w:rsid w:val="0097054A"/>
    <w:rsid w:val="0097195E"/>
    <w:rsid w:val="00972A5B"/>
    <w:rsid w:val="00976FB8"/>
    <w:rsid w:val="00983629"/>
    <w:rsid w:val="009837BB"/>
    <w:rsid w:val="0098515F"/>
    <w:rsid w:val="00985FED"/>
    <w:rsid w:val="00992A89"/>
    <w:rsid w:val="009930E3"/>
    <w:rsid w:val="0099712D"/>
    <w:rsid w:val="009A1F41"/>
    <w:rsid w:val="009A2700"/>
    <w:rsid w:val="009A3CA4"/>
    <w:rsid w:val="009A589F"/>
    <w:rsid w:val="009B472C"/>
    <w:rsid w:val="009B481E"/>
    <w:rsid w:val="009B4C5C"/>
    <w:rsid w:val="009B62EF"/>
    <w:rsid w:val="009C00F5"/>
    <w:rsid w:val="009C0734"/>
    <w:rsid w:val="009C2AE6"/>
    <w:rsid w:val="009C3650"/>
    <w:rsid w:val="009C3D36"/>
    <w:rsid w:val="009C43B4"/>
    <w:rsid w:val="009C5047"/>
    <w:rsid w:val="009C5B90"/>
    <w:rsid w:val="009D0584"/>
    <w:rsid w:val="009D1EF5"/>
    <w:rsid w:val="009D4134"/>
    <w:rsid w:val="009D56A1"/>
    <w:rsid w:val="009D76D0"/>
    <w:rsid w:val="009E0F31"/>
    <w:rsid w:val="009E211E"/>
    <w:rsid w:val="009E2577"/>
    <w:rsid w:val="009E3628"/>
    <w:rsid w:val="009E6936"/>
    <w:rsid w:val="009E7430"/>
    <w:rsid w:val="009E79FD"/>
    <w:rsid w:val="009F053C"/>
    <w:rsid w:val="009F422F"/>
    <w:rsid w:val="009F76EA"/>
    <w:rsid w:val="00A014AD"/>
    <w:rsid w:val="00A01BBD"/>
    <w:rsid w:val="00A0279C"/>
    <w:rsid w:val="00A03375"/>
    <w:rsid w:val="00A05F12"/>
    <w:rsid w:val="00A0675B"/>
    <w:rsid w:val="00A06F4B"/>
    <w:rsid w:val="00A07407"/>
    <w:rsid w:val="00A11B15"/>
    <w:rsid w:val="00A12A82"/>
    <w:rsid w:val="00A13B54"/>
    <w:rsid w:val="00A1495E"/>
    <w:rsid w:val="00A1500E"/>
    <w:rsid w:val="00A15B35"/>
    <w:rsid w:val="00A16725"/>
    <w:rsid w:val="00A16AF1"/>
    <w:rsid w:val="00A16B4D"/>
    <w:rsid w:val="00A17C82"/>
    <w:rsid w:val="00A231AE"/>
    <w:rsid w:val="00A236AA"/>
    <w:rsid w:val="00A24C8F"/>
    <w:rsid w:val="00A25A5B"/>
    <w:rsid w:val="00A304EF"/>
    <w:rsid w:val="00A3649B"/>
    <w:rsid w:val="00A402DF"/>
    <w:rsid w:val="00A40489"/>
    <w:rsid w:val="00A40C19"/>
    <w:rsid w:val="00A419C0"/>
    <w:rsid w:val="00A43173"/>
    <w:rsid w:val="00A43435"/>
    <w:rsid w:val="00A451D0"/>
    <w:rsid w:val="00A45C36"/>
    <w:rsid w:val="00A46312"/>
    <w:rsid w:val="00A46C77"/>
    <w:rsid w:val="00A46FED"/>
    <w:rsid w:val="00A5352E"/>
    <w:rsid w:val="00A539D7"/>
    <w:rsid w:val="00A545A5"/>
    <w:rsid w:val="00A57CF6"/>
    <w:rsid w:val="00A606A9"/>
    <w:rsid w:val="00A6077D"/>
    <w:rsid w:val="00A61A64"/>
    <w:rsid w:val="00A61E2B"/>
    <w:rsid w:val="00A66EDB"/>
    <w:rsid w:val="00A7044C"/>
    <w:rsid w:val="00A72263"/>
    <w:rsid w:val="00A72A9B"/>
    <w:rsid w:val="00A75C8B"/>
    <w:rsid w:val="00A7718B"/>
    <w:rsid w:val="00A8079C"/>
    <w:rsid w:val="00A80B80"/>
    <w:rsid w:val="00A82914"/>
    <w:rsid w:val="00A8304B"/>
    <w:rsid w:val="00A836C8"/>
    <w:rsid w:val="00A87227"/>
    <w:rsid w:val="00A87895"/>
    <w:rsid w:val="00A87961"/>
    <w:rsid w:val="00A87AA2"/>
    <w:rsid w:val="00A916A7"/>
    <w:rsid w:val="00A918CD"/>
    <w:rsid w:val="00A960A1"/>
    <w:rsid w:val="00A979B0"/>
    <w:rsid w:val="00AA2886"/>
    <w:rsid w:val="00AA4281"/>
    <w:rsid w:val="00AB2813"/>
    <w:rsid w:val="00AB2E0F"/>
    <w:rsid w:val="00AB39D4"/>
    <w:rsid w:val="00AB488F"/>
    <w:rsid w:val="00AB4A68"/>
    <w:rsid w:val="00AB4C1A"/>
    <w:rsid w:val="00AB4E57"/>
    <w:rsid w:val="00AB7CC8"/>
    <w:rsid w:val="00AC0749"/>
    <w:rsid w:val="00AC1587"/>
    <w:rsid w:val="00AC38D7"/>
    <w:rsid w:val="00AC4222"/>
    <w:rsid w:val="00AC4434"/>
    <w:rsid w:val="00AD3AA3"/>
    <w:rsid w:val="00AD7465"/>
    <w:rsid w:val="00AE17AD"/>
    <w:rsid w:val="00AE27F2"/>
    <w:rsid w:val="00AE3860"/>
    <w:rsid w:val="00AE5A14"/>
    <w:rsid w:val="00AE5CFF"/>
    <w:rsid w:val="00AE627F"/>
    <w:rsid w:val="00AE7F15"/>
    <w:rsid w:val="00AF0054"/>
    <w:rsid w:val="00AF15BF"/>
    <w:rsid w:val="00AF1B68"/>
    <w:rsid w:val="00AF3178"/>
    <w:rsid w:val="00AF45F6"/>
    <w:rsid w:val="00AF73B5"/>
    <w:rsid w:val="00B0153D"/>
    <w:rsid w:val="00B01DB2"/>
    <w:rsid w:val="00B035D4"/>
    <w:rsid w:val="00B06069"/>
    <w:rsid w:val="00B0697C"/>
    <w:rsid w:val="00B100DB"/>
    <w:rsid w:val="00B14F7C"/>
    <w:rsid w:val="00B15185"/>
    <w:rsid w:val="00B15CE1"/>
    <w:rsid w:val="00B1602F"/>
    <w:rsid w:val="00B16707"/>
    <w:rsid w:val="00B17856"/>
    <w:rsid w:val="00B23954"/>
    <w:rsid w:val="00B239E8"/>
    <w:rsid w:val="00B24C10"/>
    <w:rsid w:val="00B27913"/>
    <w:rsid w:val="00B32B46"/>
    <w:rsid w:val="00B344D6"/>
    <w:rsid w:val="00B348E9"/>
    <w:rsid w:val="00B3722C"/>
    <w:rsid w:val="00B372E7"/>
    <w:rsid w:val="00B4088E"/>
    <w:rsid w:val="00B40CDF"/>
    <w:rsid w:val="00B442B7"/>
    <w:rsid w:val="00B44375"/>
    <w:rsid w:val="00B4439C"/>
    <w:rsid w:val="00B44E4F"/>
    <w:rsid w:val="00B45669"/>
    <w:rsid w:val="00B467F0"/>
    <w:rsid w:val="00B479CB"/>
    <w:rsid w:val="00B47CCB"/>
    <w:rsid w:val="00B50383"/>
    <w:rsid w:val="00B54EC0"/>
    <w:rsid w:val="00B54F7E"/>
    <w:rsid w:val="00B566A1"/>
    <w:rsid w:val="00B5686B"/>
    <w:rsid w:val="00B6160E"/>
    <w:rsid w:val="00B620F2"/>
    <w:rsid w:val="00B6540B"/>
    <w:rsid w:val="00B6785F"/>
    <w:rsid w:val="00B67E97"/>
    <w:rsid w:val="00B71627"/>
    <w:rsid w:val="00B71D8D"/>
    <w:rsid w:val="00B71DA0"/>
    <w:rsid w:val="00B73750"/>
    <w:rsid w:val="00B73E5F"/>
    <w:rsid w:val="00B77EF6"/>
    <w:rsid w:val="00B811C0"/>
    <w:rsid w:val="00B81A2A"/>
    <w:rsid w:val="00B8340B"/>
    <w:rsid w:val="00B86646"/>
    <w:rsid w:val="00B87B19"/>
    <w:rsid w:val="00B90AEC"/>
    <w:rsid w:val="00B90E17"/>
    <w:rsid w:val="00B940F3"/>
    <w:rsid w:val="00BA42A1"/>
    <w:rsid w:val="00BA7479"/>
    <w:rsid w:val="00BB50DA"/>
    <w:rsid w:val="00BB61B5"/>
    <w:rsid w:val="00BB6FC9"/>
    <w:rsid w:val="00BC11DB"/>
    <w:rsid w:val="00BC15B1"/>
    <w:rsid w:val="00BC2AD2"/>
    <w:rsid w:val="00BC49C7"/>
    <w:rsid w:val="00BC61B3"/>
    <w:rsid w:val="00BC646F"/>
    <w:rsid w:val="00BD282A"/>
    <w:rsid w:val="00BE4636"/>
    <w:rsid w:val="00BE4DD3"/>
    <w:rsid w:val="00BE688B"/>
    <w:rsid w:val="00BF21B0"/>
    <w:rsid w:val="00BF4BD9"/>
    <w:rsid w:val="00BF52EA"/>
    <w:rsid w:val="00BF626A"/>
    <w:rsid w:val="00BF6EA1"/>
    <w:rsid w:val="00BF7B54"/>
    <w:rsid w:val="00C056F2"/>
    <w:rsid w:val="00C0648A"/>
    <w:rsid w:val="00C10260"/>
    <w:rsid w:val="00C12814"/>
    <w:rsid w:val="00C156A5"/>
    <w:rsid w:val="00C20F31"/>
    <w:rsid w:val="00C22A4C"/>
    <w:rsid w:val="00C2335F"/>
    <w:rsid w:val="00C23727"/>
    <w:rsid w:val="00C26AEC"/>
    <w:rsid w:val="00C32EFD"/>
    <w:rsid w:val="00C33ED8"/>
    <w:rsid w:val="00C34B31"/>
    <w:rsid w:val="00C34F64"/>
    <w:rsid w:val="00C36390"/>
    <w:rsid w:val="00C37555"/>
    <w:rsid w:val="00C40659"/>
    <w:rsid w:val="00C4160D"/>
    <w:rsid w:val="00C4591D"/>
    <w:rsid w:val="00C46098"/>
    <w:rsid w:val="00C5253F"/>
    <w:rsid w:val="00C5327C"/>
    <w:rsid w:val="00C545E2"/>
    <w:rsid w:val="00C555B9"/>
    <w:rsid w:val="00C56609"/>
    <w:rsid w:val="00C63884"/>
    <w:rsid w:val="00C73357"/>
    <w:rsid w:val="00C770E8"/>
    <w:rsid w:val="00C80A84"/>
    <w:rsid w:val="00C815EE"/>
    <w:rsid w:val="00C81AE0"/>
    <w:rsid w:val="00C84ABE"/>
    <w:rsid w:val="00C85A6C"/>
    <w:rsid w:val="00C86982"/>
    <w:rsid w:val="00C87928"/>
    <w:rsid w:val="00C93856"/>
    <w:rsid w:val="00CA0A3D"/>
    <w:rsid w:val="00CA116A"/>
    <w:rsid w:val="00CA2AD5"/>
    <w:rsid w:val="00CA3413"/>
    <w:rsid w:val="00CA46FB"/>
    <w:rsid w:val="00CB02AB"/>
    <w:rsid w:val="00CB2EFD"/>
    <w:rsid w:val="00CC19BB"/>
    <w:rsid w:val="00CC2597"/>
    <w:rsid w:val="00CC6896"/>
    <w:rsid w:val="00CC71D7"/>
    <w:rsid w:val="00CC72B2"/>
    <w:rsid w:val="00CD4939"/>
    <w:rsid w:val="00CE1652"/>
    <w:rsid w:val="00CE1E44"/>
    <w:rsid w:val="00CE318E"/>
    <w:rsid w:val="00CE4FD8"/>
    <w:rsid w:val="00CF009F"/>
    <w:rsid w:val="00CF202D"/>
    <w:rsid w:val="00CF31D1"/>
    <w:rsid w:val="00CF3955"/>
    <w:rsid w:val="00CF4A79"/>
    <w:rsid w:val="00D00450"/>
    <w:rsid w:val="00D02386"/>
    <w:rsid w:val="00D02909"/>
    <w:rsid w:val="00D03022"/>
    <w:rsid w:val="00D052A8"/>
    <w:rsid w:val="00D062E4"/>
    <w:rsid w:val="00D0693F"/>
    <w:rsid w:val="00D07BF1"/>
    <w:rsid w:val="00D115D7"/>
    <w:rsid w:val="00D15D35"/>
    <w:rsid w:val="00D15EC8"/>
    <w:rsid w:val="00D17024"/>
    <w:rsid w:val="00D170F0"/>
    <w:rsid w:val="00D21982"/>
    <w:rsid w:val="00D219AC"/>
    <w:rsid w:val="00D24880"/>
    <w:rsid w:val="00D2787C"/>
    <w:rsid w:val="00D327A2"/>
    <w:rsid w:val="00D35C7F"/>
    <w:rsid w:val="00D3616E"/>
    <w:rsid w:val="00D36E46"/>
    <w:rsid w:val="00D37750"/>
    <w:rsid w:val="00D40363"/>
    <w:rsid w:val="00D40993"/>
    <w:rsid w:val="00D44FE1"/>
    <w:rsid w:val="00D51999"/>
    <w:rsid w:val="00D60287"/>
    <w:rsid w:val="00D61FD0"/>
    <w:rsid w:val="00D6213A"/>
    <w:rsid w:val="00D639B7"/>
    <w:rsid w:val="00D64C89"/>
    <w:rsid w:val="00D65F3D"/>
    <w:rsid w:val="00D66A32"/>
    <w:rsid w:val="00D72719"/>
    <w:rsid w:val="00D7391F"/>
    <w:rsid w:val="00D74EF9"/>
    <w:rsid w:val="00D75078"/>
    <w:rsid w:val="00D8254B"/>
    <w:rsid w:val="00D83D0F"/>
    <w:rsid w:val="00D856A3"/>
    <w:rsid w:val="00D85B8F"/>
    <w:rsid w:val="00D905C4"/>
    <w:rsid w:val="00D91515"/>
    <w:rsid w:val="00D92F3E"/>
    <w:rsid w:val="00D96B2C"/>
    <w:rsid w:val="00DA4079"/>
    <w:rsid w:val="00DA580A"/>
    <w:rsid w:val="00DA5ACE"/>
    <w:rsid w:val="00DA6199"/>
    <w:rsid w:val="00DA68D8"/>
    <w:rsid w:val="00DA6AD7"/>
    <w:rsid w:val="00DA6E0F"/>
    <w:rsid w:val="00DA76AB"/>
    <w:rsid w:val="00DA776E"/>
    <w:rsid w:val="00DB204D"/>
    <w:rsid w:val="00DB35F5"/>
    <w:rsid w:val="00DC06AA"/>
    <w:rsid w:val="00DC29E7"/>
    <w:rsid w:val="00DC5615"/>
    <w:rsid w:val="00DC6E71"/>
    <w:rsid w:val="00DD0FAA"/>
    <w:rsid w:val="00DD24A0"/>
    <w:rsid w:val="00DD2ABB"/>
    <w:rsid w:val="00DD6728"/>
    <w:rsid w:val="00DD6CD6"/>
    <w:rsid w:val="00DD7D32"/>
    <w:rsid w:val="00DE030F"/>
    <w:rsid w:val="00DE03FC"/>
    <w:rsid w:val="00DE2859"/>
    <w:rsid w:val="00DE5A91"/>
    <w:rsid w:val="00DE6A44"/>
    <w:rsid w:val="00DE7EF8"/>
    <w:rsid w:val="00DF0D7F"/>
    <w:rsid w:val="00E03151"/>
    <w:rsid w:val="00E032C9"/>
    <w:rsid w:val="00E036E9"/>
    <w:rsid w:val="00E041C4"/>
    <w:rsid w:val="00E06A8F"/>
    <w:rsid w:val="00E1135E"/>
    <w:rsid w:val="00E11E8A"/>
    <w:rsid w:val="00E135D7"/>
    <w:rsid w:val="00E13F78"/>
    <w:rsid w:val="00E16B2C"/>
    <w:rsid w:val="00E1761A"/>
    <w:rsid w:val="00E215F0"/>
    <w:rsid w:val="00E265A9"/>
    <w:rsid w:val="00E273DF"/>
    <w:rsid w:val="00E311FE"/>
    <w:rsid w:val="00E36523"/>
    <w:rsid w:val="00E37EBC"/>
    <w:rsid w:val="00E41F2D"/>
    <w:rsid w:val="00E429F4"/>
    <w:rsid w:val="00E42FCD"/>
    <w:rsid w:val="00E4413C"/>
    <w:rsid w:val="00E44797"/>
    <w:rsid w:val="00E4577C"/>
    <w:rsid w:val="00E46D29"/>
    <w:rsid w:val="00E50197"/>
    <w:rsid w:val="00E50878"/>
    <w:rsid w:val="00E510DE"/>
    <w:rsid w:val="00E53344"/>
    <w:rsid w:val="00E566D4"/>
    <w:rsid w:val="00E6009F"/>
    <w:rsid w:val="00E61307"/>
    <w:rsid w:val="00E64C84"/>
    <w:rsid w:val="00E6581D"/>
    <w:rsid w:val="00E674CF"/>
    <w:rsid w:val="00E7042F"/>
    <w:rsid w:val="00E70D96"/>
    <w:rsid w:val="00E74553"/>
    <w:rsid w:val="00E76798"/>
    <w:rsid w:val="00E77E53"/>
    <w:rsid w:val="00E816E2"/>
    <w:rsid w:val="00E82F0A"/>
    <w:rsid w:val="00E86CBB"/>
    <w:rsid w:val="00E87CA0"/>
    <w:rsid w:val="00E950B8"/>
    <w:rsid w:val="00E95252"/>
    <w:rsid w:val="00E97059"/>
    <w:rsid w:val="00EA0A51"/>
    <w:rsid w:val="00EA1B6A"/>
    <w:rsid w:val="00EB0B73"/>
    <w:rsid w:val="00EB246A"/>
    <w:rsid w:val="00EB2E7A"/>
    <w:rsid w:val="00EB3035"/>
    <w:rsid w:val="00EB435A"/>
    <w:rsid w:val="00EC1464"/>
    <w:rsid w:val="00EC2B14"/>
    <w:rsid w:val="00EC6A32"/>
    <w:rsid w:val="00EC7C41"/>
    <w:rsid w:val="00ED25B0"/>
    <w:rsid w:val="00ED2B1D"/>
    <w:rsid w:val="00ED2FA7"/>
    <w:rsid w:val="00ED32C4"/>
    <w:rsid w:val="00ED6E5F"/>
    <w:rsid w:val="00ED7C62"/>
    <w:rsid w:val="00EE0A87"/>
    <w:rsid w:val="00EE3DB8"/>
    <w:rsid w:val="00EE45F3"/>
    <w:rsid w:val="00EE741C"/>
    <w:rsid w:val="00EE7C00"/>
    <w:rsid w:val="00EE7E4B"/>
    <w:rsid w:val="00EF5C7D"/>
    <w:rsid w:val="00EF5D11"/>
    <w:rsid w:val="00EF662C"/>
    <w:rsid w:val="00F0174F"/>
    <w:rsid w:val="00F03D0F"/>
    <w:rsid w:val="00F10215"/>
    <w:rsid w:val="00F117F5"/>
    <w:rsid w:val="00F13C57"/>
    <w:rsid w:val="00F166E0"/>
    <w:rsid w:val="00F226E3"/>
    <w:rsid w:val="00F331A7"/>
    <w:rsid w:val="00F418C9"/>
    <w:rsid w:val="00F4324E"/>
    <w:rsid w:val="00F45A5A"/>
    <w:rsid w:val="00F461F2"/>
    <w:rsid w:val="00F612C1"/>
    <w:rsid w:val="00F65E3C"/>
    <w:rsid w:val="00F67686"/>
    <w:rsid w:val="00F723D1"/>
    <w:rsid w:val="00F72A6C"/>
    <w:rsid w:val="00F81061"/>
    <w:rsid w:val="00F85D91"/>
    <w:rsid w:val="00F91123"/>
    <w:rsid w:val="00F935DF"/>
    <w:rsid w:val="00F97545"/>
    <w:rsid w:val="00FA3BFC"/>
    <w:rsid w:val="00FA41AC"/>
    <w:rsid w:val="00FA693C"/>
    <w:rsid w:val="00FB1ED7"/>
    <w:rsid w:val="00FB20B8"/>
    <w:rsid w:val="00FB2266"/>
    <w:rsid w:val="00FB274D"/>
    <w:rsid w:val="00FB34DD"/>
    <w:rsid w:val="00FB69AE"/>
    <w:rsid w:val="00FC2FA1"/>
    <w:rsid w:val="00FC3FF8"/>
    <w:rsid w:val="00FC4607"/>
    <w:rsid w:val="00FC5820"/>
    <w:rsid w:val="00FC6DB6"/>
    <w:rsid w:val="00FD01EA"/>
    <w:rsid w:val="00FD07CD"/>
    <w:rsid w:val="00FD1EBC"/>
    <w:rsid w:val="00FD3AC4"/>
    <w:rsid w:val="00FD3E28"/>
    <w:rsid w:val="00FD4D4A"/>
    <w:rsid w:val="00FD68D3"/>
    <w:rsid w:val="00FD7BAC"/>
    <w:rsid w:val="00FE167B"/>
    <w:rsid w:val="00FE5353"/>
    <w:rsid w:val="00FF00E0"/>
    <w:rsid w:val="00FF0F6F"/>
    <w:rsid w:val="00FF1481"/>
    <w:rsid w:val="00FF2AE3"/>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4C46"/>
  <w15:chartTrackingRefBased/>
  <w15:docId w15:val="{5BCBB3D4-86F3-4A08-9C7C-EE7969B3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79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55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B73"/>
    <w:pPr>
      <w:ind w:left="720"/>
      <w:contextualSpacing/>
    </w:pPr>
  </w:style>
  <w:style w:type="character" w:customStyle="1" w:styleId="Heading3Char">
    <w:name w:val="Heading 3 Char"/>
    <w:basedOn w:val="DefaultParagraphFont"/>
    <w:link w:val="Heading3"/>
    <w:uiPriority w:val="9"/>
    <w:rsid w:val="00785519"/>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785519"/>
    <w:pPr>
      <w:spacing w:after="200" w:line="240" w:lineRule="auto"/>
    </w:pPr>
    <w:rPr>
      <w:i/>
      <w:iCs/>
      <w:color w:val="44546A" w:themeColor="text2"/>
      <w:sz w:val="18"/>
      <w:szCs w:val="18"/>
    </w:rPr>
  </w:style>
  <w:style w:type="table" w:styleId="PlainTable2">
    <w:name w:val="Plain Table 2"/>
    <w:basedOn w:val="TableNormal"/>
    <w:uiPriority w:val="42"/>
    <w:rsid w:val="007855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5F793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F7937"/>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821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F08"/>
    <w:rPr>
      <w:sz w:val="20"/>
      <w:szCs w:val="20"/>
    </w:rPr>
  </w:style>
  <w:style w:type="character" w:styleId="FootnoteReference">
    <w:name w:val="footnote reference"/>
    <w:basedOn w:val="DefaultParagraphFont"/>
    <w:uiPriority w:val="99"/>
    <w:semiHidden/>
    <w:unhideWhenUsed/>
    <w:rsid w:val="00821F08"/>
    <w:rPr>
      <w:vertAlign w:val="superscript"/>
    </w:rPr>
  </w:style>
  <w:style w:type="paragraph" w:styleId="Header">
    <w:name w:val="header"/>
    <w:basedOn w:val="Normal"/>
    <w:link w:val="HeaderChar"/>
    <w:uiPriority w:val="99"/>
    <w:unhideWhenUsed/>
    <w:rsid w:val="00945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ED"/>
  </w:style>
  <w:style w:type="paragraph" w:styleId="Footer">
    <w:name w:val="footer"/>
    <w:basedOn w:val="Normal"/>
    <w:link w:val="FooterChar"/>
    <w:uiPriority w:val="99"/>
    <w:unhideWhenUsed/>
    <w:rsid w:val="00945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EED"/>
  </w:style>
  <w:style w:type="character" w:styleId="Hyperlink">
    <w:name w:val="Hyperlink"/>
    <w:basedOn w:val="DefaultParagraphFont"/>
    <w:uiPriority w:val="99"/>
    <w:unhideWhenUsed/>
    <w:rsid w:val="00E265A9"/>
    <w:rPr>
      <w:color w:val="0563C1" w:themeColor="hyperlink"/>
      <w:u w:val="single"/>
    </w:rPr>
  </w:style>
  <w:style w:type="paragraph" w:styleId="BalloonText">
    <w:name w:val="Balloon Text"/>
    <w:basedOn w:val="Normal"/>
    <w:link w:val="BalloonTextChar"/>
    <w:uiPriority w:val="99"/>
    <w:semiHidden/>
    <w:unhideWhenUsed/>
    <w:rsid w:val="007D5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A0F"/>
    <w:rPr>
      <w:rFonts w:ascii="Segoe UI" w:hAnsi="Segoe UI" w:cs="Segoe UI"/>
      <w:sz w:val="18"/>
      <w:szCs w:val="18"/>
    </w:rPr>
  </w:style>
  <w:style w:type="table" w:styleId="TableGrid">
    <w:name w:val="Table Grid"/>
    <w:basedOn w:val="TableNormal"/>
    <w:uiPriority w:val="39"/>
    <w:rsid w:val="00A11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A11B1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436B42"/>
    <w:rPr>
      <w:sz w:val="16"/>
      <w:szCs w:val="16"/>
    </w:rPr>
  </w:style>
  <w:style w:type="paragraph" w:styleId="CommentText">
    <w:name w:val="annotation text"/>
    <w:basedOn w:val="Normal"/>
    <w:link w:val="CommentTextChar"/>
    <w:uiPriority w:val="99"/>
    <w:semiHidden/>
    <w:unhideWhenUsed/>
    <w:rsid w:val="00436B42"/>
    <w:pPr>
      <w:spacing w:line="240" w:lineRule="auto"/>
    </w:pPr>
    <w:rPr>
      <w:sz w:val="20"/>
      <w:szCs w:val="20"/>
    </w:rPr>
  </w:style>
  <w:style w:type="character" w:customStyle="1" w:styleId="CommentTextChar">
    <w:name w:val="Comment Text Char"/>
    <w:basedOn w:val="DefaultParagraphFont"/>
    <w:link w:val="CommentText"/>
    <w:uiPriority w:val="99"/>
    <w:semiHidden/>
    <w:rsid w:val="00436B42"/>
    <w:rPr>
      <w:sz w:val="20"/>
      <w:szCs w:val="20"/>
    </w:rPr>
  </w:style>
  <w:style w:type="paragraph" w:styleId="CommentSubject">
    <w:name w:val="annotation subject"/>
    <w:basedOn w:val="CommentText"/>
    <w:next w:val="CommentText"/>
    <w:link w:val="CommentSubjectChar"/>
    <w:uiPriority w:val="99"/>
    <w:semiHidden/>
    <w:unhideWhenUsed/>
    <w:rsid w:val="00436B42"/>
    <w:rPr>
      <w:b/>
      <w:bCs/>
    </w:rPr>
  </w:style>
  <w:style w:type="character" w:customStyle="1" w:styleId="CommentSubjectChar">
    <w:name w:val="Comment Subject Char"/>
    <w:basedOn w:val="CommentTextChar"/>
    <w:link w:val="CommentSubject"/>
    <w:uiPriority w:val="99"/>
    <w:semiHidden/>
    <w:rsid w:val="00436B42"/>
    <w:rPr>
      <w:b/>
      <w:bCs/>
      <w:sz w:val="20"/>
      <w:szCs w:val="20"/>
    </w:rPr>
  </w:style>
  <w:style w:type="character" w:styleId="FollowedHyperlink">
    <w:name w:val="FollowedHyperlink"/>
    <w:basedOn w:val="DefaultParagraphFont"/>
    <w:uiPriority w:val="99"/>
    <w:semiHidden/>
    <w:unhideWhenUsed/>
    <w:rsid w:val="00D61FD0"/>
    <w:rPr>
      <w:color w:val="954F72" w:themeColor="followedHyperlink"/>
      <w:u w:val="single"/>
    </w:rPr>
  </w:style>
  <w:style w:type="paragraph" w:styleId="Revision">
    <w:name w:val="Revision"/>
    <w:hidden/>
    <w:uiPriority w:val="99"/>
    <w:semiHidden/>
    <w:rsid w:val="00FD4D4A"/>
    <w:pPr>
      <w:spacing w:after="0" w:line="240" w:lineRule="auto"/>
    </w:pPr>
  </w:style>
  <w:style w:type="paragraph" w:styleId="NoSpacing">
    <w:name w:val="No Spacing"/>
    <w:uiPriority w:val="1"/>
    <w:qFormat/>
    <w:rsid w:val="00834745"/>
    <w:pPr>
      <w:spacing w:after="0" w:line="240" w:lineRule="auto"/>
    </w:pPr>
  </w:style>
  <w:style w:type="table" w:styleId="TableGridLight">
    <w:name w:val="Grid Table Light"/>
    <w:basedOn w:val="TableNormal"/>
    <w:uiPriority w:val="40"/>
    <w:rsid w:val="00625D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25D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275DE5"/>
  </w:style>
  <w:style w:type="character" w:styleId="UnresolvedMention">
    <w:name w:val="Unresolved Mention"/>
    <w:basedOn w:val="DefaultParagraphFont"/>
    <w:uiPriority w:val="99"/>
    <w:semiHidden/>
    <w:unhideWhenUsed/>
    <w:rsid w:val="008F2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67998">
      <w:bodyDiv w:val="1"/>
      <w:marLeft w:val="0"/>
      <w:marRight w:val="0"/>
      <w:marTop w:val="0"/>
      <w:marBottom w:val="0"/>
      <w:divBdr>
        <w:top w:val="none" w:sz="0" w:space="0" w:color="auto"/>
        <w:left w:val="none" w:sz="0" w:space="0" w:color="auto"/>
        <w:bottom w:val="none" w:sz="0" w:space="0" w:color="auto"/>
        <w:right w:val="none" w:sz="0" w:space="0" w:color="auto"/>
      </w:divBdr>
      <w:divsChild>
        <w:div w:id="408767371">
          <w:marLeft w:val="0"/>
          <w:marRight w:val="0"/>
          <w:marTop w:val="0"/>
          <w:marBottom w:val="0"/>
          <w:divBdr>
            <w:top w:val="none" w:sz="0" w:space="0" w:color="auto"/>
            <w:left w:val="none" w:sz="0" w:space="0" w:color="auto"/>
            <w:bottom w:val="none" w:sz="0" w:space="0" w:color="auto"/>
            <w:right w:val="none" w:sz="0" w:space="0" w:color="auto"/>
          </w:divBdr>
        </w:div>
      </w:divsChild>
    </w:div>
    <w:div w:id="611668265">
      <w:bodyDiv w:val="1"/>
      <w:marLeft w:val="0"/>
      <w:marRight w:val="0"/>
      <w:marTop w:val="0"/>
      <w:marBottom w:val="0"/>
      <w:divBdr>
        <w:top w:val="none" w:sz="0" w:space="0" w:color="auto"/>
        <w:left w:val="none" w:sz="0" w:space="0" w:color="auto"/>
        <w:bottom w:val="none" w:sz="0" w:space="0" w:color="auto"/>
        <w:right w:val="none" w:sz="0" w:space="0" w:color="auto"/>
      </w:divBdr>
    </w:div>
    <w:div w:id="842622843">
      <w:bodyDiv w:val="1"/>
      <w:marLeft w:val="0"/>
      <w:marRight w:val="0"/>
      <w:marTop w:val="0"/>
      <w:marBottom w:val="0"/>
      <w:divBdr>
        <w:top w:val="none" w:sz="0" w:space="0" w:color="auto"/>
        <w:left w:val="none" w:sz="0" w:space="0" w:color="auto"/>
        <w:bottom w:val="none" w:sz="0" w:space="0" w:color="auto"/>
        <w:right w:val="none" w:sz="0" w:space="0" w:color="auto"/>
      </w:divBdr>
    </w:div>
    <w:div w:id="973411498">
      <w:bodyDiv w:val="1"/>
      <w:marLeft w:val="0"/>
      <w:marRight w:val="0"/>
      <w:marTop w:val="0"/>
      <w:marBottom w:val="0"/>
      <w:divBdr>
        <w:top w:val="none" w:sz="0" w:space="0" w:color="auto"/>
        <w:left w:val="none" w:sz="0" w:space="0" w:color="auto"/>
        <w:bottom w:val="none" w:sz="0" w:space="0" w:color="auto"/>
        <w:right w:val="none" w:sz="0" w:space="0" w:color="auto"/>
      </w:divBdr>
      <w:divsChild>
        <w:div w:id="2007201962">
          <w:marLeft w:val="0"/>
          <w:marRight w:val="0"/>
          <w:marTop w:val="0"/>
          <w:marBottom w:val="0"/>
          <w:divBdr>
            <w:top w:val="none" w:sz="0" w:space="0" w:color="auto"/>
            <w:left w:val="none" w:sz="0" w:space="0" w:color="auto"/>
            <w:bottom w:val="none" w:sz="0" w:space="0" w:color="auto"/>
            <w:right w:val="none" w:sz="0" w:space="0" w:color="auto"/>
          </w:divBdr>
        </w:div>
      </w:divsChild>
    </w:div>
    <w:div w:id="990863615">
      <w:bodyDiv w:val="1"/>
      <w:marLeft w:val="0"/>
      <w:marRight w:val="0"/>
      <w:marTop w:val="0"/>
      <w:marBottom w:val="0"/>
      <w:divBdr>
        <w:top w:val="none" w:sz="0" w:space="0" w:color="auto"/>
        <w:left w:val="none" w:sz="0" w:space="0" w:color="auto"/>
        <w:bottom w:val="none" w:sz="0" w:space="0" w:color="auto"/>
        <w:right w:val="none" w:sz="0" w:space="0" w:color="auto"/>
      </w:divBdr>
    </w:div>
    <w:div w:id="1050574101">
      <w:bodyDiv w:val="1"/>
      <w:marLeft w:val="0"/>
      <w:marRight w:val="0"/>
      <w:marTop w:val="0"/>
      <w:marBottom w:val="0"/>
      <w:divBdr>
        <w:top w:val="none" w:sz="0" w:space="0" w:color="auto"/>
        <w:left w:val="none" w:sz="0" w:space="0" w:color="auto"/>
        <w:bottom w:val="none" w:sz="0" w:space="0" w:color="auto"/>
        <w:right w:val="none" w:sz="0" w:space="0" w:color="auto"/>
      </w:divBdr>
    </w:div>
    <w:div w:id="1197230079">
      <w:bodyDiv w:val="1"/>
      <w:marLeft w:val="0"/>
      <w:marRight w:val="0"/>
      <w:marTop w:val="0"/>
      <w:marBottom w:val="0"/>
      <w:divBdr>
        <w:top w:val="none" w:sz="0" w:space="0" w:color="auto"/>
        <w:left w:val="none" w:sz="0" w:space="0" w:color="auto"/>
        <w:bottom w:val="none" w:sz="0" w:space="0" w:color="auto"/>
        <w:right w:val="none" w:sz="0" w:space="0" w:color="auto"/>
      </w:divBdr>
      <w:divsChild>
        <w:div w:id="2088646785">
          <w:marLeft w:val="0"/>
          <w:marRight w:val="0"/>
          <w:marTop w:val="0"/>
          <w:marBottom w:val="0"/>
          <w:divBdr>
            <w:top w:val="none" w:sz="0" w:space="0" w:color="auto"/>
            <w:left w:val="none" w:sz="0" w:space="0" w:color="auto"/>
            <w:bottom w:val="none" w:sz="0" w:space="0" w:color="auto"/>
            <w:right w:val="none" w:sz="0" w:space="0" w:color="auto"/>
          </w:divBdr>
        </w:div>
      </w:divsChild>
    </w:div>
    <w:div w:id="1560899564">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20071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cuments.clientearth.org/wp-content/uploads/library/2015-11-30-clean-air-handbook-version-two-ce-en.pdf" TargetMode="External"/><Relationship Id="rId18" Type="http://schemas.openxmlformats.org/officeDocument/2006/relationships/hyperlink" Target="https://uk-air.defra.gov.uk/air-pollution/uk-eu-policy-context" TargetMode="External"/><Relationship Id="rId26" Type="http://schemas.openxmlformats.org/officeDocument/2006/relationships/hyperlink" Target="http://www.europarl.europa.eu/RegData/etudes/STUD/2016/578986/IPOL_STU(2016)578986_EN.pdf" TargetMode="External"/><Relationship Id="rId3" Type="http://schemas.openxmlformats.org/officeDocument/2006/relationships/customXml" Target="../customXml/item3.xml"/><Relationship Id="rId21" Type="http://schemas.openxmlformats.org/officeDocument/2006/relationships/hyperlink" Target="https://www.manchester.gov.uk/downloads/file/25718/greater_manchester_air_quality_annual_status_report_asr_2016" TargetMode="External"/><Relationship Id="rId34" Type="http://schemas.openxmlformats.org/officeDocument/2006/relationships/package" Target="embeddings/Microsoft_Word_Document.docx"/><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scottishairquality.scot/air-quality/standards" TargetMode="External"/><Relationship Id="rId17" Type="http://schemas.openxmlformats.org/officeDocument/2006/relationships/hyperlink" Target="https://laqm.defra.gov.uk/assets/63091defraairqualityguide9web.pdf" TargetMode="External"/><Relationship Id="rId25" Type="http://schemas.openxmlformats.org/officeDocument/2006/relationships/hyperlink" Target="https://uk-air.defra.gov.uk/assets/documents/reports/cat09/1306281250_AQAP_Review_Final_Report.pdf" TargetMode="External"/><Relationship Id="rId33"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laqm.defra.gov.uk/documents/LAQM-PG16-April-16-v1.pdf" TargetMode="External"/><Relationship Id="rId20" Type="http://schemas.openxmlformats.org/officeDocument/2006/relationships/hyperlink" Target="https://www.glasgow.gov.uk/CHttpHandler.ashx?id=32447&amp;p=0" TargetMode="External"/><Relationship Id="rId29" Type="http://schemas.openxmlformats.org/officeDocument/2006/relationships/hyperlink" Target="https://www.umweltbundesamt.de/en/press/pressinformation/air-quality-2017-mitigation-of-nitrogen-diox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sites/default/files/domestic_boiler_emission_testing_report.pdf" TargetMode="External"/><Relationship Id="rId24" Type="http://schemas.openxmlformats.org/officeDocument/2006/relationships/hyperlink" Target="https://cleanairleeds.co.uk/sites/default/files/Leeds%20ASR%202018.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69340/pb13378-air-pollution.pdf" TargetMode="External"/><Relationship Id="rId23" Type="http://schemas.openxmlformats.org/officeDocument/2006/relationships/hyperlink" Target="https://www.leeds.gov.uk/docs/Leeds%20Transport%20Strategy.pdf" TargetMode="External"/><Relationship Id="rId28" Type="http://schemas.openxmlformats.org/officeDocument/2006/relationships/hyperlink" Target="https://www.independent.co.uk/environment/asthma-girl-death-air-pollution-level-illegal-ella-kissidebrah-a8430456.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nsult.defra.gov.uk/environmental-quality/clean-air-strategy-consultation/user_uploads/clean-air-strategy-2018-consultation.pdf" TargetMode="External"/><Relationship Id="rId31" Type="http://schemas.openxmlformats.org/officeDocument/2006/relationships/hyperlink" Target="https://www.theguardian.com/environment/2017/dec/25/fracking-start-2018-shale-gas-uk-industry-prote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gov.uk/documents/20182/32675/Bristol+City+Council+2018+Air+Quality+Annual+Status+Report+ASR/3d5c287b-f379-e484-7924-2aa02fc8bb0a" TargetMode="External"/><Relationship Id="rId22" Type="http://schemas.openxmlformats.org/officeDocument/2006/relationships/hyperlink" Target="https://www.greatermanchester-ca.gov.uk/downloads/download/78/gm_air_quality_action_plan_2016-21" TargetMode="External"/><Relationship Id="rId27" Type="http://schemas.openxmlformats.org/officeDocument/2006/relationships/hyperlink" Target="https://laqm.defra.gov.uk/assets/aqactionplansinterim.pdf" TargetMode="External"/><Relationship Id="rId30" Type="http://schemas.openxmlformats.org/officeDocument/2006/relationships/hyperlink" Target="https://www.endsreport.com/article/59808/clean-air-strategy-government-promises-revolution-in-air-quality-management"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3" ma:contentTypeDescription="Create a new document." ma:contentTypeScope="" ma:versionID="c1c151a7205ca3e1030596c8a5b9d671">
  <xsd:schema xmlns:xsd="http://www.w3.org/2001/XMLSchema" xmlns:xs="http://www.w3.org/2001/XMLSchema" xmlns:p="http://schemas.microsoft.com/office/2006/metadata/properties" xmlns:ns3="83464fbe-6045-496c-aadd-77a7be186b3d" xmlns:ns4="a6b74a24-0929-4331-b68d-6dc2f138fc9f" targetNamespace="http://schemas.microsoft.com/office/2006/metadata/properties" ma:root="true" ma:fieldsID="5091d3a91fb251d04d7607ce52c2a75c" ns3:_="" ns4:_="">
    <xsd:import namespace="83464fbe-6045-496c-aadd-77a7be186b3d"/>
    <xsd:import namespace="a6b74a24-0929-4331-b68d-6dc2f138fc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785A067-132F-4B89-8691-886F5F4A8B7C}">
  <ds:schemaRefs>
    <ds:schemaRef ds:uri="http://schemas.microsoft.com/sharepoint/v3/contenttype/forms"/>
  </ds:schemaRefs>
</ds:datastoreItem>
</file>

<file path=customXml/itemProps2.xml><?xml version="1.0" encoding="utf-8"?>
<ds:datastoreItem xmlns:ds="http://schemas.openxmlformats.org/officeDocument/2006/customXml" ds:itemID="{D6140C75-2B57-430A-A62A-7A3D2EE05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4fbe-6045-496c-aadd-77a7be186b3d"/>
    <ds:schemaRef ds:uri="a6b74a24-0929-4331-b68d-6dc2f13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2787A-A9F2-44AF-B77F-B7690217F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541ED2-C62C-43B6-A625-6189190A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22</Pages>
  <Words>9572</Words>
  <Characters>54564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Fremantle</dc:creator>
  <cp:keywords/>
  <dc:description/>
  <cp:lastModifiedBy>Fremantle, Katie</cp:lastModifiedBy>
  <cp:revision>56</cp:revision>
  <cp:lastPrinted>2021-01-21T15:09:00Z</cp:lastPrinted>
  <dcterms:created xsi:type="dcterms:W3CDTF">2021-01-25T12:17:00Z</dcterms:created>
  <dcterms:modified xsi:type="dcterms:W3CDTF">2021-05-01T18:05:00Z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