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04CA8" w14:textId="7B30C6A6" w:rsidR="00DB78D0" w:rsidRDefault="00DB78D0" w:rsidP="00DB78D0">
      <w:pPr>
        <w:rPr>
          <w:b/>
        </w:rPr>
      </w:pPr>
      <w:r>
        <w:rPr>
          <w:b/>
        </w:rPr>
        <w:t>The dynamics of procalcitonin in COVID-19 patients admitted to Intensive Care Unit - A multi-centre cohort study in the South West of England, UK.</w:t>
      </w:r>
    </w:p>
    <w:p w14:paraId="71113F55" w14:textId="083E3D49" w:rsidR="00DB78D0" w:rsidRPr="00853E56" w:rsidRDefault="00DB78D0" w:rsidP="00DB78D0">
      <w:r>
        <w:t xml:space="preserve">Philip Williams, Chris McWilliams, Kamran Soomro, Irasha Harding, Stefan Gurney, Matt Thomas, </w:t>
      </w:r>
      <w:proofErr w:type="spellStart"/>
      <w:r>
        <w:t>Maha</w:t>
      </w:r>
      <w:proofErr w:type="spellEnd"/>
      <w:r>
        <w:t xml:space="preserve"> Albur, O. Martin Williams</w:t>
      </w:r>
    </w:p>
    <w:p w14:paraId="0FE4C525" w14:textId="1A07016E" w:rsidR="00DB78D0" w:rsidRPr="00BB5139" w:rsidRDefault="00DB78D0" w:rsidP="00DB78D0">
      <w:pPr>
        <w:rPr>
          <w:rFonts w:cstheme="minorHAnsi"/>
        </w:rPr>
      </w:pPr>
      <w:r w:rsidRPr="00BB5139">
        <w:rPr>
          <w:rFonts w:cstheme="minorHAnsi"/>
        </w:rPr>
        <w:t xml:space="preserve">Severe COVID-19 infections are characterised by a systemic inflammatory response, and frequently present with pyrexia, raised C-reactive protein (CRP), hypoxia and lung infiltrates. Clinicians have struggled to determine which COVID-19 patients have super-added bacterial infection requiring antibiotic treatment, leading to widespread antibiotic </w:t>
      </w:r>
      <w:proofErr w:type="gramStart"/>
      <w:r w:rsidRPr="00BB5139">
        <w:rPr>
          <w:rFonts w:cstheme="minorHAnsi"/>
        </w:rPr>
        <w:t>use</w:t>
      </w:r>
      <w:r w:rsidR="00846F69" w:rsidRPr="00BB5139">
        <w:rPr>
          <w:rFonts w:cstheme="minorHAnsi"/>
        </w:rPr>
        <w:t>(</w:t>
      </w:r>
      <w:proofErr w:type="gramEnd"/>
      <w:r w:rsidR="00846F69" w:rsidRPr="00BB5139">
        <w:rPr>
          <w:rFonts w:cstheme="minorHAnsi"/>
        </w:rPr>
        <w:t>1)</w:t>
      </w:r>
      <w:r w:rsidRPr="00BB5139">
        <w:rPr>
          <w:rFonts w:cstheme="minorHAnsi"/>
        </w:rPr>
        <w:t>.</w:t>
      </w:r>
      <w:r w:rsidR="002E2A2A" w:rsidRPr="00BB5139">
        <w:rPr>
          <w:rFonts w:cstheme="minorHAnsi"/>
        </w:rPr>
        <w:t xml:space="preserve"> </w:t>
      </w:r>
    </w:p>
    <w:p w14:paraId="309EEB28" w14:textId="2F2E9830" w:rsidR="00237BE5" w:rsidRPr="00BB5139" w:rsidRDefault="00B80F37" w:rsidP="005C08FD">
      <w:r>
        <w:t>M</w:t>
      </w:r>
      <w:r w:rsidR="00250B30" w:rsidRPr="00BB5139">
        <w:t xml:space="preserve">icrobiological culture is a relatively insensitive technique, especially </w:t>
      </w:r>
      <w:r w:rsidR="00237BE5" w:rsidRPr="00BB5139">
        <w:t>during</w:t>
      </w:r>
      <w:r w:rsidR="00250B30" w:rsidRPr="00BB5139">
        <w:t xml:space="preserve"> antibiotic treatment. </w:t>
      </w:r>
      <w:r w:rsidR="00237BE5" w:rsidRPr="00BB5139">
        <w:t xml:space="preserve">It can be difficult to distinguish infection and colonisation in </w:t>
      </w:r>
      <w:r w:rsidR="00250B30" w:rsidRPr="00BB5139">
        <w:t xml:space="preserve">non-sterile </w:t>
      </w:r>
      <w:proofErr w:type="gramStart"/>
      <w:r w:rsidR="00250B30" w:rsidRPr="00BB5139">
        <w:t>sites,</w:t>
      </w:r>
      <w:proofErr w:type="gramEnd"/>
      <w:r w:rsidR="00250B30" w:rsidRPr="00BB5139">
        <w:t xml:space="preserve"> and even in patients with sepsis only 30-50% will have a positive blood culture</w:t>
      </w:r>
      <w:r w:rsidR="00842627" w:rsidRPr="00BB5139">
        <w:t xml:space="preserve"> (2)</w:t>
      </w:r>
      <w:r w:rsidR="00250B30" w:rsidRPr="00BB5139">
        <w:t xml:space="preserve">. We cannot therefore rely on positive microbiology alone as an indicator of bacterial infection. </w:t>
      </w:r>
    </w:p>
    <w:p w14:paraId="1575C2FB" w14:textId="4AD6C5B2" w:rsidR="00846F69" w:rsidRPr="00BB5139" w:rsidRDefault="00DB78D0" w:rsidP="00666EBF">
      <w:pPr>
        <w:rPr>
          <w:rFonts w:cstheme="minorHAnsi"/>
        </w:rPr>
      </w:pPr>
      <w:r w:rsidRPr="00BB5139">
        <w:rPr>
          <w:rFonts w:cstheme="minorHAnsi"/>
        </w:rPr>
        <w:t xml:space="preserve">Procalcitonin (PCT) is an inflammatory biomarker </w:t>
      </w:r>
      <w:r w:rsidR="00846F69" w:rsidRPr="00BB5139">
        <w:rPr>
          <w:rFonts w:cstheme="minorHAnsi"/>
        </w:rPr>
        <w:t xml:space="preserve">that </w:t>
      </w:r>
      <w:r w:rsidR="00846F69" w:rsidRPr="00BB5139">
        <w:t>rises in bacterial infection and falls in response to antibiotic treatment</w:t>
      </w:r>
      <w:r w:rsidR="00846F69" w:rsidRPr="00BB5139">
        <w:rPr>
          <w:rFonts w:cstheme="minorHAnsi"/>
        </w:rPr>
        <w:t xml:space="preserve">, and has </w:t>
      </w:r>
      <w:r w:rsidRPr="00BB5139">
        <w:rPr>
          <w:rFonts w:cstheme="minorHAnsi"/>
        </w:rPr>
        <w:t>greater sensitivity and specificity for bacterial infection than CRP</w:t>
      </w:r>
      <w:r w:rsidR="00842627" w:rsidRPr="00BB5139">
        <w:rPr>
          <w:rFonts w:cstheme="minorHAnsi"/>
        </w:rPr>
        <w:t xml:space="preserve"> (</w:t>
      </w:r>
      <w:r w:rsidR="00036F9C" w:rsidRPr="00BB5139">
        <w:rPr>
          <w:rFonts w:cstheme="minorHAnsi"/>
        </w:rPr>
        <w:t>3, 4)</w:t>
      </w:r>
      <w:r w:rsidR="00666EBF" w:rsidRPr="00BB5139">
        <w:rPr>
          <w:rFonts w:cstheme="minorHAnsi"/>
        </w:rPr>
        <w:t>.</w:t>
      </w:r>
      <w:r w:rsidR="00846F69" w:rsidRPr="00BB5139">
        <w:rPr>
          <w:rFonts w:cstheme="minorHAnsi"/>
        </w:rPr>
        <w:t xml:space="preserve"> </w:t>
      </w:r>
      <w:r w:rsidR="00846F69" w:rsidRPr="00BB5139">
        <w:t xml:space="preserve">PCT has been used to distinguish between influenza </w:t>
      </w:r>
      <w:r w:rsidR="00237BE5" w:rsidRPr="00BB5139">
        <w:t>with and without</w:t>
      </w:r>
      <w:r w:rsidR="00846F69" w:rsidRPr="00BB5139">
        <w:t xml:space="preserve"> secondary</w:t>
      </w:r>
      <w:r w:rsidR="00237BE5" w:rsidRPr="00BB5139">
        <w:t xml:space="preserve"> bacterial infection (4) and is</w:t>
      </w:r>
      <w:r w:rsidR="00846F69" w:rsidRPr="00BB5139">
        <w:rPr>
          <w:rFonts w:cstheme="minorHAnsi"/>
        </w:rPr>
        <w:t xml:space="preserve"> of potential value in identifying COVID-19 patients with genuine bacterial infection.</w:t>
      </w:r>
    </w:p>
    <w:p w14:paraId="655C5EBC" w14:textId="7C289361" w:rsidR="00DB705D" w:rsidRPr="00BB5139" w:rsidRDefault="00846F69" w:rsidP="00DB705D">
      <w:r w:rsidRPr="00BB5139">
        <w:t xml:space="preserve">Previous </w:t>
      </w:r>
      <w:r w:rsidR="00666EBF" w:rsidRPr="00BB5139">
        <w:t>studies have investigated the role</w:t>
      </w:r>
      <w:r w:rsidR="001B4B61">
        <w:t xml:space="preserve"> of PCT in COVID-19 infection. </w:t>
      </w:r>
      <w:r w:rsidR="00DB705D" w:rsidRPr="00BB5139">
        <w:t xml:space="preserve">Williams </w:t>
      </w:r>
      <w:r w:rsidR="00666EBF" w:rsidRPr="00BB5139">
        <w:rPr>
          <w:i/>
        </w:rPr>
        <w:t xml:space="preserve">et </w:t>
      </w:r>
      <w:proofErr w:type="gramStart"/>
      <w:r w:rsidR="00666EBF" w:rsidRPr="00BB5139">
        <w:rPr>
          <w:i/>
        </w:rPr>
        <w:t>al</w:t>
      </w:r>
      <w:r w:rsidR="00DB705D" w:rsidRPr="00BB5139">
        <w:t xml:space="preserve"> </w:t>
      </w:r>
      <w:r w:rsidR="00842627" w:rsidRPr="00BB5139">
        <w:t xml:space="preserve"> (</w:t>
      </w:r>
      <w:proofErr w:type="gramEnd"/>
      <w:r w:rsidR="00036F9C" w:rsidRPr="00BB5139">
        <w:t>5)</w:t>
      </w:r>
      <w:r w:rsidR="00DB705D" w:rsidRPr="00BB5139">
        <w:t xml:space="preserve"> described a retrospective analysis of </w:t>
      </w:r>
      <w:r w:rsidR="00B61C8C" w:rsidRPr="00BB5139">
        <w:t xml:space="preserve">PCT use in COVID-19 patients, concluding </w:t>
      </w:r>
      <w:r w:rsidR="00DB705D" w:rsidRPr="00BB5139">
        <w:t xml:space="preserve">that PCT led to a reduction in antibiotic use without </w:t>
      </w:r>
      <w:r w:rsidR="00B61C8C" w:rsidRPr="00BB5139">
        <w:t>impacting</w:t>
      </w:r>
      <w:r w:rsidR="0074147A" w:rsidRPr="00BB5139">
        <w:t xml:space="preserve"> on 28 day outcomes.</w:t>
      </w:r>
    </w:p>
    <w:p w14:paraId="5185C0C2" w14:textId="5F2F5E0B" w:rsidR="00DB705D" w:rsidRPr="00BB5139" w:rsidRDefault="00DB705D" w:rsidP="004A348D">
      <w:r w:rsidRPr="00BB5139">
        <w:t xml:space="preserve">Van </w:t>
      </w:r>
      <w:proofErr w:type="spellStart"/>
      <w:r w:rsidRPr="00BB5139">
        <w:t>Berkel</w:t>
      </w:r>
      <w:proofErr w:type="spellEnd"/>
      <w:r w:rsidRPr="00BB5139">
        <w:t xml:space="preserve"> </w:t>
      </w:r>
      <w:r w:rsidR="00666EBF" w:rsidRPr="00BB5139">
        <w:rPr>
          <w:i/>
        </w:rPr>
        <w:t xml:space="preserve">et </w:t>
      </w:r>
      <w:proofErr w:type="gramStart"/>
      <w:r w:rsidR="00666EBF" w:rsidRPr="00BB5139">
        <w:rPr>
          <w:i/>
        </w:rPr>
        <w:t>al</w:t>
      </w:r>
      <w:r w:rsidR="00666EBF" w:rsidRPr="00BB5139">
        <w:t xml:space="preserve"> </w:t>
      </w:r>
      <w:r w:rsidR="00842627" w:rsidRPr="00BB5139">
        <w:t xml:space="preserve"> (</w:t>
      </w:r>
      <w:proofErr w:type="gramEnd"/>
      <w:r w:rsidR="00036F9C" w:rsidRPr="00BB5139">
        <w:t>6)</w:t>
      </w:r>
      <w:r w:rsidR="006B0666" w:rsidRPr="00BB5139">
        <w:t xml:space="preserve"> measured PCT and CRP in</w:t>
      </w:r>
      <w:r w:rsidRPr="00BB5139">
        <w:t xml:space="preserve"> </w:t>
      </w:r>
      <w:r w:rsidR="00B61C8C" w:rsidRPr="00BB5139">
        <w:t xml:space="preserve">ICU patients with COVID-19, </w:t>
      </w:r>
      <w:r w:rsidRPr="00BB5139">
        <w:t xml:space="preserve">diagnosed </w:t>
      </w:r>
      <w:r w:rsidR="00B61C8C" w:rsidRPr="00BB5139">
        <w:t>with</w:t>
      </w:r>
      <w:r w:rsidRPr="00BB5139">
        <w:t xml:space="preserve"> secondary bacterial infection based on a positive culture and the opinion of two ICU physicians. </w:t>
      </w:r>
      <w:r w:rsidR="006B0666" w:rsidRPr="00BB5139">
        <w:t xml:space="preserve">They concluded that low PCT could be used to exclude secondary bacterial infection. </w:t>
      </w:r>
    </w:p>
    <w:p w14:paraId="3836D707" w14:textId="0A29A527" w:rsidR="00302759" w:rsidRPr="00BB5139" w:rsidRDefault="00302759" w:rsidP="00302759">
      <w:r w:rsidRPr="00BB5139">
        <w:t>PCT</w:t>
      </w:r>
      <w:r w:rsidR="00B61C8C" w:rsidRPr="00BB5139">
        <w:t xml:space="preserve"> has</w:t>
      </w:r>
      <w:r w:rsidRPr="00BB5139">
        <w:t xml:space="preserve"> been identified as marker of poor prognosis in COVID-19 infection</w:t>
      </w:r>
      <w:r w:rsidR="00842627" w:rsidRPr="00BB5139">
        <w:t xml:space="preserve"> (</w:t>
      </w:r>
      <w:r w:rsidR="00036F9C" w:rsidRPr="00BB5139">
        <w:t>7</w:t>
      </w:r>
      <w:r w:rsidR="00842627" w:rsidRPr="00BB5139">
        <w:t>)</w:t>
      </w:r>
      <w:r w:rsidRPr="00BB5139">
        <w:t xml:space="preserve">, and it is unclear if </w:t>
      </w:r>
      <w:r w:rsidR="00AD371B" w:rsidRPr="00BB5139">
        <w:t xml:space="preserve">a raised </w:t>
      </w:r>
      <w:r w:rsidRPr="00BB5139">
        <w:t>PCT is part of the inflammatory syndrome associated with COVID-19</w:t>
      </w:r>
      <w:r w:rsidR="00214C77" w:rsidRPr="00BB5139">
        <w:t xml:space="preserve"> or </w:t>
      </w:r>
      <w:r w:rsidR="00AD371B" w:rsidRPr="00BB5139">
        <w:t xml:space="preserve">primarily </w:t>
      </w:r>
      <w:r w:rsidRPr="00BB5139">
        <w:t>reflects bacterial co-infection r</w:t>
      </w:r>
      <w:r w:rsidR="00AD371B" w:rsidRPr="00BB5139">
        <w:t>equiring antibiotic treatment.</w:t>
      </w:r>
    </w:p>
    <w:p w14:paraId="5D037499" w14:textId="4321725B" w:rsidR="004A348D" w:rsidRPr="00BB5139" w:rsidRDefault="004A348D" w:rsidP="004A348D">
      <w:r w:rsidRPr="00BB5139">
        <w:t xml:space="preserve">We hypothesise PCT raised as an innate part of COVID-19 infection would be unresponsive to antibiotics, while that due to bacterial co-infection would respond to appropriate antibiotic treatment. If PCT is low in many COVID-19 patients and responsive to antibiotic treatment in others, then PCT </w:t>
      </w:r>
      <w:r w:rsidR="00F01B99" w:rsidRPr="00BB5139">
        <w:t>could provide</w:t>
      </w:r>
      <w:r w:rsidRPr="00BB5139">
        <w:t xml:space="preserve"> useful marker of super-added bacterial inf</w:t>
      </w:r>
      <w:r w:rsidR="00F01B99" w:rsidRPr="00BB5139">
        <w:t>ection in COVID-19</w:t>
      </w:r>
      <w:r w:rsidR="00AA259A">
        <w:t xml:space="preserve"> </w:t>
      </w:r>
      <w:r w:rsidR="00F01B99" w:rsidRPr="00BB5139">
        <w:t>and</w:t>
      </w:r>
      <w:r w:rsidRPr="00BB5139">
        <w:t xml:space="preserve"> in conjunction with the overall clinical picture </w:t>
      </w:r>
      <w:r w:rsidR="00F01B99" w:rsidRPr="00BB5139">
        <w:t>can</w:t>
      </w:r>
      <w:r w:rsidRPr="00BB5139">
        <w:t xml:space="preserve"> guide antibiotic use. </w:t>
      </w:r>
    </w:p>
    <w:p w14:paraId="46F8699C" w14:textId="5538A785" w:rsidR="00DB78D0" w:rsidRPr="00BB5139" w:rsidRDefault="00DB78D0" w:rsidP="00DB78D0">
      <w:pPr>
        <w:rPr>
          <w:rFonts w:cstheme="minorHAnsi"/>
        </w:rPr>
      </w:pPr>
      <w:r w:rsidRPr="00BB5139">
        <w:rPr>
          <w:rFonts w:cstheme="minorHAnsi"/>
        </w:rPr>
        <w:t xml:space="preserve">We have undertaken a retrospective observational study describing the dynamics of PCT and CRP, including the response to antibiotic treatment, in adults with severe COVID-19 infection requiring intensive care unit (ICU) admission </w:t>
      </w:r>
      <w:r w:rsidR="00AA259A">
        <w:rPr>
          <w:rFonts w:cstheme="minorHAnsi"/>
        </w:rPr>
        <w:t xml:space="preserve">(n=99) </w:t>
      </w:r>
      <w:r w:rsidRPr="00BB5139">
        <w:rPr>
          <w:rFonts w:cstheme="minorHAnsi"/>
        </w:rPr>
        <w:t xml:space="preserve">during the first wave of the pandemic. For comparison we selected two better-understood groups of patients from historical data, </w:t>
      </w:r>
      <w:r w:rsidR="00C10CAC" w:rsidRPr="00BB5139">
        <w:rPr>
          <w:rFonts w:cstheme="minorHAnsi"/>
        </w:rPr>
        <w:t xml:space="preserve">adult </w:t>
      </w:r>
      <w:r w:rsidRPr="00BB5139">
        <w:rPr>
          <w:rFonts w:cstheme="minorHAnsi"/>
        </w:rPr>
        <w:t>ICU patients with either bacteraemia representing proven bacterial infection</w:t>
      </w:r>
      <w:r w:rsidR="00C10CAC" w:rsidRPr="00BB5139">
        <w:rPr>
          <w:rFonts w:cstheme="minorHAnsi"/>
        </w:rPr>
        <w:t xml:space="preserve"> (n=113)</w:t>
      </w:r>
      <w:r w:rsidRPr="00BB5139">
        <w:rPr>
          <w:rFonts w:cstheme="minorHAnsi"/>
        </w:rPr>
        <w:t>, or influenza representing viral infection at risk of super-added bacterial infection</w:t>
      </w:r>
      <w:r w:rsidR="00C10CAC" w:rsidRPr="00BB5139">
        <w:rPr>
          <w:rFonts w:cstheme="minorHAnsi"/>
        </w:rPr>
        <w:t xml:space="preserve"> (n=32)</w:t>
      </w:r>
      <w:r w:rsidRPr="00BB5139">
        <w:rPr>
          <w:rFonts w:cstheme="minorHAnsi"/>
        </w:rPr>
        <w:t>.</w:t>
      </w:r>
      <w:r w:rsidR="00E51F00" w:rsidRPr="00BB5139">
        <w:rPr>
          <w:rFonts w:cstheme="minorHAnsi"/>
        </w:rPr>
        <w:t xml:space="preserve"> </w:t>
      </w:r>
      <w:r w:rsidR="00E51F00" w:rsidRPr="00BB5139">
        <w:t>Microbiology, inflammatory markers, and antibiotic use, were recorded for the 3 cohorts for 14 days from the first positive blood culture or viral PCR test.</w:t>
      </w:r>
    </w:p>
    <w:p w14:paraId="64B2BD15" w14:textId="1EA4B52E" w:rsidR="00380FE3" w:rsidRPr="00BB5139" w:rsidRDefault="00380FE3" w:rsidP="009B58BA">
      <w:r w:rsidRPr="00BB5139">
        <w:lastRenderedPageBreak/>
        <w:t xml:space="preserve">Bacterial co-infection rates in the COVID-19 and the influenza cohorts (7.1% and 18.7%, respectively) were similar to those found in other studies and co-infection rates for both viral infections are higher in ICU patients than in other hospitalised patients </w:t>
      </w:r>
      <w:r w:rsidR="00842627" w:rsidRPr="00BB5139">
        <w:t>(</w:t>
      </w:r>
      <w:r w:rsidR="00036F9C" w:rsidRPr="00BB5139">
        <w:t>1,8</w:t>
      </w:r>
      <w:r w:rsidR="00BB5139" w:rsidRPr="00BB5139">
        <w:t>)</w:t>
      </w:r>
      <w:r w:rsidRPr="00BB5139">
        <w:fldChar w:fldCharType="begin"/>
      </w:r>
      <w:r w:rsidRPr="00BB5139">
        <w:instrText>ADDIN EN.CITE</w:instrText>
      </w:r>
      <w:r w:rsidRPr="00BB5139">
        <w:fldChar w:fldCharType="end"/>
      </w:r>
      <w:bookmarkStart w:id="0" w:name="__Fieldmark__1164_2392508125"/>
      <w:r w:rsidRPr="00BB5139">
        <w:fldChar w:fldCharType="begin"/>
      </w:r>
      <w:r w:rsidRPr="00BB5139">
        <w:instrText xml:space="preserve"> HYPERLINK \l "_ENREF_18" \t "Shah, 2016 #20" \h </w:instrText>
      </w:r>
      <w:r w:rsidRPr="00BB5139">
        <w:fldChar w:fldCharType="separate"/>
      </w:r>
      <w:bookmarkEnd w:id="0"/>
      <w:r w:rsidRPr="00BB5139">
        <w:t xml:space="preserve">. </w:t>
      </w:r>
      <w:r w:rsidRPr="00BB5139">
        <w:fldChar w:fldCharType="end"/>
      </w:r>
      <w:r w:rsidRPr="00BB5139" w:rsidDel="00196CD2">
        <w:t xml:space="preserve"> </w:t>
      </w:r>
    </w:p>
    <w:p w14:paraId="570AB91C" w14:textId="54FCB7B1" w:rsidR="009B58BA" w:rsidRPr="00BB5139" w:rsidRDefault="00DB78D0" w:rsidP="009B58BA">
      <w:pPr>
        <w:rPr>
          <w:rFonts w:cstheme="minorHAnsi"/>
        </w:rPr>
      </w:pPr>
      <w:r w:rsidRPr="00BB5139">
        <w:rPr>
          <w:rFonts w:cstheme="minorHAnsi"/>
        </w:rPr>
        <w:t>CRP was initially raised in the COVID-19 cohort and continued to rise during week 1, falling during week 2</w:t>
      </w:r>
      <w:r w:rsidR="00C10CAC" w:rsidRPr="00BB5139">
        <w:rPr>
          <w:rFonts w:cstheme="minorHAnsi"/>
        </w:rPr>
        <w:t xml:space="preserve"> (figure-1).</w:t>
      </w:r>
    </w:p>
    <w:p w14:paraId="1BC21F9C" w14:textId="1737955C" w:rsidR="009B58BA" w:rsidRPr="00BB5139" w:rsidRDefault="009B58BA" w:rsidP="009B58BA">
      <w:pPr>
        <w:rPr>
          <w:rFonts w:cstheme="minorHAnsi"/>
        </w:rPr>
      </w:pPr>
      <w:r w:rsidRPr="00BB5139">
        <w:t xml:space="preserve">Elevated PCT in the first 48 hours of admission was rare in COVID-19 patients. Where PCT was recorded </w:t>
      </w:r>
      <w:r w:rsidR="00780583">
        <w:t>it was &lt;1.0ng/L in 68.9% of COVID compared to 38%</w:t>
      </w:r>
      <w:r w:rsidR="0014103F">
        <w:t xml:space="preserve"> influenza patients.</w:t>
      </w:r>
    </w:p>
    <w:p w14:paraId="2001BB52" w14:textId="77777777" w:rsidR="00482197" w:rsidRPr="00BB5139" w:rsidRDefault="00482197" w:rsidP="00B10475">
      <w:r w:rsidRPr="00BB5139">
        <w:t xml:space="preserve">In an attempt to produce an objective assessment of antibiotic response we have adopted the following definitions “a priori”. We have defined likely bacterial infection group as PCT&gt;1.0 ng/l  and have defined a response to antibiotic treatment as a 40% reduction from peak PCT by day 3, or a 60% reduction by day 4 or an 80% reduction by day 5 of treatment or a reduction to below 1.0ng/l. Any PCT reductions up to 24 hours after an antibiotic regime was stopped </w:t>
      </w:r>
      <w:proofErr w:type="gramStart"/>
      <w:r w:rsidRPr="00BB5139">
        <w:t>was</w:t>
      </w:r>
      <w:proofErr w:type="gramEnd"/>
      <w:r w:rsidRPr="00BB5139">
        <w:t xml:space="preserve"> included as part of the attributable response.</w:t>
      </w:r>
    </w:p>
    <w:p w14:paraId="791D2CCB" w14:textId="59F1D0F0" w:rsidR="00E30F1B" w:rsidRPr="00BB5139" w:rsidRDefault="009B58BA" w:rsidP="00B10475">
      <w:r w:rsidRPr="00BB5139">
        <w:t xml:space="preserve">Patients with insufficient PCT data to determine response where excluded. The remainder were placed in 3 groups; group 1: PCT below 1.0ng/L on days 0 to 13; group 2: PCT raised above 1.0ng/L, but a response to antibiotic treatment was observed; group 3: PCT unresponsive to antibiotic </w:t>
      </w:r>
      <w:r w:rsidRPr="00BB5139">
        <w:rPr>
          <w:rFonts w:cstheme="minorHAnsi"/>
        </w:rPr>
        <w:t>treatment</w:t>
      </w:r>
      <w:r w:rsidR="00EC1F32" w:rsidRPr="00BB5139">
        <w:rPr>
          <w:rFonts w:cstheme="minorHAnsi"/>
        </w:rPr>
        <w:t xml:space="preserve">. </w:t>
      </w:r>
      <w:r w:rsidR="00EC1F32" w:rsidRPr="00BB5139">
        <w:t xml:space="preserve">The characteristic of the 3 groups are summarised in tables 1 and with the inflammatory markers shown in graphical form in appendix 1. </w:t>
      </w:r>
    </w:p>
    <w:p w14:paraId="4C1DF99B" w14:textId="771CF9D3" w:rsidR="00B50FFF" w:rsidRPr="00BB5139" w:rsidRDefault="00B50FFF" w:rsidP="00B50FFF">
      <w:r w:rsidRPr="00BB5139">
        <w:t>Low PCT is expected in viral infection. In bacterial infection PCT is typically raised, with higher values seen in systemic compared to</w:t>
      </w:r>
      <w:r w:rsidR="00B47D76" w:rsidRPr="00BB5139">
        <w:t xml:space="preserve"> </w:t>
      </w:r>
      <w:r w:rsidRPr="00BB5139">
        <w:t xml:space="preserve">localised infection, and with more pathogenic organism </w:t>
      </w:r>
      <w:r w:rsidR="00036F9C" w:rsidRPr="00BB5139">
        <w:t>(9)</w:t>
      </w:r>
      <w:r w:rsidR="00651401" w:rsidRPr="00BB5139">
        <w:t>.</w:t>
      </w:r>
    </w:p>
    <w:p w14:paraId="461602A3" w14:textId="30B7D149" w:rsidR="00651401" w:rsidRPr="00BB5139" w:rsidRDefault="00651401" w:rsidP="00B50FFF">
      <w:r w:rsidRPr="00BB5139">
        <w:t>In keeping with this only 8.2% of the BSI cohort had low PCT (group 1) while 76.7% showed a good PCT response to antibiotics (group 2), and 15.1% a poor response to antibiotics (group 3)</w:t>
      </w:r>
      <w:r w:rsidR="002971AB" w:rsidRPr="00BB5139">
        <w:t>, with associated high m</w:t>
      </w:r>
      <w:r w:rsidRPr="00BB5139">
        <w:t>ortality</w:t>
      </w:r>
      <w:r w:rsidR="00780583">
        <w:t xml:space="preserve"> in this group</w:t>
      </w:r>
      <w:r w:rsidR="00AB730C" w:rsidRPr="00BB5139">
        <w:t>.</w:t>
      </w:r>
      <w:r w:rsidRPr="00BB5139">
        <w:t xml:space="preserve"> </w:t>
      </w:r>
      <w:r w:rsidR="00AB730C" w:rsidRPr="00BB5139">
        <w:t xml:space="preserve">In contrast </w:t>
      </w:r>
      <w:r w:rsidRPr="00BB5139">
        <w:t>43% of influenza patients</w:t>
      </w:r>
      <w:r w:rsidR="00AB730C" w:rsidRPr="00BB5139">
        <w:t xml:space="preserve">, and 36% </w:t>
      </w:r>
      <w:r w:rsidRPr="00BB5139">
        <w:t>COVID-19 patients had a low PCT from admission to day 13</w:t>
      </w:r>
      <w:r w:rsidR="0014103F">
        <w:t xml:space="preserve"> (group 1)</w:t>
      </w:r>
      <w:r w:rsidR="002971AB" w:rsidRPr="00BB5139">
        <w:t>, with 39.1% of influenza patients, and 29.3% COVID-19 patients having a raised PCT that responded rapidly to antibiotics</w:t>
      </w:r>
      <w:r w:rsidR="00780583">
        <w:t xml:space="preserve"> consistent with super-added bacterial infection</w:t>
      </w:r>
      <w:r w:rsidR="0014103F">
        <w:t xml:space="preserve"> (group2)</w:t>
      </w:r>
      <w:r w:rsidR="00780583">
        <w:t>.</w:t>
      </w:r>
    </w:p>
    <w:p w14:paraId="0C906470" w14:textId="26582FB8" w:rsidR="00380FE3" w:rsidRPr="00BB5139" w:rsidRDefault="00BB5139" w:rsidP="00BB5139">
      <w:pPr>
        <w:jc w:val="both"/>
      </w:pPr>
      <w:r w:rsidRPr="00BB5139">
        <w:t>We</w:t>
      </w:r>
      <w:r w:rsidR="00380FE3" w:rsidRPr="00BB5139">
        <w:t xml:space="preserve"> found that the CRP of our COVID-19 patients rose over the first 72 hours both in patients with a low PCT (</w:t>
      </w:r>
      <w:r w:rsidR="00482197" w:rsidRPr="00BB5139">
        <w:t>bacterial infection unlikely</w:t>
      </w:r>
      <w:r w:rsidR="00380FE3" w:rsidRPr="00BB5139">
        <w:t>) and those in group 2 (high PCT that responded to antibiotic treatment</w:t>
      </w:r>
      <w:r w:rsidR="00482197" w:rsidRPr="00BB5139">
        <w:t xml:space="preserve"> (bacterial infection likely</w:t>
      </w:r>
      <w:r w:rsidR="00380FE3" w:rsidRPr="00BB5139">
        <w:t xml:space="preserve">). We suggest that static or rising CRP while on antibiotic treatment will not reliably exclude bacterial co-infection in COVID-19 patients in ICU </w:t>
      </w:r>
      <w:r w:rsidR="00482197" w:rsidRPr="00BB5139">
        <w:t xml:space="preserve">in contrast to </w:t>
      </w:r>
      <w:r w:rsidR="002F7E2B" w:rsidRPr="00BB5139">
        <w:t xml:space="preserve">the </w:t>
      </w:r>
      <w:r w:rsidR="00780583">
        <w:t>strategy</w:t>
      </w:r>
      <w:r w:rsidR="002F7E2B" w:rsidRPr="00BB5139">
        <w:t xml:space="preserve"> </w:t>
      </w:r>
      <w:r w:rsidRPr="00BB5139">
        <w:t xml:space="preserve">proposed by Mason </w:t>
      </w:r>
      <w:r w:rsidRPr="00BB5139">
        <w:rPr>
          <w:i/>
        </w:rPr>
        <w:t>et al</w:t>
      </w:r>
      <w:r w:rsidR="0014103F">
        <w:rPr>
          <w:i/>
        </w:rPr>
        <w:t xml:space="preserve"> </w:t>
      </w:r>
      <w:r w:rsidR="00842627" w:rsidRPr="00BB5139">
        <w:t>(10</w:t>
      </w:r>
      <w:r w:rsidR="00036F9C" w:rsidRPr="00BB5139">
        <w:t>)</w:t>
      </w:r>
      <w:r w:rsidR="002F7E2B" w:rsidRPr="00BB5139">
        <w:t>.</w:t>
      </w:r>
    </w:p>
    <w:p w14:paraId="48B8480E" w14:textId="27D76EA3" w:rsidR="00DA23F9" w:rsidRPr="00BB5139" w:rsidRDefault="00B50FFF" w:rsidP="00DB78D0">
      <w:r w:rsidRPr="00BB5139">
        <w:t>In all cohorts a proportion of patients showed a poor PCT response to antibiotic treatment (BSI=1</w:t>
      </w:r>
      <w:r w:rsidR="0014103F">
        <w:t>5.1</w:t>
      </w:r>
      <w:r w:rsidRPr="00BB5139">
        <w:t xml:space="preserve">%, influenza=17.4% and COVID-19=34.6%). </w:t>
      </w:r>
      <w:r w:rsidR="00380FE3" w:rsidRPr="00BB5139">
        <w:t>The higher proportion of COVID-19 patients in groups 3 is likely to be due to late infection with</w:t>
      </w:r>
      <w:r w:rsidRPr="00BB5139">
        <w:t xml:space="preserve"> rising CRP and PCT, and positive</w:t>
      </w:r>
      <w:r w:rsidR="002D69CE" w:rsidRPr="00BB5139">
        <w:t xml:space="preserve"> m</w:t>
      </w:r>
      <w:r w:rsidR="00380FE3" w:rsidRPr="00BB5139">
        <w:t xml:space="preserve">icrobiology common after day 6. </w:t>
      </w:r>
      <w:r w:rsidR="00780583">
        <w:t xml:space="preserve">A partial response to antibiotic treatment by day 14 was </w:t>
      </w:r>
      <w:r w:rsidR="0014103F">
        <w:t>also seen</w:t>
      </w:r>
      <w:r w:rsidR="00780583">
        <w:t xml:space="preserve"> in this group. </w:t>
      </w:r>
    </w:p>
    <w:p w14:paraId="5107D617" w14:textId="32F2CE0C" w:rsidR="00DB78D0" w:rsidRPr="00BB5139" w:rsidRDefault="00DA23F9" w:rsidP="00DB78D0">
      <w:pPr>
        <w:rPr>
          <w:rFonts w:cstheme="minorHAnsi"/>
        </w:rPr>
      </w:pPr>
      <w:r>
        <w:rPr>
          <w:rFonts w:eastAsia="DejaVu Sans" w:cstheme="minorHAnsi"/>
          <w:lang w:val="en-US" w:bidi="en-US"/>
        </w:rPr>
        <w:t>T</w:t>
      </w:r>
      <w:r w:rsidR="00DB78D0" w:rsidRPr="00BB5139">
        <w:rPr>
          <w:rFonts w:eastAsia="DejaVu Sans" w:cstheme="minorHAnsi"/>
          <w:lang w:val="en-US" w:bidi="en-US"/>
        </w:rPr>
        <w:t xml:space="preserve">he </w:t>
      </w:r>
      <w:r w:rsidR="00DB78D0" w:rsidRPr="00BB5139">
        <w:rPr>
          <w:rFonts w:cstheme="minorHAnsi"/>
        </w:rPr>
        <w:t>dynamics of PCT in COVID-19 patients</w:t>
      </w:r>
      <w:r>
        <w:rPr>
          <w:rFonts w:cstheme="minorHAnsi"/>
        </w:rPr>
        <w:t xml:space="preserve"> are </w:t>
      </w:r>
      <w:r w:rsidR="00DB78D0" w:rsidRPr="00BB5139">
        <w:rPr>
          <w:rFonts w:cstheme="minorHAnsi"/>
        </w:rPr>
        <w:t>consistent with a response to seco</w:t>
      </w:r>
      <w:r>
        <w:rPr>
          <w:rFonts w:cstheme="minorHAnsi"/>
        </w:rPr>
        <w:t xml:space="preserve">ndary bacterial infection </w:t>
      </w:r>
      <w:r w:rsidR="0014103F">
        <w:rPr>
          <w:rFonts w:cstheme="minorHAnsi"/>
        </w:rPr>
        <w:t xml:space="preserve">(and similar to the influenza cohort) </w:t>
      </w:r>
      <w:r>
        <w:rPr>
          <w:rFonts w:cstheme="minorHAnsi"/>
        </w:rPr>
        <w:t>and are</w:t>
      </w:r>
      <w:r w:rsidR="00DB78D0" w:rsidRPr="00BB5139">
        <w:rPr>
          <w:rFonts w:cstheme="minorHAnsi"/>
        </w:rPr>
        <w:t xml:space="preserve"> not consistent with an inflammat</w:t>
      </w:r>
      <w:r>
        <w:rPr>
          <w:rFonts w:cstheme="minorHAnsi"/>
        </w:rPr>
        <w:t xml:space="preserve">ory response </w:t>
      </w:r>
      <w:r>
        <w:rPr>
          <w:rFonts w:cstheme="minorHAnsi"/>
        </w:rPr>
        <w:lastRenderedPageBreak/>
        <w:t xml:space="preserve">to COVID-19 alone. </w:t>
      </w:r>
      <w:r w:rsidR="00DB78D0" w:rsidRPr="00BB5139">
        <w:rPr>
          <w:rFonts w:cstheme="minorHAnsi"/>
        </w:rPr>
        <w:t>In contrast to CRP, PCT appears to be a useful biomarker in identifying COVID-19 patients with super-added bacterial infection.</w:t>
      </w:r>
    </w:p>
    <w:p w14:paraId="0C69A021" w14:textId="77777777" w:rsidR="00340F62" w:rsidRDefault="00340F62" w:rsidP="00DB78D0">
      <w:pPr>
        <w:rPr>
          <w:rFonts w:cstheme="minorHAnsi"/>
        </w:rPr>
      </w:pPr>
    </w:p>
    <w:p w14:paraId="4BCCA627" w14:textId="77777777" w:rsidR="00340F62" w:rsidRPr="00672479" w:rsidRDefault="00340F62" w:rsidP="00340F62">
      <w:pPr>
        <w:rPr>
          <w:color w:val="FF0000"/>
        </w:rPr>
      </w:pPr>
      <w:r>
        <w:rPr>
          <w:noProof/>
          <w:lang w:eastAsia="en-GB"/>
        </w:rPr>
        <w:drawing>
          <wp:inline distT="0" distB="0" distL="0" distR="0" wp14:anchorId="29C57251" wp14:editId="16BF5549">
            <wp:extent cx="2853732" cy="1517722"/>
            <wp:effectExtent l="0" t="0" r="381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55700" cy="1518769"/>
                    </a:xfrm>
                    <a:prstGeom prst="rect">
                      <a:avLst/>
                    </a:prstGeom>
                  </pic:spPr>
                </pic:pic>
              </a:graphicData>
            </a:graphic>
          </wp:inline>
        </w:drawing>
      </w:r>
      <w:r w:rsidRPr="009226A1">
        <w:rPr>
          <w:noProof/>
          <w:lang w:eastAsia="en-GB"/>
        </w:rPr>
        <w:t xml:space="preserve"> </w:t>
      </w:r>
      <w:r>
        <w:rPr>
          <w:noProof/>
          <w:lang w:eastAsia="en-GB"/>
        </w:rPr>
        <w:drawing>
          <wp:inline distT="0" distB="0" distL="0" distR="0" wp14:anchorId="45378C6A" wp14:editId="7F128F80">
            <wp:extent cx="2823587" cy="1501689"/>
            <wp:effectExtent l="0" t="0" r="0" b="381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24109" cy="1501967"/>
                    </a:xfrm>
                    <a:prstGeom prst="rect">
                      <a:avLst/>
                    </a:prstGeom>
                  </pic:spPr>
                </pic:pic>
              </a:graphicData>
            </a:graphic>
          </wp:inline>
        </w:drawing>
      </w:r>
    </w:p>
    <w:p w14:paraId="050EF479" w14:textId="77777777" w:rsidR="00340F62" w:rsidRDefault="00340F62" w:rsidP="00340F62">
      <w:proofErr w:type="gramStart"/>
      <w:r>
        <w:t>Figure 1.</w:t>
      </w:r>
      <w:proofErr w:type="gramEnd"/>
      <w:r>
        <w:t xml:space="preserve"> </w:t>
      </w:r>
      <w:proofErr w:type="gramStart"/>
      <w:r>
        <w:t>CRP and PCT mean and interquartile range (IQR) by day for the 3 cohorts.</w:t>
      </w:r>
      <w:proofErr w:type="gramEnd"/>
      <w:r>
        <w:t xml:space="preserve"> BC=BSI cohort; COV=COVID-19 cohort; FLU=influenza cohort.</w:t>
      </w:r>
      <w:r>
        <w:tab/>
      </w:r>
    </w:p>
    <w:p w14:paraId="7F29FF75" w14:textId="77777777" w:rsidR="006B0666" w:rsidRPr="00FE1D67" w:rsidRDefault="006B0666" w:rsidP="00DB78D0">
      <w:pPr>
        <w:rPr>
          <w:rFonts w:cstheme="minorHAnsi"/>
        </w:rPr>
      </w:pPr>
    </w:p>
    <w:tbl>
      <w:tblPr>
        <w:tblStyle w:val="TableGrid"/>
        <w:tblW w:w="0" w:type="auto"/>
        <w:tblLook w:val="04A0" w:firstRow="1" w:lastRow="0" w:firstColumn="1" w:lastColumn="0" w:noHBand="0" w:noVBand="1"/>
      </w:tblPr>
      <w:tblGrid>
        <w:gridCol w:w="2660"/>
        <w:gridCol w:w="1843"/>
        <w:gridCol w:w="1984"/>
        <w:gridCol w:w="2755"/>
      </w:tblGrid>
      <w:tr w:rsidR="002F7E2B" w14:paraId="5840D5BD" w14:textId="77777777" w:rsidTr="002F7E2B">
        <w:trPr>
          <w:trHeight w:val="383"/>
        </w:trPr>
        <w:tc>
          <w:tcPr>
            <w:tcW w:w="2660" w:type="dxa"/>
          </w:tcPr>
          <w:p w14:paraId="5C3AA708" w14:textId="24629960" w:rsidR="002F7E2B" w:rsidRPr="002F7E2B" w:rsidRDefault="002F7E2B" w:rsidP="00B10475">
            <w:pPr>
              <w:rPr>
                <w:rFonts w:ascii="Calibri" w:hAnsi="Calibri" w:cs="Calibri"/>
                <w:b/>
                <w:sz w:val="20"/>
                <w:szCs w:val="20"/>
              </w:rPr>
            </w:pPr>
            <w:r w:rsidRPr="002F7E2B">
              <w:rPr>
                <w:rFonts w:ascii="Calibri" w:hAnsi="Calibri" w:cs="Calibri"/>
                <w:b/>
                <w:sz w:val="20"/>
                <w:szCs w:val="20"/>
              </w:rPr>
              <w:t xml:space="preserve">Low PCT group </w:t>
            </w:r>
          </w:p>
        </w:tc>
        <w:tc>
          <w:tcPr>
            <w:tcW w:w="1843" w:type="dxa"/>
          </w:tcPr>
          <w:p w14:paraId="5126CDB3" w14:textId="75A2BAB5" w:rsidR="002F7E2B" w:rsidRPr="002F7E2B" w:rsidRDefault="002F7E2B" w:rsidP="00B10475">
            <w:pPr>
              <w:rPr>
                <w:rFonts w:ascii="Calibri" w:hAnsi="Calibri" w:cs="Calibri"/>
                <w:b/>
                <w:sz w:val="20"/>
                <w:szCs w:val="20"/>
              </w:rPr>
            </w:pPr>
            <w:r w:rsidRPr="002F7E2B">
              <w:rPr>
                <w:rFonts w:ascii="Calibri" w:hAnsi="Calibri" w:cs="Calibri"/>
                <w:b/>
                <w:sz w:val="20"/>
                <w:szCs w:val="20"/>
              </w:rPr>
              <w:t>COVID-19 Group 1</w:t>
            </w:r>
          </w:p>
        </w:tc>
        <w:tc>
          <w:tcPr>
            <w:tcW w:w="1984" w:type="dxa"/>
          </w:tcPr>
          <w:p w14:paraId="58AE262A" w14:textId="7EE1B2DA" w:rsidR="002F7E2B" w:rsidRPr="002F7E2B" w:rsidRDefault="002F7E2B" w:rsidP="00B10475">
            <w:pPr>
              <w:rPr>
                <w:rFonts w:ascii="Calibri" w:hAnsi="Calibri" w:cs="Calibri"/>
                <w:b/>
                <w:sz w:val="20"/>
                <w:szCs w:val="20"/>
              </w:rPr>
            </w:pPr>
            <w:r w:rsidRPr="002F7E2B">
              <w:rPr>
                <w:rFonts w:ascii="Calibri" w:hAnsi="Calibri" w:cs="Calibri"/>
                <w:b/>
                <w:sz w:val="20"/>
                <w:szCs w:val="20"/>
              </w:rPr>
              <w:t xml:space="preserve">Influenza Group 1 </w:t>
            </w:r>
          </w:p>
        </w:tc>
        <w:tc>
          <w:tcPr>
            <w:tcW w:w="2755" w:type="dxa"/>
          </w:tcPr>
          <w:p w14:paraId="2BFB06CE" w14:textId="33975433" w:rsidR="002F7E2B" w:rsidRPr="002F7E2B" w:rsidRDefault="002F7E2B" w:rsidP="00B10475">
            <w:pPr>
              <w:rPr>
                <w:rFonts w:ascii="Calibri" w:hAnsi="Calibri" w:cs="Calibri"/>
                <w:b/>
                <w:sz w:val="20"/>
                <w:szCs w:val="20"/>
              </w:rPr>
            </w:pPr>
            <w:r w:rsidRPr="002F7E2B">
              <w:rPr>
                <w:rFonts w:ascii="Calibri" w:hAnsi="Calibri" w:cs="Calibri"/>
                <w:b/>
                <w:sz w:val="20"/>
                <w:szCs w:val="20"/>
              </w:rPr>
              <w:t>BSI Group 1</w:t>
            </w:r>
          </w:p>
        </w:tc>
      </w:tr>
      <w:tr w:rsidR="002F7E2B" w14:paraId="07277E50" w14:textId="77777777" w:rsidTr="002F7E2B">
        <w:tc>
          <w:tcPr>
            <w:tcW w:w="2660" w:type="dxa"/>
          </w:tcPr>
          <w:p w14:paraId="4A54A9BF" w14:textId="4F85FDDF" w:rsidR="002F7E2B" w:rsidRPr="002F7E2B" w:rsidRDefault="002F7E2B" w:rsidP="00B10475">
            <w:pPr>
              <w:rPr>
                <w:rFonts w:ascii="Calibri" w:hAnsi="Calibri" w:cs="Calibri"/>
                <w:sz w:val="20"/>
                <w:szCs w:val="20"/>
              </w:rPr>
            </w:pPr>
            <w:r w:rsidRPr="002F7E2B">
              <w:rPr>
                <w:rFonts w:ascii="Calibri" w:hAnsi="Calibri" w:cs="Calibri"/>
                <w:sz w:val="20"/>
                <w:szCs w:val="20"/>
              </w:rPr>
              <w:t>Number (n)</w:t>
            </w:r>
          </w:p>
        </w:tc>
        <w:tc>
          <w:tcPr>
            <w:tcW w:w="1843" w:type="dxa"/>
          </w:tcPr>
          <w:p w14:paraId="2D00E86B" w14:textId="62692994" w:rsidR="002F7E2B" w:rsidRPr="002F7E2B" w:rsidRDefault="002F7E2B" w:rsidP="00B10475">
            <w:pPr>
              <w:rPr>
                <w:rFonts w:ascii="Calibri" w:hAnsi="Calibri" w:cs="Calibri"/>
                <w:sz w:val="20"/>
                <w:szCs w:val="20"/>
              </w:rPr>
            </w:pPr>
            <w:r w:rsidRPr="002F7E2B">
              <w:rPr>
                <w:rFonts w:ascii="Calibri" w:hAnsi="Calibri" w:cs="Calibri"/>
                <w:sz w:val="20"/>
                <w:szCs w:val="20"/>
              </w:rPr>
              <w:t>27 (36.0%)</w:t>
            </w:r>
          </w:p>
        </w:tc>
        <w:tc>
          <w:tcPr>
            <w:tcW w:w="1984" w:type="dxa"/>
          </w:tcPr>
          <w:p w14:paraId="16E11728" w14:textId="776CFD3C" w:rsidR="002F7E2B" w:rsidRPr="002F7E2B" w:rsidRDefault="002F7E2B" w:rsidP="00B10475">
            <w:pPr>
              <w:rPr>
                <w:rFonts w:ascii="Calibri" w:hAnsi="Calibri" w:cs="Calibri"/>
                <w:sz w:val="20"/>
                <w:szCs w:val="20"/>
              </w:rPr>
            </w:pPr>
            <w:r w:rsidRPr="002F7E2B">
              <w:rPr>
                <w:rFonts w:ascii="Calibri" w:hAnsi="Calibri" w:cs="Calibri"/>
                <w:sz w:val="20"/>
                <w:szCs w:val="20"/>
              </w:rPr>
              <w:t>10 (43.4%)</w:t>
            </w:r>
          </w:p>
        </w:tc>
        <w:tc>
          <w:tcPr>
            <w:tcW w:w="2755" w:type="dxa"/>
          </w:tcPr>
          <w:p w14:paraId="54421B8B" w14:textId="2B3BEB46" w:rsidR="002F7E2B" w:rsidRPr="002F7E2B" w:rsidRDefault="002F7E2B" w:rsidP="00B10475">
            <w:pPr>
              <w:rPr>
                <w:rFonts w:ascii="Calibri" w:hAnsi="Calibri" w:cs="Calibri"/>
                <w:sz w:val="20"/>
                <w:szCs w:val="20"/>
              </w:rPr>
            </w:pPr>
            <w:r w:rsidRPr="002F7E2B">
              <w:rPr>
                <w:rFonts w:ascii="Calibri" w:hAnsi="Calibri" w:cs="Calibri"/>
                <w:sz w:val="20"/>
                <w:szCs w:val="20"/>
              </w:rPr>
              <w:t>6 (8.2%)</w:t>
            </w:r>
          </w:p>
        </w:tc>
      </w:tr>
      <w:tr w:rsidR="002F7E2B" w14:paraId="309B8B68" w14:textId="77777777" w:rsidTr="002F7E2B">
        <w:tc>
          <w:tcPr>
            <w:tcW w:w="2660" w:type="dxa"/>
          </w:tcPr>
          <w:p w14:paraId="11257C3C" w14:textId="34BD954D" w:rsidR="002F7E2B" w:rsidRPr="002F7E2B" w:rsidRDefault="002F7E2B" w:rsidP="00B10475">
            <w:pPr>
              <w:rPr>
                <w:rFonts w:ascii="Calibri" w:hAnsi="Calibri" w:cs="Calibri"/>
                <w:sz w:val="20"/>
                <w:szCs w:val="20"/>
              </w:rPr>
            </w:pPr>
            <w:r w:rsidRPr="002F7E2B">
              <w:rPr>
                <w:rFonts w:ascii="Calibri" w:hAnsi="Calibri" w:cs="Calibri"/>
                <w:sz w:val="20"/>
                <w:szCs w:val="20"/>
              </w:rPr>
              <w:t>Age-years (SD)</w:t>
            </w:r>
          </w:p>
        </w:tc>
        <w:tc>
          <w:tcPr>
            <w:tcW w:w="1843" w:type="dxa"/>
          </w:tcPr>
          <w:p w14:paraId="661BD3F9" w14:textId="68157FA4" w:rsidR="002F7E2B" w:rsidRPr="002F7E2B" w:rsidRDefault="002F7E2B" w:rsidP="00B10475">
            <w:pPr>
              <w:rPr>
                <w:rFonts w:ascii="Calibri" w:hAnsi="Calibri" w:cs="Calibri"/>
                <w:sz w:val="20"/>
                <w:szCs w:val="20"/>
              </w:rPr>
            </w:pPr>
            <w:r w:rsidRPr="002F7E2B">
              <w:rPr>
                <w:rFonts w:ascii="Calibri" w:hAnsi="Calibri" w:cs="Calibri"/>
                <w:sz w:val="20"/>
                <w:szCs w:val="20"/>
              </w:rPr>
              <w:t>56.2 (13.2)</w:t>
            </w:r>
          </w:p>
        </w:tc>
        <w:tc>
          <w:tcPr>
            <w:tcW w:w="1984" w:type="dxa"/>
          </w:tcPr>
          <w:p w14:paraId="549FF0EA" w14:textId="1BCE9A29" w:rsidR="002F7E2B" w:rsidRPr="002F7E2B" w:rsidRDefault="002F7E2B" w:rsidP="00B10475">
            <w:pPr>
              <w:rPr>
                <w:rFonts w:ascii="Calibri" w:hAnsi="Calibri" w:cs="Calibri"/>
                <w:sz w:val="20"/>
                <w:szCs w:val="20"/>
              </w:rPr>
            </w:pPr>
            <w:r w:rsidRPr="002F7E2B">
              <w:rPr>
                <w:rFonts w:ascii="Calibri" w:hAnsi="Calibri" w:cs="Calibri"/>
                <w:sz w:val="20"/>
                <w:szCs w:val="20"/>
              </w:rPr>
              <w:t>55.5 (17.2) p=0.89</w:t>
            </w:r>
          </w:p>
        </w:tc>
        <w:tc>
          <w:tcPr>
            <w:tcW w:w="2755" w:type="dxa"/>
          </w:tcPr>
          <w:p w14:paraId="16EA2BB5" w14:textId="5FFCD9BB" w:rsidR="002F7E2B" w:rsidRPr="002F7E2B" w:rsidRDefault="002F7E2B" w:rsidP="00B10475">
            <w:pPr>
              <w:rPr>
                <w:rFonts w:ascii="Calibri" w:hAnsi="Calibri" w:cs="Calibri"/>
                <w:sz w:val="20"/>
                <w:szCs w:val="20"/>
              </w:rPr>
            </w:pPr>
            <w:r w:rsidRPr="002F7E2B">
              <w:rPr>
                <w:rFonts w:ascii="Calibri" w:hAnsi="Calibri" w:cs="Calibri"/>
                <w:sz w:val="20"/>
                <w:szCs w:val="20"/>
              </w:rPr>
              <w:t>62.8 (8.8) p=0.25</w:t>
            </w:r>
          </w:p>
        </w:tc>
      </w:tr>
      <w:tr w:rsidR="002F7E2B" w14:paraId="2A79DA44" w14:textId="77777777" w:rsidTr="002F7E2B">
        <w:tc>
          <w:tcPr>
            <w:tcW w:w="2660" w:type="dxa"/>
          </w:tcPr>
          <w:p w14:paraId="5A3FE7A7" w14:textId="0239B5AD" w:rsidR="002F7E2B" w:rsidRPr="002F7E2B" w:rsidRDefault="002F7E2B" w:rsidP="00B10475">
            <w:pPr>
              <w:rPr>
                <w:rFonts w:ascii="Calibri" w:hAnsi="Calibri" w:cs="Calibri"/>
                <w:sz w:val="20"/>
                <w:szCs w:val="20"/>
              </w:rPr>
            </w:pPr>
            <w:r w:rsidRPr="002F7E2B">
              <w:rPr>
                <w:rFonts w:ascii="Calibri" w:hAnsi="Calibri" w:cs="Calibri"/>
                <w:sz w:val="20"/>
                <w:szCs w:val="20"/>
              </w:rPr>
              <w:t>Gender (n (%male))</w:t>
            </w:r>
          </w:p>
        </w:tc>
        <w:tc>
          <w:tcPr>
            <w:tcW w:w="1843" w:type="dxa"/>
          </w:tcPr>
          <w:p w14:paraId="60A6C776" w14:textId="7AFB600C" w:rsidR="002F7E2B" w:rsidRPr="002F7E2B" w:rsidRDefault="002F7E2B" w:rsidP="00B10475">
            <w:pPr>
              <w:rPr>
                <w:rFonts w:ascii="Calibri" w:hAnsi="Calibri" w:cs="Calibri"/>
                <w:sz w:val="20"/>
                <w:szCs w:val="20"/>
              </w:rPr>
            </w:pPr>
            <w:r w:rsidRPr="002F7E2B">
              <w:rPr>
                <w:rFonts w:ascii="Calibri" w:hAnsi="Calibri" w:cs="Calibri"/>
                <w:sz w:val="20"/>
                <w:szCs w:val="20"/>
              </w:rPr>
              <w:t>20 (71.4%)</w:t>
            </w:r>
          </w:p>
        </w:tc>
        <w:tc>
          <w:tcPr>
            <w:tcW w:w="1984" w:type="dxa"/>
          </w:tcPr>
          <w:p w14:paraId="793ED2E1" w14:textId="18A0A107" w:rsidR="002F7E2B" w:rsidRPr="002F7E2B" w:rsidRDefault="002F7E2B" w:rsidP="00B10475">
            <w:pPr>
              <w:rPr>
                <w:rFonts w:ascii="Calibri" w:hAnsi="Calibri" w:cs="Calibri"/>
                <w:sz w:val="20"/>
                <w:szCs w:val="20"/>
              </w:rPr>
            </w:pPr>
            <w:r w:rsidRPr="002F7E2B">
              <w:rPr>
                <w:rFonts w:ascii="Calibri" w:hAnsi="Calibri" w:cs="Calibri"/>
                <w:sz w:val="20"/>
                <w:szCs w:val="20"/>
              </w:rPr>
              <w:t>5 (50%) p=0.16</w:t>
            </w:r>
          </w:p>
        </w:tc>
        <w:tc>
          <w:tcPr>
            <w:tcW w:w="2755" w:type="dxa"/>
          </w:tcPr>
          <w:p w14:paraId="7A2CF9D8" w14:textId="654E4CE7" w:rsidR="002F7E2B" w:rsidRPr="002F7E2B" w:rsidRDefault="002F7E2B" w:rsidP="00B10475">
            <w:pPr>
              <w:rPr>
                <w:rFonts w:ascii="Calibri" w:hAnsi="Calibri" w:cs="Calibri"/>
                <w:sz w:val="20"/>
                <w:szCs w:val="20"/>
              </w:rPr>
            </w:pPr>
            <w:r w:rsidRPr="002F7E2B">
              <w:rPr>
                <w:rFonts w:ascii="Calibri" w:hAnsi="Calibri" w:cs="Calibri"/>
                <w:sz w:val="20"/>
                <w:szCs w:val="20"/>
              </w:rPr>
              <w:t>4 (66.6%) p=0.71</w:t>
            </w:r>
          </w:p>
        </w:tc>
      </w:tr>
      <w:tr w:rsidR="002F7E2B" w14:paraId="1C471261" w14:textId="77777777" w:rsidTr="002F7E2B">
        <w:tc>
          <w:tcPr>
            <w:tcW w:w="2660" w:type="dxa"/>
          </w:tcPr>
          <w:p w14:paraId="1FB733DA" w14:textId="07E91F13" w:rsidR="002F7E2B" w:rsidRPr="002F7E2B" w:rsidRDefault="002F7E2B" w:rsidP="00B10475">
            <w:pPr>
              <w:rPr>
                <w:rFonts w:ascii="Calibri" w:hAnsi="Calibri" w:cs="Calibri"/>
                <w:sz w:val="20"/>
                <w:szCs w:val="20"/>
              </w:rPr>
            </w:pPr>
            <w:r w:rsidRPr="002F7E2B">
              <w:rPr>
                <w:rFonts w:ascii="Calibri" w:hAnsi="Calibri" w:cs="Calibri"/>
                <w:sz w:val="20"/>
                <w:szCs w:val="20"/>
              </w:rPr>
              <w:t>Days to ICU discharge (SD)</w:t>
            </w:r>
          </w:p>
        </w:tc>
        <w:tc>
          <w:tcPr>
            <w:tcW w:w="1843" w:type="dxa"/>
          </w:tcPr>
          <w:p w14:paraId="524D012B" w14:textId="1559D7A0" w:rsidR="002F7E2B" w:rsidRPr="002F7E2B" w:rsidRDefault="002F7E2B" w:rsidP="00B10475">
            <w:pPr>
              <w:rPr>
                <w:rFonts w:ascii="Calibri" w:hAnsi="Calibri" w:cs="Calibri"/>
                <w:sz w:val="20"/>
                <w:szCs w:val="20"/>
              </w:rPr>
            </w:pPr>
            <w:r w:rsidRPr="002F7E2B">
              <w:rPr>
                <w:rFonts w:ascii="Calibri" w:hAnsi="Calibri" w:cs="Calibri"/>
                <w:sz w:val="20"/>
                <w:szCs w:val="20"/>
              </w:rPr>
              <w:t>13.4 (6.1)</w:t>
            </w:r>
          </w:p>
        </w:tc>
        <w:tc>
          <w:tcPr>
            <w:tcW w:w="1984" w:type="dxa"/>
          </w:tcPr>
          <w:p w14:paraId="6F32B9B1" w14:textId="32B1BFAF" w:rsidR="002F7E2B" w:rsidRPr="002F7E2B" w:rsidRDefault="002F7E2B" w:rsidP="00B10475">
            <w:pPr>
              <w:rPr>
                <w:rFonts w:ascii="Calibri" w:hAnsi="Calibri" w:cs="Calibri"/>
                <w:sz w:val="20"/>
                <w:szCs w:val="20"/>
              </w:rPr>
            </w:pPr>
            <w:r w:rsidRPr="002F7E2B">
              <w:rPr>
                <w:rFonts w:ascii="Calibri" w:hAnsi="Calibri" w:cs="Calibri"/>
                <w:sz w:val="20"/>
                <w:szCs w:val="20"/>
              </w:rPr>
              <w:t>6 (2.5) p&lt;0.001</w:t>
            </w:r>
          </w:p>
        </w:tc>
        <w:tc>
          <w:tcPr>
            <w:tcW w:w="2755" w:type="dxa"/>
          </w:tcPr>
          <w:p w14:paraId="080AAACC" w14:textId="68137D01" w:rsidR="002F7E2B" w:rsidRPr="002F7E2B" w:rsidRDefault="002F7E2B" w:rsidP="00B10475">
            <w:pPr>
              <w:rPr>
                <w:rFonts w:ascii="Calibri" w:hAnsi="Calibri" w:cs="Calibri"/>
                <w:sz w:val="20"/>
                <w:szCs w:val="20"/>
              </w:rPr>
            </w:pPr>
            <w:r w:rsidRPr="002F7E2B">
              <w:rPr>
                <w:rFonts w:ascii="Calibri" w:hAnsi="Calibri" w:cs="Calibri"/>
                <w:sz w:val="20"/>
                <w:szCs w:val="20"/>
              </w:rPr>
              <w:t>7.5 (4.8) p&lt;0.001</w:t>
            </w:r>
          </w:p>
        </w:tc>
      </w:tr>
      <w:tr w:rsidR="002F7E2B" w14:paraId="1A702F4B" w14:textId="77777777" w:rsidTr="002F7E2B">
        <w:tc>
          <w:tcPr>
            <w:tcW w:w="2660" w:type="dxa"/>
          </w:tcPr>
          <w:p w14:paraId="6D98C48A" w14:textId="4EAF86CC" w:rsidR="002F7E2B" w:rsidRPr="002F7E2B" w:rsidRDefault="002F7E2B" w:rsidP="00B10475">
            <w:pPr>
              <w:rPr>
                <w:rFonts w:ascii="Calibri" w:hAnsi="Calibri" w:cs="Calibri"/>
                <w:sz w:val="20"/>
                <w:szCs w:val="20"/>
              </w:rPr>
            </w:pPr>
            <w:r w:rsidRPr="002F7E2B">
              <w:rPr>
                <w:rFonts w:ascii="Calibri" w:hAnsi="Calibri" w:cs="Calibri"/>
                <w:sz w:val="20"/>
                <w:szCs w:val="20"/>
              </w:rPr>
              <w:t>Mortality &lt;14 days (n (%))</w:t>
            </w:r>
          </w:p>
        </w:tc>
        <w:tc>
          <w:tcPr>
            <w:tcW w:w="1843" w:type="dxa"/>
          </w:tcPr>
          <w:p w14:paraId="18B8CFE8" w14:textId="3ED32E7B" w:rsidR="002F7E2B" w:rsidRPr="002F7E2B" w:rsidRDefault="002F7E2B" w:rsidP="00B10475">
            <w:pPr>
              <w:rPr>
                <w:rFonts w:ascii="Calibri" w:hAnsi="Calibri" w:cs="Calibri"/>
                <w:sz w:val="20"/>
                <w:szCs w:val="20"/>
              </w:rPr>
            </w:pPr>
            <w:r w:rsidRPr="002F7E2B">
              <w:rPr>
                <w:rFonts w:ascii="Calibri" w:hAnsi="Calibri" w:cs="Calibri"/>
                <w:sz w:val="20"/>
                <w:szCs w:val="20"/>
              </w:rPr>
              <w:t>1 (3.6%)</w:t>
            </w:r>
          </w:p>
        </w:tc>
        <w:tc>
          <w:tcPr>
            <w:tcW w:w="1984" w:type="dxa"/>
          </w:tcPr>
          <w:p w14:paraId="050CAECF" w14:textId="46AAED84" w:rsidR="002F7E2B" w:rsidRPr="002F7E2B" w:rsidRDefault="002F7E2B" w:rsidP="00B10475">
            <w:pPr>
              <w:rPr>
                <w:rFonts w:ascii="Calibri" w:hAnsi="Calibri" w:cs="Calibri"/>
                <w:sz w:val="20"/>
                <w:szCs w:val="20"/>
              </w:rPr>
            </w:pPr>
            <w:r w:rsidRPr="002F7E2B">
              <w:rPr>
                <w:rFonts w:ascii="Calibri" w:hAnsi="Calibri" w:cs="Calibri"/>
                <w:sz w:val="20"/>
                <w:szCs w:val="20"/>
              </w:rPr>
              <w:t>2 (20%) p=0.11</w:t>
            </w:r>
          </w:p>
        </w:tc>
        <w:tc>
          <w:tcPr>
            <w:tcW w:w="2755" w:type="dxa"/>
          </w:tcPr>
          <w:p w14:paraId="529ADF2A" w14:textId="2666A9B6" w:rsidR="002F7E2B" w:rsidRPr="002F7E2B" w:rsidRDefault="002F7E2B" w:rsidP="00B10475">
            <w:pPr>
              <w:rPr>
                <w:rFonts w:ascii="Calibri" w:hAnsi="Calibri" w:cs="Calibri"/>
                <w:sz w:val="20"/>
                <w:szCs w:val="20"/>
              </w:rPr>
            </w:pPr>
            <w:r w:rsidRPr="002F7E2B">
              <w:rPr>
                <w:rFonts w:ascii="Calibri" w:hAnsi="Calibri" w:cs="Calibri"/>
                <w:sz w:val="20"/>
                <w:szCs w:val="20"/>
              </w:rPr>
              <w:t>1 (16.6%) p=0.23</w:t>
            </w:r>
          </w:p>
        </w:tc>
      </w:tr>
      <w:tr w:rsidR="002F7E2B" w14:paraId="74FA873D" w14:textId="77777777" w:rsidTr="002F7E2B">
        <w:tc>
          <w:tcPr>
            <w:tcW w:w="2660" w:type="dxa"/>
          </w:tcPr>
          <w:p w14:paraId="5CD30C56" w14:textId="4B896CE7" w:rsidR="002F7E2B" w:rsidRPr="002F7E2B" w:rsidRDefault="002F7E2B" w:rsidP="00B10475">
            <w:pPr>
              <w:rPr>
                <w:rFonts w:ascii="Calibri" w:hAnsi="Calibri" w:cs="Calibri"/>
                <w:sz w:val="20"/>
                <w:szCs w:val="20"/>
              </w:rPr>
            </w:pPr>
            <w:r w:rsidRPr="002F7E2B">
              <w:rPr>
                <w:rFonts w:ascii="Calibri" w:hAnsi="Calibri" w:cs="Calibri"/>
                <w:sz w:val="20"/>
                <w:szCs w:val="20"/>
              </w:rPr>
              <w:t>Mortality &lt;28 days (n (%))</w:t>
            </w:r>
          </w:p>
        </w:tc>
        <w:tc>
          <w:tcPr>
            <w:tcW w:w="1843" w:type="dxa"/>
          </w:tcPr>
          <w:p w14:paraId="278D3302" w14:textId="7223C630" w:rsidR="002F7E2B" w:rsidRPr="002F7E2B" w:rsidRDefault="002F7E2B" w:rsidP="00B10475">
            <w:pPr>
              <w:rPr>
                <w:rFonts w:ascii="Calibri" w:hAnsi="Calibri" w:cs="Calibri"/>
                <w:sz w:val="20"/>
                <w:szCs w:val="20"/>
              </w:rPr>
            </w:pPr>
            <w:r w:rsidRPr="002F7E2B">
              <w:rPr>
                <w:rFonts w:ascii="Calibri" w:hAnsi="Calibri" w:cs="Calibri"/>
                <w:sz w:val="20"/>
                <w:szCs w:val="20"/>
              </w:rPr>
              <w:t>4 (14.8%)</w:t>
            </w:r>
          </w:p>
        </w:tc>
        <w:tc>
          <w:tcPr>
            <w:tcW w:w="1984" w:type="dxa"/>
          </w:tcPr>
          <w:p w14:paraId="6EEA9F8D" w14:textId="61770B55" w:rsidR="002F7E2B" w:rsidRPr="002F7E2B" w:rsidRDefault="002F7E2B" w:rsidP="00B10475">
            <w:pPr>
              <w:rPr>
                <w:rFonts w:ascii="Calibri" w:hAnsi="Calibri" w:cs="Calibri"/>
                <w:sz w:val="20"/>
                <w:szCs w:val="20"/>
              </w:rPr>
            </w:pPr>
            <w:r w:rsidRPr="002F7E2B">
              <w:rPr>
                <w:rFonts w:ascii="Calibri" w:hAnsi="Calibri" w:cs="Calibri"/>
                <w:sz w:val="20"/>
                <w:szCs w:val="20"/>
              </w:rPr>
              <w:t>2 (20%) p=0.70</w:t>
            </w:r>
          </w:p>
        </w:tc>
        <w:tc>
          <w:tcPr>
            <w:tcW w:w="2755" w:type="dxa"/>
          </w:tcPr>
          <w:p w14:paraId="39F7DD88" w14:textId="2EFAAB4C" w:rsidR="002F7E2B" w:rsidRPr="002F7E2B" w:rsidRDefault="002F7E2B" w:rsidP="00B10475">
            <w:pPr>
              <w:rPr>
                <w:rFonts w:ascii="Calibri" w:hAnsi="Calibri" w:cs="Calibri"/>
                <w:sz w:val="20"/>
                <w:szCs w:val="20"/>
              </w:rPr>
            </w:pPr>
            <w:r w:rsidRPr="002F7E2B">
              <w:rPr>
                <w:rFonts w:ascii="Calibri" w:hAnsi="Calibri" w:cs="Calibri"/>
                <w:sz w:val="20"/>
                <w:szCs w:val="20"/>
              </w:rPr>
              <w:t>1 (16.6%) p=0.90</w:t>
            </w:r>
          </w:p>
        </w:tc>
      </w:tr>
      <w:tr w:rsidR="002F7E2B" w14:paraId="5ACBBBFE" w14:textId="77777777" w:rsidTr="002F7E2B">
        <w:tc>
          <w:tcPr>
            <w:tcW w:w="2660" w:type="dxa"/>
          </w:tcPr>
          <w:p w14:paraId="4A233163" w14:textId="618A6045" w:rsidR="002F7E2B" w:rsidRPr="002F7E2B" w:rsidRDefault="002F7E2B" w:rsidP="00B10475">
            <w:pPr>
              <w:rPr>
                <w:rFonts w:ascii="Calibri" w:hAnsi="Calibri" w:cs="Calibri"/>
                <w:sz w:val="20"/>
                <w:szCs w:val="20"/>
              </w:rPr>
            </w:pPr>
            <w:r w:rsidRPr="002F7E2B">
              <w:rPr>
                <w:rFonts w:ascii="Calibri" w:hAnsi="Calibri" w:cs="Calibri"/>
                <w:sz w:val="20"/>
                <w:szCs w:val="20"/>
              </w:rPr>
              <w:t>Co-infection (n (%))</w:t>
            </w:r>
          </w:p>
        </w:tc>
        <w:tc>
          <w:tcPr>
            <w:tcW w:w="1843" w:type="dxa"/>
          </w:tcPr>
          <w:p w14:paraId="432A711D" w14:textId="149C12DB" w:rsidR="002F7E2B" w:rsidRPr="002F7E2B" w:rsidRDefault="002F7E2B" w:rsidP="00B10475">
            <w:pPr>
              <w:rPr>
                <w:rFonts w:ascii="Calibri" w:hAnsi="Calibri" w:cs="Calibri"/>
                <w:sz w:val="20"/>
                <w:szCs w:val="20"/>
              </w:rPr>
            </w:pPr>
            <w:r w:rsidRPr="002F7E2B">
              <w:rPr>
                <w:rFonts w:ascii="Calibri" w:hAnsi="Calibri" w:cs="Calibri"/>
                <w:sz w:val="20"/>
                <w:szCs w:val="20"/>
              </w:rPr>
              <w:t>2 (7.4%)</w:t>
            </w:r>
          </w:p>
        </w:tc>
        <w:tc>
          <w:tcPr>
            <w:tcW w:w="1984" w:type="dxa"/>
          </w:tcPr>
          <w:p w14:paraId="4E4250AF" w14:textId="428C2297" w:rsidR="002F7E2B" w:rsidRPr="002F7E2B" w:rsidRDefault="002F7E2B" w:rsidP="00B10475">
            <w:pPr>
              <w:rPr>
                <w:rFonts w:ascii="Calibri" w:hAnsi="Calibri" w:cs="Calibri"/>
                <w:sz w:val="20"/>
                <w:szCs w:val="20"/>
              </w:rPr>
            </w:pPr>
            <w:r w:rsidRPr="002F7E2B">
              <w:rPr>
                <w:rFonts w:ascii="Calibri" w:hAnsi="Calibri" w:cs="Calibri"/>
                <w:sz w:val="20"/>
                <w:szCs w:val="20"/>
              </w:rPr>
              <w:t>1 (10%) p=0.79</w:t>
            </w:r>
          </w:p>
        </w:tc>
        <w:tc>
          <w:tcPr>
            <w:tcW w:w="2755" w:type="dxa"/>
          </w:tcPr>
          <w:p w14:paraId="611E19AC" w14:textId="1517DC31" w:rsidR="002F7E2B" w:rsidRPr="002F7E2B" w:rsidRDefault="002F7E2B" w:rsidP="00B10475">
            <w:pPr>
              <w:rPr>
                <w:rFonts w:ascii="Calibri" w:hAnsi="Calibri" w:cs="Calibri"/>
                <w:sz w:val="20"/>
                <w:szCs w:val="20"/>
              </w:rPr>
            </w:pPr>
            <w:r w:rsidRPr="002F7E2B">
              <w:rPr>
                <w:rFonts w:ascii="Calibri" w:hAnsi="Calibri" w:cs="Calibri"/>
                <w:sz w:val="20"/>
                <w:szCs w:val="20"/>
              </w:rPr>
              <w:t>2 (33.3%) p&lt;0.078</w:t>
            </w:r>
          </w:p>
        </w:tc>
      </w:tr>
      <w:tr w:rsidR="002F7E2B" w14:paraId="02130986" w14:textId="77777777" w:rsidTr="002F7E2B">
        <w:tc>
          <w:tcPr>
            <w:tcW w:w="2660" w:type="dxa"/>
          </w:tcPr>
          <w:p w14:paraId="54F7D750" w14:textId="4F66F567" w:rsidR="002F7E2B" w:rsidRPr="002F7E2B" w:rsidRDefault="002F7E2B" w:rsidP="00B10475">
            <w:pPr>
              <w:rPr>
                <w:rFonts w:ascii="Calibri" w:hAnsi="Calibri" w:cs="Calibri"/>
                <w:sz w:val="20"/>
                <w:szCs w:val="20"/>
              </w:rPr>
            </w:pPr>
            <w:r w:rsidRPr="002F7E2B">
              <w:rPr>
                <w:rFonts w:ascii="Calibri" w:hAnsi="Calibri" w:cs="Calibri"/>
                <w:sz w:val="20"/>
                <w:szCs w:val="20"/>
              </w:rPr>
              <w:t>Early infection (n (%))</w:t>
            </w:r>
          </w:p>
        </w:tc>
        <w:tc>
          <w:tcPr>
            <w:tcW w:w="1843" w:type="dxa"/>
          </w:tcPr>
          <w:p w14:paraId="430C0250" w14:textId="3BE153B3" w:rsidR="002F7E2B" w:rsidRPr="002F7E2B" w:rsidRDefault="002F7E2B" w:rsidP="00B10475">
            <w:pPr>
              <w:rPr>
                <w:rFonts w:ascii="Calibri" w:hAnsi="Calibri" w:cs="Calibri"/>
                <w:sz w:val="20"/>
                <w:szCs w:val="20"/>
              </w:rPr>
            </w:pPr>
            <w:r w:rsidRPr="002F7E2B">
              <w:rPr>
                <w:rFonts w:ascii="Calibri" w:hAnsi="Calibri" w:cs="Calibri"/>
                <w:sz w:val="20"/>
                <w:szCs w:val="20"/>
              </w:rPr>
              <w:t xml:space="preserve">3 (11.1%) </w:t>
            </w:r>
          </w:p>
        </w:tc>
        <w:tc>
          <w:tcPr>
            <w:tcW w:w="1984" w:type="dxa"/>
          </w:tcPr>
          <w:p w14:paraId="3EC18045" w14:textId="4E54C75A" w:rsidR="002F7E2B" w:rsidRPr="002F7E2B" w:rsidRDefault="002F7E2B" w:rsidP="00B10475">
            <w:pPr>
              <w:rPr>
                <w:rFonts w:ascii="Calibri" w:hAnsi="Calibri" w:cs="Calibri"/>
                <w:sz w:val="20"/>
                <w:szCs w:val="20"/>
              </w:rPr>
            </w:pPr>
            <w:r w:rsidRPr="002F7E2B">
              <w:rPr>
                <w:rFonts w:ascii="Calibri" w:hAnsi="Calibri" w:cs="Calibri"/>
                <w:sz w:val="20"/>
                <w:szCs w:val="20"/>
              </w:rPr>
              <w:t>0 (0%) p=0.27</w:t>
            </w:r>
          </w:p>
        </w:tc>
        <w:tc>
          <w:tcPr>
            <w:tcW w:w="2755" w:type="dxa"/>
          </w:tcPr>
          <w:p w14:paraId="20629C4D" w14:textId="2570B2EB" w:rsidR="002F7E2B" w:rsidRPr="002F7E2B" w:rsidRDefault="002F7E2B" w:rsidP="00B10475">
            <w:pPr>
              <w:rPr>
                <w:rFonts w:ascii="Calibri" w:hAnsi="Calibri" w:cs="Calibri"/>
                <w:sz w:val="20"/>
                <w:szCs w:val="20"/>
              </w:rPr>
            </w:pPr>
            <w:r w:rsidRPr="002F7E2B">
              <w:rPr>
                <w:rFonts w:ascii="Calibri" w:hAnsi="Calibri" w:cs="Calibri"/>
                <w:sz w:val="20"/>
                <w:szCs w:val="20"/>
              </w:rPr>
              <w:t>0 (0%) p=0.39</w:t>
            </w:r>
          </w:p>
        </w:tc>
      </w:tr>
      <w:tr w:rsidR="002F7E2B" w14:paraId="54E16102" w14:textId="77777777" w:rsidTr="002F7E2B">
        <w:tc>
          <w:tcPr>
            <w:tcW w:w="2660" w:type="dxa"/>
          </w:tcPr>
          <w:p w14:paraId="2F60FB19" w14:textId="6F8CB86F" w:rsidR="002F7E2B" w:rsidRPr="002F7E2B" w:rsidRDefault="002F7E2B" w:rsidP="00B10475">
            <w:pPr>
              <w:rPr>
                <w:rFonts w:ascii="Calibri" w:hAnsi="Calibri" w:cs="Calibri"/>
                <w:sz w:val="20"/>
                <w:szCs w:val="20"/>
              </w:rPr>
            </w:pPr>
            <w:r w:rsidRPr="002F7E2B">
              <w:rPr>
                <w:rFonts w:ascii="Calibri" w:hAnsi="Calibri" w:cs="Calibri"/>
                <w:sz w:val="20"/>
                <w:szCs w:val="20"/>
              </w:rPr>
              <w:t>Late infection (n (%))</w:t>
            </w:r>
          </w:p>
        </w:tc>
        <w:tc>
          <w:tcPr>
            <w:tcW w:w="1843" w:type="dxa"/>
          </w:tcPr>
          <w:p w14:paraId="368DC860" w14:textId="048C7D14" w:rsidR="002F7E2B" w:rsidRPr="002F7E2B" w:rsidRDefault="002F7E2B" w:rsidP="00B10475">
            <w:pPr>
              <w:rPr>
                <w:rFonts w:ascii="Calibri" w:hAnsi="Calibri" w:cs="Calibri"/>
                <w:sz w:val="20"/>
                <w:szCs w:val="20"/>
              </w:rPr>
            </w:pPr>
            <w:r w:rsidRPr="002F7E2B">
              <w:rPr>
                <w:rFonts w:ascii="Calibri" w:hAnsi="Calibri" w:cs="Calibri"/>
                <w:sz w:val="20"/>
                <w:szCs w:val="20"/>
              </w:rPr>
              <w:t xml:space="preserve">5 (18.5%) </w:t>
            </w:r>
          </w:p>
        </w:tc>
        <w:tc>
          <w:tcPr>
            <w:tcW w:w="1984" w:type="dxa"/>
          </w:tcPr>
          <w:p w14:paraId="784CD0A1" w14:textId="1CA71A65" w:rsidR="002F7E2B" w:rsidRPr="002F7E2B" w:rsidRDefault="002F7E2B" w:rsidP="00B10475">
            <w:pPr>
              <w:rPr>
                <w:rFonts w:ascii="Calibri" w:hAnsi="Calibri" w:cs="Calibri"/>
                <w:sz w:val="20"/>
                <w:szCs w:val="20"/>
              </w:rPr>
            </w:pPr>
            <w:r w:rsidRPr="002F7E2B">
              <w:rPr>
                <w:rFonts w:ascii="Calibri" w:hAnsi="Calibri" w:cs="Calibri"/>
                <w:sz w:val="20"/>
                <w:szCs w:val="20"/>
              </w:rPr>
              <w:t>0 (0%) p=0.14</w:t>
            </w:r>
          </w:p>
        </w:tc>
        <w:tc>
          <w:tcPr>
            <w:tcW w:w="2755" w:type="dxa"/>
          </w:tcPr>
          <w:p w14:paraId="35ECB4D0" w14:textId="51AC5C06" w:rsidR="002F7E2B" w:rsidRPr="002F7E2B" w:rsidRDefault="002F7E2B" w:rsidP="00B10475">
            <w:pPr>
              <w:rPr>
                <w:rFonts w:ascii="Calibri" w:hAnsi="Calibri" w:cs="Calibri"/>
                <w:sz w:val="20"/>
                <w:szCs w:val="20"/>
              </w:rPr>
            </w:pPr>
            <w:r w:rsidRPr="002F7E2B">
              <w:rPr>
                <w:rFonts w:ascii="Calibri" w:hAnsi="Calibri" w:cs="Calibri"/>
                <w:sz w:val="20"/>
                <w:szCs w:val="20"/>
              </w:rPr>
              <w:t>1 (16.7%) p=0.91</w:t>
            </w:r>
          </w:p>
        </w:tc>
      </w:tr>
      <w:tr w:rsidR="00036F9C" w14:paraId="6AA0872C" w14:textId="77777777" w:rsidTr="002F7E2B">
        <w:tc>
          <w:tcPr>
            <w:tcW w:w="2660" w:type="dxa"/>
          </w:tcPr>
          <w:p w14:paraId="739E1EDA" w14:textId="77777777" w:rsidR="00036F9C" w:rsidRPr="002F7E2B" w:rsidRDefault="00036F9C" w:rsidP="00B10475">
            <w:pPr>
              <w:rPr>
                <w:rFonts w:ascii="Calibri" w:hAnsi="Calibri" w:cs="Calibri"/>
                <w:sz w:val="20"/>
                <w:szCs w:val="20"/>
              </w:rPr>
            </w:pPr>
          </w:p>
        </w:tc>
        <w:tc>
          <w:tcPr>
            <w:tcW w:w="1843" w:type="dxa"/>
          </w:tcPr>
          <w:p w14:paraId="1412839D" w14:textId="77777777" w:rsidR="00036F9C" w:rsidRPr="002F7E2B" w:rsidRDefault="00036F9C" w:rsidP="00B10475">
            <w:pPr>
              <w:rPr>
                <w:rFonts w:ascii="Calibri" w:hAnsi="Calibri" w:cs="Calibri"/>
                <w:sz w:val="20"/>
                <w:szCs w:val="20"/>
              </w:rPr>
            </w:pPr>
          </w:p>
        </w:tc>
        <w:tc>
          <w:tcPr>
            <w:tcW w:w="1984" w:type="dxa"/>
          </w:tcPr>
          <w:p w14:paraId="254FDF99" w14:textId="77777777" w:rsidR="00036F9C" w:rsidRPr="002F7E2B" w:rsidRDefault="00036F9C" w:rsidP="00B10475">
            <w:pPr>
              <w:rPr>
                <w:rFonts w:ascii="Calibri" w:hAnsi="Calibri" w:cs="Calibri"/>
                <w:sz w:val="20"/>
                <w:szCs w:val="20"/>
              </w:rPr>
            </w:pPr>
          </w:p>
        </w:tc>
        <w:tc>
          <w:tcPr>
            <w:tcW w:w="2755" w:type="dxa"/>
          </w:tcPr>
          <w:p w14:paraId="0441C7F4" w14:textId="77777777" w:rsidR="00036F9C" w:rsidRPr="002F7E2B" w:rsidRDefault="00036F9C" w:rsidP="00B10475">
            <w:pPr>
              <w:rPr>
                <w:rFonts w:ascii="Calibri" w:hAnsi="Calibri" w:cs="Calibri"/>
                <w:sz w:val="20"/>
                <w:szCs w:val="20"/>
              </w:rPr>
            </w:pPr>
          </w:p>
        </w:tc>
      </w:tr>
      <w:tr w:rsidR="002F7E2B" w14:paraId="19B6E7D7" w14:textId="77777777" w:rsidTr="002F7E2B">
        <w:tc>
          <w:tcPr>
            <w:tcW w:w="2660" w:type="dxa"/>
          </w:tcPr>
          <w:p w14:paraId="65537493" w14:textId="7F7DB5B1" w:rsidR="002F7E2B" w:rsidRPr="002F7E2B" w:rsidRDefault="002F7E2B" w:rsidP="00B10475">
            <w:pPr>
              <w:rPr>
                <w:rFonts w:ascii="Calibri" w:hAnsi="Calibri" w:cs="Calibri"/>
                <w:sz w:val="20"/>
                <w:szCs w:val="20"/>
              </w:rPr>
            </w:pPr>
            <w:r w:rsidRPr="002F7E2B">
              <w:rPr>
                <w:rFonts w:ascii="Calibri" w:hAnsi="Calibri" w:cs="Calibri"/>
                <w:b/>
                <w:sz w:val="20"/>
                <w:szCs w:val="20"/>
              </w:rPr>
              <w:t xml:space="preserve">PCT responsive </w:t>
            </w:r>
            <w:proofErr w:type="spellStart"/>
            <w:r w:rsidRPr="002F7E2B">
              <w:rPr>
                <w:rFonts w:ascii="Calibri" w:hAnsi="Calibri" w:cs="Calibri"/>
                <w:b/>
                <w:sz w:val="20"/>
                <w:szCs w:val="20"/>
              </w:rPr>
              <w:t>Abx</w:t>
            </w:r>
            <w:proofErr w:type="spellEnd"/>
          </w:p>
        </w:tc>
        <w:tc>
          <w:tcPr>
            <w:tcW w:w="1843" w:type="dxa"/>
          </w:tcPr>
          <w:p w14:paraId="4DAC05FD" w14:textId="47C587DB" w:rsidR="002F7E2B" w:rsidRPr="002F7E2B" w:rsidRDefault="002F7E2B" w:rsidP="00B10475">
            <w:pPr>
              <w:rPr>
                <w:rFonts w:ascii="Calibri" w:hAnsi="Calibri" w:cs="Calibri"/>
                <w:sz w:val="20"/>
                <w:szCs w:val="20"/>
              </w:rPr>
            </w:pPr>
            <w:r w:rsidRPr="002F7E2B">
              <w:rPr>
                <w:rFonts w:ascii="Calibri" w:hAnsi="Calibri" w:cs="Calibri"/>
                <w:b/>
                <w:sz w:val="20"/>
                <w:szCs w:val="20"/>
              </w:rPr>
              <w:t>COVID-19 Group 2</w:t>
            </w:r>
          </w:p>
        </w:tc>
        <w:tc>
          <w:tcPr>
            <w:tcW w:w="1984" w:type="dxa"/>
          </w:tcPr>
          <w:p w14:paraId="5B6EABE7" w14:textId="27CEF023" w:rsidR="002F7E2B" w:rsidRPr="002F7E2B" w:rsidRDefault="002F7E2B" w:rsidP="00B10475">
            <w:pPr>
              <w:rPr>
                <w:rFonts w:ascii="Calibri" w:hAnsi="Calibri" w:cs="Calibri"/>
                <w:sz w:val="20"/>
                <w:szCs w:val="20"/>
              </w:rPr>
            </w:pPr>
            <w:r w:rsidRPr="002F7E2B">
              <w:rPr>
                <w:rFonts w:ascii="Calibri" w:hAnsi="Calibri" w:cs="Calibri"/>
                <w:b/>
                <w:sz w:val="20"/>
                <w:szCs w:val="20"/>
              </w:rPr>
              <w:t xml:space="preserve">Influenza Group 2 </w:t>
            </w:r>
          </w:p>
        </w:tc>
        <w:tc>
          <w:tcPr>
            <w:tcW w:w="2755" w:type="dxa"/>
          </w:tcPr>
          <w:p w14:paraId="3FC59376" w14:textId="35ADA6C3" w:rsidR="002F7E2B" w:rsidRPr="002F7E2B" w:rsidRDefault="002F7E2B" w:rsidP="00B10475">
            <w:pPr>
              <w:rPr>
                <w:rFonts w:ascii="Calibri" w:hAnsi="Calibri" w:cs="Calibri"/>
                <w:sz w:val="20"/>
                <w:szCs w:val="20"/>
              </w:rPr>
            </w:pPr>
            <w:r w:rsidRPr="002F7E2B">
              <w:rPr>
                <w:rFonts w:ascii="Calibri" w:hAnsi="Calibri" w:cs="Calibri"/>
                <w:b/>
                <w:sz w:val="20"/>
                <w:szCs w:val="20"/>
              </w:rPr>
              <w:t>BSI Group 2</w:t>
            </w:r>
          </w:p>
        </w:tc>
      </w:tr>
      <w:tr w:rsidR="002F7E2B" w14:paraId="33D55A8C" w14:textId="77777777" w:rsidTr="002F7E2B">
        <w:tc>
          <w:tcPr>
            <w:tcW w:w="2660" w:type="dxa"/>
          </w:tcPr>
          <w:p w14:paraId="18E8F202" w14:textId="61E36612" w:rsidR="002F7E2B" w:rsidRPr="002F7E2B" w:rsidRDefault="002F7E2B" w:rsidP="00B10475">
            <w:pPr>
              <w:rPr>
                <w:rFonts w:ascii="Calibri" w:hAnsi="Calibri" w:cs="Calibri"/>
                <w:sz w:val="20"/>
                <w:szCs w:val="20"/>
              </w:rPr>
            </w:pPr>
            <w:r w:rsidRPr="002F7E2B">
              <w:rPr>
                <w:rFonts w:ascii="Calibri" w:hAnsi="Calibri" w:cs="Calibri"/>
                <w:sz w:val="20"/>
                <w:szCs w:val="20"/>
              </w:rPr>
              <w:t>Number (n)</w:t>
            </w:r>
          </w:p>
        </w:tc>
        <w:tc>
          <w:tcPr>
            <w:tcW w:w="1843" w:type="dxa"/>
          </w:tcPr>
          <w:p w14:paraId="3B98F478" w14:textId="6BCFBB92" w:rsidR="002F7E2B" w:rsidRPr="002F7E2B" w:rsidRDefault="002F7E2B" w:rsidP="00B10475">
            <w:pPr>
              <w:rPr>
                <w:rFonts w:ascii="Calibri" w:hAnsi="Calibri" w:cs="Calibri"/>
                <w:sz w:val="20"/>
                <w:szCs w:val="20"/>
              </w:rPr>
            </w:pPr>
            <w:r w:rsidRPr="002F7E2B">
              <w:rPr>
                <w:rFonts w:ascii="Calibri" w:hAnsi="Calibri" w:cs="Calibri"/>
                <w:sz w:val="20"/>
                <w:szCs w:val="20"/>
              </w:rPr>
              <w:t>22 (29.3%)</w:t>
            </w:r>
          </w:p>
        </w:tc>
        <w:tc>
          <w:tcPr>
            <w:tcW w:w="1984" w:type="dxa"/>
          </w:tcPr>
          <w:p w14:paraId="75E76CD8" w14:textId="1B5BB39F" w:rsidR="002F7E2B" w:rsidRPr="002F7E2B" w:rsidRDefault="002F7E2B" w:rsidP="00B10475">
            <w:pPr>
              <w:rPr>
                <w:rFonts w:ascii="Calibri" w:hAnsi="Calibri" w:cs="Calibri"/>
                <w:sz w:val="20"/>
                <w:szCs w:val="20"/>
              </w:rPr>
            </w:pPr>
            <w:r w:rsidRPr="002F7E2B">
              <w:rPr>
                <w:rFonts w:ascii="Calibri" w:hAnsi="Calibri" w:cs="Calibri"/>
                <w:sz w:val="20"/>
                <w:szCs w:val="20"/>
              </w:rPr>
              <w:t>9 (39.1%)</w:t>
            </w:r>
          </w:p>
        </w:tc>
        <w:tc>
          <w:tcPr>
            <w:tcW w:w="2755" w:type="dxa"/>
          </w:tcPr>
          <w:p w14:paraId="4A477EB9" w14:textId="28069DAD" w:rsidR="002F7E2B" w:rsidRPr="002F7E2B" w:rsidRDefault="002F7E2B" w:rsidP="00B10475">
            <w:pPr>
              <w:rPr>
                <w:rFonts w:ascii="Calibri" w:hAnsi="Calibri" w:cs="Calibri"/>
                <w:sz w:val="20"/>
                <w:szCs w:val="20"/>
              </w:rPr>
            </w:pPr>
            <w:r w:rsidRPr="002F7E2B">
              <w:rPr>
                <w:rFonts w:ascii="Calibri" w:hAnsi="Calibri" w:cs="Calibri"/>
                <w:sz w:val="20"/>
                <w:szCs w:val="20"/>
              </w:rPr>
              <w:t>56 (76.7%)</w:t>
            </w:r>
          </w:p>
        </w:tc>
      </w:tr>
      <w:tr w:rsidR="002F7E2B" w14:paraId="41696F3E" w14:textId="77777777" w:rsidTr="002F7E2B">
        <w:tc>
          <w:tcPr>
            <w:tcW w:w="2660" w:type="dxa"/>
          </w:tcPr>
          <w:p w14:paraId="1AFF7073" w14:textId="20DBB131" w:rsidR="002F7E2B" w:rsidRPr="002F7E2B" w:rsidRDefault="002F7E2B" w:rsidP="00B10475">
            <w:pPr>
              <w:rPr>
                <w:rFonts w:ascii="Calibri" w:hAnsi="Calibri" w:cs="Calibri"/>
                <w:sz w:val="20"/>
                <w:szCs w:val="20"/>
              </w:rPr>
            </w:pPr>
            <w:r w:rsidRPr="002F7E2B">
              <w:rPr>
                <w:rFonts w:ascii="Calibri" w:hAnsi="Calibri" w:cs="Calibri"/>
                <w:sz w:val="20"/>
                <w:szCs w:val="20"/>
              </w:rPr>
              <w:t>Age-years (SD)</w:t>
            </w:r>
          </w:p>
        </w:tc>
        <w:tc>
          <w:tcPr>
            <w:tcW w:w="1843" w:type="dxa"/>
          </w:tcPr>
          <w:p w14:paraId="5489991C" w14:textId="2729793F" w:rsidR="002F7E2B" w:rsidRPr="002F7E2B" w:rsidRDefault="002F7E2B" w:rsidP="00B10475">
            <w:pPr>
              <w:rPr>
                <w:rFonts w:ascii="Calibri" w:hAnsi="Calibri" w:cs="Calibri"/>
                <w:sz w:val="20"/>
                <w:szCs w:val="20"/>
              </w:rPr>
            </w:pPr>
            <w:r w:rsidRPr="002F7E2B">
              <w:rPr>
                <w:rFonts w:ascii="Calibri" w:hAnsi="Calibri" w:cs="Calibri"/>
                <w:sz w:val="20"/>
                <w:szCs w:val="20"/>
              </w:rPr>
              <w:t>59.6 (10.6)</w:t>
            </w:r>
          </w:p>
        </w:tc>
        <w:tc>
          <w:tcPr>
            <w:tcW w:w="1984" w:type="dxa"/>
          </w:tcPr>
          <w:p w14:paraId="3DC39CE4" w14:textId="7D1D348F" w:rsidR="002F7E2B" w:rsidRPr="002F7E2B" w:rsidRDefault="002F7E2B" w:rsidP="00B10475">
            <w:pPr>
              <w:rPr>
                <w:rFonts w:ascii="Calibri" w:hAnsi="Calibri" w:cs="Calibri"/>
                <w:sz w:val="20"/>
                <w:szCs w:val="20"/>
              </w:rPr>
            </w:pPr>
            <w:r w:rsidRPr="002F7E2B">
              <w:rPr>
                <w:rFonts w:ascii="Calibri" w:hAnsi="Calibri" w:cs="Calibri"/>
                <w:sz w:val="20"/>
                <w:szCs w:val="20"/>
              </w:rPr>
              <w:t>48.4 (19.6) p=0.048</w:t>
            </w:r>
          </w:p>
        </w:tc>
        <w:tc>
          <w:tcPr>
            <w:tcW w:w="2755" w:type="dxa"/>
          </w:tcPr>
          <w:p w14:paraId="1466A8E1" w14:textId="64764783" w:rsidR="002F7E2B" w:rsidRPr="002F7E2B" w:rsidRDefault="002F7E2B" w:rsidP="00B10475">
            <w:pPr>
              <w:rPr>
                <w:rFonts w:ascii="Calibri" w:hAnsi="Calibri" w:cs="Calibri"/>
                <w:sz w:val="20"/>
                <w:szCs w:val="20"/>
              </w:rPr>
            </w:pPr>
            <w:r w:rsidRPr="002F7E2B">
              <w:rPr>
                <w:rFonts w:ascii="Calibri" w:hAnsi="Calibri" w:cs="Calibri"/>
                <w:sz w:val="20"/>
                <w:szCs w:val="20"/>
              </w:rPr>
              <w:t>63.4 (14.9) p=0.28</w:t>
            </w:r>
          </w:p>
        </w:tc>
      </w:tr>
      <w:tr w:rsidR="002F7E2B" w14:paraId="25CE28E2" w14:textId="77777777" w:rsidTr="002F7E2B">
        <w:tc>
          <w:tcPr>
            <w:tcW w:w="2660" w:type="dxa"/>
          </w:tcPr>
          <w:p w14:paraId="04DD7D83" w14:textId="28A24648" w:rsidR="002F7E2B" w:rsidRPr="002F7E2B" w:rsidRDefault="002F7E2B" w:rsidP="00B10475">
            <w:pPr>
              <w:rPr>
                <w:rFonts w:ascii="Calibri" w:hAnsi="Calibri" w:cs="Calibri"/>
                <w:sz w:val="20"/>
                <w:szCs w:val="20"/>
              </w:rPr>
            </w:pPr>
            <w:r w:rsidRPr="002F7E2B">
              <w:rPr>
                <w:rFonts w:ascii="Calibri" w:hAnsi="Calibri" w:cs="Calibri"/>
                <w:sz w:val="20"/>
                <w:szCs w:val="20"/>
              </w:rPr>
              <w:t>Gender (n (%male))</w:t>
            </w:r>
          </w:p>
        </w:tc>
        <w:tc>
          <w:tcPr>
            <w:tcW w:w="1843" w:type="dxa"/>
          </w:tcPr>
          <w:p w14:paraId="4024B1DA" w14:textId="746EFBE3" w:rsidR="002F7E2B" w:rsidRPr="002F7E2B" w:rsidRDefault="002F7E2B" w:rsidP="00B10475">
            <w:pPr>
              <w:rPr>
                <w:rFonts w:ascii="Calibri" w:hAnsi="Calibri" w:cs="Calibri"/>
                <w:sz w:val="20"/>
                <w:szCs w:val="20"/>
              </w:rPr>
            </w:pPr>
            <w:r w:rsidRPr="002F7E2B">
              <w:rPr>
                <w:rFonts w:ascii="Calibri" w:hAnsi="Calibri" w:cs="Calibri"/>
                <w:sz w:val="20"/>
                <w:szCs w:val="20"/>
              </w:rPr>
              <w:t>15 (68.1%)</w:t>
            </w:r>
          </w:p>
        </w:tc>
        <w:tc>
          <w:tcPr>
            <w:tcW w:w="1984" w:type="dxa"/>
          </w:tcPr>
          <w:p w14:paraId="5AC7D8ED" w14:textId="60C23B75" w:rsidR="002F7E2B" w:rsidRPr="002F7E2B" w:rsidRDefault="002F7E2B" w:rsidP="00B10475">
            <w:pPr>
              <w:rPr>
                <w:rFonts w:ascii="Calibri" w:hAnsi="Calibri" w:cs="Calibri"/>
                <w:sz w:val="20"/>
                <w:szCs w:val="20"/>
              </w:rPr>
            </w:pPr>
            <w:r w:rsidRPr="002F7E2B">
              <w:rPr>
                <w:rFonts w:ascii="Calibri" w:hAnsi="Calibri" w:cs="Calibri"/>
                <w:sz w:val="20"/>
                <w:szCs w:val="20"/>
              </w:rPr>
              <w:t>4 (44.4%) p=0.22</w:t>
            </w:r>
          </w:p>
        </w:tc>
        <w:tc>
          <w:tcPr>
            <w:tcW w:w="2755" w:type="dxa"/>
          </w:tcPr>
          <w:p w14:paraId="3FD9E90B" w14:textId="166FEB6C" w:rsidR="002F7E2B" w:rsidRPr="002F7E2B" w:rsidRDefault="002F7E2B" w:rsidP="00B10475">
            <w:pPr>
              <w:rPr>
                <w:rFonts w:ascii="Calibri" w:hAnsi="Calibri" w:cs="Calibri"/>
                <w:sz w:val="20"/>
                <w:szCs w:val="20"/>
              </w:rPr>
            </w:pPr>
            <w:r w:rsidRPr="002F7E2B">
              <w:rPr>
                <w:rFonts w:ascii="Calibri" w:hAnsi="Calibri" w:cs="Calibri"/>
                <w:sz w:val="20"/>
                <w:szCs w:val="20"/>
              </w:rPr>
              <w:t>35 (62.5%) p=0.64</w:t>
            </w:r>
          </w:p>
        </w:tc>
      </w:tr>
      <w:tr w:rsidR="002F7E2B" w14:paraId="538DBDF6" w14:textId="77777777" w:rsidTr="002F7E2B">
        <w:tc>
          <w:tcPr>
            <w:tcW w:w="2660" w:type="dxa"/>
          </w:tcPr>
          <w:p w14:paraId="7103306E" w14:textId="5EA741A2" w:rsidR="002F7E2B" w:rsidRPr="002F7E2B" w:rsidRDefault="002F7E2B" w:rsidP="00B10475">
            <w:pPr>
              <w:rPr>
                <w:rFonts w:ascii="Calibri" w:hAnsi="Calibri" w:cs="Calibri"/>
                <w:sz w:val="20"/>
                <w:szCs w:val="20"/>
              </w:rPr>
            </w:pPr>
            <w:r w:rsidRPr="002F7E2B">
              <w:rPr>
                <w:rFonts w:ascii="Calibri" w:hAnsi="Calibri" w:cs="Calibri"/>
                <w:sz w:val="20"/>
                <w:szCs w:val="20"/>
              </w:rPr>
              <w:t>Days to ICU discharge (SD)</w:t>
            </w:r>
          </w:p>
        </w:tc>
        <w:tc>
          <w:tcPr>
            <w:tcW w:w="1843" w:type="dxa"/>
          </w:tcPr>
          <w:p w14:paraId="2265CCFF" w14:textId="518DD4EB" w:rsidR="002F7E2B" w:rsidRPr="002F7E2B" w:rsidRDefault="002F7E2B" w:rsidP="00B10475">
            <w:pPr>
              <w:rPr>
                <w:rFonts w:ascii="Calibri" w:hAnsi="Calibri" w:cs="Calibri"/>
                <w:sz w:val="20"/>
                <w:szCs w:val="20"/>
              </w:rPr>
            </w:pPr>
            <w:r w:rsidRPr="002F7E2B">
              <w:rPr>
                <w:rFonts w:ascii="Calibri" w:hAnsi="Calibri" w:cs="Calibri"/>
                <w:sz w:val="20"/>
                <w:szCs w:val="20"/>
              </w:rPr>
              <w:t>23.0 (15.7)</w:t>
            </w:r>
          </w:p>
        </w:tc>
        <w:tc>
          <w:tcPr>
            <w:tcW w:w="1984" w:type="dxa"/>
          </w:tcPr>
          <w:p w14:paraId="36760ECE" w14:textId="492E18E2" w:rsidR="002F7E2B" w:rsidRPr="002F7E2B" w:rsidRDefault="002F7E2B" w:rsidP="00B10475">
            <w:pPr>
              <w:rPr>
                <w:rFonts w:ascii="Calibri" w:hAnsi="Calibri" w:cs="Calibri"/>
                <w:sz w:val="20"/>
                <w:szCs w:val="20"/>
              </w:rPr>
            </w:pPr>
            <w:r w:rsidRPr="002F7E2B">
              <w:rPr>
                <w:rFonts w:ascii="Calibri" w:hAnsi="Calibri" w:cs="Calibri"/>
                <w:sz w:val="20"/>
                <w:szCs w:val="20"/>
              </w:rPr>
              <w:t>14.1 (8.8) p=0.1</w:t>
            </w:r>
          </w:p>
        </w:tc>
        <w:tc>
          <w:tcPr>
            <w:tcW w:w="2755" w:type="dxa"/>
          </w:tcPr>
          <w:p w14:paraId="6A22C934" w14:textId="087D63F5" w:rsidR="002F7E2B" w:rsidRPr="002F7E2B" w:rsidRDefault="002F7E2B" w:rsidP="00B10475">
            <w:pPr>
              <w:rPr>
                <w:rFonts w:ascii="Calibri" w:hAnsi="Calibri" w:cs="Calibri"/>
                <w:sz w:val="20"/>
                <w:szCs w:val="20"/>
              </w:rPr>
            </w:pPr>
            <w:r w:rsidRPr="002F7E2B">
              <w:rPr>
                <w:rFonts w:ascii="Calibri" w:hAnsi="Calibri" w:cs="Calibri"/>
                <w:sz w:val="20"/>
                <w:szCs w:val="20"/>
              </w:rPr>
              <w:t>15.5 (14.2) p=0.01</w:t>
            </w:r>
          </w:p>
        </w:tc>
      </w:tr>
      <w:tr w:rsidR="002F7E2B" w14:paraId="626265C1" w14:textId="77777777" w:rsidTr="002F7E2B">
        <w:tc>
          <w:tcPr>
            <w:tcW w:w="2660" w:type="dxa"/>
          </w:tcPr>
          <w:p w14:paraId="7FBD59AF" w14:textId="4D7056EA" w:rsidR="002F7E2B" w:rsidRPr="002F7E2B" w:rsidRDefault="002F7E2B" w:rsidP="00B10475">
            <w:pPr>
              <w:rPr>
                <w:rFonts w:ascii="Calibri" w:hAnsi="Calibri" w:cs="Calibri"/>
                <w:sz w:val="20"/>
                <w:szCs w:val="20"/>
              </w:rPr>
            </w:pPr>
            <w:r w:rsidRPr="002F7E2B">
              <w:rPr>
                <w:rFonts w:ascii="Calibri" w:hAnsi="Calibri" w:cs="Calibri"/>
                <w:sz w:val="20"/>
                <w:szCs w:val="20"/>
              </w:rPr>
              <w:t>Mortality &lt;14 days (n (%))</w:t>
            </w:r>
          </w:p>
        </w:tc>
        <w:tc>
          <w:tcPr>
            <w:tcW w:w="1843" w:type="dxa"/>
          </w:tcPr>
          <w:p w14:paraId="1E268E2E" w14:textId="69C32F97" w:rsidR="002F7E2B" w:rsidRPr="002F7E2B" w:rsidRDefault="002F7E2B" w:rsidP="00B10475">
            <w:pPr>
              <w:rPr>
                <w:rFonts w:ascii="Calibri" w:hAnsi="Calibri" w:cs="Calibri"/>
                <w:sz w:val="20"/>
                <w:szCs w:val="20"/>
              </w:rPr>
            </w:pPr>
            <w:r w:rsidRPr="002F7E2B">
              <w:rPr>
                <w:rFonts w:ascii="Calibri" w:hAnsi="Calibri" w:cs="Calibri"/>
                <w:sz w:val="20"/>
                <w:szCs w:val="20"/>
              </w:rPr>
              <w:t>3 (13.6%)</w:t>
            </w:r>
          </w:p>
        </w:tc>
        <w:tc>
          <w:tcPr>
            <w:tcW w:w="1984" w:type="dxa"/>
          </w:tcPr>
          <w:p w14:paraId="48293B13" w14:textId="000592DE" w:rsidR="002F7E2B" w:rsidRPr="002F7E2B" w:rsidRDefault="002F7E2B" w:rsidP="00B10475">
            <w:pPr>
              <w:rPr>
                <w:rFonts w:ascii="Calibri" w:hAnsi="Calibri" w:cs="Calibri"/>
                <w:sz w:val="20"/>
                <w:szCs w:val="20"/>
              </w:rPr>
            </w:pPr>
            <w:r w:rsidRPr="002F7E2B">
              <w:rPr>
                <w:rFonts w:ascii="Calibri" w:hAnsi="Calibri" w:cs="Calibri"/>
                <w:sz w:val="20"/>
                <w:szCs w:val="20"/>
              </w:rPr>
              <w:t>2(22.2%) p=0.55</w:t>
            </w:r>
          </w:p>
        </w:tc>
        <w:tc>
          <w:tcPr>
            <w:tcW w:w="2755" w:type="dxa"/>
          </w:tcPr>
          <w:p w14:paraId="70CC22DD" w14:textId="70E00E69" w:rsidR="002F7E2B" w:rsidRPr="002F7E2B" w:rsidRDefault="002F7E2B" w:rsidP="00B10475">
            <w:pPr>
              <w:rPr>
                <w:rFonts w:ascii="Calibri" w:hAnsi="Calibri" w:cs="Calibri"/>
                <w:sz w:val="20"/>
                <w:szCs w:val="20"/>
              </w:rPr>
            </w:pPr>
            <w:r w:rsidRPr="002F7E2B">
              <w:rPr>
                <w:rFonts w:ascii="Calibri" w:hAnsi="Calibri" w:cs="Calibri"/>
                <w:sz w:val="20"/>
                <w:szCs w:val="20"/>
              </w:rPr>
              <w:t>5 (8.9%) p=0.53</w:t>
            </w:r>
          </w:p>
        </w:tc>
      </w:tr>
      <w:tr w:rsidR="002F7E2B" w14:paraId="37BDAD5C" w14:textId="77777777" w:rsidTr="002F7E2B">
        <w:tc>
          <w:tcPr>
            <w:tcW w:w="2660" w:type="dxa"/>
          </w:tcPr>
          <w:p w14:paraId="73E6857C" w14:textId="5E95C216" w:rsidR="002F7E2B" w:rsidRPr="002F7E2B" w:rsidRDefault="002F7E2B" w:rsidP="00B10475">
            <w:pPr>
              <w:rPr>
                <w:rFonts w:ascii="Calibri" w:hAnsi="Calibri" w:cs="Calibri"/>
                <w:sz w:val="20"/>
                <w:szCs w:val="20"/>
              </w:rPr>
            </w:pPr>
            <w:r w:rsidRPr="002F7E2B">
              <w:rPr>
                <w:rFonts w:ascii="Calibri" w:hAnsi="Calibri" w:cs="Calibri"/>
                <w:sz w:val="20"/>
                <w:szCs w:val="20"/>
              </w:rPr>
              <w:lastRenderedPageBreak/>
              <w:t>Mortality &lt;28 days (n (%))</w:t>
            </w:r>
          </w:p>
        </w:tc>
        <w:tc>
          <w:tcPr>
            <w:tcW w:w="1843" w:type="dxa"/>
          </w:tcPr>
          <w:p w14:paraId="6D9BE739" w14:textId="3243BC01" w:rsidR="002F7E2B" w:rsidRPr="002F7E2B" w:rsidRDefault="002F7E2B" w:rsidP="00B10475">
            <w:pPr>
              <w:rPr>
                <w:rFonts w:ascii="Calibri" w:hAnsi="Calibri" w:cs="Calibri"/>
                <w:sz w:val="20"/>
                <w:szCs w:val="20"/>
              </w:rPr>
            </w:pPr>
            <w:r w:rsidRPr="002F7E2B">
              <w:rPr>
                <w:rFonts w:ascii="Calibri" w:hAnsi="Calibri" w:cs="Calibri"/>
                <w:sz w:val="20"/>
                <w:szCs w:val="20"/>
              </w:rPr>
              <w:t>4 (18.1%)</w:t>
            </w:r>
          </w:p>
        </w:tc>
        <w:tc>
          <w:tcPr>
            <w:tcW w:w="1984" w:type="dxa"/>
          </w:tcPr>
          <w:p w14:paraId="1102553E" w14:textId="6B904F6C" w:rsidR="002F7E2B" w:rsidRPr="002F7E2B" w:rsidRDefault="002F7E2B" w:rsidP="00B10475">
            <w:pPr>
              <w:rPr>
                <w:rFonts w:ascii="Calibri" w:hAnsi="Calibri" w:cs="Calibri"/>
                <w:sz w:val="20"/>
                <w:szCs w:val="20"/>
              </w:rPr>
            </w:pPr>
            <w:r w:rsidRPr="002F7E2B">
              <w:rPr>
                <w:rFonts w:ascii="Calibri" w:hAnsi="Calibri" w:cs="Calibri"/>
                <w:sz w:val="20"/>
                <w:szCs w:val="20"/>
              </w:rPr>
              <w:t>2(22.2%) p=0.79</w:t>
            </w:r>
          </w:p>
        </w:tc>
        <w:tc>
          <w:tcPr>
            <w:tcW w:w="2755" w:type="dxa"/>
          </w:tcPr>
          <w:p w14:paraId="218CF5C8" w14:textId="1A43D301" w:rsidR="002F7E2B" w:rsidRPr="002F7E2B" w:rsidRDefault="002F7E2B" w:rsidP="00B10475">
            <w:pPr>
              <w:rPr>
                <w:rFonts w:ascii="Calibri" w:hAnsi="Calibri" w:cs="Calibri"/>
                <w:sz w:val="20"/>
                <w:szCs w:val="20"/>
              </w:rPr>
            </w:pPr>
            <w:r w:rsidRPr="002F7E2B">
              <w:rPr>
                <w:rFonts w:ascii="Calibri" w:hAnsi="Calibri" w:cs="Calibri"/>
                <w:sz w:val="20"/>
                <w:szCs w:val="20"/>
              </w:rPr>
              <w:t>8 (14.2%) p=0.66</w:t>
            </w:r>
          </w:p>
        </w:tc>
      </w:tr>
      <w:tr w:rsidR="002F7E2B" w14:paraId="6EDB7692" w14:textId="77777777" w:rsidTr="002F7E2B">
        <w:tc>
          <w:tcPr>
            <w:tcW w:w="2660" w:type="dxa"/>
          </w:tcPr>
          <w:p w14:paraId="02B062A4" w14:textId="37028F14" w:rsidR="002F7E2B" w:rsidRPr="002F7E2B" w:rsidRDefault="002F7E2B" w:rsidP="00B10475">
            <w:pPr>
              <w:rPr>
                <w:rFonts w:ascii="Calibri" w:hAnsi="Calibri" w:cs="Calibri"/>
                <w:sz w:val="20"/>
                <w:szCs w:val="20"/>
              </w:rPr>
            </w:pPr>
            <w:r w:rsidRPr="002F7E2B">
              <w:rPr>
                <w:rFonts w:ascii="Calibri" w:hAnsi="Calibri" w:cs="Calibri"/>
                <w:sz w:val="20"/>
                <w:szCs w:val="20"/>
              </w:rPr>
              <w:t>Co-infection (n (%))</w:t>
            </w:r>
          </w:p>
        </w:tc>
        <w:tc>
          <w:tcPr>
            <w:tcW w:w="1843" w:type="dxa"/>
          </w:tcPr>
          <w:p w14:paraId="43C4D43E" w14:textId="7837B134" w:rsidR="002F7E2B" w:rsidRPr="002F7E2B" w:rsidRDefault="002F7E2B" w:rsidP="00B10475">
            <w:pPr>
              <w:rPr>
                <w:rFonts w:ascii="Calibri" w:hAnsi="Calibri" w:cs="Calibri"/>
                <w:sz w:val="20"/>
                <w:szCs w:val="20"/>
              </w:rPr>
            </w:pPr>
            <w:r w:rsidRPr="002F7E2B">
              <w:rPr>
                <w:rFonts w:ascii="Calibri" w:hAnsi="Calibri" w:cs="Calibri"/>
                <w:sz w:val="20"/>
                <w:szCs w:val="20"/>
              </w:rPr>
              <w:t xml:space="preserve">0 (0%) </w:t>
            </w:r>
          </w:p>
        </w:tc>
        <w:tc>
          <w:tcPr>
            <w:tcW w:w="1984" w:type="dxa"/>
          </w:tcPr>
          <w:p w14:paraId="710F1DDF" w14:textId="0B9607E9" w:rsidR="002F7E2B" w:rsidRPr="002F7E2B" w:rsidRDefault="002F7E2B" w:rsidP="00B10475">
            <w:pPr>
              <w:rPr>
                <w:rFonts w:ascii="Calibri" w:hAnsi="Calibri" w:cs="Calibri"/>
                <w:sz w:val="20"/>
                <w:szCs w:val="20"/>
              </w:rPr>
            </w:pPr>
            <w:r w:rsidRPr="002F7E2B">
              <w:rPr>
                <w:rFonts w:ascii="Calibri" w:hAnsi="Calibri" w:cs="Calibri"/>
                <w:sz w:val="20"/>
                <w:szCs w:val="20"/>
              </w:rPr>
              <w:t>3 (33.3%) p=0.004</w:t>
            </w:r>
          </w:p>
        </w:tc>
        <w:tc>
          <w:tcPr>
            <w:tcW w:w="2755" w:type="dxa"/>
          </w:tcPr>
          <w:p w14:paraId="6BF9F290" w14:textId="15BA3E67" w:rsidR="002F7E2B" w:rsidRPr="002F7E2B" w:rsidRDefault="002F7E2B" w:rsidP="00B10475">
            <w:pPr>
              <w:rPr>
                <w:rFonts w:ascii="Calibri" w:hAnsi="Calibri" w:cs="Calibri"/>
                <w:sz w:val="20"/>
                <w:szCs w:val="20"/>
              </w:rPr>
            </w:pPr>
            <w:r w:rsidRPr="002F7E2B">
              <w:rPr>
                <w:rFonts w:ascii="Calibri" w:hAnsi="Calibri" w:cs="Calibri"/>
                <w:sz w:val="20"/>
                <w:szCs w:val="20"/>
              </w:rPr>
              <w:t>21 (37.5%) p=0.001</w:t>
            </w:r>
          </w:p>
        </w:tc>
      </w:tr>
      <w:tr w:rsidR="002F7E2B" w14:paraId="2F0CE297" w14:textId="77777777" w:rsidTr="002F7E2B">
        <w:tc>
          <w:tcPr>
            <w:tcW w:w="2660" w:type="dxa"/>
          </w:tcPr>
          <w:p w14:paraId="7460AD68" w14:textId="24F8B735" w:rsidR="002F7E2B" w:rsidRPr="002F7E2B" w:rsidRDefault="002F7E2B" w:rsidP="00B10475">
            <w:pPr>
              <w:rPr>
                <w:rFonts w:ascii="Calibri" w:hAnsi="Calibri" w:cs="Calibri"/>
                <w:sz w:val="20"/>
                <w:szCs w:val="20"/>
              </w:rPr>
            </w:pPr>
            <w:r w:rsidRPr="002F7E2B">
              <w:rPr>
                <w:rFonts w:ascii="Calibri" w:hAnsi="Calibri" w:cs="Calibri"/>
                <w:sz w:val="20"/>
                <w:szCs w:val="20"/>
              </w:rPr>
              <w:t>Early infection (n (%))</w:t>
            </w:r>
          </w:p>
        </w:tc>
        <w:tc>
          <w:tcPr>
            <w:tcW w:w="1843" w:type="dxa"/>
          </w:tcPr>
          <w:p w14:paraId="3BE95E0D" w14:textId="74993229" w:rsidR="002F7E2B" w:rsidRPr="002F7E2B" w:rsidRDefault="002F7E2B" w:rsidP="00B10475">
            <w:pPr>
              <w:rPr>
                <w:rFonts w:ascii="Calibri" w:hAnsi="Calibri" w:cs="Calibri"/>
                <w:sz w:val="20"/>
                <w:szCs w:val="20"/>
              </w:rPr>
            </w:pPr>
            <w:r w:rsidRPr="002F7E2B">
              <w:rPr>
                <w:rFonts w:ascii="Calibri" w:hAnsi="Calibri" w:cs="Calibri"/>
                <w:sz w:val="20"/>
                <w:szCs w:val="20"/>
              </w:rPr>
              <w:t xml:space="preserve">3 (13.6%) </w:t>
            </w:r>
          </w:p>
        </w:tc>
        <w:tc>
          <w:tcPr>
            <w:tcW w:w="1984" w:type="dxa"/>
          </w:tcPr>
          <w:p w14:paraId="02C9E886" w14:textId="34263ACB" w:rsidR="002F7E2B" w:rsidRPr="002F7E2B" w:rsidRDefault="002F7E2B" w:rsidP="00B10475">
            <w:pPr>
              <w:rPr>
                <w:rFonts w:ascii="Calibri" w:hAnsi="Calibri" w:cs="Calibri"/>
                <w:sz w:val="20"/>
                <w:szCs w:val="20"/>
              </w:rPr>
            </w:pPr>
            <w:r w:rsidRPr="002F7E2B">
              <w:rPr>
                <w:rFonts w:ascii="Calibri" w:hAnsi="Calibri" w:cs="Calibri"/>
                <w:sz w:val="20"/>
                <w:szCs w:val="20"/>
              </w:rPr>
              <w:t>0 (0%) p=0.22</w:t>
            </w:r>
          </w:p>
        </w:tc>
        <w:tc>
          <w:tcPr>
            <w:tcW w:w="2755" w:type="dxa"/>
          </w:tcPr>
          <w:p w14:paraId="16EA2151" w14:textId="39AA46CD" w:rsidR="002F7E2B" w:rsidRPr="002F7E2B" w:rsidRDefault="002F7E2B" w:rsidP="00B10475">
            <w:pPr>
              <w:rPr>
                <w:rFonts w:ascii="Calibri" w:hAnsi="Calibri" w:cs="Calibri"/>
                <w:sz w:val="20"/>
                <w:szCs w:val="20"/>
              </w:rPr>
            </w:pPr>
            <w:r w:rsidRPr="002F7E2B">
              <w:rPr>
                <w:rFonts w:ascii="Calibri" w:hAnsi="Calibri" w:cs="Calibri"/>
                <w:sz w:val="20"/>
                <w:szCs w:val="20"/>
              </w:rPr>
              <w:t>8 (14.3%) p=0.43</w:t>
            </w:r>
          </w:p>
        </w:tc>
      </w:tr>
      <w:tr w:rsidR="002F7E2B" w14:paraId="670945CD" w14:textId="77777777" w:rsidTr="002F7E2B">
        <w:trPr>
          <w:trHeight w:val="379"/>
        </w:trPr>
        <w:tc>
          <w:tcPr>
            <w:tcW w:w="2660" w:type="dxa"/>
          </w:tcPr>
          <w:p w14:paraId="1C5D943F" w14:textId="546B0422" w:rsidR="002F7E2B" w:rsidRPr="002F7E2B" w:rsidRDefault="002F7E2B" w:rsidP="00B10475">
            <w:pPr>
              <w:rPr>
                <w:rFonts w:ascii="Calibri" w:hAnsi="Calibri" w:cs="Calibri"/>
                <w:sz w:val="20"/>
                <w:szCs w:val="20"/>
              </w:rPr>
            </w:pPr>
            <w:r w:rsidRPr="002F7E2B">
              <w:rPr>
                <w:rFonts w:ascii="Calibri" w:hAnsi="Calibri" w:cs="Calibri"/>
                <w:sz w:val="20"/>
                <w:szCs w:val="20"/>
              </w:rPr>
              <w:t>Late infection (n (%))</w:t>
            </w:r>
          </w:p>
        </w:tc>
        <w:tc>
          <w:tcPr>
            <w:tcW w:w="1843" w:type="dxa"/>
          </w:tcPr>
          <w:p w14:paraId="4D0D031D" w14:textId="288A6824" w:rsidR="002F7E2B" w:rsidRPr="002F7E2B" w:rsidRDefault="002F7E2B" w:rsidP="00B10475">
            <w:pPr>
              <w:rPr>
                <w:rFonts w:ascii="Calibri" w:hAnsi="Calibri" w:cs="Calibri"/>
                <w:sz w:val="20"/>
                <w:szCs w:val="20"/>
              </w:rPr>
            </w:pPr>
            <w:r w:rsidRPr="002F7E2B">
              <w:rPr>
                <w:rFonts w:ascii="Calibri" w:hAnsi="Calibri" w:cs="Calibri"/>
                <w:sz w:val="20"/>
                <w:szCs w:val="20"/>
              </w:rPr>
              <w:t xml:space="preserve">4 (18.2%) </w:t>
            </w:r>
          </w:p>
        </w:tc>
        <w:tc>
          <w:tcPr>
            <w:tcW w:w="1984" w:type="dxa"/>
          </w:tcPr>
          <w:p w14:paraId="073D3B4B" w14:textId="60C9F41C" w:rsidR="002F7E2B" w:rsidRPr="002F7E2B" w:rsidRDefault="002F7E2B" w:rsidP="00B10475">
            <w:pPr>
              <w:rPr>
                <w:rFonts w:ascii="Calibri" w:hAnsi="Calibri" w:cs="Calibri"/>
                <w:sz w:val="20"/>
                <w:szCs w:val="20"/>
              </w:rPr>
            </w:pPr>
            <w:r w:rsidRPr="002F7E2B">
              <w:rPr>
                <w:rFonts w:ascii="Calibri" w:hAnsi="Calibri" w:cs="Calibri"/>
                <w:sz w:val="20"/>
                <w:szCs w:val="20"/>
              </w:rPr>
              <w:t>3 (33.3%) p=0.36</w:t>
            </w:r>
          </w:p>
        </w:tc>
        <w:tc>
          <w:tcPr>
            <w:tcW w:w="2755" w:type="dxa"/>
          </w:tcPr>
          <w:p w14:paraId="531851DC" w14:textId="3EA6B781" w:rsidR="002F7E2B" w:rsidRPr="002F7E2B" w:rsidRDefault="002F7E2B" w:rsidP="00B10475">
            <w:pPr>
              <w:rPr>
                <w:rFonts w:ascii="Calibri" w:hAnsi="Calibri" w:cs="Calibri"/>
                <w:sz w:val="20"/>
                <w:szCs w:val="20"/>
              </w:rPr>
            </w:pPr>
            <w:r w:rsidRPr="002F7E2B">
              <w:rPr>
                <w:rFonts w:ascii="Calibri" w:hAnsi="Calibri" w:cs="Calibri"/>
                <w:sz w:val="20"/>
                <w:szCs w:val="20"/>
              </w:rPr>
              <w:t>16 (28.6%) p=0.52</w:t>
            </w:r>
          </w:p>
        </w:tc>
      </w:tr>
      <w:tr w:rsidR="00036F9C" w14:paraId="30874886" w14:textId="77777777" w:rsidTr="002F7E2B">
        <w:trPr>
          <w:trHeight w:val="379"/>
        </w:trPr>
        <w:tc>
          <w:tcPr>
            <w:tcW w:w="2660" w:type="dxa"/>
          </w:tcPr>
          <w:p w14:paraId="28A0C149" w14:textId="77777777" w:rsidR="00036F9C" w:rsidRPr="002F7E2B" w:rsidRDefault="00036F9C" w:rsidP="00B10475">
            <w:pPr>
              <w:rPr>
                <w:rFonts w:ascii="Calibri" w:hAnsi="Calibri" w:cs="Calibri"/>
                <w:sz w:val="20"/>
                <w:szCs w:val="20"/>
              </w:rPr>
            </w:pPr>
          </w:p>
        </w:tc>
        <w:tc>
          <w:tcPr>
            <w:tcW w:w="1843" w:type="dxa"/>
          </w:tcPr>
          <w:p w14:paraId="3A23CD6F" w14:textId="77777777" w:rsidR="00036F9C" w:rsidRPr="002F7E2B" w:rsidRDefault="00036F9C" w:rsidP="00B10475">
            <w:pPr>
              <w:rPr>
                <w:rFonts w:ascii="Calibri" w:hAnsi="Calibri" w:cs="Calibri"/>
                <w:sz w:val="20"/>
                <w:szCs w:val="20"/>
              </w:rPr>
            </w:pPr>
          </w:p>
        </w:tc>
        <w:tc>
          <w:tcPr>
            <w:tcW w:w="1984" w:type="dxa"/>
          </w:tcPr>
          <w:p w14:paraId="0A8CFE58" w14:textId="77777777" w:rsidR="00036F9C" w:rsidRPr="002F7E2B" w:rsidRDefault="00036F9C" w:rsidP="00B10475">
            <w:pPr>
              <w:rPr>
                <w:rFonts w:ascii="Calibri" w:hAnsi="Calibri" w:cs="Calibri"/>
                <w:sz w:val="20"/>
                <w:szCs w:val="20"/>
              </w:rPr>
            </w:pPr>
          </w:p>
        </w:tc>
        <w:tc>
          <w:tcPr>
            <w:tcW w:w="2755" w:type="dxa"/>
          </w:tcPr>
          <w:p w14:paraId="5E063E0C" w14:textId="77777777" w:rsidR="00036F9C" w:rsidRPr="002F7E2B" w:rsidRDefault="00036F9C" w:rsidP="00B10475">
            <w:pPr>
              <w:rPr>
                <w:rFonts w:ascii="Calibri" w:hAnsi="Calibri" w:cs="Calibri"/>
                <w:sz w:val="20"/>
                <w:szCs w:val="20"/>
              </w:rPr>
            </w:pPr>
          </w:p>
        </w:tc>
      </w:tr>
      <w:tr w:rsidR="002F7E2B" w14:paraId="4C18D4BD" w14:textId="77777777" w:rsidTr="002F7E2B">
        <w:trPr>
          <w:trHeight w:val="315"/>
        </w:trPr>
        <w:tc>
          <w:tcPr>
            <w:tcW w:w="2660" w:type="dxa"/>
          </w:tcPr>
          <w:p w14:paraId="69C7C45A" w14:textId="4F78D417" w:rsidR="002F7E2B" w:rsidRPr="002F7E2B" w:rsidRDefault="002F7E2B" w:rsidP="00B10475">
            <w:pPr>
              <w:rPr>
                <w:rFonts w:ascii="Calibri" w:hAnsi="Calibri" w:cs="Calibri"/>
                <w:sz w:val="20"/>
                <w:szCs w:val="20"/>
              </w:rPr>
            </w:pPr>
            <w:r w:rsidRPr="002F7E2B">
              <w:rPr>
                <w:rFonts w:ascii="Calibri" w:hAnsi="Calibri" w:cs="Calibri"/>
                <w:b/>
                <w:sz w:val="20"/>
                <w:szCs w:val="20"/>
              </w:rPr>
              <w:t xml:space="preserve">PCT not responsive </w:t>
            </w:r>
            <w:proofErr w:type="spellStart"/>
            <w:r w:rsidRPr="002F7E2B">
              <w:rPr>
                <w:rFonts w:ascii="Calibri" w:hAnsi="Calibri" w:cs="Calibri"/>
                <w:b/>
                <w:sz w:val="20"/>
                <w:szCs w:val="20"/>
              </w:rPr>
              <w:t>Abx</w:t>
            </w:r>
            <w:proofErr w:type="spellEnd"/>
            <w:r w:rsidRPr="002F7E2B">
              <w:rPr>
                <w:rFonts w:ascii="Calibri" w:hAnsi="Calibri" w:cs="Calibri"/>
                <w:b/>
                <w:sz w:val="20"/>
                <w:szCs w:val="20"/>
              </w:rPr>
              <w:t xml:space="preserve"> </w:t>
            </w:r>
          </w:p>
        </w:tc>
        <w:tc>
          <w:tcPr>
            <w:tcW w:w="1843" w:type="dxa"/>
          </w:tcPr>
          <w:p w14:paraId="2FC4ACB4" w14:textId="247EBF3F" w:rsidR="002F7E2B" w:rsidRPr="002F7E2B" w:rsidRDefault="002F7E2B" w:rsidP="00B10475">
            <w:pPr>
              <w:rPr>
                <w:rFonts w:ascii="Calibri" w:hAnsi="Calibri" w:cs="Calibri"/>
                <w:sz w:val="20"/>
                <w:szCs w:val="20"/>
              </w:rPr>
            </w:pPr>
            <w:r w:rsidRPr="002F7E2B">
              <w:rPr>
                <w:rFonts w:ascii="Calibri" w:hAnsi="Calibri" w:cs="Calibri"/>
                <w:b/>
                <w:sz w:val="20"/>
                <w:szCs w:val="20"/>
              </w:rPr>
              <w:t>COVID-19 Group 3</w:t>
            </w:r>
          </w:p>
        </w:tc>
        <w:tc>
          <w:tcPr>
            <w:tcW w:w="1984" w:type="dxa"/>
          </w:tcPr>
          <w:p w14:paraId="27224078" w14:textId="7C4BCFAC" w:rsidR="002F7E2B" w:rsidRPr="002F7E2B" w:rsidRDefault="002F7E2B" w:rsidP="00B10475">
            <w:pPr>
              <w:rPr>
                <w:rFonts w:ascii="Calibri" w:hAnsi="Calibri" w:cs="Calibri"/>
                <w:sz w:val="20"/>
                <w:szCs w:val="20"/>
              </w:rPr>
            </w:pPr>
            <w:r w:rsidRPr="002F7E2B">
              <w:rPr>
                <w:rFonts w:ascii="Calibri" w:hAnsi="Calibri" w:cs="Calibri"/>
                <w:b/>
                <w:sz w:val="20"/>
                <w:szCs w:val="20"/>
              </w:rPr>
              <w:t xml:space="preserve">Influenza Group 3 </w:t>
            </w:r>
          </w:p>
        </w:tc>
        <w:tc>
          <w:tcPr>
            <w:tcW w:w="2755" w:type="dxa"/>
          </w:tcPr>
          <w:p w14:paraId="68101595" w14:textId="3719C7CB" w:rsidR="002F7E2B" w:rsidRPr="002F7E2B" w:rsidRDefault="002F7E2B" w:rsidP="00B10475">
            <w:pPr>
              <w:rPr>
                <w:rFonts w:ascii="Calibri" w:hAnsi="Calibri" w:cs="Calibri"/>
                <w:sz w:val="20"/>
                <w:szCs w:val="20"/>
              </w:rPr>
            </w:pPr>
            <w:r w:rsidRPr="002F7E2B">
              <w:rPr>
                <w:rFonts w:ascii="Calibri" w:hAnsi="Calibri" w:cs="Calibri"/>
                <w:b/>
                <w:sz w:val="20"/>
                <w:szCs w:val="20"/>
              </w:rPr>
              <w:t>BSI Group 3</w:t>
            </w:r>
          </w:p>
        </w:tc>
      </w:tr>
      <w:tr w:rsidR="002F7E2B" w14:paraId="5030A42D" w14:textId="77777777" w:rsidTr="002F7E2B">
        <w:tc>
          <w:tcPr>
            <w:tcW w:w="2660" w:type="dxa"/>
          </w:tcPr>
          <w:p w14:paraId="6FA627CE" w14:textId="285BD206" w:rsidR="002F7E2B" w:rsidRPr="002F7E2B" w:rsidRDefault="002F7E2B" w:rsidP="00B10475">
            <w:pPr>
              <w:rPr>
                <w:rFonts w:ascii="Calibri" w:hAnsi="Calibri" w:cs="Calibri"/>
                <w:sz w:val="20"/>
                <w:szCs w:val="20"/>
              </w:rPr>
            </w:pPr>
            <w:r w:rsidRPr="002F7E2B">
              <w:rPr>
                <w:rFonts w:ascii="Calibri" w:hAnsi="Calibri" w:cs="Calibri"/>
                <w:sz w:val="20"/>
                <w:szCs w:val="20"/>
              </w:rPr>
              <w:t>Number (n)</w:t>
            </w:r>
          </w:p>
        </w:tc>
        <w:tc>
          <w:tcPr>
            <w:tcW w:w="1843" w:type="dxa"/>
          </w:tcPr>
          <w:p w14:paraId="5451FF2C" w14:textId="1CC32C23" w:rsidR="002F7E2B" w:rsidRPr="002F7E2B" w:rsidRDefault="002F7E2B" w:rsidP="00B10475">
            <w:pPr>
              <w:rPr>
                <w:rFonts w:ascii="Calibri" w:hAnsi="Calibri" w:cs="Calibri"/>
                <w:sz w:val="20"/>
                <w:szCs w:val="20"/>
              </w:rPr>
            </w:pPr>
            <w:r w:rsidRPr="002F7E2B">
              <w:rPr>
                <w:rFonts w:ascii="Calibri" w:hAnsi="Calibri" w:cs="Calibri"/>
                <w:sz w:val="20"/>
                <w:szCs w:val="20"/>
              </w:rPr>
              <w:t>26 (34.6%)</w:t>
            </w:r>
          </w:p>
        </w:tc>
        <w:tc>
          <w:tcPr>
            <w:tcW w:w="1984" w:type="dxa"/>
          </w:tcPr>
          <w:p w14:paraId="68B72634" w14:textId="1B781CE3" w:rsidR="002F7E2B" w:rsidRPr="002F7E2B" w:rsidRDefault="002F7E2B" w:rsidP="00B10475">
            <w:pPr>
              <w:rPr>
                <w:rFonts w:ascii="Calibri" w:hAnsi="Calibri" w:cs="Calibri"/>
                <w:sz w:val="20"/>
                <w:szCs w:val="20"/>
              </w:rPr>
            </w:pPr>
            <w:r w:rsidRPr="002F7E2B">
              <w:rPr>
                <w:rFonts w:ascii="Calibri" w:hAnsi="Calibri" w:cs="Calibri"/>
                <w:sz w:val="20"/>
                <w:szCs w:val="20"/>
              </w:rPr>
              <w:t>4 (17.4%)</w:t>
            </w:r>
          </w:p>
        </w:tc>
        <w:tc>
          <w:tcPr>
            <w:tcW w:w="2755" w:type="dxa"/>
          </w:tcPr>
          <w:p w14:paraId="55419652" w14:textId="11216E9E" w:rsidR="002F7E2B" w:rsidRPr="002F7E2B" w:rsidRDefault="002F7E2B" w:rsidP="00B10475">
            <w:pPr>
              <w:rPr>
                <w:rFonts w:ascii="Calibri" w:hAnsi="Calibri" w:cs="Calibri"/>
                <w:sz w:val="20"/>
                <w:szCs w:val="20"/>
              </w:rPr>
            </w:pPr>
            <w:r w:rsidRPr="002F7E2B">
              <w:rPr>
                <w:rFonts w:ascii="Calibri" w:hAnsi="Calibri" w:cs="Calibri"/>
                <w:sz w:val="20"/>
                <w:szCs w:val="20"/>
              </w:rPr>
              <w:t>11(15.1%)</w:t>
            </w:r>
          </w:p>
        </w:tc>
      </w:tr>
      <w:tr w:rsidR="002F7E2B" w14:paraId="195D1FC5" w14:textId="77777777" w:rsidTr="002F7E2B">
        <w:tc>
          <w:tcPr>
            <w:tcW w:w="2660" w:type="dxa"/>
          </w:tcPr>
          <w:p w14:paraId="75172AC3" w14:textId="4A9D4F15" w:rsidR="002F7E2B" w:rsidRPr="002F7E2B" w:rsidRDefault="002F7E2B" w:rsidP="00B10475">
            <w:pPr>
              <w:rPr>
                <w:rFonts w:ascii="Calibri" w:hAnsi="Calibri" w:cs="Calibri"/>
                <w:sz w:val="20"/>
                <w:szCs w:val="20"/>
              </w:rPr>
            </w:pPr>
            <w:r w:rsidRPr="002F7E2B">
              <w:rPr>
                <w:rFonts w:ascii="Calibri" w:hAnsi="Calibri" w:cs="Calibri"/>
                <w:sz w:val="20"/>
                <w:szCs w:val="20"/>
              </w:rPr>
              <w:t>Age-years (SD)</w:t>
            </w:r>
          </w:p>
        </w:tc>
        <w:tc>
          <w:tcPr>
            <w:tcW w:w="1843" w:type="dxa"/>
          </w:tcPr>
          <w:p w14:paraId="14D06192" w14:textId="0FEFAE80" w:rsidR="002F7E2B" w:rsidRPr="002F7E2B" w:rsidRDefault="002F7E2B" w:rsidP="00B10475">
            <w:pPr>
              <w:rPr>
                <w:rFonts w:ascii="Calibri" w:hAnsi="Calibri" w:cs="Calibri"/>
                <w:sz w:val="20"/>
                <w:szCs w:val="20"/>
              </w:rPr>
            </w:pPr>
            <w:r w:rsidRPr="002F7E2B">
              <w:rPr>
                <w:rFonts w:ascii="Calibri" w:hAnsi="Calibri" w:cs="Calibri"/>
                <w:sz w:val="20"/>
                <w:szCs w:val="20"/>
              </w:rPr>
              <w:t>60.3 (10.4)</w:t>
            </w:r>
          </w:p>
        </w:tc>
        <w:tc>
          <w:tcPr>
            <w:tcW w:w="1984" w:type="dxa"/>
          </w:tcPr>
          <w:p w14:paraId="193BD2B7" w14:textId="79061E1E" w:rsidR="002F7E2B" w:rsidRPr="002F7E2B" w:rsidRDefault="002F7E2B" w:rsidP="00B10475">
            <w:pPr>
              <w:rPr>
                <w:rFonts w:ascii="Calibri" w:hAnsi="Calibri" w:cs="Calibri"/>
                <w:sz w:val="20"/>
                <w:szCs w:val="20"/>
              </w:rPr>
            </w:pPr>
            <w:r w:rsidRPr="002F7E2B">
              <w:rPr>
                <w:rFonts w:ascii="Calibri" w:hAnsi="Calibri" w:cs="Calibri"/>
                <w:sz w:val="20"/>
                <w:szCs w:val="20"/>
              </w:rPr>
              <w:t>52.2 (15.3) p=0.19</w:t>
            </w:r>
          </w:p>
        </w:tc>
        <w:tc>
          <w:tcPr>
            <w:tcW w:w="2755" w:type="dxa"/>
          </w:tcPr>
          <w:p w14:paraId="270F848F" w14:textId="7ABE58E2" w:rsidR="002F7E2B" w:rsidRPr="002F7E2B" w:rsidRDefault="002F7E2B" w:rsidP="00B10475">
            <w:pPr>
              <w:rPr>
                <w:rFonts w:ascii="Calibri" w:hAnsi="Calibri" w:cs="Calibri"/>
                <w:sz w:val="20"/>
                <w:szCs w:val="20"/>
              </w:rPr>
            </w:pPr>
            <w:r w:rsidRPr="002F7E2B">
              <w:rPr>
                <w:rFonts w:ascii="Calibri" w:hAnsi="Calibri" w:cs="Calibri"/>
                <w:sz w:val="20"/>
                <w:szCs w:val="20"/>
              </w:rPr>
              <w:t>63.5 (13.5) p=0.43</w:t>
            </w:r>
          </w:p>
        </w:tc>
      </w:tr>
      <w:tr w:rsidR="002F7E2B" w14:paraId="787AE800" w14:textId="77777777" w:rsidTr="002F7E2B">
        <w:tc>
          <w:tcPr>
            <w:tcW w:w="2660" w:type="dxa"/>
          </w:tcPr>
          <w:p w14:paraId="2498766D" w14:textId="7364DD32" w:rsidR="002F7E2B" w:rsidRPr="002F7E2B" w:rsidRDefault="002F7E2B" w:rsidP="00B10475">
            <w:pPr>
              <w:rPr>
                <w:rFonts w:ascii="Calibri" w:hAnsi="Calibri" w:cs="Calibri"/>
                <w:sz w:val="20"/>
                <w:szCs w:val="20"/>
              </w:rPr>
            </w:pPr>
            <w:r w:rsidRPr="002F7E2B">
              <w:rPr>
                <w:rFonts w:ascii="Calibri" w:hAnsi="Calibri" w:cs="Calibri"/>
                <w:sz w:val="20"/>
                <w:szCs w:val="20"/>
              </w:rPr>
              <w:t>Gender (n (%male))</w:t>
            </w:r>
          </w:p>
        </w:tc>
        <w:tc>
          <w:tcPr>
            <w:tcW w:w="1843" w:type="dxa"/>
          </w:tcPr>
          <w:p w14:paraId="0803ED5F" w14:textId="7F86B42E" w:rsidR="002F7E2B" w:rsidRPr="002F7E2B" w:rsidRDefault="002F7E2B" w:rsidP="00B10475">
            <w:pPr>
              <w:rPr>
                <w:rFonts w:ascii="Calibri" w:hAnsi="Calibri" w:cs="Calibri"/>
                <w:sz w:val="20"/>
                <w:szCs w:val="20"/>
              </w:rPr>
            </w:pPr>
            <w:r w:rsidRPr="002F7E2B">
              <w:rPr>
                <w:rFonts w:ascii="Calibri" w:hAnsi="Calibri" w:cs="Calibri"/>
                <w:sz w:val="20"/>
                <w:szCs w:val="20"/>
              </w:rPr>
              <w:t>21 (80.7%)</w:t>
            </w:r>
          </w:p>
        </w:tc>
        <w:tc>
          <w:tcPr>
            <w:tcW w:w="1984" w:type="dxa"/>
          </w:tcPr>
          <w:p w14:paraId="19B60AB7" w14:textId="6DBB5400" w:rsidR="002F7E2B" w:rsidRPr="002F7E2B" w:rsidRDefault="002F7E2B" w:rsidP="00B10475">
            <w:pPr>
              <w:rPr>
                <w:rFonts w:ascii="Calibri" w:hAnsi="Calibri" w:cs="Calibri"/>
                <w:sz w:val="20"/>
                <w:szCs w:val="20"/>
              </w:rPr>
            </w:pPr>
            <w:r w:rsidRPr="002F7E2B">
              <w:rPr>
                <w:rFonts w:ascii="Calibri" w:hAnsi="Calibri" w:cs="Calibri"/>
                <w:sz w:val="20"/>
                <w:szCs w:val="20"/>
              </w:rPr>
              <w:t>2 (50%) p=0.17</w:t>
            </w:r>
          </w:p>
        </w:tc>
        <w:tc>
          <w:tcPr>
            <w:tcW w:w="2755" w:type="dxa"/>
          </w:tcPr>
          <w:p w14:paraId="77C5C09B" w14:textId="4692779D" w:rsidR="002F7E2B" w:rsidRPr="002F7E2B" w:rsidRDefault="002F7E2B" w:rsidP="00B10475">
            <w:pPr>
              <w:rPr>
                <w:rFonts w:ascii="Calibri" w:hAnsi="Calibri" w:cs="Calibri"/>
                <w:sz w:val="20"/>
                <w:szCs w:val="20"/>
              </w:rPr>
            </w:pPr>
            <w:r w:rsidRPr="002F7E2B">
              <w:rPr>
                <w:rFonts w:ascii="Calibri" w:hAnsi="Calibri" w:cs="Calibri"/>
                <w:sz w:val="20"/>
                <w:szCs w:val="20"/>
              </w:rPr>
              <w:t>9 (81.8%) p=0.94</w:t>
            </w:r>
          </w:p>
        </w:tc>
      </w:tr>
      <w:tr w:rsidR="002F7E2B" w14:paraId="67D9D697" w14:textId="77777777" w:rsidTr="002F7E2B">
        <w:tc>
          <w:tcPr>
            <w:tcW w:w="2660" w:type="dxa"/>
          </w:tcPr>
          <w:p w14:paraId="1E234535" w14:textId="7C03A65C" w:rsidR="002F7E2B" w:rsidRPr="002F7E2B" w:rsidRDefault="002F7E2B" w:rsidP="00B10475">
            <w:pPr>
              <w:rPr>
                <w:rFonts w:ascii="Calibri" w:hAnsi="Calibri" w:cs="Calibri"/>
                <w:sz w:val="20"/>
                <w:szCs w:val="20"/>
              </w:rPr>
            </w:pPr>
            <w:r w:rsidRPr="002F7E2B">
              <w:rPr>
                <w:rFonts w:ascii="Calibri" w:hAnsi="Calibri" w:cs="Calibri"/>
                <w:sz w:val="20"/>
                <w:szCs w:val="20"/>
              </w:rPr>
              <w:t>Days to ICU discharge (SD)</w:t>
            </w:r>
          </w:p>
        </w:tc>
        <w:tc>
          <w:tcPr>
            <w:tcW w:w="1843" w:type="dxa"/>
          </w:tcPr>
          <w:p w14:paraId="4A22C9CF" w14:textId="33121FF1" w:rsidR="002F7E2B" w:rsidRPr="002F7E2B" w:rsidRDefault="002F7E2B" w:rsidP="00B10475">
            <w:pPr>
              <w:rPr>
                <w:rFonts w:ascii="Calibri" w:hAnsi="Calibri" w:cs="Calibri"/>
                <w:sz w:val="20"/>
                <w:szCs w:val="20"/>
              </w:rPr>
            </w:pPr>
            <w:r w:rsidRPr="002F7E2B">
              <w:rPr>
                <w:rFonts w:ascii="Calibri" w:hAnsi="Calibri" w:cs="Calibri"/>
                <w:sz w:val="20"/>
                <w:szCs w:val="20"/>
              </w:rPr>
              <w:t>18.3 (11.2)</w:t>
            </w:r>
          </w:p>
        </w:tc>
        <w:tc>
          <w:tcPr>
            <w:tcW w:w="1984" w:type="dxa"/>
          </w:tcPr>
          <w:p w14:paraId="33A4F5F2" w14:textId="59603897" w:rsidR="002F7E2B" w:rsidRPr="002F7E2B" w:rsidRDefault="002F7E2B" w:rsidP="00B10475">
            <w:pPr>
              <w:rPr>
                <w:rFonts w:ascii="Calibri" w:hAnsi="Calibri" w:cs="Calibri"/>
                <w:sz w:val="20"/>
                <w:szCs w:val="20"/>
              </w:rPr>
            </w:pPr>
            <w:r w:rsidRPr="002F7E2B">
              <w:rPr>
                <w:rFonts w:ascii="Calibri" w:hAnsi="Calibri" w:cs="Calibri"/>
                <w:sz w:val="20"/>
                <w:szCs w:val="20"/>
              </w:rPr>
              <w:t>35.7 (35.6) p=0.40</w:t>
            </w:r>
          </w:p>
        </w:tc>
        <w:tc>
          <w:tcPr>
            <w:tcW w:w="2755" w:type="dxa"/>
          </w:tcPr>
          <w:p w14:paraId="5A7C2665" w14:textId="5B67E31A" w:rsidR="002F7E2B" w:rsidRPr="002F7E2B" w:rsidRDefault="002F7E2B" w:rsidP="00B10475">
            <w:pPr>
              <w:rPr>
                <w:rFonts w:ascii="Calibri" w:hAnsi="Calibri" w:cs="Calibri"/>
                <w:sz w:val="20"/>
                <w:szCs w:val="20"/>
              </w:rPr>
            </w:pPr>
            <w:r w:rsidRPr="002F7E2B">
              <w:rPr>
                <w:rFonts w:ascii="Calibri" w:hAnsi="Calibri" w:cs="Calibri"/>
                <w:sz w:val="20"/>
                <w:szCs w:val="20"/>
              </w:rPr>
              <w:t>10.8 (13.5) p=0.16</w:t>
            </w:r>
          </w:p>
        </w:tc>
      </w:tr>
      <w:tr w:rsidR="002F7E2B" w14:paraId="2B7868D9" w14:textId="77777777" w:rsidTr="002F7E2B">
        <w:tc>
          <w:tcPr>
            <w:tcW w:w="2660" w:type="dxa"/>
          </w:tcPr>
          <w:p w14:paraId="2B0A6042" w14:textId="3B804C04" w:rsidR="002F7E2B" w:rsidRPr="002F7E2B" w:rsidRDefault="002F7E2B" w:rsidP="00B10475">
            <w:pPr>
              <w:rPr>
                <w:rFonts w:ascii="Calibri" w:hAnsi="Calibri" w:cs="Calibri"/>
                <w:sz w:val="20"/>
                <w:szCs w:val="20"/>
              </w:rPr>
            </w:pPr>
            <w:r w:rsidRPr="002F7E2B">
              <w:rPr>
                <w:rFonts w:ascii="Calibri" w:hAnsi="Calibri" w:cs="Calibri"/>
                <w:sz w:val="20"/>
                <w:szCs w:val="20"/>
              </w:rPr>
              <w:t>Mortality &lt;14 days (n (%))</w:t>
            </w:r>
          </w:p>
        </w:tc>
        <w:tc>
          <w:tcPr>
            <w:tcW w:w="1843" w:type="dxa"/>
          </w:tcPr>
          <w:p w14:paraId="481B920D" w14:textId="43F0FAB0" w:rsidR="002F7E2B" w:rsidRPr="002F7E2B" w:rsidRDefault="002F7E2B" w:rsidP="00B10475">
            <w:pPr>
              <w:rPr>
                <w:rFonts w:ascii="Calibri" w:hAnsi="Calibri" w:cs="Calibri"/>
                <w:sz w:val="20"/>
                <w:szCs w:val="20"/>
              </w:rPr>
            </w:pPr>
            <w:r w:rsidRPr="002F7E2B">
              <w:rPr>
                <w:rFonts w:ascii="Calibri" w:hAnsi="Calibri" w:cs="Calibri"/>
                <w:sz w:val="20"/>
                <w:szCs w:val="20"/>
              </w:rPr>
              <w:t>6 (23%)</w:t>
            </w:r>
          </w:p>
        </w:tc>
        <w:tc>
          <w:tcPr>
            <w:tcW w:w="1984" w:type="dxa"/>
          </w:tcPr>
          <w:p w14:paraId="64BEE0E6" w14:textId="0ECE057C" w:rsidR="002F7E2B" w:rsidRPr="002F7E2B" w:rsidRDefault="002F7E2B" w:rsidP="00B10475">
            <w:pPr>
              <w:rPr>
                <w:rFonts w:ascii="Calibri" w:hAnsi="Calibri" w:cs="Calibri"/>
                <w:sz w:val="20"/>
                <w:szCs w:val="20"/>
              </w:rPr>
            </w:pPr>
            <w:r w:rsidRPr="002F7E2B">
              <w:rPr>
                <w:rFonts w:ascii="Calibri" w:hAnsi="Calibri" w:cs="Calibri"/>
                <w:sz w:val="20"/>
                <w:szCs w:val="20"/>
              </w:rPr>
              <w:t>1 (25%) p=0.99</w:t>
            </w:r>
          </w:p>
        </w:tc>
        <w:tc>
          <w:tcPr>
            <w:tcW w:w="2755" w:type="dxa"/>
          </w:tcPr>
          <w:p w14:paraId="09C6D224" w14:textId="10B52DD5" w:rsidR="002F7E2B" w:rsidRPr="002F7E2B" w:rsidRDefault="002F7E2B" w:rsidP="00B10475">
            <w:pPr>
              <w:rPr>
                <w:rFonts w:ascii="Calibri" w:hAnsi="Calibri" w:cs="Calibri"/>
                <w:sz w:val="20"/>
                <w:szCs w:val="20"/>
              </w:rPr>
            </w:pPr>
            <w:r w:rsidRPr="002F7E2B">
              <w:rPr>
                <w:rFonts w:ascii="Calibri" w:hAnsi="Calibri" w:cs="Calibri"/>
                <w:sz w:val="20"/>
                <w:szCs w:val="20"/>
              </w:rPr>
              <w:t>5 (45.5%) p=0.33</w:t>
            </w:r>
          </w:p>
        </w:tc>
      </w:tr>
      <w:tr w:rsidR="002F7E2B" w14:paraId="50416E9B" w14:textId="77777777" w:rsidTr="002F7E2B">
        <w:tc>
          <w:tcPr>
            <w:tcW w:w="2660" w:type="dxa"/>
          </w:tcPr>
          <w:p w14:paraId="455B2865" w14:textId="11ABF84F" w:rsidR="002F7E2B" w:rsidRPr="002F7E2B" w:rsidRDefault="002F7E2B" w:rsidP="00B10475">
            <w:pPr>
              <w:rPr>
                <w:rFonts w:ascii="Calibri" w:hAnsi="Calibri" w:cs="Calibri"/>
                <w:sz w:val="20"/>
                <w:szCs w:val="20"/>
              </w:rPr>
            </w:pPr>
            <w:r w:rsidRPr="002F7E2B">
              <w:rPr>
                <w:rFonts w:ascii="Calibri" w:hAnsi="Calibri" w:cs="Calibri"/>
                <w:sz w:val="20"/>
                <w:szCs w:val="20"/>
              </w:rPr>
              <w:t>Mortality &lt;28 days (n (%))</w:t>
            </w:r>
          </w:p>
        </w:tc>
        <w:tc>
          <w:tcPr>
            <w:tcW w:w="1843" w:type="dxa"/>
          </w:tcPr>
          <w:p w14:paraId="5529832E" w14:textId="0D619D75" w:rsidR="002F7E2B" w:rsidRPr="002F7E2B" w:rsidRDefault="002F7E2B" w:rsidP="00B10475">
            <w:pPr>
              <w:rPr>
                <w:rFonts w:ascii="Calibri" w:hAnsi="Calibri" w:cs="Calibri"/>
                <w:sz w:val="20"/>
                <w:szCs w:val="20"/>
              </w:rPr>
            </w:pPr>
            <w:r w:rsidRPr="002F7E2B">
              <w:rPr>
                <w:rFonts w:ascii="Calibri" w:hAnsi="Calibri" w:cs="Calibri"/>
                <w:sz w:val="20"/>
                <w:szCs w:val="20"/>
              </w:rPr>
              <w:t>14 (53.8%)</w:t>
            </w:r>
          </w:p>
        </w:tc>
        <w:tc>
          <w:tcPr>
            <w:tcW w:w="1984" w:type="dxa"/>
          </w:tcPr>
          <w:p w14:paraId="349A6968" w14:textId="74E2522A" w:rsidR="002F7E2B" w:rsidRPr="002F7E2B" w:rsidRDefault="002F7E2B" w:rsidP="00B10475">
            <w:pPr>
              <w:rPr>
                <w:rFonts w:ascii="Calibri" w:hAnsi="Calibri" w:cs="Calibri"/>
                <w:sz w:val="20"/>
                <w:szCs w:val="20"/>
              </w:rPr>
            </w:pPr>
            <w:r w:rsidRPr="002F7E2B">
              <w:rPr>
                <w:rFonts w:ascii="Calibri" w:hAnsi="Calibri" w:cs="Calibri"/>
                <w:sz w:val="20"/>
                <w:szCs w:val="20"/>
              </w:rPr>
              <w:t>1 (25%) p=0.56</w:t>
            </w:r>
          </w:p>
        </w:tc>
        <w:tc>
          <w:tcPr>
            <w:tcW w:w="2755" w:type="dxa"/>
          </w:tcPr>
          <w:p w14:paraId="22CA91A0" w14:textId="29770C19" w:rsidR="002F7E2B" w:rsidRPr="002F7E2B" w:rsidRDefault="002F7E2B" w:rsidP="00B10475">
            <w:pPr>
              <w:rPr>
                <w:rFonts w:ascii="Calibri" w:hAnsi="Calibri" w:cs="Calibri"/>
                <w:sz w:val="20"/>
                <w:szCs w:val="20"/>
              </w:rPr>
            </w:pPr>
            <w:r w:rsidRPr="002F7E2B">
              <w:rPr>
                <w:rFonts w:ascii="Calibri" w:hAnsi="Calibri" w:cs="Calibri"/>
                <w:sz w:val="20"/>
                <w:szCs w:val="20"/>
              </w:rPr>
              <w:t>7 (63.6%) p=0.85</w:t>
            </w:r>
          </w:p>
        </w:tc>
      </w:tr>
      <w:tr w:rsidR="002F7E2B" w14:paraId="59B9B598" w14:textId="77777777" w:rsidTr="002F7E2B">
        <w:tc>
          <w:tcPr>
            <w:tcW w:w="2660" w:type="dxa"/>
          </w:tcPr>
          <w:p w14:paraId="793D1515" w14:textId="5717D1DB" w:rsidR="002F7E2B" w:rsidRPr="002F7E2B" w:rsidRDefault="002F7E2B" w:rsidP="00B10475">
            <w:pPr>
              <w:rPr>
                <w:rFonts w:ascii="Calibri" w:hAnsi="Calibri" w:cs="Calibri"/>
                <w:sz w:val="20"/>
                <w:szCs w:val="20"/>
              </w:rPr>
            </w:pPr>
            <w:r w:rsidRPr="002F7E2B">
              <w:rPr>
                <w:rFonts w:ascii="Calibri" w:hAnsi="Calibri" w:cs="Calibri"/>
                <w:sz w:val="20"/>
                <w:szCs w:val="20"/>
              </w:rPr>
              <w:t>Co-infection (n (%))</w:t>
            </w:r>
          </w:p>
        </w:tc>
        <w:tc>
          <w:tcPr>
            <w:tcW w:w="1843" w:type="dxa"/>
          </w:tcPr>
          <w:p w14:paraId="375ED299" w14:textId="47DA8FEE" w:rsidR="002F7E2B" w:rsidRPr="002F7E2B" w:rsidRDefault="002F7E2B" w:rsidP="00B10475">
            <w:pPr>
              <w:rPr>
                <w:rFonts w:ascii="Calibri" w:hAnsi="Calibri" w:cs="Calibri"/>
                <w:sz w:val="20"/>
                <w:szCs w:val="20"/>
              </w:rPr>
            </w:pPr>
            <w:r w:rsidRPr="002F7E2B">
              <w:rPr>
                <w:rFonts w:ascii="Calibri" w:hAnsi="Calibri" w:cs="Calibri"/>
                <w:sz w:val="20"/>
                <w:szCs w:val="20"/>
              </w:rPr>
              <w:t xml:space="preserve">4 (15.4%) </w:t>
            </w:r>
          </w:p>
        </w:tc>
        <w:tc>
          <w:tcPr>
            <w:tcW w:w="1984" w:type="dxa"/>
          </w:tcPr>
          <w:p w14:paraId="4BC1F6BF" w14:textId="26D08158" w:rsidR="002F7E2B" w:rsidRPr="002F7E2B" w:rsidRDefault="002F7E2B" w:rsidP="00B10475">
            <w:pPr>
              <w:rPr>
                <w:rFonts w:ascii="Calibri" w:hAnsi="Calibri" w:cs="Calibri"/>
                <w:sz w:val="20"/>
                <w:szCs w:val="20"/>
              </w:rPr>
            </w:pPr>
            <w:r w:rsidRPr="002F7E2B">
              <w:rPr>
                <w:rFonts w:ascii="Calibri" w:hAnsi="Calibri" w:cs="Calibri"/>
                <w:sz w:val="20"/>
                <w:szCs w:val="20"/>
              </w:rPr>
              <w:t>1 (25%) p=0.63</w:t>
            </w:r>
          </w:p>
        </w:tc>
        <w:tc>
          <w:tcPr>
            <w:tcW w:w="2755" w:type="dxa"/>
          </w:tcPr>
          <w:p w14:paraId="6B23DBF2" w14:textId="27FEC551" w:rsidR="002F7E2B" w:rsidRPr="002F7E2B" w:rsidRDefault="002F7E2B" w:rsidP="00B10475">
            <w:pPr>
              <w:rPr>
                <w:rFonts w:ascii="Calibri" w:hAnsi="Calibri" w:cs="Calibri"/>
                <w:sz w:val="20"/>
                <w:szCs w:val="20"/>
              </w:rPr>
            </w:pPr>
            <w:r w:rsidRPr="002F7E2B">
              <w:rPr>
                <w:rFonts w:ascii="Calibri" w:hAnsi="Calibri" w:cs="Calibri"/>
                <w:sz w:val="20"/>
                <w:szCs w:val="20"/>
              </w:rPr>
              <w:t>7 (63.6%) p=0.003</w:t>
            </w:r>
          </w:p>
        </w:tc>
      </w:tr>
      <w:tr w:rsidR="002F7E2B" w14:paraId="1B104E03" w14:textId="77777777" w:rsidTr="002F7E2B">
        <w:tc>
          <w:tcPr>
            <w:tcW w:w="2660" w:type="dxa"/>
          </w:tcPr>
          <w:p w14:paraId="44786A9A" w14:textId="73E47EAD" w:rsidR="002F7E2B" w:rsidRPr="002F7E2B" w:rsidRDefault="002F7E2B" w:rsidP="00B10475">
            <w:pPr>
              <w:rPr>
                <w:rFonts w:ascii="Calibri" w:hAnsi="Calibri" w:cs="Calibri"/>
                <w:sz w:val="20"/>
                <w:szCs w:val="20"/>
              </w:rPr>
            </w:pPr>
            <w:r w:rsidRPr="002F7E2B">
              <w:rPr>
                <w:rFonts w:ascii="Calibri" w:hAnsi="Calibri" w:cs="Calibri"/>
                <w:sz w:val="20"/>
                <w:szCs w:val="20"/>
              </w:rPr>
              <w:t>Early infection (n (%))</w:t>
            </w:r>
          </w:p>
        </w:tc>
        <w:tc>
          <w:tcPr>
            <w:tcW w:w="1843" w:type="dxa"/>
          </w:tcPr>
          <w:p w14:paraId="5A9E5C60" w14:textId="1FDCB347" w:rsidR="002F7E2B" w:rsidRPr="002F7E2B" w:rsidRDefault="002F7E2B" w:rsidP="00B10475">
            <w:pPr>
              <w:rPr>
                <w:rFonts w:ascii="Calibri" w:hAnsi="Calibri" w:cs="Calibri"/>
                <w:sz w:val="20"/>
                <w:szCs w:val="20"/>
              </w:rPr>
            </w:pPr>
            <w:r w:rsidRPr="002F7E2B">
              <w:rPr>
                <w:rFonts w:ascii="Calibri" w:hAnsi="Calibri" w:cs="Calibri"/>
                <w:sz w:val="20"/>
                <w:szCs w:val="20"/>
              </w:rPr>
              <w:t xml:space="preserve">4 (15.4%) </w:t>
            </w:r>
          </w:p>
        </w:tc>
        <w:tc>
          <w:tcPr>
            <w:tcW w:w="1984" w:type="dxa"/>
          </w:tcPr>
          <w:p w14:paraId="084AC531" w14:textId="70D66B27" w:rsidR="002F7E2B" w:rsidRPr="002F7E2B" w:rsidRDefault="002F7E2B" w:rsidP="00B10475">
            <w:pPr>
              <w:rPr>
                <w:rFonts w:ascii="Calibri" w:hAnsi="Calibri" w:cs="Calibri"/>
                <w:sz w:val="20"/>
                <w:szCs w:val="20"/>
              </w:rPr>
            </w:pPr>
            <w:r w:rsidRPr="002F7E2B">
              <w:rPr>
                <w:rFonts w:ascii="Calibri" w:hAnsi="Calibri" w:cs="Calibri"/>
                <w:sz w:val="20"/>
                <w:szCs w:val="20"/>
              </w:rPr>
              <w:t>1 (25%) p=0.63</w:t>
            </w:r>
          </w:p>
        </w:tc>
        <w:tc>
          <w:tcPr>
            <w:tcW w:w="2755" w:type="dxa"/>
          </w:tcPr>
          <w:p w14:paraId="377B9502" w14:textId="6CD9B87E" w:rsidR="002F7E2B" w:rsidRPr="002F7E2B" w:rsidRDefault="002F7E2B" w:rsidP="00B10475">
            <w:pPr>
              <w:rPr>
                <w:rFonts w:ascii="Calibri" w:hAnsi="Calibri" w:cs="Calibri"/>
                <w:sz w:val="20"/>
                <w:szCs w:val="20"/>
              </w:rPr>
            </w:pPr>
            <w:r w:rsidRPr="002F7E2B">
              <w:rPr>
                <w:rFonts w:ascii="Calibri" w:hAnsi="Calibri" w:cs="Calibri"/>
                <w:sz w:val="20"/>
                <w:szCs w:val="20"/>
              </w:rPr>
              <w:t>1 (9.1%) p=0.83</w:t>
            </w:r>
          </w:p>
        </w:tc>
      </w:tr>
      <w:tr w:rsidR="002F7E2B" w14:paraId="27E52C46" w14:textId="77777777" w:rsidTr="002F7E2B">
        <w:tc>
          <w:tcPr>
            <w:tcW w:w="2660" w:type="dxa"/>
          </w:tcPr>
          <w:p w14:paraId="5B8D8C39" w14:textId="7787A764" w:rsidR="002F7E2B" w:rsidRPr="002F7E2B" w:rsidRDefault="002F7E2B" w:rsidP="00B10475">
            <w:pPr>
              <w:rPr>
                <w:rFonts w:ascii="Calibri" w:hAnsi="Calibri" w:cs="Calibri"/>
                <w:sz w:val="20"/>
                <w:szCs w:val="20"/>
              </w:rPr>
            </w:pPr>
            <w:r w:rsidRPr="002F7E2B">
              <w:rPr>
                <w:rFonts w:ascii="Calibri" w:hAnsi="Calibri" w:cs="Calibri"/>
                <w:sz w:val="20"/>
                <w:szCs w:val="20"/>
              </w:rPr>
              <w:t>Late infection (n (%))</w:t>
            </w:r>
          </w:p>
        </w:tc>
        <w:tc>
          <w:tcPr>
            <w:tcW w:w="1843" w:type="dxa"/>
          </w:tcPr>
          <w:p w14:paraId="60495D51" w14:textId="2A2D9DA4" w:rsidR="002F7E2B" w:rsidRPr="002F7E2B" w:rsidRDefault="002F7E2B" w:rsidP="00B10475">
            <w:pPr>
              <w:rPr>
                <w:rFonts w:ascii="Calibri" w:hAnsi="Calibri" w:cs="Calibri"/>
                <w:sz w:val="20"/>
                <w:szCs w:val="20"/>
              </w:rPr>
            </w:pPr>
            <w:r w:rsidRPr="002F7E2B">
              <w:rPr>
                <w:rFonts w:ascii="Calibri" w:hAnsi="Calibri" w:cs="Calibri"/>
                <w:sz w:val="20"/>
                <w:szCs w:val="20"/>
              </w:rPr>
              <w:t>9 (34.6%)</w:t>
            </w:r>
          </w:p>
        </w:tc>
        <w:tc>
          <w:tcPr>
            <w:tcW w:w="1984" w:type="dxa"/>
          </w:tcPr>
          <w:p w14:paraId="798DDADE" w14:textId="33056F3A" w:rsidR="002F7E2B" w:rsidRPr="002F7E2B" w:rsidRDefault="002F7E2B" w:rsidP="00B10475">
            <w:pPr>
              <w:rPr>
                <w:rFonts w:ascii="Calibri" w:hAnsi="Calibri" w:cs="Calibri"/>
                <w:sz w:val="20"/>
                <w:szCs w:val="20"/>
              </w:rPr>
            </w:pPr>
            <w:r w:rsidRPr="002F7E2B">
              <w:rPr>
                <w:rFonts w:ascii="Calibri" w:hAnsi="Calibri" w:cs="Calibri"/>
                <w:sz w:val="20"/>
                <w:szCs w:val="20"/>
              </w:rPr>
              <w:t>0 (25%) p=0.16</w:t>
            </w:r>
          </w:p>
        </w:tc>
        <w:tc>
          <w:tcPr>
            <w:tcW w:w="2755" w:type="dxa"/>
          </w:tcPr>
          <w:p w14:paraId="52126CCF" w14:textId="7288C4F5" w:rsidR="002F7E2B" w:rsidRPr="002F7E2B" w:rsidRDefault="002F7E2B" w:rsidP="00B10475">
            <w:pPr>
              <w:rPr>
                <w:rFonts w:ascii="Calibri" w:hAnsi="Calibri" w:cs="Calibri"/>
                <w:sz w:val="20"/>
                <w:szCs w:val="20"/>
              </w:rPr>
            </w:pPr>
            <w:r w:rsidRPr="002F7E2B">
              <w:rPr>
                <w:rFonts w:ascii="Calibri" w:hAnsi="Calibri" w:cs="Calibri"/>
                <w:sz w:val="20"/>
                <w:szCs w:val="20"/>
              </w:rPr>
              <w:t>1 (9.1%) p=0.11</w:t>
            </w:r>
          </w:p>
        </w:tc>
      </w:tr>
    </w:tbl>
    <w:p w14:paraId="1899C171" w14:textId="77777777" w:rsidR="002F7E2B" w:rsidRPr="009B58BA" w:rsidRDefault="002F7E2B" w:rsidP="002F7E2B">
      <w:r>
        <w:t xml:space="preserve">Table </w:t>
      </w:r>
      <w:proofErr w:type="gramStart"/>
      <w:r>
        <w:t>1 .</w:t>
      </w:r>
      <w:proofErr w:type="gramEnd"/>
      <w:r>
        <w:t xml:space="preserve"> SD=standard deviation; p values relative to the COVID-19 cohort; </w:t>
      </w:r>
      <w:proofErr w:type="spellStart"/>
      <w:r>
        <w:t>Abx</w:t>
      </w:r>
      <w:proofErr w:type="spellEnd"/>
      <w:r>
        <w:t>=antibiotic</w:t>
      </w:r>
    </w:p>
    <w:p w14:paraId="4C5F739F" w14:textId="445D859E" w:rsidR="00EA2106" w:rsidRDefault="00036F9C">
      <w:r>
        <w:t>References</w:t>
      </w:r>
    </w:p>
    <w:p w14:paraId="5DA21943" w14:textId="77777777" w:rsidR="00036F9C" w:rsidRPr="00AA5298" w:rsidRDefault="00036F9C" w:rsidP="00036F9C">
      <w:pPr>
        <w:pStyle w:val="EndNoteBibliography"/>
        <w:numPr>
          <w:ilvl w:val="0"/>
          <w:numId w:val="1"/>
        </w:numPr>
        <w:spacing w:after="0"/>
        <w:rPr>
          <w:noProof/>
        </w:rPr>
      </w:pPr>
      <w:r w:rsidRPr="00AA5298">
        <w:rPr>
          <w:noProof/>
        </w:rPr>
        <w:t>Rawson TM, Moore LSP, Zhu N, Ranganathan N, Skolimowska K, Gilchrist M, et al. Bacterial and fungal co-infection in individuals with coronavirus: A rapid review to support COVID-19 antimicrobial prescribing. Clinical infectious diseases : an official publication of the Infectious Diseases Society of America. 2020.</w:t>
      </w:r>
    </w:p>
    <w:p w14:paraId="349D35D8" w14:textId="77777777" w:rsidR="00036F9C" w:rsidRPr="00AA5298" w:rsidRDefault="00036F9C" w:rsidP="00036F9C">
      <w:pPr>
        <w:pStyle w:val="EndNoteBibliography"/>
        <w:numPr>
          <w:ilvl w:val="0"/>
          <w:numId w:val="1"/>
        </w:numPr>
        <w:spacing w:after="0"/>
        <w:rPr>
          <w:noProof/>
        </w:rPr>
      </w:pPr>
      <w:r w:rsidRPr="00AA5298">
        <w:rPr>
          <w:noProof/>
        </w:rPr>
        <w:t>Murray PR, Masur H. Current approaches to the diagnosis of bacterial and fungal bloodstream infections in the intensive care unit. Critical care medicine. 2012;40(12):3277-82.</w:t>
      </w:r>
    </w:p>
    <w:p w14:paraId="41340F79" w14:textId="77777777" w:rsidR="00036F9C" w:rsidRPr="00AA5298" w:rsidRDefault="00036F9C" w:rsidP="00036F9C">
      <w:pPr>
        <w:pStyle w:val="EndNoteBibliography"/>
        <w:numPr>
          <w:ilvl w:val="0"/>
          <w:numId w:val="1"/>
        </w:numPr>
        <w:spacing w:after="0"/>
        <w:rPr>
          <w:noProof/>
        </w:rPr>
      </w:pPr>
      <w:r w:rsidRPr="00AA5298">
        <w:rPr>
          <w:noProof/>
        </w:rPr>
        <w:t>Simon L, Gauvin F, Amre DK, Saint-Louis P, Lacroix J. Serum procalcitonin and C-reactive protein levels as markers of bacterial infection: a systematic review and meta-analysis. Clinical infectious diseases : an official publication of the Infectious Diseases Society of America. 2004;39(2):206-17.</w:t>
      </w:r>
    </w:p>
    <w:p w14:paraId="62EE9F45" w14:textId="77777777" w:rsidR="00036F9C" w:rsidRPr="00AA5298" w:rsidRDefault="00036F9C" w:rsidP="00036F9C">
      <w:pPr>
        <w:pStyle w:val="EndNoteBibliography"/>
        <w:numPr>
          <w:ilvl w:val="0"/>
          <w:numId w:val="1"/>
        </w:numPr>
        <w:spacing w:after="0"/>
        <w:rPr>
          <w:noProof/>
        </w:rPr>
      </w:pPr>
      <w:r w:rsidRPr="00AA5298">
        <w:rPr>
          <w:noProof/>
        </w:rPr>
        <w:t>Huang DT, Yealy DM, Filbin MR, Brown AM, Chang CH, Doi Y, et al. Procalcitonin-Guided Use of Antibiotics for Lower Respiratory Tract Infection. The New England journal of medicine. 2018;379(3):236-49.</w:t>
      </w:r>
    </w:p>
    <w:p w14:paraId="5D48FF26" w14:textId="77777777" w:rsidR="00036F9C" w:rsidRPr="00AA5298" w:rsidRDefault="00036F9C" w:rsidP="00036F9C">
      <w:pPr>
        <w:pStyle w:val="EndNoteBibliography"/>
        <w:numPr>
          <w:ilvl w:val="0"/>
          <w:numId w:val="1"/>
        </w:numPr>
        <w:spacing w:after="0"/>
        <w:rPr>
          <w:noProof/>
        </w:rPr>
      </w:pPr>
      <w:r w:rsidRPr="00AA5298">
        <w:rPr>
          <w:noProof/>
        </w:rPr>
        <w:t>Williams EJ, Mair L, de Silva TI, Green DJ, House P, Cawthron K, et al. Routine measurement of serum procalcitonin allows antibiotics to be safely withheld in patients admitted to hospital with SARS-CoV-2 infection. medRxiv. 2020:2020.06.29.20136572.</w:t>
      </w:r>
    </w:p>
    <w:p w14:paraId="19C8CB8F" w14:textId="77777777" w:rsidR="00036F9C" w:rsidRPr="00AA5298" w:rsidRDefault="00036F9C" w:rsidP="00036F9C">
      <w:pPr>
        <w:pStyle w:val="EndNoteBibliography"/>
        <w:numPr>
          <w:ilvl w:val="0"/>
          <w:numId w:val="1"/>
        </w:numPr>
        <w:spacing w:after="0"/>
        <w:rPr>
          <w:noProof/>
        </w:rPr>
      </w:pPr>
      <w:r w:rsidRPr="00AA5298">
        <w:rPr>
          <w:noProof/>
        </w:rPr>
        <w:t>van Berkel M, Kox M, Frenzel T, Pickkers P, Schouten J, group R-C-s. Biomarkers for antimicrobial stewardship: a reappraisal in COVID-19 times? Critical care. 2020;24(1):600.</w:t>
      </w:r>
    </w:p>
    <w:p w14:paraId="1C38A6A3" w14:textId="5CF726E3" w:rsidR="00036F9C" w:rsidRDefault="00036F9C" w:rsidP="00CA5704">
      <w:pPr>
        <w:pStyle w:val="EndNoteBibliography"/>
        <w:numPr>
          <w:ilvl w:val="0"/>
          <w:numId w:val="1"/>
        </w:numPr>
        <w:spacing w:after="0"/>
        <w:rPr>
          <w:noProof/>
        </w:rPr>
      </w:pPr>
      <w:r w:rsidRPr="00AA5298">
        <w:rPr>
          <w:noProof/>
        </w:rPr>
        <w:lastRenderedPageBreak/>
        <w:t>Zhou F, Yu T, Du R, Fan G, Liu Y, Liu Z, et al. Clinical course and risk factors for mortality of adult inpatients with COVID-19 in Wuhan, China: a retrospective cohort study. Lancet. 2020;395(10229):1054-62.</w:t>
      </w:r>
    </w:p>
    <w:p w14:paraId="109BC87B" w14:textId="4366CD62" w:rsidR="00CA5704" w:rsidRPr="00CA5704" w:rsidRDefault="00CA5704" w:rsidP="00CA5704">
      <w:pPr>
        <w:pStyle w:val="EndNoteBibliography"/>
        <w:numPr>
          <w:ilvl w:val="0"/>
          <w:numId w:val="1"/>
        </w:numPr>
        <w:spacing w:after="0"/>
        <w:rPr>
          <w:noProof/>
        </w:rPr>
      </w:pPr>
      <w:r w:rsidRPr="00AA5298">
        <w:rPr>
          <w:noProof/>
        </w:rPr>
        <w:t>Shah NS, Greenberg JA, McNulty MC, Gregg KS, Riddell Jt, Mangino JE, et al. Bacterial and viral co-infections complicating severe influenza: Incidence and impact among 507 U.S. patients, 2013-14. Journal of clinical virology : the official publication of the Pan American Society for Clinical Virology. 2016;80:12-9.</w:t>
      </w:r>
    </w:p>
    <w:p w14:paraId="71FCAFB0" w14:textId="77777777" w:rsidR="00036F9C" w:rsidRPr="00AA5298" w:rsidRDefault="00036F9C" w:rsidP="00036F9C">
      <w:pPr>
        <w:pStyle w:val="EndNoteBibliography"/>
        <w:numPr>
          <w:ilvl w:val="0"/>
          <w:numId w:val="1"/>
        </w:numPr>
        <w:spacing w:after="0"/>
        <w:rPr>
          <w:noProof/>
        </w:rPr>
      </w:pPr>
      <w:r w:rsidRPr="00AA5298">
        <w:rPr>
          <w:noProof/>
        </w:rPr>
        <w:t>Thomas-Ruddel DO, Poidinger B, Kott M, Weiss M, Reinhart K, Bloos F, et al. Influence of pathogen and focus of infection on procalcitonin values in sepsis patients with bacteremia or candidemia. Critical care. 2018;22(1):128.</w:t>
      </w:r>
    </w:p>
    <w:p w14:paraId="6A6FC97B" w14:textId="77777777" w:rsidR="00036F9C" w:rsidRPr="00AA5298" w:rsidRDefault="00036F9C" w:rsidP="00036F9C">
      <w:pPr>
        <w:pStyle w:val="EndNoteBibliography"/>
        <w:numPr>
          <w:ilvl w:val="0"/>
          <w:numId w:val="1"/>
        </w:numPr>
        <w:rPr>
          <w:noProof/>
        </w:rPr>
      </w:pPr>
      <w:r w:rsidRPr="00AA5298">
        <w:rPr>
          <w:noProof/>
        </w:rPr>
        <w:t>Mason CY, Kanitkar T, Richardson CJ, Lanzman M, Stone Z, Mahungu T, et al. Exclusion of bacterial co-infection in COVID-19 using baseline inflammatory markers and their response to antibiotics. medRxiv. 2020:2020.10.09.20199778.</w:t>
      </w:r>
    </w:p>
    <w:p w14:paraId="58281267" w14:textId="77777777" w:rsidR="00036F9C" w:rsidRDefault="00036F9C">
      <w:bookmarkStart w:id="1" w:name="_GoBack"/>
      <w:bookmarkEnd w:id="1"/>
    </w:p>
    <w:sectPr w:rsidR="00036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76DC7"/>
    <w:multiLevelType w:val="hybridMultilevel"/>
    <w:tmpl w:val="61CE77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D0"/>
    <w:rsid w:val="00036F9C"/>
    <w:rsid w:val="0010085A"/>
    <w:rsid w:val="00111957"/>
    <w:rsid w:val="0014103F"/>
    <w:rsid w:val="00143075"/>
    <w:rsid w:val="001B4B61"/>
    <w:rsid w:val="00214C77"/>
    <w:rsid w:val="00223CBB"/>
    <w:rsid w:val="00237BE5"/>
    <w:rsid w:val="00240D92"/>
    <w:rsid w:val="00250B30"/>
    <w:rsid w:val="00281806"/>
    <w:rsid w:val="002971AB"/>
    <w:rsid w:val="002D0936"/>
    <w:rsid w:val="002D69CE"/>
    <w:rsid w:val="002E2A2A"/>
    <w:rsid w:val="002F11D0"/>
    <w:rsid w:val="002F7E2B"/>
    <w:rsid w:val="00302759"/>
    <w:rsid w:val="00340F62"/>
    <w:rsid w:val="00380FE3"/>
    <w:rsid w:val="003A55CF"/>
    <w:rsid w:val="003E42E3"/>
    <w:rsid w:val="00482197"/>
    <w:rsid w:val="004A348D"/>
    <w:rsid w:val="004C0337"/>
    <w:rsid w:val="004C2D1B"/>
    <w:rsid w:val="005B41DD"/>
    <w:rsid w:val="005C08FD"/>
    <w:rsid w:val="00651401"/>
    <w:rsid w:val="00662A9E"/>
    <w:rsid w:val="00666EBF"/>
    <w:rsid w:val="006B0666"/>
    <w:rsid w:val="0074147A"/>
    <w:rsid w:val="00780583"/>
    <w:rsid w:val="00842627"/>
    <w:rsid w:val="00846F69"/>
    <w:rsid w:val="00853E56"/>
    <w:rsid w:val="0085600B"/>
    <w:rsid w:val="009853ED"/>
    <w:rsid w:val="009B58BA"/>
    <w:rsid w:val="00A44903"/>
    <w:rsid w:val="00AA259A"/>
    <w:rsid w:val="00AB730C"/>
    <w:rsid w:val="00AD371B"/>
    <w:rsid w:val="00B10475"/>
    <w:rsid w:val="00B47D76"/>
    <w:rsid w:val="00B50FFF"/>
    <w:rsid w:val="00B61C8C"/>
    <w:rsid w:val="00B80F37"/>
    <w:rsid w:val="00BB5139"/>
    <w:rsid w:val="00C10CAC"/>
    <w:rsid w:val="00CA5704"/>
    <w:rsid w:val="00D910CD"/>
    <w:rsid w:val="00D93542"/>
    <w:rsid w:val="00D9557C"/>
    <w:rsid w:val="00DA23F9"/>
    <w:rsid w:val="00DB5C0A"/>
    <w:rsid w:val="00DB705D"/>
    <w:rsid w:val="00DB78D0"/>
    <w:rsid w:val="00DD0943"/>
    <w:rsid w:val="00E30F1B"/>
    <w:rsid w:val="00E51F00"/>
    <w:rsid w:val="00E83172"/>
    <w:rsid w:val="00EA2106"/>
    <w:rsid w:val="00EC1F32"/>
    <w:rsid w:val="00F01B99"/>
    <w:rsid w:val="00FA2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1F32"/>
    <w:rPr>
      <w:sz w:val="16"/>
      <w:szCs w:val="16"/>
    </w:rPr>
  </w:style>
  <w:style w:type="paragraph" w:styleId="CommentText">
    <w:name w:val="annotation text"/>
    <w:basedOn w:val="Normal"/>
    <w:link w:val="CommentTextChar"/>
    <w:uiPriority w:val="99"/>
    <w:semiHidden/>
    <w:unhideWhenUsed/>
    <w:rsid w:val="00EC1F32"/>
    <w:pPr>
      <w:spacing w:line="240" w:lineRule="auto"/>
    </w:pPr>
    <w:rPr>
      <w:sz w:val="20"/>
      <w:szCs w:val="20"/>
    </w:rPr>
  </w:style>
  <w:style w:type="character" w:customStyle="1" w:styleId="CommentTextChar">
    <w:name w:val="Comment Text Char"/>
    <w:basedOn w:val="DefaultParagraphFont"/>
    <w:link w:val="CommentText"/>
    <w:uiPriority w:val="99"/>
    <w:semiHidden/>
    <w:rsid w:val="00EC1F32"/>
    <w:rPr>
      <w:sz w:val="20"/>
      <w:szCs w:val="20"/>
    </w:rPr>
  </w:style>
  <w:style w:type="paragraph" w:styleId="CommentSubject">
    <w:name w:val="annotation subject"/>
    <w:basedOn w:val="CommentText"/>
    <w:next w:val="CommentText"/>
    <w:link w:val="CommentSubjectChar"/>
    <w:uiPriority w:val="99"/>
    <w:semiHidden/>
    <w:unhideWhenUsed/>
    <w:rsid w:val="00EC1F32"/>
    <w:rPr>
      <w:b/>
      <w:bCs/>
    </w:rPr>
  </w:style>
  <w:style w:type="character" w:customStyle="1" w:styleId="CommentSubjectChar">
    <w:name w:val="Comment Subject Char"/>
    <w:basedOn w:val="CommentTextChar"/>
    <w:link w:val="CommentSubject"/>
    <w:uiPriority w:val="99"/>
    <w:semiHidden/>
    <w:rsid w:val="00EC1F32"/>
    <w:rPr>
      <w:b/>
      <w:bCs/>
      <w:sz w:val="20"/>
      <w:szCs w:val="20"/>
    </w:rPr>
  </w:style>
  <w:style w:type="paragraph" w:styleId="BalloonText">
    <w:name w:val="Balloon Text"/>
    <w:basedOn w:val="Normal"/>
    <w:link w:val="BalloonTextChar"/>
    <w:uiPriority w:val="99"/>
    <w:semiHidden/>
    <w:unhideWhenUsed/>
    <w:rsid w:val="0066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BF"/>
    <w:rPr>
      <w:rFonts w:ascii="Tahoma" w:hAnsi="Tahoma" w:cs="Tahoma"/>
      <w:sz w:val="16"/>
      <w:szCs w:val="16"/>
    </w:rPr>
  </w:style>
  <w:style w:type="paragraph" w:styleId="ListParagraph">
    <w:name w:val="List Paragraph"/>
    <w:basedOn w:val="Normal"/>
    <w:uiPriority w:val="34"/>
    <w:qFormat/>
    <w:rsid w:val="00036F9C"/>
    <w:pPr>
      <w:ind w:left="720"/>
      <w:contextualSpacing/>
    </w:pPr>
  </w:style>
  <w:style w:type="character" w:customStyle="1" w:styleId="EndNoteBibliographyChar">
    <w:name w:val="EndNote Bibliography Char"/>
    <w:basedOn w:val="DefaultParagraphFont"/>
    <w:link w:val="EndNoteBibliography"/>
    <w:qFormat/>
    <w:rsid w:val="00036F9C"/>
    <w:rPr>
      <w:rFonts w:ascii="Calibri" w:hAnsi="Calibri" w:cs="Calibri"/>
      <w:lang w:val="en-US"/>
    </w:rPr>
  </w:style>
  <w:style w:type="paragraph" w:customStyle="1" w:styleId="EndNoteBibliography">
    <w:name w:val="EndNote Bibliography"/>
    <w:basedOn w:val="Normal"/>
    <w:link w:val="EndNoteBibliographyChar"/>
    <w:qFormat/>
    <w:rsid w:val="00036F9C"/>
    <w:pPr>
      <w:spacing w:line="240" w:lineRule="auto"/>
    </w:pPr>
    <w:rPr>
      <w:rFonts w:ascii="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1F32"/>
    <w:rPr>
      <w:sz w:val="16"/>
      <w:szCs w:val="16"/>
    </w:rPr>
  </w:style>
  <w:style w:type="paragraph" w:styleId="CommentText">
    <w:name w:val="annotation text"/>
    <w:basedOn w:val="Normal"/>
    <w:link w:val="CommentTextChar"/>
    <w:uiPriority w:val="99"/>
    <w:semiHidden/>
    <w:unhideWhenUsed/>
    <w:rsid w:val="00EC1F32"/>
    <w:pPr>
      <w:spacing w:line="240" w:lineRule="auto"/>
    </w:pPr>
    <w:rPr>
      <w:sz w:val="20"/>
      <w:szCs w:val="20"/>
    </w:rPr>
  </w:style>
  <w:style w:type="character" w:customStyle="1" w:styleId="CommentTextChar">
    <w:name w:val="Comment Text Char"/>
    <w:basedOn w:val="DefaultParagraphFont"/>
    <w:link w:val="CommentText"/>
    <w:uiPriority w:val="99"/>
    <w:semiHidden/>
    <w:rsid w:val="00EC1F32"/>
    <w:rPr>
      <w:sz w:val="20"/>
      <w:szCs w:val="20"/>
    </w:rPr>
  </w:style>
  <w:style w:type="paragraph" w:styleId="CommentSubject">
    <w:name w:val="annotation subject"/>
    <w:basedOn w:val="CommentText"/>
    <w:next w:val="CommentText"/>
    <w:link w:val="CommentSubjectChar"/>
    <w:uiPriority w:val="99"/>
    <w:semiHidden/>
    <w:unhideWhenUsed/>
    <w:rsid w:val="00EC1F32"/>
    <w:rPr>
      <w:b/>
      <w:bCs/>
    </w:rPr>
  </w:style>
  <w:style w:type="character" w:customStyle="1" w:styleId="CommentSubjectChar">
    <w:name w:val="Comment Subject Char"/>
    <w:basedOn w:val="CommentTextChar"/>
    <w:link w:val="CommentSubject"/>
    <w:uiPriority w:val="99"/>
    <w:semiHidden/>
    <w:rsid w:val="00EC1F32"/>
    <w:rPr>
      <w:b/>
      <w:bCs/>
      <w:sz w:val="20"/>
      <w:szCs w:val="20"/>
    </w:rPr>
  </w:style>
  <w:style w:type="paragraph" w:styleId="BalloonText">
    <w:name w:val="Balloon Text"/>
    <w:basedOn w:val="Normal"/>
    <w:link w:val="BalloonTextChar"/>
    <w:uiPriority w:val="99"/>
    <w:semiHidden/>
    <w:unhideWhenUsed/>
    <w:rsid w:val="0066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BF"/>
    <w:rPr>
      <w:rFonts w:ascii="Tahoma" w:hAnsi="Tahoma" w:cs="Tahoma"/>
      <w:sz w:val="16"/>
      <w:szCs w:val="16"/>
    </w:rPr>
  </w:style>
  <w:style w:type="paragraph" w:styleId="ListParagraph">
    <w:name w:val="List Paragraph"/>
    <w:basedOn w:val="Normal"/>
    <w:uiPriority w:val="34"/>
    <w:qFormat/>
    <w:rsid w:val="00036F9C"/>
    <w:pPr>
      <w:ind w:left="720"/>
      <w:contextualSpacing/>
    </w:pPr>
  </w:style>
  <w:style w:type="character" w:customStyle="1" w:styleId="EndNoteBibliographyChar">
    <w:name w:val="EndNote Bibliography Char"/>
    <w:basedOn w:val="DefaultParagraphFont"/>
    <w:link w:val="EndNoteBibliography"/>
    <w:qFormat/>
    <w:rsid w:val="00036F9C"/>
    <w:rPr>
      <w:rFonts w:ascii="Calibri" w:hAnsi="Calibri" w:cs="Calibri"/>
      <w:lang w:val="en-US"/>
    </w:rPr>
  </w:style>
  <w:style w:type="paragraph" w:customStyle="1" w:styleId="EndNoteBibliography">
    <w:name w:val="EndNote Bibliography"/>
    <w:basedOn w:val="Normal"/>
    <w:link w:val="EndNoteBibliographyChar"/>
    <w:qFormat/>
    <w:rsid w:val="00036F9C"/>
    <w:pPr>
      <w:spacing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32D7-05AF-4975-907F-C6E84C73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CD1D56D6.dotm</Template>
  <TotalTime>392</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Williams</dc:creator>
  <cp:keywords/>
  <dc:description/>
  <cp:lastModifiedBy>Williams, Philip</cp:lastModifiedBy>
  <cp:revision>54</cp:revision>
  <dcterms:created xsi:type="dcterms:W3CDTF">2021-02-22T18:50:00Z</dcterms:created>
  <dcterms:modified xsi:type="dcterms:W3CDTF">2021-02-24T10:17:00Z</dcterms:modified>
</cp:coreProperties>
</file>