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F082" w14:textId="77777777" w:rsidR="002D0529" w:rsidRPr="006E75E9" w:rsidRDefault="002D0529" w:rsidP="00491D2D">
      <w:pPr>
        <w:jc w:val="both"/>
        <w:rPr>
          <w:b/>
          <w:bCs/>
          <w:sz w:val="24"/>
          <w:szCs w:val="24"/>
        </w:rPr>
      </w:pPr>
      <w:bookmarkStart w:id="0" w:name="_Hlk49186626"/>
      <w:r w:rsidRPr="008753F6">
        <w:rPr>
          <w:b/>
          <w:bCs/>
          <w:sz w:val="24"/>
          <w:szCs w:val="24"/>
        </w:rPr>
        <w:t>Ambulatory management of secondary spontaneous pneumothorax: a randomised controlled trial</w:t>
      </w:r>
      <w:bookmarkEnd w:id="0"/>
    </w:p>
    <w:p w14:paraId="7B7F66CB" w14:textId="77777777" w:rsidR="002D0529" w:rsidRPr="00A5528C" w:rsidRDefault="002D0529" w:rsidP="00491D2D">
      <w:pPr>
        <w:spacing w:line="240" w:lineRule="auto"/>
        <w:ind w:left="357"/>
        <w:contextualSpacing/>
        <w:jc w:val="both"/>
      </w:pPr>
      <w:bookmarkStart w:id="1" w:name="_Hlk49186651"/>
      <w:proofErr w:type="spellStart"/>
      <w:r w:rsidRPr="00A5528C">
        <w:t>Dr.</w:t>
      </w:r>
      <w:proofErr w:type="spellEnd"/>
      <w:r w:rsidRPr="00A5528C">
        <w:t xml:space="preserve"> Steve</w:t>
      </w:r>
      <w:r>
        <w:t>n P</w:t>
      </w:r>
      <w:r w:rsidRPr="00A5528C">
        <w:t xml:space="preserve"> Walker, Academic Respiratory Unit Bristol</w:t>
      </w:r>
    </w:p>
    <w:p w14:paraId="61976318" w14:textId="77777777" w:rsidR="002D0529" w:rsidRDefault="002D0529" w:rsidP="00491D2D">
      <w:pPr>
        <w:spacing w:line="240" w:lineRule="auto"/>
        <w:ind w:left="357"/>
        <w:contextualSpacing/>
        <w:jc w:val="both"/>
      </w:pPr>
      <w:proofErr w:type="spellStart"/>
      <w:r w:rsidRPr="00A5528C">
        <w:t>Dr.</w:t>
      </w:r>
      <w:proofErr w:type="spellEnd"/>
      <w:r w:rsidRPr="00A5528C">
        <w:t xml:space="preserve"> Emma Keenan, Academic Respiratory Unit, Bristol</w:t>
      </w:r>
    </w:p>
    <w:p w14:paraId="07C1788C" w14:textId="77777777" w:rsidR="002D0529" w:rsidRPr="00A5528C" w:rsidRDefault="002D0529" w:rsidP="00237FCA">
      <w:pPr>
        <w:spacing w:line="240" w:lineRule="auto"/>
        <w:ind w:left="357"/>
        <w:contextualSpacing/>
        <w:jc w:val="both"/>
      </w:pPr>
      <w:proofErr w:type="spellStart"/>
      <w:r w:rsidRPr="00A5528C">
        <w:t>Dr.</w:t>
      </w:r>
      <w:proofErr w:type="spellEnd"/>
      <w:r w:rsidRPr="00A5528C">
        <w:t xml:space="preserve"> Oliver </w:t>
      </w:r>
      <w:proofErr w:type="spellStart"/>
      <w:r w:rsidRPr="00A5528C">
        <w:t>Bintcliffe</w:t>
      </w:r>
      <w:proofErr w:type="spellEnd"/>
      <w:r w:rsidRPr="00A5528C">
        <w:t>, Academic Respiratory Unit, Bristol</w:t>
      </w:r>
    </w:p>
    <w:p w14:paraId="243A4AC2" w14:textId="77777777" w:rsidR="002D0529" w:rsidRPr="00A5528C" w:rsidRDefault="002D0529" w:rsidP="00491D2D">
      <w:pPr>
        <w:spacing w:line="240" w:lineRule="auto"/>
        <w:ind w:left="357"/>
        <w:contextualSpacing/>
        <w:jc w:val="both"/>
      </w:pPr>
      <w:proofErr w:type="spellStart"/>
      <w:r w:rsidRPr="00A5528C">
        <w:t>Dr.</w:t>
      </w:r>
      <w:proofErr w:type="spellEnd"/>
      <w:r w:rsidRPr="00A5528C">
        <w:t xml:space="preserve"> Andrew</w:t>
      </w:r>
      <w:r>
        <w:t xml:space="preserve"> E</w:t>
      </w:r>
      <w:r w:rsidRPr="00A5528C">
        <w:t xml:space="preserve"> Stanton, Great Western Hospital, Swindon</w:t>
      </w:r>
    </w:p>
    <w:p w14:paraId="6B52BB48" w14:textId="77777777" w:rsidR="002D0529" w:rsidRPr="00A5528C" w:rsidRDefault="002D0529" w:rsidP="00491D2D">
      <w:pPr>
        <w:spacing w:line="240" w:lineRule="auto"/>
        <w:ind w:left="357"/>
        <w:contextualSpacing/>
        <w:jc w:val="both"/>
      </w:pPr>
      <w:proofErr w:type="spellStart"/>
      <w:r w:rsidRPr="00A5528C">
        <w:t>Dr.</w:t>
      </w:r>
      <w:proofErr w:type="spellEnd"/>
      <w:r w:rsidRPr="00A5528C">
        <w:t xml:space="preserve"> Mark Roberts, Kingsmill Hospital, Mansfield</w:t>
      </w:r>
    </w:p>
    <w:p w14:paraId="5FE7ABF2" w14:textId="77777777" w:rsidR="002D0529" w:rsidRPr="00A5528C" w:rsidRDefault="002D0529" w:rsidP="00491D2D">
      <w:pPr>
        <w:spacing w:line="240" w:lineRule="auto"/>
        <w:ind w:left="357"/>
        <w:contextualSpacing/>
        <w:jc w:val="both"/>
      </w:pPr>
      <w:proofErr w:type="spellStart"/>
      <w:r w:rsidRPr="00A5528C">
        <w:t>Dr.</w:t>
      </w:r>
      <w:proofErr w:type="spellEnd"/>
      <w:r w:rsidRPr="00A5528C">
        <w:t xml:space="preserve"> Justin Pepperell, Musgrove Hospital, Taunton</w:t>
      </w:r>
    </w:p>
    <w:p w14:paraId="55BC473E" w14:textId="77777777" w:rsidR="002D0529" w:rsidRPr="00A5528C" w:rsidRDefault="002D0529" w:rsidP="00491D2D">
      <w:pPr>
        <w:spacing w:line="240" w:lineRule="auto"/>
        <w:ind w:left="357"/>
        <w:contextualSpacing/>
        <w:jc w:val="both"/>
      </w:pPr>
      <w:proofErr w:type="spellStart"/>
      <w:r w:rsidRPr="00A5528C">
        <w:t>Dr.</w:t>
      </w:r>
      <w:proofErr w:type="spellEnd"/>
      <w:r w:rsidRPr="00A5528C">
        <w:t xml:space="preserve"> </w:t>
      </w:r>
      <w:r w:rsidRPr="006E75E9">
        <w:rPr>
          <w:color w:val="000000"/>
          <w:shd w:val="clear" w:color="auto" w:fill="FFFFFF"/>
        </w:rPr>
        <w:t>Ian Fairbairn</w:t>
      </w:r>
      <w:r w:rsidRPr="00A5528C">
        <w:t xml:space="preserve">, </w:t>
      </w:r>
      <w:r w:rsidRPr="006E75E9">
        <w:rPr>
          <w:color w:val="000000"/>
          <w:shd w:val="clear" w:color="auto" w:fill="FFFFFF"/>
        </w:rPr>
        <w:t>Victoria Hospital, Kirkcaldy</w:t>
      </w:r>
    </w:p>
    <w:p w14:paraId="3305F7AE"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Edward McKeown, Royal Berkshire Hospital, Reading </w:t>
      </w:r>
    </w:p>
    <w:p w14:paraId="06FBA61B"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James Goldring, Royal Free Hospital, London</w:t>
      </w:r>
    </w:p>
    <w:p w14:paraId="7F200FC1"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Nadeem </w:t>
      </w:r>
      <w:proofErr w:type="spellStart"/>
      <w:r w:rsidRPr="007D0198">
        <w:t>Maddekar</w:t>
      </w:r>
      <w:proofErr w:type="spellEnd"/>
      <w:r w:rsidRPr="007D0198">
        <w:t>, Royal Stoke University Hospital, Stoke</w:t>
      </w:r>
    </w:p>
    <w:p w14:paraId="0C0956ED"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James Walters, Royal United Hospital,</w:t>
      </w:r>
      <w:r>
        <w:t xml:space="preserve"> </w:t>
      </w:r>
      <w:r w:rsidRPr="007D0198">
        <w:t>Bath</w:t>
      </w:r>
    </w:p>
    <w:p w14:paraId="5D5886A8"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Alex West, Guy’s and St Thomas’ Hospital, London</w:t>
      </w:r>
    </w:p>
    <w:p w14:paraId="2832BC97"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w:t>
      </w:r>
      <w:proofErr w:type="spellStart"/>
      <w:r w:rsidRPr="007D0198">
        <w:t>Amrithraj</w:t>
      </w:r>
      <w:proofErr w:type="spellEnd"/>
      <w:r w:rsidRPr="007D0198">
        <w:t xml:space="preserve"> Bhatta, Victoria Hospital, Blackpool</w:t>
      </w:r>
    </w:p>
    <w:p w14:paraId="3D79B35D" w14:textId="77777777" w:rsidR="002D0529" w:rsidRDefault="002D0529" w:rsidP="00491D2D">
      <w:pPr>
        <w:spacing w:line="240" w:lineRule="auto"/>
        <w:ind w:left="357"/>
        <w:contextualSpacing/>
        <w:jc w:val="both"/>
      </w:pPr>
      <w:proofErr w:type="spellStart"/>
      <w:r w:rsidRPr="007D0198">
        <w:t>Dr.</w:t>
      </w:r>
      <w:proofErr w:type="spellEnd"/>
      <w:r w:rsidRPr="007D0198">
        <w:t xml:space="preserve"> Matthew Knight, Watford General Hospital</w:t>
      </w:r>
    </w:p>
    <w:p w14:paraId="00E2CDB5" w14:textId="77777777" w:rsidR="002D0529" w:rsidRDefault="002D0529" w:rsidP="00491D2D">
      <w:pPr>
        <w:spacing w:line="240" w:lineRule="auto"/>
        <w:ind w:left="357"/>
        <w:contextualSpacing/>
        <w:jc w:val="both"/>
      </w:pPr>
      <w:r>
        <w:t xml:space="preserve">Dr Rachel Mercer, </w:t>
      </w:r>
      <w:r w:rsidRPr="007D0198">
        <w:t>Churchill Hospital, Oxford</w:t>
      </w:r>
    </w:p>
    <w:p w14:paraId="17FA40D8" w14:textId="77777777" w:rsidR="002D0529" w:rsidRPr="007D0198" w:rsidRDefault="002D0529" w:rsidP="00491D2D">
      <w:pPr>
        <w:spacing w:line="240" w:lineRule="auto"/>
        <w:ind w:left="357"/>
        <w:contextualSpacing/>
        <w:jc w:val="both"/>
      </w:pPr>
      <w:r>
        <w:t xml:space="preserve">Dr Rob </w:t>
      </w:r>
      <w:proofErr w:type="spellStart"/>
      <w:r>
        <w:t>Hallifax</w:t>
      </w:r>
      <w:proofErr w:type="spellEnd"/>
      <w:r>
        <w:t xml:space="preserve">, </w:t>
      </w:r>
      <w:r w:rsidRPr="007D0198">
        <w:t>Churchill Hospital, Oxford</w:t>
      </w:r>
    </w:p>
    <w:p w14:paraId="769658C3" w14:textId="77777777" w:rsidR="002D0529" w:rsidRPr="007D0198" w:rsidRDefault="002D0529" w:rsidP="00491D2D">
      <w:pPr>
        <w:spacing w:line="240" w:lineRule="auto"/>
        <w:ind w:left="357"/>
        <w:contextualSpacing/>
        <w:jc w:val="both"/>
      </w:pPr>
      <w:proofErr w:type="spellStart"/>
      <w:r w:rsidRPr="007D0198">
        <w:t>Dr.</w:t>
      </w:r>
      <w:proofErr w:type="spellEnd"/>
      <w:r w:rsidRPr="007D0198">
        <w:t xml:space="preserve"> Paul White, Applied Statistics Group, University of West of England, Bristol</w:t>
      </w:r>
    </w:p>
    <w:p w14:paraId="00D82253" w14:textId="77777777" w:rsidR="002D0529" w:rsidRPr="007D0198" w:rsidRDefault="002D0529" w:rsidP="00491D2D">
      <w:pPr>
        <w:spacing w:line="240" w:lineRule="auto"/>
        <w:ind w:left="357"/>
        <w:contextualSpacing/>
        <w:jc w:val="both"/>
      </w:pPr>
      <w:r w:rsidRPr="007D0198">
        <w:t xml:space="preserve">Prof. Robert F Miller, Institute for Global Health, University College London </w:t>
      </w:r>
    </w:p>
    <w:p w14:paraId="7EA96E30" w14:textId="77777777" w:rsidR="002D0529" w:rsidRPr="007D0198" w:rsidRDefault="002D0529" w:rsidP="00491D2D">
      <w:pPr>
        <w:spacing w:line="240" w:lineRule="auto"/>
        <w:ind w:left="357"/>
        <w:contextualSpacing/>
        <w:jc w:val="both"/>
      </w:pPr>
      <w:r w:rsidRPr="007D0198">
        <w:t>Prof. Najib M Rahman,</w:t>
      </w:r>
      <w:r w:rsidRPr="006E75E9">
        <w:rPr>
          <w:vertAlign w:val="superscript"/>
        </w:rPr>
        <w:t xml:space="preserve"> </w:t>
      </w:r>
      <w:r w:rsidRPr="007D0198">
        <w:t>Churchill Hospital, Oxford</w:t>
      </w:r>
    </w:p>
    <w:p w14:paraId="44F535CD" w14:textId="77777777" w:rsidR="002D0529" w:rsidRPr="007D0198" w:rsidRDefault="002D0529" w:rsidP="00491D2D">
      <w:pPr>
        <w:spacing w:line="240" w:lineRule="auto"/>
        <w:ind w:left="357"/>
        <w:contextualSpacing/>
        <w:jc w:val="both"/>
      </w:pPr>
      <w:r w:rsidRPr="007D0198">
        <w:t>Prof. Nick A Maskell, Academic Respiratory Unit, Bristol</w:t>
      </w:r>
    </w:p>
    <w:bookmarkEnd w:id="1"/>
    <w:p w14:paraId="0E1DE35A" w14:textId="77777777" w:rsidR="002D0529" w:rsidRDefault="002D0529" w:rsidP="00491D2D">
      <w:pPr>
        <w:jc w:val="both"/>
      </w:pPr>
    </w:p>
    <w:p w14:paraId="2BA79A0F" w14:textId="77777777" w:rsidR="002D0529" w:rsidRDefault="002D0529" w:rsidP="00491D2D">
      <w:r>
        <w:t xml:space="preserve">Corresponding author: Dr Steven Walker, </w:t>
      </w:r>
      <w:r w:rsidRPr="00A5528C">
        <w:t>Academic Respiratory Unit Bristol</w:t>
      </w:r>
      <w:r>
        <w:t xml:space="preserve">, </w:t>
      </w:r>
      <w:hyperlink r:id="rId6" w:history="1">
        <w:r w:rsidRPr="00AC26BB">
          <w:rPr>
            <w:rStyle w:val="Hyperlink"/>
          </w:rPr>
          <w:t>Steven.walker@nbt.nhs.uk</w:t>
        </w:r>
      </w:hyperlink>
      <w:r>
        <w:t xml:space="preserve"> </w:t>
      </w:r>
    </w:p>
    <w:p w14:paraId="57CE0B4A" w14:textId="77777777" w:rsidR="002D0529" w:rsidRDefault="002D0529" w:rsidP="00491D2D">
      <w:pPr>
        <w:spacing w:line="240" w:lineRule="auto"/>
        <w:contextualSpacing/>
        <w:jc w:val="both"/>
        <w:rPr>
          <w:b/>
          <w:bCs/>
        </w:rPr>
      </w:pPr>
      <w:r w:rsidRPr="006E75E9">
        <w:rPr>
          <w:b/>
          <w:bCs/>
        </w:rPr>
        <w:t>Take home message</w:t>
      </w:r>
      <w:r>
        <w:rPr>
          <w:b/>
          <w:bCs/>
        </w:rPr>
        <w:t xml:space="preserve"> </w:t>
      </w:r>
    </w:p>
    <w:p w14:paraId="1693E78F" w14:textId="77777777" w:rsidR="002D0529" w:rsidRDefault="002D0529" w:rsidP="00491D2D">
      <w:pPr>
        <w:spacing w:line="240" w:lineRule="auto"/>
        <w:contextualSpacing/>
        <w:jc w:val="both"/>
      </w:pPr>
      <w:r w:rsidRPr="006E75E9">
        <w:t>Ambulatory management with a flutter valve does not shorten overall length of stay in patients with secondary spontaneous pneumothora</w:t>
      </w:r>
      <w:r>
        <w:t>ces compared to standard management. This was due to increased risk of treatment failure with ambulatory management.</w:t>
      </w:r>
    </w:p>
    <w:p w14:paraId="43270BFA" w14:textId="77777777" w:rsidR="002D0529" w:rsidRDefault="002D0529" w:rsidP="007D0198">
      <w:pPr>
        <w:jc w:val="both"/>
        <w:rPr>
          <w:b/>
          <w:bCs/>
          <w:u w:val="single"/>
        </w:rPr>
      </w:pPr>
    </w:p>
    <w:p w14:paraId="4C03440C" w14:textId="77777777" w:rsidR="002D0529" w:rsidRDefault="002D0529" w:rsidP="007D0198">
      <w:pPr>
        <w:jc w:val="both"/>
        <w:rPr>
          <w:b/>
          <w:bCs/>
          <w:u w:val="single"/>
        </w:rPr>
      </w:pPr>
    </w:p>
    <w:p w14:paraId="34564C1D" w14:textId="77777777" w:rsidR="002D0529" w:rsidRDefault="002D0529">
      <w:pPr>
        <w:rPr>
          <w:b/>
          <w:bCs/>
          <w:u w:val="single"/>
        </w:rPr>
      </w:pPr>
      <w:r>
        <w:rPr>
          <w:b/>
          <w:bCs/>
          <w:u w:val="single"/>
        </w:rPr>
        <w:br w:type="page"/>
      </w:r>
    </w:p>
    <w:p w14:paraId="6DB2C083" w14:textId="77777777" w:rsidR="002D0529" w:rsidRPr="00295321" w:rsidRDefault="002D0529" w:rsidP="007D0198">
      <w:pPr>
        <w:jc w:val="both"/>
        <w:rPr>
          <w:b/>
          <w:bCs/>
          <w:u w:val="single"/>
        </w:rPr>
      </w:pPr>
      <w:r w:rsidRPr="00295321">
        <w:rPr>
          <w:b/>
          <w:bCs/>
          <w:u w:val="single"/>
        </w:rPr>
        <w:lastRenderedPageBreak/>
        <w:t>Introduction</w:t>
      </w:r>
    </w:p>
    <w:p w14:paraId="7D904278" w14:textId="07B20E95" w:rsidR="002D0529" w:rsidRDefault="002D0529" w:rsidP="007D0198">
      <w:pPr>
        <w:spacing w:line="240" w:lineRule="auto"/>
        <w:jc w:val="both"/>
        <w:rPr>
          <w:b/>
          <w:bCs/>
          <w:u w:val="single"/>
        </w:rPr>
      </w:pPr>
      <w:r w:rsidRPr="002B22A7">
        <w:rPr>
          <w:rFonts w:cs="Tahoma"/>
        </w:rPr>
        <w:t xml:space="preserve">Secondary spontaneous pneumothorax (SSP) </w:t>
      </w:r>
      <w:r>
        <w:rPr>
          <w:rFonts w:cs="Tahoma"/>
        </w:rPr>
        <w:t>is</w:t>
      </w:r>
      <w:r w:rsidRPr="002B22A7">
        <w:rPr>
          <w:rFonts w:cs="Tahoma"/>
        </w:rPr>
        <w:t xml:space="preserve"> </w:t>
      </w:r>
      <w:r>
        <w:rPr>
          <w:rFonts w:cs="Tahoma"/>
        </w:rPr>
        <w:t xml:space="preserve">defined as a </w:t>
      </w:r>
      <w:r w:rsidRPr="002B22A7">
        <w:rPr>
          <w:rFonts w:cs="Tahoma"/>
        </w:rPr>
        <w:t>pneumothorax</w:t>
      </w:r>
      <w:r>
        <w:rPr>
          <w:rFonts w:cs="Tahoma"/>
        </w:rPr>
        <w:t xml:space="preserve"> </w:t>
      </w:r>
      <w:r w:rsidRPr="002B22A7">
        <w:rPr>
          <w:rFonts w:cs="Tahoma"/>
        </w:rPr>
        <w:t xml:space="preserve">in the presence of known underlying lung disease. Many diffuse lung diseases </w:t>
      </w:r>
      <w:r>
        <w:rPr>
          <w:rFonts w:cs="Tahoma"/>
        </w:rPr>
        <w:t>are associated with</w:t>
      </w:r>
      <w:r w:rsidRPr="002B22A7">
        <w:rPr>
          <w:rFonts w:cs="Tahoma"/>
        </w:rPr>
        <w:t xml:space="preserve"> SSP, with</w:t>
      </w:r>
      <w:r>
        <w:rPr>
          <w:rFonts w:cs="Tahoma"/>
        </w:rPr>
        <w:t xml:space="preserve"> chronic obstructive pulmonary disease (</w:t>
      </w:r>
      <w:r w:rsidRPr="002B22A7">
        <w:rPr>
          <w:rFonts w:cs="Tahoma"/>
        </w:rPr>
        <w:t>COPD</w:t>
      </w:r>
      <w:r>
        <w:rPr>
          <w:rFonts w:cs="Tahoma"/>
        </w:rPr>
        <w:t>)</w:t>
      </w:r>
      <w:r w:rsidRPr="002B22A7">
        <w:rPr>
          <w:rFonts w:cs="Tahoma"/>
        </w:rPr>
        <w:t xml:space="preserve"> </w:t>
      </w:r>
      <w:r>
        <w:rPr>
          <w:rFonts w:cs="Tahoma"/>
        </w:rPr>
        <w:t>present in</w:t>
      </w:r>
      <w:r w:rsidRPr="002B22A7">
        <w:rPr>
          <w:rFonts w:cs="Tahoma"/>
        </w:rPr>
        <w:t xml:space="preserve"> approximately 70% of cases</w:t>
      </w:r>
      <w:r>
        <w:rPr>
          <w:rFonts w:cs="Tahoma"/>
        </w:rPr>
        <w:t xml:space="preserve"> </w:t>
      </w:r>
      <w:r w:rsidR="00A627B7">
        <w:rPr>
          <w:rFonts w:cs="Tahoma"/>
          <w:noProof/>
        </w:rPr>
        <w:t>[</w:t>
      </w:r>
      <w:r>
        <w:rPr>
          <w:rFonts w:cs="Tahoma"/>
          <w:noProof/>
        </w:rPr>
        <w:t>1</w:t>
      </w:r>
      <w:r w:rsidR="00A627B7">
        <w:rPr>
          <w:rFonts w:cs="Tahoma"/>
          <w:noProof/>
        </w:rPr>
        <w:t>]</w:t>
      </w:r>
      <w:r w:rsidRPr="002B22A7">
        <w:rPr>
          <w:rFonts w:cs="Tahoma"/>
        </w:rPr>
        <w:t xml:space="preserve">. </w:t>
      </w:r>
      <w:r>
        <w:rPr>
          <w:rFonts w:cs="Tahoma"/>
        </w:rPr>
        <w:t xml:space="preserve">In the United Kingdom (UK), SSP is the leading cause of </w:t>
      </w:r>
      <w:r w:rsidRPr="002B22A7">
        <w:rPr>
          <w:rFonts w:cs="Tahoma"/>
        </w:rPr>
        <w:t xml:space="preserve">admission </w:t>
      </w:r>
      <w:r>
        <w:rPr>
          <w:rFonts w:cs="Tahoma"/>
        </w:rPr>
        <w:t xml:space="preserve">in patients with </w:t>
      </w:r>
      <w:r w:rsidRPr="002B22A7">
        <w:rPr>
          <w:rFonts w:cs="Tahoma"/>
        </w:rPr>
        <w:t>spontaneous pneumothorax,</w:t>
      </w:r>
      <w:r>
        <w:rPr>
          <w:rFonts w:cs="Tahoma"/>
        </w:rPr>
        <w:t xml:space="preserve"> accounting for over 60% of admissions </w:t>
      </w:r>
      <w:r w:rsidR="00A627B7">
        <w:rPr>
          <w:rFonts w:cs="Tahoma"/>
          <w:noProof/>
        </w:rPr>
        <w:t>[</w:t>
      </w:r>
      <w:r>
        <w:rPr>
          <w:rFonts w:cs="Tahoma"/>
          <w:noProof/>
        </w:rPr>
        <w:t>2</w:t>
      </w:r>
      <w:r w:rsidR="00A627B7">
        <w:rPr>
          <w:rFonts w:cs="Tahoma"/>
          <w:noProof/>
        </w:rPr>
        <w:t>]</w:t>
      </w:r>
      <w:r>
        <w:rPr>
          <w:rFonts w:cs="Tahoma"/>
        </w:rPr>
        <w:t>.</w:t>
      </w:r>
      <w:r w:rsidRPr="002B22A7">
        <w:rPr>
          <w:rFonts w:cs="Tahoma"/>
        </w:rPr>
        <w:t xml:space="preserve"> </w:t>
      </w:r>
      <w:r>
        <w:rPr>
          <w:rFonts w:cs="Tahoma"/>
        </w:rPr>
        <w:t xml:space="preserve">A French epidemiological study has demonstrated that the </w:t>
      </w:r>
      <w:r>
        <w:t xml:space="preserve">duration of </w:t>
      </w:r>
      <w:r w:rsidRPr="002B22A7">
        <w:t>hospitalis</w:t>
      </w:r>
      <w:r>
        <w:t xml:space="preserve">ation in SSP is </w:t>
      </w:r>
      <w:r w:rsidRPr="002B22A7">
        <w:t xml:space="preserve">twice </w:t>
      </w:r>
      <w:r>
        <w:t>that of</w:t>
      </w:r>
      <w:r w:rsidRPr="002B22A7">
        <w:t xml:space="preserve"> patients with primary spontaneous pneumothorax (PSP)</w:t>
      </w:r>
      <w:r>
        <w:t xml:space="preserve"> </w:t>
      </w:r>
      <w:r w:rsidR="00A627B7">
        <w:rPr>
          <w:noProof/>
        </w:rPr>
        <w:t>[</w:t>
      </w:r>
      <w:r>
        <w:rPr>
          <w:noProof/>
        </w:rPr>
        <w:t>3</w:t>
      </w:r>
      <w:r w:rsidR="00A627B7">
        <w:rPr>
          <w:noProof/>
        </w:rPr>
        <w:t>]</w:t>
      </w:r>
      <w:r w:rsidRPr="002B22A7">
        <w:t>. The duration of air-leak is longer</w:t>
      </w:r>
      <w:r>
        <w:t>,</w:t>
      </w:r>
      <w:r w:rsidRPr="002B22A7">
        <w:t xml:space="preserve"> and the in-hospital mortality</w:t>
      </w:r>
      <w:r>
        <w:t xml:space="preserve"> </w:t>
      </w:r>
      <w:r w:rsidRPr="002B22A7">
        <w:t xml:space="preserve">greater </w:t>
      </w:r>
      <w:r>
        <w:t xml:space="preserve">when SSP and </w:t>
      </w:r>
      <w:r w:rsidRPr="002B22A7">
        <w:t>PSP</w:t>
      </w:r>
      <w:r>
        <w:t xml:space="preserve"> are compared </w:t>
      </w:r>
      <w:r w:rsidR="00A627B7">
        <w:rPr>
          <w:noProof/>
        </w:rPr>
        <w:t>[</w:t>
      </w:r>
      <w:r>
        <w:rPr>
          <w:noProof/>
        </w:rPr>
        <w:t>4, 5</w:t>
      </w:r>
      <w:r w:rsidR="00A627B7">
        <w:rPr>
          <w:noProof/>
        </w:rPr>
        <w:t>]</w:t>
      </w:r>
      <w:r w:rsidRPr="002B22A7">
        <w:t>.</w:t>
      </w:r>
      <w:r>
        <w:t xml:space="preserve"> Using a one-way flutter valve, rather than current standard management of a chest tube attached to an </w:t>
      </w:r>
      <w:r w:rsidRPr="002B22A7">
        <w:t xml:space="preserve">underwater seal </w:t>
      </w:r>
      <w:r>
        <w:t>chamber,</w:t>
      </w:r>
      <w:r w:rsidRPr="002B22A7">
        <w:t xml:space="preserve"> </w:t>
      </w:r>
      <w:r>
        <w:t>may</w:t>
      </w:r>
      <w:r w:rsidRPr="002B22A7">
        <w:t xml:space="preserve"> increase </w:t>
      </w:r>
      <w:proofErr w:type="gramStart"/>
      <w:r w:rsidRPr="002B22A7">
        <w:t>mobilisation</w:t>
      </w:r>
      <w:proofErr w:type="gramEnd"/>
      <w:r w:rsidRPr="002B22A7">
        <w:t xml:space="preserve"> and shorte</w:t>
      </w:r>
      <w:r>
        <w:t>n</w:t>
      </w:r>
      <w:r w:rsidRPr="002B22A7">
        <w:t xml:space="preserve"> hospital length of stay</w:t>
      </w:r>
      <w:r>
        <w:t xml:space="preserve"> (LOS)</w:t>
      </w:r>
      <w:r w:rsidRPr="002B22A7">
        <w:t xml:space="preserve">. </w:t>
      </w:r>
      <w:r>
        <w:t>The one-way flutter valve can either be attached to the end of a chest tub</w:t>
      </w:r>
      <w:r w:rsidR="00A95B26">
        <w:t>e</w:t>
      </w:r>
      <w:r>
        <w:t xml:space="preserve">, as with the Atrium </w:t>
      </w:r>
      <w:r w:rsidRPr="002B22A7">
        <w:t xml:space="preserve">Pneumostat </w:t>
      </w:r>
      <w:r>
        <w:t xml:space="preserve">(Atrium </w:t>
      </w:r>
      <w:r w:rsidRPr="00D56E8A">
        <w:t xml:space="preserve">Medical, </w:t>
      </w:r>
      <w:r>
        <w:t xml:space="preserve">Merrimack, New Hampshire, </w:t>
      </w:r>
      <w:r w:rsidRPr="00D56E8A">
        <w:t>USA</w:t>
      </w:r>
      <w:r>
        <w:t xml:space="preserve">) </w:t>
      </w:r>
      <w:r w:rsidRPr="002B22A7">
        <w:t xml:space="preserve">chest </w:t>
      </w:r>
      <w:r>
        <w:t>tube</w:t>
      </w:r>
      <w:r w:rsidRPr="002B22A7">
        <w:t xml:space="preserve"> valve</w:t>
      </w:r>
      <w:r>
        <w:t>, or integrated into an “all in one” a</w:t>
      </w:r>
      <w:r w:rsidRPr="00DE7BA4">
        <w:t xml:space="preserve">mbulatory </w:t>
      </w:r>
      <w:r>
        <w:t>d</w:t>
      </w:r>
      <w:r w:rsidRPr="00DE7BA4">
        <w:t>evic</w:t>
      </w:r>
      <w:r>
        <w:t xml:space="preserve">e that </w:t>
      </w:r>
      <w:r w:rsidRPr="002B22A7">
        <w:t>do</w:t>
      </w:r>
      <w:r>
        <w:t>es</w:t>
      </w:r>
      <w:r w:rsidRPr="002B22A7">
        <w:t xml:space="preserve"> not require prior chest </w:t>
      </w:r>
      <w:r>
        <w:t>tube</w:t>
      </w:r>
      <w:r w:rsidRPr="002B22A7">
        <w:t xml:space="preserve"> insertion</w:t>
      </w:r>
      <w:r>
        <w:t>, such as the Pleural Vent (Rocket Medical PLC, Watford, UK).</w:t>
      </w:r>
      <w:r w:rsidRPr="002B22A7">
        <w:t xml:space="preserve"> There are no published prospective studies </w:t>
      </w:r>
      <w:r>
        <w:t>describing use of flutter valves</w:t>
      </w:r>
      <w:r w:rsidRPr="002B22A7">
        <w:t xml:space="preserve"> in patients with SSP. Pooled results from retrospective studies suggest that </w:t>
      </w:r>
      <w:r>
        <w:t>flutter valve</w:t>
      </w:r>
      <w:r w:rsidRPr="002B22A7">
        <w:t xml:space="preserve">s </w:t>
      </w:r>
      <w:r>
        <w:t>may</w:t>
      </w:r>
      <w:r w:rsidRPr="002B22A7">
        <w:t xml:space="preserve"> reduce </w:t>
      </w:r>
      <w:r>
        <w:t>hospital LOS in</w:t>
      </w:r>
      <w:r w:rsidRPr="002B22A7">
        <w:t xml:space="preserve"> this patient cohort</w:t>
      </w:r>
      <w:r>
        <w:t xml:space="preserve"> </w:t>
      </w:r>
      <w:r w:rsidR="00A627B7">
        <w:rPr>
          <w:noProof/>
        </w:rPr>
        <w:t>[</w:t>
      </w:r>
      <w:r>
        <w:rPr>
          <w:noProof/>
        </w:rPr>
        <w:t>6</w:t>
      </w:r>
      <w:r w:rsidR="00A627B7">
        <w:rPr>
          <w:noProof/>
        </w:rPr>
        <w:t>]</w:t>
      </w:r>
      <w:r w:rsidRPr="002B22A7">
        <w:t xml:space="preserve">. This </w:t>
      </w:r>
      <w:r>
        <w:t>study</w:t>
      </w:r>
      <w:r w:rsidRPr="002B22A7">
        <w:t xml:space="preserve"> test</w:t>
      </w:r>
      <w:r>
        <w:t>ed</w:t>
      </w:r>
      <w:r w:rsidRPr="002B22A7">
        <w:t xml:space="preserve"> the hypothesis that </w:t>
      </w:r>
      <w:r>
        <w:t>ambulatory care with flutter valves</w:t>
      </w:r>
      <w:r w:rsidRPr="002B22A7">
        <w:t xml:space="preserve"> </w:t>
      </w:r>
      <w:r>
        <w:t xml:space="preserve">in </w:t>
      </w:r>
      <w:r w:rsidRPr="002B22A7">
        <w:t xml:space="preserve">management of SSP </w:t>
      </w:r>
      <w:r>
        <w:t>shortens</w:t>
      </w:r>
      <w:r w:rsidRPr="002B22A7">
        <w:t xml:space="preserve"> the length of hospitalisation</w:t>
      </w:r>
      <w:r>
        <w:t xml:space="preserve"> compared with standard care</w:t>
      </w:r>
      <w:r w:rsidRPr="002B22A7">
        <w:t xml:space="preserve">. </w:t>
      </w:r>
    </w:p>
    <w:p w14:paraId="2252F08E" w14:textId="77777777" w:rsidR="002D0529" w:rsidRDefault="002D0529" w:rsidP="007D0198">
      <w:pPr>
        <w:spacing w:line="240" w:lineRule="auto"/>
        <w:jc w:val="both"/>
        <w:rPr>
          <w:b/>
          <w:bCs/>
          <w:u w:val="single"/>
        </w:rPr>
      </w:pPr>
    </w:p>
    <w:p w14:paraId="62E32DE8" w14:textId="77777777" w:rsidR="002D0529" w:rsidRDefault="002D0529" w:rsidP="007D0198">
      <w:pPr>
        <w:spacing w:line="240" w:lineRule="auto"/>
        <w:jc w:val="both"/>
        <w:rPr>
          <w:b/>
          <w:bCs/>
          <w:u w:val="single"/>
        </w:rPr>
      </w:pPr>
      <w:r w:rsidRPr="000D4E81">
        <w:rPr>
          <w:b/>
          <w:bCs/>
          <w:u w:val="single"/>
        </w:rPr>
        <w:t xml:space="preserve">Material and methods </w:t>
      </w:r>
    </w:p>
    <w:p w14:paraId="40651192" w14:textId="77777777" w:rsidR="002D0529" w:rsidRPr="000D4E81" w:rsidRDefault="002D0529" w:rsidP="007D0198">
      <w:pPr>
        <w:jc w:val="both"/>
        <w:rPr>
          <w:b/>
          <w:bCs/>
        </w:rPr>
      </w:pPr>
      <w:r w:rsidRPr="000D4E81">
        <w:rPr>
          <w:b/>
          <w:bCs/>
        </w:rPr>
        <w:t xml:space="preserve">Study design </w:t>
      </w:r>
    </w:p>
    <w:p w14:paraId="005FE449" w14:textId="77777777" w:rsidR="002D0529" w:rsidRPr="008F3167" w:rsidRDefault="002D0529" w:rsidP="007D0198">
      <w:pPr>
        <w:jc w:val="both"/>
      </w:pPr>
      <w:r w:rsidRPr="002B22A7">
        <w:t>Th</w:t>
      </w:r>
      <w:r>
        <w:t xml:space="preserve">is </w:t>
      </w:r>
      <w:r w:rsidRPr="002B22A7">
        <w:t>was a</w:t>
      </w:r>
      <w:r>
        <w:t xml:space="preserve"> multi-centre </w:t>
      </w:r>
      <w:proofErr w:type="gramStart"/>
      <w:r w:rsidRPr="002B22A7">
        <w:t>open-label</w:t>
      </w:r>
      <w:proofErr w:type="gramEnd"/>
      <w:r w:rsidRPr="002B22A7">
        <w:t xml:space="preserve"> randomised </w:t>
      </w:r>
      <w:r>
        <w:t>controlled</w:t>
      </w:r>
      <w:r w:rsidRPr="002B22A7">
        <w:t xml:space="preserve"> trial</w:t>
      </w:r>
      <w:r w:rsidRPr="001F2B51">
        <w:rPr>
          <w:rFonts w:cstheme="minorHAnsi"/>
        </w:rPr>
        <w:t xml:space="preserve"> compar</w:t>
      </w:r>
      <w:r>
        <w:rPr>
          <w:rFonts w:cstheme="minorHAnsi"/>
        </w:rPr>
        <w:t>ing</w:t>
      </w:r>
      <w:r w:rsidRPr="001F2B51">
        <w:rPr>
          <w:rFonts w:cstheme="minorHAnsi"/>
        </w:rPr>
        <w:t xml:space="preserve"> ambulatory management</w:t>
      </w:r>
      <w:r>
        <w:rPr>
          <w:rFonts w:cstheme="minorHAnsi"/>
        </w:rPr>
        <w:t xml:space="preserve"> with a flutter valve</w:t>
      </w:r>
      <w:r w:rsidRPr="001F2B51">
        <w:rPr>
          <w:rFonts w:cstheme="minorHAnsi"/>
        </w:rPr>
        <w:t xml:space="preserve"> to standard care </w:t>
      </w:r>
      <w:r>
        <w:rPr>
          <w:rFonts w:cstheme="minorHAnsi"/>
        </w:rPr>
        <w:t>(</w:t>
      </w:r>
      <w:r w:rsidRPr="001F2B51">
        <w:rPr>
          <w:rFonts w:cstheme="minorHAnsi"/>
        </w:rPr>
        <w:t xml:space="preserve">chest </w:t>
      </w:r>
      <w:r>
        <w:rPr>
          <w:rFonts w:cstheme="minorHAnsi"/>
        </w:rPr>
        <w:t>tube</w:t>
      </w:r>
      <w:r w:rsidRPr="001F2B51">
        <w:rPr>
          <w:rFonts w:cstheme="minorHAnsi"/>
        </w:rPr>
        <w:t xml:space="preserve"> attached to </w:t>
      </w:r>
      <w:r>
        <w:rPr>
          <w:rFonts w:cstheme="minorHAnsi"/>
        </w:rPr>
        <w:t xml:space="preserve">an </w:t>
      </w:r>
      <w:r w:rsidRPr="001F2B51">
        <w:rPr>
          <w:rFonts w:cstheme="minorHAnsi"/>
        </w:rPr>
        <w:t>underwater seal chamber</w:t>
      </w:r>
      <w:r>
        <w:rPr>
          <w:rFonts w:cstheme="minorHAnsi"/>
        </w:rPr>
        <w:t>)</w:t>
      </w:r>
      <w:r w:rsidRPr="001F2B51">
        <w:rPr>
          <w:rFonts w:cstheme="minorHAnsi"/>
        </w:rPr>
        <w:t xml:space="preserve"> in patients with </w:t>
      </w:r>
      <w:r>
        <w:rPr>
          <w:rFonts w:cstheme="minorHAnsi"/>
        </w:rPr>
        <w:t>SSP</w:t>
      </w:r>
      <w:r w:rsidRPr="001F2B51">
        <w:rPr>
          <w:rFonts w:cstheme="minorHAnsi"/>
        </w:rPr>
        <w:t xml:space="preserve">. </w:t>
      </w:r>
      <w:r w:rsidRPr="002B22A7">
        <w:t xml:space="preserve">The trial was supported by an unrestricted research </w:t>
      </w:r>
      <w:r>
        <w:t xml:space="preserve">grant </w:t>
      </w:r>
      <w:r w:rsidRPr="002B22A7">
        <w:t>by Rocket Medical UK</w:t>
      </w:r>
      <w:r>
        <w:t>,</w:t>
      </w:r>
      <w:r w:rsidRPr="002B22A7">
        <w:t xml:space="preserve"> wh</w:t>
      </w:r>
      <w:r>
        <w:t>o</w:t>
      </w:r>
      <w:r w:rsidRPr="002B22A7">
        <w:t xml:space="preserve"> supplied </w:t>
      </w:r>
      <w:r>
        <w:t>P</w:t>
      </w:r>
      <w:r w:rsidRPr="002B22A7">
        <w:t xml:space="preserve">leural </w:t>
      </w:r>
      <w:r>
        <w:t>V</w:t>
      </w:r>
      <w:r w:rsidRPr="002B22A7">
        <w:t xml:space="preserve">ents for </w:t>
      </w:r>
      <w:r>
        <w:t xml:space="preserve">study </w:t>
      </w:r>
      <w:r w:rsidRPr="002B22A7">
        <w:t>participants.</w:t>
      </w:r>
      <w:r w:rsidRPr="002B22A7">
        <w:rPr>
          <w:rFonts w:eastAsia="OTNEJMQuadraat" w:cs="OTNEJMQuadraat"/>
        </w:rPr>
        <w:t xml:space="preserve"> Trial design, implementation, data collection</w:t>
      </w:r>
      <w:r>
        <w:rPr>
          <w:rFonts w:eastAsia="OTNEJMQuadraat" w:cs="OTNEJMQuadraat"/>
        </w:rPr>
        <w:t xml:space="preserve">, </w:t>
      </w:r>
      <w:r w:rsidRPr="002B22A7">
        <w:rPr>
          <w:rFonts w:eastAsia="OTNEJMQuadraat" w:cs="OTNEJMQuadraat"/>
        </w:rPr>
        <w:t xml:space="preserve">analysis </w:t>
      </w:r>
      <w:r>
        <w:rPr>
          <w:rFonts w:eastAsia="OTNEJMQuadraat" w:cs="OTNEJMQuadraat"/>
        </w:rPr>
        <w:t xml:space="preserve">and writing of the manuscript </w:t>
      </w:r>
      <w:r w:rsidRPr="002B22A7">
        <w:rPr>
          <w:rFonts w:eastAsia="OTNEJMQuadraat" w:cs="OTNEJMQuadraat"/>
        </w:rPr>
        <w:t>were performed by the trial investigators without commercial involvement.</w:t>
      </w:r>
    </w:p>
    <w:p w14:paraId="79C57A9D" w14:textId="77777777" w:rsidR="002D0529" w:rsidRDefault="002D0529" w:rsidP="007D0198">
      <w:pPr>
        <w:jc w:val="both"/>
        <w:rPr>
          <w:b/>
          <w:bCs/>
        </w:rPr>
      </w:pPr>
      <w:r w:rsidRPr="000D4E81">
        <w:rPr>
          <w:b/>
          <w:bCs/>
        </w:rPr>
        <w:t>Study subjects</w:t>
      </w:r>
    </w:p>
    <w:p w14:paraId="27FDDEC9" w14:textId="30D801C2" w:rsidR="002D0529" w:rsidRDefault="002D0529" w:rsidP="007D0198">
      <w:pPr>
        <w:autoSpaceDE w:val="0"/>
        <w:autoSpaceDN w:val="0"/>
        <w:adjustRightInd w:val="0"/>
        <w:spacing w:after="0" w:line="240" w:lineRule="auto"/>
        <w:jc w:val="both"/>
        <w:rPr>
          <w:rFonts w:cs="Calibri"/>
        </w:rPr>
      </w:pPr>
      <w:r w:rsidRPr="002B22A7">
        <w:rPr>
          <w:rFonts w:eastAsia="OTNEJMQuadraat" w:cs="OTNEJMQuadraat"/>
        </w:rPr>
        <w:t xml:space="preserve">The trial recruited patients </w:t>
      </w:r>
      <w:r>
        <w:rPr>
          <w:rFonts w:eastAsia="OTNEJMQuadraat" w:cs="OTNEJMQuadraat"/>
        </w:rPr>
        <w:t xml:space="preserve">with SSP </w:t>
      </w:r>
      <w:r w:rsidRPr="002B22A7">
        <w:rPr>
          <w:rFonts w:eastAsia="OTNEJMQuadraat" w:cs="OTNEJMQuadraat"/>
        </w:rPr>
        <w:t xml:space="preserve">from 13 secondary and tertiary care centres in the United Kingdom. </w:t>
      </w:r>
      <w:r>
        <w:rPr>
          <w:rFonts w:cs="Calibri"/>
        </w:rPr>
        <w:t>SSP</w:t>
      </w:r>
      <w:r w:rsidRPr="002B22A7">
        <w:rPr>
          <w:rFonts w:cs="Calibri"/>
        </w:rPr>
        <w:t xml:space="preserve"> </w:t>
      </w:r>
      <w:r>
        <w:rPr>
          <w:rFonts w:cs="Calibri"/>
        </w:rPr>
        <w:t xml:space="preserve">was </w:t>
      </w:r>
      <w:r w:rsidRPr="002B22A7">
        <w:rPr>
          <w:rFonts w:cs="Calibri"/>
        </w:rPr>
        <w:t xml:space="preserve">defined </w:t>
      </w:r>
      <w:r>
        <w:rPr>
          <w:rFonts w:cs="Calibri"/>
        </w:rPr>
        <w:t>as</w:t>
      </w:r>
      <w:r w:rsidRPr="002B22A7">
        <w:rPr>
          <w:rFonts w:cs="Calibri"/>
        </w:rPr>
        <w:t xml:space="preserve"> </w:t>
      </w:r>
      <w:r>
        <w:rPr>
          <w:rFonts w:cs="Calibri"/>
        </w:rPr>
        <w:t xml:space="preserve">a pneumothorax in a patient with </w:t>
      </w:r>
      <w:r w:rsidRPr="002B22A7">
        <w:rPr>
          <w:rFonts w:cs="Calibri"/>
        </w:rPr>
        <w:t xml:space="preserve">known underlying lung disease </w:t>
      </w:r>
      <w:r>
        <w:rPr>
          <w:rFonts w:cs="Calibri"/>
        </w:rPr>
        <w:t>or</w:t>
      </w:r>
      <w:r w:rsidRPr="002B22A7">
        <w:rPr>
          <w:rFonts w:cs="Calibri"/>
        </w:rPr>
        <w:t xml:space="preserve"> </w:t>
      </w:r>
      <w:r>
        <w:rPr>
          <w:rFonts w:cs="Calibri"/>
        </w:rPr>
        <w:t xml:space="preserve">in a </w:t>
      </w:r>
      <w:r w:rsidRPr="002B22A7">
        <w:rPr>
          <w:rFonts w:cs="Calibri"/>
        </w:rPr>
        <w:t xml:space="preserve">patient older than 50 years old with a significant smoking history or CT scan evidence of smoking-related emphysema. </w:t>
      </w:r>
      <w:r w:rsidRPr="002B22A7">
        <w:rPr>
          <w:rFonts w:eastAsia="OTNEJMQuadraat" w:cs="OTNEJMQuadraat"/>
        </w:rPr>
        <w:t>Potential patients were identified on admission to hospital</w:t>
      </w:r>
      <w:r>
        <w:rPr>
          <w:rFonts w:eastAsia="OTNEJMQuadraat" w:cs="OTNEJMQuadraat"/>
        </w:rPr>
        <w:t xml:space="preserve"> and</w:t>
      </w:r>
      <w:r w:rsidRPr="002B22A7">
        <w:rPr>
          <w:rFonts w:eastAsia="OTNEJMQuadraat" w:cs="OTNEJMQuadraat"/>
        </w:rPr>
        <w:t xml:space="preserve"> eligible if they had </w:t>
      </w:r>
      <w:r>
        <w:rPr>
          <w:rFonts w:eastAsia="OTNEJMQuadraat" w:cs="OTNEJMQuadraat"/>
        </w:rPr>
        <w:t xml:space="preserve">a </w:t>
      </w:r>
      <w:r w:rsidRPr="002B22A7">
        <w:rPr>
          <w:rFonts w:cs="Calibri"/>
        </w:rPr>
        <w:t>diagnosis of</w:t>
      </w:r>
      <w:r>
        <w:rPr>
          <w:rFonts w:cs="Calibri"/>
        </w:rPr>
        <w:t xml:space="preserve"> </w:t>
      </w:r>
      <w:r w:rsidRPr="002B22A7">
        <w:rPr>
          <w:rFonts w:cs="Calibri"/>
        </w:rPr>
        <w:t>S</w:t>
      </w:r>
      <w:r>
        <w:rPr>
          <w:rFonts w:cs="Calibri"/>
        </w:rPr>
        <w:t>S</w:t>
      </w:r>
      <w:r w:rsidRPr="002B22A7">
        <w:rPr>
          <w:rFonts w:cs="Calibri"/>
        </w:rPr>
        <w:t>P confirmed by chest radiograph or CT scan</w:t>
      </w:r>
      <w:r>
        <w:rPr>
          <w:rFonts w:cs="Calibri"/>
        </w:rPr>
        <w:t xml:space="preserve">, and if </w:t>
      </w:r>
      <w:r w:rsidRPr="002B22A7">
        <w:rPr>
          <w:rFonts w:cs="Calibri"/>
        </w:rPr>
        <w:t xml:space="preserve">chest </w:t>
      </w:r>
      <w:r>
        <w:rPr>
          <w:rFonts w:cs="Calibri"/>
        </w:rPr>
        <w:t xml:space="preserve">tube </w:t>
      </w:r>
      <w:r w:rsidRPr="002B22A7">
        <w:rPr>
          <w:rFonts w:cs="Calibri"/>
        </w:rPr>
        <w:t>drain</w:t>
      </w:r>
      <w:r>
        <w:rPr>
          <w:rFonts w:cs="Calibri"/>
        </w:rPr>
        <w:t>age</w:t>
      </w:r>
      <w:r w:rsidRPr="002B22A7">
        <w:rPr>
          <w:rFonts w:cs="Calibri"/>
        </w:rPr>
        <w:t xml:space="preserve"> was </w:t>
      </w:r>
      <w:r>
        <w:rPr>
          <w:rFonts w:cs="Calibri"/>
        </w:rPr>
        <w:t>clinically indicated</w:t>
      </w:r>
      <w:r w:rsidRPr="002B22A7">
        <w:rPr>
          <w:rFonts w:cs="Calibri"/>
        </w:rPr>
        <w:t xml:space="preserve"> and technically possible </w:t>
      </w:r>
      <w:r>
        <w:rPr>
          <w:rFonts w:cs="Calibri"/>
        </w:rPr>
        <w:t xml:space="preserve">as per </w:t>
      </w:r>
      <w:r w:rsidRPr="002B22A7">
        <w:rPr>
          <w:rFonts w:cs="Calibri"/>
        </w:rPr>
        <w:t>BTS guidelines 2010</w:t>
      </w:r>
      <w:r>
        <w:rPr>
          <w:rFonts w:cs="Calibri"/>
        </w:rPr>
        <w:t xml:space="preserve"> </w:t>
      </w:r>
      <w:r w:rsidR="00A627B7">
        <w:rPr>
          <w:rFonts w:cs="Calibri"/>
          <w:noProof/>
        </w:rPr>
        <w:t>[</w:t>
      </w:r>
      <w:r>
        <w:rPr>
          <w:rFonts w:cs="Calibri"/>
          <w:noProof/>
        </w:rPr>
        <w:t>7</w:t>
      </w:r>
      <w:r w:rsidR="00A627B7">
        <w:rPr>
          <w:rFonts w:cs="Calibri"/>
          <w:noProof/>
        </w:rPr>
        <w:t>]</w:t>
      </w:r>
      <w:r w:rsidRPr="002B22A7">
        <w:rPr>
          <w:rFonts w:cs="Calibri"/>
        </w:rPr>
        <w:t>. Patients were eligible if</w:t>
      </w:r>
      <w:r>
        <w:rPr>
          <w:rFonts w:cs="Calibri"/>
        </w:rPr>
        <w:t xml:space="preserve"> they</w:t>
      </w:r>
      <w:r w:rsidRPr="002B22A7">
        <w:rPr>
          <w:rFonts w:cs="Calibri"/>
        </w:rPr>
        <w:t xml:space="preserve"> had a chest </w:t>
      </w:r>
      <w:r>
        <w:rPr>
          <w:rFonts w:cs="Calibri"/>
        </w:rPr>
        <w:t>tube</w:t>
      </w:r>
      <w:r w:rsidRPr="002B22A7">
        <w:rPr>
          <w:rFonts w:cs="Calibri"/>
        </w:rPr>
        <w:t xml:space="preserve"> </w:t>
      </w:r>
      <w:r>
        <w:rPr>
          <w:rFonts w:cs="Calibri"/>
        </w:rPr>
        <w:t>plac</w:t>
      </w:r>
      <w:r w:rsidRPr="002B22A7">
        <w:rPr>
          <w:rFonts w:cs="Calibri"/>
        </w:rPr>
        <w:t xml:space="preserve">ed for SSP within the last 36 hours and </w:t>
      </w:r>
      <w:r>
        <w:rPr>
          <w:rFonts w:cs="Calibri"/>
        </w:rPr>
        <w:t>there was evidence of ongoing air-leak.</w:t>
      </w:r>
      <w:r w:rsidRPr="002B22A7">
        <w:rPr>
          <w:rFonts w:cs="Calibri"/>
        </w:rPr>
        <w:t xml:space="preserve"> </w:t>
      </w:r>
    </w:p>
    <w:p w14:paraId="51588FB9" w14:textId="77777777" w:rsidR="002D0529" w:rsidRDefault="002D0529" w:rsidP="007D0198">
      <w:pPr>
        <w:autoSpaceDE w:val="0"/>
        <w:autoSpaceDN w:val="0"/>
        <w:adjustRightInd w:val="0"/>
        <w:spacing w:after="0" w:line="240" w:lineRule="auto"/>
        <w:jc w:val="both"/>
        <w:rPr>
          <w:rFonts w:cs="Calibri"/>
        </w:rPr>
      </w:pPr>
    </w:p>
    <w:p w14:paraId="4D8E89B8" w14:textId="5E30665A" w:rsidR="002D0529" w:rsidRPr="00395459" w:rsidRDefault="002D0529" w:rsidP="00105E2C">
      <w:pPr>
        <w:autoSpaceDE w:val="0"/>
        <w:autoSpaceDN w:val="0"/>
        <w:adjustRightInd w:val="0"/>
        <w:spacing w:after="0" w:line="240" w:lineRule="auto"/>
        <w:jc w:val="both"/>
        <w:rPr>
          <w:rFonts w:cstheme="minorHAnsi"/>
        </w:rPr>
      </w:pPr>
      <w:r>
        <w:rPr>
          <w:rFonts w:cs="Calibri"/>
        </w:rPr>
        <w:t>E</w:t>
      </w:r>
      <w:r w:rsidRPr="002B22A7">
        <w:rPr>
          <w:rFonts w:cs="Calibri"/>
        </w:rPr>
        <w:t xml:space="preserve">xclusion criteria were iatrogenic or traumatic pneumothorax, </w:t>
      </w:r>
      <w:r>
        <w:rPr>
          <w:rFonts w:cs="Calibri"/>
        </w:rPr>
        <w:t>a chest tube</w:t>
      </w:r>
      <w:r w:rsidRPr="002B22A7">
        <w:rPr>
          <w:rFonts w:cs="Calibri"/>
        </w:rPr>
        <w:t xml:space="preserve"> in </w:t>
      </w:r>
      <w:r>
        <w:rPr>
          <w:rFonts w:cs="Calibri"/>
        </w:rPr>
        <w:t>situ</w:t>
      </w:r>
      <w:r w:rsidRPr="002B22A7">
        <w:rPr>
          <w:rFonts w:cs="Calibri"/>
        </w:rPr>
        <w:t>, current o</w:t>
      </w:r>
      <w:r>
        <w:rPr>
          <w:rFonts w:cs="Calibri"/>
        </w:rPr>
        <w:t xml:space="preserve">r </w:t>
      </w:r>
      <w:r w:rsidRPr="002B22A7">
        <w:rPr>
          <w:rFonts w:cs="Calibri"/>
        </w:rPr>
        <w:t>past tension pneumothorax, significant hydropneumothorax (≥25% lung field)</w:t>
      </w:r>
      <w:r>
        <w:rPr>
          <w:rFonts w:cs="Calibri"/>
        </w:rPr>
        <w:t xml:space="preserve">, </w:t>
      </w:r>
      <w:r w:rsidRPr="002B22A7">
        <w:rPr>
          <w:rFonts w:cs="Calibri"/>
        </w:rPr>
        <w:t xml:space="preserve">bed-bound </w:t>
      </w:r>
      <w:r>
        <w:rPr>
          <w:rFonts w:cs="OTNEJMScalaSansSmallLFCap-Bold"/>
        </w:rPr>
        <w:t>patients, patients age less than 18  years of age, contraindication to chest drain insertion, females who were pregnant or lactating, participants with no access to a phone, or were un</w:t>
      </w:r>
      <w:r w:rsidRPr="003073D7">
        <w:rPr>
          <w:rFonts w:cs="OTNEJMScalaSansSmallLFCap-Bold"/>
        </w:rPr>
        <w:t>ab</w:t>
      </w:r>
      <w:r>
        <w:rPr>
          <w:rFonts w:cs="OTNEJMScalaSansSmallLFCap-Bold"/>
        </w:rPr>
        <w:t>le</w:t>
      </w:r>
      <w:r w:rsidRPr="003073D7">
        <w:rPr>
          <w:rFonts w:cs="OTNEJMScalaSansSmallLFCap-Bold"/>
        </w:rPr>
        <w:t xml:space="preserve"> to comply with trial requirements or provide informed consent</w:t>
      </w:r>
      <w:r>
        <w:rPr>
          <w:rFonts w:cs="OTNEJMScalaSansSmallLFCap-Bold"/>
        </w:rPr>
        <w:t xml:space="preserve">. </w:t>
      </w:r>
      <w:r w:rsidRPr="002B22A7">
        <w:rPr>
          <w:rFonts w:cs="Calibri"/>
        </w:rPr>
        <w:t xml:space="preserve"> </w:t>
      </w:r>
      <w:r w:rsidRPr="002B22A7">
        <w:rPr>
          <w:rFonts w:cs="OTNEJMScalaSansSmallLFCap-Bold"/>
        </w:rPr>
        <w:t xml:space="preserve">All </w:t>
      </w:r>
      <w:r>
        <w:rPr>
          <w:rFonts w:cs="OTNEJMScalaSansSmallLFCap-Bold"/>
        </w:rPr>
        <w:t>patients</w:t>
      </w:r>
      <w:r w:rsidRPr="002B22A7">
        <w:rPr>
          <w:rFonts w:cs="OTNEJMScalaSansSmallLFCap-Bold"/>
        </w:rPr>
        <w:t xml:space="preserve"> provided written informed</w:t>
      </w:r>
      <w:r>
        <w:rPr>
          <w:rFonts w:cs="OTNEJMScalaSansSmallLFCap-Bold"/>
        </w:rPr>
        <w:t xml:space="preserve"> </w:t>
      </w:r>
      <w:r w:rsidRPr="002B22A7">
        <w:rPr>
          <w:rFonts w:cs="OTNEJMScalaSansSmallLFCap-Bold"/>
        </w:rPr>
        <w:t>consent</w:t>
      </w:r>
      <w:r w:rsidRPr="002B22A7">
        <w:rPr>
          <w:rFonts w:eastAsia="OTNEJMQuadraat" w:cs="OTNEJMQuadraat"/>
        </w:rPr>
        <w:t xml:space="preserve">. After enrolment, </w:t>
      </w:r>
      <w:r>
        <w:rPr>
          <w:rFonts w:eastAsia="OTNEJMQuadraat" w:cs="OTNEJMQuadraat"/>
        </w:rPr>
        <w:t xml:space="preserve">patients </w:t>
      </w:r>
      <w:r w:rsidRPr="002B22A7">
        <w:rPr>
          <w:rFonts w:eastAsia="OTNEJMQuadraat" w:cs="OTNEJMQuadraat"/>
        </w:rPr>
        <w:t xml:space="preserve">underwent randomization </w:t>
      </w:r>
      <w:r>
        <w:rPr>
          <w:rFonts w:eastAsia="OTNEJMQuadraat" w:cs="OTNEJMQuadraat"/>
        </w:rPr>
        <w:t>using</w:t>
      </w:r>
      <w:r w:rsidRPr="002B22A7">
        <w:rPr>
          <w:rFonts w:eastAsia="OTNEJMQuadraat" w:cs="OTNEJMQuadraat"/>
        </w:rPr>
        <w:t xml:space="preserve"> a centralized, </w:t>
      </w:r>
      <w:r>
        <w:rPr>
          <w:rFonts w:eastAsia="OTNEJMQuadraat" w:cs="OTNEJMQuadraat"/>
        </w:rPr>
        <w:t>web-based</w:t>
      </w:r>
      <w:r w:rsidRPr="002B22A7">
        <w:rPr>
          <w:rFonts w:eastAsia="OTNEJMQuadraat" w:cs="OTNEJMQuadraat"/>
        </w:rPr>
        <w:t xml:space="preserve"> system</w:t>
      </w:r>
      <w:r>
        <w:rPr>
          <w:rFonts w:eastAsia="OTNEJMQuadraat" w:cs="OTNEJMQuadraat"/>
        </w:rPr>
        <w:t xml:space="preserve"> (</w:t>
      </w:r>
      <w:proofErr w:type="spellStart"/>
      <w:r>
        <w:rPr>
          <w:rFonts w:eastAsia="OTNEJMQuadraat" w:cs="OTNEJMQuadraat"/>
        </w:rPr>
        <w:t>RedPill</w:t>
      </w:r>
      <w:proofErr w:type="spellEnd"/>
      <w:r>
        <w:rPr>
          <w:rFonts w:eastAsia="OTNEJMQuadraat" w:cs="OTNEJMQuadraat"/>
        </w:rPr>
        <w:t>, Sealed Envelope, Clerkenwell, UK)</w:t>
      </w:r>
      <w:r w:rsidRPr="002B22A7">
        <w:rPr>
          <w:rFonts w:eastAsia="OTNEJMQuadraat" w:cs="OTNEJMQuadraat"/>
        </w:rPr>
        <w:t>. Trial-group assignments were made in a 1:1 ratio, in random permuted blocks</w:t>
      </w:r>
      <w:r>
        <w:rPr>
          <w:rFonts w:eastAsia="OTNEJMQuadraat" w:cs="OTNEJMQuadraat"/>
        </w:rPr>
        <w:t xml:space="preserve"> </w:t>
      </w:r>
      <w:r w:rsidR="00A627B7">
        <w:rPr>
          <w:rFonts w:eastAsia="OTNEJMQuadraat" w:cs="OTNEJMQuadraat"/>
          <w:noProof/>
        </w:rPr>
        <w:t>[</w:t>
      </w:r>
      <w:r>
        <w:rPr>
          <w:rFonts w:eastAsia="OTNEJMQuadraat" w:cs="OTNEJMQuadraat"/>
          <w:noProof/>
        </w:rPr>
        <w:t>8</w:t>
      </w:r>
      <w:r w:rsidR="00A627B7">
        <w:rPr>
          <w:rFonts w:eastAsia="OTNEJMQuadraat" w:cs="OTNEJMQuadraat"/>
          <w:noProof/>
        </w:rPr>
        <w:t>]</w:t>
      </w:r>
      <w:r>
        <w:rPr>
          <w:rFonts w:eastAsia="OTNEJMQuadraat" w:cs="OTNEJMQuadraat"/>
        </w:rPr>
        <w:t xml:space="preserve">. </w:t>
      </w:r>
      <w:r w:rsidRPr="002B22A7">
        <w:rPr>
          <w:rFonts w:cs="Calibri"/>
        </w:rPr>
        <w:t>Both participant</w:t>
      </w:r>
      <w:r>
        <w:rPr>
          <w:rFonts w:cs="Calibri"/>
        </w:rPr>
        <w:t>s</w:t>
      </w:r>
      <w:r w:rsidRPr="002B22A7">
        <w:rPr>
          <w:rFonts w:cs="Calibri"/>
        </w:rPr>
        <w:t xml:space="preserve"> and investigators were </w:t>
      </w:r>
      <w:r>
        <w:rPr>
          <w:rFonts w:cs="Calibri"/>
        </w:rPr>
        <w:t xml:space="preserve">not </w:t>
      </w:r>
      <w:r w:rsidRPr="002B22A7">
        <w:rPr>
          <w:rFonts w:cs="Calibri"/>
        </w:rPr>
        <w:t>blinded to trial assignment</w:t>
      </w:r>
      <w:r>
        <w:rPr>
          <w:rFonts w:cs="Calibri"/>
        </w:rPr>
        <w:t xml:space="preserve">. </w:t>
      </w:r>
      <w:r w:rsidRPr="002B22A7">
        <w:rPr>
          <w:rFonts w:eastAsia="OTNEJMQuadraat" w:cs="OTNEJMQuadraat"/>
        </w:rPr>
        <w:t>North Bristol NHS Trust provided trial oversight</w:t>
      </w:r>
      <w:r>
        <w:rPr>
          <w:rFonts w:eastAsia="OTNEJMQuadraat" w:cs="OTNEJMQuadraat"/>
        </w:rPr>
        <w:t>, and e</w:t>
      </w:r>
      <w:r w:rsidRPr="002B22A7">
        <w:rPr>
          <w:rFonts w:eastAsia="OTNEJMQuadraat" w:cs="OTNEJMQuadraat"/>
        </w:rPr>
        <w:t xml:space="preserve">thics approval for recruitment was obtained from the South West - Exeter Research Ethics Committee </w:t>
      </w:r>
      <w:r w:rsidRPr="00395459">
        <w:rPr>
          <w:rFonts w:eastAsia="OTNEJMQuadraat" w:cstheme="minorHAnsi"/>
        </w:rPr>
        <w:t xml:space="preserve">(REC </w:t>
      </w:r>
      <w:r w:rsidRPr="004103F9">
        <w:rPr>
          <w:rFonts w:cstheme="minorHAnsi"/>
          <w:color w:val="000000"/>
        </w:rPr>
        <w:t>16/SW/0023)</w:t>
      </w:r>
      <w:r w:rsidR="00105E2C">
        <w:rPr>
          <w:rFonts w:cstheme="minorHAnsi"/>
          <w:color w:val="000000"/>
        </w:rPr>
        <w:t xml:space="preserve"> </w:t>
      </w:r>
      <w:r w:rsidR="00105E2C" w:rsidRPr="00105E2C">
        <w:rPr>
          <w:rFonts w:cstheme="minorHAnsi"/>
          <w:color w:val="000000"/>
        </w:rPr>
        <w:t xml:space="preserve">The trial was prospectively registered with the </w:t>
      </w:r>
      <w:r w:rsidR="00105E2C" w:rsidRPr="00105E2C">
        <w:rPr>
          <w:rFonts w:cstheme="minorHAnsi"/>
          <w:color w:val="000000"/>
        </w:rPr>
        <w:lastRenderedPageBreak/>
        <w:t>International Standard</w:t>
      </w:r>
      <w:r w:rsidR="00105E2C">
        <w:rPr>
          <w:rFonts w:cstheme="minorHAnsi"/>
          <w:color w:val="000000"/>
        </w:rPr>
        <w:t xml:space="preserve"> </w:t>
      </w:r>
      <w:r w:rsidR="00105E2C" w:rsidRPr="00105E2C">
        <w:rPr>
          <w:rFonts w:cstheme="minorHAnsi"/>
          <w:color w:val="000000"/>
        </w:rPr>
        <w:t>Randomised Clinical Trials Number</w:t>
      </w:r>
      <w:r w:rsidR="00105E2C">
        <w:rPr>
          <w:rFonts w:cstheme="minorHAnsi"/>
          <w:color w:val="000000"/>
        </w:rPr>
        <w:t xml:space="preserve"> (</w:t>
      </w:r>
      <w:r w:rsidR="00105E2C" w:rsidRPr="00105E2C">
        <w:rPr>
          <w:rFonts w:cstheme="minorHAnsi"/>
          <w:color w:val="000000"/>
        </w:rPr>
        <w:t>ISRCTN79956557</w:t>
      </w:r>
      <w:r w:rsidR="00105E2C">
        <w:rPr>
          <w:rFonts w:cstheme="minorHAnsi"/>
          <w:color w:val="000000"/>
        </w:rPr>
        <w:t>)</w:t>
      </w:r>
      <w:r w:rsidRPr="00B14D14">
        <w:rPr>
          <w:rFonts w:eastAsia="OTNEJMQuadraat" w:cstheme="minorHAnsi"/>
        </w:rPr>
        <w:t>.</w:t>
      </w:r>
      <w:r>
        <w:rPr>
          <w:rFonts w:eastAsia="OTNEJMQuadraat" w:cstheme="minorHAnsi"/>
        </w:rPr>
        <w:t xml:space="preserve"> The study protocol is available in the appendix. </w:t>
      </w:r>
    </w:p>
    <w:p w14:paraId="704625B1" w14:textId="77777777" w:rsidR="002D0529" w:rsidRDefault="002D0529" w:rsidP="007D0198">
      <w:pPr>
        <w:autoSpaceDE w:val="0"/>
        <w:autoSpaceDN w:val="0"/>
        <w:adjustRightInd w:val="0"/>
        <w:spacing w:after="0" w:line="240" w:lineRule="auto"/>
        <w:jc w:val="both"/>
        <w:rPr>
          <w:rFonts w:eastAsia="OTNEJMQuadraat" w:cs="OTNEJMQuadraat"/>
        </w:rPr>
      </w:pPr>
    </w:p>
    <w:p w14:paraId="4E20ECF0" w14:textId="77777777" w:rsidR="002D0529" w:rsidRDefault="002D0529" w:rsidP="007D0198">
      <w:pPr>
        <w:autoSpaceDE w:val="0"/>
        <w:autoSpaceDN w:val="0"/>
        <w:adjustRightInd w:val="0"/>
        <w:spacing w:after="0" w:line="240" w:lineRule="auto"/>
        <w:jc w:val="both"/>
        <w:rPr>
          <w:rFonts w:cs="Calibri"/>
          <w:b/>
          <w:bCs/>
        </w:rPr>
      </w:pPr>
    </w:p>
    <w:p w14:paraId="602E93EB" w14:textId="77777777" w:rsidR="002D0529" w:rsidRPr="00CE553C" w:rsidRDefault="002D0529" w:rsidP="007D0198">
      <w:pPr>
        <w:autoSpaceDE w:val="0"/>
        <w:autoSpaceDN w:val="0"/>
        <w:adjustRightInd w:val="0"/>
        <w:spacing w:after="0" w:line="240" w:lineRule="auto"/>
        <w:jc w:val="both"/>
        <w:rPr>
          <w:rFonts w:cs="Calibri"/>
          <w:b/>
          <w:bCs/>
        </w:rPr>
      </w:pPr>
      <w:r>
        <w:rPr>
          <w:rFonts w:cs="Calibri"/>
          <w:b/>
          <w:bCs/>
        </w:rPr>
        <w:t>Procedures</w:t>
      </w:r>
    </w:p>
    <w:p w14:paraId="75ED8B50" w14:textId="77777777" w:rsidR="002D0529" w:rsidRPr="003073D7" w:rsidRDefault="002D0529" w:rsidP="007D0198">
      <w:pPr>
        <w:pStyle w:val="Default"/>
        <w:jc w:val="both"/>
        <w:rPr>
          <w:rFonts w:asciiTheme="minorHAnsi" w:eastAsia="OTNEJMQuadraat" w:hAnsiTheme="minorHAnsi" w:cs="OTNEJMQuadraat"/>
          <w:i/>
          <w:iCs/>
          <w:sz w:val="22"/>
          <w:szCs w:val="22"/>
        </w:rPr>
      </w:pPr>
      <w:r w:rsidRPr="003073D7">
        <w:rPr>
          <w:rFonts w:asciiTheme="minorHAnsi" w:eastAsia="OTNEJMQuadraat" w:hAnsiTheme="minorHAnsi" w:cs="OTNEJMQuadraat"/>
          <w:i/>
          <w:iCs/>
          <w:sz w:val="22"/>
          <w:szCs w:val="22"/>
        </w:rPr>
        <w:t>Standard Care</w:t>
      </w:r>
    </w:p>
    <w:p w14:paraId="35068050" w14:textId="77777777" w:rsidR="002D0529" w:rsidRDefault="002D0529" w:rsidP="007D0198">
      <w:pPr>
        <w:pStyle w:val="Default"/>
        <w:jc w:val="both"/>
        <w:rPr>
          <w:rFonts w:asciiTheme="minorHAnsi" w:hAnsiTheme="minorHAnsi"/>
          <w:sz w:val="22"/>
          <w:szCs w:val="22"/>
        </w:rPr>
      </w:pPr>
      <w:r w:rsidRPr="002B22A7">
        <w:rPr>
          <w:rFonts w:asciiTheme="minorHAnsi" w:eastAsia="OTNEJMQuadraat" w:hAnsiTheme="minorHAnsi" w:cs="OTNEJMQuadraat"/>
          <w:sz w:val="22"/>
          <w:szCs w:val="22"/>
        </w:rPr>
        <w:t xml:space="preserve">Patients allocated to standard care </w:t>
      </w:r>
      <w:r>
        <w:rPr>
          <w:rFonts w:asciiTheme="minorHAnsi" w:eastAsia="OTNEJMQuadraat" w:hAnsiTheme="minorHAnsi" w:cs="OTNEJMQuadraat"/>
          <w:sz w:val="22"/>
          <w:szCs w:val="22"/>
        </w:rPr>
        <w:t>underwent</w:t>
      </w:r>
      <w:r w:rsidRPr="002B22A7">
        <w:rPr>
          <w:rFonts w:asciiTheme="minorHAnsi" w:eastAsia="OTNEJMQuadraat" w:hAnsiTheme="minorHAnsi" w:cs="OTNEJMQuadraat"/>
          <w:sz w:val="22"/>
          <w:szCs w:val="22"/>
        </w:rPr>
        <w:t xml:space="preserve"> 12F </w:t>
      </w:r>
      <w:r>
        <w:rPr>
          <w:rFonts w:asciiTheme="minorHAnsi" w:hAnsiTheme="minorHAnsi"/>
          <w:sz w:val="22"/>
          <w:szCs w:val="22"/>
        </w:rPr>
        <w:t>S</w:t>
      </w:r>
      <w:r w:rsidRPr="002B22A7">
        <w:rPr>
          <w:rFonts w:asciiTheme="minorHAnsi" w:hAnsiTheme="minorHAnsi"/>
          <w:sz w:val="22"/>
          <w:szCs w:val="22"/>
        </w:rPr>
        <w:t>eldinger</w:t>
      </w:r>
      <w:r>
        <w:rPr>
          <w:rFonts w:asciiTheme="minorHAnsi" w:hAnsiTheme="minorHAnsi"/>
          <w:sz w:val="22"/>
          <w:szCs w:val="22"/>
        </w:rPr>
        <w:t xml:space="preserve"> </w:t>
      </w:r>
      <w:r w:rsidRPr="002B22A7">
        <w:rPr>
          <w:rFonts w:asciiTheme="minorHAnsi" w:hAnsiTheme="minorHAnsi"/>
          <w:sz w:val="22"/>
          <w:szCs w:val="22"/>
        </w:rPr>
        <w:t xml:space="preserve">chest </w:t>
      </w:r>
      <w:r>
        <w:rPr>
          <w:rFonts w:asciiTheme="minorHAnsi" w:hAnsiTheme="minorHAnsi"/>
          <w:sz w:val="22"/>
          <w:szCs w:val="22"/>
        </w:rPr>
        <w:t>tube</w:t>
      </w:r>
      <w:r w:rsidRPr="002B22A7">
        <w:rPr>
          <w:rFonts w:asciiTheme="minorHAnsi" w:hAnsiTheme="minorHAnsi"/>
          <w:sz w:val="22"/>
          <w:szCs w:val="22"/>
        </w:rPr>
        <w:t xml:space="preserve"> </w:t>
      </w:r>
      <w:r>
        <w:rPr>
          <w:rFonts w:asciiTheme="minorHAnsi" w:hAnsiTheme="minorHAnsi"/>
          <w:sz w:val="22"/>
          <w:szCs w:val="22"/>
        </w:rPr>
        <w:t>insertion</w:t>
      </w:r>
      <w:r w:rsidRPr="002B22A7">
        <w:rPr>
          <w:rFonts w:asciiTheme="minorHAnsi" w:hAnsiTheme="minorHAnsi"/>
          <w:sz w:val="22"/>
          <w:szCs w:val="22"/>
        </w:rPr>
        <w:t xml:space="preserve"> and </w:t>
      </w:r>
      <w:r>
        <w:rPr>
          <w:rFonts w:asciiTheme="minorHAnsi" w:hAnsiTheme="minorHAnsi"/>
          <w:sz w:val="22"/>
          <w:szCs w:val="22"/>
        </w:rPr>
        <w:t xml:space="preserve">this was </w:t>
      </w:r>
      <w:r w:rsidRPr="002B22A7">
        <w:rPr>
          <w:rFonts w:asciiTheme="minorHAnsi" w:hAnsiTheme="minorHAnsi"/>
          <w:sz w:val="22"/>
          <w:szCs w:val="22"/>
        </w:rPr>
        <w:t xml:space="preserve">attached to </w:t>
      </w:r>
      <w:r>
        <w:rPr>
          <w:rFonts w:asciiTheme="minorHAnsi" w:hAnsiTheme="minorHAnsi"/>
          <w:sz w:val="22"/>
          <w:szCs w:val="22"/>
        </w:rPr>
        <w:t xml:space="preserve">an </w:t>
      </w:r>
      <w:r w:rsidRPr="002B22A7">
        <w:rPr>
          <w:rFonts w:asciiTheme="minorHAnsi" w:hAnsiTheme="minorHAnsi"/>
          <w:sz w:val="22"/>
          <w:szCs w:val="22"/>
        </w:rPr>
        <w:t xml:space="preserve">underwater seal. Resolution of pneumothorax was </w:t>
      </w:r>
      <w:r>
        <w:rPr>
          <w:rFonts w:asciiTheme="minorHAnsi" w:hAnsiTheme="minorHAnsi"/>
          <w:sz w:val="22"/>
          <w:szCs w:val="22"/>
        </w:rPr>
        <w:t xml:space="preserve">identified by full lung expansion on </w:t>
      </w:r>
      <w:r w:rsidRPr="002B22A7">
        <w:rPr>
          <w:rFonts w:asciiTheme="minorHAnsi" w:hAnsiTheme="minorHAnsi"/>
          <w:sz w:val="22"/>
          <w:szCs w:val="22"/>
        </w:rPr>
        <w:t xml:space="preserve">chest radiograph and cessation of bubbling of </w:t>
      </w:r>
      <w:r>
        <w:rPr>
          <w:rFonts w:asciiTheme="minorHAnsi" w:hAnsiTheme="minorHAnsi"/>
          <w:sz w:val="22"/>
          <w:szCs w:val="22"/>
        </w:rPr>
        <w:t xml:space="preserve">the </w:t>
      </w:r>
      <w:r w:rsidRPr="002B22A7">
        <w:rPr>
          <w:rFonts w:asciiTheme="minorHAnsi" w:hAnsiTheme="minorHAnsi"/>
          <w:sz w:val="22"/>
          <w:szCs w:val="22"/>
        </w:rPr>
        <w:t xml:space="preserve">underwater seal bottle. </w:t>
      </w:r>
      <w:r>
        <w:rPr>
          <w:rFonts w:asciiTheme="minorHAnsi" w:hAnsiTheme="minorHAnsi"/>
          <w:sz w:val="22"/>
          <w:szCs w:val="22"/>
        </w:rPr>
        <w:t>D</w:t>
      </w:r>
      <w:r w:rsidRPr="002B22A7">
        <w:rPr>
          <w:rFonts w:asciiTheme="minorHAnsi" w:hAnsiTheme="minorHAnsi"/>
          <w:sz w:val="22"/>
          <w:szCs w:val="22"/>
        </w:rPr>
        <w:t>ecision</w:t>
      </w:r>
      <w:r>
        <w:rPr>
          <w:rFonts w:asciiTheme="minorHAnsi" w:hAnsiTheme="minorHAnsi"/>
          <w:sz w:val="22"/>
          <w:szCs w:val="22"/>
        </w:rPr>
        <w:t>s</w:t>
      </w:r>
      <w:r w:rsidRPr="002B22A7">
        <w:rPr>
          <w:rFonts w:asciiTheme="minorHAnsi" w:hAnsiTheme="minorHAnsi"/>
          <w:sz w:val="22"/>
          <w:szCs w:val="22"/>
        </w:rPr>
        <w:t xml:space="preserve"> to remove chest </w:t>
      </w:r>
      <w:r>
        <w:rPr>
          <w:rFonts w:asciiTheme="minorHAnsi" w:hAnsiTheme="minorHAnsi"/>
          <w:sz w:val="22"/>
          <w:szCs w:val="22"/>
        </w:rPr>
        <w:t>tubes were</w:t>
      </w:r>
      <w:r w:rsidRPr="002B22A7">
        <w:rPr>
          <w:rFonts w:asciiTheme="minorHAnsi" w:hAnsiTheme="minorHAnsi"/>
          <w:sz w:val="22"/>
          <w:szCs w:val="22"/>
        </w:rPr>
        <w:t xml:space="preserve"> </w:t>
      </w:r>
      <w:r>
        <w:rPr>
          <w:rFonts w:asciiTheme="minorHAnsi" w:hAnsiTheme="minorHAnsi"/>
          <w:sz w:val="22"/>
          <w:szCs w:val="22"/>
        </w:rPr>
        <w:t>made</w:t>
      </w:r>
      <w:r w:rsidRPr="002B22A7">
        <w:rPr>
          <w:rFonts w:asciiTheme="minorHAnsi" w:hAnsiTheme="minorHAnsi"/>
          <w:sz w:val="22"/>
          <w:szCs w:val="22"/>
        </w:rPr>
        <w:t xml:space="preserve"> by t</w:t>
      </w:r>
      <w:r>
        <w:rPr>
          <w:rFonts w:asciiTheme="minorHAnsi" w:hAnsiTheme="minorHAnsi"/>
          <w:sz w:val="22"/>
          <w:szCs w:val="22"/>
        </w:rPr>
        <w:t>he t</w:t>
      </w:r>
      <w:r w:rsidRPr="002B22A7">
        <w:rPr>
          <w:rFonts w:asciiTheme="minorHAnsi" w:hAnsiTheme="minorHAnsi"/>
          <w:sz w:val="22"/>
          <w:szCs w:val="22"/>
        </w:rPr>
        <w:t>reating physician</w:t>
      </w:r>
      <w:r>
        <w:rPr>
          <w:rFonts w:asciiTheme="minorHAnsi" w:hAnsiTheme="minorHAnsi"/>
          <w:sz w:val="22"/>
          <w:szCs w:val="22"/>
        </w:rPr>
        <w:t>, with guidance that c</w:t>
      </w:r>
      <w:r w:rsidRPr="003073D7">
        <w:rPr>
          <w:rFonts w:asciiTheme="minorHAnsi" w:hAnsiTheme="minorHAnsi"/>
          <w:sz w:val="22"/>
          <w:szCs w:val="22"/>
        </w:rPr>
        <w:t>hest drains</w:t>
      </w:r>
      <w:r>
        <w:rPr>
          <w:rFonts w:asciiTheme="minorHAnsi" w:hAnsiTheme="minorHAnsi"/>
          <w:sz w:val="22"/>
          <w:szCs w:val="22"/>
        </w:rPr>
        <w:t xml:space="preserve"> </w:t>
      </w:r>
      <w:r w:rsidRPr="003073D7">
        <w:rPr>
          <w:rFonts w:asciiTheme="minorHAnsi" w:hAnsiTheme="minorHAnsi"/>
          <w:sz w:val="22"/>
          <w:szCs w:val="22"/>
        </w:rPr>
        <w:t>should be removed at the earliest opportunity following clarifying the absence of an ongoing</w:t>
      </w:r>
      <w:r>
        <w:rPr>
          <w:rFonts w:asciiTheme="minorHAnsi" w:hAnsiTheme="minorHAnsi"/>
          <w:sz w:val="22"/>
          <w:szCs w:val="22"/>
        </w:rPr>
        <w:t xml:space="preserve"> </w:t>
      </w:r>
      <w:r w:rsidRPr="003073D7">
        <w:rPr>
          <w:rFonts w:asciiTheme="minorHAnsi" w:hAnsiTheme="minorHAnsi"/>
          <w:sz w:val="22"/>
          <w:szCs w:val="22"/>
        </w:rPr>
        <w:t>air leak.</w:t>
      </w:r>
    </w:p>
    <w:p w14:paraId="55754777" w14:textId="77777777" w:rsidR="002D0529" w:rsidRDefault="002D0529" w:rsidP="007D0198">
      <w:pPr>
        <w:pStyle w:val="Default"/>
        <w:jc w:val="both"/>
        <w:rPr>
          <w:rFonts w:asciiTheme="minorHAnsi" w:hAnsiTheme="minorHAnsi"/>
          <w:sz w:val="22"/>
          <w:szCs w:val="22"/>
        </w:rPr>
      </w:pPr>
    </w:p>
    <w:p w14:paraId="0F43883C" w14:textId="77777777" w:rsidR="002D0529" w:rsidRPr="003073D7" w:rsidRDefault="002D0529" w:rsidP="007D0198">
      <w:pPr>
        <w:pStyle w:val="Default"/>
        <w:jc w:val="both"/>
        <w:rPr>
          <w:rFonts w:asciiTheme="minorHAnsi" w:hAnsiTheme="minorHAnsi"/>
          <w:i/>
          <w:iCs/>
          <w:sz w:val="22"/>
          <w:szCs w:val="22"/>
        </w:rPr>
      </w:pPr>
      <w:r w:rsidRPr="003073D7">
        <w:rPr>
          <w:rFonts w:asciiTheme="minorHAnsi" w:hAnsiTheme="minorHAnsi"/>
          <w:i/>
          <w:iCs/>
          <w:sz w:val="22"/>
          <w:szCs w:val="22"/>
        </w:rPr>
        <w:t>Ambulatory Care</w:t>
      </w:r>
    </w:p>
    <w:p w14:paraId="2CCE1DC5" w14:textId="77777777" w:rsidR="002D0529" w:rsidRDefault="002D0529" w:rsidP="007D0198">
      <w:pPr>
        <w:pStyle w:val="Default"/>
        <w:jc w:val="both"/>
        <w:rPr>
          <w:sz w:val="22"/>
          <w:szCs w:val="22"/>
          <w:shd w:val="clear" w:color="auto" w:fill="FFFFFF"/>
        </w:rPr>
      </w:pPr>
      <w:r w:rsidRPr="002B22A7">
        <w:rPr>
          <w:rFonts w:asciiTheme="minorHAnsi" w:eastAsia="OTNEJMQuadraat" w:hAnsiTheme="minorHAnsi" w:cs="OTNEJMQuadraat"/>
          <w:sz w:val="22"/>
          <w:szCs w:val="22"/>
        </w:rPr>
        <w:t xml:space="preserve">Patients allocated to </w:t>
      </w:r>
      <w:r>
        <w:rPr>
          <w:rFonts w:asciiTheme="minorHAnsi" w:eastAsia="OTNEJMQuadraat" w:hAnsiTheme="minorHAnsi" w:cs="OTNEJMQuadraat"/>
          <w:sz w:val="22"/>
          <w:szCs w:val="22"/>
        </w:rPr>
        <w:t>ambulatory</w:t>
      </w:r>
      <w:r w:rsidRPr="002B22A7">
        <w:rPr>
          <w:rFonts w:asciiTheme="minorHAnsi" w:eastAsia="OTNEJMQuadraat" w:hAnsiTheme="minorHAnsi" w:cs="OTNEJMQuadraat"/>
          <w:sz w:val="22"/>
          <w:szCs w:val="22"/>
        </w:rPr>
        <w:t xml:space="preserve"> care</w:t>
      </w:r>
      <w:r>
        <w:rPr>
          <w:rFonts w:asciiTheme="minorHAnsi" w:eastAsia="OTNEJMQuadraat" w:hAnsiTheme="minorHAnsi" w:cs="OTNEJMQuadraat"/>
          <w:sz w:val="22"/>
          <w:szCs w:val="22"/>
        </w:rPr>
        <w:t xml:space="preserve"> received a flutter valve. Initially the flutter valve used for ambulatory care was the P</w:t>
      </w:r>
      <w:r w:rsidRPr="002B22A7">
        <w:rPr>
          <w:rFonts w:asciiTheme="minorHAnsi" w:eastAsia="OTNEJMQuadraat" w:hAnsiTheme="minorHAnsi" w:cs="OTNEJMQuadraat"/>
          <w:sz w:val="22"/>
          <w:szCs w:val="22"/>
        </w:rPr>
        <w:t xml:space="preserve">leural </w:t>
      </w:r>
      <w:r>
        <w:rPr>
          <w:rFonts w:asciiTheme="minorHAnsi" w:eastAsia="OTNEJMQuadraat" w:hAnsiTheme="minorHAnsi" w:cs="OTNEJMQuadraat"/>
          <w:sz w:val="22"/>
          <w:szCs w:val="22"/>
        </w:rPr>
        <w:t>V</w:t>
      </w:r>
      <w:r w:rsidRPr="002B22A7">
        <w:rPr>
          <w:rFonts w:asciiTheme="minorHAnsi" w:eastAsia="OTNEJMQuadraat" w:hAnsiTheme="minorHAnsi" w:cs="OTNEJMQuadraat"/>
          <w:sz w:val="22"/>
          <w:szCs w:val="22"/>
        </w:rPr>
        <w:t>ent</w:t>
      </w:r>
      <w:r>
        <w:rPr>
          <w:rFonts w:asciiTheme="minorHAnsi" w:eastAsia="OTNEJMQuadraat" w:hAnsiTheme="minorHAnsi" w:cs="OTNEJMQuadraat"/>
          <w:sz w:val="22"/>
          <w:szCs w:val="22"/>
        </w:rPr>
        <w:t xml:space="preserve"> (PV) (R</w:t>
      </w:r>
      <w:r w:rsidRPr="00F62E74">
        <w:rPr>
          <w:rFonts w:asciiTheme="minorHAnsi" w:eastAsia="OTNEJMQuadraat" w:hAnsiTheme="minorHAnsi" w:cs="OTNEJMQuadraat"/>
          <w:sz w:val="22"/>
          <w:szCs w:val="22"/>
        </w:rPr>
        <w:t xml:space="preserve">ocket Medical, </w:t>
      </w:r>
      <w:r>
        <w:rPr>
          <w:rFonts w:asciiTheme="minorHAnsi" w:eastAsia="OTNEJMQuadraat" w:hAnsiTheme="minorHAnsi" w:cs="OTNEJMQuadraat"/>
          <w:sz w:val="22"/>
          <w:szCs w:val="22"/>
        </w:rPr>
        <w:t xml:space="preserve">Watford, </w:t>
      </w:r>
      <w:r w:rsidRPr="00F62E74">
        <w:rPr>
          <w:rFonts w:asciiTheme="minorHAnsi" w:eastAsia="OTNEJMQuadraat" w:hAnsiTheme="minorHAnsi" w:cs="OTNEJMQuadraat"/>
          <w:sz w:val="22"/>
          <w:szCs w:val="22"/>
        </w:rPr>
        <w:t>UK</w:t>
      </w:r>
      <w:r>
        <w:rPr>
          <w:rFonts w:asciiTheme="minorHAnsi" w:eastAsia="OTNEJMQuadraat" w:hAnsiTheme="minorHAnsi" w:cs="OTNEJMQuadraat"/>
          <w:sz w:val="22"/>
          <w:szCs w:val="22"/>
        </w:rPr>
        <w:t>) (Figure 1a)</w:t>
      </w:r>
      <w:r w:rsidRPr="002B22A7">
        <w:rPr>
          <w:rFonts w:asciiTheme="minorHAnsi" w:eastAsia="OTNEJMQuadraat" w:hAnsiTheme="minorHAnsi" w:cs="OTNEJMQuadraat"/>
          <w:sz w:val="22"/>
          <w:szCs w:val="22"/>
        </w:rPr>
        <w:t xml:space="preserve"> </w:t>
      </w:r>
      <w:r>
        <w:rPr>
          <w:rFonts w:asciiTheme="minorHAnsi" w:eastAsia="OTNEJMQuadraat" w:hAnsiTheme="minorHAnsi" w:cs="OTNEJMQuadraat"/>
          <w:sz w:val="22"/>
          <w:szCs w:val="22"/>
        </w:rPr>
        <w:t>(</w:t>
      </w:r>
      <w:r w:rsidRPr="002B22A7">
        <w:rPr>
          <w:rFonts w:asciiTheme="minorHAnsi" w:eastAsia="OTNEJMQuadraat" w:hAnsiTheme="minorHAnsi" w:cs="OTNEJMQuadraat"/>
          <w:sz w:val="22"/>
          <w:szCs w:val="22"/>
        </w:rPr>
        <w:t>ambulatory pneumothorax device</w:t>
      </w:r>
      <w:r>
        <w:rPr>
          <w:rFonts w:asciiTheme="minorHAnsi" w:eastAsia="OTNEJMQuadraat" w:hAnsiTheme="minorHAnsi" w:cs="OTNEJMQuadraat"/>
          <w:sz w:val="22"/>
          <w:szCs w:val="22"/>
        </w:rPr>
        <w:t xml:space="preserve">, </w:t>
      </w:r>
      <w:r w:rsidRPr="00F62E74">
        <w:rPr>
          <w:rFonts w:asciiTheme="minorHAnsi" w:eastAsia="OTNEJMQuadraat" w:hAnsiTheme="minorHAnsi" w:cs="OTNEJMQuadraat"/>
          <w:sz w:val="22"/>
          <w:szCs w:val="22"/>
        </w:rPr>
        <w:t xml:space="preserve">8F </w:t>
      </w:r>
      <w:r>
        <w:rPr>
          <w:rFonts w:asciiTheme="minorHAnsi" w:eastAsia="OTNEJMQuadraat" w:hAnsiTheme="minorHAnsi" w:cs="OTNEJMQuadraat"/>
          <w:sz w:val="22"/>
          <w:szCs w:val="22"/>
        </w:rPr>
        <w:t xml:space="preserve">pig-tailed </w:t>
      </w:r>
      <w:r w:rsidRPr="00F62E74">
        <w:rPr>
          <w:rFonts w:asciiTheme="minorHAnsi" w:eastAsia="OTNEJMQuadraat" w:hAnsiTheme="minorHAnsi" w:cs="OTNEJMQuadraat"/>
          <w:sz w:val="22"/>
          <w:szCs w:val="22"/>
        </w:rPr>
        <w:t xml:space="preserve">catheter mounted on </w:t>
      </w:r>
      <w:r>
        <w:rPr>
          <w:rFonts w:asciiTheme="minorHAnsi" w:eastAsia="OTNEJMQuadraat" w:hAnsiTheme="minorHAnsi" w:cs="OTNEJMQuadraat"/>
          <w:sz w:val="22"/>
          <w:szCs w:val="22"/>
        </w:rPr>
        <w:t xml:space="preserve">an </w:t>
      </w:r>
      <w:r w:rsidRPr="00F62E74">
        <w:rPr>
          <w:rFonts w:asciiTheme="minorHAnsi" w:eastAsia="OTNEJMQuadraat" w:hAnsiTheme="minorHAnsi" w:cs="OTNEJMQuadraat"/>
          <w:sz w:val="22"/>
          <w:szCs w:val="22"/>
        </w:rPr>
        <w:t>18</w:t>
      </w:r>
      <w:r>
        <w:rPr>
          <w:rFonts w:asciiTheme="minorHAnsi" w:eastAsia="OTNEJMQuadraat" w:hAnsiTheme="minorHAnsi" w:cs="OTNEJMQuadraat"/>
          <w:sz w:val="22"/>
          <w:szCs w:val="22"/>
        </w:rPr>
        <w:t>G</w:t>
      </w:r>
      <w:r w:rsidRPr="00F62E74">
        <w:rPr>
          <w:rFonts w:asciiTheme="minorHAnsi" w:eastAsia="OTNEJMQuadraat" w:hAnsiTheme="minorHAnsi" w:cs="OTNEJMQuadraat"/>
          <w:sz w:val="22"/>
          <w:szCs w:val="22"/>
        </w:rPr>
        <w:t xml:space="preserve"> needle</w:t>
      </w:r>
      <w:r>
        <w:rPr>
          <w:rFonts w:asciiTheme="minorHAnsi" w:eastAsia="OTNEJMQuadraat" w:hAnsiTheme="minorHAnsi" w:cs="OTNEJMQuadraat"/>
          <w:sz w:val="22"/>
          <w:szCs w:val="22"/>
        </w:rPr>
        <w:t xml:space="preserve">, </w:t>
      </w:r>
      <w:r w:rsidRPr="00F62E74">
        <w:rPr>
          <w:rFonts w:asciiTheme="minorHAnsi" w:eastAsia="OTNEJMQuadraat" w:hAnsiTheme="minorHAnsi" w:cs="OTNEJMQuadraat"/>
          <w:sz w:val="22"/>
          <w:szCs w:val="22"/>
        </w:rPr>
        <w:t>self</w:t>
      </w:r>
      <w:r>
        <w:rPr>
          <w:rFonts w:asciiTheme="minorHAnsi" w:eastAsia="OTNEJMQuadraat" w:hAnsiTheme="minorHAnsi" w:cs="OTNEJMQuadraat"/>
          <w:sz w:val="22"/>
          <w:szCs w:val="22"/>
        </w:rPr>
        <w:t>-</w:t>
      </w:r>
      <w:r w:rsidRPr="00F62E74">
        <w:rPr>
          <w:rFonts w:asciiTheme="minorHAnsi" w:eastAsia="OTNEJMQuadraat" w:hAnsiTheme="minorHAnsi" w:cs="OTNEJMQuadraat"/>
          <w:sz w:val="22"/>
          <w:szCs w:val="22"/>
        </w:rPr>
        <w:t>contained one</w:t>
      </w:r>
      <w:r>
        <w:rPr>
          <w:rFonts w:asciiTheme="minorHAnsi" w:eastAsia="OTNEJMQuadraat" w:hAnsiTheme="minorHAnsi" w:cs="OTNEJMQuadraat"/>
          <w:sz w:val="22"/>
          <w:szCs w:val="22"/>
        </w:rPr>
        <w:t>-</w:t>
      </w:r>
      <w:r w:rsidRPr="00F62E74">
        <w:rPr>
          <w:rFonts w:asciiTheme="minorHAnsi" w:eastAsia="OTNEJMQuadraat" w:hAnsiTheme="minorHAnsi" w:cs="OTNEJMQuadraat"/>
          <w:sz w:val="22"/>
          <w:szCs w:val="22"/>
        </w:rPr>
        <w:t>way valve and vent</w:t>
      </w:r>
      <w:r>
        <w:rPr>
          <w:rFonts w:asciiTheme="minorHAnsi" w:eastAsia="OTNEJMQuadraat" w:hAnsiTheme="minorHAnsi" w:cs="OTNEJMQuadraat"/>
          <w:sz w:val="22"/>
          <w:szCs w:val="22"/>
        </w:rPr>
        <w:t xml:space="preserve">). The PV was </w:t>
      </w:r>
      <w:proofErr w:type="spellStart"/>
      <w:r>
        <w:rPr>
          <w:rFonts w:asciiTheme="minorHAnsi" w:eastAsia="OTNEJMQuadraat" w:hAnsiTheme="minorHAnsi" w:cs="OTNEJMQuadraat"/>
          <w:sz w:val="22"/>
          <w:szCs w:val="22"/>
        </w:rPr>
        <w:t>cutaneously</w:t>
      </w:r>
      <w:proofErr w:type="spellEnd"/>
      <w:r>
        <w:rPr>
          <w:rFonts w:asciiTheme="minorHAnsi" w:eastAsia="OTNEJMQuadraat" w:hAnsiTheme="minorHAnsi" w:cs="OTNEJMQuadraat"/>
          <w:sz w:val="22"/>
          <w:szCs w:val="22"/>
        </w:rPr>
        <w:t xml:space="preserve"> fixed in place with a </w:t>
      </w:r>
      <w:r w:rsidRPr="00F62E74">
        <w:rPr>
          <w:rFonts w:asciiTheme="minorHAnsi" w:eastAsia="OTNEJMQuadraat" w:hAnsiTheme="minorHAnsi" w:cs="OTNEJMQuadraat"/>
          <w:sz w:val="22"/>
          <w:szCs w:val="22"/>
        </w:rPr>
        <w:t>hydrocolloid fixation device</w:t>
      </w:r>
      <w:r>
        <w:rPr>
          <w:rFonts w:asciiTheme="minorHAnsi" w:eastAsia="OTNEJMQuadraat" w:hAnsiTheme="minorHAnsi" w:cs="OTNEJMQuadraat"/>
          <w:sz w:val="22"/>
          <w:szCs w:val="22"/>
        </w:rPr>
        <w:t xml:space="preserve">. </w:t>
      </w:r>
      <w:r>
        <w:rPr>
          <w:sz w:val="22"/>
          <w:szCs w:val="22"/>
          <w:shd w:val="clear" w:color="auto" w:fill="FFFFFF"/>
        </w:rPr>
        <w:t xml:space="preserve">After 12 months of recruitment, due to high proportions of potential eligible patients excluded from trial entry due to prior chest drain placement in the emergency room, an ethical amendment was submitted to allow the use of Atrium Pneumostat for patients </w:t>
      </w:r>
      <w:r w:rsidRPr="002B22A7">
        <w:rPr>
          <w:rFonts w:asciiTheme="minorHAnsi" w:hAnsiTheme="minorHAnsi"/>
          <w:sz w:val="22"/>
          <w:szCs w:val="22"/>
        </w:rPr>
        <w:t xml:space="preserve">with a chest </w:t>
      </w:r>
      <w:r>
        <w:rPr>
          <w:rFonts w:asciiTheme="minorHAnsi" w:hAnsiTheme="minorHAnsi"/>
          <w:sz w:val="22"/>
          <w:szCs w:val="22"/>
        </w:rPr>
        <w:t>tube</w:t>
      </w:r>
      <w:r w:rsidRPr="002B22A7">
        <w:rPr>
          <w:rFonts w:asciiTheme="minorHAnsi" w:hAnsiTheme="minorHAnsi"/>
          <w:sz w:val="22"/>
          <w:szCs w:val="22"/>
        </w:rPr>
        <w:t xml:space="preserve"> already in situ</w:t>
      </w:r>
      <w:r>
        <w:rPr>
          <w:rFonts w:asciiTheme="minorHAnsi" w:hAnsiTheme="minorHAnsi"/>
          <w:sz w:val="22"/>
          <w:szCs w:val="22"/>
        </w:rPr>
        <w:t xml:space="preserve">. </w:t>
      </w:r>
      <w:r w:rsidRPr="002B22A7">
        <w:rPr>
          <w:rFonts w:asciiTheme="minorHAnsi" w:hAnsiTheme="minorHAnsi"/>
          <w:sz w:val="22"/>
          <w:szCs w:val="22"/>
        </w:rPr>
        <w:t xml:space="preserve"> </w:t>
      </w:r>
      <w:r>
        <w:rPr>
          <w:rFonts w:asciiTheme="minorHAnsi" w:hAnsiTheme="minorHAnsi"/>
          <w:sz w:val="22"/>
          <w:szCs w:val="22"/>
        </w:rPr>
        <w:t>For these patients t</w:t>
      </w:r>
      <w:r w:rsidRPr="002B22A7">
        <w:rPr>
          <w:rFonts w:asciiTheme="minorHAnsi" w:hAnsiTheme="minorHAnsi"/>
          <w:sz w:val="22"/>
          <w:szCs w:val="22"/>
        </w:rPr>
        <w:t xml:space="preserve">he </w:t>
      </w:r>
      <w:r>
        <w:rPr>
          <w:rFonts w:asciiTheme="minorHAnsi" w:hAnsiTheme="minorHAnsi"/>
          <w:sz w:val="22"/>
          <w:szCs w:val="22"/>
        </w:rPr>
        <w:t xml:space="preserve">Atrium </w:t>
      </w:r>
      <w:r w:rsidRPr="002B22A7">
        <w:rPr>
          <w:rFonts w:asciiTheme="minorHAnsi" w:hAnsiTheme="minorHAnsi"/>
          <w:sz w:val="22"/>
          <w:szCs w:val="22"/>
        </w:rPr>
        <w:t xml:space="preserve">Pneumostat chest </w:t>
      </w:r>
      <w:r>
        <w:rPr>
          <w:rFonts w:asciiTheme="minorHAnsi" w:hAnsiTheme="minorHAnsi"/>
          <w:sz w:val="22"/>
          <w:szCs w:val="22"/>
        </w:rPr>
        <w:t>tube</w:t>
      </w:r>
      <w:r w:rsidRPr="002B22A7">
        <w:rPr>
          <w:rFonts w:asciiTheme="minorHAnsi" w:hAnsiTheme="minorHAnsi"/>
          <w:sz w:val="22"/>
          <w:szCs w:val="22"/>
        </w:rPr>
        <w:t xml:space="preserve"> valve</w:t>
      </w:r>
      <w:r>
        <w:rPr>
          <w:rFonts w:asciiTheme="minorHAnsi" w:hAnsiTheme="minorHAnsi"/>
          <w:sz w:val="22"/>
          <w:szCs w:val="22"/>
        </w:rPr>
        <w:t xml:space="preserve"> (</w:t>
      </w:r>
      <w:r w:rsidRPr="00D56E8A">
        <w:rPr>
          <w:rFonts w:asciiTheme="minorHAnsi" w:hAnsiTheme="minorHAnsi"/>
          <w:sz w:val="22"/>
          <w:szCs w:val="22"/>
        </w:rPr>
        <w:t xml:space="preserve">Atrium Medical, </w:t>
      </w:r>
      <w:r>
        <w:rPr>
          <w:rFonts w:asciiTheme="minorHAnsi" w:hAnsiTheme="minorHAnsi"/>
          <w:sz w:val="22"/>
          <w:szCs w:val="22"/>
        </w:rPr>
        <w:t xml:space="preserve">Merrimack, New Hampshire, </w:t>
      </w:r>
      <w:r w:rsidRPr="00D56E8A">
        <w:rPr>
          <w:rFonts w:asciiTheme="minorHAnsi" w:hAnsiTheme="minorHAnsi"/>
          <w:sz w:val="22"/>
          <w:szCs w:val="22"/>
        </w:rPr>
        <w:t>USA)</w:t>
      </w:r>
      <w:r w:rsidRPr="002B22A7">
        <w:rPr>
          <w:rFonts w:asciiTheme="minorHAnsi" w:hAnsiTheme="minorHAnsi"/>
          <w:sz w:val="22"/>
          <w:szCs w:val="22"/>
        </w:rPr>
        <w:t xml:space="preserve"> </w:t>
      </w:r>
      <w:r>
        <w:rPr>
          <w:rFonts w:asciiTheme="minorHAnsi" w:hAnsiTheme="minorHAnsi"/>
          <w:sz w:val="22"/>
          <w:szCs w:val="22"/>
        </w:rPr>
        <w:t xml:space="preserve">was </w:t>
      </w:r>
      <w:r w:rsidRPr="002B22A7">
        <w:rPr>
          <w:rFonts w:asciiTheme="minorHAnsi" w:hAnsiTheme="minorHAnsi"/>
          <w:sz w:val="22"/>
          <w:szCs w:val="22"/>
        </w:rPr>
        <w:t xml:space="preserve">attached to their </w:t>
      </w:r>
      <w:r>
        <w:rPr>
          <w:rFonts w:asciiTheme="minorHAnsi" w:hAnsiTheme="minorHAnsi"/>
          <w:sz w:val="22"/>
          <w:szCs w:val="22"/>
        </w:rPr>
        <w:t xml:space="preserve">12F </w:t>
      </w:r>
      <w:r w:rsidRPr="002B22A7">
        <w:rPr>
          <w:rFonts w:asciiTheme="minorHAnsi" w:hAnsiTheme="minorHAnsi"/>
          <w:sz w:val="22"/>
          <w:szCs w:val="22"/>
        </w:rPr>
        <w:t>chest tube</w:t>
      </w:r>
      <w:r>
        <w:rPr>
          <w:rFonts w:asciiTheme="minorHAnsi" w:hAnsiTheme="minorHAnsi"/>
          <w:sz w:val="22"/>
          <w:szCs w:val="22"/>
        </w:rPr>
        <w:t xml:space="preserve"> (one-way flutter</w:t>
      </w:r>
      <w:r w:rsidRPr="002B22A7">
        <w:rPr>
          <w:rFonts w:asciiTheme="minorHAnsi" w:hAnsiTheme="minorHAnsi"/>
          <w:sz w:val="22"/>
          <w:szCs w:val="22"/>
        </w:rPr>
        <w:t xml:space="preserve"> valve which attaches to the end of a standard chest </w:t>
      </w:r>
      <w:r>
        <w:rPr>
          <w:rFonts w:asciiTheme="minorHAnsi" w:hAnsiTheme="minorHAnsi"/>
          <w:sz w:val="22"/>
          <w:szCs w:val="22"/>
        </w:rPr>
        <w:t xml:space="preserve">tube, </w:t>
      </w:r>
      <w:r w:rsidRPr="002B22A7">
        <w:rPr>
          <w:rFonts w:asciiTheme="minorHAnsi" w:hAnsiTheme="minorHAnsi"/>
          <w:sz w:val="22"/>
          <w:szCs w:val="22"/>
        </w:rPr>
        <w:t>30 ml collection capacity chamber for secretions</w:t>
      </w:r>
      <w:r>
        <w:rPr>
          <w:rFonts w:asciiTheme="minorHAnsi" w:hAnsiTheme="minorHAnsi"/>
          <w:sz w:val="22"/>
          <w:szCs w:val="22"/>
        </w:rPr>
        <w:t>) (Figure 1b)</w:t>
      </w:r>
      <w:r w:rsidRPr="002B22A7">
        <w:rPr>
          <w:rFonts w:asciiTheme="minorHAnsi" w:hAnsiTheme="minorHAnsi"/>
          <w:sz w:val="22"/>
          <w:szCs w:val="22"/>
        </w:rPr>
        <w:t>.</w:t>
      </w:r>
      <w:r>
        <w:rPr>
          <w:rFonts w:asciiTheme="minorHAnsi" w:hAnsiTheme="minorHAnsi"/>
          <w:sz w:val="22"/>
          <w:szCs w:val="22"/>
        </w:rPr>
        <w:t xml:space="preserve"> The study exclusion criteria were changed to only exclude patients with a </w:t>
      </w:r>
      <w:r w:rsidRPr="006416A5">
        <w:rPr>
          <w:rFonts w:asciiTheme="minorHAnsi" w:hAnsiTheme="minorHAnsi"/>
          <w:sz w:val="22"/>
          <w:szCs w:val="22"/>
        </w:rPr>
        <w:t>chest tube in situ for over 36 hours</w:t>
      </w:r>
    </w:p>
    <w:p w14:paraId="7A58DC57" w14:textId="77777777" w:rsidR="002D0529" w:rsidRDefault="002D0529" w:rsidP="007D0198">
      <w:pPr>
        <w:pStyle w:val="Default"/>
        <w:jc w:val="both"/>
        <w:rPr>
          <w:sz w:val="22"/>
          <w:szCs w:val="22"/>
          <w:shd w:val="clear" w:color="auto" w:fill="FFFFFF"/>
        </w:rPr>
      </w:pPr>
    </w:p>
    <w:p w14:paraId="3E09E446" w14:textId="77777777" w:rsidR="002D0529" w:rsidRDefault="002D0529" w:rsidP="007D0198">
      <w:pPr>
        <w:pStyle w:val="Default"/>
        <w:jc w:val="both"/>
        <w:rPr>
          <w:rFonts w:asciiTheme="minorHAnsi" w:hAnsiTheme="minorHAnsi"/>
          <w:sz w:val="22"/>
          <w:szCs w:val="22"/>
        </w:rPr>
      </w:pPr>
    </w:p>
    <w:p w14:paraId="1C873636" w14:textId="55A76E33" w:rsidR="002D0529" w:rsidRDefault="002D0529" w:rsidP="007D0198">
      <w:pPr>
        <w:pStyle w:val="Default"/>
        <w:jc w:val="both"/>
        <w:rPr>
          <w:rFonts w:asciiTheme="minorHAnsi" w:hAnsiTheme="minorHAnsi" w:cs="Arial"/>
          <w:sz w:val="22"/>
          <w:szCs w:val="22"/>
        </w:rPr>
      </w:pPr>
      <w:r w:rsidRPr="002B22A7">
        <w:rPr>
          <w:rFonts w:asciiTheme="minorHAnsi" w:hAnsiTheme="minorHAnsi"/>
          <w:sz w:val="22"/>
          <w:szCs w:val="22"/>
        </w:rPr>
        <w:t xml:space="preserve">Resolution of pneumothorax was confirmed by </w:t>
      </w:r>
      <w:r>
        <w:rPr>
          <w:rFonts w:asciiTheme="minorHAnsi" w:hAnsiTheme="minorHAnsi"/>
          <w:sz w:val="22"/>
          <w:szCs w:val="22"/>
        </w:rPr>
        <w:t xml:space="preserve">a </w:t>
      </w:r>
      <w:r w:rsidRPr="002B22A7">
        <w:rPr>
          <w:rFonts w:asciiTheme="minorHAnsi" w:hAnsiTheme="minorHAnsi"/>
          <w:sz w:val="22"/>
          <w:szCs w:val="22"/>
        </w:rPr>
        <w:t>chest radiograph and cessation of air</w:t>
      </w:r>
      <w:r>
        <w:rPr>
          <w:rFonts w:asciiTheme="minorHAnsi" w:hAnsiTheme="minorHAnsi"/>
          <w:sz w:val="22"/>
          <w:szCs w:val="22"/>
        </w:rPr>
        <w:t>-</w:t>
      </w:r>
      <w:r w:rsidRPr="002B22A7">
        <w:rPr>
          <w:rFonts w:asciiTheme="minorHAnsi" w:hAnsiTheme="minorHAnsi"/>
          <w:sz w:val="22"/>
          <w:szCs w:val="22"/>
        </w:rPr>
        <w:t xml:space="preserve">leak through the device. The decision to remove </w:t>
      </w:r>
      <w:r w:rsidR="00A627B7">
        <w:rPr>
          <w:rFonts w:asciiTheme="minorHAnsi" w:hAnsiTheme="minorHAnsi"/>
          <w:sz w:val="22"/>
          <w:szCs w:val="22"/>
        </w:rPr>
        <w:t xml:space="preserve">flutter valve device </w:t>
      </w:r>
      <w:r w:rsidRPr="002B22A7">
        <w:rPr>
          <w:rFonts w:asciiTheme="minorHAnsi" w:hAnsiTheme="minorHAnsi"/>
          <w:sz w:val="22"/>
          <w:szCs w:val="22"/>
        </w:rPr>
        <w:t xml:space="preserve">was </w:t>
      </w:r>
      <w:r>
        <w:rPr>
          <w:rFonts w:asciiTheme="minorHAnsi" w:hAnsiTheme="minorHAnsi"/>
          <w:sz w:val="22"/>
          <w:szCs w:val="22"/>
        </w:rPr>
        <w:t>decided</w:t>
      </w:r>
      <w:r w:rsidRPr="002B22A7">
        <w:rPr>
          <w:rFonts w:asciiTheme="minorHAnsi" w:hAnsiTheme="minorHAnsi"/>
          <w:sz w:val="22"/>
          <w:szCs w:val="22"/>
        </w:rPr>
        <w:t xml:space="preserve"> by </w:t>
      </w:r>
      <w:r>
        <w:rPr>
          <w:rFonts w:asciiTheme="minorHAnsi" w:hAnsiTheme="minorHAnsi"/>
          <w:sz w:val="22"/>
          <w:szCs w:val="22"/>
        </w:rPr>
        <w:t xml:space="preserve">the </w:t>
      </w:r>
      <w:r w:rsidRPr="002B22A7">
        <w:rPr>
          <w:rFonts w:asciiTheme="minorHAnsi" w:hAnsiTheme="minorHAnsi"/>
          <w:sz w:val="22"/>
          <w:szCs w:val="22"/>
        </w:rPr>
        <w:t>treating physician</w:t>
      </w:r>
      <w:r>
        <w:rPr>
          <w:rFonts w:asciiTheme="minorHAnsi" w:hAnsiTheme="minorHAnsi"/>
          <w:sz w:val="22"/>
          <w:szCs w:val="22"/>
        </w:rPr>
        <w:t xml:space="preserve">, with guidance that </w:t>
      </w:r>
      <w:r w:rsidR="00A627B7">
        <w:rPr>
          <w:rFonts w:asciiTheme="minorHAnsi" w:hAnsiTheme="minorHAnsi"/>
          <w:sz w:val="22"/>
          <w:szCs w:val="22"/>
        </w:rPr>
        <w:t>device</w:t>
      </w:r>
      <w:r>
        <w:rPr>
          <w:rFonts w:asciiTheme="minorHAnsi" w:hAnsiTheme="minorHAnsi"/>
          <w:sz w:val="22"/>
          <w:szCs w:val="22"/>
        </w:rPr>
        <w:t xml:space="preserve"> </w:t>
      </w:r>
      <w:r w:rsidRPr="003073D7">
        <w:rPr>
          <w:rFonts w:asciiTheme="minorHAnsi" w:hAnsiTheme="minorHAnsi"/>
          <w:sz w:val="22"/>
          <w:szCs w:val="22"/>
        </w:rPr>
        <w:t>should be removed at the earliest opportunity following clarifying the absence of an ongoing</w:t>
      </w:r>
      <w:r>
        <w:rPr>
          <w:rFonts w:asciiTheme="minorHAnsi" w:hAnsiTheme="minorHAnsi"/>
          <w:sz w:val="22"/>
          <w:szCs w:val="22"/>
        </w:rPr>
        <w:t xml:space="preserve"> </w:t>
      </w:r>
      <w:r w:rsidRPr="003073D7">
        <w:rPr>
          <w:rFonts w:asciiTheme="minorHAnsi" w:hAnsiTheme="minorHAnsi"/>
          <w:sz w:val="22"/>
          <w:szCs w:val="22"/>
        </w:rPr>
        <w:t>air leak.</w:t>
      </w:r>
      <w:r>
        <w:rPr>
          <w:rFonts w:asciiTheme="minorHAnsi" w:hAnsiTheme="minorHAnsi"/>
          <w:sz w:val="22"/>
          <w:szCs w:val="22"/>
        </w:rPr>
        <w:t xml:space="preserve"> </w:t>
      </w:r>
      <w:r w:rsidRPr="002B22A7">
        <w:rPr>
          <w:rFonts w:asciiTheme="minorHAnsi" w:hAnsiTheme="minorHAnsi"/>
          <w:sz w:val="22"/>
          <w:szCs w:val="22"/>
        </w:rPr>
        <w:t xml:space="preserve"> </w:t>
      </w:r>
      <w:r>
        <w:rPr>
          <w:rFonts w:asciiTheme="minorHAnsi" w:hAnsiTheme="minorHAnsi"/>
          <w:sz w:val="22"/>
          <w:szCs w:val="22"/>
        </w:rPr>
        <w:t>P</w:t>
      </w:r>
      <w:r w:rsidRPr="002B22A7">
        <w:rPr>
          <w:rFonts w:asciiTheme="minorHAnsi" w:hAnsiTheme="minorHAnsi"/>
          <w:sz w:val="22"/>
          <w:szCs w:val="22"/>
        </w:rPr>
        <w:t>atient</w:t>
      </w:r>
      <w:r>
        <w:rPr>
          <w:rFonts w:asciiTheme="minorHAnsi" w:hAnsiTheme="minorHAnsi"/>
          <w:sz w:val="22"/>
          <w:szCs w:val="22"/>
        </w:rPr>
        <w:t xml:space="preserve">s were able to be </w:t>
      </w:r>
      <w:r w:rsidRPr="002B22A7">
        <w:rPr>
          <w:rFonts w:asciiTheme="minorHAnsi" w:hAnsiTheme="minorHAnsi"/>
          <w:sz w:val="22"/>
          <w:szCs w:val="22"/>
        </w:rPr>
        <w:t>discharged from hospital with the ambulatory device</w:t>
      </w:r>
      <w:r>
        <w:rPr>
          <w:rFonts w:asciiTheme="minorHAnsi" w:hAnsiTheme="minorHAnsi"/>
          <w:sz w:val="22"/>
          <w:szCs w:val="22"/>
        </w:rPr>
        <w:t xml:space="preserve"> in situ</w:t>
      </w:r>
      <w:r w:rsidRPr="002B22A7">
        <w:rPr>
          <w:rFonts w:asciiTheme="minorHAnsi" w:hAnsiTheme="minorHAnsi"/>
          <w:sz w:val="22"/>
          <w:szCs w:val="22"/>
        </w:rPr>
        <w:t xml:space="preserve"> at the treating physician’s discretion</w:t>
      </w:r>
      <w:r>
        <w:rPr>
          <w:rFonts w:asciiTheme="minorHAnsi" w:hAnsiTheme="minorHAnsi"/>
          <w:sz w:val="22"/>
          <w:szCs w:val="22"/>
        </w:rPr>
        <w:t xml:space="preserve"> on the following criteria: 1) Patient d</w:t>
      </w:r>
      <w:r w:rsidRPr="002B22A7">
        <w:rPr>
          <w:rFonts w:asciiTheme="minorHAnsi" w:hAnsiTheme="minorHAnsi"/>
          <w:sz w:val="22"/>
          <w:szCs w:val="22"/>
        </w:rPr>
        <w:t xml:space="preserve">eemed </w:t>
      </w:r>
      <w:r>
        <w:rPr>
          <w:rFonts w:asciiTheme="minorHAnsi" w:hAnsiTheme="minorHAnsi"/>
          <w:sz w:val="22"/>
          <w:szCs w:val="22"/>
        </w:rPr>
        <w:t xml:space="preserve">to be </w:t>
      </w:r>
      <w:r w:rsidRPr="002B22A7">
        <w:rPr>
          <w:rFonts w:asciiTheme="minorHAnsi" w:hAnsiTheme="minorHAnsi"/>
          <w:sz w:val="22"/>
          <w:szCs w:val="22"/>
        </w:rPr>
        <w:t>clinically stable</w:t>
      </w:r>
      <w:r>
        <w:rPr>
          <w:rFonts w:asciiTheme="minorHAnsi" w:hAnsiTheme="minorHAnsi"/>
          <w:sz w:val="22"/>
          <w:szCs w:val="22"/>
        </w:rPr>
        <w:t xml:space="preserve"> (h</w:t>
      </w:r>
      <w:r w:rsidRPr="003073D7">
        <w:rPr>
          <w:rFonts w:asciiTheme="minorHAnsi" w:hAnsiTheme="minorHAnsi"/>
          <w:sz w:val="22"/>
          <w:szCs w:val="22"/>
        </w:rPr>
        <w:t>aemodynamic stability</w:t>
      </w:r>
      <w:r>
        <w:rPr>
          <w:rFonts w:asciiTheme="minorHAnsi" w:hAnsiTheme="minorHAnsi"/>
          <w:sz w:val="22"/>
          <w:szCs w:val="22"/>
        </w:rPr>
        <w:t>, s</w:t>
      </w:r>
      <w:r w:rsidRPr="003073D7">
        <w:rPr>
          <w:rFonts w:asciiTheme="minorHAnsi" w:hAnsiTheme="minorHAnsi"/>
          <w:sz w:val="22"/>
          <w:szCs w:val="22"/>
        </w:rPr>
        <w:t>tability of clinical observations</w:t>
      </w:r>
      <w:r>
        <w:rPr>
          <w:rFonts w:asciiTheme="minorHAnsi" w:hAnsiTheme="minorHAnsi"/>
          <w:sz w:val="22"/>
          <w:szCs w:val="22"/>
        </w:rPr>
        <w:t xml:space="preserve"> and p</w:t>
      </w:r>
      <w:r w:rsidRPr="003073D7">
        <w:rPr>
          <w:rFonts w:asciiTheme="minorHAnsi" w:hAnsiTheme="minorHAnsi"/>
          <w:sz w:val="22"/>
          <w:szCs w:val="22"/>
        </w:rPr>
        <w:t>atient</w:t>
      </w:r>
      <w:r>
        <w:rPr>
          <w:rFonts w:asciiTheme="minorHAnsi" w:hAnsiTheme="minorHAnsi"/>
          <w:sz w:val="22"/>
          <w:szCs w:val="22"/>
        </w:rPr>
        <w:t>s</w:t>
      </w:r>
      <w:r w:rsidRPr="003073D7">
        <w:rPr>
          <w:rFonts w:asciiTheme="minorHAnsi" w:hAnsiTheme="minorHAnsi"/>
          <w:sz w:val="22"/>
          <w:szCs w:val="22"/>
        </w:rPr>
        <w:t xml:space="preserve"> symptoms have returned to baseline level prior to pneumothorax</w:t>
      </w:r>
      <w:r>
        <w:rPr>
          <w:rFonts w:asciiTheme="minorHAnsi" w:hAnsiTheme="minorHAnsi"/>
          <w:sz w:val="22"/>
          <w:szCs w:val="22"/>
        </w:rPr>
        <w:t>);</w:t>
      </w:r>
      <w:r w:rsidRPr="002B22A7">
        <w:rPr>
          <w:rFonts w:asciiTheme="minorHAnsi" w:hAnsiTheme="minorHAnsi"/>
          <w:sz w:val="22"/>
          <w:szCs w:val="22"/>
        </w:rPr>
        <w:t xml:space="preserve"> </w:t>
      </w:r>
      <w:r>
        <w:rPr>
          <w:rFonts w:asciiTheme="minorHAnsi" w:hAnsiTheme="minorHAnsi"/>
          <w:sz w:val="22"/>
          <w:szCs w:val="22"/>
        </w:rPr>
        <w:t xml:space="preserve">2) </w:t>
      </w:r>
      <w:r w:rsidRPr="002B22A7">
        <w:rPr>
          <w:rFonts w:asciiTheme="minorHAnsi" w:hAnsiTheme="minorHAnsi"/>
          <w:sz w:val="22"/>
          <w:szCs w:val="22"/>
        </w:rPr>
        <w:t xml:space="preserve">the pneumothorax was </w:t>
      </w:r>
      <w:r>
        <w:rPr>
          <w:rFonts w:asciiTheme="minorHAnsi" w:hAnsiTheme="minorHAnsi"/>
          <w:sz w:val="22"/>
          <w:szCs w:val="22"/>
        </w:rPr>
        <w:t>stable (p</w:t>
      </w:r>
      <w:r w:rsidRPr="003073D7">
        <w:rPr>
          <w:rFonts w:asciiTheme="minorHAnsi" w:hAnsiTheme="minorHAnsi"/>
          <w:sz w:val="22"/>
          <w:szCs w:val="22"/>
        </w:rPr>
        <w:t>neumothorax not increasing in size</w:t>
      </w:r>
      <w:r>
        <w:rPr>
          <w:rFonts w:asciiTheme="minorHAnsi" w:hAnsiTheme="minorHAnsi"/>
          <w:sz w:val="22"/>
          <w:szCs w:val="22"/>
        </w:rPr>
        <w:t xml:space="preserve"> on imaging, f</w:t>
      </w:r>
      <w:r w:rsidRPr="003073D7">
        <w:rPr>
          <w:rFonts w:asciiTheme="minorHAnsi" w:hAnsiTheme="minorHAnsi"/>
          <w:sz w:val="22"/>
          <w:szCs w:val="22"/>
        </w:rPr>
        <w:t xml:space="preserve">unctioning </w:t>
      </w:r>
      <w:r>
        <w:rPr>
          <w:rFonts w:asciiTheme="minorHAnsi" w:hAnsiTheme="minorHAnsi"/>
          <w:sz w:val="22"/>
          <w:szCs w:val="22"/>
        </w:rPr>
        <w:t>ambulatory device and n</w:t>
      </w:r>
      <w:r w:rsidRPr="003073D7">
        <w:rPr>
          <w:rFonts w:asciiTheme="minorHAnsi" w:hAnsiTheme="minorHAnsi"/>
          <w:sz w:val="22"/>
          <w:szCs w:val="22"/>
        </w:rPr>
        <w:t>o requirement for thoracic suction</w:t>
      </w:r>
      <w:r>
        <w:rPr>
          <w:rFonts w:asciiTheme="minorHAnsi" w:hAnsiTheme="minorHAnsi"/>
          <w:sz w:val="22"/>
          <w:szCs w:val="22"/>
        </w:rPr>
        <w:t>)</w:t>
      </w:r>
      <w:r w:rsidRPr="002B22A7">
        <w:rPr>
          <w:rFonts w:asciiTheme="minorHAnsi" w:hAnsiTheme="minorHAnsi"/>
          <w:sz w:val="22"/>
          <w:szCs w:val="22"/>
        </w:rPr>
        <w:t xml:space="preserve"> and </w:t>
      </w:r>
      <w:r>
        <w:rPr>
          <w:rFonts w:asciiTheme="minorHAnsi" w:hAnsiTheme="minorHAnsi"/>
          <w:sz w:val="22"/>
          <w:szCs w:val="22"/>
        </w:rPr>
        <w:t xml:space="preserve">3) </w:t>
      </w:r>
      <w:r w:rsidRPr="002B22A7">
        <w:rPr>
          <w:rFonts w:asciiTheme="minorHAnsi" w:hAnsiTheme="minorHAnsi"/>
          <w:sz w:val="22"/>
          <w:szCs w:val="22"/>
        </w:rPr>
        <w:t xml:space="preserve">the patient </w:t>
      </w:r>
      <w:r>
        <w:rPr>
          <w:rFonts w:asciiTheme="minorHAnsi" w:hAnsiTheme="minorHAnsi"/>
          <w:sz w:val="22"/>
          <w:szCs w:val="22"/>
        </w:rPr>
        <w:t>understood the</w:t>
      </w:r>
      <w:r w:rsidRPr="003073D7">
        <w:rPr>
          <w:rFonts w:asciiTheme="minorHAnsi" w:hAnsiTheme="minorHAnsi"/>
          <w:sz w:val="22"/>
          <w:szCs w:val="22"/>
        </w:rPr>
        <w:t xml:space="preserve"> care and function of </w:t>
      </w:r>
      <w:r>
        <w:rPr>
          <w:rFonts w:asciiTheme="minorHAnsi" w:hAnsiTheme="minorHAnsi"/>
          <w:sz w:val="22"/>
          <w:szCs w:val="22"/>
        </w:rPr>
        <w:t xml:space="preserve">ambulatory device </w:t>
      </w:r>
      <w:r w:rsidRPr="003073D7">
        <w:rPr>
          <w:rFonts w:asciiTheme="minorHAnsi" w:hAnsiTheme="minorHAnsi"/>
          <w:sz w:val="22"/>
          <w:szCs w:val="22"/>
        </w:rPr>
        <w:t xml:space="preserve"> </w:t>
      </w:r>
      <w:r>
        <w:rPr>
          <w:rFonts w:asciiTheme="minorHAnsi" w:hAnsiTheme="minorHAnsi"/>
          <w:sz w:val="22"/>
          <w:szCs w:val="22"/>
        </w:rPr>
        <w:t>and there was a r</w:t>
      </w:r>
      <w:r w:rsidRPr="003073D7">
        <w:rPr>
          <w:rFonts w:asciiTheme="minorHAnsi" w:hAnsiTheme="minorHAnsi"/>
          <w:sz w:val="22"/>
          <w:szCs w:val="22"/>
        </w:rPr>
        <w:t>esponsible person at home able to assist patient or call for help if required</w:t>
      </w:r>
      <w:r>
        <w:rPr>
          <w:rFonts w:asciiTheme="minorHAnsi" w:hAnsiTheme="minorHAnsi"/>
          <w:sz w:val="22"/>
          <w:szCs w:val="22"/>
        </w:rPr>
        <w:t xml:space="preserve">. </w:t>
      </w:r>
    </w:p>
    <w:p w14:paraId="0A3774DC" w14:textId="77777777" w:rsidR="002D0529" w:rsidRDefault="002D0529" w:rsidP="007D0198">
      <w:pPr>
        <w:pStyle w:val="Default"/>
        <w:jc w:val="both"/>
        <w:rPr>
          <w:rFonts w:asciiTheme="minorHAnsi" w:hAnsiTheme="minorHAnsi" w:cs="Arial"/>
          <w:sz w:val="22"/>
          <w:szCs w:val="22"/>
        </w:rPr>
      </w:pPr>
    </w:p>
    <w:p w14:paraId="0C8ADB17" w14:textId="77777777" w:rsidR="002D0529" w:rsidRDefault="002D0529" w:rsidP="007D0198">
      <w:pPr>
        <w:pStyle w:val="Default"/>
        <w:jc w:val="both"/>
        <w:rPr>
          <w:rFonts w:asciiTheme="minorHAnsi" w:hAnsiTheme="minorHAnsi" w:cs="Arial"/>
          <w:sz w:val="22"/>
          <w:szCs w:val="22"/>
        </w:rPr>
      </w:pPr>
      <w:r>
        <w:rPr>
          <w:rFonts w:asciiTheme="minorHAnsi" w:hAnsiTheme="minorHAnsi" w:cs="Arial"/>
          <w:sz w:val="22"/>
          <w:szCs w:val="22"/>
        </w:rPr>
        <w:t xml:space="preserve">Use of thoracic suction and referral for thoracic surgery was permitted in both treatment arms at the treating physician’s discretion. </w:t>
      </w:r>
    </w:p>
    <w:p w14:paraId="4603B98D" w14:textId="77777777" w:rsidR="002D0529" w:rsidRDefault="002D0529" w:rsidP="007D0198">
      <w:pPr>
        <w:pStyle w:val="Default"/>
        <w:jc w:val="both"/>
        <w:rPr>
          <w:rFonts w:asciiTheme="minorHAnsi" w:hAnsiTheme="minorHAnsi" w:cs="Arial"/>
          <w:sz w:val="22"/>
          <w:szCs w:val="22"/>
        </w:rPr>
      </w:pPr>
    </w:p>
    <w:p w14:paraId="17F238E8" w14:textId="77777777" w:rsidR="002D0529" w:rsidRPr="001F2B51" w:rsidRDefault="002D0529" w:rsidP="007D0198">
      <w:pPr>
        <w:autoSpaceDE w:val="0"/>
        <w:autoSpaceDN w:val="0"/>
        <w:adjustRightInd w:val="0"/>
        <w:spacing w:after="0" w:line="240" w:lineRule="auto"/>
        <w:jc w:val="both"/>
        <w:rPr>
          <w:rFonts w:eastAsia="OTNEJMQuadraat" w:cstheme="minorHAnsi"/>
        </w:rPr>
      </w:pPr>
      <w:r w:rsidRPr="001F2B51">
        <w:rPr>
          <w:rFonts w:cstheme="minorHAnsi"/>
        </w:rPr>
        <w:t xml:space="preserve">Patients were followed </w:t>
      </w:r>
      <w:r>
        <w:rPr>
          <w:rFonts w:cstheme="minorHAnsi"/>
        </w:rPr>
        <w:t xml:space="preserve">up </w:t>
      </w:r>
      <w:r w:rsidRPr="001F2B51">
        <w:rPr>
          <w:rFonts w:cstheme="minorHAnsi"/>
        </w:rPr>
        <w:t>until 26 weeks after randomization</w:t>
      </w:r>
      <w:r>
        <w:rPr>
          <w:rFonts w:cstheme="minorHAnsi"/>
        </w:rPr>
        <w:t>,</w:t>
      </w:r>
      <w:r w:rsidRPr="001F2B51">
        <w:rPr>
          <w:rFonts w:cstheme="minorHAnsi"/>
        </w:rPr>
        <w:t xml:space="preserve"> or until death. </w:t>
      </w:r>
      <w:r>
        <w:rPr>
          <w:rFonts w:eastAsia="OTNEJMQuadraat" w:cstheme="minorHAnsi"/>
        </w:rPr>
        <w:t xml:space="preserve">Face to face follow-up </w:t>
      </w:r>
      <w:r w:rsidRPr="001F2B51">
        <w:rPr>
          <w:rFonts w:eastAsia="OTNEJMQuadraat" w:cstheme="minorHAnsi"/>
        </w:rPr>
        <w:t xml:space="preserve">consultations took place </w:t>
      </w:r>
      <w:r>
        <w:rPr>
          <w:rFonts w:eastAsia="OTNEJMQuadraat" w:cstheme="minorHAnsi"/>
        </w:rPr>
        <w:t>at 4 and 12</w:t>
      </w:r>
      <w:r w:rsidRPr="001F2B51">
        <w:rPr>
          <w:rFonts w:eastAsia="OTNEJMQuadraat" w:cstheme="minorHAnsi"/>
        </w:rPr>
        <w:t xml:space="preserve"> weeks, </w:t>
      </w:r>
      <w:r>
        <w:rPr>
          <w:rFonts w:eastAsia="OTNEJMQuadraat" w:cstheme="minorHAnsi"/>
        </w:rPr>
        <w:t>with</w:t>
      </w:r>
      <w:r w:rsidRPr="001F2B51">
        <w:rPr>
          <w:rFonts w:eastAsia="OTNEJMQuadraat" w:cstheme="minorHAnsi"/>
        </w:rPr>
        <w:t xml:space="preserve"> </w:t>
      </w:r>
      <w:r>
        <w:rPr>
          <w:rFonts w:eastAsia="OTNEJMQuadraat" w:cstheme="minorHAnsi"/>
        </w:rPr>
        <w:t xml:space="preserve">a </w:t>
      </w:r>
      <w:r w:rsidRPr="001F2B51">
        <w:rPr>
          <w:rFonts w:eastAsia="OTNEJMQuadraat" w:cstheme="minorHAnsi"/>
        </w:rPr>
        <w:t>clinical assessment, chest radiograph, and</w:t>
      </w:r>
      <w:r>
        <w:rPr>
          <w:rFonts w:eastAsia="OTNEJMQuadraat" w:cstheme="minorHAnsi"/>
        </w:rPr>
        <w:t xml:space="preserve"> a self-completed patient </w:t>
      </w:r>
      <w:r w:rsidRPr="001F2B51">
        <w:rPr>
          <w:rFonts w:eastAsia="OTNEJMQuadraat" w:cstheme="minorHAnsi"/>
        </w:rPr>
        <w:t xml:space="preserve">questionnaire. Spirometry was conducted at week </w:t>
      </w:r>
      <w:r>
        <w:rPr>
          <w:rFonts w:eastAsia="OTNEJMQuadraat" w:cstheme="minorHAnsi"/>
        </w:rPr>
        <w:t>eight</w:t>
      </w:r>
      <w:r w:rsidRPr="001F2B51">
        <w:rPr>
          <w:rFonts w:eastAsia="OTNEJMQuadraat" w:cstheme="minorHAnsi"/>
        </w:rPr>
        <w:t xml:space="preserve">. </w:t>
      </w:r>
      <w:r>
        <w:rPr>
          <w:rFonts w:eastAsia="OTNEJMQuadraat" w:cstheme="minorHAnsi"/>
        </w:rPr>
        <w:t>A</w:t>
      </w:r>
      <w:r w:rsidRPr="001F2B51">
        <w:rPr>
          <w:rFonts w:eastAsia="OTNEJMQuadraat" w:cstheme="minorHAnsi"/>
        </w:rPr>
        <w:t>t week 26</w:t>
      </w:r>
      <w:r>
        <w:rPr>
          <w:rFonts w:eastAsia="OTNEJMQuadraat" w:cstheme="minorHAnsi"/>
        </w:rPr>
        <w:t>,</w:t>
      </w:r>
      <w:r w:rsidRPr="001F2B51">
        <w:rPr>
          <w:rFonts w:eastAsia="OTNEJMQuadraat" w:cstheme="minorHAnsi"/>
        </w:rPr>
        <w:t xml:space="preserve"> </w:t>
      </w:r>
      <w:r>
        <w:rPr>
          <w:rFonts w:eastAsia="OTNEJMQuadraat" w:cstheme="minorHAnsi"/>
        </w:rPr>
        <w:t>t</w:t>
      </w:r>
      <w:r w:rsidRPr="001F2B51">
        <w:rPr>
          <w:rFonts w:eastAsia="OTNEJMQuadraat" w:cstheme="minorHAnsi"/>
        </w:rPr>
        <w:t xml:space="preserve">he final </w:t>
      </w:r>
      <w:r>
        <w:rPr>
          <w:rFonts w:eastAsia="OTNEJMQuadraat" w:cstheme="minorHAnsi"/>
        </w:rPr>
        <w:t xml:space="preserve">follow up </w:t>
      </w:r>
      <w:r w:rsidRPr="001F2B51">
        <w:rPr>
          <w:rFonts w:eastAsia="OTNEJMQuadraat" w:cstheme="minorHAnsi"/>
        </w:rPr>
        <w:t xml:space="preserve">consultation </w:t>
      </w:r>
      <w:r>
        <w:rPr>
          <w:rFonts w:eastAsia="OTNEJMQuadraat" w:cstheme="minorHAnsi"/>
        </w:rPr>
        <w:t xml:space="preserve">was by telephone. </w:t>
      </w:r>
    </w:p>
    <w:p w14:paraId="427DD839" w14:textId="77777777" w:rsidR="002D0529" w:rsidRDefault="002D0529" w:rsidP="007D0198">
      <w:pPr>
        <w:pStyle w:val="Default"/>
        <w:jc w:val="both"/>
        <w:rPr>
          <w:rFonts w:asciiTheme="minorHAnsi" w:hAnsiTheme="minorHAnsi" w:cs="Arial"/>
          <w:sz w:val="22"/>
          <w:szCs w:val="22"/>
        </w:rPr>
      </w:pPr>
    </w:p>
    <w:p w14:paraId="70DCE888" w14:textId="77777777" w:rsidR="002D0529" w:rsidRDefault="002D0529" w:rsidP="007D0198">
      <w:pPr>
        <w:autoSpaceDE w:val="0"/>
        <w:autoSpaceDN w:val="0"/>
        <w:adjustRightInd w:val="0"/>
        <w:spacing w:after="0" w:line="240" w:lineRule="auto"/>
        <w:jc w:val="both"/>
        <w:rPr>
          <w:rFonts w:eastAsia="OTNEJMQuadraat" w:cs="OTNEJMQuadraat"/>
        </w:rPr>
      </w:pPr>
    </w:p>
    <w:p w14:paraId="65D1A3D6" w14:textId="77777777" w:rsidR="002D0529" w:rsidRPr="008F3167" w:rsidRDefault="002D0529" w:rsidP="007D0198">
      <w:pPr>
        <w:autoSpaceDE w:val="0"/>
        <w:autoSpaceDN w:val="0"/>
        <w:adjustRightInd w:val="0"/>
        <w:spacing w:after="0" w:line="240" w:lineRule="auto"/>
        <w:jc w:val="both"/>
        <w:rPr>
          <w:rFonts w:eastAsia="OTNEJMQuadraat" w:cs="OTNEJMQuadraat"/>
          <w:b/>
          <w:bCs/>
        </w:rPr>
      </w:pPr>
      <w:r>
        <w:rPr>
          <w:rFonts w:eastAsia="OTNEJMQuadraat" w:cs="OTNEJMQuadraat"/>
          <w:b/>
          <w:bCs/>
        </w:rPr>
        <w:t>Analysis</w:t>
      </w:r>
    </w:p>
    <w:p w14:paraId="36874174" w14:textId="77777777" w:rsidR="002D0529" w:rsidRPr="003073D7" w:rsidRDefault="002D0529" w:rsidP="007D0198">
      <w:pPr>
        <w:autoSpaceDE w:val="0"/>
        <w:autoSpaceDN w:val="0"/>
        <w:adjustRightInd w:val="0"/>
        <w:spacing w:after="0" w:line="240" w:lineRule="auto"/>
        <w:jc w:val="both"/>
        <w:rPr>
          <w:rFonts w:ascii="Calibri" w:hAnsi="Calibri" w:cs="Calibri"/>
          <w:i/>
          <w:iCs/>
        </w:rPr>
      </w:pPr>
      <w:r w:rsidRPr="003073D7">
        <w:rPr>
          <w:rFonts w:ascii="Calibri" w:hAnsi="Calibri" w:cs="Calibri"/>
          <w:i/>
          <w:iCs/>
        </w:rPr>
        <w:t>Primary</w:t>
      </w:r>
    </w:p>
    <w:p w14:paraId="7DE6CA84" w14:textId="77777777" w:rsidR="002D0529" w:rsidRPr="008F3167"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The primary outcome was a patient’s total number of hospital bed days due to SSP during the first 30 days from randomisation, including readmissions. Patients remaining in hospital overnight were </w:t>
      </w:r>
      <w:r>
        <w:rPr>
          <w:rFonts w:ascii="Calibri" w:hAnsi="Calibri" w:cs="Calibri"/>
        </w:rPr>
        <w:lastRenderedPageBreak/>
        <w:t xml:space="preserve">regarded as one day hospitalisation; for those discharged on the same day this was recorded as a zero </w:t>
      </w:r>
      <w:proofErr w:type="gramStart"/>
      <w:r>
        <w:rPr>
          <w:rFonts w:ascii="Calibri" w:hAnsi="Calibri" w:cs="Calibri"/>
        </w:rPr>
        <w:t>days</w:t>
      </w:r>
      <w:proofErr w:type="gramEnd"/>
      <w:r>
        <w:rPr>
          <w:rFonts w:ascii="Calibri" w:hAnsi="Calibri" w:cs="Calibri"/>
        </w:rPr>
        <w:t xml:space="preserve"> LOS. Otherwise partial days of hospitalisation were rounded up to the nearest complete day.</w:t>
      </w:r>
    </w:p>
    <w:p w14:paraId="19F41FD1" w14:textId="77777777" w:rsidR="002D0529" w:rsidRDefault="002D0529" w:rsidP="007D0198">
      <w:pPr>
        <w:autoSpaceDE w:val="0"/>
        <w:autoSpaceDN w:val="0"/>
        <w:adjustRightInd w:val="0"/>
        <w:spacing w:after="0" w:line="240" w:lineRule="auto"/>
        <w:jc w:val="both"/>
        <w:rPr>
          <w:rFonts w:cs="Calibri"/>
        </w:rPr>
      </w:pPr>
    </w:p>
    <w:p w14:paraId="45756420" w14:textId="77777777" w:rsidR="002D0529" w:rsidRDefault="002D0529" w:rsidP="007D0198">
      <w:pPr>
        <w:autoSpaceDE w:val="0"/>
        <w:autoSpaceDN w:val="0"/>
        <w:adjustRightInd w:val="0"/>
        <w:spacing w:after="0" w:line="240" w:lineRule="auto"/>
        <w:jc w:val="both"/>
        <w:rPr>
          <w:rFonts w:cs="Calibri"/>
        </w:rPr>
      </w:pPr>
    </w:p>
    <w:p w14:paraId="438EF93D" w14:textId="77777777" w:rsidR="002D0529" w:rsidRPr="003073D7" w:rsidRDefault="002D0529" w:rsidP="007D0198">
      <w:pPr>
        <w:autoSpaceDE w:val="0"/>
        <w:autoSpaceDN w:val="0"/>
        <w:adjustRightInd w:val="0"/>
        <w:spacing w:after="0" w:line="240" w:lineRule="auto"/>
        <w:jc w:val="both"/>
        <w:rPr>
          <w:rFonts w:cs="Calibri"/>
          <w:i/>
          <w:iCs/>
        </w:rPr>
      </w:pPr>
      <w:r w:rsidRPr="003073D7">
        <w:rPr>
          <w:rFonts w:cs="Calibri"/>
          <w:i/>
          <w:iCs/>
        </w:rPr>
        <w:t>Secondary</w:t>
      </w:r>
    </w:p>
    <w:p w14:paraId="5EFC7C4A" w14:textId="151C7323"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Secondary outcomes included participant-related outcome measures with difference in daily breathless score and chest pain as assessed by visual analogue scale (VAS) over 28 days, with outcomes reported over the first seven and 28 days. The VAS breathlessness </w:t>
      </w:r>
      <w:r>
        <w:t xml:space="preserve">consists of a 100mm horizontal line, labelled from 0mm for “Not breathless at all’ to 100mm for “Worst possible breathlessness”, marked by the participant and </w:t>
      </w:r>
      <w:r>
        <w:rPr>
          <w:rFonts w:ascii="Calibri" w:hAnsi="Calibri" w:cs="Calibri"/>
        </w:rPr>
        <w:t xml:space="preserve">measured by two assessors </w:t>
      </w:r>
      <w:proofErr w:type="gramStart"/>
      <w:r>
        <w:rPr>
          <w:rFonts w:ascii="Calibri" w:hAnsi="Calibri" w:cs="Calibri"/>
        </w:rPr>
        <w:t>independently</w:t>
      </w:r>
      <w:r w:rsidR="00105E2C">
        <w:rPr>
          <w:rFonts w:ascii="Calibri" w:hAnsi="Calibri" w:cs="Calibri"/>
          <w:noProof/>
        </w:rPr>
        <w:t>[</w:t>
      </w:r>
      <w:proofErr w:type="gramEnd"/>
      <w:r>
        <w:rPr>
          <w:rFonts w:ascii="Calibri" w:hAnsi="Calibri" w:cs="Calibri"/>
          <w:noProof/>
        </w:rPr>
        <w:t>9</w:t>
      </w:r>
      <w:r w:rsidR="00105E2C">
        <w:rPr>
          <w:rFonts w:ascii="Calibri" w:hAnsi="Calibri" w:cs="Calibri"/>
          <w:noProof/>
        </w:rPr>
        <w:t>]</w:t>
      </w:r>
      <w:r>
        <w:rPr>
          <w:rFonts w:ascii="Calibri" w:hAnsi="Calibri" w:cs="Calibri"/>
        </w:rPr>
        <w:t xml:space="preserve">. </w:t>
      </w:r>
      <w:r w:rsidRPr="00925287">
        <w:rPr>
          <w:rFonts w:ascii="Calibri" w:hAnsi="Calibri" w:cs="Calibri"/>
        </w:rPr>
        <w:t>Quality of Lif</w:t>
      </w:r>
      <w:r>
        <w:rPr>
          <w:rFonts w:ascii="Calibri" w:hAnsi="Calibri" w:cs="Calibri"/>
        </w:rPr>
        <w:t xml:space="preserve">e was assessed using the </w:t>
      </w:r>
      <w:proofErr w:type="spellStart"/>
      <w:r w:rsidRPr="00925287">
        <w:rPr>
          <w:rFonts w:ascii="Calibri" w:hAnsi="Calibri" w:cs="Calibri"/>
        </w:rPr>
        <w:t>EuroQoL</w:t>
      </w:r>
      <w:proofErr w:type="spellEnd"/>
      <w:r w:rsidRPr="00925287">
        <w:rPr>
          <w:rFonts w:ascii="Calibri" w:hAnsi="Calibri" w:cs="Calibri"/>
        </w:rPr>
        <w:t xml:space="preserve"> Group 5-Dimensions</w:t>
      </w:r>
      <w:r>
        <w:rPr>
          <w:rFonts w:ascii="Calibri" w:hAnsi="Calibri" w:cs="Calibri"/>
        </w:rPr>
        <w:t xml:space="preserve"> </w:t>
      </w:r>
      <w:r w:rsidRPr="00925287">
        <w:rPr>
          <w:rFonts w:ascii="Calibri" w:hAnsi="Calibri" w:cs="Calibri"/>
        </w:rPr>
        <w:t>5-Level Questionnaire</w:t>
      </w:r>
      <w:r>
        <w:rPr>
          <w:rFonts w:ascii="Calibri" w:hAnsi="Calibri" w:cs="Calibri"/>
        </w:rPr>
        <w:t xml:space="preserve"> (</w:t>
      </w:r>
      <w:r w:rsidRPr="00925287">
        <w:rPr>
          <w:rFonts w:ascii="Calibri" w:hAnsi="Calibri" w:cs="Calibri"/>
        </w:rPr>
        <w:t>EQ-5D-5L</w:t>
      </w:r>
      <w:r>
        <w:rPr>
          <w:rFonts w:ascii="Calibri" w:hAnsi="Calibri" w:cs="Calibri"/>
        </w:rPr>
        <w:t>)</w:t>
      </w:r>
      <w:r w:rsidRPr="00925287">
        <w:rPr>
          <w:rFonts w:ascii="Calibri" w:hAnsi="Calibri" w:cs="Calibri"/>
        </w:rPr>
        <w:t xml:space="preserve"> questionnaire daily over first 14 days</w:t>
      </w:r>
      <w:r>
        <w:rPr>
          <w:rFonts w:ascii="Calibri" w:hAnsi="Calibri" w:cs="Calibri"/>
        </w:rPr>
        <w:t>, and at four and 12 weeks</w:t>
      </w:r>
      <w:r w:rsidRPr="00925287">
        <w:rPr>
          <w:rFonts w:ascii="Calibri" w:hAnsi="Calibri" w:cs="Calibri"/>
        </w:rPr>
        <w:t xml:space="preserve"> after</w:t>
      </w:r>
      <w:r>
        <w:rPr>
          <w:rFonts w:ascii="Calibri" w:hAnsi="Calibri" w:cs="Calibri"/>
        </w:rPr>
        <w:t xml:space="preserve"> randomisation </w:t>
      </w:r>
      <w:r w:rsidR="00105E2C">
        <w:rPr>
          <w:rFonts w:ascii="Calibri" w:hAnsi="Calibri" w:cs="Calibri"/>
          <w:noProof/>
        </w:rPr>
        <w:t>[</w:t>
      </w:r>
      <w:r>
        <w:rPr>
          <w:rFonts w:ascii="Calibri" w:hAnsi="Calibri" w:cs="Calibri"/>
          <w:noProof/>
        </w:rPr>
        <w:t>10</w:t>
      </w:r>
      <w:r w:rsidR="00105E2C">
        <w:rPr>
          <w:rFonts w:ascii="Calibri" w:hAnsi="Calibri" w:cs="Calibri"/>
          <w:noProof/>
        </w:rPr>
        <w:t>]</w:t>
      </w:r>
      <w:r>
        <w:rPr>
          <w:rFonts w:ascii="Calibri" w:hAnsi="Calibri" w:cs="Calibri"/>
        </w:rPr>
        <w:t xml:space="preserve">. </w:t>
      </w:r>
    </w:p>
    <w:p w14:paraId="173908A3" w14:textId="77777777" w:rsidR="002D0529" w:rsidRDefault="002D0529" w:rsidP="007D0198">
      <w:pPr>
        <w:autoSpaceDE w:val="0"/>
        <w:autoSpaceDN w:val="0"/>
        <w:adjustRightInd w:val="0"/>
        <w:spacing w:after="0" w:line="240" w:lineRule="auto"/>
        <w:jc w:val="both"/>
        <w:rPr>
          <w:rFonts w:ascii="Calibri" w:hAnsi="Calibri" w:cs="Calibri"/>
        </w:rPr>
      </w:pPr>
    </w:p>
    <w:p w14:paraId="020D2252" w14:textId="77777777"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Hospital LOS was assessed for the patient’s first admission, from admission date until discharge. Additionally, length of hospitalisation </w:t>
      </w:r>
      <w:r w:rsidRPr="00925287">
        <w:rPr>
          <w:rFonts w:ascii="Calibri" w:hAnsi="Calibri" w:cs="Calibri"/>
        </w:rPr>
        <w:t>until classified medically fit for discharge</w:t>
      </w:r>
      <w:r>
        <w:rPr>
          <w:rFonts w:ascii="Calibri" w:hAnsi="Calibri" w:cs="Calibri"/>
        </w:rPr>
        <w:t xml:space="preserve">, as based on pre-determined criteria, and length of hospitalisation from randomisation were recorded. Time from randomisation until pneumothorax resolution, drain removal and until further pleural intervention was recorded. </w:t>
      </w:r>
      <w:proofErr w:type="gramStart"/>
      <w:r w:rsidRPr="00B343FA">
        <w:rPr>
          <w:rFonts w:ascii="Calibri,Bold" w:hAnsi="Calibri,Bold" w:cs="Calibri,Bold"/>
        </w:rPr>
        <w:t>Failure of initially randomised treatment,</w:t>
      </w:r>
      <w:proofErr w:type="gramEnd"/>
      <w:r w:rsidRPr="00B343FA">
        <w:rPr>
          <w:rFonts w:ascii="Calibri,Bold" w:hAnsi="Calibri,Bold" w:cs="Calibri,Bold"/>
        </w:rPr>
        <w:t xml:space="preserve"> defined as </w:t>
      </w:r>
      <w:r w:rsidRPr="00B343FA">
        <w:rPr>
          <w:rFonts w:ascii="Calibri" w:hAnsi="Calibri" w:cs="Calibri"/>
        </w:rPr>
        <w:t>requiring a</w:t>
      </w:r>
      <w:r>
        <w:rPr>
          <w:rFonts w:ascii="Calibri" w:hAnsi="Calibri" w:cs="Calibri"/>
        </w:rPr>
        <w:t>n</w:t>
      </w:r>
      <w:r w:rsidRPr="00B343FA">
        <w:rPr>
          <w:rFonts w:ascii="Calibri" w:hAnsi="Calibri" w:cs="Calibri"/>
        </w:rPr>
        <w:t xml:space="preserve"> </w:t>
      </w:r>
      <w:r>
        <w:rPr>
          <w:rFonts w:ascii="Calibri" w:hAnsi="Calibri" w:cs="Calibri"/>
        </w:rPr>
        <w:t xml:space="preserve">additional </w:t>
      </w:r>
      <w:r w:rsidRPr="00B343FA">
        <w:rPr>
          <w:rFonts w:ascii="Calibri" w:hAnsi="Calibri" w:cs="Calibri"/>
        </w:rPr>
        <w:t>pleural intervention,</w:t>
      </w:r>
      <w:r w:rsidRPr="00B343FA">
        <w:rPr>
          <w:rFonts w:ascii="Calibri,Bold" w:hAnsi="Calibri,Bold" w:cs="Calibri,Bold"/>
        </w:rPr>
        <w:t xml:space="preserve"> within the first week w</w:t>
      </w:r>
      <w:r>
        <w:rPr>
          <w:rFonts w:ascii="Calibri,Bold" w:hAnsi="Calibri,Bold" w:cs="Calibri,Bold"/>
        </w:rPr>
        <w:t>as</w:t>
      </w:r>
      <w:r w:rsidRPr="00B343FA">
        <w:rPr>
          <w:rFonts w:ascii="Calibri,Bold" w:hAnsi="Calibri,Bold" w:cs="Calibri,Bold"/>
        </w:rPr>
        <w:t xml:space="preserve"> recorded.</w:t>
      </w:r>
      <w:r>
        <w:rPr>
          <w:rFonts w:ascii="Calibri,Bold" w:hAnsi="Calibri,Bold" w:cs="Calibri,Bold"/>
          <w:b/>
          <w:bCs/>
        </w:rPr>
        <w:t xml:space="preserve"> </w:t>
      </w:r>
      <w:r>
        <w:rPr>
          <w:rFonts w:ascii="Calibri" w:hAnsi="Calibri" w:cs="Calibri"/>
        </w:rPr>
        <w:t>The timing of any thoracic surgical intervention following the initial presentation with SSP was documented.</w:t>
      </w:r>
      <w:r w:rsidRPr="002C5B55">
        <w:rPr>
          <w:rFonts w:ascii="Calibri" w:hAnsi="Calibri" w:cs="Calibri"/>
        </w:rPr>
        <w:t xml:space="preserve"> </w:t>
      </w:r>
      <w:r>
        <w:rPr>
          <w:rFonts w:ascii="Calibri" w:hAnsi="Calibri" w:cs="Calibri"/>
        </w:rPr>
        <w:t>The date of any ipsilateral pneumothorax recurrence within the first six months was recorded. Recurrence was recorded from randomisation to event. Recurrence was defined as an ipsilateral pneumothorax identified on a chest radiograph, after a chest radiograph had confirmed complete resolution for at least 24 h following the removal of any catheter or drain at the patient’s initial presentation with SSP. Serious a</w:t>
      </w:r>
      <w:r w:rsidRPr="00B343FA">
        <w:rPr>
          <w:rFonts w:ascii="Calibri" w:hAnsi="Calibri" w:cs="Calibri"/>
        </w:rPr>
        <w:t>dverse events</w:t>
      </w:r>
      <w:r>
        <w:rPr>
          <w:rFonts w:ascii="Calibri" w:hAnsi="Calibri" w:cs="Calibri"/>
        </w:rPr>
        <w:t xml:space="preserve"> (SAE) and adverse events (AE)</w:t>
      </w:r>
      <w:r w:rsidRPr="00B343FA">
        <w:rPr>
          <w:rFonts w:ascii="Calibri" w:hAnsi="Calibri" w:cs="Calibri"/>
        </w:rPr>
        <w:t xml:space="preserve"> related to trial interventions</w:t>
      </w:r>
      <w:r>
        <w:rPr>
          <w:rFonts w:ascii="Calibri" w:hAnsi="Calibri" w:cs="Calibri"/>
        </w:rPr>
        <w:t xml:space="preserve"> were</w:t>
      </w:r>
      <w:r w:rsidRPr="00B343FA">
        <w:rPr>
          <w:rFonts w:ascii="Calibri" w:hAnsi="Calibri" w:cs="Calibri"/>
        </w:rPr>
        <w:t xml:space="preserve"> recorded</w:t>
      </w:r>
      <w:r>
        <w:rPr>
          <w:rFonts w:ascii="Calibri" w:hAnsi="Calibri" w:cs="Calibri"/>
        </w:rPr>
        <w:t xml:space="preserve">. </w:t>
      </w:r>
    </w:p>
    <w:p w14:paraId="4CEA53BE" w14:textId="77777777" w:rsidR="002D0529" w:rsidRPr="00363073" w:rsidRDefault="002D0529" w:rsidP="007D0198">
      <w:pPr>
        <w:autoSpaceDE w:val="0"/>
        <w:autoSpaceDN w:val="0"/>
        <w:adjustRightInd w:val="0"/>
        <w:spacing w:after="0" w:line="240" w:lineRule="auto"/>
        <w:jc w:val="both"/>
        <w:rPr>
          <w:rFonts w:ascii="Calibri" w:hAnsi="Calibri" w:cs="Calibri"/>
        </w:rPr>
      </w:pPr>
    </w:p>
    <w:p w14:paraId="549B8374" w14:textId="77777777"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A</w:t>
      </w:r>
      <w:r w:rsidRPr="001806A0">
        <w:rPr>
          <w:rFonts w:ascii="Calibri" w:hAnsi="Calibri" w:cs="Calibri"/>
        </w:rPr>
        <w:t xml:space="preserve"> priori</w:t>
      </w:r>
      <w:r>
        <w:rPr>
          <w:rFonts w:ascii="Calibri" w:hAnsi="Calibri" w:cs="Calibri"/>
        </w:rPr>
        <w:t xml:space="preserve"> s</w:t>
      </w:r>
      <w:r w:rsidRPr="00363073">
        <w:rPr>
          <w:rFonts w:ascii="Calibri" w:hAnsi="Calibri" w:cs="Calibri"/>
        </w:rPr>
        <w:t>ub</w:t>
      </w:r>
      <w:r>
        <w:rPr>
          <w:rFonts w:ascii="Calibri" w:hAnsi="Calibri" w:cs="Calibri"/>
        </w:rPr>
        <w:t>-</w:t>
      </w:r>
      <w:r w:rsidRPr="00363073">
        <w:rPr>
          <w:rFonts w:ascii="Calibri" w:hAnsi="Calibri" w:cs="Calibri"/>
        </w:rPr>
        <w:t>group analys</w:t>
      </w:r>
      <w:r>
        <w:rPr>
          <w:rFonts w:ascii="Calibri" w:hAnsi="Calibri" w:cs="Calibri"/>
        </w:rPr>
        <w:t>i</w:t>
      </w:r>
      <w:r w:rsidRPr="00363073">
        <w:rPr>
          <w:rFonts w:ascii="Calibri" w:hAnsi="Calibri" w:cs="Calibri"/>
        </w:rPr>
        <w:t xml:space="preserve">s </w:t>
      </w:r>
      <w:r>
        <w:rPr>
          <w:rFonts w:ascii="Calibri" w:hAnsi="Calibri" w:cs="Calibri"/>
        </w:rPr>
        <w:t>was</w:t>
      </w:r>
      <w:r w:rsidRPr="00363073">
        <w:rPr>
          <w:rFonts w:ascii="Calibri" w:hAnsi="Calibri" w:cs="Calibri"/>
        </w:rPr>
        <w:t xml:space="preserve"> performed for the primary outcomes using an interaction test and considered statistically significant at the 5% level. </w:t>
      </w:r>
      <w:r>
        <w:rPr>
          <w:rFonts w:ascii="Calibri" w:hAnsi="Calibri" w:cs="Calibri"/>
        </w:rPr>
        <w:t>S</w:t>
      </w:r>
      <w:r w:rsidRPr="00363073">
        <w:rPr>
          <w:rFonts w:ascii="Calibri" w:hAnsi="Calibri" w:cs="Calibri"/>
        </w:rPr>
        <w:t>ub</w:t>
      </w:r>
      <w:r>
        <w:rPr>
          <w:rFonts w:ascii="Calibri" w:hAnsi="Calibri" w:cs="Calibri"/>
        </w:rPr>
        <w:t>-</w:t>
      </w:r>
      <w:r w:rsidRPr="00363073">
        <w:rPr>
          <w:rFonts w:ascii="Calibri" w:hAnsi="Calibri" w:cs="Calibri"/>
        </w:rPr>
        <w:t>group analys</w:t>
      </w:r>
      <w:r>
        <w:rPr>
          <w:rFonts w:ascii="Calibri" w:hAnsi="Calibri" w:cs="Calibri"/>
        </w:rPr>
        <w:t>i</w:t>
      </w:r>
      <w:r w:rsidRPr="00363073">
        <w:rPr>
          <w:rFonts w:ascii="Calibri" w:hAnsi="Calibri" w:cs="Calibri"/>
        </w:rPr>
        <w:t xml:space="preserve">s </w:t>
      </w:r>
      <w:r>
        <w:rPr>
          <w:rFonts w:ascii="Calibri" w:hAnsi="Calibri" w:cs="Calibri"/>
        </w:rPr>
        <w:t>was</w:t>
      </w:r>
      <w:r w:rsidRPr="00363073">
        <w:rPr>
          <w:rFonts w:ascii="Calibri" w:hAnsi="Calibri" w:cs="Calibri"/>
        </w:rPr>
        <w:t xml:space="preserve"> performed</w:t>
      </w:r>
      <w:r>
        <w:rPr>
          <w:rFonts w:ascii="Calibri" w:hAnsi="Calibri" w:cs="Calibri"/>
        </w:rPr>
        <w:t xml:space="preserve"> comparing Atrium Pneumostat with </w:t>
      </w:r>
      <w:r w:rsidRPr="00363073">
        <w:rPr>
          <w:rFonts w:ascii="Calibri" w:hAnsi="Calibri" w:cs="Calibri"/>
        </w:rPr>
        <w:t>standard care</w:t>
      </w:r>
      <w:r>
        <w:rPr>
          <w:rFonts w:ascii="Calibri" w:hAnsi="Calibri" w:cs="Calibri"/>
        </w:rPr>
        <w:t xml:space="preserve"> and severity of COPD (as expressed by FEV</w:t>
      </w:r>
      <w:r w:rsidRPr="003073D7">
        <w:rPr>
          <w:rFonts w:ascii="Calibri" w:hAnsi="Calibri" w:cs="Calibri"/>
          <w:vertAlign w:val="subscript"/>
        </w:rPr>
        <w:t>1</w:t>
      </w:r>
      <w:r>
        <w:rPr>
          <w:rFonts w:ascii="Calibri" w:hAnsi="Calibri" w:cs="Calibri"/>
        </w:rPr>
        <w:t>).</w:t>
      </w:r>
    </w:p>
    <w:p w14:paraId="6D0EEB67" w14:textId="77777777" w:rsidR="002D0529" w:rsidRDefault="002D0529" w:rsidP="007D0198">
      <w:pPr>
        <w:autoSpaceDE w:val="0"/>
        <w:autoSpaceDN w:val="0"/>
        <w:adjustRightInd w:val="0"/>
        <w:spacing w:after="0" w:line="240" w:lineRule="auto"/>
        <w:jc w:val="both"/>
        <w:rPr>
          <w:rFonts w:ascii="Calibri" w:hAnsi="Calibri" w:cs="Calibri"/>
        </w:rPr>
      </w:pPr>
    </w:p>
    <w:p w14:paraId="7069CEB1" w14:textId="77777777" w:rsidR="002D0529" w:rsidRDefault="002D0529" w:rsidP="007D0198">
      <w:pPr>
        <w:autoSpaceDE w:val="0"/>
        <w:autoSpaceDN w:val="0"/>
        <w:adjustRightInd w:val="0"/>
        <w:spacing w:after="0" w:line="240" w:lineRule="auto"/>
        <w:jc w:val="both"/>
        <w:rPr>
          <w:rFonts w:cs="Calibri"/>
        </w:rPr>
      </w:pPr>
    </w:p>
    <w:p w14:paraId="262B5B4E" w14:textId="77777777" w:rsidR="002D0529" w:rsidRDefault="002D0529" w:rsidP="007D0198">
      <w:pPr>
        <w:pStyle w:val="Default"/>
        <w:jc w:val="both"/>
        <w:rPr>
          <w:rFonts w:asciiTheme="minorHAnsi" w:hAnsiTheme="minorHAnsi"/>
          <w:sz w:val="22"/>
          <w:szCs w:val="22"/>
        </w:rPr>
      </w:pPr>
    </w:p>
    <w:p w14:paraId="685A94AD" w14:textId="77777777" w:rsidR="002D0529" w:rsidRDefault="002D0529" w:rsidP="007D0198">
      <w:pPr>
        <w:autoSpaceDE w:val="0"/>
        <w:autoSpaceDN w:val="0"/>
        <w:adjustRightInd w:val="0"/>
        <w:spacing w:after="0" w:line="240" w:lineRule="auto"/>
        <w:jc w:val="both"/>
        <w:rPr>
          <w:rFonts w:ascii="Calibri" w:hAnsi="Calibri" w:cs="Calibri"/>
          <w:b/>
          <w:bCs/>
        </w:rPr>
      </w:pPr>
      <w:r>
        <w:rPr>
          <w:rFonts w:ascii="Calibri" w:hAnsi="Calibri" w:cs="Calibri"/>
          <w:b/>
          <w:bCs/>
        </w:rPr>
        <w:t>Statistical a</w:t>
      </w:r>
      <w:r w:rsidRPr="000D4E81">
        <w:rPr>
          <w:rFonts w:ascii="Calibri" w:hAnsi="Calibri" w:cs="Calibri"/>
          <w:b/>
          <w:bCs/>
        </w:rPr>
        <w:t>nalysis</w:t>
      </w:r>
      <w:r>
        <w:rPr>
          <w:rFonts w:ascii="Calibri" w:hAnsi="Calibri" w:cs="Calibri"/>
          <w:b/>
          <w:bCs/>
        </w:rPr>
        <w:t xml:space="preserve"> and power calculation</w:t>
      </w:r>
    </w:p>
    <w:p w14:paraId="7606ACC7" w14:textId="7C3B190A"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British Thoracic Society pleural disease audit data (2011, unpublished)</w:t>
      </w:r>
      <w:r w:rsidRPr="00677C52">
        <w:rPr>
          <w:rFonts w:ascii="Calibri" w:hAnsi="Calibri" w:cs="Calibri"/>
        </w:rPr>
        <w:t xml:space="preserve"> </w:t>
      </w:r>
      <w:r>
        <w:rPr>
          <w:rFonts w:ascii="Calibri" w:hAnsi="Calibri" w:cs="Calibri"/>
        </w:rPr>
        <w:t>for</w:t>
      </w:r>
      <w:r w:rsidRPr="00677C52">
        <w:rPr>
          <w:rFonts w:ascii="Calibri" w:hAnsi="Calibri" w:cs="Calibri"/>
        </w:rPr>
        <w:t xml:space="preserve"> 115 patients with SSP </w:t>
      </w:r>
      <w:r>
        <w:rPr>
          <w:rFonts w:ascii="Calibri" w:hAnsi="Calibri" w:cs="Calibri"/>
        </w:rPr>
        <w:t>showed</w:t>
      </w:r>
      <w:r w:rsidRPr="00677C52">
        <w:rPr>
          <w:rFonts w:ascii="Calibri" w:hAnsi="Calibri" w:cs="Calibri"/>
        </w:rPr>
        <w:t xml:space="preserve"> a mean </w:t>
      </w:r>
      <w:r>
        <w:rPr>
          <w:rFonts w:ascii="Calibri" w:hAnsi="Calibri" w:cs="Calibri"/>
        </w:rPr>
        <w:t xml:space="preserve">LOS of </w:t>
      </w:r>
      <w:r w:rsidRPr="00677C52">
        <w:rPr>
          <w:rFonts w:ascii="Calibri" w:hAnsi="Calibri" w:cs="Calibri"/>
        </w:rPr>
        <w:t>12.3</w:t>
      </w:r>
      <w:r>
        <w:rPr>
          <w:rFonts w:ascii="Calibri" w:hAnsi="Calibri" w:cs="Calibri"/>
        </w:rPr>
        <w:t xml:space="preserve"> days </w:t>
      </w:r>
      <w:r w:rsidRPr="00677C52">
        <w:rPr>
          <w:rFonts w:ascii="Calibri" w:hAnsi="Calibri" w:cs="Calibri"/>
        </w:rPr>
        <w:t xml:space="preserve">(SD=9.89) and median </w:t>
      </w:r>
      <w:r>
        <w:rPr>
          <w:rFonts w:ascii="Calibri" w:hAnsi="Calibri" w:cs="Calibri"/>
        </w:rPr>
        <w:t>LOS of</w:t>
      </w:r>
      <w:r w:rsidRPr="00677C52">
        <w:rPr>
          <w:rFonts w:ascii="Calibri" w:hAnsi="Calibri" w:cs="Calibri"/>
        </w:rPr>
        <w:t xml:space="preserve"> 8 days (</w:t>
      </w:r>
      <w:r>
        <w:rPr>
          <w:rFonts w:ascii="Calibri" w:hAnsi="Calibri" w:cs="Calibri"/>
        </w:rPr>
        <w:t>IQR</w:t>
      </w:r>
      <w:r w:rsidRPr="00677C52">
        <w:rPr>
          <w:rFonts w:ascii="Calibri" w:hAnsi="Calibri" w:cs="Calibri"/>
        </w:rPr>
        <w:t xml:space="preserve"> range: 4–17.5 days).</w:t>
      </w:r>
      <w:r>
        <w:rPr>
          <w:rFonts w:ascii="Calibri" w:hAnsi="Calibri" w:cs="Calibri"/>
        </w:rPr>
        <w:t xml:space="preserve"> </w:t>
      </w:r>
      <w:r w:rsidRPr="00677C52">
        <w:rPr>
          <w:rFonts w:ascii="Calibri" w:hAnsi="Calibri" w:cs="Calibri"/>
        </w:rPr>
        <w:t>Assuming 90% power and 5% significance</w:t>
      </w:r>
      <w:r>
        <w:rPr>
          <w:rFonts w:ascii="Calibri" w:hAnsi="Calibri" w:cs="Calibri"/>
        </w:rPr>
        <w:t>,</w:t>
      </w:r>
      <w:r w:rsidRPr="00677C52">
        <w:rPr>
          <w:rFonts w:ascii="Calibri" w:hAnsi="Calibri" w:cs="Calibri"/>
        </w:rPr>
        <w:t xml:space="preserve"> the sample size is determined by the coefficient of variation and the effect size. The coefficient of variation </w:t>
      </w:r>
      <w:r>
        <w:rPr>
          <w:rFonts w:ascii="Calibri" w:hAnsi="Calibri" w:cs="Calibri"/>
        </w:rPr>
        <w:t>was</w:t>
      </w:r>
      <w:r w:rsidRPr="00677C52">
        <w:rPr>
          <w:rFonts w:ascii="Calibri" w:hAnsi="Calibri" w:cs="Calibri"/>
        </w:rPr>
        <w:t xml:space="preserve"> 0.8</w:t>
      </w:r>
      <w:r>
        <w:rPr>
          <w:rFonts w:ascii="Calibri" w:hAnsi="Calibri" w:cs="Calibri"/>
        </w:rPr>
        <w:t xml:space="preserve">. </w:t>
      </w:r>
      <w:proofErr w:type="gramStart"/>
      <w:r w:rsidRPr="00677C52">
        <w:rPr>
          <w:rFonts w:ascii="Calibri" w:hAnsi="Calibri" w:cs="Calibri"/>
        </w:rPr>
        <w:t>In order to</w:t>
      </w:r>
      <w:proofErr w:type="gramEnd"/>
      <w:r w:rsidRPr="00677C52">
        <w:rPr>
          <w:rFonts w:ascii="Calibri" w:hAnsi="Calibri" w:cs="Calibri"/>
        </w:rPr>
        <w:t xml:space="preserve"> detect an effect size of 0.5 with a coefficient of variation of 1 would require 30 patients per group</w:t>
      </w:r>
      <w:r>
        <w:rPr>
          <w:rFonts w:ascii="Calibri" w:hAnsi="Calibri" w:cs="Calibri"/>
        </w:rPr>
        <w:t xml:space="preserve"> </w:t>
      </w:r>
      <w:r w:rsidR="00A627B7">
        <w:rPr>
          <w:rFonts w:ascii="Calibri" w:hAnsi="Calibri" w:cs="Calibri"/>
          <w:noProof/>
        </w:rPr>
        <w:t>[</w:t>
      </w:r>
      <w:r>
        <w:rPr>
          <w:rFonts w:ascii="Calibri" w:hAnsi="Calibri" w:cs="Calibri"/>
          <w:noProof/>
        </w:rPr>
        <w:t>11</w:t>
      </w:r>
      <w:r w:rsidR="00A627B7">
        <w:rPr>
          <w:rFonts w:ascii="Calibri" w:hAnsi="Calibri" w:cs="Calibri"/>
          <w:noProof/>
        </w:rPr>
        <w:t>]</w:t>
      </w:r>
      <w:r w:rsidRPr="00677C52">
        <w:rPr>
          <w:rFonts w:ascii="Calibri" w:hAnsi="Calibri" w:cs="Calibri"/>
        </w:rPr>
        <w:t xml:space="preserve">. The calculated coefficient of variation within </w:t>
      </w:r>
      <w:r>
        <w:rPr>
          <w:rFonts w:ascii="Calibri" w:hAnsi="Calibri" w:cs="Calibri"/>
        </w:rPr>
        <w:t>the</w:t>
      </w:r>
      <w:r w:rsidRPr="00677C52">
        <w:rPr>
          <w:rFonts w:ascii="Calibri" w:hAnsi="Calibri" w:cs="Calibri"/>
        </w:rPr>
        <w:t xml:space="preserve"> audit data </w:t>
      </w:r>
      <w:r>
        <w:rPr>
          <w:rFonts w:ascii="Calibri" w:hAnsi="Calibri" w:cs="Calibri"/>
        </w:rPr>
        <w:t>was</w:t>
      </w:r>
      <w:r w:rsidRPr="00677C52">
        <w:rPr>
          <w:rFonts w:ascii="Calibri" w:hAnsi="Calibri" w:cs="Calibri"/>
        </w:rPr>
        <w:t xml:space="preserve"> lower, suggesting a smaller sample size is necessary</w:t>
      </w:r>
      <w:r>
        <w:rPr>
          <w:rFonts w:ascii="Calibri" w:hAnsi="Calibri" w:cs="Calibri"/>
        </w:rPr>
        <w:t>. H</w:t>
      </w:r>
      <w:r w:rsidRPr="00677C52">
        <w:rPr>
          <w:rFonts w:ascii="Calibri" w:hAnsi="Calibri" w:cs="Calibri"/>
        </w:rPr>
        <w:t xml:space="preserve">owever, a study size of 60 patients allows </w:t>
      </w:r>
      <w:r>
        <w:rPr>
          <w:rFonts w:ascii="Calibri" w:hAnsi="Calibri" w:cs="Calibri"/>
        </w:rPr>
        <w:t xml:space="preserve">for a </w:t>
      </w:r>
      <w:r w:rsidRPr="00677C52">
        <w:rPr>
          <w:rFonts w:ascii="Calibri" w:hAnsi="Calibri" w:cs="Calibri"/>
        </w:rPr>
        <w:t>margin for error in relation to the effect size</w:t>
      </w:r>
      <w:r>
        <w:rPr>
          <w:rFonts w:ascii="Calibri" w:hAnsi="Calibri" w:cs="Calibri"/>
        </w:rPr>
        <w:t>,</w:t>
      </w:r>
      <w:r w:rsidRPr="00677C52">
        <w:rPr>
          <w:rFonts w:ascii="Calibri" w:hAnsi="Calibri" w:cs="Calibri"/>
        </w:rPr>
        <w:t xml:space="preserve"> </w:t>
      </w:r>
      <w:r>
        <w:rPr>
          <w:rFonts w:ascii="Calibri" w:hAnsi="Calibri" w:cs="Calibri"/>
        </w:rPr>
        <w:t>i</w:t>
      </w:r>
      <w:r w:rsidRPr="00677C52">
        <w:rPr>
          <w:rFonts w:ascii="Calibri" w:hAnsi="Calibri" w:cs="Calibri"/>
        </w:rPr>
        <w:t>ncluding a 10% loss to follow up rate</w:t>
      </w:r>
      <w:r>
        <w:rPr>
          <w:rFonts w:ascii="Calibri" w:hAnsi="Calibri" w:cs="Calibri"/>
        </w:rPr>
        <w:t>,</w:t>
      </w:r>
      <w:r w:rsidRPr="00677C52">
        <w:rPr>
          <w:rFonts w:ascii="Calibri" w:hAnsi="Calibri" w:cs="Calibri"/>
        </w:rPr>
        <w:t xml:space="preserve"> suggest</w:t>
      </w:r>
      <w:r>
        <w:rPr>
          <w:rFonts w:ascii="Calibri" w:hAnsi="Calibri" w:cs="Calibri"/>
        </w:rPr>
        <w:t>ing</w:t>
      </w:r>
      <w:r w:rsidRPr="00677C52">
        <w:rPr>
          <w:rFonts w:ascii="Calibri" w:hAnsi="Calibri" w:cs="Calibri"/>
        </w:rPr>
        <w:t xml:space="preserve"> a total required sample size of 66.</w:t>
      </w:r>
    </w:p>
    <w:p w14:paraId="791F38C3" w14:textId="77777777" w:rsidR="002D0529" w:rsidRPr="00C04BB9" w:rsidRDefault="002D0529" w:rsidP="007D0198">
      <w:pPr>
        <w:autoSpaceDE w:val="0"/>
        <w:autoSpaceDN w:val="0"/>
        <w:adjustRightInd w:val="0"/>
        <w:spacing w:after="0" w:line="240" w:lineRule="auto"/>
        <w:jc w:val="both"/>
        <w:rPr>
          <w:rFonts w:ascii="Calibri" w:hAnsi="Calibri" w:cs="Calibri"/>
        </w:rPr>
      </w:pPr>
    </w:p>
    <w:p w14:paraId="3DD19563" w14:textId="77777777" w:rsidR="002D0529" w:rsidRDefault="002D0529" w:rsidP="007D0198">
      <w:pPr>
        <w:autoSpaceDE w:val="0"/>
        <w:autoSpaceDN w:val="0"/>
        <w:adjustRightInd w:val="0"/>
        <w:spacing w:after="0" w:line="240" w:lineRule="auto"/>
        <w:jc w:val="both"/>
        <w:rPr>
          <w:rFonts w:ascii="Calibri" w:hAnsi="Calibri" w:cs="Calibri"/>
        </w:rPr>
      </w:pPr>
      <w:r w:rsidRPr="00D55BBB">
        <w:rPr>
          <w:rFonts w:ascii="Calibri" w:hAnsi="Calibri" w:cs="Calibri"/>
        </w:rPr>
        <w:t>Analyses were performed us</w:t>
      </w:r>
      <w:r>
        <w:rPr>
          <w:rFonts w:ascii="Calibri" w:hAnsi="Calibri" w:cs="Calibri"/>
        </w:rPr>
        <w:t>ing</w:t>
      </w:r>
      <w:r w:rsidRPr="00D55BBB">
        <w:rPr>
          <w:rFonts w:ascii="Calibri" w:hAnsi="Calibri" w:cs="Calibri"/>
        </w:rPr>
        <w:t xml:space="preserve"> IBM SPSS</w:t>
      </w:r>
      <w:r>
        <w:rPr>
          <w:rFonts w:ascii="Calibri" w:hAnsi="Calibri" w:cs="Calibri"/>
        </w:rPr>
        <w:t>,</w:t>
      </w:r>
      <w:r w:rsidRPr="00D55BBB">
        <w:rPr>
          <w:rFonts w:ascii="Calibri" w:hAnsi="Calibri" w:cs="Calibri"/>
        </w:rPr>
        <w:t xml:space="preserve"> </w:t>
      </w:r>
      <w:r>
        <w:rPr>
          <w:rFonts w:ascii="Calibri" w:hAnsi="Calibri" w:cs="Calibri"/>
        </w:rPr>
        <w:t>V</w:t>
      </w:r>
      <w:r w:rsidRPr="00D55BBB">
        <w:rPr>
          <w:rFonts w:ascii="Calibri" w:hAnsi="Calibri" w:cs="Calibri"/>
        </w:rPr>
        <w:t>ersion 23.0 (SPSS Inc. Chicago, IL)</w:t>
      </w:r>
      <w:r>
        <w:rPr>
          <w:rFonts w:ascii="Calibri" w:hAnsi="Calibri" w:cs="Calibri"/>
        </w:rPr>
        <w:t xml:space="preserve">. </w:t>
      </w:r>
      <w:r w:rsidRPr="00D55BBB">
        <w:rPr>
          <w:rFonts w:ascii="Calibri" w:hAnsi="Calibri" w:cs="Calibri"/>
        </w:rPr>
        <w:t xml:space="preserve">The primary analysis for each outcome </w:t>
      </w:r>
      <w:r>
        <w:rPr>
          <w:rFonts w:ascii="Calibri" w:hAnsi="Calibri" w:cs="Calibri"/>
        </w:rPr>
        <w:t>was</w:t>
      </w:r>
      <w:r w:rsidRPr="00D55BBB">
        <w:rPr>
          <w:rFonts w:ascii="Calibri" w:hAnsi="Calibri" w:cs="Calibri"/>
        </w:rPr>
        <w:t xml:space="preserve"> intention-to-treat, meaning that all patients </w:t>
      </w:r>
      <w:r>
        <w:rPr>
          <w:rFonts w:ascii="Calibri" w:hAnsi="Calibri" w:cs="Calibri"/>
        </w:rPr>
        <w:t>i</w:t>
      </w:r>
      <w:r w:rsidRPr="00D55BBB">
        <w:rPr>
          <w:rFonts w:ascii="Calibri" w:hAnsi="Calibri" w:cs="Calibri"/>
        </w:rPr>
        <w:t>n who</w:t>
      </w:r>
      <w:r>
        <w:rPr>
          <w:rFonts w:ascii="Calibri" w:hAnsi="Calibri" w:cs="Calibri"/>
        </w:rPr>
        <w:t>m</w:t>
      </w:r>
      <w:r w:rsidRPr="00D55BBB">
        <w:rPr>
          <w:rFonts w:ascii="Calibri" w:hAnsi="Calibri" w:cs="Calibri"/>
        </w:rPr>
        <w:t xml:space="preserve"> an</w:t>
      </w:r>
      <w:r>
        <w:rPr>
          <w:rFonts w:ascii="Calibri" w:hAnsi="Calibri" w:cs="Calibri"/>
        </w:rPr>
        <w:t xml:space="preserve"> </w:t>
      </w:r>
      <w:r w:rsidRPr="00D55BBB">
        <w:rPr>
          <w:rFonts w:ascii="Calibri" w:hAnsi="Calibri" w:cs="Calibri"/>
        </w:rPr>
        <w:t xml:space="preserve">outcome </w:t>
      </w:r>
      <w:r>
        <w:rPr>
          <w:rFonts w:ascii="Calibri" w:hAnsi="Calibri" w:cs="Calibri"/>
        </w:rPr>
        <w:t>wa</w:t>
      </w:r>
      <w:r w:rsidRPr="00D55BBB">
        <w:rPr>
          <w:rFonts w:ascii="Calibri" w:hAnsi="Calibri" w:cs="Calibri"/>
        </w:rPr>
        <w:t xml:space="preserve">s available </w:t>
      </w:r>
      <w:r>
        <w:rPr>
          <w:rFonts w:ascii="Calibri" w:hAnsi="Calibri" w:cs="Calibri"/>
        </w:rPr>
        <w:t>were</w:t>
      </w:r>
      <w:r w:rsidRPr="00D55BBB">
        <w:rPr>
          <w:rFonts w:ascii="Calibri" w:hAnsi="Calibri" w:cs="Calibri"/>
        </w:rPr>
        <w:t xml:space="preserve"> included in analysis, and</w:t>
      </w:r>
      <w:r>
        <w:rPr>
          <w:rFonts w:ascii="Calibri" w:hAnsi="Calibri" w:cs="Calibri"/>
        </w:rPr>
        <w:t xml:space="preserve"> were</w:t>
      </w:r>
      <w:r w:rsidRPr="00D55BBB">
        <w:rPr>
          <w:rFonts w:ascii="Calibri" w:hAnsi="Calibri" w:cs="Calibri"/>
        </w:rPr>
        <w:t xml:space="preserve"> analysed according to the</w:t>
      </w:r>
      <w:r>
        <w:rPr>
          <w:rFonts w:ascii="Calibri" w:hAnsi="Calibri" w:cs="Calibri"/>
        </w:rPr>
        <w:t>ir</w:t>
      </w:r>
      <w:r w:rsidRPr="00D55BBB">
        <w:rPr>
          <w:rFonts w:ascii="Calibri" w:hAnsi="Calibri" w:cs="Calibri"/>
        </w:rPr>
        <w:t xml:space="preserve"> </w:t>
      </w:r>
      <w:r>
        <w:rPr>
          <w:rFonts w:ascii="Calibri" w:hAnsi="Calibri" w:cs="Calibri"/>
        </w:rPr>
        <w:t xml:space="preserve">randomized </w:t>
      </w:r>
      <w:r w:rsidRPr="00D55BBB">
        <w:rPr>
          <w:rFonts w:ascii="Calibri" w:hAnsi="Calibri" w:cs="Calibri"/>
        </w:rPr>
        <w:t>treatment group.</w:t>
      </w:r>
      <w:r>
        <w:rPr>
          <w:rFonts w:ascii="Calibri" w:hAnsi="Calibri" w:cs="Calibri"/>
        </w:rPr>
        <w:t xml:space="preserve"> </w:t>
      </w:r>
      <w:r w:rsidRPr="00D55BBB">
        <w:rPr>
          <w:rFonts w:ascii="Calibri" w:hAnsi="Calibri" w:cs="Calibri"/>
        </w:rPr>
        <w:t xml:space="preserve"> Descriptive statistics were used to summarise patient characteristics and clinical data</w:t>
      </w:r>
      <w:r>
        <w:rPr>
          <w:rFonts w:ascii="Calibri" w:hAnsi="Calibri" w:cs="Calibri"/>
        </w:rPr>
        <w:t xml:space="preserve">. </w:t>
      </w:r>
      <w:r w:rsidRPr="00D55BBB">
        <w:rPr>
          <w:rFonts w:ascii="Calibri" w:hAnsi="Calibri" w:cs="Calibri"/>
        </w:rPr>
        <w:t xml:space="preserve">Medians (IQR) were calculated for </w:t>
      </w:r>
      <w:r>
        <w:rPr>
          <w:rFonts w:ascii="Calibri" w:hAnsi="Calibri" w:cs="Calibri"/>
        </w:rPr>
        <w:t xml:space="preserve">hospital LOS. </w:t>
      </w:r>
      <w:r w:rsidRPr="00D55BBB">
        <w:rPr>
          <w:rFonts w:ascii="Calibri" w:hAnsi="Calibri" w:cs="Calibri"/>
        </w:rPr>
        <w:t>Continuous non-parametric variables were analysed using Mann-Whitney test</w:t>
      </w:r>
      <w:r>
        <w:rPr>
          <w:rFonts w:ascii="Calibri" w:hAnsi="Calibri" w:cs="Calibri"/>
        </w:rPr>
        <w:t xml:space="preserve"> and c</w:t>
      </w:r>
      <w:r w:rsidRPr="00D55BBB">
        <w:rPr>
          <w:rFonts w:ascii="Calibri" w:hAnsi="Calibri" w:cs="Calibri"/>
        </w:rPr>
        <w:t>ategorical data was analysed using Chi-squared test</w:t>
      </w:r>
      <w:r>
        <w:rPr>
          <w:rFonts w:ascii="Calibri" w:hAnsi="Calibri" w:cs="Calibri"/>
        </w:rPr>
        <w:t xml:space="preserve">. </w:t>
      </w:r>
      <w:r w:rsidRPr="00D55BBB">
        <w:rPr>
          <w:rFonts w:ascii="Calibri" w:hAnsi="Calibri" w:cs="Calibri"/>
        </w:rPr>
        <w:t xml:space="preserve">All tests </w:t>
      </w:r>
      <w:r>
        <w:rPr>
          <w:rFonts w:ascii="Calibri" w:hAnsi="Calibri" w:cs="Calibri"/>
        </w:rPr>
        <w:t>were</w:t>
      </w:r>
      <w:r w:rsidRPr="00D55BBB">
        <w:rPr>
          <w:rFonts w:ascii="Calibri" w:hAnsi="Calibri" w:cs="Calibri"/>
        </w:rPr>
        <w:t xml:space="preserve"> two-sided</w:t>
      </w:r>
      <w:r>
        <w:rPr>
          <w:rFonts w:ascii="Calibri" w:hAnsi="Calibri" w:cs="Calibri"/>
        </w:rPr>
        <w:t xml:space="preserve"> and </w:t>
      </w:r>
      <w:r w:rsidRPr="00D55BBB">
        <w:rPr>
          <w:rFonts w:ascii="Calibri" w:hAnsi="Calibri" w:cs="Calibri"/>
        </w:rPr>
        <w:t>considered statisticall</w:t>
      </w:r>
      <w:r>
        <w:rPr>
          <w:rFonts w:ascii="Calibri" w:hAnsi="Calibri" w:cs="Calibri"/>
        </w:rPr>
        <w:t xml:space="preserve">y </w:t>
      </w:r>
      <w:r w:rsidRPr="00D55BBB">
        <w:rPr>
          <w:rFonts w:ascii="Calibri" w:hAnsi="Calibri" w:cs="Calibri"/>
        </w:rPr>
        <w:t>significant at the 5% level.</w:t>
      </w:r>
    </w:p>
    <w:p w14:paraId="2C5CDD3E" w14:textId="77777777" w:rsidR="002D0529" w:rsidRPr="002B22A7" w:rsidRDefault="002D0529" w:rsidP="007D0198">
      <w:pPr>
        <w:autoSpaceDE w:val="0"/>
        <w:autoSpaceDN w:val="0"/>
        <w:adjustRightInd w:val="0"/>
        <w:spacing w:after="0" w:line="240" w:lineRule="auto"/>
        <w:jc w:val="both"/>
        <w:rPr>
          <w:rFonts w:cs="Calibri"/>
        </w:rPr>
      </w:pPr>
    </w:p>
    <w:p w14:paraId="01A06B0B" w14:textId="77777777" w:rsidR="002D0529" w:rsidRDefault="002D0529" w:rsidP="007D0198">
      <w:pPr>
        <w:pStyle w:val="Default"/>
        <w:jc w:val="both"/>
        <w:rPr>
          <w:rFonts w:asciiTheme="minorHAnsi" w:hAnsiTheme="minorHAnsi" w:cs="Arial"/>
          <w:sz w:val="22"/>
          <w:szCs w:val="22"/>
        </w:rPr>
      </w:pPr>
    </w:p>
    <w:p w14:paraId="02373E78" w14:textId="77777777" w:rsidR="002D0529" w:rsidRPr="00CE553C" w:rsidRDefault="002D0529" w:rsidP="007D0198">
      <w:pPr>
        <w:pStyle w:val="Default"/>
        <w:jc w:val="both"/>
        <w:rPr>
          <w:rFonts w:cs="Arial"/>
          <w:b/>
          <w:bCs/>
          <w:sz w:val="22"/>
          <w:szCs w:val="22"/>
          <w:lang w:val="en-US"/>
        </w:rPr>
      </w:pPr>
      <w:r w:rsidRPr="00CE553C">
        <w:rPr>
          <w:rFonts w:cs="Arial"/>
          <w:b/>
          <w:bCs/>
          <w:sz w:val="22"/>
          <w:szCs w:val="22"/>
          <w:lang w:val="en-US"/>
        </w:rPr>
        <w:lastRenderedPageBreak/>
        <w:t>Urgent Safety Review</w:t>
      </w:r>
    </w:p>
    <w:p w14:paraId="1C644149" w14:textId="77777777" w:rsidR="002D0529" w:rsidRPr="001F2B51" w:rsidRDefault="002D0529" w:rsidP="007D0198">
      <w:pPr>
        <w:pStyle w:val="Default"/>
        <w:jc w:val="both"/>
        <w:rPr>
          <w:sz w:val="22"/>
          <w:szCs w:val="22"/>
        </w:rPr>
      </w:pPr>
      <w:r w:rsidRPr="001F2B51">
        <w:rPr>
          <w:rFonts w:cs="Arial"/>
          <w:sz w:val="22"/>
          <w:szCs w:val="22"/>
          <w:lang w:val="en-US"/>
        </w:rPr>
        <w:t>In January 2019</w:t>
      </w:r>
      <w:r>
        <w:rPr>
          <w:rFonts w:cs="Arial"/>
          <w:sz w:val="22"/>
          <w:szCs w:val="22"/>
          <w:lang w:val="en-US"/>
        </w:rPr>
        <w:t>, 22 months after the first patient was enrolled,</w:t>
      </w:r>
      <w:r w:rsidRPr="001F2B51">
        <w:rPr>
          <w:rFonts w:cs="Arial"/>
          <w:sz w:val="22"/>
          <w:szCs w:val="22"/>
          <w:lang w:val="en-US"/>
        </w:rPr>
        <w:t xml:space="preserve"> an urgent safety review</w:t>
      </w:r>
      <w:r w:rsidRPr="001F2B51">
        <w:rPr>
          <w:rFonts w:asciiTheme="minorHAnsi" w:hAnsiTheme="minorHAnsi" w:cstheme="minorBidi"/>
          <w:color w:val="auto"/>
          <w:sz w:val="22"/>
          <w:szCs w:val="22"/>
        </w:rPr>
        <w:t xml:space="preserve"> was conducted </w:t>
      </w:r>
      <w:r>
        <w:rPr>
          <w:sz w:val="22"/>
          <w:szCs w:val="22"/>
        </w:rPr>
        <w:t>by the</w:t>
      </w:r>
      <w:r w:rsidRPr="001F2B51">
        <w:rPr>
          <w:sz w:val="22"/>
          <w:szCs w:val="22"/>
        </w:rPr>
        <w:t xml:space="preserve"> </w:t>
      </w:r>
      <w:r>
        <w:rPr>
          <w:sz w:val="22"/>
          <w:szCs w:val="22"/>
        </w:rPr>
        <w:t>T</w:t>
      </w:r>
      <w:r w:rsidRPr="001F2B51">
        <w:rPr>
          <w:sz w:val="22"/>
          <w:szCs w:val="22"/>
        </w:rPr>
        <w:t xml:space="preserve">rial </w:t>
      </w:r>
      <w:r>
        <w:rPr>
          <w:sz w:val="22"/>
          <w:szCs w:val="22"/>
        </w:rPr>
        <w:t>S</w:t>
      </w:r>
      <w:r w:rsidRPr="001F2B51">
        <w:rPr>
          <w:sz w:val="22"/>
          <w:szCs w:val="22"/>
        </w:rPr>
        <w:t xml:space="preserve">teering </w:t>
      </w:r>
      <w:r>
        <w:rPr>
          <w:sz w:val="22"/>
          <w:szCs w:val="22"/>
        </w:rPr>
        <w:t>C</w:t>
      </w:r>
      <w:r w:rsidRPr="001F2B51">
        <w:rPr>
          <w:sz w:val="22"/>
          <w:szCs w:val="22"/>
        </w:rPr>
        <w:t>ommittee (TSC</w:t>
      </w:r>
      <w:r>
        <w:rPr>
          <w:sz w:val="22"/>
          <w:szCs w:val="22"/>
        </w:rPr>
        <w:t>),</w:t>
      </w:r>
      <w:r w:rsidRPr="001F2B51">
        <w:rPr>
          <w:sz w:val="22"/>
          <w:szCs w:val="22"/>
        </w:rPr>
        <w:t xml:space="preserve"> </w:t>
      </w:r>
      <w:r w:rsidRPr="001F2B51">
        <w:rPr>
          <w:rFonts w:asciiTheme="minorHAnsi" w:hAnsiTheme="minorHAnsi" w:cstheme="minorBidi"/>
          <w:color w:val="auto"/>
          <w:sz w:val="22"/>
          <w:szCs w:val="22"/>
        </w:rPr>
        <w:t xml:space="preserve">due to </w:t>
      </w:r>
      <w:r>
        <w:rPr>
          <w:rFonts w:asciiTheme="minorHAnsi" w:hAnsiTheme="minorHAnsi" w:cstheme="minorBidi"/>
          <w:color w:val="auto"/>
          <w:sz w:val="22"/>
          <w:szCs w:val="22"/>
        </w:rPr>
        <w:t xml:space="preserve">reports from Trial Investigators </w:t>
      </w:r>
      <w:r w:rsidRPr="001F2B51">
        <w:rPr>
          <w:sz w:val="22"/>
          <w:szCs w:val="22"/>
        </w:rPr>
        <w:t>of SAE</w:t>
      </w:r>
      <w:r>
        <w:rPr>
          <w:sz w:val="22"/>
          <w:szCs w:val="22"/>
        </w:rPr>
        <w:t xml:space="preserve"> </w:t>
      </w:r>
      <w:r w:rsidRPr="001F2B51">
        <w:rPr>
          <w:sz w:val="22"/>
          <w:szCs w:val="22"/>
        </w:rPr>
        <w:t xml:space="preserve">in </w:t>
      </w:r>
      <w:r>
        <w:rPr>
          <w:sz w:val="22"/>
          <w:szCs w:val="22"/>
        </w:rPr>
        <w:t>patients receiving</w:t>
      </w:r>
      <w:r w:rsidRPr="001F2B51">
        <w:rPr>
          <w:sz w:val="22"/>
          <w:szCs w:val="22"/>
        </w:rPr>
        <w:t xml:space="preserve"> </w:t>
      </w:r>
      <w:r>
        <w:rPr>
          <w:sz w:val="22"/>
          <w:szCs w:val="22"/>
        </w:rPr>
        <w:t>ambulatory care.</w:t>
      </w:r>
      <w:r w:rsidRPr="001F2B51">
        <w:rPr>
          <w:sz w:val="22"/>
          <w:szCs w:val="22"/>
        </w:rPr>
        <w:t xml:space="preserve"> On </w:t>
      </w:r>
      <w:r>
        <w:rPr>
          <w:sz w:val="22"/>
          <w:szCs w:val="22"/>
        </w:rPr>
        <w:t xml:space="preserve">TSC </w:t>
      </w:r>
      <w:r w:rsidRPr="001F2B51">
        <w:rPr>
          <w:sz w:val="22"/>
          <w:szCs w:val="22"/>
        </w:rPr>
        <w:t xml:space="preserve">review, </w:t>
      </w:r>
      <w:r>
        <w:rPr>
          <w:sz w:val="22"/>
          <w:szCs w:val="22"/>
        </w:rPr>
        <w:t>a majority</w:t>
      </w:r>
      <w:r w:rsidRPr="001F2B51">
        <w:rPr>
          <w:sz w:val="22"/>
          <w:szCs w:val="22"/>
        </w:rPr>
        <w:t xml:space="preserve"> </w:t>
      </w:r>
      <w:r>
        <w:rPr>
          <w:sz w:val="22"/>
          <w:szCs w:val="22"/>
        </w:rPr>
        <w:t xml:space="preserve">of SAE </w:t>
      </w:r>
      <w:r w:rsidRPr="001F2B51">
        <w:rPr>
          <w:sz w:val="22"/>
          <w:szCs w:val="22"/>
        </w:rPr>
        <w:t xml:space="preserve">appeared to be </w:t>
      </w:r>
      <w:r>
        <w:rPr>
          <w:sz w:val="22"/>
          <w:szCs w:val="22"/>
        </w:rPr>
        <w:t>causally related</w:t>
      </w:r>
      <w:r w:rsidRPr="001F2B51">
        <w:rPr>
          <w:sz w:val="22"/>
          <w:szCs w:val="22"/>
        </w:rPr>
        <w:t xml:space="preserve"> to </w:t>
      </w:r>
      <w:r>
        <w:rPr>
          <w:sz w:val="22"/>
          <w:szCs w:val="22"/>
        </w:rPr>
        <w:t xml:space="preserve">use of </w:t>
      </w:r>
      <w:r w:rsidRPr="001F2B51">
        <w:rPr>
          <w:sz w:val="22"/>
          <w:szCs w:val="22"/>
        </w:rPr>
        <w:t xml:space="preserve">the </w:t>
      </w:r>
      <w:r>
        <w:rPr>
          <w:sz w:val="22"/>
          <w:szCs w:val="22"/>
        </w:rPr>
        <w:t>PV</w:t>
      </w:r>
      <w:r w:rsidRPr="001F2B51">
        <w:rPr>
          <w:sz w:val="22"/>
          <w:szCs w:val="22"/>
        </w:rPr>
        <w:t>.</w:t>
      </w:r>
      <w:r>
        <w:rPr>
          <w:sz w:val="22"/>
          <w:szCs w:val="22"/>
        </w:rPr>
        <w:t xml:space="preserve"> Six of 13 (46%) patients managed with this device required an additional chest tube insertion within the first week due to </w:t>
      </w:r>
      <w:r w:rsidRPr="003073D7">
        <w:rPr>
          <w:sz w:val="22"/>
          <w:szCs w:val="22"/>
        </w:rPr>
        <w:t>treatment failure</w:t>
      </w:r>
      <w:r>
        <w:rPr>
          <w:sz w:val="22"/>
          <w:szCs w:val="22"/>
        </w:rPr>
        <w:t xml:space="preserve">. The TSC </w:t>
      </w:r>
      <w:r w:rsidRPr="001F2B51">
        <w:rPr>
          <w:sz w:val="22"/>
          <w:szCs w:val="22"/>
        </w:rPr>
        <w:t xml:space="preserve">felt </w:t>
      </w:r>
      <w:r>
        <w:rPr>
          <w:sz w:val="22"/>
          <w:szCs w:val="22"/>
        </w:rPr>
        <w:t xml:space="preserve">this </w:t>
      </w:r>
      <w:r w:rsidRPr="001F2B51">
        <w:rPr>
          <w:sz w:val="22"/>
          <w:szCs w:val="22"/>
        </w:rPr>
        <w:t xml:space="preserve">was an unacceptably high risk of </w:t>
      </w:r>
      <w:r>
        <w:rPr>
          <w:sz w:val="22"/>
          <w:szCs w:val="22"/>
        </w:rPr>
        <w:t xml:space="preserve">device </w:t>
      </w:r>
      <w:r w:rsidRPr="001F2B51">
        <w:rPr>
          <w:sz w:val="22"/>
          <w:szCs w:val="22"/>
        </w:rPr>
        <w:t>failure, and stop</w:t>
      </w:r>
      <w:r>
        <w:rPr>
          <w:sz w:val="22"/>
          <w:szCs w:val="22"/>
        </w:rPr>
        <w:t>ped</w:t>
      </w:r>
      <w:r w:rsidRPr="001F2B51">
        <w:rPr>
          <w:sz w:val="22"/>
          <w:szCs w:val="22"/>
        </w:rPr>
        <w:t xml:space="preserve"> </w:t>
      </w:r>
      <w:r>
        <w:rPr>
          <w:sz w:val="22"/>
          <w:szCs w:val="22"/>
        </w:rPr>
        <w:t>use of</w:t>
      </w:r>
      <w:r w:rsidRPr="001F2B51">
        <w:rPr>
          <w:sz w:val="22"/>
          <w:szCs w:val="22"/>
        </w:rPr>
        <w:t xml:space="preserve"> the </w:t>
      </w:r>
      <w:r>
        <w:rPr>
          <w:sz w:val="22"/>
          <w:szCs w:val="22"/>
        </w:rPr>
        <w:t xml:space="preserve">PV, but </w:t>
      </w:r>
      <w:r w:rsidRPr="001F2B51">
        <w:rPr>
          <w:sz w:val="22"/>
          <w:szCs w:val="22"/>
        </w:rPr>
        <w:t>continue</w:t>
      </w:r>
      <w:r>
        <w:rPr>
          <w:sz w:val="22"/>
          <w:szCs w:val="22"/>
        </w:rPr>
        <w:t xml:space="preserve">d use of </w:t>
      </w:r>
      <w:r w:rsidRPr="001F2B51">
        <w:rPr>
          <w:sz w:val="22"/>
          <w:szCs w:val="22"/>
        </w:rPr>
        <w:t xml:space="preserve">the Atrium </w:t>
      </w:r>
      <w:r>
        <w:rPr>
          <w:sz w:val="22"/>
          <w:szCs w:val="22"/>
        </w:rPr>
        <w:t>P</w:t>
      </w:r>
      <w:r w:rsidRPr="001F2B51">
        <w:rPr>
          <w:sz w:val="22"/>
          <w:szCs w:val="22"/>
        </w:rPr>
        <w:t>neumostat</w:t>
      </w:r>
      <w:r>
        <w:rPr>
          <w:sz w:val="22"/>
          <w:szCs w:val="22"/>
        </w:rPr>
        <w:t xml:space="preserve"> </w:t>
      </w:r>
      <w:r w:rsidRPr="001F2B51">
        <w:rPr>
          <w:sz w:val="22"/>
          <w:szCs w:val="22"/>
        </w:rPr>
        <w:t>in th</w:t>
      </w:r>
      <w:r>
        <w:rPr>
          <w:sz w:val="22"/>
          <w:szCs w:val="22"/>
        </w:rPr>
        <w:t>os</w:t>
      </w:r>
      <w:r w:rsidRPr="001F2B51">
        <w:rPr>
          <w:sz w:val="22"/>
          <w:szCs w:val="22"/>
        </w:rPr>
        <w:t>e</w:t>
      </w:r>
      <w:r>
        <w:rPr>
          <w:sz w:val="22"/>
          <w:szCs w:val="22"/>
        </w:rPr>
        <w:t xml:space="preserve"> randomized to ambulatory care</w:t>
      </w:r>
      <w:r w:rsidRPr="001F2B51">
        <w:rPr>
          <w:sz w:val="22"/>
          <w:szCs w:val="22"/>
        </w:rPr>
        <w:t xml:space="preserve">. </w:t>
      </w:r>
    </w:p>
    <w:p w14:paraId="4D295BA1" w14:textId="77777777" w:rsidR="002D0529" w:rsidRDefault="002D0529" w:rsidP="007D0198">
      <w:pPr>
        <w:autoSpaceDE w:val="0"/>
        <w:autoSpaceDN w:val="0"/>
        <w:adjustRightInd w:val="0"/>
        <w:spacing w:after="0" w:line="240" w:lineRule="auto"/>
        <w:jc w:val="both"/>
        <w:rPr>
          <w:rFonts w:ascii="Calibri" w:hAnsi="Calibri" w:cs="Calibri"/>
        </w:rPr>
      </w:pPr>
    </w:p>
    <w:p w14:paraId="46AD1355" w14:textId="77777777" w:rsidR="002D0529" w:rsidRPr="002624B6" w:rsidRDefault="002D0529" w:rsidP="007D0198">
      <w:pPr>
        <w:autoSpaceDE w:val="0"/>
        <w:autoSpaceDN w:val="0"/>
        <w:adjustRightInd w:val="0"/>
        <w:spacing w:after="0" w:line="240" w:lineRule="auto"/>
        <w:jc w:val="both"/>
        <w:rPr>
          <w:rFonts w:ascii="Calibri" w:hAnsi="Calibri" w:cs="Calibri"/>
          <w:b/>
          <w:bCs/>
          <w:u w:val="single"/>
        </w:rPr>
      </w:pPr>
      <w:r w:rsidRPr="00CE553C">
        <w:rPr>
          <w:rFonts w:ascii="Calibri" w:hAnsi="Calibri" w:cs="Calibri"/>
          <w:b/>
          <w:bCs/>
          <w:u w:val="single"/>
        </w:rPr>
        <w:t>Results</w:t>
      </w:r>
    </w:p>
    <w:p w14:paraId="78CB6BF5" w14:textId="77777777" w:rsidR="002D0529" w:rsidRPr="00CE553C" w:rsidRDefault="002D0529" w:rsidP="007D0198">
      <w:pPr>
        <w:autoSpaceDE w:val="0"/>
        <w:autoSpaceDN w:val="0"/>
        <w:adjustRightInd w:val="0"/>
        <w:spacing w:after="0" w:line="240" w:lineRule="auto"/>
        <w:jc w:val="both"/>
        <w:rPr>
          <w:rFonts w:ascii="Calibri" w:hAnsi="Calibri" w:cs="Calibri"/>
          <w:b/>
          <w:bCs/>
        </w:rPr>
      </w:pPr>
      <w:r w:rsidRPr="00CE553C">
        <w:rPr>
          <w:rFonts w:ascii="Calibri" w:hAnsi="Calibri" w:cs="Calibri"/>
          <w:b/>
          <w:bCs/>
        </w:rPr>
        <w:t>Recruitment and Population Characteristics</w:t>
      </w:r>
    </w:p>
    <w:p w14:paraId="2EF98C2B" w14:textId="77777777" w:rsidR="002D0529" w:rsidRDefault="002D0529" w:rsidP="007D0198">
      <w:pPr>
        <w:autoSpaceDE w:val="0"/>
        <w:autoSpaceDN w:val="0"/>
        <w:adjustRightInd w:val="0"/>
        <w:spacing w:after="0" w:line="240" w:lineRule="auto"/>
        <w:jc w:val="both"/>
        <w:rPr>
          <w:rFonts w:ascii="Calibri" w:hAnsi="Calibri" w:cs="Calibri"/>
        </w:rPr>
      </w:pPr>
      <w:r w:rsidRPr="00160E45">
        <w:rPr>
          <w:rFonts w:ascii="Calibri" w:hAnsi="Calibri" w:cs="Calibri"/>
        </w:rPr>
        <w:t>Recruitment and follow-up of participants</w:t>
      </w:r>
      <w:r>
        <w:rPr>
          <w:rFonts w:ascii="Calibri" w:hAnsi="Calibri" w:cs="Calibri"/>
        </w:rPr>
        <w:t xml:space="preserve"> </w:t>
      </w:r>
      <w:r w:rsidRPr="00160E45">
        <w:rPr>
          <w:rFonts w:ascii="Calibri" w:hAnsi="Calibri" w:cs="Calibri"/>
        </w:rPr>
        <w:t xml:space="preserve">took place from </w:t>
      </w:r>
      <w:r>
        <w:rPr>
          <w:rFonts w:ascii="Calibri" w:hAnsi="Calibri" w:cs="Calibri"/>
        </w:rPr>
        <w:t xml:space="preserve">March 2017 to March 2020. Of </w:t>
      </w:r>
      <w:r w:rsidRPr="00160E45">
        <w:rPr>
          <w:rFonts w:ascii="Calibri" w:hAnsi="Calibri" w:cs="Calibri"/>
        </w:rPr>
        <w:t>potential participants</w:t>
      </w:r>
      <w:r>
        <w:rPr>
          <w:rFonts w:ascii="Calibri" w:hAnsi="Calibri" w:cs="Calibri"/>
        </w:rPr>
        <w:t>,</w:t>
      </w:r>
      <w:r w:rsidRPr="00160E45">
        <w:rPr>
          <w:rFonts w:ascii="Calibri" w:hAnsi="Calibri" w:cs="Calibri"/>
        </w:rPr>
        <w:t xml:space="preserve"> </w:t>
      </w:r>
      <w:r>
        <w:rPr>
          <w:rFonts w:ascii="Calibri" w:hAnsi="Calibri" w:cs="Calibri"/>
        </w:rPr>
        <w:t xml:space="preserve">186 </w:t>
      </w:r>
      <w:r w:rsidRPr="00160E45">
        <w:rPr>
          <w:rFonts w:ascii="Calibri" w:hAnsi="Calibri" w:cs="Calibri"/>
        </w:rPr>
        <w:t xml:space="preserve">were </w:t>
      </w:r>
      <w:r>
        <w:rPr>
          <w:rFonts w:ascii="Calibri" w:hAnsi="Calibri" w:cs="Calibri"/>
        </w:rPr>
        <w:t xml:space="preserve">screened/recruited and 41 were randomised (Figure 2). Of these, 21 were randomised to ambulatory care and 20 to standard care. Of patients receiving ambulatory care, 13 were managed with a PV and 8 with a Pneumostat. </w:t>
      </w:r>
      <w:r w:rsidRPr="00733DD2">
        <w:rPr>
          <w:rFonts w:ascii="Calibri" w:hAnsi="Calibri" w:cs="Calibri"/>
        </w:rPr>
        <w:t>The two groups were well matched at baseline</w:t>
      </w:r>
      <w:r>
        <w:rPr>
          <w:rFonts w:ascii="Calibri" w:hAnsi="Calibri" w:cs="Calibri"/>
        </w:rPr>
        <w:t xml:space="preserve"> (Table 1). All patients were included in the primary analysis. The study did not reach the target sample size of 66 in the pre-defined study period due to slower than anticipated recruitment. </w:t>
      </w:r>
    </w:p>
    <w:p w14:paraId="36831255" w14:textId="77777777" w:rsidR="002D0529" w:rsidRDefault="002D0529" w:rsidP="007D0198">
      <w:pPr>
        <w:autoSpaceDE w:val="0"/>
        <w:autoSpaceDN w:val="0"/>
        <w:adjustRightInd w:val="0"/>
        <w:spacing w:after="0" w:line="240" w:lineRule="auto"/>
        <w:jc w:val="both"/>
        <w:rPr>
          <w:rFonts w:ascii="Calibri" w:hAnsi="Calibri" w:cs="Calibri"/>
        </w:rPr>
      </w:pPr>
    </w:p>
    <w:p w14:paraId="5D631002" w14:textId="77777777" w:rsidR="002D0529" w:rsidRDefault="002D0529" w:rsidP="007D0198">
      <w:pPr>
        <w:autoSpaceDE w:val="0"/>
        <w:autoSpaceDN w:val="0"/>
        <w:adjustRightInd w:val="0"/>
        <w:spacing w:after="0" w:line="240" w:lineRule="auto"/>
        <w:jc w:val="both"/>
        <w:rPr>
          <w:rFonts w:ascii="Calibri" w:hAnsi="Calibri" w:cs="Calibri"/>
        </w:rPr>
      </w:pPr>
    </w:p>
    <w:p w14:paraId="3C6A015B" w14:textId="77777777" w:rsidR="002D0529" w:rsidRDefault="002D0529" w:rsidP="007D0198">
      <w:pPr>
        <w:autoSpaceDE w:val="0"/>
        <w:autoSpaceDN w:val="0"/>
        <w:adjustRightInd w:val="0"/>
        <w:spacing w:after="0" w:line="240" w:lineRule="auto"/>
        <w:jc w:val="both"/>
        <w:rPr>
          <w:rFonts w:ascii="Calibri" w:hAnsi="Calibri" w:cs="Calibri"/>
        </w:rPr>
      </w:pPr>
    </w:p>
    <w:p w14:paraId="49C2D7B9" w14:textId="77777777" w:rsidR="002D0529" w:rsidRDefault="002D0529" w:rsidP="007D0198">
      <w:pPr>
        <w:autoSpaceDE w:val="0"/>
        <w:autoSpaceDN w:val="0"/>
        <w:adjustRightInd w:val="0"/>
        <w:spacing w:after="0" w:line="240" w:lineRule="auto"/>
        <w:jc w:val="both"/>
        <w:rPr>
          <w:rFonts w:ascii="Calibri" w:hAnsi="Calibri" w:cs="Calibri"/>
        </w:rPr>
      </w:pPr>
    </w:p>
    <w:p w14:paraId="52DAC1FA" w14:textId="77777777" w:rsidR="002D0529" w:rsidRDefault="002D0529" w:rsidP="007D0198">
      <w:pPr>
        <w:autoSpaceDE w:val="0"/>
        <w:autoSpaceDN w:val="0"/>
        <w:adjustRightInd w:val="0"/>
        <w:spacing w:after="0" w:line="240" w:lineRule="auto"/>
        <w:jc w:val="both"/>
        <w:rPr>
          <w:rFonts w:ascii="Calibri" w:hAnsi="Calibri" w:cs="Calibri"/>
        </w:rPr>
      </w:pPr>
    </w:p>
    <w:tbl>
      <w:tblPr>
        <w:tblW w:w="7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700"/>
        <w:gridCol w:w="1559"/>
      </w:tblGrid>
      <w:tr w:rsidR="00A627B7" w14:paraId="3C09823B" w14:textId="77777777" w:rsidTr="003C6623">
        <w:tc>
          <w:tcPr>
            <w:tcW w:w="3855" w:type="dxa"/>
            <w:tcBorders>
              <w:bottom w:val="double" w:sz="4" w:space="0" w:color="auto"/>
            </w:tcBorders>
          </w:tcPr>
          <w:p w14:paraId="2D5071A2" w14:textId="77777777" w:rsidR="00A627B7" w:rsidRDefault="00A627B7" w:rsidP="001461BA">
            <w:pPr>
              <w:autoSpaceDE w:val="0"/>
              <w:autoSpaceDN w:val="0"/>
              <w:adjustRightInd w:val="0"/>
              <w:spacing w:line="360" w:lineRule="auto"/>
              <w:jc w:val="both"/>
              <w:rPr>
                <w:rFonts w:cs="Tahoma"/>
                <w:bCs/>
                <w:sz w:val="20"/>
              </w:rPr>
            </w:pPr>
            <w:bookmarkStart w:id="2" w:name="_Hlk25073045"/>
          </w:p>
        </w:tc>
        <w:tc>
          <w:tcPr>
            <w:tcW w:w="1700" w:type="dxa"/>
            <w:tcBorders>
              <w:bottom w:val="double" w:sz="4" w:space="0" w:color="auto"/>
            </w:tcBorders>
            <w:hideMark/>
          </w:tcPr>
          <w:p w14:paraId="02241737" w14:textId="77777777" w:rsidR="00A627B7" w:rsidRDefault="00A627B7" w:rsidP="001461BA">
            <w:pPr>
              <w:autoSpaceDE w:val="0"/>
              <w:autoSpaceDN w:val="0"/>
              <w:adjustRightInd w:val="0"/>
              <w:spacing w:line="360" w:lineRule="auto"/>
              <w:jc w:val="both"/>
              <w:rPr>
                <w:rFonts w:cs="Tahoma"/>
                <w:bCs/>
                <w:sz w:val="20"/>
              </w:rPr>
            </w:pPr>
            <w:r>
              <w:rPr>
                <w:rFonts w:cs="Tahoma"/>
                <w:bCs/>
                <w:sz w:val="20"/>
              </w:rPr>
              <w:t>Ambulatory care (N=21)</w:t>
            </w:r>
          </w:p>
        </w:tc>
        <w:tc>
          <w:tcPr>
            <w:tcW w:w="1559" w:type="dxa"/>
            <w:tcBorders>
              <w:bottom w:val="double" w:sz="4" w:space="0" w:color="auto"/>
            </w:tcBorders>
            <w:hideMark/>
          </w:tcPr>
          <w:p w14:paraId="3D9B57C5"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Standard care (N=20) </w:t>
            </w:r>
          </w:p>
        </w:tc>
      </w:tr>
      <w:tr w:rsidR="00A627B7" w14:paraId="64A6C9AB" w14:textId="77777777" w:rsidTr="003C6623">
        <w:tc>
          <w:tcPr>
            <w:tcW w:w="3855" w:type="dxa"/>
            <w:tcBorders>
              <w:top w:val="double" w:sz="4" w:space="0" w:color="auto"/>
            </w:tcBorders>
            <w:hideMark/>
          </w:tcPr>
          <w:p w14:paraId="53D5E8CD" w14:textId="77777777" w:rsidR="00A627B7" w:rsidRDefault="00A627B7" w:rsidP="001461BA">
            <w:pPr>
              <w:autoSpaceDE w:val="0"/>
              <w:autoSpaceDN w:val="0"/>
              <w:adjustRightInd w:val="0"/>
              <w:spacing w:line="360" w:lineRule="auto"/>
              <w:jc w:val="both"/>
              <w:rPr>
                <w:rFonts w:cs="Tahoma"/>
                <w:bCs/>
                <w:sz w:val="20"/>
              </w:rPr>
            </w:pPr>
            <w:r>
              <w:rPr>
                <w:rFonts w:cs="Tahoma"/>
                <w:bCs/>
                <w:sz w:val="20"/>
              </w:rPr>
              <w:t>Age – mean (SD), years</w:t>
            </w:r>
          </w:p>
        </w:tc>
        <w:tc>
          <w:tcPr>
            <w:tcW w:w="1700" w:type="dxa"/>
            <w:tcBorders>
              <w:top w:val="double" w:sz="4" w:space="0" w:color="auto"/>
            </w:tcBorders>
          </w:tcPr>
          <w:p w14:paraId="5050D25E" w14:textId="77777777" w:rsidR="00A627B7" w:rsidRPr="003073D7" w:rsidRDefault="00A627B7" w:rsidP="001461BA">
            <w:pPr>
              <w:autoSpaceDE w:val="0"/>
              <w:autoSpaceDN w:val="0"/>
              <w:adjustRightInd w:val="0"/>
              <w:spacing w:line="360" w:lineRule="auto"/>
              <w:jc w:val="both"/>
              <w:rPr>
                <w:rFonts w:cs="Tahoma"/>
                <w:bCs/>
                <w:sz w:val="20"/>
              </w:rPr>
            </w:pPr>
            <w:r w:rsidRPr="003073D7">
              <w:rPr>
                <w:rFonts w:cs="Tahoma"/>
                <w:bCs/>
                <w:sz w:val="20"/>
              </w:rPr>
              <w:t>63.4 (12.6)</w:t>
            </w:r>
          </w:p>
        </w:tc>
        <w:tc>
          <w:tcPr>
            <w:tcW w:w="1559" w:type="dxa"/>
            <w:tcBorders>
              <w:top w:val="double" w:sz="4" w:space="0" w:color="auto"/>
            </w:tcBorders>
          </w:tcPr>
          <w:p w14:paraId="47A34E71" w14:textId="77777777" w:rsidR="00A627B7" w:rsidRPr="003073D7" w:rsidRDefault="00A627B7" w:rsidP="001461BA">
            <w:pPr>
              <w:autoSpaceDE w:val="0"/>
              <w:autoSpaceDN w:val="0"/>
              <w:adjustRightInd w:val="0"/>
              <w:spacing w:line="360" w:lineRule="auto"/>
              <w:jc w:val="both"/>
              <w:rPr>
                <w:rFonts w:cs="Tahoma"/>
                <w:bCs/>
                <w:sz w:val="20"/>
              </w:rPr>
            </w:pPr>
            <w:r w:rsidRPr="003073D7">
              <w:rPr>
                <w:rFonts w:cs="Tahoma"/>
                <w:bCs/>
                <w:sz w:val="20"/>
              </w:rPr>
              <w:t>68.1 (9.2)</w:t>
            </w:r>
          </w:p>
        </w:tc>
      </w:tr>
      <w:tr w:rsidR="00A627B7" w14:paraId="28706A2B" w14:textId="77777777" w:rsidTr="003C6623">
        <w:tc>
          <w:tcPr>
            <w:tcW w:w="3855" w:type="dxa"/>
            <w:hideMark/>
          </w:tcPr>
          <w:p w14:paraId="6D938CE5" w14:textId="77777777" w:rsidR="00A627B7" w:rsidRDefault="00A627B7" w:rsidP="001461BA">
            <w:pPr>
              <w:autoSpaceDE w:val="0"/>
              <w:autoSpaceDN w:val="0"/>
              <w:adjustRightInd w:val="0"/>
              <w:spacing w:line="360" w:lineRule="auto"/>
              <w:jc w:val="both"/>
              <w:rPr>
                <w:rFonts w:cs="Tahoma"/>
                <w:bCs/>
                <w:sz w:val="20"/>
              </w:rPr>
            </w:pPr>
            <w:r>
              <w:rPr>
                <w:rFonts w:cs="Tahoma"/>
                <w:bCs/>
                <w:sz w:val="20"/>
              </w:rPr>
              <w:t>Male – no. (%)</w:t>
            </w:r>
          </w:p>
        </w:tc>
        <w:tc>
          <w:tcPr>
            <w:tcW w:w="1700" w:type="dxa"/>
          </w:tcPr>
          <w:p w14:paraId="50911CFC"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14 (67)</w:t>
            </w:r>
          </w:p>
        </w:tc>
        <w:tc>
          <w:tcPr>
            <w:tcW w:w="1559" w:type="dxa"/>
          </w:tcPr>
          <w:p w14:paraId="6A11C9AF"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17 (85)</w:t>
            </w:r>
          </w:p>
        </w:tc>
      </w:tr>
      <w:tr w:rsidR="00A627B7" w14:paraId="31905D1C" w14:textId="77777777" w:rsidTr="003C6623">
        <w:tc>
          <w:tcPr>
            <w:tcW w:w="3855" w:type="dxa"/>
            <w:hideMark/>
          </w:tcPr>
          <w:p w14:paraId="7BA5C357" w14:textId="77777777" w:rsidR="00A627B7" w:rsidRPr="00F33AF5" w:rsidRDefault="00A627B7" w:rsidP="001461BA">
            <w:pPr>
              <w:autoSpaceDE w:val="0"/>
              <w:autoSpaceDN w:val="0"/>
              <w:adjustRightInd w:val="0"/>
              <w:spacing w:line="360" w:lineRule="auto"/>
              <w:jc w:val="both"/>
              <w:rPr>
                <w:rFonts w:cs="Tahoma"/>
                <w:bCs/>
                <w:sz w:val="20"/>
              </w:rPr>
            </w:pPr>
            <w:r w:rsidRPr="00AB3B53">
              <w:rPr>
                <w:rFonts w:cs="Tahoma"/>
                <w:bCs/>
                <w:sz w:val="20"/>
              </w:rPr>
              <w:t xml:space="preserve">Side of pneumothorax - no. (%) </w:t>
            </w:r>
          </w:p>
        </w:tc>
        <w:tc>
          <w:tcPr>
            <w:tcW w:w="1700" w:type="dxa"/>
          </w:tcPr>
          <w:p w14:paraId="2143EB00" w14:textId="77777777" w:rsidR="00A627B7" w:rsidRPr="00F33AF5" w:rsidRDefault="00A627B7" w:rsidP="001461BA">
            <w:pPr>
              <w:autoSpaceDE w:val="0"/>
              <w:autoSpaceDN w:val="0"/>
              <w:adjustRightInd w:val="0"/>
              <w:spacing w:line="360" w:lineRule="auto"/>
              <w:jc w:val="both"/>
              <w:rPr>
                <w:rFonts w:cs="Tahoma"/>
                <w:bCs/>
                <w:sz w:val="20"/>
              </w:rPr>
            </w:pPr>
          </w:p>
        </w:tc>
        <w:tc>
          <w:tcPr>
            <w:tcW w:w="1559" w:type="dxa"/>
          </w:tcPr>
          <w:p w14:paraId="459B255C" w14:textId="77777777" w:rsidR="00A627B7" w:rsidRPr="00F33AF5" w:rsidRDefault="00A627B7" w:rsidP="001461BA">
            <w:pPr>
              <w:autoSpaceDE w:val="0"/>
              <w:autoSpaceDN w:val="0"/>
              <w:adjustRightInd w:val="0"/>
              <w:spacing w:line="360" w:lineRule="auto"/>
              <w:jc w:val="both"/>
              <w:rPr>
                <w:rFonts w:cs="Tahoma"/>
                <w:bCs/>
                <w:sz w:val="20"/>
              </w:rPr>
            </w:pPr>
          </w:p>
        </w:tc>
      </w:tr>
      <w:tr w:rsidR="00A627B7" w14:paraId="1B6B678F" w14:textId="77777777" w:rsidTr="003C6623">
        <w:tc>
          <w:tcPr>
            <w:tcW w:w="3855" w:type="dxa"/>
            <w:hideMark/>
          </w:tcPr>
          <w:p w14:paraId="0A50DB29" w14:textId="77777777" w:rsidR="00A627B7" w:rsidRPr="003073D7" w:rsidRDefault="00A627B7" w:rsidP="001461BA">
            <w:pPr>
              <w:autoSpaceDE w:val="0"/>
              <w:autoSpaceDN w:val="0"/>
              <w:adjustRightInd w:val="0"/>
              <w:spacing w:line="360" w:lineRule="auto"/>
              <w:ind w:left="201"/>
              <w:jc w:val="both"/>
              <w:rPr>
                <w:rFonts w:cs="Tahoma"/>
                <w:bCs/>
                <w:sz w:val="20"/>
              </w:rPr>
            </w:pPr>
            <w:r w:rsidRPr="003073D7">
              <w:rPr>
                <w:rFonts w:cs="Tahoma"/>
                <w:bCs/>
                <w:sz w:val="20"/>
              </w:rPr>
              <w:t>Right</w:t>
            </w:r>
          </w:p>
        </w:tc>
        <w:tc>
          <w:tcPr>
            <w:tcW w:w="1700" w:type="dxa"/>
          </w:tcPr>
          <w:p w14:paraId="5AF45B28" w14:textId="77777777" w:rsidR="00A627B7" w:rsidRPr="003073D7" w:rsidRDefault="00A627B7" w:rsidP="001461BA">
            <w:pPr>
              <w:autoSpaceDE w:val="0"/>
              <w:autoSpaceDN w:val="0"/>
              <w:adjustRightInd w:val="0"/>
              <w:spacing w:line="360" w:lineRule="auto"/>
              <w:jc w:val="both"/>
              <w:rPr>
                <w:rFonts w:cs="Tahoma"/>
                <w:bCs/>
                <w:sz w:val="20"/>
              </w:rPr>
            </w:pPr>
            <w:r w:rsidRPr="003073D7">
              <w:rPr>
                <w:rFonts w:cs="Tahoma"/>
                <w:bCs/>
                <w:sz w:val="20"/>
              </w:rPr>
              <w:t>10 (48)</w:t>
            </w:r>
          </w:p>
        </w:tc>
        <w:tc>
          <w:tcPr>
            <w:tcW w:w="1559" w:type="dxa"/>
          </w:tcPr>
          <w:p w14:paraId="6B59EE43" w14:textId="77777777" w:rsidR="00A627B7" w:rsidRPr="003073D7" w:rsidRDefault="00A627B7" w:rsidP="001461BA">
            <w:pPr>
              <w:autoSpaceDE w:val="0"/>
              <w:autoSpaceDN w:val="0"/>
              <w:adjustRightInd w:val="0"/>
              <w:spacing w:line="360" w:lineRule="auto"/>
              <w:jc w:val="both"/>
              <w:rPr>
                <w:rFonts w:cs="Tahoma"/>
                <w:bCs/>
                <w:sz w:val="20"/>
              </w:rPr>
            </w:pPr>
            <w:r w:rsidRPr="003073D7">
              <w:rPr>
                <w:rFonts w:cs="Tahoma"/>
                <w:bCs/>
                <w:sz w:val="20"/>
              </w:rPr>
              <w:t>11 (55)</w:t>
            </w:r>
          </w:p>
        </w:tc>
      </w:tr>
      <w:tr w:rsidR="00A627B7" w14:paraId="61B8739A" w14:textId="77777777" w:rsidTr="003C6623">
        <w:tc>
          <w:tcPr>
            <w:tcW w:w="3855" w:type="dxa"/>
            <w:hideMark/>
          </w:tcPr>
          <w:p w14:paraId="02708AEE"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Size of pneumothorax at presentation </w:t>
            </w:r>
          </w:p>
        </w:tc>
        <w:tc>
          <w:tcPr>
            <w:tcW w:w="1700" w:type="dxa"/>
          </w:tcPr>
          <w:p w14:paraId="328E85DB" w14:textId="77777777" w:rsidR="00A627B7" w:rsidRDefault="00A627B7" w:rsidP="001461BA">
            <w:pPr>
              <w:autoSpaceDE w:val="0"/>
              <w:autoSpaceDN w:val="0"/>
              <w:adjustRightInd w:val="0"/>
              <w:spacing w:line="360" w:lineRule="auto"/>
              <w:jc w:val="both"/>
              <w:rPr>
                <w:rFonts w:cs="Tahoma"/>
                <w:bCs/>
                <w:sz w:val="20"/>
              </w:rPr>
            </w:pPr>
          </w:p>
        </w:tc>
        <w:tc>
          <w:tcPr>
            <w:tcW w:w="1559" w:type="dxa"/>
          </w:tcPr>
          <w:p w14:paraId="20B201A6" w14:textId="77777777" w:rsidR="00A627B7" w:rsidRDefault="00A627B7" w:rsidP="001461BA">
            <w:pPr>
              <w:autoSpaceDE w:val="0"/>
              <w:autoSpaceDN w:val="0"/>
              <w:adjustRightInd w:val="0"/>
              <w:spacing w:line="360" w:lineRule="auto"/>
              <w:jc w:val="both"/>
              <w:rPr>
                <w:rFonts w:cs="Tahoma"/>
                <w:bCs/>
                <w:sz w:val="20"/>
              </w:rPr>
            </w:pPr>
          </w:p>
        </w:tc>
      </w:tr>
      <w:tr w:rsidR="00A627B7" w14:paraId="1E992ACE" w14:textId="77777777" w:rsidTr="003C6623">
        <w:tc>
          <w:tcPr>
            <w:tcW w:w="3855" w:type="dxa"/>
          </w:tcPr>
          <w:p w14:paraId="7C37C437" w14:textId="77777777" w:rsidR="00A627B7" w:rsidRDefault="00A627B7" w:rsidP="001461BA">
            <w:pPr>
              <w:autoSpaceDE w:val="0"/>
              <w:autoSpaceDN w:val="0"/>
              <w:adjustRightInd w:val="0"/>
              <w:spacing w:line="360" w:lineRule="auto"/>
              <w:ind w:left="204"/>
              <w:jc w:val="both"/>
              <w:rPr>
                <w:rFonts w:cs="Tahoma"/>
                <w:bCs/>
                <w:sz w:val="20"/>
              </w:rPr>
            </w:pPr>
            <w:r>
              <w:rPr>
                <w:rFonts w:cs="Tahoma"/>
                <w:bCs/>
                <w:sz w:val="20"/>
              </w:rPr>
              <w:t>Interpleural distance at hilar point (cm)</w:t>
            </w:r>
          </w:p>
        </w:tc>
        <w:tc>
          <w:tcPr>
            <w:tcW w:w="1700" w:type="dxa"/>
          </w:tcPr>
          <w:p w14:paraId="026F7A0E" w14:textId="77777777" w:rsidR="00A627B7" w:rsidRDefault="00A627B7" w:rsidP="001461BA">
            <w:pPr>
              <w:autoSpaceDE w:val="0"/>
              <w:autoSpaceDN w:val="0"/>
              <w:adjustRightInd w:val="0"/>
              <w:spacing w:line="360" w:lineRule="auto"/>
              <w:jc w:val="both"/>
              <w:rPr>
                <w:rFonts w:cs="Tahoma"/>
                <w:bCs/>
                <w:sz w:val="20"/>
              </w:rPr>
            </w:pPr>
            <w:r>
              <w:rPr>
                <w:rFonts w:cs="Tahoma"/>
                <w:bCs/>
                <w:sz w:val="20"/>
              </w:rPr>
              <w:t>3.1 (2.0)</w:t>
            </w:r>
          </w:p>
        </w:tc>
        <w:tc>
          <w:tcPr>
            <w:tcW w:w="1559" w:type="dxa"/>
          </w:tcPr>
          <w:p w14:paraId="09AA192C" w14:textId="77777777" w:rsidR="00A627B7" w:rsidRDefault="00A627B7" w:rsidP="001461BA">
            <w:pPr>
              <w:autoSpaceDE w:val="0"/>
              <w:autoSpaceDN w:val="0"/>
              <w:adjustRightInd w:val="0"/>
              <w:spacing w:line="360" w:lineRule="auto"/>
              <w:jc w:val="both"/>
              <w:rPr>
                <w:rFonts w:cs="Tahoma"/>
                <w:bCs/>
                <w:sz w:val="20"/>
              </w:rPr>
            </w:pPr>
            <w:r>
              <w:rPr>
                <w:rFonts w:cs="Tahoma"/>
                <w:bCs/>
                <w:sz w:val="20"/>
              </w:rPr>
              <w:t>4.8 (2.8)</w:t>
            </w:r>
          </w:p>
        </w:tc>
      </w:tr>
      <w:tr w:rsidR="00A627B7" w14:paraId="439073B0" w14:textId="77777777" w:rsidTr="003C6623">
        <w:tc>
          <w:tcPr>
            <w:tcW w:w="3855" w:type="dxa"/>
          </w:tcPr>
          <w:p w14:paraId="750BE218" w14:textId="77777777" w:rsidR="00A627B7" w:rsidRDefault="00A627B7" w:rsidP="001461BA">
            <w:pPr>
              <w:autoSpaceDE w:val="0"/>
              <w:autoSpaceDN w:val="0"/>
              <w:adjustRightInd w:val="0"/>
              <w:spacing w:line="360" w:lineRule="auto"/>
              <w:ind w:left="204"/>
              <w:jc w:val="both"/>
              <w:rPr>
                <w:rFonts w:cs="Tahoma"/>
                <w:bCs/>
                <w:sz w:val="20"/>
              </w:rPr>
            </w:pPr>
            <w:r>
              <w:rPr>
                <w:rFonts w:cs="Tahoma"/>
                <w:bCs/>
                <w:sz w:val="20"/>
              </w:rPr>
              <w:t xml:space="preserve">Size </w:t>
            </w:r>
            <w:r>
              <w:rPr>
                <w:rFonts w:cstheme="minorHAnsi"/>
                <w:bCs/>
                <w:sz w:val="20"/>
              </w:rPr>
              <w:t>≥</w:t>
            </w:r>
            <w:r>
              <w:rPr>
                <w:rFonts w:cs="Tahoma"/>
                <w:bCs/>
                <w:sz w:val="20"/>
              </w:rPr>
              <w:t>2cm at hilum. No (%)</w:t>
            </w:r>
          </w:p>
        </w:tc>
        <w:tc>
          <w:tcPr>
            <w:tcW w:w="1700" w:type="dxa"/>
          </w:tcPr>
          <w:p w14:paraId="63EDBAF0"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15 (71)</w:t>
            </w:r>
          </w:p>
        </w:tc>
        <w:tc>
          <w:tcPr>
            <w:tcW w:w="1559" w:type="dxa"/>
          </w:tcPr>
          <w:p w14:paraId="32296BB8"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17 (85)</w:t>
            </w:r>
          </w:p>
        </w:tc>
      </w:tr>
      <w:tr w:rsidR="00A627B7" w14:paraId="691FA86D" w14:textId="77777777" w:rsidTr="003C6623">
        <w:tc>
          <w:tcPr>
            <w:tcW w:w="3855" w:type="dxa"/>
            <w:hideMark/>
          </w:tcPr>
          <w:p w14:paraId="17B2FA56" w14:textId="77777777" w:rsidR="00A627B7" w:rsidRDefault="00A627B7" w:rsidP="001461BA">
            <w:pPr>
              <w:autoSpaceDE w:val="0"/>
              <w:autoSpaceDN w:val="0"/>
              <w:adjustRightInd w:val="0"/>
              <w:spacing w:line="360" w:lineRule="auto"/>
              <w:jc w:val="both"/>
              <w:rPr>
                <w:rFonts w:cs="Tahoma"/>
                <w:bCs/>
                <w:sz w:val="20"/>
              </w:rPr>
            </w:pPr>
            <w:r>
              <w:rPr>
                <w:rFonts w:cs="Tahoma"/>
                <w:bCs/>
                <w:sz w:val="20"/>
              </w:rPr>
              <w:t>Smoking status No. (%)</w:t>
            </w:r>
          </w:p>
        </w:tc>
        <w:tc>
          <w:tcPr>
            <w:tcW w:w="1700" w:type="dxa"/>
          </w:tcPr>
          <w:p w14:paraId="483A6F16" w14:textId="77777777" w:rsidR="00A627B7" w:rsidRDefault="00A627B7" w:rsidP="001461BA">
            <w:pPr>
              <w:autoSpaceDE w:val="0"/>
              <w:autoSpaceDN w:val="0"/>
              <w:adjustRightInd w:val="0"/>
              <w:spacing w:line="360" w:lineRule="auto"/>
              <w:jc w:val="both"/>
              <w:rPr>
                <w:rFonts w:cs="Tahoma"/>
                <w:bCs/>
                <w:sz w:val="20"/>
              </w:rPr>
            </w:pPr>
          </w:p>
        </w:tc>
        <w:tc>
          <w:tcPr>
            <w:tcW w:w="1559" w:type="dxa"/>
          </w:tcPr>
          <w:p w14:paraId="04C48187" w14:textId="77777777" w:rsidR="00A627B7" w:rsidRDefault="00A627B7" w:rsidP="001461BA">
            <w:pPr>
              <w:autoSpaceDE w:val="0"/>
              <w:autoSpaceDN w:val="0"/>
              <w:adjustRightInd w:val="0"/>
              <w:spacing w:line="360" w:lineRule="auto"/>
              <w:jc w:val="both"/>
              <w:rPr>
                <w:rFonts w:cs="Tahoma"/>
                <w:bCs/>
                <w:sz w:val="20"/>
              </w:rPr>
            </w:pPr>
          </w:p>
        </w:tc>
      </w:tr>
      <w:tr w:rsidR="00A627B7" w14:paraId="628E1BFB" w14:textId="77777777" w:rsidTr="003C6623">
        <w:tc>
          <w:tcPr>
            <w:tcW w:w="3855" w:type="dxa"/>
            <w:hideMark/>
          </w:tcPr>
          <w:p w14:paraId="7E8D5747"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Current smoker</w:t>
            </w:r>
          </w:p>
        </w:tc>
        <w:tc>
          <w:tcPr>
            <w:tcW w:w="1700" w:type="dxa"/>
          </w:tcPr>
          <w:p w14:paraId="0F5A49DD" w14:textId="77777777" w:rsidR="00A627B7" w:rsidRDefault="00A627B7" w:rsidP="001461BA">
            <w:pPr>
              <w:autoSpaceDE w:val="0"/>
              <w:autoSpaceDN w:val="0"/>
              <w:adjustRightInd w:val="0"/>
              <w:spacing w:line="360" w:lineRule="auto"/>
              <w:jc w:val="both"/>
              <w:rPr>
                <w:rFonts w:cs="Tahoma"/>
                <w:bCs/>
                <w:sz w:val="20"/>
              </w:rPr>
            </w:pPr>
            <w:r>
              <w:rPr>
                <w:rFonts w:cs="Tahoma"/>
                <w:bCs/>
                <w:sz w:val="20"/>
              </w:rPr>
              <w:t>8 (38)</w:t>
            </w:r>
          </w:p>
        </w:tc>
        <w:tc>
          <w:tcPr>
            <w:tcW w:w="1559" w:type="dxa"/>
          </w:tcPr>
          <w:p w14:paraId="15D05B8F" w14:textId="77777777" w:rsidR="00A627B7" w:rsidRDefault="00A627B7" w:rsidP="001461BA">
            <w:pPr>
              <w:autoSpaceDE w:val="0"/>
              <w:autoSpaceDN w:val="0"/>
              <w:adjustRightInd w:val="0"/>
              <w:spacing w:line="360" w:lineRule="auto"/>
              <w:jc w:val="both"/>
              <w:rPr>
                <w:rFonts w:cs="Tahoma"/>
                <w:bCs/>
                <w:sz w:val="20"/>
              </w:rPr>
            </w:pPr>
            <w:r>
              <w:rPr>
                <w:rFonts w:cs="Tahoma"/>
                <w:bCs/>
                <w:sz w:val="20"/>
              </w:rPr>
              <w:t>5 (25)</w:t>
            </w:r>
          </w:p>
        </w:tc>
      </w:tr>
      <w:tr w:rsidR="00A627B7" w14:paraId="579716CE" w14:textId="77777777" w:rsidTr="003C6623">
        <w:tc>
          <w:tcPr>
            <w:tcW w:w="3855" w:type="dxa"/>
            <w:hideMark/>
          </w:tcPr>
          <w:p w14:paraId="00D45277"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Ex-smoker</w:t>
            </w:r>
          </w:p>
        </w:tc>
        <w:tc>
          <w:tcPr>
            <w:tcW w:w="1700" w:type="dxa"/>
          </w:tcPr>
          <w:p w14:paraId="6C6C5062"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11 (52)</w:t>
            </w:r>
          </w:p>
        </w:tc>
        <w:tc>
          <w:tcPr>
            <w:tcW w:w="1559" w:type="dxa"/>
          </w:tcPr>
          <w:p w14:paraId="12549F70"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15 (75)</w:t>
            </w:r>
          </w:p>
        </w:tc>
      </w:tr>
      <w:tr w:rsidR="00A627B7" w14:paraId="42310477" w14:textId="77777777" w:rsidTr="003C6623">
        <w:tc>
          <w:tcPr>
            <w:tcW w:w="3855" w:type="dxa"/>
            <w:hideMark/>
          </w:tcPr>
          <w:p w14:paraId="5A52B014"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Never-smoker</w:t>
            </w:r>
          </w:p>
        </w:tc>
        <w:tc>
          <w:tcPr>
            <w:tcW w:w="1700" w:type="dxa"/>
          </w:tcPr>
          <w:p w14:paraId="3139E7E7" w14:textId="77777777" w:rsidR="00A627B7" w:rsidRDefault="00A627B7" w:rsidP="001461BA">
            <w:pPr>
              <w:autoSpaceDE w:val="0"/>
              <w:autoSpaceDN w:val="0"/>
              <w:adjustRightInd w:val="0"/>
              <w:spacing w:line="360" w:lineRule="auto"/>
              <w:jc w:val="both"/>
              <w:rPr>
                <w:rFonts w:cs="Tahoma"/>
                <w:bCs/>
                <w:sz w:val="20"/>
              </w:rPr>
            </w:pPr>
            <w:r>
              <w:rPr>
                <w:rFonts w:cs="Tahoma"/>
                <w:bCs/>
                <w:sz w:val="20"/>
              </w:rPr>
              <w:t>2 (10)</w:t>
            </w:r>
          </w:p>
        </w:tc>
        <w:tc>
          <w:tcPr>
            <w:tcW w:w="1559" w:type="dxa"/>
          </w:tcPr>
          <w:p w14:paraId="15824D55"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0 </w:t>
            </w:r>
          </w:p>
        </w:tc>
      </w:tr>
      <w:tr w:rsidR="00A627B7" w14:paraId="5FDF5F34" w14:textId="77777777" w:rsidTr="003C6623">
        <w:tc>
          <w:tcPr>
            <w:tcW w:w="3855" w:type="dxa"/>
            <w:hideMark/>
          </w:tcPr>
          <w:p w14:paraId="6D851F65"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Pack-year history. Mean (SD)</w:t>
            </w:r>
          </w:p>
        </w:tc>
        <w:tc>
          <w:tcPr>
            <w:tcW w:w="1700" w:type="dxa"/>
          </w:tcPr>
          <w:p w14:paraId="2712618D" w14:textId="77777777" w:rsidR="00A627B7" w:rsidRDefault="00A627B7" w:rsidP="001461BA">
            <w:pPr>
              <w:autoSpaceDE w:val="0"/>
              <w:autoSpaceDN w:val="0"/>
              <w:adjustRightInd w:val="0"/>
              <w:spacing w:line="360" w:lineRule="auto"/>
              <w:jc w:val="both"/>
              <w:rPr>
                <w:rFonts w:cs="Tahoma"/>
                <w:bCs/>
                <w:sz w:val="20"/>
              </w:rPr>
            </w:pPr>
            <w:r>
              <w:rPr>
                <w:rFonts w:cs="Tahoma"/>
                <w:bCs/>
                <w:sz w:val="20"/>
              </w:rPr>
              <w:t>30.9 (12.8)</w:t>
            </w:r>
          </w:p>
        </w:tc>
        <w:tc>
          <w:tcPr>
            <w:tcW w:w="1559" w:type="dxa"/>
          </w:tcPr>
          <w:p w14:paraId="07351B71" w14:textId="77777777" w:rsidR="00A627B7" w:rsidRDefault="00A627B7" w:rsidP="001461BA">
            <w:pPr>
              <w:autoSpaceDE w:val="0"/>
              <w:autoSpaceDN w:val="0"/>
              <w:adjustRightInd w:val="0"/>
              <w:spacing w:line="360" w:lineRule="auto"/>
              <w:jc w:val="both"/>
              <w:rPr>
                <w:rFonts w:cs="Tahoma"/>
                <w:bCs/>
                <w:sz w:val="20"/>
              </w:rPr>
            </w:pPr>
            <w:r>
              <w:rPr>
                <w:rFonts w:cs="Tahoma"/>
                <w:bCs/>
                <w:sz w:val="20"/>
              </w:rPr>
              <w:t>37.6 (15.9)</w:t>
            </w:r>
          </w:p>
        </w:tc>
      </w:tr>
      <w:tr w:rsidR="00A627B7" w14:paraId="7436AE17" w14:textId="77777777" w:rsidTr="003C6623">
        <w:tc>
          <w:tcPr>
            <w:tcW w:w="3855" w:type="dxa"/>
            <w:hideMark/>
          </w:tcPr>
          <w:p w14:paraId="17542675"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Previous pneumothorax No (%) </w:t>
            </w:r>
          </w:p>
        </w:tc>
        <w:tc>
          <w:tcPr>
            <w:tcW w:w="1700" w:type="dxa"/>
          </w:tcPr>
          <w:p w14:paraId="125424CF" w14:textId="77777777" w:rsidR="00A627B7" w:rsidRDefault="00A627B7" w:rsidP="001461BA">
            <w:pPr>
              <w:autoSpaceDE w:val="0"/>
              <w:autoSpaceDN w:val="0"/>
              <w:adjustRightInd w:val="0"/>
              <w:spacing w:line="360" w:lineRule="auto"/>
              <w:jc w:val="both"/>
              <w:rPr>
                <w:rFonts w:cs="Tahoma"/>
                <w:bCs/>
                <w:sz w:val="20"/>
              </w:rPr>
            </w:pPr>
            <w:r>
              <w:rPr>
                <w:rFonts w:cs="Tahoma"/>
                <w:bCs/>
                <w:sz w:val="20"/>
              </w:rPr>
              <w:t>6 (29)</w:t>
            </w:r>
          </w:p>
        </w:tc>
        <w:tc>
          <w:tcPr>
            <w:tcW w:w="1559" w:type="dxa"/>
          </w:tcPr>
          <w:p w14:paraId="4114C58F" w14:textId="77777777" w:rsidR="00A627B7" w:rsidRDefault="00A627B7" w:rsidP="001461BA">
            <w:pPr>
              <w:autoSpaceDE w:val="0"/>
              <w:autoSpaceDN w:val="0"/>
              <w:adjustRightInd w:val="0"/>
              <w:spacing w:line="360" w:lineRule="auto"/>
              <w:jc w:val="both"/>
              <w:rPr>
                <w:rFonts w:cs="Tahoma"/>
                <w:bCs/>
                <w:sz w:val="20"/>
              </w:rPr>
            </w:pPr>
            <w:r>
              <w:rPr>
                <w:rFonts w:cs="Tahoma"/>
                <w:bCs/>
                <w:sz w:val="20"/>
              </w:rPr>
              <w:t>8 (40)</w:t>
            </w:r>
          </w:p>
        </w:tc>
      </w:tr>
      <w:tr w:rsidR="00A627B7" w14:paraId="3E0FE8FF" w14:textId="77777777" w:rsidTr="003C6623">
        <w:tc>
          <w:tcPr>
            <w:tcW w:w="3855" w:type="dxa"/>
            <w:hideMark/>
          </w:tcPr>
          <w:p w14:paraId="70C19FB7" w14:textId="77777777" w:rsidR="00A627B7" w:rsidRDefault="00A627B7" w:rsidP="001461BA">
            <w:pPr>
              <w:autoSpaceDE w:val="0"/>
              <w:autoSpaceDN w:val="0"/>
              <w:adjustRightInd w:val="0"/>
              <w:spacing w:line="360" w:lineRule="auto"/>
              <w:jc w:val="both"/>
              <w:rPr>
                <w:rFonts w:cs="Tahoma"/>
                <w:bCs/>
                <w:sz w:val="20"/>
              </w:rPr>
            </w:pPr>
            <w:r>
              <w:rPr>
                <w:rFonts w:cs="Tahoma"/>
                <w:bCs/>
                <w:sz w:val="20"/>
              </w:rPr>
              <w:lastRenderedPageBreak/>
              <w:t>Respiratory history No (%)</w:t>
            </w:r>
          </w:p>
        </w:tc>
        <w:tc>
          <w:tcPr>
            <w:tcW w:w="1700" w:type="dxa"/>
          </w:tcPr>
          <w:p w14:paraId="4F1916F5" w14:textId="77777777" w:rsidR="00A627B7" w:rsidRDefault="00A627B7" w:rsidP="001461BA">
            <w:pPr>
              <w:autoSpaceDE w:val="0"/>
              <w:autoSpaceDN w:val="0"/>
              <w:adjustRightInd w:val="0"/>
              <w:spacing w:line="360" w:lineRule="auto"/>
              <w:jc w:val="both"/>
              <w:rPr>
                <w:rFonts w:cs="Tahoma"/>
                <w:bCs/>
                <w:sz w:val="20"/>
              </w:rPr>
            </w:pPr>
          </w:p>
        </w:tc>
        <w:tc>
          <w:tcPr>
            <w:tcW w:w="1559" w:type="dxa"/>
          </w:tcPr>
          <w:p w14:paraId="10928900" w14:textId="77777777" w:rsidR="00A627B7" w:rsidRDefault="00A627B7" w:rsidP="001461BA">
            <w:pPr>
              <w:autoSpaceDE w:val="0"/>
              <w:autoSpaceDN w:val="0"/>
              <w:adjustRightInd w:val="0"/>
              <w:spacing w:line="360" w:lineRule="auto"/>
              <w:jc w:val="both"/>
              <w:rPr>
                <w:rFonts w:cs="Tahoma"/>
                <w:bCs/>
                <w:sz w:val="20"/>
              </w:rPr>
            </w:pPr>
          </w:p>
        </w:tc>
      </w:tr>
      <w:tr w:rsidR="00A627B7" w14:paraId="1543DD20" w14:textId="77777777" w:rsidTr="003C6623">
        <w:tc>
          <w:tcPr>
            <w:tcW w:w="3855" w:type="dxa"/>
            <w:hideMark/>
          </w:tcPr>
          <w:p w14:paraId="036A5602"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COPD</w:t>
            </w:r>
          </w:p>
        </w:tc>
        <w:tc>
          <w:tcPr>
            <w:tcW w:w="1700" w:type="dxa"/>
          </w:tcPr>
          <w:p w14:paraId="21723643"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15 (71)</w:t>
            </w:r>
          </w:p>
        </w:tc>
        <w:tc>
          <w:tcPr>
            <w:tcW w:w="1559" w:type="dxa"/>
          </w:tcPr>
          <w:p w14:paraId="35987046"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12 (60)</w:t>
            </w:r>
          </w:p>
        </w:tc>
      </w:tr>
      <w:tr w:rsidR="00A627B7" w14:paraId="30FC9C8F" w14:textId="77777777" w:rsidTr="003C6623">
        <w:tc>
          <w:tcPr>
            <w:tcW w:w="3855" w:type="dxa"/>
            <w:hideMark/>
          </w:tcPr>
          <w:p w14:paraId="6786D609"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Asthma</w:t>
            </w:r>
          </w:p>
        </w:tc>
        <w:tc>
          <w:tcPr>
            <w:tcW w:w="1700" w:type="dxa"/>
          </w:tcPr>
          <w:p w14:paraId="3ACE0710" w14:textId="77777777" w:rsidR="00A627B7" w:rsidRDefault="00A627B7" w:rsidP="001461BA">
            <w:pPr>
              <w:autoSpaceDE w:val="0"/>
              <w:autoSpaceDN w:val="0"/>
              <w:adjustRightInd w:val="0"/>
              <w:spacing w:line="360" w:lineRule="auto"/>
              <w:jc w:val="both"/>
              <w:rPr>
                <w:rFonts w:cs="Tahoma"/>
                <w:bCs/>
                <w:sz w:val="20"/>
              </w:rPr>
            </w:pPr>
            <w:r>
              <w:rPr>
                <w:rFonts w:cs="Tahoma"/>
                <w:bCs/>
                <w:sz w:val="20"/>
              </w:rPr>
              <w:t>3 (14)</w:t>
            </w:r>
          </w:p>
        </w:tc>
        <w:tc>
          <w:tcPr>
            <w:tcW w:w="1559" w:type="dxa"/>
          </w:tcPr>
          <w:p w14:paraId="0CF1CAF4" w14:textId="77777777" w:rsidR="00A627B7" w:rsidRDefault="00A627B7" w:rsidP="001461BA">
            <w:pPr>
              <w:autoSpaceDE w:val="0"/>
              <w:autoSpaceDN w:val="0"/>
              <w:adjustRightInd w:val="0"/>
              <w:spacing w:line="360" w:lineRule="auto"/>
              <w:jc w:val="both"/>
              <w:rPr>
                <w:rFonts w:cs="Tahoma"/>
                <w:bCs/>
                <w:sz w:val="20"/>
              </w:rPr>
            </w:pPr>
            <w:r>
              <w:rPr>
                <w:rFonts w:cs="Tahoma"/>
                <w:bCs/>
                <w:sz w:val="20"/>
              </w:rPr>
              <w:t>4 (20)</w:t>
            </w:r>
          </w:p>
        </w:tc>
      </w:tr>
      <w:tr w:rsidR="00A627B7" w14:paraId="460E09CC" w14:textId="77777777" w:rsidTr="003C6623">
        <w:tc>
          <w:tcPr>
            <w:tcW w:w="3855" w:type="dxa"/>
            <w:hideMark/>
          </w:tcPr>
          <w:p w14:paraId="660EE9AC"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Interstitial Lung Disease</w:t>
            </w:r>
          </w:p>
        </w:tc>
        <w:tc>
          <w:tcPr>
            <w:tcW w:w="1700" w:type="dxa"/>
          </w:tcPr>
          <w:p w14:paraId="65274F83"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 (5)</w:t>
            </w:r>
          </w:p>
        </w:tc>
        <w:tc>
          <w:tcPr>
            <w:tcW w:w="1559" w:type="dxa"/>
          </w:tcPr>
          <w:p w14:paraId="3022413D"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0 </w:t>
            </w:r>
          </w:p>
        </w:tc>
      </w:tr>
      <w:tr w:rsidR="00A627B7" w14:paraId="467085A1" w14:textId="77777777" w:rsidTr="003C6623">
        <w:tc>
          <w:tcPr>
            <w:tcW w:w="3855" w:type="dxa"/>
            <w:hideMark/>
          </w:tcPr>
          <w:p w14:paraId="239AB6A5"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Non-CF Bronchiectasis </w:t>
            </w:r>
          </w:p>
        </w:tc>
        <w:tc>
          <w:tcPr>
            <w:tcW w:w="1700" w:type="dxa"/>
          </w:tcPr>
          <w:p w14:paraId="015DA220"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0 </w:t>
            </w:r>
          </w:p>
        </w:tc>
        <w:tc>
          <w:tcPr>
            <w:tcW w:w="1559" w:type="dxa"/>
          </w:tcPr>
          <w:p w14:paraId="0021525D"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0 </w:t>
            </w:r>
          </w:p>
        </w:tc>
      </w:tr>
      <w:tr w:rsidR="00A627B7" w14:paraId="7047F305" w14:textId="77777777" w:rsidTr="003C6623">
        <w:tc>
          <w:tcPr>
            <w:tcW w:w="3855" w:type="dxa"/>
            <w:tcBorders>
              <w:bottom w:val="single" w:sz="4" w:space="0" w:color="auto"/>
            </w:tcBorders>
            <w:hideMark/>
          </w:tcPr>
          <w:p w14:paraId="65C33EE3"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Lung Cancer</w:t>
            </w:r>
          </w:p>
        </w:tc>
        <w:tc>
          <w:tcPr>
            <w:tcW w:w="1700" w:type="dxa"/>
            <w:tcBorders>
              <w:bottom w:val="single" w:sz="4" w:space="0" w:color="auto"/>
            </w:tcBorders>
          </w:tcPr>
          <w:p w14:paraId="0E507CA9"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0 </w:t>
            </w:r>
          </w:p>
        </w:tc>
        <w:tc>
          <w:tcPr>
            <w:tcW w:w="1559" w:type="dxa"/>
            <w:tcBorders>
              <w:bottom w:val="single" w:sz="4" w:space="0" w:color="auto"/>
            </w:tcBorders>
          </w:tcPr>
          <w:p w14:paraId="40CB0BFA" w14:textId="77777777" w:rsidR="00A627B7" w:rsidRDefault="00A627B7" w:rsidP="001461BA">
            <w:pPr>
              <w:autoSpaceDE w:val="0"/>
              <w:autoSpaceDN w:val="0"/>
              <w:adjustRightInd w:val="0"/>
              <w:spacing w:line="360" w:lineRule="auto"/>
              <w:jc w:val="both"/>
              <w:rPr>
                <w:rFonts w:cs="Tahoma"/>
                <w:bCs/>
                <w:sz w:val="20"/>
              </w:rPr>
            </w:pPr>
            <w:r>
              <w:rPr>
                <w:rFonts w:cs="Tahoma"/>
                <w:bCs/>
                <w:sz w:val="20"/>
              </w:rPr>
              <w:t>2 (10)</w:t>
            </w:r>
          </w:p>
        </w:tc>
      </w:tr>
      <w:tr w:rsidR="00A627B7" w14:paraId="024965C7" w14:textId="77777777" w:rsidTr="003C6623">
        <w:tc>
          <w:tcPr>
            <w:tcW w:w="3855" w:type="dxa"/>
            <w:hideMark/>
          </w:tcPr>
          <w:p w14:paraId="1342FF4E" w14:textId="77777777" w:rsidR="00A627B7" w:rsidRDefault="00A627B7" w:rsidP="001461BA">
            <w:pPr>
              <w:autoSpaceDE w:val="0"/>
              <w:autoSpaceDN w:val="0"/>
              <w:adjustRightInd w:val="0"/>
              <w:spacing w:line="360" w:lineRule="auto"/>
              <w:jc w:val="both"/>
              <w:rPr>
                <w:rFonts w:cs="Tahoma"/>
                <w:bCs/>
                <w:sz w:val="20"/>
              </w:rPr>
            </w:pPr>
            <w:r>
              <w:rPr>
                <w:rFonts w:cs="Tahoma"/>
                <w:bCs/>
                <w:sz w:val="20"/>
              </w:rPr>
              <w:t xml:space="preserve">     Intercurrent pulmonary infection</w:t>
            </w:r>
          </w:p>
        </w:tc>
        <w:tc>
          <w:tcPr>
            <w:tcW w:w="1700" w:type="dxa"/>
          </w:tcPr>
          <w:p w14:paraId="0C4909D0" w14:textId="77777777" w:rsidR="00A627B7" w:rsidRDefault="00A627B7" w:rsidP="001461BA">
            <w:pPr>
              <w:autoSpaceDE w:val="0"/>
              <w:autoSpaceDN w:val="0"/>
              <w:adjustRightInd w:val="0"/>
              <w:spacing w:line="360" w:lineRule="auto"/>
              <w:jc w:val="both"/>
              <w:rPr>
                <w:rFonts w:cs="Tahoma"/>
                <w:bCs/>
                <w:sz w:val="20"/>
              </w:rPr>
            </w:pPr>
            <w:r>
              <w:rPr>
                <w:rFonts w:cs="Tahoma"/>
                <w:bCs/>
                <w:sz w:val="20"/>
              </w:rPr>
              <w:t>0</w:t>
            </w:r>
          </w:p>
        </w:tc>
        <w:tc>
          <w:tcPr>
            <w:tcW w:w="1559" w:type="dxa"/>
          </w:tcPr>
          <w:p w14:paraId="690A260F" w14:textId="77777777" w:rsidR="00A627B7" w:rsidRDefault="00A627B7" w:rsidP="001461BA">
            <w:pPr>
              <w:autoSpaceDE w:val="0"/>
              <w:autoSpaceDN w:val="0"/>
              <w:adjustRightInd w:val="0"/>
              <w:spacing w:line="360" w:lineRule="auto"/>
              <w:jc w:val="both"/>
              <w:rPr>
                <w:rFonts w:cs="Tahoma"/>
                <w:bCs/>
                <w:sz w:val="20"/>
              </w:rPr>
            </w:pPr>
            <w:r>
              <w:rPr>
                <w:rFonts w:cs="Tahoma"/>
                <w:bCs/>
                <w:sz w:val="20"/>
              </w:rPr>
              <w:t>1 (5)</w:t>
            </w:r>
          </w:p>
        </w:tc>
      </w:tr>
      <w:tr w:rsidR="00A627B7" w14:paraId="5AED69B0" w14:textId="77777777" w:rsidTr="003C6623">
        <w:tc>
          <w:tcPr>
            <w:tcW w:w="7114" w:type="dxa"/>
            <w:gridSpan w:val="3"/>
            <w:tcBorders>
              <w:bottom w:val="double" w:sz="12" w:space="0" w:color="auto"/>
            </w:tcBorders>
          </w:tcPr>
          <w:p w14:paraId="54D23545" w14:textId="77777777" w:rsidR="00A627B7" w:rsidRDefault="00A627B7" w:rsidP="001461BA">
            <w:pPr>
              <w:autoSpaceDE w:val="0"/>
              <w:autoSpaceDN w:val="0"/>
              <w:adjustRightInd w:val="0"/>
              <w:spacing w:line="360" w:lineRule="auto"/>
              <w:jc w:val="both"/>
              <w:rPr>
                <w:rFonts w:asciiTheme="majorHAnsi" w:hAnsiTheme="majorHAnsi" w:cstheme="majorHAnsi"/>
                <w:b/>
                <w:sz w:val="20"/>
                <w:szCs w:val="20"/>
              </w:rPr>
            </w:pPr>
            <w:r w:rsidRPr="003073D7">
              <w:rPr>
                <w:rFonts w:asciiTheme="majorHAnsi" w:hAnsiTheme="majorHAnsi" w:cstheme="majorHAnsi"/>
                <w:b/>
                <w:sz w:val="20"/>
                <w:szCs w:val="20"/>
              </w:rPr>
              <w:t>Table 1: Baseline characteristics by treatment allocation</w:t>
            </w:r>
          </w:p>
          <w:p w14:paraId="1F5277D4" w14:textId="77777777" w:rsidR="00A627B7" w:rsidRPr="003073D7" w:rsidRDefault="00A627B7" w:rsidP="001461BA">
            <w:pPr>
              <w:autoSpaceDE w:val="0"/>
              <w:autoSpaceDN w:val="0"/>
              <w:adjustRightInd w:val="0"/>
              <w:spacing w:line="360" w:lineRule="auto"/>
              <w:jc w:val="both"/>
              <w:rPr>
                <w:rFonts w:asciiTheme="majorHAnsi" w:hAnsiTheme="majorHAnsi" w:cstheme="majorHAnsi"/>
                <w:b/>
                <w:sz w:val="20"/>
                <w:szCs w:val="20"/>
              </w:rPr>
            </w:pPr>
            <w:r w:rsidRPr="00E16188">
              <w:rPr>
                <w:rFonts w:asciiTheme="majorHAnsi" w:hAnsiTheme="majorHAnsi" w:cstheme="majorHAnsi"/>
                <w:b/>
                <w:sz w:val="18"/>
                <w:szCs w:val="18"/>
              </w:rPr>
              <w:t xml:space="preserve">COPD, Chronic obstructive pulmonary disease; CF, Cystic fibrosis </w:t>
            </w:r>
          </w:p>
        </w:tc>
      </w:tr>
      <w:bookmarkEnd w:id="2"/>
    </w:tbl>
    <w:p w14:paraId="60FC7195" w14:textId="77777777" w:rsidR="002D0529" w:rsidRDefault="002D0529" w:rsidP="007D0198">
      <w:pPr>
        <w:autoSpaceDE w:val="0"/>
        <w:autoSpaceDN w:val="0"/>
        <w:adjustRightInd w:val="0"/>
        <w:spacing w:after="0" w:line="240" w:lineRule="auto"/>
        <w:jc w:val="both"/>
        <w:rPr>
          <w:rFonts w:ascii="Calibri" w:hAnsi="Calibri" w:cs="Calibri"/>
        </w:rPr>
      </w:pPr>
    </w:p>
    <w:p w14:paraId="4F9E4981" w14:textId="77777777" w:rsidR="002D0529" w:rsidRDefault="002D0529" w:rsidP="007D0198">
      <w:pPr>
        <w:autoSpaceDE w:val="0"/>
        <w:autoSpaceDN w:val="0"/>
        <w:adjustRightInd w:val="0"/>
        <w:spacing w:after="0" w:line="240" w:lineRule="auto"/>
        <w:jc w:val="both"/>
        <w:rPr>
          <w:rFonts w:ascii="Calibri" w:hAnsi="Calibri" w:cs="Calibri"/>
        </w:rPr>
      </w:pPr>
    </w:p>
    <w:p w14:paraId="0676B4AE" w14:textId="77777777" w:rsidR="002D0529" w:rsidRPr="00CE553C" w:rsidRDefault="002D0529" w:rsidP="007D0198">
      <w:pPr>
        <w:autoSpaceDE w:val="0"/>
        <w:autoSpaceDN w:val="0"/>
        <w:adjustRightInd w:val="0"/>
        <w:spacing w:after="0" w:line="240" w:lineRule="auto"/>
        <w:jc w:val="both"/>
        <w:rPr>
          <w:rFonts w:ascii="Calibri" w:hAnsi="Calibri" w:cs="Calibri"/>
          <w:b/>
          <w:bCs/>
        </w:rPr>
      </w:pPr>
      <w:r w:rsidRPr="00CE553C">
        <w:rPr>
          <w:rFonts w:ascii="Calibri" w:hAnsi="Calibri" w:cs="Calibri"/>
          <w:b/>
          <w:bCs/>
        </w:rPr>
        <w:t>Primary analysis</w:t>
      </w:r>
    </w:p>
    <w:p w14:paraId="12FE3062" w14:textId="77777777"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Total hospitalisation in the first 30 days was 6 days (IQR 1-15.5) in those who received ambulatory care and 6 days (IQR 2.25-15.5) in those who received standard care (p =0.77) (Table 2). </w:t>
      </w:r>
    </w:p>
    <w:p w14:paraId="3C92E9C8" w14:textId="77777777" w:rsidR="002D0529" w:rsidRDefault="002D0529" w:rsidP="007D0198">
      <w:pPr>
        <w:autoSpaceDE w:val="0"/>
        <w:autoSpaceDN w:val="0"/>
        <w:adjustRightInd w:val="0"/>
        <w:spacing w:after="0" w:line="240" w:lineRule="auto"/>
        <w:jc w:val="both"/>
        <w:rPr>
          <w:rFonts w:ascii="Calibri" w:hAnsi="Calibri" w:cs="Calibri"/>
        </w:rPr>
      </w:pPr>
    </w:p>
    <w:tbl>
      <w:tblPr>
        <w:tblW w:w="517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82"/>
        <w:gridCol w:w="782"/>
        <w:gridCol w:w="780"/>
        <w:gridCol w:w="712"/>
        <w:gridCol w:w="849"/>
        <w:gridCol w:w="165"/>
        <w:gridCol w:w="696"/>
        <w:gridCol w:w="970"/>
        <w:gridCol w:w="836"/>
        <w:gridCol w:w="841"/>
        <w:gridCol w:w="836"/>
      </w:tblGrid>
      <w:tr w:rsidR="002D0529" w:rsidRPr="00C550A1" w14:paraId="0C626C40" w14:textId="77777777" w:rsidTr="007D0EEC">
        <w:trPr>
          <w:cantSplit/>
          <w:trHeight w:val="896"/>
        </w:trPr>
        <w:tc>
          <w:tcPr>
            <w:tcW w:w="1007" w:type="pct"/>
            <w:tcBorders>
              <w:top w:val="single" w:sz="8" w:space="0" w:color="auto"/>
              <w:left w:val="nil"/>
              <w:bottom w:val="nil"/>
              <w:right w:val="nil"/>
            </w:tcBorders>
            <w:shd w:val="clear" w:color="auto" w:fill="FFFFFF"/>
          </w:tcPr>
          <w:p w14:paraId="6B1F70C0"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1670" w:type="pct"/>
            <w:gridSpan w:val="4"/>
            <w:tcBorders>
              <w:top w:val="single" w:sz="8" w:space="0" w:color="auto"/>
              <w:left w:val="nil"/>
              <w:bottom w:val="single" w:sz="8" w:space="0" w:color="auto"/>
              <w:right w:val="nil"/>
            </w:tcBorders>
            <w:shd w:val="clear" w:color="auto" w:fill="FFFFFF"/>
          </w:tcPr>
          <w:p w14:paraId="30356073" w14:textId="77777777" w:rsidR="002D0529"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Ambulatory care</w:t>
            </w:r>
          </w:p>
          <w:p w14:paraId="0AC1E86F"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(flutter valve)</w:t>
            </w:r>
          </w:p>
        </w:tc>
        <w:tc>
          <w:tcPr>
            <w:tcW w:w="88" w:type="pct"/>
            <w:tcBorders>
              <w:top w:val="single" w:sz="8" w:space="0" w:color="auto"/>
              <w:left w:val="nil"/>
              <w:bottom w:val="single" w:sz="8" w:space="0" w:color="auto"/>
              <w:right w:val="nil"/>
            </w:tcBorders>
            <w:shd w:val="clear" w:color="auto" w:fill="FFFFFF"/>
          </w:tcPr>
          <w:p w14:paraId="4BFE96D5"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1788" w:type="pct"/>
            <w:gridSpan w:val="4"/>
            <w:tcBorders>
              <w:top w:val="single" w:sz="8" w:space="0" w:color="auto"/>
              <w:left w:val="nil"/>
              <w:bottom w:val="single" w:sz="8" w:space="0" w:color="auto"/>
              <w:right w:val="nil"/>
            </w:tcBorders>
            <w:shd w:val="clear" w:color="auto" w:fill="FFFFFF"/>
          </w:tcPr>
          <w:p w14:paraId="00ED3F2D" w14:textId="77777777" w:rsidR="002D0529"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 xml:space="preserve">Standard care </w:t>
            </w:r>
          </w:p>
          <w:p w14:paraId="289D5400"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(Chest tube)</w:t>
            </w:r>
          </w:p>
        </w:tc>
        <w:tc>
          <w:tcPr>
            <w:tcW w:w="447" w:type="pct"/>
            <w:tcBorders>
              <w:top w:val="single" w:sz="8" w:space="0" w:color="auto"/>
              <w:left w:val="nil"/>
              <w:bottom w:val="single" w:sz="8" w:space="0" w:color="auto"/>
              <w:right w:val="nil"/>
            </w:tcBorders>
            <w:shd w:val="clear" w:color="auto" w:fill="FFFFFF"/>
          </w:tcPr>
          <w:p w14:paraId="36AC55C0" w14:textId="77777777" w:rsidR="002D0529"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r>
      <w:tr w:rsidR="002D0529" w:rsidRPr="00C550A1" w14:paraId="64B8D658" w14:textId="77777777" w:rsidTr="0057049D">
        <w:trPr>
          <w:cantSplit/>
          <w:trHeight w:val="538"/>
        </w:trPr>
        <w:tc>
          <w:tcPr>
            <w:tcW w:w="1007" w:type="pct"/>
            <w:tcBorders>
              <w:top w:val="single" w:sz="8" w:space="0" w:color="auto"/>
              <w:left w:val="nil"/>
              <w:bottom w:val="nil"/>
              <w:right w:val="nil"/>
            </w:tcBorders>
            <w:shd w:val="clear" w:color="auto" w:fill="FFFFFF"/>
          </w:tcPr>
          <w:p w14:paraId="36DF859A"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418" w:type="pct"/>
            <w:tcBorders>
              <w:top w:val="single" w:sz="8" w:space="0" w:color="auto"/>
              <w:left w:val="nil"/>
              <w:bottom w:val="single" w:sz="8" w:space="0" w:color="auto"/>
              <w:right w:val="nil"/>
            </w:tcBorders>
            <w:shd w:val="clear" w:color="auto" w:fill="FFFFFF"/>
          </w:tcPr>
          <w:p w14:paraId="3815412F"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N</w:t>
            </w:r>
          </w:p>
        </w:tc>
        <w:tc>
          <w:tcPr>
            <w:tcW w:w="417" w:type="pct"/>
            <w:tcBorders>
              <w:top w:val="single" w:sz="8" w:space="0" w:color="auto"/>
              <w:left w:val="nil"/>
              <w:bottom w:val="single" w:sz="8" w:space="0" w:color="auto"/>
              <w:right w:val="nil"/>
            </w:tcBorders>
            <w:shd w:val="clear" w:color="auto" w:fill="FFFFFF"/>
          </w:tcPr>
          <w:p w14:paraId="2272728E"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Mean</w:t>
            </w:r>
          </w:p>
        </w:tc>
        <w:tc>
          <w:tcPr>
            <w:tcW w:w="381" w:type="pct"/>
            <w:tcBorders>
              <w:top w:val="single" w:sz="8" w:space="0" w:color="auto"/>
              <w:left w:val="nil"/>
              <w:bottom w:val="single" w:sz="8" w:space="0" w:color="auto"/>
              <w:right w:val="nil"/>
            </w:tcBorders>
            <w:shd w:val="clear" w:color="auto" w:fill="FFFFFF"/>
          </w:tcPr>
          <w:p w14:paraId="1BA17A32"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Median</w:t>
            </w:r>
          </w:p>
        </w:tc>
        <w:tc>
          <w:tcPr>
            <w:tcW w:w="454" w:type="pct"/>
            <w:tcBorders>
              <w:top w:val="single" w:sz="8" w:space="0" w:color="auto"/>
              <w:left w:val="nil"/>
              <w:bottom w:val="single" w:sz="8" w:space="0" w:color="auto"/>
              <w:right w:val="nil"/>
            </w:tcBorders>
            <w:shd w:val="clear" w:color="auto" w:fill="FFFFFF"/>
          </w:tcPr>
          <w:p w14:paraId="1CD98404"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IQR</w:t>
            </w:r>
          </w:p>
        </w:tc>
        <w:tc>
          <w:tcPr>
            <w:tcW w:w="88" w:type="pct"/>
            <w:tcBorders>
              <w:top w:val="single" w:sz="8" w:space="0" w:color="auto"/>
              <w:left w:val="nil"/>
              <w:bottom w:val="nil"/>
              <w:right w:val="nil"/>
            </w:tcBorders>
            <w:shd w:val="clear" w:color="auto" w:fill="FFFFFF"/>
          </w:tcPr>
          <w:p w14:paraId="5FAA5B9A"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372" w:type="pct"/>
            <w:tcBorders>
              <w:top w:val="single" w:sz="8" w:space="0" w:color="auto"/>
              <w:left w:val="nil"/>
              <w:bottom w:val="single" w:sz="8" w:space="0" w:color="auto"/>
              <w:right w:val="nil"/>
            </w:tcBorders>
            <w:shd w:val="clear" w:color="auto" w:fill="FFFFFF"/>
          </w:tcPr>
          <w:p w14:paraId="25890E18"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N</w:t>
            </w:r>
          </w:p>
        </w:tc>
        <w:tc>
          <w:tcPr>
            <w:tcW w:w="519" w:type="pct"/>
            <w:tcBorders>
              <w:top w:val="single" w:sz="8" w:space="0" w:color="auto"/>
              <w:left w:val="nil"/>
              <w:bottom w:val="single" w:sz="8" w:space="0" w:color="auto"/>
              <w:right w:val="nil"/>
            </w:tcBorders>
            <w:shd w:val="clear" w:color="auto" w:fill="FFFFFF"/>
          </w:tcPr>
          <w:p w14:paraId="15EE7ED2"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Mean</w:t>
            </w:r>
          </w:p>
        </w:tc>
        <w:tc>
          <w:tcPr>
            <w:tcW w:w="447" w:type="pct"/>
            <w:tcBorders>
              <w:top w:val="single" w:sz="8" w:space="0" w:color="auto"/>
              <w:left w:val="nil"/>
              <w:bottom w:val="single" w:sz="8" w:space="0" w:color="auto"/>
              <w:right w:val="nil"/>
            </w:tcBorders>
            <w:shd w:val="clear" w:color="auto" w:fill="FFFFFF"/>
          </w:tcPr>
          <w:p w14:paraId="7983F86E"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Median</w:t>
            </w:r>
          </w:p>
        </w:tc>
        <w:tc>
          <w:tcPr>
            <w:tcW w:w="450" w:type="pct"/>
            <w:tcBorders>
              <w:top w:val="single" w:sz="8" w:space="0" w:color="auto"/>
              <w:left w:val="nil"/>
              <w:bottom w:val="single" w:sz="8" w:space="0" w:color="auto"/>
              <w:right w:val="nil"/>
            </w:tcBorders>
            <w:shd w:val="clear" w:color="auto" w:fill="FFFFFF"/>
          </w:tcPr>
          <w:p w14:paraId="56DE925D"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IQR</w:t>
            </w:r>
          </w:p>
        </w:tc>
        <w:tc>
          <w:tcPr>
            <w:tcW w:w="447" w:type="pct"/>
            <w:tcBorders>
              <w:top w:val="single" w:sz="8" w:space="0" w:color="auto"/>
              <w:left w:val="nil"/>
              <w:bottom w:val="single" w:sz="8" w:space="0" w:color="auto"/>
              <w:right w:val="nil"/>
            </w:tcBorders>
            <w:shd w:val="clear" w:color="auto" w:fill="FFFFFF"/>
          </w:tcPr>
          <w:p w14:paraId="33A1E41C"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P value</w:t>
            </w:r>
          </w:p>
        </w:tc>
      </w:tr>
      <w:tr w:rsidR="002D0529" w:rsidRPr="00C550A1" w14:paraId="69724861" w14:textId="77777777" w:rsidTr="007D0EEC">
        <w:trPr>
          <w:cantSplit/>
          <w:trHeight w:val="538"/>
        </w:trPr>
        <w:tc>
          <w:tcPr>
            <w:tcW w:w="1007" w:type="pct"/>
            <w:tcBorders>
              <w:top w:val="nil"/>
              <w:left w:val="nil"/>
              <w:bottom w:val="nil"/>
              <w:right w:val="nil"/>
            </w:tcBorders>
            <w:shd w:val="clear" w:color="auto" w:fill="FFFFFF"/>
          </w:tcPr>
          <w:p w14:paraId="2203D572"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550A1">
              <w:rPr>
                <w:rFonts w:ascii="Arial" w:hAnsi="Arial" w:cs="Arial"/>
                <w:color w:val="000000"/>
                <w:sz w:val="18"/>
                <w:szCs w:val="18"/>
              </w:rPr>
              <w:t xml:space="preserve">Length of </w:t>
            </w:r>
            <w:r>
              <w:rPr>
                <w:rFonts w:ascii="Arial" w:hAnsi="Arial" w:cs="Arial"/>
                <w:color w:val="000000"/>
                <w:sz w:val="18"/>
                <w:szCs w:val="18"/>
              </w:rPr>
              <w:t>Hospital s</w:t>
            </w:r>
            <w:r w:rsidRPr="00C550A1">
              <w:rPr>
                <w:rFonts w:ascii="Arial" w:hAnsi="Arial" w:cs="Arial"/>
                <w:color w:val="000000"/>
                <w:sz w:val="18"/>
                <w:szCs w:val="18"/>
              </w:rPr>
              <w:t>tay</w:t>
            </w:r>
          </w:p>
        </w:tc>
        <w:tc>
          <w:tcPr>
            <w:tcW w:w="418" w:type="pct"/>
            <w:tcBorders>
              <w:top w:val="single" w:sz="8" w:space="0" w:color="auto"/>
              <w:left w:val="nil"/>
              <w:bottom w:val="single" w:sz="8" w:space="0" w:color="auto"/>
              <w:right w:val="nil"/>
            </w:tcBorders>
            <w:shd w:val="clear" w:color="auto" w:fill="FFFFFF"/>
          </w:tcPr>
          <w:p w14:paraId="08204A56"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21</w:t>
            </w:r>
          </w:p>
        </w:tc>
        <w:tc>
          <w:tcPr>
            <w:tcW w:w="417" w:type="pct"/>
            <w:tcBorders>
              <w:top w:val="single" w:sz="8" w:space="0" w:color="auto"/>
              <w:left w:val="nil"/>
              <w:bottom w:val="single" w:sz="8" w:space="0" w:color="auto"/>
              <w:right w:val="nil"/>
            </w:tcBorders>
            <w:shd w:val="clear" w:color="auto" w:fill="FFFFFF"/>
          </w:tcPr>
          <w:p w14:paraId="59D08980"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11.57</w:t>
            </w:r>
          </w:p>
        </w:tc>
        <w:tc>
          <w:tcPr>
            <w:tcW w:w="381" w:type="pct"/>
            <w:tcBorders>
              <w:top w:val="single" w:sz="8" w:space="0" w:color="auto"/>
              <w:left w:val="nil"/>
              <w:bottom w:val="single" w:sz="8" w:space="0" w:color="auto"/>
              <w:right w:val="nil"/>
            </w:tcBorders>
            <w:shd w:val="clear" w:color="auto" w:fill="FFFFFF"/>
          </w:tcPr>
          <w:p w14:paraId="3037DF8C"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6.00</w:t>
            </w:r>
          </w:p>
        </w:tc>
        <w:tc>
          <w:tcPr>
            <w:tcW w:w="454" w:type="pct"/>
            <w:tcBorders>
              <w:top w:val="single" w:sz="8" w:space="0" w:color="auto"/>
              <w:left w:val="nil"/>
              <w:bottom w:val="single" w:sz="8" w:space="0" w:color="auto"/>
              <w:right w:val="nil"/>
            </w:tcBorders>
            <w:shd w:val="clear" w:color="auto" w:fill="FFFFFF"/>
          </w:tcPr>
          <w:p w14:paraId="6A87D4D9"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1.00-15.50</w:t>
            </w:r>
          </w:p>
        </w:tc>
        <w:tc>
          <w:tcPr>
            <w:tcW w:w="88" w:type="pct"/>
            <w:tcBorders>
              <w:top w:val="single" w:sz="8" w:space="0" w:color="auto"/>
              <w:left w:val="nil"/>
              <w:bottom w:val="single" w:sz="8" w:space="0" w:color="auto"/>
              <w:right w:val="nil"/>
            </w:tcBorders>
            <w:shd w:val="clear" w:color="auto" w:fill="FFFFFF"/>
          </w:tcPr>
          <w:p w14:paraId="77FD849C"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372" w:type="pct"/>
            <w:tcBorders>
              <w:top w:val="single" w:sz="8" w:space="0" w:color="auto"/>
              <w:left w:val="nil"/>
              <w:bottom w:val="single" w:sz="8" w:space="0" w:color="auto"/>
              <w:right w:val="nil"/>
            </w:tcBorders>
            <w:shd w:val="clear" w:color="auto" w:fill="FFFFFF"/>
          </w:tcPr>
          <w:p w14:paraId="53D55792"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20</w:t>
            </w:r>
          </w:p>
        </w:tc>
        <w:tc>
          <w:tcPr>
            <w:tcW w:w="519" w:type="pct"/>
            <w:tcBorders>
              <w:top w:val="single" w:sz="8" w:space="0" w:color="auto"/>
              <w:left w:val="nil"/>
              <w:bottom w:val="single" w:sz="8" w:space="0" w:color="auto"/>
              <w:right w:val="nil"/>
            </w:tcBorders>
            <w:shd w:val="clear" w:color="auto" w:fill="FFFFFF"/>
          </w:tcPr>
          <w:p w14:paraId="3A8D6277"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8.70</w:t>
            </w:r>
          </w:p>
        </w:tc>
        <w:tc>
          <w:tcPr>
            <w:tcW w:w="447" w:type="pct"/>
            <w:tcBorders>
              <w:top w:val="single" w:sz="8" w:space="0" w:color="auto"/>
              <w:left w:val="nil"/>
              <w:bottom w:val="single" w:sz="8" w:space="0" w:color="auto"/>
              <w:right w:val="nil"/>
            </w:tcBorders>
            <w:shd w:val="clear" w:color="auto" w:fill="FFFFFF"/>
          </w:tcPr>
          <w:p w14:paraId="5D0754AF"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6.00</w:t>
            </w:r>
          </w:p>
        </w:tc>
        <w:tc>
          <w:tcPr>
            <w:tcW w:w="450" w:type="pct"/>
            <w:tcBorders>
              <w:top w:val="single" w:sz="8" w:space="0" w:color="auto"/>
              <w:left w:val="nil"/>
              <w:bottom w:val="single" w:sz="8" w:space="0" w:color="auto"/>
              <w:right w:val="nil"/>
            </w:tcBorders>
            <w:shd w:val="clear" w:color="auto" w:fill="FFFFFF"/>
          </w:tcPr>
          <w:p w14:paraId="7D489529"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2.25 -15.50</w:t>
            </w:r>
          </w:p>
        </w:tc>
        <w:tc>
          <w:tcPr>
            <w:tcW w:w="447" w:type="pct"/>
            <w:tcBorders>
              <w:top w:val="single" w:sz="8" w:space="0" w:color="auto"/>
              <w:left w:val="nil"/>
              <w:bottom w:val="single" w:sz="8" w:space="0" w:color="auto"/>
              <w:right w:val="nil"/>
            </w:tcBorders>
            <w:shd w:val="clear" w:color="auto" w:fill="FFFFFF"/>
          </w:tcPr>
          <w:p w14:paraId="648F530F"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0.77</w:t>
            </w:r>
          </w:p>
        </w:tc>
      </w:tr>
      <w:tr w:rsidR="002D0529" w:rsidRPr="00C550A1" w14:paraId="00D222F3" w14:textId="77777777" w:rsidTr="004A53B1">
        <w:trPr>
          <w:cantSplit/>
          <w:trHeight w:val="538"/>
        </w:trPr>
        <w:tc>
          <w:tcPr>
            <w:tcW w:w="4553" w:type="pct"/>
            <w:gridSpan w:val="10"/>
            <w:tcBorders>
              <w:top w:val="nil"/>
              <w:left w:val="nil"/>
              <w:bottom w:val="double" w:sz="12" w:space="0" w:color="auto"/>
              <w:right w:val="nil"/>
            </w:tcBorders>
            <w:shd w:val="clear" w:color="auto" w:fill="FFFFFF"/>
          </w:tcPr>
          <w:p w14:paraId="604F9A96"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A2357E">
              <w:rPr>
                <w:rFonts w:asciiTheme="majorHAnsi" w:hAnsiTheme="majorHAnsi" w:cstheme="majorHAnsi"/>
                <w:b/>
                <w:sz w:val="20"/>
                <w:szCs w:val="20"/>
              </w:rPr>
              <w:t xml:space="preserve">Table </w:t>
            </w:r>
            <w:r>
              <w:rPr>
                <w:rFonts w:asciiTheme="majorHAnsi" w:hAnsiTheme="majorHAnsi" w:cstheme="majorHAnsi"/>
                <w:b/>
                <w:sz w:val="20"/>
                <w:szCs w:val="20"/>
              </w:rPr>
              <w:t>2</w:t>
            </w:r>
            <w:r w:rsidRPr="00A2357E">
              <w:rPr>
                <w:rFonts w:asciiTheme="majorHAnsi" w:hAnsiTheme="majorHAnsi" w:cstheme="majorHAnsi"/>
                <w:b/>
                <w:sz w:val="20"/>
                <w:szCs w:val="20"/>
              </w:rPr>
              <w:t xml:space="preserve">: </w:t>
            </w:r>
            <w:r w:rsidRPr="001436F6">
              <w:rPr>
                <w:rFonts w:asciiTheme="majorHAnsi" w:hAnsiTheme="majorHAnsi" w:cstheme="majorHAnsi"/>
                <w:b/>
                <w:sz w:val="20"/>
                <w:szCs w:val="20"/>
              </w:rPr>
              <w:t>Primary outcome by prespecified sub</w:t>
            </w:r>
            <w:r>
              <w:rPr>
                <w:rFonts w:asciiTheme="majorHAnsi" w:hAnsiTheme="majorHAnsi" w:cstheme="majorHAnsi"/>
                <w:b/>
                <w:sz w:val="20"/>
                <w:szCs w:val="20"/>
              </w:rPr>
              <w:t>-</w:t>
            </w:r>
            <w:r w:rsidRPr="001436F6">
              <w:rPr>
                <w:rFonts w:asciiTheme="majorHAnsi" w:hAnsiTheme="majorHAnsi" w:cstheme="majorHAnsi"/>
                <w:b/>
                <w:sz w:val="20"/>
                <w:szCs w:val="20"/>
              </w:rPr>
              <w:t>group analysis</w:t>
            </w:r>
          </w:p>
        </w:tc>
        <w:tc>
          <w:tcPr>
            <w:tcW w:w="447" w:type="pct"/>
            <w:tcBorders>
              <w:top w:val="nil"/>
              <w:left w:val="nil"/>
              <w:bottom w:val="double" w:sz="12" w:space="0" w:color="auto"/>
              <w:right w:val="nil"/>
            </w:tcBorders>
            <w:shd w:val="clear" w:color="auto" w:fill="FFFFFF"/>
          </w:tcPr>
          <w:p w14:paraId="68EA552A" w14:textId="77777777" w:rsidR="002D0529" w:rsidRPr="00A2357E" w:rsidRDefault="002D0529" w:rsidP="007D0198">
            <w:pPr>
              <w:autoSpaceDE w:val="0"/>
              <w:autoSpaceDN w:val="0"/>
              <w:adjustRightInd w:val="0"/>
              <w:spacing w:line="320" w:lineRule="atLeast"/>
              <w:ind w:left="60" w:right="60"/>
              <w:jc w:val="both"/>
              <w:rPr>
                <w:rFonts w:asciiTheme="majorHAnsi" w:hAnsiTheme="majorHAnsi" w:cstheme="majorHAnsi"/>
                <w:b/>
                <w:sz w:val="20"/>
                <w:szCs w:val="20"/>
              </w:rPr>
            </w:pPr>
          </w:p>
        </w:tc>
      </w:tr>
    </w:tbl>
    <w:p w14:paraId="18936CF7" w14:textId="77777777" w:rsidR="002D0529" w:rsidRDefault="002D0529" w:rsidP="007D0198">
      <w:pPr>
        <w:autoSpaceDE w:val="0"/>
        <w:autoSpaceDN w:val="0"/>
        <w:adjustRightInd w:val="0"/>
        <w:spacing w:after="0" w:line="240" w:lineRule="auto"/>
        <w:jc w:val="both"/>
        <w:rPr>
          <w:rFonts w:ascii="Calibri" w:hAnsi="Calibri" w:cs="Calibri"/>
        </w:rPr>
      </w:pPr>
    </w:p>
    <w:p w14:paraId="6AC80B68" w14:textId="77777777" w:rsidR="002D0529" w:rsidRDefault="002D0529" w:rsidP="007D0198">
      <w:pPr>
        <w:autoSpaceDE w:val="0"/>
        <w:autoSpaceDN w:val="0"/>
        <w:adjustRightInd w:val="0"/>
        <w:spacing w:after="0" w:line="240" w:lineRule="auto"/>
        <w:jc w:val="both"/>
        <w:rPr>
          <w:rFonts w:ascii="Calibri" w:hAnsi="Calibri" w:cs="Calibri"/>
        </w:rPr>
      </w:pPr>
    </w:p>
    <w:p w14:paraId="176A8BA8" w14:textId="77777777" w:rsidR="002D0529" w:rsidRDefault="002D0529" w:rsidP="007D0198">
      <w:pPr>
        <w:autoSpaceDE w:val="0"/>
        <w:autoSpaceDN w:val="0"/>
        <w:adjustRightInd w:val="0"/>
        <w:spacing w:after="0" w:line="240" w:lineRule="auto"/>
        <w:jc w:val="both"/>
        <w:rPr>
          <w:rFonts w:ascii="Calibri" w:hAnsi="Calibri" w:cs="Calibri"/>
        </w:rPr>
      </w:pPr>
    </w:p>
    <w:p w14:paraId="6D7C796E" w14:textId="77777777" w:rsidR="002D0529" w:rsidRDefault="002D0529" w:rsidP="007D0198">
      <w:pPr>
        <w:autoSpaceDE w:val="0"/>
        <w:autoSpaceDN w:val="0"/>
        <w:adjustRightInd w:val="0"/>
        <w:spacing w:after="0" w:line="240" w:lineRule="auto"/>
        <w:jc w:val="both"/>
        <w:rPr>
          <w:rFonts w:ascii="Calibri" w:hAnsi="Calibri" w:cs="Calibri"/>
        </w:rPr>
      </w:pPr>
    </w:p>
    <w:p w14:paraId="5B4B6326" w14:textId="77777777" w:rsidR="002D0529" w:rsidRPr="00CE553C" w:rsidRDefault="002D0529" w:rsidP="007D0198">
      <w:pPr>
        <w:autoSpaceDE w:val="0"/>
        <w:autoSpaceDN w:val="0"/>
        <w:adjustRightInd w:val="0"/>
        <w:spacing w:after="0" w:line="240" w:lineRule="auto"/>
        <w:jc w:val="both"/>
        <w:rPr>
          <w:rFonts w:ascii="Calibri" w:hAnsi="Calibri" w:cs="Calibri"/>
          <w:b/>
          <w:bCs/>
        </w:rPr>
      </w:pPr>
      <w:r w:rsidRPr="00CE553C">
        <w:rPr>
          <w:rFonts w:ascii="Calibri" w:hAnsi="Calibri" w:cs="Calibri"/>
          <w:b/>
          <w:bCs/>
        </w:rPr>
        <w:t xml:space="preserve">Secondary analysis </w:t>
      </w:r>
    </w:p>
    <w:p w14:paraId="7627A21C" w14:textId="77777777"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The hospital LOS for the </w:t>
      </w:r>
      <w:r w:rsidRPr="003073D7">
        <w:rPr>
          <w:rFonts w:ascii="Calibri" w:hAnsi="Calibri" w:cs="Calibri"/>
        </w:rPr>
        <w:t>initial admission</w:t>
      </w:r>
      <w:r w:rsidRPr="007C4D78">
        <w:rPr>
          <w:rFonts w:ascii="Calibri" w:hAnsi="Calibri" w:cs="Calibri"/>
        </w:rPr>
        <w:t xml:space="preserve"> was</w:t>
      </w:r>
      <w:r>
        <w:rPr>
          <w:rFonts w:ascii="Calibri" w:hAnsi="Calibri" w:cs="Calibri"/>
        </w:rPr>
        <w:t xml:space="preserve"> 1 day (IQR 1-14) for ambulatory care versus 3.5 days (IQR 2-7) for standard care (p =0.122).  The median t</w:t>
      </w:r>
      <w:r w:rsidRPr="00195306">
        <w:rPr>
          <w:rFonts w:ascii="Calibri" w:hAnsi="Calibri" w:cs="Calibri"/>
        </w:rPr>
        <w:t>ime until medically fit</w:t>
      </w:r>
      <w:r>
        <w:rPr>
          <w:rFonts w:ascii="Calibri" w:hAnsi="Calibri" w:cs="Calibri"/>
        </w:rPr>
        <w:t xml:space="preserve"> for hospital discharge in those who received a</w:t>
      </w:r>
      <w:r w:rsidRPr="00195306">
        <w:rPr>
          <w:rFonts w:ascii="Calibri" w:hAnsi="Calibri" w:cs="Calibri"/>
        </w:rPr>
        <w:t>mbulatory care</w:t>
      </w:r>
      <w:r>
        <w:rPr>
          <w:rFonts w:ascii="Calibri" w:hAnsi="Calibri" w:cs="Calibri"/>
        </w:rPr>
        <w:t xml:space="preserve"> was 1</w:t>
      </w:r>
      <w:r w:rsidRPr="00195306">
        <w:rPr>
          <w:rFonts w:ascii="Calibri" w:hAnsi="Calibri" w:cs="Calibri"/>
        </w:rPr>
        <w:t xml:space="preserve"> day (</w:t>
      </w:r>
      <w:r>
        <w:rPr>
          <w:rFonts w:ascii="Calibri" w:hAnsi="Calibri" w:cs="Calibri"/>
        </w:rPr>
        <w:t>IQR 1-1</w:t>
      </w:r>
      <w:r w:rsidRPr="00195306">
        <w:rPr>
          <w:rFonts w:ascii="Calibri" w:hAnsi="Calibri" w:cs="Calibri"/>
        </w:rPr>
        <w:t>)</w:t>
      </w:r>
      <w:r>
        <w:rPr>
          <w:rFonts w:ascii="Calibri" w:hAnsi="Calibri" w:cs="Calibri"/>
        </w:rPr>
        <w:t>,</w:t>
      </w:r>
      <w:r w:rsidRPr="00195306">
        <w:rPr>
          <w:rFonts w:ascii="Calibri" w:hAnsi="Calibri" w:cs="Calibri"/>
        </w:rPr>
        <w:t xml:space="preserve"> </w:t>
      </w:r>
      <w:r>
        <w:rPr>
          <w:rFonts w:ascii="Calibri" w:hAnsi="Calibri" w:cs="Calibri"/>
        </w:rPr>
        <w:t>versus 2</w:t>
      </w:r>
      <w:r w:rsidRPr="00195306">
        <w:rPr>
          <w:rFonts w:ascii="Calibri" w:hAnsi="Calibri" w:cs="Calibri"/>
        </w:rPr>
        <w:t xml:space="preserve"> days (</w:t>
      </w:r>
      <w:r>
        <w:rPr>
          <w:rFonts w:ascii="Calibri" w:hAnsi="Calibri" w:cs="Calibri"/>
        </w:rPr>
        <w:t>IQR  2-6) in those who received s</w:t>
      </w:r>
      <w:r w:rsidRPr="00195306">
        <w:rPr>
          <w:rFonts w:ascii="Calibri" w:hAnsi="Calibri" w:cs="Calibri"/>
        </w:rPr>
        <w:t>tandard care</w:t>
      </w:r>
      <w:r>
        <w:rPr>
          <w:rFonts w:ascii="Calibri" w:hAnsi="Calibri" w:cs="Calibri"/>
        </w:rPr>
        <w:t xml:space="preserve"> (p =0.001). The time to chest tube removal was 3 days (IQR 1.5-9) for ambulatory care, versus two days (IQR 1-6) for standard care (p =0.36). Failure of initial treatment within the first week occurred in 6 (28%) of the 21 patients receiving ambulatory care versus 3 (15%) of the 20 patients receiving standard care (p =0.29). Of those 21 patients receiving ambulatory care, 8 (38%) required an additional pleural procedure within three months from randomisation, compared with 6 (30%) of the 20 patients who received standard care (p = 0.59). </w:t>
      </w:r>
    </w:p>
    <w:p w14:paraId="69830F4B" w14:textId="77777777" w:rsidR="002D0529" w:rsidRDefault="002D0529" w:rsidP="007D0198">
      <w:pPr>
        <w:autoSpaceDE w:val="0"/>
        <w:autoSpaceDN w:val="0"/>
        <w:adjustRightInd w:val="0"/>
        <w:spacing w:after="0" w:line="240" w:lineRule="auto"/>
        <w:jc w:val="both"/>
        <w:rPr>
          <w:rFonts w:ascii="Calibri" w:hAnsi="Calibri" w:cs="Calibri"/>
        </w:rPr>
      </w:pPr>
    </w:p>
    <w:p w14:paraId="63EEABA7" w14:textId="77777777"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There was no difference in the percentage of patients who required thoracic surgery (ambulatory care: 6/21 (29%), standard care 6/20 (30%)) between the two groups. There was no difference in the percentage of patients who received medical pleurodesis (ambulatory care: 2/21 (10%), standard care 2/20 (10%)) between  the two groups, nor was there a difference in 6-month recurrence rates (ambulatory care: 4/21 (19%), standard care 4/20 (20%)). </w:t>
      </w:r>
    </w:p>
    <w:p w14:paraId="563C05BA" w14:textId="77777777" w:rsidR="002D0529" w:rsidRDefault="002D0529" w:rsidP="007D0198">
      <w:pPr>
        <w:autoSpaceDE w:val="0"/>
        <w:autoSpaceDN w:val="0"/>
        <w:adjustRightInd w:val="0"/>
        <w:spacing w:after="0" w:line="240" w:lineRule="auto"/>
        <w:jc w:val="both"/>
        <w:rPr>
          <w:rFonts w:ascii="Calibri" w:hAnsi="Calibri" w:cs="Calibri"/>
        </w:rPr>
      </w:pPr>
    </w:p>
    <w:p w14:paraId="57B4852A" w14:textId="77777777" w:rsidR="002D0529" w:rsidRDefault="002D0529" w:rsidP="007D0198">
      <w:pPr>
        <w:autoSpaceDE w:val="0"/>
        <w:autoSpaceDN w:val="0"/>
        <w:adjustRightInd w:val="0"/>
        <w:spacing w:after="0" w:line="240" w:lineRule="auto"/>
        <w:jc w:val="both"/>
        <w:rPr>
          <w:rFonts w:ascii="Calibri" w:hAnsi="Calibri" w:cs="Calibri"/>
        </w:rPr>
      </w:pPr>
    </w:p>
    <w:p w14:paraId="436578DF" w14:textId="77777777" w:rsidR="002D0529"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In patients receiving ambulatory care, the hospital LOS in the first 30 days was 1.5 days (IQR 1-24.8) for those managed with the Atrium Pneumostat, and nine days (IQR 2-15.5) for those managed with a PV (p =0.374) (Table 3). In the first week after randomisation there were no treatment failures with the Pneumostat, but there were 6/13 (46%) failures with the PV (p =0.046).  </w:t>
      </w:r>
    </w:p>
    <w:p w14:paraId="26DAC9F8" w14:textId="77777777" w:rsidR="002D0529" w:rsidRDefault="002D0529" w:rsidP="007D0198">
      <w:pPr>
        <w:autoSpaceDE w:val="0"/>
        <w:autoSpaceDN w:val="0"/>
        <w:adjustRightInd w:val="0"/>
        <w:spacing w:after="0" w:line="240" w:lineRule="auto"/>
        <w:jc w:val="both"/>
        <w:rPr>
          <w:rFonts w:ascii="Calibri" w:hAnsi="Calibri" w:cs="Calibri"/>
        </w:rPr>
      </w:pPr>
    </w:p>
    <w:p w14:paraId="32830975" w14:textId="77777777" w:rsidR="002D0529" w:rsidRDefault="002D0529" w:rsidP="007D0198">
      <w:pPr>
        <w:autoSpaceDE w:val="0"/>
        <w:autoSpaceDN w:val="0"/>
        <w:adjustRightInd w:val="0"/>
        <w:spacing w:after="0" w:line="240" w:lineRule="auto"/>
        <w:jc w:val="both"/>
        <w:rPr>
          <w:rFonts w:ascii="Calibri" w:hAnsi="Calibri" w:cs="Calibri"/>
        </w:rPr>
      </w:pPr>
    </w:p>
    <w:p w14:paraId="680EA997" w14:textId="77777777" w:rsidR="002D0529" w:rsidRDefault="002D0529" w:rsidP="007D0198">
      <w:pPr>
        <w:autoSpaceDE w:val="0"/>
        <w:autoSpaceDN w:val="0"/>
        <w:adjustRightInd w:val="0"/>
        <w:spacing w:after="0" w:line="240" w:lineRule="auto"/>
        <w:jc w:val="both"/>
        <w:rPr>
          <w:rFonts w:ascii="Calibri" w:hAnsi="Calibri" w:cs="Calibri"/>
        </w:rPr>
      </w:pPr>
    </w:p>
    <w:tbl>
      <w:tblPr>
        <w:tblW w:w="475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69"/>
        <w:gridCol w:w="838"/>
        <w:gridCol w:w="837"/>
        <w:gridCol w:w="838"/>
        <w:gridCol w:w="149"/>
        <w:gridCol w:w="742"/>
        <w:gridCol w:w="711"/>
        <w:gridCol w:w="1209"/>
        <w:gridCol w:w="1196"/>
      </w:tblGrid>
      <w:tr w:rsidR="002D0529" w:rsidRPr="00C550A1" w14:paraId="789E5351" w14:textId="77777777" w:rsidTr="00423EEC">
        <w:trPr>
          <w:cantSplit/>
          <w:trHeight w:val="878"/>
        </w:trPr>
        <w:tc>
          <w:tcPr>
            <w:tcW w:w="1204" w:type="pct"/>
            <w:tcBorders>
              <w:top w:val="single" w:sz="8" w:space="0" w:color="auto"/>
              <w:left w:val="nil"/>
              <w:bottom w:val="nil"/>
              <w:right w:val="nil"/>
            </w:tcBorders>
            <w:shd w:val="clear" w:color="auto" w:fill="FFFFFF"/>
          </w:tcPr>
          <w:p w14:paraId="158CE8C4"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1463" w:type="pct"/>
            <w:gridSpan w:val="3"/>
            <w:tcBorders>
              <w:top w:val="single" w:sz="8" w:space="0" w:color="auto"/>
              <w:left w:val="nil"/>
              <w:bottom w:val="single" w:sz="8" w:space="0" w:color="auto"/>
              <w:right w:val="nil"/>
            </w:tcBorders>
            <w:shd w:val="clear" w:color="auto" w:fill="FFFFFF"/>
          </w:tcPr>
          <w:p w14:paraId="59CA51B0" w14:textId="77777777" w:rsidR="002D0529"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Atrium Pneumostat</w:t>
            </w:r>
          </w:p>
          <w:p w14:paraId="41ACA667"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87" w:type="pct"/>
            <w:tcBorders>
              <w:top w:val="single" w:sz="8" w:space="0" w:color="auto"/>
              <w:left w:val="nil"/>
              <w:bottom w:val="single" w:sz="8" w:space="0" w:color="auto"/>
              <w:right w:val="nil"/>
            </w:tcBorders>
            <w:shd w:val="clear" w:color="auto" w:fill="FFFFFF"/>
          </w:tcPr>
          <w:p w14:paraId="1778929D"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1550" w:type="pct"/>
            <w:gridSpan w:val="3"/>
            <w:tcBorders>
              <w:top w:val="single" w:sz="8" w:space="0" w:color="auto"/>
              <w:left w:val="nil"/>
              <w:bottom w:val="single" w:sz="8" w:space="0" w:color="auto"/>
              <w:right w:val="nil"/>
            </w:tcBorders>
            <w:shd w:val="clear" w:color="auto" w:fill="FFFFFF"/>
          </w:tcPr>
          <w:p w14:paraId="079D58AC"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Pleural Vent</w:t>
            </w:r>
          </w:p>
        </w:tc>
        <w:tc>
          <w:tcPr>
            <w:tcW w:w="697" w:type="pct"/>
            <w:tcBorders>
              <w:top w:val="single" w:sz="8" w:space="0" w:color="auto"/>
              <w:left w:val="nil"/>
              <w:bottom w:val="single" w:sz="8" w:space="0" w:color="auto"/>
              <w:right w:val="nil"/>
            </w:tcBorders>
            <w:shd w:val="clear" w:color="auto" w:fill="FFFFFF"/>
          </w:tcPr>
          <w:p w14:paraId="3A5F6479" w14:textId="77777777" w:rsidR="002D0529"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r>
      <w:tr w:rsidR="002D0529" w:rsidRPr="00C550A1" w14:paraId="6CEB6AE2" w14:textId="77777777" w:rsidTr="00423EEC">
        <w:trPr>
          <w:cantSplit/>
          <w:trHeight w:val="527"/>
        </w:trPr>
        <w:tc>
          <w:tcPr>
            <w:tcW w:w="1204" w:type="pct"/>
            <w:tcBorders>
              <w:top w:val="single" w:sz="8" w:space="0" w:color="auto"/>
              <w:left w:val="nil"/>
              <w:bottom w:val="nil"/>
              <w:right w:val="nil"/>
            </w:tcBorders>
            <w:shd w:val="clear" w:color="auto" w:fill="FFFFFF"/>
          </w:tcPr>
          <w:p w14:paraId="6CEF30B3"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488" w:type="pct"/>
            <w:tcBorders>
              <w:top w:val="single" w:sz="8" w:space="0" w:color="auto"/>
              <w:left w:val="nil"/>
              <w:bottom w:val="single" w:sz="8" w:space="0" w:color="auto"/>
              <w:right w:val="nil"/>
            </w:tcBorders>
            <w:shd w:val="clear" w:color="auto" w:fill="FFFFFF"/>
          </w:tcPr>
          <w:p w14:paraId="2F2C40FC"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N</w:t>
            </w:r>
          </w:p>
        </w:tc>
        <w:tc>
          <w:tcPr>
            <w:tcW w:w="487" w:type="pct"/>
            <w:tcBorders>
              <w:top w:val="single" w:sz="8" w:space="0" w:color="auto"/>
              <w:left w:val="nil"/>
              <w:bottom w:val="single" w:sz="8" w:space="0" w:color="auto"/>
              <w:right w:val="nil"/>
            </w:tcBorders>
            <w:shd w:val="clear" w:color="auto" w:fill="FFFFFF"/>
          </w:tcPr>
          <w:p w14:paraId="4FC5C40F"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Median</w:t>
            </w:r>
          </w:p>
        </w:tc>
        <w:tc>
          <w:tcPr>
            <w:tcW w:w="488" w:type="pct"/>
            <w:tcBorders>
              <w:top w:val="single" w:sz="8" w:space="0" w:color="auto"/>
              <w:left w:val="nil"/>
              <w:bottom w:val="single" w:sz="8" w:space="0" w:color="auto"/>
              <w:right w:val="nil"/>
            </w:tcBorders>
            <w:shd w:val="clear" w:color="auto" w:fill="FFFFFF"/>
          </w:tcPr>
          <w:p w14:paraId="70FF5C59"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IQR</w:t>
            </w:r>
          </w:p>
        </w:tc>
        <w:tc>
          <w:tcPr>
            <w:tcW w:w="87" w:type="pct"/>
            <w:tcBorders>
              <w:top w:val="single" w:sz="8" w:space="0" w:color="auto"/>
              <w:left w:val="nil"/>
              <w:bottom w:val="nil"/>
              <w:right w:val="nil"/>
            </w:tcBorders>
            <w:shd w:val="clear" w:color="auto" w:fill="FFFFFF"/>
          </w:tcPr>
          <w:p w14:paraId="0F86A790"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432" w:type="pct"/>
            <w:tcBorders>
              <w:top w:val="single" w:sz="8" w:space="0" w:color="auto"/>
              <w:left w:val="nil"/>
              <w:bottom w:val="single" w:sz="8" w:space="0" w:color="auto"/>
              <w:right w:val="nil"/>
            </w:tcBorders>
            <w:shd w:val="clear" w:color="auto" w:fill="FFFFFF"/>
          </w:tcPr>
          <w:p w14:paraId="3BD70213"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N</w:t>
            </w:r>
          </w:p>
        </w:tc>
        <w:tc>
          <w:tcPr>
            <w:tcW w:w="414" w:type="pct"/>
            <w:tcBorders>
              <w:top w:val="single" w:sz="8" w:space="0" w:color="auto"/>
              <w:left w:val="nil"/>
              <w:bottom w:val="single" w:sz="8" w:space="0" w:color="auto"/>
              <w:right w:val="nil"/>
            </w:tcBorders>
            <w:shd w:val="clear" w:color="auto" w:fill="FFFFFF"/>
          </w:tcPr>
          <w:p w14:paraId="427766AC"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Median</w:t>
            </w:r>
          </w:p>
        </w:tc>
        <w:tc>
          <w:tcPr>
            <w:tcW w:w="704" w:type="pct"/>
            <w:tcBorders>
              <w:top w:val="single" w:sz="8" w:space="0" w:color="auto"/>
              <w:left w:val="nil"/>
              <w:bottom w:val="single" w:sz="8" w:space="0" w:color="auto"/>
              <w:right w:val="nil"/>
            </w:tcBorders>
            <w:shd w:val="clear" w:color="auto" w:fill="FFFFFF"/>
          </w:tcPr>
          <w:p w14:paraId="79AAB12B"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66704">
              <w:rPr>
                <w:rFonts w:ascii="Arial" w:hAnsi="Arial" w:cs="Arial"/>
                <w:color w:val="000000"/>
                <w:sz w:val="18"/>
                <w:szCs w:val="18"/>
              </w:rPr>
              <w:t>IQR</w:t>
            </w:r>
          </w:p>
        </w:tc>
        <w:tc>
          <w:tcPr>
            <w:tcW w:w="697" w:type="pct"/>
            <w:tcBorders>
              <w:top w:val="single" w:sz="8" w:space="0" w:color="auto"/>
              <w:left w:val="nil"/>
              <w:bottom w:val="single" w:sz="8" w:space="0" w:color="auto"/>
              <w:right w:val="nil"/>
            </w:tcBorders>
            <w:shd w:val="clear" w:color="auto" w:fill="FFFFFF"/>
          </w:tcPr>
          <w:p w14:paraId="245BB2E9"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P value</w:t>
            </w:r>
          </w:p>
        </w:tc>
      </w:tr>
      <w:tr w:rsidR="002D0529" w:rsidRPr="00C550A1" w14:paraId="17CC6B00" w14:textId="77777777" w:rsidTr="00423EEC">
        <w:trPr>
          <w:cantSplit/>
          <w:trHeight w:val="527"/>
        </w:trPr>
        <w:tc>
          <w:tcPr>
            <w:tcW w:w="1204" w:type="pct"/>
            <w:tcBorders>
              <w:top w:val="nil"/>
              <w:left w:val="nil"/>
              <w:bottom w:val="nil"/>
              <w:right w:val="nil"/>
            </w:tcBorders>
            <w:shd w:val="clear" w:color="auto" w:fill="FFFFFF"/>
          </w:tcPr>
          <w:p w14:paraId="1E7062EE" w14:textId="77777777" w:rsidR="002D0529" w:rsidRPr="00C550A1" w:rsidRDefault="002D0529" w:rsidP="007D0198">
            <w:pPr>
              <w:autoSpaceDE w:val="0"/>
              <w:autoSpaceDN w:val="0"/>
              <w:adjustRightInd w:val="0"/>
              <w:spacing w:line="320" w:lineRule="atLeast"/>
              <w:ind w:left="60" w:right="60"/>
              <w:jc w:val="both"/>
              <w:rPr>
                <w:rFonts w:ascii="Arial" w:hAnsi="Arial" w:cs="Arial"/>
                <w:color w:val="000000"/>
                <w:sz w:val="18"/>
                <w:szCs w:val="18"/>
              </w:rPr>
            </w:pPr>
            <w:r w:rsidRPr="00C550A1">
              <w:rPr>
                <w:rFonts w:ascii="Arial" w:hAnsi="Arial" w:cs="Arial"/>
                <w:color w:val="000000"/>
                <w:sz w:val="18"/>
                <w:szCs w:val="18"/>
              </w:rPr>
              <w:t xml:space="preserve">Length of </w:t>
            </w:r>
            <w:r>
              <w:rPr>
                <w:rFonts w:ascii="Arial" w:hAnsi="Arial" w:cs="Arial"/>
                <w:color w:val="000000"/>
                <w:sz w:val="18"/>
                <w:szCs w:val="18"/>
              </w:rPr>
              <w:t>Hospital s</w:t>
            </w:r>
            <w:r w:rsidRPr="00C550A1">
              <w:rPr>
                <w:rFonts w:ascii="Arial" w:hAnsi="Arial" w:cs="Arial"/>
                <w:color w:val="000000"/>
                <w:sz w:val="18"/>
                <w:szCs w:val="18"/>
              </w:rPr>
              <w:t>tay</w:t>
            </w:r>
            <w:r>
              <w:rPr>
                <w:rFonts w:ascii="Arial" w:hAnsi="Arial" w:cs="Arial"/>
                <w:color w:val="000000"/>
                <w:sz w:val="18"/>
                <w:szCs w:val="18"/>
              </w:rPr>
              <w:t xml:space="preserve"> (1</w:t>
            </w:r>
            <w:r w:rsidRPr="00423EEC">
              <w:rPr>
                <w:rFonts w:ascii="Arial" w:hAnsi="Arial" w:cs="Arial"/>
                <w:color w:val="000000"/>
                <w:sz w:val="18"/>
                <w:szCs w:val="18"/>
                <w:vertAlign w:val="superscript"/>
              </w:rPr>
              <w:t>st</w:t>
            </w:r>
            <w:r>
              <w:rPr>
                <w:rFonts w:ascii="Arial" w:hAnsi="Arial" w:cs="Arial"/>
                <w:color w:val="000000"/>
                <w:sz w:val="18"/>
                <w:szCs w:val="18"/>
              </w:rPr>
              <w:t xml:space="preserve"> 30 days)</w:t>
            </w:r>
          </w:p>
        </w:tc>
        <w:tc>
          <w:tcPr>
            <w:tcW w:w="488" w:type="pct"/>
            <w:tcBorders>
              <w:top w:val="single" w:sz="8" w:space="0" w:color="auto"/>
              <w:left w:val="nil"/>
              <w:bottom w:val="single" w:sz="8" w:space="0" w:color="auto"/>
              <w:right w:val="nil"/>
            </w:tcBorders>
            <w:shd w:val="clear" w:color="auto" w:fill="FFFFFF"/>
          </w:tcPr>
          <w:p w14:paraId="588FFDA1"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8</w:t>
            </w:r>
          </w:p>
        </w:tc>
        <w:tc>
          <w:tcPr>
            <w:tcW w:w="487" w:type="pct"/>
            <w:tcBorders>
              <w:top w:val="single" w:sz="8" w:space="0" w:color="auto"/>
              <w:left w:val="nil"/>
              <w:bottom w:val="single" w:sz="8" w:space="0" w:color="auto"/>
              <w:right w:val="nil"/>
            </w:tcBorders>
            <w:shd w:val="clear" w:color="auto" w:fill="FFFFFF"/>
          </w:tcPr>
          <w:p w14:paraId="2701FA08"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1.5</w:t>
            </w:r>
          </w:p>
        </w:tc>
        <w:tc>
          <w:tcPr>
            <w:tcW w:w="488" w:type="pct"/>
            <w:tcBorders>
              <w:top w:val="single" w:sz="8" w:space="0" w:color="auto"/>
              <w:left w:val="nil"/>
              <w:bottom w:val="single" w:sz="8" w:space="0" w:color="auto"/>
              <w:right w:val="nil"/>
            </w:tcBorders>
            <w:shd w:val="clear" w:color="auto" w:fill="FFFFFF"/>
          </w:tcPr>
          <w:p w14:paraId="11E1D801"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1.00-24.75</w:t>
            </w:r>
          </w:p>
        </w:tc>
        <w:tc>
          <w:tcPr>
            <w:tcW w:w="87" w:type="pct"/>
            <w:tcBorders>
              <w:top w:val="single" w:sz="8" w:space="0" w:color="auto"/>
              <w:left w:val="nil"/>
              <w:bottom w:val="single" w:sz="8" w:space="0" w:color="auto"/>
              <w:right w:val="nil"/>
            </w:tcBorders>
            <w:shd w:val="clear" w:color="auto" w:fill="FFFFFF"/>
          </w:tcPr>
          <w:p w14:paraId="202862B3"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p>
        </w:tc>
        <w:tc>
          <w:tcPr>
            <w:tcW w:w="432" w:type="pct"/>
            <w:tcBorders>
              <w:top w:val="single" w:sz="8" w:space="0" w:color="auto"/>
              <w:left w:val="nil"/>
              <w:bottom w:val="single" w:sz="8" w:space="0" w:color="auto"/>
              <w:right w:val="nil"/>
            </w:tcBorders>
            <w:shd w:val="clear" w:color="auto" w:fill="FFFFFF"/>
          </w:tcPr>
          <w:p w14:paraId="485F39AE"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13</w:t>
            </w:r>
          </w:p>
        </w:tc>
        <w:tc>
          <w:tcPr>
            <w:tcW w:w="414" w:type="pct"/>
            <w:tcBorders>
              <w:top w:val="single" w:sz="8" w:space="0" w:color="auto"/>
              <w:left w:val="nil"/>
              <w:bottom w:val="single" w:sz="8" w:space="0" w:color="auto"/>
              <w:right w:val="nil"/>
            </w:tcBorders>
            <w:shd w:val="clear" w:color="auto" w:fill="FFFFFF"/>
          </w:tcPr>
          <w:p w14:paraId="08349B16"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9</w:t>
            </w:r>
            <w:r w:rsidRPr="00C66704">
              <w:rPr>
                <w:rFonts w:ascii="Arial" w:hAnsi="Arial" w:cs="Arial"/>
                <w:color w:val="000000"/>
                <w:sz w:val="18"/>
                <w:szCs w:val="18"/>
              </w:rPr>
              <w:t>.0</w:t>
            </w:r>
          </w:p>
        </w:tc>
        <w:tc>
          <w:tcPr>
            <w:tcW w:w="704" w:type="pct"/>
            <w:tcBorders>
              <w:top w:val="single" w:sz="8" w:space="0" w:color="auto"/>
              <w:left w:val="nil"/>
              <w:bottom w:val="single" w:sz="8" w:space="0" w:color="auto"/>
              <w:right w:val="nil"/>
            </w:tcBorders>
            <w:shd w:val="clear" w:color="auto" w:fill="FFFFFF"/>
          </w:tcPr>
          <w:p w14:paraId="652E4A6B"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2.00-15.50</w:t>
            </w:r>
          </w:p>
        </w:tc>
        <w:tc>
          <w:tcPr>
            <w:tcW w:w="697" w:type="pct"/>
            <w:tcBorders>
              <w:top w:val="single" w:sz="8" w:space="0" w:color="auto"/>
              <w:left w:val="nil"/>
              <w:bottom w:val="single" w:sz="8" w:space="0" w:color="auto"/>
              <w:right w:val="nil"/>
            </w:tcBorders>
            <w:shd w:val="clear" w:color="auto" w:fill="FFFFFF"/>
          </w:tcPr>
          <w:p w14:paraId="3BE9EA40" w14:textId="77777777" w:rsidR="002D0529" w:rsidRPr="00C66704" w:rsidRDefault="002D0529" w:rsidP="007D0198">
            <w:pPr>
              <w:autoSpaceDE w:val="0"/>
              <w:autoSpaceDN w:val="0"/>
              <w:adjustRightInd w:val="0"/>
              <w:spacing w:line="320" w:lineRule="atLeast"/>
              <w:ind w:left="60" w:right="60"/>
              <w:jc w:val="both"/>
              <w:rPr>
                <w:rFonts w:ascii="Arial" w:hAnsi="Arial" w:cs="Arial"/>
                <w:color w:val="000000"/>
                <w:sz w:val="18"/>
                <w:szCs w:val="18"/>
              </w:rPr>
            </w:pPr>
            <w:r>
              <w:rPr>
                <w:rFonts w:ascii="Arial" w:hAnsi="Arial" w:cs="Arial"/>
                <w:color w:val="000000"/>
                <w:sz w:val="18"/>
                <w:szCs w:val="18"/>
              </w:rPr>
              <w:t>0.37</w:t>
            </w:r>
          </w:p>
        </w:tc>
      </w:tr>
      <w:tr w:rsidR="002D0529" w:rsidRPr="00C550A1" w14:paraId="41C738BE" w14:textId="77777777" w:rsidTr="004162BC">
        <w:trPr>
          <w:cantSplit/>
          <w:trHeight w:val="527"/>
        </w:trPr>
        <w:tc>
          <w:tcPr>
            <w:tcW w:w="5000" w:type="pct"/>
            <w:gridSpan w:val="9"/>
            <w:tcBorders>
              <w:top w:val="nil"/>
              <w:left w:val="nil"/>
              <w:bottom w:val="double" w:sz="12" w:space="0" w:color="auto"/>
              <w:right w:val="nil"/>
            </w:tcBorders>
            <w:shd w:val="clear" w:color="auto" w:fill="FFFFFF"/>
          </w:tcPr>
          <w:p w14:paraId="183198FF" w14:textId="77777777" w:rsidR="002D0529" w:rsidRPr="00423EEC" w:rsidRDefault="002D0529" w:rsidP="007D0198">
            <w:pPr>
              <w:autoSpaceDE w:val="0"/>
              <w:autoSpaceDN w:val="0"/>
              <w:adjustRightInd w:val="0"/>
              <w:spacing w:line="320" w:lineRule="atLeast"/>
              <w:ind w:left="60" w:right="60"/>
              <w:jc w:val="both"/>
              <w:rPr>
                <w:rFonts w:asciiTheme="majorHAnsi" w:hAnsiTheme="majorHAnsi" w:cstheme="majorHAnsi"/>
                <w:b/>
                <w:sz w:val="20"/>
                <w:szCs w:val="20"/>
              </w:rPr>
            </w:pPr>
            <w:r w:rsidRPr="00BD2163">
              <w:rPr>
                <w:rFonts w:asciiTheme="majorHAnsi" w:hAnsiTheme="majorHAnsi" w:cstheme="majorHAnsi"/>
                <w:b/>
                <w:sz w:val="20"/>
                <w:szCs w:val="20"/>
              </w:rPr>
              <w:t xml:space="preserve">Table </w:t>
            </w:r>
            <w:r>
              <w:rPr>
                <w:rFonts w:asciiTheme="majorHAnsi" w:hAnsiTheme="majorHAnsi" w:cstheme="majorHAnsi"/>
                <w:b/>
                <w:sz w:val="20"/>
                <w:szCs w:val="20"/>
              </w:rPr>
              <w:t>3</w:t>
            </w:r>
            <w:r w:rsidRPr="00423EEC">
              <w:rPr>
                <w:rFonts w:asciiTheme="majorHAnsi" w:hAnsiTheme="majorHAnsi" w:cstheme="majorHAnsi"/>
                <w:b/>
                <w:sz w:val="20"/>
                <w:szCs w:val="20"/>
              </w:rPr>
              <w:t xml:space="preserve">: </w:t>
            </w:r>
            <w:r w:rsidRPr="00423EEC">
              <w:rPr>
                <w:rFonts w:cstheme="minorHAnsi"/>
                <w:b/>
                <w:sz w:val="20"/>
                <w:szCs w:val="20"/>
              </w:rPr>
              <w:t>Length of stay of Atrium Pneumostat versus Pleural Vent</w:t>
            </w:r>
          </w:p>
        </w:tc>
      </w:tr>
    </w:tbl>
    <w:p w14:paraId="12D89D27" w14:textId="77777777" w:rsidR="002D0529" w:rsidRDefault="002D0529" w:rsidP="007D0198">
      <w:pPr>
        <w:autoSpaceDE w:val="0"/>
        <w:autoSpaceDN w:val="0"/>
        <w:adjustRightInd w:val="0"/>
        <w:spacing w:after="0" w:line="240" w:lineRule="auto"/>
        <w:jc w:val="both"/>
        <w:rPr>
          <w:rFonts w:ascii="Calibri" w:hAnsi="Calibri" w:cs="Calibri"/>
        </w:rPr>
      </w:pPr>
    </w:p>
    <w:p w14:paraId="1B11A9A0" w14:textId="77777777" w:rsidR="002D0529" w:rsidRPr="00423EEC" w:rsidRDefault="002D0529" w:rsidP="007D0198">
      <w:pPr>
        <w:autoSpaceDE w:val="0"/>
        <w:autoSpaceDN w:val="0"/>
        <w:adjustRightInd w:val="0"/>
        <w:spacing w:after="0" w:line="240" w:lineRule="auto"/>
        <w:jc w:val="both"/>
        <w:rPr>
          <w:rFonts w:ascii="Calibri" w:hAnsi="Calibri" w:cs="Calibri"/>
        </w:rPr>
      </w:pPr>
      <w:r>
        <w:rPr>
          <w:rFonts w:ascii="Calibri" w:hAnsi="Calibri" w:cs="Calibri"/>
        </w:rPr>
        <w:t xml:space="preserve">Mean </w:t>
      </w:r>
      <w:r w:rsidRPr="00A2357E">
        <w:rPr>
          <w:rFonts w:ascii="Calibri" w:hAnsi="Calibri" w:cs="Calibri"/>
        </w:rPr>
        <w:t xml:space="preserve">breathlessness and </w:t>
      </w:r>
      <w:r>
        <w:rPr>
          <w:rFonts w:ascii="Calibri" w:hAnsi="Calibri" w:cs="Calibri"/>
        </w:rPr>
        <w:t>p</w:t>
      </w:r>
      <w:r w:rsidRPr="00A2357E">
        <w:rPr>
          <w:rFonts w:ascii="Calibri" w:hAnsi="Calibri" w:cs="Calibri"/>
        </w:rPr>
        <w:t>ain</w:t>
      </w:r>
      <w:r>
        <w:rPr>
          <w:rFonts w:ascii="Calibri" w:hAnsi="Calibri" w:cs="Calibri"/>
        </w:rPr>
        <w:t xml:space="preserve"> </w:t>
      </w:r>
      <w:r w:rsidRPr="00A2357E">
        <w:rPr>
          <w:rFonts w:ascii="Calibri" w:hAnsi="Calibri" w:cs="Calibri"/>
        </w:rPr>
        <w:t>VAS</w:t>
      </w:r>
      <w:r>
        <w:rPr>
          <w:rFonts w:ascii="Calibri" w:hAnsi="Calibri" w:cs="Calibri"/>
        </w:rPr>
        <w:t xml:space="preserve"> scores improved during the first 30 days in both groups (</w:t>
      </w:r>
      <w:r w:rsidRPr="00A2357E">
        <w:rPr>
          <w:rFonts w:ascii="Calibri" w:hAnsi="Calibri" w:cs="Calibri"/>
        </w:rPr>
        <w:t xml:space="preserve">Figure </w:t>
      </w:r>
      <w:r>
        <w:rPr>
          <w:rFonts w:ascii="Calibri" w:hAnsi="Calibri" w:cs="Calibri"/>
        </w:rPr>
        <w:t xml:space="preserve">4).  Whilst there was no difference in overall VAS breathlessness between standard care and ambulatory care, </w:t>
      </w:r>
      <w:r>
        <w:rPr>
          <w:rFonts w:ascii="Calibri" w:hAnsi="Calibri" w:cs="Calibri"/>
          <w:color w:val="000000"/>
          <w:shd w:val="clear" w:color="auto" w:fill="FFFFFF"/>
        </w:rPr>
        <w:t>the trend over time for VAS breathlessness was group dependent (</w:t>
      </w:r>
      <w:r w:rsidRPr="00A8464F">
        <w:rPr>
          <w:rFonts w:ascii="Calibri" w:hAnsi="Calibri" w:cs="Calibri"/>
          <w:color w:val="000000"/>
          <w:shd w:val="clear" w:color="auto" w:fill="FFFFFF"/>
        </w:rPr>
        <w:t xml:space="preserve">p </w:t>
      </w:r>
      <w:r>
        <w:rPr>
          <w:rFonts w:ascii="Calibri" w:hAnsi="Calibri" w:cs="Calibri"/>
          <w:color w:val="000000"/>
          <w:shd w:val="clear" w:color="auto" w:fill="FFFFFF"/>
        </w:rPr>
        <w:t>&lt;</w:t>
      </w:r>
      <w:r w:rsidRPr="00A8464F">
        <w:rPr>
          <w:rFonts w:ascii="Calibri" w:hAnsi="Calibri" w:cs="Calibri"/>
          <w:color w:val="000000"/>
          <w:shd w:val="clear" w:color="auto" w:fill="FFFFFF"/>
        </w:rPr>
        <w:t>0.0</w:t>
      </w:r>
      <w:r>
        <w:rPr>
          <w:rFonts w:ascii="Calibri" w:hAnsi="Calibri" w:cs="Calibri"/>
          <w:color w:val="000000"/>
          <w:shd w:val="clear" w:color="auto" w:fill="FFFFFF"/>
        </w:rPr>
        <w:t>5</w:t>
      </w:r>
      <w:r w:rsidRPr="00A8464F">
        <w:rPr>
          <w:rFonts w:ascii="Calibri" w:hAnsi="Calibri" w:cs="Calibri"/>
          <w:color w:val="000000"/>
          <w:shd w:val="clear" w:color="auto" w:fill="FFFFFF"/>
        </w:rPr>
        <w:t>).</w:t>
      </w:r>
      <w:r w:rsidRPr="00F50097">
        <w:rPr>
          <w:rFonts w:ascii="Calibri" w:hAnsi="Calibri" w:cs="Calibri"/>
        </w:rPr>
        <w:t xml:space="preserve"> </w:t>
      </w:r>
      <w:r>
        <w:rPr>
          <w:rFonts w:ascii="Calibri" w:hAnsi="Calibri" w:cs="Calibri"/>
        </w:rPr>
        <w:t>In</w:t>
      </w:r>
      <w:r w:rsidRPr="00A2357E">
        <w:rPr>
          <w:rFonts w:ascii="Calibri" w:hAnsi="Calibri" w:cs="Calibri"/>
        </w:rPr>
        <w:t xml:space="preserve"> th</w:t>
      </w:r>
      <w:r>
        <w:rPr>
          <w:rFonts w:ascii="Calibri" w:hAnsi="Calibri" w:cs="Calibri"/>
        </w:rPr>
        <w:t xml:space="preserve">ose who received ambulatory care </w:t>
      </w:r>
      <w:r w:rsidRPr="00A2357E">
        <w:rPr>
          <w:rFonts w:ascii="Calibri" w:hAnsi="Calibri" w:cs="Calibri"/>
        </w:rPr>
        <w:t xml:space="preserve">there </w:t>
      </w:r>
      <w:r>
        <w:rPr>
          <w:rFonts w:ascii="Calibri" w:hAnsi="Calibri" w:cs="Calibri"/>
        </w:rPr>
        <w:t>was</w:t>
      </w:r>
      <w:r w:rsidRPr="00A2357E">
        <w:rPr>
          <w:rFonts w:ascii="Calibri" w:hAnsi="Calibri" w:cs="Calibri"/>
        </w:rPr>
        <w:t xml:space="preserve"> progressive improvement in </w:t>
      </w:r>
      <w:r>
        <w:rPr>
          <w:rFonts w:ascii="Calibri" w:hAnsi="Calibri" w:cs="Calibri"/>
        </w:rPr>
        <w:t>VAS breathless, whilst for</w:t>
      </w:r>
      <w:r w:rsidRPr="00A2357E">
        <w:rPr>
          <w:rFonts w:ascii="Calibri" w:hAnsi="Calibri" w:cs="Calibri"/>
        </w:rPr>
        <w:t xml:space="preserve"> th</w:t>
      </w:r>
      <w:r>
        <w:rPr>
          <w:rFonts w:ascii="Calibri" w:hAnsi="Calibri" w:cs="Calibri"/>
        </w:rPr>
        <w:t>ose who received</w:t>
      </w:r>
      <w:r w:rsidRPr="00A2357E">
        <w:rPr>
          <w:rFonts w:ascii="Calibri" w:hAnsi="Calibri" w:cs="Calibri"/>
        </w:rPr>
        <w:t xml:space="preserve"> standard care there </w:t>
      </w:r>
      <w:r>
        <w:rPr>
          <w:rFonts w:ascii="Calibri" w:hAnsi="Calibri" w:cs="Calibri"/>
        </w:rPr>
        <w:t>was</w:t>
      </w:r>
      <w:r w:rsidRPr="00A2357E">
        <w:rPr>
          <w:rFonts w:ascii="Calibri" w:hAnsi="Calibri" w:cs="Calibri"/>
        </w:rPr>
        <w:t xml:space="preserve"> an initial sharp </w:t>
      </w:r>
      <w:r>
        <w:rPr>
          <w:rFonts w:ascii="Calibri" w:hAnsi="Calibri" w:cs="Calibri"/>
        </w:rPr>
        <w:t>de</w:t>
      </w:r>
      <w:r w:rsidRPr="00A2357E">
        <w:rPr>
          <w:rFonts w:ascii="Calibri" w:hAnsi="Calibri" w:cs="Calibri"/>
        </w:rPr>
        <w:t>crease.</w:t>
      </w:r>
      <w:r>
        <w:rPr>
          <w:rFonts w:ascii="Calibri" w:hAnsi="Calibri" w:cs="Calibri"/>
        </w:rPr>
        <w:t xml:space="preserve"> </w:t>
      </w:r>
      <w:r>
        <w:t>T</w:t>
      </w:r>
      <w:r w:rsidRPr="000E4ADB">
        <w:t xml:space="preserve">here was no </w:t>
      </w:r>
      <w:r w:rsidRPr="000E4ADB">
        <w:rPr>
          <w:rFonts w:ascii="Calibri" w:hAnsi="Calibri" w:cs="Calibri"/>
        </w:rPr>
        <w:t>significant difference</w:t>
      </w:r>
      <w:r>
        <w:rPr>
          <w:rFonts w:ascii="Calibri" w:hAnsi="Calibri" w:cs="Calibri"/>
        </w:rPr>
        <w:t xml:space="preserve"> </w:t>
      </w:r>
      <w:r w:rsidRPr="00BE6028">
        <w:t>In VAS pain</w:t>
      </w:r>
      <w:r>
        <w:t xml:space="preserve"> scores</w:t>
      </w:r>
      <w:r w:rsidRPr="000E4ADB">
        <w:rPr>
          <w:rFonts w:ascii="Calibri" w:hAnsi="Calibri" w:cs="Calibri"/>
        </w:rPr>
        <w:t xml:space="preserve"> between study group using the </w:t>
      </w:r>
      <w:r w:rsidRPr="000E4ADB">
        <w:t>linear mixed model (p =0.093).</w:t>
      </w:r>
      <w:r w:rsidRPr="00A2357E">
        <w:tab/>
      </w:r>
    </w:p>
    <w:p w14:paraId="0FA52B68" w14:textId="77777777" w:rsidR="002D0529" w:rsidRDefault="002D0529" w:rsidP="007D0198">
      <w:pPr>
        <w:autoSpaceDE w:val="0"/>
        <w:autoSpaceDN w:val="0"/>
        <w:adjustRightInd w:val="0"/>
        <w:spacing w:after="0" w:line="240" w:lineRule="auto"/>
        <w:jc w:val="both"/>
        <w:rPr>
          <w:noProof/>
        </w:rPr>
      </w:pPr>
    </w:p>
    <w:p w14:paraId="4E7EE4CF" w14:textId="77777777" w:rsidR="002D0529" w:rsidRDefault="002D0529" w:rsidP="007D0198">
      <w:pPr>
        <w:autoSpaceDE w:val="0"/>
        <w:autoSpaceDN w:val="0"/>
        <w:adjustRightInd w:val="0"/>
        <w:spacing w:after="0" w:line="240" w:lineRule="auto"/>
        <w:jc w:val="both"/>
        <w:rPr>
          <w:rFonts w:ascii="Calibri" w:hAnsi="Calibri" w:cs="Calibri"/>
        </w:rPr>
      </w:pPr>
    </w:p>
    <w:p w14:paraId="751CC398" w14:textId="77777777" w:rsidR="002D0529" w:rsidRDefault="002D0529" w:rsidP="007D0198">
      <w:pPr>
        <w:autoSpaceDE w:val="0"/>
        <w:autoSpaceDN w:val="0"/>
        <w:adjustRightInd w:val="0"/>
        <w:spacing w:after="0" w:line="240" w:lineRule="auto"/>
        <w:jc w:val="both"/>
        <w:rPr>
          <w:rFonts w:ascii="Calibri" w:hAnsi="Calibri" w:cs="Calibri"/>
        </w:rPr>
      </w:pPr>
    </w:p>
    <w:p w14:paraId="6B889BB9" w14:textId="6636AFFF" w:rsidR="002D0529" w:rsidRDefault="002D0529" w:rsidP="007D0198">
      <w:pPr>
        <w:autoSpaceDE w:val="0"/>
        <w:autoSpaceDN w:val="0"/>
        <w:adjustRightInd w:val="0"/>
        <w:spacing w:after="0" w:line="240" w:lineRule="auto"/>
        <w:jc w:val="both"/>
      </w:pPr>
      <w:r>
        <w:rPr>
          <w:rFonts w:ascii="Calibri" w:hAnsi="Calibri" w:cs="Calibri"/>
        </w:rPr>
        <w:t xml:space="preserve">Quality of life scores improved throughout the study in </w:t>
      </w:r>
      <w:r>
        <w:t>both patients receiving ambulatory and standard care</w:t>
      </w:r>
      <w:r>
        <w:rPr>
          <w:rFonts w:ascii="Calibri" w:hAnsi="Calibri" w:cs="Calibri"/>
        </w:rPr>
        <w:t>, with</w:t>
      </w:r>
      <w:r w:rsidRPr="00681E52">
        <w:rPr>
          <w:rFonts w:ascii="Calibri" w:hAnsi="Calibri" w:cs="Calibri"/>
        </w:rPr>
        <w:t xml:space="preserve"> </w:t>
      </w:r>
      <w:r w:rsidRPr="00A2357E">
        <w:rPr>
          <w:rFonts w:ascii="Calibri" w:hAnsi="Calibri" w:cs="Calibri"/>
        </w:rPr>
        <w:t>s</w:t>
      </w:r>
      <w:r w:rsidRPr="00A2357E">
        <w:t xml:space="preserve">ignificant </w:t>
      </w:r>
      <w:r>
        <w:t>improvement in</w:t>
      </w:r>
      <w:r>
        <w:rPr>
          <w:rFonts w:ascii="Calibri" w:hAnsi="Calibri" w:cs="Calibri"/>
        </w:rPr>
        <w:t xml:space="preserve"> both mean EQ-5D-5L and </w:t>
      </w:r>
      <w:r w:rsidRPr="00A2357E">
        <w:rPr>
          <w:rFonts w:ascii="Calibri" w:hAnsi="Calibri" w:cs="Calibri"/>
        </w:rPr>
        <w:t>EQ5D VAS</w:t>
      </w:r>
      <w:r>
        <w:rPr>
          <w:rFonts w:ascii="Calibri" w:hAnsi="Calibri" w:cs="Calibri"/>
        </w:rPr>
        <w:t xml:space="preserve"> </w:t>
      </w:r>
      <w:r>
        <w:t>(Figure 5). M</w:t>
      </w:r>
      <w:r w:rsidRPr="009546F5">
        <w:t xml:space="preserve">ean EQ5D VAS </w:t>
      </w:r>
      <w:r>
        <w:t xml:space="preserve">improved </w:t>
      </w:r>
      <w:r w:rsidRPr="009546F5">
        <w:t xml:space="preserve">between baseline and </w:t>
      </w:r>
      <w:r>
        <w:t>w</w:t>
      </w:r>
      <w:r w:rsidRPr="009546F5">
        <w:t xml:space="preserve">eek </w:t>
      </w:r>
      <w:r>
        <w:t xml:space="preserve">four </w:t>
      </w:r>
      <w:r w:rsidRPr="009546F5">
        <w:t>(p &lt;</w:t>
      </w:r>
      <w:r>
        <w:t>0</w:t>
      </w:r>
      <w:r w:rsidRPr="009546F5">
        <w:t>.001)</w:t>
      </w:r>
      <w:r>
        <w:t xml:space="preserve"> </w:t>
      </w:r>
      <w:r>
        <w:rPr>
          <w:rFonts w:ascii="Calibri" w:hAnsi="Calibri" w:cs="Calibri"/>
        </w:rPr>
        <w:t>in both</w:t>
      </w:r>
      <w:r w:rsidRPr="009546F5">
        <w:t xml:space="preserve"> </w:t>
      </w:r>
      <w:r>
        <w:t xml:space="preserve">groups </w:t>
      </w:r>
      <w:r>
        <w:rPr>
          <w:rFonts w:ascii="Calibri" w:hAnsi="Calibri" w:cs="Calibri"/>
        </w:rPr>
        <w:t xml:space="preserve">and did </w:t>
      </w:r>
      <w:r w:rsidRPr="009546F5">
        <w:t>not differ</w:t>
      </w:r>
      <w:r>
        <w:t xml:space="preserve"> between groups</w:t>
      </w:r>
      <w:r w:rsidRPr="009546F5">
        <w:t xml:space="preserve"> at baseline (p</w:t>
      </w:r>
      <w:r w:rsidR="00A627B7">
        <w:t>=</w:t>
      </w:r>
      <w:r w:rsidRPr="009546F5">
        <w:t>0.10</w:t>
      </w:r>
      <w:r>
        <w:t>)</w:t>
      </w:r>
      <w:r w:rsidRPr="009546F5">
        <w:t xml:space="preserve">, at week </w:t>
      </w:r>
      <w:r>
        <w:t>four</w:t>
      </w:r>
      <w:r w:rsidRPr="009546F5">
        <w:t xml:space="preserve"> (p </w:t>
      </w:r>
      <w:r>
        <w:t>=</w:t>
      </w:r>
      <w:r w:rsidRPr="009546F5">
        <w:t xml:space="preserve">0.48), or week 12 (p </w:t>
      </w:r>
      <w:r>
        <w:t>=</w:t>
      </w:r>
      <w:r w:rsidRPr="009546F5">
        <w:t>0.21)</w:t>
      </w:r>
      <w:r>
        <w:t xml:space="preserve">. </w:t>
      </w:r>
      <w:r w:rsidRPr="004103F9">
        <w:t>Mean EQ-5D-5L improved  between baseline and week four (p</w:t>
      </w:r>
      <w:r>
        <w:t xml:space="preserve"> =</w:t>
      </w:r>
      <w:r w:rsidRPr="004103F9">
        <w:t>0.02 and 0.01, respectively)</w:t>
      </w:r>
      <w:r w:rsidRPr="004103F9">
        <w:rPr>
          <w:rFonts w:ascii="Calibri" w:hAnsi="Calibri" w:cs="Calibri"/>
        </w:rPr>
        <w:t xml:space="preserve"> in both</w:t>
      </w:r>
      <w:r w:rsidRPr="004103F9">
        <w:t xml:space="preserve"> randomised arms and </w:t>
      </w:r>
      <w:r>
        <w:t xml:space="preserve">then </w:t>
      </w:r>
      <w:r w:rsidRPr="004103F9">
        <w:t>did not differ</w:t>
      </w:r>
      <w:r>
        <w:t xml:space="preserve"> between groups</w:t>
      </w:r>
      <w:r w:rsidRPr="004103F9">
        <w:t xml:space="preserve"> at baseline (p </w:t>
      </w:r>
      <w:r>
        <w:t>=</w:t>
      </w:r>
      <w:r w:rsidRPr="004103F9">
        <w:t xml:space="preserve">0.85), at week four (p </w:t>
      </w:r>
      <w:r>
        <w:t>=</w:t>
      </w:r>
      <w:r w:rsidRPr="004103F9">
        <w:t>0.44), or week 12 (p</w:t>
      </w:r>
      <w:r>
        <w:t xml:space="preserve"> =</w:t>
      </w:r>
      <w:r w:rsidRPr="004103F9">
        <w:t>0.50).</w:t>
      </w:r>
    </w:p>
    <w:p w14:paraId="72CAEBA2" w14:textId="77777777" w:rsidR="002D0529" w:rsidRDefault="002D0529" w:rsidP="007D0198">
      <w:pPr>
        <w:autoSpaceDE w:val="0"/>
        <w:autoSpaceDN w:val="0"/>
        <w:adjustRightInd w:val="0"/>
        <w:spacing w:after="0" w:line="240" w:lineRule="auto"/>
        <w:jc w:val="both"/>
        <w:rPr>
          <w:rFonts w:ascii="Calibri" w:hAnsi="Calibri" w:cs="Calibri"/>
          <w:highlight w:val="lightGray"/>
        </w:rPr>
      </w:pPr>
    </w:p>
    <w:p w14:paraId="6DBEA78D" w14:textId="77777777" w:rsidR="002D0529" w:rsidRPr="00CE553C" w:rsidRDefault="002D0529" w:rsidP="007D0198">
      <w:pPr>
        <w:autoSpaceDE w:val="0"/>
        <w:autoSpaceDN w:val="0"/>
        <w:adjustRightInd w:val="0"/>
        <w:spacing w:after="0" w:line="240" w:lineRule="auto"/>
        <w:jc w:val="both"/>
        <w:rPr>
          <w:rFonts w:ascii="Calibri" w:hAnsi="Calibri" w:cs="Calibri"/>
          <w:highlight w:val="lightGray"/>
        </w:rPr>
      </w:pPr>
      <w:r w:rsidRPr="00826DA7">
        <w:rPr>
          <w:noProof/>
        </w:rPr>
        <w:t xml:space="preserve"> </w:t>
      </w:r>
    </w:p>
    <w:p w14:paraId="462EB63F" w14:textId="77777777" w:rsidR="002D0529" w:rsidRDefault="002D0529" w:rsidP="007D0198">
      <w:pPr>
        <w:autoSpaceDE w:val="0"/>
        <w:autoSpaceDN w:val="0"/>
        <w:adjustRightInd w:val="0"/>
        <w:spacing w:after="0" w:line="240" w:lineRule="auto"/>
        <w:jc w:val="both"/>
        <w:rPr>
          <w:rFonts w:ascii="Calibri" w:hAnsi="Calibri" w:cs="Calibri"/>
        </w:rPr>
      </w:pPr>
    </w:p>
    <w:p w14:paraId="091269A1" w14:textId="77777777" w:rsidR="002D0529" w:rsidRPr="00CE553C" w:rsidRDefault="002D0529" w:rsidP="007D0198">
      <w:pPr>
        <w:autoSpaceDE w:val="0"/>
        <w:autoSpaceDN w:val="0"/>
        <w:adjustRightInd w:val="0"/>
        <w:spacing w:after="0" w:line="240" w:lineRule="auto"/>
        <w:jc w:val="both"/>
        <w:rPr>
          <w:rFonts w:ascii="Calibri" w:hAnsi="Calibri" w:cs="Calibri"/>
          <w:b/>
          <w:bCs/>
        </w:rPr>
      </w:pPr>
      <w:r w:rsidRPr="00CE553C">
        <w:rPr>
          <w:rFonts w:ascii="Calibri" w:hAnsi="Calibri" w:cs="Calibri"/>
          <w:b/>
          <w:bCs/>
        </w:rPr>
        <w:t>Adverse events</w:t>
      </w:r>
    </w:p>
    <w:p w14:paraId="226AF7B1" w14:textId="77777777" w:rsidR="002D0529" w:rsidRDefault="002D0529" w:rsidP="007D0198">
      <w:pPr>
        <w:autoSpaceDE w:val="0"/>
        <w:autoSpaceDN w:val="0"/>
        <w:adjustRightInd w:val="0"/>
        <w:spacing w:after="0" w:line="240" w:lineRule="auto"/>
        <w:jc w:val="both"/>
      </w:pPr>
      <w:r>
        <w:rPr>
          <w:rFonts w:ascii="Calibri" w:hAnsi="Calibri" w:cs="Calibri"/>
        </w:rPr>
        <w:t>Ambulatory care accounted for 33 (56%) of the total 59</w:t>
      </w:r>
      <w:r w:rsidRPr="00965A89">
        <w:rPr>
          <w:rFonts w:ascii="Calibri" w:hAnsi="Calibri" w:cs="Calibri"/>
        </w:rPr>
        <w:t xml:space="preserve"> </w:t>
      </w:r>
      <w:r>
        <w:rPr>
          <w:rFonts w:ascii="Calibri" w:hAnsi="Calibri" w:cs="Calibri"/>
        </w:rPr>
        <w:t>AEs. Patients in standard care arm had 26 (44%) of the total 59</w:t>
      </w:r>
      <w:r w:rsidRPr="00965A89">
        <w:rPr>
          <w:rFonts w:ascii="Calibri" w:hAnsi="Calibri" w:cs="Calibri"/>
        </w:rPr>
        <w:t xml:space="preserve"> </w:t>
      </w:r>
      <w:r>
        <w:rPr>
          <w:rFonts w:ascii="Calibri" w:hAnsi="Calibri" w:cs="Calibri"/>
        </w:rPr>
        <w:t xml:space="preserve">AEs (Table 4). Rates of treatment failure were high in those treated with the PV, with </w:t>
      </w:r>
      <w:r>
        <w:t xml:space="preserve">six patients requiring an additional chest tube within the first week at a median time of two days from randomisation. These six cases included three instances where the pneumothorax increased in size and two instances where the PV blocked resulting in subcutaneous emphysema (SE). There were </w:t>
      </w:r>
      <w:r>
        <w:lastRenderedPageBreak/>
        <w:t xml:space="preserve">two cases where the PV was dislodged, one where the vent was attached to a suction device due to SE, with the resultant increased pull on drain leading to dislodgement, and another case where it was accidentally dislodged overnight. </w:t>
      </w:r>
    </w:p>
    <w:p w14:paraId="7CAD0F99" w14:textId="77777777" w:rsidR="002D0529" w:rsidRDefault="002D0529" w:rsidP="007D0198">
      <w:pPr>
        <w:autoSpaceDE w:val="0"/>
        <w:autoSpaceDN w:val="0"/>
        <w:adjustRightInd w:val="0"/>
        <w:spacing w:after="0" w:line="240" w:lineRule="auto"/>
        <w:jc w:val="both"/>
      </w:pPr>
    </w:p>
    <w:tbl>
      <w:tblPr>
        <w:tblStyle w:val="Style1"/>
        <w:tblW w:w="0" w:type="auto"/>
        <w:tblLook w:val="04A0" w:firstRow="1" w:lastRow="0" w:firstColumn="1" w:lastColumn="0" w:noHBand="0" w:noVBand="1"/>
      </w:tblPr>
      <w:tblGrid>
        <w:gridCol w:w="2740"/>
        <w:gridCol w:w="1348"/>
        <w:gridCol w:w="1273"/>
        <w:gridCol w:w="1301"/>
        <w:gridCol w:w="1197"/>
        <w:gridCol w:w="1167"/>
      </w:tblGrid>
      <w:tr w:rsidR="002D0529" w14:paraId="3C5B5DEF" w14:textId="77777777" w:rsidTr="00EE5CE1">
        <w:tc>
          <w:tcPr>
            <w:tcW w:w="2740" w:type="dxa"/>
            <w:tcBorders>
              <w:top w:val="single" w:sz="4" w:space="0" w:color="auto"/>
              <w:bottom w:val="single" w:sz="4" w:space="0" w:color="auto"/>
            </w:tcBorders>
          </w:tcPr>
          <w:p w14:paraId="163C59AB" w14:textId="77777777" w:rsidR="002D0529" w:rsidRDefault="002D0529" w:rsidP="007D0198">
            <w:pPr>
              <w:jc w:val="both"/>
            </w:pPr>
            <w:r>
              <w:t xml:space="preserve">Event </w:t>
            </w:r>
          </w:p>
        </w:tc>
        <w:tc>
          <w:tcPr>
            <w:tcW w:w="1348" w:type="dxa"/>
            <w:tcBorders>
              <w:top w:val="single" w:sz="4" w:space="0" w:color="auto"/>
              <w:bottom w:val="single" w:sz="4" w:space="0" w:color="auto"/>
            </w:tcBorders>
          </w:tcPr>
          <w:p w14:paraId="2448BCFB" w14:textId="77777777" w:rsidR="002D0529" w:rsidRDefault="002D0529" w:rsidP="007D0198">
            <w:pPr>
              <w:jc w:val="both"/>
            </w:pPr>
            <w:r>
              <w:t>Ambulatory care (N=21)</w:t>
            </w:r>
          </w:p>
        </w:tc>
        <w:tc>
          <w:tcPr>
            <w:tcW w:w="1273" w:type="dxa"/>
            <w:tcBorders>
              <w:top w:val="single" w:sz="4" w:space="0" w:color="auto"/>
              <w:bottom w:val="single" w:sz="4" w:space="0" w:color="auto"/>
            </w:tcBorders>
          </w:tcPr>
          <w:p w14:paraId="1586A415" w14:textId="77777777" w:rsidR="002D0529" w:rsidRDefault="002D0529" w:rsidP="007D0198">
            <w:pPr>
              <w:jc w:val="both"/>
            </w:pPr>
            <w:r>
              <w:t>Ambulatory care- Pleural Vent (N=13)</w:t>
            </w:r>
          </w:p>
        </w:tc>
        <w:tc>
          <w:tcPr>
            <w:tcW w:w="1301" w:type="dxa"/>
            <w:tcBorders>
              <w:top w:val="single" w:sz="4" w:space="0" w:color="auto"/>
              <w:bottom w:val="single" w:sz="4" w:space="0" w:color="auto"/>
            </w:tcBorders>
          </w:tcPr>
          <w:p w14:paraId="69516443" w14:textId="77777777" w:rsidR="002D0529" w:rsidRDefault="002D0529" w:rsidP="007D0198">
            <w:pPr>
              <w:jc w:val="both"/>
            </w:pPr>
            <w:r>
              <w:t>Ambulatory care- Atrium Pneumostat (N=8)</w:t>
            </w:r>
          </w:p>
        </w:tc>
        <w:tc>
          <w:tcPr>
            <w:tcW w:w="1197" w:type="dxa"/>
            <w:tcBorders>
              <w:top w:val="single" w:sz="4" w:space="0" w:color="auto"/>
              <w:bottom w:val="single" w:sz="4" w:space="0" w:color="auto"/>
            </w:tcBorders>
          </w:tcPr>
          <w:p w14:paraId="728045BD" w14:textId="77777777" w:rsidR="002D0529" w:rsidRDefault="002D0529" w:rsidP="007D0198">
            <w:pPr>
              <w:jc w:val="both"/>
            </w:pPr>
            <w:r>
              <w:t>Standard care</w:t>
            </w:r>
          </w:p>
          <w:p w14:paraId="3E0056FA" w14:textId="77777777" w:rsidR="002D0529" w:rsidRDefault="002D0529" w:rsidP="007D0198">
            <w:pPr>
              <w:jc w:val="both"/>
            </w:pPr>
            <w:r>
              <w:t>(N=20)</w:t>
            </w:r>
          </w:p>
        </w:tc>
        <w:tc>
          <w:tcPr>
            <w:tcW w:w="1167" w:type="dxa"/>
            <w:tcBorders>
              <w:top w:val="single" w:sz="4" w:space="0" w:color="auto"/>
              <w:bottom w:val="single" w:sz="4" w:space="0" w:color="auto"/>
            </w:tcBorders>
          </w:tcPr>
          <w:p w14:paraId="2E157D47" w14:textId="77777777" w:rsidR="002D0529" w:rsidRDefault="002D0529" w:rsidP="007D0198">
            <w:pPr>
              <w:jc w:val="both"/>
            </w:pPr>
            <w:r>
              <w:t xml:space="preserve">Total </w:t>
            </w:r>
          </w:p>
          <w:p w14:paraId="0973D913" w14:textId="77777777" w:rsidR="002D0529" w:rsidRDefault="002D0529" w:rsidP="007D0198">
            <w:pPr>
              <w:jc w:val="both"/>
            </w:pPr>
            <w:r>
              <w:t>(N=41)</w:t>
            </w:r>
          </w:p>
        </w:tc>
      </w:tr>
      <w:tr w:rsidR="002D0529" w14:paraId="43C9670C" w14:textId="77777777" w:rsidTr="00EE5CE1">
        <w:tc>
          <w:tcPr>
            <w:tcW w:w="2740" w:type="dxa"/>
            <w:tcBorders>
              <w:top w:val="single" w:sz="4" w:space="0" w:color="auto"/>
            </w:tcBorders>
          </w:tcPr>
          <w:p w14:paraId="182F5DDD" w14:textId="77777777" w:rsidR="002D0529" w:rsidRDefault="002D0529" w:rsidP="007D0198">
            <w:pPr>
              <w:jc w:val="both"/>
            </w:pPr>
            <w:r>
              <w:t xml:space="preserve">Chest pain </w:t>
            </w:r>
          </w:p>
        </w:tc>
        <w:tc>
          <w:tcPr>
            <w:tcW w:w="1348" w:type="dxa"/>
            <w:tcBorders>
              <w:top w:val="single" w:sz="4" w:space="0" w:color="auto"/>
            </w:tcBorders>
          </w:tcPr>
          <w:p w14:paraId="6C309810" w14:textId="77777777" w:rsidR="002D0529" w:rsidRDefault="002D0529" w:rsidP="007D0198">
            <w:pPr>
              <w:jc w:val="both"/>
            </w:pPr>
          </w:p>
        </w:tc>
        <w:tc>
          <w:tcPr>
            <w:tcW w:w="1273" w:type="dxa"/>
            <w:tcBorders>
              <w:top w:val="single" w:sz="4" w:space="0" w:color="auto"/>
            </w:tcBorders>
          </w:tcPr>
          <w:p w14:paraId="1F46812B" w14:textId="77777777" w:rsidR="002D0529" w:rsidRDefault="002D0529" w:rsidP="007D0198">
            <w:pPr>
              <w:jc w:val="both"/>
            </w:pPr>
          </w:p>
        </w:tc>
        <w:tc>
          <w:tcPr>
            <w:tcW w:w="1301" w:type="dxa"/>
            <w:tcBorders>
              <w:top w:val="single" w:sz="4" w:space="0" w:color="auto"/>
            </w:tcBorders>
          </w:tcPr>
          <w:p w14:paraId="6ED62310" w14:textId="77777777" w:rsidR="002D0529" w:rsidRDefault="002D0529" w:rsidP="007D0198">
            <w:pPr>
              <w:jc w:val="both"/>
            </w:pPr>
          </w:p>
        </w:tc>
        <w:tc>
          <w:tcPr>
            <w:tcW w:w="1197" w:type="dxa"/>
            <w:tcBorders>
              <w:top w:val="single" w:sz="4" w:space="0" w:color="auto"/>
            </w:tcBorders>
          </w:tcPr>
          <w:p w14:paraId="280C11DA" w14:textId="77777777" w:rsidR="002D0529" w:rsidRDefault="002D0529" w:rsidP="007D0198">
            <w:pPr>
              <w:jc w:val="both"/>
            </w:pPr>
          </w:p>
        </w:tc>
        <w:tc>
          <w:tcPr>
            <w:tcW w:w="1167" w:type="dxa"/>
            <w:tcBorders>
              <w:top w:val="single" w:sz="4" w:space="0" w:color="auto"/>
            </w:tcBorders>
          </w:tcPr>
          <w:p w14:paraId="7215A78B" w14:textId="77777777" w:rsidR="002D0529" w:rsidRDefault="002D0529" w:rsidP="007D0198">
            <w:pPr>
              <w:jc w:val="both"/>
            </w:pPr>
          </w:p>
        </w:tc>
      </w:tr>
      <w:tr w:rsidR="002D0529" w14:paraId="1B6428B3" w14:textId="77777777" w:rsidTr="00EE5CE1">
        <w:tc>
          <w:tcPr>
            <w:tcW w:w="2740" w:type="dxa"/>
          </w:tcPr>
          <w:p w14:paraId="20831266" w14:textId="77777777" w:rsidR="002D0529" w:rsidRDefault="002D0529" w:rsidP="007D0198">
            <w:pPr>
              <w:jc w:val="both"/>
            </w:pPr>
            <w:r>
              <w:t xml:space="preserve">  Related to insertion of device        </w:t>
            </w:r>
          </w:p>
        </w:tc>
        <w:tc>
          <w:tcPr>
            <w:tcW w:w="1348" w:type="dxa"/>
          </w:tcPr>
          <w:p w14:paraId="5F65A121" w14:textId="77777777" w:rsidR="002D0529" w:rsidRDefault="002D0529" w:rsidP="007D0198">
            <w:pPr>
              <w:jc w:val="both"/>
            </w:pPr>
            <w:r>
              <w:t>0</w:t>
            </w:r>
          </w:p>
        </w:tc>
        <w:tc>
          <w:tcPr>
            <w:tcW w:w="1273" w:type="dxa"/>
          </w:tcPr>
          <w:p w14:paraId="58E3532B" w14:textId="77777777" w:rsidR="002D0529" w:rsidRDefault="002D0529" w:rsidP="007D0198">
            <w:pPr>
              <w:jc w:val="both"/>
            </w:pPr>
            <w:r>
              <w:t>0</w:t>
            </w:r>
          </w:p>
        </w:tc>
        <w:tc>
          <w:tcPr>
            <w:tcW w:w="1301" w:type="dxa"/>
          </w:tcPr>
          <w:p w14:paraId="23FA6CD8" w14:textId="77777777" w:rsidR="002D0529" w:rsidRDefault="002D0529" w:rsidP="007D0198">
            <w:pPr>
              <w:jc w:val="both"/>
            </w:pPr>
            <w:r>
              <w:t>0</w:t>
            </w:r>
          </w:p>
        </w:tc>
        <w:tc>
          <w:tcPr>
            <w:tcW w:w="1197" w:type="dxa"/>
          </w:tcPr>
          <w:p w14:paraId="592E543D" w14:textId="77777777" w:rsidR="002D0529" w:rsidRDefault="002D0529" w:rsidP="007D0198">
            <w:pPr>
              <w:jc w:val="both"/>
            </w:pPr>
            <w:r>
              <w:t>1</w:t>
            </w:r>
          </w:p>
        </w:tc>
        <w:tc>
          <w:tcPr>
            <w:tcW w:w="1167" w:type="dxa"/>
          </w:tcPr>
          <w:p w14:paraId="616283B9" w14:textId="77777777" w:rsidR="002D0529" w:rsidRDefault="002D0529" w:rsidP="007D0198">
            <w:pPr>
              <w:jc w:val="both"/>
            </w:pPr>
            <w:r>
              <w:t>1</w:t>
            </w:r>
          </w:p>
        </w:tc>
      </w:tr>
      <w:tr w:rsidR="002D0529" w14:paraId="33A80325" w14:textId="77777777" w:rsidTr="00EE5CE1">
        <w:tc>
          <w:tcPr>
            <w:tcW w:w="2740" w:type="dxa"/>
          </w:tcPr>
          <w:p w14:paraId="6C7A225B" w14:textId="77777777" w:rsidR="002D0529" w:rsidRDefault="002D0529" w:rsidP="007D0198">
            <w:pPr>
              <w:jc w:val="both"/>
            </w:pPr>
            <w:r>
              <w:t xml:space="preserve">  While device in-situ</w:t>
            </w:r>
          </w:p>
        </w:tc>
        <w:tc>
          <w:tcPr>
            <w:tcW w:w="1348" w:type="dxa"/>
          </w:tcPr>
          <w:p w14:paraId="2484FA44" w14:textId="77777777" w:rsidR="002D0529" w:rsidRDefault="002D0529" w:rsidP="007D0198">
            <w:pPr>
              <w:jc w:val="both"/>
            </w:pPr>
            <w:r>
              <w:t>3</w:t>
            </w:r>
          </w:p>
        </w:tc>
        <w:tc>
          <w:tcPr>
            <w:tcW w:w="1273" w:type="dxa"/>
          </w:tcPr>
          <w:p w14:paraId="1C81CA43" w14:textId="77777777" w:rsidR="002D0529" w:rsidRDefault="002D0529" w:rsidP="007D0198">
            <w:pPr>
              <w:jc w:val="both"/>
            </w:pPr>
            <w:r>
              <w:t>1</w:t>
            </w:r>
          </w:p>
        </w:tc>
        <w:tc>
          <w:tcPr>
            <w:tcW w:w="1301" w:type="dxa"/>
          </w:tcPr>
          <w:p w14:paraId="3A3931B9" w14:textId="77777777" w:rsidR="002D0529" w:rsidRDefault="002D0529" w:rsidP="007D0198">
            <w:pPr>
              <w:jc w:val="both"/>
            </w:pPr>
            <w:r>
              <w:t>2</w:t>
            </w:r>
          </w:p>
        </w:tc>
        <w:tc>
          <w:tcPr>
            <w:tcW w:w="1197" w:type="dxa"/>
          </w:tcPr>
          <w:p w14:paraId="3F3567B0" w14:textId="77777777" w:rsidR="002D0529" w:rsidRDefault="002D0529" w:rsidP="007D0198">
            <w:pPr>
              <w:jc w:val="both"/>
            </w:pPr>
            <w:r>
              <w:t>1</w:t>
            </w:r>
          </w:p>
        </w:tc>
        <w:tc>
          <w:tcPr>
            <w:tcW w:w="1167" w:type="dxa"/>
          </w:tcPr>
          <w:p w14:paraId="7ED7B0D6" w14:textId="77777777" w:rsidR="002D0529" w:rsidRDefault="002D0529" w:rsidP="007D0198">
            <w:pPr>
              <w:jc w:val="both"/>
            </w:pPr>
            <w:r>
              <w:t>4</w:t>
            </w:r>
          </w:p>
        </w:tc>
      </w:tr>
      <w:tr w:rsidR="002D0529" w14:paraId="0B30FE31" w14:textId="77777777" w:rsidTr="00EE5CE1">
        <w:tc>
          <w:tcPr>
            <w:tcW w:w="2740" w:type="dxa"/>
          </w:tcPr>
          <w:p w14:paraId="4F8D7097" w14:textId="77777777" w:rsidR="002D0529" w:rsidRDefault="002D0529" w:rsidP="007D0198">
            <w:pPr>
              <w:jc w:val="both"/>
            </w:pPr>
            <w:r>
              <w:t>Subcutaneous emphysema</w:t>
            </w:r>
          </w:p>
        </w:tc>
        <w:tc>
          <w:tcPr>
            <w:tcW w:w="1348" w:type="dxa"/>
          </w:tcPr>
          <w:p w14:paraId="00253C02" w14:textId="77777777" w:rsidR="002D0529" w:rsidRDefault="002D0529" w:rsidP="007D0198">
            <w:pPr>
              <w:jc w:val="both"/>
            </w:pPr>
            <w:r>
              <w:t>6</w:t>
            </w:r>
          </w:p>
        </w:tc>
        <w:tc>
          <w:tcPr>
            <w:tcW w:w="1273" w:type="dxa"/>
          </w:tcPr>
          <w:p w14:paraId="2F7BC277" w14:textId="77777777" w:rsidR="002D0529" w:rsidRDefault="002D0529" w:rsidP="007D0198">
            <w:pPr>
              <w:jc w:val="both"/>
            </w:pPr>
            <w:r>
              <w:t>6</w:t>
            </w:r>
          </w:p>
        </w:tc>
        <w:tc>
          <w:tcPr>
            <w:tcW w:w="1301" w:type="dxa"/>
          </w:tcPr>
          <w:p w14:paraId="39E00961" w14:textId="77777777" w:rsidR="002D0529" w:rsidRDefault="002D0529" w:rsidP="007D0198">
            <w:pPr>
              <w:jc w:val="both"/>
            </w:pPr>
            <w:r>
              <w:t>0</w:t>
            </w:r>
          </w:p>
        </w:tc>
        <w:tc>
          <w:tcPr>
            <w:tcW w:w="1197" w:type="dxa"/>
          </w:tcPr>
          <w:p w14:paraId="62D48E4D" w14:textId="77777777" w:rsidR="002D0529" w:rsidRDefault="002D0529" w:rsidP="007D0198">
            <w:pPr>
              <w:jc w:val="both"/>
            </w:pPr>
            <w:r>
              <w:t>3</w:t>
            </w:r>
          </w:p>
        </w:tc>
        <w:tc>
          <w:tcPr>
            <w:tcW w:w="1167" w:type="dxa"/>
          </w:tcPr>
          <w:p w14:paraId="0F64056E" w14:textId="77777777" w:rsidR="002D0529" w:rsidRDefault="002D0529" w:rsidP="007D0198">
            <w:pPr>
              <w:jc w:val="both"/>
            </w:pPr>
            <w:r>
              <w:t>9</w:t>
            </w:r>
          </w:p>
        </w:tc>
      </w:tr>
      <w:tr w:rsidR="002D0529" w14:paraId="46E53A24" w14:textId="77777777" w:rsidTr="00EE5CE1">
        <w:tc>
          <w:tcPr>
            <w:tcW w:w="2740" w:type="dxa"/>
          </w:tcPr>
          <w:p w14:paraId="71945E3D" w14:textId="77777777" w:rsidR="002D0529" w:rsidRDefault="002D0529" w:rsidP="007D0198">
            <w:pPr>
              <w:jc w:val="both"/>
            </w:pPr>
            <w:r>
              <w:t>Infection</w:t>
            </w:r>
          </w:p>
        </w:tc>
        <w:tc>
          <w:tcPr>
            <w:tcW w:w="1348" w:type="dxa"/>
          </w:tcPr>
          <w:p w14:paraId="63F02C17" w14:textId="77777777" w:rsidR="002D0529" w:rsidRDefault="002D0529" w:rsidP="007D0198">
            <w:pPr>
              <w:jc w:val="both"/>
            </w:pPr>
          </w:p>
        </w:tc>
        <w:tc>
          <w:tcPr>
            <w:tcW w:w="1273" w:type="dxa"/>
          </w:tcPr>
          <w:p w14:paraId="0FD857C8" w14:textId="77777777" w:rsidR="002D0529" w:rsidRDefault="002D0529" w:rsidP="007D0198">
            <w:pPr>
              <w:jc w:val="both"/>
            </w:pPr>
          </w:p>
        </w:tc>
        <w:tc>
          <w:tcPr>
            <w:tcW w:w="1301" w:type="dxa"/>
          </w:tcPr>
          <w:p w14:paraId="79AC5CEF" w14:textId="77777777" w:rsidR="002D0529" w:rsidRDefault="002D0529" w:rsidP="007D0198">
            <w:pPr>
              <w:jc w:val="both"/>
            </w:pPr>
          </w:p>
        </w:tc>
        <w:tc>
          <w:tcPr>
            <w:tcW w:w="1197" w:type="dxa"/>
          </w:tcPr>
          <w:p w14:paraId="64762F63" w14:textId="77777777" w:rsidR="002D0529" w:rsidRDefault="002D0529" w:rsidP="007D0198">
            <w:pPr>
              <w:jc w:val="both"/>
            </w:pPr>
          </w:p>
        </w:tc>
        <w:tc>
          <w:tcPr>
            <w:tcW w:w="1167" w:type="dxa"/>
          </w:tcPr>
          <w:p w14:paraId="2504DED4" w14:textId="77777777" w:rsidR="002D0529" w:rsidRDefault="002D0529" w:rsidP="007D0198">
            <w:pPr>
              <w:jc w:val="both"/>
            </w:pPr>
          </w:p>
        </w:tc>
      </w:tr>
      <w:tr w:rsidR="002D0529" w14:paraId="012F48AB" w14:textId="77777777" w:rsidTr="00EE5CE1">
        <w:tc>
          <w:tcPr>
            <w:tcW w:w="2740" w:type="dxa"/>
          </w:tcPr>
          <w:p w14:paraId="62F449B9" w14:textId="77777777" w:rsidR="002D0529" w:rsidRDefault="002D0529" w:rsidP="007D0198">
            <w:pPr>
              <w:jc w:val="both"/>
            </w:pPr>
            <w:r>
              <w:t xml:space="preserve">  Pleural </w:t>
            </w:r>
          </w:p>
        </w:tc>
        <w:tc>
          <w:tcPr>
            <w:tcW w:w="1348" w:type="dxa"/>
          </w:tcPr>
          <w:p w14:paraId="50BD2575" w14:textId="77777777" w:rsidR="002D0529" w:rsidRDefault="002D0529" w:rsidP="007D0198">
            <w:pPr>
              <w:jc w:val="both"/>
            </w:pPr>
            <w:r>
              <w:t>2</w:t>
            </w:r>
          </w:p>
        </w:tc>
        <w:tc>
          <w:tcPr>
            <w:tcW w:w="1273" w:type="dxa"/>
          </w:tcPr>
          <w:p w14:paraId="0352DEE3" w14:textId="77777777" w:rsidR="002D0529" w:rsidRDefault="002D0529" w:rsidP="007D0198">
            <w:pPr>
              <w:jc w:val="both"/>
            </w:pPr>
            <w:r>
              <w:t>1</w:t>
            </w:r>
          </w:p>
        </w:tc>
        <w:tc>
          <w:tcPr>
            <w:tcW w:w="1301" w:type="dxa"/>
          </w:tcPr>
          <w:p w14:paraId="1D3D54BA" w14:textId="77777777" w:rsidR="002D0529" w:rsidRDefault="002D0529" w:rsidP="007D0198">
            <w:pPr>
              <w:jc w:val="both"/>
            </w:pPr>
            <w:r>
              <w:t>1</w:t>
            </w:r>
          </w:p>
        </w:tc>
        <w:tc>
          <w:tcPr>
            <w:tcW w:w="1197" w:type="dxa"/>
          </w:tcPr>
          <w:p w14:paraId="54E82822" w14:textId="77777777" w:rsidR="002D0529" w:rsidRDefault="002D0529" w:rsidP="007D0198">
            <w:pPr>
              <w:jc w:val="both"/>
            </w:pPr>
            <w:r>
              <w:t>2</w:t>
            </w:r>
          </w:p>
        </w:tc>
        <w:tc>
          <w:tcPr>
            <w:tcW w:w="1167" w:type="dxa"/>
          </w:tcPr>
          <w:p w14:paraId="6958728C" w14:textId="77777777" w:rsidR="002D0529" w:rsidRDefault="002D0529" w:rsidP="007D0198">
            <w:pPr>
              <w:jc w:val="both"/>
            </w:pPr>
            <w:r>
              <w:t>4</w:t>
            </w:r>
          </w:p>
        </w:tc>
      </w:tr>
      <w:tr w:rsidR="002D0529" w14:paraId="45E5B141" w14:textId="77777777" w:rsidTr="00EE5CE1">
        <w:tc>
          <w:tcPr>
            <w:tcW w:w="2740" w:type="dxa"/>
          </w:tcPr>
          <w:p w14:paraId="0E037981" w14:textId="77777777" w:rsidR="002D0529" w:rsidRDefault="002D0529" w:rsidP="007D0198">
            <w:pPr>
              <w:jc w:val="both"/>
            </w:pPr>
            <w:r>
              <w:t xml:space="preserve">  Subcutaneous</w:t>
            </w:r>
          </w:p>
        </w:tc>
        <w:tc>
          <w:tcPr>
            <w:tcW w:w="1348" w:type="dxa"/>
          </w:tcPr>
          <w:p w14:paraId="3658F1E1" w14:textId="77777777" w:rsidR="002D0529" w:rsidRDefault="002D0529" w:rsidP="007D0198">
            <w:pPr>
              <w:jc w:val="both"/>
            </w:pPr>
            <w:r>
              <w:t>0</w:t>
            </w:r>
          </w:p>
        </w:tc>
        <w:tc>
          <w:tcPr>
            <w:tcW w:w="1273" w:type="dxa"/>
          </w:tcPr>
          <w:p w14:paraId="0D440392" w14:textId="77777777" w:rsidR="002D0529" w:rsidRDefault="002D0529" w:rsidP="007D0198">
            <w:pPr>
              <w:jc w:val="both"/>
            </w:pPr>
          </w:p>
        </w:tc>
        <w:tc>
          <w:tcPr>
            <w:tcW w:w="1301" w:type="dxa"/>
          </w:tcPr>
          <w:p w14:paraId="0549A41A" w14:textId="77777777" w:rsidR="002D0529" w:rsidRDefault="002D0529" w:rsidP="007D0198">
            <w:pPr>
              <w:jc w:val="both"/>
            </w:pPr>
            <w:r>
              <w:t>0</w:t>
            </w:r>
          </w:p>
        </w:tc>
        <w:tc>
          <w:tcPr>
            <w:tcW w:w="1197" w:type="dxa"/>
          </w:tcPr>
          <w:p w14:paraId="7529256D" w14:textId="77777777" w:rsidR="002D0529" w:rsidRDefault="002D0529" w:rsidP="007D0198">
            <w:pPr>
              <w:jc w:val="both"/>
            </w:pPr>
            <w:r>
              <w:t>1</w:t>
            </w:r>
          </w:p>
        </w:tc>
        <w:tc>
          <w:tcPr>
            <w:tcW w:w="1167" w:type="dxa"/>
          </w:tcPr>
          <w:p w14:paraId="468DB857" w14:textId="77777777" w:rsidR="002D0529" w:rsidRDefault="002D0529" w:rsidP="007D0198">
            <w:pPr>
              <w:jc w:val="both"/>
            </w:pPr>
            <w:r>
              <w:t>1</w:t>
            </w:r>
          </w:p>
        </w:tc>
      </w:tr>
      <w:tr w:rsidR="002D0529" w14:paraId="15529DF6" w14:textId="77777777" w:rsidTr="00EE5CE1">
        <w:tc>
          <w:tcPr>
            <w:tcW w:w="2740" w:type="dxa"/>
          </w:tcPr>
          <w:p w14:paraId="17CDE7AD" w14:textId="77777777" w:rsidR="002D0529" w:rsidRDefault="002D0529" w:rsidP="007D0198">
            <w:pPr>
              <w:jc w:val="both"/>
            </w:pPr>
            <w:r>
              <w:t xml:space="preserve">  Pneumonia/chest infection</w:t>
            </w:r>
          </w:p>
        </w:tc>
        <w:tc>
          <w:tcPr>
            <w:tcW w:w="1348" w:type="dxa"/>
          </w:tcPr>
          <w:p w14:paraId="513DA240" w14:textId="77777777" w:rsidR="002D0529" w:rsidRDefault="002D0529" w:rsidP="007D0198">
            <w:pPr>
              <w:jc w:val="both"/>
            </w:pPr>
            <w:r>
              <w:t>7</w:t>
            </w:r>
          </w:p>
        </w:tc>
        <w:tc>
          <w:tcPr>
            <w:tcW w:w="1273" w:type="dxa"/>
          </w:tcPr>
          <w:p w14:paraId="44865940" w14:textId="77777777" w:rsidR="002D0529" w:rsidRDefault="002D0529" w:rsidP="007D0198">
            <w:pPr>
              <w:jc w:val="both"/>
            </w:pPr>
            <w:r>
              <w:t>3</w:t>
            </w:r>
          </w:p>
        </w:tc>
        <w:tc>
          <w:tcPr>
            <w:tcW w:w="1301" w:type="dxa"/>
          </w:tcPr>
          <w:p w14:paraId="711ACA95" w14:textId="77777777" w:rsidR="002D0529" w:rsidRDefault="002D0529" w:rsidP="007D0198">
            <w:pPr>
              <w:jc w:val="both"/>
            </w:pPr>
            <w:r>
              <w:t>4</w:t>
            </w:r>
          </w:p>
        </w:tc>
        <w:tc>
          <w:tcPr>
            <w:tcW w:w="1197" w:type="dxa"/>
          </w:tcPr>
          <w:p w14:paraId="2BDAAA45" w14:textId="77777777" w:rsidR="002D0529" w:rsidRDefault="002D0529" w:rsidP="007D0198">
            <w:pPr>
              <w:jc w:val="both"/>
            </w:pPr>
            <w:r>
              <w:t>1</w:t>
            </w:r>
          </w:p>
        </w:tc>
        <w:tc>
          <w:tcPr>
            <w:tcW w:w="1167" w:type="dxa"/>
          </w:tcPr>
          <w:p w14:paraId="7EC2E185" w14:textId="77777777" w:rsidR="002D0529" w:rsidRDefault="002D0529" w:rsidP="007D0198">
            <w:pPr>
              <w:jc w:val="both"/>
            </w:pPr>
            <w:r>
              <w:t>8</w:t>
            </w:r>
          </w:p>
        </w:tc>
      </w:tr>
      <w:tr w:rsidR="002D0529" w14:paraId="103A878C" w14:textId="77777777" w:rsidTr="00EE5CE1">
        <w:tc>
          <w:tcPr>
            <w:tcW w:w="2740" w:type="dxa"/>
          </w:tcPr>
          <w:p w14:paraId="1D82968C" w14:textId="77777777" w:rsidR="002D0529" w:rsidRDefault="002D0529" w:rsidP="007D0198">
            <w:pPr>
              <w:jc w:val="both"/>
            </w:pPr>
            <w:r>
              <w:t>Device dislodgement</w:t>
            </w:r>
          </w:p>
        </w:tc>
        <w:tc>
          <w:tcPr>
            <w:tcW w:w="1348" w:type="dxa"/>
          </w:tcPr>
          <w:p w14:paraId="35D64AD5" w14:textId="77777777" w:rsidR="002D0529" w:rsidRDefault="002D0529" w:rsidP="007D0198">
            <w:pPr>
              <w:jc w:val="both"/>
            </w:pPr>
            <w:r>
              <w:t>2</w:t>
            </w:r>
          </w:p>
        </w:tc>
        <w:tc>
          <w:tcPr>
            <w:tcW w:w="1273" w:type="dxa"/>
          </w:tcPr>
          <w:p w14:paraId="79019C46" w14:textId="77777777" w:rsidR="002D0529" w:rsidRDefault="002D0529" w:rsidP="007D0198">
            <w:pPr>
              <w:jc w:val="both"/>
            </w:pPr>
            <w:r>
              <w:t>2</w:t>
            </w:r>
          </w:p>
        </w:tc>
        <w:tc>
          <w:tcPr>
            <w:tcW w:w="1301" w:type="dxa"/>
          </w:tcPr>
          <w:p w14:paraId="4DD533E6" w14:textId="77777777" w:rsidR="002D0529" w:rsidRDefault="002D0529" w:rsidP="007D0198">
            <w:pPr>
              <w:jc w:val="both"/>
            </w:pPr>
            <w:r>
              <w:t>0</w:t>
            </w:r>
          </w:p>
        </w:tc>
        <w:tc>
          <w:tcPr>
            <w:tcW w:w="1197" w:type="dxa"/>
          </w:tcPr>
          <w:p w14:paraId="0734CBCF" w14:textId="77777777" w:rsidR="002D0529" w:rsidRDefault="002D0529" w:rsidP="007D0198">
            <w:pPr>
              <w:jc w:val="both"/>
            </w:pPr>
            <w:r>
              <w:t>1</w:t>
            </w:r>
          </w:p>
        </w:tc>
        <w:tc>
          <w:tcPr>
            <w:tcW w:w="1167" w:type="dxa"/>
          </w:tcPr>
          <w:p w14:paraId="0F7B8218" w14:textId="77777777" w:rsidR="002D0529" w:rsidRDefault="002D0529" w:rsidP="007D0198">
            <w:pPr>
              <w:jc w:val="both"/>
            </w:pPr>
            <w:r>
              <w:t>3</w:t>
            </w:r>
          </w:p>
        </w:tc>
      </w:tr>
      <w:tr w:rsidR="002D0529" w14:paraId="2040C620" w14:textId="77777777" w:rsidTr="00EE5CE1">
        <w:tc>
          <w:tcPr>
            <w:tcW w:w="2740" w:type="dxa"/>
          </w:tcPr>
          <w:p w14:paraId="306EBB82" w14:textId="77777777" w:rsidR="002D0529" w:rsidRDefault="002D0529" w:rsidP="007D0198">
            <w:pPr>
              <w:jc w:val="both"/>
            </w:pPr>
            <w:r>
              <w:t>Device blockage/enlarging pneumothorax</w:t>
            </w:r>
          </w:p>
        </w:tc>
        <w:tc>
          <w:tcPr>
            <w:tcW w:w="1348" w:type="dxa"/>
          </w:tcPr>
          <w:p w14:paraId="231C462A" w14:textId="77777777" w:rsidR="002D0529" w:rsidRDefault="002D0529" w:rsidP="007D0198">
            <w:pPr>
              <w:jc w:val="both"/>
            </w:pPr>
            <w:r>
              <w:t>4</w:t>
            </w:r>
          </w:p>
        </w:tc>
        <w:tc>
          <w:tcPr>
            <w:tcW w:w="1273" w:type="dxa"/>
          </w:tcPr>
          <w:p w14:paraId="0EBC8E3B" w14:textId="77777777" w:rsidR="002D0529" w:rsidRDefault="002D0529" w:rsidP="007D0198">
            <w:pPr>
              <w:jc w:val="both"/>
            </w:pPr>
            <w:r>
              <w:t>4</w:t>
            </w:r>
          </w:p>
        </w:tc>
        <w:tc>
          <w:tcPr>
            <w:tcW w:w="1301" w:type="dxa"/>
          </w:tcPr>
          <w:p w14:paraId="72A92028" w14:textId="77777777" w:rsidR="002D0529" w:rsidRDefault="002D0529" w:rsidP="007D0198">
            <w:pPr>
              <w:jc w:val="both"/>
            </w:pPr>
            <w:r>
              <w:t>0</w:t>
            </w:r>
          </w:p>
        </w:tc>
        <w:tc>
          <w:tcPr>
            <w:tcW w:w="1197" w:type="dxa"/>
          </w:tcPr>
          <w:p w14:paraId="5D439D9C" w14:textId="77777777" w:rsidR="002D0529" w:rsidRDefault="002D0529" w:rsidP="007D0198">
            <w:pPr>
              <w:jc w:val="both"/>
            </w:pPr>
            <w:r>
              <w:t>1</w:t>
            </w:r>
          </w:p>
        </w:tc>
        <w:tc>
          <w:tcPr>
            <w:tcW w:w="1167" w:type="dxa"/>
          </w:tcPr>
          <w:p w14:paraId="060245EA" w14:textId="77777777" w:rsidR="002D0529" w:rsidRDefault="002D0529" w:rsidP="007D0198">
            <w:pPr>
              <w:jc w:val="both"/>
            </w:pPr>
            <w:r>
              <w:t>5</w:t>
            </w:r>
          </w:p>
        </w:tc>
      </w:tr>
      <w:tr w:rsidR="002D0529" w14:paraId="02E1CBA0" w14:textId="77777777" w:rsidTr="00EE5CE1">
        <w:tc>
          <w:tcPr>
            <w:tcW w:w="2740" w:type="dxa"/>
          </w:tcPr>
          <w:p w14:paraId="6FFD823A" w14:textId="77777777" w:rsidR="002D0529" w:rsidRDefault="002D0529" w:rsidP="007D0198">
            <w:pPr>
              <w:jc w:val="both"/>
            </w:pPr>
            <w:r>
              <w:t>Death due to underlying respiratory disease</w:t>
            </w:r>
          </w:p>
        </w:tc>
        <w:tc>
          <w:tcPr>
            <w:tcW w:w="1348" w:type="dxa"/>
          </w:tcPr>
          <w:p w14:paraId="6B79EBA5" w14:textId="77777777" w:rsidR="002D0529" w:rsidRDefault="002D0529" w:rsidP="007D0198">
            <w:pPr>
              <w:jc w:val="both"/>
            </w:pPr>
            <w:r>
              <w:t>1</w:t>
            </w:r>
          </w:p>
        </w:tc>
        <w:tc>
          <w:tcPr>
            <w:tcW w:w="1273" w:type="dxa"/>
          </w:tcPr>
          <w:p w14:paraId="3F520D75" w14:textId="77777777" w:rsidR="002D0529" w:rsidRDefault="002D0529" w:rsidP="007D0198">
            <w:pPr>
              <w:jc w:val="both"/>
            </w:pPr>
            <w:r>
              <w:t>1</w:t>
            </w:r>
          </w:p>
        </w:tc>
        <w:tc>
          <w:tcPr>
            <w:tcW w:w="1301" w:type="dxa"/>
          </w:tcPr>
          <w:p w14:paraId="49DB065D" w14:textId="77777777" w:rsidR="002D0529" w:rsidRDefault="002D0529" w:rsidP="007D0198">
            <w:pPr>
              <w:jc w:val="both"/>
            </w:pPr>
            <w:r>
              <w:t>0</w:t>
            </w:r>
          </w:p>
        </w:tc>
        <w:tc>
          <w:tcPr>
            <w:tcW w:w="1197" w:type="dxa"/>
          </w:tcPr>
          <w:p w14:paraId="728FF4D9" w14:textId="77777777" w:rsidR="002D0529" w:rsidRDefault="002D0529" w:rsidP="007D0198">
            <w:pPr>
              <w:jc w:val="both"/>
            </w:pPr>
            <w:r>
              <w:t>0</w:t>
            </w:r>
          </w:p>
        </w:tc>
        <w:tc>
          <w:tcPr>
            <w:tcW w:w="1167" w:type="dxa"/>
          </w:tcPr>
          <w:p w14:paraId="17B12B96" w14:textId="77777777" w:rsidR="002D0529" w:rsidRDefault="002D0529" w:rsidP="007D0198">
            <w:pPr>
              <w:jc w:val="both"/>
            </w:pPr>
            <w:r>
              <w:t>1</w:t>
            </w:r>
          </w:p>
        </w:tc>
      </w:tr>
      <w:tr w:rsidR="002D0529" w14:paraId="247EA36B" w14:textId="77777777" w:rsidTr="00EE5CE1">
        <w:tc>
          <w:tcPr>
            <w:tcW w:w="2740" w:type="dxa"/>
          </w:tcPr>
          <w:p w14:paraId="2B4D5A18" w14:textId="77777777" w:rsidR="002D0529" w:rsidRDefault="002D0529" w:rsidP="007D0198">
            <w:pPr>
              <w:jc w:val="both"/>
            </w:pPr>
            <w:r>
              <w:t>Death due to pneumothorax</w:t>
            </w:r>
          </w:p>
        </w:tc>
        <w:tc>
          <w:tcPr>
            <w:tcW w:w="1348" w:type="dxa"/>
          </w:tcPr>
          <w:p w14:paraId="51862190" w14:textId="77777777" w:rsidR="002D0529" w:rsidRDefault="002D0529" w:rsidP="007D0198">
            <w:pPr>
              <w:jc w:val="both"/>
            </w:pPr>
            <w:r>
              <w:t>0</w:t>
            </w:r>
          </w:p>
        </w:tc>
        <w:tc>
          <w:tcPr>
            <w:tcW w:w="1273" w:type="dxa"/>
          </w:tcPr>
          <w:p w14:paraId="21C26FCD" w14:textId="77777777" w:rsidR="002D0529" w:rsidRDefault="002D0529" w:rsidP="007D0198">
            <w:pPr>
              <w:jc w:val="both"/>
            </w:pPr>
            <w:r>
              <w:t>0</w:t>
            </w:r>
          </w:p>
        </w:tc>
        <w:tc>
          <w:tcPr>
            <w:tcW w:w="1301" w:type="dxa"/>
          </w:tcPr>
          <w:p w14:paraId="3B47C0D2" w14:textId="77777777" w:rsidR="002D0529" w:rsidRDefault="002D0529" w:rsidP="007D0198">
            <w:pPr>
              <w:jc w:val="both"/>
            </w:pPr>
            <w:r>
              <w:t>0</w:t>
            </w:r>
          </w:p>
        </w:tc>
        <w:tc>
          <w:tcPr>
            <w:tcW w:w="1197" w:type="dxa"/>
          </w:tcPr>
          <w:p w14:paraId="4ABD1EB7" w14:textId="77777777" w:rsidR="002D0529" w:rsidRDefault="002D0529" w:rsidP="007D0198">
            <w:pPr>
              <w:jc w:val="both"/>
            </w:pPr>
            <w:r>
              <w:t>1</w:t>
            </w:r>
          </w:p>
        </w:tc>
        <w:tc>
          <w:tcPr>
            <w:tcW w:w="1167" w:type="dxa"/>
          </w:tcPr>
          <w:p w14:paraId="545037EF" w14:textId="77777777" w:rsidR="002D0529" w:rsidRDefault="002D0529" w:rsidP="007D0198">
            <w:pPr>
              <w:jc w:val="both"/>
            </w:pPr>
            <w:r>
              <w:t>1</w:t>
            </w:r>
          </w:p>
        </w:tc>
      </w:tr>
      <w:tr w:rsidR="002D0529" w14:paraId="37359724" w14:textId="77777777" w:rsidTr="00EE5CE1">
        <w:tc>
          <w:tcPr>
            <w:tcW w:w="2740" w:type="dxa"/>
          </w:tcPr>
          <w:p w14:paraId="29500050" w14:textId="77777777" w:rsidR="002D0529" w:rsidRDefault="002D0529" w:rsidP="007D0198">
            <w:pPr>
              <w:jc w:val="both"/>
            </w:pPr>
            <w:r>
              <w:t>Readmission due to Pneumothorax</w:t>
            </w:r>
          </w:p>
        </w:tc>
        <w:tc>
          <w:tcPr>
            <w:tcW w:w="1348" w:type="dxa"/>
          </w:tcPr>
          <w:p w14:paraId="7D28B8A1" w14:textId="77777777" w:rsidR="002D0529" w:rsidRDefault="002D0529" w:rsidP="007D0198">
            <w:pPr>
              <w:jc w:val="both"/>
            </w:pPr>
            <w:r>
              <w:t>5</w:t>
            </w:r>
          </w:p>
        </w:tc>
        <w:tc>
          <w:tcPr>
            <w:tcW w:w="1273" w:type="dxa"/>
          </w:tcPr>
          <w:p w14:paraId="1E3FE1D7" w14:textId="77777777" w:rsidR="002D0529" w:rsidRDefault="002D0529" w:rsidP="007D0198">
            <w:pPr>
              <w:jc w:val="both"/>
            </w:pPr>
            <w:r>
              <w:t>3</w:t>
            </w:r>
          </w:p>
        </w:tc>
        <w:tc>
          <w:tcPr>
            <w:tcW w:w="1301" w:type="dxa"/>
          </w:tcPr>
          <w:p w14:paraId="13C7B792" w14:textId="77777777" w:rsidR="002D0529" w:rsidRDefault="002D0529" w:rsidP="007D0198">
            <w:pPr>
              <w:jc w:val="both"/>
            </w:pPr>
            <w:r>
              <w:t>2</w:t>
            </w:r>
          </w:p>
        </w:tc>
        <w:tc>
          <w:tcPr>
            <w:tcW w:w="1197" w:type="dxa"/>
          </w:tcPr>
          <w:p w14:paraId="6FDA13EF" w14:textId="77777777" w:rsidR="002D0529" w:rsidRDefault="002D0529" w:rsidP="007D0198">
            <w:pPr>
              <w:jc w:val="both"/>
            </w:pPr>
            <w:r>
              <w:t>7</w:t>
            </w:r>
          </w:p>
        </w:tc>
        <w:tc>
          <w:tcPr>
            <w:tcW w:w="1167" w:type="dxa"/>
          </w:tcPr>
          <w:p w14:paraId="1C3BA4FF" w14:textId="77777777" w:rsidR="002D0529" w:rsidRDefault="002D0529" w:rsidP="007D0198">
            <w:pPr>
              <w:jc w:val="both"/>
            </w:pPr>
            <w:r>
              <w:t>12</w:t>
            </w:r>
          </w:p>
        </w:tc>
      </w:tr>
      <w:tr w:rsidR="002D0529" w14:paraId="0532151B" w14:textId="77777777" w:rsidTr="00EE5CE1">
        <w:trPr>
          <w:trHeight w:val="53"/>
        </w:trPr>
        <w:tc>
          <w:tcPr>
            <w:tcW w:w="2740" w:type="dxa"/>
            <w:tcBorders>
              <w:bottom w:val="single" w:sz="4" w:space="0" w:color="auto"/>
            </w:tcBorders>
          </w:tcPr>
          <w:p w14:paraId="1DF40504" w14:textId="77777777" w:rsidR="002D0529" w:rsidRDefault="002D0529" w:rsidP="007D0198">
            <w:pPr>
              <w:jc w:val="both"/>
            </w:pPr>
            <w:r>
              <w:t xml:space="preserve">Other </w:t>
            </w:r>
          </w:p>
        </w:tc>
        <w:tc>
          <w:tcPr>
            <w:tcW w:w="1348" w:type="dxa"/>
            <w:tcBorders>
              <w:bottom w:val="single" w:sz="4" w:space="0" w:color="auto"/>
            </w:tcBorders>
          </w:tcPr>
          <w:p w14:paraId="35712220" w14:textId="77777777" w:rsidR="002D0529" w:rsidRDefault="002D0529" w:rsidP="007D0198">
            <w:pPr>
              <w:jc w:val="both"/>
            </w:pPr>
            <w:r>
              <w:t>3</w:t>
            </w:r>
          </w:p>
        </w:tc>
        <w:tc>
          <w:tcPr>
            <w:tcW w:w="1273" w:type="dxa"/>
            <w:tcBorders>
              <w:bottom w:val="single" w:sz="4" w:space="0" w:color="auto"/>
            </w:tcBorders>
          </w:tcPr>
          <w:p w14:paraId="5036FDE4" w14:textId="77777777" w:rsidR="002D0529" w:rsidRDefault="002D0529" w:rsidP="007D0198">
            <w:pPr>
              <w:jc w:val="both"/>
            </w:pPr>
            <w:r>
              <w:t>2</w:t>
            </w:r>
          </w:p>
        </w:tc>
        <w:tc>
          <w:tcPr>
            <w:tcW w:w="1301" w:type="dxa"/>
            <w:tcBorders>
              <w:bottom w:val="single" w:sz="4" w:space="0" w:color="auto"/>
            </w:tcBorders>
          </w:tcPr>
          <w:p w14:paraId="68B6EC9E" w14:textId="77777777" w:rsidR="002D0529" w:rsidRDefault="002D0529" w:rsidP="007D0198">
            <w:pPr>
              <w:jc w:val="both"/>
            </w:pPr>
            <w:r>
              <w:t>1</w:t>
            </w:r>
          </w:p>
        </w:tc>
        <w:tc>
          <w:tcPr>
            <w:tcW w:w="1197" w:type="dxa"/>
            <w:tcBorders>
              <w:bottom w:val="single" w:sz="4" w:space="0" w:color="auto"/>
            </w:tcBorders>
          </w:tcPr>
          <w:p w14:paraId="4CA04C9A" w14:textId="77777777" w:rsidR="002D0529" w:rsidRDefault="002D0529" w:rsidP="007D0198">
            <w:pPr>
              <w:jc w:val="both"/>
            </w:pPr>
            <w:r>
              <w:t>7</w:t>
            </w:r>
          </w:p>
        </w:tc>
        <w:tc>
          <w:tcPr>
            <w:tcW w:w="1167" w:type="dxa"/>
            <w:tcBorders>
              <w:bottom w:val="single" w:sz="4" w:space="0" w:color="auto"/>
            </w:tcBorders>
          </w:tcPr>
          <w:p w14:paraId="3CA79CAB" w14:textId="77777777" w:rsidR="002D0529" w:rsidRDefault="002D0529" w:rsidP="007D0198">
            <w:pPr>
              <w:jc w:val="both"/>
            </w:pPr>
            <w:r>
              <w:t>10</w:t>
            </w:r>
          </w:p>
        </w:tc>
      </w:tr>
      <w:tr w:rsidR="002D0529" w14:paraId="28FD4FE4" w14:textId="77777777" w:rsidTr="00EE5CE1">
        <w:tc>
          <w:tcPr>
            <w:tcW w:w="2740" w:type="dxa"/>
            <w:tcBorders>
              <w:top w:val="single" w:sz="4" w:space="0" w:color="auto"/>
              <w:bottom w:val="single" w:sz="4" w:space="0" w:color="auto"/>
            </w:tcBorders>
          </w:tcPr>
          <w:p w14:paraId="6D605D23" w14:textId="77777777" w:rsidR="002D0529" w:rsidRDefault="002D0529" w:rsidP="007D0198">
            <w:pPr>
              <w:jc w:val="both"/>
            </w:pPr>
            <w:r>
              <w:t>Total AEs</w:t>
            </w:r>
          </w:p>
        </w:tc>
        <w:tc>
          <w:tcPr>
            <w:tcW w:w="1348" w:type="dxa"/>
            <w:tcBorders>
              <w:top w:val="single" w:sz="4" w:space="0" w:color="auto"/>
              <w:bottom w:val="single" w:sz="4" w:space="0" w:color="auto"/>
            </w:tcBorders>
          </w:tcPr>
          <w:p w14:paraId="24E1E7A0" w14:textId="77777777" w:rsidR="002D0529" w:rsidRDefault="002D0529" w:rsidP="007D0198">
            <w:pPr>
              <w:jc w:val="both"/>
            </w:pPr>
            <w:r>
              <w:t>33</w:t>
            </w:r>
          </w:p>
        </w:tc>
        <w:tc>
          <w:tcPr>
            <w:tcW w:w="1273" w:type="dxa"/>
            <w:tcBorders>
              <w:top w:val="single" w:sz="4" w:space="0" w:color="auto"/>
              <w:bottom w:val="single" w:sz="4" w:space="0" w:color="auto"/>
            </w:tcBorders>
          </w:tcPr>
          <w:p w14:paraId="097FABC9" w14:textId="77777777" w:rsidR="002D0529" w:rsidRDefault="002D0529" w:rsidP="007D0198">
            <w:pPr>
              <w:jc w:val="both"/>
            </w:pPr>
            <w:r>
              <w:t>23</w:t>
            </w:r>
          </w:p>
        </w:tc>
        <w:tc>
          <w:tcPr>
            <w:tcW w:w="1301" w:type="dxa"/>
            <w:tcBorders>
              <w:top w:val="single" w:sz="4" w:space="0" w:color="auto"/>
              <w:bottom w:val="single" w:sz="4" w:space="0" w:color="auto"/>
            </w:tcBorders>
          </w:tcPr>
          <w:p w14:paraId="01EDFC84" w14:textId="77777777" w:rsidR="002D0529" w:rsidRDefault="002D0529" w:rsidP="007D0198">
            <w:pPr>
              <w:jc w:val="both"/>
            </w:pPr>
            <w:r>
              <w:t>10</w:t>
            </w:r>
          </w:p>
        </w:tc>
        <w:tc>
          <w:tcPr>
            <w:tcW w:w="1197" w:type="dxa"/>
            <w:tcBorders>
              <w:top w:val="single" w:sz="4" w:space="0" w:color="auto"/>
              <w:bottom w:val="single" w:sz="4" w:space="0" w:color="auto"/>
            </w:tcBorders>
          </w:tcPr>
          <w:p w14:paraId="21FCF3CD" w14:textId="77777777" w:rsidR="002D0529" w:rsidRDefault="002D0529" w:rsidP="007D0198">
            <w:pPr>
              <w:jc w:val="both"/>
            </w:pPr>
            <w:r>
              <w:t>26</w:t>
            </w:r>
          </w:p>
        </w:tc>
        <w:tc>
          <w:tcPr>
            <w:tcW w:w="1167" w:type="dxa"/>
            <w:tcBorders>
              <w:top w:val="single" w:sz="4" w:space="0" w:color="auto"/>
              <w:bottom w:val="single" w:sz="4" w:space="0" w:color="auto"/>
            </w:tcBorders>
          </w:tcPr>
          <w:p w14:paraId="0021BA86" w14:textId="77777777" w:rsidR="002D0529" w:rsidRDefault="002D0529" w:rsidP="007D0198">
            <w:pPr>
              <w:jc w:val="both"/>
            </w:pPr>
            <w:r>
              <w:t>59</w:t>
            </w:r>
          </w:p>
        </w:tc>
      </w:tr>
      <w:tr w:rsidR="002D0529" w14:paraId="187941A6" w14:textId="77777777" w:rsidTr="00DA7564">
        <w:tc>
          <w:tcPr>
            <w:tcW w:w="9026" w:type="dxa"/>
            <w:gridSpan w:val="6"/>
            <w:tcBorders>
              <w:top w:val="single" w:sz="4" w:space="0" w:color="auto"/>
              <w:bottom w:val="double" w:sz="12" w:space="0" w:color="auto"/>
            </w:tcBorders>
          </w:tcPr>
          <w:p w14:paraId="18EEB3ED" w14:textId="77777777" w:rsidR="002D0529" w:rsidRDefault="002D0529" w:rsidP="007D0198">
            <w:pPr>
              <w:jc w:val="both"/>
            </w:pPr>
            <w:r w:rsidRPr="00A2357E">
              <w:rPr>
                <w:rFonts w:asciiTheme="majorHAnsi" w:hAnsiTheme="majorHAnsi" w:cstheme="majorHAnsi"/>
                <w:b/>
                <w:sz w:val="20"/>
                <w:szCs w:val="20"/>
              </w:rPr>
              <w:t xml:space="preserve">Table </w:t>
            </w:r>
            <w:r>
              <w:rPr>
                <w:rFonts w:asciiTheme="majorHAnsi" w:hAnsiTheme="majorHAnsi" w:cstheme="majorHAnsi"/>
                <w:b/>
                <w:sz w:val="20"/>
                <w:szCs w:val="20"/>
              </w:rPr>
              <w:t>4</w:t>
            </w:r>
            <w:r w:rsidRPr="00A2357E">
              <w:rPr>
                <w:rFonts w:asciiTheme="majorHAnsi" w:hAnsiTheme="majorHAnsi" w:cstheme="majorHAnsi"/>
                <w:b/>
                <w:sz w:val="20"/>
                <w:szCs w:val="20"/>
              </w:rPr>
              <w:t xml:space="preserve">: </w:t>
            </w:r>
            <w:r>
              <w:rPr>
                <w:rFonts w:asciiTheme="majorHAnsi" w:hAnsiTheme="majorHAnsi" w:cstheme="majorHAnsi"/>
                <w:b/>
                <w:sz w:val="20"/>
                <w:szCs w:val="20"/>
              </w:rPr>
              <w:t>Adverse events</w:t>
            </w:r>
          </w:p>
        </w:tc>
      </w:tr>
    </w:tbl>
    <w:p w14:paraId="7ED839C5" w14:textId="77777777" w:rsidR="002D0529" w:rsidRDefault="002D0529" w:rsidP="007D0198">
      <w:pPr>
        <w:autoSpaceDE w:val="0"/>
        <w:autoSpaceDN w:val="0"/>
        <w:adjustRightInd w:val="0"/>
        <w:spacing w:after="0" w:line="240" w:lineRule="auto"/>
        <w:jc w:val="both"/>
        <w:rPr>
          <w:b/>
          <w:bCs/>
          <w:u w:val="single"/>
        </w:rPr>
      </w:pPr>
    </w:p>
    <w:p w14:paraId="482D2ACF" w14:textId="77777777" w:rsidR="002D0529" w:rsidRDefault="002D0529" w:rsidP="007D0198">
      <w:pPr>
        <w:autoSpaceDE w:val="0"/>
        <w:autoSpaceDN w:val="0"/>
        <w:adjustRightInd w:val="0"/>
        <w:spacing w:after="0" w:line="240" w:lineRule="auto"/>
        <w:jc w:val="both"/>
        <w:rPr>
          <w:b/>
          <w:bCs/>
          <w:u w:val="single"/>
        </w:rPr>
      </w:pPr>
    </w:p>
    <w:p w14:paraId="07D024F0" w14:textId="77777777" w:rsidR="002D0529" w:rsidRDefault="002D0529" w:rsidP="007D0198">
      <w:pPr>
        <w:autoSpaceDE w:val="0"/>
        <w:autoSpaceDN w:val="0"/>
        <w:adjustRightInd w:val="0"/>
        <w:spacing w:after="0" w:line="240" w:lineRule="auto"/>
        <w:jc w:val="both"/>
        <w:rPr>
          <w:b/>
          <w:bCs/>
          <w:u w:val="single"/>
        </w:rPr>
      </w:pPr>
    </w:p>
    <w:p w14:paraId="5725C794" w14:textId="77777777" w:rsidR="002D0529" w:rsidRPr="00CE553C" w:rsidRDefault="002D0529" w:rsidP="007D0198">
      <w:pPr>
        <w:autoSpaceDE w:val="0"/>
        <w:autoSpaceDN w:val="0"/>
        <w:adjustRightInd w:val="0"/>
        <w:spacing w:after="0" w:line="240" w:lineRule="auto"/>
        <w:jc w:val="both"/>
        <w:rPr>
          <w:b/>
          <w:bCs/>
          <w:u w:val="single"/>
        </w:rPr>
      </w:pPr>
      <w:r w:rsidRPr="00CE553C">
        <w:rPr>
          <w:b/>
          <w:bCs/>
          <w:u w:val="single"/>
        </w:rPr>
        <w:t>Discussion</w:t>
      </w:r>
    </w:p>
    <w:p w14:paraId="5F66620A" w14:textId="456A2BBF" w:rsidR="002D0529" w:rsidRDefault="002D0529" w:rsidP="007D0198">
      <w:pPr>
        <w:autoSpaceDE w:val="0"/>
        <w:autoSpaceDN w:val="0"/>
        <w:adjustRightInd w:val="0"/>
        <w:spacing w:after="0" w:line="240" w:lineRule="auto"/>
        <w:jc w:val="both"/>
        <w:rPr>
          <w:rFonts w:cstheme="minorHAnsi"/>
        </w:rPr>
      </w:pPr>
      <w:r>
        <w:rPr>
          <w:rFonts w:cstheme="minorHAnsi"/>
        </w:rPr>
        <w:t>This</w:t>
      </w:r>
      <w:r w:rsidRPr="001F2B51">
        <w:rPr>
          <w:rFonts w:cstheme="minorHAnsi"/>
        </w:rPr>
        <w:t xml:space="preserve"> randomised controlled trial compared ambulatory management</w:t>
      </w:r>
      <w:r>
        <w:rPr>
          <w:rFonts w:cstheme="minorHAnsi"/>
        </w:rPr>
        <w:t xml:space="preserve"> using two types of flutter valves</w:t>
      </w:r>
      <w:r w:rsidRPr="001F2B51">
        <w:rPr>
          <w:rFonts w:cstheme="minorHAnsi"/>
        </w:rPr>
        <w:t xml:space="preserve"> </w:t>
      </w:r>
      <w:r>
        <w:rPr>
          <w:rFonts w:cstheme="minorHAnsi"/>
        </w:rPr>
        <w:t xml:space="preserve">with </w:t>
      </w:r>
      <w:r w:rsidRPr="001F2B51">
        <w:rPr>
          <w:rFonts w:cstheme="minorHAnsi"/>
        </w:rPr>
        <w:t>standard care</w:t>
      </w:r>
      <w:r>
        <w:rPr>
          <w:rFonts w:cstheme="minorHAnsi"/>
        </w:rPr>
        <w:t xml:space="preserve"> using a </w:t>
      </w:r>
      <w:r w:rsidRPr="001F2B51">
        <w:rPr>
          <w:rFonts w:cstheme="minorHAnsi"/>
        </w:rPr>
        <w:t xml:space="preserve">chest </w:t>
      </w:r>
      <w:r>
        <w:rPr>
          <w:rFonts w:cstheme="minorHAnsi"/>
        </w:rPr>
        <w:t>tube</w:t>
      </w:r>
      <w:r w:rsidRPr="001F2B51">
        <w:rPr>
          <w:rFonts w:cstheme="minorHAnsi"/>
        </w:rPr>
        <w:t xml:space="preserve"> attached to </w:t>
      </w:r>
      <w:r>
        <w:rPr>
          <w:rFonts w:cstheme="minorHAnsi"/>
        </w:rPr>
        <w:t xml:space="preserve">an </w:t>
      </w:r>
      <w:r w:rsidRPr="001F2B51">
        <w:rPr>
          <w:rFonts w:cstheme="minorHAnsi"/>
        </w:rPr>
        <w:t>underwater seal chamber</w:t>
      </w:r>
      <w:r>
        <w:rPr>
          <w:rFonts w:cstheme="minorHAnsi"/>
        </w:rPr>
        <w:t>,</w:t>
      </w:r>
      <w:r w:rsidRPr="001F2B51">
        <w:rPr>
          <w:rFonts w:cstheme="minorHAnsi"/>
        </w:rPr>
        <w:t xml:space="preserve"> </w:t>
      </w:r>
      <w:r>
        <w:rPr>
          <w:rFonts w:cstheme="minorHAnsi"/>
        </w:rPr>
        <w:t>in pat</w:t>
      </w:r>
      <w:r w:rsidRPr="001F2B51">
        <w:rPr>
          <w:rFonts w:cstheme="minorHAnsi"/>
        </w:rPr>
        <w:t>ients with</w:t>
      </w:r>
      <w:r>
        <w:rPr>
          <w:rFonts w:cstheme="minorHAnsi"/>
        </w:rPr>
        <w:t xml:space="preserve"> SSP.</w:t>
      </w:r>
      <w:r w:rsidRPr="005E2014">
        <w:rPr>
          <w:rFonts w:cstheme="minorHAnsi"/>
        </w:rPr>
        <w:t xml:space="preserve"> </w:t>
      </w:r>
      <w:r w:rsidRPr="001F2B51">
        <w:rPr>
          <w:rFonts w:cstheme="minorHAnsi"/>
        </w:rPr>
        <w:t xml:space="preserve">The trial found no difference in total length of </w:t>
      </w:r>
      <w:r>
        <w:rPr>
          <w:rFonts w:cstheme="minorHAnsi"/>
        </w:rPr>
        <w:t>hospitalisation, including readmissions,</w:t>
      </w:r>
      <w:r w:rsidRPr="001F2B51">
        <w:rPr>
          <w:rFonts w:cstheme="minorHAnsi"/>
        </w:rPr>
        <w:t xml:space="preserve"> in the </w:t>
      </w:r>
      <w:r>
        <w:rPr>
          <w:rFonts w:cstheme="minorHAnsi"/>
        </w:rPr>
        <w:t>first 30 days</w:t>
      </w:r>
      <w:r w:rsidRPr="001F2B51">
        <w:rPr>
          <w:rFonts w:cstheme="minorHAnsi"/>
        </w:rPr>
        <w:t xml:space="preserve"> </w:t>
      </w:r>
      <w:r>
        <w:rPr>
          <w:rFonts w:cstheme="minorHAnsi"/>
        </w:rPr>
        <w:t xml:space="preserve">after randomisation </w:t>
      </w:r>
      <w:r w:rsidRPr="001F2B51">
        <w:rPr>
          <w:rFonts w:cstheme="minorHAnsi"/>
        </w:rPr>
        <w:t xml:space="preserve">between the two </w:t>
      </w:r>
      <w:r>
        <w:rPr>
          <w:rFonts w:cstheme="minorHAnsi"/>
        </w:rPr>
        <w:t>groups. While the</w:t>
      </w:r>
      <w:r w:rsidRPr="001F2B51">
        <w:rPr>
          <w:rFonts w:cstheme="minorHAnsi"/>
        </w:rPr>
        <w:t xml:space="preserve"> length of </w:t>
      </w:r>
      <w:r>
        <w:rPr>
          <w:rFonts w:cstheme="minorHAnsi"/>
        </w:rPr>
        <w:t xml:space="preserve">hospitalisation </w:t>
      </w:r>
      <w:r w:rsidRPr="001F2B51">
        <w:rPr>
          <w:rFonts w:cstheme="minorHAnsi"/>
        </w:rPr>
        <w:t xml:space="preserve">for the </w:t>
      </w:r>
      <w:r>
        <w:rPr>
          <w:rFonts w:cstheme="minorHAnsi"/>
        </w:rPr>
        <w:t>initial</w:t>
      </w:r>
      <w:r w:rsidRPr="001F2B51">
        <w:rPr>
          <w:rFonts w:cstheme="minorHAnsi"/>
        </w:rPr>
        <w:t xml:space="preserve"> admission was non-significantly shorter </w:t>
      </w:r>
      <w:r>
        <w:rPr>
          <w:rFonts w:cstheme="minorHAnsi"/>
        </w:rPr>
        <w:t>in</w:t>
      </w:r>
      <w:r w:rsidRPr="001F2B51">
        <w:rPr>
          <w:rFonts w:cstheme="minorHAnsi"/>
        </w:rPr>
        <w:t xml:space="preserve"> th</w:t>
      </w:r>
      <w:r>
        <w:rPr>
          <w:rFonts w:cstheme="minorHAnsi"/>
        </w:rPr>
        <w:t>os</w:t>
      </w:r>
      <w:r w:rsidRPr="001F2B51">
        <w:rPr>
          <w:rFonts w:cstheme="minorHAnsi"/>
        </w:rPr>
        <w:t xml:space="preserve">e </w:t>
      </w:r>
      <w:r>
        <w:rPr>
          <w:rFonts w:cstheme="minorHAnsi"/>
        </w:rPr>
        <w:t xml:space="preserve">receiving </w:t>
      </w:r>
      <w:r w:rsidRPr="001F2B51">
        <w:rPr>
          <w:rFonts w:cstheme="minorHAnsi"/>
        </w:rPr>
        <w:t xml:space="preserve">ambulatory </w:t>
      </w:r>
      <w:r>
        <w:rPr>
          <w:rFonts w:cstheme="minorHAnsi"/>
        </w:rPr>
        <w:t>care, high</w:t>
      </w:r>
      <w:r w:rsidRPr="001F2B51">
        <w:rPr>
          <w:rFonts w:cstheme="minorHAnsi"/>
        </w:rPr>
        <w:t xml:space="preserve"> rates of early treatment failure</w:t>
      </w:r>
      <w:r>
        <w:rPr>
          <w:rFonts w:cstheme="minorHAnsi"/>
        </w:rPr>
        <w:t xml:space="preserve"> in this group, with subsequent readmission, increased the overall LOS. This, combined with a lower than anticipated </w:t>
      </w:r>
      <w:r>
        <w:t xml:space="preserve">length of hospital stay for participants who received standard care, at less than a third of that observed in epidemiological studies, likely contributed to the similar LOS in the two groups in the present study </w:t>
      </w:r>
      <w:r w:rsidR="00A627B7">
        <w:rPr>
          <w:noProof/>
        </w:rPr>
        <w:t>[</w:t>
      </w:r>
      <w:r>
        <w:rPr>
          <w:noProof/>
        </w:rPr>
        <w:t>2</w:t>
      </w:r>
      <w:r w:rsidR="00A627B7">
        <w:rPr>
          <w:noProof/>
        </w:rPr>
        <w:t>]</w:t>
      </w:r>
      <w:r>
        <w:t xml:space="preserve">. </w:t>
      </w:r>
      <w:r>
        <w:rPr>
          <w:rFonts w:cstheme="minorHAnsi"/>
        </w:rPr>
        <w:t xml:space="preserve"> </w:t>
      </w:r>
    </w:p>
    <w:p w14:paraId="75CBFB56" w14:textId="77777777" w:rsidR="002D0529" w:rsidRDefault="002D0529" w:rsidP="007D0198">
      <w:pPr>
        <w:autoSpaceDE w:val="0"/>
        <w:autoSpaceDN w:val="0"/>
        <w:adjustRightInd w:val="0"/>
        <w:spacing w:after="0" w:line="240" w:lineRule="auto"/>
        <w:jc w:val="both"/>
      </w:pPr>
    </w:p>
    <w:p w14:paraId="2D760D0D" w14:textId="188C8756" w:rsidR="002D0529" w:rsidRDefault="002D0529" w:rsidP="0067315A">
      <w:pPr>
        <w:autoSpaceDE w:val="0"/>
        <w:autoSpaceDN w:val="0"/>
        <w:adjustRightInd w:val="0"/>
        <w:spacing w:after="0" w:line="240" w:lineRule="auto"/>
        <w:jc w:val="both"/>
      </w:pPr>
      <w:r>
        <w:t xml:space="preserve">This is the first randomised study to investigate ambulatory management strategies in SSP. In 2015, a systematic review of ambulatory treatment in management of pneumothorax identified 16 non-randomised studies, seven of which included patients with SSP. No study looked exclusively at SSP, and this patient group formed only </w:t>
      </w:r>
      <w:r w:rsidRPr="004B5DAF">
        <w:t xml:space="preserve">10% </w:t>
      </w:r>
      <w:r>
        <w:t xml:space="preserve">of the review population </w:t>
      </w:r>
      <w:r w:rsidR="00A627B7">
        <w:rPr>
          <w:noProof/>
        </w:rPr>
        <w:t>[</w:t>
      </w:r>
      <w:r>
        <w:rPr>
          <w:noProof/>
        </w:rPr>
        <w:t>6</w:t>
      </w:r>
      <w:r w:rsidR="00A627B7">
        <w:rPr>
          <w:noProof/>
        </w:rPr>
        <w:t>]</w:t>
      </w:r>
      <w:r w:rsidRPr="004B5DAF">
        <w:t xml:space="preserve">. </w:t>
      </w:r>
      <w:r>
        <w:t>The review cited high rates of success</w:t>
      </w:r>
      <w:r w:rsidRPr="0077316F">
        <w:t xml:space="preserve"> </w:t>
      </w:r>
      <w:r>
        <w:t>in patients with SSP, defined as use of a flutter valve with a chest tube to manage pneumothorax. A subsequently published prospective case series of a selected cohort of patients with SSP reported that 65% (</w:t>
      </w:r>
      <w:r w:rsidRPr="00930578">
        <w:t>32</w:t>
      </w:r>
      <w:r>
        <w:t>/49) were successfully managed with the AP attached to a 12F chest drain</w:t>
      </w:r>
      <w:r w:rsidRPr="00930578">
        <w:t xml:space="preserve"> </w:t>
      </w:r>
      <w:r w:rsidR="00A627B7">
        <w:rPr>
          <w:noProof/>
        </w:rPr>
        <w:t>[</w:t>
      </w:r>
      <w:r>
        <w:rPr>
          <w:noProof/>
        </w:rPr>
        <w:t>12</w:t>
      </w:r>
      <w:r w:rsidR="00A627B7">
        <w:rPr>
          <w:noProof/>
        </w:rPr>
        <w:t>]</w:t>
      </w:r>
      <w:r>
        <w:t xml:space="preserve">. However, non-randomised case-series are subject to high risk of selection bias, with sick and </w:t>
      </w:r>
      <w:r>
        <w:lastRenderedPageBreak/>
        <w:t xml:space="preserve">complex patients at greater risk of exclusion. Three randomised controlled trials have examined use of flutter valves in patients with primary spontaneous pneumothorax (PSP) with reported success </w:t>
      </w:r>
      <w:r w:rsidR="00A627B7">
        <w:rPr>
          <w:noProof/>
        </w:rPr>
        <w:t>[</w:t>
      </w:r>
      <w:r>
        <w:rPr>
          <w:noProof/>
        </w:rPr>
        <w:t>13-15</w:t>
      </w:r>
      <w:r w:rsidR="00A627B7">
        <w:rPr>
          <w:noProof/>
        </w:rPr>
        <w:t>]</w:t>
      </w:r>
      <w:r>
        <w:t xml:space="preserve">. The most recent, and largest, randomised 236 patients with PSP to either a chest drain attached to under water seal or to ambulatory management using the Rocket PV. It found significantly shorter LOS in patients managed with the PV compared to standard care </w:t>
      </w:r>
      <w:r w:rsidR="00A627B7">
        <w:rPr>
          <w:noProof/>
        </w:rPr>
        <w:t>[</w:t>
      </w:r>
      <w:r>
        <w:rPr>
          <w:noProof/>
        </w:rPr>
        <w:t>15</w:t>
      </w:r>
      <w:r w:rsidR="00A627B7">
        <w:rPr>
          <w:noProof/>
        </w:rPr>
        <w:t>]</w:t>
      </w:r>
      <w:r>
        <w:t xml:space="preserve">. Patients with a PV were, however, at higher risk of serious adverse events, with the ambulatory cohort experiencing all 14 SAEs. </w:t>
      </w:r>
      <w:proofErr w:type="gramStart"/>
      <w:r>
        <w:t>Whilst,</w:t>
      </w:r>
      <w:proofErr w:type="gramEnd"/>
      <w:r>
        <w:t xml:space="preserve"> </w:t>
      </w:r>
      <w:r w:rsidRPr="002D3239">
        <w:t>21%</w:t>
      </w:r>
      <w:r>
        <w:t xml:space="preserve"> patients in the PV arm required a further pleural procedure, the early failure rate seen in our trial was rare in PSP.  Only 3% of the 117 patients receiving PV for PSP had an enlarging pneumothorax at outpatient review requiring chest tube insertion and only two (2%) patients with PSP suffered a device malfunction.</w:t>
      </w:r>
    </w:p>
    <w:p w14:paraId="24DF7A79" w14:textId="77777777" w:rsidR="002D0529" w:rsidRDefault="002D0529" w:rsidP="007D0198">
      <w:pPr>
        <w:autoSpaceDE w:val="0"/>
        <w:autoSpaceDN w:val="0"/>
        <w:adjustRightInd w:val="0"/>
        <w:spacing w:after="0" w:line="240" w:lineRule="auto"/>
        <w:jc w:val="both"/>
      </w:pPr>
    </w:p>
    <w:p w14:paraId="2C6A4A20" w14:textId="0142844B" w:rsidR="002D0529" w:rsidRPr="001F2B51" w:rsidRDefault="002D0529" w:rsidP="007D0198">
      <w:pPr>
        <w:autoSpaceDE w:val="0"/>
        <w:autoSpaceDN w:val="0"/>
        <w:adjustRightInd w:val="0"/>
        <w:spacing w:after="0" w:line="240" w:lineRule="auto"/>
        <w:jc w:val="both"/>
        <w:rPr>
          <w:rFonts w:cstheme="minorHAnsi"/>
        </w:rPr>
      </w:pPr>
      <w:r>
        <w:t>In this study of SSP patients, rates of treatment failure with the PV, presenting as either increasing pneumothorax size or surgical emphysema, were higher</w:t>
      </w:r>
      <w:r>
        <w:rPr>
          <w:rFonts w:cstheme="minorHAnsi"/>
        </w:rPr>
        <w:t xml:space="preserve">, with </w:t>
      </w:r>
      <w:r w:rsidRPr="001F2B51">
        <w:rPr>
          <w:rFonts w:cstheme="minorHAnsi"/>
        </w:rPr>
        <w:t>more than half requiring an additiona</w:t>
      </w:r>
      <w:r>
        <w:rPr>
          <w:rFonts w:cstheme="minorHAnsi"/>
        </w:rPr>
        <w:t>l c</w:t>
      </w:r>
      <w:r w:rsidRPr="001F2B51">
        <w:rPr>
          <w:rFonts w:cstheme="minorHAnsi"/>
        </w:rPr>
        <w:t xml:space="preserve">hest </w:t>
      </w:r>
      <w:r>
        <w:rPr>
          <w:rFonts w:cstheme="minorHAnsi"/>
        </w:rPr>
        <w:t xml:space="preserve">tube </w:t>
      </w:r>
      <w:r w:rsidRPr="001F2B51">
        <w:rPr>
          <w:rFonts w:cstheme="minorHAnsi"/>
        </w:rPr>
        <w:t xml:space="preserve">within the first week for pneumothorax management. </w:t>
      </w:r>
      <w:r>
        <w:rPr>
          <w:rFonts w:cstheme="minorHAnsi"/>
        </w:rPr>
        <w:t xml:space="preserve">This difference in success of the PV in </w:t>
      </w:r>
      <w:r>
        <w:t xml:space="preserve">PSP and SSP likely reflects their distinct disease processes, with SSP associated with higher rates of persistent air-leak and broncho-pleural fistula formation than </w:t>
      </w:r>
      <w:proofErr w:type="gramStart"/>
      <w:r>
        <w:t>PSP</w:t>
      </w:r>
      <w:r w:rsidR="00A627B7">
        <w:rPr>
          <w:noProof/>
        </w:rPr>
        <w:t>[</w:t>
      </w:r>
      <w:proofErr w:type="gramEnd"/>
      <w:r>
        <w:rPr>
          <w:noProof/>
        </w:rPr>
        <w:t>16</w:t>
      </w:r>
      <w:r w:rsidR="00A627B7">
        <w:rPr>
          <w:noProof/>
        </w:rPr>
        <w:t>]</w:t>
      </w:r>
      <w:r>
        <w:t>. Patients with SSP, typically also have poorer respiratory reserve and therefore less able to tolerate an undrained pneumothorax. Interestingly, results from this trial suggest this high failure rate in ambulatory care may be device specific, with</w:t>
      </w:r>
      <w:r>
        <w:rPr>
          <w:rFonts w:cstheme="minorHAnsi"/>
        </w:rPr>
        <w:t xml:space="preserve"> large differences in hospital LOS and rates of complications seen in patients who received the two types of flutter valves. In contrast with the</w:t>
      </w:r>
      <w:r w:rsidRPr="001F2B51">
        <w:rPr>
          <w:rFonts w:cstheme="minorHAnsi"/>
        </w:rPr>
        <w:t xml:space="preserve"> high </w:t>
      </w:r>
      <w:r>
        <w:rPr>
          <w:rFonts w:cstheme="minorHAnsi"/>
        </w:rPr>
        <w:t xml:space="preserve">treatment failure rates in patients with a PV, there </w:t>
      </w:r>
      <w:r w:rsidRPr="001F2B51">
        <w:rPr>
          <w:rFonts w:cstheme="minorHAnsi"/>
        </w:rPr>
        <w:t>were no early treatment failures and a t</w:t>
      </w:r>
      <w:r>
        <w:rPr>
          <w:rFonts w:cstheme="minorHAnsi"/>
        </w:rPr>
        <w:t>rend</w:t>
      </w:r>
      <w:r w:rsidRPr="001F2B51">
        <w:rPr>
          <w:rFonts w:cstheme="minorHAnsi"/>
        </w:rPr>
        <w:t xml:space="preserve"> towards </w:t>
      </w:r>
      <w:r>
        <w:rPr>
          <w:rFonts w:cstheme="minorHAnsi"/>
        </w:rPr>
        <w:t xml:space="preserve">a </w:t>
      </w:r>
      <w:r w:rsidRPr="001F2B51">
        <w:rPr>
          <w:rFonts w:cstheme="minorHAnsi"/>
        </w:rPr>
        <w:t xml:space="preserve">shorter </w:t>
      </w:r>
      <w:r>
        <w:rPr>
          <w:rFonts w:cstheme="minorHAnsi"/>
        </w:rPr>
        <w:t xml:space="preserve">LOS in those managed with </w:t>
      </w:r>
      <w:r w:rsidRPr="001F2B51">
        <w:rPr>
          <w:rFonts w:cstheme="minorHAnsi"/>
        </w:rPr>
        <w:t xml:space="preserve">the </w:t>
      </w:r>
      <w:r>
        <w:rPr>
          <w:rFonts w:cstheme="minorHAnsi"/>
        </w:rPr>
        <w:t>Atrium P</w:t>
      </w:r>
      <w:r w:rsidRPr="001F2B51">
        <w:rPr>
          <w:rFonts w:cstheme="minorHAnsi"/>
        </w:rPr>
        <w:t xml:space="preserve">neumostat. </w:t>
      </w:r>
      <w:r>
        <w:rPr>
          <w:rFonts w:cstheme="minorHAnsi"/>
        </w:rPr>
        <w:t>A plausible</w:t>
      </w:r>
      <w:r w:rsidRPr="001F2B51">
        <w:rPr>
          <w:rFonts w:cstheme="minorHAnsi"/>
        </w:rPr>
        <w:t xml:space="preserve"> explanation for the </w:t>
      </w:r>
      <w:r>
        <w:rPr>
          <w:rFonts w:cstheme="minorHAnsi"/>
        </w:rPr>
        <w:t>observed increased failure rate with the PV</w:t>
      </w:r>
      <w:r w:rsidRPr="001F2B51">
        <w:rPr>
          <w:rFonts w:cstheme="minorHAnsi"/>
        </w:rPr>
        <w:t xml:space="preserve"> </w:t>
      </w:r>
      <w:r>
        <w:rPr>
          <w:rFonts w:cstheme="minorHAnsi"/>
        </w:rPr>
        <w:t xml:space="preserve">is its smaller </w:t>
      </w:r>
      <w:r w:rsidRPr="001F2B51">
        <w:rPr>
          <w:rFonts w:cstheme="minorHAnsi"/>
        </w:rPr>
        <w:t>8F</w:t>
      </w:r>
      <w:r>
        <w:rPr>
          <w:rFonts w:cstheme="minorHAnsi"/>
        </w:rPr>
        <w:t xml:space="preserve"> gauge catheter, compared with the larger 12F used with the Pneumostat. The 8F catheter may</w:t>
      </w:r>
      <w:r w:rsidRPr="001F2B51">
        <w:rPr>
          <w:rFonts w:cstheme="minorHAnsi"/>
        </w:rPr>
        <w:t xml:space="preserve"> </w:t>
      </w:r>
      <w:r>
        <w:rPr>
          <w:rFonts w:cstheme="minorHAnsi"/>
        </w:rPr>
        <w:t xml:space="preserve">potentially </w:t>
      </w:r>
      <w:r w:rsidRPr="001F2B51">
        <w:rPr>
          <w:rFonts w:cstheme="minorHAnsi"/>
        </w:rPr>
        <w:t xml:space="preserve">not </w:t>
      </w:r>
      <w:r>
        <w:rPr>
          <w:rFonts w:cstheme="minorHAnsi"/>
        </w:rPr>
        <w:t>be of</w:t>
      </w:r>
      <w:r w:rsidRPr="001F2B51">
        <w:rPr>
          <w:rFonts w:cstheme="minorHAnsi"/>
        </w:rPr>
        <w:t xml:space="preserve"> sufficient calibre to manage the large </w:t>
      </w:r>
      <w:r>
        <w:rPr>
          <w:rFonts w:cstheme="minorHAnsi"/>
        </w:rPr>
        <w:t xml:space="preserve">volume </w:t>
      </w:r>
      <w:r w:rsidRPr="001F2B51">
        <w:rPr>
          <w:rFonts w:cstheme="minorHAnsi"/>
        </w:rPr>
        <w:t xml:space="preserve">air-leak </w:t>
      </w:r>
      <w:r>
        <w:rPr>
          <w:rFonts w:cstheme="minorHAnsi"/>
        </w:rPr>
        <w:t>that</w:t>
      </w:r>
      <w:r w:rsidRPr="001F2B51">
        <w:rPr>
          <w:rFonts w:cstheme="minorHAnsi"/>
        </w:rPr>
        <w:t xml:space="preserve"> can occur with SSP</w:t>
      </w:r>
      <w:r>
        <w:rPr>
          <w:rFonts w:cstheme="minorHAnsi"/>
        </w:rPr>
        <w:t xml:space="preserve"> or may be at a higher risk of partial or complete obstruction from </w:t>
      </w:r>
      <w:r w:rsidRPr="001F2B51">
        <w:rPr>
          <w:rFonts w:cstheme="minorHAnsi"/>
        </w:rPr>
        <w:t xml:space="preserve">luminal </w:t>
      </w:r>
      <w:r>
        <w:rPr>
          <w:rFonts w:cstheme="minorHAnsi"/>
        </w:rPr>
        <w:t>secretions</w:t>
      </w:r>
      <w:r w:rsidRPr="003073D7">
        <w:rPr>
          <w:rFonts w:cstheme="minorHAnsi"/>
        </w:rPr>
        <w:t xml:space="preserve">. </w:t>
      </w:r>
      <w:r>
        <w:t xml:space="preserve"> </w:t>
      </w:r>
    </w:p>
    <w:p w14:paraId="04AA831F" w14:textId="77777777" w:rsidR="002D0529" w:rsidRDefault="002D0529" w:rsidP="007D0198">
      <w:pPr>
        <w:spacing w:line="240" w:lineRule="auto"/>
        <w:jc w:val="both"/>
      </w:pPr>
      <w:r>
        <w:t xml:space="preserve"> </w:t>
      </w:r>
    </w:p>
    <w:p w14:paraId="1C74F968" w14:textId="137EF206" w:rsidR="002D0529" w:rsidRDefault="002D0529" w:rsidP="007D0198">
      <w:pPr>
        <w:spacing w:line="240" w:lineRule="auto"/>
        <w:jc w:val="both"/>
      </w:pPr>
      <w:r>
        <w:t xml:space="preserve">This is the first study to demonstrate that pleural intervention in SSP improves patient related outcomes, with early and maintained improvements in breathlessness, chest pain and quality of life in both ambulatory and standard care. </w:t>
      </w:r>
      <w:r>
        <w:rPr>
          <w:rFonts w:cstheme="minorHAnsi"/>
        </w:rPr>
        <w:t xml:space="preserve">Ambulatory care, however, did not demonstrate superiority over standard care in these </w:t>
      </w:r>
      <w:r>
        <w:t>patient related outcomes</w:t>
      </w:r>
      <w:r>
        <w:rPr>
          <w:rFonts w:cstheme="minorHAnsi"/>
        </w:rPr>
        <w:t xml:space="preserve">. This is </w:t>
      </w:r>
      <w:proofErr w:type="gramStart"/>
      <w:r>
        <w:rPr>
          <w:rFonts w:cstheme="minorHAnsi"/>
        </w:rPr>
        <w:t>similar to</w:t>
      </w:r>
      <w:proofErr w:type="gramEnd"/>
      <w:r>
        <w:rPr>
          <w:rFonts w:cstheme="minorHAnsi"/>
        </w:rPr>
        <w:t xml:space="preserve"> the results in the recent trial of the PV in patients with PSP, which found no differences in </w:t>
      </w:r>
      <w:r w:rsidRPr="00AB3B53">
        <w:rPr>
          <w:rFonts w:cstheme="minorHAnsi"/>
        </w:rPr>
        <w:t>VAS pain or breathlessness scores</w:t>
      </w:r>
      <w:r>
        <w:rPr>
          <w:rFonts w:cstheme="minorHAnsi"/>
        </w:rPr>
        <w:t xml:space="preserve"> between ambulatory and standard care </w:t>
      </w:r>
      <w:r w:rsidR="00A627B7">
        <w:rPr>
          <w:rFonts w:cstheme="minorHAnsi"/>
          <w:noProof/>
        </w:rPr>
        <w:t>[</w:t>
      </w:r>
      <w:r>
        <w:rPr>
          <w:rFonts w:cstheme="minorHAnsi"/>
          <w:noProof/>
        </w:rPr>
        <w:t>15</w:t>
      </w:r>
      <w:r w:rsidR="00A627B7">
        <w:rPr>
          <w:rFonts w:cstheme="minorHAnsi"/>
          <w:noProof/>
        </w:rPr>
        <w:t>]</w:t>
      </w:r>
      <w:r>
        <w:rPr>
          <w:rFonts w:cstheme="minorHAnsi"/>
        </w:rPr>
        <w:t xml:space="preserve">. </w:t>
      </w:r>
      <w:r>
        <w:t xml:space="preserve"> </w:t>
      </w:r>
    </w:p>
    <w:p w14:paraId="4E90C6A6" w14:textId="0A36894B" w:rsidR="002D0529" w:rsidRPr="00AB3B53" w:rsidRDefault="002D0529" w:rsidP="007D0198">
      <w:pPr>
        <w:autoSpaceDE w:val="0"/>
        <w:autoSpaceDN w:val="0"/>
        <w:adjustRightInd w:val="0"/>
        <w:spacing w:after="0" w:line="240" w:lineRule="auto"/>
        <w:jc w:val="both"/>
        <w:rPr>
          <w:rFonts w:cstheme="minorHAnsi"/>
        </w:rPr>
      </w:pPr>
      <w:r>
        <w:rPr>
          <w:rFonts w:cstheme="minorHAnsi"/>
        </w:rPr>
        <w:t>Long-term follow up at six-months after presentation with SSP showed p</w:t>
      </w:r>
      <w:r w:rsidRPr="001F2B51">
        <w:rPr>
          <w:rFonts w:cstheme="minorHAnsi"/>
        </w:rPr>
        <w:t xml:space="preserve">neumothorax recurrence rates </w:t>
      </w:r>
      <w:r>
        <w:rPr>
          <w:rFonts w:cstheme="minorHAnsi"/>
        </w:rPr>
        <w:t>slightly</w:t>
      </w:r>
      <w:r w:rsidRPr="001F2B51">
        <w:rPr>
          <w:rFonts w:cstheme="minorHAnsi"/>
        </w:rPr>
        <w:t xml:space="preserve"> lower than </w:t>
      </w:r>
      <w:r>
        <w:rPr>
          <w:rFonts w:cstheme="minorHAnsi"/>
        </w:rPr>
        <w:t xml:space="preserve">rates in previous publications </w:t>
      </w:r>
      <w:r w:rsidR="00A627B7">
        <w:rPr>
          <w:rFonts w:cstheme="minorHAnsi"/>
          <w:noProof/>
        </w:rPr>
        <w:t>[</w:t>
      </w:r>
      <w:r>
        <w:rPr>
          <w:rFonts w:cstheme="minorHAnsi"/>
          <w:noProof/>
        </w:rPr>
        <w:t>2, 3, 17-19</w:t>
      </w:r>
      <w:r w:rsidR="00A627B7">
        <w:rPr>
          <w:rFonts w:cstheme="minorHAnsi"/>
          <w:noProof/>
        </w:rPr>
        <w:t>]</w:t>
      </w:r>
      <w:r w:rsidRPr="001F2B51">
        <w:rPr>
          <w:rFonts w:cstheme="minorHAnsi"/>
        </w:rPr>
        <w:t xml:space="preserve">. This </w:t>
      </w:r>
      <w:r>
        <w:rPr>
          <w:rFonts w:cstheme="minorHAnsi"/>
        </w:rPr>
        <w:t>likely</w:t>
      </w:r>
      <w:r w:rsidRPr="001F2B51">
        <w:rPr>
          <w:rFonts w:cstheme="minorHAnsi"/>
        </w:rPr>
        <w:t xml:space="preserve"> </w:t>
      </w:r>
      <w:r>
        <w:rPr>
          <w:rFonts w:cstheme="minorHAnsi"/>
        </w:rPr>
        <w:t xml:space="preserve">reflects the </w:t>
      </w:r>
      <w:r w:rsidRPr="001F2B51">
        <w:rPr>
          <w:rFonts w:cstheme="minorHAnsi"/>
        </w:rPr>
        <w:t xml:space="preserve">high rates of surgical and medical pleurodesis in this study and the </w:t>
      </w:r>
      <w:r>
        <w:rPr>
          <w:rFonts w:cstheme="minorHAnsi"/>
        </w:rPr>
        <w:t>duration</w:t>
      </w:r>
      <w:r w:rsidRPr="001F2B51">
        <w:rPr>
          <w:rFonts w:cstheme="minorHAnsi"/>
        </w:rPr>
        <w:t xml:space="preserve"> of follow-up.</w:t>
      </w:r>
      <w:r>
        <w:rPr>
          <w:rFonts w:cstheme="minorHAnsi"/>
        </w:rPr>
        <w:t xml:space="preserve"> </w:t>
      </w:r>
    </w:p>
    <w:p w14:paraId="2321AD2A" w14:textId="77777777" w:rsidR="002D0529" w:rsidRDefault="002D0529" w:rsidP="007D0198">
      <w:pPr>
        <w:autoSpaceDE w:val="0"/>
        <w:autoSpaceDN w:val="0"/>
        <w:adjustRightInd w:val="0"/>
        <w:spacing w:after="0" w:line="240" w:lineRule="auto"/>
        <w:jc w:val="both"/>
      </w:pPr>
    </w:p>
    <w:p w14:paraId="5DFCFC72" w14:textId="77777777" w:rsidR="002D0529" w:rsidRDefault="002D0529" w:rsidP="007D0198">
      <w:pPr>
        <w:spacing w:line="240" w:lineRule="auto"/>
        <w:jc w:val="both"/>
      </w:pPr>
      <w:r>
        <w:t xml:space="preserve">There are limitations to our trial. The trial did not meet the intended recruitment target and the </w:t>
      </w:r>
      <w:r w:rsidRPr="00200637">
        <w:t>failure to reject the null</w:t>
      </w:r>
      <w:r>
        <w:t xml:space="preserve"> hypothesis may be a result of the small sample size. Under recruitment was primarily due to high numbers excluded due to urgent treatment being required before randomisation could be performed. </w:t>
      </w:r>
      <w:r w:rsidRPr="0027327E">
        <w:t xml:space="preserve">It </w:t>
      </w:r>
      <w:r>
        <w:t>was</w:t>
      </w:r>
      <w:r w:rsidRPr="0027327E">
        <w:t xml:space="preserve"> not feasible </w:t>
      </w:r>
      <w:r>
        <w:t>to</w:t>
      </w:r>
      <w:r w:rsidRPr="0027327E">
        <w:t xml:space="preserve"> blind the study participants</w:t>
      </w:r>
      <w:r>
        <w:t xml:space="preserve"> and clinicians</w:t>
      </w:r>
      <w:r w:rsidRPr="0027327E">
        <w:t xml:space="preserve"> to the </w:t>
      </w:r>
      <w:r>
        <w:t xml:space="preserve">study </w:t>
      </w:r>
      <w:r w:rsidRPr="0027327E">
        <w:t xml:space="preserve">intervention, </w:t>
      </w:r>
      <w:r>
        <w:t>therefore</w:t>
      </w:r>
      <w:r w:rsidRPr="0027327E">
        <w:t xml:space="preserve"> a</w:t>
      </w:r>
      <w:r>
        <w:t xml:space="preserve"> primary</w:t>
      </w:r>
      <w:r w:rsidRPr="0027327E">
        <w:t xml:space="preserve"> </w:t>
      </w:r>
      <w:proofErr w:type="gramStart"/>
      <w:r>
        <w:t>end-point</w:t>
      </w:r>
      <w:proofErr w:type="gramEnd"/>
      <w:r w:rsidRPr="0027327E">
        <w:t xml:space="preserve"> was </w:t>
      </w:r>
      <w:r>
        <w:t>selected</w:t>
      </w:r>
      <w:r w:rsidRPr="0027327E">
        <w:t xml:space="preserve"> that was easily measurable</w:t>
      </w:r>
      <w:r>
        <w:t xml:space="preserve"> and</w:t>
      </w:r>
      <w:r w:rsidRPr="0027327E">
        <w:t xml:space="preserve"> objective</w:t>
      </w:r>
      <w:r>
        <w:t xml:space="preserve">. </w:t>
      </w:r>
    </w:p>
    <w:p w14:paraId="4D6D9999" w14:textId="77777777" w:rsidR="002D0529" w:rsidRDefault="002D0529" w:rsidP="007D0198">
      <w:pPr>
        <w:spacing w:line="240" w:lineRule="auto"/>
        <w:jc w:val="both"/>
      </w:pPr>
      <w:r>
        <w:t xml:space="preserve">In conclusion there was no difference in LOS between patients managed with ambulatory care compared to chest drain attached to underwater seal. This may be related to high rates of treatment failure with the PV and a shorter LOS in the standard arm than previously cited. </w:t>
      </w:r>
      <w:r w:rsidRPr="00D56E8A">
        <w:t>We</w:t>
      </w:r>
      <w:r>
        <w:t xml:space="preserve"> do not</w:t>
      </w:r>
      <w:r w:rsidRPr="00D56E8A">
        <w:t xml:space="preserve"> advise use of </w:t>
      </w:r>
      <w:r>
        <w:t>PV</w:t>
      </w:r>
      <w:r w:rsidRPr="00D56E8A">
        <w:t xml:space="preserve"> in patients </w:t>
      </w:r>
      <w:r>
        <w:t>with SSP, and the encouraging results with PV in PSP are not translatable to this population.  Our study has, however, shown e</w:t>
      </w:r>
      <w:r w:rsidRPr="00D56E8A">
        <w:t xml:space="preserve">arly supportive evidence of safety </w:t>
      </w:r>
      <w:r>
        <w:t xml:space="preserve">in the attachment of an </w:t>
      </w:r>
      <w:r w:rsidRPr="00D56E8A">
        <w:t xml:space="preserve">Atrium Pneumostat </w:t>
      </w:r>
      <w:r>
        <w:t xml:space="preserve">to an existing chest drain to ambulate patients with SSP. A dedicated trial using this device is now warranted. </w:t>
      </w:r>
    </w:p>
    <w:p w14:paraId="00AA69EA" w14:textId="77777777" w:rsidR="002D0529" w:rsidRDefault="002D0529" w:rsidP="007D0198">
      <w:pPr>
        <w:spacing w:line="360" w:lineRule="auto"/>
        <w:jc w:val="both"/>
      </w:pPr>
    </w:p>
    <w:p w14:paraId="24ADD5A1" w14:textId="693DA948" w:rsidR="002D0529" w:rsidRPr="00DF45C4" w:rsidRDefault="002D0529" w:rsidP="00DF45C4">
      <w:pPr>
        <w:pStyle w:val="EndNoteBibliography"/>
        <w:spacing w:after="0"/>
      </w:pPr>
      <w:r w:rsidRPr="00DF45C4">
        <w:lastRenderedPageBreak/>
        <w:t>1.</w:t>
      </w:r>
      <w:r w:rsidRPr="00DF45C4">
        <w:tab/>
        <w:t>Guo Y, Xie C, Rodriguez RM, Light RW. Factors related to recurrence of spontaneous pneumothorax. Resp. 2005;10(3):378-84.</w:t>
      </w:r>
    </w:p>
    <w:p w14:paraId="3BE94DFE" w14:textId="7264BC1A" w:rsidR="002D0529" w:rsidRPr="00DF45C4" w:rsidRDefault="002D0529" w:rsidP="00DF45C4">
      <w:pPr>
        <w:pStyle w:val="EndNoteBibliography"/>
        <w:spacing w:after="0"/>
      </w:pPr>
      <w:r w:rsidRPr="00DF45C4">
        <w:t>2.</w:t>
      </w:r>
      <w:r w:rsidRPr="00DF45C4">
        <w:tab/>
        <w:t xml:space="preserve">Hallifax RJ, Goldacre R, Landray MJ, Rahman NM, Goldacre MJJJ. Trends in the incidence and recurrence of inpatient-treated spontaneous pneumothorax, 1968-2016. </w:t>
      </w:r>
      <w:r w:rsidR="00A627B7">
        <w:t xml:space="preserve">JAMA. </w:t>
      </w:r>
      <w:r w:rsidRPr="00DF45C4">
        <w:t>2018</w:t>
      </w:r>
      <w:r w:rsidR="00A627B7">
        <w:t>. Oct 9</w:t>
      </w:r>
      <w:r w:rsidRPr="00DF45C4">
        <w:t>;320(14):1471-80.</w:t>
      </w:r>
    </w:p>
    <w:p w14:paraId="0061D9B7" w14:textId="36D02647" w:rsidR="002D0529" w:rsidRPr="00DF45C4" w:rsidRDefault="002D0529" w:rsidP="00DF45C4">
      <w:pPr>
        <w:pStyle w:val="EndNoteBibliography"/>
        <w:spacing w:after="0"/>
      </w:pPr>
      <w:r w:rsidRPr="00DF45C4">
        <w:t>3.</w:t>
      </w:r>
      <w:r w:rsidRPr="00DF45C4">
        <w:tab/>
        <w:t>Bobbio A, Dechartres A, Bouam S, Damotte D, Rabbat A, Régnard J-F, et al. Epidemiology of spontaneous pneumothorax: gender-related differences. Thorax. 2015</w:t>
      </w:r>
      <w:r w:rsidR="00A627B7">
        <w:t xml:space="preserve"> Jul 1;70(7):653-8</w:t>
      </w:r>
    </w:p>
    <w:p w14:paraId="44E9E166" w14:textId="15A614B3" w:rsidR="002D0529" w:rsidRPr="00DF45C4" w:rsidRDefault="002D0529" w:rsidP="00DF45C4">
      <w:pPr>
        <w:pStyle w:val="EndNoteBibliography"/>
        <w:spacing w:after="0"/>
      </w:pPr>
      <w:r w:rsidRPr="00DF45C4">
        <w:t>4.</w:t>
      </w:r>
      <w:r w:rsidRPr="00DF45C4">
        <w:tab/>
        <w:t xml:space="preserve">Onuki T, Ueda S, Yamaoka M, Sekiya Y, Yamada H, Kawakami N, et al. Primary and secondary spontaneous pneumothorax: prevalence, clinical features, and in-hospital mortality. </w:t>
      </w:r>
      <w:r w:rsidR="00A627B7">
        <w:t>CRJ</w:t>
      </w:r>
      <w:r w:rsidRPr="00DF45C4">
        <w:t>. 2017</w:t>
      </w:r>
      <w:r w:rsidR="00A627B7">
        <w:t>. Jan 1 2017</w:t>
      </w:r>
    </w:p>
    <w:p w14:paraId="5B78EE6E" w14:textId="77777777" w:rsidR="002D0529" w:rsidRPr="00DF45C4" w:rsidRDefault="002D0529" w:rsidP="00DF45C4">
      <w:pPr>
        <w:pStyle w:val="EndNoteBibliography"/>
        <w:spacing w:after="0"/>
      </w:pPr>
      <w:r w:rsidRPr="00DF45C4">
        <w:t>5.</w:t>
      </w:r>
      <w:r w:rsidRPr="00DF45C4">
        <w:tab/>
        <w:t>Chee CB, Abisheganaden J, Yeo JK, Lee P, Huan PY, Poh SC, et al. Persistent air-leak in spontaneous pneumothorax--clinical course and outcome. Respir Med. 1998;92(5):757-61.</w:t>
      </w:r>
    </w:p>
    <w:p w14:paraId="495FDB29" w14:textId="77777777" w:rsidR="002D0529" w:rsidRPr="00DF45C4" w:rsidRDefault="002D0529" w:rsidP="00DF45C4">
      <w:pPr>
        <w:pStyle w:val="EndNoteBibliography"/>
        <w:spacing w:after="0"/>
      </w:pPr>
      <w:r w:rsidRPr="00DF45C4">
        <w:t>6.</w:t>
      </w:r>
      <w:r w:rsidRPr="00DF45C4">
        <w:tab/>
        <w:t>Brims FJ, Maskell NA. Ambulatory treatment in the management of pneumothorax: a systematic review of the literature. Thorax. 2013;68(7):664-9.</w:t>
      </w:r>
    </w:p>
    <w:p w14:paraId="7D678EA1" w14:textId="77777777" w:rsidR="002D0529" w:rsidRPr="00DF45C4" w:rsidRDefault="002D0529" w:rsidP="00DF45C4">
      <w:pPr>
        <w:pStyle w:val="EndNoteBibliography"/>
        <w:spacing w:after="0"/>
      </w:pPr>
      <w:r w:rsidRPr="00DF45C4">
        <w:t>7.</w:t>
      </w:r>
      <w:r w:rsidRPr="00DF45C4">
        <w:tab/>
        <w:t>MacDuff A, Arnold A, Harvey J, Group BTSPDG. Management of spontaneous pneumothorax: British Thoracic Society Pleural Disease Guideline 2010. Thorax. 2010;65 Suppl 2(Suppl 2):ii18-31.</w:t>
      </w:r>
    </w:p>
    <w:p w14:paraId="08D7B56C" w14:textId="77777777" w:rsidR="002D0529" w:rsidRPr="00DF45C4" w:rsidRDefault="002D0529" w:rsidP="00DF45C4">
      <w:pPr>
        <w:pStyle w:val="EndNoteBibliography"/>
        <w:spacing w:after="0"/>
      </w:pPr>
      <w:r w:rsidRPr="00DF45C4">
        <w:t>8.</w:t>
      </w:r>
      <w:r w:rsidRPr="00DF45C4">
        <w:tab/>
        <w:t>Pocock SJ. Clinical trials: a practical approach: John Wiley &amp; Sons; 2013.</w:t>
      </w:r>
    </w:p>
    <w:p w14:paraId="56579852" w14:textId="77777777" w:rsidR="002D0529" w:rsidRPr="00DF45C4" w:rsidRDefault="002D0529" w:rsidP="00DF45C4">
      <w:pPr>
        <w:pStyle w:val="EndNoteBibliography"/>
        <w:spacing w:after="0"/>
      </w:pPr>
      <w:r w:rsidRPr="00DF45C4">
        <w:t>9.</w:t>
      </w:r>
      <w:r w:rsidRPr="00DF45C4">
        <w:tab/>
        <w:t>Mishra EK, Corcoran JP, Hallifax RJ, Stradling J, Maskell NA, Rahman NM. Defining the minimal important difference for the visual analogue scale assessing dyspnea in patients with malignant pleural effusions. PLoS One. 2015;10(4):e0123798.</w:t>
      </w:r>
    </w:p>
    <w:p w14:paraId="797B6272" w14:textId="3DB36173" w:rsidR="002D0529" w:rsidRPr="00DF45C4" w:rsidRDefault="002D0529" w:rsidP="00DF45C4">
      <w:pPr>
        <w:pStyle w:val="EndNoteBibliography"/>
        <w:spacing w:after="0"/>
      </w:pPr>
      <w:r w:rsidRPr="00DF45C4">
        <w:t>10.</w:t>
      </w:r>
      <w:r w:rsidRPr="00DF45C4">
        <w:tab/>
        <w:t>Herdman M, Gudex C, Lloyd A, Janssen M, Kind P, Parkin D, et al. Development and preliminary testing of the new five-level version of EQ-5D (EQ-5D-5L). Qua</w:t>
      </w:r>
      <w:r w:rsidR="00A627B7">
        <w:t>l</w:t>
      </w:r>
      <w:r w:rsidRPr="00DF45C4">
        <w:t xml:space="preserve"> </w:t>
      </w:r>
      <w:r w:rsidR="00A627B7">
        <w:t>L</w:t>
      </w:r>
      <w:r w:rsidRPr="00DF45C4">
        <w:t xml:space="preserve">ife </w:t>
      </w:r>
      <w:r w:rsidR="00A627B7">
        <w:t>Res</w:t>
      </w:r>
      <w:r w:rsidRPr="00DF45C4">
        <w:t>. 2011;20(10):1727-36.</w:t>
      </w:r>
    </w:p>
    <w:p w14:paraId="0D7C9565" w14:textId="77777777" w:rsidR="002D0529" w:rsidRPr="00DF45C4" w:rsidRDefault="002D0529" w:rsidP="00DF45C4">
      <w:pPr>
        <w:pStyle w:val="EndNoteBibliography"/>
        <w:spacing w:after="0"/>
      </w:pPr>
      <w:r w:rsidRPr="00DF45C4">
        <w:t>11.</w:t>
      </w:r>
      <w:r w:rsidRPr="00DF45C4">
        <w:tab/>
        <w:t>Wittes J. Sample size calculations for randomized controlled trials. Epidemiologic reviews. 2002;24(1):39-53.</w:t>
      </w:r>
    </w:p>
    <w:p w14:paraId="7F7BFF68" w14:textId="77777777" w:rsidR="002D0529" w:rsidRPr="00DF45C4" w:rsidRDefault="002D0529" w:rsidP="00DF45C4">
      <w:pPr>
        <w:pStyle w:val="EndNoteBibliography"/>
        <w:spacing w:after="0"/>
      </w:pPr>
      <w:r w:rsidRPr="00DF45C4">
        <w:t>12.</w:t>
      </w:r>
      <w:r w:rsidRPr="00DF45C4">
        <w:tab/>
        <w:t>Khan F, Vali Y, Naeem M, Reddy R. Safety and efficacy of ambulatory management of secondary spontaneous pneumothorax: a case series. BMJ open respiratory research. 2019;6(1).</w:t>
      </w:r>
    </w:p>
    <w:p w14:paraId="53023011" w14:textId="77777777" w:rsidR="002D0529" w:rsidRPr="00DF45C4" w:rsidRDefault="002D0529" w:rsidP="00DF45C4">
      <w:pPr>
        <w:pStyle w:val="EndNoteBibliography"/>
        <w:spacing w:after="0"/>
      </w:pPr>
      <w:r w:rsidRPr="00DF45C4">
        <w:t>13.</w:t>
      </w:r>
      <w:r w:rsidRPr="00DF45C4">
        <w:tab/>
        <w:t>Röggla M, Wagner A, Brunner C, Röggla G. The management of pneumothorax with the thoracic vent versus conventional intercostal tube drainage. Wiener klinische Wochenschrift. 1995;108(11):330-3.</w:t>
      </w:r>
    </w:p>
    <w:p w14:paraId="15FADC9D" w14:textId="25AE3BFD" w:rsidR="002D0529" w:rsidRPr="00DF45C4" w:rsidRDefault="002D0529" w:rsidP="00DF45C4">
      <w:pPr>
        <w:pStyle w:val="EndNoteBibliography"/>
        <w:spacing w:after="0"/>
      </w:pPr>
      <w:r w:rsidRPr="00DF45C4">
        <w:t>14.</w:t>
      </w:r>
      <w:r w:rsidRPr="00DF45C4">
        <w:tab/>
        <w:t xml:space="preserve">Ho KK, Ong MEH, Koh MS, Wong E, Raghuram J. A randomized controlled trial comparing minichest tube and needle aspiration in outpatient management of primary spontaneous pneumothorax. </w:t>
      </w:r>
      <w:r w:rsidR="00A627B7">
        <w:t>AJEM</w:t>
      </w:r>
      <w:r w:rsidRPr="00DF45C4">
        <w:t>. 2011;29(9):1152-7.</w:t>
      </w:r>
    </w:p>
    <w:p w14:paraId="53EE1DBE" w14:textId="77777777" w:rsidR="002D0529" w:rsidRPr="00DF45C4" w:rsidRDefault="002D0529" w:rsidP="00DF45C4">
      <w:pPr>
        <w:pStyle w:val="EndNoteBibliography"/>
        <w:spacing w:after="0"/>
      </w:pPr>
      <w:r w:rsidRPr="00DF45C4">
        <w:t>15.</w:t>
      </w:r>
      <w:r w:rsidRPr="00DF45C4">
        <w:tab/>
        <w:t>Hallifax RJ, McKeown E, Sivakumar P, Fairbairn I, Peter C, Leitch A, et al. Ambulatory management of primary spontaneous pneumothorax: an open-label, randomised controlled trial. The Lancet. 2020;396(10243):39-49.</w:t>
      </w:r>
    </w:p>
    <w:p w14:paraId="70F7F064" w14:textId="77777777" w:rsidR="002D0529" w:rsidRPr="00DF45C4" w:rsidRDefault="002D0529" w:rsidP="00DF45C4">
      <w:pPr>
        <w:pStyle w:val="EndNoteBibliography"/>
        <w:spacing w:after="0"/>
      </w:pPr>
      <w:r w:rsidRPr="00DF45C4">
        <w:t>16.</w:t>
      </w:r>
      <w:r w:rsidRPr="00DF45C4">
        <w:tab/>
        <w:t>Chee CBE, Abisheganaden J, Yeo JKS, Lee P, Huan PYM, Poh SC, et al. Persistent air-leak in spontaneous pneumothorax - clinical course and outcome. Respiratory Medicine. 1998;92(5):757-61.</w:t>
      </w:r>
    </w:p>
    <w:p w14:paraId="72CE1B85" w14:textId="418325F3" w:rsidR="002D0529" w:rsidRPr="00DF45C4" w:rsidRDefault="002D0529" w:rsidP="00DF45C4">
      <w:pPr>
        <w:pStyle w:val="EndNoteBibliography"/>
        <w:spacing w:after="0"/>
      </w:pPr>
      <w:r w:rsidRPr="00DF45C4">
        <w:t>17.</w:t>
      </w:r>
      <w:r w:rsidRPr="00DF45C4">
        <w:tab/>
        <w:t xml:space="preserve">Lippert H, Lund O, Blegvad S, Larsen H. Independent risk factors for cumulative recurrence rate after first spontaneous pneumothorax. </w:t>
      </w:r>
      <w:r w:rsidR="00A627B7">
        <w:t>ERJ</w:t>
      </w:r>
      <w:r w:rsidRPr="00DF45C4">
        <w:t>. 1991;4(3):324-31.</w:t>
      </w:r>
    </w:p>
    <w:p w14:paraId="6802AC6F" w14:textId="27E54241" w:rsidR="002D0529" w:rsidRPr="00DF45C4" w:rsidRDefault="002D0529" w:rsidP="00DF45C4">
      <w:pPr>
        <w:pStyle w:val="EndNoteBibliography"/>
        <w:spacing w:after="0"/>
      </w:pPr>
      <w:r w:rsidRPr="00DF45C4">
        <w:t>18.</w:t>
      </w:r>
      <w:r w:rsidRPr="00DF45C4">
        <w:tab/>
        <w:t xml:space="preserve">Light RW, O'Hara VS, Moritz TE, McElhinney AJ, Butz R, Haakenson C, et al. Intrapleural tetracycline for the prevention of recurrent spontaneous pneumothorax. Results of a Department of Veterans Affairs Cooperative Study. </w:t>
      </w:r>
      <w:r w:rsidR="00A627B7">
        <w:t>JAMA</w:t>
      </w:r>
      <w:r w:rsidRPr="00DF45C4">
        <w:t>. 1990;264(17):2224-30.</w:t>
      </w:r>
    </w:p>
    <w:p w14:paraId="499E068D" w14:textId="77777777" w:rsidR="002D0529" w:rsidRPr="00DF45C4" w:rsidRDefault="002D0529" w:rsidP="00DF45C4">
      <w:pPr>
        <w:pStyle w:val="EndNoteBibliography"/>
      </w:pPr>
      <w:r w:rsidRPr="00DF45C4">
        <w:t>19.</w:t>
      </w:r>
      <w:r w:rsidRPr="00DF45C4">
        <w:tab/>
        <w:t>Videm V, Pillgram-Larsen J, Ellingsen O, Andersen G, Ovrum E. Spontaneous pneumothorax in chronic obstructive pulmonary disease: complications, treatment and recurrences. Eur J Respir Dis. 1987;71(5):365-71.</w:t>
      </w:r>
    </w:p>
    <w:p w14:paraId="4E6E1C19" w14:textId="77777777" w:rsidR="002D0529" w:rsidRPr="00D7786E" w:rsidRDefault="002D0529" w:rsidP="007D0198">
      <w:pPr>
        <w:spacing w:line="360" w:lineRule="auto"/>
        <w:jc w:val="both"/>
      </w:pPr>
    </w:p>
    <w:p w14:paraId="7138D2DB" w14:textId="77777777" w:rsidR="00901F02" w:rsidRDefault="00BD41D1"/>
    <w:sectPr w:rsidR="00901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TNEJMQuadraat">
    <w:altName w:val="Yu Gothic"/>
    <w:panose1 w:val="00000000000000000000"/>
    <w:charset w:val="80"/>
    <w:family w:val="roman"/>
    <w:notTrueType/>
    <w:pitch w:val="default"/>
    <w:sig w:usb0="00000001" w:usb1="08070000" w:usb2="00000010" w:usb3="00000000" w:csb0="00020000" w:csb1="00000000"/>
  </w:font>
  <w:font w:name="OTNEJMScalaSansSmallLFCap-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C17"/>
    <w:multiLevelType w:val="hybridMultilevel"/>
    <w:tmpl w:val="85C8B2E2"/>
    <w:lvl w:ilvl="0" w:tplc="15DE66BC">
      <w:start w:val="1"/>
      <w:numFmt w:val="bullet"/>
      <w:lvlText w:val="•"/>
      <w:lvlJc w:val="left"/>
      <w:pPr>
        <w:tabs>
          <w:tab w:val="num" w:pos="720"/>
        </w:tabs>
        <w:ind w:left="720" w:hanging="360"/>
      </w:pPr>
      <w:rPr>
        <w:rFonts w:ascii="Arial" w:hAnsi="Arial" w:hint="default"/>
      </w:rPr>
    </w:lvl>
    <w:lvl w:ilvl="1" w:tplc="8FAAE0B8" w:tentative="1">
      <w:start w:val="1"/>
      <w:numFmt w:val="bullet"/>
      <w:lvlText w:val="•"/>
      <w:lvlJc w:val="left"/>
      <w:pPr>
        <w:tabs>
          <w:tab w:val="num" w:pos="1440"/>
        </w:tabs>
        <w:ind w:left="1440" w:hanging="360"/>
      </w:pPr>
      <w:rPr>
        <w:rFonts w:ascii="Arial" w:hAnsi="Arial" w:hint="default"/>
      </w:rPr>
    </w:lvl>
    <w:lvl w:ilvl="2" w:tplc="9556ACEC" w:tentative="1">
      <w:start w:val="1"/>
      <w:numFmt w:val="bullet"/>
      <w:lvlText w:val="•"/>
      <w:lvlJc w:val="left"/>
      <w:pPr>
        <w:tabs>
          <w:tab w:val="num" w:pos="2160"/>
        </w:tabs>
        <w:ind w:left="2160" w:hanging="360"/>
      </w:pPr>
      <w:rPr>
        <w:rFonts w:ascii="Arial" w:hAnsi="Arial" w:hint="default"/>
      </w:rPr>
    </w:lvl>
    <w:lvl w:ilvl="3" w:tplc="58D0A834" w:tentative="1">
      <w:start w:val="1"/>
      <w:numFmt w:val="bullet"/>
      <w:lvlText w:val="•"/>
      <w:lvlJc w:val="left"/>
      <w:pPr>
        <w:tabs>
          <w:tab w:val="num" w:pos="2880"/>
        </w:tabs>
        <w:ind w:left="2880" w:hanging="360"/>
      </w:pPr>
      <w:rPr>
        <w:rFonts w:ascii="Arial" w:hAnsi="Arial" w:hint="default"/>
      </w:rPr>
    </w:lvl>
    <w:lvl w:ilvl="4" w:tplc="78222DEE" w:tentative="1">
      <w:start w:val="1"/>
      <w:numFmt w:val="bullet"/>
      <w:lvlText w:val="•"/>
      <w:lvlJc w:val="left"/>
      <w:pPr>
        <w:tabs>
          <w:tab w:val="num" w:pos="3600"/>
        </w:tabs>
        <w:ind w:left="3600" w:hanging="360"/>
      </w:pPr>
      <w:rPr>
        <w:rFonts w:ascii="Arial" w:hAnsi="Arial" w:hint="default"/>
      </w:rPr>
    </w:lvl>
    <w:lvl w:ilvl="5" w:tplc="7C58BD34" w:tentative="1">
      <w:start w:val="1"/>
      <w:numFmt w:val="bullet"/>
      <w:lvlText w:val="•"/>
      <w:lvlJc w:val="left"/>
      <w:pPr>
        <w:tabs>
          <w:tab w:val="num" w:pos="4320"/>
        </w:tabs>
        <w:ind w:left="4320" w:hanging="360"/>
      </w:pPr>
      <w:rPr>
        <w:rFonts w:ascii="Arial" w:hAnsi="Arial" w:hint="default"/>
      </w:rPr>
    </w:lvl>
    <w:lvl w:ilvl="6" w:tplc="E2BCD7A4" w:tentative="1">
      <w:start w:val="1"/>
      <w:numFmt w:val="bullet"/>
      <w:lvlText w:val="•"/>
      <w:lvlJc w:val="left"/>
      <w:pPr>
        <w:tabs>
          <w:tab w:val="num" w:pos="5040"/>
        </w:tabs>
        <w:ind w:left="5040" w:hanging="360"/>
      </w:pPr>
      <w:rPr>
        <w:rFonts w:ascii="Arial" w:hAnsi="Arial" w:hint="default"/>
      </w:rPr>
    </w:lvl>
    <w:lvl w:ilvl="7" w:tplc="33CC7082" w:tentative="1">
      <w:start w:val="1"/>
      <w:numFmt w:val="bullet"/>
      <w:lvlText w:val="•"/>
      <w:lvlJc w:val="left"/>
      <w:pPr>
        <w:tabs>
          <w:tab w:val="num" w:pos="5760"/>
        </w:tabs>
        <w:ind w:left="5760" w:hanging="360"/>
      </w:pPr>
      <w:rPr>
        <w:rFonts w:ascii="Arial" w:hAnsi="Arial" w:hint="default"/>
      </w:rPr>
    </w:lvl>
    <w:lvl w:ilvl="8" w:tplc="97C25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606814"/>
    <w:multiLevelType w:val="hybridMultilevel"/>
    <w:tmpl w:val="474E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D0529"/>
    <w:rsid w:val="00105E2C"/>
    <w:rsid w:val="002D0529"/>
    <w:rsid w:val="00337484"/>
    <w:rsid w:val="003C6623"/>
    <w:rsid w:val="008C62D0"/>
    <w:rsid w:val="00A627B7"/>
    <w:rsid w:val="00A95B26"/>
    <w:rsid w:val="00BD41D1"/>
    <w:rsid w:val="00E0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50CD"/>
  <w15:chartTrackingRefBased/>
  <w15:docId w15:val="{091B57C1-B3FC-4A51-B8B2-558E45F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529"/>
    <w:rPr>
      <w:sz w:val="16"/>
      <w:szCs w:val="16"/>
    </w:rPr>
  </w:style>
  <w:style w:type="paragraph" w:styleId="CommentText">
    <w:name w:val="annotation text"/>
    <w:basedOn w:val="Normal"/>
    <w:link w:val="CommentTextChar"/>
    <w:uiPriority w:val="99"/>
    <w:semiHidden/>
    <w:unhideWhenUsed/>
    <w:rsid w:val="002D0529"/>
    <w:pPr>
      <w:spacing w:line="240" w:lineRule="auto"/>
    </w:pPr>
    <w:rPr>
      <w:sz w:val="20"/>
      <w:szCs w:val="20"/>
    </w:rPr>
  </w:style>
  <w:style w:type="character" w:customStyle="1" w:styleId="CommentTextChar">
    <w:name w:val="Comment Text Char"/>
    <w:basedOn w:val="DefaultParagraphFont"/>
    <w:link w:val="CommentText"/>
    <w:uiPriority w:val="99"/>
    <w:semiHidden/>
    <w:rsid w:val="002D0529"/>
    <w:rPr>
      <w:sz w:val="20"/>
      <w:szCs w:val="20"/>
    </w:rPr>
  </w:style>
  <w:style w:type="paragraph" w:styleId="CommentSubject">
    <w:name w:val="annotation subject"/>
    <w:basedOn w:val="CommentText"/>
    <w:next w:val="CommentText"/>
    <w:link w:val="CommentSubjectChar"/>
    <w:uiPriority w:val="99"/>
    <w:semiHidden/>
    <w:unhideWhenUsed/>
    <w:rsid w:val="002D0529"/>
    <w:rPr>
      <w:b/>
      <w:bCs/>
    </w:rPr>
  </w:style>
  <w:style w:type="character" w:customStyle="1" w:styleId="CommentSubjectChar">
    <w:name w:val="Comment Subject Char"/>
    <w:basedOn w:val="CommentTextChar"/>
    <w:link w:val="CommentSubject"/>
    <w:uiPriority w:val="99"/>
    <w:semiHidden/>
    <w:rsid w:val="002D0529"/>
    <w:rPr>
      <w:b/>
      <w:bCs/>
      <w:sz w:val="20"/>
      <w:szCs w:val="20"/>
    </w:rPr>
  </w:style>
  <w:style w:type="paragraph" w:styleId="BalloonText">
    <w:name w:val="Balloon Text"/>
    <w:basedOn w:val="Normal"/>
    <w:link w:val="BalloonTextChar"/>
    <w:uiPriority w:val="99"/>
    <w:semiHidden/>
    <w:unhideWhenUsed/>
    <w:rsid w:val="002D0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29"/>
    <w:rPr>
      <w:rFonts w:ascii="Segoe UI" w:hAnsi="Segoe UI" w:cs="Segoe UI"/>
      <w:sz w:val="18"/>
      <w:szCs w:val="18"/>
    </w:rPr>
  </w:style>
  <w:style w:type="paragraph" w:customStyle="1" w:styleId="Default">
    <w:name w:val="Default"/>
    <w:rsid w:val="002D0529"/>
    <w:pPr>
      <w:autoSpaceDE w:val="0"/>
      <w:autoSpaceDN w:val="0"/>
      <w:adjustRightInd w:val="0"/>
      <w:spacing w:after="0" w:line="240" w:lineRule="auto"/>
    </w:pPr>
    <w:rPr>
      <w:rFonts w:ascii="Calibri" w:hAnsi="Calibri" w:cs="Calibri"/>
      <w:color w:val="000000"/>
      <w:sz w:val="24"/>
      <w:szCs w:val="24"/>
    </w:rPr>
  </w:style>
  <w:style w:type="table" w:customStyle="1" w:styleId="Style1">
    <w:name w:val="Style1"/>
    <w:basedOn w:val="TableNormal"/>
    <w:uiPriority w:val="99"/>
    <w:rsid w:val="002D0529"/>
    <w:pPr>
      <w:spacing w:after="0" w:line="240" w:lineRule="auto"/>
    </w:pPr>
    <w:tblPr/>
  </w:style>
  <w:style w:type="paragraph" w:styleId="ListParagraph">
    <w:name w:val="List Paragraph"/>
    <w:basedOn w:val="Normal"/>
    <w:uiPriority w:val="34"/>
    <w:qFormat/>
    <w:rsid w:val="002D0529"/>
    <w:pPr>
      <w:ind w:left="720"/>
      <w:contextualSpacing/>
    </w:pPr>
  </w:style>
  <w:style w:type="paragraph" w:customStyle="1" w:styleId="EndNoteBibliographyTitle">
    <w:name w:val="EndNote Bibliography Title"/>
    <w:basedOn w:val="Normal"/>
    <w:link w:val="EndNoteBibliographyTitleChar"/>
    <w:rsid w:val="002D05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0529"/>
    <w:rPr>
      <w:rFonts w:ascii="Calibri" w:hAnsi="Calibri" w:cs="Calibri"/>
      <w:noProof/>
      <w:lang w:val="en-US"/>
    </w:rPr>
  </w:style>
  <w:style w:type="paragraph" w:customStyle="1" w:styleId="EndNoteBibliography">
    <w:name w:val="EndNote Bibliography"/>
    <w:basedOn w:val="Normal"/>
    <w:link w:val="EndNoteBibliographyChar"/>
    <w:rsid w:val="002D052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D0529"/>
    <w:rPr>
      <w:rFonts w:ascii="Calibri" w:hAnsi="Calibri" w:cs="Calibri"/>
      <w:noProof/>
      <w:lang w:val="en-US"/>
    </w:rPr>
  </w:style>
  <w:style w:type="paragraph" w:styleId="Header">
    <w:name w:val="header"/>
    <w:basedOn w:val="Normal"/>
    <w:link w:val="HeaderChar"/>
    <w:uiPriority w:val="99"/>
    <w:unhideWhenUsed/>
    <w:rsid w:val="002D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29"/>
  </w:style>
  <w:style w:type="paragraph" w:styleId="Footer">
    <w:name w:val="footer"/>
    <w:basedOn w:val="Normal"/>
    <w:link w:val="FooterChar"/>
    <w:uiPriority w:val="99"/>
    <w:unhideWhenUsed/>
    <w:rsid w:val="002D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29"/>
  </w:style>
  <w:style w:type="paragraph" w:styleId="Revision">
    <w:name w:val="Revision"/>
    <w:hidden/>
    <w:uiPriority w:val="99"/>
    <w:semiHidden/>
    <w:rsid w:val="002D0529"/>
    <w:pPr>
      <w:spacing w:after="0" w:line="240" w:lineRule="auto"/>
    </w:pPr>
  </w:style>
  <w:style w:type="character" w:styleId="Hyperlink">
    <w:name w:val="Hyperlink"/>
    <w:basedOn w:val="DefaultParagraphFont"/>
    <w:uiPriority w:val="99"/>
    <w:unhideWhenUsed/>
    <w:rsid w:val="002D0529"/>
    <w:rPr>
      <w:color w:val="0563C1" w:themeColor="hyperlink"/>
      <w:u w:val="single"/>
    </w:rPr>
  </w:style>
  <w:style w:type="character" w:styleId="UnresolvedMention">
    <w:name w:val="Unresolved Mention"/>
    <w:basedOn w:val="DefaultParagraphFont"/>
    <w:uiPriority w:val="99"/>
    <w:semiHidden/>
    <w:unhideWhenUsed/>
    <w:rsid w:val="002D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n.walker@nbt.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3DF5-7027-4102-A464-C9494178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walker</dc:creator>
  <cp:keywords/>
  <dc:description/>
  <cp:lastModifiedBy>Paul White</cp:lastModifiedBy>
  <cp:revision>2</cp:revision>
  <dcterms:created xsi:type="dcterms:W3CDTF">2020-12-07T16:05:00Z</dcterms:created>
  <dcterms:modified xsi:type="dcterms:W3CDTF">2020-12-07T16:05:00Z</dcterms:modified>
</cp:coreProperties>
</file>