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F41" w:rsidRPr="00DF4F41" w:rsidRDefault="00DF4F41" w:rsidP="00DF4F41">
      <w:pPr>
        <w:spacing w:line="480" w:lineRule="auto"/>
        <w:rPr>
          <w:sz w:val="24"/>
          <w:szCs w:val="24"/>
        </w:rPr>
      </w:pPr>
      <w:r w:rsidRPr="00DF4F41">
        <w:rPr>
          <w:sz w:val="24"/>
          <w:szCs w:val="24"/>
        </w:rPr>
        <w:t>Facilitating Activity and Self-management for people with Arthritic knee, hip or lower back pain (FASA): a cluster randomised controlled trial.</w:t>
      </w:r>
    </w:p>
    <w:p w:rsidR="00DF4F41" w:rsidRPr="00DF4F41" w:rsidRDefault="00DF4F41" w:rsidP="00DF4F41">
      <w:pPr>
        <w:spacing w:line="480" w:lineRule="auto"/>
        <w:rPr>
          <w:rFonts w:eastAsia="NFEAE J+ MTSY"/>
          <w:b/>
          <w:sz w:val="24"/>
          <w:szCs w:val="24"/>
        </w:rPr>
      </w:pPr>
    </w:p>
    <w:p w:rsidR="00DF4F41" w:rsidRPr="00DF4F41" w:rsidRDefault="00DF4F41" w:rsidP="00DF4F41">
      <w:pPr>
        <w:spacing w:line="480" w:lineRule="auto"/>
        <w:rPr>
          <w:rFonts w:eastAsia="NFEAE J+ MTSY"/>
          <w:b/>
          <w:sz w:val="24"/>
          <w:szCs w:val="24"/>
        </w:rPr>
      </w:pPr>
      <w:r w:rsidRPr="00DF4F41">
        <w:rPr>
          <w:rFonts w:eastAsia="NFEAE J+ MTSY"/>
          <w:b/>
          <w:sz w:val="24"/>
          <w:szCs w:val="24"/>
        </w:rPr>
        <w:t>INTRODUCTION</w:t>
      </w:r>
    </w:p>
    <w:p w:rsidR="00DF4F41" w:rsidRPr="00DF4F41" w:rsidRDefault="00DF4F41" w:rsidP="00DF4F41">
      <w:pPr>
        <w:pStyle w:val="NormalWeb"/>
        <w:spacing w:before="0" w:beforeAutospacing="0" w:after="0" w:afterAutospacing="0" w:line="480" w:lineRule="auto"/>
        <w:jc w:val="both"/>
        <w:rPr>
          <w:rFonts w:ascii="Calibri" w:hAnsi="Calibri" w:cs="Arial"/>
          <w:lang w:val="en-GB"/>
        </w:rPr>
      </w:pPr>
      <w:r w:rsidRPr="00DF4F41">
        <w:rPr>
          <w:rFonts w:ascii="Calibri" w:hAnsi="Calibri" w:cs="Arial"/>
          <w:lang w:val="en-GB"/>
        </w:rPr>
        <w:t xml:space="preserve">As the population increases and people live longer, diseases associated with older age pose a considerable public health issue </w:t>
      </w:r>
      <w:r w:rsidRPr="00DF4F41">
        <w:rPr>
          <w:rFonts w:ascii="Calibri" w:hAnsi="Calibri" w:cs="Arial"/>
          <w:vertAlign w:val="superscript"/>
          <w:lang w:val="en-GB"/>
        </w:rPr>
        <w:t>[1]</w:t>
      </w:r>
      <w:r w:rsidRPr="00DF4F41">
        <w:rPr>
          <w:rFonts w:ascii="Calibri" w:hAnsi="Calibri" w:cs="Arial"/>
          <w:lang w:val="en-GB"/>
        </w:rPr>
        <w:t xml:space="preserve">. Demands on already compromised health services are likely to grow as individuals seek medical assistance to retain independence and quality of life. Chronic musculoskeletal pain including osteoarthritis (OA) can significantly limit the functional independence of individuals, and given that 25% of the population experience these problems </w:t>
      </w:r>
      <w:r w:rsidRPr="00DF4F41">
        <w:rPr>
          <w:rFonts w:ascii="Calibri" w:hAnsi="Calibri" w:cs="Arial"/>
          <w:vertAlign w:val="superscript"/>
          <w:lang w:val="en-GB"/>
        </w:rPr>
        <w:t>[2]</w:t>
      </w:r>
      <w:r w:rsidRPr="00DF4F41">
        <w:rPr>
          <w:rFonts w:ascii="Calibri" w:hAnsi="Calibri" w:cs="Arial"/>
          <w:lang w:val="en-GB"/>
        </w:rPr>
        <w:t xml:space="preserve">, the socioeconomic impact is immense and the personal impact significant – musculoskeletal disorders are the single largest cause of years lived with disability in the UK </w:t>
      </w:r>
      <w:r w:rsidRPr="00DF4F41">
        <w:rPr>
          <w:rFonts w:ascii="Calibri" w:hAnsi="Calibri" w:cs="Arial"/>
          <w:vertAlign w:val="superscript"/>
          <w:lang w:val="en-GB"/>
        </w:rPr>
        <w:t>[3]</w:t>
      </w:r>
      <w:r w:rsidRPr="00DF4F41">
        <w:rPr>
          <w:rFonts w:ascii="Calibri" w:hAnsi="Calibri" w:cs="Arial"/>
          <w:lang w:val="en-GB"/>
        </w:rPr>
        <w:t>.  Pressure on the older individual to remain healthy will intensify in association with the expectations to remain economically active and continue working into the seventh decade.</w:t>
      </w:r>
    </w:p>
    <w:p w:rsidR="00DF4F41" w:rsidRPr="00DF4F41" w:rsidRDefault="00DF4F41" w:rsidP="00DF4F41">
      <w:pPr>
        <w:pStyle w:val="NormalWeb"/>
        <w:spacing w:before="0" w:beforeAutospacing="0" w:after="0" w:afterAutospacing="0" w:line="480" w:lineRule="auto"/>
        <w:jc w:val="both"/>
        <w:rPr>
          <w:rFonts w:ascii="Calibri" w:hAnsi="Calibri" w:cs="Arial"/>
          <w:lang w:val="en-GB"/>
        </w:rPr>
      </w:pPr>
    </w:p>
    <w:p w:rsidR="00DF4F41" w:rsidRPr="00DF4F41" w:rsidRDefault="00DF4F41" w:rsidP="00DF4F41">
      <w:pPr>
        <w:pStyle w:val="NormalWeb"/>
        <w:spacing w:before="0" w:beforeAutospacing="0" w:after="0" w:afterAutospacing="0" w:line="480" w:lineRule="auto"/>
        <w:jc w:val="both"/>
        <w:rPr>
          <w:rFonts w:ascii="Calibri" w:hAnsi="Calibri" w:cs="Arial"/>
          <w:lang w:val="en-GB"/>
        </w:rPr>
      </w:pPr>
      <w:r w:rsidRPr="00DF4F41">
        <w:rPr>
          <w:rFonts w:ascii="Calibri" w:hAnsi="Calibri" w:cs="Arial"/>
          <w:lang w:val="en-GB"/>
        </w:rPr>
        <w:t xml:space="preserve">Within primary care approximately one third of general practitioner (GP) consultations are related to musculoskeletal disorders </w:t>
      </w:r>
      <w:r w:rsidRPr="00DF4F41">
        <w:rPr>
          <w:rFonts w:ascii="Calibri" w:hAnsi="Calibri" w:cs="Arial"/>
          <w:vertAlign w:val="superscript"/>
          <w:lang w:val="en-GB"/>
        </w:rPr>
        <w:t>[4]</w:t>
      </w:r>
      <w:r w:rsidRPr="00DF4F41">
        <w:rPr>
          <w:rFonts w:ascii="Calibri" w:hAnsi="Calibri" w:cs="Arial"/>
          <w:lang w:val="en-GB"/>
        </w:rPr>
        <w:t xml:space="preserve"> the most prevalent of which are OA and chronic low back pain </w:t>
      </w:r>
      <w:r w:rsidRPr="00DF4F41">
        <w:rPr>
          <w:rFonts w:ascii="Calibri" w:hAnsi="Calibri" w:cs="Arial"/>
          <w:vertAlign w:val="superscript"/>
          <w:lang w:val="en-GB"/>
        </w:rPr>
        <w:t>[5]</w:t>
      </w:r>
      <w:r w:rsidRPr="00DF4F41">
        <w:rPr>
          <w:rFonts w:ascii="Calibri" w:hAnsi="Calibri" w:cs="Arial"/>
          <w:lang w:val="en-GB"/>
        </w:rPr>
        <w:t xml:space="preserve">. These conditions are not life-threatening per se, but the effects of pain-induced immobility and reduced function can contribute to the development and progression of other serious comorbidities common in the older population (e.g. diabetes and hypertension) </w:t>
      </w:r>
      <w:r w:rsidRPr="00DF4F41">
        <w:rPr>
          <w:rFonts w:ascii="Calibri" w:hAnsi="Calibri" w:cs="Arial"/>
          <w:vertAlign w:val="superscript"/>
          <w:lang w:val="en-GB"/>
        </w:rPr>
        <w:t>[5]</w:t>
      </w:r>
      <w:r w:rsidRPr="00DF4F41">
        <w:rPr>
          <w:rFonts w:ascii="Calibri" w:hAnsi="Calibri" w:cs="Arial"/>
          <w:lang w:val="en-GB"/>
        </w:rPr>
        <w:t xml:space="preserve">. Furthermore associated anxiety and depression are recognisably higher in this group </w:t>
      </w:r>
      <w:r w:rsidRPr="00DF4F41">
        <w:rPr>
          <w:rFonts w:ascii="Calibri" w:hAnsi="Calibri" w:cs="Arial"/>
          <w:vertAlign w:val="superscript"/>
          <w:lang w:val="en-GB"/>
        </w:rPr>
        <w:t>[6]</w:t>
      </w:r>
      <w:r w:rsidRPr="00DF4F41">
        <w:rPr>
          <w:rFonts w:ascii="Calibri" w:hAnsi="Calibri" w:cs="Arial"/>
          <w:lang w:val="en-GB"/>
        </w:rPr>
        <w:t>. As such, from a public health perspective, reducing the impact of these conditions is an important component of maintaining a healthy older population.</w:t>
      </w:r>
    </w:p>
    <w:p w:rsidR="00DF4F41" w:rsidRPr="00DF4F41" w:rsidRDefault="00DF4F41" w:rsidP="00DF4F41">
      <w:pPr>
        <w:pStyle w:val="NormalWeb"/>
        <w:spacing w:before="0" w:beforeAutospacing="0" w:after="0" w:afterAutospacing="0" w:line="480" w:lineRule="auto"/>
        <w:jc w:val="both"/>
        <w:rPr>
          <w:rFonts w:ascii="Calibri" w:hAnsi="Calibri" w:cs="Arial"/>
          <w:lang w:val="en-GB"/>
        </w:rPr>
      </w:pPr>
    </w:p>
    <w:p w:rsidR="00DF4F41" w:rsidRPr="00DF4F41" w:rsidRDefault="00DF4F41" w:rsidP="00DF4F41">
      <w:pPr>
        <w:pStyle w:val="NormalWeb"/>
        <w:spacing w:before="0" w:beforeAutospacing="0" w:after="0" w:afterAutospacing="0" w:line="480" w:lineRule="auto"/>
        <w:jc w:val="both"/>
        <w:rPr>
          <w:rFonts w:ascii="Calibri" w:hAnsi="Calibri"/>
          <w:lang w:val="en-GB"/>
        </w:rPr>
      </w:pPr>
      <w:r w:rsidRPr="00DF4F41">
        <w:rPr>
          <w:rFonts w:ascii="Calibri" w:hAnsi="Calibri" w:cs="Arial"/>
          <w:lang w:val="en-GB"/>
        </w:rPr>
        <w:lastRenderedPageBreak/>
        <w:t xml:space="preserve">Although disabling chronic musculoskeletal pain and OA can present in any joint, the hip, knee and lumbar spine are predominantly affected </w:t>
      </w:r>
      <w:r w:rsidRPr="00DF4F41">
        <w:rPr>
          <w:rFonts w:ascii="Calibri" w:hAnsi="Calibri" w:cs="Arial"/>
          <w:vertAlign w:val="superscript"/>
          <w:lang w:val="en-GB"/>
        </w:rPr>
        <w:t>[7]</w:t>
      </w:r>
      <w:r w:rsidRPr="00DF4F41">
        <w:rPr>
          <w:rFonts w:ascii="Calibri" w:hAnsi="Calibri" w:cs="Arial"/>
          <w:lang w:val="en-GB"/>
        </w:rPr>
        <w:t xml:space="preserve">. </w:t>
      </w:r>
      <w:r w:rsidRPr="00DF4F41">
        <w:rPr>
          <w:rFonts w:ascii="Calibri" w:hAnsi="Calibri"/>
          <w:lang w:val="en-GB"/>
        </w:rPr>
        <w:t xml:space="preserve">Previous research has demonstrated the effectiveness of exercise and self-management </w:t>
      </w:r>
      <w:r w:rsidRPr="00DF4F41">
        <w:rPr>
          <w:rFonts w:ascii="Calibri" w:hAnsi="Calibri"/>
          <w:vertAlign w:val="superscript"/>
          <w:lang w:val="en-GB"/>
        </w:rPr>
        <w:t>[8]</w:t>
      </w:r>
      <w:r w:rsidRPr="00DF4F41">
        <w:rPr>
          <w:rFonts w:ascii="Calibri" w:hAnsi="Calibri"/>
          <w:lang w:val="en-GB"/>
        </w:rPr>
        <w:t xml:space="preserve">, but most trials tailor interventions for specific joints (e.g. hip or knee or back). In order to deliver evidence-based treatments clinicians have either to manage patients on an individual basis or refer to joint-specific group interventions. Neither option is ideal – the former incurs significant time and financial cost, whilst the latter often requires patients to wait for appropriate numbers of people to be referred to allow groups to run. Furthermore, epidemiological data demonstrate that many older people with degenerative joint problems experience pain and functional difficulty in other joints, seeking further healthcare input as these present </w:t>
      </w:r>
      <w:r w:rsidRPr="00DF4F41">
        <w:rPr>
          <w:rFonts w:ascii="Calibri" w:hAnsi="Calibri"/>
          <w:vertAlign w:val="superscript"/>
          <w:lang w:val="en-GB"/>
        </w:rPr>
        <w:t>[9]</w:t>
      </w:r>
      <w:r w:rsidRPr="00DF4F41">
        <w:rPr>
          <w:rFonts w:ascii="Calibri" w:hAnsi="Calibri"/>
          <w:lang w:val="en-GB"/>
        </w:rPr>
        <w:t xml:space="preserve">. </w:t>
      </w:r>
    </w:p>
    <w:p w:rsidR="00DF4F41" w:rsidRPr="00DF4F41" w:rsidRDefault="00DF4F41" w:rsidP="00DF4F41">
      <w:pPr>
        <w:pStyle w:val="NormalWeb"/>
        <w:spacing w:before="0" w:beforeAutospacing="0" w:after="0" w:afterAutospacing="0" w:line="480" w:lineRule="auto"/>
        <w:jc w:val="both"/>
        <w:rPr>
          <w:rFonts w:ascii="Calibri" w:hAnsi="Calibri"/>
          <w:lang w:val="en-GB"/>
        </w:rPr>
      </w:pPr>
    </w:p>
    <w:p w:rsidR="00DF4F41" w:rsidRPr="00DF4F41" w:rsidRDefault="00DF4F41" w:rsidP="00DF4F41">
      <w:pPr>
        <w:pStyle w:val="NormalWeb"/>
        <w:spacing w:before="0" w:beforeAutospacing="0" w:after="0" w:afterAutospacing="0" w:line="480" w:lineRule="auto"/>
        <w:jc w:val="both"/>
        <w:rPr>
          <w:rFonts w:ascii="Arial Narrow" w:hAnsi="Arial Narrow"/>
          <w:lang w:val="en-GB"/>
        </w:rPr>
      </w:pPr>
      <w:r w:rsidRPr="00DF4F41">
        <w:rPr>
          <w:rFonts w:ascii="Calibri" w:hAnsi="Calibri"/>
          <w:lang w:val="en-GB"/>
        </w:rPr>
        <w:t>Managing multiple joint presentations simultaneously may reduce the need for repeat visits to healthcare professionals as advice is frequently similar for differing site presentations. In addition, widening therapy to cover patients with multiple joint involvement would attract more patients, enable classes to run more frequently (thus reducing waiting times) and potentially have a prophylactic effect, as people would be more proactive in exercising the whole musculoskeletal system.</w:t>
      </w:r>
      <w:r w:rsidRPr="00DF4F41">
        <w:rPr>
          <w:rFonts w:ascii="Arial Narrow" w:hAnsi="Arial Narrow"/>
          <w:lang w:val="en-GB"/>
        </w:rPr>
        <w:t xml:space="preserve"> </w:t>
      </w:r>
    </w:p>
    <w:p w:rsidR="00DF4F41" w:rsidRPr="00DF4F41" w:rsidRDefault="00DF4F41" w:rsidP="00DF4F41">
      <w:pPr>
        <w:pStyle w:val="NormalWeb"/>
        <w:spacing w:before="0" w:beforeAutospacing="0" w:after="0" w:afterAutospacing="0" w:line="480" w:lineRule="auto"/>
        <w:jc w:val="both"/>
        <w:rPr>
          <w:rFonts w:ascii="Arial Narrow" w:hAnsi="Arial Narrow"/>
          <w:lang w:val="en-GB"/>
        </w:rPr>
      </w:pPr>
    </w:p>
    <w:p w:rsidR="00DF4F41" w:rsidRPr="00DF4F41" w:rsidRDefault="00DF4F41" w:rsidP="00DF4F41">
      <w:pPr>
        <w:pStyle w:val="NormalWeb"/>
        <w:spacing w:before="0" w:beforeAutospacing="0" w:after="0" w:afterAutospacing="0" w:line="480" w:lineRule="auto"/>
        <w:jc w:val="both"/>
        <w:rPr>
          <w:rFonts w:ascii="Calibri" w:hAnsi="Calibri" w:cs="Arial"/>
          <w:lang w:val="en-GB"/>
        </w:rPr>
      </w:pPr>
      <w:r w:rsidRPr="00DF4F41">
        <w:rPr>
          <w:rFonts w:ascii="Calibri" w:hAnsi="Calibri" w:cs="Arial"/>
          <w:lang w:val="en-GB"/>
        </w:rPr>
        <w:t xml:space="preserve">NICE guidelines recommend exercise and education to promote self-management of the condition </w:t>
      </w:r>
      <w:r w:rsidRPr="00DF4F41">
        <w:rPr>
          <w:rFonts w:ascii="Calibri" w:hAnsi="Calibri" w:cs="Arial"/>
          <w:vertAlign w:val="superscript"/>
          <w:lang w:val="en-GB"/>
        </w:rPr>
        <w:t>[10]</w:t>
      </w:r>
      <w:r w:rsidRPr="00DF4F41">
        <w:rPr>
          <w:rFonts w:ascii="Calibri" w:hAnsi="Calibri" w:cs="Arial"/>
          <w:lang w:val="en-GB"/>
        </w:rPr>
        <w:t xml:space="preserve">.  Long-term engagement with exercise, like many lifestyle change interventions, is generally limited, particularly in the presence of chronic musculoskeletal pain. Many patients stop exercising once formal interventions cease because of loss of interest, lack of time and/or facilities, and minimal benefits to pain or function </w:t>
      </w:r>
      <w:r w:rsidRPr="00DF4F41">
        <w:rPr>
          <w:rFonts w:ascii="Calibri" w:hAnsi="Calibri" w:cs="Arial"/>
          <w:vertAlign w:val="superscript"/>
          <w:lang w:val="en-GB"/>
        </w:rPr>
        <w:t>[11]</w:t>
      </w:r>
      <w:r w:rsidRPr="00DF4F41">
        <w:rPr>
          <w:rFonts w:ascii="Calibri" w:hAnsi="Calibri" w:cs="Arial"/>
          <w:lang w:val="en-GB"/>
        </w:rPr>
        <w:t xml:space="preserve">. Symptoms often return and re-referral for further intervention is common at considerable cost to health services </w:t>
      </w:r>
      <w:r w:rsidRPr="00DF4F41">
        <w:rPr>
          <w:rFonts w:ascii="Calibri" w:hAnsi="Calibri" w:cs="Arial"/>
          <w:vertAlign w:val="superscript"/>
          <w:lang w:val="en-GB"/>
        </w:rPr>
        <w:t>[9]</w:t>
      </w:r>
      <w:r w:rsidRPr="00DF4F41">
        <w:rPr>
          <w:rFonts w:ascii="Calibri" w:hAnsi="Calibri" w:cs="Arial"/>
          <w:lang w:val="en-GB"/>
        </w:rPr>
        <w:t>. Previous work has demonstrated that for chronic knee pain/OA, a six-week exercise and self-</w:t>
      </w:r>
      <w:r w:rsidRPr="00DF4F41">
        <w:rPr>
          <w:rFonts w:ascii="Calibri" w:hAnsi="Calibri" w:cs="Arial"/>
          <w:lang w:val="en-GB"/>
        </w:rPr>
        <w:lastRenderedPageBreak/>
        <w:t xml:space="preserve">management intervention (ESCAPE-knee pain) facilitated by a physiotherapist resulted in clinically and statistically significant improvements in function, pain and self-efficacy six months post-intervention </w:t>
      </w:r>
      <w:r w:rsidRPr="00DF4F41">
        <w:rPr>
          <w:rFonts w:ascii="Calibri" w:hAnsi="Calibri" w:cs="Arial"/>
          <w:vertAlign w:val="superscript"/>
          <w:lang w:val="en-GB"/>
        </w:rPr>
        <w:t>[12]</w:t>
      </w:r>
      <w:r w:rsidRPr="00DF4F41">
        <w:rPr>
          <w:rFonts w:ascii="Calibri" w:hAnsi="Calibri" w:cs="Arial"/>
          <w:lang w:val="en-GB"/>
        </w:rPr>
        <w:t xml:space="preserve">, which were still apparent 2½ years later </w:t>
      </w:r>
      <w:r w:rsidRPr="00DF4F41">
        <w:rPr>
          <w:rFonts w:ascii="Calibri" w:hAnsi="Calibri" w:cs="Arial"/>
          <w:vertAlign w:val="superscript"/>
          <w:lang w:val="en-GB"/>
        </w:rPr>
        <w:t>[13]</w:t>
      </w:r>
      <w:r w:rsidRPr="00DF4F41">
        <w:rPr>
          <w:rFonts w:ascii="Calibri" w:hAnsi="Calibri" w:cs="Arial"/>
          <w:lang w:val="en-GB"/>
        </w:rPr>
        <w:t xml:space="preserve">.  </w:t>
      </w:r>
    </w:p>
    <w:p w:rsidR="00DF4F41" w:rsidRPr="00DF4F41" w:rsidRDefault="00DF4F41" w:rsidP="00DF4F41">
      <w:pPr>
        <w:autoSpaceDE w:val="0"/>
        <w:autoSpaceDN w:val="0"/>
        <w:adjustRightInd w:val="0"/>
        <w:spacing w:after="0" w:line="480" w:lineRule="auto"/>
        <w:jc w:val="both"/>
        <w:rPr>
          <w:rFonts w:cs="Arial"/>
          <w:sz w:val="24"/>
          <w:szCs w:val="24"/>
        </w:rPr>
      </w:pPr>
      <w:r w:rsidRPr="00DF4F41">
        <w:rPr>
          <w:rFonts w:cs="Arial"/>
          <w:sz w:val="24"/>
          <w:szCs w:val="24"/>
        </w:rPr>
        <w:t>The current trial was undertaken to determine whether a modified version of the ESCAPE programme, FASA – Facilitating Activity and Self-management in Arthritic Pain,</w:t>
      </w:r>
      <w:r w:rsidRPr="00DF4F41">
        <w:rPr>
          <w:rFonts w:cs="Melior"/>
          <w:sz w:val="24"/>
          <w:szCs w:val="24"/>
        </w:rPr>
        <w:t xml:space="preserve"> based on social cognitive theory, </w:t>
      </w:r>
      <w:r w:rsidRPr="00DF4F41">
        <w:rPr>
          <w:rFonts w:cs="Melior"/>
          <w:sz w:val="24"/>
          <w:szCs w:val="24"/>
          <w:vertAlign w:val="superscript"/>
        </w:rPr>
        <w:t>[14]</w:t>
      </w:r>
      <w:r w:rsidRPr="00DF4F41">
        <w:rPr>
          <w:rFonts w:cs="Melior"/>
          <w:sz w:val="24"/>
          <w:szCs w:val="24"/>
        </w:rPr>
        <w:t xml:space="preserve">, </w:t>
      </w:r>
      <w:r w:rsidRPr="00DF4F41">
        <w:rPr>
          <w:rFonts w:cs="Arial"/>
          <w:sz w:val="24"/>
          <w:szCs w:val="24"/>
        </w:rPr>
        <w:t xml:space="preserve">was beneficial to people with lower limb OA, chronic low back pain, or a combination of these presentations. The primary hypothesis was that participation in the FASA intervention would improve function more effectively than continued GP management alone. </w:t>
      </w:r>
    </w:p>
    <w:p w:rsidR="00DF4F41" w:rsidRPr="00DF4F41" w:rsidRDefault="00DF4F41" w:rsidP="00DF4F41">
      <w:pPr>
        <w:pStyle w:val="NormalWeb"/>
        <w:spacing w:before="0" w:beforeAutospacing="0" w:after="0" w:afterAutospacing="0" w:line="480" w:lineRule="auto"/>
        <w:jc w:val="both"/>
        <w:rPr>
          <w:rFonts w:ascii="Calibri" w:hAnsi="Calibri" w:cs="Arial"/>
          <w:lang w:val="en-GB"/>
        </w:rPr>
      </w:pPr>
    </w:p>
    <w:p w:rsidR="00DF4F41" w:rsidRPr="00DF4F41" w:rsidRDefault="00DF4F41" w:rsidP="00DF4F41">
      <w:pPr>
        <w:pStyle w:val="NormalWeb"/>
        <w:spacing w:before="0" w:beforeAutospacing="0" w:after="0" w:afterAutospacing="0" w:line="480" w:lineRule="auto"/>
        <w:jc w:val="both"/>
        <w:rPr>
          <w:rFonts w:ascii="Calibri" w:hAnsi="Calibri" w:cs="Arial"/>
          <w:b/>
          <w:lang w:val="en-GB"/>
        </w:rPr>
      </w:pPr>
      <w:r w:rsidRPr="00DF4F41">
        <w:rPr>
          <w:rFonts w:ascii="Calibri" w:hAnsi="Calibri" w:cs="Arial"/>
          <w:b/>
          <w:lang w:val="en-GB"/>
        </w:rPr>
        <w:t>METHODS</w:t>
      </w:r>
    </w:p>
    <w:p w:rsidR="00DF4F41" w:rsidRPr="00DF4F41" w:rsidRDefault="00DF4F41" w:rsidP="00DF4F41">
      <w:pPr>
        <w:autoSpaceDE w:val="0"/>
        <w:autoSpaceDN w:val="0"/>
        <w:adjustRightInd w:val="0"/>
        <w:spacing w:after="0" w:line="480" w:lineRule="auto"/>
        <w:jc w:val="both"/>
        <w:rPr>
          <w:rFonts w:cs="Melior"/>
          <w:sz w:val="24"/>
          <w:szCs w:val="24"/>
        </w:rPr>
      </w:pPr>
      <w:r w:rsidRPr="00DF4F41">
        <w:rPr>
          <w:rFonts w:eastAsia="NFEAE J+ MTSY"/>
          <w:sz w:val="24"/>
          <w:szCs w:val="24"/>
        </w:rPr>
        <w:t xml:space="preserve">This trial was conducted and analysed according to a pre-specified protocol </w:t>
      </w:r>
      <w:r w:rsidRPr="00DF4F41">
        <w:rPr>
          <w:rFonts w:eastAsia="NFEAE J+ MTSY"/>
          <w:sz w:val="24"/>
          <w:szCs w:val="24"/>
          <w:vertAlign w:val="superscript"/>
        </w:rPr>
        <w:t>[15]</w:t>
      </w:r>
      <w:r w:rsidRPr="00DF4F41">
        <w:rPr>
          <w:rFonts w:eastAsia="NFEAE J+ MTSY"/>
          <w:sz w:val="24"/>
          <w:szCs w:val="24"/>
        </w:rPr>
        <w:t xml:space="preserve"> </w:t>
      </w:r>
      <w:r w:rsidRPr="00DF4F41">
        <w:rPr>
          <w:sz w:val="24"/>
          <w:szCs w:val="24"/>
        </w:rPr>
        <w:t>(ISRCTN registration 66190737). Ethical approval was received from South West 4 Research Ethics Committee: Reference number 11/SW/0053.</w:t>
      </w:r>
      <w:r w:rsidRPr="00DF4F41">
        <w:rPr>
          <w:rFonts w:cs="Melior"/>
          <w:sz w:val="24"/>
          <w:szCs w:val="24"/>
        </w:rPr>
        <w:t xml:space="preserve"> Recruitment, intervention and follow-up was completed in 2016, analysis was completed in 2018.</w:t>
      </w:r>
    </w:p>
    <w:p w:rsidR="00DF4F41" w:rsidRPr="00DF4F41" w:rsidRDefault="00DF4F41" w:rsidP="00DF4F41">
      <w:pPr>
        <w:autoSpaceDE w:val="0"/>
        <w:autoSpaceDN w:val="0"/>
        <w:adjustRightInd w:val="0"/>
        <w:spacing w:after="0" w:line="480" w:lineRule="auto"/>
        <w:jc w:val="both"/>
        <w:rPr>
          <w:rFonts w:eastAsia="NFEAE J+ MTSY"/>
          <w:sz w:val="24"/>
          <w:szCs w:val="24"/>
        </w:rPr>
      </w:pPr>
    </w:p>
    <w:p w:rsidR="00DF4F41" w:rsidRPr="00DF4F41" w:rsidRDefault="00DF4F41" w:rsidP="00DF4F41">
      <w:pPr>
        <w:autoSpaceDE w:val="0"/>
        <w:autoSpaceDN w:val="0"/>
        <w:adjustRightInd w:val="0"/>
        <w:spacing w:after="0" w:line="480" w:lineRule="auto"/>
        <w:jc w:val="both"/>
        <w:rPr>
          <w:rFonts w:cs="Melior"/>
          <w:sz w:val="24"/>
          <w:szCs w:val="24"/>
        </w:rPr>
      </w:pPr>
      <w:r w:rsidRPr="00DF4F41">
        <w:rPr>
          <w:rFonts w:eastAsia="NFEAE J+ MTSY"/>
          <w:b/>
          <w:sz w:val="24"/>
          <w:szCs w:val="24"/>
        </w:rPr>
        <w:t>Design</w:t>
      </w:r>
      <w:r w:rsidRPr="00DF4F41">
        <w:rPr>
          <w:rFonts w:eastAsia="NFEAE J+ MTSY"/>
          <w:sz w:val="24"/>
          <w:szCs w:val="24"/>
        </w:rPr>
        <w:t xml:space="preserve">: </w:t>
      </w:r>
      <w:r w:rsidRPr="00DF4F41">
        <w:rPr>
          <w:rFonts w:cs="Melior"/>
          <w:sz w:val="24"/>
          <w:szCs w:val="24"/>
        </w:rPr>
        <w:t xml:space="preserve">A pragmatic, assessor blinded, cluster randomised controlled trial (CRCT) compared usual GP-led primary care management to a physiotherapist-facilitated exercise and self-management intervention. </w:t>
      </w:r>
    </w:p>
    <w:p w:rsidR="00DF4F41" w:rsidRPr="00DF4F41" w:rsidRDefault="00DF4F41" w:rsidP="00DF4F41">
      <w:pPr>
        <w:autoSpaceDE w:val="0"/>
        <w:autoSpaceDN w:val="0"/>
        <w:adjustRightInd w:val="0"/>
        <w:spacing w:after="0" w:line="480" w:lineRule="auto"/>
        <w:jc w:val="both"/>
        <w:rPr>
          <w:rFonts w:cs="Melior"/>
          <w:sz w:val="24"/>
          <w:szCs w:val="24"/>
        </w:rPr>
      </w:pPr>
    </w:p>
    <w:p w:rsidR="00DF4F41" w:rsidRPr="00DF4F41" w:rsidRDefault="00DF4F41" w:rsidP="00DF4F41">
      <w:pPr>
        <w:spacing w:after="0" w:line="480" w:lineRule="auto"/>
        <w:jc w:val="both"/>
        <w:rPr>
          <w:b/>
          <w:sz w:val="24"/>
          <w:szCs w:val="24"/>
        </w:rPr>
      </w:pPr>
      <w:r w:rsidRPr="00DF4F41">
        <w:rPr>
          <w:b/>
          <w:sz w:val="24"/>
          <w:szCs w:val="24"/>
        </w:rPr>
        <w:t>Study sample and recruitment</w:t>
      </w:r>
    </w:p>
    <w:p w:rsidR="00DF4F41" w:rsidRPr="00DF4F41" w:rsidRDefault="00DF4F41" w:rsidP="00DF4F41">
      <w:pPr>
        <w:spacing w:after="0" w:line="480" w:lineRule="auto"/>
        <w:jc w:val="both"/>
        <w:rPr>
          <w:sz w:val="24"/>
          <w:szCs w:val="24"/>
        </w:rPr>
      </w:pPr>
      <w:r w:rsidRPr="00DF4F41">
        <w:rPr>
          <w:sz w:val="24"/>
          <w:szCs w:val="24"/>
        </w:rPr>
        <w:t xml:space="preserve">Broad inclusion criteria were adopted to reflect typical populations in primary care, and participants were recruited from urban and rural GP practices in South West England. Individuals were invited to participate if they were aged 50 years and over; and had a clinical or radiographic diagnosis of hip and/or knee OA, and/or chronic lower back pain of at least </w:t>
      </w:r>
      <w:r w:rsidRPr="00DF4F41">
        <w:rPr>
          <w:sz w:val="24"/>
          <w:szCs w:val="24"/>
        </w:rPr>
        <w:lastRenderedPageBreak/>
        <w:t>six months duration. Participants were excluded if they had received physiotherapy in the preceding 6 months; had lower limb arthroplasty; had unstable medical or psychiatric disorders; or their level of spoken English would prohibit group participation.</w:t>
      </w:r>
    </w:p>
    <w:p w:rsidR="00DF4F41" w:rsidRPr="00DF4F41" w:rsidRDefault="00DF4F41" w:rsidP="00DF4F41">
      <w:pPr>
        <w:spacing w:after="0" w:line="480" w:lineRule="auto"/>
        <w:jc w:val="both"/>
        <w:rPr>
          <w:sz w:val="24"/>
          <w:szCs w:val="24"/>
        </w:rPr>
      </w:pPr>
      <w:r w:rsidRPr="00DF4F41">
        <w:rPr>
          <w:sz w:val="24"/>
          <w:szCs w:val="24"/>
        </w:rPr>
        <w:t>GP practices were recruited via the Clinical Research Network and were asked to perform a database search and send an invitation letter to all potential participants. Subsequently, practices were 4-block randomised to either the intervention arm or GP-led management arm, using random sequence generation by a researcher located remotely who was not involved in recruitment, assessment, data collection or analysis. Potential participants were asked to return a reply slip or to telephone the Trial Co-ordinator who responded to participant queries, screened potential participants, received written consent and arranged assessment appointments, but was not involved in outcome assessment and remained blind to individual outcome data. Patient groups were formed from the recruiting practices and individuals attended at a site local to them.</w:t>
      </w:r>
    </w:p>
    <w:p w:rsidR="00DF4F41" w:rsidRPr="00DF4F41" w:rsidRDefault="00DF4F41" w:rsidP="00DF4F41">
      <w:pPr>
        <w:spacing w:after="0" w:line="480" w:lineRule="auto"/>
        <w:jc w:val="both"/>
        <w:rPr>
          <w:sz w:val="24"/>
          <w:szCs w:val="24"/>
        </w:rPr>
      </w:pPr>
    </w:p>
    <w:p w:rsidR="00DF4F41" w:rsidRPr="00DF4F41" w:rsidRDefault="00DF4F41" w:rsidP="00DF4F41">
      <w:pPr>
        <w:spacing w:after="0" w:line="480" w:lineRule="auto"/>
        <w:jc w:val="both"/>
        <w:rPr>
          <w:sz w:val="24"/>
          <w:szCs w:val="24"/>
        </w:rPr>
      </w:pPr>
      <w:r w:rsidRPr="00DF4F41">
        <w:rPr>
          <w:sz w:val="24"/>
          <w:szCs w:val="24"/>
        </w:rPr>
        <w:t xml:space="preserve">The Trial Assessor, a physiotherapist blind to participant allocation, conducted the baseline assessment at a local community-based out-patient physiotherapy department. The assessment included administration of all outcome measures, collecting anthropometric data and a physical assessment to eliminate any serious pathology that would exclude individuals from participating. </w:t>
      </w:r>
    </w:p>
    <w:p w:rsidR="00DF4F41" w:rsidRPr="00DF4F41" w:rsidRDefault="00DF4F41" w:rsidP="00DF4F41">
      <w:pPr>
        <w:spacing w:after="0" w:line="480" w:lineRule="auto"/>
        <w:jc w:val="both"/>
        <w:rPr>
          <w:sz w:val="24"/>
          <w:szCs w:val="24"/>
        </w:rPr>
      </w:pPr>
    </w:p>
    <w:p w:rsidR="00DF4F41" w:rsidRPr="00DF4F41" w:rsidRDefault="00DF4F41" w:rsidP="00DF4F41">
      <w:pPr>
        <w:spacing w:after="0" w:line="480" w:lineRule="auto"/>
        <w:jc w:val="both"/>
        <w:rPr>
          <w:rFonts w:cs="Calibri"/>
          <w:sz w:val="24"/>
          <w:szCs w:val="24"/>
        </w:rPr>
      </w:pPr>
      <w:r w:rsidRPr="00DF4F41">
        <w:rPr>
          <w:b/>
          <w:sz w:val="24"/>
          <w:szCs w:val="24"/>
        </w:rPr>
        <w:t xml:space="preserve">Sample size calculation: </w:t>
      </w:r>
      <w:r w:rsidRPr="00DF4F41">
        <w:rPr>
          <w:rFonts w:cs="Calibri"/>
          <w:sz w:val="24"/>
          <w:szCs w:val="24"/>
        </w:rPr>
        <w:t xml:space="preserve">Taking p&lt;0.05 as significant, the study sample size of n=352 was calculated to have 80% power to detect a 5.7 point absolute difference in the primary outcome measure, the Dysfunction Index of the Short Musculoskeletal Functional Assessment (DI-SMFA) </w:t>
      </w:r>
      <w:r w:rsidRPr="00DF4F41">
        <w:rPr>
          <w:rFonts w:cs="Calibri"/>
          <w:sz w:val="24"/>
          <w:szCs w:val="24"/>
          <w:vertAlign w:val="superscript"/>
        </w:rPr>
        <w:t>[16]</w:t>
      </w:r>
      <w:r w:rsidRPr="00DF4F41">
        <w:rPr>
          <w:rFonts w:cs="Calibri"/>
          <w:sz w:val="24"/>
          <w:szCs w:val="24"/>
        </w:rPr>
        <w:t xml:space="preserve"> score at 6 months post intervention, between the group intervention and standard care arms. Calculations assumed a mean score of 38 (SD=18) would be observed in </w:t>
      </w:r>
      <w:r w:rsidRPr="00DF4F41">
        <w:rPr>
          <w:rFonts w:cs="Calibri"/>
          <w:sz w:val="24"/>
          <w:szCs w:val="24"/>
        </w:rPr>
        <w:lastRenderedPageBreak/>
        <w:t xml:space="preserve">standard care, which is taken from Ponzer et al </w:t>
      </w:r>
      <w:r w:rsidRPr="00DF4F41">
        <w:rPr>
          <w:rFonts w:cs="Calibri"/>
          <w:sz w:val="24"/>
          <w:szCs w:val="24"/>
          <w:vertAlign w:val="superscript"/>
        </w:rPr>
        <w:t>[17]</w:t>
      </w:r>
      <w:r w:rsidRPr="00DF4F41">
        <w:rPr>
          <w:rFonts w:cs="Calibri"/>
          <w:sz w:val="24"/>
          <w:szCs w:val="24"/>
        </w:rPr>
        <w:t xml:space="preserve"> in a sample of 30 patients with chronic OA in the hip/knee. </w:t>
      </w:r>
    </w:p>
    <w:p w:rsidR="00DF4F41" w:rsidRPr="00DF4F41" w:rsidRDefault="00DF4F41" w:rsidP="00DF4F41">
      <w:pPr>
        <w:spacing w:after="0" w:line="480" w:lineRule="auto"/>
        <w:jc w:val="both"/>
        <w:rPr>
          <w:rFonts w:cs="Calibri"/>
          <w:sz w:val="24"/>
          <w:szCs w:val="24"/>
        </w:rPr>
      </w:pPr>
      <w:r w:rsidRPr="00DF4F41">
        <w:rPr>
          <w:rFonts w:cs="Calibri"/>
          <w:sz w:val="24"/>
          <w:szCs w:val="24"/>
        </w:rPr>
        <w:t xml:space="preserve">As interventions were randomised at the GP practice level, sample size calculations accounted for this design, assuming an average of 8 patients would be recruited per GP practice (based on response of the original ESCAPE trial </w:t>
      </w:r>
      <w:r w:rsidRPr="00DF4F41">
        <w:rPr>
          <w:rFonts w:cs="Calibri"/>
          <w:sz w:val="24"/>
          <w:szCs w:val="24"/>
          <w:vertAlign w:val="superscript"/>
        </w:rPr>
        <w:t>[11]</w:t>
      </w:r>
      <w:r w:rsidRPr="00DF4F41">
        <w:rPr>
          <w:rFonts w:cs="Calibri"/>
          <w:sz w:val="24"/>
          <w:szCs w:val="24"/>
        </w:rPr>
        <w:t xml:space="preserve"> with cluster size standard deviation (SD) of 5.11 (taken from the findings of Hurley at al </w:t>
      </w:r>
      <w:r w:rsidRPr="00DF4F41">
        <w:rPr>
          <w:rFonts w:cs="Calibri"/>
          <w:sz w:val="24"/>
          <w:szCs w:val="24"/>
          <w:vertAlign w:val="superscript"/>
        </w:rPr>
        <w:t>[11]</w:t>
      </w:r>
      <w:r w:rsidRPr="00DF4F41">
        <w:rPr>
          <w:rFonts w:cs="Calibri"/>
          <w:sz w:val="24"/>
          <w:szCs w:val="24"/>
        </w:rPr>
        <w:t xml:space="preserve">). Variable cluster sizes were accommodated using the formula of Eldridge </w:t>
      </w:r>
      <w:r w:rsidRPr="00DF4F41">
        <w:rPr>
          <w:rFonts w:cs="Calibri"/>
          <w:iCs/>
          <w:sz w:val="24"/>
          <w:szCs w:val="24"/>
        </w:rPr>
        <w:t xml:space="preserve">et al </w:t>
      </w:r>
      <w:r w:rsidRPr="00DF4F41">
        <w:rPr>
          <w:rFonts w:cs="Calibri"/>
          <w:iCs/>
          <w:sz w:val="24"/>
          <w:szCs w:val="24"/>
          <w:vertAlign w:val="superscript"/>
        </w:rPr>
        <w:t>[17]</w:t>
      </w:r>
      <w:r w:rsidRPr="00DF4F41">
        <w:rPr>
          <w:rFonts w:cs="Calibri"/>
          <w:sz w:val="24"/>
          <w:szCs w:val="24"/>
        </w:rPr>
        <w:t xml:space="preserve"> anticipating an attrition rate of 20% at the individual level by the primary end point, assumed to be independent of response and cluster size.  We used the same intra-cluster correlation co-efficient (ICC) =0.036 as was reported by Hurley et al </w:t>
      </w:r>
      <w:r w:rsidRPr="00DF4F41">
        <w:rPr>
          <w:rFonts w:cs="Calibri"/>
          <w:sz w:val="24"/>
          <w:szCs w:val="24"/>
          <w:vertAlign w:val="superscript"/>
        </w:rPr>
        <w:t>[11]</w:t>
      </w:r>
      <w:r w:rsidRPr="00DF4F41">
        <w:rPr>
          <w:rFonts w:cs="Calibri"/>
          <w:sz w:val="24"/>
          <w:szCs w:val="24"/>
        </w:rPr>
        <w:t xml:space="preserve"> and assumed an overall response SD = 15.0 (in both arms). </w:t>
      </w:r>
    </w:p>
    <w:p w:rsidR="00DF4F41" w:rsidRPr="00DF4F41" w:rsidRDefault="00DF4F41" w:rsidP="00DF4F41">
      <w:pPr>
        <w:spacing w:after="0" w:line="480" w:lineRule="auto"/>
        <w:jc w:val="both"/>
        <w:rPr>
          <w:i/>
          <w:sz w:val="24"/>
          <w:szCs w:val="24"/>
        </w:rPr>
      </w:pPr>
    </w:p>
    <w:p w:rsidR="00DF4F41" w:rsidRPr="00DF4F41" w:rsidRDefault="00DF4F41" w:rsidP="00DF4F41">
      <w:pPr>
        <w:spacing w:after="0" w:line="480" w:lineRule="auto"/>
        <w:jc w:val="both"/>
        <w:rPr>
          <w:b/>
          <w:sz w:val="24"/>
          <w:szCs w:val="24"/>
        </w:rPr>
      </w:pPr>
      <w:r w:rsidRPr="00DF4F41">
        <w:rPr>
          <w:b/>
          <w:sz w:val="24"/>
          <w:szCs w:val="24"/>
        </w:rPr>
        <w:t xml:space="preserve">Intervention arm </w:t>
      </w:r>
    </w:p>
    <w:p w:rsidR="00DF4F41" w:rsidRPr="00DF4F41" w:rsidRDefault="00DF4F41" w:rsidP="00DF4F41">
      <w:pPr>
        <w:pStyle w:val="Footer"/>
        <w:tabs>
          <w:tab w:val="clear" w:pos="4153"/>
          <w:tab w:val="clear" w:pos="8306"/>
        </w:tabs>
        <w:spacing w:line="480" w:lineRule="auto"/>
        <w:jc w:val="both"/>
        <w:rPr>
          <w:rStyle w:val="HTMLCite"/>
          <w:rFonts w:ascii="Calibri" w:hAnsi="Calibri" w:cs="Arial"/>
          <w:i w:val="0"/>
          <w:szCs w:val="24"/>
        </w:rPr>
      </w:pPr>
      <w:r w:rsidRPr="00DF4F41">
        <w:rPr>
          <w:rFonts w:ascii="Calibri" w:hAnsi="Calibri"/>
          <w:szCs w:val="24"/>
        </w:rPr>
        <w:t xml:space="preserve">The FASA intervention was derived from the ESCAPE-knee programme </w:t>
      </w:r>
      <w:r w:rsidRPr="00DF4F41">
        <w:rPr>
          <w:rFonts w:ascii="Calibri" w:hAnsi="Calibri"/>
          <w:szCs w:val="24"/>
          <w:vertAlign w:val="superscript"/>
        </w:rPr>
        <w:t xml:space="preserve">[12], </w:t>
      </w:r>
      <w:r w:rsidRPr="00DF4F41">
        <w:rPr>
          <w:rFonts w:ascii="Calibri" w:hAnsi="Calibri"/>
          <w:szCs w:val="24"/>
        </w:rPr>
        <w:t xml:space="preserve">with amendments made to account for the involvement of multiple joints. It consisted of an exercise and self-management intervention lasting 6-weeks (twice weekly), and was delivered by a physiotherapist (blinded to assessment data) to closed groups of approximately eight participants. In brief, each session lasted for 60-minutes and included approximately 20-25 minutes of physiotherapist-facilitated group discussion and problem-solving session (with a supporting handbook) regarding issues of self-management. Topics included activity-rest cycling, use of ice and heat for pain relief, goal-setting and action plans, exercise recommendations, healthy eating and managing changes in pain. After each discussion, participants undertook approximately 30-35 minutes of exercise, based on stations of strengthening, aerobic and co-ordination activities. Further to the exercises, in collaboration with the physiotherapist, each individual completed an action plan regarding exercise/activities they aimed to achieve over the following week. This was reviewed after </w:t>
      </w:r>
      <w:r w:rsidRPr="00DF4F41">
        <w:rPr>
          <w:rFonts w:ascii="Calibri" w:hAnsi="Calibri"/>
          <w:szCs w:val="24"/>
        </w:rPr>
        <w:lastRenderedPageBreak/>
        <w:t xml:space="preserve">each week, to determine adherence to the plan, problem-solving if the goal had proved unachievable, or progressed if it was achieved. Each participant was provided with a supplementary patient booklet that contained educational materials and self-completed tasks to monitor their progress. </w:t>
      </w:r>
      <w:r w:rsidRPr="00DF4F41">
        <w:rPr>
          <w:rStyle w:val="HTMLCite"/>
          <w:rFonts w:ascii="Calibri" w:hAnsi="Calibri" w:cs="Arial"/>
          <w:szCs w:val="24"/>
        </w:rPr>
        <w:t xml:space="preserve">Patients in this arm were also permitted to continue on GP management and all other treatments as prescribed except physiotherapy. Further details of the specific behavioural change techniques employed in this intervention can be found elsewhere </w:t>
      </w:r>
      <w:r w:rsidRPr="00DF4F41">
        <w:rPr>
          <w:rStyle w:val="HTMLCite"/>
          <w:rFonts w:ascii="Calibri" w:hAnsi="Calibri" w:cs="Arial"/>
          <w:szCs w:val="24"/>
          <w:vertAlign w:val="superscript"/>
        </w:rPr>
        <w:t>[19]</w:t>
      </w:r>
      <w:r w:rsidRPr="00DF4F41">
        <w:rPr>
          <w:rStyle w:val="HTMLCite"/>
          <w:rFonts w:ascii="Calibri" w:hAnsi="Calibri" w:cs="Arial"/>
          <w:szCs w:val="24"/>
        </w:rPr>
        <w:t>.</w:t>
      </w:r>
    </w:p>
    <w:p w:rsidR="00DF4F41" w:rsidRPr="00DF4F41" w:rsidRDefault="00DF4F41" w:rsidP="00DF4F41">
      <w:pPr>
        <w:pStyle w:val="Footer"/>
        <w:tabs>
          <w:tab w:val="clear" w:pos="4153"/>
          <w:tab w:val="clear" w:pos="8306"/>
        </w:tabs>
        <w:spacing w:line="480" w:lineRule="auto"/>
        <w:jc w:val="both"/>
        <w:rPr>
          <w:rStyle w:val="HTMLCite"/>
          <w:rFonts w:ascii="Calibri" w:hAnsi="Calibri" w:cs="Arial"/>
          <w:i w:val="0"/>
          <w:szCs w:val="24"/>
        </w:rPr>
      </w:pPr>
    </w:p>
    <w:p w:rsidR="00DF4F41" w:rsidRPr="00DF4F41" w:rsidRDefault="00DF4F41" w:rsidP="00DF4F41">
      <w:pPr>
        <w:pStyle w:val="Footer"/>
        <w:tabs>
          <w:tab w:val="clear" w:pos="4153"/>
          <w:tab w:val="clear" w:pos="8306"/>
        </w:tabs>
        <w:spacing w:line="480" w:lineRule="auto"/>
        <w:jc w:val="both"/>
        <w:rPr>
          <w:rStyle w:val="HTMLCite"/>
          <w:rFonts w:ascii="Calibri" w:hAnsi="Calibri" w:cs="Arial"/>
          <w:i w:val="0"/>
          <w:szCs w:val="24"/>
        </w:rPr>
      </w:pPr>
      <w:r w:rsidRPr="00DF4F41">
        <w:rPr>
          <w:rStyle w:val="HTMLCite"/>
          <w:rFonts w:ascii="Calibri" w:hAnsi="Calibri" w:cs="Arial"/>
          <w:szCs w:val="24"/>
        </w:rPr>
        <w:t xml:space="preserve">All groups were located within typical community-located physiotherapy out-patient departments, no additional equipment was required, and all were integrated into standard working hours. Groups were sequentially populated from recruited GP sites, so were routinely formed from a single GP practice. </w:t>
      </w:r>
    </w:p>
    <w:p w:rsidR="00DF4F41" w:rsidRPr="00DF4F41" w:rsidRDefault="00DF4F41" w:rsidP="00DF4F41">
      <w:pPr>
        <w:pStyle w:val="Footer"/>
        <w:tabs>
          <w:tab w:val="clear" w:pos="4153"/>
          <w:tab w:val="clear" w:pos="8306"/>
        </w:tabs>
        <w:spacing w:line="480" w:lineRule="auto"/>
        <w:jc w:val="both"/>
        <w:rPr>
          <w:rStyle w:val="HTMLCite"/>
          <w:rFonts w:ascii="Calibri" w:hAnsi="Calibri" w:cs="Arial"/>
          <w:i w:val="0"/>
          <w:szCs w:val="24"/>
        </w:rPr>
      </w:pPr>
    </w:p>
    <w:p w:rsidR="00DF4F41" w:rsidRPr="00DF4F41" w:rsidRDefault="00DF4F41" w:rsidP="00DF4F41">
      <w:pPr>
        <w:spacing w:after="0" w:line="480" w:lineRule="auto"/>
        <w:jc w:val="both"/>
        <w:rPr>
          <w:b/>
          <w:sz w:val="24"/>
          <w:szCs w:val="24"/>
        </w:rPr>
      </w:pPr>
      <w:r w:rsidRPr="00DF4F41">
        <w:rPr>
          <w:b/>
          <w:sz w:val="24"/>
          <w:szCs w:val="24"/>
        </w:rPr>
        <w:t>Control arm</w:t>
      </w:r>
    </w:p>
    <w:p w:rsidR="00DF4F41" w:rsidRPr="00DF4F41" w:rsidRDefault="00DF4F41" w:rsidP="00DF4F41">
      <w:pPr>
        <w:spacing w:after="0" w:line="480" w:lineRule="auto"/>
        <w:jc w:val="both"/>
        <w:rPr>
          <w:sz w:val="24"/>
          <w:szCs w:val="24"/>
        </w:rPr>
      </w:pPr>
      <w:r w:rsidRPr="00DF4F41">
        <w:rPr>
          <w:sz w:val="24"/>
          <w:szCs w:val="24"/>
        </w:rPr>
        <w:t xml:space="preserve">Participants allocated to the control arm continued GP-led management, and were permitted to continue any current pharmacological or non-pharmacological treatment strategies. New referrals to all other services (e.g. physiotherapy) were also permitted. </w:t>
      </w:r>
    </w:p>
    <w:p w:rsidR="00DF4F41" w:rsidRPr="00DF4F41" w:rsidRDefault="00DF4F41" w:rsidP="00DF4F41">
      <w:pPr>
        <w:spacing w:after="0" w:line="480" w:lineRule="auto"/>
        <w:jc w:val="both"/>
        <w:rPr>
          <w:sz w:val="24"/>
          <w:szCs w:val="24"/>
        </w:rPr>
      </w:pPr>
    </w:p>
    <w:p w:rsidR="00DF4F41" w:rsidRPr="00DF4F41" w:rsidRDefault="00DF4F41" w:rsidP="00DF4F41">
      <w:pPr>
        <w:spacing w:after="0" w:line="480" w:lineRule="auto"/>
        <w:jc w:val="both"/>
        <w:rPr>
          <w:b/>
          <w:sz w:val="24"/>
          <w:szCs w:val="24"/>
        </w:rPr>
      </w:pPr>
      <w:r w:rsidRPr="00DF4F41">
        <w:rPr>
          <w:b/>
          <w:sz w:val="24"/>
          <w:szCs w:val="24"/>
        </w:rPr>
        <w:t>Outcome measures</w:t>
      </w:r>
    </w:p>
    <w:p w:rsidR="00DF4F41" w:rsidRPr="00DF4F41" w:rsidRDefault="00DF4F41" w:rsidP="00DF4F41">
      <w:pPr>
        <w:spacing w:after="0" w:line="480" w:lineRule="auto"/>
        <w:jc w:val="both"/>
        <w:rPr>
          <w:sz w:val="24"/>
          <w:szCs w:val="24"/>
        </w:rPr>
      </w:pPr>
      <w:r w:rsidRPr="00DF4F41">
        <w:rPr>
          <w:sz w:val="24"/>
          <w:szCs w:val="24"/>
        </w:rPr>
        <w:t xml:space="preserve">The </w:t>
      </w:r>
      <w:r w:rsidRPr="00DF4F41">
        <w:rPr>
          <w:sz w:val="24"/>
          <w:szCs w:val="24"/>
          <w:u w:val="single"/>
        </w:rPr>
        <w:t>primary outcome measure</w:t>
      </w:r>
      <w:r w:rsidRPr="00DF4F41">
        <w:rPr>
          <w:sz w:val="24"/>
          <w:szCs w:val="24"/>
        </w:rPr>
        <w:t xml:space="preserve"> was the Dysfunction Index of the Short Musculoskeletal Functional Assessment (DI-SMFA) </w:t>
      </w:r>
      <w:r w:rsidRPr="00DF4F41">
        <w:rPr>
          <w:sz w:val="24"/>
          <w:szCs w:val="24"/>
          <w:vertAlign w:val="superscript"/>
        </w:rPr>
        <w:t>[16]</w:t>
      </w:r>
      <w:r w:rsidRPr="00DF4F41">
        <w:rPr>
          <w:sz w:val="24"/>
          <w:szCs w:val="24"/>
        </w:rPr>
        <w:t xml:space="preserve">. This validated, self-administered questionnaire was developed for use in any patients with musculoskeletal dysfunction, recording resultant actual physical limitation. The 34-item questionnaire asks patients to rate their functional performance from 1 – 5 with lower scores indicating improved function. This measure was chosen as it was not joint-specific, and therefore appropriate to use simultaneously in lower </w:t>
      </w:r>
      <w:r w:rsidRPr="00DF4F41">
        <w:rPr>
          <w:sz w:val="24"/>
          <w:szCs w:val="24"/>
        </w:rPr>
        <w:lastRenderedPageBreak/>
        <w:t>limb and lumbar spine musculoskeletal presentations. The primary analysis related to the whole patient sample irrespective of site of pain. Efficacy is the overall effect size obtained from analysis using a mixed model with combined data, not partitioned as per site of pain. Sub-group analyses of site-specific outcomes were undertaken as secondary analyses.</w:t>
      </w:r>
    </w:p>
    <w:p w:rsidR="00DF4F41" w:rsidRPr="00DF4F41" w:rsidRDefault="00DF4F41" w:rsidP="00DF4F41">
      <w:pPr>
        <w:autoSpaceDE w:val="0"/>
        <w:autoSpaceDN w:val="0"/>
        <w:adjustRightInd w:val="0"/>
        <w:spacing w:after="0" w:line="480" w:lineRule="auto"/>
        <w:jc w:val="both"/>
        <w:rPr>
          <w:sz w:val="24"/>
          <w:szCs w:val="24"/>
        </w:rPr>
      </w:pPr>
      <w:r w:rsidRPr="00DF4F41">
        <w:rPr>
          <w:sz w:val="24"/>
          <w:szCs w:val="24"/>
          <w:u w:val="single"/>
        </w:rPr>
        <w:t>Secondary outcomes</w:t>
      </w:r>
      <w:r w:rsidRPr="00DF4F41">
        <w:rPr>
          <w:sz w:val="24"/>
          <w:szCs w:val="24"/>
        </w:rPr>
        <w:t xml:space="preserve"> consisted of: Self-efficacy and exercise health beliefs questionnaire </w:t>
      </w:r>
      <w:r w:rsidRPr="00DF4F41">
        <w:rPr>
          <w:sz w:val="24"/>
          <w:szCs w:val="24"/>
          <w:vertAlign w:val="superscript"/>
        </w:rPr>
        <w:t>[20]</w:t>
      </w:r>
      <w:r w:rsidRPr="00DF4F41">
        <w:rPr>
          <w:sz w:val="24"/>
          <w:szCs w:val="24"/>
        </w:rPr>
        <w:t xml:space="preserve">; Hospital Anxiety and Depression scale (HADS) </w:t>
      </w:r>
      <w:r w:rsidRPr="00DF4F41">
        <w:rPr>
          <w:sz w:val="24"/>
          <w:szCs w:val="24"/>
          <w:vertAlign w:val="superscript"/>
        </w:rPr>
        <w:t>[21]</w:t>
      </w:r>
      <w:r w:rsidRPr="00DF4F41">
        <w:rPr>
          <w:sz w:val="24"/>
          <w:szCs w:val="24"/>
        </w:rPr>
        <w:t xml:space="preserve">; Short Form McGill Pain questionnaire </w:t>
      </w:r>
      <w:r w:rsidRPr="00DF4F41">
        <w:rPr>
          <w:sz w:val="24"/>
          <w:szCs w:val="24"/>
          <w:vertAlign w:val="superscript"/>
        </w:rPr>
        <w:t>[22]</w:t>
      </w:r>
      <w:r w:rsidRPr="00DF4F41">
        <w:rPr>
          <w:sz w:val="24"/>
          <w:szCs w:val="24"/>
        </w:rPr>
        <w:t xml:space="preserve">; Aggregated Functional Performance Time (AFPT) (a combined measure of walking, stair ascent and descent) </w:t>
      </w:r>
      <w:r w:rsidRPr="00DF4F41">
        <w:rPr>
          <w:sz w:val="24"/>
          <w:szCs w:val="24"/>
          <w:vertAlign w:val="superscript"/>
        </w:rPr>
        <w:t>[23]</w:t>
      </w:r>
      <w:r w:rsidRPr="00DF4F41">
        <w:rPr>
          <w:sz w:val="24"/>
          <w:szCs w:val="24"/>
        </w:rPr>
        <w:t>.</w:t>
      </w:r>
    </w:p>
    <w:p w:rsidR="00DF4F41" w:rsidRPr="00DF4F41" w:rsidRDefault="00DF4F41" w:rsidP="00DF4F41">
      <w:pPr>
        <w:autoSpaceDE w:val="0"/>
        <w:autoSpaceDN w:val="0"/>
        <w:adjustRightInd w:val="0"/>
        <w:spacing w:after="0" w:line="480" w:lineRule="auto"/>
        <w:jc w:val="both"/>
        <w:rPr>
          <w:sz w:val="24"/>
          <w:szCs w:val="24"/>
        </w:rPr>
      </w:pPr>
    </w:p>
    <w:p w:rsidR="00DF4F41" w:rsidRPr="00DF4F41" w:rsidRDefault="00DF4F41" w:rsidP="00DF4F41">
      <w:pPr>
        <w:spacing w:after="0" w:line="480" w:lineRule="auto"/>
        <w:jc w:val="both"/>
        <w:rPr>
          <w:sz w:val="24"/>
          <w:szCs w:val="24"/>
        </w:rPr>
      </w:pPr>
      <w:r w:rsidRPr="00DF4F41">
        <w:rPr>
          <w:sz w:val="24"/>
          <w:szCs w:val="24"/>
        </w:rPr>
        <w:t>All outcomes were collected at baseline and 6 months follow up. All self-completed outcome measures were also collected post-intervention (and the 6-week equivalent for the control arm). Baseline assessments were undertaken close to the time of pre-planned class commencement to prevent significant discrepancy between time period at follow-up between the control and intervention arms.</w:t>
      </w:r>
    </w:p>
    <w:p w:rsidR="00DF4F41" w:rsidRPr="00DF4F41" w:rsidRDefault="00DF4F41" w:rsidP="00DF4F41">
      <w:pPr>
        <w:spacing w:after="0" w:line="480" w:lineRule="auto"/>
        <w:jc w:val="both"/>
        <w:rPr>
          <w:sz w:val="24"/>
          <w:szCs w:val="24"/>
        </w:rPr>
      </w:pPr>
    </w:p>
    <w:p w:rsidR="00DF4F41" w:rsidRPr="00DF4F41" w:rsidRDefault="00DF4F41" w:rsidP="00DF4F41">
      <w:pPr>
        <w:spacing w:after="0" w:line="480" w:lineRule="auto"/>
        <w:jc w:val="both"/>
        <w:rPr>
          <w:b/>
          <w:sz w:val="24"/>
          <w:szCs w:val="24"/>
        </w:rPr>
      </w:pPr>
      <w:r w:rsidRPr="00DF4F41">
        <w:rPr>
          <w:b/>
          <w:sz w:val="24"/>
          <w:szCs w:val="24"/>
        </w:rPr>
        <w:t>Statistical Analysis</w:t>
      </w:r>
    </w:p>
    <w:p w:rsidR="00DF4F41" w:rsidRPr="00DF4F41" w:rsidRDefault="00DF4F41" w:rsidP="00DF4F41">
      <w:pPr>
        <w:spacing w:after="0" w:line="480" w:lineRule="auto"/>
        <w:jc w:val="both"/>
        <w:rPr>
          <w:sz w:val="24"/>
          <w:szCs w:val="24"/>
        </w:rPr>
      </w:pPr>
      <w:r w:rsidRPr="00DF4F41">
        <w:rPr>
          <w:rFonts w:asciiTheme="minorHAnsi" w:hAnsiTheme="minorHAnsi" w:cstheme="minorHAnsi"/>
          <w:sz w:val="24"/>
          <w:szCs w:val="24"/>
        </w:rPr>
        <w:t xml:space="preserve">The data analysis plan was based on an a priori protocol </w:t>
      </w:r>
      <w:r w:rsidRPr="00DF4F41">
        <w:rPr>
          <w:rFonts w:asciiTheme="minorHAnsi" w:hAnsiTheme="minorHAnsi" w:cstheme="minorHAnsi"/>
          <w:sz w:val="24"/>
          <w:szCs w:val="24"/>
          <w:vertAlign w:val="superscript"/>
        </w:rPr>
        <w:t>[15]</w:t>
      </w:r>
      <w:r w:rsidRPr="00DF4F41">
        <w:rPr>
          <w:rFonts w:asciiTheme="minorHAnsi" w:hAnsiTheme="minorHAnsi" w:cstheme="minorHAnsi"/>
          <w:sz w:val="24"/>
          <w:szCs w:val="24"/>
        </w:rPr>
        <w:t xml:space="preserve"> and based on Intention to Treat with no interim analyses. For the primary analysis, individual patient responses were modelled using a mixed effects linear regression, allowing for the clustering of outcomes within GP practices (control arm) and exercise classes (intervention arm) by incorporating a random effects term. </w:t>
      </w:r>
      <w:r w:rsidRPr="00DF4F41">
        <w:rPr>
          <w:rFonts w:asciiTheme="minorHAnsi" w:eastAsia="Times New Roman" w:hAnsiTheme="minorHAnsi" w:cstheme="minorHAnsi"/>
          <w:sz w:val="24"/>
          <w:szCs w:val="24"/>
          <w:lang w:eastAsia="en-GB"/>
        </w:rPr>
        <w:t>The mixed model was sufficiently robust to handle potential missing data on the response variable.</w:t>
      </w:r>
      <w:r w:rsidRPr="00DF4F41">
        <w:rPr>
          <w:rFonts w:asciiTheme="minorHAnsi" w:hAnsiTheme="minorHAnsi" w:cstheme="minorHAnsi"/>
          <w:sz w:val="24"/>
          <w:szCs w:val="24"/>
        </w:rPr>
        <w:t xml:space="preserve"> Differences in mean outcomes from the mixed effects linear regression were used to estimate the effect on the primary outcome of the intervention. To increase the precision of estimates, there was an adjustment for the baseline DI-SMFA score as a covariate in the regression. Participants expressed their primary diagnostic site at </w:t>
      </w:r>
      <w:r w:rsidRPr="00DF4F41">
        <w:rPr>
          <w:rFonts w:asciiTheme="minorHAnsi" w:hAnsiTheme="minorHAnsi" w:cstheme="minorHAnsi"/>
          <w:sz w:val="24"/>
          <w:szCs w:val="24"/>
        </w:rPr>
        <w:lastRenderedPageBreak/>
        <w:t>baseline (hip/knee/low back pain</w:t>
      </w:r>
      <w:r w:rsidRPr="00DF4F41">
        <w:rPr>
          <w:sz w:val="24"/>
          <w:szCs w:val="24"/>
        </w:rPr>
        <w:t>) which was also included as a covariate to account for variations in the outcome that may be associated with diagnosis.</w:t>
      </w:r>
    </w:p>
    <w:p w:rsidR="00DF4F41" w:rsidRPr="00DF4F41" w:rsidRDefault="00DF4F41" w:rsidP="00DF4F41">
      <w:pPr>
        <w:spacing w:after="0" w:line="480" w:lineRule="auto"/>
        <w:jc w:val="both"/>
        <w:rPr>
          <w:sz w:val="24"/>
          <w:szCs w:val="24"/>
        </w:rPr>
      </w:pPr>
      <w:r w:rsidRPr="00DF4F41">
        <w:rPr>
          <w:sz w:val="24"/>
          <w:szCs w:val="24"/>
        </w:rPr>
        <w:t>The analysis of all other continuous secondary endpoints followed the same structure as the primary analysis. Whilst the trial was powered to detect a main effect of intervention, a secondary analysis examined the evidence for a difference in the effect of intervention between diagnostic groups, by testing whether an interaction term added to the mixed effects regression model used for the primary analysis was different from zero.</w:t>
      </w:r>
    </w:p>
    <w:p w:rsidR="00DF4F41" w:rsidRPr="00DF4F41" w:rsidRDefault="00DF4F41" w:rsidP="00DF4F41">
      <w:pPr>
        <w:spacing w:after="0" w:line="480" w:lineRule="auto"/>
        <w:jc w:val="both"/>
        <w:rPr>
          <w:sz w:val="24"/>
          <w:szCs w:val="24"/>
        </w:rPr>
      </w:pPr>
    </w:p>
    <w:p w:rsidR="00DF4F41" w:rsidRPr="00DF4F41" w:rsidRDefault="00DF4F41" w:rsidP="00DF4F41">
      <w:pPr>
        <w:spacing w:after="0" w:line="480" w:lineRule="auto"/>
        <w:jc w:val="both"/>
        <w:rPr>
          <w:sz w:val="24"/>
          <w:szCs w:val="24"/>
        </w:rPr>
      </w:pPr>
      <w:r w:rsidRPr="00DF4F41">
        <w:rPr>
          <w:sz w:val="24"/>
          <w:szCs w:val="24"/>
        </w:rPr>
        <w:t xml:space="preserve">To better understand its potential benefits, an estimate of the efficacy of the intervention in those patients who were able and willing to comply using a complier averaged causal effect (CACE) approach </w:t>
      </w:r>
      <w:r w:rsidRPr="00DF4F41">
        <w:rPr>
          <w:sz w:val="24"/>
          <w:szCs w:val="24"/>
          <w:vertAlign w:val="superscript"/>
        </w:rPr>
        <w:t xml:space="preserve">[24] </w:t>
      </w:r>
      <w:r w:rsidRPr="00DF4F41">
        <w:rPr>
          <w:sz w:val="24"/>
          <w:szCs w:val="24"/>
        </w:rPr>
        <w:t xml:space="preserve">was undertaken. Here, compliance was measured by attendance at the 12 scheduled exercise classes, and compliers considered as those attending six or more sessions. This </w:t>
      </w:r>
      <w:r w:rsidRPr="00DF4F41">
        <w:rPr>
          <w:i/>
          <w:sz w:val="24"/>
          <w:szCs w:val="24"/>
        </w:rPr>
        <w:t>a priori</w:t>
      </w:r>
      <w:r w:rsidRPr="00DF4F41">
        <w:rPr>
          <w:sz w:val="24"/>
          <w:szCs w:val="24"/>
        </w:rPr>
        <w:t xml:space="preserve"> decision was taken based on ‘typical’ class durations in practice whereby most interventions consist of one session per week over a six-week period. The CACE approach compared the mean outcome in compliers on the intervention arm with the mean outcome of a comparable, but unobserved, group of patients on the standard care arm who would have complied with the intervention had they been randomised to do so. </w:t>
      </w:r>
    </w:p>
    <w:p w:rsidR="00DF4F41" w:rsidRPr="00DF4F41" w:rsidRDefault="00DF4F41" w:rsidP="00DF4F41">
      <w:pPr>
        <w:spacing w:after="0" w:line="480" w:lineRule="auto"/>
        <w:jc w:val="both"/>
        <w:rPr>
          <w:b/>
          <w:sz w:val="24"/>
          <w:szCs w:val="24"/>
        </w:rPr>
      </w:pPr>
    </w:p>
    <w:p w:rsidR="00DF4F41" w:rsidRPr="00DF4F41" w:rsidRDefault="00DF4F41" w:rsidP="00DF4F41">
      <w:pPr>
        <w:spacing w:after="0" w:line="480" w:lineRule="auto"/>
        <w:jc w:val="both"/>
        <w:rPr>
          <w:rFonts w:cs="Melior"/>
          <w:b/>
          <w:sz w:val="24"/>
          <w:szCs w:val="24"/>
        </w:rPr>
      </w:pPr>
      <w:r w:rsidRPr="00DF4F41">
        <w:rPr>
          <w:rFonts w:cs="Melior"/>
          <w:b/>
          <w:sz w:val="24"/>
          <w:szCs w:val="24"/>
        </w:rPr>
        <w:t xml:space="preserve">RESULTS </w:t>
      </w:r>
    </w:p>
    <w:p w:rsidR="00DF4F41" w:rsidRPr="00DF4F41" w:rsidRDefault="00DF4F41" w:rsidP="00DF4F41">
      <w:pPr>
        <w:spacing w:after="0" w:line="480" w:lineRule="auto"/>
        <w:jc w:val="both"/>
        <w:rPr>
          <w:rFonts w:cs="Melior"/>
          <w:b/>
          <w:sz w:val="24"/>
          <w:szCs w:val="24"/>
        </w:rPr>
      </w:pPr>
      <w:r w:rsidRPr="00DF4F41">
        <w:rPr>
          <w:rFonts w:cs="Melior"/>
          <w:b/>
          <w:sz w:val="24"/>
          <w:szCs w:val="24"/>
        </w:rPr>
        <w:t>Recruitment</w:t>
      </w:r>
    </w:p>
    <w:p w:rsidR="00DF4F41" w:rsidRPr="00DF4F41" w:rsidRDefault="00DF4F41" w:rsidP="00DF4F41">
      <w:pPr>
        <w:spacing w:after="0" w:line="480" w:lineRule="auto"/>
        <w:jc w:val="both"/>
        <w:rPr>
          <w:rFonts w:cs="Melior"/>
          <w:sz w:val="24"/>
          <w:szCs w:val="24"/>
        </w:rPr>
      </w:pPr>
      <w:r w:rsidRPr="00DF4F41">
        <w:rPr>
          <w:rFonts w:cs="Melior"/>
          <w:sz w:val="24"/>
          <w:szCs w:val="24"/>
        </w:rPr>
        <w:t xml:space="preserve">In total 56 practices expressed an interest in participating, and 45 consented to take part, n=23 practices were randomly allocated to the intervention arm, n=22 practices allocated to the control arm. Database searches identified 4986 potential participants who were sent information packs. No data are available for those who were invited but declined to participate as the study team did not have ethical permission to access those data. 664 </w:t>
      </w:r>
      <w:r w:rsidRPr="00DF4F41">
        <w:rPr>
          <w:rFonts w:cs="Melior"/>
          <w:sz w:val="24"/>
          <w:szCs w:val="24"/>
        </w:rPr>
        <w:lastRenderedPageBreak/>
        <w:t>responded and were assessed for eligibility, 232 did not meet the broad inclusion criteria and a further 45 declined to participate after discussing the trial further. 387 people were invited for baseline assessment. A further 25 were screened out at this stage as they did not meet the inclusion criteria or other pathology was suspected and 13 did not attend their initial assessment or respond to alternative appointments. N=349 of the initial 664 respondents were recruited onto the trial (52.3%). Figure 1 shows the recruitment flow chart for the study.</w:t>
      </w:r>
    </w:p>
    <w:p w:rsidR="00DF4F41" w:rsidRPr="00DF4F41" w:rsidRDefault="00DF4F41" w:rsidP="00DF4F41">
      <w:pPr>
        <w:spacing w:after="0" w:line="480" w:lineRule="auto"/>
        <w:jc w:val="both"/>
        <w:rPr>
          <w:rFonts w:cs="Melior"/>
          <w:sz w:val="24"/>
          <w:szCs w:val="24"/>
        </w:rPr>
      </w:pPr>
    </w:p>
    <w:p w:rsidR="00DF4F41" w:rsidRPr="00DF4F41" w:rsidRDefault="00DF4F41" w:rsidP="00DF4F41">
      <w:pPr>
        <w:spacing w:after="0" w:line="480" w:lineRule="auto"/>
        <w:jc w:val="both"/>
        <w:rPr>
          <w:rFonts w:cs="Melior"/>
          <w:sz w:val="24"/>
          <w:szCs w:val="24"/>
        </w:rPr>
      </w:pPr>
    </w:p>
    <w:p w:rsidR="00DF4F41" w:rsidRPr="00DF4F41" w:rsidRDefault="00DF4F41" w:rsidP="00DF4F41">
      <w:pPr>
        <w:spacing w:after="0" w:line="480" w:lineRule="auto"/>
        <w:jc w:val="both"/>
        <w:rPr>
          <w:rFonts w:cs="Melior"/>
          <w:sz w:val="24"/>
          <w:szCs w:val="24"/>
        </w:rPr>
      </w:pPr>
    </w:p>
    <w:p w:rsidR="00DF4F41" w:rsidRPr="00DF4F41" w:rsidRDefault="00DF4F41" w:rsidP="00DF4F41">
      <w:pPr>
        <w:spacing w:after="0" w:line="480" w:lineRule="auto"/>
        <w:jc w:val="both"/>
        <w:rPr>
          <w:rFonts w:cs="Melior"/>
          <w:sz w:val="24"/>
          <w:szCs w:val="24"/>
        </w:rPr>
      </w:pPr>
    </w:p>
    <w:p w:rsidR="00DF4F41" w:rsidRPr="00DF4F41" w:rsidRDefault="00DF4F41" w:rsidP="00DF4F41">
      <w:pPr>
        <w:spacing w:after="0" w:line="480" w:lineRule="auto"/>
        <w:jc w:val="both"/>
        <w:rPr>
          <w:rFonts w:cs="Melior"/>
          <w:sz w:val="24"/>
          <w:szCs w:val="24"/>
        </w:rPr>
      </w:pPr>
    </w:p>
    <w:p w:rsidR="00DF4F41" w:rsidRPr="00DF4F41" w:rsidRDefault="00DF4F41" w:rsidP="00DF4F41">
      <w:pPr>
        <w:spacing w:after="0" w:line="480" w:lineRule="auto"/>
        <w:jc w:val="both"/>
        <w:rPr>
          <w:rFonts w:cs="Melior"/>
          <w:sz w:val="24"/>
          <w:szCs w:val="24"/>
        </w:rPr>
      </w:pPr>
    </w:p>
    <w:p w:rsidR="00DF4F41" w:rsidRPr="00DF4F41" w:rsidRDefault="00DF4F41" w:rsidP="00DF4F41">
      <w:pPr>
        <w:spacing w:after="0" w:line="480" w:lineRule="auto"/>
        <w:jc w:val="both"/>
        <w:rPr>
          <w:rFonts w:cs="Melior"/>
          <w:sz w:val="24"/>
          <w:szCs w:val="24"/>
        </w:rPr>
      </w:pPr>
    </w:p>
    <w:p w:rsidR="00DF4F41" w:rsidRPr="00DF4F41" w:rsidRDefault="00DF4F41" w:rsidP="00DF4F41">
      <w:pPr>
        <w:spacing w:after="0" w:line="480" w:lineRule="auto"/>
        <w:jc w:val="both"/>
        <w:rPr>
          <w:rFonts w:cs="Melior"/>
          <w:sz w:val="24"/>
          <w:szCs w:val="24"/>
        </w:rPr>
      </w:pPr>
    </w:p>
    <w:p w:rsidR="00DF4F41" w:rsidRPr="00DF4F41" w:rsidRDefault="00DF4F41" w:rsidP="00DF4F41">
      <w:pPr>
        <w:spacing w:after="0" w:line="480" w:lineRule="auto"/>
        <w:jc w:val="both"/>
        <w:rPr>
          <w:rFonts w:cs="Melior"/>
          <w:sz w:val="24"/>
          <w:szCs w:val="24"/>
        </w:rPr>
      </w:pPr>
    </w:p>
    <w:p w:rsidR="00DF4F41" w:rsidRPr="00DF4F41" w:rsidRDefault="00DF4F41" w:rsidP="00DF4F41">
      <w:pPr>
        <w:spacing w:after="0" w:line="480" w:lineRule="auto"/>
        <w:jc w:val="both"/>
        <w:rPr>
          <w:rFonts w:cs="Melior"/>
          <w:sz w:val="24"/>
          <w:szCs w:val="24"/>
        </w:rPr>
      </w:pPr>
    </w:p>
    <w:p w:rsidR="00DF4F41" w:rsidRPr="00DF4F41" w:rsidRDefault="00DF4F41" w:rsidP="00DF4F41">
      <w:pPr>
        <w:spacing w:after="0" w:line="480" w:lineRule="auto"/>
        <w:jc w:val="both"/>
        <w:rPr>
          <w:rFonts w:cs="Melior"/>
          <w:sz w:val="24"/>
          <w:szCs w:val="24"/>
        </w:rPr>
      </w:pPr>
    </w:p>
    <w:p w:rsidR="00DF4F41" w:rsidRPr="00DF4F41" w:rsidRDefault="00DF4F41" w:rsidP="00DF4F41">
      <w:pPr>
        <w:spacing w:after="0" w:line="480" w:lineRule="auto"/>
        <w:jc w:val="both"/>
        <w:rPr>
          <w:rFonts w:cs="Melior"/>
          <w:sz w:val="24"/>
          <w:szCs w:val="24"/>
        </w:rPr>
      </w:pPr>
    </w:p>
    <w:p w:rsidR="00DF4F41" w:rsidRPr="00DF4F41" w:rsidRDefault="00DF4F41" w:rsidP="00DF4F41">
      <w:pPr>
        <w:spacing w:after="0" w:line="480" w:lineRule="auto"/>
        <w:jc w:val="both"/>
        <w:rPr>
          <w:rFonts w:cs="Melior"/>
          <w:sz w:val="24"/>
          <w:szCs w:val="24"/>
        </w:rPr>
      </w:pPr>
    </w:p>
    <w:p w:rsidR="00DF4F41" w:rsidRPr="00DF4F41" w:rsidRDefault="00DF4F41" w:rsidP="00DF4F41">
      <w:pPr>
        <w:spacing w:after="0" w:line="480" w:lineRule="auto"/>
        <w:jc w:val="both"/>
        <w:rPr>
          <w:rFonts w:cs="Melior"/>
          <w:sz w:val="24"/>
          <w:szCs w:val="24"/>
        </w:rPr>
      </w:pPr>
    </w:p>
    <w:p w:rsidR="00DF4F41" w:rsidRPr="00DF4F41" w:rsidRDefault="00DF4F41" w:rsidP="00DF4F41">
      <w:pPr>
        <w:spacing w:after="0" w:line="480" w:lineRule="auto"/>
        <w:jc w:val="both"/>
        <w:rPr>
          <w:rFonts w:cs="Melior"/>
          <w:sz w:val="24"/>
          <w:szCs w:val="24"/>
        </w:rPr>
      </w:pPr>
    </w:p>
    <w:p w:rsidR="00DF4F41" w:rsidRPr="00DF4F41" w:rsidRDefault="00DF4F41" w:rsidP="00DF4F41">
      <w:pPr>
        <w:spacing w:after="0" w:line="480" w:lineRule="auto"/>
        <w:jc w:val="both"/>
        <w:rPr>
          <w:rFonts w:cs="Melior"/>
          <w:sz w:val="24"/>
          <w:szCs w:val="24"/>
        </w:rPr>
      </w:pPr>
    </w:p>
    <w:p w:rsidR="00DF4F41" w:rsidRPr="00DF4F41" w:rsidRDefault="00DF4F41" w:rsidP="00DF4F41">
      <w:pPr>
        <w:spacing w:after="0" w:line="480" w:lineRule="auto"/>
        <w:jc w:val="both"/>
        <w:rPr>
          <w:rFonts w:cs="Melior"/>
          <w:sz w:val="24"/>
          <w:szCs w:val="24"/>
        </w:rPr>
      </w:pPr>
    </w:p>
    <w:p w:rsidR="00DF4F41" w:rsidRPr="00DF4F41" w:rsidRDefault="00DF4F41" w:rsidP="00DF4F41">
      <w:pPr>
        <w:spacing w:after="0" w:line="480" w:lineRule="auto"/>
        <w:jc w:val="both"/>
        <w:rPr>
          <w:rFonts w:cs="Melior"/>
          <w:sz w:val="24"/>
          <w:szCs w:val="24"/>
        </w:rPr>
      </w:pPr>
    </w:p>
    <w:p w:rsidR="00DF4F41" w:rsidRPr="00DF4F41" w:rsidRDefault="00DF4F41" w:rsidP="00DF4F41">
      <w:pPr>
        <w:spacing w:after="0" w:line="480" w:lineRule="auto"/>
        <w:jc w:val="both"/>
        <w:rPr>
          <w:rFonts w:cs="Melior"/>
          <w:sz w:val="24"/>
          <w:szCs w:val="24"/>
        </w:rPr>
      </w:pPr>
    </w:p>
    <w:p w:rsidR="00DF4F41" w:rsidRPr="00DF4F41" w:rsidRDefault="00DF4F41" w:rsidP="00DF4F41">
      <w:pPr>
        <w:spacing w:after="0" w:line="480" w:lineRule="auto"/>
        <w:jc w:val="both"/>
        <w:rPr>
          <w:rFonts w:cs="Melior"/>
          <w:sz w:val="24"/>
          <w:szCs w:val="24"/>
        </w:rPr>
      </w:pPr>
      <w:r w:rsidRPr="00DF4F41">
        <w:rPr>
          <w:rFonts w:cs="Melior"/>
          <w:sz w:val="24"/>
          <w:szCs w:val="24"/>
        </w:rPr>
        <w:lastRenderedPageBreak/>
        <w:t>Figure 1: CONSORT diagram showing patient recruitment</w:t>
      </w:r>
    </w:p>
    <w:bookmarkStart w:id="0" w:name="_MON_1658732885"/>
    <w:bookmarkEnd w:id="0"/>
    <w:p w:rsidR="00DF4F41" w:rsidRPr="00DF4F41" w:rsidRDefault="00DF4F41" w:rsidP="00DF4F41">
      <w:pPr>
        <w:spacing w:after="0" w:line="480" w:lineRule="auto"/>
        <w:jc w:val="both"/>
        <w:rPr>
          <w:rFonts w:cs="Melior"/>
          <w:b/>
          <w:sz w:val="24"/>
          <w:szCs w:val="24"/>
        </w:rPr>
      </w:pPr>
      <w:r w:rsidRPr="00DF4F41">
        <w:rPr>
          <w:b/>
          <w:sz w:val="24"/>
          <w:szCs w:val="24"/>
        </w:rPr>
        <w:object w:dxaOrig="10995" w:dyaOrig="117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549.75pt;height:587.25pt" o:ole="">
            <v:imagedata r:id="rId5" o:title="" croptop="5357f"/>
          </v:shape>
          <o:OLEObject Type="Embed" ProgID="Word.Document.12" ShapeID="_x0000_i1030" DrawAspect="Content" ObjectID="_1659351585" r:id="rId6">
            <o:FieldCodes>\s</o:FieldCodes>
          </o:OLEObject>
        </w:object>
      </w:r>
      <w:bookmarkStart w:id="1" w:name="_GoBack"/>
      <w:bookmarkEnd w:id="1"/>
    </w:p>
    <w:p w:rsidR="00DF4F41" w:rsidRPr="00DF4F41" w:rsidRDefault="00DF4F41" w:rsidP="00DF4F41">
      <w:pPr>
        <w:spacing w:after="0" w:line="480" w:lineRule="auto"/>
        <w:jc w:val="both"/>
        <w:rPr>
          <w:rFonts w:cs="Melior"/>
          <w:b/>
          <w:sz w:val="24"/>
          <w:szCs w:val="24"/>
        </w:rPr>
      </w:pPr>
    </w:p>
    <w:p w:rsidR="00DF4F41" w:rsidRPr="00DF4F41" w:rsidRDefault="00DF4F41" w:rsidP="00DF4F41">
      <w:pPr>
        <w:spacing w:after="0" w:line="480" w:lineRule="auto"/>
        <w:jc w:val="both"/>
        <w:rPr>
          <w:rFonts w:cs="Melior"/>
          <w:b/>
          <w:sz w:val="24"/>
          <w:szCs w:val="24"/>
        </w:rPr>
      </w:pPr>
    </w:p>
    <w:p w:rsidR="00DF4F41" w:rsidRPr="00DF4F41" w:rsidRDefault="00DF4F41" w:rsidP="00DF4F41">
      <w:pPr>
        <w:spacing w:after="0" w:line="480" w:lineRule="auto"/>
        <w:jc w:val="both"/>
        <w:rPr>
          <w:rFonts w:cs="Melior"/>
          <w:b/>
          <w:sz w:val="24"/>
          <w:szCs w:val="24"/>
        </w:rPr>
      </w:pPr>
    </w:p>
    <w:p w:rsidR="00DF4F41" w:rsidRPr="00DF4F41" w:rsidRDefault="00DF4F41" w:rsidP="00DF4F41">
      <w:pPr>
        <w:spacing w:after="0" w:line="480" w:lineRule="auto"/>
        <w:jc w:val="both"/>
        <w:rPr>
          <w:rFonts w:cs="Melior"/>
          <w:sz w:val="24"/>
          <w:szCs w:val="24"/>
        </w:rPr>
      </w:pPr>
      <w:r w:rsidRPr="00DF4F41">
        <w:rPr>
          <w:rFonts w:cs="Melior"/>
          <w:sz w:val="24"/>
          <w:szCs w:val="24"/>
        </w:rPr>
        <w:lastRenderedPageBreak/>
        <w:t xml:space="preserve">One hundred and seventy participants randomly allocated to the intervention arm and 179 to GP-led care (control arm) were broadly similar at baseline (see table 1). At the 6 months primary end point 27 (16%) participants had withdrawn from the intervention arm and 18 (10%) from the control arm. Total attrition was 13% at the primary end point. No participants reported withdrawal due to exacerbation of symptoms, although one participant attended the first six sessions but did not attend remaining sessions due to pain exacerbation which settled down with rest. She did not however withdraw from the study. One adverse event was reported in the intervention arm when a participant fell whilst alighting an exercise bike; no immediate first aid or further intervention was necessary for this incident. </w:t>
      </w:r>
    </w:p>
    <w:p w:rsidR="00DF4F41" w:rsidRPr="00DF4F41" w:rsidRDefault="00DF4F41" w:rsidP="00DF4F41">
      <w:pPr>
        <w:pStyle w:val="Default"/>
        <w:spacing w:line="480" w:lineRule="auto"/>
        <w:jc w:val="both"/>
        <w:rPr>
          <w:rFonts w:ascii="Calibri" w:hAnsi="Calibri"/>
          <w:color w:val="auto"/>
        </w:rPr>
      </w:pPr>
    </w:p>
    <w:p w:rsidR="00DF4F41" w:rsidRPr="00DF4F41" w:rsidRDefault="00DF4F41" w:rsidP="00DF4F41">
      <w:pPr>
        <w:pStyle w:val="Default"/>
        <w:spacing w:line="480" w:lineRule="auto"/>
        <w:jc w:val="both"/>
        <w:rPr>
          <w:rFonts w:ascii="Calibri" w:hAnsi="Calibri"/>
          <w:color w:val="auto"/>
        </w:rPr>
      </w:pPr>
    </w:p>
    <w:p w:rsidR="00DF4F41" w:rsidRPr="00DF4F41" w:rsidRDefault="00DF4F41" w:rsidP="00DF4F41">
      <w:pPr>
        <w:pStyle w:val="Default"/>
        <w:spacing w:line="480" w:lineRule="auto"/>
        <w:jc w:val="both"/>
        <w:rPr>
          <w:rFonts w:ascii="Calibri" w:hAnsi="Calibri"/>
          <w:color w:val="auto"/>
        </w:rPr>
      </w:pPr>
    </w:p>
    <w:p w:rsidR="00DF4F41" w:rsidRPr="00DF4F41" w:rsidRDefault="00DF4F41" w:rsidP="00DF4F41">
      <w:pPr>
        <w:pStyle w:val="Default"/>
        <w:spacing w:line="480" w:lineRule="auto"/>
        <w:jc w:val="both"/>
        <w:rPr>
          <w:rFonts w:ascii="Calibri" w:hAnsi="Calibri"/>
          <w:color w:val="auto"/>
        </w:rPr>
      </w:pPr>
    </w:p>
    <w:p w:rsidR="00DF4F41" w:rsidRPr="00DF4F41" w:rsidRDefault="00DF4F41" w:rsidP="00DF4F41">
      <w:pPr>
        <w:pStyle w:val="Default"/>
        <w:spacing w:line="480" w:lineRule="auto"/>
        <w:jc w:val="both"/>
        <w:rPr>
          <w:rFonts w:ascii="Calibri" w:hAnsi="Calibri"/>
          <w:color w:val="auto"/>
        </w:rPr>
      </w:pPr>
    </w:p>
    <w:p w:rsidR="00DF4F41" w:rsidRPr="00DF4F41" w:rsidRDefault="00DF4F41" w:rsidP="00DF4F41">
      <w:pPr>
        <w:pStyle w:val="Default"/>
        <w:spacing w:line="480" w:lineRule="auto"/>
        <w:jc w:val="both"/>
        <w:rPr>
          <w:rFonts w:ascii="Calibri" w:hAnsi="Calibri"/>
          <w:color w:val="auto"/>
        </w:rPr>
      </w:pPr>
    </w:p>
    <w:p w:rsidR="00DF4F41" w:rsidRPr="00DF4F41" w:rsidRDefault="00DF4F41" w:rsidP="00DF4F41">
      <w:pPr>
        <w:pStyle w:val="Default"/>
        <w:spacing w:line="480" w:lineRule="auto"/>
        <w:jc w:val="both"/>
        <w:rPr>
          <w:rFonts w:ascii="Calibri" w:hAnsi="Calibri"/>
          <w:color w:val="auto"/>
        </w:rPr>
      </w:pPr>
    </w:p>
    <w:p w:rsidR="00DF4F41" w:rsidRPr="00DF4F41" w:rsidRDefault="00DF4F41" w:rsidP="00DF4F41">
      <w:pPr>
        <w:pStyle w:val="Default"/>
        <w:spacing w:line="480" w:lineRule="auto"/>
        <w:jc w:val="both"/>
        <w:rPr>
          <w:rFonts w:ascii="Calibri" w:hAnsi="Calibri"/>
          <w:color w:val="auto"/>
        </w:rPr>
      </w:pPr>
    </w:p>
    <w:p w:rsidR="00DF4F41" w:rsidRPr="00DF4F41" w:rsidRDefault="00DF4F41" w:rsidP="00DF4F41">
      <w:pPr>
        <w:pStyle w:val="Default"/>
        <w:spacing w:line="480" w:lineRule="auto"/>
        <w:jc w:val="both"/>
        <w:rPr>
          <w:rFonts w:ascii="Calibri" w:hAnsi="Calibri"/>
          <w:color w:val="auto"/>
        </w:rPr>
      </w:pPr>
    </w:p>
    <w:p w:rsidR="00DF4F41" w:rsidRPr="00DF4F41" w:rsidRDefault="00DF4F41" w:rsidP="00DF4F41">
      <w:pPr>
        <w:pStyle w:val="Default"/>
        <w:spacing w:line="480" w:lineRule="auto"/>
        <w:jc w:val="both"/>
        <w:rPr>
          <w:rFonts w:ascii="Calibri" w:hAnsi="Calibri"/>
          <w:color w:val="auto"/>
        </w:rPr>
      </w:pPr>
    </w:p>
    <w:p w:rsidR="00DF4F41" w:rsidRPr="00DF4F41" w:rsidRDefault="00DF4F41" w:rsidP="00DF4F41">
      <w:pPr>
        <w:pStyle w:val="Default"/>
        <w:spacing w:line="480" w:lineRule="auto"/>
        <w:jc w:val="both"/>
        <w:rPr>
          <w:rFonts w:ascii="Calibri" w:hAnsi="Calibri"/>
          <w:color w:val="auto"/>
        </w:rPr>
      </w:pPr>
    </w:p>
    <w:p w:rsidR="00DF4F41" w:rsidRPr="00DF4F41" w:rsidRDefault="00DF4F41" w:rsidP="00DF4F41">
      <w:pPr>
        <w:pStyle w:val="Default"/>
        <w:spacing w:line="480" w:lineRule="auto"/>
        <w:jc w:val="both"/>
        <w:rPr>
          <w:rFonts w:ascii="Calibri" w:hAnsi="Calibri"/>
          <w:color w:val="auto"/>
        </w:rPr>
      </w:pPr>
    </w:p>
    <w:p w:rsidR="00DF4F41" w:rsidRPr="00DF4F41" w:rsidRDefault="00DF4F41" w:rsidP="00DF4F41">
      <w:pPr>
        <w:pStyle w:val="Default"/>
        <w:spacing w:line="480" w:lineRule="auto"/>
        <w:jc w:val="both"/>
        <w:rPr>
          <w:rFonts w:ascii="Calibri" w:hAnsi="Calibri"/>
          <w:color w:val="auto"/>
        </w:rPr>
      </w:pPr>
    </w:p>
    <w:p w:rsidR="00DF4F41" w:rsidRPr="00DF4F41" w:rsidRDefault="00DF4F41" w:rsidP="00DF4F41">
      <w:pPr>
        <w:pStyle w:val="Default"/>
        <w:spacing w:line="480" w:lineRule="auto"/>
        <w:jc w:val="both"/>
        <w:rPr>
          <w:rFonts w:ascii="Calibri" w:hAnsi="Calibri"/>
          <w:color w:val="auto"/>
        </w:rPr>
      </w:pPr>
    </w:p>
    <w:p w:rsidR="00DF4F41" w:rsidRPr="00DF4F41" w:rsidRDefault="00DF4F41" w:rsidP="00DF4F41">
      <w:pPr>
        <w:pStyle w:val="Default"/>
        <w:spacing w:line="480" w:lineRule="auto"/>
        <w:jc w:val="both"/>
        <w:rPr>
          <w:rFonts w:ascii="Calibri" w:hAnsi="Calibri"/>
          <w:color w:val="auto"/>
        </w:rPr>
      </w:pPr>
    </w:p>
    <w:p w:rsidR="00DF4F41" w:rsidRPr="00DF4F41" w:rsidRDefault="00DF4F41" w:rsidP="00DF4F41">
      <w:pPr>
        <w:pStyle w:val="Default"/>
        <w:spacing w:line="480" w:lineRule="auto"/>
        <w:jc w:val="both"/>
        <w:rPr>
          <w:rFonts w:ascii="Calibri" w:hAnsi="Calibri"/>
          <w:color w:val="auto"/>
        </w:rPr>
      </w:pPr>
    </w:p>
    <w:p w:rsidR="00DF4F41" w:rsidRPr="00DF4F41" w:rsidRDefault="00DF4F41" w:rsidP="00DF4F41">
      <w:pPr>
        <w:pStyle w:val="Default"/>
        <w:spacing w:line="480" w:lineRule="auto"/>
        <w:jc w:val="both"/>
        <w:rPr>
          <w:rFonts w:ascii="Calibri" w:hAnsi="Calibri"/>
          <w:b/>
          <w:bCs/>
          <w:color w:val="auto"/>
          <w:u w:val="single"/>
        </w:rPr>
      </w:pPr>
      <w:r w:rsidRPr="00DF4F41">
        <w:rPr>
          <w:rFonts w:ascii="Calibri" w:hAnsi="Calibri"/>
          <w:b/>
          <w:bCs/>
          <w:color w:val="auto"/>
          <w:u w:val="single"/>
        </w:rPr>
        <w:lastRenderedPageBreak/>
        <w:t>Table 1: Summary of baseline characteristics (means, SD)</w:t>
      </w:r>
    </w:p>
    <w:p w:rsidR="00DF4F41" w:rsidRPr="00DF4F41" w:rsidRDefault="00DF4F41" w:rsidP="00DF4F41">
      <w:pPr>
        <w:pStyle w:val="Default"/>
        <w:pBdr>
          <w:top w:val="single" w:sz="4" w:space="1" w:color="auto"/>
        </w:pBdr>
        <w:spacing w:line="480" w:lineRule="auto"/>
        <w:ind w:left="3600" w:firstLine="720"/>
        <w:jc w:val="both"/>
        <w:rPr>
          <w:rFonts w:ascii="Calibri" w:hAnsi="Calibri"/>
          <w:color w:val="auto"/>
          <w:u w:val="single"/>
        </w:rPr>
      </w:pPr>
      <w:r w:rsidRPr="00DF4F41">
        <w:rPr>
          <w:rFonts w:ascii="Calibri" w:hAnsi="Calibri"/>
          <w:color w:val="auto"/>
          <w:u w:val="single"/>
        </w:rPr>
        <w:t>Control (n=179)</w:t>
      </w:r>
      <w:r w:rsidRPr="00DF4F41">
        <w:rPr>
          <w:rFonts w:ascii="Calibri" w:hAnsi="Calibri"/>
          <w:color w:val="auto"/>
        </w:rPr>
        <w:tab/>
        <w:t xml:space="preserve">         </w:t>
      </w:r>
      <w:r w:rsidRPr="00DF4F41">
        <w:rPr>
          <w:rFonts w:ascii="Calibri" w:hAnsi="Calibri"/>
          <w:color w:val="auto"/>
          <w:u w:val="single"/>
        </w:rPr>
        <w:t>Intervention (n=170)</w:t>
      </w:r>
    </w:p>
    <w:p w:rsidR="00DF4F41" w:rsidRPr="00DF4F41" w:rsidRDefault="00DF4F41" w:rsidP="00DF4F41">
      <w:pPr>
        <w:pStyle w:val="Default"/>
        <w:pBdr>
          <w:top w:val="single" w:sz="4" w:space="1" w:color="auto"/>
        </w:pBdr>
        <w:spacing w:line="480" w:lineRule="auto"/>
        <w:jc w:val="both"/>
        <w:rPr>
          <w:rFonts w:ascii="Calibri" w:hAnsi="Calibri"/>
          <w:color w:val="auto"/>
        </w:rPr>
      </w:pPr>
      <w:r w:rsidRPr="00DF4F41">
        <w:rPr>
          <w:rFonts w:ascii="Calibri" w:hAnsi="Calibri"/>
          <w:color w:val="auto"/>
        </w:rPr>
        <w:t>Gender, number (Male: Female/% male)</w:t>
      </w:r>
      <w:r w:rsidRPr="00DF4F41">
        <w:rPr>
          <w:rFonts w:ascii="Calibri" w:hAnsi="Calibri"/>
          <w:color w:val="auto"/>
        </w:rPr>
        <w:tab/>
        <w:t xml:space="preserve">75:104/42% </w:t>
      </w:r>
      <w:r w:rsidRPr="00DF4F41">
        <w:rPr>
          <w:rFonts w:ascii="Calibri" w:hAnsi="Calibri"/>
          <w:color w:val="auto"/>
        </w:rPr>
        <w:tab/>
      </w:r>
      <w:r w:rsidRPr="00DF4F41">
        <w:rPr>
          <w:rFonts w:ascii="Calibri" w:hAnsi="Calibri"/>
          <w:color w:val="auto"/>
        </w:rPr>
        <w:tab/>
      </w:r>
      <w:r w:rsidRPr="00DF4F41">
        <w:rPr>
          <w:rFonts w:ascii="Calibri" w:hAnsi="Calibri"/>
          <w:color w:val="auto"/>
        </w:rPr>
        <w:tab/>
        <w:t xml:space="preserve">58:112/34% </w:t>
      </w:r>
    </w:p>
    <w:p w:rsidR="00DF4F41" w:rsidRPr="00DF4F41" w:rsidRDefault="00DF4F41" w:rsidP="00DF4F41">
      <w:pPr>
        <w:pStyle w:val="Default"/>
        <w:spacing w:line="480" w:lineRule="auto"/>
        <w:jc w:val="both"/>
        <w:rPr>
          <w:rFonts w:ascii="Calibri" w:hAnsi="Calibri"/>
          <w:color w:val="auto"/>
        </w:rPr>
      </w:pPr>
      <w:r w:rsidRPr="00DF4F41">
        <w:rPr>
          <w:rFonts w:ascii="Calibri" w:hAnsi="Calibri"/>
          <w:color w:val="auto"/>
        </w:rPr>
        <w:t>Age (years)</w:t>
      </w:r>
      <w:r w:rsidRPr="00DF4F41">
        <w:rPr>
          <w:rFonts w:ascii="Calibri" w:hAnsi="Calibri"/>
          <w:color w:val="auto"/>
        </w:rPr>
        <w:tab/>
      </w:r>
      <w:r w:rsidRPr="00DF4F41">
        <w:rPr>
          <w:rFonts w:ascii="Calibri" w:hAnsi="Calibri"/>
          <w:color w:val="auto"/>
        </w:rPr>
        <w:tab/>
      </w:r>
      <w:r w:rsidRPr="00DF4F41">
        <w:rPr>
          <w:rFonts w:ascii="Calibri" w:hAnsi="Calibri"/>
          <w:color w:val="auto"/>
        </w:rPr>
        <w:tab/>
      </w:r>
      <w:r w:rsidRPr="00DF4F41">
        <w:rPr>
          <w:rFonts w:ascii="Calibri" w:hAnsi="Calibri"/>
          <w:color w:val="auto"/>
        </w:rPr>
        <w:tab/>
      </w:r>
      <w:r w:rsidRPr="00DF4F41">
        <w:rPr>
          <w:rFonts w:ascii="Calibri" w:hAnsi="Calibri"/>
          <w:color w:val="auto"/>
        </w:rPr>
        <w:tab/>
        <w:t>66.5 (8.4)</w:t>
      </w:r>
      <w:r w:rsidRPr="00DF4F41">
        <w:rPr>
          <w:rFonts w:ascii="Calibri" w:hAnsi="Calibri"/>
          <w:color w:val="auto"/>
        </w:rPr>
        <w:tab/>
      </w:r>
      <w:r w:rsidRPr="00DF4F41">
        <w:rPr>
          <w:rFonts w:ascii="Calibri" w:hAnsi="Calibri"/>
          <w:color w:val="auto"/>
        </w:rPr>
        <w:tab/>
      </w:r>
      <w:r w:rsidRPr="00DF4F41">
        <w:rPr>
          <w:rFonts w:ascii="Calibri" w:hAnsi="Calibri"/>
          <w:color w:val="auto"/>
        </w:rPr>
        <w:tab/>
        <w:t>66.3 (8.1)</w:t>
      </w:r>
    </w:p>
    <w:p w:rsidR="00DF4F41" w:rsidRPr="00DF4F41" w:rsidRDefault="00DF4F41" w:rsidP="00DF4F41">
      <w:pPr>
        <w:pStyle w:val="Default"/>
        <w:spacing w:line="480" w:lineRule="auto"/>
        <w:jc w:val="both"/>
        <w:rPr>
          <w:rFonts w:ascii="Calibri" w:hAnsi="Calibri"/>
          <w:color w:val="auto"/>
        </w:rPr>
      </w:pPr>
      <w:r w:rsidRPr="00DF4F41">
        <w:rPr>
          <w:rFonts w:ascii="Calibri" w:hAnsi="Calibri"/>
          <w:color w:val="auto"/>
        </w:rPr>
        <w:t>Height (cm)</w:t>
      </w:r>
      <w:r w:rsidRPr="00DF4F41">
        <w:rPr>
          <w:rFonts w:ascii="Calibri" w:hAnsi="Calibri"/>
          <w:color w:val="auto"/>
        </w:rPr>
        <w:tab/>
      </w:r>
      <w:r w:rsidRPr="00DF4F41">
        <w:rPr>
          <w:rFonts w:ascii="Calibri" w:hAnsi="Calibri"/>
          <w:color w:val="auto"/>
        </w:rPr>
        <w:tab/>
      </w:r>
      <w:r w:rsidRPr="00DF4F41">
        <w:rPr>
          <w:rFonts w:ascii="Calibri" w:hAnsi="Calibri"/>
          <w:color w:val="auto"/>
        </w:rPr>
        <w:tab/>
      </w:r>
      <w:r w:rsidRPr="00DF4F41">
        <w:rPr>
          <w:rFonts w:ascii="Calibri" w:hAnsi="Calibri"/>
          <w:color w:val="auto"/>
        </w:rPr>
        <w:tab/>
      </w:r>
      <w:r w:rsidRPr="00DF4F41">
        <w:rPr>
          <w:rFonts w:ascii="Calibri" w:hAnsi="Calibri"/>
          <w:color w:val="auto"/>
        </w:rPr>
        <w:tab/>
        <w:t>167.1 (9.3)</w:t>
      </w:r>
      <w:r w:rsidRPr="00DF4F41">
        <w:rPr>
          <w:rFonts w:ascii="Calibri" w:hAnsi="Calibri"/>
          <w:color w:val="auto"/>
        </w:rPr>
        <w:tab/>
      </w:r>
      <w:r w:rsidRPr="00DF4F41">
        <w:rPr>
          <w:rFonts w:ascii="Calibri" w:hAnsi="Calibri"/>
          <w:color w:val="auto"/>
        </w:rPr>
        <w:tab/>
      </w:r>
      <w:r w:rsidRPr="00DF4F41">
        <w:rPr>
          <w:rFonts w:ascii="Calibri" w:hAnsi="Calibri"/>
          <w:color w:val="auto"/>
        </w:rPr>
        <w:tab/>
        <w:t>165.8 (9.7)</w:t>
      </w:r>
    </w:p>
    <w:p w:rsidR="00DF4F41" w:rsidRPr="00DF4F41" w:rsidRDefault="00DF4F41" w:rsidP="00DF4F41">
      <w:pPr>
        <w:pStyle w:val="Default"/>
        <w:spacing w:line="480" w:lineRule="auto"/>
        <w:jc w:val="both"/>
        <w:rPr>
          <w:rFonts w:ascii="Calibri" w:hAnsi="Calibri"/>
          <w:color w:val="auto"/>
        </w:rPr>
      </w:pPr>
      <w:r w:rsidRPr="00DF4F41">
        <w:rPr>
          <w:rFonts w:ascii="Calibri" w:hAnsi="Calibri"/>
          <w:color w:val="auto"/>
        </w:rPr>
        <w:t>Weight (kg)</w:t>
      </w:r>
      <w:r w:rsidRPr="00DF4F41">
        <w:rPr>
          <w:rFonts w:ascii="Calibri" w:hAnsi="Calibri"/>
          <w:color w:val="auto"/>
        </w:rPr>
        <w:tab/>
      </w:r>
      <w:r w:rsidRPr="00DF4F41">
        <w:rPr>
          <w:rFonts w:ascii="Calibri" w:hAnsi="Calibri"/>
          <w:color w:val="auto"/>
        </w:rPr>
        <w:tab/>
      </w:r>
      <w:r w:rsidRPr="00DF4F41">
        <w:rPr>
          <w:rFonts w:ascii="Calibri" w:hAnsi="Calibri"/>
          <w:color w:val="auto"/>
        </w:rPr>
        <w:tab/>
      </w:r>
      <w:r w:rsidRPr="00DF4F41">
        <w:rPr>
          <w:rFonts w:ascii="Calibri" w:hAnsi="Calibri"/>
          <w:color w:val="auto"/>
        </w:rPr>
        <w:tab/>
      </w:r>
      <w:r w:rsidRPr="00DF4F41">
        <w:rPr>
          <w:rFonts w:ascii="Calibri" w:hAnsi="Calibri"/>
          <w:color w:val="auto"/>
        </w:rPr>
        <w:tab/>
        <w:t>81.0 (15.6)</w:t>
      </w:r>
      <w:r w:rsidRPr="00DF4F41">
        <w:rPr>
          <w:rFonts w:ascii="Calibri" w:hAnsi="Calibri"/>
          <w:color w:val="auto"/>
        </w:rPr>
        <w:tab/>
      </w:r>
      <w:r w:rsidRPr="00DF4F41">
        <w:rPr>
          <w:rFonts w:ascii="Calibri" w:hAnsi="Calibri"/>
          <w:color w:val="auto"/>
        </w:rPr>
        <w:tab/>
      </w:r>
      <w:r w:rsidRPr="00DF4F41">
        <w:rPr>
          <w:rFonts w:ascii="Calibri" w:hAnsi="Calibri"/>
          <w:color w:val="auto"/>
        </w:rPr>
        <w:tab/>
        <w:t>77.6 (14.0)</w:t>
      </w:r>
    </w:p>
    <w:p w:rsidR="00DF4F41" w:rsidRPr="00DF4F41" w:rsidRDefault="00DF4F41" w:rsidP="00DF4F41">
      <w:pPr>
        <w:pStyle w:val="Default"/>
        <w:spacing w:line="480" w:lineRule="auto"/>
        <w:jc w:val="both"/>
        <w:rPr>
          <w:rFonts w:ascii="Calibri" w:hAnsi="Calibri"/>
          <w:color w:val="auto"/>
        </w:rPr>
      </w:pPr>
      <w:r w:rsidRPr="00DF4F41">
        <w:rPr>
          <w:rFonts w:ascii="Calibri" w:hAnsi="Calibri"/>
          <w:color w:val="auto"/>
        </w:rPr>
        <w:t>DI-SMFA (Irrespective of site of pain)</w:t>
      </w:r>
      <w:r w:rsidRPr="00DF4F41">
        <w:rPr>
          <w:rFonts w:ascii="Calibri" w:hAnsi="Calibri"/>
          <w:color w:val="auto"/>
        </w:rPr>
        <w:tab/>
      </w:r>
      <w:r w:rsidRPr="00DF4F41">
        <w:rPr>
          <w:rFonts w:ascii="Calibri" w:hAnsi="Calibri"/>
          <w:color w:val="auto"/>
        </w:rPr>
        <w:tab/>
        <w:t>60.5 (17.2)</w:t>
      </w:r>
      <w:r w:rsidRPr="00DF4F41">
        <w:rPr>
          <w:rFonts w:ascii="Calibri" w:hAnsi="Calibri"/>
          <w:color w:val="auto"/>
        </w:rPr>
        <w:tab/>
      </w:r>
      <w:r w:rsidRPr="00DF4F41">
        <w:rPr>
          <w:rFonts w:ascii="Calibri" w:hAnsi="Calibri"/>
          <w:color w:val="auto"/>
        </w:rPr>
        <w:tab/>
      </w:r>
      <w:r w:rsidRPr="00DF4F41">
        <w:rPr>
          <w:rFonts w:ascii="Calibri" w:hAnsi="Calibri"/>
          <w:color w:val="auto"/>
        </w:rPr>
        <w:tab/>
        <w:t>60.4 (16.1)</w:t>
      </w:r>
    </w:p>
    <w:p w:rsidR="00DF4F41" w:rsidRPr="00DF4F41" w:rsidRDefault="00DF4F41" w:rsidP="00DF4F41">
      <w:pPr>
        <w:pStyle w:val="Default"/>
        <w:spacing w:line="480" w:lineRule="auto"/>
        <w:jc w:val="both"/>
        <w:rPr>
          <w:rFonts w:ascii="Calibri" w:hAnsi="Calibri"/>
          <w:color w:val="auto"/>
        </w:rPr>
      </w:pPr>
      <w:r w:rsidRPr="00DF4F41">
        <w:rPr>
          <w:rFonts w:ascii="Calibri" w:hAnsi="Calibri"/>
          <w:color w:val="auto"/>
        </w:rPr>
        <w:t>Pain site (DI-SMFA)</w:t>
      </w:r>
      <w:r w:rsidRPr="00DF4F41">
        <w:rPr>
          <w:rFonts w:ascii="Calibri" w:hAnsi="Calibri"/>
          <w:color w:val="auto"/>
        </w:rPr>
        <w:tab/>
        <w:t xml:space="preserve">Hip/Kn only </w:t>
      </w:r>
      <w:r w:rsidRPr="00DF4F41">
        <w:rPr>
          <w:rFonts w:ascii="Calibri" w:hAnsi="Calibri"/>
          <w:color w:val="auto"/>
          <w:sz w:val="20"/>
        </w:rPr>
        <w:t>(n=108)</w:t>
      </w:r>
      <w:r w:rsidRPr="00DF4F41">
        <w:rPr>
          <w:rFonts w:ascii="Calibri" w:hAnsi="Calibri"/>
          <w:color w:val="auto"/>
          <w:sz w:val="20"/>
        </w:rPr>
        <w:tab/>
      </w:r>
      <w:r w:rsidRPr="00DF4F41">
        <w:rPr>
          <w:rFonts w:ascii="Calibri" w:hAnsi="Calibri"/>
          <w:color w:val="auto"/>
        </w:rPr>
        <w:t>59.1 (15.7)</w:t>
      </w:r>
      <w:r w:rsidRPr="00DF4F41">
        <w:rPr>
          <w:rFonts w:ascii="Calibri" w:hAnsi="Calibri"/>
          <w:color w:val="auto"/>
        </w:rPr>
        <w:tab/>
      </w:r>
      <w:r w:rsidRPr="00DF4F41">
        <w:rPr>
          <w:rFonts w:ascii="Calibri" w:hAnsi="Calibri"/>
          <w:color w:val="auto"/>
        </w:rPr>
        <w:tab/>
      </w:r>
      <w:r w:rsidRPr="00DF4F41">
        <w:rPr>
          <w:rFonts w:ascii="Calibri" w:hAnsi="Calibri"/>
          <w:color w:val="auto"/>
        </w:rPr>
        <w:tab/>
        <w:t>56.8 (12.2)</w:t>
      </w:r>
    </w:p>
    <w:p w:rsidR="00DF4F41" w:rsidRPr="00DF4F41" w:rsidRDefault="00DF4F41" w:rsidP="00DF4F41">
      <w:pPr>
        <w:pStyle w:val="Default"/>
        <w:spacing w:line="480" w:lineRule="auto"/>
        <w:jc w:val="both"/>
        <w:rPr>
          <w:rFonts w:ascii="Calibri" w:hAnsi="Calibri"/>
          <w:color w:val="auto"/>
        </w:rPr>
      </w:pPr>
      <w:r w:rsidRPr="00DF4F41">
        <w:rPr>
          <w:rFonts w:ascii="Calibri" w:hAnsi="Calibri"/>
          <w:color w:val="auto"/>
        </w:rPr>
        <w:tab/>
      </w:r>
      <w:r w:rsidRPr="00DF4F41">
        <w:rPr>
          <w:rFonts w:ascii="Calibri" w:hAnsi="Calibri"/>
          <w:color w:val="auto"/>
        </w:rPr>
        <w:tab/>
      </w:r>
      <w:r w:rsidRPr="00DF4F41">
        <w:rPr>
          <w:rFonts w:ascii="Calibri" w:hAnsi="Calibri"/>
          <w:color w:val="auto"/>
        </w:rPr>
        <w:tab/>
        <w:t xml:space="preserve">LBP only </w:t>
      </w:r>
      <w:r w:rsidRPr="00DF4F41">
        <w:rPr>
          <w:rFonts w:ascii="Calibri" w:hAnsi="Calibri"/>
          <w:color w:val="auto"/>
          <w:sz w:val="20"/>
        </w:rPr>
        <w:t>(n=108)</w:t>
      </w:r>
      <w:r w:rsidRPr="00DF4F41">
        <w:rPr>
          <w:rFonts w:ascii="Calibri" w:hAnsi="Calibri"/>
          <w:color w:val="auto"/>
          <w:sz w:val="20"/>
        </w:rPr>
        <w:tab/>
      </w:r>
      <w:r w:rsidRPr="00DF4F41">
        <w:rPr>
          <w:rFonts w:ascii="Calibri" w:hAnsi="Calibri"/>
          <w:color w:val="auto"/>
        </w:rPr>
        <w:t>55.8 (15.7)</w:t>
      </w:r>
      <w:r w:rsidRPr="00DF4F41">
        <w:rPr>
          <w:rFonts w:ascii="Calibri" w:hAnsi="Calibri"/>
          <w:color w:val="auto"/>
        </w:rPr>
        <w:tab/>
      </w:r>
      <w:r w:rsidRPr="00DF4F41">
        <w:rPr>
          <w:rFonts w:ascii="Calibri" w:hAnsi="Calibri"/>
          <w:color w:val="auto"/>
        </w:rPr>
        <w:tab/>
      </w:r>
      <w:r w:rsidRPr="00DF4F41">
        <w:rPr>
          <w:rFonts w:ascii="Calibri" w:hAnsi="Calibri"/>
          <w:color w:val="auto"/>
        </w:rPr>
        <w:tab/>
        <w:t>58.5 (15.4)</w:t>
      </w:r>
    </w:p>
    <w:p w:rsidR="00DF4F41" w:rsidRPr="00DF4F41" w:rsidRDefault="00DF4F41" w:rsidP="00DF4F41">
      <w:pPr>
        <w:pStyle w:val="Default"/>
        <w:spacing w:line="480" w:lineRule="auto"/>
        <w:jc w:val="both"/>
        <w:rPr>
          <w:rFonts w:ascii="Calibri" w:hAnsi="Calibri"/>
          <w:color w:val="auto"/>
        </w:rPr>
      </w:pPr>
      <w:r w:rsidRPr="00DF4F41">
        <w:rPr>
          <w:rFonts w:ascii="Calibri" w:hAnsi="Calibri"/>
          <w:color w:val="auto"/>
        </w:rPr>
        <w:tab/>
      </w:r>
      <w:r w:rsidRPr="00DF4F41">
        <w:rPr>
          <w:rFonts w:ascii="Calibri" w:hAnsi="Calibri"/>
          <w:color w:val="auto"/>
        </w:rPr>
        <w:tab/>
      </w:r>
      <w:r w:rsidRPr="00DF4F41">
        <w:rPr>
          <w:rFonts w:ascii="Calibri" w:hAnsi="Calibri"/>
          <w:color w:val="auto"/>
        </w:rPr>
        <w:tab/>
        <w:t xml:space="preserve">LBP &amp; hip/kn </w:t>
      </w:r>
      <w:r w:rsidRPr="00DF4F41">
        <w:rPr>
          <w:rFonts w:ascii="Calibri" w:hAnsi="Calibri"/>
          <w:color w:val="auto"/>
          <w:sz w:val="20"/>
        </w:rPr>
        <w:t>(n=133)</w:t>
      </w:r>
      <w:r w:rsidRPr="00DF4F41">
        <w:rPr>
          <w:rFonts w:ascii="Calibri" w:hAnsi="Calibri"/>
          <w:color w:val="auto"/>
        </w:rPr>
        <w:tab/>
        <w:t>65.5 (18.4)</w:t>
      </w:r>
      <w:r w:rsidRPr="00DF4F41">
        <w:rPr>
          <w:rFonts w:ascii="Calibri" w:hAnsi="Calibri"/>
          <w:color w:val="auto"/>
        </w:rPr>
        <w:tab/>
      </w:r>
      <w:r w:rsidRPr="00DF4F41">
        <w:rPr>
          <w:rFonts w:ascii="Calibri" w:hAnsi="Calibri"/>
          <w:color w:val="auto"/>
        </w:rPr>
        <w:tab/>
      </w:r>
      <w:r w:rsidRPr="00DF4F41">
        <w:rPr>
          <w:rFonts w:ascii="Calibri" w:hAnsi="Calibri"/>
          <w:color w:val="auto"/>
        </w:rPr>
        <w:tab/>
        <w:t>64.8 (18.3)</w:t>
      </w:r>
    </w:p>
    <w:p w:rsidR="00DF4F41" w:rsidRPr="00DF4F41" w:rsidRDefault="00DF4F41" w:rsidP="00DF4F41">
      <w:pPr>
        <w:pStyle w:val="Default"/>
        <w:spacing w:line="480" w:lineRule="auto"/>
        <w:jc w:val="both"/>
        <w:rPr>
          <w:rFonts w:ascii="Calibri" w:hAnsi="Calibri"/>
          <w:color w:val="auto"/>
          <w:lang w:eastAsia="en-GB"/>
        </w:rPr>
      </w:pPr>
      <w:r w:rsidRPr="00DF4F41">
        <w:rPr>
          <w:rFonts w:ascii="Calibri" w:hAnsi="Calibri"/>
          <w:color w:val="auto"/>
          <w:lang w:eastAsia="en-GB"/>
        </w:rPr>
        <w:t>AFPT (secs):</w:t>
      </w:r>
      <w:r w:rsidRPr="00DF4F41">
        <w:rPr>
          <w:rFonts w:ascii="Calibri" w:hAnsi="Calibri"/>
          <w:color w:val="auto"/>
          <w:lang w:eastAsia="en-GB"/>
        </w:rPr>
        <w:tab/>
      </w:r>
      <w:r w:rsidRPr="00DF4F41">
        <w:rPr>
          <w:rFonts w:ascii="Calibri" w:hAnsi="Calibri"/>
          <w:color w:val="auto"/>
          <w:lang w:eastAsia="en-GB"/>
        </w:rPr>
        <w:tab/>
        <w:t>50ft walk</w:t>
      </w:r>
      <w:r w:rsidRPr="00DF4F41">
        <w:rPr>
          <w:rFonts w:ascii="Calibri" w:hAnsi="Calibri"/>
          <w:color w:val="auto"/>
          <w:lang w:eastAsia="en-GB"/>
        </w:rPr>
        <w:tab/>
      </w:r>
      <w:r w:rsidRPr="00DF4F41">
        <w:rPr>
          <w:rFonts w:ascii="Calibri" w:hAnsi="Calibri"/>
          <w:color w:val="auto"/>
          <w:lang w:eastAsia="en-GB"/>
        </w:rPr>
        <w:tab/>
        <w:t>13.2 (4.0)</w:t>
      </w:r>
      <w:r w:rsidRPr="00DF4F41">
        <w:rPr>
          <w:rFonts w:ascii="Calibri" w:hAnsi="Calibri"/>
          <w:color w:val="auto"/>
          <w:lang w:eastAsia="en-GB"/>
        </w:rPr>
        <w:tab/>
      </w:r>
      <w:r w:rsidRPr="00DF4F41">
        <w:rPr>
          <w:rFonts w:ascii="Calibri" w:hAnsi="Calibri"/>
          <w:color w:val="auto"/>
          <w:lang w:eastAsia="en-GB"/>
        </w:rPr>
        <w:tab/>
      </w:r>
      <w:r w:rsidRPr="00DF4F41">
        <w:rPr>
          <w:rFonts w:ascii="Calibri" w:hAnsi="Calibri"/>
          <w:color w:val="auto"/>
          <w:lang w:eastAsia="en-GB"/>
        </w:rPr>
        <w:tab/>
        <w:t>16.5 (7.9)</w:t>
      </w:r>
      <w:r w:rsidRPr="00DF4F41">
        <w:rPr>
          <w:rFonts w:ascii="Calibri" w:hAnsi="Calibri"/>
          <w:color w:val="auto"/>
          <w:lang w:eastAsia="en-GB"/>
        </w:rPr>
        <w:tab/>
      </w:r>
      <w:r w:rsidRPr="00DF4F41">
        <w:rPr>
          <w:rFonts w:ascii="Calibri" w:hAnsi="Calibri"/>
          <w:color w:val="auto"/>
          <w:lang w:eastAsia="en-GB"/>
        </w:rPr>
        <w:tab/>
      </w:r>
      <w:r w:rsidRPr="00DF4F41">
        <w:rPr>
          <w:rFonts w:ascii="Calibri" w:hAnsi="Calibri"/>
          <w:color w:val="auto"/>
          <w:lang w:eastAsia="en-GB"/>
        </w:rPr>
        <w:tab/>
      </w:r>
      <w:r w:rsidRPr="00DF4F41">
        <w:rPr>
          <w:rFonts w:ascii="Calibri" w:hAnsi="Calibri"/>
          <w:color w:val="auto"/>
          <w:lang w:eastAsia="en-GB"/>
        </w:rPr>
        <w:tab/>
        <w:t>Stair ascent</w:t>
      </w:r>
      <w:r w:rsidRPr="00DF4F41">
        <w:rPr>
          <w:rFonts w:ascii="Calibri" w:hAnsi="Calibri"/>
          <w:color w:val="auto"/>
          <w:lang w:eastAsia="en-GB"/>
        </w:rPr>
        <w:tab/>
      </w:r>
      <w:r w:rsidRPr="00DF4F41">
        <w:rPr>
          <w:rFonts w:ascii="Calibri" w:hAnsi="Calibri"/>
          <w:color w:val="auto"/>
          <w:lang w:eastAsia="en-GB"/>
        </w:rPr>
        <w:tab/>
        <w:t>12.2 (9.5)</w:t>
      </w:r>
      <w:r w:rsidRPr="00DF4F41">
        <w:rPr>
          <w:rFonts w:ascii="Calibri" w:hAnsi="Calibri"/>
          <w:color w:val="auto"/>
          <w:lang w:eastAsia="en-GB"/>
        </w:rPr>
        <w:tab/>
      </w:r>
      <w:r w:rsidRPr="00DF4F41">
        <w:rPr>
          <w:rFonts w:ascii="Calibri" w:hAnsi="Calibri"/>
          <w:color w:val="auto"/>
          <w:lang w:eastAsia="en-GB"/>
        </w:rPr>
        <w:tab/>
      </w:r>
      <w:r w:rsidRPr="00DF4F41">
        <w:rPr>
          <w:rFonts w:ascii="Calibri" w:hAnsi="Calibri"/>
          <w:color w:val="auto"/>
          <w:lang w:eastAsia="en-GB"/>
        </w:rPr>
        <w:tab/>
        <w:t>13.3 (10.4)</w:t>
      </w:r>
    </w:p>
    <w:p w:rsidR="00DF4F41" w:rsidRPr="00DF4F41" w:rsidRDefault="00DF4F41" w:rsidP="00DF4F41">
      <w:pPr>
        <w:pStyle w:val="Default"/>
        <w:spacing w:line="480" w:lineRule="auto"/>
        <w:jc w:val="both"/>
        <w:rPr>
          <w:rFonts w:ascii="Calibri" w:hAnsi="Calibri"/>
          <w:color w:val="auto"/>
          <w:lang w:eastAsia="en-GB"/>
        </w:rPr>
      </w:pPr>
      <w:r w:rsidRPr="00DF4F41">
        <w:rPr>
          <w:rFonts w:ascii="Calibri" w:hAnsi="Calibri"/>
          <w:color w:val="auto"/>
          <w:lang w:eastAsia="en-GB"/>
        </w:rPr>
        <w:tab/>
      </w:r>
      <w:r w:rsidRPr="00DF4F41">
        <w:rPr>
          <w:rFonts w:ascii="Calibri" w:hAnsi="Calibri"/>
          <w:color w:val="auto"/>
          <w:lang w:eastAsia="en-GB"/>
        </w:rPr>
        <w:tab/>
      </w:r>
      <w:r w:rsidRPr="00DF4F41">
        <w:rPr>
          <w:rFonts w:ascii="Calibri" w:hAnsi="Calibri"/>
          <w:color w:val="auto"/>
          <w:lang w:eastAsia="en-GB"/>
        </w:rPr>
        <w:tab/>
        <w:t>Stair descent</w:t>
      </w:r>
      <w:r w:rsidRPr="00DF4F41">
        <w:rPr>
          <w:rFonts w:ascii="Calibri" w:hAnsi="Calibri"/>
          <w:color w:val="auto"/>
          <w:lang w:eastAsia="en-GB"/>
        </w:rPr>
        <w:tab/>
      </w:r>
      <w:r w:rsidRPr="00DF4F41">
        <w:rPr>
          <w:rFonts w:ascii="Calibri" w:hAnsi="Calibri"/>
          <w:color w:val="auto"/>
          <w:lang w:eastAsia="en-GB"/>
        </w:rPr>
        <w:tab/>
        <w:t>5.7 (6.0)</w:t>
      </w:r>
      <w:r w:rsidRPr="00DF4F41">
        <w:rPr>
          <w:rFonts w:ascii="Calibri" w:hAnsi="Calibri"/>
          <w:color w:val="auto"/>
          <w:lang w:eastAsia="en-GB"/>
        </w:rPr>
        <w:tab/>
      </w:r>
      <w:r w:rsidRPr="00DF4F41">
        <w:rPr>
          <w:rFonts w:ascii="Calibri" w:hAnsi="Calibri"/>
          <w:color w:val="auto"/>
          <w:lang w:eastAsia="en-GB"/>
        </w:rPr>
        <w:tab/>
      </w:r>
      <w:r w:rsidRPr="00DF4F41">
        <w:rPr>
          <w:rFonts w:ascii="Calibri" w:hAnsi="Calibri"/>
          <w:color w:val="auto"/>
          <w:lang w:eastAsia="en-GB"/>
        </w:rPr>
        <w:tab/>
        <w:t>5.6 (6.5)</w:t>
      </w:r>
    </w:p>
    <w:p w:rsidR="00DF4F41" w:rsidRPr="00DF4F41" w:rsidRDefault="00DF4F41" w:rsidP="00DF4F41">
      <w:pPr>
        <w:pStyle w:val="Default"/>
        <w:spacing w:line="480" w:lineRule="auto"/>
        <w:ind w:left="1440" w:firstLine="720"/>
        <w:jc w:val="both"/>
        <w:rPr>
          <w:rFonts w:ascii="Calibri" w:hAnsi="Calibri"/>
          <w:color w:val="auto"/>
          <w:lang w:eastAsia="en-GB"/>
        </w:rPr>
      </w:pPr>
      <w:r w:rsidRPr="00DF4F41">
        <w:rPr>
          <w:rFonts w:ascii="Calibri" w:hAnsi="Calibri"/>
          <w:color w:val="auto"/>
          <w:lang w:eastAsia="en-GB"/>
        </w:rPr>
        <w:t>TUAG</w:t>
      </w:r>
      <w:r w:rsidRPr="00DF4F41">
        <w:rPr>
          <w:rFonts w:ascii="Calibri" w:hAnsi="Calibri"/>
          <w:color w:val="auto"/>
          <w:lang w:eastAsia="en-GB"/>
        </w:rPr>
        <w:tab/>
      </w:r>
      <w:r w:rsidRPr="00DF4F41">
        <w:rPr>
          <w:rFonts w:ascii="Calibri" w:hAnsi="Calibri"/>
          <w:color w:val="auto"/>
          <w:lang w:eastAsia="en-GB"/>
        </w:rPr>
        <w:tab/>
      </w:r>
      <w:r w:rsidRPr="00DF4F41">
        <w:rPr>
          <w:rFonts w:ascii="Calibri" w:hAnsi="Calibri"/>
          <w:color w:val="auto"/>
          <w:lang w:eastAsia="en-GB"/>
        </w:rPr>
        <w:tab/>
        <w:t>9.9 (3.8)</w:t>
      </w:r>
      <w:r w:rsidRPr="00DF4F41">
        <w:rPr>
          <w:rFonts w:ascii="Calibri" w:hAnsi="Calibri"/>
          <w:color w:val="auto"/>
          <w:lang w:eastAsia="en-GB"/>
        </w:rPr>
        <w:tab/>
      </w:r>
      <w:r w:rsidRPr="00DF4F41">
        <w:rPr>
          <w:rFonts w:ascii="Calibri" w:hAnsi="Calibri"/>
          <w:color w:val="auto"/>
          <w:lang w:eastAsia="en-GB"/>
        </w:rPr>
        <w:tab/>
      </w:r>
      <w:r w:rsidRPr="00DF4F41">
        <w:rPr>
          <w:rFonts w:ascii="Calibri" w:hAnsi="Calibri"/>
          <w:color w:val="auto"/>
          <w:lang w:eastAsia="en-GB"/>
        </w:rPr>
        <w:tab/>
        <w:t>9.9 (3.7)</w:t>
      </w:r>
    </w:p>
    <w:p w:rsidR="00DF4F41" w:rsidRPr="00DF4F41" w:rsidRDefault="00DF4F41" w:rsidP="00DF4F41">
      <w:pPr>
        <w:pStyle w:val="Default"/>
        <w:spacing w:line="480" w:lineRule="auto"/>
        <w:jc w:val="both"/>
        <w:rPr>
          <w:rFonts w:ascii="Calibri" w:hAnsi="Calibri"/>
          <w:color w:val="auto"/>
        </w:rPr>
      </w:pPr>
      <w:r w:rsidRPr="00DF4F41">
        <w:rPr>
          <w:rFonts w:ascii="Calibri" w:hAnsi="Calibri"/>
          <w:color w:val="auto"/>
        </w:rPr>
        <w:t>McGill Pain Questionnaire</w:t>
      </w:r>
      <w:r w:rsidRPr="00DF4F41">
        <w:rPr>
          <w:rFonts w:ascii="Calibri" w:hAnsi="Calibri"/>
          <w:color w:val="auto"/>
        </w:rPr>
        <w:tab/>
      </w:r>
      <w:r w:rsidRPr="00DF4F41">
        <w:rPr>
          <w:rFonts w:ascii="Calibri" w:hAnsi="Calibri"/>
          <w:color w:val="auto"/>
        </w:rPr>
        <w:tab/>
      </w:r>
      <w:r w:rsidRPr="00DF4F41">
        <w:rPr>
          <w:rFonts w:ascii="Calibri" w:hAnsi="Calibri"/>
          <w:color w:val="auto"/>
        </w:rPr>
        <w:tab/>
        <w:t>2.3 (2.1)</w:t>
      </w:r>
      <w:r w:rsidRPr="00DF4F41">
        <w:rPr>
          <w:rFonts w:ascii="Calibri" w:hAnsi="Calibri"/>
          <w:color w:val="auto"/>
        </w:rPr>
        <w:tab/>
      </w:r>
      <w:r w:rsidRPr="00DF4F41">
        <w:rPr>
          <w:rFonts w:ascii="Calibri" w:hAnsi="Calibri"/>
          <w:color w:val="auto"/>
        </w:rPr>
        <w:tab/>
      </w:r>
      <w:r w:rsidRPr="00DF4F41">
        <w:rPr>
          <w:rFonts w:ascii="Calibri" w:hAnsi="Calibri"/>
          <w:color w:val="auto"/>
        </w:rPr>
        <w:tab/>
        <w:t>2.2 (2.0)</w:t>
      </w:r>
    </w:p>
    <w:p w:rsidR="00DF4F41" w:rsidRPr="00DF4F41" w:rsidRDefault="00DF4F41" w:rsidP="00DF4F41">
      <w:pPr>
        <w:autoSpaceDE w:val="0"/>
        <w:autoSpaceDN w:val="0"/>
        <w:adjustRightInd w:val="0"/>
        <w:spacing w:after="0" w:line="480" w:lineRule="auto"/>
        <w:jc w:val="both"/>
        <w:rPr>
          <w:sz w:val="24"/>
          <w:szCs w:val="24"/>
        </w:rPr>
      </w:pPr>
      <w:r w:rsidRPr="00DF4F41">
        <w:rPr>
          <w:sz w:val="24"/>
          <w:szCs w:val="24"/>
        </w:rPr>
        <w:t>HADS</w:t>
      </w:r>
      <w:r w:rsidRPr="00DF4F41">
        <w:rPr>
          <w:sz w:val="24"/>
          <w:szCs w:val="24"/>
        </w:rPr>
        <w:tab/>
      </w:r>
      <w:r w:rsidRPr="00DF4F41">
        <w:rPr>
          <w:sz w:val="24"/>
          <w:szCs w:val="24"/>
        </w:rPr>
        <w:tab/>
      </w:r>
      <w:r w:rsidRPr="00DF4F41">
        <w:rPr>
          <w:sz w:val="24"/>
          <w:szCs w:val="24"/>
        </w:rPr>
        <w:tab/>
        <w:t xml:space="preserve">Anxiety </w:t>
      </w:r>
      <w:r w:rsidRPr="00DF4F41">
        <w:rPr>
          <w:sz w:val="24"/>
          <w:szCs w:val="24"/>
        </w:rPr>
        <w:tab/>
      </w:r>
      <w:r w:rsidRPr="00DF4F41">
        <w:rPr>
          <w:sz w:val="24"/>
          <w:szCs w:val="24"/>
        </w:rPr>
        <w:tab/>
        <w:t>5.7 (3.7)</w:t>
      </w:r>
      <w:r w:rsidRPr="00DF4F41">
        <w:rPr>
          <w:sz w:val="24"/>
          <w:szCs w:val="24"/>
        </w:rPr>
        <w:tab/>
      </w:r>
      <w:r w:rsidRPr="00DF4F41">
        <w:rPr>
          <w:sz w:val="24"/>
          <w:szCs w:val="24"/>
        </w:rPr>
        <w:tab/>
      </w:r>
      <w:r w:rsidRPr="00DF4F41">
        <w:rPr>
          <w:sz w:val="24"/>
          <w:szCs w:val="24"/>
        </w:rPr>
        <w:tab/>
        <w:t>5.6 (3.7)</w:t>
      </w:r>
    </w:p>
    <w:p w:rsidR="00DF4F41" w:rsidRPr="00DF4F41" w:rsidRDefault="00DF4F41" w:rsidP="00DF4F41">
      <w:pPr>
        <w:autoSpaceDE w:val="0"/>
        <w:autoSpaceDN w:val="0"/>
        <w:adjustRightInd w:val="0"/>
        <w:spacing w:after="0" w:line="480" w:lineRule="auto"/>
        <w:ind w:left="1440" w:firstLine="720"/>
        <w:jc w:val="both"/>
        <w:rPr>
          <w:sz w:val="24"/>
          <w:szCs w:val="24"/>
        </w:rPr>
      </w:pPr>
      <w:r w:rsidRPr="00DF4F41">
        <w:rPr>
          <w:sz w:val="24"/>
          <w:szCs w:val="24"/>
        </w:rPr>
        <w:t>Depression</w:t>
      </w:r>
      <w:r w:rsidRPr="00DF4F41">
        <w:rPr>
          <w:sz w:val="24"/>
          <w:szCs w:val="24"/>
        </w:rPr>
        <w:tab/>
      </w:r>
      <w:r w:rsidRPr="00DF4F41">
        <w:rPr>
          <w:sz w:val="24"/>
          <w:szCs w:val="24"/>
        </w:rPr>
        <w:tab/>
        <w:t>4.2 (3.1)</w:t>
      </w:r>
      <w:r w:rsidRPr="00DF4F41">
        <w:rPr>
          <w:sz w:val="24"/>
          <w:szCs w:val="24"/>
        </w:rPr>
        <w:tab/>
      </w:r>
      <w:r w:rsidRPr="00DF4F41">
        <w:rPr>
          <w:sz w:val="24"/>
          <w:szCs w:val="24"/>
        </w:rPr>
        <w:tab/>
      </w:r>
      <w:r w:rsidRPr="00DF4F41">
        <w:rPr>
          <w:sz w:val="24"/>
          <w:szCs w:val="24"/>
        </w:rPr>
        <w:tab/>
        <w:t>3.9 (2.7)</w:t>
      </w:r>
    </w:p>
    <w:p w:rsidR="00DF4F41" w:rsidRPr="00DF4F41" w:rsidRDefault="00DF4F41" w:rsidP="00DF4F41">
      <w:pPr>
        <w:autoSpaceDE w:val="0"/>
        <w:autoSpaceDN w:val="0"/>
        <w:adjustRightInd w:val="0"/>
        <w:spacing w:after="0" w:line="480" w:lineRule="auto"/>
        <w:jc w:val="both"/>
        <w:rPr>
          <w:sz w:val="24"/>
          <w:szCs w:val="24"/>
        </w:rPr>
      </w:pPr>
      <w:r w:rsidRPr="00DF4F41">
        <w:rPr>
          <w:sz w:val="24"/>
          <w:szCs w:val="24"/>
        </w:rPr>
        <w:t>Self-Efficacy</w:t>
      </w:r>
      <w:r w:rsidRPr="00DF4F41">
        <w:rPr>
          <w:sz w:val="24"/>
          <w:szCs w:val="24"/>
        </w:rPr>
        <w:tab/>
      </w:r>
      <w:r w:rsidRPr="00DF4F41">
        <w:rPr>
          <w:sz w:val="24"/>
          <w:szCs w:val="24"/>
        </w:rPr>
        <w:tab/>
      </w:r>
      <w:r w:rsidRPr="00DF4F41">
        <w:rPr>
          <w:sz w:val="24"/>
          <w:szCs w:val="24"/>
        </w:rPr>
        <w:tab/>
      </w:r>
      <w:r w:rsidRPr="00DF4F41">
        <w:rPr>
          <w:sz w:val="24"/>
          <w:szCs w:val="24"/>
        </w:rPr>
        <w:tab/>
      </w:r>
      <w:r w:rsidRPr="00DF4F41">
        <w:rPr>
          <w:sz w:val="24"/>
          <w:szCs w:val="24"/>
        </w:rPr>
        <w:tab/>
        <w:t>77.7 (9.4)</w:t>
      </w:r>
      <w:r w:rsidRPr="00DF4F41">
        <w:rPr>
          <w:sz w:val="24"/>
          <w:szCs w:val="24"/>
        </w:rPr>
        <w:tab/>
      </w:r>
      <w:r w:rsidRPr="00DF4F41">
        <w:rPr>
          <w:sz w:val="24"/>
          <w:szCs w:val="24"/>
        </w:rPr>
        <w:tab/>
      </w:r>
      <w:r w:rsidRPr="00DF4F41">
        <w:rPr>
          <w:sz w:val="24"/>
          <w:szCs w:val="24"/>
        </w:rPr>
        <w:tab/>
        <w:t>78.4 (8.9)</w:t>
      </w:r>
    </w:p>
    <w:p w:rsidR="00DF4F41" w:rsidRPr="00DF4F41" w:rsidRDefault="00DF4F41" w:rsidP="00DF4F41">
      <w:pPr>
        <w:pStyle w:val="Default"/>
        <w:spacing w:line="480" w:lineRule="auto"/>
        <w:jc w:val="both"/>
        <w:rPr>
          <w:rFonts w:ascii="Calibri" w:hAnsi="Calibri"/>
          <w:color w:val="auto"/>
        </w:rPr>
      </w:pPr>
      <w:r w:rsidRPr="00DF4F41">
        <w:rPr>
          <w:rFonts w:ascii="Calibri" w:hAnsi="Calibri"/>
          <w:color w:val="auto"/>
        </w:rPr>
        <w:t>Pain/discomfort</w:t>
      </w:r>
      <w:r w:rsidRPr="00DF4F41">
        <w:rPr>
          <w:rFonts w:ascii="Calibri" w:hAnsi="Calibri"/>
          <w:color w:val="auto"/>
        </w:rPr>
        <w:tab/>
      </w:r>
      <w:r w:rsidRPr="00DF4F41">
        <w:rPr>
          <w:rFonts w:ascii="Calibri" w:hAnsi="Calibri"/>
          <w:color w:val="auto"/>
        </w:rPr>
        <w:tab/>
      </w:r>
      <w:r w:rsidRPr="00DF4F41">
        <w:rPr>
          <w:rFonts w:ascii="Calibri" w:hAnsi="Calibri"/>
          <w:color w:val="auto"/>
        </w:rPr>
        <w:tab/>
      </w:r>
      <w:r w:rsidRPr="00DF4F41">
        <w:rPr>
          <w:rFonts w:ascii="Calibri" w:hAnsi="Calibri"/>
          <w:color w:val="auto"/>
        </w:rPr>
        <w:tab/>
        <w:t>2.4 (0.8)</w:t>
      </w:r>
      <w:r w:rsidRPr="00DF4F41">
        <w:rPr>
          <w:rFonts w:ascii="Calibri" w:hAnsi="Calibri"/>
          <w:color w:val="auto"/>
        </w:rPr>
        <w:tab/>
      </w:r>
      <w:r w:rsidRPr="00DF4F41">
        <w:rPr>
          <w:rFonts w:ascii="Calibri" w:hAnsi="Calibri"/>
          <w:color w:val="auto"/>
        </w:rPr>
        <w:tab/>
      </w:r>
      <w:r w:rsidRPr="00DF4F41">
        <w:rPr>
          <w:rFonts w:ascii="Calibri" w:hAnsi="Calibri"/>
          <w:color w:val="auto"/>
        </w:rPr>
        <w:tab/>
        <w:t>2.4 (0.8)</w:t>
      </w:r>
      <w:r w:rsidRPr="00DF4F41">
        <w:rPr>
          <w:rFonts w:ascii="Calibri" w:hAnsi="Calibri"/>
          <w:color w:val="auto"/>
        </w:rPr>
        <w:tab/>
      </w:r>
    </w:p>
    <w:p w:rsidR="00DF4F41" w:rsidRPr="00DF4F41" w:rsidRDefault="00DF4F41" w:rsidP="00DF4F41">
      <w:pPr>
        <w:pStyle w:val="Default"/>
        <w:spacing w:line="480" w:lineRule="auto"/>
        <w:jc w:val="both"/>
        <w:rPr>
          <w:rFonts w:ascii="Calibri" w:hAnsi="Calibri"/>
          <w:color w:val="auto"/>
        </w:rPr>
      </w:pPr>
      <w:r w:rsidRPr="00DF4F41">
        <w:rPr>
          <w:rFonts w:ascii="Calibri" w:hAnsi="Calibri"/>
          <w:color w:val="auto"/>
        </w:rPr>
        <w:t>Weekly duration on intervention* (mins)</w:t>
      </w:r>
      <w:r w:rsidRPr="00DF4F41">
        <w:rPr>
          <w:rFonts w:ascii="Calibri" w:hAnsi="Calibri"/>
          <w:color w:val="auto"/>
        </w:rPr>
        <w:tab/>
        <w:t>274.4 (17.5)</w:t>
      </w:r>
      <w:r w:rsidRPr="00DF4F41">
        <w:rPr>
          <w:rFonts w:ascii="Calibri" w:hAnsi="Calibri"/>
          <w:color w:val="auto"/>
        </w:rPr>
        <w:tab/>
      </w:r>
      <w:r w:rsidRPr="00DF4F41">
        <w:rPr>
          <w:rFonts w:ascii="Calibri" w:hAnsi="Calibri"/>
          <w:color w:val="auto"/>
        </w:rPr>
        <w:tab/>
      </w:r>
      <w:r w:rsidRPr="00DF4F41">
        <w:rPr>
          <w:rFonts w:ascii="Calibri" w:hAnsi="Calibri"/>
          <w:color w:val="auto"/>
        </w:rPr>
        <w:tab/>
        <w:t>310.9 (21.3)</w:t>
      </w:r>
    </w:p>
    <w:p w:rsidR="00DF4F41" w:rsidRPr="00DF4F41" w:rsidRDefault="00DF4F41" w:rsidP="00DF4F41">
      <w:pPr>
        <w:spacing w:after="0" w:line="240" w:lineRule="auto"/>
        <w:jc w:val="both"/>
        <w:rPr>
          <w:rFonts w:cs="Melior"/>
          <w:sz w:val="24"/>
          <w:szCs w:val="24"/>
        </w:rPr>
      </w:pPr>
      <w:r w:rsidRPr="00DF4F41">
        <w:rPr>
          <w:rFonts w:cs="Melior"/>
          <w:sz w:val="18"/>
          <w:szCs w:val="24"/>
        </w:rPr>
        <w:t>DI-SMFA – Dysfunction Index Short Musculoskeletal Functional Assessment; AFPT – Aggregate Functional Performance Time; HADS – Hospital Anxiety and Depression Scale. *intervention arm patients reported significantly more activity than those in the control arm</w:t>
      </w:r>
    </w:p>
    <w:p w:rsidR="00DF4F41" w:rsidRPr="00DF4F41" w:rsidRDefault="00DF4F41" w:rsidP="00DF4F41">
      <w:pPr>
        <w:spacing w:after="0" w:line="480" w:lineRule="auto"/>
        <w:jc w:val="both"/>
        <w:rPr>
          <w:rFonts w:cs="Melior"/>
          <w:sz w:val="24"/>
          <w:szCs w:val="24"/>
        </w:rPr>
      </w:pPr>
    </w:p>
    <w:p w:rsidR="00DF4F41" w:rsidRPr="00DF4F41" w:rsidRDefault="00DF4F41" w:rsidP="00DF4F41">
      <w:pPr>
        <w:spacing w:after="0" w:line="480" w:lineRule="auto"/>
        <w:jc w:val="both"/>
        <w:rPr>
          <w:rFonts w:cs="Melior"/>
          <w:sz w:val="24"/>
          <w:szCs w:val="24"/>
        </w:rPr>
      </w:pPr>
    </w:p>
    <w:p w:rsidR="00DF4F41" w:rsidRPr="00DF4F41" w:rsidRDefault="00DF4F41" w:rsidP="00DF4F41">
      <w:pPr>
        <w:spacing w:after="0" w:line="480" w:lineRule="auto"/>
        <w:jc w:val="both"/>
        <w:rPr>
          <w:rFonts w:cs="Melior"/>
          <w:sz w:val="24"/>
          <w:szCs w:val="24"/>
        </w:rPr>
      </w:pPr>
    </w:p>
    <w:p w:rsidR="00DF4F41" w:rsidRPr="00DF4F41" w:rsidRDefault="00DF4F41" w:rsidP="00DF4F41">
      <w:pPr>
        <w:autoSpaceDE w:val="0"/>
        <w:autoSpaceDN w:val="0"/>
        <w:adjustRightInd w:val="0"/>
        <w:spacing w:after="0" w:line="480" w:lineRule="auto"/>
        <w:jc w:val="both"/>
        <w:rPr>
          <w:b/>
          <w:sz w:val="24"/>
          <w:szCs w:val="24"/>
          <w:lang w:eastAsia="en-GB"/>
        </w:rPr>
      </w:pPr>
      <w:r w:rsidRPr="00DF4F41">
        <w:rPr>
          <w:b/>
          <w:sz w:val="24"/>
          <w:szCs w:val="24"/>
          <w:lang w:eastAsia="en-GB"/>
        </w:rPr>
        <w:lastRenderedPageBreak/>
        <w:t>Analysis</w:t>
      </w:r>
    </w:p>
    <w:p w:rsidR="00DF4F41" w:rsidRPr="00DF4F41" w:rsidRDefault="00DF4F41" w:rsidP="00DF4F41">
      <w:pPr>
        <w:autoSpaceDE w:val="0"/>
        <w:autoSpaceDN w:val="0"/>
        <w:adjustRightInd w:val="0"/>
        <w:spacing w:after="0" w:line="480" w:lineRule="auto"/>
        <w:jc w:val="both"/>
        <w:rPr>
          <w:sz w:val="24"/>
          <w:szCs w:val="24"/>
        </w:rPr>
      </w:pPr>
      <w:r w:rsidRPr="00DF4F41">
        <w:rPr>
          <w:sz w:val="24"/>
          <w:szCs w:val="24"/>
          <w:lang w:eastAsia="en-GB"/>
        </w:rPr>
        <w:t xml:space="preserve">Statistical analysis was performed according to the pre-specified data analysis plan and based on intent-to-treat with no interim or post hoc analyses and no data imputation. Statistical signiﬁcance is set at the nominal p-value of 0.05. </w:t>
      </w:r>
      <w:r w:rsidRPr="00DF4F41">
        <w:rPr>
          <w:sz w:val="24"/>
          <w:szCs w:val="24"/>
        </w:rPr>
        <w:t xml:space="preserve">The means and corresponding standard deviations were essentially similar for both the treatment and standard arms, although of note, on average patients in the intervention arm spent more self-reported time per week (approximately 36 minutes) exercising than control participants. </w:t>
      </w:r>
    </w:p>
    <w:p w:rsidR="00DF4F41" w:rsidRPr="00DF4F41" w:rsidRDefault="00DF4F41" w:rsidP="00DF4F41">
      <w:pPr>
        <w:spacing w:after="0" w:line="480" w:lineRule="auto"/>
        <w:jc w:val="both"/>
        <w:rPr>
          <w:rFonts w:cs="Melior"/>
          <w:sz w:val="24"/>
          <w:szCs w:val="24"/>
        </w:rPr>
      </w:pPr>
    </w:p>
    <w:p w:rsidR="00DF4F41" w:rsidRPr="00DF4F41" w:rsidRDefault="00DF4F41" w:rsidP="00DF4F41">
      <w:pPr>
        <w:autoSpaceDE w:val="0"/>
        <w:autoSpaceDN w:val="0"/>
        <w:adjustRightInd w:val="0"/>
        <w:spacing w:after="0" w:line="480" w:lineRule="auto"/>
        <w:jc w:val="both"/>
        <w:rPr>
          <w:b/>
          <w:sz w:val="24"/>
          <w:szCs w:val="24"/>
        </w:rPr>
      </w:pPr>
      <w:r w:rsidRPr="00DF4F41">
        <w:rPr>
          <w:b/>
          <w:sz w:val="24"/>
          <w:szCs w:val="24"/>
        </w:rPr>
        <w:t>Primary and secondary outcomes measured at 6 months primary end point</w:t>
      </w:r>
    </w:p>
    <w:p w:rsidR="00DF4F41" w:rsidRPr="00DF4F41" w:rsidRDefault="00DF4F41" w:rsidP="00DF4F41">
      <w:pPr>
        <w:autoSpaceDE w:val="0"/>
        <w:autoSpaceDN w:val="0"/>
        <w:adjustRightInd w:val="0"/>
        <w:spacing w:after="0" w:line="480" w:lineRule="auto"/>
        <w:jc w:val="both"/>
        <w:rPr>
          <w:sz w:val="24"/>
          <w:szCs w:val="24"/>
        </w:rPr>
      </w:pPr>
      <w:r w:rsidRPr="00DF4F41">
        <w:rPr>
          <w:rFonts w:cs="Arial"/>
          <w:sz w:val="24"/>
          <w:szCs w:val="24"/>
          <w:lang w:eastAsia="en-GB"/>
        </w:rPr>
        <w:t xml:space="preserve">Results from analysis using </w:t>
      </w:r>
      <w:r w:rsidRPr="00DF4F41">
        <w:rPr>
          <w:sz w:val="24"/>
          <w:szCs w:val="24"/>
        </w:rPr>
        <w:t>the mixed model a</w:t>
      </w:r>
      <w:r w:rsidRPr="00DF4F41">
        <w:rPr>
          <w:rFonts w:cs="Arial"/>
          <w:sz w:val="24"/>
          <w:szCs w:val="24"/>
          <w:lang w:eastAsia="en-GB"/>
        </w:rPr>
        <w:t>djusted for baseline DI-SMFA scores and pain sites (</w:t>
      </w:r>
      <w:r w:rsidRPr="00DF4F41">
        <w:rPr>
          <w:sz w:val="24"/>
          <w:szCs w:val="24"/>
        </w:rPr>
        <w:t>lower limb, lower back and combined lower back and lower limb)</w:t>
      </w:r>
      <w:r w:rsidRPr="00DF4F41">
        <w:rPr>
          <w:rFonts w:cs="Arial"/>
          <w:sz w:val="24"/>
          <w:szCs w:val="24"/>
          <w:lang w:eastAsia="en-GB"/>
        </w:rPr>
        <w:t xml:space="preserve"> indicate </w:t>
      </w:r>
      <w:r w:rsidRPr="00DF4F41">
        <w:rPr>
          <w:sz w:val="24"/>
          <w:szCs w:val="24"/>
        </w:rPr>
        <w:t>a statistically significant effect of the intervention on DI-SMFA response measured after 6 months irrespective of pain site (-3.01; 95%CI: -5.25, -0.76, p=0.01) (</w:t>
      </w:r>
      <w:r w:rsidRPr="00DF4F41">
        <w:rPr>
          <w:rFonts w:cs="Arial"/>
          <w:sz w:val="24"/>
          <w:szCs w:val="24"/>
          <w:lang w:eastAsia="en-GB"/>
        </w:rPr>
        <w:t>Table 2)</w:t>
      </w:r>
      <w:r w:rsidRPr="00DF4F41">
        <w:rPr>
          <w:sz w:val="24"/>
          <w:szCs w:val="24"/>
        </w:rPr>
        <w:t>. Specifically, the DI-</w:t>
      </w:r>
      <w:r w:rsidRPr="00DF4F41">
        <w:rPr>
          <w:rFonts w:cs="Arial"/>
          <w:sz w:val="24"/>
          <w:szCs w:val="24"/>
          <w:lang w:eastAsia="en-GB"/>
        </w:rPr>
        <w:t xml:space="preserve">SMFA score was 3 units lower for a patient on </w:t>
      </w:r>
      <w:r w:rsidRPr="00DF4F41">
        <w:rPr>
          <w:sz w:val="24"/>
          <w:szCs w:val="24"/>
        </w:rPr>
        <w:t>generic exercise and self-management arm compared with a patient on standard GP care arm, adjusting for both baseline DI-SMFA scores and pain site. The significance of this finding will be presented in the discussion.</w:t>
      </w:r>
    </w:p>
    <w:p w:rsidR="00DF4F41" w:rsidRPr="00DF4F41" w:rsidRDefault="00DF4F41" w:rsidP="00DF4F41">
      <w:pPr>
        <w:spacing w:line="480" w:lineRule="auto"/>
        <w:rPr>
          <w:b/>
          <w:sz w:val="24"/>
          <w:szCs w:val="24"/>
        </w:rPr>
      </w:pPr>
    </w:p>
    <w:p w:rsidR="00DF4F41" w:rsidRPr="00DF4F41" w:rsidRDefault="00DF4F41" w:rsidP="00DF4F41">
      <w:pPr>
        <w:spacing w:line="480" w:lineRule="auto"/>
        <w:rPr>
          <w:b/>
          <w:sz w:val="24"/>
          <w:szCs w:val="24"/>
        </w:rPr>
      </w:pPr>
    </w:p>
    <w:p w:rsidR="00DF4F41" w:rsidRPr="00DF4F41" w:rsidRDefault="00DF4F41" w:rsidP="00DF4F41">
      <w:pPr>
        <w:spacing w:line="480" w:lineRule="auto"/>
        <w:rPr>
          <w:b/>
          <w:sz w:val="24"/>
          <w:szCs w:val="24"/>
        </w:rPr>
      </w:pPr>
    </w:p>
    <w:p w:rsidR="00DF4F41" w:rsidRPr="00DF4F41" w:rsidRDefault="00DF4F41" w:rsidP="00DF4F41">
      <w:pPr>
        <w:spacing w:line="480" w:lineRule="auto"/>
        <w:rPr>
          <w:b/>
          <w:sz w:val="24"/>
          <w:szCs w:val="24"/>
        </w:rPr>
      </w:pPr>
    </w:p>
    <w:p w:rsidR="00DF4F41" w:rsidRPr="00DF4F41" w:rsidRDefault="00DF4F41" w:rsidP="00DF4F41">
      <w:pPr>
        <w:spacing w:line="480" w:lineRule="auto"/>
        <w:rPr>
          <w:b/>
          <w:sz w:val="24"/>
          <w:szCs w:val="24"/>
        </w:rPr>
      </w:pPr>
    </w:p>
    <w:p w:rsidR="00DF4F41" w:rsidRPr="00DF4F41" w:rsidRDefault="00DF4F41" w:rsidP="00DF4F41">
      <w:pPr>
        <w:spacing w:line="480" w:lineRule="auto"/>
        <w:rPr>
          <w:b/>
          <w:sz w:val="24"/>
          <w:szCs w:val="24"/>
        </w:rPr>
      </w:pPr>
    </w:p>
    <w:p w:rsidR="00DF4F41" w:rsidRPr="00DF4F41" w:rsidRDefault="00DF4F41" w:rsidP="00DF4F41">
      <w:pPr>
        <w:spacing w:line="480" w:lineRule="auto"/>
        <w:rPr>
          <w:b/>
          <w:sz w:val="24"/>
          <w:szCs w:val="24"/>
        </w:rPr>
      </w:pPr>
    </w:p>
    <w:p w:rsidR="00DF4F41" w:rsidRPr="00DF4F41" w:rsidRDefault="00DF4F41" w:rsidP="00DF4F41">
      <w:pPr>
        <w:spacing w:line="240" w:lineRule="auto"/>
        <w:rPr>
          <w:b/>
          <w:bCs/>
          <w:sz w:val="24"/>
          <w:szCs w:val="24"/>
        </w:rPr>
      </w:pPr>
      <w:r w:rsidRPr="00DF4F41">
        <w:rPr>
          <w:b/>
          <w:bCs/>
          <w:sz w:val="24"/>
          <w:szCs w:val="24"/>
        </w:rPr>
        <w:lastRenderedPageBreak/>
        <w:t xml:space="preserve">Table 2: Efficacy of exercise on primary and secondary outcomes at primary end point </w:t>
      </w:r>
    </w:p>
    <w:p w:rsidR="00DF4F41" w:rsidRPr="00DF4F41" w:rsidRDefault="00DF4F41" w:rsidP="00DF4F41">
      <w:pPr>
        <w:pBdr>
          <w:top w:val="single" w:sz="4" w:space="1" w:color="auto"/>
          <w:left w:val="single" w:sz="4" w:space="4" w:color="auto"/>
          <w:bottom w:val="single" w:sz="4" w:space="1" w:color="auto"/>
          <w:right w:val="single" w:sz="4" w:space="31" w:color="auto"/>
        </w:pBdr>
        <w:spacing w:line="360" w:lineRule="auto"/>
        <w:rPr>
          <w:sz w:val="24"/>
          <w:szCs w:val="24"/>
          <w:u w:val="single"/>
        </w:rPr>
      </w:pPr>
      <w:r w:rsidRPr="00DF4F41">
        <w:rPr>
          <w:sz w:val="24"/>
          <w:szCs w:val="24"/>
          <w:u w:val="single"/>
        </w:rPr>
        <w:t>Analysis</w:t>
      </w:r>
      <w:r w:rsidRPr="00DF4F41">
        <w:rPr>
          <w:sz w:val="24"/>
          <w:szCs w:val="24"/>
          <w:u w:val="single"/>
        </w:rPr>
        <w:tab/>
      </w:r>
      <w:r w:rsidRPr="00DF4F41">
        <w:rPr>
          <w:sz w:val="24"/>
          <w:szCs w:val="24"/>
          <w:u w:val="single"/>
        </w:rPr>
        <w:tab/>
        <w:t>Mean outcome (SD)</w:t>
      </w:r>
      <w:r w:rsidRPr="00DF4F41">
        <w:rPr>
          <w:sz w:val="24"/>
          <w:szCs w:val="24"/>
          <w:u w:val="single"/>
        </w:rPr>
        <w:tab/>
      </w:r>
      <w:r w:rsidRPr="00DF4F41">
        <w:rPr>
          <w:sz w:val="24"/>
          <w:szCs w:val="24"/>
          <w:u w:val="single"/>
        </w:rPr>
        <w:tab/>
        <w:t xml:space="preserve">Efficacy* </w:t>
      </w:r>
      <w:r w:rsidRPr="00DF4F41">
        <w:rPr>
          <w:sz w:val="24"/>
          <w:szCs w:val="24"/>
          <w:u w:val="single"/>
        </w:rPr>
        <w:tab/>
        <w:t>p-value</w:t>
      </w:r>
      <w:r w:rsidRPr="00DF4F41">
        <w:rPr>
          <w:sz w:val="24"/>
          <w:szCs w:val="24"/>
          <w:u w:val="single"/>
        </w:rPr>
        <w:tab/>
        <w:t>95% CI</w:t>
      </w:r>
    </w:p>
    <w:p w:rsidR="00DF4F41" w:rsidRPr="00DF4F41" w:rsidRDefault="00DF4F41" w:rsidP="00DF4F41">
      <w:pPr>
        <w:pBdr>
          <w:top w:val="single" w:sz="4" w:space="1" w:color="auto"/>
          <w:left w:val="single" w:sz="4" w:space="4" w:color="auto"/>
          <w:bottom w:val="single" w:sz="4" w:space="1" w:color="auto"/>
          <w:right w:val="single" w:sz="4" w:space="31" w:color="auto"/>
        </w:pBdr>
        <w:spacing w:line="360" w:lineRule="auto"/>
        <w:rPr>
          <w:b/>
          <w:sz w:val="24"/>
          <w:szCs w:val="24"/>
          <w:u w:val="single"/>
        </w:rPr>
      </w:pPr>
      <w:r w:rsidRPr="00DF4F41">
        <w:rPr>
          <w:sz w:val="24"/>
          <w:szCs w:val="24"/>
        </w:rPr>
        <w:tab/>
      </w:r>
      <w:r w:rsidRPr="00DF4F41">
        <w:rPr>
          <w:sz w:val="24"/>
          <w:szCs w:val="24"/>
        </w:rPr>
        <w:tab/>
      </w:r>
      <w:r w:rsidRPr="00DF4F41">
        <w:rPr>
          <w:sz w:val="24"/>
          <w:szCs w:val="24"/>
        </w:rPr>
        <w:tab/>
      </w:r>
      <w:r w:rsidRPr="00DF4F41">
        <w:rPr>
          <w:rFonts w:asciiTheme="minorHAnsi" w:hAnsiTheme="minorHAnsi" w:cstheme="minorHAnsi"/>
          <w:b/>
          <w:sz w:val="24"/>
          <w:u w:val="single"/>
        </w:rPr>
        <w:t>Control</w:t>
      </w:r>
      <w:r w:rsidRPr="00DF4F41">
        <w:rPr>
          <w:rFonts w:asciiTheme="minorHAnsi" w:hAnsiTheme="minorHAnsi" w:cstheme="minorHAnsi"/>
          <w:b/>
          <w:sz w:val="24"/>
          <w:u w:val="single"/>
        </w:rPr>
        <w:tab/>
      </w:r>
      <w:r w:rsidRPr="00DF4F41">
        <w:rPr>
          <w:b/>
          <w:sz w:val="24"/>
          <w:u w:val="single"/>
        </w:rPr>
        <w:t>Intervention</w:t>
      </w:r>
    </w:p>
    <w:p w:rsidR="00DF4F41" w:rsidRPr="00DF4F41" w:rsidRDefault="00DF4F41" w:rsidP="00DF4F41">
      <w:pPr>
        <w:pBdr>
          <w:top w:val="single" w:sz="4" w:space="1" w:color="auto"/>
          <w:left w:val="single" w:sz="4" w:space="4" w:color="auto"/>
          <w:bottom w:val="single" w:sz="4" w:space="1" w:color="auto"/>
          <w:right w:val="single" w:sz="4" w:space="31" w:color="auto"/>
        </w:pBdr>
        <w:spacing w:line="360" w:lineRule="auto"/>
        <w:rPr>
          <w:b/>
          <w:sz w:val="24"/>
          <w:szCs w:val="24"/>
          <w:u w:val="single"/>
        </w:rPr>
      </w:pPr>
      <w:r w:rsidRPr="00DF4F41">
        <w:rPr>
          <w:b/>
          <w:sz w:val="24"/>
          <w:szCs w:val="24"/>
        </w:rPr>
        <w:t xml:space="preserve">A. Primary outcome (DI-SMFA) </w:t>
      </w:r>
      <w:r w:rsidRPr="00DF4F41">
        <w:rPr>
          <w:b/>
          <w:bCs/>
          <w:sz w:val="24"/>
          <w:szCs w:val="24"/>
        </w:rPr>
        <w:t>measured at 6 months</w:t>
      </w:r>
    </w:p>
    <w:p w:rsidR="00DF4F41" w:rsidRPr="00DF4F41" w:rsidRDefault="00DF4F41" w:rsidP="00DF4F41">
      <w:pPr>
        <w:pBdr>
          <w:top w:val="single" w:sz="4" w:space="1" w:color="auto"/>
          <w:left w:val="single" w:sz="4" w:space="4" w:color="auto"/>
          <w:bottom w:val="single" w:sz="4" w:space="1" w:color="auto"/>
          <w:right w:val="single" w:sz="4" w:space="31" w:color="auto"/>
        </w:pBdr>
        <w:spacing w:line="360" w:lineRule="auto"/>
        <w:rPr>
          <w:sz w:val="24"/>
          <w:szCs w:val="24"/>
          <w:u w:val="single"/>
        </w:rPr>
      </w:pPr>
      <w:r w:rsidRPr="00DF4F41">
        <w:rPr>
          <w:sz w:val="24"/>
          <w:szCs w:val="24"/>
          <w:u w:val="single"/>
        </w:rPr>
        <w:t>Combined pain sites n=304</w:t>
      </w:r>
    </w:p>
    <w:p w:rsidR="00DF4F41" w:rsidRPr="00DF4F41" w:rsidRDefault="00DF4F41" w:rsidP="00DF4F41">
      <w:pPr>
        <w:pBdr>
          <w:top w:val="single" w:sz="4" w:space="1" w:color="auto"/>
          <w:left w:val="single" w:sz="4" w:space="4" w:color="auto"/>
          <w:bottom w:val="single" w:sz="4" w:space="1" w:color="auto"/>
          <w:right w:val="single" w:sz="4" w:space="31" w:color="auto"/>
        </w:pBdr>
        <w:spacing w:line="360" w:lineRule="auto"/>
        <w:rPr>
          <w:sz w:val="24"/>
          <w:szCs w:val="24"/>
        </w:rPr>
      </w:pPr>
      <w:r w:rsidRPr="00DF4F41">
        <w:rPr>
          <w:sz w:val="24"/>
          <w:szCs w:val="24"/>
        </w:rPr>
        <w:t>Overall efficacy</w:t>
      </w:r>
      <w:r w:rsidRPr="00DF4F41">
        <w:rPr>
          <w:sz w:val="24"/>
          <w:szCs w:val="24"/>
        </w:rPr>
        <w:tab/>
        <w:t>59.0 (17.9)</w:t>
      </w:r>
      <w:r w:rsidRPr="00DF4F41">
        <w:rPr>
          <w:sz w:val="24"/>
          <w:szCs w:val="24"/>
        </w:rPr>
        <w:tab/>
        <w:t>56.8 (16.7)</w:t>
      </w:r>
      <w:r w:rsidRPr="00DF4F41">
        <w:rPr>
          <w:sz w:val="24"/>
          <w:szCs w:val="24"/>
        </w:rPr>
        <w:tab/>
        <w:t xml:space="preserve">-3.01 </w:t>
      </w:r>
      <w:r w:rsidRPr="00DF4F41">
        <w:rPr>
          <w:sz w:val="24"/>
          <w:szCs w:val="24"/>
        </w:rPr>
        <w:tab/>
      </w:r>
      <w:r w:rsidRPr="00DF4F41">
        <w:rPr>
          <w:sz w:val="24"/>
          <w:szCs w:val="24"/>
        </w:rPr>
        <w:tab/>
        <w:t>0.01</w:t>
      </w:r>
      <w:r w:rsidRPr="00DF4F41">
        <w:rPr>
          <w:sz w:val="24"/>
          <w:szCs w:val="24"/>
        </w:rPr>
        <w:tab/>
        <w:t xml:space="preserve">             -5.25, -0.76</w:t>
      </w:r>
    </w:p>
    <w:p w:rsidR="00DF4F41" w:rsidRPr="00DF4F41" w:rsidRDefault="00DF4F41" w:rsidP="00DF4F41">
      <w:pPr>
        <w:pBdr>
          <w:top w:val="single" w:sz="4" w:space="1" w:color="auto"/>
          <w:left w:val="single" w:sz="4" w:space="4" w:color="auto"/>
          <w:bottom w:val="single" w:sz="4" w:space="1" w:color="auto"/>
          <w:right w:val="single" w:sz="4" w:space="31" w:color="auto"/>
        </w:pBdr>
        <w:spacing w:line="360" w:lineRule="auto"/>
        <w:rPr>
          <w:bCs/>
          <w:sz w:val="24"/>
          <w:szCs w:val="24"/>
          <w:u w:val="single"/>
        </w:rPr>
      </w:pPr>
      <w:r w:rsidRPr="00DF4F41">
        <w:rPr>
          <w:bCs/>
          <w:sz w:val="24"/>
          <w:szCs w:val="24"/>
          <w:u w:val="single"/>
        </w:rPr>
        <w:t>Pain site</w:t>
      </w:r>
    </w:p>
    <w:p w:rsidR="00DF4F41" w:rsidRPr="00DF4F41" w:rsidRDefault="00DF4F41" w:rsidP="00DF4F41">
      <w:pPr>
        <w:pBdr>
          <w:top w:val="single" w:sz="4" w:space="1" w:color="auto"/>
          <w:left w:val="single" w:sz="4" w:space="4" w:color="auto"/>
          <w:bottom w:val="single" w:sz="4" w:space="1" w:color="auto"/>
          <w:right w:val="single" w:sz="4" w:space="31" w:color="auto"/>
        </w:pBdr>
        <w:spacing w:line="360" w:lineRule="auto"/>
        <w:rPr>
          <w:sz w:val="24"/>
          <w:szCs w:val="24"/>
        </w:rPr>
      </w:pPr>
      <w:r w:rsidRPr="00DF4F41">
        <w:rPr>
          <w:sz w:val="24"/>
          <w:szCs w:val="24"/>
        </w:rPr>
        <w:t>Hip/kn only (n=108)</w:t>
      </w:r>
      <w:r w:rsidRPr="00DF4F41">
        <w:rPr>
          <w:sz w:val="24"/>
          <w:szCs w:val="24"/>
        </w:rPr>
        <w:tab/>
        <w:t>55.7 (14.9)</w:t>
      </w:r>
      <w:r w:rsidRPr="00DF4F41">
        <w:rPr>
          <w:sz w:val="24"/>
          <w:szCs w:val="24"/>
        </w:rPr>
        <w:tab/>
        <w:t>55.8 (13.0)</w:t>
      </w:r>
      <w:r w:rsidRPr="00DF4F41">
        <w:rPr>
          <w:sz w:val="24"/>
          <w:szCs w:val="24"/>
        </w:rPr>
        <w:tab/>
        <w:t xml:space="preserve">-2.28 </w:t>
      </w:r>
      <w:r w:rsidRPr="00DF4F41">
        <w:rPr>
          <w:sz w:val="24"/>
          <w:szCs w:val="24"/>
        </w:rPr>
        <w:tab/>
      </w:r>
      <w:r w:rsidRPr="00DF4F41">
        <w:rPr>
          <w:sz w:val="24"/>
          <w:szCs w:val="24"/>
        </w:rPr>
        <w:tab/>
        <w:t>0.15</w:t>
      </w:r>
      <w:r w:rsidRPr="00DF4F41">
        <w:rPr>
          <w:sz w:val="24"/>
          <w:szCs w:val="24"/>
        </w:rPr>
        <w:tab/>
      </w:r>
      <w:r w:rsidRPr="00DF4F41">
        <w:rPr>
          <w:sz w:val="24"/>
          <w:szCs w:val="24"/>
        </w:rPr>
        <w:tab/>
        <w:t>-5.64, 0.89</w:t>
      </w:r>
    </w:p>
    <w:p w:rsidR="00DF4F41" w:rsidRPr="00DF4F41" w:rsidRDefault="00DF4F41" w:rsidP="00DF4F41">
      <w:pPr>
        <w:pBdr>
          <w:top w:val="single" w:sz="4" w:space="1" w:color="auto"/>
          <w:left w:val="single" w:sz="4" w:space="4" w:color="auto"/>
          <w:bottom w:val="single" w:sz="4" w:space="1" w:color="auto"/>
          <w:right w:val="single" w:sz="4" w:space="31" w:color="auto"/>
        </w:pBdr>
        <w:spacing w:line="360" w:lineRule="auto"/>
        <w:rPr>
          <w:sz w:val="24"/>
          <w:szCs w:val="24"/>
        </w:rPr>
      </w:pPr>
      <w:r w:rsidRPr="00DF4F41">
        <w:rPr>
          <w:sz w:val="24"/>
          <w:szCs w:val="24"/>
        </w:rPr>
        <w:t>LBP only (n=108)</w:t>
      </w:r>
      <w:r w:rsidRPr="00DF4F41">
        <w:rPr>
          <w:sz w:val="24"/>
          <w:szCs w:val="24"/>
        </w:rPr>
        <w:tab/>
        <w:t>56.3 (20.4)</w:t>
      </w:r>
      <w:r w:rsidRPr="00DF4F41">
        <w:rPr>
          <w:sz w:val="24"/>
          <w:szCs w:val="24"/>
        </w:rPr>
        <w:tab/>
        <w:t>55.7 (16.7)</w:t>
      </w:r>
      <w:r w:rsidRPr="00DF4F41">
        <w:rPr>
          <w:sz w:val="24"/>
          <w:szCs w:val="24"/>
        </w:rPr>
        <w:tab/>
        <w:t xml:space="preserve">-4.17 </w:t>
      </w:r>
      <w:r w:rsidRPr="00DF4F41">
        <w:rPr>
          <w:sz w:val="24"/>
          <w:szCs w:val="24"/>
        </w:rPr>
        <w:tab/>
      </w:r>
      <w:r w:rsidRPr="00DF4F41">
        <w:rPr>
          <w:sz w:val="24"/>
          <w:szCs w:val="24"/>
        </w:rPr>
        <w:tab/>
        <w:t>0.16</w:t>
      </w:r>
      <w:r w:rsidRPr="00DF4F41">
        <w:rPr>
          <w:sz w:val="24"/>
          <w:szCs w:val="24"/>
        </w:rPr>
        <w:tab/>
        <w:t xml:space="preserve">            -10.00, 1.66</w:t>
      </w:r>
    </w:p>
    <w:p w:rsidR="00DF4F41" w:rsidRPr="00DF4F41" w:rsidRDefault="00DF4F41" w:rsidP="00DF4F41">
      <w:pPr>
        <w:pBdr>
          <w:top w:val="single" w:sz="4" w:space="1" w:color="auto"/>
          <w:left w:val="single" w:sz="4" w:space="4" w:color="auto"/>
          <w:bottom w:val="single" w:sz="4" w:space="1" w:color="auto"/>
          <w:right w:val="single" w:sz="4" w:space="31" w:color="auto"/>
        </w:pBdr>
        <w:spacing w:line="360" w:lineRule="auto"/>
        <w:rPr>
          <w:sz w:val="24"/>
          <w:szCs w:val="24"/>
        </w:rPr>
      </w:pPr>
      <w:r w:rsidRPr="00DF4F41">
        <w:rPr>
          <w:sz w:val="24"/>
          <w:szCs w:val="24"/>
        </w:rPr>
        <w:t>LBP &amp; hip/kn (n=133)</w:t>
      </w:r>
      <w:r w:rsidRPr="00DF4F41">
        <w:rPr>
          <w:sz w:val="24"/>
          <w:szCs w:val="24"/>
        </w:rPr>
        <w:tab/>
        <w:t>62.2 (18.1)</w:t>
      </w:r>
      <w:r w:rsidRPr="00DF4F41">
        <w:rPr>
          <w:sz w:val="24"/>
          <w:szCs w:val="24"/>
        </w:rPr>
        <w:tab/>
        <w:t xml:space="preserve"> 60.2 (14.0)</w:t>
      </w:r>
      <w:r w:rsidRPr="00DF4F41">
        <w:rPr>
          <w:sz w:val="24"/>
          <w:szCs w:val="24"/>
        </w:rPr>
        <w:tab/>
        <w:t>-3.77</w:t>
      </w:r>
      <w:r w:rsidRPr="00DF4F41">
        <w:rPr>
          <w:sz w:val="24"/>
          <w:szCs w:val="24"/>
        </w:rPr>
        <w:tab/>
      </w:r>
      <w:r w:rsidRPr="00DF4F41">
        <w:rPr>
          <w:sz w:val="24"/>
          <w:szCs w:val="24"/>
        </w:rPr>
        <w:tab/>
        <w:t>0.02</w:t>
      </w:r>
      <w:r w:rsidRPr="00DF4F41">
        <w:rPr>
          <w:sz w:val="24"/>
          <w:szCs w:val="24"/>
        </w:rPr>
        <w:tab/>
        <w:t xml:space="preserve">             -6.92, -0.61</w:t>
      </w:r>
    </w:p>
    <w:p w:rsidR="00DF4F41" w:rsidRPr="00DF4F41" w:rsidRDefault="00DF4F41" w:rsidP="00DF4F41">
      <w:pPr>
        <w:pBdr>
          <w:top w:val="single" w:sz="4" w:space="1" w:color="auto"/>
          <w:left w:val="single" w:sz="4" w:space="4" w:color="auto"/>
          <w:bottom w:val="single" w:sz="4" w:space="1" w:color="auto"/>
          <w:right w:val="single" w:sz="4" w:space="31" w:color="auto"/>
        </w:pBdr>
        <w:spacing w:line="360" w:lineRule="auto"/>
        <w:rPr>
          <w:b/>
          <w:sz w:val="24"/>
          <w:szCs w:val="24"/>
        </w:rPr>
      </w:pPr>
      <w:r w:rsidRPr="00DF4F41">
        <w:rPr>
          <w:b/>
          <w:sz w:val="24"/>
          <w:szCs w:val="24"/>
        </w:rPr>
        <w:t xml:space="preserve">B. Secondary outcomes </w:t>
      </w:r>
      <w:r w:rsidRPr="00DF4F41">
        <w:rPr>
          <w:b/>
          <w:bCs/>
          <w:sz w:val="24"/>
          <w:szCs w:val="24"/>
        </w:rPr>
        <w:t>measured at 6 months</w:t>
      </w:r>
      <w:r w:rsidRPr="00DF4F41">
        <w:rPr>
          <w:b/>
          <w:sz w:val="24"/>
          <w:szCs w:val="24"/>
        </w:rPr>
        <w:t xml:space="preserve"> (combined pain sites)</w:t>
      </w:r>
    </w:p>
    <w:p w:rsidR="00DF4F41" w:rsidRPr="00DF4F41" w:rsidRDefault="00DF4F41" w:rsidP="00DF4F41">
      <w:pPr>
        <w:pBdr>
          <w:top w:val="single" w:sz="4" w:space="1" w:color="auto"/>
          <w:left w:val="single" w:sz="4" w:space="4" w:color="auto"/>
          <w:bottom w:val="single" w:sz="4" w:space="1" w:color="auto"/>
          <w:right w:val="single" w:sz="4" w:space="31" w:color="auto"/>
        </w:pBdr>
        <w:spacing w:line="360" w:lineRule="auto"/>
        <w:rPr>
          <w:sz w:val="24"/>
          <w:szCs w:val="24"/>
        </w:rPr>
      </w:pPr>
      <w:r w:rsidRPr="00DF4F41">
        <w:rPr>
          <w:sz w:val="24"/>
          <w:szCs w:val="24"/>
        </w:rPr>
        <w:t>McGill</w:t>
      </w:r>
      <w:r w:rsidRPr="00DF4F41">
        <w:rPr>
          <w:sz w:val="24"/>
          <w:szCs w:val="24"/>
        </w:rPr>
        <w:tab/>
      </w:r>
      <w:r w:rsidRPr="00DF4F41">
        <w:rPr>
          <w:sz w:val="24"/>
          <w:szCs w:val="24"/>
        </w:rPr>
        <w:tab/>
      </w:r>
      <w:r w:rsidRPr="00DF4F41">
        <w:rPr>
          <w:sz w:val="24"/>
          <w:szCs w:val="24"/>
        </w:rPr>
        <w:tab/>
        <w:t>2.6 (2.1)</w:t>
      </w:r>
      <w:r w:rsidRPr="00DF4F41">
        <w:rPr>
          <w:sz w:val="24"/>
          <w:szCs w:val="24"/>
        </w:rPr>
        <w:tab/>
        <w:t>2.3 (2.0)</w:t>
      </w:r>
      <w:r w:rsidRPr="00DF4F41">
        <w:rPr>
          <w:sz w:val="24"/>
          <w:szCs w:val="24"/>
        </w:rPr>
        <w:tab/>
        <w:t>-0.23</w:t>
      </w:r>
      <w:r w:rsidRPr="00DF4F41">
        <w:rPr>
          <w:sz w:val="24"/>
          <w:szCs w:val="24"/>
        </w:rPr>
        <w:tab/>
      </w:r>
      <w:r w:rsidRPr="00DF4F41">
        <w:rPr>
          <w:sz w:val="24"/>
          <w:szCs w:val="24"/>
        </w:rPr>
        <w:tab/>
        <w:t>0.28</w:t>
      </w:r>
      <w:r w:rsidRPr="00DF4F41">
        <w:rPr>
          <w:sz w:val="24"/>
          <w:szCs w:val="24"/>
        </w:rPr>
        <w:tab/>
      </w:r>
      <w:r w:rsidRPr="00DF4F41">
        <w:rPr>
          <w:sz w:val="24"/>
          <w:szCs w:val="24"/>
        </w:rPr>
        <w:tab/>
        <w:t>-0.65, 0.19</w:t>
      </w:r>
    </w:p>
    <w:p w:rsidR="00DF4F41" w:rsidRPr="00DF4F41" w:rsidRDefault="00DF4F41" w:rsidP="00DF4F41">
      <w:pPr>
        <w:pBdr>
          <w:top w:val="single" w:sz="4" w:space="1" w:color="auto"/>
          <w:left w:val="single" w:sz="4" w:space="4" w:color="auto"/>
          <w:bottom w:val="single" w:sz="4" w:space="1" w:color="auto"/>
          <w:right w:val="single" w:sz="4" w:space="31" w:color="auto"/>
        </w:pBdr>
        <w:spacing w:line="360" w:lineRule="auto"/>
        <w:rPr>
          <w:sz w:val="24"/>
          <w:szCs w:val="24"/>
        </w:rPr>
      </w:pPr>
      <w:r w:rsidRPr="00DF4F41">
        <w:rPr>
          <w:sz w:val="24"/>
          <w:szCs w:val="24"/>
        </w:rPr>
        <w:t>HADS</w:t>
      </w:r>
      <w:r w:rsidRPr="00DF4F41">
        <w:rPr>
          <w:sz w:val="24"/>
          <w:szCs w:val="24"/>
        </w:rPr>
        <w:tab/>
      </w:r>
    </w:p>
    <w:p w:rsidR="00DF4F41" w:rsidRPr="00DF4F41" w:rsidRDefault="00DF4F41" w:rsidP="00DF4F41">
      <w:pPr>
        <w:pBdr>
          <w:top w:val="single" w:sz="4" w:space="1" w:color="auto"/>
          <w:left w:val="single" w:sz="4" w:space="4" w:color="auto"/>
          <w:bottom w:val="single" w:sz="4" w:space="1" w:color="auto"/>
          <w:right w:val="single" w:sz="4" w:space="31" w:color="auto"/>
        </w:pBdr>
        <w:spacing w:line="360" w:lineRule="auto"/>
        <w:ind w:firstLine="720"/>
        <w:rPr>
          <w:sz w:val="24"/>
          <w:szCs w:val="24"/>
        </w:rPr>
      </w:pPr>
      <w:r w:rsidRPr="00DF4F41">
        <w:rPr>
          <w:sz w:val="24"/>
          <w:szCs w:val="24"/>
        </w:rPr>
        <w:t>Anxiety</w:t>
      </w:r>
      <w:r w:rsidRPr="00DF4F41">
        <w:rPr>
          <w:sz w:val="24"/>
          <w:szCs w:val="24"/>
        </w:rPr>
        <w:tab/>
        <w:t>5.3 (3.8)</w:t>
      </w:r>
      <w:r w:rsidRPr="00DF4F41">
        <w:rPr>
          <w:sz w:val="24"/>
          <w:szCs w:val="24"/>
        </w:rPr>
        <w:tab/>
        <w:t>5.0 (3.4)</w:t>
      </w:r>
      <w:r w:rsidRPr="00DF4F41">
        <w:rPr>
          <w:sz w:val="24"/>
          <w:szCs w:val="24"/>
        </w:rPr>
        <w:tab/>
        <w:t>-0.21</w:t>
      </w:r>
      <w:r w:rsidRPr="00DF4F41">
        <w:rPr>
          <w:sz w:val="24"/>
          <w:szCs w:val="24"/>
        </w:rPr>
        <w:tab/>
      </w:r>
      <w:r w:rsidRPr="00DF4F41">
        <w:rPr>
          <w:sz w:val="24"/>
          <w:szCs w:val="24"/>
        </w:rPr>
        <w:tab/>
        <w:t>0.78</w:t>
      </w:r>
      <w:r w:rsidRPr="00DF4F41">
        <w:rPr>
          <w:sz w:val="24"/>
          <w:szCs w:val="24"/>
        </w:rPr>
        <w:tab/>
      </w:r>
      <w:r w:rsidRPr="00DF4F41">
        <w:rPr>
          <w:sz w:val="24"/>
          <w:szCs w:val="24"/>
        </w:rPr>
        <w:tab/>
        <w:t>-0.91, 0.68</w:t>
      </w:r>
    </w:p>
    <w:p w:rsidR="00DF4F41" w:rsidRPr="00DF4F41" w:rsidRDefault="00DF4F41" w:rsidP="00DF4F41">
      <w:pPr>
        <w:pBdr>
          <w:top w:val="single" w:sz="4" w:space="1" w:color="auto"/>
          <w:left w:val="single" w:sz="4" w:space="4" w:color="auto"/>
          <w:bottom w:val="single" w:sz="4" w:space="1" w:color="auto"/>
          <w:right w:val="single" w:sz="4" w:space="31" w:color="auto"/>
        </w:pBdr>
        <w:spacing w:line="360" w:lineRule="auto"/>
        <w:rPr>
          <w:sz w:val="24"/>
          <w:szCs w:val="24"/>
        </w:rPr>
      </w:pPr>
      <w:r w:rsidRPr="00DF4F41">
        <w:rPr>
          <w:sz w:val="24"/>
          <w:szCs w:val="24"/>
        </w:rPr>
        <w:tab/>
        <w:t>Depression</w:t>
      </w:r>
      <w:r w:rsidRPr="00DF4F41">
        <w:rPr>
          <w:sz w:val="24"/>
          <w:szCs w:val="24"/>
        </w:rPr>
        <w:tab/>
        <w:t>3.9 (2.9)</w:t>
      </w:r>
      <w:r w:rsidRPr="00DF4F41">
        <w:rPr>
          <w:sz w:val="24"/>
          <w:szCs w:val="24"/>
        </w:rPr>
        <w:tab/>
        <w:t>3.7 (2.8)</w:t>
      </w:r>
      <w:r w:rsidRPr="00DF4F41">
        <w:rPr>
          <w:sz w:val="24"/>
          <w:szCs w:val="24"/>
        </w:rPr>
        <w:tab/>
        <w:t>0.05</w:t>
      </w:r>
      <w:r w:rsidRPr="00DF4F41">
        <w:rPr>
          <w:sz w:val="24"/>
          <w:szCs w:val="24"/>
        </w:rPr>
        <w:tab/>
      </w:r>
      <w:r w:rsidRPr="00DF4F41">
        <w:rPr>
          <w:sz w:val="24"/>
          <w:szCs w:val="24"/>
        </w:rPr>
        <w:tab/>
        <w:t>0.84</w:t>
      </w:r>
      <w:r w:rsidRPr="00DF4F41">
        <w:rPr>
          <w:sz w:val="24"/>
          <w:szCs w:val="24"/>
        </w:rPr>
        <w:tab/>
      </w:r>
      <w:r w:rsidRPr="00DF4F41">
        <w:rPr>
          <w:sz w:val="24"/>
          <w:szCs w:val="24"/>
        </w:rPr>
        <w:tab/>
        <w:t>-0.42, 0.52</w:t>
      </w:r>
    </w:p>
    <w:p w:rsidR="00DF4F41" w:rsidRPr="00DF4F41" w:rsidRDefault="00DF4F41" w:rsidP="00DF4F41">
      <w:pPr>
        <w:pBdr>
          <w:top w:val="single" w:sz="4" w:space="1" w:color="auto"/>
          <w:left w:val="single" w:sz="4" w:space="4" w:color="auto"/>
          <w:bottom w:val="single" w:sz="4" w:space="1" w:color="auto"/>
          <w:right w:val="single" w:sz="4" w:space="31" w:color="auto"/>
        </w:pBdr>
        <w:spacing w:line="360" w:lineRule="auto"/>
        <w:rPr>
          <w:sz w:val="24"/>
          <w:szCs w:val="24"/>
        </w:rPr>
      </w:pPr>
      <w:r w:rsidRPr="00DF4F41">
        <w:rPr>
          <w:sz w:val="24"/>
          <w:szCs w:val="24"/>
        </w:rPr>
        <w:t>Self-Efficacy</w:t>
      </w:r>
      <w:r w:rsidRPr="00DF4F41">
        <w:rPr>
          <w:sz w:val="24"/>
          <w:szCs w:val="24"/>
        </w:rPr>
        <w:tab/>
      </w:r>
      <w:r w:rsidRPr="00DF4F41">
        <w:rPr>
          <w:sz w:val="24"/>
          <w:szCs w:val="24"/>
        </w:rPr>
        <w:tab/>
        <w:t>79.2 (9.8)</w:t>
      </w:r>
      <w:r w:rsidRPr="00DF4F41">
        <w:rPr>
          <w:sz w:val="24"/>
          <w:szCs w:val="24"/>
        </w:rPr>
        <w:tab/>
        <w:t>80.5 (9.3)</w:t>
      </w:r>
      <w:r w:rsidRPr="00DF4F41">
        <w:rPr>
          <w:sz w:val="24"/>
          <w:szCs w:val="24"/>
        </w:rPr>
        <w:tab/>
        <w:t>1.69</w:t>
      </w:r>
      <w:r w:rsidRPr="00DF4F41">
        <w:rPr>
          <w:sz w:val="24"/>
          <w:szCs w:val="24"/>
        </w:rPr>
        <w:tab/>
      </w:r>
      <w:r w:rsidRPr="00DF4F41">
        <w:rPr>
          <w:sz w:val="24"/>
          <w:szCs w:val="24"/>
        </w:rPr>
        <w:tab/>
        <w:t>0.09</w:t>
      </w:r>
      <w:r w:rsidRPr="00DF4F41">
        <w:rPr>
          <w:sz w:val="24"/>
          <w:szCs w:val="24"/>
        </w:rPr>
        <w:tab/>
      </w:r>
      <w:r w:rsidRPr="00DF4F41">
        <w:rPr>
          <w:sz w:val="24"/>
          <w:szCs w:val="24"/>
        </w:rPr>
        <w:tab/>
        <w:t>-0.27, 3.65</w:t>
      </w:r>
    </w:p>
    <w:p w:rsidR="00DF4F41" w:rsidRPr="00DF4F41" w:rsidRDefault="00DF4F41" w:rsidP="00DF4F41">
      <w:pPr>
        <w:pBdr>
          <w:top w:val="single" w:sz="4" w:space="1" w:color="auto"/>
          <w:left w:val="single" w:sz="4" w:space="4" w:color="auto"/>
          <w:bottom w:val="single" w:sz="4" w:space="1" w:color="auto"/>
          <w:right w:val="single" w:sz="4" w:space="31" w:color="auto"/>
        </w:pBdr>
        <w:spacing w:line="360" w:lineRule="auto"/>
        <w:rPr>
          <w:sz w:val="24"/>
          <w:szCs w:val="24"/>
        </w:rPr>
      </w:pPr>
      <w:r w:rsidRPr="00DF4F41">
        <w:rPr>
          <w:sz w:val="24"/>
          <w:szCs w:val="24"/>
        </w:rPr>
        <w:t>AFPT</w:t>
      </w:r>
    </w:p>
    <w:p w:rsidR="00DF4F41" w:rsidRPr="00DF4F41" w:rsidRDefault="00DF4F41" w:rsidP="00DF4F41">
      <w:pPr>
        <w:pBdr>
          <w:top w:val="single" w:sz="4" w:space="1" w:color="auto"/>
          <w:left w:val="single" w:sz="4" w:space="4" w:color="auto"/>
          <w:bottom w:val="single" w:sz="4" w:space="1" w:color="auto"/>
          <w:right w:val="single" w:sz="4" w:space="31" w:color="auto"/>
        </w:pBdr>
        <w:spacing w:line="360" w:lineRule="auto"/>
        <w:ind w:firstLine="720"/>
        <w:rPr>
          <w:sz w:val="24"/>
          <w:szCs w:val="24"/>
        </w:rPr>
      </w:pPr>
      <w:r w:rsidRPr="00DF4F41">
        <w:rPr>
          <w:sz w:val="24"/>
          <w:szCs w:val="24"/>
        </w:rPr>
        <w:t>50ft walk</w:t>
      </w:r>
      <w:r w:rsidRPr="00DF4F41">
        <w:rPr>
          <w:sz w:val="24"/>
          <w:szCs w:val="24"/>
        </w:rPr>
        <w:tab/>
        <w:t>13.2 (4.0)</w:t>
      </w:r>
      <w:r w:rsidRPr="00DF4F41">
        <w:rPr>
          <w:sz w:val="24"/>
          <w:szCs w:val="24"/>
        </w:rPr>
        <w:tab/>
        <w:t>12.5 (2.9)</w:t>
      </w:r>
      <w:r w:rsidRPr="00DF4F41">
        <w:rPr>
          <w:sz w:val="24"/>
          <w:szCs w:val="24"/>
        </w:rPr>
        <w:tab/>
        <w:t>-0.81</w:t>
      </w:r>
      <w:r w:rsidRPr="00DF4F41">
        <w:rPr>
          <w:sz w:val="24"/>
          <w:szCs w:val="24"/>
        </w:rPr>
        <w:tab/>
      </w:r>
      <w:r w:rsidRPr="00DF4F41">
        <w:rPr>
          <w:sz w:val="24"/>
          <w:szCs w:val="24"/>
        </w:rPr>
        <w:tab/>
        <w:t>0.10</w:t>
      </w:r>
      <w:r w:rsidRPr="00DF4F41">
        <w:rPr>
          <w:sz w:val="24"/>
          <w:szCs w:val="24"/>
        </w:rPr>
        <w:tab/>
      </w:r>
      <w:r w:rsidRPr="00DF4F41">
        <w:rPr>
          <w:sz w:val="24"/>
          <w:szCs w:val="24"/>
        </w:rPr>
        <w:tab/>
        <w:t>-1.76, 0.15</w:t>
      </w:r>
    </w:p>
    <w:p w:rsidR="00DF4F41" w:rsidRPr="00DF4F41" w:rsidRDefault="00DF4F41" w:rsidP="00DF4F41">
      <w:pPr>
        <w:pBdr>
          <w:top w:val="single" w:sz="4" w:space="1" w:color="auto"/>
          <w:left w:val="single" w:sz="4" w:space="4" w:color="auto"/>
          <w:bottom w:val="single" w:sz="4" w:space="1" w:color="auto"/>
          <w:right w:val="single" w:sz="4" w:space="31" w:color="auto"/>
        </w:pBdr>
        <w:autoSpaceDE w:val="0"/>
        <w:autoSpaceDN w:val="0"/>
        <w:spacing w:line="360" w:lineRule="auto"/>
        <w:jc w:val="both"/>
        <w:rPr>
          <w:sz w:val="24"/>
          <w:szCs w:val="24"/>
        </w:rPr>
      </w:pPr>
      <w:r w:rsidRPr="00DF4F41">
        <w:rPr>
          <w:sz w:val="24"/>
          <w:szCs w:val="24"/>
        </w:rPr>
        <w:tab/>
        <w:t>Stairs ascend</w:t>
      </w:r>
      <w:r w:rsidRPr="00DF4F41">
        <w:rPr>
          <w:sz w:val="24"/>
          <w:szCs w:val="24"/>
        </w:rPr>
        <w:tab/>
        <w:t>12.7 (9.7)</w:t>
      </w:r>
      <w:r w:rsidRPr="00DF4F41">
        <w:rPr>
          <w:sz w:val="24"/>
          <w:szCs w:val="24"/>
        </w:rPr>
        <w:tab/>
        <w:t>13.4 (10.77)</w:t>
      </w:r>
      <w:r w:rsidRPr="00DF4F41">
        <w:rPr>
          <w:sz w:val="24"/>
          <w:szCs w:val="24"/>
        </w:rPr>
        <w:tab/>
        <w:t>0.52</w:t>
      </w:r>
      <w:r w:rsidRPr="00DF4F41">
        <w:rPr>
          <w:sz w:val="24"/>
          <w:szCs w:val="24"/>
        </w:rPr>
        <w:tab/>
      </w:r>
      <w:r w:rsidRPr="00DF4F41">
        <w:rPr>
          <w:sz w:val="24"/>
          <w:szCs w:val="24"/>
        </w:rPr>
        <w:tab/>
        <w:t>0.97</w:t>
      </w:r>
      <w:r w:rsidRPr="00DF4F41">
        <w:rPr>
          <w:sz w:val="24"/>
          <w:szCs w:val="24"/>
        </w:rPr>
        <w:tab/>
      </w:r>
      <w:r w:rsidRPr="00DF4F41">
        <w:rPr>
          <w:sz w:val="24"/>
          <w:szCs w:val="24"/>
        </w:rPr>
        <w:tab/>
        <w:t>-2.00, 3.08</w:t>
      </w:r>
    </w:p>
    <w:p w:rsidR="00DF4F41" w:rsidRPr="00DF4F41" w:rsidRDefault="00DF4F41" w:rsidP="00DF4F41">
      <w:pPr>
        <w:pBdr>
          <w:top w:val="single" w:sz="4" w:space="1" w:color="auto"/>
          <w:left w:val="single" w:sz="4" w:space="4" w:color="auto"/>
          <w:bottom w:val="single" w:sz="4" w:space="1" w:color="auto"/>
          <w:right w:val="single" w:sz="4" w:space="31" w:color="auto"/>
        </w:pBdr>
        <w:autoSpaceDE w:val="0"/>
        <w:autoSpaceDN w:val="0"/>
        <w:spacing w:line="360" w:lineRule="auto"/>
        <w:ind w:firstLine="720"/>
        <w:jc w:val="both"/>
        <w:rPr>
          <w:sz w:val="24"/>
          <w:szCs w:val="24"/>
        </w:rPr>
      </w:pPr>
      <w:r w:rsidRPr="00DF4F41">
        <w:rPr>
          <w:sz w:val="24"/>
          <w:szCs w:val="24"/>
        </w:rPr>
        <w:t>Stairs descend</w:t>
      </w:r>
      <w:r w:rsidRPr="00DF4F41">
        <w:rPr>
          <w:sz w:val="24"/>
          <w:szCs w:val="24"/>
        </w:rPr>
        <w:tab/>
        <w:t xml:space="preserve"> 5.8 (6.3)</w:t>
      </w:r>
      <w:r w:rsidRPr="00DF4F41">
        <w:rPr>
          <w:sz w:val="24"/>
          <w:szCs w:val="24"/>
        </w:rPr>
        <w:tab/>
        <w:t>4.9 (4.7)</w:t>
      </w:r>
      <w:r w:rsidRPr="00DF4F41">
        <w:rPr>
          <w:sz w:val="24"/>
          <w:szCs w:val="24"/>
        </w:rPr>
        <w:tab/>
        <w:t>-1.14</w:t>
      </w:r>
      <w:r w:rsidRPr="00DF4F41">
        <w:rPr>
          <w:sz w:val="24"/>
          <w:szCs w:val="24"/>
        </w:rPr>
        <w:tab/>
      </w:r>
      <w:r w:rsidRPr="00DF4F41">
        <w:rPr>
          <w:sz w:val="24"/>
          <w:szCs w:val="24"/>
        </w:rPr>
        <w:tab/>
        <w:t>0.12</w:t>
      </w:r>
      <w:r w:rsidRPr="00DF4F41">
        <w:rPr>
          <w:sz w:val="24"/>
          <w:szCs w:val="24"/>
        </w:rPr>
        <w:tab/>
      </w:r>
      <w:r w:rsidRPr="00DF4F41">
        <w:rPr>
          <w:sz w:val="24"/>
          <w:szCs w:val="24"/>
        </w:rPr>
        <w:tab/>
        <w:t>-2.58, 0.30</w:t>
      </w:r>
    </w:p>
    <w:p w:rsidR="00DF4F41" w:rsidRPr="00DF4F41" w:rsidRDefault="00DF4F41" w:rsidP="00DF4F41">
      <w:pPr>
        <w:pBdr>
          <w:top w:val="single" w:sz="4" w:space="1" w:color="auto"/>
          <w:left w:val="single" w:sz="4" w:space="4" w:color="auto"/>
          <w:bottom w:val="single" w:sz="4" w:space="1" w:color="auto"/>
          <w:right w:val="single" w:sz="4" w:space="31" w:color="auto"/>
        </w:pBdr>
        <w:autoSpaceDE w:val="0"/>
        <w:autoSpaceDN w:val="0"/>
        <w:spacing w:line="360" w:lineRule="auto"/>
        <w:ind w:firstLine="720"/>
        <w:jc w:val="both"/>
        <w:rPr>
          <w:sz w:val="24"/>
          <w:szCs w:val="24"/>
        </w:rPr>
      </w:pPr>
      <w:r w:rsidRPr="00DF4F41">
        <w:rPr>
          <w:sz w:val="24"/>
          <w:szCs w:val="24"/>
        </w:rPr>
        <w:t>TUAG</w:t>
      </w:r>
      <w:r w:rsidRPr="00DF4F41">
        <w:rPr>
          <w:sz w:val="24"/>
          <w:szCs w:val="24"/>
        </w:rPr>
        <w:tab/>
      </w:r>
      <w:r w:rsidRPr="00DF4F41">
        <w:rPr>
          <w:sz w:val="24"/>
          <w:szCs w:val="24"/>
        </w:rPr>
        <w:tab/>
        <w:t>9.6 (3.5)</w:t>
      </w:r>
      <w:r w:rsidRPr="00DF4F41">
        <w:rPr>
          <w:sz w:val="24"/>
          <w:szCs w:val="24"/>
        </w:rPr>
        <w:tab/>
        <w:t>8.9 (2.7)</w:t>
      </w:r>
      <w:r w:rsidRPr="00DF4F41">
        <w:rPr>
          <w:sz w:val="24"/>
          <w:szCs w:val="24"/>
        </w:rPr>
        <w:tab/>
        <w:t>-0.82</w:t>
      </w:r>
      <w:r w:rsidRPr="00DF4F41">
        <w:rPr>
          <w:sz w:val="24"/>
          <w:szCs w:val="24"/>
        </w:rPr>
        <w:tab/>
      </w:r>
      <w:r w:rsidRPr="00DF4F41">
        <w:rPr>
          <w:sz w:val="24"/>
          <w:szCs w:val="24"/>
        </w:rPr>
        <w:tab/>
        <w:t>0.04</w:t>
      </w:r>
      <w:r w:rsidRPr="00DF4F41">
        <w:rPr>
          <w:sz w:val="24"/>
          <w:szCs w:val="24"/>
        </w:rPr>
        <w:tab/>
        <w:t xml:space="preserve">             -1.61, -0.04</w:t>
      </w:r>
    </w:p>
    <w:p w:rsidR="00DF4F41" w:rsidRPr="00DF4F41" w:rsidRDefault="00DF4F41" w:rsidP="00DF4F41">
      <w:pPr>
        <w:spacing w:after="120" w:line="480" w:lineRule="auto"/>
        <w:jc w:val="both"/>
        <w:rPr>
          <w:sz w:val="24"/>
          <w:szCs w:val="24"/>
        </w:rPr>
      </w:pPr>
      <w:r w:rsidRPr="00DF4F41">
        <w:rPr>
          <w:sz w:val="24"/>
          <w:szCs w:val="24"/>
        </w:rPr>
        <w:t>*Efficacy: effect size obtained from mixed model analysis</w:t>
      </w:r>
    </w:p>
    <w:p w:rsidR="00DF4F41" w:rsidRPr="00DF4F41" w:rsidRDefault="00DF4F41" w:rsidP="00DF4F41">
      <w:pPr>
        <w:spacing w:after="120" w:line="480" w:lineRule="auto"/>
        <w:jc w:val="both"/>
        <w:rPr>
          <w:sz w:val="24"/>
          <w:szCs w:val="24"/>
        </w:rPr>
      </w:pPr>
      <w:r w:rsidRPr="00DF4F41">
        <w:rPr>
          <w:rFonts w:cs="Melior"/>
          <w:sz w:val="18"/>
          <w:szCs w:val="24"/>
        </w:rPr>
        <w:lastRenderedPageBreak/>
        <w:t>DI-SMFA – Dysfunction Index Short Musculoskeletal Functional Assessment; AFPT – Aggregate Functional Performance Time; HADS – Hospital Anxiety and Depression Scale</w:t>
      </w:r>
    </w:p>
    <w:p w:rsidR="00DF4F41" w:rsidRPr="00DF4F41" w:rsidRDefault="00DF4F41" w:rsidP="00DF4F41">
      <w:pPr>
        <w:pStyle w:val="Default"/>
        <w:spacing w:line="480" w:lineRule="auto"/>
        <w:jc w:val="both"/>
        <w:rPr>
          <w:rFonts w:asciiTheme="minorHAnsi" w:hAnsiTheme="minorHAnsi" w:cstheme="minorHAnsi"/>
          <w:color w:val="auto"/>
        </w:rPr>
      </w:pPr>
    </w:p>
    <w:p w:rsidR="00DF4F41" w:rsidRPr="00DF4F41" w:rsidRDefault="00DF4F41" w:rsidP="00DF4F41">
      <w:pPr>
        <w:pStyle w:val="Default"/>
        <w:spacing w:line="480" w:lineRule="auto"/>
        <w:jc w:val="both"/>
        <w:rPr>
          <w:rFonts w:asciiTheme="minorHAnsi" w:hAnsiTheme="minorHAnsi" w:cstheme="minorHAnsi"/>
          <w:color w:val="auto"/>
        </w:rPr>
      </w:pPr>
      <w:r w:rsidRPr="00DF4F41">
        <w:rPr>
          <w:rFonts w:asciiTheme="minorHAnsi" w:hAnsiTheme="minorHAnsi" w:cstheme="minorHAnsi"/>
        </w:rPr>
        <w:t>Considering each pain site, the efficacy of the intervention on the DI-</w:t>
      </w:r>
      <w:r w:rsidRPr="00DF4F41">
        <w:rPr>
          <w:rFonts w:asciiTheme="minorHAnsi" w:hAnsiTheme="minorHAnsi" w:cstheme="minorHAnsi"/>
          <w:lang w:eastAsia="en-GB"/>
        </w:rPr>
        <w:t xml:space="preserve">SMFA scores measured at 6 months was statistically significant among patients presenting with combined LBP and hip/knee pain (-3.77; </w:t>
      </w:r>
      <w:r w:rsidRPr="00DF4F41">
        <w:rPr>
          <w:rFonts w:asciiTheme="minorHAnsi" w:hAnsiTheme="minorHAnsi" w:cstheme="minorHAnsi"/>
        </w:rPr>
        <w:t>95% CI: -6.92, -0.61; p=0.02</w:t>
      </w:r>
      <w:r w:rsidRPr="00DF4F41">
        <w:rPr>
          <w:rFonts w:asciiTheme="minorHAnsi" w:hAnsiTheme="minorHAnsi" w:cstheme="minorHAnsi"/>
          <w:lang w:eastAsia="en-GB"/>
        </w:rPr>
        <w:t xml:space="preserve">) (Table 2). Despite substantial </w:t>
      </w:r>
      <w:r w:rsidRPr="00DF4F41">
        <w:rPr>
          <w:rFonts w:asciiTheme="minorHAnsi" w:hAnsiTheme="minorHAnsi" w:cstheme="minorHAnsi"/>
        </w:rPr>
        <w:t>efficacy from the intervention among patients with both LBP only, and lower limb hip/knee pain only, these results were</w:t>
      </w:r>
      <w:r w:rsidRPr="00DF4F41">
        <w:rPr>
          <w:rFonts w:asciiTheme="minorHAnsi" w:hAnsiTheme="minorHAnsi" w:cstheme="minorHAnsi"/>
          <w:lang w:eastAsia="en-GB"/>
        </w:rPr>
        <w:t xml:space="preserve"> not statistically significant (-4.17; </w:t>
      </w:r>
      <w:r w:rsidRPr="00DF4F41">
        <w:rPr>
          <w:rFonts w:asciiTheme="minorHAnsi" w:hAnsiTheme="minorHAnsi" w:cstheme="minorHAnsi"/>
        </w:rPr>
        <w:t>95%CI: -10.0, 1.66; p=0.16</w:t>
      </w:r>
      <w:r w:rsidRPr="00DF4F41">
        <w:rPr>
          <w:rFonts w:asciiTheme="minorHAnsi" w:hAnsiTheme="minorHAnsi" w:cstheme="minorHAnsi"/>
          <w:lang w:eastAsia="en-GB"/>
        </w:rPr>
        <w:t xml:space="preserve"> and –2.28; </w:t>
      </w:r>
      <w:r w:rsidRPr="00DF4F41">
        <w:rPr>
          <w:rFonts w:asciiTheme="minorHAnsi" w:hAnsiTheme="minorHAnsi" w:cstheme="minorHAnsi"/>
        </w:rPr>
        <w:t>95%CI: -5.64, 0.89; p=0.15</w:t>
      </w:r>
      <w:r w:rsidRPr="00DF4F41">
        <w:rPr>
          <w:rFonts w:asciiTheme="minorHAnsi" w:hAnsiTheme="minorHAnsi" w:cstheme="minorHAnsi"/>
          <w:lang w:eastAsia="en-GB"/>
        </w:rPr>
        <w:t xml:space="preserve"> respectively) (Table 2), but this is to be expected as the study was not powered for these sub-group analyses </w:t>
      </w:r>
      <w:r w:rsidRPr="00DF4F41">
        <w:rPr>
          <w:rFonts w:asciiTheme="minorHAnsi" w:hAnsiTheme="minorHAnsi" w:cstheme="minorHAnsi"/>
        </w:rPr>
        <w:t>and are presented for interest only</w:t>
      </w:r>
      <w:r w:rsidRPr="00DF4F41">
        <w:rPr>
          <w:rFonts w:asciiTheme="minorHAnsi" w:hAnsiTheme="minorHAnsi" w:cstheme="minorHAnsi"/>
          <w:lang w:eastAsia="en-GB"/>
        </w:rPr>
        <w:t>.</w:t>
      </w:r>
    </w:p>
    <w:p w:rsidR="00DF4F41" w:rsidRPr="00DF4F41" w:rsidRDefault="00DF4F41" w:rsidP="00DF4F41">
      <w:pPr>
        <w:pStyle w:val="Default"/>
        <w:spacing w:line="480" w:lineRule="auto"/>
        <w:jc w:val="both"/>
        <w:rPr>
          <w:rFonts w:asciiTheme="minorHAnsi" w:hAnsiTheme="minorHAnsi" w:cstheme="minorHAnsi"/>
          <w:color w:val="auto"/>
        </w:rPr>
      </w:pPr>
    </w:p>
    <w:p w:rsidR="00DF4F41" w:rsidRPr="00DF4F41" w:rsidRDefault="00DF4F41" w:rsidP="00DF4F41">
      <w:pPr>
        <w:autoSpaceDE w:val="0"/>
        <w:autoSpaceDN w:val="0"/>
        <w:adjustRightInd w:val="0"/>
        <w:spacing w:after="0" w:line="480" w:lineRule="auto"/>
        <w:jc w:val="both"/>
        <w:rPr>
          <w:rFonts w:cs="Arial"/>
          <w:sz w:val="24"/>
          <w:szCs w:val="24"/>
          <w:lang w:eastAsia="en-GB"/>
        </w:rPr>
      </w:pPr>
      <w:r w:rsidRPr="00DF4F41">
        <w:rPr>
          <w:rFonts w:cs="Arial"/>
          <w:sz w:val="24"/>
          <w:szCs w:val="24"/>
          <w:lang w:eastAsia="en-GB"/>
        </w:rPr>
        <w:t xml:space="preserve">The results indicate no statistically significant effect of the intervention for all the secondary outcomes </w:t>
      </w:r>
      <w:r w:rsidRPr="00DF4F41">
        <w:rPr>
          <w:sz w:val="24"/>
          <w:szCs w:val="24"/>
        </w:rPr>
        <w:t>measured at 6 months</w:t>
      </w:r>
      <w:r w:rsidRPr="00DF4F41">
        <w:rPr>
          <w:rFonts w:cs="Arial"/>
          <w:sz w:val="24"/>
          <w:szCs w:val="24"/>
          <w:lang w:eastAsia="en-GB"/>
        </w:rPr>
        <w:t xml:space="preserve"> except for AFPT with respect to Timed Up and Go (TUAG).  Here </w:t>
      </w:r>
      <w:r w:rsidRPr="00DF4F41">
        <w:rPr>
          <w:sz w:val="24"/>
          <w:szCs w:val="24"/>
        </w:rPr>
        <w:t xml:space="preserve">AFPT </w:t>
      </w:r>
      <w:r w:rsidRPr="00DF4F41">
        <w:rPr>
          <w:rFonts w:cs="Arial"/>
          <w:sz w:val="24"/>
          <w:szCs w:val="24"/>
          <w:lang w:eastAsia="en-GB"/>
        </w:rPr>
        <w:t>scores indicated an improvement of about 1 unit for those patients in the intervention arm</w:t>
      </w:r>
      <w:r w:rsidRPr="00DF4F41">
        <w:rPr>
          <w:sz w:val="24"/>
          <w:szCs w:val="24"/>
        </w:rPr>
        <w:t xml:space="preserve"> relative to those on control, adjusting for </w:t>
      </w:r>
      <w:r w:rsidRPr="00DF4F41">
        <w:rPr>
          <w:rFonts w:cs="Arial"/>
          <w:sz w:val="24"/>
          <w:szCs w:val="24"/>
          <w:lang w:eastAsia="en-GB"/>
        </w:rPr>
        <w:t xml:space="preserve">baseline AFPT and baseline type of pain </w:t>
      </w:r>
      <w:r w:rsidRPr="00DF4F41">
        <w:rPr>
          <w:sz w:val="24"/>
          <w:szCs w:val="24"/>
        </w:rPr>
        <w:t>(-0.82; 95%CI: -1.61, -0.04; p=0.04) (Table 2)</w:t>
      </w:r>
      <w:r w:rsidRPr="00DF4F41">
        <w:rPr>
          <w:rFonts w:cs="Arial"/>
          <w:sz w:val="24"/>
          <w:szCs w:val="24"/>
          <w:lang w:eastAsia="en-GB"/>
        </w:rPr>
        <w:t xml:space="preserve">, but this is unlikely to have clinical significance. Table 3 shows the means (SD) for the secondary outcomes at each pain site sub-group at 6 months. </w:t>
      </w:r>
    </w:p>
    <w:p w:rsidR="00DF4F41" w:rsidRPr="00DF4F41" w:rsidRDefault="00DF4F41" w:rsidP="00DF4F41">
      <w:pPr>
        <w:pStyle w:val="Default"/>
        <w:spacing w:line="480" w:lineRule="auto"/>
        <w:jc w:val="both"/>
        <w:rPr>
          <w:rFonts w:asciiTheme="minorHAnsi" w:hAnsiTheme="minorHAnsi" w:cstheme="minorHAnsi"/>
          <w:color w:val="auto"/>
        </w:rPr>
      </w:pPr>
    </w:p>
    <w:p w:rsidR="00DF4F41" w:rsidRPr="00DF4F41" w:rsidRDefault="00DF4F41" w:rsidP="00DF4F41">
      <w:pPr>
        <w:pStyle w:val="Default"/>
        <w:spacing w:line="480" w:lineRule="auto"/>
        <w:jc w:val="both"/>
        <w:rPr>
          <w:rFonts w:asciiTheme="minorHAnsi" w:hAnsiTheme="minorHAnsi" w:cstheme="minorHAnsi"/>
          <w:color w:val="auto"/>
        </w:rPr>
      </w:pPr>
    </w:p>
    <w:p w:rsidR="00DF4F41" w:rsidRPr="00DF4F41" w:rsidRDefault="00DF4F41" w:rsidP="00DF4F41">
      <w:pPr>
        <w:pStyle w:val="Default"/>
        <w:spacing w:line="480" w:lineRule="auto"/>
        <w:jc w:val="both"/>
        <w:rPr>
          <w:rFonts w:asciiTheme="minorHAnsi" w:hAnsiTheme="minorHAnsi" w:cstheme="minorHAnsi"/>
          <w:color w:val="auto"/>
        </w:rPr>
      </w:pPr>
    </w:p>
    <w:p w:rsidR="00DF4F41" w:rsidRPr="00DF4F41" w:rsidRDefault="00DF4F41" w:rsidP="00DF4F41">
      <w:pPr>
        <w:pStyle w:val="Default"/>
        <w:spacing w:line="480" w:lineRule="auto"/>
        <w:jc w:val="both"/>
        <w:rPr>
          <w:rFonts w:asciiTheme="minorHAnsi" w:hAnsiTheme="minorHAnsi" w:cstheme="minorHAnsi"/>
          <w:color w:val="auto"/>
        </w:rPr>
      </w:pPr>
    </w:p>
    <w:p w:rsidR="00DF4F41" w:rsidRPr="00DF4F41" w:rsidRDefault="00DF4F41" w:rsidP="00DF4F41">
      <w:pPr>
        <w:pStyle w:val="Default"/>
        <w:spacing w:line="480" w:lineRule="auto"/>
        <w:jc w:val="both"/>
        <w:rPr>
          <w:rFonts w:asciiTheme="minorHAnsi" w:hAnsiTheme="minorHAnsi" w:cstheme="minorHAnsi"/>
          <w:color w:val="auto"/>
        </w:rPr>
      </w:pPr>
    </w:p>
    <w:p w:rsidR="00DF4F41" w:rsidRPr="00DF4F41" w:rsidRDefault="00DF4F41" w:rsidP="00DF4F41">
      <w:pPr>
        <w:pStyle w:val="Default"/>
        <w:spacing w:line="480" w:lineRule="auto"/>
        <w:jc w:val="both"/>
        <w:rPr>
          <w:rFonts w:asciiTheme="minorHAnsi" w:hAnsiTheme="minorHAnsi" w:cstheme="minorHAnsi"/>
          <w:color w:val="auto"/>
        </w:rPr>
      </w:pPr>
    </w:p>
    <w:p w:rsidR="00DF4F41" w:rsidRPr="00DF4F41" w:rsidRDefault="00DF4F41" w:rsidP="00DF4F41">
      <w:pPr>
        <w:pStyle w:val="Default"/>
        <w:spacing w:line="480" w:lineRule="auto"/>
        <w:jc w:val="both"/>
        <w:rPr>
          <w:rFonts w:asciiTheme="minorHAnsi" w:hAnsiTheme="minorHAnsi" w:cstheme="minorHAnsi"/>
          <w:color w:val="auto"/>
        </w:rPr>
      </w:pPr>
    </w:p>
    <w:p w:rsidR="00DF4F41" w:rsidRPr="00DF4F41" w:rsidRDefault="00DF4F41" w:rsidP="00DF4F41">
      <w:pPr>
        <w:pStyle w:val="Default"/>
        <w:spacing w:line="480" w:lineRule="auto"/>
        <w:jc w:val="both"/>
        <w:rPr>
          <w:rFonts w:asciiTheme="minorHAnsi" w:hAnsiTheme="minorHAnsi" w:cstheme="minorHAnsi"/>
          <w:color w:val="auto"/>
        </w:rPr>
      </w:pPr>
    </w:p>
    <w:p w:rsidR="00DF4F41" w:rsidRPr="00DF4F41" w:rsidRDefault="00DF4F41" w:rsidP="00DF4F41">
      <w:pPr>
        <w:spacing w:line="480" w:lineRule="auto"/>
        <w:rPr>
          <w:b/>
          <w:sz w:val="24"/>
          <w:szCs w:val="24"/>
        </w:rPr>
      </w:pPr>
      <w:r w:rsidRPr="00DF4F41">
        <w:rPr>
          <w:b/>
          <w:sz w:val="24"/>
          <w:szCs w:val="24"/>
        </w:rPr>
        <w:t>Table 3: Secondary outcomes (means, SD) measured at 6 months for each pain site</w:t>
      </w:r>
    </w:p>
    <w:p w:rsidR="00DF4F41" w:rsidRPr="00DF4F41" w:rsidRDefault="00DF4F41" w:rsidP="00DF4F41">
      <w:pPr>
        <w:pBdr>
          <w:top w:val="single" w:sz="4" w:space="1" w:color="auto"/>
          <w:left w:val="single" w:sz="4" w:space="4" w:color="auto"/>
          <w:bottom w:val="single" w:sz="4" w:space="1" w:color="auto"/>
          <w:right w:val="single" w:sz="4" w:space="4" w:color="auto"/>
        </w:pBdr>
        <w:spacing w:line="240" w:lineRule="auto"/>
        <w:ind w:left="2160" w:hanging="2160"/>
        <w:rPr>
          <w:sz w:val="24"/>
          <w:szCs w:val="24"/>
        </w:rPr>
      </w:pPr>
      <w:r w:rsidRPr="00DF4F41">
        <w:rPr>
          <w:sz w:val="24"/>
          <w:szCs w:val="24"/>
        </w:rPr>
        <w:t xml:space="preserve">Outcome        </w:t>
      </w:r>
      <w:r w:rsidRPr="00DF4F41">
        <w:rPr>
          <w:sz w:val="24"/>
          <w:szCs w:val="24"/>
        </w:rPr>
        <w:tab/>
        <w:t>Hip/knee only</w:t>
      </w:r>
      <w:r w:rsidRPr="00DF4F41">
        <w:rPr>
          <w:sz w:val="24"/>
          <w:szCs w:val="24"/>
        </w:rPr>
        <w:tab/>
      </w:r>
      <w:r w:rsidRPr="00DF4F41">
        <w:rPr>
          <w:sz w:val="24"/>
          <w:szCs w:val="24"/>
        </w:rPr>
        <w:tab/>
        <w:t xml:space="preserve">   LBP only</w:t>
      </w:r>
      <w:r w:rsidRPr="00DF4F41">
        <w:rPr>
          <w:sz w:val="24"/>
          <w:szCs w:val="24"/>
        </w:rPr>
        <w:tab/>
      </w:r>
      <w:r w:rsidRPr="00DF4F41">
        <w:rPr>
          <w:sz w:val="24"/>
          <w:szCs w:val="24"/>
        </w:rPr>
        <w:tab/>
        <w:t xml:space="preserve">LBP and hip/knee </w:t>
      </w:r>
    </w:p>
    <w:p w:rsidR="00DF4F41" w:rsidRPr="00DF4F41" w:rsidRDefault="00DF4F41" w:rsidP="00DF4F41">
      <w:pPr>
        <w:pBdr>
          <w:top w:val="single" w:sz="4" w:space="1" w:color="auto"/>
          <w:left w:val="single" w:sz="4" w:space="4" w:color="auto"/>
          <w:bottom w:val="single" w:sz="4" w:space="1" w:color="auto"/>
          <w:right w:val="single" w:sz="4" w:space="4" w:color="auto"/>
        </w:pBdr>
        <w:spacing w:line="240" w:lineRule="auto"/>
        <w:ind w:left="2160" w:hanging="2160"/>
        <w:rPr>
          <w:sz w:val="24"/>
          <w:szCs w:val="24"/>
          <w:u w:val="single"/>
        </w:rPr>
      </w:pPr>
      <w:r w:rsidRPr="00DF4F41">
        <w:rPr>
          <w:sz w:val="24"/>
          <w:szCs w:val="24"/>
          <w:u w:val="single"/>
        </w:rPr>
        <w:tab/>
        <w:t xml:space="preserve">        (n=108)</w:t>
      </w:r>
      <w:r w:rsidRPr="00DF4F41">
        <w:rPr>
          <w:sz w:val="24"/>
          <w:szCs w:val="24"/>
          <w:u w:val="single"/>
        </w:rPr>
        <w:tab/>
      </w:r>
      <w:r w:rsidRPr="00DF4F41">
        <w:rPr>
          <w:sz w:val="24"/>
          <w:szCs w:val="24"/>
          <w:u w:val="single"/>
        </w:rPr>
        <w:tab/>
        <w:t xml:space="preserve">   (n=108)</w:t>
      </w:r>
      <w:r w:rsidRPr="00DF4F41">
        <w:rPr>
          <w:sz w:val="24"/>
          <w:szCs w:val="24"/>
          <w:u w:val="single"/>
        </w:rPr>
        <w:tab/>
      </w:r>
      <w:r w:rsidRPr="00DF4F41">
        <w:rPr>
          <w:sz w:val="24"/>
          <w:szCs w:val="24"/>
          <w:u w:val="single"/>
        </w:rPr>
        <w:tab/>
        <w:t xml:space="preserve">    (n=133)               </w:t>
      </w:r>
    </w:p>
    <w:p w:rsidR="00DF4F41" w:rsidRPr="00DF4F41" w:rsidRDefault="00DF4F41" w:rsidP="00DF4F41">
      <w:pPr>
        <w:pBdr>
          <w:top w:val="single" w:sz="4" w:space="1" w:color="auto"/>
          <w:left w:val="single" w:sz="4" w:space="4" w:color="auto"/>
          <w:bottom w:val="single" w:sz="4" w:space="1" w:color="auto"/>
          <w:right w:val="single" w:sz="4" w:space="4" w:color="auto"/>
        </w:pBdr>
        <w:spacing w:line="480" w:lineRule="auto"/>
        <w:ind w:left="2160" w:hanging="2160"/>
        <w:rPr>
          <w:sz w:val="24"/>
          <w:szCs w:val="24"/>
        </w:rPr>
      </w:pPr>
      <w:r w:rsidRPr="00DF4F41">
        <w:rPr>
          <w:sz w:val="24"/>
          <w:szCs w:val="24"/>
        </w:rPr>
        <w:t xml:space="preserve">                       </w:t>
      </w:r>
      <w:r w:rsidRPr="00DF4F41">
        <w:rPr>
          <w:sz w:val="24"/>
          <w:szCs w:val="24"/>
        </w:rPr>
        <w:tab/>
      </w:r>
      <w:r w:rsidRPr="00DF4F41">
        <w:rPr>
          <w:sz w:val="24"/>
          <w:szCs w:val="24"/>
          <w:u w:val="single"/>
        </w:rPr>
        <w:t>Control</w:t>
      </w:r>
      <w:r w:rsidRPr="00DF4F41">
        <w:rPr>
          <w:sz w:val="24"/>
          <w:szCs w:val="24"/>
        </w:rPr>
        <w:t xml:space="preserve">     </w:t>
      </w:r>
      <w:r w:rsidRPr="00DF4F41">
        <w:rPr>
          <w:sz w:val="24"/>
          <w:szCs w:val="24"/>
          <w:u w:val="single"/>
        </w:rPr>
        <w:t>Intervtn.</w:t>
      </w:r>
      <w:r w:rsidRPr="00DF4F41">
        <w:rPr>
          <w:sz w:val="24"/>
          <w:szCs w:val="24"/>
        </w:rPr>
        <w:tab/>
      </w:r>
      <w:r w:rsidRPr="00DF4F41">
        <w:rPr>
          <w:sz w:val="24"/>
          <w:szCs w:val="24"/>
          <w:u w:val="single"/>
        </w:rPr>
        <w:t>Control</w:t>
      </w:r>
      <w:r w:rsidRPr="00DF4F41">
        <w:rPr>
          <w:sz w:val="24"/>
          <w:szCs w:val="24"/>
        </w:rPr>
        <w:t xml:space="preserve">    </w:t>
      </w:r>
      <w:r w:rsidRPr="00DF4F41">
        <w:rPr>
          <w:sz w:val="24"/>
          <w:szCs w:val="24"/>
          <w:u w:val="single"/>
        </w:rPr>
        <w:t>Intervtn</w:t>
      </w:r>
      <w:r w:rsidRPr="00DF4F41">
        <w:rPr>
          <w:sz w:val="24"/>
          <w:szCs w:val="24"/>
        </w:rPr>
        <w:t>.</w:t>
      </w:r>
      <w:r w:rsidRPr="00DF4F41">
        <w:rPr>
          <w:sz w:val="24"/>
          <w:szCs w:val="24"/>
        </w:rPr>
        <w:tab/>
      </w:r>
      <w:r w:rsidRPr="00DF4F41">
        <w:rPr>
          <w:sz w:val="24"/>
          <w:szCs w:val="24"/>
          <w:u w:val="single"/>
        </w:rPr>
        <w:t>Control</w:t>
      </w:r>
      <w:r w:rsidRPr="00DF4F41">
        <w:rPr>
          <w:sz w:val="24"/>
          <w:szCs w:val="24"/>
        </w:rPr>
        <w:t xml:space="preserve">    </w:t>
      </w:r>
      <w:r w:rsidRPr="00DF4F41">
        <w:rPr>
          <w:sz w:val="24"/>
          <w:szCs w:val="24"/>
          <w:u w:val="single"/>
        </w:rPr>
        <w:t>Intervtn.</w:t>
      </w:r>
    </w:p>
    <w:p w:rsidR="00DF4F41" w:rsidRPr="00DF4F41" w:rsidRDefault="00DF4F41" w:rsidP="00DF4F41">
      <w:pPr>
        <w:pBdr>
          <w:top w:val="single" w:sz="4" w:space="1" w:color="auto"/>
          <w:left w:val="single" w:sz="4" w:space="4" w:color="auto"/>
          <w:bottom w:val="single" w:sz="4" w:space="1" w:color="auto"/>
          <w:right w:val="single" w:sz="4" w:space="4" w:color="auto"/>
        </w:pBdr>
        <w:autoSpaceDE w:val="0"/>
        <w:autoSpaceDN w:val="0"/>
        <w:spacing w:line="480" w:lineRule="auto"/>
        <w:jc w:val="both"/>
        <w:rPr>
          <w:sz w:val="24"/>
          <w:szCs w:val="24"/>
        </w:rPr>
      </w:pPr>
      <w:r w:rsidRPr="00DF4F41">
        <w:rPr>
          <w:sz w:val="24"/>
          <w:szCs w:val="24"/>
        </w:rPr>
        <w:t>McGill</w:t>
      </w:r>
      <w:r w:rsidRPr="00DF4F41">
        <w:rPr>
          <w:sz w:val="24"/>
          <w:szCs w:val="24"/>
        </w:rPr>
        <w:tab/>
        <w:t xml:space="preserve">         </w:t>
      </w:r>
      <w:r w:rsidRPr="00DF4F41">
        <w:rPr>
          <w:sz w:val="24"/>
          <w:szCs w:val="24"/>
        </w:rPr>
        <w:tab/>
      </w:r>
      <w:r w:rsidRPr="00DF4F41">
        <w:rPr>
          <w:sz w:val="24"/>
          <w:szCs w:val="24"/>
        </w:rPr>
        <w:tab/>
        <w:t>1.9 (1.5)   1.6 (1.6)</w:t>
      </w:r>
      <w:r w:rsidRPr="00DF4F41">
        <w:rPr>
          <w:sz w:val="24"/>
          <w:szCs w:val="24"/>
        </w:rPr>
        <w:tab/>
        <w:t>2.6 (2.3)   2.2 (2.0)</w:t>
      </w:r>
      <w:r w:rsidRPr="00DF4F41">
        <w:rPr>
          <w:sz w:val="24"/>
          <w:szCs w:val="24"/>
        </w:rPr>
        <w:tab/>
        <w:t>3.2 (2.3)   2.9 (2.2)</w:t>
      </w:r>
    </w:p>
    <w:p w:rsidR="00DF4F41" w:rsidRPr="00DF4F41" w:rsidRDefault="00DF4F41" w:rsidP="00DF4F41">
      <w:pPr>
        <w:pBdr>
          <w:top w:val="single" w:sz="4" w:space="1" w:color="auto"/>
          <w:left w:val="single" w:sz="4" w:space="4" w:color="auto"/>
          <w:bottom w:val="single" w:sz="4" w:space="1" w:color="auto"/>
          <w:right w:val="single" w:sz="4" w:space="4" w:color="auto"/>
        </w:pBdr>
        <w:autoSpaceDE w:val="0"/>
        <w:autoSpaceDN w:val="0"/>
        <w:spacing w:line="480" w:lineRule="auto"/>
        <w:jc w:val="both"/>
        <w:rPr>
          <w:sz w:val="24"/>
          <w:szCs w:val="24"/>
        </w:rPr>
      </w:pPr>
      <w:r w:rsidRPr="00DF4F41">
        <w:rPr>
          <w:sz w:val="24"/>
          <w:szCs w:val="24"/>
        </w:rPr>
        <w:t xml:space="preserve">HADS </w:t>
      </w:r>
    </w:p>
    <w:p w:rsidR="00DF4F41" w:rsidRPr="00DF4F41" w:rsidRDefault="00DF4F41" w:rsidP="00DF4F41">
      <w:pPr>
        <w:pBdr>
          <w:top w:val="single" w:sz="4" w:space="1" w:color="auto"/>
          <w:left w:val="single" w:sz="4" w:space="4" w:color="auto"/>
          <w:bottom w:val="single" w:sz="4" w:space="1" w:color="auto"/>
          <w:right w:val="single" w:sz="4" w:space="4" w:color="auto"/>
        </w:pBdr>
        <w:autoSpaceDE w:val="0"/>
        <w:autoSpaceDN w:val="0"/>
        <w:spacing w:line="480" w:lineRule="auto"/>
        <w:ind w:firstLine="720"/>
        <w:jc w:val="both"/>
        <w:rPr>
          <w:sz w:val="24"/>
          <w:szCs w:val="24"/>
        </w:rPr>
      </w:pPr>
      <w:r w:rsidRPr="00DF4F41">
        <w:rPr>
          <w:sz w:val="24"/>
          <w:szCs w:val="24"/>
        </w:rPr>
        <w:t>Anxiety</w:t>
      </w:r>
      <w:r w:rsidRPr="00DF4F41">
        <w:rPr>
          <w:sz w:val="24"/>
          <w:szCs w:val="24"/>
        </w:rPr>
        <w:tab/>
        <w:t>4.7 (3.5)   3.9 (3.3)</w:t>
      </w:r>
      <w:r w:rsidRPr="00DF4F41">
        <w:rPr>
          <w:sz w:val="24"/>
          <w:szCs w:val="24"/>
        </w:rPr>
        <w:tab/>
        <w:t>5.8 (4.0)   5.7 (3.8)</w:t>
      </w:r>
      <w:r w:rsidRPr="00DF4F41">
        <w:rPr>
          <w:sz w:val="24"/>
          <w:szCs w:val="24"/>
        </w:rPr>
        <w:tab/>
        <w:t xml:space="preserve">5.5 (3.9)   5.3 (3.1)              </w:t>
      </w:r>
    </w:p>
    <w:p w:rsidR="00DF4F41" w:rsidRPr="00DF4F41" w:rsidRDefault="00DF4F41" w:rsidP="00DF4F41">
      <w:pPr>
        <w:pBdr>
          <w:top w:val="single" w:sz="4" w:space="1" w:color="auto"/>
          <w:left w:val="single" w:sz="4" w:space="4" w:color="auto"/>
          <w:bottom w:val="single" w:sz="4" w:space="1" w:color="auto"/>
          <w:right w:val="single" w:sz="4" w:space="4" w:color="auto"/>
        </w:pBdr>
        <w:autoSpaceDE w:val="0"/>
        <w:autoSpaceDN w:val="0"/>
        <w:spacing w:line="480" w:lineRule="auto"/>
        <w:ind w:firstLine="720"/>
        <w:jc w:val="both"/>
        <w:rPr>
          <w:sz w:val="24"/>
          <w:szCs w:val="24"/>
        </w:rPr>
      </w:pPr>
      <w:r w:rsidRPr="00DF4F41">
        <w:rPr>
          <w:sz w:val="24"/>
          <w:szCs w:val="24"/>
        </w:rPr>
        <w:t>Depression</w:t>
      </w:r>
      <w:r w:rsidRPr="00DF4F41">
        <w:rPr>
          <w:sz w:val="24"/>
          <w:szCs w:val="24"/>
        </w:rPr>
        <w:tab/>
        <w:t>3.5 (2.8)   3.6 (2.6)</w:t>
      </w:r>
      <w:r w:rsidRPr="00DF4F41">
        <w:rPr>
          <w:sz w:val="24"/>
          <w:szCs w:val="24"/>
        </w:rPr>
        <w:tab/>
        <w:t>3.7 (2.99)   4.1 (2.6)</w:t>
      </w:r>
      <w:r w:rsidRPr="00DF4F41">
        <w:rPr>
          <w:sz w:val="24"/>
          <w:szCs w:val="24"/>
        </w:rPr>
        <w:tab/>
        <w:t>4.3 (3.1)   3.5 (3.1) </w:t>
      </w:r>
    </w:p>
    <w:p w:rsidR="00DF4F41" w:rsidRPr="00DF4F41" w:rsidRDefault="00DF4F41" w:rsidP="00DF4F41">
      <w:pPr>
        <w:pBdr>
          <w:top w:val="single" w:sz="4" w:space="1" w:color="auto"/>
          <w:left w:val="single" w:sz="4" w:space="4" w:color="auto"/>
          <w:bottom w:val="single" w:sz="4" w:space="1" w:color="auto"/>
          <w:right w:val="single" w:sz="4" w:space="4" w:color="auto"/>
        </w:pBdr>
        <w:autoSpaceDE w:val="0"/>
        <w:autoSpaceDN w:val="0"/>
        <w:spacing w:line="480" w:lineRule="auto"/>
        <w:ind w:firstLine="720"/>
        <w:jc w:val="both"/>
        <w:rPr>
          <w:sz w:val="24"/>
          <w:szCs w:val="24"/>
        </w:rPr>
      </w:pPr>
      <w:r w:rsidRPr="00DF4F41">
        <w:rPr>
          <w:sz w:val="24"/>
          <w:szCs w:val="24"/>
        </w:rPr>
        <w:t>Self-Eff.</w:t>
      </w:r>
      <w:r w:rsidRPr="00DF4F41">
        <w:rPr>
          <w:sz w:val="24"/>
          <w:szCs w:val="24"/>
        </w:rPr>
        <w:tab/>
        <w:t>78.5 (9.8)  79.9 (9.0)</w:t>
      </w:r>
      <w:r w:rsidRPr="00DF4F41">
        <w:rPr>
          <w:sz w:val="24"/>
          <w:szCs w:val="24"/>
        </w:rPr>
        <w:tab/>
        <w:t>80.2 (9.3)  80.8 (9.2)</w:t>
      </w:r>
      <w:r w:rsidRPr="00DF4F41">
        <w:rPr>
          <w:sz w:val="24"/>
          <w:szCs w:val="24"/>
        </w:rPr>
        <w:tab/>
        <w:t>77.7 (9.9)   80.8 (9.8)</w:t>
      </w:r>
    </w:p>
    <w:p w:rsidR="00DF4F41" w:rsidRPr="00DF4F41" w:rsidRDefault="00DF4F41" w:rsidP="00DF4F41">
      <w:pPr>
        <w:pBdr>
          <w:top w:val="single" w:sz="4" w:space="1" w:color="auto"/>
          <w:left w:val="single" w:sz="4" w:space="4" w:color="auto"/>
          <w:bottom w:val="single" w:sz="4" w:space="1" w:color="auto"/>
          <w:right w:val="single" w:sz="4" w:space="4" w:color="auto"/>
        </w:pBdr>
        <w:autoSpaceDE w:val="0"/>
        <w:autoSpaceDN w:val="0"/>
        <w:spacing w:line="480" w:lineRule="auto"/>
        <w:jc w:val="both"/>
        <w:rPr>
          <w:sz w:val="24"/>
          <w:szCs w:val="24"/>
        </w:rPr>
      </w:pPr>
      <w:r w:rsidRPr="00DF4F41">
        <w:rPr>
          <w:sz w:val="24"/>
          <w:szCs w:val="24"/>
        </w:rPr>
        <w:t xml:space="preserve">AFPT </w:t>
      </w:r>
    </w:p>
    <w:p w:rsidR="00DF4F41" w:rsidRPr="00DF4F41" w:rsidRDefault="00DF4F41" w:rsidP="00DF4F41">
      <w:pPr>
        <w:pBdr>
          <w:top w:val="single" w:sz="4" w:space="1" w:color="auto"/>
          <w:left w:val="single" w:sz="4" w:space="4" w:color="auto"/>
          <w:bottom w:val="single" w:sz="4" w:space="1" w:color="auto"/>
          <w:right w:val="single" w:sz="4" w:space="4" w:color="auto"/>
        </w:pBdr>
        <w:autoSpaceDE w:val="0"/>
        <w:autoSpaceDN w:val="0"/>
        <w:spacing w:line="480" w:lineRule="auto"/>
        <w:jc w:val="both"/>
        <w:rPr>
          <w:sz w:val="24"/>
          <w:szCs w:val="24"/>
        </w:rPr>
      </w:pPr>
      <w:r w:rsidRPr="00DF4F41">
        <w:rPr>
          <w:sz w:val="24"/>
          <w:szCs w:val="24"/>
        </w:rPr>
        <w:t xml:space="preserve">    </w:t>
      </w:r>
      <w:r w:rsidRPr="00DF4F41">
        <w:rPr>
          <w:sz w:val="24"/>
          <w:szCs w:val="24"/>
        </w:rPr>
        <w:tab/>
        <w:t>50ft walk</w:t>
      </w:r>
      <w:r w:rsidRPr="00DF4F41">
        <w:rPr>
          <w:sz w:val="24"/>
          <w:szCs w:val="24"/>
        </w:rPr>
        <w:tab/>
        <w:t>12.5 (3.0)   12.7 (3.2)</w:t>
      </w:r>
      <w:r w:rsidRPr="00DF4F41">
        <w:rPr>
          <w:sz w:val="24"/>
          <w:szCs w:val="24"/>
        </w:rPr>
        <w:tab/>
        <w:t>12.6 (3.6)  11.7 (3.0)</w:t>
      </w:r>
      <w:r w:rsidRPr="00DF4F41">
        <w:rPr>
          <w:sz w:val="24"/>
          <w:szCs w:val="24"/>
        </w:rPr>
        <w:tab/>
        <w:t>14.2 (4.9)  12.9 (2.5)</w:t>
      </w:r>
    </w:p>
    <w:p w:rsidR="00DF4F41" w:rsidRPr="00DF4F41" w:rsidRDefault="00DF4F41" w:rsidP="00DF4F41">
      <w:pPr>
        <w:pBdr>
          <w:top w:val="single" w:sz="4" w:space="1" w:color="auto"/>
          <w:left w:val="single" w:sz="4" w:space="4" w:color="auto"/>
          <w:bottom w:val="single" w:sz="4" w:space="1" w:color="auto"/>
          <w:right w:val="single" w:sz="4" w:space="4" w:color="auto"/>
        </w:pBdr>
        <w:autoSpaceDE w:val="0"/>
        <w:autoSpaceDN w:val="0"/>
        <w:spacing w:line="480" w:lineRule="auto"/>
        <w:jc w:val="both"/>
        <w:rPr>
          <w:sz w:val="24"/>
          <w:szCs w:val="24"/>
        </w:rPr>
      </w:pPr>
      <w:r w:rsidRPr="00DF4F41">
        <w:rPr>
          <w:sz w:val="24"/>
          <w:szCs w:val="24"/>
        </w:rPr>
        <w:t xml:space="preserve">    </w:t>
      </w:r>
      <w:r w:rsidRPr="00DF4F41">
        <w:rPr>
          <w:sz w:val="24"/>
          <w:szCs w:val="24"/>
        </w:rPr>
        <w:tab/>
        <w:t>Stairs ascend</w:t>
      </w:r>
      <w:r w:rsidRPr="00DF4F41">
        <w:rPr>
          <w:sz w:val="24"/>
          <w:szCs w:val="24"/>
        </w:rPr>
        <w:tab/>
        <w:t>12.2 (7.3)  13.4 (12.4)</w:t>
      </w:r>
      <w:r w:rsidRPr="00DF4F41">
        <w:rPr>
          <w:sz w:val="24"/>
          <w:szCs w:val="24"/>
        </w:rPr>
        <w:tab/>
        <w:t>12.2 (9.8)  12.0 (7.0)</w:t>
      </w:r>
      <w:r w:rsidRPr="00DF4F41">
        <w:rPr>
          <w:sz w:val="24"/>
          <w:szCs w:val="24"/>
        </w:rPr>
        <w:tab/>
        <w:t>13.7 (11.5)  14.7 (11.7)</w:t>
      </w:r>
    </w:p>
    <w:p w:rsidR="00DF4F41" w:rsidRPr="00DF4F41" w:rsidRDefault="00DF4F41" w:rsidP="00DF4F41">
      <w:pPr>
        <w:pBdr>
          <w:top w:val="single" w:sz="4" w:space="1" w:color="auto"/>
          <w:left w:val="single" w:sz="4" w:space="4" w:color="auto"/>
          <w:bottom w:val="single" w:sz="4" w:space="1" w:color="auto"/>
          <w:right w:val="single" w:sz="4" w:space="4" w:color="auto"/>
        </w:pBdr>
        <w:autoSpaceDE w:val="0"/>
        <w:autoSpaceDN w:val="0"/>
        <w:spacing w:line="480" w:lineRule="auto"/>
        <w:jc w:val="both"/>
        <w:rPr>
          <w:sz w:val="24"/>
          <w:szCs w:val="24"/>
        </w:rPr>
      </w:pPr>
      <w:r w:rsidRPr="00DF4F41">
        <w:rPr>
          <w:sz w:val="24"/>
          <w:szCs w:val="24"/>
        </w:rPr>
        <w:t xml:space="preserve">    </w:t>
      </w:r>
      <w:r w:rsidRPr="00DF4F41">
        <w:rPr>
          <w:sz w:val="24"/>
          <w:szCs w:val="24"/>
        </w:rPr>
        <w:tab/>
        <w:t>Stairs descend</w:t>
      </w:r>
      <w:r w:rsidRPr="00DF4F41">
        <w:rPr>
          <w:sz w:val="24"/>
          <w:szCs w:val="24"/>
        </w:rPr>
        <w:tab/>
        <w:t xml:space="preserve"> 5.7 (5.6)   4.7 (4.1)</w:t>
      </w:r>
      <w:r w:rsidRPr="00DF4F41">
        <w:rPr>
          <w:sz w:val="24"/>
          <w:szCs w:val="24"/>
        </w:rPr>
        <w:tab/>
        <w:t>5.3 (6.0)   5.2 (5.2)</w:t>
      </w:r>
      <w:r w:rsidRPr="00DF4F41">
        <w:rPr>
          <w:sz w:val="24"/>
          <w:szCs w:val="24"/>
        </w:rPr>
        <w:tab/>
        <w:t>6.2 (6.8)   4.9 (4.8)</w:t>
      </w:r>
    </w:p>
    <w:p w:rsidR="00DF4F41" w:rsidRPr="00DF4F41" w:rsidRDefault="00DF4F41" w:rsidP="00DF4F41">
      <w:pPr>
        <w:pBdr>
          <w:top w:val="single" w:sz="4" w:space="1" w:color="auto"/>
          <w:left w:val="single" w:sz="4" w:space="4" w:color="auto"/>
          <w:bottom w:val="single" w:sz="4" w:space="1" w:color="auto"/>
          <w:right w:val="single" w:sz="4" w:space="4" w:color="auto"/>
        </w:pBdr>
        <w:autoSpaceDE w:val="0"/>
        <w:autoSpaceDN w:val="0"/>
        <w:adjustRightInd w:val="0"/>
        <w:spacing w:after="0" w:line="480" w:lineRule="auto"/>
        <w:jc w:val="both"/>
        <w:rPr>
          <w:sz w:val="24"/>
          <w:szCs w:val="24"/>
          <w:vertAlign w:val="superscript"/>
        </w:rPr>
      </w:pPr>
      <w:r w:rsidRPr="00DF4F41">
        <w:rPr>
          <w:sz w:val="24"/>
          <w:szCs w:val="24"/>
        </w:rPr>
        <w:t>   </w:t>
      </w:r>
      <w:r w:rsidRPr="00DF4F41">
        <w:rPr>
          <w:sz w:val="24"/>
          <w:szCs w:val="24"/>
        </w:rPr>
        <w:tab/>
        <w:t>TUAG</w:t>
      </w:r>
      <w:r w:rsidRPr="00DF4F41">
        <w:rPr>
          <w:sz w:val="24"/>
          <w:szCs w:val="24"/>
        </w:rPr>
        <w:tab/>
      </w:r>
      <w:r w:rsidRPr="00DF4F41">
        <w:rPr>
          <w:sz w:val="24"/>
          <w:szCs w:val="24"/>
        </w:rPr>
        <w:tab/>
        <w:t>9.2 (2.6)   8.9 (3.0)</w:t>
      </w:r>
      <w:r w:rsidRPr="00DF4F41">
        <w:rPr>
          <w:sz w:val="24"/>
          <w:szCs w:val="24"/>
        </w:rPr>
        <w:tab/>
        <w:t>8.6 (3.1)   8.3 (2.3)</w:t>
      </w:r>
      <w:r w:rsidRPr="00DF4F41">
        <w:rPr>
          <w:sz w:val="24"/>
          <w:szCs w:val="24"/>
        </w:rPr>
        <w:tab/>
        <w:t>10.4 (4.3)   9.4 (2.6)</w:t>
      </w:r>
    </w:p>
    <w:p w:rsidR="00DF4F41" w:rsidRPr="00DF4F41" w:rsidRDefault="00DF4F41" w:rsidP="00DF4F41">
      <w:pPr>
        <w:pStyle w:val="Default"/>
        <w:spacing w:line="480" w:lineRule="auto"/>
        <w:jc w:val="both"/>
        <w:rPr>
          <w:rFonts w:asciiTheme="minorHAnsi" w:hAnsiTheme="minorHAnsi" w:cstheme="minorHAnsi"/>
          <w:color w:val="auto"/>
        </w:rPr>
      </w:pPr>
    </w:p>
    <w:p w:rsidR="00DF4F41" w:rsidRPr="00DF4F41" w:rsidRDefault="00DF4F41" w:rsidP="00DF4F41">
      <w:pPr>
        <w:pStyle w:val="Default"/>
        <w:spacing w:line="480" w:lineRule="auto"/>
        <w:jc w:val="both"/>
        <w:rPr>
          <w:rFonts w:asciiTheme="minorHAnsi" w:hAnsiTheme="minorHAnsi" w:cstheme="minorHAnsi"/>
          <w:color w:val="auto"/>
        </w:rPr>
      </w:pPr>
    </w:p>
    <w:p w:rsidR="00DF4F41" w:rsidRPr="00DF4F41" w:rsidRDefault="00DF4F41" w:rsidP="00DF4F41">
      <w:pPr>
        <w:pStyle w:val="Default"/>
        <w:spacing w:line="480" w:lineRule="auto"/>
        <w:jc w:val="both"/>
        <w:rPr>
          <w:rFonts w:asciiTheme="minorHAnsi" w:hAnsiTheme="minorHAnsi" w:cstheme="minorHAnsi"/>
          <w:color w:val="auto"/>
        </w:rPr>
      </w:pPr>
    </w:p>
    <w:p w:rsidR="00DF4F41" w:rsidRPr="00DF4F41" w:rsidRDefault="00DF4F41" w:rsidP="00DF4F41">
      <w:pPr>
        <w:pStyle w:val="Default"/>
        <w:spacing w:line="480" w:lineRule="auto"/>
        <w:jc w:val="both"/>
        <w:rPr>
          <w:rFonts w:asciiTheme="minorHAnsi" w:hAnsiTheme="minorHAnsi" w:cstheme="minorHAnsi"/>
          <w:color w:val="auto"/>
        </w:rPr>
      </w:pPr>
    </w:p>
    <w:p w:rsidR="00DF4F41" w:rsidRPr="00DF4F41" w:rsidRDefault="00DF4F41" w:rsidP="00DF4F41">
      <w:pPr>
        <w:pStyle w:val="Default"/>
        <w:spacing w:line="480" w:lineRule="auto"/>
        <w:jc w:val="both"/>
        <w:rPr>
          <w:rFonts w:asciiTheme="minorHAnsi" w:hAnsiTheme="minorHAnsi" w:cstheme="minorHAnsi"/>
          <w:color w:val="auto"/>
        </w:rPr>
      </w:pPr>
    </w:p>
    <w:p w:rsidR="00DF4F41" w:rsidRPr="00DF4F41" w:rsidRDefault="00DF4F41" w:rsidP="00DF4F41">
      <w:pPr>
        <w:pStyle w:val="Default"/>
        <w:spacing w:line="480" w:lineRule="auto"/>
        <w:jc w:val="both"/>
        <w:rPr>
          <w:rFonts w:asciiTheme="minorHAnsi" w:hAnsiTheme="minorHAnsi" w:cstheme="minorHAnsi"/>
          <w:color w:val="auto"/>
        </w:rPr>
      </w:pPr>
    </w:p>
    <w:p w:rsidR="00DF4F41" w:rsidRPr="00DF4F41" w:rsidRDefault="00DF4F41" w:rsidP="00DF4F41">
      <w:pPr>
        <w:autoSpaceDE w:val="0"/>
        <w:autoSpaceDN w:val="0"/>
        <w:adjustRightInd w:val="0"/>
        <w:spacing w:after="0" w:line="480" w:lineRule="auto"/>
        <w:jc w:val="both"/>
        <w:rPr>
          <w:b/>
          <w:sz w:val="24"/>
          <w:szCs w:val="24"/>
        </w:rPr>
      </w:pPr>
      <w:r w:rsidRPr="00DF4F41">
        <w:rPr>
          <w:b/>
          <w:sz w:val="24"/>
          <w:szCs w:val="24"/>
        </w:rPr>
        <w:lastRenderedPageBreak/>
        <w:t>Analysis of secondary outcomes at 6 weeks</w:t>
      </w:r>
    </w:p>
    <w:p w:rsidR="00DF4F41" w:rsidRPr="00DF4F41" w:rsidRDefault="00DF4F41" w:rsidP="00DF4F41">
      <w:pPr>
        <w:autoSpaceDE w:val="0"/>
        <w:autoSpaceDN w:val="0"/>
        <w:adjustRightInd w:val="0"/>
        <w:spacing w:after="0" w:line="480" w:lineRule="auto"/>
        <w:jc w:val="both"/>
        <w:rPr>
          <w:sz w:val="24"/>
          <w:szCs w:val="24"/>
        </w:rPr>
      </w:pPr>
      <w:r w:rsidRPr="00DF4F41">
        <w:rPr>
          <w:sz w:val="24"/>
          <w:szCs w:val="24"/>
        </w:rPr>
        <w:t xml:space="preserve">Analysis of secondary outcomes measured at 6 weeks, </w:t>
      </w:r>
      <w:r w:rsidRPr="00DF4F41">
        <w:rPr>
          <w:rFonts w:cs="Arial"/>
          <w:sz w:val="24"/>
          <w:szCs w:val="24"/>
          <w:lang w:eastAsia="en-GB"/>
        </w:rPr>
        <w:t>adjusted for baseline outcome and baseline pain sites</w:t>
      </w:r>
      <w:r w:rsidRPr="00DF4F41">
        <w:rPr>
          <w:sz w:val="24"/>
          <w:szCs w:val="24"/>
        </w:rPr>
        <w:t xml:space="preserve"> showed a statistically significant improvement on the McGill pain questionnaire, Self-efficacy for exercise and the anxiety sub-domain of the HAD (Table 4).</w:t>
      </w:r>
    </w:p>
    <w:p w:rsidR="00DF4F41" w:rsidRPr="00DF4F41" w:rsidRDefault="00DF4F41" w:rsidP="00DF4F41">
      <w:pPr>
        <w:autoSpaceDE w:val="0"/>
        <w:autoSpaceDN w:val="0"/>
        <w:adjustRightInd w:val="0"/>
        <w:spacing w:after="0" w:line="480" w:lineRule="auto"/>
        <w:jc w:val="both"/>
        <w:rPr>
          <w:rFonts w:cs="Arial"/>
          <w:sz w:val="24"/>
          <w:szCs w:val="24"/>
          <w:lang w:eastAsia="en-GB"/>
        </w:rPr>
      </w:pPr>
    </w:p>
    <w:p w:rsidR="00DF4F41" w:rsidRPr="00DF4F41" w:rsidRDefault="00DF4F41" w:rsidP="00DF4F41">
      <w:pPr>
        <w:autoSpaceDE w:val="0"/>
        <w:autoSpaceDN w:val="0"/>
        <w:adjustRightInd w:val="0"/>
        <w:spacing w:after="0" w:line="480" w:lineRule="auto"/>
        <w:jc w:val="both"/>
        <w:rPr>
          <w:sz w:val="24"/>
          <w:szCs w:val="24"/>
        </w:rPr>
      </w:pPr>
      <w:r w:rsidRPr="00DF4F41">
        <w:rPr>
          <w:rFonts w:cs="Arial"/>
          <w:sz w:val="24"/>
          <w:szCs w:val="24"/>
          <w:lang w:eastAsia="en-GB"/>
        </w:rPr>
        <w:t xml:space="preserve">The results show evidence of statistically significant effects of the intervention on the McGill Pain Questionnaire measured at 6 weeks (-0.78; </w:t>
      </w:r>
      <w:r w:rsidRPr="00DF4F41">
        <w:rPr>
          <w:sz w:val="24"/>
          <w:szCs w:val="24"/>
        </w:rPr>
        <w:t xml:space="preserve">95%CI: -1.30, -0.26; p=0.01): </w:t>
      </w:r>
      <w:r w:rsidRPr="00DF4F41">
        <w:rPr>
          <w:rFonts w:cs="Arial"/>
          <w:sz w:val="24"/>
          <w:szCs w:val="24"/>
          <w:lang w:eastAsia="en-GB"/>
        </w:rPr>
        <w:t xml:space="preserve">expected </w:t>
      </w:r>
      <w:r w:rsidRPr="00DF4F41">
        <w:rPr>
          <w:sz w:val="24"/>
          <w:szCs w:val="24"/>
        </w:rPr>
        <w:t xml:space="preserve">McGill score </w:t>
      </w:r>
      <w:r w:rsidRPr="00DF4F41">
        <w:rPr>
          <w:rFonts w:cs="Arial"/>
          <w:sz w:val="24"/>
          <w:szCs w:val="24"/>
          <w:lang w:eastAsia="en-GB"/>
        </w:rPr>
        <w:t xml:space="preserve">is about 1 unit lower for patients on </w:t>
      </w:r>
      <w:r w:rsidRPr="00DF4F41">
        <w:rPr>
          <w:sz w:val="24"/>
          <w:szCs w:val="24"/>
        </w:rPr>
        <w:t xml:space="preserve">exercise and self-management compared with patients on standard GP care, but this is unlikely to be clinically significant </w:t>
      </w:r>
      <w:r w:rsidRPr="00DF4F41">
        <w:rPr>
          <w:sz w:val="24"/>
          <w:szCs w:val="24"/>
          <w:vertAlign w:val="superscript"/>
        </w:rPr>
        <w:t>(22)</w:t>
      </w:r>
      <w:r w:rsidRPr="00DF4F41">
        <w:rPr>
          <w:sz w:val="24"/>
          <w:szCs w:val="24"/>
        </w:rPr>
        <w:t>. Similarly, t</w:t>
      </w:r>
      <w:r w:rsidRPr="00DF4F41">
        <w:rPr>
          <w:rFonts w:cs="Arial"/>
          <w:sz w:val="24"/>
          <w:szCs w:val="24"/>
          <w:lang w:eastAsia="en-GB"/>
        </w:rPr>
        <w:t xml:space="preserve">here is evidence of a statistically significant effect of intervention on self-efficacy measured at 6 weeks (3.53; </w:t>
      </w:r>
      <w:r w:rsidRPr="00DF4F41">
        <w:rPr>
          <w:sz w:val="24"/>
          <w:szCs w:val="24"/>
        </w:rPr>
        <w:t>95%CI: 1.45, 5.62; p=0.01)</w:t>
      </w:r>
      <w:r w:rsidRPr="00DF4F41">
        <w:rPr>
          <w:rFonts w:cs="Arial"/>
          <w:sz w:val="24"/>
          <w:szCs w:val="24"/>
          <w:lang w:eastAsia="en-GB"/>
        </w:rPr>
        <w:t>: improvement in e</w:t>
      </w:r>
      <w:r w:rsidRPr="00DF4F41">
        <w:rPr>
          <w:sz w:val="24"/>
          <w:szCs w:val="24"/>
        </w:rPr>
        <w:t xml:space="preserve">xpected self-efficacy score </w:t>
      </w:r>
      <w:r w:rsidRPr="00DF4F41">
        <w:rPr>
          <w:rFonts w:cs="Arial"/>
          <w:sz w:val="24"/>
          <w:szCs w:val="24"/>
          <w:lang w:eastAsia="en-GB"/>
        </w:rPr>
        <w:t xml:space="preserve">of about 3.5 units for patients on </w:t>
      </w:r>
      <w:r w:rsidRPr="00DF4F41">
        <w:rPr>
          <w:sz w:val="24"/>
          <w:szCs w:val="24"/>
        </w:rPr>
        <w:t>exercise and self-management compared with patients on GP care (</w:t>
      </w:r>
      <w:r w:rsidRPr="00DF4F41">
        <w:rPr>
          <w:rFonts w:cs="Arial"/>
          <w:sz w:val="24"/>
          <w:szCs w:val="24"/>
          <w:lang w:eastAsia="en-GB"/>
        </w:rPr>
        <w:t>Table 4)</w:t>
      </w:r>
      <w:r w:rsidRPr="00DF4F41">
        <w:rPr>
          <w:sz w:val="24"/>
          <w:szCs w:val="24"/>
        </w:rPr>
        <w:t xml:space="preserve">. </w:t>
      </w:r>
    </w:p>
    <w:p w:rsidR="00DF4F41" w:rsidRPr="00DF4F41" w:rsidRDefault="00DF4F41" w:rsidP="00DF4F41">
      <w:pPr>
        <w:autoSpaceDE w:val="0"/>
        <w:autoSpaceDN w:val="0"/>
        <w:adjustRightInd w:val="0"/>
        <w:spacing w:after="0" w:line="480" w:lineRule="auto"/>
        <w:jc w:val="both"/>
        <w:rPr>
          <w:rFonts w:cs="Arial"/>
          <w:sz w:val="24"/>
          <w:szCs w:val="24"/>
          <w:lang w:eastAsia="en-GB"/>
        </w:rPr>
      </w:pPr>
    </w:p>
    <w:p w:rsidR="00DF4F41" w:rsidRPr="00DF4F41" w:rsidRDefault="00DF4F41" w:rsidP="00DF4F41">
      <w:pPr>
        <w:autoSpaceDE w:val="0"/>
        <w:autoSpaceDN w:val="0"/>
        <w:adjustRightInd w:val="0"/>
        <w:spacing w:after="0" w:line="480" w:lineRule="auto"/>
        <w:jc w:val="both"/>
        <w:rPr>
          <w:sz w:val="24"/>
          <w:szCs w:val="24"/>
        </w:rPr>
      </w:pPr>
      <w:r w:rsidRPr="00DF4F41">
        <w:rPr>
          <w:sz w:val="24"/>
          <w:szCs w:val="24"/>
        </w:rPr>
        <w:t>At 6 weeks, ther</w:t>
      </w:r>
      <w:r w:rsidRPr="00DF4F41">
        <w:rPr>
          <w:rFonts w:cs="Arial"/>
          <w:sz w:val="24"/>
          <w:szCs w:val="24"/>
          <w:lang w:eastAsia="en-GB"/>
        </w:rPr>
        <w:t xml:space="preserve">e is a statistically significant effect of intervention on HADS with respect to depression (-0.58; </w:t>
      </w:r>
      <w:r w:rsidRPr="00DF4F41">
        <w:rPr>
          <w:sz w:val="24"/>
          <w:szCs w:val="24"/>
        </w:rPr>
        <w:t>95%CI: -1.01, -0.14; p=0.01</w:t>
      </w:r>
      <w:r w:rsidRPr="00DF4F41">
        <w:rPr>
          <w:rFonts w:cs="Arial"/>
          <w:sz w:val="24"/>
          <w:szCs w:val="24"/>
          <w:lang w:eastAsia="en-GB"/>
        </w:rPr>
        <w:t xml:space="preserve">) but not for anxiety (-0.29; </w:t>
      </w:r>
      <w:r w:rsidRPr="00DF4F41">
        <w:rPr>
          <w:sz w:val="24"/>
          <w:szCs w:val="24"/>
        </w:rPr>
        <w:t>95%CI: -0.92, 0.35; p=0.38</w:t>
      </w:r>
      <w:r w:rsidRPr="00DF4F41">
        <w:rPr>
          <w:rFonts w:cs="Arial"/>
          <w:sz w:val="24"/>
          <w:szCs w:val="24"/>
          <w:lang w:eastAsia="en-GB"/>
        </w:rPr>
        <w:t xml:space="preserve">) (Table 4). However, </w:t>
      </w:r>
      <w:r w:rsidRPr="00DF4F41">
        <w:rPr>
          <w:sz w:val="24"/>
          <w:szCs w:val="24"/>
        </w:rPr>
        <w:t xml:space="preserve">HADS scores (both anxiety and depression) were </w:t>
      </w:r>
      <w:r w:rsidRPr="00DF4F41">
        <w:rPr>
          <w:rFonts w:cs="Arial"/>
          <w:sz w:val="24"/>
          <w:szCs w:val="24"/>
          <w:lang w:eastAsia="en-GB"/>
        </w:rPr>
        <w:t>lower at 6 weeks for patients on treatment</w:t>
      </w:r>
      <w:r w:rsidRPr="00DF4F41">
        <w:rPr>
          <w:sz w:val="24"/>
          <w:szCs w:val="24"/>
        </w:rPr>
        <w:t xml:space="preserve"> compared with patients on GP care, this was not retained at six months.</w:t>
      </w:r>
    </w:p>
    <w:p w:rsidR="00DF4F41" w:rsidRPr="00DF4F41" w:rsidRDefault="00DF4F41" w:rsidP="00DF4F41">
      <w:pPr>
        <w:autoSpaceDE w:val="0"/>
        <w:autoSpaceDN w:val="0"/>
        <w:adjustRightInd w:val="0"/>
        <w:spacing w:after="0" w:line="480" w:lineRule="auto"/>
        <w:jc w:val="both"/>
        <w:rPr>
          <w:b/>
          <w:sz w:val="24"/>
          <w:szCs w:val="24"/>
        </w:rPr>
      </w:pPr>
    </w:p>
    <w:p w:rsidR="00DF4F41" w:rsidRPr="00DF4F41" w:rsidRDefault="00DF4F41" w:rsidP="00DF4F41">
      <w:pPr>
        <w:autoSpaceDE w:val="0"/>
        <w:autoSpaceDN w:val="0"/>
        <w:adjustRightInd w:val="0"/>
        <w:spacing w:after="0" w:line="480" w:lineRule="auto"/>
        <w:jc w:val="both"/>
        <w:rPr>
          <w:b/>
          <w:sz w:val="24"/>
          <w:szCs w:val="24"/>
        </w:rPr>
      </w:pPr>
    </w:p>
    <w:p w:rsidR="00DF4F41" w:rsidRPr="00DF4F41" w:rsidRDefault="00DF4F41" w:rsidP="00DF4F41">
      <w:pPr>
        <w:autoSpaceDE w:val="0"/>
        <w:autoSpaceDN w:val="0"/>
        <w:adjustRightInd w:val="0"/>
        <w:spacing w:after="0" w:line="480" w:lineRule="auto"/>
        <w:jc w:val="both"/>
        <w:rPr>
          <w:b/>
          <w:sz w:val="24"/>
          <w:szCs w:val="24"/>
        </w:rPr>
      </w:pPr>
    </w:p>
    <w:p w:rsidR="00DF4F41" w:rsidRPr="00DF4F41" w:rsidRDefault="00DF4F41" w:rsidP="00DF4F41">
      <w:pPr>
        <w:autoSpaceDE w:val="0"/>
        <w:autoSpaceDN w:val="0"/>
        <w:adjustRightInd w:val="0"/>
        <w:spacing w:after="0" w:line="480" w:lineRule="auto"/>
        <w:jc w:val="both"/>
        <w:rPr>
          <w:b/>
          <w:sz w:val="24"/>
          <w:szCs w:val="24"/>
        </w:rPr>
      </w:pPr>
    </w:p>
    <w:p w:rsidR="00DF4F41" w:rsidRPr="00DF4F41" w:rsidRDefault="00DF4F41" w:rsidP="00DF4F41">
      <w:pPr>
        <w:autoSpaceDE w:val="0"/>
        <w:autoSpaceDN w:val="0"/>
        <w:adjustRightInd w:val="0"/>
        <w:spacing w:after="0" w:line="480" w:lineRule="auto"/>
        <w:jc w:val="both"/>
        <w:rPr>
          <w:b/>
          <w:sz w:val="24"/>
          <w:szCs w:val="24"/>
        </w:rPr>
      </w:pPr>
    </w:p>
    <w:p w:rsidR="00DF4F41" w:rsidRPr="00DF4F41" w:rsidRDefault="00DF4F41" w:rsidP="00DF4F41">
      <w:pPr>
        <w:autoSpaceDE w:val="0"/>
        <w:autoSpaceDN w:val="0"/>
        <w:adjustRightInd w:val="0"/>
        <w:spacing w:after="0" w:line="480" w:lineRule="auto"/>
        <w:jc w:val="both"/>
        <w:rPr>
          <w:b/>
          <w:sz w:val="24"/>
          <w:szCs w:val="24"/>
        </w:rPr>
      </w:pPr>
    </w:p>
    <w:p w:rsidR="00DF4F41" w:rsidRPr="00DF4F41" w:rsidRDefault="00DF4F41" w:rsidP="00DF4F41">
      <w:pPr>
        <w:autoSpaceDE w:val="0"/>
        <w:autoSpaceDN w:val="0"/>
        <w:adjustRightInd w:val="0"/>
        <w:spacing w:after="0" w:line="480" w:lineRule="auto"/>
        <w:jc w:val="both"/>
        <w:rPr>
          <w:b/>
          <w:sz w:val="24"/>
          <w:szCs w:val="24"/>
        </w:rPr>
      </w:pPr>
      <w:r w:rsidRPr="00DF4F41">
        <w:rPr>
          <w:b/>
          <w:sz w:val="24"/>
          <w:szCs w:val="24"/>
        </w:rPr>
        <w:lastRenderedPageBreak/>
        <w:t>Table 4: Secondary outcomes analysis at 6 weeks</w:t>
      </w:r>
    </w:p>
    <w:p w:rsidR="00DF4F41" w:rsidRPr="00DF4F41" w:rsidRDefault="00DF4F41" w:rsidP="00DF4F41">
      <w:pPr>
        <w:pBdr>
          <w:top w:val="single" w:sz="4" w:space="1" w:color="auto"/>
          <w:left w:val="single" w:sz="4" w:space="4" w:color="auto"/>
          <w:right w:val="single" w:sz="4" w:space="31" w:color="auto"/>
        </w:pBdr>
        <w:autoSpaceDE w:val="0"/>
        <w:autoSpaceDN w:val="0"/>
        <w:adjustRightInd w:val="0"/>
        <w:spacing w:after="0" w:line="240" w:lineRule="auto"/>
        <w:jc w:val="both"/>
        <w:rPr>
          <w:sz w:val="24"/>
          <w:szCs w:val="24"/>
        </w:rPr>
      </w:pPr>
      <w:r w:rsidRPr="00DF4F41">
        <w:rPr>
          <w:sz w:val="24"/>
          <w:szCs w:val="24"/>
        </w:rPr>
        <w:t>Outcome</w:t>
      </w:r>
      <w:r w:rsidRPr="00DF4F41">
        <w:rPr>
          <w:sz w:val="24"/>
          <w:szCs w:val="24"/>
        </w:rPr>
        <w:tab/>
      </w:r>
      <w:r w:rsidRPr="00DF4F41">
        <w:rPr>
          <w:sz w:val="24"/>
          <w:szCs w:val="24"/>
        </w:rPr>
        <w:tab/>
        <w:t>Baseline</w:t>
      </w:r>
      <w:r w:rsidRPr="00DF4F41">
        <w:rPr>
          <w:sz w:val="24"/>
          <w:szCs w:val="24"/>
        </w:rPr>
        <w:tab/>
        <w:t>6 weeks</w:t>
      </w:r>
      <w:r w:rsidRPr="00DF4F41">
        <w:rPr>
          <w:sz w:val="24"/>
          <w:szCs w:val="24"/>
        </w:rPr>
        <w:tab/>
        <w:t>Efficacy</w:t>
      </w:r>
      <w:r w:rsidRPr="00DF4F41">
        <w:rPr>
          <w:sz w:val="24"/>
          <w:szCs w:val="24"/>
        </w:rPr>
        <w:tab/>
        <w:t>p-value</w:t>
      </w:r>
      <w:r w:rsidRPr="00DF4F41">
        <w:rPr>
          <w:sz w:val="24"/>
          <w:szCs w:val="24"/>
        </w:rPr>
        <w:tab/>
        <w:t>95% CI</w:t>
      </w:r>
    </w:p>
    <w:p w:rsidR="00DF4F41" w:rsidRPr="00DF4F41" w:rsidRDefault="00DF4F41" w:rsidP="00DF4F41">
      <w:pPr>
        <w:pBdr>
          <w:top w:val="single" w:sz="4" w:space="1" w:color="auto"/>
          <w:left w:val="single" w:sz="4" w:space="4" w:color="auto"/>
          <w:right w:val="single" w:sz="4" w:space="31" w:color="auto"/>
        </w:pBdr>
        <w:autoSpaceDE w:val="0"/>
        <w:autoSpaceDN w:val="0"/>
        <w:adjustRightInd w:val="0"/>
        <w:spacing w:after="0" w:line="240" w:lineRule="auto"/>
        <w:jc w:val="both"/>
        <w:rPr>
          <w:sz w:val="24"/>
          <w:szCs w:val="24"/>
        </w:rPr>
      </w:pPr>
      <w:r w:rsidRPr="00DF4F41">
        <w:rPr>
          <w:sz w:val="24"/>
          <w:szCs w:val="24"/>
        </w:rPr>
        <w:tab/>
      </w:r>
      <w:r w:rsidRPr="00DF4F41">
        <w:rPr>
          <w:sz w:val="24"/>
          <w:szCs w:val="24"/>
        </w:rPr>
        <w:tab/>
      </w:r>
      <w:r w:rsidRPr="00DF4F41">
        <w:rPr>
          <w:sz w:val="24"/>
          <w:szCs w:val="24"/>
        </w:rPr>
        <w:tab/>
        <w:t>Mean (SD)</w:t>
      </w:r>
      <w:r w:rsidRPr="00DF4F41">
        <w:rPr>
          <w:sz w:val="24"/>
          <w:szCs w:val="24"/>
        </w:rPr>
        <w:tab/>
        <w:t>Mean (SD)</w:t>
      </w:r>
    </w:p>
    <w:p w:rsidR="00DF4F41" w:rsidRPr="00DF4F41" w:rsidRDefault="00DF4F41" w:rsidP="00DF4F41">
      <w:pPr>
        <w:pBdr>
          <w:top w:val="single" w:sz="4" w:space="1" w:color="auto"/>
          <w:left w:val="single" w:sz="4" w:space="4" w:color="auto"/>
          <w:bottom w:val="single" w:sz="4" w:space="1" w:color="auto"/>
          <w:right w:val="single" w:sz="4" w:space="31" w:color="auto"/>
        </w:pBdr>
        <w:autoSpaceDE w:val="0"/>
        <w:autoSpaceDN w:val="0"/>
        <w:adjustRightInd w:val="0"/>
        <w:spacing w:after="0" w:line="480" w:lineRule="auto"/>
        <w:jc w:val="both"/>
        <w:rPr>
          <w:sz w:val="24"/>
          <w:szCs w:val="24"/>
        </w:rPr>
      </w:pPr>
      <w:r w:rsidRPr="00DF4F41">
        <w:rPr>
          <w:sz w:val="24"/>
          <w:szCs w:val="24"/>
        </w:rPr>
        <w:t>McGill</w:t>
      </w:r>
      <w:r w:rsidRPr="00DF4F41">
        <w:rPr>
          <w:sz w:val="24"/>
          <w:szCs w:val="24"/>
        </w:rPr>
        <w:tab/>
      </w:r>
      <w:r w:rsidRPr="00DF4F41">
        <w:rPr>
          <w:sz w:val="24"/>
          <w:szCs w:val="24"/>
        </w:rPr>
        <w:tab/>
      </w:r>
      <w:r w:rsidRPr="00DF4F41">
        <w:rPr>
          <w:sz w:val="24"/>
          <w:szCs w:val="24"/>
        </w:rPr>
        <w:tab/>
        <w:t>3.0 (2.5)</w:t>
      </w:r>
      <w:r w:rsidRPr="00DF4F41">
        <w:rPr>
          <w:sz w:val="24"/>
          <w:szCs w:val="24"/>
        </w:rPr>
        <w:tab/>
        <w:t>2.3 (2.0)</w:t>
      </w:r>
      <w:r w:rsidRPr="00DF4F41">
        <w:rPr>
          <w:sz w:val="24"/>
          <w:szCs w:val="24"/>
        </w:rPr>
        <w:tab/>
        <w:t>-0.78</w:t>
      </w:r>
      <w:r w:rsidRPr="00DF4F41">
        <w:rPr>
          <w:sz w:val="24"/>
          <w:szCs w:val="24"/>
        </w:rPr>
        <w:tab/>
      </w:r>
      <w:r w:rsidRPr="00DF4F41">
        <w:rPr>
          <w:sz w:val="24"/>
          <w:szCs w:val="24"/>
        </w:rPr>
        <w:tab/>
        <w:t>&lt;0.01</w:t>
      </w:r>
      <w:r w:rsidRPr="00DF4F41">
        <w:rPr>
          <w:sz w:val="24"/>
          <w:szCs w:val="24"/>
          <w:vertAlign w:val="superscript"/>
        </w:rPr>
        <w:t>*</w:t>
      </w:r>
      <w:r w:rsidRPr="00DF4F41">
        <w:rPr>
          <w:sz w:val="24"/>
          <w:szCs w:val="24"/>
        </w:rPr>
        <w:tab/>
      </w:r>
      <w:r w:rsidRPr="00DF4F41">
        <w:rPr>
          <w:sz w:val="24"/>
          <w:szCs w:val="24"/>
        </w:rPr>
        <w:tab/>
        <w:t xml:space="preserve">-1.30, -0.26 </w:t>
      </w:r>
    </w:p>
    <w:p w:rsidR="00DF4F41" w:rsidRPr="00DF4F41" w:rsidRDefault="00DF4F41" w:rsidP="00DF4F41">
      <w:pPr>
        <w:pBdr>
          <w:top w:val="single" w:sz="4" w:space="1" w:color="auto"/>
          <w:left w:val="single" w:sz="4" w:space="4" w:color="auto"/>
          <w:bottom w:val="single" w:sz="4" w:space="1" w:color="auto"/>
          <w:right w:val="single" w:sz="4" w:space="31" w:color="auto"/>
        </w:pBdr>
        <w:autoSpaceDE w:val="0"/>
        <w:autoSpaceDN w:val="0"/>
        <w:adjustRightInd w:val="0"/>
        <w:spacing w:after="0" w:line="480" w:lineRule="auto"/>
        <w:jc w:val="both"/>
        <w:rPr>
          <w:sz w:val="24"/>
          <w:szCs w:val="24"/>
        </w:rPr>
      </w:pPr>
      <w:r w:rsidRPr="00DF4F41">
        <w:rPr>
          <w:sz w:val="24"/>
          <w:szCs w:val="24"/>
        </w:rPr>
        <w:t xml:space="preserve">HADS </w:t>
      </w:r>
    </w:p>
    <w:p w:rsidR="00DF4F41" w:rsidRPr="00DF4F41" w:rsidRDefault="00DF4F41" w:rsidP="00DF4F41">
      <w:pPr>
        <w:pBdr>
          <w:top w:val="single" w:sz="4" w:space="1" w:color="auto"/>
          <w:left w:val="single" w:sz="4" w:space="4" w:color="auto"/>
          <w:bottom w:val="single" w:sz="4" w:space="1" w:color="auto"/>
          <w:right w:val="single" w:sz="4" w:space="31" w:color="auto"/>
        </w:pBdr>
        <w:autoSpaceDE w:val="0"/>
        <w:autoSpaceDN w:val="0"/>
        <w:adjustRightInd w:val="0"/>
        <w:spacing w:after="0" w:line="480" w:lineRule="auto"/>
        <w:jc w:val="both"/>
        <w:rPr>
          <w:sz w:val="24"/>
          <w:szCs w:val="24"/>
        </w:rPr>
      </w:pPr>
      <w:r w:rsidRPr="00DF4F41">
        <w:rPr>
          <w:sz w:val="24"/>
          <w:szCs w:val="24"/>
        </w:rPr>
        <w:tab/>
        <w:t>Anxiety</w:t>
      </w:r>
      <w:r w:rsidRPr="00DF4F41">
        <w:rPr>
          <w:sz w:val="24"/>
          <w:szCs w:val="24"/>
        </w:rPr>
        <w:tab/>
        <w:t>5.7 (4.1)</w:t>
      </w:r>
      <w:r w:rsidRPr="00DF4F41">
        <w:rPr>
          <w:sz w:val="24"/>
          <w:szCs w:val="24"/>
        </w:rPr>
        <w:tab/>
        <w:t>5.4 (3.4)</w:t>
      </w:r>
      <w:r w:rsidRPr="00DF4F41">
        <w:rPr>
          <w:sz w:val="24"/>
          <w:szCs w:val="24"/>
        </w:rPr>
        <w:tab/>
        <w:t>-0.29</w:t>
      </w:r>
      <w:r w:rsidRPr="00DF4F41">
        <w:rPr>
          <w:sz w:val="24"/>
          <w:szCs w:val="24"/>
        </w:rPr>
        <w:tab/>
      </w:r>
      <w:r w:rsidRPr="00DF4F41">
        <w:rPr>
          <w:sz w:val="24"/>
          <w:szCs w:val="24"/>
        </w:rPr>
        <w:tab/>
        <w:t>0.38</w:t>
      </w:r>
      <w:r w:rsidRPr="00DF4F41">
        <w:rPr>
          <w:sz w:val="24"/>
          <w:szCs w:val="24"/>
        </w:rPr>
        <w:tab/>
      </w:r>
      <w:r w:rsidRPr="00DF4F41">
        <w:rPr>
          <w:sz w:val="24"/>
          <w:szCs w:val="24"/>
        </w:rPr>
        <w:tab/>
        <w:t>-0.92, 0.35</w:t>
      </w:r>
    </w:p>
    <w:p w:rsidR="00DF4F41" w:rsidRPr="00DF4F41" w:rsidRDefault="00DF4F41" w:rsidP="00DF4F41">
      <w:pPr>
        <w:pBdr>
          <w:top w:val="single" w:sz="4" w:space="1" w:color="auto"/>
          <w:left w:val="single" w:sz="4" w:space="4" w:color="auto"/>
          <w:bottom w:val="single" w:sz="4" w:space="1" w:color="auto"/>
          <w:right w:val="single" w:sz="4" w:space="31" w:color="auto"/>
        </w:pBdr>
        <w:autoSpaceDE w:val="0"/>
        <w:autoSpaceDN w:val="0"/>
        <w:adjustRightInd w:val="0"/>
        <w:spacing w:after="0" w:line="480" w:lineRule="auto"/>
        <w:jc w:val="both"/>
        <w:rPr>
          <w:sz w:val="24"/>
          <w:szCs w:val="24"/>
        </w:rPr>
      </w:pPr>
      <w:r w:rsidRPr="00DF4F41">
        <w:rPr>
          <w:sz w:val="24"/>
          <w:szCs w:val="24"/>
        </w:rPr>
        <w:tab/>
        <w:t>Depression</w:t>
      </w:r>
      <w:r w:rsidRPr="00DF4F41">
        <w:rPr>
          <w:sz w:val="24"/>
          <w:szCs w:val="24"/>
        </w:rPr>
        <w:tab/>
        <w:t>4.1 (3.2)</w:t>
      </w:r>
      <w:r w:rsidRPr="00DF4F41">
        <w:rPr>
          <w:sz w:val="24"/>
          <w:szCs w:val="24"/>
        </w:rPr>
        <w:tab/>
        <w:t>3.5 (2.6)</w:t>
      </w:r>
      <w:r w:rsidRPr="00DF4F41">
        <w:rPr>
          <w:sz w:val="24"/>
          <w:szCs w:val="24"/>
        </w:rPr>
        <w:tab/>
        <w:t>-0.58</w:t>
      </w:r>
      <w:r w:rsidRPr="00DF4F41">
        <w:rPr>
          <w:sz w:val="24"/>
          <w:szCs w:val="24"/>
        </w:rPr>
        <w:tab/>
      </w:r>
      <w:r w:rsidRPr="00DF4F41">
        <w:rPr>
          <w:sz w:val="24"/>
          <w:szCs w:val="24"/>
        </w:rPr>
        <w:tab/>
        <w:t>&lt;0.01</w:t>
      </w:r>
      <w:r w:rsidRPr="00DF4F41">
        <w:rPr>
          <w:sz w:val="24"/>
          <w:szCs w:val="24"/>
          <w:vertAlign w:val="superscript"/>
        </w:rPr>
        <w:t>*</w:t>
      </w:r>
      <w:r w:rsidRPr="00DF4F41">
        <w:rPr>
          <w:sz w:val="24"/>
          <w:szCs w:val="24"/>
        </w:rPr>
        <w:tab/>
      </w:r>
      <w:r w:rsidRPr="00DF4F41">
        <w:rPr>
          <w:sz w:val="24"/>
          <w:szCs w:val="24"/>
        </w:rPr>
        <w:tab/>
        <w:t xml:space="preserve">-1.01, -0.14 </w:t>
      </w:r>
    </w:p>
    <w:p w:rsidR="00DF4F41" w:rsidRPr="00DF4F41" w:rsidRDefault="00DF4F41" w:rsidP="00DF4F41">
      <w:pPr>
        <w:pBdr>
          <w:top w:val="single" w:sz="4" w:space="1" w:color="auto"/>
          <w:left w:val="single" w:sz="4" w:space="4" w:color="auto"/>
          <w:bottom w:val="single" w:sz="4" w:space="1" w:color="auto"/>
          <w:right w:val="single" w:sz="4" w:space="31" w:color="auto"/>
        </w:pBdr>
        <w:autoSpaceDE w:val="0"/>
        <w:autoSpaceDN w:val="0"/>
        <w:adjustRightInd w:val="0"/>
        <w:spacing w:after="0" w:line="480" w:lineRule="auto"/>
        <w:jc w:val="both"/>
        <w:rPr>
          <w:sz w:val="24"/>
          <w:szCs w:val="24"/>
        </w:rPr>
      </w:pPr>
      <w:r w:rsidRPr="00DF4F41">
        <w:rPr>
          <w:sz w:val="24"/>
          <w:szCs w:val="24"/>
        </w:rPr>
        <w:t>Self-Efficacy</w:t>
      </w:r>
      <w:r w:rsidRPr="00DF4F41">
        <w:rPr>
          <w:sz w:val="24"/>
          <w:szCs w:val="24"/>
        </w:rPr>
        <w:tab/>
      </w:r>
      <w:r w:rsidRPr="00DF4F41">
        <w:rPr>
          <w:sz w:val="24"/>
          <w:szCs w:val="24"/>
        </w:rPr>
        <w:tab/>
        <w:t>77.6 (10.0)</w:t>
      </w:r>
      <w:r w:rsidRPr="00DF4F41">
        <w:rPr>
          <w:sz w:val="24"/>
          <w:szCs w:val="24"/>
        </w:rPr>
        <w:tab/>
        <w:t>80.9 (8.6)</w:t>
      </w:r>
      <w:r w:rsidRPr="00DF4F41">
        <w:rPr>
          <w:sz w:val="24"/>
          <w:szCs w:val="24"/>
        </w:rPr>
        <w:tab/>
        <w:t>3.53</w:t>
      </w:r>
      <w:r w:rsidRPr="00DF4F41">
        <w:rPr>
          <w:sz w:val="24"/>
          <w:szCs w:val="24"/>
        </w:rPr>
        <w:tab/>
      </w:r>
      <w:r w:rsidRPr="00DF4F41">
        <w:rPr>
          <w:sz w:val="24"/>
          <w:szCs w:val="24"/>
        </w:rPr>
        <w:tab/>
        <w:t>&lt;0.01</w:t>
      </w:r>
      <w:r w:rsidRPr="00DF4F41">
        <w:rPr>
          <w:sz w:val="24"/>
          <w:szCs w:val="24"/>
          <w:vertAlign w:val="superscript"/>
        </w:rPr>
        <w:t>*</w:t>
      </w:r>
      <w:r w:rsidRPr="00DF4F41">
        <w:rPr>
          <w:sz w:val="24"/>
          <w:szCs w:val="24"/>
        </w:rPr>
        <w:tab/>
      </w:r>
      <w:r w:rsidRPr="00DF4F41">
        <w:rPr>
          <w:sz w:val="24"/>
          <w:szCs w:val="24"/>
        </w:rPr>
        <w:tab/>
        <w:t>1.45, 5.62</w:t>
      </w:r>
    </w:p>
    <w:p w:rsidR="00DF4F41" w:rsidRPr="00DF4F41" w:rsidRDefault="00DF4F41" w:rsidP="00DF4F41">
      <w:pPr>
        <w:autoSpaceDE w:val="0"/>
        <w:autoSpaceDN w:val="0"/>
        <w:adjustRightInd w:val="0"/>
        <w:spacing w:after="0" w:line="480" w:lineRule="auto"/>
        <w:jc w:val="both"/>
        <w:rPr>
          <w:sz w:val="24"/>
          <w:szCs w:val="24"/>
        </w:rPr>
      </w:pPr>
    </w:p>
    <w:p w:rsidR="00DF4F41" w:rsidRPr="00DF4F41" w:rsidRDefault="00DF4F41" w:rsidP="00DF4F41">
      <w:pPr>
        <w:autoSpaceDE w:val="0"/>
        <w:autoSpaceDN w:val="0"/>
        <w:adjustRightInd w:val="0"/>
        <w:spacing w:after="0" w:line="480" w:lineRule="auto"/>
        <w:jc w:val="both"/>
        <w:rPr>
          <w:b/>
          <w:sz w:val="24"/>
          <w:szCs w:val="24"/>
        </w:rPr>
      </w:pPr>
      <w:r w:rsidRPr="00DF4F41">
        <w:rPr>
          <w:b/>
          <w:sz w:val="24"/>
          <w:szCs w:val="24"/>
        </w:rPr>
        <w:t>Compliance</w:t>
      </w:r>
    </w:p>
    <w:p w:rsidR="00DF4F41" w:rsidRPr="00DF4F41" w:rsidRDefault="00DF4F41" w:rsidP="00DF4F41">
      <w:pPr>
        <w:autoSpaceDE w:val="0"/>
        <w:autoSpaceDN w:val="0"/>
        <w:adjustRightInd w:val="0"/>
        <w:spacing w:after="0" w:line="480" w:lineRule="auto"/>
        <w:jc w:val="both"/>
        <w:rPr>
          <w:sz w:val="24"/>
          <w:szCs w:val="24"/>
        </w:rPr>
      </w:pPr>
      <w:r w:rsidRPr="00DF4F41">
        <w:rPr>
          <w:sz w:val="24"/>
          <w:szCs w:val="24"/>
        </w:rPr>
        <w:t xml:space="preserve">For the 23 GP surgeries randomised to the experimental intervention, there were 166 records (56 males, 110 female) of compliance with treatment allocation, </w:t>
      </w:r>
      <w:r w:rsidRPr="00DF4F41">
        <w:rPr>
          <w:rFonts w:cs="Arial"/>
          <w:sz w:val="24"/>
          <w:szCs w:val="24"/>
          <w:lang w:eastAsia="en-GB"/>
        </w:rPr>
        <w:t xml:space="preserve">where a complier was defined as one who attended at least six (50%) of the scheduled sessions of exercise. </w:t>
      </w:r>
      <w:r w:rsidRPr="00DF4F41">
        <w:rPr>
          <w:sz w:val="24"/>
          <w:szCs w:val="24"/>
        </w:rPr>
        <w:t>Compliance was considered for m</w:t>
      </w:r>
      <w:r w:rsidRPr="00DF4F41">
        <w:rPr>
          <w:rFonts w:cs="Arial"/>
          <w:sz w:val="24"/>
          <w:szCs w:val="24"/>
          <w:lang w:eastAsia="en-GB"/>
        </w:rPr>
        <w:t>ost of the patients (83%, 137/166).</w:t>
      </w:r>
      <w:r w:rsidRPr="00DF4F41">
        <w:rPr>
          <w:sz w:val="24"/>
          <w:szCs w:val="24"/>
        </w:rPr>
        <w:t xml:space="preserve"> </w:t>
      </w:r>
      <w:r w:rsidRPr="00DF4F41">
        <w:rPr>
          <w:rFonts w:cs="Arial"/>
          <w:sz w:val="24"/>
          <w:szCs w:val="24"/>
          <w:lang w:eastAsia="en-GB"/>
        </w:rPr>
        <w:t>O</w:t>
      </w:r>
      <w:r w:rsidRPr="00DF4F41">
        <w:rPr>
          <w:sz w:val="24"/>
          <w:szCs w:val="24"/>
        </w:rPr>
        <w:t>n average patients attended 8 sessions of exercise and self-management (Table 5).</w:t>
      </w:r>
    </w:p>
    <w:p w:rsidR="00DF4F41" w:rsidRPr="00DF4F41" w:rsidRDefault="00DF4F41" w:rsidP="00DF4F41">
      <w:pPr>
        <w:autoSpaceDE w:val="0"/>
        <w:autoSpaceDN w:val="0"/>
        <w:adjustRightInd w:val="0"/>
        <w:spacing w:after="0" w:line="480" w:lineRule="auto"/>
        <w:jc w:val="both"/>
        <w:rPr>
          <w:b/>
          <w:sz w:val="24"/>
          <w:szCs w:val="24"/>
        </w:rPr>
      </w:pPr>
    </w:p>
    <w:p w:rsidR="00DF4F41" w:rsidRPr="00DF4F41" w:rsidRDefault="00DF4F41" w:rsidP="00DF4F41">
      <w:pPr>
        <w:autoSpaceDE w:val="0"/>
        <w:autoSpaceDN w:val="0"/>
        <w:adjustRightInd w:val="0"/>
        <w:spacing w:after="0" w:line="480" w:lineRule="auto"/>
        <w:jc w:val="both"/>
        <w:rPr>
          <w:b/>
          <w:sz w:val="24"/>
          <w:szCs w:val="24"/>
        </w:rPr>
      </w:pPr>
      <w:r w:rsidRPr="00DF4F41">
        <w:rPr>
          <w:b/>
          <w:sz w:val="24"/>
          <w:szCs w:val="24"/>
        </w:rPr>
        <w:t>Table 5: Distribution of attendance to intervention for the 12 scheduled sessions</w:t>
      </w:r>
    </w:p>
    <w:p w:rsidR="00DF4F41" w:rsidRPr="00DF4F41" w:rsidRDefault="00DF4F41" w:rsidP="00DF4F41">
      <w:pPr>
        <w:pBdr>
          <w:top w:val="single" w:sz="4" w:space="1" w:color="auto"/>
          <w:left w:val="single" w:sz="4" w:space="4" w:color="auto"/>
          <w:bottom w:val="single" w:sz="4" w:space="1" w:color="auto"/>
          <w:right w:val="single" w:sz="4" w:space="4" w:color="auto"/>
        </w:pBdr>
        <w:autoSpaceDE w:val="0"/>
        <w:autoSpaceDN w:val="0"/>
        <w:adjustRightInd w:val="0"/>
        <w:spacing w:after="0" w:line="480" w:lineRule="auto"/>
        <w:jc w:val="both"/>
        <w:rPr>
          <w:sz w:val="24"/>
          <w:szCs w:val="24"/>
          <w:u w:val="single"/>
        </w:rPr>
      </w:pPr>
      <w:r w:rsidRPr="00DF4F41">
        <w:rPr>
          <w:b/>
          <w:sz w:val="24"/>
          <w:szCs w:val="24"/>
          <w:u w:val="single"/>
        </w:rPr>
        <w:t>Att</w:t>
      </w:r>
      <w:r w:rsidRPr="00DF4F41">
        <w:rPr>
          <w:sz w:val="24"/>
          <w:szCs w:val="24"/>
          <w:u w:val="single"/>
        </w:rPr>
        <w:t>. 0</w:t>
      </w:r>
      <w:r w:rsidRPr="00DF4F41">
        <w:rPr>
          <w:sz w:val="24"/>
          <w:szCs w:val="24"/>
          <w:u w:val="single"/>
        </w:rPr>
        <w:tab/>
        <w:t xml:space="preserve">   1</w:t>
      </w:r>
      <w:r w:rsidRPr="00DF4F41">
        <w:rPr>
          <w:sz w:val="24"/>
          <w:szCs w:val="24"/>
          <w:u w:val="single"/>
        </w:rPr>
        <w:tab/>
        <w:t>2</w:t>
      </w:r>
      <w:r w:rsidRPr="00DF4F41">
        <w:rPr>
          <w:sz w:val="24"/>
          <w:szCs w:val="24"/>
          <w:u w:val="single"/>
        </w:rPr>
        <w:tab/>
        <w:t>3</w:t>
      </w:r>
      <w:r w:rsidRPr="00DF4F41">
        <w:rPr>
          <w:sz w:val="24"/>
          <w:szCs w:val="24"/>
          <w:u w:val="single"/>
        </w:rPr>
        <w:tab/>
        <w:t>4</w:t>
      </w:r>
      <w:r w:rsidRPr="00DF4F41">
        <w:rPr>
          <w:sz w:val="24"/>
          <w:szCs w:val="24"/>
          <w:u w:val="single"/>
        </w:rPr>
        <w:tab/>
        <w:t>5</w:t>
      </w:r>
      <w:r w:rsidRPr="00DF4F41">
        <w:rPr>
          <w:sz w:val="24"/>
          <w:szCs w:val="24"/>
          <w:u w:val="single"/>
        </w:rPr>
        <w:tab/>
        <w:t>6</w:t>
      </w:r>
      <w:r w:rsidRPr="00DF4F41">
        <w:rPr>
          <w:sz w:val="24"/>
          <w:szCs w:val="24"/>
          <w:u w:val="single"/>
        </w:rPr>
        <w:tab/>
        <w:t>7</w:t>
      </w:r>
      <w:r w:rsidRPr="00DF4F41">
        <w:rPr>
          <w:sz w:val="24"/>
          <w:szCs w:val="24"/>
          <w:u w:val="single"/>
        </w:rPr>
        <w:tab/>
        <w:t>8</w:t>
      </w:r>
      <w:r w:rsidRPr="00DF4F41">
        <w:rPr>
          <w:sz w:val="24"/>
          <w:szCs w:val="24"/>
          <w:u w:val="single"/>
        </w:rPr>
        <w:tab/>
        <w:t>9</w:t>
      </w:r>
      <w:r w:rsidRPr="00DF4F41">
        <w:rPr>
          <w:sz w:val="24"/>
          <w:szCs w:val="24"/>
          <w:u w:val="single"/>
        </w:rPr>
        <w:tab/>
        <w:t>10</w:t>
      </w:r>
      <w:r w:rsidRPr="00DF4F41">
        <w:rPr>
          <w:sz w:val="24"/>
          <w:szCs w:val="24"/>
          <w:u w:val="single"/>
        </w:rPr>
        <w:tab/>
        <w:t>11</w:t>
      </w:r>
      <w:r w:rsidRPr="00DF4F41">
        <w:rPr>
          <w:sz w:val="24"/>
          <w:szCs w:val="24"/>
          <w:u w:val="single"/>
        </w:rPr>
        <w:tab/>
        <w:t xml:space="preserve"> 12                                                                                                                                                                                  </w:t>
      </w:r>
    </w:p>
    <w:p w:rsidR="00DF4F41" w:rsidRPr="00DF4F41" w:rsidRDefault="00DF4F41" w:rsidP="00DF4F41">
      <w:pPr>
        <w:pBdr>
          <w:top w:val="single" w:sz="4" w:space="1" w:color="auto"/>
          <w:left w:val="single" w:sz="4" w:space="4" w:color="auto"/>
          <w:bottom w:val="single" w:sz="4" w:space="1" w:color="auto"/>
          <w:right w:val="single" w:sz="4" w:space="4" w:color="auto"/>
        </w:pBdr>
        <w:autoSpaceDE w:val="0"/>
        <w:autoSpaceDN w:val="0"/>
        <w:adjustRightInd w:val="0"/>
        <w:spacing w:after="0" w:line="480" w:lineRule="auto"/>
        <w:jc w:val="both"/>
        <w:rPr>
          <w:sz w:val="24"/>
          <w:szCs w:val="24"/>
        </w:rPr>
      </w:pPr>
      <w:r w:rsidRPr="00DF4F41">
        <w:rPr>
          <w:b/>
          <w:sz w:val="24"/>
          <w:szCs w:val="24"/>
        </w:rPr>
        <w:t>No.</w:t>
      </w:r>
      <w:r w:rsidRPr="00DF4F41">
        <w:rPr>
          <w:sz w:val="24"/>
          <w:szCs w:val="24"/>
        </w:rPr>
        <w:t xml:space="preserve"> 7</w:t>
      </w:r>
      <w:r w:rsidRPr="00DF4F41">
        <w:rPr>
          <w:sz w:val="24"/>
          <w:szCs w:val="24"/>
        </w:rPr>
        <w:tab/>
        <w:t xml:space="preserve">   7</w:t>
      </w:r>
      <w:r w:rsidRPr="00DF4F41">
        <w:rPr>
          <w:sz w:val="24"/>
          <w:szCs w:val="24"/>
        </w:rPr>
        <w:tab/>
        <w:t>4</w:t>
      </w:r>
      <w:r w:rsidRPr="00DF4F41">
        <w:rPr>
          <w:sz w:val="24"/>
          <w:szCs w:val="24"/>
        </w:rPr>
        <w:tab/>
        <w:t>4</w:t>
      </w:r>
      <w:r w:rsidRPr="00DF4F41">
        <w:rPr>
          <w:sz w:val="24"/>
          <w:szCs w:val="24"/>
        </w:rPr>
        <w:tab/>
        <w:t>4</w:t>
      </w:r>
      <w:r w:rsidRPr="00DF4F41">
        <w:rPr>
          <w:sz w:val="24"/>
          <w:szCs w:val="24"/>
        </w:rPr>
        <w:tab/>
        <w:t>3</w:t>
      </w:r>
      <w:r w:rsidRPr="00DF4F41">
        <w:rPr>
          <w:sz w:val="24"/>
          <w:szCs w:val="24"/>
        </w:rPr>
        <w:tab/>
        <w:t>6</w:t>
      </w:r>
      <w:r w:rsidRPr="00DF4F41">
        <w:rPr>
          <w:sz w:val="24"/>
          <w:szCs w:val="24"/>
        </w:rPr>
        <w:tab/>
        <w:t>13</w:t>
      </w:r>
      <w:r w:rsidRPr="00DF4F41">
        <w:rPr>
          <w:sz w:val="24"/>
          <w:szCs w:val="24"/>
        </w:rPr>
        <w:tab/>
        <w:t>16</w:t>
      </w:r>
      <w:r w:rsidRPr="00DF4F41">
        <w:rPr>
          <w:sz w:val="24"/>
          <w:szCs w:val="24"/>
        </w:rPr>
        <w:tab/>
        <w:t>15</w:t>
      </w:r>
      <w:r w:rsidRPr="00DF4F41">
        <w:rPr>
          <w:sz w:val="24"/>
          <w:szCs w:val="24"/>
        </w:rPr>
        <w:tab/>
        <w:t>31</w:t>
      </w:r>
      <w:r w:rsidRPr="00DF4F41">
        <w:rPr>
          <w:sz w:val="24"/>
          <w:szCs w:val="24"/>
        </w:rPr>
        <w:tab/>
        <w:t>31</w:t>
      </w:r>
      <w:r w:rsidRPr="00DF4F41">
        <w:rPr>
          <w:sz w:val="24"/>
          <w:szCs w:val="24"/>
        </w:rPr>
        <w:tab/>
        <w:t>25</w:t>
      </w:r>
    </w:p>
    <w:p w:rsidR="00DF4F41" w:rsidRPr="00DF4F41" w:rsidRDefault="00DF4F41" w:rsidP="00DF4F41">
      <w:pPr>
        <w:autoSpaceDE w:val="0"/>
        <w:autoSpaceDN w:val="0"/>
        <w:adjustRightInd w:val="0"/>
        <w:spacing w:after="0" w:line="480" w:lineRule="auto"/>
        <w:jc w:val="both"/>
        <w:rPr>
          <w:sz w:val="20"/>
          <w:szCs w:val="24"/>
        </w:rPr>
      </w:pPr>
      <w:r w:rsidRPr="00DF4F41">
        <w:rPr>
          <w:sz w:val="20"/>
          <w:szCs w:val="24"/>
        </w:rPr>
        <w:t>NB. data not available for 4 participants</w:t>
      </w:r>
    </w:p>
    <w:p w:rsidR="00DF4F41" w:rsidRPr="00DF4F41" w:rsidRDefault="00DF4F41" w:rsidP="00DF4F41">
      <w:pPr>
        <w:autoSpaceDE w:val="0"/>
        <w:autoSpaceDN w:val="0"/>
        <w:adjustRightInd w:val="0"/>
        <w:spacing w:after="0" w:line="480" w:lineRule="auto"/>
        <w:jc w:val="both"/>
        <w:rPr>
          <w:b/>
          <w:sz w:val="24"/>
          <w:szCs w:val="24"/>
        </w:rPr>
      </w:pPr>
    </w:p>
    <w:p w:rsidR="00DF4F41" w:rsidRPr="00DF4F41" w:rsidRDefault="00DF4F41" w:rsidP="00DF4F41">
      <w:pPr>
        <w:autoSpaceDE w:val="0"/>
        <w:autoSpaceDN w:val="0"/>
        <w:adjustRightInd w:val="0"/>
        <w:spacing w:after="0" w:line="480" w:lineRule="auto"/>
        <w:jc w:val="both"/>
        <w:rPr>
          <w:b/>
          <w:sz w:val="24"/>
          <w:szCs w:val="24"/>
        </w:rPr>
      </w:pPr>
      <w:r w:rsidRPr="00DF4F41">
        <w:rPr>
          <w:b/>
          <w:sz w:val="24"/>
          <w:szCs w:val="24"/>
        </w:rPr>
        <w:t>Causal effects of intervention</w:t>
      </w:r>
    </w:p>
    <w:p w:rsidR="00DF4F41" w:rsidRPr="00DF4F41" w:rsidRDefault="00DF4F41" w:rsidP="00DF4F41">
      <w:pPr>
        <w:autoSpaceDE w:val="0"/>
        <w:autoSpaceDN w:val="0"/>
        <w:adjustRightInd w:val="0"/>
        <w:spacing w:after="0" w:line="480" w:lineRule="auto"/>
        <w:jc w:val="both"/>
        <w:rPr>
          <w:sz w:val="24"/>
          <w:szCs w:val="24"/>
        </w:rPr>
      </w:pPr>
      <w:r w:rsidRPr="00DF4F41">
        <w:rPr>
          <w:sz w:val="24"/>
          <w:szCs w:val="24"/>
        </w:rPr>
        <w:t xml:space="preserve">A complier average causal effect (CACE) analysis provided a measure of the causal effect of exercise and self-management for patients who received the intervention as intended by the original group allocation. Under the potential outcomes framework, CACE analysis compares the mean outcome for compliers in the intervention arm with the mean outcome of similar </w:t>
      </w:r>
      <w:r w:rsidRPr="00DF4F41">
        <w:rPr>
          <w:sz w:val="24"/>
          <w:szCs w:val="24"/>
        </w:rPr>
        <w:lastRenderedPageBreak/>
        <w:t xml:space="preserve">(but unobserved) group of patients in the control arm who would have complied with intervention had they been randomised to do it (counterfactuals). </w:t>
      </w:r>
    </w:p>
    <w:p w:rsidR="00DF4F41" w:rsidRPr="00DF4F41" w:rsidRDefault="00DF4F41" w:rsidP="00DF4F41">
      <w:pPr>
        <w:autoSpaceDE w:val="0"/>
        <w:autoSpaceDN w:val="0"/>
        <w:adjustRightInd w:val="0"/>
        <w:spacing w:after="0" w:line="480" w:lineRule="auto"/>
        <w:jc w:val="both"/>
        <w:rPr>
          <w:sz w:val="24"/>
          <w:szCs w:val="24"/>
        </w:rPr>
      </w:pPr>
    </w:p>
    <w:p w:rsidR="00DF4F41" w:rsidRPr="00DF4F41" w:rsidRDefault="00DF4F41" w:rsidP="00DF4F41">
      <w:pPr>
        <w:autoSpaceDE w:val="0"/>
        <w:autoSpaceDN w:val="0"/>
        <w:adjustRightInd w:val="0"/>
        <w:spacing w:after="0" w:line="480" w:lineRule="auto"/>
        <w:jc w:val="both"/>
        <w:rPr>
          <w:rFonts w:asciiTheme="minorHAnsi" w:hAnsiTheme="minorHAnsi" w:cstheme="minorHAnsi"/>
          <w:sz w:val="24"/>
          <w:szCs w:val="24"/>
        </w:rPr>
      </w:pPr>
      <w:r w:rsidRPr="00DF4F41">
        <w:rPr>
          <w:rFonts w:asciiTheme="minorHAnsi" w:hAnsiTheme="minorHAnsi" w:cstheme="minorHAnsi"/>
          <w:color w:val="000000"/>
          <w:sz w:val="24"/>
          <w:szCs w:val="24"/>
          <w:bdr w:val="none" w:sz="0" w:space="0" w:color="auto" w:frame="1"/>
          <w:shd w:val="clear" w:color="auto" w:fill="FFFFFF"/>
        </w:rPr>
        <w:t>We applied the two-stage instrumental variable regression model adjusting for baseline DI-SMFA scores and pain site (as before) and used baseline diagnosis as instruments. Results for the CACE estimate suggested an improvement in expected DI-SMFA score of about 5.4 units for patients on the intervention (exercise and self-management) compared with patients on control (standard GP care).</w:t>
      </w:r>
    </w:p>
    <w:p w:rsidR="00DF4F41" w:rsidRPr="00DF4F41" w:rsidRDefault="00DF4F41" w:rsidP="00DF4F41">
      <w:pPr>
        <w:autoSpaceDE w:val="0"/>
        <w:autoSpaceDN w:val="0"/>
        <w:adjustRightInd w:val="0"/>
        <w:spacing w:after="0" w:line="480" w:lineRule="auto"/>
        <w:jc w:val="both"/>
        <w:rPr>
          <w:sz w:val="24"/>
          <w:szCs w:val="24"/>
        </w:rPr>
      </w:pPr>
    </w:p>
    <w:p w:rsidR="00DF4F41" w:rsidRPr="00DF4F41" w:rsidRDefault="00DF4F41" w:rsidP="00DF4F41">
      <w:pPr>
        <w:autoSpaceDE w:val="0"/>
        <w:autoSpaceDN w:val="0"/>
        <w:adjustRightInd w:val="0"/>
        <w:spacing w:after="0" w:line="480" w:lineRule="auto"/>
        <w:jc w:val="both"/>
        <w:rPr>
          <w:sz w:val="24"/>
          <w:szCs w:val="24"/>
        </w:rPr>
      </w:pPr>
      <w:r w:rsidRPr="00DF4F41">
        <w:rPr>
          <w:sz w:val="24"/>
          <w:szCs w:val="24"/>
        </w:rPr>
        <w:t>The CACE estimate is evidently larger than the ITT estimates, demonstrating a greater benefit of exercise and self-management among participants who complied with the intervention, i.e. attended at least half (6) of the scheduled sessions (12).</w:t>
      </w:r>
    </w:p>
    <w:p w:rsidR="00DF4F41" w:rsidRPr="00DF4F41" w:rsidRDefault="00DF4F41" w:rsidP="00DF4F41">
      <w:pPr>
        <w:autoSpaceDE w:val="0"/>
        <w:autoSpaceDN w:val="0"/>
        <w:adjustRightInd w:val="0"/>
        <w:spacing w:after="0" w:line="480" w:lineRule="auto"/>
        <w:jc w:val="both"/>
        <w:rPr>
          <w:sz w:val="24"/>
          <w:szCs w:val="24"/>
        </w:rPr>
      </w:pPr>
    </w:p>
    <w:p w:rsidR="00DF4F41" w:rsidRPr="00DF4F41" w:rsidRDefault="00DF4F41" w:rsidP="00DF4F41">
      <w:pPr>
        <w:spacing w:after="0" w:line="480" w:lineRule="auto"/>
        <w:jc w:val="both"/>
        <w:rPr>
          <w:b/>
          <w:sz w:val="24"/>
          <w:szCs w:val="24"/>
        </w:rPr>
      </w:pPr>
      <w:r w:rsidRPr="00DF4F41">
        <w:rPr>
          <w:b/>
          <w:sz w:val="24"/>
          <w:szCs w:val="24"/>
        </w:rPr>
        <w:t>Primary Outcome / Effectiveness for FASA RCT</w:t>
      </w:r>
    </w:p>
    <w:p w:rsidR="00DF4F41" w:rsidRPr="00DF4F41" w:rsidRDefault="00DF4F41" w:rsidP="00DF4F41">
      <w:pPr>
        <w:spacing w:after="120" w:line="480" w:lineRule="auto"/>
        <w:jc w:val="both"/>
        <w:rPr>
          <w:sz w:val="24"/>
          <w:szCs w:val="24"/>
        </w:rPr>
      </w:pPr>
      <w:r w:rsidRPr="00DF4F41">
        <w:rPr>
          <w:sz w:val="24"/>
          <w:szCs w:val="24"/>
        </w:rPr>
        <w:t xml:space="preserve">In the main effectiveness analyses, the difference in the primary outcome (DI-SMFA score) was positive, indicating a positive treatment effect associated with intervention participants, with a difference in score of 3 units (lower) for the intervention participants.  </w:t>
      </w:r>
    </w:p>
    <w:p w:rsidR="00DF4F41" w:rsidRPr="00DF4F41" w:rsidRDefault="00DF4F41" w:rsidP="00DF4F41">
      <w:pPr>
        <w:spacing w:after="120" w:line="480" w:lineRule="auto"/>
        <w:rPr>
          <w:b/>
          <w:sz w:val="24"/>
          <w:szCs w:val="24"/>
        </w:rPr>
      </w:pPr>
    </w:p>
    <w:p w:rsidR="00DF4F41" w:rsidRPr="00DF4F41" w:rsidRDefault="00DF4F41" w:rsidP="00DF4F41">
      <w:pPr>
        <w:spacing w:after="120" w:line="480" w:lineRule="auto"/>
        <w:rPr>
          <w:b/>
          <w:sz w:val="24"/>
          <w:szCs w:val="24"/>
        </w:rPr>
      </w:pPr>
      <w:r w:rsidRPr="00DF4F41">
        <w:rPr>
          <w:b/>
          <w:sz w:val="24"/>
          <w:szCs w:val="24"/>
        </w:rPr>
        <w:t>DISCUSSION</w:t>
      </w:r>
    </w:p>
    <w:p w:rsidR="00DF4F41" w:rsidRPr="00DF4F41" w:rsidRDefault="00DF4F41" w:rsidP="00DF4F41">
      <w:pPr>
        <w:spacing w:after="120" w:line="480" w:lineRule="auto"/>
        <w:jc w:val="both"/>
        <w:rPr>
          <w:sz w:val="24"/>
          <w:szCs w:val="24"/>
        </w:rPr>
      </w:pPr>
      <w:r w:rsidRPr="00DF4F41">
        <w:rPr>
          <w:sz w:val="24"/>
          <w:szCs w:val="24"/>
        </w:rPr>
        <w:t xml:space="preserve">This study determined whether FASA, a generic exercise and self-management intervention delivered to participants with hip and knee OA and/or chronic lower back had better clinical outcomes than continued GP-led management. The results demonstrated that participants on the intervention arm had statistically significantly better function at six months compared </w:t>
      </w:r>
      <w:r w:rsidRPr="00DF4F41">
        <w:rPr>
          <w:sz w:val="24"/>
          <w:szCs w:val="24"/>
        </w:rPr>
        <w:lastRenderedPageBreak/>
        <w:t xml:space="preserve">to those on continued GP care arm as measured by the Dysfunction Index of the Short Musculoskeletal Functional Assessment (DI-SMFA). </w:t>
      </w:r>
    </w:p>
    <w:p w:rsidR="00DF4F41" w:rsidRPr="00DF4F41" w:rsidRDefault="00DF4F41" w:rsidP="00DF4F41">
      <w:pPr>
        <w:spacing w:after="120" w:line="480" w:lineRule="auto"/>
        <w:jc w:val="both"/>
        <w:rPr>
          <w:sz w:val="24"/>
          <w:szCs w:val="24"/>
        </w:rPr>
      </w:pPr>
      <w:r w:rsidRPr="00DF4F41">
        <w:rPr>
          <w:sz w:val="24"/>
          <w:szCs w:val="24"/>
        </w:rPr>
        <w:t xml:space="preserve">To our knowledge this is the first rigorous, pragmatic trial, conducted and analysed according to a pre-specified protocol </w:t>
      </w:r>
      <w:r w:rsidRPr="00DF4F41">
        <w:rPr>
          <w:sz w:val="24"/>
          <w:szCs w:val="24"/>
          <w:vertAlign w:val="superscript"/>
        </w:rPr>
        <w:t>[15]</w:t>
      </w:r>
      <w:r w:rsidRPr="00DF4F41">
        <w:rPr>
          <w:sz w:val="24"/>
          <w:szCs w:val="24"/>
        </w:rPr>
        <w:t xml:space="preserve"> investigating a combined intervention for hip, knee and/or chronic lower back pain. The trial recruited participants from primary care with a variety of socio-demographic profiles, and with co-morbidities typical of an older population affected by chronic and degenerative musculoskeletal disease. The group intervention was integrated into out-patient physiotherapy departments, was delivered by Chartered Physiotherapists, and consisted of simple exercises and an interactive educational self-management programme based on behaviour change theory. </w:t>
      </w:r>
    </w:p>
    <w:p w:rsidR="00DF4F41" w:rsidRPr="00DF4F41" w:rsidRDefault="00DF4F41" w:rsidP="00DF4F41">
      <w:pPr>
        <w:spacing w:after="120" w:line="480" w:lineRule="auto"/>
        <w:jc w:val="both"/>
        <w:rPr>
          <w:sz w:val="24"/>
          <w:szCs w:val="24"/>
        </w:rPr>
      </w:pPr>
    </w:p>
    <w:p w:rsidR="00DF4F41" w:rsidRPr="00DF4F41" w:rsidRDefault="00DF4F41" w:rsidP="00DF4F41">
      <w:pPr>
        <w:spacing w:after="120" w:line="480" w:lineRule="auto"/>
        <w:jc w:val="both"/>
        <w:rPr>
          <w:sz w:val="24"/>
          <w:szCs w:val="24"/>
        </w:rPr>
      </w:pPr>
      <w:r w:rsidRPr="00DF4F41">
        <w:rPr>
          <w:sz w:val="24"/>
          <w:szCs w:val="24"/>
        </w:rPr>
        <w:t xml:space="preserve">The novelty of this trial was the participant cohort presented with hip, knee or lower back pain or a combination of these, and were treated with a generic programme. Trials typically recruit individuals with either one of these presentations, or in some cases with hip and knee OA pain. This approach is unlikely to reflect typical presentation, when many patients with chronic, degenerative joint pain either experience concurrent dysfunction in multiple joints, or over time develop such dysfunction </w:t>
      </w:r>
      <w:r w:rsidRPr="00DF4F41">
        <w:rPr>
          <w:sz w:val="24"/>
          <w:szCs w:val="24"/>
          <w:vertAlign w:val="superscript"/>
        </w:rPr>
        <w:t>[25, 26]</w:t>
      </w:r>
      <w:r w:rsidRPr="00DF4F41">
        <w:rPr>
          <w:sz w:val="24"/>
          <w:szCs w:val="24"/>
        </w:rPr>
        <w:t xml:space="preserve">. Furthermore, management guidelines for each of these presentations recommend similar approaches, namely exercise, education and self-management, so combining patient presentations seems an appropriate use of resources. </w:t>
      </w:r>
    </w:p>
    <w:p w:rsidR="00DF4F41" w:rsidRPr="00DF4F41" w:rsidRDefault="00DF4F41" w:rsidP="00DF4F41">
      <w:pPr>
        <w:spacing w:after="120" w:line="480" w:lineRule="auto"/>
        <w:jc w:val="both"/>
        <w:rPr>
          <w:sz w:val="24"/>
          <w:szCs w:val="24"/>
        </w:rPr>
      </w:pPr>
    </w:p>
    <w:p w:rsidR="00DF4F41" w:rsidRPr="00DF4F41" w:rsidRDefault="00DF4F41" w:rsidP="00DF4F41">
      <w:pPr>
        <w:spacing w:after="120" w:line="480" w:lineRule="auto"/>
        <w:jc w:val="both"/>
        <w:rPr>
          <w:sz w:val="24"/>
          <w:szCs w:val="24"/>
        </w:rPr>
      </w:pPr>
      <w:r w:rsidRPr="00DF4F41">
        <w:rPr>
          <w:sz w:val="24"/>
          <w:szCs w:val="24"/>
        </w:rPr>
        <w:t xml:space="preserve">The results demonstrated that participating in the FASA intervention had a statistically significant beneficial effect at the 6-month primary end point on function (DI-SMFA). Whilst the study was not powered to detect significant changes within sub-groups, it is interesting to note that those participants who appeared to benefit most from the intervention had both </w:t>
      </w:r>
      <w:r w:rsidRPr="00DF4F41">
        <w:rPr>
          <w:sz w:val="24"/>
          <w:szCs w:val="24"/>
        </w:rPr>
        <w:lastRenderedPageBreak/>
        <w:t xml:space="preserve">low back pain and peripheral joint pain and a higher DI-SMFA score. Our previous work with healthcare professionals to determine the acceptability of the generic FASA intervention, highlighted professionals had some concerns that it may not be suitable for people with LBP </w:t>
      </w:r>
      <w:r w:rsidRPr="00DF4F41">
        <w:rPr>
          <w:sz w:val="24"/>
          <w:szCs w:val="24"/>
          <w:vertAlign w:val="superscript"/>
        </w:rPr>
        <w:t>[27]</w:t>
      </w:r>
      <w:r w:rsidRPr="00DF4F41">
        <w:rPr>
          <w:sz w:val="24"/>
          <w:szCs w:val="24"/>
        </w:rPr>
        <w:t xml:space="preserve">. This may indicate that professionals’ perceptions are in some cases over-cautious regarding their management of people with low back pain when generic approaches to activity may be appropriate. This does not detract from evidence regarding benefits of stratified management of low back pain, which supports tailored care according to biopsychosocial presentation </w:t>
      </w:r>
      <w:r w:rsidRPr="00DF4F41">
        <w:rPr>
          <w:sz w:val="24"/>
          <w:szCs w:val="24"/>
          <w:vertAlign w:val="superscript"/>
        </w:rPr>
        <w:t>[28]</w:t>
      </w:r>
      <w:r w:rsidRPr="00DF4F41">
        <w:rPr>
          <w:sz w:val="24"/>
          <w:szCs w:val="24"/>
        </w:rPr>
        <w:t xml:space="preserve">, but does highlight the benefit of simple self-management approaches. </w:t>
      </w:r>
    </w:p>
    <w:p w:rsidR="00DF4F41" w:rsidRPr="00DF4F41" w:rsidRDefault="00DF4F41" w:rsidP="00DF4F41">
      <w:pPr>
        <w:spacing w:after="120" w:line="480" w:lineRule="auto"/>
        <w:jc w:val="both"/>
        <w:rPr>
          <w:sz w:val="24"/>
          <w:szCs w:val="24"/>
        </w:rPr>
      </w:pPr>
    </w:p>
    <w:p w:rsidR="00DF4F41" w:rsidRPr="00DF4F41" w:rsidRDefault="00DF4F41" w:rsidP="00DF4F41">
      <w:pPr>
        <w:spacing w:after="120" w:line="480" w:lineRule="auto"/>
        <w:jc w:val="both"/>
        <w:rPr>
          <w:sz w:val="24"/>
          <w:szCs w:val="24"/>
        </w:rPr>
      </w:pPr>
      <w:r w:rsidRPr="00DF4F41">
        <w:rPr>
          <w:sz w:val="24"/>
          <w:szCs w:val="24"/>
        </w:rPr>
        <w:t xml:space="preserve">Whilst the results demonstrated participants in the FASA intervention showed statistically significant improvements in function at 6 months post-intervention, the clinical implications are less clear due to limited definitive evidence on the minimum clinically important difference (MCID) for the DI-SMFA. </w:t>
      </w:r>
    </w:p>
    <w:p w:rsidR="00DF4F41" w:rsidRPr="00DF4F41" w:rsidRDefault="00DF4F41" w:rsidP="00DF4F41">
      <w:pPr>
        <w:spacing w:after="120" w:line="480" w:lineRule="auto"/>
        <w:jc w:val="both"/>
        <w:rPr>
          <w:sz w:val="24"/>
          <w:szCs w:val="24"/>
        </w:rPr>
      </w:pPr>
    </w:p>
    <w:p w:rsidR="00DF4F41" w:rsidRPr="00DF4F41" w:rsidRDefault="00DF4F41" w:rsidP="00DF4F41">
      <w:pPr>
        <w:spacing w:after="120" w:line="480" w:lineRule="auto"/>
        <w:jc w:val="both"/>
        <w:rPr>
          <w:sz w:val="24"/>
          <w:szCs w:val="24"/>
        </w:rPr>
      </w:pPr>
      <w:r w:rsidRPr="00DF4F41">
        <w:rPr>
          <w:sz w:val="24"/>
          <w:szCs w:val="24"/>
        </w:rPr>
        <w:t xml:space="preserve">Some authors have suggested that the MCID for quality of life measures (e.g. SF-36) are either 3-5 points change in score (based on a 0-100 scale) </w:t>
      </w:r>
      <w:r w:rsidRPr="00DF4F41">
        <w:rPr>
          <w:sz w:val="24"/>
          <w:szCs w:val="24"/>
          <w:vertAlign w:val="superscript"/>
        </w:rPr>
        <w:t>[29]</w:t>
      </w:r>
      <w:r w:rsidRPr="00DF4F41">
        <w:rPr>
          <w:sz w:val="24"/>
          <w:szCs w:val="24"/>
        </w:rPr>
        <w:t xml:space="preserve">, whilst others suggest approximately half of a standard deviation </w:t>
      </w:r>
      <w:r w:rsidRPr="00DF4F41">
        <w:rPr>
          <w:sz w:val="24"/>
          <w:szCs w:val="24"/>
          <w:vertAlign w:val="superscript"/>
        </w:rPr>
        <w:t>[30]</w:t>
      </w:r>
      <w:r w:rsidRPr="00DF4F41">
        <w:rPr>
          <w:sz w:val="24"/>
          <w:szCs w:val="24"/>
        </w:rPr>
        <w:t xml:space="preserve">, but there is no conclusive evidence to this effect for the DI-SMFA. A recent paper reported use of the Dutch version of the SMFA, which according to the authors has the same item content but a ‘different factor structure’ </w:t>
      </w:r>
      <w:r w:rsidRPr="00DF4F41">
        <w:rPr>
          <w:sz w:val="24"/>
          <w:szCs w:val="24"/>
          <w:vertAlign w:val="superscript"/>
        </w:rPr>
        <w:t>[31]</w:t>
      </w:r>
      <w:r w:rsidRPr="00DF4F41">
        <w:rPr>
          <w:sz w:val="24"/>
          <w:szCs w:val="24"/>
        </w:rPr>
        <w:t xml:space="preserve">, in a cohort of minor to life-changing trauma patients. The authors reported the minimum important change (MIC) in the disaggregated sub-scales, suggesting an MIC of 8-25 points. The changes seen within FASA whilst statistically significant may not readily translate into clinical significance. </w:t>
      </w:r>
    </w:p>
    <w:p w:rsidR="00DF4F41" w:rsidRPr="00DF4F41" w:rsidRDefault="00DF4F41" w:rsidP="00DF4F41">
      <w:pPr>
        <w:spacing w:after="120" w:line="480" w:lineRule="auto"/>
        <w:jc w:val="both"/>
        <w:rPr>
          <w:sz w:val="24"/>
          <w:szCs w:val="24"/>
        </w:rPr>
      </w:pPr>
      <w:r w:rsidRPr="00DF4F41">
        <w:rPr>
          <w:sz w:val="24"/>
          <w:szCs w:val="24"/>
        </w:rPr>
        <w:lastRenderedPageBreak/>
        <w:t xml:space="preserve">The FASA intervention showed limited sustained impact on psychosocial variables. This may be explained by the low levels of anxiety and depression present in the cohort before the intervention, thus resulting in a reduced likelihood of meaningful impact on psychosocial function. </w:t>
      </w:r>
    </w:p>
    <w:p w:rsidR="00DF4F41" w:rsidRPr="00DF4F41" w:rsidRDefault="00DF4F41" w:rsidP="00DF4F41">
      <w:pPr>
        <w:spacing w:after="120" w:line="480" w:lineRule="auto"/>
        <w:jc w:val="both"/>
        <w:rPr>
          <w:sz w:val="24"/>
          <w:szCs w:val="24"/>
        </w:rPr>
      </w:pPr>
    </w:p>
    <w:p w:rsidR="00DF4F41" w:rsidRPr="00DF4F41" w:rsidRDefault="00DF4F41" w:rsidP="00DF4F41">
      <w:pPr>
        <w:spacing w:after="120" w:line="480" w:lineRule="auto"/>
        <w:jc w:val="both"/>
        <w:rPr>
          <w:sz w:val="24"/>
          <w:szCs w:val="24"/>
        </w:rPr>
      </w:pPr>
      <w:r w:rsidRPr="00DF4F41">
        <w:rPr>
          <w:sz w:val="24"/>
          <w:szCs w:val="24"/>
        </w:rPr>
        <w:t xml:space="preserve">The strengths of this study were its robust methodology, safety, </w:t>
      </w:r>
      <w:r w:rsidRPr="00DF4F41">
        <w:rPr>
          <w:i/>
          <w:sz w:val="24"/>
          <w:szCs w:val="24"/>
        </w:rPr>
        <w:t>a priori</w:t>
      </w:r>
      <w:r w:rsidRPr="00DF4F41">
        <w:rPr>
          <w:sz w:val="24"/>
          <w:szCs w:val="24"/>
        </w:rPr>
        <w:t xml:space="preserve"> analysis plan and pragmatic design, which included participants typically presenting in primary care, and interventions delivered within NHS physiotherapy departments. The study was limited by the availability of a widely used musculoskeletal outcome measure that was suitable for widespread pain presentations. Whilst the SMFA was validated and appropriate for the study population, the lack of widespread use meant that the MCID was not possible to determine. However, a supplementary qualitative study did document patient reported benefit of the intervention (results to be reported separately). This issue is likely resolved now with the development of the Musculoskeletal Health Questionnaire, which is gaining momentum, and likely to be used ubiquitously in the near future </w:t>
      </w:r>
      <w:r w:rsidRPr="00DF4F41">
        <w:rPr>
          <w:sz w:val="24"/>
          <w:szCs w:val="24"/>
          <w:vertAlign w:val="superscript"/>
        </w:rPr>
        <w:t>[32]</w:t>
      </w:r>
      <w:r w:rsidRPr="00DF4F41">
        <w:rPr>
          <w:sz w:val="24"/>
          <w:szCs w:val="24"/>
        </w:rPr>
        <w:t xml:space="preserve">. </w:t>
      </w:r>
    </w:p>
    <w:p w:rsidR="00DF4F41" w:rsidRPr="00DF4F41" w:rsidRDefault="00DF4F41" w:rsidP="00DF4F41">
      <w:pPr>
        <w:spacing w:after="120" w:line="480" w:lineRule="auto"/>
        <w:jc w:val="both"/>
        <w:rPr>
          <w:sz w:val="24"/>
          <w:szCs w:val="24"/>
        </w:rPr>
      </w:pPr>
    </w:p>
    <w:p w:rsidR="00DF4F41" w:rsidRPr="00DF4F41" w:rsidRDefault="00DF4F41" w:rsidP="00DF4F41">
      <w:pPr>
        <w:spacing w:after="120" w:line="480" w:lineRule="auto"/>
        <w:jc w:val="both"/>
        <w:rPr>
          <w:sz w:val="24"/>
          <w:szCs w:val="24"/>
        </w:rPr>
      </w:pPr>
      <w:r w:rsidRPr="00DF4F41">
        <w:rPr>
          <w:sz w:val="24"/>
          <w:szCs w:val="24"/>
        </w:rPr>
        <w:t xml:space="preserve">A further limitation may be the duration of the proposed intervention. NHS services are under immense pressure to cope with increasing demands on musculoskeletal services with limited resources, so interventions that require 12 contact sessions may place unmanageable demand on staff and location resources. However of note is that the original ESCAPE intervention for lower limb OA has undergone widespread implementation in the UK </w:t>
      </w:r>
      <w:r w:rsidRPr="00DF4F41">
        <w:rPr>
          <w:sz w:val="24"/>
          <w:szCs w:val="24"/>
          <w:vertAlign w:val="superscript"/>
        </w:rPr>
        <w:t>[33]</w:t>
      </w:r>
      <w:r w:rsidRPr="00DF4F41">
        <w:rPr>
          <w:sz w:val="24"/>
          <w:szCs w:val="24"/>
        </w:rPr>
        <w:t xml:space="preserve">, suggesting that such programmes are supported if associated clinical effectiveness is established. CACE analysis did suggest that patients who attended at least six sessions achieved a significant improvement in their function, so consideration could be given to </w:t>
      </w:r>
      <w:r w:rsidRPr="00DF4F41">
        <w:rPr>
          <w:sz w:val="24"/>
          <w:szCs w:val="24"/>
        </w:rPr>
        <w:lastRenderedPageBreak/>
        <w:t>reducing the number of sessions to facilitate implementation within the NHS, but this would necessitate further robust investigation, and require patients to attend all sessions of a reduced programme with minimal leeway for missed appointments. Health economic data collected within this study (to be presented elsewhere), may provide further insight into the utility of a reduced intervention.</w:t>
      </w:r>
    </w:p>
    <w:p w:rsidR="00DF4F41" w:rsidRPr="00DF4F41" w:rsidRDefault="00DF4F41" w:rsidP="00DF4F41">
      <w:pPr>
        <w:spacing w:after="120" w:line="480" w:lineRule="auto"/>
        <w:jc w:val="both"/>
        <w:rPr>
          <w:sz w:val="24"/>
          <w:szCs w:val="24"/>
        </w:rPr>
      </w:pPr>
    </w:p>
    <w:p w:rsidR="00DF4F41" w:rsidRPr="00DF4F41" w:rsidRDefault="00DF4F41" w:rsidP="00DF4F41">
      <w:pPr>
        <w:spacing w:after="120" w:line="480" w:lineRule="auto"/>
        <w:jc w:val="both"/>
        <w:rPr>
          <w:sz w:val="24"/>
          <w:szCs w:val="24"/>
        </w:rPr>
      </w:pPr>
      <w:r w:rsidRPr="00DF4F41">
        <w:rPr>
          <w:sz w:val="24"/>
          <w:szCs w:val="24"/>
        </w:rPr>
        <w:t xml:space="preserve">In summary the FASA intervention resulted in statistically significant functional improvements, six months post-intervention in a cohort of patients with degenerative lower limb and/or low back pain. No other statistically significant benefits of the intervention were noted. We are unable to conclusively suggest that this equates to clinically meaningful difference. </w:t>
      </w:r>
    </w:p>
    <w:p w:rsidR="00DF4F41" w:rsidRPr="00DF4F41" w:rsidRDefault="00DF4F41" w:rsidP="00DF4F41">
      <w:pPr>
        <w:spacing w:after="120" w:line="480" w:lineRule="auto"/>
        <w:jc w:val="both"/>
        <w:rPr>
          <w:sz w:val="24"/>
          <w:szCs w:val="24"/>
        </w:rPr>
      </w:pPr>
    </w:p>
    <w:p w:rsidR="00DF4F41" w:rsidRPr="00DF4F41" w:rsidRDefault="00DF4F41" w:rsidP="00DF4F41">
      <w:pPr>
        <w:spacing w:after="120" w:line="480" w:lineRule="auto"/>
        <w:jc w:val="both"/>
        <w:rPr>
          <w:b/>
          <w:sz w:val="24"/>
          <w:szCs w:val="24"/>
        </w:rPr>
      </w:pPr>
    </w:p>
    <w:p w:rsidR="00DF4F41" w:rsidRPr="00DF4F41" w:rsidRDefault="00DF4F41" w:rsidP="00DF4F41">
      <w:pPr>
        <w:spacing w:after="120" w:line="480" w:lineRule="auto"/>
        <w:jc w:val="both"/>
        <w:rPr>
          <w:b/>
          <w:sz w:val="24"/>
          <w:szCs w:val="24"/>
        </w:rPr>
      </w:pPr>
    </w:p>
    <w:p w:rsidR="00DF4F41" w:rsidRPr="00DF4F41" w:rsidRDefault="00DF4F41" w:rsidP="00DF4F41">
      <w:pPr>
        <w:spacing w:after="120" w:line="480" w:lineRule="auto"/>
        <w:jc w:val="both"/>
        <w:rPr>
          <w:b/>
          <w:sz w:val="24"/>
          <w:szCs w:val="24"/>
        </w:rPr>
      </w:pPr>
    </w:p>
    <w:p w:rsidR="00DF4F41" w:rsidRPr="00DF4F41" w:rsidRDefault="00DF4F41" w:rsidP="00DF4F41">
      <w:pPr>
        <w:spacing w:after="120" w:line="480" w:lineRule="auto"/>
        <w:jc w:val="both"/>
        <w:rPr>
          <w:b/>
          <w:sz w:val="24"/>
          <w:szCs w:val="24"/>
        </w:rPr>
      </w:pPr>
    </w:p>
    <w:p w:rsidR="00DF4F41" w:rsidRPr="00DF4F41" w:rsidRDefault="00DF4F41" w:rsidP="00DF4F41">
      <w:pPr>
        <w:spacing w:after="120" w:line="480" w:lineRule="auto"/>
        <w:jc w:val="both"/>
        <w:rPr>
          <w:b/>
          <w:sz w:val="24"/>
          <w:szCs w:val="24"/>
        </w:rPr>
      </w:pPr>
    </w:p>
    <w:p w:rsidR="00DF4F41" w:rsidRPr="00DF4F41" w:rsidRDefault="00DF4F41" w:rsidP="00DF4F41">
      <w:pPr>
        <w:spacing w:after="120" w:line="480" w:lineRule="auto"/>
        <w:jc w:val="both"/>
        <w:rPr>
          <w:b/>
          <w:sz w:val="24"/>
          <w:szCs w:val="24"/>
        </w:rPr>
      </w:pPr>
    </w:p>
    <w:p w:rsidR="00DF4F41" w:rsidRPr="00DF4F41" w:rsidRDefault="00DF4F41" w:rsidP="00DF4F41">
      <w:pPr>
        <w:spacing w:after="120" w:line="480" w:lineRule="auto"/>
        <w:jc w:val="both"/>
        <w:rPr>
          <w:b/>
          <w:sz w:val="24"/>
          <w:szCs w:val="24"/>
        </w:rPr>
      </w:pPr>
    </w:p>
    <w:p w:rsidR="00DF4F41" w:rsidRPr="00DF4F41" w:rsidRDefault="00DF4F41" w:rsidP="00DF4F41">
      <w:pPr>
        <w:spacing w:after="120" w:line="480" w:lineRule="auto"/>
        <w:jc w:val="both"/>
        <w:rPr>
          <w:b/>
          <w:sz w:val="24"/>
          <w:szCs w:val="24"/>
        </w:rPr>
      </w:pPr>
    </w:p>
    <w:p w:rsidR="00DF4F41" w:rsidRPr="00DF4F41" w:rsidRDefault="00DF4F41" w:rsidP="00DF4F41">
      <w:pPr>
        <w:spacing w:after="120" w:line="480" w:lineRule="auto"/>
        <w:jc w:val="both"/>
        <w:rPr>
          <w:b/>
          <w:sz w:val="24"/>
          <w:szCs w:val="24"/>
        </w:rPr>
      </w:pPr>
    </w:p>
    <w:p w:rsidR="00DF4F41" w:rsidRPr="00DF4F41" w:rsidRDefault="00DF4F41" w:rsidP="00DF4F41">
      <w:pPr>
        <w:spacing w:after="120" w:line="480" w:lineRule="auto"/>
        <w:jc w:val="both"/>
        <w:rPr>
          <w:b/>
          <w:sz w:val="24"/>
          <w:szCs w:val="24"/>
        </w:rPr>
      </w:pPr>
    </w:p>
    <w:p w:rsidR="00DF4F41" w:rsidRPr="00DF4F41" w:rsidRDefault="00DF4F41" w:rsidP="00DF4F41">
      <w:pPr>
        <w:spacing w:after="120" w:line="480" w:lineRule="auto"/>
        <w:jc w:val="both"/>
        <w:rPr>
          <w:b/>
          <w:sz w:val="24"/>
          <w:szCs w:val="24"/>
        </w:rPr>
      </w:pPr>
      <w:r w:rsidRPr="00DF4F41">
        <w:rPr>
          <w:b/>
          <w:sz w:val="24"/>
          <w:szCs w:val="24"/>
        </w:rPr>
        <w:lastRenderedPageBreak/>
        <w:t>REFERENCES</w:t>
      </w:r>
    </w:p>
    <w:p w:rsidR="00DF4F41" w:rsidRPr="00DF4F41" w:rsidRDefault="00DF4F41" w:rsidP="00DF4F41">
      <w:pPr>
        <w:numPr>
          <w:ilvl w:val="0"/>
          <w:numId w:val="4"/>
        </w:numPr>
        <w:spacing w:after="120" w:line="480" w:lineRule="auto"/>
        <w:ind w:left="0" w:hanging="11"/>
        <w:contextualSpacing/>
        <w:jc w:val="both"/>
        <w:rPr>
          <w:rFonts w:asciiTheme="minorHAnsi" w:hAnsiTheme="minorHAnsi" w:cstheme="minorHAnsi"/>
          <w:sz w:val="24"/>
          <w:szCs w:val="24"/>
        </w:rPr>
      </w:pPr>
      <w:r w:rsidRPr="00DF4F41">
        <w:rPr>
          <w:rFonts w:asciiTheme="minorHAnsi" w:hAnsiTheme="minorHAnsi" w:cstheme="minorHAnsi"/>
          <w:sz w:val="24"/>
          <w:szCs w:val="24"/>
        </w:rPr>
        <w:t xml:space="preserve">Andrews G. Should depression be managed as a chronic disease? Br Med J 2001;322:419–21. </w:t>
      </w:r>
    </w:p>
    <w:p w:rsidR="00DF4F41" w:rsidRPr="00DF4F41" w:rsidRDefault="00DF4F41" w:rsidP="00DF4F41">
      <w:pPr>
        <w:numPr>
          <w:ilvl w:val="0"/>
          <w:numId w:val="4"/>
        </w:numPr>
        <w:spacing w:after="120" w:line="480" w:lineRule="auto"/>
        <w:ind w:left="0" w:hanging="11"/>
        <w:contextualSpacing/>
        <w:jc w:val="both"/>
        <w:rPr>
          <w:rFonts w:asciiTheme="minorHAnsi" w:hAnsiTheme="minorHAnsi" w:cstheme="minorHAnsi"/>
          <w:sz w:val="24"/>
          <w:szCs w:val="24"/>
        </w:rPr>
      </w:pPr>
      <w:r w:rsidRPr="00DF4F41">
        <w:rPr>
          <w:rFonts w:asciiTheme="minorHAnsi" w:hAnsiTheme="minorHAnsi" w:cstheme="minorHAnsi"/>
          <w:sz w:val="24"/>
          <w:szCs w:val="24"/>
        </w:rPr>
        <w:t>Woolf AD, Zeidler H, Haglund U, Carr AJ, Chaussade S, Cucinotta D, et al. Musculoskeletal pain in Europe: its impact and a comparison of population and medical perceptions of treatment in eight European countries. Ann Rheum Dis 2004;63:342–7.</w:t>
      </w:r>
    </w:p>
    <w:p w:rsidR="00DF4F41" w:rsidRPr="00DF4F41" w:rsidRDefault="00DF4F41" w:rsidP="00DF4F41">
      <w:pPr>
        <w:numPr>
          <w:ilvl w:val="0"/>
          <w:numId w:val="4"/>
        </w:numPr>
        <w:spacing w:line="480" w:lineRule="auto"/>
        <w:ind w:left="0" w:hanging="11"/>
        <w:contextualSpacing/>
        <w:rPr>
          <w:rFonts w:asciiTheme="minorHAnsi" w:hAnsiTheme="minorHAnsi" w:cstheme="minorHAnsi"/>
          <w:sz w:val="24"/>
          <w:szCs w:val="24"/>
        </w:rPr>
      </w:pPr>
      <w:r w:rsidRPr="00DF4F41">
        <w:rPr>
          <w:rFonts w:asciiTheme="minorHAnsi" w:hAnsiTheme="minorHAnsi" w:cstheme="minorHAnsi"/>
          <w:sz w:val="24"/>
          <w:szCs w:val="24"/>
        </w:rPr>
        <w:t>Murray CJ, Vos T, Lozano R, Naghavi M, Flaxman AD, Michaud C, et al. Disability-adjusted life years (DALYs) for 291 diseases and injuries in 21 regions, 1990 – 2010: a systematic analysis for the Global Burden of Disease Study 2010. The Lancet. 2012;380(9859):2197-2223.</w:t>
      </w:r>
    </w:p>
    <w:p w:rsidR="00DF4F41" w:rsidRPr="00DF4F41" w:rsidRDefault="00DF4F41" w:rsidP="00DF4F41">
      <w:pPr>
        <w:spacing w:after="120" w:line="480" w:lineRule="auto"/>
        <w:ind w:hanging="11"/>
        <w:jc w:val="both"/>
        <w:rPr>
          <w:rFonts w:asciiTheme="minorHAnsi" w:hAnsiTheme="minorHAnsi" w:cstheme="minorHAnsi"/>
          <w:sz w:val="24"/>
          <w:szCs w:val="24"/>
        </w:rPr>
      </w:pPr>
      <w:r w:rsidRPr="00DF4F41">
        <w:rPr>
          <w:rFonts w:asciiTheme="minorHAnsi" w:hAnsiTheme="minorHAnsi" w:cstheme="minorHAnsi"/>
          <w:sz w:val="24"/>
          <w:szCs w:val="24"/>
        </w:rPr>
        <w:t xml:space="preserve">4. </w:t>
      </w:r>
      <w:r w:rsidRPr="00DF4F41">
        <w:rPr>
          <w:rFonts w:asciiTheme="minorHAnsi" w:hAnsiTheme="minorHAnsi" w:cstheme="minorHAnsi"/>
          <w:sz w:val="24"/>
          <w:szCs w:val="24"/>
        </w:rPr>
        <w:tab/>
        <w:t>Jordan KP, Kadam UT, Hayward R, Porcheret M, Young C, Croft P. Annual consultation prevalence of regional musculoskeletal problems in primary care: an observational study. BMC Musculoskeletal Disorders. 2010;11:144.</w:t>
      </w:r>
    </w:p>
    <w:p w:rsidR="00DF4F41" w:rsidRPr="00DF4F41" w:rsidRDefault="00DF4F41" w:rsidP="00DF4F41">
      <w:pPr>
        <w:spacing w:after="120" w:line="480" w:lineRule="auto"/>
        <w:ind w:hanging="11"/>
        <w:rPr>
          <w:rFonts w:asciiTheme="minorHAnsi" w:hAnsiTheme="minorHAnsi" w:cstheme="minorHAnsi"/>
          <w:sz w:val="24"/>
          <w:szCs w:val="24"/>
        </w:rPr>
      </w:pPr>
      <w:r w:rsidRPr="00DF4F41">
        <w:rPr>
          <w:rFonts w:asciiTheme="minorHAnsi" w:hAnsiTheme="minorHAnsi" w:cstheme="minorHAnsi"/>
          <w:sz w:val="24"/>
          <w:szCs w:val="24"/>
        </w:rPr>
        <w:t xml:space="preserve">5. </w:t>
      </w:r>
      <w:r w:rsidRPr="00DF4F41">
        <w:rPr>
          <w:rFonts w:asciiTheme="minorHAnsi" w:hAnsiTheme="minorHAnsi" w:cstheme="minorHAnsi"/>
          <w:sz w:val="24"/>
          <w:szCs w:val="24"/>
        </w:rPr>
        <w:tab/>
        <w:t>Versus Arthritis. The State of Musculoskeletal Health 2019. Arthritis and other musculoskeletal conditions in numbers. https://www.versusarthritis.org/media/14594/state-of-musculoskeletal-health-2019.pdf</w:t>
      </w:r>
    </w:p>
    <w:p w:rsidR="00DF4F41" w:rsidRPr="00DF4F41" w:rsidRDefault="00DF4F41" w:rsidP="00DF4F41">
      <w:pPr>
        <w:spacing w:line="480" w:lineRule="auto"/>
        <w:ind w:hanging="11"/>
        <w:rPr>
          <w:rFonts w:asciiTheme="minorHAnsi" w:hAnsiTheme="minorHAnsi" w:cstheme="minorHAnsi"/>
          <w:sz w:val="24"/>
          <w:szCs w:val="24"/>
        </w:rPr>
      </w:pPr>
      <w:r w:rsidRPr="00DF4F41">
        <w:rPr>
          <w:rFonts w:asciiTheme="minorHAnsi" w:hAnsiTheme="minorHAnsi" w:cstheme="minorHAnsi"/>
          <w:sz w:val="24"/>
          <w:szCs w:val="24"/>
        </w:rPr>
        <w:t xml:space="preserve">6. </w:t>
      </w:r>
      <w:r w:rsidRPr="00DF4F41">
        <w:rPr>
          <w:rFonts w:asciiTheme="minorHAnsi" w:hAnsiTheme="minorHAnsi" w:cstheme="minorHAnsi"/>
          <w:sz w:val="24"/>
          <w:szCs w:val="24"/>
        </w:rPr>
        <w:tab/>
        <w:t>O’Malley PG, Jackson JL, Kroenke K, In Kyu Yoon KI, Hornstein E, Dennis GJ, et al. The value of screening for psychiatric disorders in rheumatology referrals. Arch Intern Med 1998;158:2357–62</w:t>
      </w:r>
    </w:p>
    <w:p w:rsidR="00DF4F41" w:rsidRPr="00DF4F41" w:rsidRDefault="00DF4F41" w:rsidP="00DF4F41">
      <w:pPr>
        <w:spacing w:line="480" w:lineRule="auto"/>
        <w:ind w:hanging="11"/>
        <w:rPr>
          <w:rFonts w:asciiTheme="minorHAnsi" w:hAnsiTheme="minorHAnsi" w:cstheme="minorHAnsi"/>
          <w:sz w:val="24"/>
          <w:szCs w:val="24"/>
        </w:rPr>
      </w:pPr>
      <w:r w:rsidRPr="00DF4F41">
        <w:rPr>
          <w:rFonts w:asciiTheme="minorHAnsi" w:hAnsiTheme="minorHAnsi" w:cstheme="minorHAnsi"/>
          <w:sz w:val="24"/>
          <w:szCs w:val="24"/>
        </w:rPr>
        <w:t>7.</w:t>
      </w:r>
      <w:r w:rsidRPr="00DF4F41">
        <w:rPr>
          <w:rFonts w:asciiTheme="minorHAnsi" w:hAnsiTheme="minorHAnsi" w:cstheme="minorHAnsi"/>
          <w:sz w:val="24"/>
          <w:szCs w:val="24"/>
        </w:rPr>
        <w:tab/>
        <w:t>Guccione AA, Felson DT, Anderson JJ, Anthony JM, Zhang Y, Wilson PWF, et al. The effects of specific medical conditions on the functional limitations of elders in the Framingham Study. Am J Public Health 1994;84:351–7.</w:t>
      </w:r>
    </w:p>
    <w:p w:rsidR="00DF4F41" w:rsidRPr="00DF4F41" w:rsidRDefault="00DF4F41" w:rsidP="00DF4F41">
      <w:pPr>
        <w:spacing w:line="480" w:lineRule="auto"/>
        <w:ind w:hanging="11"/>
        <w:rPr>
          <w:rFonts w:asciiTheme="minorHAnsi" w:hAnsiTheme="minorHAnsi" w:cstheme="minorHAnsi"/>
          <w:sz w:val="24"/>
          <w:szCs w:val="24"/>
        </w:rPr>
      </w:pPr>
      <w:r w:rsidRPr="00DF4F41">
        <w:rPr>
          <w:rFonts w:asciiTheme="minorHAnsi" w:hAnsiTheme="minorHAnsi" w:cstheme="minorHAnsi"/>
          <w:sz w:val="24"/>
          <w:szCs w:val="24"/>
        </w:rPr>
        <w:lastRenderedPageBreak/>
        <w:t>8.</w:t>
      </w:r>
      <w:r w:rsidRPr="00DF4F41">
        <w:rPr>
          <w:rFonts w:asciiTheme="minorHAnsi" w:hAnsiTheme="minorHAnsi" w:cstheme="minorHAnsi"/>
          <w:sz w:val="24"/>
          <w:szCs w:val="24"/>
        </w:rPr>
        <w:tab/>
        <w:t xml:space="preserve"> Walsh NE, Pearson J, Healey EL. Physiotherapy management of lower limb osteoarthritis. British Medical Bulletin, Volume 122, Issue 1, June 2017, Pages 151–161, https://doi.org/10.1093/bmb/ldx012</w:t>
      </w:r>
    </w:p>
    <w:p w:rsidR="00DF4F41" w:rsidRPr="00DF4F41" w:rsidRDefault="00DF4F41" w:rsidP="00DF4F41">
      <w:pPr>
        <w:shd w:val="clear" w:color="auto" w:fill="FFFFFF"/>
        <w:spacing w:after="0" w:line="480" w:lineRule="auto"/>
        <w:ind w:hanging="11"/>
        <w:rPr>
          <w:rFonts w:asciiTheme="minorHAnsi" w:eastAsia="Times New Roman" w:hAnsiTheme="minorHAnsi" w:cstheme="minorHAnsi"/>
          <w:sz w:val="24"/>
          <w:szCs w:val="24"/>
          <w:lang w:eastAsia="en-GB"/>
        </w:rPr>
      </w:pPr>
      <w:r w:rsidRPr="00DF4F41">
        <w:rPr>
          <w:rFonts w:asciiTheme="minorHAnsi" w:hAnsiTheme="minorHAnsi" w:cstheme="minorHAnsi"/>
          <w:sz w:val="24"/>
          <w:szCs w:val="24"/>
        </w:rPr>
        <w:t>9.</w:t>
      </w:r>
      <w:r w:rsidRPr="00DF4F41">
        <w:rPr>
          <w:rFonts w:asciiTheme="minorHAnsi" w:hAnsiTheme="minorHAnsi" w:cstheme="minorHAnsi"/>
          <w:sz w:val="24"/>
          <w:szCs w:val="24"/>
        </w:rPr>
        <w:tab/>
      </w:r>
      <w:r w:rsidRPr="00DF4F41">
        <w:rPr>
          <w:rFonts w:asciiTheme="minorHAnsi" w:eastAsia="Times New Roman" w:hAnsiTheme="minorHAnsi" w:cstheme="minorHAnsi"/>
          <w:sz w:val="24"/>
          <w:szCs w:val="24"/>
          <w:lang w:eastAsia="en-GB"/>
        </w:rPr>
        <w:t>Roddy E, Jordan KP, Oppong R</w:t>
      </w:r>
      <w:r w:rsidRPr="00DF4F41">
        <w:rPr>
          <w:rFonts w:asciiTheme="minorHAnsi" w:eastAsia="Times New Roman" w:hAnsiTheme="minorHAnsi" w:cstheme="minorHAnsi"/>
          <w:i/>
          <w:iCs/>
          <w:sz w:val="24"/>
          <w:szCs w:val="24"/>
          <w:lang w:eastAsia="en-GB"/>
        </w:rPr>
        <w:t xml:space="preserve">, </w:t>
      </w:r>
      <w:r w:rsidRPr="00DF4F41">
        <w:rPr>
          <w:rFonts w:asciiTheme="minorHAnsi" w:eastAsia="Times New Roman" w:hAnsiTheme="minorHAnsi" w:cstheme="minorHAnsi"/>
          <w:iCs/>
          <w:sz w:val="24"/>
          <w:szCs w:val="24"/>
          <w:lang w:eastAsia="en-GB"/>
        </w:rPr>
        <w:t>et al</w:t>
      </w:r>
      <w:r w:rsidRPr="00DF4F41">
        <w:rPr>
          <w:rFonts w:asciiTheme="minorHAnsi" w:eastAsia="Times New Roman" w:hAnsiTheme="minorHAnsi" w:cstheme="minorHAnsi"/>
          <w:i/>
          <w:iCs/>
          <w:sz w:val="24"/>
          <w:szCs w:val="24"/>
          <w:lang w:eastAsia="en-GB"/>
        </w:rPr>
        <w:t xml:space="preserve">. </w:t>
      </w:r>
      <w:r w:rsidRPr="00DF4F41">
        <w:rPr>
          <w:rFonts w:asciiTheme="minorHAnsi" w:eastAsia="Times New Roman" w:hAnsiTheme="minorHAnsi" w:cstheme="minorHAnsi"/>
          <w:sz w:val="24"/>
          <w:szCs w:val="24"/>
          <w:lang w:eastAsia="en-GB"/>
        </w:rPr>
        <w:t xml:space="preserve">Reconsultation, self-reported health status and costs following treatment at a musculoskeletal Clinical Assessment and Treatment Service (CATS): a 12-month prospective cohort study. </w:t>
      </w:r>
      <w:r w:rsidRPr="00DF4F41">
        <w:rPr>
          <w:rFonts w:asciiTheme="minorHAnsi" w:eastAsia="Times New Roman" w:hAnsiTheme="minorHAnsi" w:cstheme="minorHAnsi"/>
          <w:i/>
          <w:iCs/>
          <w:sz w:val="24"/>
          <w:szCs w:val="24"/>
          <w:lang w:eastAsia="en-GB"/>
        </w:rPr>
        <w:t xml:space="preserve">BMJ Open </w:t>
      </w:r>
      <w:r w:rsidRPr="00DF4F41">
        <w:rPr>
          <w:rFonts w:asciiTheme="minorHAnsi" w:eastAsia="Times New Roman" w:hAnsiTheme="minorHAnsi" w:cstheme="minorHAnsi"/>
          <w:sz w:val="24"/>
          <w:szCs w:val="24"/>
          <w:lang w:eastAsia="en-GB"/>
        </w:rPr>
        <w:t xml:space="preserve">2016; </w:t>
      </w:r>
      <w:r w:rsidRPr="00DF4F41">
        <w:rPr>
          <w:rFonts w:asciiTheme="minorHAnsi" w:eastAsia="Times New Roman" w:hAnsiTheme="minorHAnsi" w:cstheme="minorHAnsi"/>
          <w:bCs/>
          <w:sz w:val="24"/>
          <w:szCs w:val="24"/>
          <w:lang w:eastAsia="en-GB"/>
        </w:rPr>
        <w:t>6:</w:t>
      </w:r>
      <w:r w:rsidRPr="00DF4F41">
        <w:rPr>
          <w:rFonts w:asciiTheme="minorHAnsi" w:eastAsia="Times New Roman" w:hAnsiTheme="minorHAnsi" w:cstheme="minorHAnsi"/>
          <w:sz w:val="24"/>
          <w:szCs w:val="24"/>
          <w:lang w:eastAsia="en-GB"/>
        </w:rPr>
        <w:t>e011735. doi: 10.1136/bmjopen-2016-011735</w:t>
      </w:r>
    </w:p>
    <w:p w:rsidR="00DF4F41" w:rsidRPr="00DF4F41" w:rsidRDefault="00DF4F41" w:rsidP="00DF4F41">
      <w:pPr>
        <w:shd w:val="clear" w:color="auto" w:fill="FFFFFF"/>
        <w:spacing w:after="0" w:line="480" w:lineRule="auto"/>
        <w:ind w:hanging="11"/>
        <w:rPr>
          <w:rFonts w:asciiTheme="minorHAnsi" w:eastAsia="Times New Roman" w:hAnsiTheme="minorHAnsi" w:cstheme="minorHAnsi"/>
          <w:sz w:val="24"/>
          <w:szCs w:val="24"/>
          <w:lang w:eastAsia="en-GB"/>
        </w:rPr>
      </w:pPr>
      <w:r w:rsidRPr="00DF4F41">
        <w:rPr>
          <w:rFonts w:asciiTheme="minorHAnsi" w:eastAsia="Times New Roman" w:hAnsiTheme="minorHAnsi" w:cstheme="minorHAnsi"/>
          <w:sz w:val="24"/>
          <w:szCs w:val="24"/>
          <w:lang w:eastAsia="en-GB"/>
        </w:rPr>
        <w:t>10. National Institute for Health and Care Excellence. Osteoarthritis care and management. CG177. February 2014. https://www.nice.org.uk/guidance/cg177</w:t>
      </w:r>
    </w:p>
    <w:p w:rsidR="00DF4F41" w:rsidRPr="00DF4F41" w:rsidRDefault="00DF4F41" w:rsidP="00DF4F41">
      <w:pPr>
        <w:spacing w:before="240" w:line="480" w:lineRule="auto"/>
        <w:ind w:hanging="11"/>
        <w:rPr>
          <w:rFonts w:asciiTheme="minorHAnsi" w:hAnsiTheme="minorHAnsi" w:cstheme="minorHAnsi"/>
          <w:sz w:val="24"/>
          <w:szCs w:val="24"/>
        </w:rPr>
      </w:pPr>
      <w:r w:rsidRPr="00DF4F41">
        <w:rPr>
          <w:rFonts w:asciiTheme="minorHAnsi" w:hAnsiTheme="minorHAnsi" w:cstheme="minorHAnsi"/>
          <w:sz w:val="24"/>
          <w:szCs w:val="24"/>
        </w:rPr>
        <w:t>11.</w:t>
      </w:r>
      <w:r w:rsidRPr="00DF4F41">
        <w:rPr>
          <w:rFonts w:asciiTheme="minorHAnsi" w:hAnsiTheme="minorHAnsi" w:cstheme="minorHAnsi"/>
          <w:sz w:val="24"/>
          <w:szCs w:val="24"/>
        </w:rPr>
        <w:tab/>
      </w:r>
      <w:r w:rsidRPr="00DF4F41">
        <w:t xml:space="preserve"> </w:t>
      </w:r>
      <w:r w:rsidRPr="00DF4F41">
        <w:rPr>
          <w:rFonts w:asciiTheme="minorHAnsi" w:hAnsiTheme="minorHAnsi" w:cstheme="minorHAnsi"/>
          <w:sz w:val="24"/>
          <w:szCs w:val="24"/>
        </w:rPr>
        <w:t>Hurley  M, Dickson  K, Hallett  R, Grant  R, Hauari  H, Walsh  N, Stansfield  C, Oliver  S. Exercise interventions and patient beliefs for people with hip, knee or hip and knee osteoarthritis: a mixed methods review. Cochrane Database of Systematic Reviews 2018, Issue 4. Art. No.: CD010842. DOI: 10.1002/14651858.CD010842.pub2.</w:t>
      </w:r>
    </w:p>
    <w:p w:rsidR="00DF4F41" w:rsidRPr="00DF4F41" w:rsidRDefault="00DF4F41" w:rsidP="00DF4F41">
      <w:pPr>
        <w:spacing w:line="480" w:lineRule="auto"/>
        <w:ind w:hanging="11"/>
        <w:rPr>
          <w:rFonts w:asciiTheme="minorHAnsi" w:hAnsiTheme="minorHAnsi" w:cstheme="minorHAnsi"/>
          <w:sz w:val="24"/>
          <w:szCs w:val="24"/>
        </w:rPr>
      </w:pPr>
      <w:r w:rsidRPr="00DF4F41">
        <w:rPr>
          <w:rFonts w:asciiTheme="minorHAnsi" w:hAnsiTheme="minorHAnsi" w:cstheme="minorHAnsi"/>
          <w:sz w:val="24"/>
          <w:szCs w:val="24"/>
        </w:rPr>
        <w:t>12.</w:t>
      </w:r>
      <w:r w:rsidRPr="00DF4F41">
        <w:rPr>
          <w:rFonts w:asciiTheme="minorHAnsi" w:hAnsiTheme="minorHAnsi" w:cstheme="minorHAnsi"/>
          <w:sz w:val="24"/>
          <w:szCs w:val="24"/>
        </w:rPr>
        <w:tab/>
        <w:t xml:space="preserve">Hurley MV, Walsh NE, Mitchell HL, Pimm TJ, Patel A, Williamson E, et al. Clinical effectiveness of a rehabilitation program integrating exercise, self-management, and active coping strategies for chronic knee pain: a cluster randomized trial. Arthritis Care Res 2007;57:1211–9.  </w:t>
      </w:r>
    </w:p>
    <w:p w:rsidR="00DF4F41" w:rsidRPr="00DF4F41" w:rsidRDefault="00DF4F41" w:rsidP="00DF4F41">
      <w:pPr>
        <w:spacing w:line="480" w:lineRule="auto"/>
        <w:ind w:hanging="11"/>
        <w:rPr>
          <w:rFonts w:asciiTheme="minorHAnsi" w:hAnsiTheme="minorHAnsi" w:cstheme="minorHAnsi"/>
          <w:sz w:val="24"/>
          <w:szCs w:val="24"/>
        </w:rPr>
      </w:pPr>
      <w:r w:rsidRPr="00DF4F41">
        <w:rPr>
          <w:rFonts w:asciiTheme="minorHAnsi" w:hAnsiTheme="minorHAnsi" w:cstheme="minorHAnsi"/>
          <w:sz w:val="24"/>
          <w:szCs w:val="24"/>
        </w:rPr>
        <w:t>13.</w:t>
      </w:r>
      <w:r w:rsidRPr="00DF4F41">
        <w:rPr>
          <w:rFonts w:asciiTheme="minorHAnsi" w:hAnsiTheme="minorHAnsi" w:cstheme="minorHAnsi"/>
          <w:sz w:val="24"/>
          <w:szCs w:val="24"/>
        </w:rPr>
        <w:tab/>
        <w:t>Hurley MV, Walsh NE, Mitchell H, Nicholas J, Patel A. Improvements in physical function were sustained for 2½ years following ESCAPE knee pain: an integrated rehabilitation programme for chronic knee pain. Arthritis Care Res 2012;64(2):238–47.</w:t>
      </w:r>
    </w:p>
    <w:p w:rsidR="00DF4F41" w:rsidRPr="00DF4F41" w:rsidRDefault="00DF4F41" w:rsidP="00DF4F41">
      <w:pPr>
        <w:spacing w:after="0" w:line="480" w:lineRule="auto"/>
        <w:rPr>
          <w:rFonts w:asciiTheme="minorHAnsi" w:eastAsia="Times New Roman" w:hAnsiTheme="minorHAnsi" w:cstheme="minorHAnsi"/>
          <w:sz w:val="24"/>
          <w:szCs w:val="24"/>
          <w:lang w:eastAsia="en-GB"/>
        </w:rPr>
      </w:pPr>
      <w:r w:rsidRPr="00DF4F41">
        <w:rPr>
          <w:rFonts w:asciiTheme="minorHAnsi" w:hAnsiTheme="minorHAnsi" w:cstheme="minorHAnsi"/>
          <w:sz w:val="24"/>
          <w:szCs w:val="24"/>
        </w:rPr>
        <w:t>14.</w:t>
      </w:r>
      <w:r w:rsidRPr="00DF4F41">
        <w:rPr>
          <w:rFonts w:asciiTheme="minorHAnsi" w:hAnsiTheme="minorHAnsi" w:cstheme="minorHAnsi"/>
          <w:sz w:val="24"/>
          <w:szCs w:val="24"/>
        </w:rPr>
        <w:tab/>
      </w:r>
      <w:r w:rsidRPr="00DF4F41">
        <w:rPr>
          <w:rFonts w:asciiTheme="minorHAnsi" w:eastAsia="Times New Roman" w:hAnsiTheme="minorHAnsi" w:cstheme="minorHAnsi"/>
          <w:sz w:val="24"/>
          <w:szCs w:val="24"/>
          <w:lang w:eastAsia="en-GB"/>
        </w:rPr>
        <w:t>Bandura, A. (1977). Self-efficacy: Toward a unifying theory of behavioral change. </w:t>
      </w:r>
      <w:r w:rsidRPr="00DF4F41">
        <w:rPr>
          <w:rFonts w:asciiTheme="minorHAnsi" w:eastAsia="Times New Roman" w:hAnsiTheme="minorHAnsi" w:cstheme="minorHAnsi"/>
          <w:i/>
          <w:iCs/>
          <w:sz w:val="24"/>
          <w:szCs w:val="24"/>
          <w:lang w:eastAsia="en-GB"/>
        </w:rPr>
        <w:t>Psychological Review, 84</w:t>
      </w:r>
      <w:r w:rsidRPr="00DF4F41">
        <w:rPr>
          <w:rFonts w:asciiTheme="minorHAnsi" w:eastAsia="Times New Roman" w:hAnsiTheme="minorHAnsi" w:cstheme="minorHAnsi"/>
          <w:sz w:val="24"/>
          <w:szCs w:val="24"/>
          <w:lang w:eastAsia="en-GB"/>
        </w:rPr>
        <w:t>(2), 191–215. </w:t>
      </w:r>
      <w:hyperlink r:id="rId7" w:tgtFrame="_blank" w:history="1">
        <w:r w:rsidRPr="00DF4F41">
          <w:rPr>
            <w:rFonts w:asciiTheme="minorHAnsi" w:eastAsia="Times New Roman" w:hAnsiTheme="minorHAnsi" w:cstheme="minorHAnsi"/>
            <w:sz w:val="24"/>
            <w:szCs w:val="24"/>
            <w:lang w:eastAsia="en-GB"/>
          </w:rPr>
          <w:t>https://doi.org/10.1037/0033-295X.84.2.191</w:t>
        </w:r>
      </w:hyperlink>
    </w:p>
    <w:p w:rsidR="00DF4F41" w:rsidRPr="00DF4F41" w:rsidRDefault="00DF4F41" w:rsidP="00DF4F41">
      <w:pPr>
        <w:spacing w:line="480" w:lineRule="auto"/>
        <w:ind w:hanging="11"/>
        <w:rPr>
          <w:rFonts w:asciiTheme="minorHAnsi" w:hAnsiTheme="minorHAnsi" w:cstheme="minorHAnsi"/>
          <w:sz w:val="24"/>
          <w:szCs w:val="24"/>
        </w:rPr>
      </w:pPr>
      <w:r w:rsidRPr="00DF4F41">
        <w:rPr>
          <w:rFonts w:asciiTheme="minorHAnsi" w:hAnsiTheme="minorHAnsi" w:cstheme="minorHAnsi"/>
          <w:sz w:val="24"/>
          <w:szCs w:val="24"/>
        </w:rPr>
        <w:lastRenderedPageBreak/>
        <w:t>15.</w:t>
      </w:r>
      <w:r w:rsidRPr="00DF4F41">
        <w:rPr>
          <w:rFonts w:asciiTheme="minorHAnsi" w:hAnsiTheme="minorHAnsi" w:cstheme="minorHAnsi"/>
          <w:sz w:val="24"/>
          <w:szCs w:val="24"/>
        </w:rPr>
        <w:tab/>
        <w:t>Walsh N, Cramp F, Palmer S, Pollock S, Hampson L, Gooberman-Hill R, Green C, Jones L et al. Exercise and self-management for people with chronic knee, hip or lower back pain: a cluster randomised controlled trial of clinical and cost-effectiveness. Study protocol. Physiotherapy 2013; 99 352–357</w:t>
      </w:r>
    </w:p>
    <w:p w:rsidR="00DF4F41" w:rsidRPr="00DF4F41" w:rsidRDefault="00DF4F41" w:rsidP="00DF4F41">
      <w:pPr>
        <w:spacing w:line="480" w:lineRule="auto"/>
        <w:ind w:hanging="11"/>
        <w:rPr>
          <w:rFonts w:asciiTheme="minorHAnsi" w:hAnsiTheme="minorHAnsi" w:cstheme="minorHAnsi"/>
          <w:sz w:val="24"/>
          <w:szCs w:val="24"/>
        </w:rPr>
      </w:pPr>
      <w:r w:rsidRPr="00DF4F41">
        <w:rPr>
          <w:rFonts w:asciiTheme="minorHAnsi" w:hAnsiTheme="minorHAnsi" w:cstheme="minorHAnsi"/>
          <w:sz w:val="24"/>
          <w:szCs w:val="24"/>
        </w:rPr>
        <w:t>16.</w:t>
      </w:r>
      <w:r w:rsidRPr="00DF4F41">
        <w:rPr>
          <w:rFonts w:asciiTheme="minorHAnsi" w:hAnsiTheme="minorHAnsi" w:cstheme="minorHAnsi"/>
          <w:sz w:val="24"/>
          <w:szCs w:val="24"/>
        </w:rPr>
        <w:tab/>
        <w:t>Swiontkowski MF, Engelberg R, Martin DP, Agel J. Short musculoskeletal function assessment questionnaire: validity, reliability and responsiveness. J Bone Joint Surg Am 1999;81:1245–60</w:t>
      </w:r>
    </w:p>
    <w:p w:rsidR="00DF4F41" w:rsidRPr="00DF4F41" w:rsidRDefault="00DF4F41" w:rsidP="00DF4F41">
      <w:pPr>
        <w:spacing w:line="480" w:lineRule="auto"/>
        <w:ind w:hanging="11"/>
        <w:rPr>
          <w:rFonts w:asciiTheme="minorHAnsi" w:hAnsiTheme="minorHAnsi" w:cstheme="minorHAnsi"/>
          <w:sz w:val="24"/>
          <w:szCs w:val="24"/>
        </w:rPr>
      </w:pPr>
      <w:r w:rsidRPr="00DF4F41">
        <w:rPr>
          <w:rFonts w:asciiTheme="minorHAnsi" w:hAnsiTheme="minorHAnsi" w:cstheme="minorHAnsi"/>
          <w:sz w:val="24"/>
          <w:szCs w:val="24"/>
        </w:rPr>
        <w:t>17.</w:t>
      </w:r>
      <w:r w:rsidRPr="00DF4F41">
        <w:rPr>
          <w:rFonts w:asciiTheme="minorHAnsi" w:hAnsiTheme="minorHAnsi" w:cstheme="minorHAnsi"/>
          <w:sz w:val="24"/>
          <w:szCs w:val="24"/>
        </w:rPr>
        <w:tab/>
        <w:t>Ponzer S, Skoog A, Bergstrom G. The short musculoskeletal function assessment questionnaire (SMFA). Cross-cultural adaptation, validity, reliability and responsiveness of the Swedish SMFA (SMFA-Swe). Acta Orthop Scand 2003;74:756–63.</w:t>
      </w:r>
    </w:p>
    <w:p w:rsidR="00DF4F41" w:rsidRPr="00DF4F41" w:rsidRDefault="00DF4F41" w:rsidP="00DF4F41">
      <w:pPr>
        <w:spacing w:line="480" w:lineRule="auto"/>
        <w:ind w:hanging="11"/>
        <w:rPr>
          <w:rFonts w:asciiTheme="minorHAnsi" w:hAnsiTheme="minorHAnsi" w:cstheme="minorHAnsi"/>
          <w:sz w:val="24"/>
          <w:szCs w:val="24"/>
        </w:rPr>
      </w:pPr>
      <w:r w:rsidRPr="00DF4F41">
        <w:rPr>
          <w:rFonts w:asciiTheme="minorHAnsi" w:hAnsiTheme="minorHAnsi" w:cstheme="minorHAnsi"/>
          <w:sz w:val="24"/>
          <w:szCs w:val="24"/>
        </w:rPr>
        <w:t>18.</w:t>
      </w:r>
      <w:r w:rsidRPr="00DF4F41">
        <w:rPr>
          <w:rFonts w:asciiTheme="minorHAnsi" w:hAnsiTheme="minorHAnsi" w:cstheme="minorHAnsi"/>
          <w:sz w:val="24"/>
          <w:szCs w:val="24"/>
        </w:rPr>
        <w:tab/>
        <w:t>Eldridge SM, Ashby D, Kerry S. Sample size for cluster randomized trials: effect of coefficient of variation of cluster size and analysis method. Int J Epidemiol 2006;35:1292–300.</w:t>
      </w:r>
    </w:p>
    <w:p w:rsidR="00DF4F41" w:rsidRPr="00DF4F41" w:rsidRDefault="00DF4F41" w:rsidP="00DF4F41">
      <w:pPr>
        <w:spacing w:line="480" w:lineRule="auto"/>
        <w:ind w:hanging="11"/>
        <w:rPr>
          <w:rFonts w:asciiTheme="minorHAnsi" w:hAnsiTheme="minorHAnsi" w:cstheme="minorHAnsi"/>
          <w:sz w:val="24"/>
          <w:szCs w:val="24"/>
        </w:rPr>
      </w:pPr>
      <w:r w:rsidRPr="00DF4F41">
        <w:rPr>
          <w:rFonts w:asciiTheme="minorHAnsi" w:hAnsiTheme="minorHAnsi" w:cstheme="minorHAnsi"/>
          <w:sz w:val="24"/>
          <w:szCs w:val="24"/>
        </w:rPr>
        <w:t>19.</w:t>
      </w:r>
      <w:r w:rsidRPr="00DF4F41">
        <w:rPr>
          <w:rFonts w:asciiTheme="minorHAnsi" w:hAnsiTheme="minorHAnsi" w:cstheme="minorHAnsi"/>
          <w:sz w:val="24"/>
          <w:szCs w:val="24"/>
        </w:rPr>
        <w:tab/>
        <w:t>Hurley DA, Currie Murphy L , Hayes D , Hall AM , Toomey E , McDonough SM , Lonsdale C , Walsh NE , Guerin S, Matthews J. Using intervention mapping to develop a theory-driven, group-based complex intervention to support self-management of osteoarthritis and low back pain (SOLAS). Implementation Science 2016 11:56 DOI 10.1186/s13012-016-0418-2</w:t>
      </w:r>
    </w:p>
    <w:p w:rsidR="00DF4F41" w:rsidRPr="00DF4F41" w:rsidRDefault="00DF4F41" w:rsidP="00DF4F41">
      <w:pPr>
        <w:spacing w:line="480" w:lineRule="auto"/>
        <w:ind w:hanging="11"/>
        <w:rPr>
          <w:rFonts w:asciiTheme="minorHAnsi" w:hAnsiTheme="minorHAnsi" w:cstheme="minorHAnsi"/>
          <w:sz w:val="24"/>
          <w:szCs w:val="24"/>
        </w:rPr>
      </w:pPr>
      <w:r w:rsidRPr="00DF4F41">
        <w:rPr>
          <w:rFonts w:asciiTheme="minorHAnsi" w:hAnsiTheme="minorHAnsi" w:cstheme="minorHAnsi"/>
          <w:sz w:val="24"/>
          <w:szCs w:val="24"/>
        </w:rPr>
        <w:t>20.</w:t>
      </w:r>
      <w:r w:rsidRPr="00DF4F41">
        <w:rPr>
          <w:rFonts w:asciiTheme="minorHAnsi" w:hAnsiTheme="minorHAnsi" w:cstheme="minorHAnsi"/>
          <w:sz w:val="24"/>
          <w:szCs w:val="24"/>
        </w:rPr>
        <w:tab/>
        <w:t xml:space="preserve">Gecht MR, Connell KJ, Sinacore JM, Prohaska TR. A survey of exercise beliefs and exercise habits among people with arthritis. Arthritis Care Res 1996;9:82–8. </w:t>
      </w:r>
    </w:p>
    <w:p w:rsidR="00DF4F41" w:rsidRPr="00DF4F41" w:rsidRDefault="00DF4F41" w:rsidP="00DF4F41">
      <w:pPr>
        <w:spacing w:line="480" w:lineRule="auto"/>
        <w:ind w:hanging="11"/>
        <w:rPr>
          <w:rFonts w:asciiTheme="minorHAnsi" w:hAnsiTheme="minorHAnsi" w:cstheme="minorHAnsi"/>
          <w:sz w:val="24"/>
          <w:szCs w:val="24"/>
        </w:rPr>
      </w:pPr>
      <w:r w:rsidRPr="00DF4F41">
        <w:rPr>
          <w:rFonts w:asciiTheme="minorHAnsi" w:hAnsiTheme="minorHAnsi" w:cstheme="minorHAnsi"/>
          <w:sz w:val="24"/>
          <w:szCs w:val="24"/>
        </w:rPr>
        <w:t>21.</w:t>
      </w:r>
      <w:r w:rsidRPr="00DF4F41">
        <w:rPr>
          <w:rFonts w:asciiTheme="minorHAnsi" w:hAnsiTheme="minorHAnsi" w:cstheme="minorHAnsi"/>
          <w:sz w:val="24"/>
          <w:szCs w:val="24"/>
        </w:rPr>
        <w:tab/>
        <w:t xml:space="preserve">Zigmond AS, Snaith RP. Hospital anxiety and depression scale. Acta Psychiatr Scand 1983;67:361–7. </w:t>
      </w:r>
    </w:p>
    <w:p w:rsidR="00DF4F41" w:rsidRPr="00DF4F41" w:rsidRDefault="00DF4F41" w:rsidP="00DF4F41">
      <w:pPr>
        <w:spacing w:line="480" w:lineRule="auto"/>
        <w:ind w:hanging="11"/>
        <w:rPr>
          <w:rFonts w:asciiTheme="minorHAnsi" w:hAnsiTheme="minorHAnsi" w:cstheme="minorHAnsi"/>
          <w:sz w:val="24"/>
          <w:szCs w:val="24"/>
        </w:rPr>
      </w:pPr>
      <w:r w:rsidRPr="00DF4F41">
        <w:rPr>
          <w:rFonts w:asciiTheme="minorHAnsi" w:hAnsiTheme="minorHAnsi" w:cstheme="minorHAnsi"/>
          <w:sz w:val="24"/>
          <w:szCs w:val="24"/>
        </w:rPr>
        <w:lastRenderedPageBreak/>
        <w:t>22.</w:t>
      </w:r>
      <w:r w:rsidRPr="00DF4F41">
        <w:rPr>
          <w:rFonts w:asciiTheme="minorHAnsi" w:hAnsiTheme="minorHAnsi" w:cstheme="minorHAnsi"/>
          <w:sz w:val="24"/>
          <w:szCs w:val="24"/>
        </w:rPr>
        <w:tab/>
        <w:t xml:space="preserve">Melzack R. The short-form McGill pain questionnaire. Pain 1987;30(2):191–7. </w:t>
      </w:r>
    </w:p>
    <w:p w:rsidR="00DF4F41" w:rsidRPr="00DF4F41" w:rsidRDefault="00DF4F41" w:rsidP="00DF4F41">
      <w:pPr>
        <w:spacing w:line="480" w:lineRule="auto"/>
        <w:ind w:hanging="11"/>
        <w:rPr>
          <w:rFonts w:asciiTheme="minorHAnsi" w:hAnsiTheme="minorHAnsi" w:cstheme="minorHAnsi"/>
          <w:sz w:val="24"/>
          <w:szCs w:val="24"/>
        </w:rPr>
      </w:pPr>
      <w:r w:rsidRPr="00DF4F41">
        <w:rPr>
          <w:rFonts w:asciiTheme="minorHAnsi" w:hAnsiTheme="minorHAnsi" w:cstheme="minorHAnsi"/>
          <w:sz w:val="24"/>
          <w:szCs w:val="24"/>
        </w:rPr>
        <w:t>23.</w:t>
      </w:r>
      <w:r w:rsidRPr="00DF4F41">
        <w:rPr>
          <w:rFonts w:asciiTheme="minorHAnsi" w:hAnsiTheme="minorHAnsi" w:cstheme="minorHAnsi"/>
          <w:sz w:val="24"/>
          <w:szCs w:val="24"/>
        </w:rPr>
        <w:tab/>
        <w:t>Hurley M, Scott DL, Rees J, Newham DJ. Sensorimotor changes and functional performance in patients with knee osteoarthritis. Ann Rheum Dis 1997;56(11):641–8.</w:t>
      </w:r>
    </w:p>
    <w:p w:rsidR="00DF4F41" w:rsidRPr="00DF4F41" w:rsidRDefault="00DF4F41" w:rsidP="00DF4F41">
      <w:pPr>
        <w:spacing w:line="480" w:lineRule="auto"/>
        <w:ind w:hanging="11"/>
        <w:rPr>
          <w:rFonts w:asciiTheme="minorHAnsi" w:hAnsiTheme="minorHAnsi" w:cstheme="minorHAnsi"/>
          <w:sz w:val="24"/>
          <w:szCs w:val="24"/>
        </w:rPr>
      </w:pPr>
      <w:r w:rsidRPr="00DF4F41">
        <w:rPr>
          <w:rFonts w:asciiTheme="minorHAnsi" w:hAnsiTheme="minorHAnsi" w:cstheme="minorHAnsi"/>
          <w:sz w:val="24"/>
          <w:szCs w:val="24"/>
        </w:rPr>
        <w:t>24.</w:t>
      </w:r>
      <w:r w:rsidRPr="00DF4F41">
        <w:rPr>
          <w:rFonts w:asciiTheme="minorHAnsi" w:hAnsiTheme="minorHAnsi" w:cstheme="minorHAnsi"/>
          <w:sz w:val="24"/>
          <w:szCs w:val="24"/>
        </w:rPr>
        <w:tab/>
        <w:t>Angrist JD, Imbens GW, Rubin DB. Identification of causal effects using instrumental variables. J Am Stat Assoc 1996;91:444–55.</w:t>
      </w:r>
    </w:p>
    <w:p w:rsidR="00DF4F41" w:rsidRPr="00DF4F41" w:rsidRDefault="00DF4F41" w:rsidP="00DF4F41">
      <w:pPr>
        <w:spacing w:line="480" w:lineRule="auto"/>
        <w:ind w:hanging="11"/>
        <w:rPr>
          <w:rFonts w:asciiTheme="minorHAnsi" w:hAnsiTheme="minorHAnsi" w:cstheme="minorHAnsi"/>
          <w:sz w:val="24"/>
          <w:szCs w:val="24"/>
          <w:shd w:val="clear" w:color="auto" w:fill="FFFFFF"/>
        </w:rPr>
      </w:pPr>
      <w:r w:rsidRPr="00DF4F41">
        <w:rPr>
          <w:rFonts w:asciiTheme="minorHAnsi" w:hAnsiTheme="minorHAnsi" w:cstheme="minorHAnsi"/>
          <w:sz w:val="24"/>
          <w:szCs w:val="24"/>
        </w:rPr>
        <w:t>25.</w:t>
      </w:r>
      <w:r w:rsidRPr="00DF4F41">
        <w:rPr>
          <w:rFonts w:asciiTheme="minorHAnsi" w:hAnsiTheme="minorHAnsi" w:cstheme="minorHAnsi"/>
          <w:sz w:val="24"/>
          <w:szCs w:val="24"/>
        </w:rPr>
        <w:tab/>
      </w:r>
      <w:r w:rsidRPr="00DF4F41">
        <w:rPr>
          <w:rFonts w:asciiTheme="minorHAnsi" w:hAnsiTheme="minorHAnsi" w:cstheme="minorHAnsi"/>
          <w:sz w:val="24"/>
          <w:szCs w:val="24"/>
          <w:shd w:val="clear" w:color="auto" w:fill="FFFFFF"/>
        </w:rPr>
        <w:t>Calders, Patrick, and Ans Van Ginckel. “Presence of Comorbidities and Prognosis of Clinical Symptoms in Knee And/or Hip Osteoarthritis : a Systematic Review and Meta-analysis.” Seminars in Arthritis and Rheumatism 47(6) (2018) 805-813 </w:t>
      </w:r>
    </w:p>
    <w:p w:rsidR="00DF4F41" w:rsidRPr="00DF4F41" w:rsidRDefault="00DF4F41" w:rsidP="00DF4F41">
      <w:pPr>
        <w:spacing w:line="480" w:lineRule="auto"/>
        <w:ind w:hanging="11"/>
        <w:rPr>
          <w:rFonts w:asciiTheme="minorHAnsi" w:hAnsiTheme="minorHAnsi" w:cstheme="minorHAnsi"/>
          <w:sz w:val="24"/>
          <w:szCs w:val="24"/>
          <w:shd w:val="clear" w:color="auto" w:fill="FFFFFF"/>
        </w:rPr>
      </w:pPr>
      <w:r w:rsidRPr="00DF4F41">
        <w:rPr>
          <w:rFonts w:asciiTheme="minorHAnsi" w:hAnsiTheme="minorHAnsi" w:cstheme="minorHAnsi"/>
          <w:sz w:val="24"/>
          <w:szCs w:val="24"/>
          <w:shd w:val="clear" w:color="auto" w:fill="FFFFFF"/>
        </w:rPr>
        <w:t>26.</w:t>
      </w:r>
      <w:r w:rsidRPr="00DF4F41">
        <w:rPr>
          <w:rFonts w:asciiTheme="minorHAnsi" w:hAnsiTheme="minorHAnsi" w:cstheme="minorHAnsi"/>
          <w:sz w:val="24"/>
          <w:szCs w:val="24"/>
          <w:shd w:val="clear" w:color="auto" w:fill="FFFFFF"/>
        </w:rPr>
        <w:tab/>
        <w:t>Suri P, Morgenroth DC, Kwoh CK, Bean JF, Kalichman L, Hunter DJ.</w:t>
      </w:r>
      <w:r w:rsidRPr="00DF4F41">
        <w:rPr>
          <w:rFonts w:asciiTheme="minorHAnsi" w:hAnsiTheme="minorHAnsi" w:cstheme="minorHAnsi"/>
          <w:sz w:val="24"/>
          <w:szCs w:val="24"/>
        </w:rPr>
        <w:t xml:space="preserve"> </w:t>
      </w:r>
      <w:r w:rsidRPr="00DF4F41">
        <w:rPr>
          <w:rFonts w:asciiTheme="minorHAnsi" w:hAnsiTheme="minorHAnsi" w:cstheme="minorHAnsi"/>
          <w:sz w:val="24"/>
          <w:szCs w:val="24"/>
          <w:shd w:val="clear" w:color="auto" w:fill="FFFFFF"/>
        </w:rPr>
        <w:t>Low back pain and other musculoskeletal pain comorbidities in individuals with symptomatic osteoarthritis of the knee: data from the osteoarthritis initiative. Arthritis Care Res (Hoboken). 2010 Dec;62(12):1715-23. doi: 10.1002/acr.20324.</w:t>
      </w:r>
    </w:p>
    <w:p w:rsidR="00DF4F41" w:rsidRPr="00DF4F41" w:rsidRDefault="00DF4F41" w:rsidP="00DF4F41">
      <w:pPr>
        <w:spacing w:line="480" w:lineRule="auto"/>
        <w:ind w:hanging="11"/>
        <w:rPr>
          <w:rFonts w:asciiTheme="minorHAnsi" w:hAnsiTheme="minorHAnsi" w:cstheme="minorHAnsi"/>
          <w:sz w:val="24"/>
          <w:szCs w:val="24"/>
          <w:shd w:val="clear" w:color="auto" w:fill="FFFFFF"/>
        </w:rPr>
      </w:pPr>
      <w:r w:rsidRPr="00DF4F41">
        <w:rPr>
          <w:rFonts w:asciiTheme="minorHAnsi" w:hAnsiTheme="minorHAnsi" w:cstheme="minorHAnsi"/>
          <w:sz w:val="24"/>
          <w:szCs w:val="24"/>
          <w:shd w:val="clear" w:color="auto" w:fill="FFFFFF"/>
        </w:rPr>
        <w:t>27.</w:t>
      </w:r>
      <w:r w:rsidRPr="00DF4F41">
        <w:rPr>
          <w:rFonts w:asciiTheme="minorHAnsi" w:hAnsiTheme="minorHAnsi" w:cstheme="minorHAnsi"/>
          <w:sz w:val="24"/>
          <w:szCs w:val="24"/>
          <w:shd w:val="clear" w:color="auto" w:fill="FFFFFF"/>
        </w:rPr>
        <w:tab/>
      </w:r>
      <w:r w:rsidRPr="00DF4F41">
        <w:rPr>
          <w:rFonts w:asciiTheme="minorHAnsi" w:hAnsiTheme="minorHAnsi" w:cstheme="minorHAnsi"/>
          <w:sz w:val="24"/>
          <w:szCs w:val="24"/>
        </w:rPr>
        <w:t>Patel G, Walsh N, Gooberman-Hill R. Managing Osteoarthritis in Primary Care: Exploring Healthcare Professionals’ Views on a Multiple-Joint Intervention Designed to Facilitate Self-Management. Musculoskeletal Care 2014 12 (4):199-209. DOI: 10.1002/msc.1074</w:t>
      </w:r>
    </w:p>
    <w:p w:rsidR="00DF4F41" w:rsidRPr="00DF4F41" w:rsidRDefault="00DF4F41" w:rsidP="00DF4F41">
      <w:pPr>
        <w:spacing w:line="480" w:lineRule="auto"/>
        <w:ind w:hanging="11"/>
        <w:rPr>
          <w:rFonts w:asciiTheme="minorHAnsi" w:hAnsiTheme="minorHAnsi" w:cstheme="minorHAnsi"/>
          <w:sz w:val="24"/>
          <w:szCs w:val="24"/>
          <w:shd w:val="clear" w:color="auto" w:fill="FFFFFF"/>
        </w:rPr>
      </w:pPr>
      <w:r w:rsidRPr="00DF4F41">
        <w:rPr>
          <w:rFonts w:asciiTheme="minorHAnsi" w:hAnsiTheme="minorHAnsi" w:cstheme="minorHAnsi"/>
          <w:sz w:val="24"/>
          <w:szCs w:val="24"/>
          <w:shd w:val="clear" w:color="auto" w:fill="FFFFFF"/>
        </w:rPr>
        <w:t>28.</w:t>
      </w:r>
      <w:r w:rsidRPr="00DF4F41">
        <w:rPr>
          <w:rFonts w:asciiTheme="minorHAnsi" w:hAnsiTheme="minorHAnsi" w:cstheme="minorHAnsi"/>
          <w:sz w:val="24"/>
          <w:szCs w:val="24"/>
          <w:shd w:val="clear" w:color="auto" w:fill="FFFFFF"/>
        </w:rPr>
        <w:tab/>
        <w:t>Hill JC, Whitehurst DG, Lewis M, et al. Comparison of stratified primary care management for low back pain with current best practice (STarT Back): a randomised controlled trial. </w:t>
      </w:r>
      <w:r w:rsidRPr="00DF4F41">
        <w:rPr>
          <w:rFonts w:asciiTheme="minorHAnsi" w:hAnsiTheme="minorHAnsi" w:cstheme="minorHAnsi"/>
          <w:i/>
          <w:iCs/>
          <w:sz w:val="24"/>
          <w:szCs w:val="24"/>
          <w:shd w:val="clear" w:color="auto" w:fill="FFFFFF"/>
        </w:rPr>
        <w:t>Lancet</w:t>
      </w:r>
      <w:r w:rsidRPr="00DF4F41">
        <w:rPr>
          <w:rFonts w:asciiTheme="minorHAnsi" w:hAnsiTheme="minorHAnsi" w:cstheme="minorHAnsi"/>
          <w:sz w:val="24"/>
          <w:szCs w:val="24"/>
          <w:shd w:val="clear" w:color="auto" w:fill="FFFFFF"/>
        </w:rPr>
        <w:t>. 2011;378(9802):1560–1571. doi:10.1016/S0140-6736(11)60937-9</w:t>
      </w:r>
    </w:p>
    <w:p w:rsidR="00DF4F41" w:rsidRPr="00DF4F41" w:rsidRDefault="00DF4F41" w:rsidP="00DF4F41">
      <w:pPr>
        <w:spacing w:line="480" w:lineRule="auto"/>
        <w:ind w:hanging="11"/>
        <w:rPr>
          <w:rFonts w:asciiTheme="minorHAnsi" w:hAnsiTheme="minorHAnsi" w:cstheme="minorHAnsi"/>
          <w:sz w:val="24"/>
          <w:szCs w:val="24"/>
        </w:rPr>
      </w:pPr>
      <w:r w:rsidRPr="00DF4F41">
        <w:rPr>
          <w:rFonts w:asciiTheme="minorHAnsi" w:hAnsiTheme="minorHAnsi" w:cstheme="minorHAnsi"/>
          <w:sz w:val="24"/>
          <w:szCs w:val="24"/>
          <w:shd w:val="clear" w:color="auto" w:fill="FFFFFF"/>
        </w:rPr>
        <w:t>29.</w:t>
      </w:r>
      <w:r w:rsidRPr="00DF4F41">
        <w:rPr>
          <w:rFonts w:asciiTheme="minorHAnsi" w:hAnsiTheme="minorHAnsi" w:cstheme="minorHAnsi"/>
          <w:sz w:val="24"/>
          <w:szCs w:val="24"/>
          <w:shd w:val="clear" w:color="auto" w:fill="FFFFFF"/>
        </w:rPr>
        <w:tab/>
      </w:r>
      <w:r w:rsidRPr="00DF4F41">
        <w:rPr>
          <w:rFonts w:asciiTheme="minorHAnsi" w:hAnsiTheme="minorHAnsi" w:cstheme="minorHAnsi"/>
          <w:sz w:val="24"/>
          <w:szCs w:val="24"/>
        </w:rPr>
        <w:t>Stewart  AL, Greenfield  S, Hays  RD  et al.  Functional status and well-being of patients with chronic conditions: results from the medical outcomes study. </w:t>
      </w:r>
      <w:r w:rsidRPr="00DF4F41">
        <w:rPr>
          <w:rFonts w:asciiTheme="minorHAnsi" w:hAnsiTheme="minorHAnsi" w:cstheme="minorHAnsi"/>
          <w:i/>
          <w:iCs/>
          <w:sz w:val="24"/>
          <w:szCs w:val="24"/>
        </w:rPr>
        <w:t> JAMA</w:t>
      </w:r>
      <w:r w:rsidRPr="00DF4F41">
        <w:rPr>
          <w:rFonts w:asciiTheme="minorHAnsi" w:hAnsiTheme="minorHAnsi" w:cstheme="minorHAnsi"/>
          <w:sz w:val="24"/>
          <w:szCs w:val="24"/>
        </w:rPr>
        <w:t> 1989;262 (7) 907- 913</w:t>
      </w:r>
    </w:p>
    <w:p w:rsidR="00DF4F41" w:rsidRPr="00DF4F41" w:rsidRDefault="00DF4F41" w:rsidP="00DF4F41">
      <w:pPr>
        <w:spacing w:line="480" w:lineRule="auto"/>
        <w:ind w:hanging="11"/>
        <w:rPr>
          <w:rFonts w:asciiTheme="minorHAnsi" w:hAnsiTheme="minorHAnsi" w:cstheme="minorHAnsi"/>
          <w:sz w:val="24"/>
          <w:szCs w:val="24"/>
        </w:rPr>
      </w:pPr>
      <w:r w:rsidRPr="00DF4F41">
        <w:rPr>
          <w:rFonts w:asciiTheme="minorHAnsi" w:hAnsiTheme="minorHAnsi" w:cstheme="minorHAnsi"/>
          <w:sz w:val="24"/>
          <w:szCs w:val="24"/>
        </w:rPr>
        <w:lastRenderedPageBreak/>
        <w:t>30.</w:t>
      </w:r>
      <w:r w:rsidRPr="00DF4F41">
        <w:rPr>
          <w:rFonts w:asciiTheme="minorHAnsi" w:hAnsiTheme="minorHAnsi" w:cstheme="minorHAnsi"/>
          <w:sz w:val="24"/>
          <w:szCs w:val="24"/>
        </w:rPr>
        <w:tab/>
        <w:t>Norman GR, Sloan JA, Wyrwich KW. Interpretation of changes in health-related quality of life. The remarkable universality of half a standard deviation. Medical Care. 2003;41:582–592.</w:t>
      </w:r>
    </w:p>
    <w:p w:rsidR="00DF4F41" w:rsidRPr="00DF4F41" w:rsidRDefault="00DF4F41" w:rsidP="00DF4F41">
      <w:pPr>
        <w:spacing w:line="480" w:lineRule="auto"/>
        <w:ind w:hanging="11"/>
        <w:rPr>
          <w:rFonts w:asciiTheme="minorHAnsi" w:hAnsiTheme="minorHAnsi" w:cstheme="minorHAnsi"/>
          <w:sz w:val="24"/>
          <w:szCs w:val="24"/>
        </w:rPr>
      </w:pPr>
      <w:r w:rsidRPr="00DF4F41">
        <w:rPr>
          <w:rFonts w:asciiTheme="minorHAnsi" w:hAnsiTheme="minorHAnsi" w:cstheme="minorHAnsi"/>
          <w:sz w:val="24"/>
          <w:szCs w:val="24"/>
        </w:rPr>
        <w:t>31. de Graaf MW, Reininga IHF, Heineman E, El Moumni M. Minimal important change in physical function in trauma patients: a study using the short musculoskeletal function assessment. Quality of Life Research (2020) 29:2231–2239, https://doi.org/10.1007/s11136-020-02476-8</w:t>
      </w:r>
    </w:p>
    <w:p w:rsidR="00DF4F41" w:rsidRPr="00DF4F41" w:rsidRDefault="00DF4F41" w:rsidP="00DF4F41">
      <w:pPr>
        <w:spacing w:line="480" w:lineRule="auto"/>
        <w:ind w:hanging="11"/>
        <w:rPr>
          <w:rFonts w:asciiTheme="minorHAnsi" w:hAnsiTheme="minorHAnsi" w:cstheme="minorHAnsi"/>
          <w:sz w:val="24"/>
          <w:szCs w:val="24"/>
        </w:rPr>
      </w:pPr>
      <w:r w:rsidRPr="00DF4F41">
        <w:rPr>
          <w:rFonts w:asciiTheme="minorHAnsi" w:hAnsiTheme="minorHAnsi" w:cstheme="minorHAnsi"/>
          <w:sz w:val="24"/>
          <w:szCs w:val="24"/>
        </w:rPr>
        <w:t>32.</w:t>
      </w:r>
      <w:r w:rsidRPr="00DF4F41">
        <w:rPr>
          <w:rFonts w:asciiTheme="minorHAnsi" w:hAnsiTheme="minorHAnsi" w:cstheme="minorHAnsi"/>
          <w:sz w:val="24"/>
          <w:szCs w:val="24"/>
        </w:rPr>
        <w:tab/>
        <w:t>Hill JC, Kang S, Benedetto E, et al. Development and initial cohort validation of the Arthritis Research UK Musculoskeletal Health Questionnaire (MSK-HQ) for use across musculoskeletal care pathways. BMJ Open 2016;6:e012331. doi: 10.1136/bmjopen-2016-012331</w:t>
      </w:r>
    </w:p>
    <w:p w:rsidR="00DF4F41" w:rsidRPr="00844913" w:rsidRDefault="00DF4F41" w:rsidP="00DF4F41">
      <w:pPr>
        <w:spacing w:line="480" w:lineRule="auto"/>
        <w:ind w:hanging="11"/>
        <w:rPr>
          <w:rFonts w:asciiTheme="minorHAnsi" w:hAnsiTheme="minorHAnsi" w:cstheme="minorHAnsi"/>
          <w:sz w:val="24"/>
          <w:szCs w:val="24"/>
        </w:rPr>
      </w:pPr>
      <w:r w:rsidRPr="00DF4F41">
        <w:rPr>
          <w:rFonts w:asciiTheme="minorHAnsi" w:hAnsiTheme="minorHAnsi" w:cstheme="minorHAnsi"/>
          <w:sz w:val="24"/>
          <w:szCs w:val="24"/>
        </w:rPr>
        <w:t xml:space="preserve">33. ESCAPE-pain. </w:t>
      </w:r>
      <w:hyperlink r:id="rId8" w:history="1">
        <w:r w:rsidRPr="00DF4F41">
          <w:rPr>
            <w:rStyle w:val="Hyperlink"/>
            <w:rFonts w:asciiTheme="minorHAnsi" w:hAnsiTheme="minorHAnsi" w:cstheme="minorHAnsi"/>
            <w:sz w:val="24"/>
            <w:szCs w:val="24"/>
          </w:rPr>
          <w:t>https://escape-pain.org/</w:t>
        </w:r>
      </w:hyperlink>
      <w:r w:rsidRPr="00DF4F41">
        <w:rPr>
          <w:rFonts w:asciiTheme="minorHAnsi" w:hAnsiTheme="minorHAnsi" w:cstheme="minorHAnsi"/>
          <w:sz w:val="24"/>
          <w:szCs w:val="24"/>
        </w:rPr>
        <w:t>. Accessed July 2020.</w:t>
      </w:r>
    </w:p>
    <w:p w:rsidR="00DF4F41" w:rsidRPr="00844913" w:rsidRDefault="00DF4F41" w:rsidP="00DF4F41">
      <w:pPr>
        <w:spacing w:line="480" w:lineRule="auto"/>
        <w:ind w:hanging="11"/>
        <w:rPr>
          <w:sz w:val="24"/>
          <w:szCs w:val="24"/>
        </w:rPr>
      </w:pPr>
    </w:p>
    <w:p w:rsidR="003F34F6" w:rsidRDefault="003F34F6"/>
    <w:sectPr w:rsidR="003F34F6" w:rsidSect="0075593A">
      <w:footerReference w:type="default" r:id="rId9"/>
      <w:pgSz w:w="11906" w:h="16838"/>
      <w:pgMar w:top="1134" w:right="1440" w:bottom="1134" w:left="1440"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New Baskerville">
    <w:altName w:val="Kartik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NFEAE J+ MTSY">
    <w:altName w:val="MTSY"/>
    <w:panose1 w:val="00000000000000000000"/>
    <w:charset w:val="81"/>
    <w:family w:val="swiss"/>
    <w:notTrueType/>
    <w:pitch w:val="default"/>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Melio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B6F" w:rsidRDefault="00DF4F41">
    <w:pPr>
      <w:pStyle w:val="Footer"/>
      <w:jc w:val="right"/>
    </w:pPr>
    <w:r>
      <w:fldChar w:fldCharType="begin"/>
    </w:r>
    <w:r>
      <w:instrText xml:space="preserve"> PAGE   \* MERGEFORMAT </w:instrText>
    </w:r>
    <w:r>
      <w:fldChar w:fldCharType="separate"/>
    </w:r>
    <w:r>
      <w:rPr>
        <w:noProof/>
      </w:rPr>
      <w:t>28</w:t>
    </w:r>
    <w:r>
      <w:rPr>
        <w:noProof/>
      </w:rPr>
      <w:fldChar w:fldCharType="end"/>
    </w:r>
  </w:p>
  <w:p w:rsidR="00A05B6F" w:rsidRDefault="00DF4F41">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D1E51"/>
    <w:multiLevelType w:val="hybridMultilevel"/>
    <w:tmpl w:val="B21672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0967C7"/>
    <w:multiLevelType w:val="hybridMultilevel"/>
    <w:tmpl w:val="82E87F50"/>
    <w:lvl w:ilvl="0" w:tplc="AD54F2C8">
      <w:start w:val="1"/>
      <w:numFmt w:val="decimal"/>
      <w:pStyle w:val="CommentText"/>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ADB5307"/>
    <w:multiLevelType w:val="hybridMultilevel"/>
    <w:tmpl w:val="EF8EAC30"/>
    <w:lvl w:ilvl="0" w:tplc="786C55DA">
      <w:start w:val="1"/>
      <w:numFmt w:val="decimal"/>
      <w:lvlText w:val="%1."/>
      <w:lvlJc w:val="left"/>
      <w:pPr>
        <w:ind w:left="720" w:hanging="360"/>
      </w:pPr>
      <w:rPr>
        <w:rFonts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C111A8D"/>
    <w:multiLevelType w:val="hybridMultilevel"/>
    <w:tmpl w:val="6C2A28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283D82"/>
    <w:multiLevelType w:val="hybridMultilevel"/>
    <w:tmpl w:val="D63A05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F41"/>
    <w:rsid w:val="003F34F6"/>
    <w:rsid w:val="00DF4F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32D5D5-F65C-44E3-ACDB-A87340C75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F41"/>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DF4F4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DF4F41"/>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4F41"/>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DF4F41"/>
    <w:rPr>
      <w:rFonts w:ascii="Calibri Light" w:eastAsia="Times New Roman" w:hAnsi="Calibri Light" w:cs="Times New Roman"/>
      <w:b/>
      <w:bCs/>
      <w:i/>
      <w:iCs/>
      <w:sz w:val="28"/>
      <w:szCs w:val="28"/>
    </w:rPr>
  </w:style>
  <w:style w:type="paragraph" w:styleId="NormalWeb">
    <w:name w:val="Normal (Web)"/>
    <w:basedOn w:val="Normal"/>
    <w:uiPriority w:val="99"/>
    <w:unhideWhenUsed/>
    <w:rsid w:val="00DF4F41"/>
    <w:pPr>
      <w:spacing w:before="100" w:beforeAutospacing="1" w:after="100" w:afterAutospacing="1" w:line="240" w:lineRule="auto"/>
    </w:pPr>
    <w:rPr>
      <w:rFonts w:ascii="Times New Roman" w:eastAsia="Times New Roman" w:hAnsi="Times New Roman"/>
      <w:sz w:val="24"/>
      <w:szCs w:val="24"/>
      <w:lang w:val="en-US"/>
    </w:rPr>
  </w:style>
  <w:style w:type="paragraph" w:styleId="Footer">
    <w:name w:val="footer"/>
    <w:basedOn w:val="Normal"/>
    <w:link w:val="FooterChar"/>
    <w:uiPriority w:val="99"/>
    <w:rsid w:val="00DF4F41"/>
    <w:pPr>
      <w:tabs>
        <w:tab w:val="center" w:pos="4153"/>
        <w:tab w:val="right" w:pos="8306"/>
      </w:tabs>
      <w:spacing w:after="0" w:line="240" w:lineRule="auto"/>
    </w:pPr>
    <w:rPr>
      <w:rFonts w:ascii="New Baskerville" w:eastAsia="Times New Roman" w:hAnsi="New Baskerville"/>
      <w:sz w:val="24"/>
      <w:szCs w:val="20"/>
    </w:rPr>
  </w:style>
  <w:style w:type="character" w:customStyle="1" w:styleId="FooterChar">
    <w:name w:val="Footer Char"/>
    <w:basedOn w:val="DefaultParagraphFont"/>
    <w:link w:val="Footer"/>
    <w:uiPriority w:val="99"/>
    <w:rsid w:val="00DF4F41"/>
    <w:rPr>
      <w:rFonts w:ascii="New Baskerville" w:eastAsia="Times New Roman" w:hAnsi="New Baskerville" w:cs="Times New Roman"/>
      <w:sz w:val="24"/>
      <w:szCs w:val="20"/>
    </w:rPr>
  </w:style>
  <w:style w:type="character" w:styleId="HTMLCite">
    <w:name w:val="HTML Cite"/>
    <w:uiPriority w:val="99"/>
    <w:semiHidden/>
    <w:unhideWhenUsed/>
    <w:rsid w:val="00DF4F41"/>
    <w:rPr>
      <w:i/>
      <w:iCs/>
    </w:rPr>
  </w:style>
  <w:style w:type="paragraph" w:customStyle="1" w:styleId="Default">
    <w:name w:val="Default"/>
    <w:rsid w:val="00DF4F41"/>
    <w:pPr>
      <w:autoSpaceDE w:val="0"/>
      <w:autoSpaceDN w:val="0"/>
      <w:adjustRightInd w:val="0"/>
      <w:spacing w:after="0" w:line="240" w:lineRule="auto"/>
    </w:pPr>
    <w:rPr>
      <w:rFonts w:ascii="Arial" w:eastAsia="Calibri" w:hAnsi="Arial" w:cs="Arial"/>
      <w:color w:val="000000"/>
      <w:sz w:val="24"/>
      <w:szCs w:val="24"/>
      <w:lang w:val="en-US"/>
    </w:rPr>
  </w:style>
  <w:style w:type="paragraph" w:styleId="ListParagraph">
    <w:name w:val="List Paragraph"/>
    <w:basedOn w:val="Normal"/>
    <w:uiPriority w:val="34"/>
    <w:qFormat/>
    <w:rsid w:val="00DF4F41"/>
    <w:pPr>
      <w:ind w:left="720"/>
      <w:contextualSpacing/>
    </w:pPr>
  </w:style>
  <w:style w:type="character" w:styleId="LineNumber">
    <w:name w:val="line number"/>
    <w:uiPriority w:val="99"/>
    <w:semiHidden/>
    <w:unhideWhenUsed/>
    <w:rsid w:val="00DF4F41"/>
  </w:style>
  <w:style w:type="character" w:styleId="Hyperlink">
    <w:name w:val="Hyperlink"/>
    <w:uiPriority w:val="99"/>
    <w:unhideWhenUsed/>
    <w:rsid w:val="00DF4F41"/>
    <w:rPr>
      <w:color w:val="0563C1"/>
      <w:u w:val="single"/>
    </w:rPr>
  </w:style>
  <w:style w:type="paragraph" w:styleId="Header">
    <w:name w:val="header"/>
    <w:basedOn w:val="Normal"/>
    <w:link w:val="HeaderChar"/>
    <w:uiPriority w:val="99"/>
    <w:unhideWhenUsed/>
    <w:rsid w:val="00DF4F41"/>
    <w:pPr>
      <w:tabs>
        <w:tab w:val="center" w:pos="4513"/>
        <w:tab w:val="right" w:pos="9026"/>
      </w:tabs>
    </w:pPr>
  </w:style>
  <w:style w:type="character" w:customStyle="1" w:styleId="HeaderChar">
    <w:name w:val="Header Char"/>
    <w:basedOn w:val="DefaultParagraphFont"/>
    <w:link w:val="Header"/>
    <w:uiPriority w:val="99"/>
    <w:rsid w:val="00DF4F41"/>
    <w:rPr>
      <w:rFonts w:ascii="Calibri" w:eastAsia="Calibri" w:hAnsi="Calibri" w:cs="Times New Roman"/>
    </w:rPr>
  </w:style>
  <w:style w:type="character" w:styleId="FollowedHyperlink">
    <w:name w:val="FollowedHyperlink"/>
    <w:basedOn w:val="DefaultParagraphFont"/>
    <w:uiPriority w:val="99"/>
    <w:semiHidden/>
    <w:unhideWhenUsed/>
    <w:rsid w:val="00DF4F41"/>
    <w:rPr>
      <w:color w:val="954F72" w:themeColor="followedHyperlink"/>
      <w:u w:val="single"/>
    </w:rPr>
  </w:style>
  <w:style w:type="character" w:styleId="CommentReference">
    <w:name w:val="annotation reference"/>
    <w:basedOn w:val="DefaultParagraphFont"/>
    <w:uiPriority w:val="99"/>
    <w:semiHidden/>
    <w:unhideWhenUsed/>
    <w:rsid w:val="00DF4F41"/>
    <w:rPr>
      <w:sz w:val="16"/>
      <w:szCs w:val="16"/>
    </w:rPr>
  </w:style>
  <w:style w:type="paragraph" w:styleId="CommentText">
    <w:name w:val="annotation text"/>
    <w:basedOn w:val="Normal"/>
    <w:link w:val="CommentTextChar"/>
    <w:autoRedefine/>
    <w:uiPriority w:val="99"/>
    <w:unhideWhenUsed/>
    <w:rsid w:val="00DF4F41"/>
    <w:pPr>
      <w:numPr>
        <w:numId w:val="3"/>
      </w:numPr>
      <w:spacing w:line="240" w:lineRule="auto"/>
    </w:pPr>
    <w:rPr>
      <w:sz w:val="20"/>
      <w:szCs w:val="20"/>
    </w:rPr>
  </w:style>
  <w:style w:type="character" w:customStyle="1" w:styleId="CommentTextChar">
    <w:name w:val="Comment Text Char"/>
    <w:basedOn w:val="DefaultParagraphFont"/>
    <w:link w:val="CommentText"/>
    <w:uiPriority w:val="99"/>
    <w:rsid w:val="00DF4F4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F4F41"/>
    <w:pPr>
      <w:numPr>
        <w:numId w:val="0"/>
      </w:numPr>
    </w:pPr>
    <w:rPr>
      <w:b/>
      <w:bCs/>
    </w:rPr>
  </w:style>
  <w:style w:type="character" w:customStyle="1" w:styleId="CommentSubjectChar">
    <w:name w:val="Comment Subject Char"/>
    <w:basedOn w:val="CommentTextChar"/>
    <w:link w:val="CommentSubject"/>
    <w:uiPriority w:val="99"/>
    <w:semiHidden/>
    <w:rsid w:val="00DF4F41"/>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DF4F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F41"/>
    <w:rPr>
      <w:rFonts w:ascii="Segoe UI" w:eastAsia="Calibri" w:hAnsi="Segoe UI" w:cs="Segoe UI"/>
      <w:sz w:val="18"/>
      <w:szCs w:val="18"/>
    </w:rPr>
  </w:style>
  <w:style w:type="paragraph" w:styleId="Revision">
    <w:name w:val="Revision"/>
    <w:hidden/>
    <w:uiPriority w:val="99"/>
    <w:semiHidden/>
    <w:rsid w:val="00DF4F4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cape-pain.org/" TargetMode="External"/><Relationship Id="rId3" Type="http://schemas.openxmlformats.org/officeDocument/2006/relationships/settings" Target="settings.xml"/><Relationship Id="rId7" Type="http://schemas.openxmlformats.org/officeDocument/2006/relationships/hyperlink" Target="https://psycnet.apa.org/doi/10.1037/0033-295X.84.2.1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Word_Document.docx"/><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5976</Words>
  <Characters>34066</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39963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Walsh</dc:creator>
  <cp:keywords/>
  <dc:description/>
  <cp:lastModifiedBy>Nicola Walsh</cp:lastModifiedBy>
  <cp:revision>1</cp:revision>
  <dcterms:created xsi:type="dcterms:W3CDTF">2020-08-19T13:12:00Z</dcterms:created>
  <dcterms:modified xsi:type="dcterms:W3CDTF">2020-08-19T13:13:00Z</dcterms:modified>
</cp:coreProperties>
</file>