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A4F8F" w14:textId="00A06E71" w:rsidR="0026573E" w:rsidRPr="00C76CA5" w:rsidRDefault="0026573E" w:rsidP="00C76CA5">
      <w:pPr>
        <w:spacing w:after="240"/>
        <w:jc w:val="center"/>
        <w:rPr>
          <w:rFonts w:asciiTheme="minorHAnsi" w:hAnsiTheme="minorHAnsi" w:cstheme="minorHAnsi"/>
          <w:sz w:val="24"/>
          <w:szCs w:val="20"/>
        </w:rPr>
      </w:pPr>
      <w:r w:rsidRPr="00C76CA5">
        <w:rPr>
          <w:rFonts w:asciiTheme="minorHAnsi" w:hAnsiTheme="minorHAnsi" w:cstheme="minorHAnsi"/>
          <w:b/>
          <w:sz w:val="24"/>
          <w:szCs w:val="20"/>
        </w:rPr>
        <w:t>Neonatal Head Injuries</w:t>
      </w:r>
      <w:r w:rsidRPr="00C76CA5">
        <w:rPr>
          <w:rFonts w:asciiTheme="minorHAnsi" w:hAnsiTheme="minorHAnsi" w:cstheme="minorHAnsi"/>
          <w:b/>
          <w:bCs/>
          <w:sz w:val="24"/>
          <w:szCs w:val="20"/>
        </w:rPr>
        <w:t xml:space="preserve"> - a prospective PREDICT cohort study</w:t>
      </w:r>
    </w:p>
    <w:p w14:paraId="375E8ABD" w14:textId="0485A60F" w:rsidR="0026573E" w:rsidRPr="002C6821" w:rsidRDefault="0026573E" w:rsidP="002C6821">
      <w:pPr>
        <w:spacing w:after="240"/>
        <w:rPr>
          <w:rFonts w:asciiTheme="minorHAnsi" w:hAnsiTheme="minorHAnsi" w:cstheme="minorHAnsi"/>
          <w:bCs/>
          <w:sz w:val="20"/>
          <w:szCs w:val="20"/>
        </w:rPr>
      </w:pPr>
      <w:r w:rsidRPr="002C6821">
        <w:rPr>
          <w:rFonts w:asciiTheme="minorHAnsi" w:eastAsia="Times New Roman" w:hAnsiTheme="minorHAnsi" w:cstheme="minorHAnsi"/>
          <w:sz w:val="20"/>
          <w:szCs w:val="20"/>
          <w:lang w:val="de-DE" w:eastAsia="en-AU"/>
        </w:rPr>
        <w:t xml:space="preserve">Nitaa </w:t>
      </w:r>
      <w:r w:rsidRPr="002C6821">
        <w:rPr>
          <w:rFonts w:asciiTheme="minorHAnsi" w:hAnsiTheme="minorHAnsi" w:cstheme="minorHAnsi"/>
          <w:sz w:val="20"/>
          <w:szCs w:val="20"/>
          <w:lang w:val="en-US" w:eastAsia="en-AU"/>
        </w:rPr>
        <w:t xml:space="preserve">Eapen, </w:t>
      </w:r>
      <w:r w:rsidRPr="002C6821">
        <w:rPr>
          <w:rFonts w:asciiTheme="minorHAnsi" w:eastAsia="Times New Roman" w:hAnsiTheme="minorHAnsi" w:cstheme="minorHAnsi"/>
          <w:sz w:val="20"/>
          <w:szCs w:val="20"/>
          <w:lang w:eastAsia="en-AU"/>
        </w:rPr>
        <w:t>Meredith L. Borland, Natalie Phillips, Amit Kochar, Sarah Dalton, John A. Cheek, Yuri Gilhotra, Jeremy Furyk, Mark D. Lyttle, Susan Donath, Louise Crowe, Stuart R Dalziel, Ed Oakley</w:t>
      </w:r>
      <w:r w:rsidR="004654E7" w:rsidRPr="002C6821">
        <w:rPr>
          <w:rFonts w:asciiTheme="minorHAnsi" w:eastAsia="Times New Roman" w:hAnsiTheme="minorHAnsi" w:cstheme="minorHAnsi"/>
          <w:sz w:val="20"/>
          <w:szCs w:val="20"/>
          <w:lang w:eastAsia="en-AU"/>
        </w:rPr>
        <w:t xml:space="preserve">, </w:t>
      </w:r>
      <w:r w:rsidR="00E1565C" w:rsidRPr="002C6821">
        <w:rPr>
          <w:rFonts w:asciiTheme="minorHAnsi" w:eastAsia="Times New Roman" w:hAnsiTheme="minorHAnsi" w:cstheme="minorHAnsi"/>
          <w:sz w:val="20"/>
          <w:szCs w:val="20"/>
          <w:lang w:eastAsia="en-AU"/>
        </w:rPr>
        <w:t xml:space="preserve">Stephen Hearps, Silvia Bressan, </w:t>
      </w:r>
      <w:r w:rsidR="004654E7" w:rsidRPr="002C6821">
        <w:rPr>
          <w:rFonts w:asciiTheme="minorHAnsi" w:eastAsia="Times New Roman" w:hAnsiTheme="minorHAnsi" w:cstheme="minorHAnsi"/>
          <w:sz w:val="20"/>
          <w:szCs w:val="20"/>
          <w:lang w:eastAsia="en-AU"/>
        </w:rPr>
        <w:t>Franz E Babl</w:t>
      </w:r>
    </w:p>
    <w:p w14:paraId="01CDE3F8" w14:textId="77777777" w:rsidR="0026573E" w:rsidRPr="002C6821" w:rsidRDefault="0026573E" w:rsidP="00C76CA5">
      <w:pPr>
        <w:rPr>
          <w:rFonts w:asciiTheme="minorHAnsi" w:eastAsia="Times New Roman" w:hAnsiTheme="minorHAnsi" w:cstheme="minorHAnsi"/>
          <w:b/>
          <w:sz w:val="20"/>
          <w:szCs w:val="20"/>
          <w:lang w:eastAsia="en-AU"/>
        </w:rPr>
      </w:pPr>
      <w:r w:rsidRPr="002C6821">
        <w:rPr>
          <w:rFonts w:asciiTheme="minorHAnsi" w:eastAsia="Times New Roman" w:hAnsiTheme="minorHAnsi" w:cstheme="minorHAnsi"/>
          <w:b/>
          <w:sz w:val="20"/>
          <w:szCs w:val="20"/>
          <w:lang w:eastAsia="en-AU"/>
        </w:rPr>
        <w:t xml:space="preserve">AUTHORS: </w:t>
      </w:r>
    </w:p>
    <w:p w14:paraId="2A4F4218" w14:textId="25140BB9" w:rsidR="0026573E" w:rsidRPr="002C6821" w:rsidRDefault="0026573E" w:rsidP="00C76CA5">
      <w:pPr>
        <w:spacing w:line="276" w:lineRule="auto"/>
        <w:rPr>
          <w:rFonts w:asciiTheme="minorHAnsi" w:hAnsiTheme="minorHAnsi" w:cstheme="minorHAnsi"/>
          <w:sz w:val="20"/>
          <w:szCs w:val="20"/>
          <w:lang w:val="en-US" w:eastAsia="en-AU"/>
        </w:rPr>
      </w:pPr>
      <w:r w:rsidRPr="002C6821">
        <w:rPr>
          <w:rFonts w:asciiTheme="minorHAnsi" w:eastAsia="Times New Roman" w:hAnsiTheme="minorHAnsi" w:cstheme="minorHAnsi"/>
          <w:sz w:val="20"/>
          <w:szCs w:val="20"/>
          <w:lang w:val="de-DE" w:eastAsia="en-AU"/>
        </w:rPr>
        <w:t xml:space="preserve">Nitaa </w:t>
      </w:r>
      <w:r w:rsidRPr="002C6821">
        <w:rPr>
          <w:rFonts w:asciiTheme="minorHAnsi" w:hAnsiTheme="minorHAnsi" w:cstheme="minorHAnsi"/>
          <w:sz w:val="20"/>
          <w:szCs w:val="20"/>
          <w:lang w:val="en-US" w:eastAsia="en-AU"/>
        </w:rPr>
        <w:t xml:space="preserve">Eapen </w:t>
      </w:r>
      <w:r w:rsidR="00B7421D" w:rsidRPr="002C6821">
        <w:rPr>
          <w:rFonts w:asciiTheme="minorHAnsi" w:hAnsiTheme="minorHAnsi" w:cstheme="minorHAnsi"/>
          <w:sz w:val="20"/>
          <w:szCs w:val="20"/>
          <w:lang w:val="en-US" w:eastAsia="en-AU"/>
        </w:rPr>
        <w:t>Bsc</w:t>
      </w:r>
      <w:r w:rsidRPr="002C6821">
        <w:rPr>
          <w:rFonts w:asciiTheme="minorHAnsi" w:hAnsiTheme="minorHAnsi" w:cstheme="minorHAnsi"/>
          <w:sz w:val="20"/>
          <w:szCs w:val="20"/>
          <w:vertAlign w:val="superscript"/>
          <w:lang w:val="en-US" w:eastAsia="en-AU"/>
        </w:rPr>
        <w:t>1, 2</w:t>
      </w:r>
      <w:r w:rsidR="002C6821">
        <w:rPr>
          <w:rFonts w:asciiTheme="minorHAnsi" w:hAnsiTheme="minorHAnsi" w:cstheme="minorHAnsi"/>
          <w:sz w:val="20"/>
          <w:szCs w:val="20"/>
          <w:lang w:val="en-US" w:eastAsia="en-AU"/>
        </w:rPr>
        <w:t xml:space="preserve">; </w:t>
      </w:r>
      <w:hyperlink r:id="rId8" w:history="1">
        <w:r w:rsidRPr="002C6821">
          <w:rPr>
            <w:rStyle w:val="Hyperlink"/>
            <w:rFonts w:asciiTheme="minorHAnsi" w:hAnsiTheme="minorHAnsi" w:cstheme="minorHAnsi"/>
            <w:color w:val="auto"/>
            <w:sz w:val="20"/>
            <w:szCs w:val="20"/>
            <w:u w:val="none"/>
            <w:lang w:val="en-US" w:eastAsia="en-AU"/>
          </w:rPr>
          <w:t>nitaa.eapen@mcri.edu.au</w:t>
        </w:r>
      </w:hyperlink>
    </w:p>
    <w:p w14:paraId="6DA9F66D" w14:textId="0887BE56" w:rsidR="0026573E" w:rsidRPr="002C6821" w:rsidRDefault="0026573E" w:rsidP="00C76CA5">
      <w:pPr>
        <w:spacing w:line="276" w:lineRule="auto"/>
        <w:jc w:val="both"/>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Stephen Hearps PGDipPsych</w:t>
      </w:r>
      <w:r w:rsidRPr="002C6821">
        <w:rPr>
          <w:rFonts w:asciiTheme="minorHAnsi" w:eastAsia="Times New Roman" w:hAnsiTheme="minorHAnsi" w:cstheme="minorHAnsi"/>
          <w:sz w:val="20"/>
          <w:szCs w:val="20"/>
          <w:vertAlign w:val="superscript"/>
          <w:lang w:eastAsia="en-AU"/>
        </w:rPr>
        <w:t>2</w:t>
      </w:r>
      <w:r w:rsidR="00C76CA5">
        <w:rPr>
          <w:rFonts w:asciiTheme="minorHAnsi" w:eastAsia="Times New Roman" w:hAnsiTheme="minorHAnsi" w:cstheme="minorHAnsi"/>
          <w:sz w:val="20"/>
          <w:szCs w:val="20"/>
          <w:lang w:eastAsia="en-AU"/>
        </w:rPr>
        <w:t xml:space="preserve">; </w:t>
      </w:r>
      <w:hyperlink r:id="rId9" w:history="1">
        <w:r w:rsidRPr="002C6821">
          <w:rPr>
            <w:rStyle w:val="Hyperlink"/>
            <w:rFonts w:asciiTheme="minorHAnsi" w:eastAsia="Times New Roman" w:hAnsiTheme="minorHAnsi" w:cstheme="minorHAnsi"/>
            <w:color w:val="auto"/>
            <w:sz w:val="20"/>
            <w:szCs w:val="20"/>
            <w:u w:val="none"/>
            <w:lang w:eastAsia="en-AU"/>
          </w:rPr>
          <w:t>stephen.hearps@mcri.edu.au</w:t>
        </w:r>
      </w:hyperlink>
    </w:p>
    <w:p w14:paraId="064A4BDC" w14:textId="284AD1FC" w:rsidR="0026573E" w:rsidRPr="00C76CA5" w:rsidRDefault="0026573E" w:rsidP="00C76CA5">
      <w:pPr>
        <w:spacing w:line="276" w:lineRule="auto"/>
        <w:rPr>
          <w:rFonts w:asciiTheme="minorHAnsi" w:eastAsia="Times New Roman" w:hAnsiTheme="minorHAnsi" w:cstheme="minorHAnsi"/>
          <w:sz w:val="20"/>
          <w:szCs w:val="20"/>
          <w:vertAlign w:val="superscript"/>
          <w:lang w:eastAsia="en-AU"/>
        </w:rPr>
      </w:pPr>
      <w:r w:rsidRPr="002C6821">
        <w:rPr>
          <w:rFonts w:asciiTheme="minorHAnsi" w:eastAsia="Times New Roman" w:hAnsiTheme="minorHAnsi" w:cstheme="minorHAnsi"/>
          <w:sz w:val="20"/>
          <w:szCs w:val="20"/>
          <w:lang w:eastAsia="en-AU"/>
        </w:rPr>
        <w:t xml:space="preserve">Silvia Bressan MD, PhD </w:t>
      </w:r>
      <w:r w:rsidR="00C76CA5">
        <w:rPr>
          <w:rFonts w:asciiTheme="minorHAnsi" w:eastAsia="Times New Roman" w:hAnsiTheme="minorHAnsi" w:cstheme="minorHAnsi"/>
          <w:sz w:val="20"/>
          <w:szCs w:val="20"/>
          <w:vertAlign w:val="superscript"/>
          <w:lang w:eastAsia="en-AU"/>
        </w:rPr>
        <w:t xml:space="preserve">2,14; </w:t>
      </w:r>
      <w:hyperlink r:id="rId10" w:history="1">
        <w:r w:rsidRPr="002C6821">
          <w:rPr>
            <w:rStyle w:val="Hyperlink"/>
            <w:rFonts w:asciiTheme="minorHAnsi" w:eastAsia="Times New Roman" w:hAnsiTheme="minorHAnsi" w:cstheme="minorHAnsi"/>
            <w:color w:val="auto"/>
            <w:sz w:val="20"/>
            <w:szCs w:val="20"/>
            <w:u w:val="none"/>
            <w:lang w:eastAsia="en-AU"/>
          </w:rPr>
          <w:t>silviabress@gmail.com</w:t>
        </w:r>
      </w:hyperlink>
    </w:p>
    <w:p w14:paraId="7FCFCB6A" w14:textId="22E190BE" w:rsidR="0026573E" w:rsidRPr="00C76CA5" w:rsidRDefault="0026573E" w:rsidP="00C76CA5">
      <w:pPr>
        <w:spacing w:line="276" w:lineRule="auto"/>
        <w:rPr>
          <w:rFonts w:asciiTheme="minorHAnsi" w:eastAsia="Times New Roman" w:hAnsiTheme="minorHAnsi" w:cstheme="minorHAnsi"/>
          <w:sz w:val="20"/>
          <w:szCs w:val="20"/>
          <w:vertAlign w:val="superscript"/>
          <w:lang w:eastAsia="en-AU"/>
        </w:rPr>
      </w:pPr>
      <w:r w:rsidRPr="002C6821">
        <w:rPr>
          <w:rFonts w:asciiTheme="minorHAnsi" w:eastAsia="Times New Roman" w:hAnsiTheme="minorHAnsi" w:cstheme="minorHAnsi"/>
          <w:sz w:val="20"/>
          <w:szCs w:val="20"/>
          <w:lang w:eastAsia="en-AU"/>
        </w:rPr>
        <w:t xml:space="preserve">Meredith L. Borland MBBS </w:t>
      </w:r>
      <w:r w:rsidR="00C76CA5">
        <w:rPr>
          <w:rFonts w:asciiTheme="minorHAnsi" w:eastAsia="Times New Roman" w:hAnsiTheme="minorHAnsi" w:cstheme="minorHAnsi"/>
          <w:sz w:val="20"/>
          <w:szCs w:val="20"/>
          <w:vertAlign w:val="superscript"/>
          <w:lang w:eastAsia="en-AU"/>
        </w:rPr>
        <w:t>4, 5</w:t>
      </w:r>
      <w:hyperlink r:id="rId11" w:history="1">
        <w:r w:rsidR="00C76CA5" w:rsidRPr="00F34CD4">
          <w:rPr>
            <w:rStyle w:val="Hyperlink"/>
            <w:rFonts w:asciiTheme="minorHAnsi" w:eastAsia="Times New Roman" w:hAnsiTheme="minorHAnsi" w:cstheme="minorHAnsi"/>
            <w:sz w:val="20"/>
            <w:szCs w:val="20"/>
            <w:lang w:eastAsia="en-AU"/>
          </w:rPr>
          <w:t>; meredith.borland@health.wa.gov.au</w:t>
        </w:r>
      </w:hyperlink>
    </w:p>
    <w:p w14:paraId="64A5E7D6" w14:textId="46E26D60"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 xml:space="preserve">Natalie Phillips MBBS </w:t>
      </w:r>
      <w:r w:rsidRPr="002C6821">
        <w:rPr>
          <w:rFonts w:asciiTheme="minorHAnsi" w:eastAsia="Times New Roman" w:hAnsiTheme="minorHAnsi" w:cstheme="minorHAnsi"/>
          <w:sz w:val="20"/>
          <w:szCs w:val="20"/>
          <w:vertAlign w:val="superscript"/>
          <w:lang w:eastAsia="en-AU"/>
        </w:rPr>
        <w:t>6</w:t>
      </w:r>
      <w:r w:rsidRPr="002C6821">
        <w:rPr>
          <w:rFonts w:asciiTheme="minorHAnsi" w:eastAsia="Times New Roman" w:hAnsiTheme="minorHAnsi" w:cstheme="minorHAnsi"/>
          <w:sz w:val="20"/>
          <w:szCs w:val="20"/>
          <w:lang w:eastAsia="en-AU"/>
        </w:rPr>
        <w:t xml:space="preserve"> </w:t>
      </w:r>
      <w:r w:rsidR="00C76CA5">
        <w:rPr>
          <w:rFonts w:asciiTheme="minorHAnsi" w:eastAsia="Times New Roman" w:hAnsiTheme="minorHAnsi" w:cstheme="minorHAnsi"/>
          <w:sz w:val="20"/>
          <w:szCs w:val="20"/>
          <w:lang w:eastAsia="en-AU"/>
        </w:rPr>
        <w:t>; n</w:t>
      </w:r>
      <w:hyperlink r:id="rId12" w:history="1">
        <w:r w:rsidR="00C76CA5" w:rsidRPr="00F34CD4">
          <w:rPr>
            <w:rStyle w:val="Hyperlink"/>
            <w:rFonts w:asciiTheme="minorHAnsi" w:eastAsia="Times New Roman" w:hAnsiTheme="minorHAnsi" w:cstheme="minorHAnsi"/>
            <w:sz w:val="20"/>
            <w:szCs w:val="20"/>
            <w:lang w:eastAsia="en-AU"/>
          </w:rPr>
          <w:t>atalie.phillips@merton-oxford.com</w:t>
        </w:r>
      </w:hyperlink>
    </w:p>
    <w:p w14:paraId="4A68F18E" w14:textId="50751D8E"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Amit Kochar MD</w:t>
      </w:r>
      <w:r w:rsidRPr="002C6821">
        <w:rPr>
          <w:rFonts w:asciiTheme="minorHAnsi" w:eastAsia="Times New Roman" w:hAnsiTheme="minorHAnsi" w:cstheme="minorHAnsi"/>
          <w:sz w:val="20"/>
          <w:szCs w:val="20"/>
          <w:vertAlign w:val="superscript"/>
          <w:lang w:eastAsia="en-AU"/>
        </w:rPr>
        <w:t xml:space="preserve"> 7</w:t>
      </w:r>
      <w:r w:rsidR="00C76CA5">
        <w:rPr>
          <w:rFonts w:asciiTheme="minorHAnsi" w:eastAsia="Times New Roman" w:hAnsiTheme="minorHAnsi" w:cstheme="minorHAnsi"/>
          <w:sz w:val="20"/>
          <w:szCs w:val="20"/>
          <w:lang w:eastAsia="en-AU"/>
        </w:rPr>
        <w:t xml:space="preserve">; </w:t>
      </w:r>
      <w:hyperlink r:id="rId13" w:history="1">
        <w:r w:rsidRPr="002C6821">
          <w:rPr>
            <w:rStyle w:val="Hyperlink"/>
            <w:rFonts w:asciiTheme="minorHAnsi" w:eastAsia="Times New Roman" w:hAnsiTheme="minorHAnsi" w:cstheme="minorHAnsi"/>
            <w:color w:val="auto"/>
            <w:sz w:val="20"/>
            <w:szCs w:val="20"/>
            <w:u w:val="none"/>
            <w:lang w:eastAsia="en-AU"/>
          </w:rPr>
          <w:t>amit.kochar@health.sa.gov.au</w:t>
        </w:r>
      </w:hyperlink>
    </w:p>
    <w:p w14:paraId="357C1825" w14:textId="025554C1" w:rsidR="0026573E" w:rsidRPr="00C76CA5" w:rsidRDefault="0026573E" w:rsidP="00C76CA5">
      <w:pPr>
        <w:spacing w:line="276" w:lineRule="auto"/>
        <w:rPr>
          <w:rFonts w:asciiTheme="minorHAnsi" w:eastAsia="Times New Roman" w:hAnsiTheme="minorHAnsi" w:cstheme="minorHAnsi"/>
          <w:sz w:val="20"/>
          <w:szCs w:val="20"/>
          <w:vertAlign w:val="superscript"/>
          <w:lang w:eastAsia="en-AU"/>
        </w:rPr>
      </w:pPr>
      <w:r w:rsidRPr="002C6821">
        <w:rPr>
          <w:rFonts w:asciiTheme="minorHAnsi" w:eastAsia="Times New Roman" w:hAnsiTheme="minorHAnsi" w:cstheme="minorHAnsi"/>
          <w:sz w:val="20"/>
          <w:szCs w:val="20"/>
          <w:lang w:eastAsia="en-AU"/>
        </w:rPr>
        <w:t xml:space="preserve">Sarah Dalton BMed </w:t>
      </w:r>
      <w:r w:rsidRPr="002C6821">
        <w:rPr>
          <w:rFonts w:asciiTheme="minorHAnsi" w:eastAsia="Times New Roman" w:hAnsiTheme="minorHAnsi" w:cstheme="minorHAnsi"/>
          <w:sz w:val="20"/>
          <w:szCs w:val="20"/>
          <w:vertAlign w:val="superscript"/>
          <w:lang w:eastAsia="en-AU"/>
        </w:rPr>
        <w:t>8</w:t>
      </w:r>
      <w:r w:rsidRPr="002C6821">
        <w:rPr>
          <w:rFonts w:asciiTheme="minorHAnsi" w:eastAsia="Times New Roman" w:hAnsiTheme="minorHAnsi" w:cstheme="minorHAnsi"/>
          <w:sz w:val="20"/>
          <w:szCs w:val="20"/>
          <w:lang w:eastAsia="en-AU"/>
        </w:rPr>
        <w:t xml:space="preserve"> </w:t>
      </w:r>
      <w:hyperlink r:id="rId14" w:history="1">
        <w:r w:rsidR="00C76CA5" w:rsidRPr="00F34CD4">
          <w:rPr>
            <w:rStyle w:val="Hyperlink"/>
            <w:rFonts w:asciiTheme="minorHAnsi" w:eastAsia="Times New Roman" w:hAnsiTheme="minorHAnsi" w:cstheme="minorHAnsi"/>
            <w:sz w:val="20"/>
            <w:szCs w:val="20"/>
            <w:lang w:eastAsia="en-AU"/>
          </w:rPr>
          <w:t>; sarah.dalton@health.nsw.gov.au</w:t>
        </w:r>
      </w:hyperlink>
    </w:p>
    <w:p w14:paraId="76B7622E" w14:textId="65E6B0BD"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 xml:space="preserve">John A. Cheek MBBS </w:t>
      </w:r>
      <w:r w:rsidRPr="002C6821">
        <w:rPr>
          <w:rFonts w:asciiTheme="minorHAnsi" w:eastAsia="Times New Roman" w:hAnsiTheme="minorHAnsi" w:cstheme="minorHAnsi"/>
          <w:sz w:val="20"/>
          <w:szCs w:val="20"/>
          <w:vertAlign w:val="superscript"/>
          <w:lang w:eastAsia="en-AU"/>
        </w:rPr>
        <w:t>1,2,9</w:t>
      </w:r>
      <w:r w:rsidR="00C76CA5">
        <w:rPr>
          <w:rFonts w:asciiTheme="minorHAnsi" w:eastAsia="Times New Roman" w:hAnsiTheme="minorHAnsi" w:cstheme="minorHAnsi"/>
          <w:sz w:val="20"/>
          <w:szCs w:val="20"/>
          <w:lang w:eastAsia="en-AU"/>
        </w:rPr>
        <w:t xml:space="preserve">; </w:t>
      </w:r>
      <w:r w:rsidRPr="002C6821">
        <w:rPr>
          <w:rFonts w:asciiTheme="minorHAnsi" w:eastAsia="Times New Roman" w:hAnsiTheme="minorHAnsi" w:cstheme="minorHAnsi"/>
          <w:sz w:val="20"/>
          <w:szCs w:val="20"/>
          <w:lang w:eastAsia="en-AU"/>
        </w:rPr>
        <w:t>john.cheek@rch.org.au</w:t>
      </w:r>
    </w:p>
    <w:p w14:paraId="07087DB8" w14:textId="7035D61F" w:rsidR="0026573E" w:rsidRPr="00C76CA5" w:rsidRDefault="0026573E" w:rsidP="00C76CA5">
      <w:pPr>
        <w:spacing w:line="276" w:lineRule="auto"/>
        <w:rPr>
          <w:rFonts w:asciiTheme="minorHAnsi" w:eastAsia="Times New Roman" w:hAnsiTheme="minorHAnsi" w:cstheme="minorHAnsi"/>
          <w:sz w:val="20"/>
          <w:szCs w:val="20"/>
          <w:vertAlign w:val="superscript"/>
          <w:lang w:eastAsia="en-AU"/>
        </w:rPr>
      </w:pPr>
      <w:r w:rsidRPr="002C6821">
        <w:rPr>
          <w:rFonts w:asciiTheme="minorHAnsi" w:eastAsia="Times New Roman" w:hAnsiTheme="minorHAnsi" w:cstheme="minorHAnsi"/>
          <w:sz w:val="20"/>
          <w:szCs w:val="20"/>
          <w:lang w:eastAsia="en-AU"/>
        </w:rPr>
        <w:t xml:space="preserve">Yuri Gilhotra MBBS </w:t>
      </w:r>
      <w:r w:rsidRPr="002C6821">
        <w:rPr>
          <w:rFonts w:asciiTheme="minorHAnsi" w:eastAsia="Times New Roman" w:hAnsiTheme="minorHAnsi" w:cstheme="minorHAnsi"/>
          <w:sz w:val="20"/>
          <w:szCs w:val="20"/>
          <w:vertAlign w:val="superscript"/>
          <w:lang w:eastAsia="en-AU"/>
        </w:rPr>
        <w:t>6</w:t>
      </w:r>
      <w:r w:rsidRPr="002C6821">
        <w:rPr>
          <w:rFonts w:asciiTheme="minorHAnsi" w:eastAsia="Times New Roman" w:hAnsiTheme="minorHAnsi" w:cstheme="minorHAnsi"/>
          <w:sz w:val="20"/>
          <w:szCs w:val="20"/>
          <w:lang w:eastAsia="en-AU"/>
        </w:rPr>
        <w:t xml:space="preserve"> </w:t>
      </w:r>
      <w:r w:rsidR="00C76CA5">
        <w:rPr>
          <w:rFonts w:asciiTheme="minorHAnsi" w:eastAsia="Times New Roman" w:hAnsiTheme="minorHAnsi" w:cstheme="minorHAnsi"/>
          <w:sz w:val="20"/>
          <w:szCs w:val="20"/>
          <w:vertAlign w:val="superscript"/>
          <w:lang w:eastAsia="en-AU"/>
        </w:rPr>
        <w:t xml:space="preserve">; </w:t>
      </w:r>
      <w:r w:rsidRPr="002C6821">
        <w:rPr>
          <w:rFonts w:asciiTheme="minorHAnsi" w:eastAsia="Times New Roman" w:hAnsiTheme="minorHAnsi" w:cstheme="minorHAnsi"/>
          <w:sz w:val="20"/>
          <w:szCs w:val="20"/>
          <w:lang w:eastAsia="en-AU"/>
        </w:rPr>
        <w:t>yurigilhotra@me.com</w:t>
      </w:r>
    </w:p>
    <w:p w14:paraId="473287A1" w14:textId="2EFBBF4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 xml:space="preserve">Jeremy Furyk MBBS </w:t>
      </w:r>
      <w:r w:rsidRPr="002C6821">
        <w:rPr>
          <w:rFonts w:asciiTheme="minorHAnsi" w:eastAsia="Times New Roman" w:hAnsiTheme="minorHAnsi" w:cstheme="minorHAnsi"/>
          <w:sz w:val="20"/>
          <w:szCs w:val="20"/>
          <w:vertAlign w:val="superscript"/>
          <w:lang w:eastAsia="en-AU"/>
        </w:rPr>
        <w:t>10</w:t>
      </w:r>
      <w:r w:rsidR="00C76CA5">
        <w:rPr>
          <w:rFonts w:asciiTheme="minorHAnsi" w:eastAsia="Times New Roman" w:hAnsiTheme="minorHAnsi" w:cstheme="minorHAnsi"/>
          <w:sz w:val="20"/>
          <w:szCs w:val="20"/>
          <w:lang w:eastAsia="en-AU"/>
        </w:rPr>
        <w:t xml:space="preserve">; </w:t>
      </w:r>
      <w:hyperlink r:id="rId15" w:history="1">
        <w:r w:rsidRPr="002C6821">
          <w:rPr>
            <w:rStyle w:val="Hyperlink"/>
            <w:rFonts w:asciiTheme="minorHAnsi" w:eastAsia="Times New Roman" w:hAnsiTheme="minorHAnsi" w:cstheme="minorHAnsi"/>
            <w:color w:val="auto"/>
            <w:sz w:val="20"/>
            <w:szCs w:val="20"/>
            <w:u w:val="none"/>
            <w:lang w:eastAsia="en-AU"/>
          </w:rPr>
          <w:t>jeremy.furyk@health.qld.gov.au</w:t>
        </w:r>
      </w:hyperlink>
    </w:p>
    <w:p w14:paraId="679AD54F" w14:textId="69CA702C" w:rsidR="0026573E" w:rsidRPr="00C76CA5" w:rsidRDefault="0026573E" w:rsidP="00C76CA5">
      <w:pPr>
        <w:spacing w:line="276" w:lineRule="auto"/>
        <w:rPr>
          <w:rFonts w:asciiTheme="minorHAnsi" w:eastAsia="Times New Roman" w:hAnsiTheme="minorHAnsi" w:cstheme="minorHAnsi"/>
          <w:sz w:val="20"/>
          <w:szCs w:val="20"/>
          <w:vertAlign w:val="superscript"/>
          <w:lang w:eastAsia="en-AU"/>
        </w:rPr>
      </w:pPr>
      <w:r w:rsidRPr="002C6821">
        <w:rPr>
          <w:rFonts w:asciiTheme="minorHAnsi" w:eastAsia="Times New Roman" w:hAnsiTheme="minorHAnsi" w:cstheme="minorHAnsi"/>
          <w:sz w:val="20"/>
          <w:szCs w:val="20"/>
          <w:lang w:eastAsia="en-AU"/>
        </w:rPr>
        <w:t xml:space="preserve">Jocelyn Neutze MBChB </w:t>
      </w:r>
      <w:r w:rsidR="00C76CA5">
        <w:rPr>
          <w:rFonts w:asciiTheme="minorHAnsi" w:eastAsia="Times New Roman" w:hAnsiTheme="minorHAnsi" w:cstheme="minorHAnsi"/>
          <w:sz w:val="20"/>
          <w:szCs w:val="20"/>
          <w:vertAlign w:val="superscript"/>
          <w:lang w:eastAsia="en-AU"/>
        </w:rPr>
        <w:t xml:space="preserve">11; </w:t>
      </w:r>
      <w:hyperlink r:id="rId16" w:history="1">
        <w:r w:rsidRPr="002C6821">
          <w:rPr>
            <w:rStyle w:val="Hyperlink"/>
            <w:rFonts w:asciiTheme="minorHAnsi" w:eastAsia="Times New Roman" w:hAnsiTheme="minorHAnsi" w:cstheme="minorHAnsi"/>
            <w:color w:val="auto"/>
            <w:sz w:val="20"/>
            <w:szCs w:val="20"/>
            <w:u w:val="none"/>
            <w:lang w:eastAsia="en-AU"/>
          </w:rPr>
          <w:t>jocelyn.neutze@middlemore.co.nz</w:t>
        </w:r>
      </w:hyperlink>
    </w:p>
    <w:p w14:paraId="7F6347E9" w14:textId="30CE2E39"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 xml:space="preserve">Mark D. Lyttle MBChB </w:t>
      </w:r>
      <w:r w:rsidRPr="002C6821">
        <w:rPr>
          <w:rFonts w:asciiTheme="minorHAnsi" w:eastAsia="Times New Roman" w:hAnsiTheme="minorHAnsi" w:cstheme="minorHAnsi"/>
          <w:sz w:val="20"/>
          <w:szCs w:val="20"/>
          <w:vertAlign w:val="superscript"/>
          <w:lang w:eastAsia="en-AU"/>
        </w:rPr>
        <w:t>2,12,13</w:t>
      </w:r>
      <w:r w:rsidR="00C76CA5">
        <w:rPr>
          <w:rFonts w:asciiTheme="minorHAnsi" w:eastAsia="Times New Roman" w:hAnsiTheme="minorHAnsi" w:cstheme="minorHAnsi"/>
          <w:sz w:val="20"/>
          <w:szCs w:val="20"/>
          <w:lang w:eastAsia="en-AU"/>
        </w:rPr>
        <w:t xml:space="preserve">; </w:t>
      </w:r>
      <w:hyperlink r:id="rId17" w:history="1">
        <w:r w:rsidRPr="002C6821">
          <w:rPr>
            <w:rFonts w:asciiTheme="minorHAnsi" w:eastAsia="Times New Roman" w:hAnsiTheme="minorHAnsi" w:cstheme="minorHAnsi"/>
            <w:sz w:val="20"/>
            <w:szCs w:val="20"/>
            <w:lang w:eastAsia="en-AU"/>
          </w:rPr>
          <w:t>mdlyttle77@gmail.com</w:t>
        </w:r>
      </w:hyperlink>
    </w:p>
    <w:p w14:paraId="23718E6E" w14:textId="7C12E7DC" w:rsidR="0026573E" w:rsidRPr="002C6821" w:rsidRDefault="0026573E" w:rsidP="00C76CA5">
      <w:pPr>
        <w:spacing w:line="276" w:lineRule="auto"/>
        <w:jc w:val="both"/>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 xml:space="preserve">Susan Donath MA </w:t>
      </w:r>
      <w:r w:rsidRPr="002C6821">
        <w:rPr>
          <w:rFonts w:asciiTheme="minorHAnsi" w:eastAsia="Times New Roman" w:hAnsiTheme="minorHAnsi" w:cstheme="minorHAnsi"/>
          <w:sz w:val="20"/>
          <w:szCs w:val="20"/>
          <w:vertAlign w:val="superscript"/>
          <w:lang w:eastAsia="en-AU"/>
        </w:rPr>
        <w:t>2,3</w:t>
      </w:r>
      <w:r w:rsidR="00C76CA5">
        <w:rPr>
          <w:rFonts w:asciiTheme="minorHAnsi" w:eastAsia="Times New Roman" w:hAnsiTheme="minorHAnsi" w:cstheme="minorHAnsi"/>
          <w:sz w:val="20"/>
          <w:szCs w:val="20"/>
          <w:lang w:eastAsia="en-AU"/>
        </w:rPr>
        <w:t xml:space="preserve">; </w:t>
      </w:r>
      <w:hyperlink r:id="rId18" w:history="1">
        <w:r w:rsidRPr="002C6821">
          <w:rPr>
            <w:rStyle w:val="Hyperlink"/>
            <w:rFonts w:asciiTheme="minorHAnsi" w:eastAsia="Times New Roman" w:hAnsiTheme="minorHAnsi" w:cstheme="minorHAnsi"/>
            <w:color w:val="auto"/>
            <w:sz w:val="20"/>
            <w:szCs w:val="20"/>
            <w:u w:val="none"/>
            <w:lang w:eastAsia="en-AU"/>
          </w:rPr>
          <w:t>susan.donath@mcri.edu.au</w:t>
        </w:r>
      </w:hyperlink>
    </w:p>
    <w:p w14:paraId="2AA27758" w14:textId="166EA25A" w:rsidR="0026573E" w:rsidRPr="00C76CA5" w:rsidRDefault="0026573E" w:rsidP="00C76CA5">
      <w:pPr>
        <w:spacing w:line="276" w:lineRule="auto"/>
        <w:jc w:val="both"/>
        <w:rPr>
          <w:rFonts w:asciiTheme="minorHAnsi" w:eastAsia="Times New Roman" w:hAnsiTheme="minorHAnsi" w:cstheme="minorHAnsi"/>
          <w:sz w:val="20"/>
          <w:szCs w:val="20"/>
          <w:vertAlign w:val="superscript"/>
          <w:lang w:eastAsia="en-AU"/>
        </w:rPr>
      </w:pPr>
      <w:r w:rsidRPr="002C6821">
        <w:rPr>
          <w:rFonts w:asciiTheme="minorHAnsi" w:eastAsia="Times New Roman" w:hAnsiTheme="minorHAnsi" w:cstheme="minorHAnsi"/>
          <w:sz w:val="20"/>
          <w:szCs w:val="20"/>
          <w:lang w:eastAsia="en-AU"/>
        </w:rPr>
        <w:t xml:space="preserve">Louise Crowe PhD </w:t>
      </w:r>
      <w:r w:rsidR="00C76CA5">
        <w:rPr>
          <w:rFonts w:asciiTheme="minorHAnsi" w:eastAsia="Times New Roman" w:hAnsiTheme="minorHAnsi" w:cstheme="minorHAnsi"/>
          <w:sz w:val="20"/>
          <w:szCs w:val="20"/>
          <w:vertAlign w:val="superscript"/>
          <w:lang w:eastAsia="en-AU"/>
        </w:rPr>
        <w:t xml:space="preserve">2; </w:t>
      </w:r>
      <w:r w:rsidRPr="002C6821">
        <w:rPr>
          <w:rFonts w:asciiTheme="minorHAnsi" w:eastAsia="Times New Roman" w:hAnsiTheme="minorHAnsi" w:cstheme="minorHAnsi"/>
          <w:sz w:val="20"/>
          <w:szCs w:val="20"/>
          <w:lang w:eastAsia="en-AU"/>
        </w:rPr>
        <w:t>louise.crowe@mcri.edu.au</w:t>
      </w:r>
    </w:p>
    <w:p w14:paraId="1E365501" w14:textId="7B9E6AE2" w:rsidR="0026573E" w:rsidRPr="00C76CA5" w:rsidRDefault="0026573E" w:rsidP="00C76CA5">
      <w:pPr>
        <w:spacing w:line="276" w:lineRule="auto"/>
        <w:jc w:val="both"/>
        <w:rPr>
          <w:rFonts w:asciiTheme="minorHAnsi" w:eastAsia="Times New Roman" w:hAnsiTheme="minorHAnsi" w:cstheme="minorHAnsi"/>
          <w:sz w:val="20"/>
          <w:szCs w:val="20"/>
          <w:vertAlign w:val="superscript"/>
          <w:lang w:eastAsia="en-AU"/>
        </w:rPr>
      </w:pPr>
      <w:r w:rsidRPr="002C6821">
        <w:rPr>
          <w:rFonts w:asciiTheme="minorHAnsi" w:eastAsia="Times New Roman" w:hAnsiTheme="minorHAnsi" w:cstheme="minorHAnsi"/>
          <w:sz w:val="20"/>
          <w:szCs w:val="20"/>
          <w:lang w:eastAsia="en-AU"/>
        </w:rPr>
        <w:t xml:space="preserve">Stuart R Dalziel PhD </w:t>
      </w:r>
      <w:r w:rsidR="00C76CA5">
        <w:rPr>
          <w:rFonts w:asciiTheme="minorHAnsi" w:eastAsia="Times New Roman" w:hAnsiTheme="minorHAnsi" w:cstheme="minorHAnsi"/>
          <w:sz w:val="20"/>
          <w:szCs w:val="20"/>
          <w:vertAlign w:val="superscript"/>
          <w:lang w:eastAsia="en-AU"/>
        </w:rPr>
        <w:t xml:space="preserve">15, 16; </w:t>
      </w:r>
      <w:hyperlink r:id="rId19" w:history="1">
        <w:r w:rsidRPr="002C6821">
          <w:rPr>
            <w:rFonts w:asciiTheme="minorHAnsi" w:eastAsia="Times New Roman" w:hAnsiTheme="minorHAnsi" w:cstheme="minorHAnsi"/>
            <w:sz w:val="20"/>
            <w:szCs w:val="20"/>
            <w:lang w:eastAsia="en-AU"/>
          </w:rPr>
          <w:t>sdalziel@adhb.govt.nz</w:t>
        </w:r>
      </w:hyperlink>
    </w:p>
    <w:p w14:paraId="2C7C56FE" w14:textId="364C63B5"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Vicki Anderson</w:t>
      </w:r>
      <w:r w:rsidRPr="002C6821">
        <w:rPr>
          <w:rFonts w:asciiTheme="minorHAnsi" w:eastAsia="Times New Roman" w:hAnsiTheme="minorHAnsi" w:cstheme="minorHAnsi"/>
          <w:sz w:val="20"/>
          <w:szCs w:val="20"/>
          <w:vertAlign w:val="superscript"/>
          <w:lang w:val="de-DE" w:eastAsia="en-AU"/>
        </w:rPr>
        <w:t>1-3</w:t>
      </w:r>
      <w:r w:rsidR="00C76CA5">
        <w:rPr>
          <w:rFonts w:asciiTheme="minorHAnsi" w:eastAsia="Times New Roman" w:hAnsiTheme="minorHAnsi" w:cstheme="minorHAnsi"/>
          <w:sz w:val="20"/>
          <w:szCs w:val="20"/>
          <w:lang w:eastAsia="en-AU"/>
        </w:rPr>
        <w:t xml:space="preserve">; </w:t>
      </w:r>
      <w:r w:rsidRPr="002C6821">
        <w:rPr>
          <w:rFonts w:asciiTheme="minorHAnsi" w:eastAsia="Times New Roman" w:hAnsiTheme="minorHAnsi" w:cstheme="minorHAnsi"/>
          <w:sz w:val="20"/>
          <w:szCs w:val="20"/>
          <w:lang w:eastAsia="en-AU"/>
        </w:rPr>
        <w:t>Vicki.anderson@rch.org.au</w:t>
      </w:r>
    </w:p>
    <w:p w14:paraId="19E10061" w14:textId="7C8A0F3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 xml:space="preserve">Gavin Davis </w:t>
      </w:r>
      <w:r w:rsidRPr="002C6821">
        <w:rPr>
          <w:rFonts w:asciiTheme="minorHAnsi" w:eastAsia="Times New Roman" w:hAnsiTheme="minorHAnsi" w:cstheme="minorHAnsi"/>
          <w:sz w:val="20"/>
          <w:szCs w:val="20"/>
          <w:vertAlign w:val="superscript"/>
          <w:lang w:eastAsia="en-AU"/>
        </w:rPr>
        <w:t>2</w:t>
      </w:r>
      <w:r w:rsidR="00C76CA5">
        <w:rPr>
          <w:rFonts w:asciiTheme="minorHAnsi" w:eastAsia="Times New Roman" w:hAnsiTheme="minorHAnsi" w:cstheme="minorHAnsi"/>
          <w:sz w:val="20"/>
          <w:szCs w:val="20"/>
          <w:lang w:eastAsia="en-AU"/>
        </w:rPr>
        <w:t xml:space="preserve">; </w:t>
      </w:r>
      <w:r w:rsidRPr="002C6821">
        <w:rPr>
          <w:rFonts w:asciiTheme="minorHAnsi" w:eastAsia="Times New Roman" w:hAnsiTheme="minorHAnsi" w:cstheme="minorHAnsi"/>
          <w:sz w:val="20"/>
          <w:szCs w:val="20"/>
          <w:lang w:eastAsia="en-AU"/>
        </w:rPr>
        <w:t>Gavin.davis@me.com</w:t>
      </w:r>
    </w:p>
    <w:p w14:paraId="585DD946" w14:textId="10DA4A43" w:rsidR="0026573E" w:rsidRPr="00C76CA5" w:rsidRDefault="0026573E" w:rsidP="00C76CA5">
      <w:pPr>
        <w:spacing w:line="276" w:lineRule="auto"/>
        <w:rPr>
          <w:rStyle w:val="Hyperlink"/>
          <w:rFonts w:asciiTheme="minorHAnsi" w:eastAsia="Times New Roman" w:hAnsiTheme="minorHAnsi" w:cstheme="minorHAnsi"/>
          <w:color w:val="auto"/>
          <w:sz w:val="20"/>
          <w:szCs w:val="20"/>
          <w:u w:val="none"/>
          <w:vertAlign w:val="superscript"/>
          <w:lang w:eastAsia="en-AU"/>
        </w:rPr>
      </w:pPr>
      <w:r w:rsidRPr="002C6821">
        <w:rPr>
          <w:rFonts w:asciiTheme="minorHAnsi" w:eastAsia="Times New Roman" w:hAnsiTheme="minorHAnsi" w:cstheme="minorHAnsi"/>
          <w:sz w:val="20"/>
          <w:szCs w:val="20"/>
          <w:lang w:eastAsia="en-AU"/>
        </w:rPr>
        <w:t xml:space="preserve">Ed Oakley MBBS </w:t>
      </w:r>
      <w:r w:rsidR="00C76CA5">
        <w:rPr>
          <w:rFonts w:asciiTheme="minorHAnsi" w:eastAsia="Times New Roman" w:hAnsiTheme="minorHAnsi" w:cstheme="minorHAnsi"/>
          <w:sz w:val="20"/>
          <w:szCs w:val="20"/>
          <w:vertAlign w:val="superscript"/>
          <w:lang w:eastAsia="en-AU"/>
        </w:rPr>
        <w:t xml:space="preserve">1-3; </w:t>
      </w:r>
      <w:hyperlink r:id="rId20" w:history="1">
        <w:r w:rsidRPr="002C6821">
          <w:rPr>
            <w:rStyle w:val="Hyperlink"/>
            <w:rFonts w:asciiTheme="minorHAnsi" w:eastAsia="Times New Roman" w:hAnsiTheme="minorHAnsi" w:cstheme="minorHAnsi"/>
            <w:color w:val="auto"/>
            <w:sz w:val="20"/>
            <w:szCs w:val="20"/>
            <w:u w:val="none"/>
            <w:lang w:eastAsia="en-AU"/>
          </w:rPr>
          <w:t>ed.oakley@rch.org.au</w:t>
        </w:r>
      </w:hyperlink>
    </w:p>
    <w:p w14:paraId="7F25F948" w14:textId="4D03C198" w:rsidR="0026573E" w:rsidRPr="002C6821" w:rsidRDefault="00376F3E" w:rsidP="00C76CA5">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 xml:space="preserve">Franz E Babl MD </w:t>
      </w:r>
      <w:r w:rsidR="00C76CA5">
        <w:rPr>
          <w:rFonts w:asciiTheme="minorHAnsi" w:eastAsia="Times New Roman" w:hAnsiTheme="minorHAnsi" w:cstheme="minorHAnsi"/>
          <w:sz w:val="20"/>
          <w:szCs w:val="20"/>
          <w:vertAlign w:val="superscript"/>
          <w:lang w:eastAsia="en-AU"/>
        </w:rPr>
        <w:t xml:space="preserve">1-3; </w:t>
      </w:r>
      <w:r w:rsidRPr="002C6821">
        <w:rPr>
          <w:rFonts w:asciiTheme="minorHAnsi" w:eastAsia="Times New Roman" w:hAnsiTheme="minorHAnsi" w:cstheme="minorHAnsi"/>
          <w:sz w:val="20"/>
          <w:szCs w:val="20"/>
          <w:lang w:eastAsia="en-AU"/>
        </w:rPr>
        <w:t>franz.babl@rch.org.au</w:t>
      </w:r>
    </w:p>
    <w:p w14:paraId="1EC54528"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1</w:t>
      </w:r>
      <w:r w:rsidRPr="002C6821">
        <w:rPr>
          <w:rFonts w:asciiTheme="minorHAnsi" w:eastAsia="Times New Roman" w:hAnsiTheme="minorHAnsi" w:cstheme="minorHAnsi"/>
          <w:sz w:val="20"/>
          <w:szCs w:val="20"/>
          <w:lang w:eastAsia="en-AU"/>
        </w:rPr>
        <w:t xml:space="preserve"> Royal Children’s Hospital, Melbourne.</w:t>
      </w:r>
    </w:p>
    <w:p w14:paraId="10FAC1F6"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 xml:space="preserve">Address: Emergency Department, Royal Children’s Hospital, 50 Flemington Rd, Parkville, VIC, 3052, Australia.  </w:t>
      </w:r>
    </w:p>
    <w:p w14:paraId="4D5458F9" w14:textId="5EC18C61"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2</w:t>
      </w:r>
      <w:r w:rsidRPr="002C6821">
        <w:rPr>
          <w:rFonts w:asciiTheme="minorHAnsi" w:eastAsia="Times New Roman" w:hAnsiTheme="minorHAnsi" w:cstheme="minorHAnsi"/>
          <w:sz w:val="20"/>
          <w:szCs w:val="20"/>
          <w:lang w:eastAsia="en-AU"/>
        </w:rPr>
        <w:t xml:space="preserve"> Murdoch Childrens Research Institute, Melbourne.</w:t>
      </w:r>
    </w:p>
    <w:p w14:paraId="37E637E0"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50 Flemington Rd, Parkville, VIC, 3052, Australia.</w:t>
      </w:r>
    </w:p>
    <w:p w14:paraId="42C2B70F"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3</w:t>
      </w:r>
      <w:r w:rsidRPr="002C6821">
        <w:rPr>
          <w:rFonts w:asciiTheme="minorHAnsi" w:eastAsia="Times New Roman" w:hAnsiTheme="minorHAnsi" w:cstheme="minorHAnsi"/>
          <w:sz w:val="20"/>
          <w:szCs w:val="20"/>
          <w:lang w:eastAsia="en-AU"/>
        </w:rPr>
        <w:t xml:space="preserve"> Department of Paediatrics, Faculty of Medicine, Dentistry and Health Sciences, University of Melbourne, Melbourne.</w:t>
      </w:r>
    </w:p>
    <w:p w14:paraId="42F5817B" w14:textId="06267AED" w:rsidR="0026573E" w:rsidRPr="002C6821" w:rsidRDefault="00C76CA5" w:rsidP="002C6821">
      <w:pPr>
        <w:spacing w:after="240" w:line="276"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w:t>
      </w:r>
      <w:r w:rsidR="0026573E" w:rsidRPr="002C6821">
        <w:rPr>
          <w:rFonts w:asciiTheme="minorHAnsi" w:eastAsia="Times New Roman" w:hAnsiTheme="minorHAnsi" w:cstheme="minorHAnsi"/>
          <w:sz w:val="20"/>
          <w:szCs w:val="20"/>
          <w:lang w:eastAsia="en-AU"/>
        </w:rPr>
        <w:t>ddress: Grattan St, Parkville, VIC, 3010, Australia.</w:t>
      </w:r>
    </w:p>
    <w:p w14:paraId="2D4CCA6C"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 xml:space="preserve">4 </w:t>
      </w:r>
      <w:r w:rsidRPr="002C6821">
        <w:rPr>
          <w:rFonts w:asciiTheme="minorHAnsi" w:eastAsia="Times New Roman" w:hAnsiTheme="minorHAnsi" w:cstheme="minorHAnsi"/>
          <w:sz w:val="20"/>
          <w:szCs w:val="20"/>
          <w:lang w:eastAsia="en-AU"/>
        </w:rPr>
        <w:t>Princess Margaret Hospital for Children, Perth.</w:t>
      </w:r>
    </w:p>
    <w:p w14:paraId="75FE4E26"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Emergency Department, Princess Margaret Hospital for Children, Roberts Rd, Subiaco, Perth, WA, 6008, Australia.</w:t>
      </w:r>
    </w:p>
    <w:p w14:paraId="4BA4FBFF"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 xml:space="preserve">5 </w:t>
      </w:r>
      <w:r w:rsidRPr="002C6821">
        <w:rPr>
          <w:rFonts w:asciiTheme="minorHAnsi" w:eastAsia="Times New Roman" w:hAnsiTheme="minorHAnsi" w:cstheme="minorHAnsi"/>
          <w:sz w:val="20"/>
          <w:szCs w:val="20"/>
          <w:lang w:eastAsia="en-AU"/>
        </w:rPr>
        <w:t>Schools of Paediatrics and Child Health and Primary, Aboriginal and Rural Healthcare, University of Western Australia.</w:t>
      </w:r>
    </w:p>
    <w:p w14:paraId="13643CB5"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35 Stirling Hwy, Crawley, WA, 6009, Australia.</w:t>
      </w:r>
    </w:p>
    <w:p w14:paraId="604027B5"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 xml:space="preserve">6 </w:t>
      </w:r>
      <w:r w:rsidRPr="002C6821">
        <w:rPr>
          <w:rFonts w:asciiTheme="minorHAnsi" w:eastAsia="Times New Roman" w:hAnsiTheme="minorHAnsi" w:cstheme="minorHAnsi"/>
          <w:sz w:val="20"/>
          <w:szCs w:val="20"/>
          <w:lang w:eastAsia="en-AU"/>
        </w:rPr>
        <w:t>Lady Cilento Children’s Hospital, Brisbane and Child Health Research Centre, School of Medicine, The University of Queensland.</w:t>
      </w:r>
    </w:p>
    <w:p w14:paraId="1840317C"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Emergency Department, Lady Cilento Children’s Hospital, 501 Stanley St, South Brisbane, QLD, 4101, Australia.</w:t>
      </w:r>
    </w:p>
    <w:p w14:paraId="17ECA56A"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lastRenderedPageBreak/>
        <w:t xml:space="preserve">7 </w:t>
      </w:r>
      <w:r w:rsidRPr="002C6821">
        <w:rPr>
          <w:rFonts w:asciiTheme="minorHAnsi" w:eastAsia="Times New Roman" w:hAnsiTheme="minorHAnsi" w:cstheme="minorHAnsi"/>
          <w:sz w:val="20"/>
          <w:szCs w:val="20"/>
          <w:lang w:eastAsia="en-AU"/>
        </w:rPr>
        <w:t>Women’s &amp; Children’s Hospital, Adelaide.</w:t>
      </w:r>
    </w:p>
    <w:p w14:paraId="6C929584"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Emergency Department, Women’s &amp; Children’s Hospital, 72 King William St, North Adelaide, SA, 5006, Australia.</w:t>
      </w:r>
    </w:p>
    <w:p w14:paraId="75E8D385"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8</w:t>
      </w:r>
      <w:r w:rsidRPr="002C6821">
        <w:rPr>
          <w:rFonts w:asciiTheme="minorHAnsi" w:eastAsia="Times New Roman" w:hAnsiTheme="minorHAnsi" w:cstheme="minorHAnsi"/>
          <w:sz w:val="20"/>
          <w:szCs w:val="20"/>
          <w:lang w:eastAsia="en-AU"/>
        </w:rPr>
        <w:t xml:space="preserve"> The Children’s Hospital at Westmead, Sydney.</w:t>
      </w:r>
    </w:p>
    <w:p w14:paraId="000785DD"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Emergency Department, The Children’s Hospital at Westmead, 212 Hawkesbury Rd, Westmead, NSW, 2145, Australia.</w:t>
      </w:r>
    </w:p>
    <w:p w14:paraId="14F06FE6"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9</w:t>
      </w:r>
      <w:r w:rsidRPr="002C6821">
        <w:rPr>
          <w:rFonts w:asciiTheme="minorHAnsi" w:eastAsia="Times New Roman" w:hAnsiTheme="minorHAnsi" w:cstheme="minorHAnsi"/>
          <w:sz w:val="20"/>
          <w:szCs w:val="20"/>
          <w:lang w:eastAsia="en-AU"/>
        </w:rPr>
        <w:t xml:space="preserve"> Monash Medical Centre, Melbourne.</w:t>
      </w:r>
    </w:p>
    <w:p w14:paraId="6701763C"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 xml:space="preserve">Address: Emergency Department, Monash Medical Centre, 246 Clayton Rd, Clayton, VIC, 3186, Australia. </w:t>
      </w:r>
    </w:p>
    <w:p w14:paraId="33696487"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10</w:t>
      </w:r>
      <w:r w:rsidRPr="002C6821">
        <w:rPr>
          <w:rFonts w:asciiTheme="minorHAnsi" w:eastAsia="Times New Roman" w:hAnsiTheme="minorHAnsi" w:cstheme="minorHAnsi"/>
          <w:sz w:val="20"/>
          <w:szCs w:val="20"/>
          <w:lang w:eastAsia="en-AU"/>
        </w:rPr>
        <w:t xml:space="preserve"> The Townsville Hospital, Townsville.</w:t>
      </w:r>
    </w:p>
    <w:p w14:paraId="6D425CAB"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Emergency Department, The Townsville Hospital, 100 Angus Smith Dr, Douglas, QLD, 4814, Australia.</w:t>
      </w:r>
    </w:p>
    <w:p w14:paraId="1A305438"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11</w:t>
      </w:r>
      <w:r w:rsidRPr="002C6821">
        <w:rPr>
          <w:rFonts w:asciiTheme="minorHAnsi" w:eastAsia="Times New Roman" w:hAnsiTheme="minorHAnsi" w:cstheme="minorHAnsi"/>
          <w:sz w:val="20"/>
          <w:szCs w:val="20"/>
          <w:lang w:eastAsia="en-AU"/>
        </w:rPr>
        <w:t xml:space="preserve"> Kidzfirst Middlemore Hospital, Auckland.</w:t>
      </w:r>
    </w:p>
    <w:p w14:paraId="4B1BA6D5"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Emergency Department, Kidzfirst Middlemore Hospital, 100 Hospital Rd, Auckland, 2025, New Zealand.</w:t>
      </w:r>
    </w:p>
    <w:p w14:paraId="5EA8BCAF"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 xml:space="preserve">12 </w:t>
      </w:r>
      <w:r w:rsidRPr="002C6821">
        <w:rPr>
          <w:rFonts w:asciiTheme="minorHAnsi" w:eastAsia="Times New Roman" w:hAnsiTheme="minorHAnsi" w:cstheme="minorHAnsi"/>
          <w:sz w:val="20"/>
          <w:szCs w:val="20"/>
          <w:lang w:eastAsia="en-AU"/>
        </w:rPr>
        <w:t>Bristol Royal Hospital for Children, Bristol.</w:t>
      </w:r>
    </w:p>
    <w:p w14:paraId="0A5B6483"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 xml:space="preserve">Address: Emergency Department, Bristol Children’s Hospital, Paul O’Gorman Building, Upper Maudlin St, Bristol, BS2 8BJ, United Kingdom. </w:t>
      </w:r>
    </w:p>
    <w:p w14:paraId="79CDD9AA"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 xml:space="preserve">13 </w:t>
      </w:r>
      <w:r w:rsidRPr="002C6821">
        <w:rPr>
          <w:rFonts w:asciiTheme="minorHAnsi" w:eastAsia="Times New Roman" w:hAnsiTheme="minorHAnsi" w:cstheme="minorHAnsi"/>
          <w:sz w:val="20"/>
          <w:szCs w:val="20"/>
          <w:lang w:eastAsia="en-AU"/>
        </w:rPr>
        <w:t>Academic Department of Emergency Care, University of the West of England, Bristol.</w:t>
      </w:r>
    </w:p>
    <w:p w14:paraId="69243688"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Blackberry Hill, Bristol, BS16 1XS, United Kingdom.</w:t>
      </w:r>
    </w:p>
    <w:p w14:paraId="7B843189"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 xml:space="preserve">14 </w:t>
      </w:r>
      <w:r w:rsidRPr="002C6821">
        <w:rPr>
          <w:rFonts w:asciiTheme="minorHAnsi" w:eastAsia="Times New Roman" w:hAnsiTheme="minorHAnsi" w:cstheme="minorHAnsi"/>
          <w:sz w:val="20"/>
          <w:szCs w:val="20"/>
          <w:lang w:eastAsia="en-AU"/>
        </w:rPr>
        <w:t>Department of Women’s and Child Heath, University of Padova, Padova.</w:t>
      </w:r>
    </w:p>
    <w:p w14:paraId="196D3E32"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Via Giustiniani3, 2 35128, Padova, PD, Italy.</w:t>
      </w:r>
    </w:p>
    <w:p w14:paraId="53943A7C"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15</w:t>
      </w:r>
      <w:r w:rsidRPr="002C6821">
        <w:rPr>
          <w:rFonts w:asciiTheme="minorHAnsi" w:eastAsia="Times New Roman" w:hAnsiTheme="minorHAnsi" w:cstheme="minorHAnsi"/>
          <w:sz w:val="20"/>
          <w:szCs w:val="20"/>
          <w:lang w:eastAsia="en-AU"/>
        </w:rPr>
        <w:t xml:space="preserve"> Starship Children’s Health, Auckland.</w:t>
      </w:r>
    </w:p>
    <w:p w14:paraId="789498B6"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Emergency Department, Starship Children’s Health, 2 Park Rd, Grafton, Auckland, 1023, New Zealand.</w:t>
      </w:r>
    </w:p>
    <w:p w14:paraId="3969DF56" w14:textId="77777777" w:rsidR="0026573E" w:rsidRPr="002C6821" w:rsidRDefault="0026573E" w:rsidP="00C76CA5">
      <w:pPr>
        <w:spacing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vertAlign w:val="superscript"/>
          <w:lang w:eastAsia="en-AU"/>
        </w:rPr>
        <w:t xml:space="preserve">16  </w:t>
      </w:r>
      <w:r w:rsidRPr="002C6821">
        <w:rPr>
          <w:rFonts w:asciiTheme="minorHAnsi" w:eastAsia="Times New Roman" w:hAnsiTheme="minorHAnsi" w:cstheme="minorHAnsi"/>
          <w:sz w:val="20"/>
          <w:szCs w:val="20"/>
          <w:lang w:eastAsia="en-AU"/>
        </w:rPr>
        <w:t>Liggins Institute, University of Auckland, Auckland.</w:t>
      </w:r>
    </w:p>
    <w:p w14:paraId="2DA9B897" w14:textId="77777777" w:rsidR="0026573E" w:rsidRPr="002C6821" w:rsidRDefault="0026573E" w:rsidP="002C6821">
      <w:pPr>
        <w:spacing w:after="240" w:line="276" w:lineRule="auto"/>
        <w:rPr>
          <w:rFonts w:asciiTheme="minorHAnsi" w:eastAsia="Times New Roman" w:hAnsiTheme="minorHAnsi" w:cstheme="minorHAnsi"/>
          <w:sz w:val="20"/>
          <w:szCs w:val="20"/>
          <w:lang w:eastAsia="en-AU"/>
        </w:rPr>
      </w:pPr>
      <w:r w:rsidRPr="002C6821">
        <w:rPr>
          <w:rFonts w:asciiTheme="minorHAnsi" w:eastAsia="Times New Roman" w:hAnsiTheme="minorHAnsi" w:cstheme="minorHAnsi"/>
          <w:sz w:val="20"/>
          <w:szCs w:val="20"/>
          <w:lang w:eastAsia="en-AU"/>
        </w:rPr>
        <w:t>Address: 85 Park Ave, Grafton, Auckland, 1023, New Zealand.</w:t>
      </w:r>
    </w:p>
    <w:p w14:paraId="77FCC154" w14:textId="77777777" w:rsidR="00C76CA5" w:rsidRDefault="00C76CA5" w:rsidP="00C76CA5">
      <w:pPr>
        <w:rPr>
          <w:rFonts w:asciiTheme="minorHAnsi" w:hAnsiTheme="minorHAnsi" w:cstheme="minorHAnsi"/>
          <w:b/>
          <w:sz w:val="20"/>
          <w:szCs w:val="20"/>
        </w:rPr>
      </w:pPr>
    </w:p>
    <w:p w14:paraId="75E87B7C" w14:textId="77777777" w:rsidR="00C76CA5" w:rsidRDefault="00C76CA5" w:rsidP="00C76CA5">
      <w:pPr>
        <w:rPr>
          <w:rFonts w:asciiTheme="minorHAnsi" w:hAnsiTheme="minorHAnsi" w:cstheme="minorHAnsi"/>
          <w:b/>
          <w:sz w:val="20"/>
          <w:szCs w:val="20"/>
        </w:rPr>
      </w:pPr>
    </w:p>
    <w:p w14:paraId="63940C2A" w14:textId="77777777" w:rsidR="00C76CA5" w:rsidRDefault="00C76CA5" w:rsidP="00C76CA5">
      <w:pPr>
        <w:rPr>
          <w:rFonts w:asciiTheme="minorHAnsi" w:hAnsiTheme="minorHAnsi" w:cstheme="minorHAnsi"/>
          <w:b/>
          <w:sz w:val="20"/>
          <w:szCs w:val="20"/>
        </w:rPr>
      </w:pPr>
    </w:p>
    <w:p w14:paraId="227E71F2" w14:textId="6806AFD2" w:rsidR="0026573E" w:rsidRPr="002C6821" w:rsidRDefault="0026573E" w:rsidP="00C76CA5">
      <w:pPr>
        <w:rPr>
          <w:rFonts w:asciiTheme="minorHAnsi" w:hAnsiTheme="minorHAnsi" w:cstheme="minorHAnsi"/>
          <w:b/>
          <w:sz w:val="20"/>
          <w:szCs w:val="20"/>
        </w:rPr>
      </w:pPr>
      <w:r w:rsidRPr="002C6821">
        <w:rPr>
          <w:rFonts w:asciiTheme="minorHAnsi" w:hAnsiTheme="minorHAnsi" w:cstheme="minorHAnsi"/>
          <w:b/>
          <w:sz w:val="20"/>
          <w:szCs w:val="20"/>
        </w:rPr>
        <w:t>CORRESPONDING AUTHOR:</w:t>
      </w:r>
    </w:p>
    <w:p w14:paraId="67E611CD" w14:textId="77777777" w:rsidR="0026573E" w:rsidRPr="002C6821" w:rsidRDefault="0026573E" w:rsidP="00C76CA5">
      <w:pPr>
        <w:rPr>
          <w:rFonts w:asciiTheme="minorHAnsi" w:hAnsiTheme="minorHAnsi" w:cstheme="minorHAnsi"/>
          <w:sz w:val="20"/>
          <w:szCs w:val="20"/>
          <w:lang w:val="it-IT"/>
        </w:rPr>
      </w:pPr>
      <w:r w:rsidRPr="002C6821">
        <w:rPr>
          <w:rFonts w:asciiTheme="minorHAnsi" w:hAnsiTheme="minorHAnsi" w:cstheme="minorHAnsi"/>
          <w:sz w:val="20"/>
          <w:szCs w:val="20"/>
        </w:rPr>
        <w:t>Franz E Babl</w:t>
      </w:r>
    </w:p>
    <w:p w14:paraId="0045CADB" w14:textId="77777777" w:rsidR="0026573E" w:rsidRPr="002C6821" w:rsidRDefault="0026573E" w:rsidP="00C76CA5">
      <w:pPr>
        <w:rPr>
          <w:rFonts w:asciiTheme="minorHAnsi" w:hAnsiTheme="minorHAnsi" w:cstheme="minorHAnsi"/>
          <w:sz w:val="20"/>
          <w:szCs w:val="20"/>
          <w:lang w:eastAsia="en-AU"/>
        </w:rPr>
      </w:pPr>
      <w:r w:rsidRPr="002C6821">
        <w:rPr>
          <w:rFonts w:asciiTheme="minorHAnsi" w:hAnsiTheme="minorHAnsi" w:cstheme="minorHAnsi"/>
          <w:sz w:val="20"/>
          <w:szCs w:val="20"/>
          <w:lang w:eastAsia="en-AU"/>
        </w:rPr>
        <w:t>Emergency Research</w:t>
      </w:r>
    </w:p>
    <w:p w14:paraId="1083DDD2" w14:textId="77777777" w:rsidR="0026573E" w:rsidRPr="002C6821" w:rsidRDefault="0026573E" w:rsidP="00C76CA5">
      <w:pPr>
        <w:rPr>
          <w:rFonts w:asciiTheme="minorHAnsi" w:hAnsiTheme="minorHAnsi" w:cstheme="minorHAnsi"/>
          <w:sz w:val="20"/>
          <w:szCs w:val="20"/>
          <w:lang w:val="it-IT"/>
        </w:rPr>
      </w:pPr>
      <w:r w:rsidRPr="002C6821">
        <w:rPr>
          <w:rFonts w:asciiTheme="minorHAnsi" w:hAnsiTheme="minorHAnsi" w:cstheme="minorHAnsi"/>
          <w:sz w:val="20"/>
          <w:szCs w:val="20"/>
          <w:lang w:eastAsia="en-AU"/>
        </w:rPr>
        <w:t>Murdoch Childrens Research Institute</w:t>
      </w:r>
      <w:r w:rsidRPr="002C6821">
        <w:rPr>
          <w:rFonts w:asciiTheme="minorHAnsi" w:hAnsiTheme="minorHAnsi" w:cstheme="minorHAnsi"/>
          <w:sz w:val="20"/>
          <w:szCs w:val="20"/>
          <w:lang w:eastAsia="en-AU"/>
        </w:rPr>
        <w:br/>
        <w:t>Flemington Rd</w:t>
      </w:r>
      <w:r w:rsidRPr="002C6821">
        <w:rPr>
          <w:rFonts w:asciiTheme="minorHAnsi" w:hAnsiTheme="minorHAnsi" w:cstheme="minorHAnsi"/>
          <w:sz w:val="20"/>
          <w:szCs w:val="20"/>
          <w:lang w:eastAsia="en-AU"/>
        </w:rPr>
        <w:br/>
        <w:t>Parkville</w:t>
      </w:r>
      <w:r w:rsidRPr="002C6821">
        <w:rPr>
          <w:rFonts w:asciiTheme="minorHAnsi" w:hAnsiTheme="minorHAnsi" w:cstheme="minorHAnsi"/>
          <w:sz w:val="20"/>
          <w:szCs w:val="20"/>
          <w:lang w:eastAsia="en-AU"/>
        </w:rPr>
        <w:br/>
        <w:t>Victoria 3052</w:t>
      </w:r>
      <w:r w:rsidRPr="002C6821">
        <w:rPr>
          <w:rFonts w:asciiTheme="minorHAnsi" w:hAnsiTheme="minorHAnsi" w:cstheme="minorHAnsi"/>
          <w:sz w:val="20"/>
          <w:szCs w:val="20"/>
          <w:lang w:val="it-IT"/>
        </w:rPr>
        <w:t xml:space="preserve"> </w:t>
      </w:r>
    </w:p>
    <w:p w14:paraId="2DE185DA" w14:textId="77777777" w:rsidR="0026573E" w:rsidRPr="002C6821" w:rsidRDefault="0026573E" w:rsidP="00C76CA5">
      <w:pPr>
        <w:rPr>
          <w:rFonts w:asciiTheme="minorHAnsi" w:hAnsiTheme="minorHAnsi" w:cstheme="minorHAnsi"/>
          <w:sz w:val="20"/>
          <w:szCs w:val="20"/>
          <w:lang w:val="it-IT"/>
        </w:rPr>
      </w:pPr>
      <w:r w:rsidRPr="002C6821">
        <w:rPr>
          <w:rFonts w:asciiTheme="minorHAnsi" w:hAnsiTheme="minorHAnsi" w:cstheme="minorHAnsi"/>
          <w:sz w:val="20"/>
          <w:szCs w:val="20"/>
          <w:lang w:val="it-IT"/>
        </w:rPr>
        <w:t>Australia</w:t>
      </w:r>
    </w:p>
    <w:p w14:paraId="3FD8C5C2" w14:textId="77777777" w:rsidR="0026573E" w:rsidRPr="002C6821" w:rsidRDefault="0026573E" w:rsidP="00C76CA5">
      <w:pPr>
        <w:rPr>
          <w:rFonts w:asciiTheme="minorHAnsi" w:hAnsiTheme="minorHAnsi" w:cstheme="minorHAnsi"/>
          <w:sz w:val="20"/>
          <w:szCs w:val="20"/>
          <w:lang w:val="it-IT"/>
        </w:rPr>
      </w:pPr>
      <w:r w:rsidRPr="002C6821">
        <w:rPr>
          <w:rFonts w:asciiTheme="minorHAnsi" w:hAnsiTheme="minorHAnsi" w:cstheme="minorHAnsi"/>
          <w:sz w:val="20"/>
          <w:szCs w:val="20"/>
          <w:lang w:val="it-IT"/>
        </w:rPr>
        <w:t>Phone 61 3 9345 6153</w:t>
      </w:r>
    </w:p>
    <w:p w14:paraId="7A276D0E" w14:textId="77777777" w:rsidR="0026573E" w:rsidRPr="002C6821" w:rsidRDefault="0026573E" w:rsidP="00C76CA5">
      <w:pPr>
        <w:rPr>
          <w:rFonts w:asciiTheme="minorHAnsi" w:hAnsiTheme="minorHAnsi" w:cstheme="minorHAnsi"/>
          <w:sz w:val="20"/>
          <w:szCs w:val="20"/>
          <w:lang w:val="it-IT"/>
        </w:rPr>
      </w:pPr>
      <w:r w:rsidRPr="002C6821">
        <w:rPr>
          <w:rFonts w:asciiTheme="minorHAnsi" w:hAnsiTheme="minorHAnsi" w:cstheme="minorHAnsi"/>
          <w:sz w:val="20"/>
          <w:szCs w:val="20"/>
          <w:lang w:val="it-IT"/>
        </w:rPr>
        <w:t>Fax 61 3 9345 600</w:t>
      </w:r>
    </w:p>
    <w:p w14:paraId="558F9A29" w14:textId="77777777" w:rsidR="0026573E" w:rsidRPr="002C6821" w:rsidRDefault="0026573E" w:rsidP="002C6821">
      <w:pPr>
        <w:spacing w:after="240"/>
        <w:rPr>
          <w:rFonts w:asciiTheme="minorHAnsi" w:hAnsiTheme="minorHAnsi" w:cstheme="minorHAnsi"/>
          <w:sz w:val="20"/>
          <w:szCs w:val="20"/>
          <w:lang w:val="it-IT"/>
        </w:rPr>
      </w:pPr>
      <w:r w:rsidRPr="002C6821">
        <w:rPr>
          <w:rFonts w:asciiTheme="minorHAnsi" w:hAnsiTheme="minorHAnsi" w:cstheme="minorHAnsi"/>
          <w:sz w:val="20"/>
          <w:szCs w:val="20"/>
          <w:lang w:val="it-IT"/>
        </w:rPr>
        <w:t xml:space="preserve">Email </w:t>
      </w:r>
      <w:hyperlink r:id="rId21" w:history="1">
        <w:r w:rsidRPr="002C6821">
          <w:rPr>
            <w:rStyle w:val="Hyperlink"/>
            <w:rFonts w:asciiTheme="minorHAnsi" w:hAnsiTheme="minorHAnsi" w:cstheme="minorHAnsi"/>
            <w:color w:val="auto"/>
            <w:sz w:val="20"/>
            <w:szCs w:val="20"/>
            <w:u w:val="none"/>
            <w:lang w:val="it-IT"/>
          </w:rPr>
          <w:t>franz.babl@rch.org.au</w:t>
        </w:r>
      </w:hyperlink>
    </w:p>
    <w:p w14:paraId="0119FC47" w14:textId="77777777" w:rsidR="0026573E" w:rsidRPr="002C6821" w:rsidRDefault="0026573E" w:rsidP="002C6821">
      <w:pPr>
        <w:spacing w:after="240" w:line="360" w:lineRule="auto"/>
        <w:rPr>
          <w:rFonts w:asciiTheme="minorHAnsi" w:hAnsiTheme="minorHAnsi" w:cstheme="minorHAnsi"/>
          <w:b/>
          <w:sz w:val="20"/>
          <w:szCs w:val="20"/>
        </w:rPr>
      </w:pPr>
    </w:p>
    <w:p w14:paraId="0DC12999" w14:textId="77777777" w:rsidR="00C76CA5" w:rsidRDefault="00C76CA5">
      <w:pPr>
        <w:spacing w:after="160" w:line="259" w:lineRule="auto"/>
        <w:rPr>
          <w:rFonts w:asciiTheme="minorHAnsi" w:hAnsiTheme="minorHAnsi" w:cstheme="minorHAnsi"/>
          <w:b/>
          <w:bCs/>
          <w:sz w:val="20"/>
          <w:szCs w:val="20"/>
        </w:rPr>
      </w:pPr>
      <w:r>
        <w:rPr>
          <w:rFonts w:asciiTheme="minorHAnsi" w:hAnsiTheme="minorHAnsi" w:cstheme="minorHAnsi"/>
          <w:b/>
          <w:bCs/>
          <w:sz w:val="20"/>
          <w:szCs w:val="20"/>
        </w:rPr>
        <w:br w:type="page"/>
      </w:r>
    </w:p>
    <w:p w14:paraId="5CEFDA0D" w14:textId="13FDE183" w:rsidR="0026573E" w:rsidRPr="002C6821" w:rsidRDefault="0026573E" w:rsidP="00C76CA5">
      <w:pPr>
        <w:spacing w:line="360" w:lineRule="auto"/>
        <w:rPr>
          <w:rFonts w:asciiTheme="minorHAnsi" w:hAnsiTheme="minorHAnsi" w:cstheme="minorHAnsi"/>
          <w:b/>
          <w:bCs/>
          <w:sz w:val="20"/>
          <w:szCs w:val="20"/>
        </w:rPr>
      </w:pPr>
      <w:r w:rsidRPr="002C6821">
        <w:rPr>
          <w:rFonts w:asciiTheme="minorHAnsi" w:hAnsiTheme="minorHAnsi" w:cstheme="minorHAnsi"/>
          <w:b/>
          <w:bCs/>
          <w:sz w:val="20"/>
          <w:szCs w:val="20"/>
        </w:rPr>
        <w:lastRenderedPageBreak/>
        <w:t>ABSTRACT</w:t>
      </w:r>
      <w:r w:rsidR="00C33C5B" w:rsidRPr="002C6821">
        <w:rPr>
          <w:rFonts w:asciiTheme="minorHAnsi" w:hAnsiTheme="minorHAnsi" w:cstheme="minorHAnsi"/>
          <w:b/>
          <w:bCs/>
          <w:sz w:val="20"/>
          <w:szCs w:val="20"/>
        </w:rPr>
        <w:t xml:space="preserve"> </w:t>
      </w:r>
    </w:p>
    <w:p w14:paraId="5DD96C66" w14:textId="2F2AEB47" w:rsidR="007D1021" w:rsidRPr="002C6821" w:rsidRDefault="005875B2" w:rsidP="002C6821">
      <w:pPr>
        <w:spacing w:after="240" w:line="360" w:lineRule="auto"/>
        <w:rPr>
          <w:rFonts w:asciiTheme="minorHAnsi" w:hAnsiTheme="minorHAnsi" w:cstheme="minorHAnsi"/>
          <w:bCs/>
          <w:sz w:val="20"/>
          <w:szCs w:val="20"/>
        </w:rPr>
      </w:pPr>
      <w:r w:rsidRPr="002C6821">
        <w:rPr>
          <w:rFonts w:asciiTheme="minorHAnsi" w:hAnsiTheme="minorHAnsi" w:cstheme="minorHAnsi"/>
          <w:b/>
          <w:bCs/>
          <w:sz w:val="20"/>
          <w:szCs w:val="20"/>
        </w:rPr>
        <w:t>Aim</w:t>
      </w:r>
      <w:r w:rsidR="007D1021" w:rsidRPr="002C6821">
        <w:rPr>
          <w:rFonts w:asciiTheme="minorHAnsi" w:hAnsiTheme="minorHAnsi" w:cstheme="minorHAnsi"/>
          <w:b/>
          <w:bCs/>
          <w:sz w:val="20"/>
          <w:szCs w:val="20"/>
        </w:rPr>
        <w:t xml:space="preserve">: </w:t>
      </w:r>
      <w:r w:rsidR="007D1021" w:rsidRPr="002C6821">
        <w:rPr>
          <w:rFonts w:asciiTheme="minorHAnsi" w:hAnsiTheme="minorHAnsi" w:cstheme="minorHAnsi"/>
          <w:bCs/>
          <w:sz w:val="20"/>
          <w:szCs w:val="20"/>
        </w:rPr>
        <w:t xml:space="preserve">To characterise the causes, clinical characteristics and outcomes of head injuries in neonates who presented to paediatric emergency departments. </w:t>
      </w:r>
    </w:p>
    <w:p w14:paraId="79207FA2" w14:textId="72CCEB37" w:rsidR="007D1021" w:rsidRPr="002C6821" w:rsidRDefault="007D1021" w:rsidP="002C6821">
      <w:pPr>
        <w:spacing w:after="240" w:line="360" w:lineRule="auto"/>
        <w:rPr>
          <w:rFonts w:asciiTheme="minorHAnsi" w:hAnsiTheme="minorHAnsi" w:cstheme="minorHAnsi"/>
          <w:bCs/>
          <w:sz w:val="20"/>
          <w:szCs w:val="20"/>
        </w:rPr>
      </w:pPr>
      <w:r w:rsidRPr="002C6821">
        <w:rPr>
          <w:rFonts w:asciiTheme="minorHAnsi" w:hAnsiTheme="minorHAnsi" w:cstheme="minorHAnsi"/>
          <w:b/>
          <w:bCs/>
          <w:sz w:val="20"/>
          <w:szCs w:val="20"/>
        </w:rPr>
        <w:t xml:space="preserve">Methods: </w:t>
      </w:r>
      <w:r w:rsidRPr="002C6821">
        <w:rPr>
          <w:rFonts w:asciiTheme="minorHAnsi" w:hAnsiTheme="minorHAnsi" w:cstheme="minorHAnsi"/>
          <w:bCs/>
          <w:sz w:val="20"/>
          <w:szCs w:val="20"/>
        </w:rPr>
        <w:t>Secondary analysis of a large prospective dataset of paediatric head injuries at 10 emergency departments in Australia and New Zealand. Patients without neuroimaging were followed up by telephone call. We extracted epidemiological information, clinical findings and short term outcomes in infants &lt;28 days.</w:t>
      </w:r>
    </w:p>
    <w:p w14:paraId="6ECD7058" w14:textId="4F175134" w:rsidR="007D1021" w:rsidRPr="002C6821" w:rsidRDefault="007D1021" w:rsidP="002C6821">
      <w:pPr>
        <w:spacing w:after="240" w:line="360" w:lineRule="auto"/>
        <w:rPr>
          <w:rFonts w:asciiTheme="minorHAnsi" w:hAnsiTheme="minorHAnsi" w:cstheme="minorHAnsi"/>
          <w:sz w:val="20"/>
          <w:szCs w:val="20"/>
        </w:rPr>
      </w:pPr>
      <w:r w:rsidRPr="002C6821">
        <w:rPr>
          <w:rFonts w:asciiTheme="minorHAnsi" w:hAnsiTheme="minorHAnsi" w:cstheme="minorHAnsi"/>
          <w:b/>
          <w:bCs/>
          <w:sz w:val="20"/>
          <w:szCs w:val="20"/>
        </w:rPr>
        <w:t xml:space="preserve">Results: </w:t>
      </w:r>
      <w:r w:rsidRPr="002C6821">
        <w:rPr>
          <w:rFonts w:asciiTheme="minorHAnsi" w:hAnsiTheme="minorHAnsi" w:cstheme="minorHAnsi"/>
          <w:bCs/>
          <w:sz w:val="20"/>
          <w:szCs w:val="20"/>
        </w:rPr>
        <w:t xml:space="preserve">Of 20,137 children with head injuries, </w:t>
      </w:r>
      <w:r w:rsidRPr="002C6821">
        <w:rPr>
          <w:rFonts w:asciiTheme="minorHAnsi" w:hAnsiTheme="minorHAnsi" w:cstheme="minorHAnsi"/>
          <w:sz w:val="20"/>
          <w:szCs w:val="20"/>
        </w:rPr>
        <w:t xml:space="preserve">93 (0.5%) occurred in neonates. They were mostly fall-related (74.2%), commonly from caregivers arm, or due to being accidentally struck by a person/object (19.4%). There were 6 suspected non-accidental head injuries (6.5%). </w:t>
      </w:r>
      <w:r w:rsidR="005055D3" w:rsidRPr="002C6821">
        <w:rPr>
          <w:rFonts w:asciiTheme="minorHAnsi" w:hAnsiTheme="minorHAnsi" w:cstheme="minorHAnsi"/>
          <w:sz w:val="20"/>
          <w:szCs w:val="20"/>
        </w:rPr>
        <w:t xml:space="preserve">Most neonates were asymptomatic (67.74%) with a GCS of 15 and </w:t>
      </w:r>
      <w:r w:rsidR="00DF0A40" w:rsidRPr="002C6821">
        <w:rPr>
          <w:rFonts w:asciiTheme="minorHAnsi" w:hAnsiTheme="minorHAnsi" w:cstheme="minorHAnsi"/>
          <w:sz w:val="20"/>
          <w:szCs w:val="20"/>
        </w:rPr>
        <w:t xml:space="preserve">many </w:t>
      </w:r>
      <w:r w:rsidR="005055D3" w:rsidRPr="002C6821">
        <w:rPr>
          <w:rFonts w:asciiTheme="minorHAnsi" w:hAnsiTheme="minorHAnsi" w:cstheme="minorHAnsi"/>
          <w:sz w:val="20"/>
          <w:szCs w:val="20"/>
        </w:rPr>
        <w:t>also had no findings on examination (47.31%).</w:t>
      </w:r>
      <w:r w:rsidR="00DF0A40" w:rsidRPr="002C6821">
        <w:rPr>
          <w:rFonts w:asciiTheme="minorHAnsi" w:hAnsiTheme="minorHAnsi" w:cstheme="minorHAnsi"/>
          <w:sz w:val="20"/>
          <w:szCs w:val="20"/>
        </w:rPr>
        <w:t xml:space="preserve"> </w:t>
      </w:r>
      <w:r w:rsidRPr="002C6821">
        <w:rPr>
          <w:rFonts w:asciiTheme="minorHAnsi" w:hAnsiTheme="minorHAnsi" w:cstheme="minorHAnsi"/>
          <w:sz w:val="20"/>
          <w:szCs w:val="20"/>
        </w:rPr>
        <w:t xml:space="preserve">Most neonates had a GCS 15 (89.2%) or 14 (7.5%). 15.1% of neonates presented with vomiting, 5.4% were abnormally drowsy/difficult to wake but none experienced a loss of consciousness. The most common findings on examination were scalp haematoma (28.0%) followed by possible palpable skull fracture (6.5%). 8.6% of neonates underwent CT scan and 4.3% an ultrasound. Overall, 5 of 8 CTs (5.4% of neonates overall) had traumatic brain injury (TBI) on CT scan and 2 of 4 (2.2% overall) had a TBI on ultrasound. 37% were admitted, 1 patient was intubated, none had neurosurgery or died. </w:t>
      </w:r>
    </w:p>
    <w:p w14:paraId="5A5BE1F8" w14:textId="2F710B8B" w:rsidR="007D1021" w:rsidRPr="002C6821" w:rsidRDefault="007D1021" w:rsidP="002C6821">
      <w:pPr>
        <w:spacing w:after="240" w:line="360" w:lineRule="auto"/>
        <w:rPr>
          <w:rFonts w:asciiTheme="minorHAnsi" w:hAnsiTheme="minorHAnsi" w:cstheme="minorHAnsi"/>
          <w:bCs/>
          <w:sz w:val="20"/>
          <w:szCs w:val="20"/>
        </w:rPr>
      </w:pPr>
      <w:r w:rsidRPr="002C6821">
        <w:rPr>
          <w:rFonts w:asciiTheme="minorHAnsi" w:hAnsiTheme="minorHAnsi" w:cstheme="minorHAnsi"/>
          <w:b/>
          <w:bCs/>
          <w:sz w:val="20"/>
          <w:szCs w:val="20"/>
        </w:rPr>
        <w:t xml:space="preserve">Conclusions: </w:t>
      </w:r>
      <w:r w:rsidRPr="002C6821">
        <w:rPr>
          <w:rFonts w:asciiTheme="minorHAnsi" w:hAnsiTheme="minorHAnsi" w:cstheme="minorHAnsi"/>
          <w:bCs/>
          <w:sz w:val="20"/>
          <w:szCs w:val="20"/>
        </w:rPr>
        <w:t xml:space="preserve">Neonatal head injuries are rare with a mostly benign short term outcome and are appropriate for management at home. </w:t>
      </w:r>
      <w:r w:rsidR="00920604" w:rsidRPr="002C6821">
        <w:rPr>
          <w:rFonts w:asciiTheme="minorHAnsi" w:hAnsiTheme="minorHAnsi" w:cstheme="minorHAnsi"/>
          <w:bCs/>
          <w:sz w:val="20"/>
          <w:szCs w:val="20"/>
        </w:rPr>
        <w:t>However, n</w:t>
      </w:r>
      <w:r w:rsidRPr="002C6821">
        <w:rPr>
          <w:rFonts w:asciiTheme="minorHAnsi" w:hAnsiTheme="minorHAnsi" w:cstheme="minorHAnsi"/>
          <w:bCs/>
          <w:sz w:val="20"/>
          <w:szCs w:val="20"/>
        </w:rPr>
        <w:t>on-accidental injuries need to be considered.</w:t>
      </w:r>
    </w:p>
    <w:p w14:paraId="11F8C6A1" w14:textId="77777777" w:rsidR="007D1021" w:rsidRPr="002C6821" w:rsidRDefault="007D1021" w:rsidP="002C6821">
      <w:pPr>
        <w:spacing w:after="240"/>
        <w:rPr>
          <w:rFonts w:asciiTheme="minorHAnsi" w:hAnsiTheme="minorHAnsi" w:cstheme="minorHAnsi"/>
          <w:sz w:val="20"/>
          <w:szCs w:val="20"/>
        </w:rPr>
      </w:pPr>
    </w:p>
    <w:p w14:paraId="6A245B26" w14:textId="77777777" w:rsidR="002B09C1" w:rsidRPr="002C6821" w:rsidRDefault="002B09C1" w:rsidP="002C6821">
      <w:pPr>
        <w:spacing w:after="240" w:line="259" w:lineRule="auto"/>
        <w:rPr>
          <w:rFonts w:asciiTheme="minorHAnsi" w:hAnsiTheme="minorHAnsi" w:cstheme="minorHAnsi"/>
          <w:bCs/>
          <w:sz w:val="20"/>
          <w:szCs w:val="20"/>
        </w:rPr>
      </w:pPr>
    </w:p>
    <w:p w14:paraId="45D3CB61" w14:textId="77777777" w:rsidR="002B09C1" w:rsidRPr="002C6821" w:rsidRDefault="002B09C1" w:rsidP="002C6821">
      <w:pPr>
        <w:spacing w:after="240" w:line="259" w:lineRule="auto"/>
        <w:rPr>
          <w:rFonts w:asciiTheme="minorHAnsi" w:hAnsiTheme="minorHAnsi" w:cstheme="minorHAnsi"/>
          <w:bCs/>
          <w:sz w:val="20"/>
          <w:szCs w:val="20"/>
        </w:rPr>
      </w:pPr>
      <w:r w:rsidRPr="002C6821">
        <w:rPr>
          <w:rFonts w:asciiTheme="minorHAnsi" w:hAnsiTheme="minorHAnsi" w:cstheme="minorHAnsi"/>
          <w:bCs/>
          <w:sz w:val="20"/>
          <w:szCs w:val="20"/>
        </w:rPr>
        <w:br w:type="page"/>
      </w:r>
    </w:p>
    <w:p w14:paraId="2B1C3902" w14:textId="77777777" w:rsidR="004619A5" w:rsidRPr="002C6821" w:rsidRDefault="004619A5" w:rsidP="00C76CA5">
      <w:pPr>
        <w:spacing w:line="360" w:lineRule="auto"/>
        <w:rPr>
          <w:rFonts w:asciiTheme="minorHAnsi" w:hAnsiTheme="minorHAnsi" w:cstheme="minorHAnsi"/>
          <w:sz w:val="20"/>
          <w:szCs w:val="20"/>
        </w:rPr>
      </w:pPr>
      <w:r w:rsidRPr="002C6821">
        <w:rPr>
          <w:rFonts w:asciiTheme="minorHAnsi" w:hAnsiTheme="minorHAnsi" w:cstheme="minorHAnsi"/>
          <w:b/>
          <w:sz w:val="20"/>
          <w:szCs w:val="20"/>
        </w:rPr>
        <w:lastRenderedPageBreak/>
        <w:t>INTRODUCTION</w:t>
      </w:r>
      <w:r w:rsidRPr="002C6821">
        <w:rPr>
          <w:rFonts w:asciiTheme="minorHAnsi" w:hAnsiTheme="minorHAnsi" w:cstheme="minorHAnsi"/>
          <w:sz w:val="20"/>
          <w:szCs w:val="20"/>
        </w:rPr>
        <w:t xml:space="preserve"> </w:t>
      </w:r>
    </w:p>
    <w:p w14:paraId="546827F1" w14:textId="0765A7DE"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Children of all ages present to emergency departments (EDs) and acute care clinics with head injuries (HIs), one of the most concerning age groups are neonates. Their skulls are thin and pliable to facilitate passage through the birth canal (1,2) and their brains less protected in head trauma. (3,4) While minor trauma can result in intracranial injuries or skull fractures, it may be difficult for clinicians to assess deteriorating Glasgow Coma Scale (GCS) in preverbal infants; intracranial injuries in children aged under 2 years can be asymptomatic (5,6) and familiar signs of more severe head injury in older children and adults, like vomiting, (7–9) may not be reliable. At the same time, clinicians will be particularly reluctant to use computed tomography (CT) scans in young children due to the increased risk of radiation-induced cancer. (10–13) CT scans remains the preferred imaging modality for suspected intracranial injury (14) requiring immediate intervention, as some areas of the brain are difficult to visualise with cranial ultrasound. (15)  However, in mild neonatal HI, the significant risks of ionising radiation should be considered carefully. Magnetic resonance imaging avoids ionising radiation but may be difficult to obtain in the acute setting and may require sedation. (15) While cranial ultrasound is a useful tool to evaluate brain abnormalities in neonates, it has limitations; cranial ultrasound is insensitive to detect parenchymal injuries and small acute subdural hematomas (16) as well as other intracranial injuries. (15)</w:t>
      </w:r>
    </w:p>
    <w:p w14:paraId="110CA09B" w14:textId="3E3305F4"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While a number of studies explore how head injuries in children less than 2 years of age differ from older children, particularly around the importance of scalp haematomas and vomiting, (6,9,17,18) the literature on injuries in very young infants is limited. The mechanism of injury in young infants differs from older infants and often includes falls from care giver’s arms and change tables. (19,20) Non-accidental injuries also occur at higher rates in the early months of life. (21,22) Neonatal specific papers often focus on injuries sustained in hospital through falls in admitted infants. (23,24)</w:t>
      </w:r>
    </w:p>
    <w:p w14:paraId="778A0AC3" w14:textId="4906080B"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We therefore set out to analyse the neonatal cohort from a large multicentre prospective study of head injuries in all childhood age groups. We extracted information on injury mechanism, severity and short term outcomes.</w:t>
      </w:r>
    </w:p>
    <w:p w14:paraId="64347968" w14:textId="09951663" w:rsidR="0026573E" w:rsidRPr="002C6821" w:rsidRDefault="0026573E" w:rsidP="00C76CA5">
      <w:pPr>
        <w:spacing w:line="360" w:lineRule="auto"/>
        <w:rPr>
          <w:rFonts w:asciiTheme="minorHAnsi" w:hAnsiTheme="minorHAnsi" w:cstheme="minorHAnsi"/>
          <w:sz w:val="20"/>
          <w:szCs w:val="20"/>
        </w:rPr>
      </w:pPr>
      <w:r w:rsidRPr="002C6821">
        <w:rPr>
          <w:rFonts w:asciiTheme="minorHAnsi" w:hAnsiTheme="minorHAnsi" w:cstheme="minorHAnsi"/>
          <w:b/>
          <w:sz w:val="20"/>
          <w:szCs w:val="20"/>
        </w:rPr>
        <w:t xml:space="preserve">METHODS </w:t>
      </w:r>
    </w:p>
    <w:p w14:paraId="4C226CDD" w14:textId="77777777" w:rsidR="0099370D" w:rsidRPr="002C6821" w:rsidRDefault="0099370D" w:rsidP="00C76CA5">
      <w:pPr>
        <w:spacing w:line="360" w:lineRule="auto"/>
        <w:rPr>
          <w:rFonts w:asciiTheme="minorHAnsi" w:hAnsiTheme="minorHAnsi" w:cstheme="minorHAnsi"/>
          <w:sz w:val="20"/>
          <w:szCs w:val="20"/>
        </w:rPr>
      </w:pPr>
      <w:r w:rsidRPr="002C6821">
        <w:rPr>
          <w:rFonts w:asciiTheme="minorHAnsi" w:hAnsiTheme="minorHAnsi" w:cstheme="minorHAnsi"/>
          <w:b/>
          <w:sz w:val="20"/>
          <w:szCs w:val="20"/>
        </w:rPr>
        <w:t>Study design, setting and patients</w:t>
      </w:r>
    </w:p>
    <w:p w14:paraId="2D3AEA08" w14:textId="62D0700C"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We performed a secondary analysis for neonatal head injuries in a prospective multicentre observational study which enrolled children presenting with head injuries of any severity to 10 paediatric EDs in Australia and New Zealand between April 2011 and November 2014. All EDs are members of the Paediatric Research in Emergency Departments International Collaborative research network. (25) The study was approved by the ethics offices at all participating sites.</w:t>
      </w:r>
    </w:p>
    <w:p w14:paraId="129FE2D8" w14:textId="61BBB97B"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 xml:space="preserve">For the primary study, we collected and analysed predictor and outcome variables for three head injury clinical decision rules (CDRs) for neuroimaging in head-injured children. (19,26,27) The following patients were excluded in the original study: trivial facial injury only, patient/family refusal to participate, referral from ED </w:t>
      </w:r>
      <w:r w:rsidRPr="002C6821">
        <w:rPr>
          <w:rFonts w:asciiTheme="minorHAnsi" w:eastAsiaTheme="minorHAnsi" w:hAnsiTheme="minorHAnsi" w:cstheme="minorHAnsi"/>
          <w:sz w:val="20"/>
          <w:szCs w:val="20"/>
          <w:lang w:val="en-GB"/>
        </w:rPr>
        <w:lastRenderedPageBreak/>
        <w:t>triage to an external provider (i.e. not seen in the ED), did not wait to be seen or neuroimaging done prior to the transfer to a study site.</w:t>
      </w:r>
    </w:p>
    <w:p w14:paraId="6210079C" w14:textId="26523E7D"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The present study defined neonates as 28 days old or younger. Activity, place and mechanism of injury were identified by epidemiology codes assigned by research assistants at each site from ED clinician documentation, medical records and the follow-up call. These epidemiology codes are based on Victorian government codes which are routinely collected in EDs in Victoria. We had collected these codes for patients across all sites; for the purposes of this study, we added additional activity codes to more accurately reflect the synopsis of the injury for the neonatal cohort if the existing Victorian government codes were not sufficiently detailed.</w:t>
      </w:r>
    </w:p>
    <w:p w14:paraId="2B5236E2" w14:textId="77777777" w:rsidR="00400EFE" w:rsidRPr="002C6821" w:rsidRDefault="00400EFE" w:rsidP="00C76CA5">
      <w:pPr>
        <w:spacing w:line="360" w:lineRule="auto"/>
        <w:rPr>
          <w:rFonts w:asciiTheme="minorHAnsi" w:hAnsiTheme="minorHAnsi" w:cstheme="minorHAnsi"/>
          <w:b/>
          <w:sz w:val="20"/>
          <w:szCs w:val="20"/>
        </w:rPr>
      </w:pPr>
      <w:r w:rsidRPr="002C6821">
        <w:rPr>
          <w:rFonts w:asciiTheme="minorHAnsi" w:hAnsiTheme="minorHAnsi" w:cstheme="minorHAnsi"/>
          <w:b/>
          <w:sz w:val="20"/>
          <w:szCs w:val="20"/>
        </w:rPr>
        <w:t xml:space="preserve">Study Procedures </w:t>
      </w:r>
    </w:p>
    <w:p w14:paraId="639A6BDC" w14:textId="7DCDE685"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Details of the study protocol are described in detail elsewhere. (28,29) Patients were enrolled by the treating ED clinician who collected clinical data. Research assistants recorded ED and hospital management data after the visit and conducted telephone follow-up for patients who had not undergone neuroimaging. Data included CDR predictor variables, demographic and epidemiological information, and neuroimaging, admission and neurosurgery details.</w:t>
      </w:r>
    </w:p>
    <w:p w14:paraId="53475428" w14:textId="37605EBA"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To identify neonates in our population, we searched the database by age. We then manually reviewed all eligible case report forms to descriptively record the synopsis of the injury. Where available and necessary, we used medical records to augment the information from the case report forms.</w:t>
      </w:r>
    </w:p>
    <w:p w14:paraId="18E2DC26" w14:textId="77777777" w:rsidR="008341D0" w:rsidRPr="002C6821" w:rsidRDefault="00183150" w:rsidP="00C76CA5">
      <w:pPr>
        <w:spacing w:line="360" w:lineRule="auto"/>
        <w:rPr>
          <w:rFonts w:asciiTheme="minorHAnsi" w:hAnsiTheme="minorHAnsi" w:cstheme="minorHAnsi"/>
          <w:b/>
          <w:sz w:val="20"/>
          <w:szCs w:val="20"/>
        </w:rPr>
      </w:pPr>
      <w:r w:rsidRPr="002C6821">
        <w:rPr>
          <w:rFonts w:asciiTheme="minorHAnsi" w:hAnsiTheme="minorHAnsi" w:cstheme="minorHAnsi"/>
          <w:b/>
          <w:sz w:val="20"/>
          <w:szCs w:val="20"/>
        </w:rPr>
        <w:t>Definitions</w:t>
      </w:r>
    </w:p>
    <w:p w14:paraId="52244A89" w14:textId="77777777" w:rsidR="00183150" w:rsidRPr="002C6821" w:rsidRDefault="00183150" w:rsidP="00C76CA5">
      <w:pPr>
        <w:spacing w:line="360" w:lineRule="auto"/>
        <w:rPr>
          <w:rFonts w:asciiTheme="minorHAnsi" w:hAnsiTheme="minorHAnsi" w:cstheme="minorHAnsi"/>
          <w:b/>
          <w:i/>
          <w:sz w:val="20"/>
          <w:szCs w:val="20"/>
        </w:rPr>
      </w:pPr>
      <w:r w:rsidRPr="002C6821">
        <w:rPr>
          <w:rFonts w:asciiTheme="minorHAnsi" w:hAnsiTheme="minorHAnsi" w:cstheme="minorHAnsi"/>
          <w:b/>
          <w:i/>
          <w:sz w:val="20"/>
          <w:szCs w:val="20"/>
        </w:rPr>
        <w:t>Glasgow Coma Scale</w:t>
      </w:r>
    </w:p>
    <w:p w14:paraId="554C5477" w14:textId="2C9610F4" w:rsidR="00183150" w:rsidRPr="002C6821" w:rsidRDefault="00183150" w:rsidP="002C6821">
      <w:pPr>
        <w:spacing w:after="240" w:line="360" w:lineRule="auto"/>
        <w:rPr>
          <w:rFonts w:asciiTheme="minorHAnsi" w:hAnsiTheme="minorHAnsi" w:cstheme="minorHAnsi"/>
          <w:sz w:val="20"/>
          <w:szCs w:val="20"/>
        </w:rPr>
      </w:pPr>
      <w:r w:rsidRPr="002C6821">
        <w:rPr>
          <w:rFonts w:asciiTheme="minorHAnsi" w:hAnsiTheme="minorHAnsi" w:cstheme="minorHAnsi"/>
          <w:sz w:val="20"/>
          <w:szCs w:val="20"/>
        </w:rPr>
        <w:t xml:space="preserve">We used the Glasgow Coma Scale (GCS) as assigned by the ED clinician on their assessment, or if not available, GCS at triage. </w:t>
      </w:r>
      <w:r w:rsidR="009C3E40" w:rsidRPr="002C6821">
        <w:rPr>
          <w:rFonts w:asciiTheme="minorHAnsi" w:hAnsiTheme="minorHAnsi" w:cstheme="minorHAnsi"/>
          <w:sz w:val="20"/>
          <w:szCs w:val="20"/>
        </w:rPr>
        <w:t>(Babl F 2017)</w:t>
      </w:r>
    </w:p>
    <w:p w14:paraId="05E6DFC3" w14:textId="6A83569B" w:rsidR="00183150" w:rsidRPr="002C6821" w:rsidRDefault="004D3BC1" w:rsidP="00C76CA5">
      <w:pPr>
        <w:spacing w:line="360" w:lineRule="auto"/>
        <w:rPr>
          <w:rFonts w:asciiTheme="minorHAnsi" w:hAnsiTheme="minorHAnsi" w:cstheme="minorHAnsi"/>
          <w:b/>
          <w:i/>
          <w:sz w:val="20"/>
          <w:szCs w:val="20"/>
        </w:rPr>
      </w:pPr>
      <w:r w:rsidRPr="002C6821">
        <w:rPr>
          <w:rFonts w:asciiTheme="minorHAnsi" w:hAnsiTheme="minorHAnsi" w:cstheme="minorHAnsi"/>
          <w:b/>
          <w:i/>
          <w:sz w:val="20"/>
          <w:szCs w:val="20"/>
        </w:rPr>
        <w:t>Results of neuroimaging</w:t>
      </w:r>
      <w:r w:rsidR="00183150" w:rsidRPr="002C6821">
        <w:rPr>
          <w:rFonts w:asciiTheme="minorHAnsi" w:hAnsiTheme="minorHAnsi" w:cstheme="minorHAnsi"/>
          <w:b/>
          <w:i/>
          <w:sz w:val="20"/>
          <w:szCs w:val="20"/>
        </w:rPr>
        <w:t xml:space="preserve"> and neurosurgery</w:t>
      </w:r>
    </w:p>
    <w:p w14:paraId="0522EB6C" w14:textId="4B9E6507" w:rsidR="00183150" w:rsidRPr="002C6821" w:rsidRDefault="00183150" w:rsidP="002C6821">
      <w:pPr>
        <w:spacing w:after="240" w:line="360" w:lineRule="auto"/>
        <w:rPr>
          <w:rFonts w:asciiTheme="minorHAnsi" w:hAnsiTheme="minorHAnsi" w:cstheme="minorHAnsi"/>
          <w:sz w:val="20"/>
          <w:szCs w:val="20"/>
        </w:rPr>
      </w:pPr>
      <w:r w:rsidRPr="002C6821">
        <w:rPr>
          <w:rFonts w:asciiTheme="minorHAnsi" w:hAnsiTheme="minorHAnsi" w:cstheme="minorHAnsi"/>
          <w:sz w:val="20"/>
          <w:szCs w:val="20"/>
        </w:rPr>
        <w:t xml:space="preserve">We used senior radiologist reports to determine the results of CT </w:t>
      </w:r>
      <w:r w:rsidR="004D3BC1" w:rsidRPr="002C6821">
        <w:rPr>
          <w:rFonts w:asciiTheme="minorHAnsi" w:hAnsiTheme="minorHAnsi" w:cstheme="minorHAnsi"/>
          <w:sz w:val="20"/>
          <w:szCs w:val="20"/>
        </w:rPr>
        <w:t xml:space="preserve">and ultrasound </w:t>
      </w:r>
      <w:r w:rsidRPr="002C6821">
        <w:rPr>
          <w:rFonts w:asciiTheme="minorHAnsi" w:hAnsiTheme="minorHAnsi" w:cstheme="minorHAnsi"/>
          <w:sz w:val="20"/>
          <w:szCs w:val="20"/>
        </w:rPr>
        <w:t>scans and operative reports for patients who underwent neurosurgery.</w:t>
      </w:r>
    </w:p>
    <w:p w14:paraId="6512BE28" w14:textId="7DDE6968" w:rsidR="00183150" w:rsidRPr="002C6821" w:rsidRDefault="004D3BC1" w:rsidP="002C6821">
      <w:pPr>
        <w:spacing w:after="240" w:line="360" w:lineRule="auto"/>
        <w:rPr>
          <w:rFonts w:asciiTheme="minorHAnsi" w:hAnsiTheme="minorHAnsi" w:cstheme="minorHAnsi"/>
          <w:sz w:val="20"/>
          <w:szCs w:val="20"/>
        </w:rPr>
      </w:pPr>
      <w:r w:rsidRPr="002C6821">
        <w:rPr>
          <w:rFonts w:asciiTheme="minorHAnsi" w:hAnsiTheme="minorHAnsi" w:cstheme="minorHAnsi"/>
          <w:sz w:val="20"/>
          <w:szCs w:val="20"/>
        </w:rPr>
        <w:t xml:space="preserve">Traumatic brain injury (TBI) on </w:t>
      </w:r>
      <w:r w:rsidR="00183150" w:rsidRPr="002C6821">
        <w:rPr>
          <w:rFonts w:asciiTheme="minorHAnsi" w:hAnsiTheme="minorHAnsi" w:cstheme="minorHAnsi"/>
          <w:sz w:val="20"/>
          <w:szCs w:val="20"/>
        </w:rPr>
        <w:t xml:space="preserve">CT </w:t>
      </w:r>
      <w:r w:rsidRPr="002C6821">
        <w:rPr>
          <w:rFonts w:asciiTheme="minorHAnsi" w:hAnsiTheme="minorHAnsi" w:cstheme="minorHAnsi"/>
          <w:sz w:val="20"/>
          <w:szCs w:val="20"/>
        </w:rPr>
        <w:t xml:space="preserve">or ultrasound </w:t>
      </w:r>
      <w:r w:rsidR="00183150" w:rsidRPr="002C6821">
        <w:rPr>
          <w:rFonts w:asciiTheme="minorHAnsi" w:hAnsiTheme="minorHAnsi" w:cstheme="minorHAnsi"/>
          <w:sz w:val="20"/>
          <w:szCs w:val="20"/>
        </w:rPr>
        <w:t>was defined as intracranial haemorrhage or contusion, cerebral oedema, traumatic infarction, diffuse axonal injury, shearing injury, sigmoid sinus thrombosis, midline shift of intracranial contents or signs of brain herniation, diastasis of the skull, pneu</w:t>
      </w:r>
      <w:r w:rsidRPr="002C6821">
        <w:rPr>
          <w:rFonts w:asciiTheme="minorHAnsi" w:hAnsiTheme="minorHAnsi" w:cstheme="minorHAnsi"/>
          <w:sz w:val="20"/>
          <w:szCs w:val="20"/>
        </w:rPr>
        <w:t>m</w:t>
      </w:r>
      <w:r w:rsidR="00183150" w:rsidRPr="002C6821">
        <w:rPr>
          <w:rFonts w:asciiTheme="minorHAnsi" w:hAnsiTheme="minorHAnsi" w:cstheme="minorHAnsi"/>
          <w:sz w:val="20"/>
          <w:szCs w:val="20"/>
        </w:rPr>
        <w:t xml:space="preserve">ocephalus or </w:t>
      </w:r>
      <w:r w:rsidRPr="002C6821">
        <w:rPr>
          <w:rFonts w:asciiTheme="minorHAnsi" w:hAnsiTheme="minorHAnsi" w:cstheme="minorHAnsi"/>
          <w:sz w:val="20"/>
          <w:szCs w:val="20"/>
        </w:rPr>
        <w:t xml:space="preserve">depressed </w:t>
      </w:r>
      <w:r w:rsidR="00183150" w:rsidRPr="002C6821">
        <w:rPr>
          <w:rFonts w:asciiTheme="minorHAnsi" w:hAnsiTheme="minorHAnsi" w:cstheme="minorHAnsi"/>
          <w:sz w:val="20"/>
          <w:szCs w:val="20"/>
        </w:rPr>
        <w:t>skull fracture</w:t>
      </w:r>
      <w:r w:rsidRPr="002C6821">
        <w:rPr>
          <w:rFonts w:asciiTheme="minorHAnsi" w:hAnsiTheme="minorHAnsi" w:cstheme="minorHAnsi"/>
          <w:sz w:val="20"/>
          <w:szCs w:val="20"/>
        </w:rPr>
        <w:t>. In addition we collected any type of skull fracture</w:t>
      </w:r>
      <w:r w:rsidR="00183150" w:rsidRPr="002C6821">
        <w:rPr>
          <w:rFonts w:asciiTheme="minorHAnsi" w:hAnsiTheme="minorHAnsi" w:cstheme="minorHAnsi"/>
          <w:sz w:val="20"/>
          <w:szCs w:val="20"/>
        </w:rPr>
        <w:t xml:space="preserve"> (depressed, non-depressed, basal, unknown type).</w:t>
      </w:r>
      <w:r w:rsidRPr="002C6821">
        <w:rPr>
          <w:rFonts w:asciiTheme="minorHAnsi" w:hAnsiTheme="minorHAnsi" w:cstheme="minorHAnsi"/>
          <w:sz w:val="20"/>
          <w:szCs w:val="20"/>
        </w:rPr>
        <w:t xml:space="preserve"> </w:t>
      </w:r>
    </w:p>
    <w:p w14:paraId="321787A4" w14:textId="77777777" w:rsidR="00183150" w:rsidRPr="002C6821" w:rsidRDefault="00183150" w:rsidP="002C6821">
      <w:pPr>
        <w:spacing w:after="240" w:line="360" w:lineRule="auto"/>
        <w:rPr>
          <w:rFonts w:asciiTheme="minorHAnsi" w:hAnsiTheme="minorHAnsi" w:cstheme="minorHAnsi"/>
          <w:sz w:val="20"/>
          <w:szCs w:val="20"/>
        </w:rPr>
      </w:pPr>
      <w:r w:rsidRPr="002C6821">
        <w:rPr>
          <w:rFonts w:asciiTheme="minorHAnsi" w:hAnsiTheme="minorHAnsi" w:cstheme="minorHAnsi"/>
          <w:sz w:val="20"/>
          <w:szCs w:val="20"/>
        </w:rPr>
        <w:t>Neurosurgical intervention was defined as intracranial pressure monitoring, elevation of depressed skull fracture, ventriculostomy, haematoma evacuation, lobectomy, tissue debridement or dura repair.</w:t>
      </w:r>
    </w:p>
    <w:p w14:paraId="6F8C2F1F" w14:textId="77777777" w:rsidR="00183150" w:rsidRPr="002C6821" w:rsidRDefault="00183150" w:rsidP="00C76CA5">
      <w:pPr>
        <w:spacing w:line="360" w:lineRule="auto"/>
        <w:rPr>
          <w:rFonts w:asciiTheme="minorHAnsi" w:hAnsiTheme="minorHAnsi" w:cstheme="minorHAnsi"/>
          <w:b/>
          <w:i/>
          <w:sz w:val="20"/>
          <w:szCs w:val="20"/>
        </w:rPr>
      </w:pPr>
      <w:r w:rsidRPr="002C6821">
        <w:rPr>
          <w:rFonts w:asciiTheme="minorHAnsi" w:hAnsiTheme="minorHAnsi" w:cstheme="minorHAnsi"/>
          <w:b/>
          <w:i/>
          <w:sz w:val="20"/>
          <w:szCs w:val="20"/>
        </w:rPr>
        <w:t>Clinically important traumatic brain injury</w:t>
      </w:r>
    </w:p>
    <w:p w14:paraId="2E59FABB" w14:textId="0ABF7166" w:rsidR="00B13E22" w:rsidRPr="002C6821" w:rsidRDefault="00183150" w:rsidP="002C6821">
      <w:pPr>
        <w:spacing w:after="240" w:line="360" w:lineRule="auto"/>
        <w:rPr>
          <w:rFonts w:asciiTheme="minorHAnsi" w:hAnsiTheme="minorHAnsi" w:cstheme="minorHAnsi"/>
          <w:sz w:val="20"/>
          <w:szCs w:val="20"/>
        </w:rPr>
      </w:pPr>
      <w:r w:rsidRPr="002C6821">
        <w:rPr>
          <w:rFonts w:asciiTheme="minorHAnsi" w:hAnsiTheme="minorHAnsi" w:cstheme="minorHAnsi"/>
          <w:sz w:val="20"/>
          <w:szCs w:val="20"/>
        </w:rPr>
        <w:lastRenderedPageBreak/>
        <w:t xml:space="preserve">Clinically-important traumatic brain injury (ciTBI) was defined as per PECARN </w:t>
      </w:r>
      <w:r w:rsidR="009C3E40" w:rsidRPr="002C6821">
        <w:rPr>
          <w:rFonts w:asciiTheme="minorHAnsi" w:hAnsiTheme="minorHAnsi" w:cstheme="minorHAnsi"/>
          <w:sz w:val="20"/>
          <w:szCs w:val="20"/>
        </w:rPr>
        <w:t>(Kuppermann 2009)</w:t>
      </w:r>
      <w:r w:rsidRPr="002C6821">
        <w:rPr>
          <w:rFonts w:asciiTheme="minorHAnsi" w:hAnsiTheme="minorHAnsi" w:cstheme="minorHAnsi"/>
          <w:sz w:val="20"/>
          <w:szCs w:val="20"/>
        </w:rPr>
        <w:t xml:space="preserve"> death from TBI, neurosurgical i</w:t>
      </w:r>
      <w:r w:rsidR="004D3BC1" w:rsidRPr="002C6821">
        <w:rPr>
          <w:rFonts w:asciiTheme="minorHAnsi" w:hAnsiTheme="minorHAnsi" w:cstheme="minorHAnsi"/>
          <w:sz w:val="20"/>
          <w:szCs w:val="20"/>
        </w:rPr>
        <w:t>ntervention from TBI</w:t>
      </w:r>
      <w:r w:rsidRPr="002C6821">
        <w:rPr>
          <w:rFonts w:asciiTheme="minorHAnsi" w:hAnsiTheme="minorHAnsi" w:cstheme="minorHAnsi"/>
          <w:sz w:val="20"/>
          <w:szCs w:val="20"/>
        </w:rPr>
        <w:t>, intubation of more than 24 h for TBI or hospital admission of 2 nights or more for TBI in association with TBI on CT.</w:t>
      </w:r>
    </w:p>
    <w:p w14:paraId="73DABE94" w14:textId="77777777" w:rsidR="00183150" w:rsidRPr="002C6821" w:rsidRDefault="00183150" w:rsidP="00C76CA5">
      <w:pPr>
        <w:spacing w:line="360" w:lineRule="auto"/>
        <w:rPr>
          <w:rFonts w:asciiTheme="minorHAnsi" w:hAnsiTheme="minorHAnsi" w:cstheme="minorHAnsi"/>
          <w:b/>
          <w:sz w:val="20"/>
          <w:szCs w:val="20"/>
        </w:rPr>
      </w:pPr>
      <w:r w:rsidRPr="002C6821">
        <w:rPr>
          <w:rFonts w:asciiTheme="minorHAnsi" w:hAnsiTheme="minorHAnsi" w:cstheme="minorHAnsi"/>
          <w:b/>
          <w:sz w:val="20"/>
          <w:szCs w:val="20"/>
        </w:rPr>
        <w:t>Statistical analysis</w:t>
      </w:r>
    </w:p>
    <w:p w14:paraId="29CE219D" w14:textId="6E46A18E" w:rsidR="00183150" w:rsidRPr="002C6821" w:rsidRDefault="00183150" w:rsidP="002C6821">
      <w:pPr>
        <w:spacing w:after="240" w:line="360" w:lineRule="auto"/>
        <w:rPr>
          <w:rFonts w:asciiTheme="minorHAnsi" w:hAnsiTheme="minorHAnsi" w:cstheme="minorHAnsi"/>
          <w:sz w:val="20"/>
          <w:szCs w:val="20"/>
        </w:rPr>
      </w:pPr>
      <w:r w:rsidRPr="002C6821">
        <w:rPr>
          <w:rFonts w:asciiTheme="minorHAnsi" w:hAnsiTheme="minorHAnsi" w:cstheme="minorHAnsi"/>
          <w:sz w:val="20"/>
          <w:szCs w:val="20"/>
        </w:rPr>
        <w:t>Data were entered into Epidata (The Epidata Association, Odense, Denmark), and later REDCap,</w:t>
      </w:r>
      <w:r w:rsidR="009C3E40" w:rsidRPr="002C6821">
        <w:rPr>
          <w:rFonts w:asciiTheme="minorHAnsi" w:hAnsiTheme="minorHAnsi" w:cstheme="minorHAnsi"/>
          <w:sz w:val="20"/>
          <w:szCs w:val="20"/>
        </w:rPr>
        <w:t xml:space="preserve"> (Harris 2009) </w:t>
      </w:r>
      <w:r w:rsidRPr="002C6821">
        <w:rPr>
          <w:rFonts w:asciiTheme="minorHAnsi" w:hAnsiTheme="minorHAnsi" w:cstheme="minorHAnsi"/>
          <w:sz w:val="20"/>
          <w:szCs w:val="20"/>
        </w:rPr>
        <w:t xml:space="preserve">and analysed using Stata 13 (Statacorp, College Station, Texas, USA). Descriptive statistics were calculated for key variables with 95% confidence intervals (CI) where relevant. </w:t>
      </w:r>
    </w:p>
    <w:p w14:paraId="79C3DB1E" w14:textId="77777777" w:rsidR="0008656B" w:rsidRPr="002C6821" w:rsidRDefault="0008656B" w:rsidP="00C76CA5">
      <w:pPr>
        <w:spacing w:line="360" w:lineRule="auto"/>
        <w:rPr>
          <w:rFonts w:asciiTheme="minorHAnsi" w:hAnsiTheme="minorHAnsi" w:cstheme="minorHAnsi"/>
          <w:b/>
          <w:sz w:val="20"/>
          <w:szCs w:val="20"/>
        </w:rPr>
      </w:pPr>
      <w:r w:rsidRPr="002C6821">
        <w:rPr>
          <w:rFonts w:asciiTheme="minorHAnsi" w:hAnsiTheme="minorHAnsi" w:cstheme="minorHAnsi"/>
          <w:b/>
          <w:sz w:val="20"/>
          <w:szCs w:val="20"/>
        </w:rPr>
        <w:t>RESULTS</w:t>
      </w:r>
    </w:p>
    <w:p w14:paraId="5F5A1304" w14:textId="410010E4"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We identified 93 neonates</w:t>
      </w:r>
      <w:r w:rsidR="002C6821" w:rsidRPr="002C6821">
        <w:rPr>
          <w:rFonts w:asciiTheme="minorHAnsi" w:eastAsiaTheme="minorHAnsi" w:hAnsiTheme="minorHAnsi" w:cstheme="minorHAnsi"/>
          <w:sz w:val="20"/>
          <w:szCs w:val="20"/>
          <w:lang w:val="en-GB"/>
        </w:rPr>
        <w:t xml:space="preserve"> who presented with head injury </w:t>
      </w:r>
      <w:r w:rsidRPr="002C6821">
        <w:rPr>
          <w:rFonts w:asciiTheme="minorHAnsi" w:eastAsiaTheme="minorHAnsi" w:hAnsiTheme="minorHAnsi" w:cstheme="minorHAnsi"/>
          <w:sz w:val="20"/>
          <w:szCs w:val="20"/>
          <w:lang w:val="en-GB"/>
        </w:rPr>
        <w:t>(0.5% of the original cohort of 20 137 children). The mean age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was 16.3 days; 59.1% were male. Most had a GCS of 15 (89</w:t>
      </w:r>
      <w:r w:rsidR="002C6821" w:rsidRPr="002C6821">
        <w:rPr>
          <w:rFonts w:asciiTheme="minorHAnsi" w:eastAsiaTheme="minorHAnsi" w:hAnsiTheme="minorHAnsi" w:cstheme="minorHAnsi"/>
          <w:sz w:val="20"/>
          <w:szCs w:val="20"/>
          <w:lang w:val="en-GB"/>
        </w:rPr>
        <w:t xml:space="preserve">.2%, </w:t>
      </w:r>
      <w:r w:rsidRPr="002C6821">
        <w:rPr>
          <w:rFonts w:asciiTheme="minorHAnsi" w:eastAsiaTheme="minorHAnsi" w:hAnsiTheme="minorHAnsi" w:cstheme="minorHAnsi"/>
          <w:sz w:val="20"/>
          <w:szCs w:val="20"/>
          <w:lang w:val="en-GB"/>
        </w:rPr>
        <w:t>95% CI: 81.1–94.7) or 14 (7.5%, 95% CI: 3.1–14.9). Only 3.2%</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 xml:space="preserve">had a GCS of </w:t>
      </w:r>
      <w:r w:rsidRPr="002C6821">
        <w:rPr>
          <w:rFonts w:asciiTheme="minorHAnsi" w:eastAsia="AdvOT2cddb7b9+22" w:hAnsiTheme="minorHAnsi" w:cstheme="minorHAnsi"/>
          <w:sz w:val="20"/>
          <w:szCs w:val="20"/>
          <w:lang w:val="en-GB"/>
        </w:rPr>
        <w:t>≤</w:t>
      </w:r>
      <w:r w:rsidRPr="002C6821">
        <w:rPr>
          <w:rFonts w:asciiTheme="minorHAnsi" w:eastAsiaTheme="minorHAnsi" w:hAnsiTheme="minorHAnsi" w:cstheme="minorHAnsi"/>
          <w:sz w:val="20"/>
          <w:szCs w:val="20"/>
          <w:lang w:val="en-GB"/>
        </w:rPr>
        <w:t xml:space="preserve">13, and none had a GCS of </w:t>
      </w:r>
      <w:r w:rsidRPr="002C6821">
        <w:rPr>
          <w:rFonts w:asciiTheme="minorHAnsi" w:eastAsia="AdvOT2cddb7b9+22" w:hAnsiTheme="minorHAnsi" w:cstheme="minorHAnsi"/>
          <w:sz w:val="20"/>
          <w:szCs w:val="20"/>
          <w:lang w:val="en-GB"/>
        </w:rPr>
        <w:t>≤</w:t>
      </w:r>
      <w:r w:rsidRPr="002C6821">
        <w:rPr>
          <w:rFonts w:asciiTheme="minorHAnsi" w:eastAsiaTheme="minorHAnsi" w:hAnsiTheme="minorHAnsi" w:cstheme="minorHAnsi"/>
          <w:sz w:val="20"/>
          <w:szCs w:val="20"/>
          <w:lang w:val="en-GB"/>
        </w:rPr>
        <w:t>8. The most frequent</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signs and symptoms were vom</w:t>
      </w:r>
      <w:r w:rsidR="002C6821" w:rsidRPr="002C6821">
        <w:rPr>
          <w:rFonts w:asciiTheme="minorHAnsi" w:eastAsiaTheme="minorHAnsi" w:hAnsiTheme="minorHAnsi" w:cstheme="minorHAnsi"/>
          <w:sz w:val="20"/>
          <w:szCs w:val="20"/>
          <w:lang w:val="en-GB"/>
        </w:rPr>
        <w:t xml:space="preserve">iting (15.1%, 95% CI: 8.5–24.0) </w:t>
      </w:r>
      <w:r w:rsidRPr="002C6821">
        <w:rPr>
          <w:rFonts w:asciiTheme="minorHAnsi" w:eastAsiaTheme="minorHAnsi" w:hAnsiTheme="minorHAnsi" w:cstheme="minorHAnsi"/>
          <w:sz w:val="20"/>
          <w:szCs w:val="20"/>
          <w:lang w:val="en-GB"/>
        </w:rPr>
        <w:t>and abnormal drowsiness (5.4%, 95% CI: 1.8–12.1). None had</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loss of consciousness. The most common abnormalities on examination</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were scalp haematomas</w:t>
      </w:r>
      <w:r w:rsidR="002C6821" w:rsidRPr="002C6821">
        <w:rPr>
          <w:rFonts w:asciiTheme="minorHAnsi" w:eastAsiaTheme="minorHAnsi" w:hAnsiTheme="minorHAnsi" w:cstheme="minorHAnsi"/>
          <w:sz w:val="20"/>
          <w:szCs w:val="20"/>
          <w:lang w:val="en-GB"/>
        </w:rPr>
        <w:t xml:space="preserve"> (28.0%, 95% CI: 19.1–38.2) and </w:t>
      </w:r>
      <w:r w:rsidRPr="002C6821">
        <w:rPr>
          <w:rFonts w:asciiTheme="minorHAnsi" w:eastAsiaTheme="minorHAnsi" w:hAnsiTheme="minorHAnsi" w:cstheme="minorHAnsi"/>
          <w:sz w:val="20"/>
          <w:szCs w:val="20"/>
          <w:lang w:val="en-GB"/>
        </w:rPr>
        <w:t>possible palpable skull fracture (6.5%, 95% CI: 2.4–13.5)</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(Table 1). Most were asymptomatic (67.7%); 47.3% were asymptomatic</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and had no findings on examination.</w:t>
      </w:r>
    </w:p>
    <w:p w14:paraId="064A2669" w14:textId="465B693E"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Most of the neonatal head injuries were fall related (75.2%)</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with a smaller percentage attributable to being struck by a person/object (20.4%). The m</w:t>
      </w:r>
      <w:r w:rsidR="002C6821" w:rsidRPr="002C6821">
        <w:rPr>
          <w:rFonts w:asciiTheme="minorHAnsi" w:eastAsiaTheme="minorHAnsi" w:hAnsiTheme="minorHAnsi" w:cstheme="minorHAnsi"/>
          <w:sz w:val="20"/>
          <w:szCs w:val="20"/>
          <w:lang w:val="en-GB"/>
        </w:rPr>
        <w:t xml:space="preserve">ost common mechanism was a fall </w:t>
      </w:r>
      <w:r w:rsidRPr="002C6821">
        <w:rPr>
          <w:rFonts w:asciiTheme="minorHAnsi" w:eastAsiaTheme="minorHAnsi" w:hAnsiTheme="minorHAnsi" w:cstheme="minorHAnsi"/>
          <w:sz w:val="20"/>
          <w:szCs w:val="20"/>
          <w:lang w:val="en-GB"/>
        </w:rPr>
        <w:t>from a care giver’s arms (28.0%) followed by struck by inanimate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stationary object (12.9%) and fall from couch (9.7%). Most injuries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(75%) occurred at hom</w:t>
      </w:r>
      <w:r w:rsidR="002C6821" w:rsidRPr="002C6821">
        <w:rPr>
          <w:rFonts w:asciiTheme="minorHAnsi" w:eastAsiaTheme="minorHAnsi" w:hAnsiTheme="minorHAnsi" w:cstheme="minorHAnsi"/>
          <w:sz w:val="20"/>
          <w:szCs w:val="20"/>
          <w:lang w:val="en-GB"/>
        </w:rPr>
        <w:t xml:space="preserve">e in a bedroom or a living area </w:t>
      </w:r>
      <w:r w:rsidRPr="002C6821">
        <w:rPr>
          <w:rFonts w:asciiTheme="minorHAnsi" w:eastAsiaTheme="minorHAnsi" w:hAnsiTheme="minorHAnsi" w:cstheme="minorHAnsi"/>
          <w:sz w:val="20"/>
          <w:szCs w:val="20"/>
          <w:lang w:val="en-GB"/>
        </w:rPr>
        <w:t>(Table 2). Half presented between 2 pm and 9 pm; only 8.6%</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 xml:space="preserve">presented between midnight and </w:t>
      </w:r>
      <w:r w:rsidR="002C6821" w:rsidRPr="002C6821">
        <w:rPr>
          <w:rFonts w:asciiTheme="minorHAnsi" w:eastAsiaTheme="minorHAnsi" w:hAnsiTheme="minorHAnsi" w:cstheme="minorHAnsi"/>
          <w:sz w:val="20"/>
          <w:szCs w:val="20"/>
          <w:lang w:val="en-GB"/>
        </w:rPr>
        <w:t xml:space="preserve">6 am (Fig. 1). There were three </w:t>
      </w:r>
      <w:r w:rsidRPr="002C6821">
        <w:rPr>
          <w:rFonts w:asciiTheme="minorHAnsi" w:eastAsiaTheme="minorHAnsi" w:hAnsiTheme="minorHAnsi" w:cstheme="minorHAnsi"/>
          <w:sz w:val="20"/>
          <w:szCs w:val="20"/>
          <w:lang w:val="en-GB"/>
        </w:rPr>
        <w:t>non-accidental head injuries confirmed by local multidisciplinary</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committees (3.2%).</w:t>
      </w:r>
    </w:p>
    <w:p w14:paraId="57662635" w14:textId="77777777" w:rsidR="002C6821"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Eleven of 93 neonates (11.8%) underwent imaging of the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head which comprised of CT scan in 8 (8.6%), transfontanelle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ultrasound in 4 (4.3%), magneti</w:t>
      </w:r>
      <w:r w:rsidR="002C6821" w:rsidRPr="002C6821">
        <w:rPr>
          <w:rFonts w:asciiTheme="minorHAnsi" w:eastAsiaTheme="minorHAnsi" w:hAnsiTheme="minorHAnsi" w:cstheme="minorHAnsi"/>
          <w:sz w:val="20"/>
          <w:szCs w:val="20"/>
          <w:lang w:val="en-GB"/>
        </w:rPr>
        <w:t xml:space="preserve">c resonance imaging in 2 (2.2%) </w:t>
      </w:r>
      <w:r w:rsidRPr="002C6821">
        <w:rPr>
          <w:rFonts w:asciiTheme="minorHAnsi" w:eastAsiaTheme="minorHAnsi" w:hAnsiTheme="minorHAnsi" w:cstheme="minorHAnsi"/>
          <w:sz w:val="20"/>
          <w:szCs w:val="20"/>
          <w:lang w:val="en-GB"/>
        </w:rPr>
        <w:t>and X-ray in one skull (1.1%). Two of the 11 neonates who had</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imaging of the head were asymptomatic and had no findings on</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examination. The presence of vomiting, abnormal drowsiness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and irritability in the initial presentation was not correlated with</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neuroimaging. However, all 6 neonates who sustained palpable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skull fractures underwent neuroi</w:t>
      </w:r>
      <w:r w:rsidR="002C6821" w:rsidRPr="002C6821">
        <w:rPr>
          <w:rFonts w:asciiTheme="minorHAnsi" w:eastAsiaTheme="minorHAnsi" w:hAnsiTheme="minorHAnsi" w:cstheme="minorHAnsi"/>
          <w:sz w:val="20"/>
          <w:szCs w:val="20"/>
          <w:lang w:val="en-GB"/>
        </w:rPr>
        <w:t xml:space="preserve">maging and 8 of the 11 neonates </w:t>
      </w:r>
      <w:r w:rsidRPr="002C6821">
        <w:rPr>
          <w:rFonts w:asciiTheme="minorHAnsi" w:eastAsiaTheme="minorHAnsi" w:hAnsiTheme="minorHAnsi" w:cstheme="minorHAnsi"/>
          <w:sz w:val="20"/>
          <w:szCs w:val="20"/>
          <w:lang w:val="en-GB"/>
        </w:rPr>
        <w:t>who underwent imaging of the head had a scalp haematoma. In</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the four neonates that underw</w:t>
      </w:r>
      <w:r w:rsidR="002C6821" w:rsidRPr="002C6821">
        <w:rPr>
          <w:rFonts w:asciiTheme="minorHAnsi" w:eastAsiaTheme="minorHAnsi" w:hAnsiTheme="minorHAnsi" w:cstheme="minorHAnsi"/>
          <w:sz w:val="20"/>
          <w:szCs w:val="20"/>
          <w:lang w:val="en-GB"/>
        </w:rPr>
        <w:t xml:space="preserve">ent ultrasound, two showed TBI, </w:t>
      </w:r>
      <w:r w:rsidRPr="002C6821">
        <w:rPr>
          <w:rFonts w:asciiTheme="minorHAnsi" w:eastAsiaTheme="minorHAnsi" w:hAnsiTheme="minorHAnsi" w:cstheme="minorHAnsi"/>
          <w:sz w:val="20"/>
          <w:szCs w:val="20"/>
          <w:lang w:val="en-GB"/>
        </w:rPr>
        <w:t>which was confirmed by CT. In t</w:t>
      </w:r>
      <w:r w:rsidR="002C6821" w:rsidRPr="002C6821">
        <w:rPr>
          <w:rFonts w:asciiTheme="minorHAnsi" w:eastAsiaTheme="minorHAnsi" w:hAnsiTheme="minorHAnsi" w:cstheme="minorHAnsi"/>
          <w:sz w:val="20"/>
          <w:szCs w:val="20"/>
          <w:lang w:val="en-GB"/>
        </w:rPr>
        <w:t xml:space="preserve">otal, TBI on CT was observed in </w:t>
      </w:r>
      <w:r w:rsidRPr="002C6821">
        <w:rPr>
          <w:rFonts w:asciiTheme="minorHAnsi" w:eastAsiaTheme="minorHAnsi" w:hAnsiTheme="minorHAnsi" w:cstheme="minorHAnsi"/>
          <w:sz w:val="20"/>
          <w:szCs w:val="20"/>
          <w:lang w:val="en-GB"/>
        </w:rPr>
        <w:t>5 of 11. Overall, one third (36.6%, 95% CI: 26.8–47.2) of neonates,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including 13 asymptoma</w:t>
      </w:r>
      <w:r w:rsidR="002C6821" w:rsidRPr="002C6821">
        <w:rPr>
          <w:rFonts w:asciiTheme="minorHAnsi" w:eastAsiaTheme="minorHAnsi" w:hAnsiTheme="minorHAnsi" w:cstheme="minorHAnsi"/>
          <w:sz w:val="20"/>
          <w:szCs w:val="20"/>
          <w:lang w:val="en-GB"/>
        </w:rPr>
        <w:t xml:space="preserve">tic infants with no examination </w:t>
      </w:r>
      <w:r w:rsidRPr="002C6821">
        <w:rPr>
          <w:rFonts w:asciiTheme="minorHAnsi" w:eastAsiaTheme="minorHAnsi" w:hAnsiTheme="minorHAnsi" w:cstheme="minorHAnsi"/>
          <w:sz w:val="20"/>
          <w:szCs w:val="20"/>
          <w:lang w:val="en-GB"/>
        </w:rPr>
        <w:t>findings, were admitted with a median length of stay of 1 day.</w:t>
      </w:r>
      <w:r w:rsidR="002C6821" w:rsidRPr="002C6821">
        <w:rPr>
          <w:rFonts w:asciiTheme="minorHAnsi" w:eastAsiaTheme="minorHAnsi" w:hAnsiTheme="minorHAnsi" w:cstheme="minorHAnsi"/>
          <w:sz w:val="20"/>
          <w:szCs w:val="20"/>
          <w:lang w:val="en-GB"/>
        </w:rPr>
        <w:t xml:space="preserve"> </w:t>
      </w:r>
    </w:p>
    <w:p w14:paraId="47AEDEF6" w14:textId="0F963A7B"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 xml:space="preserve">Only one patient was intubated </w:t>
      </w:r>
      <w:r w:rsidR="002C6821" w:rsidRPr="002C6821">
        <w:rPr>
          <w:rFonts w:asciiTheme="minorHAnsi" w:eastAsiaTheme="minorHAnsi" w:hAnsiTheme="minorHAnsi" w:cstheme="minorHAnsi"/>
          <w:sz w:val="20"/>
          <w:szCs w:val="20"/>
          <w:lang w:val="en-GB"/>
        </w:rPr>
        <w:t xml:space="preserve">&gt;1 day. Four patients had ciTBI </w:t>
      </w:r>
      <w:r w:rsidRPr="002C6821">
        <w:rPr>
          <w:rFonts w:asciiTheme="minorHAnsi" w:eastAsiaTheme="minorHAnsi" w:hAnsiTheme="minorHAnsi" w:cstheme="minorHAnsi"/>
          <w:sz w:val="20"/>
          <w:szCs w:val="20"/>
          <w:lang w:val="en-GB"/>
        </w:rPr>
        <w:t xml:space="preserve">(4.3%, 95% CI: 1.2–10.6), as defined by admission </w:t>
      </w:r>
      <w:r w:rsidRPr="002C6821">
        <w:rPr>
          <w:rFonts w:asciiTheme="minorHAnsi" w:eastAsia="AdvOT2cddb7b9+22" w:hAnsiTheme="minorHAnsi" w:cstheme="minorHAnsi"/>
          <w:sz w:val="20"/>
          <w:szCs w:val="20"/>
          <w:lang w:val="en-GB"/>
        </w:rPr>
        <w:t>≥</w:t>
      </w:r>
      <w:r w:rsidRPr="002C6821">
        <w:rPr>
          <w:rFonts w:asciiTheme="minorHAnsi" w:eastAsiaTheme="minorHAnsi" w:hAnsiTheme="minorHAnsi" w:cstheme="minorHAnsi"/>
          <w:sz w:val="20"/>
          <w:szCs w:val="20"/>
          <w:lang w:val="en-GB"/>
        </w:rPr>
        <w:t>2 days. This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included the one intubated patien</w:t>
      </w:r>
      <w:r w:rsidR="002C6821" w:rsidRPr="002C6821">
        <w:rPr>
          <w:rFonts w:asciiTheme="minorHAnsi" w:eastAsiaTheme="minorHAnsi" w:hAnsiTheme="minorHAnsi" w:cstheme="minorHAnsi"/>
          <w:sz w:val="20"/>
          <w:szCs w:val="20"/>
          <w:lang w:val="en-GB"/>
        </w:rPr>
        <w:t xml:space="preserve">t. No neonates had neurosurgery </w:t>
      </w:r>
      <w:r w:rsidRPr="002C6821">
        <w:rPr>
          <w:rFonts w:asciiTheme="minorHAnsi" w:eastAsiaTheme="minorHAnsi" w:hAnsiTheme="minorHAnsi" w:cstheme="minorHAnsi"/>
          <w:sz w:val="20"/>
          <w:szCs w:val="20"/>
          <w:lang w:val="en-GB"/>
        </w:rPr>
        <w:t>and there were no deaths (Tables 1,3).</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Of the five patients with T</w:t>
      </w:r>
      <w:r w:rsidR="002C6821" w:rsidRPr="002C6821">
        <w:rPr>
          <w:rFonts w:asciiTheme="minorHAnsi" w:eastAsiaTheme="minorHAnsi" w:hAnsiTheme="minorHAnsi" w:cstheme="minorHAnsi"/>
          <w:sz w:val="20"/>
          <w:szCs w:val="20"/>
          <w:lang w:val="en-GB"/>
        </w:rPr>
        <w:t xml:space="preserve">BI on CT, four had intracranial </w:t>
      </w:r>
      <w:r w:rsidRPr="002C6821">
        <w:rPr>
          <w:rFonts w:asciiTheme="minorHAnsi" w:eastAsiaTheme="minorHAnsi" w:hAnsiTheme="minorHAnsi" w:cstheme="minorHAnsi"/>
          <w:sz w:val="20"/>
          <w:szCs w:val="20"/>
          <w:lang w:val="en-GB"/>
        </w:rPr>
        <w:t>haemorrhage/contusion and sku</w:t>
      </w:r>
      <w:r w:rsidR="002C6821" w:rsidRPr="002C6821">
        <w:rPr>
          <w:rFonts w:asciiTheme="minorHAnsi" w:eastAsiaTheme="minorHAnsi" w:hAnsiTheme="minorHAnsi" w:cstheme="minorHAnsi"/>
          <w:sz w:val="20"/>
          <w:szCs w:val="20"/>
          <w:lang w:val="en-GB"/>
        </w:rPr>
        <w:t xml:space="preserve">ll fractures (of which two were </w:t>
      </w:r>
      <w:r w:rsidRPr="002C6821">
        <w:rPr>
          <w:rFonts w:asciiTheme="minorHAnsi" w:eastAsiaTheme="minorHAnsi" w:hAnsiTheme="minorHAnsi" w:cstheme="minorHAnsi"/>
          <w:sz w:val="20"/>
          <w:szCs w:val="20"/>
          <w:lang w:val="en-GB"/>
        </w:rPr>
        <w:t>depressed skull fractures). One had midline shift of intracranial</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 xml:space="preserve">contents or signs </w:t>
      </w:r>
      <w:r w:rsidRPr="002C6821">
        <w:rPr>
          <w:rFonts w:asciiTheme="minorHAnsi" w:eastAsiaTheme="minorHAnsi" w:hAnsiTheme="minorHAnsi" w:cstheme="minorHAnsi"/>
          <w:sz w:val="20"/>
          <w:szCs w:val="20"/>
          <w:lang w:val="en-GB"/>
        </w:rPr>
        <w:lastRenderedPageBreak/>
        <w:t>of brain herniation, dia</w:t>
      </w:r>
      <w:r w:rsidR="002C6821" w:rsidRPr="002C6821">
        <w:rPr>
          <w:rFonts w:asciiTheme="minorHAnsi" w:eastAsiaTheme="minorHAnsi" w:hAnsiTheme="minorHAnsi" w:cstheme="minorHAnsi"/>
          <w:sz w:val="20"/>
          <w:szCs w:val="20"/>
          <w:lang w:val="en-GB"/>
        </w:rPr>
        <w:t xml:space="preserve">stasis of the skull and sigmoid </w:t>
      </w:r>
      <w:r w:rsidRPr="002C6821">
        <w:rPr>
          <w:rFonts w:asciiTheme="minorHAnsi" w:eastAsiaTheme="minorHAnsi" w:hAnsiTheme="minorHAnsi" w:cstheme="minorHAnsi"/>
          <w:sz w:val="20"/>
          <w:szCs w:val="20"/>
          <w:lang w:val="en-GB"/>
        </w:rPr>
        <w:t>sinus thrombosis. Of the thre</w:t>
      </w:r>
      <w:r w:rsidR="002C6821" w:rsidRPr="002C6821">
        <w:rPr>
          <w:rFonts w:asciiTheme="minorHAnsi" w:eastAsiaTheme="minorHAnsi" w:hAnsiTheme="minorHAnsi" w:cstheme="minorHAnsi"/>
          <w:sz w:val="20"/>
          <w:szCs w:val="20"/>
          <w:lang w:val="en-GB"/>
        </w:rPr>
        <w:t xml:space="preserve">e non-accidental head injuries, </w:t>
      </w:r>
      <w:r w:rsidRPr="002C6821">
        <w:rPr>
          <w:rFonts w:asciiTheme="minorHAnsi" w:eastAsiaTheme="minorHAnsi" w:hAnsiTheme="minorHAnsi" w:cstheme="minorHAnsi"/>
          <w:sz w:val="20"/>
          <w:szCs w:val="20"/>
          <w:lang w:val="en-GB"/>
        </w:rPr>
        <w:t>one neonate had no intracranial findings on neuroimaging, and</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two neonates had skull fractures</w:t>
      </w:r>
      <w:r w:rsidR="002C6821" w:rsidRPr="002C6821">
        <w:rPr>
          <w:rFonts w:asciiTheme="minorHAnsi" w:eastAsiaTheme="minorHAnsi" w:hAnsiTheme="minorHAnsi" w:cstheme="minorHAnsi"/>
          <w:sz w:val="20"/>
          <w:szCs w:val="20"/>
          <w:lang w:val="en-GB"/>
        </w:rPr>
        <w:t xml:space="preserve"> and intracranial haemorrhages; </w:t>
      </w:r>
      <w:r w:rsidRPr="002C6821">
        <w:rPr>
          <w:rFonts w:asciiTheme="minorHAnsi" w:eastAsiaTheme="minorHAnsi" w:hAnsiTheme="minorHAnsi" w:cstheme="minorHAnsi"/>
          <w:sz w:val="20"/>
          <w:szCs w:val="20"/>
          <w:lang w:val="en-GB"/>
        </w:rPr>
        <w:t>one neonate had a ciTBI (Table 3).</w:t>
      </w:r>
    </w:p>
    <w:p w14:paraId="0D62B822" w14:textId="77777777" w:rsidR="00F26291" w:rsidRPr="002C6821" w:rsidRDefault="003815AB" w:rsidP="00C76CA5">
      <w:pPr>
        <w:spacing w:line="360" w:lineRule="auto"/>
        <w:rPr>
          <w:rFonts w:asciiTheme="minorHAnsi" w:hAnsiTheme="minorHAnsi" w:cstheme="minorHAnsi"/>
          <w:b/>
          <w:sz w:val="20"/>
          <w:szCs w:val="20"/>
        </w:rPr>
      </w:pPr>
      <w:r w:rsidRPr="002C6821">
        <w:rPr>
          <w:rFonts w:asciiTheme="minorHAnsi" w:hAnsiTheme="minorHAnsi" w:cstheme="minorHAnsi"/>
          <w:b/>
          <w:sz w:val="20"/>
          <w:szCs w:val="20"/>
        </w:rPr>
        <w:t>DISCUSSION</w:t>
      </w:r>
    </w:p>
    <w:p w14:paraId="6992AA0B" w14:textId="6BF47467"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In this multicentre, prospective study we characterised the causes,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clinical characteristics and outcomes of 93 neonates with</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head injuries presenting to EDs</w:t>
      </w:r>
      <w:r w:rsidR="002C6821" w:rsidRPr="002C6821">
        <w:rPr>
          <w:rFonts w:asciiTheme="minorHAnsi" w:eastAsiaTheme="minorHAnsi" w:hAnsiTheme="minorHAnsi" w:cstheme="minorHAnsi"/>
          <w:sz w:val="20"/>
          <w:szCs w:val="20"/>
          <w:lang w:val="en-GB"/>
        </w:rPr>
        <w:t xml:space="preserve">. The majority of neonatal head </w:t>
      </w:r>
      <w:r w:rsidRPr="002C6821">
        <w:rPr>
          <w:rFonts w:asciiTheme="minorHAnsi" w:eastAsiaTheme="minorHAnsi" w:hAnsiTheme="minorHAnsi" w:cstheme="minorHAnsi"/>
          <w:sz w:val="20"/>
          <w:szCs w:val="20"/>
          <w:lang w:val="en-GB"/>
        </w:rPr>
        <w:t>injuries presenting to Australasian EDs were surprisingly benign</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with two thirds discharged home, with two thirds asymptomatic</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and half having normal physic</w:t>
      </w:r>
      <w:r w:rsidR="002C6821" w:rsidRPr="002C6821">
        <w:rPr>
          <w:rFonts w:asciiTheme="minorHAnsi" w:eastAsiaTheme="minorHAnsi" w:hAnsiTheme="minorHAnsi" w:cstheme="minorHAnsi"/>
          <w:sz w:val="20"/>
          <w:szCs w:val="20"/>
          <w:lang w:val="en-GB"/>
        </w:rPr>
        <w:t xml:space="preserve">al examinations. Only 11.8% had </w:t>
      </w:r>
      <w:r w:rsidRPr="002C6821">
        <w:rPr>
          <w:rFonts w:asciiTheme="minorHAnsi" w:eastAsiaTheme="minorHAnsi" w:hAnsiTheme="minorHAnsi" w:cstheme="minorHAnsi"/>
          <w:sz w:val="20"/>
          <w:szCs w:val="20"/>
          <w:lang w:val="en-GB"/>
        </w:rPr>
        <w:t>imaging of the head of any kind and in these children the incidence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of TBI was high. Overall 4.3% had ciTBI which is three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times higher than the percentage of ciTBI in the cohort of head</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injured</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children of all ages (1.4% ciTBI).</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29</w:t>
      </w:r>
      <w:r w:rsidR="002C6821" w:rsidRPr="002C6821">
        <w:rPr>
          <w:rFonts w:asciiTheme="minorHAnsi" w:eastAsiaTheme="minorHAnsi" w:hAnsiTheme="minorHAnsi" w:cstheme="minorHAnsi"/>
          <w:sz w:val="20"/>
          <w:szCs w:val="20"/>
          <w:lang w:val="en-GB"/>
        </w:rPr>
        <w:t>)</w:t>
      </w:r>
      <w:r w:rsidRPr="002C6821">
        <w:rPr>
          <w:rFonts w:asciiTheme="minorHAnsi" w:eastAsiaTheme="minorHAnsi" w:hAnsiTheme="minorHAnsi" w:cstheme="minorHAnsi"/>
          <w:sz w:val="20"/>
          <w:szCs w:val="20"/>
          <w:lang w:val="en-GB"/>
        </w:rPr>
        <w:t xml:space="preserve"> None of the neonates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underwent neurosurgery or died. The risk of intracranial injury</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in young children is in</w:t>
      </w:r>
      <w:r w:rsidR="002C6821" w:rsidRPr="002C6821">
        <w:rPr>
          <w:rFonts w:asciiTheme="minorHAnsi" w:eastAsiaTheme="minorHAnsi" w:hAnsiTheme="minorHAnsi" w:cstheme="minorHAnsi"/>
          <w:sz w:val="20"/>
          <w:szCs w:val="20"/>
          <w:lang w:val="en-GB"/>
        </w:rPr>
        <w:t xml:space="preserve">fluenced by mechanism of injury </w:t>
      </w:r>
      <w:r w:rsidRPr="002C6821">
        <w:rPr>
          <w:rFonts w:asciiTheme="minorHAnsi" w:eastAsiaTheme="minorHAnsi" w:hAnsiTheme="minorHAnsi" w:cstheme="minorHAnsi"/>
          <w:sz w:val="20"/>
          <w:szCs w:val="20"/>
          <w:lang w:val="en-GB"/>
        </w:rPr>
        <w:t>(e.g. height of fall), size and location of scalp swelling and change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in behaviour, among other factors.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6</w:t>
      </w:r>
      <w:r w:rsidR="002C6821" w:rsidRPr="002C6821">
        <w:rPr>
          <w:rFonts w:asciiTheme="minorHAnsi" w:eastAsiaTheme="minorHAnsi" w:hAnsiTheme="minorHAnsi" w:cstheme="minorHAnsi"/>
          <w:sz w:val="20"/>
          <w:szCs w:val="20"/>
          <w:lang w:val="en-GB"/>
        </w:rPr>
        <w:t>)</w:t>
      </w:r>
    </w:p>
    <w:p w14:paraId="6E44EDE3" w14:textId="3DF2F47F"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In line with previous research on head injuries in infants, most</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neonatal head injuries were caused by falls at home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32</w:t>
      </w:r>
      <w:r w:rsidR="002C6821" w:rsidRPr="002C6821">
        <w:rPr>
          <w:rFonts w:asciiTheme="minorHAnsi" w:eastAsiaTheme="minorHAnsi" w:hAnsiTheme="minorHAnsi" w:cstheme="minorHAnsi"/>
          <w:sz w:val="20"/>
          <w:szCs w:val="20"/>
          <w:lang w:val="en-GB"/>
        </w:rPr>
        <w:t>)</w:t>
      </w:r>
      <w:r w:rsidRPr="002C6821">
        <w:rPr>
          <w:rFonts w:asciiTheme="minorHAnsi" w:eastAsiaTheme="minorHAnsi" w:hAnsiTheme="minorHAnsi" w:cstheme="minorHAnsi"/>
          <w:sz w:val="20"/>
          <w:szCs w:val="20"/>
          <w:lang w:val="en-GB"/>
        </w:rPr>
        <w:t xml:space="preserve"> with the predominant</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mechanism being falls from care giver’s arms.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20</w:t>
      </w:r>
      <w:r w:rsidR="002C6821" w:rsidRPr="002C6821">
        <w:rPr>
          <w:rFonts w:asciiTheme="minorHAnsi" w:eastAsiaTheme="minorHAnsi" w:hAnsiTheme="minorHAnsi" w:cstheme="minorHAnsi"/>
          <w:sz w:val="20"/>
          <w:szCs w:val="20"/>
          <w:lang w:val="en-GB"/>
        </w:rPr>
        <w:t>)</w:t>
      </w:r>
      <w:r w:rsidRPr="002C6821">
        <w:rPr>
          <w:rFonts w:asciiTheme="minorHAnsi" w:eastAsiaTheme="minorHAnsi" w:hAnsiTheme="minorHAnsi" w:cstheme="minorHAnsi"/>
          <w:sz w:val="20"/>
          <w:szCs w:val="20"/>
          <w:lang w:val="en-GB"/>
        </w:rPr>
        <w:t xml:space="preserve"> Mulligan</w:t>
      </w:r>
    </w:p>
    <w:p w14:paraId="63D6F813" w14:textId="0CB9F30D"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et al.</w:t>
      </w:r>
      <w:r w:rsidR="002C6821" w:rsidRPr="002C6821">
        <w:rPr>
          <w:rFonts w:asciiTheme="minorHAnsi" w:eastAsiaTheme="minorHAnsi" w:hAnsiTheme="minorHAnsi" w:cstheme="minorHAnsi"/>
          <w:sz w:val="20"/>
          <w:szCs w:val="20"/>
          <w:lang w:val="en-GB"/>
        </w:rPr>
        <w:t>(</w:t>
      </w:r>
      <w:r w:rsidRPr="002C6821">
        <w:rPr>
          <w:rFonts w:asciiTheme="minorHAnsi" w:eastAsiaTheme="minorHAnsi" w:hAnsiTheme="minorHAnsi" w:cstheme="minorHAnsi"/>
          <w:sz w:val="20"/>
          <w:szCs w:val="20"/>
          <w:lang w:val="en-GB"/>
        </w:rPr>
        <w:t>33</w:t>
      </w:r>
      <w:r w:rsidR="002C6821" w:rsidRPr="002C6821">
        <w:rPr>
          <w:rFonts w:asciiTheme="minorHAnsi" w:eastAsiaTheme="minorHAnsi" w:hAnsiTheme="minorHAnsi" w:cstheme="minorHAnsi"/>
          <w:sz w:val="20"/>
          <w:szCs w:val="20"/>
          <w:lang w:val="en-GB"/>
        </w:rPr>
        <w:t>)</w:t>
      </w:r>
      <w:r w:rsidRPr="002C6821">
        <w:rPr>
          <w:rFonts w:asciiTheme="minorHAnsi" w:eastAsiaTheme="minorHAnsi" w:hAnsiTheme="minorHAnsi" w:cstheme="minorHAnsi"/>
          <w:sz w:val="20"/>
          <w:szCs w:val="20"/>
          <w:lang w:val="en-GB"/>
        </w:rPr>
        <w:t xml:space="preserve"> found that infants &lt;1 year dropped by care givers were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three times more likely to be admitted than infants from other fall</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types. A national Australian report34 found that infants were most</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likely to be admitted when they were drop</w:t>
      </w:r>
      <w:r w:rsidR="002C6821" w:rsidRPr="002C6821">
        <w:rPr>
          <w:rFonts w:asciiTheme="minorHAnsi" w:eastAsiaTheme="minorHAnsi" w:hAnsiTheme="minorHAnsi" w:cstheme="minorHAnsi"/>
          <w:sz w:val="20"/>
          <w:szCs w:val="20"/>
          <w:lang w:val="en-GB"/>
        </w:rPr>
        <w:t xml:space="preserve">ped by a care giver, consistent </w:t>
      </w:r>
      <w:r w:rsidRPr="002C6821">
        <w:rPr>
          <w:rFonts w:asciiTheme="minorHAnsi" w:eastAsiaTheme="minorHAnsi" w:hAnsiTheme="minorHAnsi" w:cstheme="minorHAnsi"/>
          <w:sz w:val="20"/>
          <w:szCs w:val="20"/>
          <w:lang w:val="en-GB"/>
        </w:rPr>
        <w:t>with our results. A smaller but significant proportion of</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head injuries were caused by neonates being struck by o</w:t>
      </w:r>
      <w:r w:rsidR="002C6821" w:rsidRPr="002C6821">
        <w:rPr>
          <w:rFonts w:asciiTheme="minorHAnsi" w:eastAsiaTheme="minorHAnsi" w:hAnsiTheme="minorHAnsi" w:cstheme="minorHAnsi"/>
          <w:sz w:val="20"/>
          <w:szCs w:val="20"/>
          <w:lang w:val="en-GB"/>
        </w:rPr>
        <w:t xml:space="preserve">bjects. </w:t>
      </w:r>
      <w:r w:rsidRPr="002C6821">
        <w:rPr>
          <w:rFonts w:asciiTheme="minorHAnsi" w:eastAsiaTheme="minorHAnsi" w:hAnsiTheme="minorHAnsi" w:cstheme="minorHAnsi"/>
          <w:sz w:val="20"/>
          <w:szCs w:val="20"/>
          <w:lang w:val="en-GB"/>
        </w:rPr>
        <w:t>Most neonates presented during the afternoon and early evening.</w:t>
      </w:r>
    </w:p>
    <w:p w14:paraId="0C18C204" w14:textId="77777777" w:rsidR="002C6821"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Of the four neonates with ciTBI,</w:t>
      </w:r>
      <w:r w:rsidR="002C6821" w:rsidRPr="002C6821">
        <w:rPr>
          <w:rFonts w:asciiTheme="minorHAnsi" w:eastAsiaTheme="minorHAnsi" w:hAnsiTheme="minorHAnsi" w:cstheme="minorHAnsi"/>
          <w:sz w:val="20"/>
          <w:szCs w:val="20"/>
          <w:lang w:val="en-GB"/>
        </w:rPr>
        <w:t xml:space="preserve"> three had injuries from falls, </w:t>
      </w:r>
      <w:r w:rsidRPr="002C6821">
        <w:rPr>
          <w:rFonts w:asciiTheme="minorHAnsi" w:eastAsiaTheme="minorHAnsi" w:hAnsiTheme="minorHAnsi" w:cstheme="minorHAnsi"/>
          <w:sz w:val="20"/>
          <w:szCs w:val="20"/>
          <w:lang w:val="en-GB"/>
        </w:rPr>
        <w:t>including one who fell unrestrained from a pram. One neonate was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accidentally struck by a person at home. All neonates w</w:t>
      </w:r>
      <w:r w:rsidR="002C6821" w:rsidRPr="002C6821">
        <w:rPr>
          <w:rFonts w:asciiTheme="minorHAnsi" w:eastAsiaTheme="minorHAnsi" w:hAnsiTheme="minorHAnsi" w:cstheme="minorHAnsi"/>
          <w:sz w:val="20"/>
          <w:szCs w:val="20"/>
          <w:lang w:val="en-GB"/>
        </w:rPr>
        <w:t xml:space="preserve">ith ciTBI </w:t>
      </w:r>
      <w:r w:rsidRPr="002C6821">
        <w:rPr>
          <w:rFonts w:asciiTheme="minorHAnsi" w:eastAsiaTheme="minorHAnsi" w:hAnsiTheme="minorHAnsi" w:cstheme="minorHAnsi"/>
          <w:sz w:val="20"/>
          <w:szCs w:val="20"/>
          <w:lang w:val="en-GB"/>
        </w:rPr>
        <w:t>had skull fractures, three of the four neonates had haematomas on</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head examination and two had intracranial haemorrhages. In contrast</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to our cohort of out of hospital head injuries, Khan et al.</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24</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investigated in-hospital newborn head injuries, all due to falls.</w:t>
      </w:r>
      <w:r w:rsidR="002C6821" w:rsidRPr="002C6821">
        <w:rPr>
          <w:rFonts w:asciiTheme="minorHAnsi" w:eastAsiaTheme="minorHAnsi" w:hAnsiTheme="minorHAnsi" w:cstheme="minorHAnsi"/>
          <w:sz w:val="20"/>
          <w:szCs w:val="20"/>
          <w:lang w:val="en-GB"/>
        </w:rPr>
        <w:t xml:space="preserve"> </w:t>
      </w:r>
    </w:p>
    <w:p w14:paraId="369F8D11" w14:textId="49A3F3D2"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Seven of 24 received a skull radiog</w:t>
      </w:r>
      <w:r w:rsidR="002C6821" w:rsidRPr="002C6821">
        <w:rPr>
          <w:rFonts w:asciiTheme="minorHAnsi" w:eastAsiaTheme="minorHAnsi" w:hAnsiTheme="minorHAnsi" w:cstheme="minorHAnsi"/>
          <w:sz w:val="20"/>
          <w:szCs w:val="20"/>
          <w:lang w:val="en-GB"/>
        </w:rPr>
        <w:t xml:space="preserve">raph followed by CT in 6; 2 had </w:t>
      </w:r>
      <w:r w:rsidRPr="002C6821">
        <w:rPr>
          <w:rFonts w:asciiTheme="minorHAnsi" w:eastAsiaTheme="minorHAnsi" w:hAnsiTheme="minorHAnsi" w:cstheme="minorHAnsi"/>
          <w:sz w:val="20"/>
          <w:szCs w:val="20"/>
          <w:lang w:val="en-GB"/>
        </w:rPr>
        <w:t>a non-depressed linear parietal skull fracture and 2 had TBI with</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small subdural haemorrhages.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Three neonates had non-accidental trauma; one had no findings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 xml:space="preserve">on neuroimaging, two of the </w:t>
      </w:r>
      <w:r w:rsidR="002C6821" w:rsidRPr="002C6821">
        <w:rPr>
          <w:rFonts w:asciiTheme="minorHAnsi" w:eastAsiaTheme="minorHAnsi" w:hAnsiTheme="minorHAnsi" w:cstheme="minorHAnsi"/>
          <w:sz w:val="20"/>
          <w:szCs w:val="20"/>
          <w:lang w:val="en-GB"/>
        </w:rPr>
        <w:t xml:space="preserve">three neonates had intracranial </w:t>
      </w:r>
      <w:r w:rsidRPr="002C6821">
        <w:rPr>
          <w:rFonts w:asciiTheme="minorHAnsi" w:eastAsiaTheme="minorHAnsi" w:hAnsiTheme="minorHAnsi" w:cstheme="minorHAnsi"/>
          <w:sz w:val="20"/>
          <w:szCs w:val="20"/>
          <w:lang w:val="en-GB"/>
        </w:rPr>
        <w:t>haemorrhages and skull fractures of wh</w:t>
      </w:r>
      <w:r w:rsidR="002C6821" w:rsidRPr="002C6821">
        <w:rPr>
          <w:rFonts w:asciiTheme="minorHAnsi" w:eastAsiaTheme="minorHAnsi" w:hAnsiTheme="minorHAnsi" w:cstheme="minorHAnsi"/>
          <w:sz w:val="20"/>
          <w:szCs w:val="20"/>
          <w:lang w:val="en-GB"/>
        </w:rPr>
        <w:t xml:space="preserve">om one had ciTBI. Non-accidental </w:t>
      </w:r>
      <w:r w:rsidRPr="002C6821">
        <w:rPr>
          <w:rFonts w:asciiTheme="minorHAnsi" w:eastAsiaTheme="minorHAnsi" w:hAnsiTheme="minorHAnsi" w:cstheme="minorHAnsi"/>
          <w:sz w:val="20"/>
          <w:szCs w:val="20"/>
          <w:lang w:val="en-GB"/>
        </w:rPr>
        <w:t>injuries must be considered in all neonates based on</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their anatomical vulnerability</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1,35,3</w:t>
      </w:r>
      <w:r w:rsidR="002C6821" w:rsidRPr="002C6821">
        <w:rPr>
          <w:rFonts w:asciiTheme="minorHAnsi" w:eastAsiaTheme="minorHAnsi" w:hAnsiTheme="minorHAnsi" w:cstheme="minorHAnsi"/>
          <w:sz w:val="20"/>
          <w:szCs w:val="20"/>
          <w:lang w:val="en-GB"/>
        </w:rPr>
        <w:t xml:space="preserve">6) and susceptibility to serious </w:t>
      </w:r>
      <w:r w:rsidRPr="002C6821">
        <w:rPr>
          <w:rFonts w:asciiTheme="minorHAnsi" w:eastAsiaTheme="minorHAnsi" w:hAnsiTheme="minorHAnsi" w:cstheme="minorHAnsi"/>
          <w:sz w:val="20"/>
          <w:szCs w:val="20"/>
          <w:lang w:val="en-GB"/>
        </w:rPr>
        <w:t>head injuries caused by blunt impact and rotational movement of</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the brain within the cranial cavity.</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3,37</w:t>
      </w:r>
      <w:r w:rsidR="002C6821" w:rsidRPr="002C6821">
        <w:rPr>
          <w:rFonts w:asciiTheme="minorHAnsi" w:eastAsiaTheme="minorHAnsi" w:hAnsiTheme="minorHAnsi" w:cstheme="minorHAnsi"/>
          <w:sz w:val="20"/>
          <w:szCs w:val="20"/>
          <w:lang w:val="en-GB"/>
        </w:rPr>
        <w:t>)</w:t>
      </w:r>
      <w:r w:rsidRPr="002C6821">
        <w:rPr>
          <w:rFonts w:asciiTheme="minorHAnsi" w:eastAsiaTheme="minorHAnsi" w:hAnsiTheme="minorHAnsi" w:cstheme="minorHAnsi"/>
          <w:sz w:val="20"/>
          <w:szCs w:val="20"/>
          <w:lang w:val="en-GB"/>
        </w:rPr>
        <w:t xml:space="preserve"> Non-accidental injuries or</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suspected non-accidental injuri</w:t>
      </w:r>
      <w:r w:rsidR="002C6821" w:rsidRPr="002C6821">
        <w:rPr>
          <w:rFonts w:asciiTheme="minorHAnsi" w:eastAsiaTheme="minorHAnsi" w:hAnsiTheme="minorHAnsi" w:cstheme="minorHAnsi"/>
          <w:sz w:val="20"/>
          <w:szCs w:val="20"/>
          <w:lang w:val="en-GB"/>
        </w:rPr>
        <w:t>es are associated with a higher i</w:t>
      </w:r>
      <w:r w:rsidRPr="002C6821">
        <w:rPr>
          <w:rFonts w:asciiTheme="minorHAnsi" w:eastAsiaTheme="minorHAnsi" w:hAnsiTheme="minorHAnsi" w:cstheme="minorHAnsi"/>
          <w:sz w:val="20"/>
          <w:szCs w:val="20"/>
          <w:lang w:val="en-GB"/>
        </w:rPr>
        <w:t>njury severity score and higher mortality compared to injuries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sustained accidentally.</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38–40</w:t>
      </w:r>
      <w:r w:rsidR="002C6821" w:rsidRPr="002C6821">
        <w:rPr>
          <w:rFonts w:asciiTheme="minorHAnsi" w:eastAsiaTheme="minorHAnsi" w:hAnsiTheme="minorHAnsi" w:cstheme="minorHAnsi"/>
          <w:sz w:val="20"/>
          <w:szCs w:val="20"/>
          <w:lang w:val="en-GB"/>
        </w:rPr>
        <w:t>)</w:t>
      </w:r>
      <w:r w:rsidRPr="002C6821">
        <w:rPr>
          <w:rFonts w:asciiTheme="minorHAnsi" w:eastAsiaTheme="minorHAnsi" w:hAnsiTheme="minorHAnsi" w:cstheme="minorHAnsi"/>
          <w:sz w:val="20"/>
          <w:szCs w:val="20"/>
          <w:lang w:val="en-GB"/>
        </w:rPr>
        <w:t xml:space="preserve"> In addition, TBI secondary to non</w:t>
      </w:r>
      <w:r w:rsidR="002C6821" w:rsidRPr="002C6821">
        <w:rPr>
          <w:rFonts w:asciiTheme="minorHAnsi" w:eastAsiaTheme="minorHAnsi" w:hAnsiTheme="minorHAnsi" w:cstheme="minorHAnsi"/>
          <w:sz w:val="20"/>
          <w:szCs w:val="20"/>
          <w:lang w:val="en-GB"/>
        </w:rPr>
        <w:t>-</w:t>
      </w:r>
      <w:r w:rsidRPr="002C6821">
        <w:rPr>
          <w:rFonts w:asciiTheme="minorHAnsi" w:eastAsiaTheme="minorHAnsi" w:hAnsiTheme="minorHAnsi" w:cstheme="minorHAnsi"/>
          <w:sz w:val="20"/>
          <w:szCs w:val="20"/>
          <w:lang w:val="en-GB"/>
        </w:rPr>
        <w:t>accidental</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trauma can require longe</w:t>
      </w:r>
      <w:r w:rsidR="002C6821" w:rsidRPr="002C6821">
        <w:rPr>
          <w:rFonts w:asciiTheme="minorHAnsi" w:eastAsiaTheme="minorHAnsi" w:hAnsiTheme="minorHAnsi" w:cstheme="minorHAnsi"/>
          <w:sz w:val="20"/>
          <w:szCs w:val="20"/>
          <w:lang w:val="en-GB"/>
        </w:rPr>
        <w:t xml:space="preserve">r intensive care unit admission </w:t>
      </w:r>
      <w:r w:rsidRPr="002C6821">
        <w:rPr>
          <w:rFonts w:asciiTheme="minorHAnsi" w:eastAsiaTheme="minorHAnsi" w:hAnsiTheme="minorHAnsi" w:cstheme="minorHAnsi"/>
          <w:sz w:val="20"/>
          <w:szCs w:val="20"/>
          <w:lang w:val="en-GB"/>
        </w:rPr>
        <w:t>and higher mortality than TBI sustained by other</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mechanisms.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40</w:t>
      </w:r>
      <w:r w:rsidR="002C6821" w:rsidRPr="002C6821">
        <w:rPr>
          <w:rFonts w:asciiTheme="minorHAnsi" w:eastAsiaTheme="minorHAnsi" w:hAnsiTheme="minorHAnsi" w:cstheme="minorHAnsi"/>
          <w:sz w:val="20"/>
          <w:szCs w:val="20"/>
          <w:lang w:val="en-GB"/>
        </w:rPr>
        <w:t>)</w:t>
      </w:r>
    </w:p>
    <w:p w14:paraId="530D6308" w14:textId="3F3A0C2A"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lastRenderedPageBreak/>
        <w:t xml:space="preserve">In our study, head-injured </w:t>
      </w:r>
      <w:r w:rsidR="002C6821" w:rsidRPr="002C6821">
        <w:rPr>
          <w:rFonts w:asciiTheme="minorHAnsi" w:eastAsiaTheme="minorHAnsi" w:hAnsiTheme="minorHAnsi" w:cstheme="minorHAnsi"/>
          <w:sz w:val="20"/>
          <w:szCs w:val="20"/>
          <w:lang w:val="en-GB"/>
        </w:rPr>
        <w:t xml:space="preserve">neonates requiring neuroimaging </w:t>
      </w:r>
      <w:r w:rsidRPr="002C6821">
        <w:rPr>
          <w:rFonts w:asciiTheme="minorHAnsi" w:eastAsiaTheme="minorHAnsi" w:hAnsiTheme="minorHAnsi" w:cstheme="minorHAnsi"/>
          <w:sz w:val="20"/>
          <w:szCs w:val="20"/>
          <w:lang w:val="en-GB"/>
        </w:rPr>
        <w:t>most frequently underwent a CT or ultrasound. All neonates who</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had a palpable skull fracture und</w:t>
      </w:r>
      <w:r w:rsidR="002C6821" w:rsidRPr="002C6821">
        <w:rPr>
          <w:rFonts w:asciiTheme="minorHAnsi" w:eastAsiaTheme="minorHAnsi" w:hAnsiTheme="minorHAnsi" w:cstheme="minorHAnsi"/>
          <w:sz w:val="20"/>
          <w:szCs w:val="20"/>
          <w:lang w:val="en-GB"/>
        </w:rPr>
        <w:t xml:space="preserve">erwent imaging of the head. The </w:t>
      </w:r>
      <w:r w:rsidRPr="002C6821">
        <w:rPr>
          <w:rFonts w:asciiTheme="minorHAnsi" w:eastAsiaTheme="minorHAnsi" w:hAnsiTheme="minorHAnsi" w:cstheme="minorHAnsi"/>
          <w:sz w:val="20"/>
          <w:szCs w:val="20"/>
          <w:lang w:val="en-GB"/>
        </w:rPr>
        <w:t>presence of vomiting, abnormal drow</w:t>
      </w:r>
      <w:r w:rsidR="002C6821" w:rsidRPr="002C6821">
        <w:rPr>
          <w:rFonts w:asciiTheme="minorHAnsi" w:eastAsiaTheme="minorHAnsi" w:hAnsiTheme="minorHAnsi" w:cstheme="minorHAnsi"/>
          <w:sz w:val="20"/>
          <w:szCs w:val="20"/>
          <w:lang w:val="en-GB"/>
        </w:rPr>
        <w:t xml:space="preserve">siness and irritability did not </w:t>
      </w:r>
      <w:r w:rsidRPr="002C6821">
        <w:rPr>
          <w:rFonts w:asciiTheme="minorHAnsi" w:eastAsiaTheme="minorHAnsi" w:hAnsiTheme="minorHAnsi" w:cstheme="minorHAnsi"/>
          <w:sz w:val="20"/>
          <w:szCs w:val="20"/>
          <w:lang w:val="en-GB"/>
        </w:rPr>
        <w:t>appear to be correlated with imaging of the head. Two neonates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who received neuroimaging wer</w:t>
      </w:r>
      <w:r w:rsidR="002C6821" w:rsidRPr="002C6821">
        <w:rPr>
          <w:rFonts w:asciiTheme="minorHAnsi" w:eastAsiaTheme="minorHAnsi" w:hAnsiTheme="minorHAnsi" w:cstheme="minorHAnsi"/>
          <w:sz w:val="20"/>
          <w:szCs w:val="20"/>
          <w:lang w:val="en-GB"/>
        </w:rPr>
        <w:t xml:space="preserve">e entirely asymptomatic and had </w:t>
      </w:r>
      <w:r w:rsidRPr="002C6821">
        <w:rPr>
          <w:rFonts w:asciiTheme="minorHAnsi" w:eastAsiaTheme="minorHAnsi" w:hAnsiTheme="minorHAnsi" w:cstheme="minorHAnsi"/>
          <w:sz w:val="20"/>
          <w:szCs w:val="20"/>
          <w:lang w:val="en-GB"/>
        </w:rPr>
        <w:t>no findings on examination. In this ve</w:t>
      </w:r>
      <w:r w:rsidR="002C6821" w:rsidRPr="002C6821">
        <w:rPr>
          <w:rFonts w:asciiTheme="minorHAnsi" w:eastAsiaTheme="minorHAnsi" w:hAnsiTheme="minorHAnsi" w:cstheme="minorHAnsi"/>
          <w:sz w:val="20"/>
          <w:szCs w:val="20"/>
          <w:lang w:val="en-GB"/>
        </w:rPr>
        <w:t xml:space="preserve">ry young cohort, it is possible </w:t>
      </w:r>
      <w:r w:rsidRPr="002C6821">
        <w:rPr>
          <w:rFonts w:asciiTheme="minorHAnsi" w:eastAsiaTheme="minorHAnsi" w:hAnsiTheme="minorHAnsi" w:cstheme="minorHAnsi"/>
          <w:sz w:val="20"/>
          <w:szCs w:val="20"/>
          <w:lang w:val="en-GB"/>
        </w:rPr>
        <w:t>that clinician concern for ciTBI, variation in clinician practice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and variation in the extent of pa</w:t>
      </w:r>
      <w:r w:rsidR="002C6821" w:rsidRPr="002C6821">
        <w:rPr>
          <w:rFonts w:asciiTheme="minorHAnsi" w:eastAsiaTheme="minorHAnsi" w:hAnsiTheme="minorHAnsi" w:cstheme="minorHAnsi"/>
          <w:sz w:val="20"/>
          <w:szCs w:val="20"/>
          <w:lang w:val="en-GB"/>
        </w:rPr>
        <w:t xml:space="preserve">ediatric emergency training may </w:t>
      </w:r>
      <w:r w:rsidRPr="002C6821">
        <w:rPr>
          <w:rFonts w:asciiTheme="minorHAnsi" w:eastAsiaTheme="minorHAnsi" w:hAnsiTheme="minorHAnsi" w:cstheme="minorHAnsi"/>
          <w:sz w:val="20"/>
          <w:szCs w:val="20"/>
          <w:lang w:val="en-GB"/>
        </w:rPr>
        <w:t>explain imaging of the head in the two asymptomatic neonates</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41</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in the absence of supporting CDRs. At the same time, clinical</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assessment of neonates presenti</w:t>
      </w:r>
      <w:r w:rsidR="002C6821" w:rsidRPr="002C6821">
        <w:rPr>
          <w:rFonts w:asciiTheme="minorHAnsi" w:eastAsiaTheme="minorHAnsi" w:hAnsiTheme="minorHAnsi" w:cstheme="minorHAnsi"/>
          <w:sz w:val="20"/>
          <w:szCs w:val="20"/>
          <w:lang w:val="en-GB"/>
        </w:rPr>
        <w:t xml:space="preserve">ng with HI can be indeterminate </w:t>
      </w:r>
      <w:r w:rsidRPr="002C6821">
        <w:rPr>
          <w:rFonts w:asciiTheme="minorHAnsi" w:eastAsiaTheme="minorHAnsi" w:hAnsiTheme="minorHAnsi" w:cstheme="minorHAnsi"/>
          <w:sz w:val="20"/>
          <w:szCs w:val="20"/>
          <w:lang w:val="en-GB"/>
        </w:rPr>
        <w:t>and neuroimaging in these cases may be warranted.</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14</w:t>
      </w:r>
      <w:r w:rsidR="002C6821" w:rsidRPr="002C6821">
        <w:rPr>
          <w:rFonts w:asciiTheme="minorHAnsi" w:eastAsiaTheme="minorHAnsi" w:hAnsiTheme="minorHAnsi" w:cstheme="minorHAnsi"/>
          <w:sz w:val="20"/>
          <w:szCs w:val="20"/>
          <w:lang w:val="en-GB"/>
        </w:rPr>
        <w:t>)</w:t>
      </w:r>
      <w:r w:rsidRPr="002C6821">
        <w:rPr>
          <w:rFonts w:asciiTheme="minorHAnsi" w:eastAsiaTheme="minorHAnsi" w:hAnsiTheme="minorHAnsi" w:cstheme="minorHAnsi"/>
          <w:sz w:val="20"/>
          <w:szCs w:val="20"/>
          <w:lang w:val="en-GB"/>
        </w:rPr>
        <w:t xml:space="preserve"> Although</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the ciTBI rate in our cohort was high (4.3%), this was largely</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driven by the admission of neon</w:t>
      </w:r>
      <w:r w:rsidR="002C6821" w:rsidRPr="002C6821">
        <w:rPr>
          <w:rFonts w:asciiTheme="minorHAnsi" w:eastAsiaTheme="minorHAnsi" w:hAnsiTheme="minorHAnsi" w:cstheme="minorHAnsi"/>
          <w:sz w:val="20"/>
          <w:szCs w:val="20"/>
          <w:lang w:val="en-GB"/>
        </w:rPr>
        <w:t xml:space="preserve">ates with TBI for two nights or </w:t>
      </w:r>
      <w:r w:rsidRPr="002C6821">
        <w:rPr>
          <w:rFonts w:asciiTheme="minorHAnsi" w:eastAsiaTheme="minorHAnsi" w:hAnsiTheme="minorHAnsi" w:cstheme="minorHAnsi"/>
          <w:sz w:val="20"/>
          <w:szCs w:val="20"/>
          <w:lang w:val="en-GB"/>
        </w:rPr>
        <w:t>more and may therefore represent increased concern by treating</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clinicians for potential sequelae</w:t>
      </w:r>
      <w:r w:rsidR="002C6821" w:rsidRPr="002C6821">
        <w:rPr>
          <w:rFonts w:asciiTheme="minorHAnsi" w:eastAsiaTheme="minorHAnsi" w:hAnsiTheme="minorHAnsi" w:cstheme="minorHAnsi"/>
          <w:sz w:val="20"/>
          <w:szCs w:val="20"/>
          <w:lang w:val="en-GB"/>
        </w:rPr>
        <w:t xml:space="preserve"> in this young age group rather </w:t>
      </w:r>
      <w:r w:rsidRPr="002C6821">
        <w:rPr>
          <w:rFonts w:asciiTheme="minorHAnsi" w:eastAsiaTheme="minorHAnsi" w:hAnsiTheme="minorHAnsi" w:cstheme="minorHAnsi"/>
          <w:sz w:val="20"/>
          <w:szCs w:val="20"/>
          <w:lang w:val="en-GB"/>
        </w:rPr>
        <w:t>than more severe head injuries.</w:t>
      </w:r>
    </w:p>
    <w:p w14:paraId="0E3DF754" w14:textId="4BF1C08B" w:rsidR="002C6821"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The gold standard imaging for paed</w:t>
      </w:r>
      <w:r w:rsidR="002C6821" w:rsidRPr="002C6821">
        <w:rPr>
          <w:rFonts w:asciiTheme="minorHAnsi" w:eastAsiaTheme="minorHAnsi" w:hAnsiTheme="minorHAnsi" w:cstheme="minorHAnsi"/>
          <w:sz w:val="20"/>
          <w:szCs w:val="20"/>
          <w:lang w:val="en-GB"/>
        </w:rPr>
        <w:t xml:space="preserve">iatric TBI is CT but it carries </w:t>
      </w:r>
      <w:r w:rsidRPr="002C6821">
        <w:rPr>
          <w:rFonts w:asciiTheme="minorHAnsi" w:eastAsiaTheme="minorHAnsi" w:hAnsiTheme="minorHAnsi" w:cstheme="minorHAnsi"/>
          <w:sz w:val="20"/>
          <w:szCs w:val="20"/>
          <w:lang w:val="en-GB"/>
        </w:rPr>
        <w:t>risks of ionising radiation.</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10–13</w:t>
      </w:r>
      <w:r w:rsidR="002C6821" w:rsidRPr="002C6821">
        <w:rPr>
          <w:rFonts w:asciiTheme="minorHAnsi" w:eastAsiaTheme="minorHAnsi" w:hAnsiTheme="minorHAnsi" w:cstheme="minorHAnsi"/>
          <w:sz w:val="20"/>
          <w:szCs w:val="20"/>
          <w:lang w:val="en-GB"/>
        </w:rPr>
        <w:t>)</w:t>
      </w:r>
      <w:r w:rsidRPr="002C6821">
        <w:rPr>
          <w:rFonts w:asciiTheme="minorHAnsi" w:eastAsiaTheme="minorHAnsi" w:hAnsiTheme="minorHAnsi" w:cstheme="minorHAnsi"/>
          <w:sz w:val="20"/>
          <w:szCs w:val="20"/>
          <w:lang w:val="en-GB"/>
        </w:rPr>
        <w:t xml:space="preserve"> Many CDRs have been devised to</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help clinicians decide if a CT scan is required.</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9,26–29,42,43</w:t>
      </w:r>
      <w:r w:rsidR="002C6821" w:rsidRPr="002C6821">
        <w:rPr>
          <w:rFonts w:asciiTheme="minorHAnsi" w:eastAsiaTheme="minorHAnsi" w:hAnsiTheme="minorHAnsi" w:cstheme="minorHAnsi"/>
          <w:sz w:val="20"/>
          <w:szCs w:val="20"/>
          <w:lang w:val="en-GB"/>
        </w:rPr>
        <w:t>) In addition t</w:t>
      </w:r>
      <w:r w:rsidRPr="002C6821">
        <w:rPr>
          <w:rFonts w:asciiTheme="minorHAnsi" w:eastAsiaTheme="minorHAnsi" w:hAnsiTheme="minorHAnsi" w:cstheme="minorHAnsi"/>
          <w:sz w:val="20"/>
          <w:szCs w:val="20"/>
          <w:lang w:val="en-GB"/>
        </w:rPr>
        <w:t xml:space="preserve">o being able to identify skull fractures, </w:t>
      </w:r>
      <w:r w:rsidR="002C6821" w:rsidRPr="002C6821">
        <w:rPr>
          <w:rFonts w:asciiTheme="minorHAnsi" w:eastAsiaTheme="minorHAnsi" w:hAnsiTheme="minorHAnsi" w:cstheme="minorHAnsi"/>
          <w:sz w:val="20"/>
          <w:szCs w:val="20"/>
          <w:lang w:val="en-GB"/>
        </w:rPr>
        <w:t xml:space="preserve">in neonates the open </w:t>
      </w:r>
      <w:r w:rsidRPr="002C6821">
        <w:rPr>
          <w:rFonts w:asciiTheme="minorHAnsi" w:eastAsiaTheme="minorHAnsi" w:hAnsiTheme="minorHAnsi" w:cstheme="minorHAnsi"/>
          <w:sz w:val="20"/>
          <w:szCs w:val="20"/>
          <w:lang w:val="en-GB"/>
        </w:rPr>
        <w:t>fontanelle may allow the use of ultrasound to investigate if there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is an intracranial injury. In our</w:t>
      </w:r>
      <w:r w:rsidR="002C6821" w:rsidRPr="002C6821">
        <w:rPr>
          <w:rFonts w:asciiTheme="minorHAnsi" w:eastAsiaTheme="minorHAnsi" w:hAnsiTheme="minorHAnsi" w:cstheme="minorHAnsi"/>
          <w:sz w:val="20"/>
          <w:szCs w:val="20"/>
          <w:lang w:val="en-GB"/>
        </w:rPr>
        <w:t xml:space="preserve"> study, four neonates underwent </w:t>
      </w:r>
      <w:r w:rsidRPr="002C6821">
        <w:rPr>
          <w:rFonts w:asciiTheme="minorHAnsi" w:eastAsiaTheme="minorHAnsi" w:hAnsiTheme="minorHAnsi" w:cstheme="minorHAnsi"/>
          <w:sz w:val="20"/>
          <w:szCs w:val="20"/>
          <w:lang w:val="en-GB"/>
        </w:rPr>
        <w:t>transfontanelle ultrasound with</w:t>
      </w:r>
      <w:r w:rsidR="002C6821" w:rsidRPr="002C6821">
        <w:rPr>
          <w:rFonts w:asciiTheme="minorHAnsi" w:eastAsiaTheme="minorHAnsi" w:hAnsiTheme="minorHAnsi" w:cstheme="minorHAnsi"/>
          <w:sz w:val="20"/>
          <w:szCs w:val="20"/>
          <w:lang w:val="en-GB"/>
        </w:rPr>
        <w:t xml:space="preserve"> two showing TBI on ultrasound, </w:t>
      </w:r>
      <w:r w:rsidRPr="002C6821">
        <w:rPr>
          <w:rFonts w:asciiTheme="minorHAnsi" w:eastAsiaTheme="minorHAnsi" w:hAnsiTheme="minorHAnsi" w:cstheme="minorHAnsi"/>
          <w:sz w:val="20"/>
          <w:szCs w:val="20"/>
          <w:lang w:val="en-GB"/>
        </w:rPr>
        <w:t>which was confirmed by CT scan. The role of ultrasound as a safe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(lack of radiation), cost-effective tool in the diagnosis and</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management</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of TBI</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44</w:t>
      </w:r>
      <w:r w:rsidR="002C6821" w:rsidRPr="002C6821">
        <w:rPr>
          <w:rFonts w:asciiTheme="minorHAnsi" w:eastAsiaTheme="minorHAnsi" w:hAnsiTheme="minorHAnsi" w:cstheme="minorHAnsi"/>
          <w:sz w:val="20"/>
          <w:szCs w:val="20"/>
          <w:lang w:val="en-GB"/>
        </w:rPr>
        <w:t>)</w:t>
      </w:r>
      <w:r w:rsidRPr="002C6821">
        <w:rPr>
          <w:rFonts w:asciiTheme="minorHAnsi" w:eastAsiaTheme="minorHAnsi" w:hAnsiTheme="minorHAnsi" w:cstheme="minorHAnsi"/>
          <w:sz w:val="20"/>
          <w:szCs w:val="20"/>
          <w:lang w:val="en-GB"/>
        </w:rPr>
        <w:t xml:space="preserve"> and sku</w:t>
      </w:r>
      <w:r w:rsidR="002C6821" w:rsidRPr="002C6821">
        <w:rPr>
          <w:rFonts w:asciiTheme="minorHAnsi" w:eastAsiaTheme="minorHAnsi" w:hAnsiTheme="minorHAnsi" w:cstheme="minorHAnsi"/>
          <w:sz w:val="20"/>
          <w:szCs w:val="20"/>
          <w:lang w:val="en-GB"/>
        </w:rPr>
        <w:t xml:space="preserve">ll fractures (45,46) remains to be </w:t>
      </w:r>
      <w:r w:rsidRPr="002C6821">
        <w:rPr>
          <w:rFonts w:asciiTheme="minorHAnsi" w:eastAsiaTheme="minorHAnsi" w:hAnsiTheme="minorHAnsi" w:cstheme="minorHAnsi"/>
          <w:sz w:val="20"/>
          <w:szCs w:val="20"/>
          <w:lang w:val="en-GB"/>
        </w:rPr>
        <w:t>determined.</w:t>
      </w:r>
    </w:p>
    <w:p w14:paraId="22A048E8" w14:textId="40D79F04"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This study had some limitations. The coding of the injury</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mechanism depended on local research staff being able to extract</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relevant information from the medi</w:t>
      </w:r>
      <w:r w:rsidR="002C6821" w:rsidRPr="002C6821">
        <w:rPr>
          <w:rFonts w:asciiTheme="minorHAnsi" w:eastAsiaTheme="minorHAnsi" w:hAnsiTheme="minorHAnsi" w:cstheme="minorHAnsi"/>
          <w:sz w:val="20"/>
          <w:szCs w:val="20"/>
          <w:lang w:val="en-GB"/>
        </w:rPr>
        <w:t xml:space="preserve">cal records at the time of data </w:t>
      </w:r>
      <w:r w:rsidRPr="002C6821">
        <w:rPr>
          <w:rFonts w:asciiTheme="minorHAnsi" w:eastAsiaTheme="minorHAnsi" w:hAnsiTheme="minorHAnsi" w:cstheme="minorHAnsi"/>
          <w:sz w:val="20"/>
          <w:szCs w:val="20"/>
          <w:lang w:val="en-GB"/>
        </w:rPr>
        <w:t>collection. If not recorded these data could not be extracted. Our</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study was not designed to capture neonates who are admitted</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 xml:space="preserve">with medical issues unrelated to head </w:t>
      </w:r>
      <w:r w:rsidR="002C6821" w:rsidRPr="002C6821">
        <w:rPr>
          <w:rFonts w:asciiTheme="minorHAnsi" w:eastAsiaTheme="minorHAnsi" w:hAnsiTheme="minorHAnsi" w:cstheme="minorHAnsi"/>
          <w:sz w:val="20"/>
          <w:szCs w:val="20"/>
          <w:lang w:val="en-GB"/>
        </w:rPr>
        <w:t xml:space="preserve">injuries but are later found </w:t>
      </w:r>
      <w:r w:rsidRPr="002C6821">
        <w:rPr>
          <w:rFonts w:asciiTheme="minorHAnsi" w:eastAsiaTheme="minorHAnsi" w:hAnsiTheme="minorHAnsi" w:cstheme="minorHAnsi"/>
          <w:sz w:val="20"/>
          <w:szCs w:val="20"/>
          <w:lang w:val="en-GB"/>
        </w:rPr>
        <w:t>to have non-accidental head injuries. This may underestimate the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prevalence of non-accidental trauma. We did not collect information</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on why clinicians chose one imaging modality over another.</w:t>
      </w:r>
    </w:p>
    <w:p w14:paraId="01FEFB1E" w14:textId="7CB9DB7D"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Our data were focused on short term outcomes and we do not</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know the longer-term outcome of neonatal head injuries.</w:t>
      </w:r>
    </w:p>
    <w:p w14:paraId="29FA4039" w14:textId="592403EB" w:rsidR="00920604" w:rsidRPr="002C6821" w:rsidRDefault="00C76CA5" w:rsidP="00C76CA5">
      <w:pPr>
        <w:spacing w:line="360" w:lineRule="auto"/>
        <w:rPr>
          <w:rFonts w:asciiTheme="minorHAnsi" w:hAnsiTheme="minorHAnsi" w:cstheme="minorHAnsi"/>
          <w:b/>
          <w:bCs/>
          <w:sz w:val="20"/>
          <w:szCs w:val="20"/>
        </w:rPr>
      </w:pPr>
      <w:r>
        <w:rPr>
          <w:rFonts w:asciiTheme="minorHAnsi" w:hAnsiTheme="minorHAnsi" w:cstheme="minorHAnsi"/>
          <w:b/>
          <w:bCs/>
          <w:sz w:val="20"/>
          <w:szCs w:val="20"/>
        </w:rPr>
        <w:t>CONCLUSIONS</w:t>
      </w:r>
    </w:p>
    <w:p w14:paraId="1A6ED0F6" w14:textId="7853B817" w:rsidR="00920604" w:rsidRPr="002C6821" w:rsidRDefault="00920604" w:rsidP="002C6821">
      <w:pPr>
        <w:autoSpaceDE w:val="0"/>
        <w:autoSpaceDN w:val="0"/>
        <w:adjustRightInd w:val="0"/>
        <w:spacing w:after="240" w:line="360" w:lineRule="auto"/>
        <w:rPr>
          <w:rFonts w:asciiTheme="minorHAnsi" w:eastAsiaTheme="minorHAnsi" w:hAnsiTheme="minorHAnsi" w:cstheme="minorHAnsi"/>
          <w:sz w:val="20"/>
          <w:szCs w:val="20"/>
          <w:lang w:val="en-GB"/>
        </w:rPr>
      </w:pPr>
      <w:r w:rsidRPr="002C6821">
        <w:rPr>
          <w:rFonts w:asciiTheme="minorHAnsi" w:eastAsiaTheme="minorHAnsi" w:hAnsiTheme="minorHAnsi" w:cstheme="minorHAnsi"/>
          <w:sz w:val="20"/>
          <w:szCs w:val="20"/>
          <w:lang w:val="en-GB"/>
        </w:rPr>
        <w:t>Neonatal head injuries predominantly occurred after falls from</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care giver’s arms and have a mostly benign short term outcome</w:t>
      </w:r>
      <w:r w:rsidR="002C6821" w:rsidRPr="002C6821">
        <w:rPr>
          <w:rFonts w:asciiTheme="minorHAnsi" w:eastAsiaTheme="minorHAnsi" w:hAnsiTheme="minorHAnsi" w:cstheme="minorHAnsi"/>
          <w:sz w:val="20"/>
          <w:szCs w:val="20"/>
          <w:lang w:val="en-GB"/>
        </w:rPr>
        <w:t xml:space="preserve"> </w:t>
      </w:r>
      <w:r w:rsidRPr="002C6821">
        <w:rPr>
          <w:rFonts w:asciiTheme="minorHAnsi" w:eastAsiaTheme="minorHAnsi" w:hAnsiTheme="minorHAnsi" w:cstheme="minorHAnsi"/>
          <w:sz w:val="20"/>
          <w:szCs w:val="20"/>
          <w:lang w:val="en-GB"/>
        </w:rPr>
        <w:t>that is appropriate for observation. H</w:t>
      </w:r>
      <w:r w:rsidR="002C6821" w:rsidRPr="002C6821">
        <w:rPr>
          <w:rFonts w:asciiTheme="minorHAnsi" w:eastAsiaTheme="minorHAnsi" w:hAnsiTheme="minorHAnsi" w:cstheme="minorHAnsi"/>
          <w:sz w:val="20"/>
          <w:szCs w:val="20"/>
          <w:lang w:val="en-GB"/>
        </w:rPr>
        <w:t xml:space="preserve">owever, non-accidental injuries </w:t>
      </w:r>
      <w:r w:rsidRPr="002C6821">
        <w:rPr>
          <w:rFonts w:asciiTheme="minorHAnsi" w:eastAsiaTheme="minorHAnsi" w:hAnsiTheme="minorHAnsi" w:cstheme="minorHAnsi"/>
          <w:sz w:val="20"/>
          <w:szCs w:val="20"/>
          <w:lang w:val="en-GB"/>
        </w:rPr>
        <w:t>remain an important cause of</w:t>
      </w:r>
      <w:r w:rsidR="002C6821" w:rsidRPr="002C6821">
        <w:rPr>
          <w:rFonts w:asciiTheme="minorHAnsi" w:eastAsiaTheme="minorHAnsi" w:hAnsiTheme="minorHAnsi" w:cstheme="minorHAnsi"/>
          <w:sz w:val="20"/>
          <w:szCs w:val="20"/>
          <w:lang w:val="en-GB"/>
        </w:rPr>
        <w:t xml:space="preserve"> serious head injury in infants </w:t>
      </w:r>
      <w:r w:rsidRPr="002C6821">
        <w:rPr>
          <w:rFonts w:asciiTheme="minorHAnsi" w:eastAsiaTheme="minorHAnsi" w:hAnsiTheme="minorHAnsi" w:cstheme="minorHAnsi"/>
          <w:sz w:val="20"/>
          <w:szCs w:val="20"/>
          <w:lang w:val="en-GB"/>
        </w:rPr>
        <w:t>but were rare in our cohort.</w:t>
      </w:r>
    </w:p>
    <w:p w14:paraId="2303B767" w14:textId="77777777" w:rsidR="007D6D6C" w:rsidRPr="002C6821" w:rsidRDefault="007D6D6C" w:rsidP="002C6821">
      <w:pPr>
        <w:pStyle w:val="f-body--xs"/>
        <w:shd w:val="clear" w:color="auto" w:fill="FFFFFF"/>
        <w:spacing w:before="0" w:beforeAutospacing="0" w:after="240" w:afterAutospacing="0" w:line="360" w:lineRule="auto"/>
        <w:textAlignment w:val="baseline"/>
        <w:rPr>
          <w:rFonts w:asciiTheme="minorHAnsi" w:hAnsiTheme="minorHAnsi" w:cstheme="minorHAnsi"/>
        </w:rPr>
      </w:pPr>
    </w:p>
    <w:p w14:paraId="6B816E60" w14:textId="77777777" w:rsidR="002D71D9" w:rsidRDefault="002D71D9">
      <w:pPr>
        <w:spacing w:after="160" w:line="259" w:lineRule="auto"/>
        <w:rPr>
          <w:rFonts w:asciiTheme="minorHAnsi" w:eastAsiaTheme="minorHAnsi" w:hAnsiTheme="minorHAnsi" w:cstheme="minorHAnsi"/>
          <w:b/>
          <w:sz w:val="20"/>
          <w:szCs w:val="20"/>
        </w:rPr>
      </w:pPr>
      <w:r>
        <w:rPr>
          <w:rFonts w:asciiTheme="minorHAnsi" w:hAnsiTheme="minorHAnsi" w:cstheme="minorHAnsi"/>
          <w:b/>
        </w:rPr>
        <w:br w:type="page"/>
      </w:r>
    </w:p>
    <w:p w14:paraId="5F1B0D7B" w14:textId="2CEBC215" w:rsidR="004F4EC5" w:rsidRPr="002C6821" w:rsidRDefault="004F4EC5" w:rsidP="002C6821">
      <w:pPr>
        <w:pStyle w:val="f-body--xs"/>
        <w:shd w:val="clear" w:color="auto" w:fill="FFFFFF"/>
        <w:spacing w:before="0" w:beforeAutospacing="0" w:after="240" w:afterAutospacing="0" w:line="300" w:lineRule="atLeast"/>
        <w:textAlignment w:val="baseline"/>
        <w:rPr>
          <w:rFonts w:asciiTheme="minorHAnsi" w:hAnsiTheme="minorHAnsi" w:cstheme="minorHAnsi"/>
          <w:b/>
        </w:rPr>
      </w:pPr>
      <w:r w:rsidRPr="002C6821">
        <w:rPr>
          <w:rFonts w:asciiTheme="minorHAnsi" w:hAnsiTheme="minorHAnsi" w:cstheme="minorHAnsi"/>
          <w:b/>
        </w:rPr>
        <w:lastRenderedPageBreak/>
        <w:t>REFERENCES</w:t>
      </w:r>
    </w:p>
    <w:p w14:paraId="41495735" w14:textId="27FB3876" w:rsidR="00C76CA5" w:rsidRPr="00C76CA5" w:rsidRDefault="00C76CA5" w:rsidP="007D4CEF">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Standring S. Gray’s Anatomy, 40th edn, 416–8. New York, NY:</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Churchchill Livingstone; 2008.</w:t>
      </w:r>
    </w:p>
    <w:p w14:paraId="73C2B924" w14:textId="2805ACBC" w:rsidR="00C76CA5" w:rsidRPr="00C76CA5" w:rsidRDefault="00C76CA5" w:rsidP="00366190">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Pinto PS, Poretti A, Moeded A, Tekes A, Huisman TA. The unique</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features of traumatic brain injury in children. Review of the</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characteristics of the pediatric skull and brain, mechanisms of</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trauma, patterns of injury, complications and their imaging findings –</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Part 1. J. Neuroimaging 2012; 22: e1–e17.</w:t>
      </w:r>
    </w:p>
    <w:p w14:paraId="5922AF24" w14:textId="4C1950EC" w:rsidR="00C76CA5" w:rsidRPr="00C76CA5" w:rsidRDefault="00C76CA5" w:rsidP="004B3AE6">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Case ME. Abusive head injuries in infants and young children. Leg.</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Med. 2007; 9: 83–7.</w:t>
      </w:r>
    </w:p>
    <w:p w14:paraId="622B4990" w14:textId="066A8C70" w:rsidR="00C76CA5" w:rsidRPr="00C76CA5" w:rsidRDefault="00C76CA5" w:rsidP="00A5686F">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Figaji AA. Anatomical and physiological differences between children</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and adults relevant to traumatic brain injury and the implications for</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clinical assessment and care. Front. Neurol. 2017; 8: 685.</w:t>
      </w:r>
    </w:p>
    <w:p w14:paraId="14735DB4" w14:textId="556EE063" w:rsidR="00C76CA5" w:rsidRPr="00C76CA5" w:rsidRDefault="00C76CA5" w:rsidP="00125295">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Greenes DS, Schultzman SA. Occult intracranial injury in infants. Ann.</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Emerg. Med. 1998; 32: 680–6.</w:t>
      </w:r>
    </w:p>
    <w:p w14:paraId="40CD0526" w14:textId="713ABEC6" w:rsidR="00C76CA5" w:rsidRPr="00C76CA5" w:rsidRDefault="00C76CA5" w:rsidP="003309DE">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Schutzman SA, Barnes P, Duhaime AC et al. Evaluation and management</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of children younger than two years old with apparently minor</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head trauma: Proposed guidelines. Pediatrics 2001; 107: 983–93.</w:t>
      </w:r>
    </w:p>
    <w:p w14:paraId="7D688B1D" w14:textId="0B2435BD" w:rsidR="00C76CA5" w:rsidRPr="00C76CA5" w:rsidRDefault="00C76CA5" w:rsidP="00673667">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Schnadower D, Vazquez H, Lee J, Dayan P, Roskind CG. Controversies</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in the evaluation and management of minor blunt head trauma in</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children. Curr. Opin. Pediatr. 2007; 19: 258–64.</w:t>
      </w:r>
    </w:p>
    <w:p w14:paraId="5B014472" w14:textId="3B6B11BA" w:rsidR="00C76CA5" w:rsidRPr="00C76CA5" w:rsidRDefault="00C76CA5" w:rsidP="00F17A9D">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Willis AP, Latif SA, Chandratre S, Stanhope B, Johnson K. Not a NICE CT</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protocol for the acutely head injured child. Clin. Radiol. 2008; 63: 165–9.</w:t>
      </w:r>
    </w:p>
    <w:p w14:paraId="4DDD0819" w14:textId="3801C7C0" w:rsidR="00C76CA5" w:rsidRPr="00C76CA5" w:rsidRDefault="00C76CA5" w:rsidP="00B423DB">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Kuppermann N, Holmes JF, Dayan PS et al. Identification of children at</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very low risk of clinically-important traumatic brain injuries after head</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trauma: a prospective cohort study. Lancet 2009; 374: 1160–70.</w:t>
      </w:r>
    </w:p>
    <w:p w14:paraId="2F043D60" w14:textId="2BBD2425" w:rsidR="00C76CA5" w:rsidRPr="00C76CA5" w:rsidRDefault="00C76CA5" w:rsidP="0097498D">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Brenner DJ, Hall EJ. Computed tomography—An increasing source of</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radiation exposure. N. Engl. J. Med. 2007; 22: 2277–84.</w:t>
      </w:r>
    </w:p>
    <w:p w14:paraId="258DA785" w14:textId="12C5E2FA" w:rsidR="00C76CA5" w:rsidRPr="00C76CA5" w:rsidRDefault="00C76CA5" w:rsidP="00C56BFA">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Pearce MS, Salotti JA, Little MP et al. Radiation exposure from CT</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scans in childhood and subsequent risk of leukaemia and brain</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tumours: A retrospective. Lancet 2012; 380: 499–505.</w:t>
      </w:r>
    </w:p>
    <w:p w14:paraId="07A2A113" w14:textId="3F30B372" w:rsidR="00C76CA5" w:rsidRPr="00C76CA5" w:rsidRDefault="00C76CA5" w:rsidP="00621826">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Miglioretti DL, Johnson E, Williams A et al. The use of computed</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tomography in pediatrics and the associated radiation exposure and</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estimated cancer risk. JAMA Pediatr. 2013; 167: 700–7.</w:t>
      </w:r>
    </w:p>
    <w:p w14:paraId="161AA2F9" w14:textId="58A2C849" w:rsidR="00C76CA5" w:rsidRPr="00C76CA5" w:rsidRDefault="00C76CA5" w:rsidP="003A4B4A">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Mathews JD, Forsythe AV, Brady Z et al. Cancer risk in 680 000 people</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exposed to computed tomography scans in childhood or adolescence:</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Data linkage study of 11 million Australians. BMJ 2013; 346: 2360.</w:t>
      </w:r>
    </w:p>
    <w:p w14:paraId="4D50947A" w14:textId="6A504ABA" w:rsidR="00C76CA5" w:rsidRPr="00C76CA5" w:rsidRDefault="00C76CA5" w:rsidP="003A3937">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Ryan ME, Palasis S, Saigal G et al. ACR appropriateness criteria head</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trauma – Child. J. Am. Coll. Radiol. 2014; 11: 939–47.</w:t>
      </w:r>
    </w:p>
    <w:p w14:paraId="31330D5D" w14:textId="1E8D927C" w:rsidR="00C76CA5" w:rsidRPr="00C76CA5" w:rsidRDefault="00C76CA5" w:rsidP="00A20E28">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van Wezel-Meijler G, Steggerda SJ, Leijser LM. Cranial ultrasonography</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in neonates: Roles and limitations. Semin. Periantol. 2010; 34: 28–38.</w:t>
      </w:r>
    </w:p>
    <w:p w14:paraId="12AD8015" w14:textId="52B012B5" w:rsidR="00C76CA5" w:rsidRPr="00C76CA5" w:rsidRDefault="00C76CA5" w:rsidP="007A4782">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Kemp AM, Jaspan T, Griffiths J et al. Neuroimaging: What neuroradiological</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features distinguish abusive from non-abusive head trauma? A</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systematic review. Arch. Dis. Child. 2011; 96: 1103–12.</w:t>
      </w:r>
    </w:p>
    <w:p w14:paraId="633230E3" w14:textId="2972A730" w:rsidR="00C76CA5" w:rsidRPr="00C76CA5" w:rsidRDefault="00C76CA5" w:rsidP="005C562D">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Greenes DS, Schultzman SA. Clinical significance of scalp abnormalities</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in asymptomatic head-injured infants. Pediatr. Emerg. Care 2001;</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17: 88–92.</w:t>
      </w:r>
    </w:p>
    <w:p w14:paraId="06513B25" w14:textId="70E11C36" w:rsidR="00C76CA5" w:rsidRPr="00C76CA5" w:rsidRDefault="00C76CA5" w:rsidP="00BE7B06">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Dayan PS, Holmes JF, Schutzman S et al. Risk of traumatic brain injuries</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in children younger than 24 months with isolated scalp hematomas.</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Ann. Emerg. Med. 2014; 64: 153–62.</w:t>
      </w:r>
    </w:p>
    <w:p w14:paraId="32C6FD6C" w14:textId="492F1207" w:rsidR="00C76CA5" w:rsidRPr="00C76CA5" w:rsidRDefault="00C76CA5" w:rsidP="003D1BDF">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Crowe L, Babl F, Anderson V, Catroppa C. The epidemiology of paediatric</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head injuries: Data from a referral centre in Victoria, Australia.</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J. Paediatr. Child Health 2009; 45: 346–50.</w:t>
      </w:r>
    </w:p>
    <w:p w14:paraId="515FB3E7" w14:textId="1547BB47" w:rsidR="00C76CA5" w:rsidRPr="00C76CA5" w:rsidRDefault="00C76CA5" w:rsidP="0075658A">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lastRenderedPageBreak/>
        <w:t>Agran PF, Anderson C, Winn D, Trent R, Walton-Haynes L, Thayer S.</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Rates of pediatric injuries by 3-month intervals for children 0 to</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3 years of age. Pediatrics 2003; 111: e683–92.</w:t>
      </w:r>
    </w:p>
    <w:p w14:paraId="2CFA7BB4" w14:textId="5C8011B6" w:rsidR="00C76CA5" w:rsidRPr="00C76CA5" w:rsidRDefault="00C76CA5" w:rsidP="000F4355">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Overpeck MD, Brenner RA, Trumble AC, Trifletti LB, Berendes HW. Risk</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factors for infant homicide in the United States. N. Engl. J. Med.</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1998; 339: 1211–6.</w:t>
      </w:r>
    </w:p>
    <w:p w14:paraId="7ECE97A2" w14:textId="5A4F6C3D" w:rsidR="00C76CA5" w:rsidRPr="00C76CA5" w:rsidRDefault="00C76CA5" w:rsidP="00C75D41">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Eisele JA, Kegler SR, Trent RB, Coronado VG. Nonfatal traumatic brain</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injury-related hospitalization in very young children-15 states, 1999.</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J. Head Trauma Rehabil. 2006; 21: 537–43.</w:t>
      </w:r>
    </w:p>
    <w:p w14:paraId="3ECD8517" w14:textId="2F8455DC" w:rsidR="00C76CA5" w:rsidRPr="00C76CA5" w:rsidRDefault="00C76CA5" w:rsidP="006F30E2">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Graham CA, O’Toole SJ, Haddock G. Neonatal head injuries. J. Accid.</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Emerg. Med. 2000; 17: 334–6.</w:t>
      </w:r>
    </w:p>
    <w:p w14:paraId="364A5FAB" w14:textId="5956CF26" w:rsidR="00C76CA5" w:rsidRPr="00C76CA5" w:rsidRDefault="00C76CA5" w:rsidP="00BF49A5">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C76CA5">
        <w:rPr>
          <w:rFonts w:asciiTheme="minorHAnsi" w:eastAsiaTheme="minorHAnsi" w:hAnsiTheme="minorHAnsi" w:cstheme="minorHAnsi"/>
          <w:sz w:val="20"/>
          <w:szCs w:val="20"/>
          <w:lang w:val="en-GB"/>
        </w:rPr>
        <w:t>Khan DJ, Fisher PD, Hertzler DA. Variation in management of inhospital</w:t>
      </w:r>
      <w:r w:rsidRPr="00C76CA5">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newborn falls: A single-center experience. J. Neurosurg.</w:t>
      </w:r>
      <w:r>
        <w:rPr>
          <w:rFonts w:asciiTheme="minorHAnsi" w:eastAsiaTheme="minorHAnsi" w:hAnsiTheme="minorHAnsi" w:cstheme="minorHAnsi"/>
          <w:sz w:val="20"/>
          <w:szCs w:val="20"/>
          <w:lang w:val="en-GB"/>
        </w:rPr>
        <w:t xml:space="preserve"> </w:t>
      </w:r>
      <w:r w:rsidRPr="00C76CA5">
        <w:rPr>
          <w:rFonts w:asciiTheme="minorHAnsi" w:eastAsiaTheme="minorHAnsi" w:hAnsiTheme="minorHAnsi" w:cstheme="minorHAnsi"/>
          <w:sz w:val="20"/>
          <w:szCs w:val="20"/>
          <w:lang w:val="en-GB"/>
        </w:rPr>
        <w:t>Pediatr. 2017; 20: 176–82.</w:t>
      </w:r>
    </w:p>
    <w:p w14:paraId="52B5CCAB" w14:textId="1F0107FF" w:rsidR="00C76CA5" w:rsidRPr="002D71D9" w:rsidRDefault="00C76CA5" w:rsidP="00BD5BC5">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Babl F, Borland M, Ngo P et al. Paediatric research in emergency</w:t>
      </w:r>
      <w:r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departments international collaborative (PREDICT): First steps</w:t>
      </w:r>
      <w:r w:rsidR="002D71D9" w:rsidRPr="002D71D9">
        <w:rPr>
          <w:rFonts w:asciiTheme="minorHAnsi" w:eastAsiaTheme="minorHAnsi" w:hAnsiTheme="minorHAnsi" w:cstheme="minorHAnsi"/>
          <w:sz w:val="20"/>
          <w:szCs w:val="20"/>
          <w:lang w:val="en-GB"/>
        </w:rPr>
        <w:t xml:space="preserve"> t</w:t>
      </w:r>
      <w:r w:rsidRPr="002D71D9">
        <w:rPr>
          <w:rFonts w:asciiTheme="minorHAnsi" w:eastAsiaTheme="minorHAnsi" w:hAnsiTheme="minorHAnsi" w:cstheme="minorHAnsi"/>
          <w:sz w:val="20"/>
          <w:szCs w:val="20"/>
          <w:lang w:val="en-GB"/>
        </w:rPr>
        <w:t>owards the development of an Australian and New Zealand research</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network. Emerg. Med. Australas. 2006; 18: 143–7.</w:t>
      </w:r>
    </w:p>
    <w:p w14:paraId="635A3CC6" w14:textId="49AE5473" w:rsidR="00C76CA5" w:rsidRPr="002D71D9" w:rsidRDefault="00C76CA5" w:rsidP="00551265">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Osmond MH, Klassen TP, Wells GA et al. CATCH: A clinical decision</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rule for the use of computed tomography in children with minor head</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injury. CMAJ 2010; 182: 341–8.</w:t>
      </w:r>
    </w:p>
    <w:p w14:paraId="0EFDB746" w14:textId="7784C42C" w:rsidR="00C76CA5" w:rsidRPr="002D71D9" w:rsidRDefault="00C76CA5" w:rsidP="00173EF2">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Dunning J, Daly JP, Lomas JP et al. Derivation of the children’s head</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injury algorithm for the prediction of important clinical events decision</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rule for head injury in children. Arch. Dis. Child. 2006; 91: 885–91.</w:t>
      </w:r>
    </w:p>
    <w:p w14:paraId="5D614D0F" w14:textId="4FA7736A" w:rsidR="00C76CA5" w:rsidRPr="002D71D9" w:rsidRDefault="00C76CA5" w:rsidP="00590CE6">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Babl FE, Lyttle MD, Bressan S et al. A prospective observational study</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to assess the diagnostic accuracy of clinical decision rules for children</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presenting to emergency departments after head injuries (protocol):</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The Australasian Paediatric Head Injury Rules Study (APHIRST).</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BMC Pediatr. 2014; 14: 148.</w:t>
      </w:r>
    </w:p>
    <w:p w14:paraId="1D41A81B" w14:textId="0EF6C3A9" w:rsidR="00C76CA5" w:rsidRPr="002D71D9" w:rsidRDefault="00C76CA5" w:rsidP="001B5ED4">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Babl FE, Borland ML, Phillips N et al. Accuracy of PECARN, CATCH</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and CHALICE head injury decision rules in children: A prospective</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cohort study. Lancet 2017; 389: 2393–402.</w:t>
      </w:r>
    </w:p>
    <w:p w14:paraId="027C0E4B" w14:textId="4422F168" w:rsidR="00C76CA5" w:rsidRPr="002D71D9" w:rsidRDefault="00C76CA5" w:rsidP="006B1DC9">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Reilly P, Simpson O, Sprod R, Thomas L. Assessing the conscious level</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in infants and young children: A pediatric version of Glasgow Coma</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Scale. Childs Nerv. Syst. 1998; 4: 30–3.</w:t>
      </w:r>
    </w:p>
    <w:p w14:paraId="4F66FD29" w14:textId="2C09CD76" w:rsidR="00C76CA5" w:rsidRPr="002D71D9" w:rsidRDefault="00C76CA5" w:rsidP="00DF48FD">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Harris PA, Taylor R, Thielke R, Payne J, Gonzalez N, Conde JG. Research</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electronic data capture (REDCap)—A metadata-driven methodology</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and workflow process for providing translational research informatics</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support. J. Biomed. Inform. 2009; 42: 377–81.</w:t>
      </w:r>
    </w:p>
    <w:p w14:paraId="41F9CA49" w14:textId="3E8D702E" w:rsidR="00C76CA5" w:rsidRPr="002D71D9" w:rsidRDefault="00C76CA5" w:rsidP="0082136C">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Warrington SA, Wright CM; ALSPAC Study Team. Accidents and</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resulting injuries in premobile infants: Data from the ALSPAC study.</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Arch. Dis. Child. 2001; 85: 104–7.</w:t>
      </w:r>
    </w:p>
    <w:p w14:paraId="684D1378" w14:textId="0E24FF7B" w:rsidR="00C76CA5" w:rsidRPr="002D71D9" w:rsidRDefault="00C76CA5" w:rsidP="00137006">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Mulligan CS, Adams S, Tzioumi D, Brown J. Injury from falls in infants</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under one year. J. Paedriatr. Child Health 2017; 53: 754–60.</w:t>
      </w:r>
    </w:p>
    <w:p w14:paraId="071CBF14" w14:textId="2EDBF152" w:rsidR="00C76CA5" w:rsidRPr="002D71D9" w:rsidRDefault="00C76CA5" w:rsidP="00B6319D">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Pointer S. Hospitalised Injury in Children and Young People 2011–12.</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Canberra: Australian Institute of Health and Welfare; 2014.</w:t>
      </w:r>
    </w:p>
    <w:p w14:paraId="1439E78F" w14:textId="72DAF9B0" w:rsidR="00C76CA5" w:rsidRPr="002D71D9" w:rsidRDefault="00C76CA5" w:rsidP="00522A79">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Greenley CS. Abusive head trauma: A review of the evidence base.</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AJR Am. J. Roentgenol. 2015; 5: 967–73.</w:t>
      </w:r>
    </w:p>
    <w:p w14:paraId="049ADE8B" w14:textId="2D0AAC4F" w:rsidR="00C76CA5" w:rsidRPr="002D71D9" w:rsidRDefault="00C76CA5" w:rsidP="00F76E59">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Coats B, Margulies SS. Material properties of human infant skull and</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suture rates. J. Neurotrauma 2006; 23: 1222–32.</w:t>
      </w:r>
    </w:p>
    <w:p w14:paraId="3A723B7B" w14:textId="5F1E994F" w:rsidR="00C76CA5" w:rsidRPr="002D71D9" w:rsidRDefault="00C76CA5" w:rsidP="0040295C">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lastRenderedPageBreak/>
        <w:t>Nadarasa J, Deck C, Meyer F, Willinger R, Raul JS. Update on injury</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mechanisms in abusive head trauma—Shaken baby syndrome.</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Pediatr. Radiol. 2014; 44: S565–70.</w:t>
      </w:r>
    </w:p>
    <w:p w14:paraId="6F43AB82" w14:textId="5F2E6DFC" w:rsidR="00C76CA5" w:rsidRPr="002D71D9" w:rsidRDefault="00C76CA5" w:rsidP="002944DA">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Davies FC, Coats TJ, Fisher R, Lawrence T, Lecky FE. A profile of</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suspected child abuse as a subgroup of major trauma patients.</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Emerg. Med. J. 2015; 32: 921–5.</w:t>
      </w:r>
    </w:p>
    <w:p w14:paraId="5C227828" w14:textId="5DA0EBF9" w:rsidR="00C76CA5" w:rsidRPr="002D71D9" w:rsidRDefault="00C76CA5" w:rsidP="000648B0">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Davies FC, Lecky FE, Fisher R, Fragoso-Iiguez M, Coats TJ. Major</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trauma from suspected child abuse: A profile of the patient pathway.</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Emerg. Med. J. 2017; 34: 562–7.</w:t>
      </w:r>
    </w:p>
    <w:p w14:paraId="596FDEC1" w14:textId="41E52A05" w:rsidR="00C76CA5" w:rsidRPr="002D71D9" w:rsidRDefault="00C76CA5" w:rsidP="00ED2073">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Deans KJ, Minneci PC, Lowell W, Groner JL. Increased morbidity and</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mortality of TBI in victim of nonaccidental trauma. J. Trauma Acute</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Care Surg. 2013; 75: 157–60.</w:t>
      </w:r>
    </w:p>
    <w:p w14:paraId="50FB8BD2" w14:textId="45725D55" w:rsidR="00C76CA5" w:rsidRPr="002D71D9" w:rsidRDefault="00C76CA5" w:rsidP="009C7870">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Stanley RM, Hoyle JD Jr, Dayan PS et al. Emergency department practice</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variation in computed tomography use for children with minor</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blunt head trauma. J. Pediatr. 2014; 165: 1201–6.</w:t>
      </w:r>
    </w:p>
    <w:p w14:paraId="4ACCE98A" w14:textId="7D631015" w:rsidR="00C76CA5" w:rsidRPr="002D71D9" w:rsidRDefault="00C76CA5" w:rsidP="00920D89">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Lyttle MD, Crowe L, Oakley E, Dunning J, Babl FE. Comparing CATCH,</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CHALICE and PECARN clinical decision rules for paediatric head injuries.</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Emerg. Med. J. 2012; 29: 785–94.</w:t>
      </w:r>
    </w:p>
    <w:p w14:paraId="0BF0CC18" w14:textId="1B22B497" w:rsidR="00C76CA5" w:rsidRPr="002D71D9" w:rsidRDefault="00C76CA5" w:rsidP="00A21718">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Pickering A, Harnan S, Fitzgerald P, Pandor A, Goodacre S. Clinical</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decision rules for children with minor head injury: A systematic</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review. Arch. Dis. Child. 2011; 96: 414–21.</w:t>
      </w:r>
    </w:p>
    <w:p w14:paraId="34AC6694" w14:textId="58087A08" w:rsidR="00C76CA5" w:rsidRPr="002D71D9" w:rsidRDefault="00C76CA5" w:rsidP="001D0300">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Shin SS, Huisman TAGM, Hwang M. Ultrasound imaging for traumatic</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brain injury. J. Ultrasound Med. 2018; 37: 1857–67.</w:t>
      </w:r>
    </w:p>
    <w:p w14:paraId="6E1D57F5" w14:textId="50B0E09F" w:rsidR="00C76CA5" w:rsidRPr="002D71D9" w:rsidRDefault="00C76CA5" w:rsidP="00FC5B78">
      <w:pPr>
        <w:pStyle w:val="ListParagraph"/>
        <w:numPr>
          <w:ilvl w:val="0"/>
          <w:numId w:val="30"/>
        </w:numPr>
        <w:autoSpaceDE w:val="0"/>
        <w:autoSpaceDN w:val="0"/>
        <w:adjustRightInd w:val="0"/>
        <w:spacing w:line="360" w:lineRule="auto"/>
        <w:ind w:left="360"/>
        <w:rPr>
          <w:rFonts w:asciiTheme="minorHAnsi" w:eastAsiaTheme="minorHAnsi" w:hAnsiTheme="minorHAnsi" w:cstheme="minorHAnsi"/>
          <w:sz w:val="20"/>
          <w:szCs w:val="20"/>
          <w:lang w:val="en-GB"/>
        </w:rPr>
      </w:pPr>
      <w:r w:rsidRPr="002D71D9">
        <w:rPr>
          <w:rFonts w:asciiTheme="minorHAnsi" w:eastAsiaTheme="minorHAnsi" w:hAnsiTheme="minorHAnsi" w:cstheme="minorHAnsi"/>
          <w:sz w:val="20"/>
          <w:szCs w:val="20"/>
          <w:lang w:val="en-GB"/>
        </w:rPr>
        <w:t>Choi JY, Lim YS, Jang JH, Park WB, Hyun SY, Cho JS. Accuracy of bedside</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ultrasound for the diagnosis of skull fractures in children aged</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 xml:space="preserve">0 to 4 years. Pediatr. Emerg. Care 2018. </w:t>
      </w:r>
      <w:hyperlink r:id="rId22" w:history="1">
        <w:r w:rsidR="002D71D9" w:rsidRPr="00F34CD4">
          <w:rPr>
            <w:rStyle w:val="Hyperlink"/>
            <w:rFonts w:asciiTheme="minorHAnsi" w:eastAsiaTheme="minorHAnsi" w:hAnsiTheme="minorHAnsi" w:cstheme="minorHAnsi"/>
            <w:sz w:val="20"/>
            <w:szCs w:val="20"/>
            <w:lang w:val="en-GB"/>
          </w:rPr>
          <w:t>https://doi.org/10.1097/PEC</w:t>
        </w:r>
      </w:hyperlink>
      <w:r w:rsidRPr="002D71D9">
        <w:rPr>
          <w:rFonts w:asciiTheme="minorHAnsi" w:eastAsiaTheme="minorHAnsi" w:hAnsiTheme="minorHAnsi" w:cstheme="minorHAnsi"/>
          <w:sz w:val="20"/>
          <w:szCs w:val="20"/>
          <w:lang w:val="en-GB"/>
        </w:rPr>
        <w:t>.</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0000000000001485.</w:t>
      </w:r>
    </w:p>
    <w:p w14:paraId="58265228" w14:textId="02FCC4B3" w:rsidR="00C76CA5" w:rsidRPr="002D71D9" w:rsidRDefault="00C76CA5" w:rsidP="00AC4862">
      <w:pPr>
        <w:pStyle w:val="ListParagraph"/>
        <w:numPr>
          <w:ilvl w:val="0"/>
          <w:numId w:val="30"/>
        </w:numPr>
        <w:shd w:val="clear" w:color="auto" w:fill="FFFFFF"/>
        <w:autoSpaceDE w:val="0"/>
        <w:autoSpaceDN w:val="0"/>
        <w:adjustRightInd w:val="0"/>
        <w:spacing w:after="240" w:line="360" w:lineRule="auto"/>
        <w:ind w:left="360"/>
        <w:textAlignment w:val="baseline"/>
        <w:rPr>
          <w:rFonts w:asciiTheme="minorHAnsi" w:hAnsiTheme="minorHAnsi" w:cstheme="minorHAnsi"/>
          <w:sz w:val="20"/>
          <w:szCs w:val="20"/>
          <w:lang w:val="en-GB"/>
        </w:rPr>
      </w:pPr>
      <w:r w:rsidRPr="002D71D9">
        <w:rPr>
          <w:rFonts w:asciiTheme="minorHAnsi" w:eastAsiaTheme="minorHAnsi" w:hAnsiTheme="minorHAnsi" w:cstheme="minorHAnsi"/>
          <w:sz w:val="20"/>
          <w:szCs w:val="20"/>
          <w:lang w:val="en-GB"/>
        </w:rPr>
        <w:t>Rabiner JE, Friedman LM, Khine H, Avner JR, Tsung JW. Accuracy of</w:t>
      </w:r>
      <w:r w:rsidR="002D71D9" w:rsidRP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point-of-care ultrasound for diagnosis of skull fractures in children.</w:t>
      </w:r>
      <w:r w:rsidR="002D71D9">
        <w:rPr>
          <w:rFonts w:asciiTheme="minorHAnsi" w:eastAsiaTheme="minorHAnsi" w:hAnsiTheme="minorHAnsi" w:cstheme="minorHAnsi"/>
          <w:sz w:val="20"/>
          <w:szCs w:val="20"/>
          <w:lang w:val="en-GB"/>
        </w:rPr>
        <w:t xml:space="preserve"> </w:t>
      </w:r>
      <w:r w:rsidRPr="002D71D9">
        <w:rPr>
          <w:rFonts w:asciiTheme="minorHAnsi" w:eastAsiaTheme="minorHAnsi" w:hAnsiTheme="minorHAnsi" w:cstheme="minorHAnsi"/>
          <w:sz w:val="20"/>
          <w:szCs w:val="20"/>
          <w:lang w:val="en-GB"/>
        </w:rPr>
        <w:t>Pediatrics 2013; 131: 1757–64.</w:t>
      </w:r>
    </w:p>
    <w:p w14:paraId="3807A80A" w14:textId="18C65915" w:rsidR="007E247E" w:rsidRPr="00C76CA5" w:rsidRDefault="00E55A39" w:rsidP="00C76CA5">
      <w:pPr>
        <w:pStyle w:val="ListParagraph"/>
        <w:numPr>
          <w:ilvl w:val="0"/>
          <w:numId w:val="30"/>
        </w:numPr>
        <w:spacing w:after="240" w:line="360" w:lineRule="auto"/>
        <w:ind w:left="360"/>
        <w:rPr>
          <w:rFonts w:asciiTheme="minorHAnsi" w:eastAsiaTheme="minorHAnsi" w:hAnsiTheme="minorHAnsi" w:cstheme="minorHAnsi"/>
          <w:sz w:val="20"/>
          <w:szCs w:val="20"/>
        </w:rPr>
      </w:pPr>
      <w:r w:rsidRPr="00C76CA5">
        <w:rPr>
          <w:rFonts w:asciiTheme="minorHAnsi" w:hAnsiTheme="minorHAnsi" w:cstheme="minorHAnsi"/>
          <w:sz w:val="20"/>
          <w:szCs w:val="20"/>
        </w:rPr>
        <w:br w:type="page"/>
      </w:r>
    </w:p>
    <w:p w14:paraId="14ADEDA4" w14:textId="742AEAA1" w:rsidR="004C3A94" w:rsidRPr="002C6821" w:rsidRDefault="004C3A94" w:rsidP="002C6821">
      <w:pPr>
        <w:spacing w:after="240" w:line="259" w:lineRule="auto"/>
        <w:rPr>
          <w:rFonts w:asciiTheme="minorHAnsi" w:hAnsiTheme="minorHAnsi" w:cstheme="minorHAnsi"/>
          <w:i/>
          <w:sz w:val="20"/>
          <w:szCs w:val="20"/>
        </w:rPr>
      </w:pPr>
      <w:r w:rsidRPr="002C6821">
        <w:rPr>
          <w:rFonts w:asciiTheme="minorHAnsi" w:hAnsiTheme="minorHAnsi" w:cstheme="minorHAnsi"/>
          <w:b/>
          <w:sz w:val="20"/>
          <w:szCs w:val="20"/>
          <w:u w:val="single"/>
        </w:rPr>
        <w:lastRenderedPageBreak/>
        <w:t>Table 1</w:t>
      </w:r>
      <w:r w:rsidR="001123E9" w:rsidRPr="002C6821">
        <w:rPr>
          <w:rFonts w:asciiTheme="minorHAnsi" w:hAnsiTheme="minorHAnsi" w:cstheme="minorHAnsi"/>
          <w:b/>
          <w:sz w:val="20"/>
          <w:szCs w:val="20"/>
          <w:u w:val="single"/>
        </w:rPr>
        <w:t xml:space="preserve">: Demographics, signs and symptoms and outcomes </w:t>
      </w:r>
      <w:r w:rsidRPr="002C6821">
        <w:rPr>
          <w:rFonts w:asciiTheme="minorHAnsi" w:hAnsiTheme="minorHAnsi" w:cstheme="minorHAnsi"/>
          <w:b/>
          <w:sz w:val="20"/>
          <w:szCs w:val="20"/>
          <w:u w:val="single"/>
        </w:rPr>
        <w:t xml:space="preserve">of neonatal head injuries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7"/>
        <w:gridCol w:w="1284"/>
        <w:gridCol w:w="108"/>
        <w:gridCol w:w="1223"/>
        <w:gridCol w:w="169"/>
        <w:gridCol w:w="1162"/>
        <w:gridCol w:w="231"/>
      </w:tblGrid>
      <w:tr w:rsidR="004C3A94" w:rsidRPr="002C6821" w14:paraId="54E62E70" w14:textId="77777777" w:rsidTr="00065A48">
        <w:trPr>
          <w:gridAfter w:val="1"/>
          <w:wAfter w:w="231" w:type="dxa"/>
          <w:trHeight w:val="223"/>
        </w:trPr>
        <w:tc>
          <w:tcPr>
            <w:tcW w:w="2263" w:type="dxa"/>
            <w:tcBorders>
              <w:top w:val="single" w:sz="4" w:space="0" w:color="auto"/>
            </w:tcBorders>
            <w:vAlign w:val="center"/>
          </w:tcPr>
          <w:p w14:paraId="6F8279C0" w14:textId="77777777" w:rsidR="004C3A94" w:rsidRPr="002C6821" w:rsidRDefault="004C3A94" w:rsidP="002D71D9">
            <w:pPr>
              <w:jc w:val="center"/>
              <w:rPr>
                <w:rFonts w:asciiTheme="minorHAnsi" w:hAnsiTheme="minorHAnsi" w:cstheme="minorHAnsi"/>
                <w:sz w:val="20"/>
                <w:szCs w:val="20"/>
              </w:rPr>
            </w:pPr>
          </w:p>
        </w:tc>
        <w:tc>
          <w:tcPr>
            <w:tcW w:w="3993" w:type="dxa"/>
            <w:gridSpan w:val="6"/>
            <w:tcBorders>
              <w:top w:val="single" w:sz="4" w:space="0" w:color="auto"/>
              <w:bottom w:val="single" w:sz="4" w:space="0" w:color="auto"/>
            </w:tcBorders>
            <w:vAlign w:val="center"/>
          </w:tcPr>
          <w:p w14:paraId="7B85BE65" w14:textId="77777777" w:rsidR="004C3A94" w:rsidRPr="002C6821" w:rsidRDefault="004C3A94" w:rsidP="002D71D9">
            <w:pPr>
              <w:jc w:val="center"/>
              <w:rPr>
                <w:rFonts w:asciiTheme="minorHAnsi" w:hAnsiTheme="minorHAnsi" w:cstheme="minorHAnsi"/>
                <w:b/>
                <w:sz w:val="20"/>
                <w:szCs w:val="20"/>
              </w:rPr>
            </w:pPr>
            <w:r w:rsidRPr="002C6821">
              <w:rPr>
                <w:rFonts w:asciiTheme="minorHAnsi" w:hAnsiTheme="minorHAnsi" w:cstheme="minorHAnsi"/>
                <w:b/>
                <w:sz w:val="20"/>
                <w:szCs w:val="20"/>
              </w:rPr>
              <w:t>Total</w:t>
            </w:r>
          </w:p>
        </w:tc>
      </w:tr>
      <w:tr w:rsidR="004C3A94" w:rsidRPr="002C6821" w14:paraId="614E2B74" w14:textId="77777777" w:rsidTr="00065A48">
        <w:trPr>
          <w:gridAfter w:val="1"/>
          <w:wAfter w:w="231" w:type="dxa"/>
          <w:trHeight w:val="223"/>
        </w:trPr>
        <w:tc>
          <w:tcPr>
            <w:tcW w:w="2263" w:type="dxa"/>
            <w:tcBorders>
              <w:bottom w:val="single" w:sz="4" w:space="0" w:color="auto"/>
            </w:tcBorders>
            <w:vAlign w:val="center"/>
          </w:tcPr>
          <w:p w14:paraId="1D90615F" w14:textId="77777777" w:rsidR="004C3A94" w:rsidRPr="002C6821" w:rsidRDefault="004C3A94" w:rsidP="002D71D9">
            <w:pPr>
              <w:rPr>
                <w:rFonts w:asciiTheme="minorHAnsi" w:hAnsiTheme="minorHAnsi" w:cstheme="minorHAnsi"/>
                <w:sz w:val="20"/>
                <w:szCs w:val="20"/>
              </w:rPr>
            </w:pPr>
          </w:p>
        </w:tc>
        <w:tc>
          <w:tcPr>
            <w:tcW w:w="1331" w:type="dxa"/>
            <w:gridSpan w:val="2"/>
            <w:tcBorders>
              <w:top w:val="single" w:sz="4" w:space="0" w:color="auto"/>
              <w:bottom w:val="single" w:sz="4" w:space="0" w:color="auto"/>
            </w:tcBorders>
            <w:vAlign w:val="center"/>
          </w:tcPr>
          <w:p w14:paraId="46F43574" w14:textId="77777777" w:rsidR="004C3A94" w:rsidRPr="002C6821" w:rsidRDefault="004C3A94" w:rsidP="002D71D9">
            <w:pPr>
              <w:jc w:val="center"/>
              <w:rPr>
                <w:rFonts w:asciiTheme="minorHAnsi" w:hAnsiTheme="minorHAnsi" w:cstheme="minorHAnsi"/>
                <w:b/>
                <w:sz w:val="20"/>
                <w:szCs w:val="20"/>
              </w:rPr>
            </w:pPr>
            <w:r w:rsidRPr="002C6821">
              <w:rPr>
                <w:rFonts w:asciiTheme="minorHAnsi" w:hAnsiTheme="minorHAnsi" w:cstheme="minorHAnsi"/>
                <w:b/>
                <w:sz w:val="20"/>
                <w:szCs w:val="20"/>
              </w:rPr>
              <w:t>n</w:t>
            </w:r>
          </w:p>
        </w:tc>
        <w:tc>
          <w:tcPr>
            <w:tcW w:w="1331" w:type="dxa"/>
            <w:gridSpan w:val="2"/>
            <w:tcBorders>
              <w:top w:val="single" w:sz="4" w:space="0" w:color="auto"/>
              <w:bottom w:val="single" w:sz="4" w:space="0" w:color="auto"/>
            </w:tcBorders>
            <w:vAlign w:val="center"/>
          </w:tcPr>
          <w:p w14:paraId="21B388F8" w14:textId="77777777" w:rsidR="004C3A94" w:rsidRPr="002C6821" w:rsidRDefault="004C3A94" w:rsidP="002D71D9">
            <w:pPr>
              <w:jc w:val="center"/>
              <w:rPr>
                <w:rFonts w:asciiTheme="minorHAnsi" w:hAnsiTheme="minorHAnsi" w:cstheme="minorHAnsi"/>
                <w:b/>
                <w:sz w:val="20"/>
                <w:szCs w:val="20"/>
              </w:rPr>
            </w:pPr>
            <w:r w:rsidRPr="002C6821">
              <w:rPr>
                <w:rFonts w:asciiTheme="minorHAnsi" w:hAnsiTheme="minorHAnsi" w:cstheme="minorHAnsi"/>
                <w:b/>
                <w:sz w:val="20"/>
                <w:szCs w:val="20"/>
              </w:rPr>
              <w:t>%</w:t>
            </w:r>
          </w:p>
        </w:tc>
        <w:tc>
          <w:tcPr>
            <w:tcW w:w="1331" w:type="dxa"/>
            <w:gridSpan w:val="2"/>
            <w:tcBorders>
              <w:top w:val="single" w:sz="4" w:space="0" w:color="auto"/>
              <w:bottom w:val="single" w:sz="4" w:space="0" w:color="auto"/>
            </w:tcBorders>
            <w:vAlign w:val="center"/>
          </w:tcPr>
          <w:p w14:paraId="7F9A6629" w14:textId="77777777" w:rsidR="004C3A94" w:rsidRPr="002C6821" w:rsidRDefault="004C3A94" w:rsidP="002D71D9">
            <w:pPr>
              <w:jc w:val="center"/>
              <w:rPr>
                <w:rFonts w:asciiTheme="minorHAnsi" w:hAnsiTheme="minorHAnsi" w:cstheme="minorHAnsi"/>
                <w:b/>
                <w:sz w:val="20"/>
                <w:szCs w:val="20"/>
              </w:rPr>
            </w:pPr>
            <w:r w:rsidRPr="002C6821">
              <w:rPr>
                <w:rFonts w:asciiTheme="minorHAnsi" w:hAnsiTheme="minorHAnsi" w:cstheme="minorHAnsi"/>
                <w:b/>
                <w:sz w:val="20"/>
                <w:szCs w:val="20"/>
              </w:rPr>
              <w:t>(95% CI)</w:t>
            </w:r>
          </w:p>
        </w:tc>
      </w:tr>
      <w:tr w:rsidR="004C3A94" w:rsidRPr="002C6821" w14:paraId="2227CE10" w14:textId="77777777" w:rsidTr="00065A48">
        <w:trPr>
          <w:gridAfter w:val="1"/>
          <w:wAfter w:w="231" w:type="dxa"/>
          <w:trHeight w:val="223"/>
        </w:trPr>
        <w:tc>
          <w:tcPr>
            <w:tcW w:w="2263" w:type="dxa"/>
            <w:tcBorders>
              <w:top w:val="single" w:sz="4" w:space="0" w:color="auto"/>
            </w:tcBorders>
            <w:vAlign w:val="center"/>
          </w:tcPr>
          <w:p w14:paraId="0EE5E506" w14:textId="77777777" w:rsidR="004C3A94" w:rsidRPr="002C6821" w:rsidRDefault="004C3A94" w:rsidP="002D71D9">
            <w:pPr>
              <w:rPr>
                <w:rFonts w:asciiTheme="minorHAnsi" w:hAnsiTheme="minorHAnsi" w:cstheme="minorHAnsi"/>
                <w:sz w:val="20"/>
                <w:szCs w:val="20"/>
              </w:rPr>
            </w:pPr>
            <w:r w:rsidRPr="002C6821">
              <w:rPr>
                <w:rFonts w:asciiTheme="minorHAnsi" w:hAnsiTheme="minorHAnsi" w:cstheme="minorHAnsi"/>
                <w:sz w:val="20"/>
                <w:szCs w:val="20"/>
              </w:rPr>
              <w:t>N</w:t>
            </w:r>
          </w:p>
        </w:tc>
        <w:tc>
          <w:tcPr>
            <w:tcW w:w="1331" w:type="dxa"/>
            <w:gridSpan w:val="2"/>
            <w:tcBorders>
              <w:top w:val="single" w:sz="4" w:space="0" w:color="auto"/>
            </w:tcBorders>
            <w:vAlign w:val="center"/>
          </w:tcPr>
          <w:p w14:paraId="248FCF87" w14:textId="77777777" w:rsidR="004C3A94" w:rsidRPr="002C6821" w:rsidRDefault="004C3A94" w:rsidP="002D71D9">
            <w:pPr>
              <w:jc w:val="center"/>
              <w:rPr>
                <w:rFonts w:asciiTheme="minorHAnsi" w:hAnsiTheme="minorHAnsi" w:cstheme="minorHAnsi"/>
                <w:sz w:val="20"/>
                <w:szCs w:val="20"/>
              </w:rPr>
            </w:pPr>
            <w:r w:rsidRPr="002C6821">
              <w:rPr>
                <w:rFonts w:asciiTheme="minorHAnsi" w:hAnsiTheme="minorHAnsi" w:cstheme="minorHAnsi"/>
                <w:sz w:val="20"/>
                <w:szCs w:val="20"/>
              </w:rPr>
              <w:t>93</w:t>
            </w:r>
          </w:p>
        </w:tc>
        <w:tc>
          <w:tcPr>
            <w:tcW w:w="1331" w:type="dxa"/>
            <w:gridSpan w:val="2"/>
            <w:tcBorders>
              <w:top w:val="single" w:sz="4" w:space="0" w:color="auto"/>
            </w:tcBorders>
            <w:vAlign w:val="center"/>
          </w:tcPr>
          <w:p w14:paraId="3C19384C" w14:textId="77777777" w:rsidR="004C3A94" w:rsidRPr="002C6821" w:rsidRDefault="004C3A94" w:rsidP="002D71D9">
            <w:pPr>
              <w:jc w:val="center"/>
              <w:rPr>
                <w:rFonts w:asciiTheme="minorHAnsi" w:hAnsiTheme="minorHAnsi" w:cstheme="minorHAnsi"/>
                <w:sz w:val="20"/>
                <w:szCs w:val="20"/>
              </w:rPr>
            </w:pPr>
          </w:p>
        </w:tc>
        <w:tc>
          <w:tcPr>
            <w:tcW w:w="1331" w:type="dxa"/>
            <w:gridSpan w:val="2"/>
            <w:tcBorders>
              <w:top w:val="single" w:sz="4" w:space="0" w:color="auto"/>
            </w:tcBorders>
            <w:vAlign w:val="center"/>
          </w:tcPr>
          <w:p w14:paraId="2E9195AD" w14:textId="77777777" w:rsidR="004C3A94" w:rsidRPr="002C6821" w:rsidRDefault="004C3A94" w:rsidP="002D71D9">
            <w:pPr>
              <w:jc w:val="center"/>
              <w:rPr>
                <w:rFonts w:asciiTheme="minorHAnsi" w:hAnsiTheme="minorHAnsi" w:cstheme="minorHAnsi"/>
                <w:sz w:val="20"/>
                <w:szCs w:val="20"/>
              </w:rPr>
            </w:pPr>
          </w:p>
        </w:tc>
      </w:tr>
      <w:tr w:rsidR="004C3A94" w:rsidRPr="002C6821" w14:paraId="29BBBAFB" w14:textId="77777777" w:rsidTr="00065A48">
        <w:trPr>
          <w:gridAfter w:val="1"/>
          <w:wAfter w:w="231" w:type="dxa"/>
          <w:trHeight w:val="223"/>
        </w:trPr>
        <w:tc>
          <w:tcPr>
            <w:tcW w:w="2263" w:type="dxa"/>
            <w:vAlign w:val="center"/>
          </w:tcPr>
          <w:p w14:paraId="6C1908D6" w14:textId="77777777" w:rsidR="004C3A94" w:rsidRPr="002C6821" w:rsidRDefault="004C3A94" w:rsidP="002D71D9">
            <w:pPr>
              <w:rPr>
                <w:rFonts w:asciiTheme="minorHAnsi" w:eastAsia="Times New Roman" w:hAnsiTheme="minorHAnsi" w:cstheme="minorHAnsi"/>
                <w:color w:val="000000"/>
                <w:sz w:val="20"/>
                <w:szCs w:val="20"/>
              </w:rPr>
            </w:pPr>
            <w:r w:rsidRPr="002C6821">
              <w:rPr>
                <w:rFonts w:asciiTheme="minorHAnsi" w:hAnsiTheme="minorHAnsi" w:cstheme="minorHAnsi"/>
                <w:color w:val="000000"/>
                <w:sz w:val="20"/>
                <w:szCs w:val="20"/>
              </w:rPr>
              <w:t>Mean age [days], SD</w:t>
            </w:r>
          </w:p>
        </w:tc>
        <w:tc>
          <w:tcPr>
            <w:tcW w:w="1331" w:type="dxa"/>
            <w:gridSpan w:val="2"/>
            <w:vAlign w:val="center"/>
          </w:tcPr>
          <w:p w14:paraId="1774EF75" w14:textId="77777777" w:rsidR="004C3A94" w:rsidRPr="002C6821" w:rsidRDefault="004C3A94" w:rsidP="002D71D9">
            <w:pPr>
              <w:jc w:val="center"/>
              <w:rPr>
                <w:rFonts w:asciiTheme="minorHAnsi" w:eastAsia="Times New Roman" w:hAnsiTheme="minorHAnsi" w:cstheme="minorHAnsi"/>
                <w:color w:val="000000"/>
                <w:sz w:val="20"/>
                <w:szCs w:val="20"/>
              </w:rPr>
            </w:pPr>
            <w:r w:rsidRPr="002C6821">
              <w:rPr>
                <w:rFonts w:asciiTheme="minorHAnsi" w:hAnsiTheme="minorHAnsi" w:cstheme="minorHAnsi"/>
                <w:color w:val="000000"/>
                <w:sz w:val="20"/>
                <w:szCs w:val="20"/>
              </w:rPr>
              <w:t>16.3</w:t>
            </w:r>
          </w:p>
        </w:tc>
        <w:tc>
          <w:tcPr>
            <w:tcW w:w="1331" w:type="dxa"/>
            <w:gridSpan w:val="2"/>
            <w:vAlign w:val="center"/>
          </w:tcPr>
          <w:p w14:paraId="7C131CC3" w14:textId="77777777" w:rsidR="004C3A94" w:rsidRPr="002C6821" w:rsidRDefault="004C3A94"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8.1</w:t>
            </w:r>
          </w:p>
        </w:tc>
        <w:tc>
          <w:tcPr>
            <w:tcW w:w="1331" w:type="dxa"/>
            <w:gridSpan w:val="2"/>
            <w:vAlign w:val="center"/>
          </w:tcPr>
          <w:p w14:paraId="04436D10" w14:textId="77777777" w:rsidR="004C3A94" w:rsidRPr="002C6821" w:rsidRDefault="004C3A94" w:rsidP="002D71D9">
            <w:pPr>
              <w:jc w:val="center"/>
              <w:rPr>
                <w:rFonts w:asciiTheme="minorHAnsi" w:hAnsiTheme="minorHAnsi" w:cstheme="minorHAnsi"/>
                <w:sz w:val="20"/>
                <w:szCs w:val="20"/>
              </w:rPr>
            </w:pPr>
            <w:r w:rsidRPr="002C6821">
              <w:rPr>
                <w:rFonts w:asciiTheme="minorHAnsi" w:hAnsiTheme="minorHAnsi" w:cstheme="minorHAnsi"/>
                <w:sz w:val="20"/>
                <w:szCs w:val="20"/>
              </w:rPr>
              <w:t>(14.6-17.9)</w:t>
            </w:r>
          </w:p>
        </w:tc>
      </w:tr>
      <w:tr w:rsidR="004C3A94" w:rsidRPr="002C6821" w14:paraId="1DB0ACA9" w14:textId="77777777" w:rsidTr="00065A48">
        <w:trPr>
          <w:gridAfter w:val="1"/>
          <w:wAfter w:w="231" w:type="dxa"/>
          <w:trHeight w:val="223"/>
        </w:trPr>
        <w:tc>
          <w:tcPr>
            <w:tcW w:w="2263" w:type="dxa"/>
            <w:vAlign w:val="center"/>
          </w:tcPr>
          <w:p w14:paraId="2201038E" w14:textId="77777777" w:rsidR="004C3A94" w:rsidRPr="002C6821" w:rsidRDefault="004C3A94"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Median age [days] (IQR)</w:t>
            </w:r>
          </w:p>
        </w:tc>
        <w:tc>
          <w:tcPr>
            <w:tcW w:w="1331" w:type="dxa"/>
            <w:gridSpan w:val="2"/>
            <w:vAlign w:val="center"/>
          </w:tcPr>
          <w:p w14:paraId="1BF2264B" w14:textId="77777777" w:rsidR="004C3A94" w:rsidRPr="002C6821" w:rsidRDefault="004C3A94"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17</w:t>
            </w:r>
          </w:p>
        </w:tc>
        <w:tc>
          <w:tcPr>
            <w:tcW w:w="1331" w:type="dxa"/>
            <w:gridSpan w:val="2"/>
            <w:vAlign w:val="center"/>
          </w:tcPr>
          <w:p w14:paraId="33B3DE91" w14:textId="77777777" w:rsidR="004C3A94" w:rsidRPr="002C6821" w:rsidRDefault="004C3A94" w:rsidP="002D71D9">
            <w:pPr>
              <w:jc w:val="center"/>
              <w:rPr>
                <w:rFonts w:asciiTheme="minorHAnsi" w:hAnsiTheme="minorHAnsi" w:cstheme="minorHAnsi"/>
                <w:color w:val="000000"/>
                <w:sz w:val="20"/>
                <w:szCs w:val="20"/>
              </w:rPr>
            </w:pPr>
          </w:p>
        </w:tc>
        <w:tc>
          <w:tcPr>
            <w:tcW w:w="1331" w:type="dxa"/>
            <w:gridSpan w:val="2"/>
            <w:vAlign w:val="center"/>
          </w:tcPr>
          <w:p w14:paraId="166E39EB" w14:textId="77777777" w:rsidR="004C3A94" w:rsidRPr="002C6821" w:rsidRDefault="004C3A94" w:rsidP="002D71D9">
            <w:pPr>
              <w:jc w:val="center"/>
              <w:rPr>
                <w:rFonts w:asciiTheme="minorHAnsi" w:hAnsiTheme="minorHAnsi" w:cstheme="minorHAnsi"/>
                <w:sz w:val="20"/>
                <w:szCs w:val="20"/>
              </w:rPr>
            </w:pPr>
            <w:r w:rsidRPr="002C6821">
              <w:rPr>
                <w:rFonts w:asciiTheme="minorHAnsi" w:hAnsiTheme="minorHAnsi" w:cstheme="minorHAnsi"/>
                <w:sz w:val="20"/>
                <w:szCs w:val="20"/>
              </w:rPr>
              <w:t>(8.0-23.0)</w:t>
            </w:r>
          </w:p>
        </w:tc>
      </w:tr>
      <w:tr w:rsidR="004C3A94" w:rsidRPr="002C6821" w14:paraId="2A0FFDE7" w14:textId="77777777" w:rsidTr="00065A48">
        <w:trPr>
          <w:gridAfter w:val="1"/>
          <w:wAfter w:w="231" w:type="dxa"/>
          <w:trHeight w:val="223"/>
        </w:trPr>
        <w:tc>
          <w:tcPr>
            <w:tcW w:w="2263" w:type="dxa"/>
            <w:vAlign w:val="center"/>
          </w:tcPr>
          <w:p w14:paraId="1DDCA364" w14:textId="77777777" w:rsidR="004C3A94" w:rsidRPr="002C6821" w:rsidRDefault="004C3A94"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Female</w:t>
            </w:r>
          </w:p>
        </w:tc>
        <w:tc>
          <w:tcPr>
            <w:tcW w:w="1331" w:type="dxa"/>
            <w:gridSpan w:val="2"/>
            <w:vAlign w:val="center"/>
          </w:tcPr>
          <w:p w14:paraId="3474FE8F" w14:textId="77777777" w:rsidR="004C3A94" w:rsidRPr="002C6821" w:rsidRDefault="004C3A94"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38</w:t>
            </w:r>
          </w:p>
        </w:tc>
        <w:tc>
          <w:tcPr>
            <w:tcW w:w="1331" w:type="dxa"/>
            <w:gridSpan w:val="2"/>
            <w:vAlign w:val="center"/>
          </w:tcPr>
          <w:p w14:paraId="07567584" w14:textId="77777777" w:rsidR="004C3A94" w:rsidRPr="002C6821" w:rsidRDefault="004C3A94"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40.9</w:t>
            </w:r>
          </w:p>
        </w:tc>
        <w:tc>
          <w:tcPr>
            <w:tcW w:w="1331" w:type="dxa"/>
            <w:gridSpan w:val="2"/>
            <w:vAlign w:val="center"/>
          </w:tcPr>
          <w:p w14:paraId="1AE6F9F5" w14:textId="77777777" w:rsidR="004C3A94" w:rsidRPr="002C6821" w:rsidRDefault="004C3A94" w:rsidP="002D71D9">
            <w:pPr>
              <w:jc w:val="center"/>
              <w:rPr>
                <w:rFonts w:asciiTheme="minorHAnsi" w:hAnsiTheme="minorHAnsi" w:cstheme="minorHAnsi"/>
                <w:sz w:val="20"/>
                <w:szCs w:val="20"/>
              </w:rPr>
            </w:pPr>
            <w:r w:rsidRPr="002C6821">
              <w:rPr>
                <w:rFonts w:asciiTheme="minorHAnsi" w:hAnsiTheme="minorHAnsi" w:cstheme="minorHAnsi"/>
                <w:sz w:val="20"/>
                <w:szCs w:val="20"/>
              </w:rPr>
              <w:t>(30.9-50.9)</w:t>
            </w:r>
          </w:p>
        </w:tc>
      </w:tr>
      <w:tr w:rsidR="004C3A94" w:rsidRPr="002C6821" w14:paraId="4A85A5EC" w14:textId="77777777" w:rsidTr="00141310">
        <w:trPr>
          <w:gridAfter w:val="1"/>
          <w:wAfter w:w="231" w:type="dxa"/>
          <w:trHeight w:val="338"/>
        </w:trPr>
        <w:tc>
          <w:tcPr>
            <w:tcW w:w="2263" w:type="dxa"/>
            <w:vAlign w:val="center"/>
          </w:tcPr>
          <w:p w14:paraId="60BAA6BC" w14:textId="2401F4B1" w:rsidR="004C3A94" w:rsidRPr="002C6821" w:rsidRDefault="00DD5CF2" w:rsidP="002D71D9">
            <w:pPr>
              <w:rPr>
                <w:rFonts w:asciiTheme="minorHAnsi" w:hAnsiTheme="minorHAnsi" w:cstheme="minorHAnsi"/>
                <w:b/>
                <w:color w:val="000000"/>
                <w:sz w:val="20"/>
                <w:szCs w:val="20"/>
              </w:rPr>
            </w:pPr>
            <w:r w:rsidRPr="002C6821">
              <w:rPr>
                <w:rFonts w:asciiTheme="minorHAnsi" w:hAnsiTheme="minorHAnsi" w:cstheme="minorHAnsi"/>
                <w:b/>
                <w:color w:val="000000"/>
                <w:sz w:val="20"/>
                <w:szCs w:val="20"/>
              </w:rPr>
              <w:t>Signs</w:t>
            </w:r>
            <w:r w:rsidR="005D04B6" w:rsidRPr="002C6821">
              <w:rPr>
                <w:rFonts w:asciiTheme="minorHAnsi" w:hAnsiTheme="minorHAnsi" w:cstheme="minorHAnsi"/>
                <w:b/>
                <w:color w:val="000000"/>
                <w:sz w:val="20"/>
                <w:szCs w:val="20"/>
              </w:rPr>
              <w:t>:</w:t>
            </w:r>
          </w:p>
        </w:tc>
        <w:tc>
          <w:tcPr>
            <w:tcW w:w="1331" w:type="dxa"/>
            <w:gridSpan w:val="2"/>
            <w:vAlign w:val="center"/>
          </w:tcPr>
          <w:p w14:paraId="739B534F" w14:textId="77777777" w:rsidR="004C3A94" w:rsidRPr="002C6821" w:rsidRDefault="004C3A94" w:rsidP="002D71D9">
            <w:pPr>
              <w:jc w:val="center"/>
              <w:rPr>
                <w:rFonts w:asciiTheme="minorHAnsi" w:hAnsiTheme="minorHAnsi" w:cstheme="minorHAnsi"/>
                <w:color w:val="000000"/>
                <w:sz w:val="20"/>
                <w:szCs w:val="20"/>
              </w:rPr>
            </w:pPr>
          </w:p>
        </w:tc>
        <w:tc>
          <w:tcPr>
            <w:tcW w:w="1331" w:type="dxa"/>
            <w:gridSpan w:val="2"/>
            <w:vAlign w:val="center"/>
          </w:tcPr>
          <w:p w14:paraId="28D7F5D0" w14:textId="77777777" w:rsidR="004C3A94" w:rsidRPr="002C6821" w:rsidRDefault="004C3A94" w:rsidP="002D71D9">
            <w:pPr>
              <w:jc w:val="center"/>
              <w:rPr>
                <w:rFonts w:asciiTheme="minorHAnsi" w:hAnsiTheme="minorHAnsi" w:cstheme="minorHAnsi"/>
                <w:color w:val="000000"/>
                <w:sz w:val="20"/>
                <w:szCs w:val="20"/>
              </w:rPr>
            </w:pPr>
          </w:p>
        </w:tc>
        <w:tc>
          <w:tcPr>
            <w:tcW w:w="1331" w:type="dxa"/>
            <w:gridSpan w:val="2"/>
            <w:vAlign w:val="center"/>
          </w:tcPr>
          <w:p w14:paraId="7FFDE6A1" w14:textId="77777777" w:rsidR="004C3A94" w:rsidRPr="002C6821" w:rsidRDefault="004C3A94" w:rsidP="002D71D9">
            <w:pPr>
              <w:jc w:val="center"/>
              <w:rPr>
                <w:rFonts w:asciiTheme="minorHAnsi" w:hAnsiTheme="minorHAnsi" w:cstheme="minorHAnsi"/>
                <w:sz w:val="20"/>
                <w:szCs w:val="20"/>
              </w:rPr>
            </w:pPr>
          </w:p>
        </w:tc>
      </w:tr>
      <w:tr w:rsidR="00DD5CF2" w:rsidRPr="002C6821" w14:paraId="63E057BA" w14:textId="77777777" w:rsidTr="002C300F">
        <w:tc>
          <w:tcPr>
            <w:tcW w:w="2310" w:type="dxa"/>
            <w:gridSpan w:val="2"/>
            <w:vAlign w:val="center"/>
          </w:tcPr>
          <w:p w14:paraId="4F44155F" w14:textId="204B40B9" w:rsidR="00DD5CF2" w:rsidRPr="002C6821" w:rsidRDefault="00DD5CF2"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Vomiting</w:t>
            </w:r>
          </w:p>
        </w:tc>
        <w:tc>
          <w:tcPr>
            <w:tcW w:w="1392" w:type="dxa"/>
            <w:gridSpan w:val="2"/>
            <w:vAlign w:val="center"/>
          </w:tcPr>
          <w:p w14:paraId="01F4ABAB" w14:textId="01FEA9C4" w:rsidR="00DD5CF2" w:rsidRPr="002C6821" w:rsidRDefault="00DD5CF2"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14</w:t>
            </w:r>
          </w:p>
        </w:tc>
        <w:tc>
          <w:tcPr>
            <w:tcW w:w="1392" w:type="dxa"/>
            <w:gridSpan w:val="2"/>
            <w:vAlign w:val="center"/>
          </w:tcPr>
          <w:p w14:paraId="226A5D8B" w14:textId="21C36C4B" w:rsidR="00DD5CF2" w:rsidRPr="002C6821" w:rsidRDefault="00DD5CF2"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15.1</w:t>
            </w:r>
          </w:p>
        </w:tc>
        <w:tc>
          <w:tcPr>
            <w:tcW w:w="1393" w:type="dxa"/>
            <w:gridSpan w:val="2"/>
            <w:vAlign w:val="center"/>
          </w:tcPr>
          <w:p w14:paraId="65936D98" w14:textId="611E338A" w:rsidR="00DD5CF2" w:rsidRPr="002C6821" w:rsidRDefault="00DD5CF2"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(7.8-22.3)</w:t>
            </w:r>
          </w:p>
        </w:tc>
      </w:tr>
      <w:tr w:rsidR="00DD5CF2" w:rsidRPr="002C6821" w14:paraId="2112D8F3" w14:textId="77777777" w:rsidTr="002C300F">
        <w:tc>
          <w:tcPr>
            <w:tcW w:w="2310" w:type="dxa"/>
            <w:gridSpan w:val="2"/>
            <w:vAlign w:val="center"/>
          </w:tcPr>
          <w:p w14:paraId="447A41DC" w14:textId="0F0B5B7A" w:rsidR="00DD5CF2" w:rsidRPr="002C6821" w:rsidRDefault="00DD5CF2"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Abnormally drowsy/difficult to wake</w:t>
            </w:r>
          </w:p>
        </w:tc>
        <w:tc>
          <w:tcPr>
            <w:tcW w:w="1392" w:type="dxa"/>
            <w:gridSpan w:val="2"/>
            <w:vAlign w:val="center"/>
          </w:tcPr>
          <w:p w14:paraId="213D6D1D" w14:textId="2945FD90" w:rsidR="00DD5CF2" w:rsidRPr="002C6821" w:rsidRDefault="00DD5CF2"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5</w:t>
            </w:r>
          </w:p>
        </w:tc>
        <w:tc>
          <w:tcPr>
            <w:tcW w:w="1392" w:type="dxa"/>
            <w:gridSpan w:val="2"/>
            <w:vAlign w:val="center"/>
          </w:tcPr>
          <w:p w14:paraId="4C8FC35B" w14:textId="673B40A5" w:rsidR="00DD5CF2" w:rsidRPr="002C6821" w:rsidRDefault="00DD5CF2"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5.4</w:t>
            </w:r>
          </w:p>
        </w:tc>
        <w:tc>
          <w:tcPr>
            <w:tcW w:w="1393" w:type="dxa"/>
            <w:gridSpan w:val="2"/>
            <w:vAlign w:val="center"/>
          </w:tcPr>
          <w:p w14:paraId="42466163" w14:textId="17E6EBA4" w:rsidR="00DD5CF2" w:rsidRPr="002C6821" w:rsidRDefault="00DD5CF2"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(0.8-10.0)</w:t>
            </w:r>
          </w:p>
        </w:tc>
      </w:tr>
      <w:tr w:rsidR="00DD5CF2" w:rsidRPr="002C6821" w14:paraId="31F13583" w14:textId="77777777" w:rsidTr="002C300F">
        <w:tc>
          <w:tcPr>
            <w:tcW w:w="2310" w:type="dxa"/>
            <w:gridSpan w:val="2"/>
            <w:vAlign w:val="center"/>
          </w:tcPr>
          <w:p w14:paraId="6B19AEC7" w14:textId="1672676E" w:rsidR="00DD5CF2" w:rsidRPr="002C6821" w:rsidRDefault="00DD5CF2"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 xml:space="preserve">Irritable/agitated </w:t>
            </w:r>
          </w:p>
        </w:tc>
        <w:tc>
          <w:tcPr>
            <w:tcW w:w="1392" w:type="dxa"/>
            <w:gridSpan w:val="2"/>
            <w:vAlign w:val="center"/>
          </w:tcPr>
          <w:p w14:paraId="5352F397" w14:textId="3BF9650B" w:rsidR="00DD5CF2" w:rsidRPr="002C6821" w:rsidRDefault="00DD5CF2"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3</w:t>
            </w:r>
          </w:p>
        </w:tc>
        <w:tc>
          <w:tcPr>
            <w:tcW w:w="1392" w:type="dxa"/>
            <w:gridSpan w:val="2"/>
            <w:vAlign w:val="center"/>
          </w:tcPr>
          <w:p w14:paraId="3057C5E4" w14:textId="2994FD6E" w:rsidR="00DD5CF2" w:rsidRPr="002C6821" w:rsidRDefault="00DD5CF2"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3.2</w:t>
            </w:r>
          </w:p>
        </w:tc>
        <w:tc>
          <w:tcPr>
            <w:tcW w:w="1393" w:type="dxa"/>
            <w:gridSpan w:val="2"/>
            <w:vAlign w:val="center"/>
          </w:tcPr>
          <w:p w14:paraId="324F9418" w14:textId="35A2A240" w:rsidR="00DD5CF2" w:rsidRPr="002C6821" w:rsidRDefault="00DD5CF2"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(0.0-6.8)</w:t>
            </w:r>
          </w:p>
        </w:tc>
      </w:tr>
      <w:tr w:rsidR="00DD5CF2" w:rsidRPr="002C6821" w14:paraId="2C56D2B4" w14:textId="77777777" w:rsidTr="002C300F">
        <w:tc>
          <w:tcPr>
            <w:tcW w:w="2310" w:type="dxa"/>
            <w:gridSpan w:val="2"/>
            <w:vAlign w:val="center"/>
          </w:tcPr>
          <w:p w14:paraId="0D9E9F6F" w14:textId="564BB2CC" w:rsidR="00DD5CF2" w:rsidRPr="002C6821" w:rsidRDefault="00DD5CF2"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Known of suspected LOC</w:t>
            </w:r>
          </w:p>
        </w:tc>
        <w:tc>
          <w:tcPr>
            <w:tcW w:w="1392" w:type="dxa"/>
            <w:gridSpan w:val="2"/>
            <w:vAlign w:val="center"/>
          </w:tcPr>
          <w:p w14:paraId="19572BAF" w14:textId="5D899EC2" w:rsidR="00DD5CF2" w:rsidRPr="002C6821" w:rsidRDefault="00DD5CF2"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w:t>
            </w:r>
          </w:p>
        </w:tc>
        <w:tc>
          <w:tcPr>
            <w:tcW w:w="1392" w:type="dxa"/>
            <w:gridSpan w:val="2"/>
            <w:vAlign w:val="center"/>
          </w:tcPr>
          <w:p w14:paraId="4033A18E" w14:textId="211637EC" w:rsidR="00DD5CF2" w:rsidRPr="002C6821" w:rsidRDefault="00DD5CF2"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w:t>
            </w:r>
          </w:p>
        </w:tc>
        <w:tc>
          <w:tcPr>
            <w:tcW w:w="1393" w:type="dxa"/>
            <w:gridSpan w:val="2"/>
            <w:vAlign w:val="center"/>
          </w:tcPr>
          <w:p w14:paraId="17C99B48" w14:textId="09061AD1" w:rsidR="00DD5CF2" w:rsidRPr="002C6821" w:rsidRDefault="00DD5CF2" w:rsidP="002D71D9">
            <w:pPr>
              <w:jc w:val="center"/>
              <w:rPr>
                <w:rFonts w:asciiTheme="minorHAnsi" w:eastAsia="Times New Roman" w:hAnsiTheme="minorHAnsi" w:cstheme="minorHAnsi"/>
                <w:color w:val="000000"/>
                <w:sz w:val="20"/>
                <w:szCs w:val="20"/>
              </w:rPr>
            </w:pPr>
          </w:p>
        </w:tc>
      </w:tr>
      <w:tr w:rsidR="00275747" w:rsidRPr="002C6821" w14:paraId="48786A46" w14:textId="77777777" w:rsidTr="002C300F">
        <w:tc>
          <w:tcPr>
            <w:tcW w:w="2310" w:type="dxa"/>
            <w:gridSpan w:val="2"/>
            <w:vAlign w:val="center"/>
          </w:tcPr>
          <w:p w14:paraId="19DE0A0D"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GCS:</w:t>
            </w:r>
          </w:p>
        </w:tc>
        <w:tc>
          <w:tcPr>
            <w:tcW w:w="1392" w:type="dxa"/>
            <w:gridSpan w:val="2"/>
            <w:vAlign w:val="center"/>
          </w:tcPr>
          <w:p w14:paraId="76345336" w14:textId="77777777" w:rsidR="00275747" w:rsidRPr="002C6821" w:rsidRDefault="00275747" w:rsidP="002D71D9">
            <w:pPr>
              <w:jc w:val="center"/>
              <w:rPr>
                <w:rFonts w:asciiTheme="minorHAnsi" w:eastAsia="Times New Roman" w:hAnsiTheme="minorHAnsi" w:cstheme="minorHAnsi"/>
                <w:color w:val="000000"/>
                <w:sz w:val="20"/>
                <w:szCs w:val="20"/>
              </w:rPr>
            </w:pPr>
          </w:p>
        </w:tc>
        <w:tc>
          <w:tcPr>
            <w:tcW w:w="1392" w:type="dxa"/>
            <w:gridSpan w:val="2"/>
            <w:vAlign w:val="center"/>
          </w:tcPr>
          <w:p w14:paraId="50692B30" w14:textId="77777777" w:rsidR="00275747" w:rsidRPr="002C6821" w:rsidRDefault="00275747" w:rsidP="002D71D9">
            <w:pPr>
              <w:jc w:val="center"/>
              <w:rPr>
                <w:rFonts w:asciiTheme="minorHAnsi" w:eastAsia="Times New Roman" w:hAnsiTheme="minorHAnsi" w:cstheme="minorHAnsi"/>
                <w:color w:val="000000"/>
                <w:sz w:val="20"/>
                <w:szCs w:val="20"/>
              </w:rPr>
            </w:pPr>
          </w:p>
        </w:tc>
        <w:tc>
          <w:tcPr>
            <w:tcW w:w="1393" w:type="dxa"/>
            <w:gridSpan w:val="2"/>
            <w:vAlign w:val="center"/>
          </w:tcPr>
          <w:p w14:paraId="6DAAB1EB" w14:textId="77777777" w:rsidR="00275747" w:rsidRPr="002C6821" w:rsidRDefault="00275747" w:rsidP="002D71D9">
            <w:pPr>
              <w:jc w:val="center"/>
              <w:rPr>
                <w:rFonts w:asciiTheme="minorHAnsi" w:eastAsia="Times New Roman" w:hAnsiTheme="minorHAnsi" w:cstheme="minorHAnsi"/>
                <w:color w:val="000000"/>
                <w:sz w:val="20"/>
                <w:szCs w:val="20"/>
              </w:rPr>
            </w:pPr>
          </w:p>
        </w:tc>
      </w:tr>
      <w:tr w:rsidR="005D04B6" w:rsidRPr="002C6821" w14:paraId="50D1993C" w14:textId="77777777" w:rsidTr="002C300F">
        <w:tc>
          <w:tcPr>
            <w:tcW w:w="2310" w:type="dxa"/>
            <w:gridSpan w:val="2"/>
            <w:vAlign w:val="center"/>
          </w:tcPr>
          <w:p w14:paraId="4F0238D7" w14:textId="225A947B" w:rsidR="005D04B6" w:rsidRPr="002C6821" w:rsidRDefault="005D04B6" w:rsidP="002D71D9">
            <w:pPr>
              <w:pStyle w:val="ListParagraph"/>
              <w:numPr>
                <w:ilvl w:val="0"/>
                <w:numId w:val="18"/>
              </w:numPr>
              <w:ind w:left="284" w:hanging="142"/>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15</w:t>
            </w:r>
          </w:p>
        </w:tc>
        <w:tc>
          <w:tcPr>
            <w:tcW w:w="1392" w:type="dxa"/>
            <w:gridSpan w:val="2"/>
            <w:vAlign w:val="center"/>
          </w:tcPr>
          <w:p w14:paraId="234B5C9C" w14:textId="07FEF2DD"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83</w:t>
            </w:r>
          </w:p>
        </w:tc>
        <w:tc>
          <w:tcPr>
            <w:tcW w:w="1392" w:type="dxa"/>
            <w:gridSpan w:val="2"/>
            <w:vAlign w:val="center"/>
          </w:tcPr>
          <w:p w14:paraId="1D2C919C" w14:textId="5AB7BEA5"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89.2</w:t>
            </w:r>
          </w:p>
        </w:tc>
        <w:tc>
          <w:tcPr>
            <w:tcW w:w="1393" w:type="dxa"/>
            <w:gridSpan w:val="2"/>
            <w:vAlign w:val="center"/>
          </w:tcPr>
          <w:p w14:paraId="51DAC558" w14:textId="5619A488"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(83.0-95.5)</w:t>
            </w:r>
          </w:p>
        </w:tc>
      </w:tr>
      <w:tr w:rsidR="005D04B6" w:rsidRPr="002C6821" w14:paraId="54FB85F4" w14:textId="77777777" w:rsidTr="002C300F">
        <w:tc>
          <w:tcPr>
            <w:tcW w:w="2310" w:type="dxa"/>
            <w:gridSpan w:val="2"/>
            <w:vAlign w:val="center"/>
          </w:tcPr>
          <w:p w14:paraId="31BFC667" w14:textId="31E95591" w:rsidR="005D04B6" w:rsidRPr="002C6821" w:rsidRDefault="005D04B6" w:rsidP="002D71D9">
            <w:pPr>
              <w:pStyle w:val="ListParagraph"/>
              <w:numPr>
                <w:ilvl w:val="0"/>
                <w:numId w:val="18"/>
              </w:numPr>
              <w:ind w:left="284" w:hanging="142"/>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14</w:t>
            </w:r>
          </w:p>
        </w:tc>
        <w:tc>
          <w:tcPr>
            <w:tcW w:w="1392" w:type="dxa"/>
            <w:gridSpan w:val="2"/>
            <w:vAlign w:val="center"/>
          </w:tcPr>
          <w:p w14:paraId="252B3396" w14:textId="74FC78E2"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7</w:t>
            </w:r>
          </w:p>
        </w:tc>
        <w:tc>
          <w:tcPr>
            <w:tcW w:w="1392" w:type="dxa"/>
            <w:gridSpan w:val="2"/>
            <w:vAlign w:val="center"/>
          </w:tcPr>
          <w:p w14:paraId="0566D6FD" w14:textId="379D57CF"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7.5</w:t>
            </w:r>
          </w:p>
        </w:tc>
        <w:tc>
          <w:tcPr>
            <w:tcW w:w="1393" w:type="dxa"/>
            <w:gridSpan w:val="2"/>
            <w:vAlign w:val="center"/>
          </w:tcPr>
          <w:p w14:paraId="5552650D" w14:textId="35CEF1FE"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(2.2-12.9)</w:t>
            </w:r>
          </w:p>
        </w:tc>
      </w:tr>
      <w:tr w:rsidR="005D04B6" w:rsidRPr="002C6821" w14:paraId="46FA927E" w14:textId="77777777" w:rsidTr="002C300F">
        <w:tc>
          <w:tcPr>
            <w:tcW w:w="2310" w:type="dxa"/>
            <w:gridSpan w:val="2"/>
            <w:vAlign w:val="center"/>
          </w:tcPr>
          <w:p w14:paraId="345855BD" w14:textId="101AB6E5" w:rsidR="005D04B6" w:rsidRPr="002C6821" w:rsidRDefault="005D04B6" w:rsidP="002D71D9">
            <w:pPr>
              <w:pStyle w:val="ListParagraph"/>
              <w:numPr>
                <w:ilvl w:val="0"/>
                <w:numId w:val="18"/>
              </w:numPr>
              <w:ind w:left="284" w:hanging="142"/>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13</w:t>
            </w:r>
          </w:p>
        </w:tc>
        <w:tc>
          <w:tcPr>
            <w:tcW w:w="1392" w:type="dxa"/>
            <w:gridSpan w:val="2"/>
            <w:vAlign w:val="center"/>
          </w:tcPr>
          <w:p w14:paraId="3BDDFD04" w14:textId="6BE724FD"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w:t>
            </w:r>
          </w:p>
        </w:tc>
        <w:tc>
          <w:tcPr>
            <w:tcW w:w="1392" w:type="dxa"/>
            <w:gridSpan w:val="2"/>
            <w:vAlign w:val="center"/>
          </w:tcPr>
          <w:p w14:paraId="4E40559F" w14:textId="1D82E7C9"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1.1</w:t>
            </w:r>
          </w:p>
        </w:tc>
        <w:tc>
          <w:tcPr>
            <w:tcW w:w="1393" w:type="dxa"/>
            <w:gridSpan w:val="2"/>
            <w:vAlign w:val="center"/>
          </w:tcPr>
          <w:p w14:paraId="1521A66E" w14:textId="4202D6D2"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(0.0-3.2)</w:t>
            </w:r>
          </w:p>
        </w:tc>
      </w:tr>
      <w:tr w:rsidR="005D04B6" w:rsidRPr="002C6821" w14:paraId="3F8378A7" w14:textId="77777777" w:rsidTr="002C300F">
        <w:tc>
          <w:tcPr>
            <w:tcW w:w="2310" w:type="dxa"/>
            <w:gridSpan w:val="2"/>
            <w:vAlign w:val="center"/>
          </w:tcPr>
          <w:p w14:paraId="22D77641" w14:textId="74E542B0" w:rsidR="005D04B6" w:rsidRPr="002C6821" w:rsidRDefault="005D04B6" w:rsidP="002D71D9">
            <w:pPr>
              <w:pStyle w:val="ListParagraph"/>
              <w:numPr>
                <w:ilvl w:val="0"/>
                <w:numId w:val="18"/>
              </w:numPr>
              <w:ind w:left="284" w:hanging="142"/>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9-12</w:t>
            </w:r>
          </w:p>
        </w:tc>
        <w:tc>
          <w:tcPr>
            <w:tcW w:w="1392" w:type="dxa"/>
            <w:gridSpan w:val="2"/>
            <w:vAlign w:val="center"/>
          </w:tcPr>
          <w:p w14:paraId="3EE06A4A" w14:textId="1A3C471C"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w:t>
            </w:r>
          </w:p>
        </w:tc>
        <w:tc>
          <w:tcPr>
            <w:tcW w:w="1392" w:type="dxa"/>
            <w:gridSpan w:val="2"/>
            <w:vAlign w:val="center"/>
          </w:tcPr>
          <w:p w14:paraId="425A6815" w14:textId="1580C9AD"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2.2</w:t>
            </w:r>
          </w:p>
        </w:tc>
        <w:tc>
          <w:tcPr>
            <w:tcW w:w="1393" w:type="dxa"/>
            <w:gridSpan w:val="2"/>
            <w:vAlign w:val="center"/>
          </w:tcPr>
          <w:p w14:paraId="2157C73F" w14:textId="08C5B6C9" w:rsidR="005D04B6" w:rsidRPr="002C6821" w:rsidRDefault="005D04B6"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(0.0-5.1)</w:t>
            </w:r>
          </w:p>
        </w:tc>
      </w:tr>
      <w:tr w:rsidR="00275747" w:rsidRPr="002C6821" w14:paraId="20FEE8F0" w14:textId="77777777" w:rsidTr="002C300F">
        <w:tc>
          <w:tcPr>
            <w:tcW w:w="2310" w:type="dxa"/>
            <w:gridSpan w:val="2"/>
            <w:vAlign w:val="center"/>
          </w:tcPr>
          <w:p w14:paraId="4E91DA78" w14:textId="77777777" w:rsidR="00275747" w:rsidRPr="002C6821" w:rsidRDefault="00275747" w:rsidP="002D71D9">
            <w:pPr>
              <w:pStyle w:val="ListParagraph"/>
              <w:numPr>
                <w:ilvl w:val="0"/>
                <w:numId w:val="18"/>
              </w:numPr>
              <w:ind w:left="284" w:hanging="142"/>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3-8</w:t>
            </w:r>
          </w:p>
        </w:tc>
        <w:tc>
          <w:tcPr>
            <w:tcW w:w="1392" w:type="dxa"/>
            <w:gridSpan w:val="2"/>
            <w:vAlign w:val="center"/>
          </w:tcPr>
          <w:p w14:paraId="4C76FBAB"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w:t>
            </w:r>
          </w:p>
        </w:tc>
        <w:tc>
          <w:tcPr>
            <w:tcW w:w="1392" w:type="dxa"/>
            <w:gridSpan w:val="2"/>
            <w:vAlign w:val="center"/>
          </w:tcPr>
          <w:p w14:paraId="0BA1B34E"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w:t>
            </w:r>
          </w:p>
        </w:tc>
        <w:tc>
          <w:tcPr>
            <w:tcW w:w="1393" w:type="dxa"/>
            <w:gridSpan w:val="2"/>
            <w:vAlign w:val="center"/>
          </w:tcPr>
          <w:p w14:paraId="55686531" w14:textId="57B1BC26" w:rsidR="00275747" w:rsidRPr="002C6821" w:rsidRDefault="00275747" w:rsidP="002D71D9">
            <w:pPr>
              <w:jc w:val="center"/>
              <w:rPr>
                <w:rFonts w:asciiTheme="minorHAnsi" w:eastAsia="Times New Roman" w:hAnsiTheme="minorHAnsi" w:cstheme="minorHAnsi"/>
                <w:color w:val="000000"/>
                <w:sz w:val="20"/>
                <w:szCs w:val="20"/>
              </w:rPr>
            </w:pPr>
          </w:p>
        </w:tc>
      </w:tr>
      <w:tr w:rsidR="00275747" w:rsidRPr="002C6821" w14:paraId="246A2DA9" w14:textId="77777777" w:rsidTr="00141310">
        <w:trPr>
          <w:trHeight w:val="114"/>
        </w:trPr>
        <w:tc>
          <w:tcPr>
            <w:tcW w:w="6487" w:type="dxa"/>
            <w:gridSpan w:val="8"/>
            <w:vAlign w:val="bottom"/>
          </w:tcPr>
          <w:p w14:paraId="2FEFFA83" w14:textId="2F961E08"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b/>
                <w:bCs/>
                <w:color w:val="000000"/>
                <w:sz w:val="20"/>
                <w:szCs w:val="20"/>
              </w:rPr>
              <w:t>Head Examination</w:t>
            </w:r>
            <w:r w:rsidR="00B36CA4" w:rsidRPr="002C6821">
              <w:rPr>
                <w:rFonts w:asciiTheme="minorHAnsi" w:eastAsia="Times New Roman" w:hAnsiTheme="minorHAnsi" w:cstheme="minorHAnsi"/>
                <w:b/>
                <w:bCs/>
                <w:color w:val="000000"/>
                <w:sz w:val="20"/>
                <w:szCs w:val="20"/>
              </w:rPr>
              <w:t>:</w:t>
            </w:r>
          </w:p>
        </w:tc>
      </w:tr>
      <w:tr w:rsidR="00275747" w:rsidRPr="002C6821" w14:paraId="4A079B82" w14:textId="77777777" w:rsidTr="002C300F">
        <w:tc>
          <w:tcPr>
            <w:tcW w:w="2310" w:type="dxa"/>
            <w:gridSpan w:val="2"/>
            <w:vAlign w:val="center"/>
          </w:tcPr>
          <w:p w14:paraId="18667D78"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Laceration</w:t>
            </w:r>
          </w:p>
        </w:tc>
        <w:tc>
          <w:tcPr>
            <w:tcW w:w="1392" w:type="dxa"/>
            <w:gridSpan w:val="2"/>
            <w:vAlign w:val="center"/>
          </w:tcPr>
          <w:p w14:paraId="2EE82C9A"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3</w:t>
            </w:r>
          </w:p>
        </w:tc>
        <w:tc>
          <w:tcPr>
            <w:tcW w:w="1392" w:type="dxa"/>
            <w:gridSpan w:val="2"/>
            <w:vAlign w:val="center"/>
          </w:tcPr>
          <w:p w14:paraId="1C03D8C7"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3.2</w:t>
            </w:r>
          </w:p>
        </w:tc>
        <w:tc>
          <w:tcPr>
            <w:tcW w:w="1393" w:type="dxa"/>
            <w:gridSpan w:val="2"/>
            <w:vAlign w:val="center"/>
          </w:tcPr>
          <w:p w14:paraId="5AA0130C"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(0.0-6.8)</w:t>
            </w:r>
          </w:p>
        </w:tc>
      </w:tr>
      <w:tr w:rsidR="00275747" w:rsidRPr="002C6821" w14:paraId="62010C59" w14:textId="77777777" w:rsidTr="002C300F">
        <w:tc>
          <w:tcPr>
            <w:tcW w:w="2310" w:type="dxa"/>
            <w:gridSpan w:val="2"/>
            <w:vAlign w:val="center"/>
          </w:tcPr>
          <w:p w14:paraId="20E5B680"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Haematoma</w:t>
            </w:r>
          </w:p>
        </w:tc>
        <w:tc>
          <w:tcPr>
            <w:tcW w:w="1392" w:type="dxa"/>
            <w:gridSpan w:val="2"/>
            <w:vAlign w:val="center"/>
          </w:tcPr>
          <w:p w14:paraId="27971209"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26</w:t>
            </w:r>
          </w:p>
        </w:tc>
        <w:tc>
          <w:tcPr>
            <w:tcW w:w="1392" w:type="dxa"/>
            <w:gridSpan w:val="2"/>
            <w:vAlign w:val="center"/>
          </w:tcPr>
          <w:p w14:paraId="699BAC53"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28.0</w:t>
            </w:r>
          </w:p>
        </w:tc>
        <w:tc>
          <w:tcPr>
            <w:tcW w:w="1393" w:type="dxa"/>
            <w:gridSpan w:val="2"/>
            <w:vAlign w:val="center"/>
          </w:tcPr>
          <w:p w14:paraId="142EC9D1"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(18.8-37.1)</w:t>
            </w:r>
          </w:p>
        </w:tc>
      </w:tr>
      <w:tr w:rsidR="00275747" w:rsidRPr="002C6821" w14:paraId="6F5B05ED" w14:textId="77777777" w:rsidTr="002C300F">
        <w:tc>
          <w:tcPr>
            <w:tcW w:w="2310" w:type="dxa"/>
            <w:gridSpan w:val="2"/>
            <w:vAlign w:val="center"/>
          </w:tcPr>
          <w:p w14:paraId="5D439FBA"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Possible palpable skull fracture</w:t>
            </w:r>
          </w:p>
        </w:tc>
        <w:tc>
          <w:tcPr>
            <w:tcW w:w="1392" w:type="dxa"/>
            <w:gridSpan w:val="2"/>
            <w:vAlign w:val="center"/>
          </w:tcPr>
          <w:p w14:paraId="065383E8"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6</w:t>
            </w:r>
          </w:p>
        </w:tc>
        <w:tc>
          <w:tcPr>
            <w:tcW w:w="1392" w:type="dxa"/>
            <w:gridSpan w:val="2"/>
            <w:vAlign w:val="center"/>
          </w:tcPr>
          <w:p w14:paraId="4CF80CE2"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6.5</w:t>
            </w:r>
          </w:p>
        </w:tc>
        <w:tc>
          <w:tcPr>
            <w:tcW w:w="1393" w:type="dxa"/>
            <w:gridSpan w:val="2"/>
            <w:vAlign w:val="center"/>
          </w:tcPr>
          <w:p w14:paraId="63131D61"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(1.5-11.4)</w:t>
            </w:r>
          </w:p>
        </w:tc>
      </w:tr>
      <w:tr w:rsidR="00275747" w:rsidRPr="002C6821" w14:paraId="589BAE72" w14:textId="77777777" w:rsidTr="002C300F">
        <w:tc>
          <w:tcPr>
            <w:tcW w:w="2310" w:type="dxa"/>
            <w:gridSpan w:val="2"/>
            <w:vAlign w:val="center"/>
          </w:tcPr>
          <w:p w14:paraId="11FF4053" w14:textId="225B5B2F" w:rsidR="00275747" w:rsidRPr="002C6821" w:rsidRDefault="001A021A"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Tense f</w:t>
            </w:r>
            <w:r w:rsidR="00275747" w:rsidRPr="002C6821">
              <w:rPr>
                <w:rFonts w:asciiTheme="minorHAnsi" w:eastAsia="Times New Roman" w:hAnsiTheme="minorHAnsi" w:cstheme="minorHAnsi"/>
                <w:color w:val="000000"/>
                <w:sz w:val="20"/>
                <w:szCs w:val="20"/>
              </w:rPr>
              <w:t>ontanelle</w:t>
            </w:r>
          </w:p>
        </w:tc>
        <w:tc>
          <w:tcPr>
            <w:tcW w:w="1392" w:type="dxa"/>
            <w:gridSpan w:val="2"/>
            <w:vAlign w:val="center"/>
          </w:tcPr>
          <w:p w14:paraId="085360EF"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w:t>
            </w:r>
          </w:p>
        </w:tc>
        <w:tc>
          <w:tcPr>
            <w:tcW w:w="1392" w:type="dxa"/>
            <w:gridSpan w:val="2"/>
            <w:vAlign w:val="center"/>
          </w:tcPr>
          <w:p w14:paraId="01BA6DD2"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2.2</w:t>
            </w:r>
          </w:p>
        </w:tc>
        <w:tc>
          <w:tcPr>
            <w:tcW w:w="1393" w:type="dxa"/>
            <w:gridSpan w:val="2"/>
            <w:vAlign w:val="center"/>
          </w:tcPr>
          <w:p w14:paraId="6813BF38"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(0.0-5.1)</w:t>
            </w:r>
          </w:p>
        </w:tc>
      </w:tr>
      <w:tr w:rsidR="00275747" w:rsidRPr="002C6821" w14:paraId="3D387CB9" w14:textId="77777777" w:rsidTr="00275747">
        <w:tc>
          <w:tcPr>
            <w:tcW w:w="6487" w:type="dxa"/>
            <w:gridSpan w:val="8"/>
            <w:vAlign w:val="bottom"/>
          </w:tcPr>
          <w:p w14:paraId="678039DB" w14:textId="2D0AEA5B"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b/>
                <w:bCs/>
                <w:color w:val="000000"/>
                <w:sz w:val="20"/>
                <w:szCs w:val="20"/>
              </w:rPr>
              <w:t>Management and Outcome</w:t>
            </w:r>
            <w:r w:rsidR="00B36CA4" w:rsidRPr="002C6821">
              <w:rPr>
                <w:rFonts w:asciiTheme="minorHAnsi" w:eastAsia="Times New Roman" w:hAnsiTheme="minorHAnsi" w:cstheme="minorHAnsi"/>
                <w:b/>
                <w:bCs/>
                <w:color w:val="000000"/>
                <w:sz w:val="20"/>
                <w:szCs w:val="20"/>
              </w:rPr>
              <w:t>:</w:t>
            </w:r>
          </w:p>
        </w:tc>
      </w:tr>
      <w:tr w:rsidR="00141310" w:rsidRPr="002C6821" w14:paraId="2239CA75" w14:textId="77777777" w:rsidTr="00141310">
        <w:tc>
          <w:tcPr>
            <w:tcW w:w="2310" w:type="dxa"/>
            <w:gridSpan w:val="2"/>
            <w:vAlign w:val="center"/>
          </w:tcPr>
          <w:p w14:paraId="3F8B57F9" w14:textId="1E18BBF4" w:rsidR="00141310" w:rsidRPr="002C6821" w:rsidRDefault="00141310"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Any neuroimaging</w:t>
            </w:r>
          </w:p>
        </w:tc>
        <w:tc>
          <w:tcPr>
            <w:tcW w:w="1392" w:type="dxa"/>
            <w:gridSpan w:val="2"/>
            <w:vAlign w:val="center"/>
          </w:tcPr>
          <w:p w14:paraId="5FBAD495" w14:textId="35EF4420" w:rsidR="00141310" w:rsidRPr="002C6821" w:rsidRDefault="00141310"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11</w:t>
            </w:r>
          </w:p>
        </w:tc>
        <w:tc>
          <w:tcPr>
            <w:tcW w:w="1392" w:type="dxa"/>
            <w:gridSpan w:val="2"/>
            <w:vAlign w:val="center"/>
          </w:tcPr>
          <w:p w14:paraId="1D7A3A4A" w14:textId="37155A37" w:rsidR="00141310" w:rsidRPr="002C6821" w:rsidRDefault="00141310"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11.8</w:t>
            </w:r>
          </w:p>
        </w:tc>
        <w:tc>
          <w:tcPr>
            <w:tcW w:w="1393" w:type="dxa"/>
            <w:gridSpan w:val="2"/>
            <w:shd w:val="clear" w:color="auto" w:fill="auto"/>
            <w:vAlign w:val="center"/>
          </w:tcPr>
          <w:p w14:paraId="751ADA68" w14:textId="600035B4" w:rsidR="00141310" w:rsidRPr="002C6821" w:rsidRDefault="0032786E" w:rsidP="002D71D9">
            <w:pPr>
              <w:jc w:val="center"/>
              <w:rPr>
                <w:rFonts w:asciiTheme="minorHAnsi" w:eastAsia="Times New Roman" w:hAnsiTheme="minorHAnsi" w:cstheme="minorHAnsi"/>
                <w:color w:val="000000"/>
                <w:sz w:val="20"/>
                <w:szCs w:val="20"/>
                <w:highlight w:val="yellow"/>
              </w:rPr>
            </w:pPr>
            <w:r w:rsidRPr="002C6821">
              <w:rPr>
                <w:rFonts w:asciiTheme="minorHAnsi" w:eastAsia="Times New Roman" w:hAnsiTheme="minorHAnsi" w:cstheme="minorHAnsi"/>
                <w:color w:val="000000"/>
                <w:sz w:val="20"/>
                <w:szCs w:val="20"/>
              </w:rPr>
              <w:t>(5.3-18.4)</w:t>
            </w:r>
          </w:p>
        </w:tc>
      </w:tr>
      <w:tr w:rsidR="00025D90" w:rsidRPr="002C6821" w14:paraId="1E7EB140" w14:textId="77777777" w:rsidTr="00141310">
        <w:tc>
          <w:tcPr>
            <w:tcW w:w="2310" w:type="dxa"/>
            <w:gridSpan w:val="2"/>
            <w:vAlign w:val="center"/>
          </w:tcPr>
          <w:p w14:paraId="2200A86E" w14:textId="0C6F1570" w:rsidR="00025D90" w:rsidRPr="002C6821" w:rsidRDefault="00025D90" w:rsidP="002D71D9">
            <w:pPr>
              <w:ind w:left="142"/>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 xml:space="preserve"> TBI on neuroimaging</w:t>
            </w:r>
          </w:p>
        </w:tc>
        <w:tc>
          <w:tcPr>
            <w:tcW w:w="1392" w:type="dxa"/>
            <w:gridSpan w:val="2"/>
            <w:vAlign w:val="center"/>
          </w:tcPr>
          <w:p w14:paraId="0E4A4959" w14:textId="1C961C31" w:rsidR="00025D90" w:rsidRPr="002C6821" w:rsidRDefault="00025D90"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5</w:t>
            </w:r>
          </w:p>
        </w:tc>
        <w:tc>
          <w:tcPr>
            <w:tcW w:w="1392" w:type="dxa"/>
            <w:gridSpan w:val="2"/>
            <w:vAlign w:val="center"/>
          </w:tcPr>
          <w:p w14:paraId="52EC9673" w14:textId="45C4479C" w:rsidR="00025D90" w:rsidRPr="002C6821" w:rsidRDefault="00025D90"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5.4</w:t>
            </w:r>
          </w:p>
        </w:tc>
        <w:tc>
          <w:tcPr>
            <w:tcW w:w="1393" w:type="dxa"/>
            <w:gridSpan w:val="2"/>
            <w:shd w:val="clear" w:color="auto" w:fill="auto"/>
            <w:vAlign w:val="center"/>
          </w:tcPr>
          <w:p w14:paraId="59549FAE" w14:textId="15FC1446" w:rsidR="00025D90" w:rsidRPr="002C6821" w:rsidRDefault="00025D90" w:rsidP="002D71D9">
            <w:pPr>
              <w:jc w:val="center"/>
              <w:rPr>
                <w:rFonts w:asciiTheme="minorHAnsi" w:eastAsia="Times New Roman" w:hAnsiTheme="minorHAnsi" w:cstheme="minorHAnsi"/>
                <w:color w:val="000000"/>
                <w:sz w:val="20"/>
                <w:szCs w:val="20"/>
                <w:highlight w:val="yellow"/>
              </w:rPr>
            </w:pPr>
            <w:r w:rsidRPr="002C6821">
              <w:rPr>
                <w:rFonts w:asciiTheme="minorHAnsi" w:eastAsia="Times New Roman" w:hAnsiTheme="minorHAnsi" w:cstheme="minorHAnsi"/>
                <w:color w:val="000000"/>
                <w:sz w:val="20"/>
                <w:szCs w:val="20"/>
              </w:rPr>
              <w:t>(0.8-10.0)</w:t>
            </w:r>
          </w:p>
        </w:tc>
      </w:tr>
      <w:tr w:rsidR="00275747" w:rsidRPr="002C6821" w14:paraId="43AAE612" w14:textId="77777777" w:rsidTr="002C300F">
        <w:tc>
          <w:tcPr>
            <w:tcW w:w="2310" w:type="dxa"/>
            <w:gridSpan w:val="2"/>
            <w:vAlign w:val="center"/>
          </w:tcPr>
          <w:p w14:paraId="3B1589D8"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 xml:space="preserve">CT scan </w:t>
            </w:r>
          </w:p>
        </w:tc>
        <w:tc>
          <w:tcPr>
            <w:tcW w:w="1392" w:type="dxa"/>
            <w:gridSpan w:val="2"/>
            <w:vAlign w:val="center"/>
          </w:tcPr>
          <w:p w14:paraId="4455E5A1"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8</w:t>
            </w:r>
          </w:p>
        </w:tc>
        <w:tc>
          <w:tcPr>
            <w:tcW w:w="1392" w:type="dxa"/>
            <w:gridSpan w:val="2"/>
            <w:vAlign w:val="center"/>
          </w:tcPr>
          <w:p w14:paraId="2E573A3D"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8.6</w:t>
            </w:r>
          </w:p>
        </w:tc>
        <w:tc>
          <w:tcPr>
            <w:tcW w:w="1393" w:type="dxa"/>
            <w:gridSpan w:val="2"/>
            <w:vAlign w:val="center"/>
          </w:tcPr>
          <w:p w14:paraId="63620D73"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(2.9-14.3)</w:t>
            </w:r>
          </w:p>
        </w:tc>
      </w:tr>
      <w:tr w:rsidR="00275747" w:rsidRPr="002C6821" w14:paraId="04A512FF" w14:textId="77777777" w:rsidTr="002C300F">
        <w:tc>
          <w:tcPr>
            <w:tcW w:w="2310" w:type="dxa"/>
            <w:gridSpan w:val="2"/>
            <w:vAlign w:val="center"/>
          </w:tcPr>
          <w:p w14:paraId="0E490C98" w14:textId="07E73827" w:rsidR="00275747" w:rsidRPr="002C6821" w:rsidRDefault="004C3A94"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 xml:space="preserve">    </w:t>
            </w:r>
            <w:r w:rsidR="00275747" w:rsidRPr="002C6821">
              <w:rPr>
                <w:rFonts w:asciiTheme="minorHAnsi" w:eastAsia="Times New Roman" w:hAnsiTheme="minorHAnsi" w:cstheme="minorHAnsi"/>
                <w:color w:val="000000"/>
                <w:sz w:val="20"/>
                <w:szCs w:val="20"/>
              </w:rPr>
              <w:t>TBI on CT</w:t>
            </w:r>
            <w:r w:rsidR="00194CF1" w:rsidRPr="002C6821">
              <w:rPr>
                <w:rFonts w:asciiTheme="minorHAnsi" w:eastAsia="Times New Roman" w:hAnsiTheme="minorHAnsi" w:cstheme="minorHAnsi"/>
                <w:color w:val="000000"/>
                <w:sz w:val="20"/>
                <w:szCs w:val="20"/>
              </w:rPr>
              <w:t xml:space="preserve"> scan</w:t>
            </w:r>
          </w:p>
        </w:tc>
        <w:tc>
          <w:tcPr>
            <w:tcW w:w="1392" w:type="dxa"/>
            <w:gridSpan w:val="2"/>
            <w:vAlign w:val="center"/>
          </w:tcPr>
          <w:p w14:paraId="2374E4B5"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5</w:t>
            </w:r>
          </w:p>
        </w:tc>
        <w:tc>
          <w:tcPr>
            <w:tcW w:w="1392" w:type="dxa"/>
            <w:gridSpan w:val="2"/>
            <w:vAlign w:val="center"/>
          </w:tcPr>
          <w:p w14:paraId="5676C427"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5.4</w:t>
            </w:r>
          </w:p>
        </w:tc>
        <w:tc>
          <w:tcPr>
            <w:tcW w:w="1393" w:type="dxa"/>
            <w:gridSpan w:val="2"/>
            <w:vAlign w:val="center"/>
          </w:tcPr>
          <w:p w14:paraId="254FE230"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(0.8-10.0)</w:t>
            </w:r>
          </w:p>
        </w:tc>
      </w:tr>
      <w:tr w:rsidR="00275747" w:rsidRPr="002C6821" w14:paraId="4D69D690" w14:textId="77777777" w:rsidTr="002C300F">
        <w:tc>
          <w:tcPr>
            <w:tcW w:w="2310" w:type="dxa"/>
            <w:gridSpan w:val="2"/>
            <w:vAlign w:val="center"/>
          </w:tcPr>
          <w:p w14:paraId="4BD68605" w14:textId="042607C1"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Ultrasound</w:t>
            </w:r>
          </w:p>
        </w:tc>
        <w:tc>
          <w:tcPr>
            <w:tcW w:w="1392" w:type="dxa"/>
            <w:gridSpan w:val="2"/>
            <w:vAlign w:val="center"/>
          </w:tcPr>
          <w:p w14:paraId="7FE04F4B"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4</w:t>
            </w:r>
          </w:p>
        </w:tc>
        <w:tc>
          <w:tcPr>
            <w:tcW w:w="1392" w:type="dxa"/>
            <w:gridSpan w:val="2"/>
            <w:vAlign w:val="center"/>
          </w:tcPr>
          <w:p w14:paraId="5B4EFC83"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4.3</w:t>
            </w:r>
          </w:p>
        </w:tc>
        <w:tc>
          <w:tcPr>
            <w:tcW w:w="1393" w:type="dxa"/>
            <w:gridSpan w:val="2"/>
            <w:vAlign w:val="center"/>
          </w:tcPr>
          <w:p w14:paraId="003A08A2"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(0.2-8.4)</w:t>
            </w:r>
          </w:p>
        </w:tc>
      </w:tr>
      <w:tr w:rsidR="00275747" w:rsidRPr="002C6821" w14:paraId="06354B65" w14:textId="77777777" w:rsidTr="002C300F">
        <w:tc>
          <w:tcPr>
            <w:tcW w:w="2310" w:type="dxa"/>
            <w:gridSpan w:val="2"/>
            <w:vAlign w:val="center"/>
          </w:tcPr>
          <w:p w14:paraId="7059367E" w14:textId="74CD360D" w:rsidR="00275747" w:rsidRPr="002C6821" w:rsidRDefault="004C3A94"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 xml:space="preserve">    </w:t>
            </w:r>
            <w:r w:rsidR="00275747" w:rsidRPr="002C6821">
              <w:rPr>
                <w:rFonts w:asciiTheme="minorHAnsi" w:eastAsia="Times New Roman" w:hAnsiTheme="minorHAnsi" w:cstheme="minorHAnsi"/>
                <w:color w:val="000000"/>
                <w:sz w:val="20"/>
                <w:szCs w:val="20"/>
              </w:rPr>
              <w:t>TBI on ultrasound</w:t>
            </w:r>
          </w:p>
        </w:tc>
        <w:tc>
          <w:tcPr>
            <w:tcW w:w="1392" w:type="dxa"/>
            <w:gridSpan w:val="2"/>
            <w:vAlign w:val="center"/>
          </w:tcPr>
          <w:p w14:paraId="298C6261"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w:t>
            </w:r>
          </w:p>
        </w:tc>
        <w:tc>
          <w:tcPr>
            <w:tcW w:w="1392" w:type="dxa"/>
            <w:gridSpan w:val="2"/>
            <w:vAlign w:val="center"/>
          </w:tcPr>
          <w:p w14:paraId="09A6FE94"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2.2</w:t>
            </w:r>
          </w:p>
        </w:tc>
        <w:tc>
          <w:tcPr>
            <w:tcW w:w="1393" w:type="dxa"/>
            <w:gridSpan w:val="2"/>
            <w:vAlign w:val="center"/>
          </w:tcPr>
          <w:p w14:paraId="66813759"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(0.0-5.1)</w:t>
            </w:r>
          </w:p>
        </w:tc>
      </w:tr>
      <w:tr w:rsidR="0040335B" w:rsidRPr="002C6821" w14:paraId="3B9AE07D" w14:textId="77777777" w:rsidTr="002C300F">
        <w:tc>
          <w:tcPr>
            <w:tcW w:w="2310" w:type="dxa"/>
            <w:gridSpan w:val="2"/>
            <w:vAlign w:val="center"/>
          </w:tcPr>
          <w:p w14:paraId="4055E84E" w14:textId="08B30F13" w:rsidR="0040335B" w:rsidRPr="002C6821" w:rsidRDefault="0040335B"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MRI</w:t>
            </w:r>
          </w:p>
        </w:tc>
        <w:tc>
          <w:tcPr>
            <w:tcW w:w="1392" w:type="dxa"/>
            <w:gridSpan w:val="2"/>
            <w:vAlign w:val="center"/>
          </w:tcPr>
          <w:p w14:paraId="3ABDCD01" w14:textId="58560BE4" w:rsidR="0040335B" w:rsidRPr="002C6821" w:rsidRDefault="0040335B"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w:t>
            </w:r>
          </w:p>
        </w:tc>
        <w:tc>
          <w:tcPr>
            <w:tcW w:w="1392" w:type="dxa"/>
            <w:gridSpan w:val="2"/>
            <w:vAlign w:val="center"/>
          </w:tcPr>
          <w:p w14:paraId="1E6E82F2" w14:textId="3C284355" w:rsidR="0040335B" w:rsidRPr="002C6821" w:rsidRDefault="0040335B"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2.2</w:t>
            </w:r>
          </w:p>
        </w:tc>
        <w:tc>
          <w:tcPr>
            <w:tcW w:w="1393" w:type="dxa"/>
            <w:gridSpan w:val="2"/>
            <w:vAlign w:val="center"/>
          </w:tcPr>
          <w:p w14:paraId="10A240C1" w14:textId="7E85C124" w:rsidR="0040335B" w:rsidRPr="002C6821" w:rsidRDefault="0040335B"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(0.0-5.1)</w:t>
            </w:r>
          </w:p>
        </w:tc>
      </w:tr>
      <w:tr w:rsidR="0040335B" w:rsidRPr="002C6821" w14:paraId="45D02900" w14:textId="77777777" w:rsidTr="002C300F">
        <w:tc>
          <w:tcPr>
            <w:tcW w:w="2310" w:type="dxa"/>
            <w:gridSpan w:val="2"/>
            <w:vAlign w:val="center"/>
          </w:tcPr>
          <w:p w14:paraId="7C5CFAAC" w14:textId="6F1A525B" w:rsidR="0040335B" w:rsidRPr="002C6821" w:rsidRDefault="0040335B"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X-ray</w:t>
            </w:r>
          </w:p>
        </w:tc>
        <w:tc>
          <w:tcPr>
            <w:tcW w:w="1392" w:type="dxa"/>
            <w:gridSpan w:val="2"/>
            <w:vAlign w:val="center"/>
          </w:tcPr>
          <w:p w14:paraId="16098FD9" w14:textId="5FD65283" w:rsidR="0040335B" w:rsidRPr="002C6821" w:rsidRDefault="0040335B"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w:t>
            </w:r>
          </w:p>
        </w:tc>
        <w:tc>
          <w:tcPr>
            <w:tcW w:w="1392" w:type="dxa"/>
            <w:gridSpan w:val="2"/>
            <w:vAlign w:val="center"/>
          </w:tcPr>
          <w:p w14:paraId="07E038F3" w14:textId="6C4F910A" w:rsidR="0040335B" w:rsidRPr="002C6821" w:rsidRDefault="0040335B"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1.1</w:t>
            </w:r>
          </w:p>
        </w:tc>
        <w:tc>
          <w:tcPr>
            <w:tcW w:w="1393" w:type="dxa"/>
            <w:gridSpan w:val="2"/>
            <w:vAlign w:val="center"/>
          </w:tcPr>
          <w:p w14:paraId="3FF56FD6" w14:textId="437C1C5A" w:rsidR="0040335B" w:rsidRPr="002C6821" w:rsidRDefault="0040335B"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(0.0-3.2)</w:t>
            </w:r>
          </w:p>
        </w:tc>
      </w:tr>
      <w:tr w:rsidR="00275747" w:rsidRPr="002C6821" w14:paraId="47F59E82" w14:textId="77777777" w:rsidTr="002C300F">
        <w:tc>
          <w:tcPr>
            <w:tcW w:w="2310" w:type="dxa"/>
            <w:gridSpan w:val="2"/>
            <w:vAlign w:val="center"/>
          </w:tcPr>
          <w:p w14:paraId="459A110C"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ETT &gt;1d</w:t>
            </w:r>
          </w:p>
        </w:tc>
        <w:tc>
          <w:tcPr>
            <w:tcW w:w="1392" w:type="dxa"/>
            <w:gridSpan w:val="2"/>
            <w:vAlign w:val="center"/>
          </w:tcPr>
          <w:p w14:paraId="428CCB68"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w:t>
            </w:r>
          </w:p>
        </w:tc>
        <w:tc>
          <w:tcPr>
            <w:tcW w:w="1392" w:type="dxa"/>
            <w:gridSpan w:val="2"/>
            <w:vAlign w:val="center"/>
          </w:tcPr>
          <w:p w14:paraId="2E642AA7"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1.1</w:t>
            </w:r>
          </w:p>
        </w:tc>
        <w:tc>
          <w:tcPr>
            <w:tcW w:w="1393" w:type="dxa"/>
            <w:gridSpan w:val="2"/>
            <w:vAlign w:val="center"/>
          </w:tcPr>
          <w:p w14:paraId="53C50249"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(0.0-3.2)</w:t>
            </w:r>
          </w:p>
        </w:tc>
      </w:tr>
      <w:tr w:rsidR="00275747" w:rsidRPr="002C6821" w14:paraId="4ECF2478" w14:textId="77777777" w:rsidTr="002C300F">
        <w:tc>
          <w:tcPr>
            <w:tcW w:w="2310" w:type="dxa"/>
            <w:gridSpan w:val="2"/>
            <w:vAlign w:val="center"/>
          </w:tcPr>
          <w:p w14:paraId="34CEC1F6"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PICU admission</w:t>
            </w:r>
          </w:p>
        </w:tc>
        <w:tc>
          <w:tcPr>
            <w:tcW w:w="1392" w:type="dxa"/>
            <w:gridSpan w:val="2"/>
            <w:vAlign w:val="center"/>
          </w:tcPr>
          <w:p w14:paraId="7AF3C0F2"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w:t>
            </w:r>
          </w:p>
        </w:tc>
        <w:tc>
          <w:tcPr>
            <w:tcW w:w="1392" w:type="dxa"/>
            <w:gridSpan w:val="2"/>
            <w:vAlign w:val="center"/>
          </w:tcPr>
          <w:p w14:paraId="743E0829"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1.1</w:t>
            </w:r>
          </w:p>
        </w:tc>
        <w:tc>
          <w:tcPr>
            <w:tcW w:w="1393" w:type="dxa"/>
            <w:gridSpan w:val="2"/>
            <w:vAlign w:val="center"/>
          </w:tcPr>
          <w:p w14:paraId="0ACBFDAA"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(0.0-3.2)</w:t>
            </w:r>
          </w:p>
        </w:tc>
      </w:tr>
      <w:tr w:rsidR="00275747" w:rsidRPr="002C6821" w14:paraId="6A5BACAA" w14:textId="77777777" w:rsidTr="002C300F">
        <w:tc>
          <w:tcPr>
            <w:tcW w:w="2310" w:type="dxa"/>
            <w:gridSpan w:val="2"/>
            <w:vAlign w:val="center"/>
          </w:tcPr>
          <w:p w14:paraId="7BB6F4E5"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Admission</w:t>
            </w:r>
          </w:p>
        </w:tc>
        <w:tc>
          <w:tcPr>
            <w:tcW w:w="1392" w:type="dxa"/>
            <w:gridSpan w:val="2"/>
            <w:vAlign w:val="center"/>
          </w:tcPr>
          <w:p w14:paraId="34DDE536"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34</w:t>
            </w:r>
          </w:p>
        </w:tc>
        <w:tc>
          <w:tcPr>
            <w:tcW w:w="1392" w:type="dxa"/>
            <w:gridSpan w:val="2"/>
            <w:vAlign w:val="center"/>
          </w:tcPr>
          <w:p w14:paraId="3FAF115F"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36.6</w:t>
            </w:r>
          </w:p>
        </w:tc>
        <w:tc>
          <w:tcPr>
            <w:tcW w:w="1393" w:type="dxa"/>
            <w:gridSpan w:val="2"/>
            <w:vAlign w:val="center"/>
          </w:tcPr>
          <w:p w14:paraId="3A3A51AA"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(26.8-46.3)</w:t>
            </w:r>
          </w:p>
        </w:tc>
      </w:tr>
      <w:tr w:rsidR="00275747" w:rsidRPr="002C6821" w14:paraId="3C7A1989" w14:textId="77777777" w:rsidTr="002C300F">
        <w:tc>
          <w:tcPr>
            <w:tcW w:w="2310" w:type="dxa"/>
            <w:gridSpan w:val="2"/>
            <w:vAlign w:val="center"/>
          </w:tcPr>
          <w:p w14:paraId="59FBE1A7"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Median length of stay [days] (IQR)</w:t>
            </w:r>
          </w:p>
        </w:tc>
        <w:tc>
          <w:tcPr>
            <w:tcW w:w="1392" w:type="dxa"/>
            <w:gridSpan w:val="2"/>
            <w:vAlign w:val="center"/>
          </w:tcPr>
          <w:p w14:paraId="2F0CB316"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w:t>
            </w:r>
          </w:p>
        </w:tc>
        <w:tc>
          <w:tcPr>
            <w:tcW w:w="1392" w:type="dxa"/>
            <w:gridSpan w:val="2"/>
            <w:vAlign w:val="center"/>
          </w:tcPr>
          <w:p w14:paraId="153F30A8" w14:textId="77777777" w:rsidR="00275747" w:rsidRPr="002C6821" w:rsidRDefault="00275747" w:rsidP="002D71D9">
            <w:pPr>
              <w:jc w:val="center"/>
              <w:rPr>
                <w:rFonts w:asciiTheme="minorHAnsi" w:eastAsia="Times New Roman" w:hAnsiTheme="minorHAnsi" w:cstheme="minorHAnsi"/>
                <w:color w:val="000000"/>
                <w:sz w:val="20"/>
                <w:szCs w:val="20"/>
              </w:rPr>
            </w:pPr>
          </w:p>
        </w:tc>
        <w:tc>
          <w:tcPr>
            <w:tcW w:w="1393" w:type="dxa"/>
            <w:gridSpan w:val="2"/>
            <w:vAlign w:val="center"/>
          </w:tcPr>
          <w:p w14:paraId="343A5275"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(1.0-2.0)</w:t>
            </w:r>
          </w:p>
        </w:tc>
      </w:tr>
      <w:tr w:rsidR="00275747" w:rsidRPr="002C6821" w14:paraId="129408F6" w14:textId="77777777" w:rsidTr="002C300F">
        <w:tc>
          <w:tcPr>
            <w:tcW w:w="2310" w:type="dxa"/>
            <w:gridSpan w:val="2"/>
            <w:vAlign w:val="center"/>
          </w:tcPr>
          <w:p w14:paraId="33327E1A"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Neurosurgery</w:t>
            </w:r>
          </w:p>
        </w:tc>
        <w:tc>
          <w:tcPr>
            <w:tcW w:w="1392" w:type="dxa"/>
            <w:gridSpan w:val="2"/>
            <w:vAlign w:val="center"/>
          </w:tcPr>
          <w:p w14:paraId="331C836A"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w:t>
            </w:r>
          </w:p>
        </w:tc>
        <w:tc>
          <w:tcPr>
            <w:tcW w:w="1392" w:type="dxa"/>
            <w:gridSpan w:val="2"/>
            <w:vAlign w:val="center"/>
          </w:tcPr>
          <w:p w14:paraId="67EA366C"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w:t>
            </w:r>
          </w:p>
        </w:tc>
        <w:tc>
          <w:tcPr>
            <w:tcW w:w="1393" w:type="dxa"/>
            <w:gridSpan w:val="2"/>
            <w:vAlign w:val="center"/>
          </w:tcPr>
          <w:p w14:paraId="1F36C0ED" w14:textId="588BD7DE" w:rsidR="00275747" w:rsidRPr="002C6821" w:rsidRDefault="00275747" w:rsidP="002D71D9">
            <w:pPr>
              <w:jc w:val="center"/>
              <w:rPr>
                <w:rFonts w:asciiTheme="minorHAnsi" w:eastAsia="Times New Roman" w:hAnsiTheme="minorHAnsi" w:cstheme="minorHAnsi"/>
                <w:color w:val="000000"/>
                <w:sz w:val="20"/>
                <w:szCs w:val="20"/>
              </w:rPr>
            </w:pPr>
          </w:p>
        </w:tc>
      </w:tr>
      <w:tr w:rsidR="00275747" w:rsidRPr="002C6821" w14:paraId="6FBEBE63" w14:textId="77777777" w:rsidTr="002C300F">
        <w:tc>
          <w:tcPr>
            <w:tcW w:w="2310" w:type="dxa"/>
            <w:gridSpan w:val="2"/>
            <w:vAlign w:val="center"/>
          </w:tcPr>
          <w:p w14:paraId="54287612"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ciTBI</w:t>
            </w:r>
          </w:p>
        </w:tc>
        <w:tc>
          <w:tcPr>
            <w:tcW w:w="1392" w:type="dxa"/>
            <w:gridSpan w:val="2"/>
            <w:vAlign w:val="center"/>
          </w:tcPr>
          <w:p w14:paraId="2F466CED"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4</w:t>
            </w:r>
          </w:p>
        </w:tc>
        <w:tc>
          <w:tcPr>
            <w:tcW w:w="1392" w:type="dxa"/>
            <w:gridSpan w:val="2"/>
            <w:vAlign w:val="center"/>
          </w:tcPr>
          <w:p w14:paraId="3BCD9883"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4.3</w:t>
            </w:r>
          </w:p>
        </w:tc>
        <w:tc>
          <w:tcPr>
            <w:tcW w:w="1393" w:type="dxa"/>
            <w:gridSpan w:val="2"/>
            <w:vAlign w:val="center"/>
          </w:tcPr>
          <w:p w14:paraId="5960C051"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(0.2-8.4)</w:t>
            </w:r>
          </w:p>
        </w:tc>
      </w:tr>
      <w:tr w:rsidR="00275747" w:rsidRPr="002C6821" w14:paraId="0D7158C3" w14:textId="77777777" w:rsidTr="002C300F">
        <w:tc>
          <w:tcPr>
            <w:tcW w:w="2310" w:type="dxa"/>
            <w:gridSpan w:val="2"/>
            <w:tcBorders>
              <w:bottom w:val="single" w:sz="4" w:space="0" w:color="auto"/>
            </w:tcBorders>
            <w:vAlign w:val="center"/>
          </w:tcPr>
          <w:p w14:paraId="039AC970" w14:textId="77777777" w:rsidR="00275747" w:rsidRPr="002C6821" w:rsidRDefault="00275747"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Mortality</w:t>
            </w:r>
          </w:p>
        </w:tc>
        <w:tc>
          <w:tcPr>
            <w:tcW w:w="1392" w:type="dxa"/>
            <w:gridSpan w:val="2"/>
            <w:tcBorders>
              <w:bottom w:val="single" w:sz="4" w:space="0" w:color="auto"/>
            </w:tcBorders>
            <w:vAlign w:val="center"/>
          </w:tcPr>
          <w:p w14:paraId="642E8FB3"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w:t>
            </w:r>
          </w:p>
        </w:tc>
        <w:tc>
          <w:tcPr>
            <w:tcW w:w="1392" w:type="dxa"/>
            <w:gridSpan w:val="2"/>
            <w:tcBorders>
              <w:bottom w:val="single" w:sz="4" w:space="0" w:color="auto"/>
            </w:tcBorders>
            <w:vAlign w:val="center"/>
          </w:tcPr>
          <w:p w14:paraId="694BA0D7"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w:t>
            </w:r>
          </w:p>
        </w:tc>
        <w:tc>
          <w:tcPr>
            <w:tcW w:w="1393" w:type="dxa"/>
            <w:gridSpan w:val="2"/>
            <w:tcBorders>
              <w:bottom w:val="single" w:sz="4" w:space="0" w:color="auto"/>
            </w:tcBorders>
            <w:vAlign w:val="center"/>
          </w:tcPr>
          <w:p w14:paraId="156637A4" w14:textId="77777777" w:rsidR="00275747" w:rsidRPr="002C6821" w:rsidRDefault="00275747"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(0.0-0.0)</w:t>
            </w:r>
          </w:p>
        </w:tc>
      </w:tr>
    </w:tbl>
    <w:p w14:paraId="6EB3BA11" w14:textId="361C92C7" w:rsidR="002C300F" w:rsidRPr="002C6821" w:rsidRDefault="00C871BC" w:rsidP="002D71D9">
      <w:pPr>
        <w:rPr>
          <w:rFonts w:asciiTheme="minorHAnsi" w:hAnsiTheme="minorHAnsi" w:cstheme="minorHAnsi"/>
          <w:i/>
          <w:sz w:val="20"/>
          <w:szCs w:val="20"/>
        </w:rPr>
      </w:pPr>
      <w:r w:rsidRPr="002C6821">
        <w:rPr>
          <w:rFonts w:asciiTheme="minorHAnsi" w:hAnsiTheme="minorHAnsi" w:cstheme="minorHAnsi"/>
          <w:i/>
          <w:sz w:val="20"/>
          <w:szCs w:val="20"/>
        </w:rPr>
        <w:t>LOC – loss of consciousness</w:t>
      </w:r>
    </w:p>
    <w:p w14:paraId="0137A979" w14:textId="7DD5665A" w:rsidR="00C871BC" w:rsidRPr="002C6821" w:rsidRDefault="00C871BC" w:rsidP="002D71D9">
      <w:pPr>
        <w:rPr>
          <w:rFonts w:asciiTheme="minorHAnsi" w:hAnsiTheme="minorHAnsi" w:cstheme="minorHAnsi"/>
          <w:i/>
          <w:sz w:val="20"/>
          <w:szCs w:val="20"/>
        </w:rPr>
      </w:pPr>
      <w:r w:rsidRPr="002C6821">
        <w:rPr>
          <w:rFonts w:asciiTheme="minorHAnsi" w:hAnsiTheme="minorHAnsi" w:cstheme="minorHAnsi"/>
          <w:i/>
          <w:sz w:val="20"/>
          <w:szCs w:val="20"/>
        </w:rPr>
        <w:t xml:space="preserve">GCS – Glasgow Coma Scale </w:t>
      </w:r>
    </w:p>
    <w:p w14:paraId="7EC495AF" w14:textId="2C38D443" w:rsidR="00C871BC" w:rsidRPr="002C6821" w:rsidRDefault="00C871BC" w:rsidP="002D71D9">
      <w:pPr>
        <w:rPr>
          <w:rFonts w:asciiTheme="minorHAnsi" w:hAnsiTheme="minorHAnsi" w:cstheme="minorHAnsi"/>
          <w:i/>
          <w:sz w:val="20"/>
          <w:szCs w:val="20"/>
        </w:rPr>
      </w:pPr>
      <w:r w:rsidRPr="002C6821">
        <w:rPr>
          <w:rFonts w:asciiTheme="minorHAnsi" w:hAnsiTheme="minorHAnsi" w:cstheme="minorHAnsi"/>
          <w:i/>
          <w:sz w:val="20"/>
          <w:szCs w:val="20"/>
        </w:rPr>
        <w:t>CT – computed topography</w:t>
      </w:r>
    </w:p>
    <w:p w14:paraId="3A10A939" w14:textId="208C81E5" w:rsidR="00C871BC" w:rsidRPr="002C6821" w:rsidRDefault="00C871BC" w:rsidP="002D71D9">
      <w:pPr>
        <w:rPr>
          <w:rFonts w:asciiTheme="minorHAnsi" w:hAnsiTheme="minorHAnsi" w:cstheme="minorHAnsi"/>
          <w:i/>
          <w:sz w:val="20"/>
          <w:szCs w:val="20"/>
        </w:rPr>
      </w:pPr>
      <w:r w:rsidRPr="002C6821">
        <w:rPr>
          <w:rFonts w:asciiTheme="minorHAnsi" w:hAnsiTheme="minorHAnsi" w:cstheme="minorHAnsi"/>
          <w:i/>
          <w:sz w:val="20"/>
          <w:szCs w:val="20"/>
        </w:rPr>
        <w:t>TBI – traumatic brain injury</w:t>
      </w:r>
    </w:p>
    <w:p w14:paraId="2773CD02" w14:textId="092D8F57" w:rsidR="00C871BC" w:rsidRPr="002C6821" w:rsidRDefault="00C871BC" w:rsidP="002D71D9">
      <w:pPr>
        <w:rPr>
          <w:rFonts w:asciiTheme="minorHAnsi" w:hAnsiTheme="minorHAnsi" w:cstheme="minorHAnsi"/>
          <w:i/>
          <w:sz w:val="20"/>
          <w:szCs w:val="20"/>
        </w:rPr>
      </w:pPr>
      <w:r w:rsidRPr="002C6821">
        <w:rPr>
          <w:rFonts w:asciiTheme="minorHAnsi" w:hAnsiTheme="minorHAnsi" w:cstheme="minorHAnsi"/>
          <w:i/>
          <w:sz w:val="20"/>
          <w:szCs w:val="20"/>
        </w:rPr>
        <w:t>ETT – endotracheal tube</w:t>
      </w:r>
    </w:p>
    <w:p w14:paraId="3CD31731" w14:textId="506EE849" w:rsidR="00C871BC" w:rsidRPr="002C6821" w:rsidRDefault="00C871BC" w:rsidP="002D71D9">
      <w:pPr>
        <w:rPr>
          <w:rFonts w:asciiTheme="minorHAnsi" w:hAnsiTheme="minorHAnsi" w:cstheme="minorHAnsi"/>
          <w:i/>
          <w:sz w:val="20"/>
          <w:szCs w:val="20"/>
        </w:rPr>
      </w:pPr>
      <w:r w:rsidRPr="002C6821">
        <w:rPr>
          <w:rFonts w:asciiTheme="minorHAnsi" w:hAnsiTheme="minorHAnsi" w:cstheme="minorHAnsi"/>
          <w:i/>
          <w:sz w:val="20"/>
          <w:szCs w:val="20"/>
        </w:rPr>
        <w:t>PICU –paediatric intensive care unit</w:t>
      </w:r>
    </w:p>
    <w:p w14:paraId="4D47A417" w14:textId="5FC67530" w:rsidR="00C871BC" w:rsidRPr="002C6821" w:rsidRDefault="00C871BC" w:rsidP="002D71D9">
      <w:pPr>
        <w:rPr>
          <w:rFonts w:asciiTheme="minorHAnsi" w:hAnsiTheme="minorHAnsi" w:cstheme="minorHAnsi"/>
          <w:i/>
          <w:sz w:val="20"/>
          <w:szCs w:val="20"/>
        </w:rPr>
      </w:pPr>
      <w:r w:rsidRPr="002C6821">
        <w:rPr>
          <w:rFonts w:asciiTheme="minorHAnsi" w:hAnsiTheme="minorHAnsi" w:cstheme="minorHAnsi"/>
          <w:i/>
          <w:sz w:val="20"/>
          <w:szCs w:val="20"/>
        </w:rPr>
        <w:t>IQR – interquartile range</w:t>
      </w:r>
    </w:p>
    <w:p w14:paraId="72C975DE" w14:textId="35BBC3D4" w:rsidR="005B72A4" w:rsidRPr="002C6821" w:rsidRDefault="00C871BC" w:rsidP="002C6821">
      <w:pPr>
        <w:spacing w:after="240"/>
        <w:rPr>
          <w:rFonts w:asciiTheme="minorHAnsi" w:hAnsiTheme="minorHAnsi" w:cstheme="minorHAnsi"/>
          <w:i/>
          <w:sz w:val="20"/>
          <w:szCs w:val="20"/>
        </w:rPr>
      </w:pPr>
      <w:r w:rsidRPr="002C6821">
        <w:rPr>
          <w:rFonts w:asciiTheme="minorHAnsi" w:hAnsiTheme="minorHAnsi" w:cstheme="minorHAnsi"/>
          <w:i/>
          <w:sz w:val="20"/>
          <w:szCs w:val="20"/>
        </w:rPr>
        <w:t>ciTBI – clinically important traumatic brain injur</w:t>
      </w:r>
      <w:r w:rsidR="00F07103" w:rsidRPr="002C6821">
        <w:rPr>
          <w:rFonts w:asciiTheme="minorHAnsi" w:hAnsiTheme="minorHAnsi" w:cstheme="minorHAnsi"/>
          <w:i/>
          <w:sz w:val="20"/>
          <w:szCs w:val="20"/>
        </w:rPr>
        <w:t>y</w:t>
      </w:r>
    </w:p>
    <w:p w14:paraId="6E3C0192" w14:textId="77777777" w:rsidR="001123E9" w:rsidRPr="002C6821" w:rsidRDefault="001123E9" w:rsidP="002C6821">
      <w:pPr>
        <w:spacing w:after="240"/>
        <w:rPr>
          <w:rFonts w:asciiTheme="minorHAnsi" w:hAnsiTheme="minorHAnsi" w:cstheme="minorHAnsi"/>
          <w:i/>
          <w:sz w:val="20"/>
          <w:szCs w:val="20"/>
        </w:rPr>
      </w:pPr>
    </w:p>
    <w:p w14:paraId="0F1536D4" w14:textId="77777777" w:rsidR="001123E9" w:rsidRPr="002C6821" w:rsidRDefault="001123E9" w:rsidP="002C6821">
      <w:pPr>
        <w:spacing w:after="240"/>
        <w:rPr>
          <w:rFonts w:asciiTheme="minorHAnsi" w:hAnsiTheme="minorHAnsi" w:cstheme="minorHAnsi"/>
          <w:i/>
          <w:sz w:val="20"/>
          <w:szCs w:val="20"/>
        </w:rPr>
      </w:pPr>
    </w:p>
    <w:p w14:paraId="28CEDEBD" w14:textId="4A397441" w:rsidR="001123E9" w:rsidRPr="002C6821" w:rsidRDefault="001123E9" w:rsidP="002C6821">
      <w:pPr>
        <w:spacing w:after="240"/>
        <w:rPr>
          <w:rFonts w:asciiTheme="minorHAnsi" w:hAnsiTheme="minorHAnsi" w:cstheme="minorHAnsi"/>
          <w:b/>
          <w:sz w:val="20"/>
          <w:szCs w:val="20"/>
        </w:rPr>
      </w:pPr>
      <w:r w:rsidRPr="002C6821">
        <w:rPr>
          <w:rFonts w:asciiTheme="minorHAnsi" w:hAnsiTheme="minorHAnsi" w:cstheme="minorHAnsi"/>
          <w:b/>
          <w:sz w:val="20"/>
          <w:szCs w:val="20"/>
        </w:rPr>
        <w:lastRenderedPageBreak/>
        <w:t>Table 2: Mechanism of neonatal head injuries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992"/>
        <w:gridCol w:w="1276"/>
        <w:gridCol w:w="992"/>
      </w:tblGrid>
      <w:tr w:rsidR="00175686" w:rsidRPr="002C6821" w14:paraId="0BF608A5" w14:textId="77777777" w:rsidTr="00065A48">
        <w:tc>
          <w:tcPr>
            <w:tcW w:w="2689" w:type="dxa"/>
            <w:tcBorders>
              <w:top w:val="single" w:sz="4" w:space="0" w:color="auto"/>
              <w:bottom w:val="single" w:sz="4" w:space="0" w:color="auto"/>
            </w:tcBorders>
            <w:vAlign w:val="bottom"/>
          </w:tcPr>
          <w:p w14:paraId="2AD38B42" w14:textId="77777777" w:rsidR="001123E9" w:rsidRPr="002C6821" w:rsidRDefault="001123E9" w:rsidP="002D71D9">
            <w:pPr>
              <w:rPr>
                <w:rFonts w:asciiTheme="minorHAnsi" w:hAnsiTheme="minorHAnsi" w:cstheme="minorHAnsi"/>
                <w:b/>
                <w:bCs/>
                <w:color w:val="000000"/>
                <w:sz w:val="20"/>
                <w:szCs w:val="20"/>
              </w:rPr>
            </w:pPr>
            <w:r w:rsidRPr="002C6821">
              <w:rPr>
                <w:rFonts w:asciiTheme="minorHAnsi" w:hAnsiTheme="minorHAnsi" w:cstheme="minorHAnsi"/>
                <w:b/>
                <w:bCs/>
                <w:color w:val="000000"/>
                <w:sz w:val="20"/>
                <w:szCs w:val="20"/>
              </w:rPr>
              <w:t>Activity Code</w:t>
            </w:r>
          </w:p>
        </w:tc>
        <w:tc>
          <w:tcPr>
            <w:tcW w:w="992" w:type="dxa"/>
            <w:tcBorders>
              <w:top w:val="single" w:sz="4" w:space="0" w:color="auto"/>
              <w:bottom w:val="single" w:sz="4" w:space="0" w:color="auto"/>
            </w:tcBorders>
            <w:vAlign w:val="bottom"/>
          </w:tcPr>
          <w:p w14:paraId="10921B2D" w14:textId="77777777" w:rsidR="001123E9" w:rsidRPr="002C6821" w:rsidRDefault="001123E9" w:rsidP="002D71D9">
            <w:pPr>
              <w:jc w:val="center"/>
              <w:rPr>
                <w:rFonts w:asciiTheme="minorHAnsi" w:hAnsiTheme="minorHAnsi" w:cstheme="minorHAnsi"/>
                <w:b/>
                <w:bCs/>
                <w:color w:val="000000"/>
                <w:sz w:val="20"/>
                <w:szCs w:val="20"/>
              </w:rPr>
            </w:pPr>
            <w:r w:rsidRPr="002C6821">
              <w:rPr>
                <w:rFonts w:asciiTheme="minorHAnsi" w:hAnsiTheme="minorHAnsi" w:cstheme="minorHAnsi"/>
                <w:b/>
                <w:bCs/>
                <w:color w:val="000000"/>
                <w:sz w:val="20"/>
                <w:szCs w:val="20"/>
              </w:rPr>
              <w:t>n</w:t>
            </w:r>
          </w:p>
        </w:tc>
        <w:tc>
          <w:tcPr>
            <w:tcW w:w="1276" w:type="dxa"/>
            <w:tcBorders>
              <w:top w:val="single" w:sz="4" w:space="0" w:color="auto"/>
              <w:bottom w:val="single" w:sz="4" w:space="0" w:color="auto"/>
            </w:tcBorders>
            <w:vAlign w:val="bottom"/>
          </w:tcPr>
          <w:p w14:paraId="502949AA" w14:textId="77777777" w:rsidR="001123E9" w:rsidRPr="002C6821" w:rsidRDefault="001123E9" w:rsidP="002D71D9">
            <w:pPr>
              <w:jc w:val="center"/>
              <w:rPr>
                <w:rFonts w:asciiTheme="minorHAnsi" w:hAnsiTheme="minorHAnsi" w:cstheme="minorHAnsi"/>
                <w:b/>
                <w:bCs/>
                <w:color w:val="000000"/>
                <w:sz w:val="20"/>
                <w:szCs w:val="20"/>
              </w:rPr>
            </w:pPr>
            <w:r w:rsidRPr="002C6821">
              <w:rPr>
                <w:rFonts w:asciiTheme="minorHAnsi" w:hAnsiTheme="minorHAnsi" w:cstheme="minorHAnsi"/>
                <w:b/>
                <w:bCs/>
                <w:color w:val="000000"/>
                <w:sz w:val="20"/>
                <w:szCs w:val="20"/>
              </w:rPr>
              <w:t>%</w:t>
            </w:r>
          </w:p>
        </w:tc>
        <w:tc>
          <w:tcPr>
            <w:tcW w:w="992" w:type="dxa"/>
            <w:tcBorders>
              <w:top w:val="single" w:sz="4" w:space="0" w:color="auto"/>
              <w:bottom w:val="single" w:sz="4" w:space="0" w:color="auto"/>
            </w:tcBorders>
            <w:vAlign w:val="bottom"/>
          </w:tcPr>
          <w:p w14:paraId="5AFBE110" w14:textId="77777777" w:rsidR="001123E9" w:rsidRPr="002C6821" w:rsidRDefault="001123E9" w:rsidP="002D71D9">
            <w:pPr>
              <w:jc w:val="center"/>
              <w:rPr>
                <w:rFonts w:asciiTheme="minorHAnsi" w:hAnsiTheme="minorHAnsi" w:cstheme="minorHAnsi"/>
                <w:b/>
                <w:bCs/>
                <w:color w:val="000000"/>
                <w:sz w:val="20"/>
                <w:szCs w:val="20"/>
              </w:rPr>
            </w:pPr>
            <w:r w:rsidRPr="002C6821">
              <w:rPr>
                <w:rFonts w:asciiTheme="minorHAnsi" w:hAnsiTheme="minorHAnsi" w:cstheme="minorHAnsi"/>
                <w:b/>
                <w:bCs/>
                <w:color w:val="000000"/>
                <w:sz w:val="20"/>
                <w:szCs w:val="20"/>
              </w:rPr>
              <w:t>%*</w:t>
            </w:r>
          </w:p>
        </w:tc>
      </w:tr>
      <w:tr w:rsidR="00175686" w:rsidRPr="002C6821" w14:paraId="6453BA88" w14:textId="77777777" w:rsidTr="00065A48">
        <w:tc>
          <w:tcPr>
            <w:tcW w:w="2689" w:type="dxa"/>
            <w:tcBorders>
              <w:top w:val="single" w:sz="4" w:space="0" w:color="auto"/>
            </w:tcBorders>
            <w:vAlign w:val="center"/>
          </w:tcPr>
          <w:p w14:paraId="78B64FA5" w14:textId="3329BFB5" w:rsidR="001123E9" w:rsidRPr="002C6821" w:rsidRDefault="001123E9" w:rsidP="002D71D9">
            <w:pPr>
              <w:rPr>
                <w:rFonts w:asciiTheme="minorHAnsi" w:eastAsia="Times New Roman" w:hAnsiTheme="minorHAnsi" w:cstheme="minorHAnsi"/>
                <w:b/>
                <w:bCs/>
                <w:color w:val="000000"/>
                <w:sz w:val="20"/>
                <w:szCs w:val="20"/>
              </w:rPr>
            </w:pPr>
            <w:r w:rsidRPr="002C6821">
              <w:rPr>
                <w:rFonts w:asciiTheme="minorHAnsi" w:hAnsiTheme="minorHAnsi" w:cstheme="minorHAnsi"/>
                <w:b/>
                <w:bCs/>
                <w:color w:val="000000"/>
                <w:sz w:val="20"/>
                <w:szCs w:val="20"/>
              </w:rPr>
              <w:t xml:space="preserve">Fall related </w:t>
            </w:r>
          </w:p>
        </w:tc>
        <w:tc>
          <w:tcPr>
            <w:tcW w:w="992" w:type="dxa"/>
            <w:tcBorders>
              <w:top w:val="single" w:sz="4" w:space="0" w:color="auto"/>
            </w:tcBorders>
            <w:vAlign w:val="bottom"/>
          </w:tcPr>
          <w:p w14:paraId="051A6581" w14:textId="25C5DC76" w:rsidR="001123E9" w:rsidRPr="002C6821" w:rsidRDefault="001A021A" w:rsidP="002D71D9">
            <w:pPr>
              <w:jc w:val="center"/>
              <w:rPr>
                <w:rFonts w:asciiTheme="minorHAnsi" w:hAnsiTheme="minorHAnsi" w:cstheme="minorHAnsi"/>
                <w:b/>
                <w:bCs/>
                <w:color w:val="000000"/>
                <w:sz w:val="20"/>
                <w:szCs w:val="20"/>
              </w:rPr>
            </w:pPr>
            <w:r w:rsidRPr="002C6821">
              <w:rPr>
                <w:rFonts w:asciiTheme="minorHAnsi" w:hAnsiTheme="minorHAnsi" w:cstheme="minorHAnsi"/>
                <w:b/>
                <w:bCs/>
                <w:color w:val="000000"/>
                <w:sz w:val="20"/>
                <w:szCs w:val="20"/>
              </w:rPr>
              <w:t>69</w:t>
            </w:r>
          </w:p>
        </w:tc>
        <w:tc>
          <w:tcPr>
            <w:tcW w:w="1276" w:type="dxa"/>
            <w:tcBorders>
              <w:top w:val="single" w:sz="4" w:space="0" w:color="auto"/>
            </w:tcBorders>
            <w:vAlign w:val="bottom"/>
          </w:tcPr>
          <w:p w14:paraId="60B4C361" w14:textId="32A77229" w:rsidR="001123E9" w:rsidRPr="002C6821" w:rsidRDefault="001A021A" w:rsidP="002D71D9">
            <w:pPr>
              <w:jc w:val="center"/>
              <w:rPr>
                <w:rFonts w:asciiTheme="minorHAnsi" w:hAnsiTheme="minorHAnsi" w:cstheme="minorHAnsi"/>
                <w:b/>
                <w:bCs/>
                <w:color w:val="000000"/>
                <w:sz w:val="20"/>
                <w:szCs w:val="20"/>
              </w:rPr>
            </w:pPr>
            <w:r w:rsidRPr="002C6821">
              <w:rPr>
                <w:rFonts w:asciiTheme="minorHAnsi" w:hAnsiTheme="minorHAnsi" w:cstheme="minorHAnsi"/>
                <w:b/>
                <w:bCs/>
                <w:color w:val="000000"/>
                <w:sz w:val="20"/>
                <w:szCs w:val="20"/>
              </w:rPr>
              <w:t>74.2</w:t>
            </w:r>
          </w:p>
        </w:tc>
        <w:tc>
          <w:tcPr>
            <w:tcW w:w="992" w:type="dxa"/>
            <w:tcBorders>
              <w:top w:val="single" w:sz="4" w:space="0" w:color="auto"/>
            </w:tcBorders>
            <w:vAlign w:val="bottom"/>
          </w:tcPr>
          <w:p w14:paraId="11B83EF3" w14:textId="2E7F73F3" w:rsidR="001123E9" w:rsidRPr="002C6821" w:rsidRDefault="00B82CEE" w:rsidP="002D71D9">
            <w:pPr>
              <w:jc w:val="center"/>
              <w:rPr>
                <w:rFonts w:asciiTheme="minorHAnsi" w:hAnsiTheme="minorHAnsi" w:cstheme="minorHAnsi"/>
                <w:b/>
                <w:bCs/>
                <w:color w:val="000000"/>
                <w:sz w:val="20"/>
                <w:szCs w:val="20"/>
              </w:rPr>
            </w:pPr>
            <w:r w:rsidRPr="002C6821">
              <w:rPr>
                <w:rFonts w:asciiTheme="minorHAnsi" w:hAnsiTheme="minorHAnsi" w:cstheme="minorHAnsi"/>
                <w:b/>
                <w:bCs/>
                <w:color w:val="000000"/>
                <w:sz w:val="20"/>
                <w:szCs w:val="20"/>
              </w:rPr>
              <w:t>100.0</w:t>
            </w:r>
          </w:p>
        </w:tc>
      </w:tr>
      <w:tr w:rsidR="00175686" w:rsidRPr="002C6821" w14:paraId="60F02821" w14:textId="77777777" w:rsidTr="00065A48">
        <w:tc>
          <w:tcPr>
            <w:tcW w:w="2689" w:type="dxa"/>
            <w:vAlign w:val="center"/>
          </w:tcPr>
          <w:p w14:paraId="7B27CD77" w14:textId="77777777" w:rsidR="001123E9" w:rsidRPr="002C6821" w:rsidRDefault="001123E9" w:rsidP="002D71D9">
            <w:pPr>
              <w:rPr>
                <w:rFonts w:asciiTheme="minorHAnsi" w:eastAsia="Times New Roman" w:hAnsiTheme="minorHAnsi" w:cstheme="minorHAnsi"/>
                <w:color w:val="000000"/>
                <w:sz w:val="20"/>
                <w:szCs w:val="20"/>
              </w:rPr>
            </w:pPr>
            <w:r w:rsidRPr="002C6821">
              <w:rPr>
                <w:rFonts w:asciiTheme="minorHAnsi" w:hAnsiTheme="minorHAnsi" w:cstheme="minorHAnsi"/>
                <w:color w:val="000000"/>
                <w:sz w:val="20"/>
                <w:szCs w:val="20"/>
              </w:rPr>
              <w:t>Fall from caregiver's arms</w:t>
            </w:r>
          </w:p>
        </w:tc>
        <w:tc>
          <w:tcPr>
            <w:tcW w:w="992" w:type="dxa"/>
            <w:vAlign w:val="center"/>
          </w:tcPr>
          <w:p w14:paraId="41025B2C"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26</w:t>
            </w:r>
          </w:p>
        </w:tc>
        <w:tc>
          <w:tcPr>
            <w:tcW w:w="1276" w:type="dxa"/>
            <w:vAlign w:val="center"/>
          </w:tcPr>
          <w:p w14:paraId="12707417"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28.0</w:t>
            </w:r>
          </w:p>
        </w:tc>
        <w:tc>
          <w:tcPr>
            <w:tcW w:w="992" w:type="dxa"/>
            <w:vAlign w:val="center"/>
          </w:tcPr>
          <w:p w14:paraId="7F22464E"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37.7</w:t>
            </w:r>
          </w:p>
        </w:tc>
      </w:tr>
      <w:tr w:rsidR="00175686" w:rsidRPr="002C6821" w14:paraId="5430B1F0" w14:textId="77777777" w:rsidTr="00065A48">
        <w:tc>
          <w:tcPr>
            <w:tcW w:w="2689" w:type="dxa"/>
            <w:vAlign w:val="center"/>
          </w:tcPr>
          <w:p w14:paraId="78405553"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Fall from couch</w:t>
            </w:r>
          </w:p>
        </w:tc>
        <w:tc>
          <w:tcPr>
            <w:tcW w:w="992" w:type="dxa"/>
            <w:vAlign w:val="center"/>
          </w:tcPr>
          <w:p w14:paraId="57163B1A"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9</w:t>
            </w:r>
          </w:p>
        </w:tc>
        <w:tc>
          <w:tcPr>
            <w:tcW w:w="1276" w:type="dxa"/>
            <w:vAlign w:val="center"/>
          </w:tcPr>
          <w:p w14:paraId="0AE6284B"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9.7</w:t>
            </w:r>
          </w:p>
        </w:tc>
        <w:tc>
          <w:tcPr>
            <w:tcW w:w="992" w:type="dxa"/>
            <w:vAlign w:val="center"/>
          </w:tcPr>
          <w:p w14:paraId="3AA4828A"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13.0</w:t>
            </w:r>
          </w:p>
        </w:tc>
      </w:tr>
      <w:tr w:rsidR="00175686" w:rsidRPr="002C6821" w14:paraId="15FAE070" w14:textId="77777777" w:rsidTr="00065A48">
        <w:tc>
          <w:tcPr>
            <w:tcW w:w="2689" w:type="dxa"/>
            <w:vAlign w:val="center"/>
          </w:tcPr>
          <w:p w14:paraId="6B271ACD"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Fall from pram</w:t>
            </w:r>
          </w:p>
        </w:tc>
        <w:tc>
          <w:tcPr>
            <w:tcW w:w="992" w:type="dxa"/>
            <w:vAlign w:val="center"/>
          </w:tcPr>
          <w:p w14:paraId="563C29C6"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5</w:t>
            </w:r>
          </w:p>
        </w:tc>
        <w:tc>
          <w:tcPr>
            <w:tcW w:w="1276" w:type="dxa"/>
            <w:vAlign w:val="center"/>
          </w:tcPr>
          <w:p w14:paraId="5D1B8225"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5.4</w:t>
            </w:r>
          </w:p>
        </w:tc>
        <w:tc>
          <w:tcPr>
            <w:tcW w:w="992" w:type="dxa"/>
            <w:vAlign w:val="center"/>
          </w:tcPr>
          <w:p w14:paraId="035CB0E5"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7.2</w:t>
            </w:r>
          </w:p>
        </w:tc>
      </w:tr>
      <w:tr w:rsidR="00175686" w:rsidRPr="002C6821" w14:paraId="5DC33A50" w14:textId="77777777" w:rsidTr="00065A48">
        <w:tc>
          <w:tcPr>
            <w:tcW w:w="2689" w:type="dxa"/>
            <w:vAlign w:val="center"/>
          </w:tcPr>
          <w:p w14:paraId="5480F8B6"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Car seat falling off table/stationary car</w:t>
            </w:r>
          </w:p>
        </w:tc>
        <w:tc>
          <w:tcPr>
            <w:tcW w:w="992" w:type="dxa"/>
            <w:vAlign w:val="center"/>
          </w:tcPr>
          <w:p w14:paraId="72D237A7"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5</w:t>
            </w:r>
          </w:p>
        </w:tc>
        <w:tc>
          <w:tcPr>
            <w:tcW w:w="1276" w:type="dxa"/>
            <w:vAlign w:val="center"/>
          </w:tcPr>
          <w:p w14:paraId="05AE0432"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5.4</w:t>
            </w:r>
          </w:p>
        </w:tc>
        <w:tc>
          <w:tcPr>
            <w:tcW w:w="992" w:type="dxa"/>
            <w:vAlign w:val="center"/>
          </w:tcPr>
          <w:p w14:paraId="7FE3B5D2"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7.2</w:t>
            </w:r>
          </w:p>
        </w:tc>
      </w:tr>
      <w:tr w:rsidR="00175686" w:rsidRPr="002C6821" w14:paraId="449B455D" w14:textId="77777777" w:rsidTr="00065A48">
        <w:tc>
          <w:tcPr>
            <w:tcW w:w="2689" w:type="dxa"/>
            <w:vAlign w:val="center"/>
          </w:tcPr>
          <w:p w14:paraId="25A1072D"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Fall from bed</w:t>
            </w:r>
          </w:p>
        </w:tc>
        <w:tc>
          <w:tcPr>
            <w:tcW w:w="992" w:type="dxa"/>
            <w:vAlign w:val="center"/>
          </w:tcPr>
          <w:p w14:paraId="2D9D0358"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4</w:t>
            </w:r>
          </w:p>
        </w:tc>
        <w:tc>
          <w:tcPr>
            <w:tcW w:w="1276" w:type="dxa"/>
            <w:vAlign w:val="center"/>
          </w:tcPr>
          <w:p w14:paraId="7B961112"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4.3</w:t>
            </w:r>
          </w:p>
        </w:tc>
        <w:tc>
          <w:tcPr>
            <w:tcW w:w="992" w:type="dxa"/>
            <w:vAlign w:val="center"/>
          </w:tcPr>
          <w:p w14:paraId="4719D208"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5.8</w:t>
            </w:r>
          </w:p>
        </w:tc>
      </w:tr>
      <w:tr w:rsidR="00175686" w:rsidRPr="002C6821" w14:paraId="4D04E59C" w14:textId="77777777" w:rsidTr="00065A48">
        <w:tc>
          <w:tcPr>
            <w:tcW w:w="2689" w:type="dxa"/>
            <w:vAlign w:val="center"/>
          </w:tcPr>
          <w:p w14:paraId="13C0CD11"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Fall from bouncer</w:t>
            </w:r>
          </w:p>
        </w:tc>
        <w:tc>
          <w:tcPr>
            <w:tcW w:w="992" w:type="dxa"/>
            <w:vAlign w:val="center"/>
          </w:tcPr>
          <w:p w14:paraId="6687B534"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4</w:t>
            </w:r>
          </w:p>
        </w:tc>
        <w:tc>
          <w:tcPr>
            <w:tcW w:w="1276" w:type="dxa"/>
            <w:vAlign w:val="center"/>
          </w:tcPr>
          <w:p w14:paraId="7F3F7649"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4.3</w:t>
            </w:r>
          </w:p>
        </w:tc>
        <w:tc>
          <w:tcPr>
            <w:tcW w:w="992" w:type="dxa"/>
            <w:vAlign w:val="center"/>
          </w:tcPr>
          <w:p w14:paraId="40A9CC06"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5.8</w:t>
            </w:r>
          </w:p>
        </w:tc>
      </w:tr>
      <w:tr w:rsidR="00175686" w:rsidRPr="002C6821" w14:paraId="3FF6C5A9" w14:textId="77777777" w:rsidTr="00065A48">
        <w:tc>
          <w:tcPr>
            <w:tcW w:w="2689" w:type="dxa"/>
            <w:vAlign w:val="center"/>
          </w:tcPr>
          <w:p w14:paraId="4FE96CEF"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Fall from bassinet</w:t>
            </w:r>
          </w:p>
        </w:tc>
        <w:tc>
          <w:tcPr>
            <w:tcW w:w="992" w:type="dxa"/>
            <w:vAlign w:val="center"/>
          </w:tcPr>
          <w:p w14:paraId="4904EFCE"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3</w:t>
            </w:r>
          </w:p>
        </w:tc>
        <w:tc>
          <w:tcPr>
            <w:tcW w:w="1276" w:type="dxa"/>
            <w:vAlign w:val="center"/>
          </w:tcPr>
          <w:p w14:paraId="5D7089A7"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3.2</w:t>
            </w:r>
          </w:p>
        </w:tc>
        <w:tc>
          <w:tcPr>
            <w:tcW w:w="992" w:type="dxa"/>
            <w:vAlign w:val="center"/>
          </w:tcPr>
          <w:p w14:paraId="415DA103"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4.3</w:t>
            </w:r>
          </w:p>
        </w:tc>
      </w:tr>
      <w:tr w:rsidR="00175686" w:rsidRPr="002C6821" w14:paraId="601EDFAD" w14:textId="77777777" w:rsidTr="00065A48">
        <w:tc>
          <w:tcPr>
            <w:tcW w:w="2689" w:type="dxa"/>
            <w:vAlign w:val="center"/>
          </w:tcPr>
          <w:p w14:paraId="7909A880"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Fall from chair</w:t>
            </w:r>
          </w:p>
        </w:tc>
        <w:tc>
          <w:tcPr>
            <w:tcW w:w="992" w:type="dxa"/>
            <w:vAlign w:val="center"/>
          </w:tcPr>
          <w:p w14:paraId="02923AFA"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3</w:t>
            </w:r>
          </w:p>
        </w:tc>
        <w:tc>
          <w:tcPr>
            <w:tcW w:w="1276" w:type="dxa"/>
            <w:vAlign w:val="center"/>
          </w:tcPr>
          <w:p w14:paraId="3EED41B1"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3.2</w:t>
            </w:r>
          </w:p>
        </w:tc>
        <w:tc>
          <w:tcPr>
            <w:tcW w:w="992" w:type="dxa"/>
            <w:vAlign w:val="center"/>
          </w:tcPr>
          <w:p w14:paraId="2EFDF7F9"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4.3</w:t>
            </w:r>
          </w:p>
        </w:tc>
      </w:tr>
      <w:tr w:rsidR="00175686" w:rsidRPr="002C6821" w14:paraId="7A0C7261" w14:textId="77777777" w:rsidTr="00065A48">
        <w:tc>
          <w:tcPr>
            <w:tcW w:w="2689" w:type="dxa"/>
            <w:vAlign w:val="center"/>
          </w:tcPr>
          <w:p w14:paraId="1B77CFFC"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Fall from change table</w:t>
            </w:r>
          </w:p>
        </w:tc>
        <w:tc>
          <w:tcPr>
            <w:tcW w:w="992" w:type="dxa"/>
            <w:vAlign w:val="center"/>
          </w:tcPr>
          <w:p w14:paraId="5E72ABBF"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2</w:t>
            </w:r>
          </w:p>
        </w:tc>
        <w:tc>
          <w:tcPr>
            <w:tcW w:w="1276" w:type="dxa"/>
            <w:vAlign w:val="center"/>
          </w:tcPr>
          <w:p w14:paraId="703396E0"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2.2</w:t>
            </w:r>
          </w:p>
        </w:tc>
        <w:tc>
          <w:tcPr>
            <w:tcW w:w="992" w:type="dxa"/>
            <w:vAlign w:val="center"/>
          </w:tcPr>
          <w:p w14:paraId="062FFD13"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2.9</w:t>
            </w:r>
          </w:p>
        </w:tc>
      </w:tr>
      <w:tr w:rsidR="00175686" w:rsidRPr="002C6821" w14:paraId="20A407F5" w14:textId="77777777" w:rsidTr="00065A48">
        <w:tc>
          <w:tcPr>
            <w:tcW w:w="2689" w:type="dxa"/>
            <w:vAlign w:val="center"/>
          </w:tcPr>
          <w:p w14:paraId="4A8CE115"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Fall from parent's lap</w:t>
            </w:r>
          </w:p>
        </w:tc>
        <w:tc>
          <w:tcPr>
            <w:tcW w:w="992" w:type="dxa"/>
            <w:vAlign w:val="center"/>
          </w:tcPr>
          <w:p w14:paraId="19A3C78F"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2</w:t>
            </w:r>
          </w:p>
        </w:tc>
        <w:tc>
          <w:tcPr>
            <w:tcW w:w="1276" w:type="dxa"/>
            <w:vAlign w:val="center"/>
          </w:tcPr>
          <w:p w14:paraId="3B2B8620"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2.2</w:t>
            </w:r>
          </w:p>
        </w:tc>
        <w:tc>
          <w:tcPr>
            <w:tcW w:w="992" w:type="dxa"/>
            <w:vAlign w:val="center"/>
          </w:tcPr>
          <w:p w14:paraId="0FC556EA"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2.9</w:t>
            </w:r>
          </w:p>
        </w:tc>
      </w:tr>
      <w:tr w:rsidR="00175686" w:rsidRPr="002C6821" w14:paraId="587665F8" w14:textId="77777777" w:rsidTr="00065A48">
        <w:tc>
          <w:tcPr>
            <w:tcW w:w="2689" w:type="dxa"/>
            <w:vAlign w:val="center"/>
          </w:tcPr>
          <w:p w14:paraId="4FD1F747"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Fall from table</w:t>
            </w:r>
          </w:p>
        </w:tc>
        <w:tc>
          <w:tcPr>
            <w:tcW w:w="992" w:type="dxa"/>
            <w:vAlign w:val="center"/>
          </w:tcPr>
          <w:p w14:paraId="45083E40"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2</w:t>
            </w:r>
          </w:p>
        </w:tc>
        <w:tc>
          <w:tcPr>
            <w:tcW w:w="1276" w:type="dxa"/>
            <w:vAlign w:val="center"/>
          </w:tcPr>
          <w:p w14:paraId="684906D2"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2.2</w:t>
            </w:r>
          </w:p>
        </w:tc>
        <w:tc>
          <w:tcPr>
            <w:tcW w:w="992" w:type="dxa"/>
            <w:vAlign w:val="center"/>
          </w:tcPr>
          <w:p w14:paraId="5497A3DE"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2.9</w:t>
            </w:r>
          </w:p>
        </w:tc>
      </w:tr>
      <w:tr w:rsidR="00175686" w:rsidRPr="002C6821" w14:paraId="39886525" w14:textId="77777777" w:rsidTr="00065A48">
        <w:tc>
          <w:tcPr>
            <w:tcW w:w="2689" w:type="dxa"/>
            <w:vAlign w:val="center"/>
          </w:tcPr>
          <w:p w14:paraId="5132D1A1"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 xml:space="preserve">Unknown fall related </w:t>
            </w:r>
          </w:p>
        </w:tc>
        <w:tc>
          <w:tcPr>
            <w:tcW w:w="992" w:type="dxa"/>
            <w:vAlign w:val="center"/>
          </w:tcPr>
          <w:p w14:paraId="25A0F4F7"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4</w:t>
            </w:r>
          </w:p>
        </w:tc>
        <w:tc>
          <w:tcPr>
            <w:tcW w:w="1276" w:type="dxa"/>
            <w:vAlign w:val="center"/>
          </w:tcPr>
          <w:p w14:paraId="2AE27BA7"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4.3</w:t>
            </w:r>
          </w:p>
        </w:tc>
        <w:tc>
          <w:tcPr>
            <w:tcW w:w="992" w:type="dxa"/>
            <w:vAlign w:val="center"/>
          </w:tcPr>
          <w:p w14:paraId="4DAE79ED"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5.8</w:t>
            </w:r>
          </w:p>
        </w:tc>
      </w:tr>
      <w:tr w:rsidR="00175686" w:rsidRPr="002C6821" w14:paraId="45AA7F75" w14:textId="77777777" w:rsidTr="00065A48">
        <w:tc>
          <w:tcPr>
            <w:tcW w:w="2689" w:type="dxa"/>
            <w:tcBorders>
              <w:top w:val="single" w:sz="4" w:space="0" w:color="auto"/>
            </w:tcBorders>
            <w:shd w:val="clear" w:color="auto" w:fill="auto"/>
            <w:vAlign w:val="center"/>
          </w:tcPr>
          <w:p w14:paraId="409D136F" w14:textId="77777777" w:rsidR="001123E9" w:rsidRPr="002C6821" w:rsidRDefault="001123E9" w:rsidP="002D71D9">
            <w:pPr>
              <w:rPr>
                <w:rFonts w:asciiTheme="minorHAnsi" w:hAnsiTheme="minorHAnsi" w:cstheme="minorHAnsi"/>
                <w:b/>
                <w:bCs/>
                <w:color w:val="000000"/>
                <w:sz w:val="20"/>
                <w:szCs w:val="20"/>
              </w:rPr>
            </w:pPr>
          </w:p>
        </w:tc>
        <w:tc>
          <w:tcPr>
            <w:tcW w:w="992" w:type="dxa"/>
            <w:tcBorders>
              <w:top w:val="single" w:sz="4" w:space="0" w:color="auto"/>
            </w:tcBorders>
            <w:vAlign w:val="center"/>
          </w:tcPr>
          <w:p w14:paraId="64FF5EBE" w14:textId="77777777" w:rsidR="001123E9" w:rsidRPr="002C6821" w:rsidRDefault="001123E9" w:rsidP="002D71D9">
            <w:pPr>
              <w:jc w:val="center"/>
              <w:rPr>
                <w:rFonts w:asciiTheme="minorHAnsi" w:hAnsiTheme="minorHAnsi" w:cstheme="minorHAnsi"/>
                <w:color w:val="000000"/>
                <w:sz w:val="20"/>
                <w:szCs w:val="20"/>
              </w:rPr>
            </w:pPr>
          </w:p>
        </w:tc>
        <w:tc>
          <w:tcPr>
            <w:tcW w:w="1276" w:type="dxa"/>
            <w:tcBorders>
              <w:top w:val="single" w:sz="4" w:space="0" w:color="auto"/>
            </w:tcBorders>
            <w:vAlign w:val="center"/>
          </w:tcPr>
          <w:p w14:paraId="33E27B90" w14:textId="77777777" w:rsidR="001123E9" w:rsidRPr="002C6821" w:rsidRDefault="001123E9" w:rsidP="002D71D9">
            <w:pPr>
              <w:jc w:val="center"/>
              <w:rPr>
                <w:rFonts w:asciiTheme="minorHAnsi" w:hAnsiTheme="minorHAnsi" w:cstheme="minorHAnsi"/>
                <w:color w:val="000000"/>
                <w:sz w:val="20"/>
                <w:szCs w:val="20"/>
              </w:rPr>
            </w:pPr>
          </w:p>
        </w:tc>
        <w:tc>
          <w:tcPr>
            <w:tcW w:w="992" w:type="dxa"/>
            <w:tcBorders>
              <w:top w:val="single" w:sz="4" w:space="0" w:color="auto"/>
            </w:tcBorders>
            <w:vAlign w:val="center"/>
          </w:tcPr>
          <w:p w14:paraId="12AB034E" w14:textId="77777777" w:rsidR="001123E9" w:rsidRPr="002C6821" w:rsidRDefault="001123E9" w:rsidP="002D71D9">
            <w:pPr>
              <w:jc w:val="center"/>
              <w:rPr>
                <w:rFonts w:asciiTheme="minorHAnsi" w:hAnsiTheme="minorHAnsi" w:cstheme="minorHAnsi"/>
                <w:color w:val="000000"/>
                <w:sz w:val="20"/>
                <w:szCs w:val="20"/>
              </w:rPr>
            </w:pPr>
          </w:p>
        </w:tc>
      </w:tr>
      <w:tr w:rsidR="00175686" w:rsidRPr="002C6821" w14:paraId="60849BC4" w14:textId="77777777" w:rsidTr="00065A48">
        <w:tc>
          <w:tcPr>
            <w:tcW w:w="2689" w:type="dxa"/>
            <w:shd w:val="clear" w:color="auto" w:fill="auto"/>
            <w:vAlign w:val="center"/>
          </w:tcPr>
          <w:p w14:paraId="38E88738" w14:textId="62C2CEEB"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b/>
                <w:bCs/>
                <w:color w:val="000000"/>
                <w:sz w:val="20"/>
                <w:szCs w:val="20"/>
              </w:rPr>
              <w:t xml:space="preserve">Struck by </w:t>
            </w:r>
          </w:p>
        </w:tc>
        <w:tc>
          <w:tcPr>
            <w:tcW w:w="992" w:type="dxa"/>
            <w:vAlign w:val="center"/>
          </w:tcPr>
          <w:p w14:paraId="4B982F68" w14:textId="668909C0" w:rsidR="001123E9" w:rsidRPr="002C6821" w:rsidRDefault="001A021A" w:rsidP="002D71D9">
            <w:pPr>
              <w:jc w:val="center"/>
              <w:rPr>
                <w:rFonts w:asciiTheme="minorHAnsi" w:hAnsiTheme="minorHAnsi" w:cstheme="minorHAnsi"/>
                <w:b/>
                <w:color w:val="000000"/>
                <w:sz w:val="20"/>
                <w:szCs w:val="20"/>
              </w:rPr>
            </w:pPr>
            <w:r w:rsidRPr="002C6821">
              <w:rPr>
                <w:rFonts w:asciiTheme="minorHAnsi" w:hAnsiTheme="minorHAnsi" w:cstheme="minorHAnsi"/>
                <w:b/>
                <w:color w:val="000000"/>
                <w:sz w:val="20"/>
                <w:szCs w:val="20"/>
              </w:rPr>
              <w:t>18</w:t>
            </w:r>
          </w:p>
        </w:tc>
        <w:tc>
          <w:tcPr>
            <w:tcW w:w="1276" w:type="dxa"/>
            <w:vAlign w:val="center"/>
          </w:tcPr>
          <w:p w14:paraId="285F8E3C" w14:textId="3247F8AC" w:rsidR="001123E9" w:rsidRPr="002C6821" w:rsidRDefault="001A021A" w:rsidP="002D71D9">
            <w:pPr>
              <w:jc w:val="center"/>
              <w:rPr>
                <w:rFonts w:asciiTheme="minorHAnsi" w:hAnsiTheme="minorHAnsi" w:cstheme="minorHAnsi"/>
                <w:b/>
                <w:color w:val="000000"/>
                <w:sz w:val="20"/>
                <w:szCs w:val="20"/>
              </w:rPr>
            </w:pPr>
            <w:r w:rsidRPr="002C6821">
              <w:rPr>
                <w:rFonts w:asciiTheme="minorHAnsi" w:hAnsiTheme="minorHAnsi" w:cstheme="minorHAnsi"/>
                <w:b/>
                <w:color w:val="000000"/>
                <w:sz w:val="20"/>
                <w:szCs w:val="20"/>
              </w:rPr>
              <w:t>19.4</w:t>
            </w:r>
          </w:p>
        </w:tc>
        <w:tc>
          <w:tcPr>
            <w:tcW w:w="992" w:type="dxa"/>
            <w:vAlign w:val="center"/>
          </w:tcPr>
          <w:p w14:paraId="74E06B63" w14:textId="6A900844" w:rsidR="001123E9" w:rsidRPr="002C6821" w:rsidRDefault="00B82CEE" w:rsidP="002D71D9">
            <w:pPr>
              <w:jc w:val="center"/>
              <w:rPr>
                <w:rFonts w:asciiTheme="minorHAnsi" w:hAnsiTheme="minorHAnsi" w:cstheme="minorHAnsi"/>
                <w:b/>
                <w:color w:val="000000"/>
                <w:sz w:val="20"/>
                <w:szCs w:val="20"/>
              </w:rPr>
            </w:pPr>
            <w:r w:rsidRPr="002C6821">
              <w:rPr>
                <w:rFonts w:asciiTheme="minorHAnsi" w:hAnsiTheme="minorHAnsi" w:cstheme="minorHAnsi"/>
                <w:b/>
                <w:color w:val="000000"/>
                <w:sz w:val="20"/>
                <w:szCs w:val="20"/>
              </w:rPr>
              <w:t>100.0</w:t>
            </w:r>
          </w:p>
        </w:tc>
      </w:tr>
      <w:tr w:rsidR="00175686" w:rsidRPr="002C6821" w14:paraId="5C12A887" w14:textId="77777777" w:rsidTr="00065A48">
        <w:tc>
          <w:tcPr>
            <w:tcW w:w="2689" w:type="dxa"/>
            <w:vAlign w:val="center"/>
          </w:tcPr>
          <w:p w14:paraId="5A589022"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Struck by object</w:t>
            </w:r>
          </w:p>
        </w:tc>
        <w:tc>
          <w:tcPr>
            <w:tcW w:w="992" w:type="dxa"/>
            <w:vAlign w:val="center"/>
          </w:tcPr>
          <w:p w14:paraId="129E51B4"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12</w:t>
            </w:r>
          </w:p>
        </w:tc>
        <w:tc>
          <w:tcPr>
            <w:tcW w:w="1276" w:type="dxa"/>
            <w:vAlign w:val="center"/>
          </w:tcPr>
          <w:p w14:paraId="5EB128B3"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12.9</w:t>
            </w:r>
          </w:p>
        </w:tc>
        <w:tc>
          <w:tcPr>
            <w:tcW w:w="992" w:type="dxa"/>
            <w:vAlign w:val="center"/>
          </w:tcPr>
          <w:p w14:paraId="4D7351B7"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66.7</w:t>
            </w:r>
          </w:p>
        </w:tc>
      </w:tr>
      <w:tr w:rsidR="00175686" w:rsidRPr="002C6821" w14:paraId="50928D64" w14:textId="77777777" w:rsidTr="00065A48">
        <w:tc>
          <w:tcPr>
            <w:tcW w:w="2689" w:type="dxa"/>
            <w:vAlign w:val="center"/>
          </w:tcPr>
          <w:p w14:paraId="52D83515" w14:textId="77777777"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Struck by limb/body</w:t>
            </w:r>
          </w:p>
        </w:tc>
        <w:tc>
          <w:tcPr>
            <w:tcW w:w="992" w:type="dxa"/>
            <w:vAlign w:val="center"/>
          </w:tcPr>
          <w:p w14:paraId="4B795200"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3</w:t>
            </w:r>
          </w:p>
        </w:tc>
        <w:tc>
          <w:tcPr>
            <w:tcW w:w="1276" w:type="dxa"/>
            <w:vAlign w:val="center"/>
          </w:tcPr>
          <w:p w14:paraId="084BAF02"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3.2</w:t>
            </w:r>
          </w:p>
        </w:tc>
        <w:tc>
          <w:tcPr>
            <w:tcW w:w="992" w:type="dxa"/>
            <w:vAlign w:val="center"/>
          </w:tcPr>
          <w:p w14:paraId="5A858D82"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16.7</w:t>
            </w:r>
          </w:p>
        </w:tc>
      </w:tr>
      <w:tr w:rsidR="00175686" w:rsidRPr="002C6821" w14:paraId="6A539C95" w14:textId="77777777" w:rsidTr="00065A48">
        <w:tc>
          <w:tcPr>
            <w:tcW w:w="2689" w:type="dxa"/>
            <w:tcBorders>
              <w:bottom w:val="single" w:sz="4" w:space="0" w:color="auto"/>
            </w:tcBorders>
            <w:vAlign w:val="center"/>
          </w:tcPr>
          <w:p w14:paraId="21471504" w14:textId="2D449EB4" w:rsidR="001123E9" w:rsidRPr="002C6821" w:rsidRDefault="001123E9" w:rsidP="002D71D9">
            <w:pPr>
              <w:rPr>
                <w:rFonts w:asciiTheme="minorHAnsi" w:hAnsiTheme="minorHAnsi" w:cstheme="minorHAnsi"/>
                <w:color w:val="000000"/>
                <w:sz w:val="20"/>
                <w:szCs w:val="20"/>
              </w:rPr>
            </w:pPr>
            <w:r w:rsidRPr="002C6821">
              <w:rPr>
                <w:rFonts w:asciiTheme="minorHAnsi" w:hAnsiTheme="minorHAnsi" w:cstheme="minorHAnsi"/>
                <w:color w:val="000000"/>
                <w:sz w:val="20"/>
                <w:szCs w:val="20"/>
              </w:rPr>
              <w:t>Head</w:t>
            </w:r>
            <w:r w:rsidR="00603202" w:rsidRPr="002C6821">
              <w:rPr>
                <w:rFonts w:asciiTheme="minorHAnsi" w:hAnsiTheme="minorHAnsi" w:cstheme="minorHAnsi"/>
                <w:color w:val="000000"/>
                <w:sz w:val="20"/>
                <w:szCs w:val="20"/>
              </w:rPr>
              <w:t xml:space="preserve"> </w:t>
            </w:r>
            <w:r w:rsidRPr="002C6821">
              <w:rPr>
                <w:rFonts w:asciiTheme="minorHAnsi" w:hAnsiTheme="minorHAnsi" w:cstheme="minorHAnsi"/>
                <w:color w:val="000000"/>
                <w:sz w:val="20"/>
                <w:szCs w:val="20"/>
              </w:rPr>
              <w:t>strike with another child</w:t>
            </w:r>
          </w:p>
        </w:tc>
        <w:tc>
          <w:tcPr>
            <w:tcW w:w="992" w:type="dxa"/>
            <w:tcBorders>
              <w:bottom w:val="single" w:sz="4" w:space="0" w:color="auto"/>
            </w:tcBorders>
            <w:vAlign w:val="center"/>
          </w:tcPr>
          <w:p w14:paraId="3EFDEC35"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3</w:t>
            </w:r>
          </w:p>
        </w:tc>
        <w:tc>
          <w:tcPr>
            <w:tcW w:w="1276" w:type="dxa"/>
            <w:tcBorders>
              <w:bottom w:val="single" w:sz="4" w:space="0" w:color="auto"/>
            </w:tcBorders>
            <w:vAlign w:val="center"/>
          </w:tcPr>
          <w:p w14:paraId="2E5B781C"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3.2</w:t>
            </w:r>
          </w:p>
        </w:tc>
        <w:tc>
          <w:tcPr>
            <w:tcW w:w="992" w:type="dxa"/>
            <w:tcBorders>
              <w:bottom w:val="single" w:sz="4" w:space="0" w:color="auto"/>
            </w:tcBorders>
            <w:vAlign w:val="center"/>
          </w:tcPr>
          <w:p w14:paraId="061B8F42" w14:textId="77777777" w:rsidR="001123E9" w:rsidRPr="002C6821" w:rsidRDefault="001123E9" w:rsidP="002D71D9">
            <w:pPr>
              <w:jc w:val="center"/>
              <w:rPr>
                <w:rFonts w:asciiTheme="minorHAnsi" w:hAnsiTheme="minorHAnsi" w:cstheme="minorHAnsi"/>
                <w:color w:val="000000"/>
                <w:sz w:val="20"/>
                <w:szCs w:val="20"/>
              </w:rPr>
            </w:pPr>
            <w:r w:rsidRPr="002C6821">
              <w:rPr>
                <w:rFonts w:asciiTheme="minorHAnsi" w:hAnsiTheme="minorHAnsi" w:cstheme="minorHAnsi"/>
                <w:color w:val="000000"/>
                <w:sz w:val="20"/>
                <w:szCs w:val="20"/>
              </w:rPr>
              <w:t>16.7</w:t>
            </w:r>
          </w:p>
        </w:tc>
      </w:tr>
      <w:tr w:rsidR="00175686" w:rsidRPr="002C6821" w14:paraId="25E391C1" w14:textId="77777777" w:rsidTr="00065A48">
        <w:tc>
          <w:tcPr>
            <w:tcW w:w="2689" w:type="dxa"/>
            <w:tcBorders>
              <w:top w:val="single" w:sz="4" w:space="0" w:color="auto"/>
              <w:bottom w:val="single" w:sz="4" w:space="0" w:color="auto"/>
            </w:tcBorders>
            <w:vAlign w:val="center"/>
          </w:tcPr>
          <w:p w14:paraId="24AAF685" w14:textId="77777777" w:rsidR="001123E9" w:rsidRPr="002C6821" w:rsidRDefault="001123E9" w:rsidP="002D71D9">
            <w:pPr>
              <w:rPr>
                <w:rFonts w:asciiTheme="minorHAnsi" w:hAnsiTheme="minorHAnsi" w:cstheme="minorHAnsi"/>
                <w:sz w:val="20"/>
                <w:szCs w:val="20"/>
              </w:rPr>
            </w:pPr>
          </w:p>
        </w:tc>
        <w:tc>
          <w:tcPr>
            <w:tcW w:w="992" w:type="dxa"/>
            <w:tcBorders>
              <w:top w:val="single" w:sz="4" w:space="0" w:color="auto"/>
              <w:bottom w:val="single" w:sz="4" w:space="0" w:color="auto"/>
            </w:tcBorders>
            <w:vAlign w:val="center"/>
          </w:tcPr>
          <w:p w14:paraId="4DBFFF7E" w14:textId="77777777" w:rsidR="001123E9" w:rsidRPr="002C6821" w:rsidRDefault="001123E9" w:rsidP="002D71D9">
            <w:pPr>
              <w:jc w:val="center"/>
              <w:rPr>
                <w:rFonts w:asciiTheme="minorHAnsi" w:hAnsiTheme="minorHAnsi" w:cstheme="minorHAnsi"/>
                <w:sz w:val="20"/>
                <w:szCs w:val="20"/>
              </w:rPr>
            </w:pPr>
          </w:p>
        </w:tc>
        <w:tc>
          <w:tcPr>
            <w:tcW w:w="1276" w:type="dxa"/>
            <w:tcBorders>
              <w:top w:val="single" w:sz="4" w:space="0" w:color="auto"/>
              <w:bottom w:val="single" w:sz="4" w:space="0" w:color="auto"/>
            </w:tcBorders>
            <w:vAlign w:val="center"/>
          </w:tcPr>
          <w:p w14:paraId="59B960EF" w14:textId="77777777" w:rsidR="001123E9" w:rsidRPr="002C6821" w:rsidRDefault="001123E9" w:rsidP="002D71D9">
            <w:pPr>
              <w:jc w:val="center"/>
              <w:rPr>
                <w:rFonts w:asciiTheme="minorHAnsi" w:hAnsiTheme="minorHAnsi" w:cstheme="minorHAnsi"/>
                <w:sz w:val="20"/>
                <w:szCs w:val="20"/>
              </w:rPr>
            </w:pPr>
          </w:p>
        </w:tc>
        <w:tc>
          <w:tcPr>
            <w:tcW w:w="992" w:type="dxa"/>
            <w:tcBorders>
              <w:top w:val="single" w:sz="4" w:space="0" w:color="auto"/>
              <w:bottom w:val="single" w:sz="4" w:space="0" w:color="auto"/>
            </w:tcBorders>
            <w:vAlign w:val="center"/>
          </w:tcPr>
          <w:p w14:paraId="37C89AB3" w14:textId="77777777" w:rsidR="001123E9" w:rsidRPr="002C6821" w:rsidRDefault="001123E9" w:rsidP="002D71D9">
            <w:pPr>
              <w:jc w:val="center"/>
              <w:rPr>
                <w:rFonts w:asciiTheme="minorHAnsi" w:hAnsiTheme="minorHAnsi" w:cstheme="minorHAnsi"/>
                <w:sz w:val="20"/>
                <w:szCs w:val="20"/>
              </w:rPr>
            </w:pPr>
          </w:p>
        </w:tc>
      </w:tr>
      <w:tr w:rsidR="00175686" w:rsidRPr="002C6821" w14:paraId="74BD53E6" w14:textId="77777777" w:rsidTr="00065A48">
        <w:tc>
          <w:tcPr>
            <w:tcW w:w="2689" w:type="dxa"/>
            <w:tcBorders>
              <w:top w:val="single" w:sz="4" w:space="0" w:color="auto"/>
              <w:bottom w:val="single" w:sz="4" w:space="0" w:color="auto"/>
            </w:tcBorders>
            <w:vAlign w:val="center"/>
          </w:tcPr>
          <w:p w14:paraId="265B72F4" w14:textId="329A147C" w:rsidR="001123E9" w:rsidRPr="002C6821" w:rsidRDefault="00B82CEE" w:rsidP="002D71D9">
            <w:pPr>
              <w:rPr>
                <w:rFonts w:asciiTheme="minorHAnsi" w:eastAsia="Times New Roman" w:hAnsiTheme="minorHAnsi" w:cstheme="minorHAnsi"/>
                <w:b/>
                <w:bCs/>
                <w:color w:val="000000"/>
                <w:sz w:val="20"/>
                <w:szCs w:val="20"/>
              </w:rPr>
            </w:pPr>
            <w:r w:rsidRPr="002C6821">
              <w:rPr>
                <w:rFonts w:asciiTheme="minorHAnsi" w:hAnsiTheme="minorHAnsi" w:cstheme="minorHAnsi"/>
                <w:b/>
                <w:bCs/>
                <w:color w:val="000000"/>
                <w:sz w:val="20"/>
                <w:szCs w:val="20"/>
              </w:rPr>
              <w:t xml:space="preserve">Suspected </w:t>
            </w:r>
            <w:r w:rsidR="001123E9" w:rsidRPr="002C6821">
              <w:rPr>
                <w:rFonts w:asciiTheme="minorHAnsi" w:hAnsiTheme="minorHAnsi" w:cstheme="minorHAnsi"/>
                <w:b/>
                <w:bCs/>
                <w:color w:val="000000"/>
                <w:sz w:val="20"/>
                <w:szCs w:val="20"/>
              </w:rPr>
              <w:t>NAHI* (n=6)</w:t>
            </w:r>
          </w:p>
        </w:tc>
        <w:tc>
          <w:tcPr>
            <w:tcW w:w="992" w:type="dxa"/>
            <w:tcBorders>
              <w:top w:val="single" w:sz="4" w:space="0" w:color="auto"/>
              <w:bottom w:val="single" w:sz="4" w:space="0" w:color="auto"/>
            </w:tcBorders>
            <w:vAlign w:val="center"/>
          </w:tcPr>
          <w:p w14:paraId="1D55CC51" w14:textId="77777777" w:rsidR="001123E9" w:rsidRPr="002C6821" w:rsidRDefault="001123E9" w:rsidP="002D71D9">
            <w:pPr>
              <w:jc w:val="center"/>
              <w:rPr>
                <w:rFonts w:asciiTheme="minorHAnsi" w:eastAsia="Times New Roman" w:hAnsiTheme="minorHAnsi" w:cstheme="minorHAnsi"/>
                <w:b/>
                <w:bCs/>
                <w:color w:val="000000"/>
                <w:sz w:val="20"/>
                <w:szCs w:val="20"/>
              </w:rPr>
            </w:pPr>
            <w:r w:rsidRPr="002C6821">
              <w:rPr>
                <w:rFonts w:asciiTheme="minorHAnsi" w:hAnsiTheme="minorHAnsi" w:cstheme="minorHAnsi"/>
                <w:b/>
                <w:bCs/>
                <w:color w:val="000000"/>
                <w:sz w:val="20"/>
                <w:szCs w:val="20"/>
              </w:rPr>
              <w:t>6</w:t>
            </w:r>
          </w:p>
        </w:tc>
        <w:tc>
          <w:tcPr>
            <w:tcW w:w="1276" w:type="dxa"/>
            <w:tcBorders>
              <w:top w:val="single" w:sz="4" w:space="0" w:color="auto"/>
              <w:bottom w:val="single" w:sz="4" w:space="0" w:color="auto"/>
            </w:tcBorders>
            <w:vAlign w:val="center"/>
          </w:tcPr>
          <w:p w14:paraId="7F8BF273" w14:textId="77777777" w:rsidR="001123E9" w:rsidRPr="002C6821" w:rsidRDefault="001123E9" w:rsidP="002D71D9">
            <w:pPr>
              <w:jc w:val="center"/>
              <w:rPr>
                <w:rFonts w:asciiTheme="minorHAnsi" w:hAnsiTheme="minorHAnsi" w:cstheme="minorHAnsi"/>
                <w:b/>
                <w:bCs/>
                <w:color w:val="000000"/>
                <w:sz w:val="20"/>
                <w:szCs w:val="20"/>
              </w:rPr>
            </w:pPr>
            <w:r w:rsidRPr="002C6821">
              <w:rPr>
                <w:rFonts w:asciiTheme="minorHAnsi" w:hAnsiTheme="minorHAnsi" w:cstheme="minorHAnsi"/>
                <w:b/>
                <w:bCs/>
                <w:color w:val="000000"/>
                <w:sz w:val="20"/>
                <w:szCs w:val="20"/>
              </w:rPr>
              <w:t>6.5</w:t>
            </w:r>
          </w:p>
        </w:tc>
        <w:tc>
          <w:tcPr>
            <w:tcW w:w="992" w:type="dxa"/>
            <w:tcBorders>
              <w:top w:val="single" w:sz="4" w:space="0" w:color="auto"/>
              <w:bottom w:val="single" w:sz="4" w:space="0" w:color="auto"/>
            </w:tcBorders>
            <w:vAlign w:val="center"/>
          </w:tcPr>
          <w:p w14:paraId="36E11A5E" w14:textId="77777777" w:rsidR="001123E9" w:rsidRPr="002C6821" w:rsidRDefault="001123E9" w:rsidP="002D71D9">
            <w:pPr>
              <w:jc w:val="center"/>
              <w:rPr>
                <w:rFonts w:asciiTheme="minorHAnsi" w:hAnsiTheme="minorHAnsi" w:cstheme="minorHAnsi"/>
                <w:b/>
                <w:color w:val="000000"/>
                <w:sz w:val="20"/>
                <w:szCs w:val="20"/>
              </w:rPr>
            </w:pPr>
            <w:r w:rsidRPr="002C6821">
              <w:rPr>
                <w:rFonts w:asciiTheme="minorHAnsi" w:hAnsiTheme="minorHAnsi" w:cstheme="minorHAnsi"/>
                <w:b/>
                <w:color w:val="000000"/>
                <w:sz w:val="20"/>
                <w:szCs w:val="20"/>
              </w:rPr>
              <w:t>100.0</w:t>
            </w:r>
          </w:p>
        </w:tc>
      </w:tr>
      <w:tr w:rsidR="00175686" w:rsidRPr="002C6821" w14:paraId="7AF6A5F5" w14:textId="77777777" w:rsidTr="00065A48">
        <w:tc>
          <w:tcPr>
            <w:tcW w:w="2689" w:type="dxa"/>
            <w:tcBorders>
              <w:top w:val="single" w:sz="4" w:space="0" w:color="auto"/>
              <w:bottom w:val="single" w:sz="4" w:space="0" w:color="auto"/>
            </w:tcBorders>
            <w:vAlign w:val="center"/>
          </w:tcPr>
          <w:p w14:paraId="6CDFD38F" w14:textId="6349AFEC" w:rsidR="008210C0" w:rsidRPr="002C6821" w:rsidRDefault="008210C0" w:rsidP="002D71D9">
            <w:pPr>
              <w:rPr>
                <w:rFonts w:asciiTheme="minorHAnsi" w:hAnsiTheme="minorHAnsi" w:cstheme="minorHAnsi"/>
                <w:b/>
                <w:bCs/>
                <w:color w:val="000000"/>
                <w:sz w:val="20"/>
                <w:szCs w:val="20"/>
              </w:rPr>
            </w:pPr>
            <w:r w:rsidRPr="002C6821">
              <w:rPr>
                <w:rFonts w:asciiTheme="minorHAnsi" w:hAnsiTheme="minorHAnsi" w:cstheme="minorHAnsi"/>
                <w:b/>
                <w:bCs/>
                <w:color w:val="000000"/>
                <w:sz w:val="20"/>
                <w:szCs w:val="20"/>
              </w:rPr>
              <w:t>Total neonatal head injuries</w:t>
            </w:r>
          </w:p>
        </w:tc>
        <w:tc>
          <w:tcPr>
            <w:tcW w:w="992" w:type="dxa"/>
            <w:tcBorders>
              <w:top w:val="single" w:sz="4" w:space="0" w:color="auto"/>
              <w:bottom w:val="single" w:sz="4" w:space="0" w:color="auto"/>
            </w:tcBorders>
            <w:vAlign w:val="center"/>
          </w:tcPr>
          <w:p w14:paraId="61C3FD06" w14:textId="1CEEDDC2" w:rsidR="008210C0" w:rsidRPr="002C6821" w:rsidRDefault="008210C0" w:rsidP="002D71D9">
            <w:pPr>
              <w:jc w:val="center"/>
              <w:rPr>
                <w:rFonts w:asciiTheme="minorHAnsi" w:hAnsiTheme="minorHAnsi" w:cstheme="minorHAnsi"/>
                <w:b/>
                <w:bCs/>
                <w:color w:val="000000"/>
                <w:sz w:val="20"/>
                <w:szCs w:val="20"/>
              </w:rPr>
            </w:pPr>
            <w:r w:rsidRPr="002C6821">
              <w:rPr>
                <w:rFonts w:asciiTheme="minorHAnsi" w:hAnsiTheme="minorHAnsi" w:cstheme="minorHAnsi"/>
                <w:b/>
                <w:bCs/>
                <w:color w:val="000000"/>
                <w:sz w:val="20"/>
                <w:szCs w:val="20"/>
              </w:rPr>
              <w:t>93</w:t>
            </w:r>
          </w:p>
        </w:tc>
        <w:tc>
          <w:tcPr>
            <w:tcW w:w="1276" w:type="dxa"/>
            <w:tcBorders>
              <w:top w:val="single" w:sz="4" w:space="0" w:color="auto"/>
              <w:bottom w:val="single" w:sz="4" w:space="0" w:color="auto"/>
            </w:tcBorders>
            <w:vAlign w:val="center"/>
          </w:tcPr>
          <w:p w14:paraId="36CEB48F" w14:textId="12BE19F8" w:rsidR="008210C0" w:rsidRPr="002C6821" w:rsidRDefault="008210C0" w:rsidP="002D71D9">
            <w:pPr>
              <w:jc w:val="center"/>
              <w:rPr>
                <w:rFonts w:asciiTheme="minorHAnsi" w:hAnsiTheme="minorHAnsi" w:cstheme="minorHAnsi"/>
                <w:b/>
                <w:bCs/>
                <w:color w:val="000000"/>
                <w:sz w:val="20"/>
                <w:szCs w:val="20"/>
              </w:rPr>
            </w:pPr>
            <w:r w:rsidRPr="002C6821">
              <w:rPr>
                <w:rFonts w:asciiTheme="minorHAnsi" w:hAnsiTheme="minorHAnsi" w:cstheme="minorHAnsi"/>
                <w:b/>
                <w:bCs/>
                <w:color w:val="000000"/>
                <w:sz w:val="20"/>
                <w:szCs w:val="20"/>
              </w:rPr>
              <w:t>100</w:t>
            </w:r>
          </w:p>
        </w:tc>
        <w:tc>
          <w:tcPr>
            <w:tcW w:w="992" w:type="dxa"/>
            <w:tcBorders>
              <w:top w:val="single" w:sz="4" w:space="0" w:color="auto"/>
              <w:bottom w:val="single" w:sz="4" w:space="0" w:color="auto"/>
            </w:tcBorders>
            <w:vAlign w:val="center"/>
          </w:tcPr>
          <w:p w14:paraId="32F1A293" w14:textId="77777777" w:rsidR="008210C0" w:rsidRPr="002C6821" w:rsidRDefault="008210C0" w:rsidP="002D71D9">
            <w:pPr>
              <w:jc w:val="center"/>
              <w:rPr>
                <w:rFonts w:asciiTheme="minorHAnsi" w:hAnsiTheme="minorHAnsi" w:cstheme="minorHAnsi"/>
                <w:b/>
                <w:color w:val="000000"/>
                <w:sz w:val="20"/>
                <w:szCs w:val="20"/>
              </w:rPr>
            </w:pPr>
          </w:p>
        </w:tc>
      </w:tr>
    </w:tbl>
    <w:p w14:paraId="1E4890E6" w14:textId="6EC21441" w:rsidR="001123E9" w:rsidRPr="002C6821" w:rsidRDefault="001123E9" w:rsidP="002C6821">
      <w:pPr>
        <w:spacing w:after="240"/>
        <w:rPr>
          <w:rFonts w:asciiTheme="minorHAnsi" w:hAnsiTheme="minorHAnsi" w:cstheme="minorHAnsi"/>
          <w:i/>
          <w:sz w:val="20"/>
          <w:szCs w:val="20"/>
        </w:rPr>
      </w:pPr>
      <w:r w:rsidRPr="002C6821">
        <w:rPr>
          <w:rFonts w:asciiTheme="minorHAnsi" w:hAnsiTheme="minorHAnsi" w:cstheme="minorHAnsi"/>
          <w:i/>
          <w:sz w:val="20"/>
          <w:szCs w:val="20"/>
        </w:rPr>
        <w:t>*NAHI – nona</w:t>
      </w:r>
      <w:r w:rsidR="008210C0" w:rsidRPr="002C6821">
        <w:rPr>
          <w:rFonts w:asciiTheme="minorHAnsi" w:hAnsiTheme="minorHAnsi" w:cstheme="minorHAnsi"/>
          <w:i/>
          <w:sz w:val="20"/>
          <w:szCs w:val="20"/>
        </w:rPr>
        <w:t>c</w:t>
      </w:r>
      <w:r w:rsidRPr="002C6821">
        <w:rPr>
          <w:rFonts w:asciiTheme="minorHAnsi" w:hAnsiTheme="minorHAnsi" w:cstheme="minorHAnsi"/>
          <w:i/>
          <w:sz w:val="20"/>
          <w:szCs w:val="20"/>
        </w:rPr>
        <w:t>cidental head injury</w:t>
      </w:r>
    </w:p>
    <w:p w14:paraId="21F7054E" w14:textId="04188257" w:rsidR="008210C0" w:rsidRPr="002C6821" w:rsidRDefault="00273EA4" w:rsidP="002C6821">
      <w:pPr>
        <w:spacing w:after="240"/>
        <w:rPr>
          <w:rFonts w:asciiTheme="minorHAnsi" w:hAnsiTheme="minorHAnsi" w:cstheme="minorHAnsi"/>
          <w:i/>
          <w:sz w:val="20"/>
          <w:szCs w:val="20"/>
        </w:rPr>
      </w:pPr>
      <w:r w:rsidRPr="002C6821">
        <w:rPr>
          <w:rFonts w:asciiTheme="minorHAnsi" w:hAnsiTheme="minorHAnsi" w:cstheme="minorHAnsi"/>
          <w:i/>
          <w:sz w:val="20"/>
          <w:szCs w:val="20"/>
        </w:rPr>
        <w:t xml:space="preserve">%* proportion of specific </w:t>
      </w:r>
      <w:r w:rsidR="008D67BD" w:rsidRPr="002C6821">
        <w:rPr>
          <w:rFonts w:asciiTheme="minorHAnsi" w:hAnsiTheme="minorHAnsi" w:cstheme="minorHAnsi"/>
          <w:i/>
          <w:sz w:val="20"/>
          <w:szCs w:val="20"/>
        </w:rPr>
        <w:t>head injury</w:t>
      </w:r>
      <w:r w:rsidRPr="002C6821">
        <w:rPr>
          <w:rFonts w:asciiTheme="minorHAnsi" w:hAnsiTheme="minorHAnsi" w:cstheme="minorHAnsi"/>
          <w:i/>
          <w:sz w:val="20"/>
          <w:szCs w:val="20"/>
        </w:rPr>
        <w:t xml:space="preserve"> mechanism</w:t>
      </w:r>
      <w:r w:rsidR="008210C0" w:rsidRPr="002C6821">
        <w:rPr>
          <w:rFonts w:asciiTheme="minorHAnsi" w:hAnsiTheme="minorHAnsi" w:cstheme="minorHAnsi"/>
          <w:i/>
          <w:sz w:val="20"/>
          <w:szCs w:val="20"/>
        </w:rPr>
        <w:t xml:space="preserve"> within each activity code</w:t>
      </w:r>
    </w:p>
    <w:p w14:paraId="0E5A25CB" w14:textId="77777777" w:rsidR="002D71D9" w:rsidRDefault="002D71D9">
      <w:pPr>
        <w:spacing w:after="160" w:line="259" w:lineRule="auto"/>
        <w:rPr>
          <w:rFonts w:asciiTheme="minorHAnsi" w:hAnsiTheme="minorHAnsi" w:cstheme="minorHAnsi"/>
          <w:i/>
          <w:sz w:val="20"/>
          <w:szCs w:val="20"/>
        </w:rPr>
      </w:pPr>
    </w:p>
    <w:p w14:paraId="60EB8239" w14:textId="1440A081" w:rsidR="002D71D9" w:rsidRDefault="002D71D9">
      <w:pPr>
        <w:spacing w:after="160" w:line="259" w:lineRule="auto"/>
        <w:rPr>
          <w:rFonts w:asciiTheme="minorHAnsi" w:hAnsiTheme="minorHAnsi" w:cstheme="minorHAnsi"/>
          <w:i/>
          <w:sz w:val="20"/>
          <w:szCs w:val="20"/>
        </w:rPr>
      </w:pPr>
      <w:bookmarkStart w:id="0" w:name="_GoBack"/>
      <w:bookmarkEnd w:id="0"/>
      <w:r>
        <w:rPr>
          <w:rFonts w:asciiTheme="minorHAnsi" w:hAnsiTheme="minorHAnsi" w:cstheme="minorHAnsi"/>
          <w:i/>
          <w:sz w:val="20"/>
          <w:szCs w:val="20"/>
        </w:rPr>
        <w:br w:type="page"/>
      </w:r>
    </w:p>
    <w:p w14:paraId="156B1ABF" w14:textId="77777777" w:rsidR="003F5EF7" w:rsidRPr="002C6821" w:rsidRDefault="003F5EF7" w:rsidP="002C6821">
      <w:pPr>
        <w:spacing w:after="240" w:line="259" w:lineRule="auto"/>
        <w:rPr>
          <w:rFonts w:asciiTheme="minorHAnsi" w:hAnsiTheme="minorHAnsi" w:cstheme="minorHAnsi"/>
          <w:i/>
          <w:sz w:val="20"/>
          <w:szCs w:val="20"/>
        </w:rPr>
      </w:pPr>
    </w:p>
    <w:p w14:paraId="6B3D456B" w14:textId="470147F3" w:rsidR="002C300F" w:rsidRPr="002C6821" w:rsidRDefault="002C300F" w:rsidP="002C6821">
      <w:pPr>
        <w:spacing w:after="240" w:line="259" w:lineRule="auto"/>
        <w:rPr>
          <w:rFonts w:asciiTheme="minorHAnsi" w:hAnsiTheme="minorHAnsi" w:cstheme="minorHAnsi"/>
          <w:i/>
          <w:sz w:val="20"/>
          <w:szCs w:val="20"/>
        </w:rPr>
      </w:pPr>
      <w:r w:rsidRPr="002C6821">
        <w:rPr>
          <w:rFonts w:asciiTheme="minorHAnsi" w:hAnsiTheme="minorHAnsi" w:cstheme="minorHAnsi"/>
          <w:b/>
          <w:sz w:val="20"/>
          <w:szCs w:val="20"/>
          <w:u w:val="single"/>
        </w:rPr>
        <w:t>Table 3: Traumatic brain injuries seen on neuroimaging</w:t>
      </w:r>
    </w:p>
    <w:tbl>
      <w:tblPr>
        <w:tblStyle w:val="TableGrid"/>
        <w:tblpPr w:leftFromText="180" w:rightFromText="180" w:vertAnchor="page" w:horzAnchor="margin" w:tblpY="27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447"/>
      </w:tblGrid>
      <w:tr w:rsidR="002D71D9" w:rsidRPr="002C6821" w14:paraId="57D28276" w14:textId="77777777" w:rsidTr="002D71D9">
        <w:trPr>
          <w:trHeight w:val="263"/>
        </w:trPr>
        <w:tc>
          <w:tcPr>
            <w:tcW w:w="2323" w:type="dxa"/>
            <w:tcBorders>
              <w:top w:val="single" w:sz="4" w:space="0" w:color="auto"/>
            </w:tcBorders>
            <w:vAlign w:val="center"/>
          </w:tcPr>
          <w:p w14:paraId="4BF246EB" w14:textId="77777777" w:rsidR="002D71D9" w:rsidRPr="002C6821" w:rsidRDefault="002D71D9" w:rsidP="002D71D9">
            <w:pPr>
              <w:rPr>
                <w:rFonts w:asciiTheme="minorHAnsi" w:hAnsiTheme="minorHAnsi" w:cstheme="minorHAnsi"/>
                <w:b/>
                <w:sz w:val="20"/>
                <w:szCs w:val="20"/>
                <w:u w:val="single"/>
              </w:rPr>
            </w:pPr>
          </w:p>
        </w:tc>
        <w:tc>
          <w:tcPr>
            <w:tcW w:w="1447" w:type="dxa"/>
            <w:tcBorders>
              <w:top w:val="single" w:sz="4" w:space="0" w:color="auto"/>
              <w:bottom w:val="single" w:sz="4" w:space="0" w:color="auto"/>
            </w:tcBorders>
            <w:vAlign w:val="center"/>
          </w:tcPr>
          <w:p w14:paraId="289784E8" w14:textId="77777777" w:rsidR="002D71D9" w:rsidRPr="002C6821" w:rsidRDefault="002D71D9" w:rsidP="002D71D9">
            <w:pPr>
              <w:jc w:val="center"/>
              <w:rPr>
                <w:rFonts w:asciiTheme="minorHAnsi" w:hAnsiTheme="minorHAnsi" w:cstheme="minorHAnsi"/>
                <w:b/>
                <w:sz w:val="20"/>
                <w:szCs w:val="20"/>
              </w:rPr>
            </w:pPr>
            <w:r w:rsidRPr="002C6821">
              <w:rPr>
                <w:rFonts w:asciiTheme="minorHAnsi" w:hAnsiTheme="minorHAnsi" w:cstheme="minorHAnsi"/>
                <w:b/>
                <w:sz w:val="20"/>
                <w:szCs w:val="20"/>
              </w:rPr>
              <w:t>Total</w:t>
            </w:r>
          </w:p>
        </w:tc>
      </w:tr>
      <w:tr w:rsidR="002D71D9" w:rsidRPr="002C6821" w14:paraId="41B1D3D4" w14:textId="77777777" w:rsidTr="002D71D9">
        <w:trPr>
          <w:trHeight w:val="280"/>
        </w:trPr>
        <w:tc>
          <w:tcPr>
            <w:tcW w:w="2323" w:type="dxa"/>
            <w:tcBorders>
              <w:bottom w:val="single" w:sz="4" w:space="0" w:color="auto"/>
            </w:tcBorders>
            <w:vAlign w:val="center"/>
          </w:tcPr>
          <w:p w14:paraId="41E3BBF6" w14:textId="77777777" w:rsidR="002D71D9" w:rsidRPr="002C6821" w:rsidRDefault="002D71D9" w:rsidP="002D71D9">
            <w:pPr>
              <w:rPr>
                <w:rFonts w:asciiTheme="minorHAnsi" w:hAnsiTheme="minorHAnsi" w:cstheme="minorHAnsi"/>
                <w:b/>
                <w:sz w:val="20"/>
                <w:szCs w:val="20"/>
                <w:u w:val="single"/>
              </w:rPr>
            </w:pPr>
          </w:p>
        </w:tc>
        <w:tc>
          <w:tcPr>
            <w:tcW w:w="1447" w:type="dxa"/>
            <w:tcBorders>
              <w:top w:val="single" w:sz="4" w:space="0" w:color="auto"/>
              <w:bottom w:val="single" w:sz="4" w:space="0" w:color="auto"/>
            </w:tcBorders>
            <w:vAlign w:val="center"/>
          </w:tcPr>
          <w:p w14:paraId="58AEB710" w14:textId="77777777" w:rsidR="002D71D9" w:rsidRPr="002C6821" w:rsidRDefault="002D71D9" w:rsidP="002D71D9">
            <w:pPr>
              <w:jc w:val="center"/>
              <w:rPr>
                <w:rFonts w:asciiTheme="minorHAnsi" w:hAnsiTheme="minorHAnsi" w:cstheme="minorHAnsi"/>
                <w:b/>
                <w:sz w:val="20"/>
                <w:szCs w:val="20"/>
              </w:rPr>
            </w:pPr>
            <w:r w:rsidRPr="002C6821">
              <w:rPr>
                <w:rFonts w:asciiTheme="minorHAnsi" w:hAnsiTheme="minorHAnsi" w:cstheme="minorHAnsi"/>
                <w:b/>
                <w:sz w:val="20"/>
                <w:szCs w:val="20"/>
              </w:rPr>
              <w:t>n</w:t>
            </w:r>
          </w:p>
        </w:tc>
      </w:tr>
      <w:tr w:rsidR="002D71D9" w:rsidRPr="002C6821" w14:paraId="78469CFD" w14:textId="77777777" w:rsidTr="002D71D9">
        <w:trPr>
          <w:trHeight w:val="561"/>
        </w:trPr>
        <w:tc>
          <w:tcPr>
            <w:tcW w:w="2323" w:type="dxa"/>
            <w:tcBorders>
              <w:top w:val="single" w:sz="4" w:space="0" w:color="auto"/>
            </w:tcBorders>
            <w:vAlign w:val="center"/>
          </w:tcPr>
          <w:p w14:paraId="5E183EE3" w14:textId="77777777" w:rsidR="002D71D9" w:rsidRPr="002C6821" w:rsidRDefault="002D71D9" w:rsidP="002D71D9">
            <w:pPr>
              <w:rPr>
                <w:rFonts w:asciiTheme="minorHAnsi" w:hAnsiTheme="minorHAnsi" w:cstheme="minorHAnsi"/>
                <w:b/>
                <w:sz w:val="20"/>
                <w:szCs w:val="20"/>
              </w:rPr>
            </w:pPr>
            <w:r w:rsidRPr="002C6821">
              <w:rPr>
                <w:rFonts w:asciiTheme="minorHAnsi" w:hAnsiTheme="minorHAnsi" w:cstheme="minorHAnsi"/>
                <w:b/>
                <w:sz w:val="20"/>
                <w:szCs w:val="20"/>
              </w:rPr>
              <w:t>Any traumatic brain injury</w:t>
            </w:r>
          </w:p>
        </w:tc>
        <w:tc>
          <w:tcPr>
            <w:tcW w:w="1447" w:type="dxa"/>
            <w:tcBorders>
              <w:top w:val="single" w:sz="4" w:space="0" w:color="auto"/>
            </w:tcBorders>
            <w:vAlign w:val="center"/>
          </w:tcPr>
          <w:p w14:paraId="63316042" w14:textId="77777777" w:rsidR="002D71D9" w:rsidRPr="002C6821" w:rsidRDefault="002D71D9" w:rsidP="002D71D9">
            <w:pPr>
              <w:jc w:val="center"/>
              <w:rPr>
                <w:rFonts w:asciiTheme="minorHAnsi" w:hAnsiTheme="minorHAnsi" w:cstheme="minorHAnsi"/>
                <w:b/>
                <w:sz w:val="20"/>
                <w:szCs w:val="20"/>
                <w:u w:val="single"/>
              </w:rPr>
            </w:pPr>
            <w:r w:rsidRPr="002C6821">
              <w:rPr>
                <w:rFonts w:asciiTheme="minorHAnsi" w:eastAsia="Times New Roman" w:hAnsiTheme="minorHAnsi" w:cstheme="minorHAnsi"/>
                <w:color w:val="000000"/>
                <w:sz w:val="20"/>
                <w:szCs w:val="20"/>
              </w:rPr>
              <w:t>5</w:t>
            </w:r>
          </w:p>
        </w:tc>
      </w:tr>
      <w:tr w:rsidR="002D71D9" w:rsidRPr="002C6821" w14:paraId="15D80653" w14:textId="77777777" w:rsidTr="002D71D9">
        <w:trPr>
          <w:trHeight w:val="569"/>
        </w:trPr>
        <w:tc>
          <w:tcPr>
            <w:tcW w:w="2323" w:type="dxa"/>
            <w:vAlign w:val="center"/>
          </w:tcPr>
          <w:p w14:paraId="48018E05" w14:textId="77777777" w:rsidR="002D71D9" w:rsidRPr="002C6821" w:rsidRDefault="002D71D9" w:rsidP="002D71D9">
            <w:pPr>
              <w:rPr>
                <w:rFonts w:asciiTheme="minorHAnsi" w:hAnsiTheme="minorHAnsi" w:cstheme="minorHAnsi"/>
                <w:b/>
                <w:sz w:val="20"/>
                <w:szCs w:val="20"/>
                <w:u w:val="single"/>
              </w:rPr>
            </w:pPr>
            <w:r w:rsidRPr="002C6821">
              <w:rPr>
                <w:rFonts w:asciiTheme="minorHAnsi" w:eastAsia="Times New Roman" w:hAnsiTheme="minorHAnsi" w:cstheme="minorHAnsi"/>
                <w:color w:val="000000"/>
                <w:sz w:val="20"/>
                <w:szCs w:val="20"/>
              </w:rPr>
              <w:t xml:space="preserve">Intracranial haemorrhage or contusion </w:t>
            </w:r>
          </w:p>
        </w:tc>
        <w:tc>
          <w:tcPr>
            <w:tcW w:w="1447" w:type="dxa"/>
            <w:vAlign w:val="center"/>
          </w:tcPr>
          <w:p w14:paraId="7EB2363F" w14:textId="77777777" w:rsidR="002D71D9" w:rsidRPr="002C6821" w:rsidRDefault="002D71D9" w:rsidP="002D71D9">
            <w:pPr>
              <w:jc w:val="center"/>
              <w:rPr>
                <w:rFonts w:asciiTheme="minorHAnsi" w:hAnsiTheme="minorHAnsi" w:cstheme="minorHAnsi"/>
                <w:b/>
                <w:sz w:val="20"/>
                <w:szCs w:val="20"/>
                <w:u w:val="single"/>
              </w:rPr>
            </w:pPr>
            <w:r w:rsidRPr="002C6821">
              <w:rPr>
                <w:rFonts w:asciiTheme="minorHAnsi" w:eastAsia="Times New Roman" w:hAnsiTheme="minorHAnsi" w:cstheme="minorHAnsi"/>
                <w:color w:val="000000"/>
                <w:sz w:val="20"/>
                <w:szCs w:val="20"/>
              </w:rPr>
              <w:t>4</w:t>
            </w:r>
          </w:p>
        </w:tc>
      </w:tr>
      <w:tr w:rsidR="002D71D9" w:rsidRPr="002C6821" w14:paraId="6DD0AB1B" w14:textId="77777777" w:rsidTr="002D71D9">
        <w:trPr>
          <w:trHeight w:val="280"/>
        </w:trPr>
        <w:tc>
          <w:tcPr>
            <w:tcW w:w="2323" w:type="dxa"/>
            <w:vAlign w:val="center"/>
          </w:tcPr>
          <w:p w14:paraId="1B776650" w14:textId="77777777" w:rsidR="002D71D9" w:rsidRPr="002C6821" w:rsidRDefault="002D71D9" w:rsidP="002D71D9">
            <w:pP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Any skull fracture</w:t>
            </w:r>
          </w:p>
        </w:tc>
        <w:tc>
          <w:tcPr>
            <w:tcW w:w="1447" w:type="dxa"/>
            <w:vAlign w:val="center"/>
          </w:tcPr>
          <w:p w14:paraId="4E9CBB77" w14:textId="77777777" w:rsidR="002D71D9" w:rsidRPr="002C6821" w:rsidRDefault="002D71D9" w:rsidP="002D71D9">
            <w:pPr>
              <w:jc w:val="center"/>
              <w:rPr>
                <w:rFonts w:asciiTheme="minorHAnsi" w:eastAsia="Times New Roman" w:hAnsiTheme="minorHAnsi" w:cstheme="minorHAnsi"/>
                <w:color w:val="000000"/>
                <w:sz w:val="20"/>
                <w:szCs w:val="20"/>
              </w:rPr>
            </w:pPr>
            <w:r w:rsidRPr="002C6821">
              <w:rPr>
                <w:rFonts w:asciiTheme="minorHAnsi" w:eastAsia="Times New Roman" w:hAnsiTheme="minorHAnsi" w:cstheme="minorHAnsi"/>
                <w:color w:val="000000"/>
                <w:sz w:val="20"/>
                <w:szCs w:val="20"/>
              </w:rPr>
              <w:t>4</w:t>
            </w:r>
          </w:p>
        </w:tc>
      </w:tr>
      <w:tr w:rsidR="002D71D9" w:rsidRPr="002C6821" w14:paraId="5572E54F" w14:textId="77777777" w:rsidTr="002D71D9">
        <w:trPr>
          <w:trHeight w:val="280"/>
        </w:trPr>
        <w:tc>
          <w:tcPr>
            <w:tcW w:w="2323" w:type="dxa"/>
            <w:vAlign w:val="center"/>
          </w:tcPr>
          <w:p w14:paraId="794113B4" w14:textId="77777777" w:rsidR="002D71D9" w:rsidRPr="002C6821" w:rsidRDefault="002D71D9" w:rsidP="002D71D9">
            <w:pPr>
              <w:rPr>
                <w:rFonts w:asciiTheme="minorHAnsi" w:hAnsiTheme="minorHAnsi" w:cstheme="minorHAnsi"/>
                <w:b/>
                <w:sz w:val="20"/>
                <w:szCs w:val="20"/>
                <w:u w:val="single"/>
              </w:rPr>
            </w:pPr>
            <w:r w:rsidRPr="002C6821">
              <w:rPr>
                <w:rFonts w:asciiTheme="minorHAnsi" w:eastAsia="Times New Roman" w:hAnsiTheme="minorHAnsi" w:cstheme="minorHAnsi"/>
                <w:color w:val="000000"/>
                <w:sz w:val="20"/>
                <w:szCs w:val="20"/>
              </w:rPr>
              <w:t xml:space="preserve">Depressed skull fracture </w:t>
            </w:r>
          </w:p>
        </w:tc>
        <w:tc>
          <w:tcPr>
            <w:tcW w:w="1447" w:type="dxa"/>
            <w:vAlign w:val="center"/>
          </w:tcPr>
          <w:p w14:paraId="509DEBFB" w14:textId="77777777" w:rsidR="002D71D9" w:rsidRPr="002C6821" w:rsidRDefault="002D71D9" w:rsidP="002D71D9">
            <w:pPr>
              <w:jc w:val="center"/>
              <w:rPr>
                <w:rFonts w:asciiTheme="minorHAnsi" w:hAnsiTheme="minorHAnsi" w:cstheme="minorHAnsi"/>
                <w:b/>
                <w:sz w:val="20"/>
                <w:szCs w:val="20"/>
                <w:u w:val="single"/>
              </w:rPr>
            </w:pPr>
            <w:r w:rsidRPr="002C6821">
              <w:rPr>
                <w:rFonts w:asciiTheme="minorHAnsi" w:eastAsia="Times New Roman" w:hAnsiTheme="minorHAnsi" w:cstheme="minorHAnsi"/>
                <w:color w:val="000000"/>
                <w:sz w:val="20"/>
                <w:szCs w:val="20"/>
              </w:rPr>
              <w:t>2</w:t>
            </w:r>
          </w:p>
        </w:tc>
      </w:tr>
      <w:tr w:rsidR="002D71D9" w:rsidRPr="002C6821" w14:paraId="08620316" w14:textId="77777777" w:rsidTr="002D71D9">
        <w:trPr>
          <w:trHeight w:val="841"/>
        </w:trPr>
        <w:tc>
          <w:tcPr>
            <w:tcW w:w="2323" w:type="dxa"/>
            <w:vAlign w:val="center"/>
          </w:tcPr>
          <w:p w14:paraId="33D3DB78" w14:textId="77777777" w:rsidR="002D71D9" w:rsidRPr="002C6821" w:rsidRDefault="002D71D9" w:rsidP="002D71D9">
            <w:pPr>
              <w:rPr>
                <w:rFonts w:asciiTheme="minorHAnsi" w:hAnsiTheme="minorHAnsi" w:cstheme="minorHAnsi"/>
                <w:b/>
                <w:sz w:val="20"/>
                <w:szCs w:val="20"/>
                <w:u w:val="single"/>
              </w:rPr>
            </w:pPr>
            <w:r w:rsidRPr="002C6821">
              <w:rPr>
                <w:rFonts w:asciiTheme="minorHAnsi" w:eastAsia="Times New Roman" w:hAnsiTheme="minorHAnsi" w:cstheme="minorHAnsi"/>
                <w:color w:val="000000"/>
                <w:sz w:val="20"/>
                <w:szCs w:val="20"/>
              </w:rPr>
              <w:t>Midline shift of intracranial contents or signs of brain herniation</w:t>
            </w:r>
          </w:p>
        </w:tc>
        <w:tc>
          <w:tcPr>
            <w:tcW w:w="1447" w:type="dxa"/>
            <w:vAlign w:val="center"/>
          </w:tcPr>
          <w:p w14:paraId="61976747" w14:textId="77777777" w:rsidR="002D71D9" w:rsidRPr="002C6821" w:rsidRDefault="002D71D9" w:rsidP="002D71D9">
            <w:pPr>
              <w:jc w:val="center"/>
              <w:rPr>
                <w:rFonts w:asciiTheme="minorHAnsi" w:hAnsiTheme="minorHAnsi" w:cstheme="minorHAnsi"/>
                <w:b/>
                <w:sz w:val="20"/>
                <w:szCs w:val="20"/>
                <w:u w:val="single"/>
              </w:rPr>
            </w:pPr>
            <w:r w:rsidRPr="002C6821">
              <w:rPr>
                <w:rFonts w:asciiTheme="minorHAnsi" w:eastAsia="Times New Roman" w:hAnsiTheme="minorHAnsi" w:cstheme="minorHAnsi"/>
                <w:color w:val="000000"/>
                <w:sz w:val="20"/>
                <w:szCs w:val="20"/>
              </w:rPr>
              <w:t>1</w:t>
            </w:r>
          </w:p>
        </w:tc>
      </w:tr>
      <w:tr w:rsidR="002D71D9" w:rsidRPr="002C6821" w14:paraId="5F95EE57" w14:textId="77777777" w:rsidTr="002D71D9">
        <w:trPr>
          <w:trHeight w:val="280"/>
        </w:trPr>
        <w:tc>
          <w:tcPr>
            <w:tcW w:w="2323" w:type="dxa"/>
            <w:vAlign w:val="center"/>
          </w:tcPr>
          <w:p w14:paraId="331D12DF" w14:textId="77777777" w:rsidR="002D71D9" w:rsidRPr="002C6821" w:rsidRDefault="002D71D9" w:rsidP="002D71D9">
            <w:pPr>
              <w:rPr>
                <w:rFonts w:asciiTheme="minorHAnsi" w:hAnsiTheme="minorHAnsi" w:cstheme="minorHAnsi"/>
                <w:b/>
                <w:sz w:val="20"/>
                <w:szCs w:val="20"/>
                <w:u w:val="single"/>
              </w:rPr>
            </w:pPr>
            <w:r w:rsidRPr="002C6821">
              <w:rPr>
                <w:rFonts w:asciiTheme="minorHAnsi" w:eastAsia="Times New Roman" w:hAnsiTheme="minorHAnsi" w:cstheme="minorHAnsi"/>
                <w:color w:val="000000"/>
                <w:sz w:val="20"/>
                <w:szCs w:val="20"/>
              </w:rPr>
              <w:t xml:space="preserve">Diastasis of the skull </w:t>
            </w:r>
          </w:p>
        </w:tc>
        <w:tc>
          <w:tcPr>
            <w:tcW w:w="1447" w:type="dxa"/>
            <w:vAlign w:val="center"/>
          </w:tcPr>
          <w:p w14:paraId="7D69D178" w14:textId="77777777" w:rsidR="002D71D9" w:rsidRPr="002C6821" w:rsidRDefault="002D71D9" w:rsidP="002D71D9">
            <w:pPr>
              <w:jc w:val="center"/>
              <w:rPr>
                <w:rFonts w:asciiTheme="minorHAnsi" w:hAnsiTheme="minorHAnsi" w:cstheme="minorHAnsi"/>
                <w:b/>
                <w:sz w:val="20"/>
                <w:szCs w:val="20"/>
                <w:u w:val="single"/>
              </w:rPr>
            </w:pPr>
            <w:r w:rsidRPr="002C6821">
              <w:rPr>
                <w:rFonts w:asciiTheme="minorHAnsi" w:eastAsia="Times New Roman" w:hAnsiTheme="minorHAnsi" w:cstheme="minorHAnsi"/>
                <w:color w:val="000000"/>
                <w:sz w:val="20"/>
                <w:szCs w:val="20"/>
              </w:rPr>
              <w:t>1</w:t>
            </w:r>
          </w:p>
        </w:tc>
      </w:tr>
      <w:tr w:rsidR="002D71D9" w:rsidRPr="002C6821" w14:paraId="2473C07B" w14:textId="77777777" w:rsidTr="002D71D9">
        <w:trPr>
          <w:trHeight w:val="280"/>
        </w:trPr>
        <w:tc>
          <w:tcPr>
            <w:tcW w:w="2323" w:type="dxa"/>
            <w:vAlign w:val="center"/>
          </w:tcPr>
          <w:p w14:paraId="15E5624A" w14:textId="77777777" w:rsidR="002D71D9" w:rsidRPr="002C6821" w:rsidRDefault="002D71D9" w:rsidP="002D71D9">
            <w:pPr>
              <w:rPr>
                <w:rFonts w:asciiTheme="minorHAnsi" w:hAnsiTheme="minorHAnsi" w:cstheme="minorHAnsi"/>
                <w:b/>
                <w:sz w:val="20"/>
                <w:szCs w:val="20"/>
                <w:u w:val="single"/>
              </w:rPr>
            </w:pPr>
            <w:r w:rsidRPr="002C6821">
              <w:rPr>
                <w:rFonts w:asciiTheme="minorHAnsi" w:eastAsia="Times New Roman" w:hAnsiTheme="minorHAnsi" w:cstheme="minorHAnsi"/>
                <w:color w:val="000000"/>
                <w:sz w:val="20"/>
                <w:szCs w:val="20"/>
              </w:rPr>
              <w:t>Sigmoid sinus thrombosis</w:t>
            </w:r>
          </w:p>
        </w:tc>
        <w:tc>
          <w:tcPr>
            <w:tcW w:w="1447" w:type="dxa"/>
            <w:vAlign w:val="center"/>
          </w:tcPr>
          <w:p w14:paraId="1BF86CD4" w14:textId="77777777" w:rsidR="002D71D9" w:rsidRPr="002C6821" w:rsidRDefault="002D71D9" w:rsidP="002D71D9">
            <w:pPr>
              <w:jc w:val="center"/>
              <w:rPr>
                <w:rFonts w:asciiTheme="minorHAnsi" w:hAnsiTheme="minorHAnsi" w:cstheme="minorHAnsi"/>
                <w:b/>
                <w:sz w:val="20"/>
                <w:szCs w:val="20"/>
                <w:u w:val="single"/>
              </w:rPr>
            </w:pPr>
            <w:r w:rsidRPr="002C6821">
              <w:rPr>
                <w:rFonts w:asciiTheme="minorHAnsi" w:eastAsia="Times New Roman" w:hAnsiTheme="minorHAnsi" w:cstheme="minorHAnsi"/>
                <w:color w:val="000000"/>
                <w:sz w:val="20"/>
                <w:szCs w:val="20"/>
              </w:rPr>
              <w:t>1</w:t>
            </w:r>
          </w:p>
        </w:tc>
      </w:tr>
    </w:tbl>
    <w:p w14:paraId="12457AED" w14:textId="47810E72" w:rsidR="001123E9" w:rsidRPr="002C6821" w:rsidRDefault="001123E9" w:rsidP="002C6821">
      <w:pPr>
        <w:spacing w:after="240" w:line="259" w:lineRule="auto"/>
        <w:rPr>
          <w:rFonts w:asciiTheme="minorHAnsi" w:hAnsiTheme="minorHAnsi" w:cstheme="minorHAnsi"/>
          <w:b/>
          <w:sz w:val="20"/>
          <w:szCs w:val="20"/>
          <w:u w:val="single"/>
        </w:rPr>
      </w:pPr>
      <w:r w:rsidRPr="002C6821">
        <w:rPr>
          <w:rFonts w:asciiTheme="minorHAnsi" w:hAnsiTheme="minorHAnsi" w:cstheme="minorHAnsi"/>
          <w:b/>
          <w:sz w:val="20"/>
          <w:szCs w:val="20"/>
          <w:u w:val="single"/>
        </w:rPr>
        <w:br w:type="page"/>
      </w:r>
    </w:p>
    <w:p w14:paraId="49E74BD6" w14:textId="374CA43D" w:rsidR="00DD1A8E" w:rsidRPr="002C6821" w:rsidRDefault="008B0383" w:rsidP="002C6821">
      <w:pPr>
        <w:spacing w:after="240"/>
        <w:rPr>
          <w:rFonts w:asciiTheme="minorHAnsi" w:hAnsiTheme="minorHAnsi" w:cstheme="minorHAnsi"/>
          <w:b/>
          <w:sz w:val="20"/>
          <w:szCs w:val="20"/>
          <w:u w:val="single"/>
        </w:rPr>
      </w:pPr>
      <w:r w:rsidRPr="002C6821">
        <w:rPr>
          <w:rFonts w:asciiTheme="minorHAnsi" w:hAnsiTheme="minorHAnsi" w:cstheme="minorHAnsi"/>
          <w:b/>
          <w:sz w:val="20"/>
          <w:szCs w:val="20"/>
          <w:u w:val="single"/>
        </w:rPr>
        <w:lastRenderedPageBreak/>
        <w:t>Figure 1</w:t>
      </w:r>
      <w:r w:rsidR="006212CF" w:rsidRPr="002C6821">
        <w:rPr>
          <w:rFonts w:asciiTheme="minorHAnsi" w:hAnsiTheme="minorHAnsi" w:cstheme="minorHAnsi"/>
          <w:b/>
          <w:sz w:val="20"/>
          <w:szCs w:val="20"/>
          <w:u w:val="single"/>
        </w:rPr>
        <w:t xml:space="preserve">: </w:t>
      </w:r>
      <w:r w:rsidR="00811246" w:rsidRPr="002C6821">
        <w:rPr>
          <w:rFonts w:asciiTheme="minorHAnsi" w:hAnsiTheme="minorHAnsi" w:cstheme="minorHAnsi"/>
          <w:b/>
          <w:sz w:val="20"/>
          <w:szCs w:val="20"/>
          <w:u w:val="single"/>
        </w:rPr>
        <w:t>Distribution of</w:t>
      </w:r>
      <w:r w:rsidR="006212CF" w:rsidRPr="002C6821">
        <w:rPr>
          <w:rFonts w:asciiTheme="minorHAnsi" w:hAnsiTheme="minorHAnsi" w:cstheme="minorHAnsi"/>
          <w:b/>
          <w:sz w:val="20"/>
          <w:szCs w:val="20"/>
          <w:u w:val="single"/>
        </w:rPr>
        <w:t xml:space="preserve"> neonatal head injuries </w:t>
      </w:r>
      <w:r w:rsidR="00811246" w:rsidRPr="002C6821">
        <w:rPr>
          <w:rFonts w:asciiTheme="minorHAnsi" w:hAnsiTheme="minorHAnsi" w:cstheme="minorHAnsi"/>
          <w:b/>
          <w:sz w:val="20"/>
          <w:szCs w:val="20"/>
          <w:u w:val="single"/>
        </w:rPr>
        <w:t>by time of injury</w:t>
      </w:r>
    </w:p>
    <w:p w14:paraId="2473BC03" w14:textId="77777777" w:rsidR="00811246" w:rsidRPr="002C6821" w:rsidRDefault="00811246" w:rsidP="002C6821">
      <w:pPr>
        <w:spacing w:after="240"/>
        <w:rPr>
          <w:rFonts w:asciiTheme="minorHAnsi" w:hAnsiTheme="minorHAnsi" w:cstheme="minorHAnsi"/>
          <w:b/>
          <w:sz w:val="20"/>
          <w:szCs w:val="20"/>
          <w:u w:val="single"/>
        </w:rPr>
      </w:pPr>
    </w:p>
    <w:p w14:paraId="495524E3" w14:textId="4374BCF7" w:rsidR="00DD1A8E" w:rsidRPr="002C6821" w:rsidRDefault="007F5102" w:rsidP="002C6821">
      <w:pPr>
        <w:spacing w:after="240"/>
        <w:rPr>
          <w:rFonts w:asciiTheme="minorHAnsi" w:hAnsiTheme="minorHAnsi" w:cstheme="minorHAnsi"/>
          <w:b/>
          <w:sz w:val="20"/>
          <w:szCs w:val="20"/>
          <w:u w:val="single"/>
        </w:rPr>
      </w:pPr>
      <w:r w:rsidRPr="002C6821">
        <w:rPr>
          <w:rFonts w:asciiTheme="minorHAnsi" w:hAnsiTheme="minorHAnsi" w:cstheme="minorHAnsi"/>
          <w:noProof/>
          <w:sz w:val="20"/>
          <w:szCs w:val="20"/>
          <w:lang w:val="en-GB" w:eastAsia="en-GB"/>
        </w:rPr>
        <w:drawing>
          <wp:inline distT="0" distB="0" distL="0" distR="0" wp14:anchorId="70822A77" wp14:editId="09087F87">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F2F158" w14:textId="77777777" w:rsidR="007F5102" w:rsidRPr="002C6821" w:rsidRDefault="007F5102" w:rsidP="002C6821">
      <w:pPr>
        <w:spacing w:after="240"/>
        <w:rPr>
          <w:rFonts w:asciiTheme="minorHAnsi" w:hAnsiTheme="minorHAnsi" w:cstheme="minorHAnsi"/>
          <w:b/>
          <w:sz w:val="20"/>
          <w:szCs w:val="20"/>
          <w:u w:val="single"/>
        </w:rPr>
      </w:pPr>
    </w:p>
    <w:p w14:paraId="4AED1F9D" w14:textId="1137031C" w:rsidR="00A155C7" w:rsidRPr="002C6821" w:rsidRDefault="008B0383" w:rsidP="002C6821">
      <w:pPr>
        <w:spacing w:after="240"/>
        <w:rPr>
          <w:rFonts w:asciiTheme="minorHAnsi" w:hAnsiTheme="minorHAnsi" w:cstheme="minorHAnsi"/>
          <w:b/>
          <w:sz w:val="20"/>
          <w:szCs w:val="20"/>
          <w:u w:val="single"/>
        </w:rPr>
      </w:pPr>
      <w:r w:rsidRPr="002C6821">
        <w:rPr>
          <w:rFonts w:asciiTheme="minorHAnsi" w:hAnsiTheme="minorHAnsi" w:cstheme="minorHAnsi"/>
          <w:b/>
          <w:sz w:val="20"/>
          <w:szCs w:val="20"/>
          <w:u w:val="single"/>
        </w:rPr>
        <w:t>Figure 2</w:t>
      </w:r>
      <w:r w:rsidR="00A155C7" w:rsidRPr="002C6821">
        <w:rPr>
          <w:rFonts w:asciiTheme="minorHAnsi" w:hAnsiTheme="minorHAnsi" w:cstheme="minorHAnsi"/>
          <w:b/>
          <w:sz w:val="20"/>
          <w:szCs w:val="20"/>
          <w:u w:val="single"/>
        </w:rPr>
        <w:t>: Distribution of neonatal head injuries by place of injury</w:t>
      </w:r>
    </w:p>
    <w:p w14:paraId="73052D56" w14:textId="77777777" w:rsidR="00627140" w:rsidRPr="002C6821" w:rsidRDefault="00627140" w:rsidP="002C6821">
      <w:pPr>
        <w:spacing w:after="240"/>
        <w:rPr>
          <w:rFonts w:asciiTheme="minorHAnsi" w:hAnsiTheme="minorHAnsi" w:cstheme="minorHAnsi"/>
          <w:b/>
          <w:sz w:val="20"/>
          <w:szCs w:val="20"/>
          <w:u w:val="single"/>
        </w:rPr>
      </w:pPr>
    </w:p>
    <w:p w14:paraId="7FCE9676" w14:textId="4A7BB60E" w:rsidR="00A155C7" w:rsidRPr="002C6821" w:rsidRDefault="00286931" w:rsidP="002C6821">
      <w:pPr>
        <w:spacing w:after="240"/>
        <w:rPr>
          <w:rFonts w:asciiTheme="minorHAnsi" w:hAnsiTheme="minorHAnsi" w:cstheme="minorHAnsi"/>
          <w:b/>
          <w:sz w:val="20"/>
          <w:szCs w:val="20"/>
          <w:u w:val="single"/>
        </w:rPr>
      </w:pPr>
      <w:r w:rsidRPr="002C6821">
        <w:rPr>
          <w:rFonts w:asciiTheme="minorHAnsi" w:hAnsiTheme="minorHAnsi" w:cstheme="minorHAnsi"/>
          <w:noProof/>
          <w:sz w:val="20"/>
          <w:szCs w:val="20"/>
          <w:lang w:val="en-GB" w:eastAsia="en-GB"/>
        </w:rPr>
        <w:drawing>
          <wp:inline distT="0" distB="0" distL="0" distR="0" wp14:anchorId="070424B6" wp14:editId="450103A1">
            <wp:extent cx="5486400" cy="2786380"/>
            <wp:effectExtent l="0" t="0" r="25400" b="330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3B30EE" w14:textId="19008542" w:rsidR="00AA4BB2" w:rsidRPr="002C6821" w:rsidRDefault="00AA4BB2" w:rsidP="002C6821">
      <w:pPr>
        <w:spacing w:after="240"/>
        <w:rPr>
          <w:rFonts w:asciiTheme="minorHAnsi" w:hAnsiTheme="minorHAnsi" w:cstheme="minorHAnsi"/>
          <w:b/>
          <w:sz w:val="20"/>
          <w:szCs w:val="20"/>
          <w:u w:val="single"/>
        </w:rPr>
      </w:pPr>
    </w:p>
    <w:sectPr w:rsidR="00AA4BB2" w:rsidRPr="002C6821" w:rsidSect="00967740">
      <w:footerReference w:type="even" r:id="rId25"/>
      <w:footerReference w:type="default" r:id="rId26"/>
      <w:pgSz w:w="11906" w:h="16838"/>
      <w:pgMar w:top="170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B8D83" w14:textId="77777777" w:rsidR="00D20264" w:rsidRDefault="00D20264" w:rsidP="00FF1784">
      <w:r>
        <w:separator/>
      </w:r>
    </w:p>
  </w:endnote>
  <w:endnote w:type="continuationSeparator" w:id="0">
    <w:p w14:paraId="6273A019" w14:textId="77777777" w:rsidR="00D20264" w:rsidRDefault="00D20264" w:rsidP="00FF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Yu Gothic UI"/>
    <w:panose1 w:val="00000000000000000000"/>
    <w:charset w:val="80"/>
    <w:family w:val="auto"/>
    <w:notTrueType/>
    <w:pitch w:val="default"/>
    <w:sig w:usb0="00000001" w:usb1="08070000" w:usb2="00000010" w:usb3="00000000" w:csb0="00020000" w:csb1="00000000"/>
  </w:font>
  <w:font w:name="AdvOT2cddb7b9+22">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5DF7C" w14:textId="77777777" w:rsidR="00920604" w:rsidRDefault="00920604" w:rsidP="00967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E5608E" w14:textId="77777777" w:rsidR="00920604" w:rsidRDefault="00920604" w:rsidP="00A800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57EDF" w14:textId="22F4011B" w:rsidR="00920604" w:rsidRDefault="00920604" w:rsidP="00967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71D9">
      <w:rPr>
        <w:rStyle w:val="PageNumber"/>
        <w:noProof/>
      </w:rPr>
      <w:t>14</w:t>
    </w:r>
    <w:r>
      <w:rPr>
        <w:rStyle w:val="PageNumber"/>
      </w:rPr>
      <w:fldChar w:fldCharType="end"/>
    </w:r>
  </w:p>
  <w:p w14:paraId="7382C3FC" w14:textId="77777777" w:rsidR="00920604" w:rsidRDefault="00920604" w:rsidP="00A800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954B" w14:textId="77777777" w:rsidR="00D20264" w:rsidRDefault="00D20264" w:rsidP="00FF1784">
      <w:r>
        <w:separator/>
      </w:r>
    </w:p>
  </w:footnote>
  <w:footnote w:type="continuationSeparator" w:id="0">
    <w:p w14:paraId="592ADB86" w14:textId="77777777" w:rsidR="00D20264" w:rsidRDefault="00D20264" w:rsidP="00FF1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2DA0"/>
    <w:multiLevelType w:val="hybridMultilevel"/>
    <w:tmpl w:val="394C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E6F9E"/>
    <w:multiLevelType w:val="hybridMultilevel"/>
    <w:tmpl w:val="9E70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73C13"/>
    <w:multiLevelType w:val="hybridMultilevel"/>
    <w:tmpl w:val="BA0A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92C54"/>
    <w:multiLevelType w:val="hybridMultilevel"/>
    <w:tmpl w:val="B338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B23E2"/>
    <w:multiLevelType w:val="hybridMultilevel"/>
    <w:tmpl w:val="9FC2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815CF"/>
    <w:multiLevelType w:val="hybridMultilevel"/>
    <w:tmpl w:val="CBF63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46C1A"/>
    <w:multiLevelType w:val="hybridMultilevel"/>
    <w:tmpl w:val="A5949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216B4"/>
    <w:multiLevelType w:val="hybridMultilevel"/>
    <w:tmpl w:val="4DD43F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E66486"/>
    <w:multiLevelType w:val="hybridMultilevel"/>
    <w:tmpl w:val="F5A42DD8"/>
    <w:lvl w:ilvl="0" w:tplc="33B041A6">
      <w:start w:val="1"/>
      <w:numFmt w:val="bullet"/>
      <w:lvlText w:val=""/>
      <w:lvlJc w:val="left"/>
      <w:pPr>
        <w:ind w:left="720" w:hanging="360"/>
      </w:pPr>
      <w:rPr>
        <w:rFonts w:ascii="Symbol" w:hAnsi="Symbol"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F3429"/>
    <w:multiLevelType w:val="hybridMultilevel"/>
    <w:tmpl w:val="6D56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D204F"/>
    <w:multiLevelType w:val="hybridMultilevel"/>
    <w:tmpl w:val="8182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37A28"/>
    <w:multiLevelType w:val="hybridMultilevel"/>
    <w:tmpl w:val="64929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E66342"/>
    <w:multiLevelType w:val="multilevel"/>
    <w:tmpl w:val="43C6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36352"/>
    <w:multiLevelType w:val="hybridMultilevel"/>
    <w:tmpl w:val="6B62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C6CC9"/>
    <w:multiLevelType w:val="hybridMultilevel"/>
    <w:tmpl w:val="2F8A2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480303"/>
    <w:multiLevelType w:val="hybridMultilevel"/>
    <w:tmpl w:val="7B12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A5B15"/>
    <w:multiLevelType w:val="hybridMultilevel"/>
    <w:tmpl w:val="FCFE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A451D"/>
    <w:multiLevelType w:val="hybridMultilevel"/>
    <w:tmpl w:val="3A1E0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8F3DC1"/>
    <w:multiLevelType w:val="hybridMultilevel"/>
    <w:tmpl w:val="9F9EDF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17394F"/>
    <w:multiLevelType w:val="hybridMultilevel"/>
    <w:tmpl w:val="A574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B02DD"/>
    <w:multiLevelType w:val="hybridMultilevel"/>
    <w:tmpl w:val="FD986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571654"/>
    <w:multiLevelType w:val="hybridMultilevel"/>
    <w:tmpl w:val="8496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F690D"/>
    <w:multiLevelType w:val="hybridMultilevel"/>
    <w:tmpl w:val="C3C8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417A2E"/>
    <w:multiLevelType w:val="hybridMultilevel"/>
    <w:tmpl w:val="3B66113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60A557AE"/>
    <w:multiLevelType w:val="hybridMultilevel"/>
    <w:tmpl w:val="0EECC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D27D25"/>
    <w:multiLevelType w:val="hybridMultilevel"/>
    <w:tmpl w:val="7452D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7050A2"/>
    <w:multiLevelType w:val="hybridMultilevel"/>
    <w:tmpl w:val="5D4A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52D86"/>
    <w:multiLevelType w:val="hybridMultilevel"/>
    <w:tmpl w:val="73CA6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715219"/>
    <w:multiLevelType w:val="hybridMultilevel"/>
    <w:tmpl w:val="8C227A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E3346A4"/>
    <w:multiLevelType w:val="hybridMultilevel"/>
    <w:tmpl w:val="C93EC74C"/>
    <w:lvl w:ilvl="0" w:tplc="239690CE">
      <w:numFmt w:val="bullet"/>
      <w:lvlText w:val="-"/>
      <w:lvlJc w:val="left"/>
      <w:pPr>
        <w:ind w:left="420" w:hanging="360"/>
      </w:pPr>
      <w:rPr>
        <w:rFonts w:ascii="Times New Roman" w:eastAsia="Calibr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11"/>
  </w:num>
  <w:num w:numId="2">
    <w:abstractNumId w:val="20"/>
  </w:num>
  <w:num w:numId="3">
    <w:abstractNumId w:val="25"/>
  </w:num>
  <w:num w:numId="4">
    <w:abstractNumId w:val="5"/>
  </w:num>
  <w:num w:numId="5">
    <w:abstractNumId w:val="27"/>
  </w:num>
  <w:num w:numId="6">
    <w:abstractNumId w:val="7"/>
  </w:num>
  <w:num w:numId="7">
    <w:abstractNumId w:val="28"/>
  </w:num>
  <w:num w:numId="8">
    <w:abstractNumId w:val="19"/>
  </w:num>
  <w:num w:numId="9">
    <w:abstractNumId w:val="24"/>
  </w:num>
  <w:num w:numId="10">
    <w:abstractNumId w:val="17"/>
  </w:num>
  <w:num w:numId="11">
    <w:abstractNumId w:val="22"/>
  </w:num>
  <w:num w:numId="12">
    <w:abstractNumId w:val="6"/>
  </w:num>
  <w:num w:numId="13">
    <w:abstractNumId w:val="14"/>
  </w:num>
  <w:num w:numId="14">
    <w:abstractNumId w:val="8"/>
  </w:num>
  <w:num w:numId="15">
    <w:abstractNumId w:val="29"/>
  </w:num>
  <w:num w:numId="16">
    <w:abstractNumId w:val="18"/>
  </w:num>
  <w:num w:numId="17">
    <w:abstractNumId w:val="16"/>
  </w:num>
  <w:num w:numId="18">
    <w:abstractNumId w:val="23"/>
  </w:num>
  <w:num w:numId="19">
    <w:abstractNumId w:val="15"/>
  </w:num>
  <w:num w:numId="20">
    <w:abstractNumId w:val="10"/>
  </w:num>
  <w:num w:numId="21">
    <w:abstractNumId w:val="12"/>
  </w:num>
  <w:num w:numId="22">
    <w:abstractNumId w:val="13"/>
  </w:num>
  <w:num w:numId="23">
    <w:abstractNumId w:val="9"/>
  </w:num>
  <w:num w:numId="24">
    <w:abstractNumId w:val="1"/>
  </w:num>
  <w:num w:numId="25">
    <w:abstractNumId w:val="21"/>
  </w:num>
  <w:num w:numId="26">
    <w:abstractNumId w:val="2"/>
  </w:num>
  <w:num w:numId="27">
    <w:abstractNumId w:val="0"/>
  </w:num>
  <w:num w:numId="28">
    <w:abstractNumId w:val="4"/>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psss2xrlaspfxevxejx00p8ae90dfadxdv9&quot;&gt;My EndNote Library&lt;record-ids&gt;&lt;item&gt;47&lt;/item&gt;&lt;item&gt;51&lt;/item&gt;&lt;item&gt;52&lt;/item&gt;&lt;item&gt;55&lt;/item&gt;&lt;/record-ids&gt;&lt;/item&gt;&lt;/Libraries&gt;"/>
  </w:docVars>
  <w:rsids>
    <w:rsidRoot w:val="005B06A8"/>
    <w:rsid w:val="00000BD4"/>
    <w:rsid w:val="0001235D"/>
    <w:rsid w:val="00015900"/>
    <w:rsid w:val="00022D66"/>
    <w:rsid w:val="00024488"/>
    <w:rsid w:val="00025D90"/>
    <w:rsid w:val="0003131F"/>
    <w:rsid w:val="00033BD7"/>
    <w:rsid w:val="00044634"/>
    <w:rsid w:val="00053CED"/>
    <w:rsid w:val="00054045"/>
    <w:rsid w:val="00054FA1"/>
    <w:rsid w:val="000617ED"/>
    <w:rsid w:val="00062173"/>
    <w:rsid w:val="00062B91"/>
    <w:rsid w:val="000644A0"/>
    <w:rsid w:val="00065A48"/>
    <w:rsid w:val="00066DE9"/>
    <w:rsid w:val="00074FDA"/>
    <w:rsid w:val="00075B25"/>
    <w:rsid w:val="0008656B"/>
    <w:rsid w:val="000917B8"/>
    <w:rsid w:val="000A0FE6"/>
    <w:rsid w:val="000B2743"/>
    <w:rsid w:val="000C16B1"/>
    <w:rsid w:val="000C16C5"/>
    <w:rsid w:val="000E133F"/>
    <w:rsid w:val="000E25BD"/>
    <w:rsid w:val="000E4C2D"/>
    <w:rsid w:val="000E73C8"/>
    <w:rsid w:val="00111318"/>
    <w:rsid w:val="001123E9"/>
    <w:rsid w:val="00116B86"/>
    <w:rsid w:val="001206F1"/>
    <w:rsid w:val="001220AC"/>
    <w:rsid w:val="001309EE"/>
    <w:rsid w:val="00140716"/>
    <w:rsid w:val="00141310"/>
    <w:rsid w:val="00144BA2"/>
    <w:rsid w:val="001511B2"/>
    <w:rsid w:val="001567A5"/>
    <w:rsid w:val="00163C07"/>
    <w:rsid w:val="00165E6D"/>
    <w:rsid w:val="00170D44"/>
    <w:rsid w:val="0017226D"/>
    <w:rsid w:val="00175686"/>
    <w:rsid w:val="001776F8"/>
    <w:rsid w:val="001818AE"/>
    <w:rsid w:val="00183150"/>
    <w:rsid w:val="00192564"/>
    <w:rsid w:val="001949F2"/>
    <w:rsid w:val="00194CF1"/>
    <w:rsid w:val="001A021A"/>
    <w:rsid w:val="001A19DA"/>
    <w:rsid w:val="001A6CD6"/>
    <w:rsid w:val="001C3715"/>
    <w:rsid w:val="001C414C"/>
    <w:rsid w:val="001E0029"/>
    <w:rsid w:val="001E0149"/>
    <w:rsid w:val="001F100B"/>
    <w:rsid w:val="001F2BA5"/>
    <w:rsid w:val="001F5769"/>
    <w:rsid w:val="00213038"/>
    <w:rsid w:val="002213CC"/>
    <w:rsid w:val="002215EF"/>
    <w:rsid w:val="0022202F"/>
    <w:rsid w:val="00222199"/>
    <w:rsid w:val="0022571D"/>
    <w:rsid w:val="00231075"/>
    <w:rsid w:val="002319AE"/>
    <w:rsid w:val="00236DEF"/>
    <w:rsid w:val="00243B9E"/>
    <w:rsid w:val="002561E8"/>
    <w:rsid w:val="0026123F"/>
    <w:rsid w:val="00261B5A"/>
    <w:rsid w:val="0026573E"/>
    <w:rsid w:val="002664B0"/>
    <w:rsid w:val="00267789"/>
    <w:rsid w:val="00273EA4"/>
    <w:rsid w:val="00275747"/>
    <w:rsid w:val="00282862"/>
    <w:rsid w:val="00283B0F"/>
    <w:rsid w:val="002843D9"/>
    <w:rsid w:val="00286931"/>
    <w:rsid w:val="00290B5D"/>
    <w:rsid w:val="002A008C"/>
    <w:rsid w:val="002A1C39"/>
    <w:rsid w:val="002A2048"/>
    <w:rsid w:val="002A36C3"/>
    <w:rsid w:val="002B09C1"/>
    <w:rsid w:val="002C300F"/>
    <w:rsid w:val="002C3811"/>
    <w:rsid w:val="002C6821"/>
    <w:rsid w:val="002C77B4"/>
    <w:rsid w:val="002D0BC2"/>
    <w:rsid w:val="002D2FE3"/>
    <w:rsid w:val="002D4775"/>
    <w:rsid w:val="002D71D9"/>
    <w:rsid w:val="002E798B"/>
    <w:rsid w:val="002E7B39"/>
    <w:rsid w:val="0030365E"/>
    <w:rsid w:val="00313036"/>
    <w:rsid w:val="003149E0"/>
    <w:rsid w:val="00323F6E"/>
    <w:rsid w:val="0032786E"/>
    <w:rsid w:val="003405A4"/>
    <w:rsid w:val="00344F6C"/>
    <w:rsid w:val="0035013A"/>
    <w:rsid w:val="00352267"/>
    <w:rsid w:val="00354A11"/>
    <w:rsid w:val="00356394"/>
    <w:rsid w:val="003570FF"/>
    <w:rsid w:val="003579E2"/>
    <w:rsid w:val="00361212"/>
    <w:rsid w:val="00365E8F"/>
    <w:rsid w:val="00367E24"/>
    <w:rsid w:val="00373CF8"/>
    <w:rsid w:val="00376F3E"/>
    <w:rsid w:val="003815AB"/>
    <w:rsid w:val="00395623"/>
    <w:rsid w:val="003A0190"/>
    <w:rsid w:val="003A1997"/>
    <w:rsid w:val="003A4414"/>
    <w:rsid w:val="003B08DE"/>
    <w:rsid w:val="003B1E91"/>
    <w:rsid w:val="003B5850"/>
    <w:rsid w:val="003B5FCE"/>
    <w:rsid w:val="003C0245"/>
    <w:rsid w:val="003C13D5"/>
    <w:rsid w:val="003C2217"/>
    <w:rsid w:val="003D2B6F"/>
    <w:rsid w:val="003D40A2"/>
    <w:rsid w:val="003E0796"/>
    <w:rsid w:val="003E44D7"/>
    <w:rsid w:val="003F5EF7"/>
    <w:rsid w:val="0040025B"/>
    <w:rsid w:val="00400EFE"/>
    <w:rsid w:val="0040335B"/>
    <w:rsid w:val="00405A90"/>
    <w:rsid w:val="00407421"/>
    <w:rsid w:val="0041402E"/>
    <w:rsid w:val="00416A4B"/>
    <w:rsid w:val="00421597"/>
    <w:rsid w:val="00422A2D"/>
    <w:rsid w:val="0042324D"/>
    <w:rsid w:val="004248E5"/>
    <w:rsid w:val="0042789E"/>
    <w:rsid w:val="00453A15"/>
    <w:rsid w:val="004619A5"/>
    <w:rsid w:val="004654E7"/>
    <w:rsid w:val="004719C3"/>
    <w:rsid w:val="00472899"/>
    <w:rsid w:val="00485117"/>
    <w:rsid w:val="00490670"/>
    <w:rsid w:val="004B2F3F"/>
    <w:rsid w:val="004B52D7"/>
    <w:rsid w:val="004C102D"/>
    <w:rsid w:val="004C3A94"/>
    <w:rsid w:val="004D3BC1"/>
    <w:rsid w:val="004D60A2"/>
    <w:rsid w:val="004D717A"/>
    <w:rsid w:val="004D7C75"/>
    <w:rsid w:val="004E23F5"/>
    <w:rsid w:val="004F1FAD"/>
    <w:rsid w:val="004F4EC5"/>
    <w:rsid w:val="004F519F"/>
    <w:rsid w:val="00503AE0"/>
    <w:rsid w:val="005055D3"/>
    <w:rsid w:val="005215D1"/>
    <w:rsid w:val="005227D0"/>
    <w:rsid w:val="00522AFF"/>
    <w:rsid w:val="00522CE5"/>
    <w:rsid w:val="0053011F"/>
    <w:rsid w:val="005378DE"/>
    <w:rsid w:val="005379EF"/>
    <w:rsid w:val="00546776"/>
    <w:rsid w:val="00547A9A"/>
    <w:rsid w:val="0055266F"/>
    <w:rsid w:val="0057466A"/>
    <w:rsid w:val="00584774"/>
    <w:rsid w:val="00586E82"/>
    <w:rsid w:val="005875B2"/>
    <w:rsid w:val="005A3FE5"/>
    <w:rsid w:val="005A478F"/>
    <w:rsid w:val="005A54EB"/>
    <w:rsid w:val="005B06A8"/>
    <w:rsid w:val="005B491C"/>
    <w:rsid w:val="005B6BB8"/>
    <w:rsid w:val="005B72A4"/>
    <w:rsid w:val="005B7B50"/>
    <w:rsid w:val="005C0C79"/>
    <w:rsid w:val="005C0D3B"/>
    <w:rsid w:val="005C1087"/>
    <w:rsid w:val="005D04B6"/>
    <w:rsid w:val="005D3966"/>
    <w:rsid w:val="005F11C8"/>
    <w:rsid w:val="005F267A"/>
    <w:rsid w:val="00603202"/>
    <w:rsid w:val="00606733"/>
    <w:rsid w:val="006212CF"/>
    <w:rsid w:val="00622B90"/>
    <w:rsid w:val="006235AD"/>
    <w:rsid w:val="00627140"/>
    <w:rsid w:val="00635B83"/>
    <w:rsid w:val="006430EC"/>
    <w:rsid w:val="00644BFA"/>
    <w:rsid w:val="006450F1"/>
    <w:rsid w:val="00647AE3"/>
    <w:rsid w:val="006508E3"/>
    <w:rsid w:val="006614FF"/>
    <w:rsid w:val="00671693"/>
    <w:rsid w:val="006869DC"/>
    <w:rsid w:val="006A3AB4"/>
    <w:rsid w:val="006A5A31"/>
    <w:rsid w:val="006B2117"/>
    <w:rsid w:val="006B2F19"/>
    <w:rsid w:val="006B3373"/>
    <w:rsid w:val="006B38C6"/>
    <w:rsid w:val="006B5C70"/>
    <w:rsid w:val="006D3CFA"/>
    <w:rsid w:val="006E1EF7"/>
    <w:rsid w:val="006E3F84"/>
    <w:rsid w:val="006E5815"/>
    <w:rsid w:val="006F04EB"/>
    <w:rsid w:val="007030DF"/>
    <w:rsid w:val="00703BA6"/>
    <w:rsid w:val="00703FA2"/>
    <w:rsid w:val="00721360"/>
    <w:rsid w:val="0072429F"/>
    <w:rsid w:val="007251DD"/>
    <w:rsid w:val="007625EF"/>
    <w:rsid w:val="007627E2"/>
    <w:rsid w:val="0076504E"/>
    <w:rsid w:val="007665CE"/>
    <w:rsid w:val="0076664E"/>
    <w:rsid w:val="0077604A"/>
    <w:rsid w:val="0077760F"/>
    <w:rsid w:val="00783240"/>
    <w:rsid w:val="00792F7B"/>
    <w:rsid w:val="00794A48"/>
    <w:rsid w:val="00795134"/>
    <w:rsid w:val="007956A1"/>
    <w:rsid w:val="00796419"/>
    <w:rsid w:val="007A6D80"/>
    <w:rsid w:val="007B24D0"/>
    <w:rsid w:val="007B41A8"/>
    <w:rsid w:val="007C13D8"/>
    <w:rsid w:val="007C3081"/>
    <w:rsid w:val="007C3CB0"/>
    <w:rsid w:val="007C6F9A"/>
    <w:rsid w:val="007D1021"/>
    <w:rsid w:val="007D2D03"/>
    <w:rsid w:val="007D5CDC"/>
    <w:rsid w:val="007D6D6C"/>
    <w:rsid w:val="007E247E"/>
    <w:rsid w:val="007E7626"/>
    <w:rsid w:val="007F190F"/>
    <w:rsid w:val="007F5102"/>
    <w:rsid w:val="007F5A13"/>
    <w:rsid w:val="007F5F03"/>
    <w:rsid w:val="00801699"/>
    <w:rsid w:val="00802040"/>
    <w:rsid w:val="008038CB"/>
    <w:rsid w:val="0080414B"/>
    <w:rsid w:val="00811246"/>
    <w:rsid w:val="008210C0"/>
    <w:rsid w:val="00827038"/>
    <w:rsid w:val="008275ED"/>
    <w:rsid w:val="00830497"/>
    <w:rsid w:val="008341D0"/>
    <w:rsid w:val="008445A1"/>
    <w:rsid w:val="00853575"/>
    <w:rsid w:val="008538E7"/>
    <w:rsid w:val="00854B55"/>
    <w:rsid w:val="008562F2"/>
    <w:rsid w:val="008652BB"/>
    <w:rsid w:val="00872943"/>
    <w:rsid w:val="00877731"/>
    <w:rsid w:val="00886140"/>
    <w:rsid w:val="00890F6D"/>
    <w:rsid w:val="008A3954"/>
    <w:rsid w:val="008A5EBE"/>
    <w:rsid w:val="008B0383"/>
    <w:rsid w:val="008C5405"/>
    <w:rsid w:val="008D1A90"/>
    <w:rsid w:val="008D67BD"/>
    <w:rsid w:val="008F06F8"/>
    <w:rsid w:val="008F34DA"/>
    <w:rsid w:val="00905A81"/>
    <w:rsid w:val="00920153"/>
    <w:rsid w:val="00920604"/>
    <w:rsid w:val="00930067"/>
    <w:rsid w:val="00933310"/>
    <w:rsid w:val="009401C8"/>
    <w:rsid w:val="0094344D"/>
    <w:rsid w:val="00947D3F"/>
    <w:rsid w:val="00956032"/>
    <w:rsid w:val="00956BF3"/>
    <w:rsid w:val="009572E0"/>
    <w:rsid w:val="00967740"/>
    <w:rsid w:val="00967FF1"/>
    <w:rsid w:val="00976DF8"/>
    <w:rsid w:val="00977438"/>
    <w:rsid w:val="00977623"/>
    <w:rsid w:val="009826BE"/>
    <w:rsid w:val="0099370D"/>
    <w:rsid w:val="0099433A"/>
    <w:rsid w:val="009A1F45"/>
    <w:rsid w:val="009A6734"/>
    <w:rsid w:val="009B2542"/>
    <w:rsid w:val="009C3E40"/>
    <w:rsid w:val="009C49B2"/>
    <w:rsid w:val="009D7697"/>
    <w:rsid w:val="009E0102"/>
    <w:rsid w:val="009E626E"/>
    <w:rsid w:val="009E692D"/>
    <w:rsid w:val="009F18B1"/>
    <w:rsid w:val="009F49A3"/>
    <w:rsid w:val="009F4FAA"/>
    <w:rsid w:val="00A01FDC"/>
    <w:rsid w:val="00A035C4"/>
    <w:rsid w:val="00A155C7"/>
    <w:rsid w:val="00A2535C"/>
    <w:rsid w:val="00A30298"/>
    <w:rsid w:val="00A36EB2"/>
    <w:rsid w:val="00A407F2"/>
    <w:rsid w:val="00A41833"/>
    <w:rsid w:val="00A4207E"/>
    <w:rsid w:val="00A473A9"/>
    <w:rsid w:val="00A5342A"/>
    <w:rsid w:val="00A604C5"/>
    <w:rsid w:val="00A672EA"/>
    <w:rsid w:val="00A72661"/>
    <w:rsid w:val="00A80038"/>
    <w:rsid w:val="00A90A81"/>
    <w:rsid w:val="00A91BEE"/>
    <w:rsid w:val="00AA1058"/>
    <w:rsid w:val="00AA4BB2"/>
    <w:rsid w:val="00AB0481"/>
    <w:rsid w:val="00AB28CE"/>
    <w:rsid w:val="00AB5312"/>
    <w:rsid w:val="00AB7DC9"/>
    <w:rsid w:val="00AC2C44"/>
    <w:rsid w:val="00AE00A7"/>
    <w:rsid w:val="00AE69B5"/>
    <w:rsid w:val="00AF2CC5"/>
    <w:rsid w:val="00B07251"/>
    <w:rsid w:val="00B13E22"/>
    <w:rsid w:val="00B24B17"/>
    <w:rsid w:val="00B311BE"/>
    <w:rsid w:val="00B36CA4"/>
    <w:rsid w:val="00B40B65"/>
    <w:rsid w:val="00B4201D"/>
    <w:rsid w:val="00B42742"/>
    <w:rsid w:val="00B4797C"/>
    <w:rsid w:val="00B530FE"/>
    <w:rsid w:val="00B5777B"/>
    <w:rsid w:val="00B60571"/>
    <w:rsid w:val="00B7421D"/>
    <w:rsid w:val="00B753E6"/>
    <w:rsid w:val="00B805F0"/>
    <w:rsid w:val="00B81771"/>
    <w:rsid w:val="00B82CEE"/>
    <w:rsid w:val="00B9039A"/>
    <w:rsid w:val="00B924A6"/>
    <w:rsid w:val="00B94A11"/>
    <w:rsid w:val="00B95606"/>
    <w:rsid w:val="00BA24F5"/>
    <w:rsid w:val="00BC66E7"/>
    <w:rsid w:val="00BE0C0E"/>
    <w:rsid w:val="00BE0F97"/>
    <w:rsid w:val="00BE36AC"/>
    <w:rsid w:val="00BE5506"/>
    <w:rsid w:val="00BE57F6"/>
    <w:rsid w:val="00BF042A"/>
    <w:rsid w:val="00BF1F07"/>
    <w:rsid w:val="00BF26DD"/>
    <w:rsid w:val="00BF4FA7"/>
    <w:rsid w:val="00BF5B9B"/>
    <w:rsid w:val="00BF7296"/>
    <w:rsid w:val="00C12127"/>
    <w:rsid w:val="00C12390"/>
    <w:rsid w:val="00C175CF"/>
    <w:rsid w:val="00C26FCF"/>
    <w:rsid w:val="00C2731C"/>
    <w:rsid w:val="00C33C5B"/>
    <w:rsid w:val="00C3600B"/>
    <w:rsid w:val="00C45FF4"/>
    <w:rsid w:val="00C63AE0"/>
    <w:rsid w:val="00C67515"/>
    <w:rsid w:val="00C75BCD"/>
    <w:rsid w:val="00C76CA5"/>
    <w:rsid w:val="00C81353"/>
    <w:rsid w:val="00C871BC"/>
    <w:rsid w:val="00C92B60"/>
    <w:rsid w:val="00CA4CE3"/>
    <w:rsid w:val="00CA5C02"/>
    <w:rsid w:val="00CB27A0"/>
    <w:rsid w:val="00CB3D45"/>
    <w:rsid w:val="00CC06E7"/>
    <w:rsid w:val="00CC1F62"/>
    <w:rsid w:val="00CD44E9"/>
    <w:rsid w:val="00CD77A7"/>
    <w:rsid w:val="00CE1B9C"/>
    <w:rsid w:val="00CE1DC2"/>
    <w:rsid w:val="00CF2186"/>
    <w:rsid w:val="00CF223C"/>
    <w:rsid w:val="00CF2D26"/>
    <w:rsid w:val="00CF6373"/>
    <w:rsid w:val="00CF7A61"/>
    <w:rsid w:val="00D0436E"/>
    <w:rsid w:val="00D057A7"/>
    <w:rsid w:val="00D1086E"/>
    <w:rsid w:val="00D20264"/>
    <w:rsid w:val="00D24F9A"/>
    <w:rsid w:val="00D26A1E"/>
    <w:rsid w:val="00D36246"/>
    <w:rsid w:val="00D36590"/>
    <w:rsid w:val="00D4120D"/>
    <w:rsid w:val="00D4771F"/>
    <w:rsid w:val="00D561D4"/>
    <w:rsid w:val="00D67B4F"/>
    <w:rsid w:val="00D72171"/>
    <w:rsid w:val="00D752E0"/>
    <w:rsid w:val="00D76385"/>
    <w:rsid w:val="00D76FF5"/>
    <w:rsid w:val="00D93727"/>
    <w:rsid w:val="00D94E94"/>
    <w:rsid w:val="00D95E57"/>
    <w:rsid w:val="00DA04FC"/>
    <w:rsid w:val="00DA0C60"/>
    <w:rsid w:val="00DA22E6"/>
    <w:rsid w:val="00DA2830"/>
    <w:rsid w:val="00DB0804"/>
    <w:rsid w:val="00DB1E8D"/>
    <w:rsid w:val="00DB7F8E"/>
    <w:rsid w:val="00DC0419"/>
    <w:rsid w:val="00DC13DB"/>
    <w:rsid w:val="00DC3920"/>
    <w:rsid w:val="00DC75C5"/>
    <w:rsid w:val="00DD1A8E"/>
    <w:rsid w:val="00DD5CF2"/>
    <w:rsid w:val="00DD68A2"/>
    <w:rsid w:val="00DD7446"/>
    <w:rsid w:val="00DD7D08"/>
    <w:rsid w:val="00DF0A40"/>
    <w:rsid w:val="00DF40AF"/>
    <w:rsid w:val="00E0027F"/>
    <w:rsid w:val="00E009E1"/>
    <w:rsid w:val="00E0281D"/>
    <w:rsid w:val="00E1565C"/>
    <w:rsid w:val="00E15BDA"/>
    <w:rsid w:val="00E20697"/>
    <w:rsid w:val="00E25354"/>
    <w:rsid w:val="00E30A62"/>
    <w:rsid w:val="00E31D5A"/>
    <w:rsid w:val="00E35DBF"/>
    <w:rsid w:val="00E36B8E"/>
    <w:rsid w:val="00E37122"/>
    <w:rsid w:val="00E40D0C"/>
    <w:rsid w:val="00E434E9"/>
    <w:rsid w:val="00E54D9E"/>
    <w:rsid w:val="00E55A39"/>
    <w:rsid w:val="00E70104"/>
    <w:rsid w:val="00E77046"/>
    <w:rsid w:val="00E77870"/>
    <w:rsid w:val="00E8019C"/>
    <w:rsid w:val="00E94201"/>
    <w:rsid w:val="00EA0568"/>
    <w:rsid w:val="00EA3D7E"/>
    <w:rsid w:val="00EB2099"/>
    <w:rsid w:val="00EC7D47"/>
    <w:rsid w:val="00EE1E19"/>
    <w:rsid w:val="00EE5FF7"/>
    <w:rsid w:val="00EF1956"/>
    <w:rsid w:val="00EF4905"/>
    <w:rsid w:val="00EF573B"/>
    <w:rsid w:val="00F0442D"/>
    <w:rsid w:val="00F07103"/>
    <w:rsid w:val="00F1227E"/>
    <w:rsid w:val="00F14148"/>
    <w:rsid w:val="00F16F11"/>
    <w:rsid w:val="00F17C67"/>
    <w:rsid w:val="00F26291"/>
    <w:rsid w:val="00F3014F"/>
    <w:rsid w:val="00F36AA3"/>
    <w:rsid w:val="00F37811"/>
    <w:rsid w:val="00F414BB"/>
    <w:rsid w:val="00F56DED"/>
    <w:rsid w:val="00F621A8"/>
    <w:rsid w:val="00F633AF"/>
    <w:rsid w:val="00F66A15"/>
    <w:rsid w:val="00F7327F"/>
    <w:rsid w:val="00FB1DCD"/>
    <w:rsid w:val="00FB3211"/>
    <w:rsid w:val="00FB541E"/>
    <w:rsid w:val="00FB5895"/>
    <w:rsid w:val="00FB5D81"/>
    <w:rsid w:val="00FB62C3"/>
    <w:rsid w:val="00FC06FC"/>
    <w:rsid w:val="00FD6788"/>
    <w:rsid w:val="00FD771B"/>
    <w:rsid w:val="00FE0EDC"/>
    <w:rsid w:val="00FE3285"/>
    <w:rsid w:val="00FE4EC7"/>
    <w:rsid w:val="00FE7CB1"/>
    <w:rsid w:val="00FF0B28"/>
    <w:rsid w:val="00FF1784"/>
    <w:rsid w:val="00FF2AE7"/>
    <w:rsid w:val="00FF66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CF945"/>
  <w15:docId w15:val="{0BF18E9E-749E-415F-9EE8-9A2F1D43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73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573E"/>
    <w:rPr>
      <w:color w:val="0000FF"/>
      <w:u w:val="single"/>
    </w:rPr>
  </w:style>
  <w:style w:type="paragraph" w:styleId="ListParagraph">
    <w:name w:val="List Paragraph"/>
    <w:basedOn w:val="Normal"/>
    <w:uiPriority w:val="34"/>
    <w:qFormat/>
    <w:rsid w:val="003815AB"/>
    <w:pPr>
      <w:ind w:left="720"/>
      <w:contextualSpacing/>
    </w:pPr>
  </w:style>
  <w:style w:type="paragraph" w:customStyle="1" w:styleId="EndNoteBibliographyTitle">
    <w:name w:val="EndNote Bibliography Title"/>
    <w:basedOn w:val="Normal"/>
    <w:link w:val="EndNoteBibliographyTitleChar"/>
    <w:rsid w:val="00E54D9E"/>
    <w:pPr>
      <w:jc w:val="center"/>
    </w:pPr>
    <w:rPr>
      <w:noProof/>
      <w:lang w:val="en-US"/>
    </w:rPr>
  </w:style>
  <w:style w:type="character" w:customStyle="1" w:styleId="EndNoteBibliographyTitleChar">
    <w:name w:val="EndNote Bibliography Title Char"/>
    <w:basedOn w:val="DefaultParagraphFont"/>
    <w:link w:val="EndNoteBibliographyTitle"/>
    <w:rsid w:val="00E54D9E"/>
    <w:rPr>
      <w:rFonts w:ascii="Calibri" w:eastAsia="Calibri" w:hAnsi="Calibri" w:cs="Times New Roman"/>
      <w:noProof/>
      <w:lang w:val="en-US"/>
    </w:rPr>
  </w:style>
  <w:style w:type="paragraph" w:customStyle="1" w:styleId="EndNoteBibliography">
    <w:name w:val="EndNote Bibliography"/>
    <w:basedOn w:val="Normal"/>
    <w:link w:val="EndNoteBibliographyChar"/>
    <w:rsid w:val="00E54D9E"/>
    <w:rPr>
      <w:noProof/>
      <w:lang w:val="en-US"/>
    </w:rPr>
  </w:style>
  <w:style w:type="character" w:customStyle="1" w:styleId="EndNoteBibliographyChar">
    <w:name w:val="EndNote Bibliography Char"/>
    <w:basedOn w:val="DefaultParagraphFont"/>
    <w:link w:val="EndNoteBibliography"/>
    <w:rsid w:val="00E54D9E"/>
    <w:rPr>
      <w:rFonts w:ascii="Calibri" w:eastAsia="Calibri" w:hAnsi="Calibri" w:cs="Times New Roman"/>
      <w:noProof/>
      <w:lang w:val="en-US"/>
    </w:rPr>
  </w:style>
  <w:style w:type="paragraph" w:styleId="BalloonText">
    <w:name w:val="Balloon Text"/>
    <w:basedOn w:val="Normal"/>
    <w:link w:val="BalloonTextChar"/>
    <w:uiPriority w:val="99"/>
    <w:semiHidden/>
    <w:unhideWhenUsed/>
    <w:rsid w:val="00323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F6E"/>
    <w:rPr>
      <w:rFonts w:ascii="Segoe UI" w:eastAsia="Calibri" w:hAnsi="Segoe UI" w:cs="Segoe UI"/>
      <w:sz w:val="18"/>
      <w:szCs w:val="18"/>
    </w:rPr>
  </w:style>
  <w:style w:type="table" w:styleId="TableGrid">
    <w:name w:val="Table Grid"/>
    <w:basedOn w:val="TableNormal"/>
    <w:uiPriority w:val="39"/>
    <w:rsid w:val="00DD7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784"/>
    <w:pPr>
      <w:tabs>
        <w:tab w:val="center" w:pos="4513"/>
        <w:tab w:val="right" w:pos="9026"/>
      </w:tabs>
    </w:pPr>
  </w:style>
  <w:style w:type="character" w:customStyle="1" w:styleId="HeaderChar">
    <w:name w:val="Header Char"/>
    <w:basedOn w:val="DefaultParagraphFont"/>
    <w:link w:val="Header"/>
    <w:uiPriority w:val="99"/>
    <w:rsid w:val="00FF1784"/>
    <w:rPr>
      <w:rFonts w:ascii="Calibri" w:eastAsia="Calibri" w:hAnsi="Calibri" w:cs="Times New Roman"/>
    </w:rPr>
  </w:style>
  <w:style w:type="paragraph" w:styleId="Footer">
    <w:name w:val="footer"/>
    <w:basedOn w:val="Normal"/>
    <w:link w:val="FooterChar"/>
    <w:uiPriority w:val="99"/>
    <w:unhideWhenUsed/>
    <w:rsid w:val="00FF1784"/>
    <w:pPr>
      <w:tabs>
        <w:tab w:val="center" w:pos="4513"/>
        <w:tab w:val="right" w:pos="9026"/>
      </w:tabs>
    </w:pPr>
  </w:style>
  <w:style w:type="character" w:customStyle="1" w:styleId="FooterChar">
    <w:name w:val="Footer Char"/>
    <w:basedOn w:val="DefaultParagraphFont"/>
    <w:link w:val="Footer"/>
    <w:uiPriority w:val="99"/>
    <w:rsid w:val="00FF1784"/>
    <w:rPr>
      <w:rFonts w:ascii="Calibri" w:eastAsia="Calibri" w:hAnsi="Calibri" w:cs="Times New Roman"/>
    </w:rPr>
  </w:style>
  <w:style w:type="paragraph" w:customStyle="1" w:styleId="f-body--xs">
    <w:name w:val="f-body--xs"/>
    <w:basedOn w:val="Normal"/>
    <w:rsid w:val="00A604C5"/>
    <w:pPr>
      <w:spacing w:before="100" w:beforeAutospacing="1" w:after="100" w:afterAutospacing="1"/>
    </w:pPr>
    <w:rPr>
      <w:rFonts w:ascii="Times New Roman" w:eastAsiaTheme="minorHAnsi" w:hAnsi="Times New Roman"/>
      <w:sz w:val="20"/>
      <w:szCs w:val="20"/>
    </w:rPr>
  </w:style>
  <w:style w:type="character" w:styleId="Strong">
    <w:name w:val="Strong"/>
    <w:basedOn w:val="DefaultParagraphFont"/>
    <w:uiPriority w:val="22"/>
    <w:qFormat/>
    <w:rsid w:val="00A604C5"/>
    <w:rPr>
      <w:b/>
      <w:bCs/>
    </w:rPr>
  </w:style>
  <w:style w:type="character" w:customStyle="1" w:styleId="citationsource-journal">
    <w:name w:val="citation_source-journal"/>
    <w:basedOn w:val="DefaultParagraphFont"/>
    <w:rsid w:val="00A604C5"/>
  </w:style>
  <w:style w:type="character" w:customStyle="1" w:styleId="nlmyear">
    <w:name w:val="nlm_year"/>
    <w:basedOn w:val="DefaultParagraphFont"/>
    <w:rsid w:val="00A604C5"/>
  </w:style>
  <w:style w:type="character" w:customStyle="1" w:styleId="nlmfpage">
    <w:name w:val="nlm_fpage"/>
    <w:basedOn w:val="DefaultParagraphFont"/>
    <w:rsid w:val="00A604C5"/>
  </w:style>
  <w:style w:type="character" w:customStyle="1" w:styleId="nlmlpage">
    <w:name w:val="nlm_lpage"/>
    <w:basedOn w:val="DefaultParagraphFont"/>
    <w:rsid w:val="00A604C5"/>
  </w:style>
  <w:style w:type="character" w:customStyle="1" w:styleId="jrnl">
    <w:name w:val="jrnl"/>
    <w:basedOn w:val="DefaultParagraphFont"/>
    <w:rsid w:val="00283B0F"/>
  </w:style>
  <w:style w:type="character" w:styleId="CommentReference">
    <w:name w:val="annotation reference"/>
    <w:basedOn w:val="DefaultParagraphFont"/>
    <w:uiPriority w:val="99"/>
    <w:semiHidden/>
    <w:unhideWhenUsed/>
    <w:rsid w:val="004C3A94"/>
    <w:rPr>
      <w:sz w:val="16"/>
      <w:szCs w:val="16"/>
    </w:rPr>
  </w:style>
  <w:style w:type="paragraph" w:styleId="CommentText">
    <w:name w:val="annotation text"/>
    <w:basedOn w:val="Normal"/>
    <w:link w:val="CommentTextChar"/>
    <w:uiPriority w:val="99"/>
    <w:semiHidden/>
    <w:unhideWhenUsed/>
    <w:rsid w:val="004C3A94"/>
    <w:rPr>
      <w:sz w:val="20"/>
      <w:szCs w:val="20"/>
    </w:rPr>
  </w:style>
  <w:style w:type="character" w:customStyle="1" w:styleId="CommentTextChar">
    <w:name w:val="Comment Text Char"/>
    <w:basedOn w:val="DefaultParagraphFont"/>
    <w:link w:val="CommentText"/>
    <w:uiPriority w:val="99"/>
    <w:semiHidden/>
    <w:rsid w:val="004C3A9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3A94"/>
    <w:rPr>
      <w:b/>
      <w:bCs/>
    </w:rPr>
  </w:style>
  <w:style w:type="character" w:customStyle="1" w:styleId="CommentSubjectChar">
    <w:name w:val="Comment Subject Char"/>
    <w:basedOn w:val="CommentTextChar"/>
    <w:link w:val="CommentSubject"/>
    <w:uiPriority w:val="99"/>
    <w:semiHidden/>
    <w:rsid w:val="004C3A94"/>
    <w:rPr>
      <w:rFonts w:ascii="Calibri" w:eastAsia="Calibri" w:hAnsi="Calibri" w:cs="Times New Roman"/>
      <w:b/>
      <w:bCs/>
      <w:sz w:val="20"/>
      <w:szCs w:val="20"/>
    </w:rPr>
  </w:style>
  <w:style w:type="paragraph" w:customStyle="1" w:styleId="Pa22">
    <w:name w:val="Pa22"/>
    <w:basedOn w:val="Normal"/>
    <w:next w:val="Normal"/>
    <w:uiPriority w:val="99"/>
    <w:rsid w:val="00C63AE0"/>
    <w:pPr>
      <w:autoSpaceDE w:val="0"/>
      <w:autoSpaceDN w:val="0"/>
      <w:adjustRightInd w:val="0"/>
      <w:spacing w:line="141" w:lineRule="atLeast"/>
    </w:pPr>
    <w:rPr>
      <w:rFonts w:ascii="ScalaLancetPro" w:eastAsiaTheme="minorHAnsi" w:hAnsi="ScalaLancetPro" w:cstheme="minorBidi"/>
      <w:sz w:val="24"/>
      <w:szCs w:val="24"/>
    </w:rPr>
  </w:style>
  <w:style w:type="paragraph" w:styleId="Title">
    <w:name w:val="Title"/>
    <w:aliases w:val="title"/>
    <w:basedOn w:val="Normal"/>
    <w:link w:val="TitleChar"/>
    <w:uiPriority w:val="10"/>
    <w:qFormat/>
    <w:rsid w:val="00354A11"/>
    <w:pPr>
      <w:spacing w:before="100" w:beforeAutospacing="1" w:after="100" w:afterAutospacing="1"/>
    </w:pPr>
    <w:rPr>
      <w:rFonts w:ascii="Times New Roman" w:eastAsiaTheme="minorHAnsi" w:hAnsi="Times New Roman"/>
      <w:sz w:val="20"/>
      <w:szCs w:val="20"/>
    </w:rPr>
  </w:style>
  <w:style w:type="character" w:customStyle="1" w:styleId="TitleChar">
    <w:name w:val="Title Char"/>
    <w:aliases w:val="title Char"/>
    <w:basedOn w:val="DefaultParagraphFont"/>
    <w:link w:val="Title"/>
    <w:uiPriority w:val="10"/>
    <w:rsid w:val="00354A11"/>
    <w:rPr>
      <w:rFonts w:ascii="Times New Roman" w:hAnsi="Times New Roman" w:cs="Times New Roman"/>
      <w:sz w:val="20"/>
      <w:szCs w:val="20"/>
    </w:rPr>
  </w:style>
  <w:style w:type="paragraph" w:customStyle="1" w:styleId="desc">
    <w:name w:val="desc"/>
    <w:basedOn w:val="Normal"/>
    <w:rsid w:val="00354A11"/>
    <w:pPr>
      <w:spacing w:before="100" w:beforeAutospacing="1" w:after="100" w:afterAutospacing="1"/>
    </w:pPr>
    <w:rPr>
      <w:rFonts w:ascii="Times New Roman" w:eastAsiaTheme="minorHAnsi" w:hAnsi="Times New Roman"/>
      <w:sz w:val="20"/>
      <w:szCs w:val="20"/>
    </w:rPr>
  </w:style>
  <w:style w:type="paragraph" w:customStyle="1" w:styleId="details">
    <w:name w:val="details"/>
    <w:basedOn w:val="Normal"/>
    <w:rsid w:val="00354A11"/>
    <w:pPr>
      <w:spacing w:before="100" w:beforeAutospacing="1" w:after="100" w:afterAutospacing="1"/>
    </w:pPr>
    <w:rPr>
      <w:rFonts w:ascii="Times New Roman" w:eastAsiaTheme="minorHAnsi" w:hAnsi="Times New Roman"/>
      <w:sz w:val="20"/>
      <w:szCs w:val="20"/>
    </w:rPr>
  </w:style>
  <w:style w:type="paragraph" w:styleId="Revision">
    <w:name w:val="Revision"/>
    <w:hidden/>
    <w:uiPriority w:val="99"/>
    <w:semiHidden/>
    <w:rsid w:val="00F14148"/>
    <w:pPr>
      <w:spacing w:after="0" w:line="240" w:lineRule="auto"/>
    </w:pPr>
    <w:rPr>
      <w:rFonts w:ascii="Calibri" w:eastAsia="Calibri" w:hAnsi="Calibri" w:cs="Times New Roman"/>
    </w:rPr>
  </w:style>
  <w:style w:type="character" w:styleId="PageNumber">
    <w:name w:val="page number"/>
    <w:basedOn w:val="DefaultParagraphFont"/>
    <w:uiPriority w:val="99"/>
    <w:semiHidden/>
    <w:unhideWhenUsed/>
    <w:rsid w:val="00A80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924">
      <w:bodyDiv w:val="1"/>
      <w:marLeft w:val="0"/>
      <w:marRight w:val="0"/>
      <w:marTop w:val="0"/>
      <w:marBottom w:val="0"/>
      <w:divBdr>
        <w:top w:val="none" w:sz="0" w:space="0" w:color="auto"/>
        <w:left w:val="none" w:sz="0" w:space="0" w:color="auto"/>
        <w:bottom w:val="none" w:sz="0" w:space="0" w:color="auto"/>
        <w:right w:val="none" w:sz="0" w:space="0" w:color="auto"/>
      </w:divBdr>
    </w:div>
    <w:div w:id="64496303">
      <w:bodyDiv w:val="1"/>
      <w:marLeft w:val="0"/>
      <w:marRight w:val="0"/>
      <w:marTop w:val="0"/>
      <w:marBottom w:val="0"/>
      <w:divBdr>
        <w:top w:val="none" w:sz="0" w:space="0" w:color="auto"/>
        <w:left w:val="none" w:sz="0" w:space="0" w:color="auto"/>
        <w:bottom w:val="none" w:sz="0" w:space="0" w:color="auto"/>
        <w:right w:val="none" w:sz="0" w:space="0" w:color="auto"/>
      </w:divBdr>
    </w:div>
    <w:div w:id="269240622">
      <w:bodyDiv w:val="1"/>
      <w:marLeft w:val="0"/>
      <w:marRight w:val="0"/>
      <w:marTop w:val="0"/>
      <w:marBottom w:val="0"/>
      <w:divBdr>
        <w:top w:val="none" w:sz="0" w:space="0" w:color="auto"/>
        <w:left w:val="none" w:sz="0" w:space="0" w:color="auto"/>
        <w:bottom w:val="none" w:sz="0" w:space="0" w:color="auto"/>
        <w:right w:val="none" w:sz="0" w:space="0" w:color="auto"/>
      </w:divBdr>
    </w:div>
    <w:div w:id="434332315">
      <w:bodyDiv w:val="1"/>
      <w:marLeft w:val="0"/>
      <w:marRight w:val="0"/>
      <w:marTop w:val="0"/>
      <w:marBottom w:val="0"/>
      <w:divBdr>
        <w:top w:val="none" w:sz="0" w:space="0" w:color="auto"/>
        <w:left w:val="none" w:sz="0" w:space="0" w:color="auto"/>
        <w:bottom w:val="none" w:sz="0" w:space="0" w:color="auto"/>
        <w:right w:val="none" w:sz="0" w:space="0" w:color="auto"/>
      </w:divBdr>
    </w:div>
    <w:div w:id="519658609">
      <w:bodyDiv w:val="1"/>
      <w:marLeft w:val="0"/>
      <w:marRight w:val="0"/>
      <w:marTop w:val="0"/>
      <w:marBottom w:val="0"/>
      <w:divBdr>
        <w:top w:val="none" w:sz="0" w:space="0" w:color="auto"/>
        <w:left w:val="none" w:sz="0" w:space="0" w:color="auto"/>
        <w:bottom w:val="none" w:sz="0" w:space="0" w:color="auto"/>
        <w:right w:val="none" w:sz="0" w:space="0" w:color="auto"/>
      </w:divBdr>
      <w:divsChild>
        <w:div w:id="308558865">
          <w:marLeft w:val="0"/>
          <w:marRight w:val="0"/>
          <w:marTop w:val="34"/>
          <w:marBottom w:val="34"/>
          <w:divBdr>
            <w:top w:val="none" w:sz="0" w:space="0" w:color="auto"/>
            <w:left w:val="none" w:sz="0" w:space="0" w:color="auto"/>
            <w:bottom w:val="none" w:sz="0" w:space="0" w:color="auto"/>
            <w:right w:val="none" w:sz="0" w:space="0" w:color="auto"/>
          </w:divBdr>
        </w:div>
        <w:div w:id="2085300861">
          <w:marLeft w:val="0"/>
          <w:marRight w:val="0"/>
          <w:marTop w:val="0"/>
          <w:marBottom w:val="0"/>
          <w:divBdr>
            <w:top w:val="none" w:sz="0" w:space="0" w:color="auto"/>
            <w:left w:val="none" w:sz="0" w:space="0" w:color="auto"/>
            <w:bottom w:val="none" w:sz="0" w:space="0" w:color="auto"/>
            <w:right w:val="none" w:sz="0" w:space="0" w:color="auto"/>
          </w:divBdr>
        </w:div>
      </w:divsChild>
    </w:div>
    <w:div w:id="710305904">
      <w:bodyDiv w:val="1"/>
      <w:marLeft w:val="0"/>
      <w:marRight w:val="0"/>
      <w:marTop w:val="0"/>
      <w:marBottom w:val="0"/>
      <w:divBdr>
        <w:top w:val="none" w:sz="0" w:space="0" w:color="auto"/>
        <w:left w:val="none" w:sz="0" w:space="0" w:color="auto"/>
        <w:bottom w:val="none" w:sz="0" w:space="0" w:color="auto"/>
        <w:right w:val="none" w:sz="0" w:space="0" w:color="auto"/>
      </w:divBdr>
    </w:div>
    <w:div w:id="768427587">
      <w:bodyDiv w:val="1"/>
      <w:marLeft w:val="0"/>
      <w:marRight w:val="0"/>
      <w:marTop w:val="0"/>
      <w:marBottom w:val="0"/>
      <w:divBdr>
        <w:top w:val="none" w:sz="0" w:space="0" w:color="auto"/>
        <w:left w:val="none" w:sz="0" w:space="0" w:color="auto"/>
        <w:bottom w:val="none" w:sz="0" w:space="0" w:color="auto"/>
        <w:right w:val="none" w:sz="0" w:space="0" w:color="auto"/>
      </w:divBdr>
    </w:div>
    <w:div w:id="855659222">
      <w:bodyDiv w:val="1"/>
      <w:marLeft w:val="0"/>
      <w:marRight w:val="0"/>
      <w:marTop w:val="0"/>
      <w:marBottom w:val="0"/>
      <w:divBdr>
        <w:top w:val="none" w:sz="0" w:space="0" w:color="auto"/>
        <w:left w:val="none" w:sz="0" w:space="0" w:color="auto"/>
        <w:bottom w:val="none" w:sz="0" w:space="0" w:color="auto"/>
        <w:right w:val="none" w:sz="0" w:space="0" w:color="auto"/>
      </w:divBdr>
    </w:div>
    <w:div w:id="868377032">
      <w:bodyDiv w:val="1"/>
      <w:marLeft w:val="0"/>
      <w:marRight w:val="0"/>
      <w:marTop w:val="0"/>
      <w:marBottom w:val="0"/>
      <w:divBdr>
        <w:top w:val="none" w:sz="0" w:space="0" w:color="auto"/>
        <w:left w:val="none" w:sz="0" w:space="0" w:color="auto"/>
        <w:bottom w:val="none" w:sz="0" w:space="0" w:color="auto"/>
        <w:right w:val="none" w:sz="0" w:space="0" w:color="auto"/>
      </w:divBdr>
    </w:div>
    <w:div w:id="899173582">
      <w:bodyDiv w:val="1"/>
      <w:marLeft w:val="0"/>
      <w:marRight w:val="0"/>
      <w:marTop w:val="0"/>
      <w:marBottom w:val="0"/>
      <w:divBdr>
        <w:top w:val="none" w:sz="0" w:space="0" w:color="auto"/>
        <w:left w:val="none" w:sz="0" w:space="0" w:color="auto"/>
        <w:bottom w:val="none" w:sz="0" w:space="0" w:color="auto"/>
        <w:right w:val="none" w:sz="0" w:space="0" w:color="auto"/>
      </w:divBdr>
    </w:div>
    <w:div w:id="967081072">
      <w:bodyDiv w:val="1"/>
      <w:marLeft w:val="0"/>
      <w:marRight w:val="0"/>
      <w:marTop w:val="0"/>
      <w:marBottom w:val="0"/>
      <w:divBdr>
        <w:top w:val="none" w:sz="0" w:space="0" w:color="auto"/>
        <w:left w:val="none" w:sz="0" w:space="0" w:color="auto"/>
        <w:bottom w:val="none" w:sz="0" w:space="0" w:color="auto"/>
        <w:right w:val="none" w:sz="0" w:space="0" w:color="auto"/>
      </w:divBdr>
    </w:div>
    <w:div w:id="997927337">
      <w:bodyDiv w:val="1"/>
      <w:marLeft w:val="0"/>
      <w:marRight w:val="0"/>
      <w:marTop w:val="0"/>
      <w:marBottom w:val="0"/>
      <w:divBdr>
        <w:top w:val="none" w:sz="0" w:space="0" w:color="auto"/>
        <w:left w:val="none" w:sz="0" w:space="0" w:color="auto"/>
        <w:bottom w:val="none" w:sz="0" w:space="0" w:color="auto"/>
        <w:right w:val="none" w:sz="0" w:space="0" w:color="auto"/>
      </w:divBdr>
    </w:div>
    <w:div w:id="1204945054">
      <w:bodyDiv w:val="1"/>
      <w:marLeft w:val="0"/>
      <w:marRight w:val="0"/>
      <w:marTop w:val="0"/>
      <w:marBottom w:val="0"/>
      <w:divBdr>
        <w:top w:val="none" w:sz="0" w:space="0" w:color="auto"/>
        <w:left w:val="none" w:sz="0" w:space="0" w:color="auto"/>
        <w:bottom w:val="none" w:sz="0" w:space="0" w:color="auto"/>
        <w:right w:val="none" w:sz="0" w:space="0" w:color="auto"/>
      </w:divBdr>
    </w:div>
    <w:div w:id="1403524195">
      <w:bodyDiv w:val="1"/>
      <w:marLeft w:val="0"/>
      <w:marRight w:val="0"/>
      <w:marTop w:val="0"/>
      <w:marBottom w:val="0"/>
      <w:divBdr>
        <w:top w:val="none" w:sz="0" w:space="0" w:color="auto"/>
        <w:left w:val="none" w:sz="0" w:space="0" w:color="auto"/>
        <w:bottom w:val="none" w:sz="0" w:space="0" w:color="auto"/>
        <w:right w:val="none" w:sz="0" w:space="0" w:color="auto"/>
      </w:divBdr>
    </w:div>
    <w:div w:id="1593658602">
      <w:bodyDiv w:val="1"/>
      <w:marLeft w:val="0"/>
      <w:marRight w:val="0"/>
      <w:marTop w:val="0"/>
      <w:marBottom w:val="0"/>
      <w:divBdr>
        <w:top w:val="none" w:sz="0" w:space="0" w:color="auto"/>
        <w:left w:val="none" w:sz="0" w:space="0" w:color="auto"/>
        <w:bottom w:val="none" w:sz="0" w:space="0" w:color="auto"/>
        <w:right w:val="none" w:sz="0" w:space="0" w:color="auto"/>
      </w:divBdr>
    </w:div>
    <w:div w:id="1651984504">
      <w:bodyDiv w:val="1"/>
      <w:marLeft w:val="0"/>
      <w:marRight w:val="0"/>
      <w:marTop w:val="0"/>
      <w:marBottom w:val="0"/>
      <w:divBdr>
        <w:top w:val="none" w:sz="0" w:space="0" w:color="auto"/>
        <w:left w:val="none" w:sz="0" w:space="0" w:color="auto"/>
        <w:bottom w:val="none" w:sz="0" w:space="0" w:color="auto"/>
        <w:right w:val="none" w:sz="0" w:space="0" w:color="auto"/>
      </w:divBdr>
    </w:div>
    <w:div w:id="1662151915">
      <w:bodyDiv w:val="1"/>
      <w:marLeft w:val="0"/>
      <w:marRight w:val="0"/>
      <w:marTop w:val="0"/>
      <w:marBottom w:val="0"/>
      <w:divBdr>
        <w:top w:val="none" w:sz="0" w:space="0" w:color="auto"/>
        <w:left w:val="none" w:sz="0" w:space="0" w:color="auto"/>
        <w:bottom w:val="none" w:sz="0" w:space="0" w:color="auto"/>
        <w:right w:val="none" w:sz="0" w:space="0" w:color="auto"/>
      </w:divBdr>
    </w:div>
    <w:div w:id="1723096352">
      <w:bodyDiv w:val="1"/>
      <w:marLeft w:val="0"/>
      <w:marRight w:val="0"/>
      <w:marTop w:val="0"/>
      <w:marBottom w:val="0"/>
      <w:divBdr>
        <w:top w:val="none" w:sz="0" w:space="0" w:color="auto"/>
        <w:left w:val="none" w:sz="0" w:space="0" w:color="auto"/>
        <w:bottom w:val="none" w:sz="0" w:space="0" w:color="auto"/>
        <w:right w:val="none" w:sz="0" w:space="0" w:color="auto"/>
      </w:divBdr>
      <w:divsChild>
        <w:div w:id="149830818">
          <w:marLeft w:val="0"/>
          <w:marRight w:val="0"/>
          <w:marTop w:val="0"/>
          <w:marBottom w:val="0"/>
          <w:divBdr>
            <w:top w:val="none" w:sz="0" w:space="0" w:color="auto"/>
            <w:left w:val="none" w:sz="0" w:space="0" w:color="auto"/>
            <w:bottom w:val="none" w:sz="0" w:space="0" w:color="auto"/>
            <w:right w:val="none" w:sz="0" w:space="0" w:color="auto"/>
          </w:divBdr>
        </w:div>
        <w:div w:id="966858543">
          <w:marLeft w:val="0"/>
          <w:marRight w:val="0"/>
          <w:marTop w:val="0"/>
          <w:marBottom w:val="0"/>
          <w:divBdr>
            <w:top w:val="none" w:sz="0" w:space="0" w:color="auto"/>
            <w:left w:val="none" w:sz="0" w:space="0" w:color="auto"/>
            <w:bottom w:val="none" w:sz="0" w:space="0" w:color="auto"/>
            <w:right w:val="none" w:sz="0" w:space="0" w:color="auto"/>
          </w:divBdr>
        </w:div>
      </w:divsChild>
    </w:div>
    <w:div w:id="1819422312">
      <w:bodyDiv w:val="1"/>
      <w:marLeft w:val="0"/>
      <w:marRight w:val="0"/>
      <w:marTop w:val="0"/>
      <w:marBottom w:val="0"/>
      <w:divBdr>
        <w:top w:val="none" w:sz="0" w:space="0" w:color="auto"/>
        <w:left w:val="none" w:sz="0" w:space="0" w:color="auto"/>
        <w:bottom w:val="none" w:sz="0" w:space="0" w:color="auto"/>
        <w:right w:val="none" w:sz="0" w:space="0" w:color="auto"/>
      </w:divBdr>
      <w:divsChild>
        <w:div w:id="1753814007">
          <w:marLeft w:val="0"/>
          <w:marRight w:val="0"/>
          <w:marTop w:val="34"/>
          <w:marBottom w:val="34"/>
          <w:divBdr>
            <w:top w:val="none" w:sz="0" w:space="0" w:color="auto"/>
            <w:left w:val="none" w:sz="0" w:space="0" w:color="auto"/>
            <w:bottom w:val="none" w:sz="0" w:space="0" w:color="auto"/>
            <w:right w:val="none" w:sz="0" w:space="0" w:color="auto"/>
          </w:divBdr>
        </w:div>
      </w:divsChild>
    </w:div>
    <w:div w:id="1906603160">
      <w:bodyDiv w:val="1"/>
      <w:marLeft w:val="0"/>
      <w:marRight w:val="0"/>
      <w:marTop w:val="0"/>
      <w:marBottom w:val="0"/>
      <w:divBdr>
        <w:top w:val="none" w:sz="0" w:space="0" w:color="auto"/>
        <w:left w:val="none" w:sz="0" w:space="0" w:color="auto"/>
        <w:bottom w:val="none" w:sz="0" w:space="0" w:color="auto"/>
        <w:right w:val="none" w:sz="0" w:space="0" w:color="auto"/>
      </w:divBdr>
    </w:div>
    <w:div w:id="2002733581">
      <w:bodyDiv w:val="1"/>
      <w:marLeft w:val="0"/>
      <w:marRight w:val="0"/>
      <w:marTop w:val="0"/>
      <w:marBottom w:val="0"/>
      <w:divBdr>
        <w:top w:val="none" w:sz="0" w:space="0" w:color="auto"/>
        <w:left w:val="none" w:sz="0" w:space="0" w:color="auto"/>
        <w:bottom w:val="none" w:sz="0" w:space="0" w:color="auto"/>
        <w:right w:val="none" w:sz="0" w:space="0" w:color="auto"/>
      </w:divBdr>
    </w:div>
    <w:div w:id="213459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aa.eapen@mcri.edu.au" TargetMode="External"/><Relationship Id="rId13" Type="http://schemas.openxmlformats.org/officeDocument/2006/relationships/hyperlink" Target="mailto:amit.kochar@health.sa.gov.au" TargetMode="External"/><Relationship Id="rId18" Type="http://schemas.openxmlformats.org/officeDocument/2006/relationships/hyperlink" Target="mailto:susan.donath@mcri.edu.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franz.babl@rch.org.au" TargetMode="External"/><Relationship Id="rId7" Type="http://schemas.openxmlformats.org/officeDocument/2006/relationships/endnotes" Target="endnotes.xml"/><Relationship Id="rId12" Type="http://schemas.openxmlformats.org/officeDocument/2006/relationships/hyperlink" Target="mailto:atalie.phillips@merton-oxford.com" TargetMode="External"/><Relationship Id="rId17" Type="http://schemas.openxmlformats.org/officeDocument/2006/relationships/hyperlink" Target="mailto:mdlyttle77@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ocelyn.neutze@middlemore.co.nz" TargetMode="External"/><Relationship Id="rId20" Type="http://schemas.openxmlformats.org/officeDocument/2006/relationships/hyperlink" Target="mailto:ed.oakley@rch.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meredith.borland@health.wa.gov.au"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jeremy.furyk@health.qld.gov.au" TargetMode="Externa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hyperlink" Target="mailto:silviabress@gmail.com" TargetMode="External"/><Relationship Id="rId19" Type="http://schemas.openxmlformats.org/officeDocument/2006/relationships/hyperlink" Target="mailto:sdalziel@adhb.govt.nz" TargetMode="External"/><Relationship Id="rId4" Type="http://schemas.openxmlformats.org/officeDocument/2006/relationships/settings" Target="settings.xml"/><Relationship Id="rId9" Type="http://schemas.openxmlformats.org/officeDocument/2006/relationships/hyperlink" Target="mailto:stephen.hearps@mcri.edu.au" TargetMode="External"/><Relationship Id="rId14" Type="http://schemas.openxmlformats.org/officeDocument/2006/relationships/hyperlink" Target="mailto:;%20sarah.dalton@health.nsw.gov.au" TargetMode="External"/><Relationship Id="rId22" Type="http://schemas.openxmlformats.org/officeDocument/2006/relationships/hyperlink" Target="https://doi.org/10.1097/PEC"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itaa:Desktop:Sports%20Paper:Neonates:9_6_18%20Neonates%20populated%20tab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itaa:Desktop:Sports%20Paper:Neonates:9_6_18%20Neonates%20populated%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1"/>
          <c:order val="0"/>
          <c:spPr>
            <a:solidFill>
              <a:srgbClr val="000000"/>
            </a:solidFill>
          </c:spPr>
          <c:invertIfNegative val="0"/>
          <c:val>
            <c:numRef>
              <c:f>'Table 4a4b'!$C$29:$C$52</c:f>
              <c:numCache>
                <c:formatCode>General</c:formatCode>
                <c:ptCount val="24"/>
                <c:pt idx="0">
                  <c:v>0</c:v>
                </c:pt>
                <c:pt idx="1">
                  <c:v>0</c:v>
                </c:pt>
                <c:pt idx="2">
                  <c:v>2</c:v>
                </c:pt>
                <c:pt idx="3">
                  <c:v>1</c:v>
                </c:pt>
                <c:pt idx="4">
                  <c:v>2</c:v>
                </c:pt>
                <c:pt idx="5">
                  <c:v>3</c:v>
                </c:pt>
                <c:pt idx="6">
                  <c:v>2</c:v>
                </c:pt>
                <c:pt idx="7">
                  <c:v>1</c:v>
                </c:pt>
                <c:pt idx="8">
                  <c:v>3</c:v>
                </c:pt>
                <c:pt idx="9">
                  <c:v>4</c:v>
                </c:pt>
                <c:pt idx="10">
                  <c:v>7</c:v>
                </c:pt>
                <c:pt idx="11">
                  <c:v>2</c:v>
                </c:pt>
                <c:pt idx="12">
                  <c:v>4</c:v>
                </c:pt>
                <c:pt idx="13">
                  <c:v>3</c:v>
                </c:pt>
                <c:pt idx="14">
                  <c:v>10</c:v>
                </c:pt>
                <c:pt idx="15">
                  <c:v>6</c:v>
                </c:pt>
                <c:pt idx="16">
                  <c:v>7</c:v>
                </c:pt>
                <c:pt idx="17">
                  <c:v>4</c:v>
                </c:pt>
                <c:pt idx="18">
                  <c:v>9</c:v>
                </c:pt>
                <c:pt idx="19">
                  <c:v>6</c:v>
                </c:pt>
                <c:pt idx="20">
                  <c:v>6</c:v>
                </c:pt>
                <c:pt idx="21">
                  <c:v>4</c:v>
                </c:pt>
                <c:pt idx="22">
                  <c:v>3</c:v>
                </c:pt>
                <c:pt idx="23">
                  <c:v>4</c:v>
                </c:pt>
              </c:numCache>
            </c:numRef>
          </c:val>
          <c:extLst>
            <c:ext xmlns:c16="http://schemas.microsoft.com/office/drawing/2014/chart" uri="{C3380CC4-5D6E-409C-BE32-E72D297353CC}">
              <c16:uniqueId val="{00000000-8F0F-4524-B63C-E11BBA6D9D29}"/>
            </c:ext>
          </c:extLst>
        </c:ser>
        <c:dLbls>
          <c:showLegendKey val="0"/>
          <c:showVal val="0"/>
          <c:showCatName val="0"/>
          <c:showSerName val="0"/>
          <c:showPercent val="0"/>
          <c:showBubbleSize val="0"/>
        </c:dLbls>
        <c:gapWidth val="150"/>
        <c:axId val="486009600"/>
        <c:axId val="486006856"/>
      </c:barChart>
      <c:catAx>
        <c:axId val="486009600"/>
        <c:scaling>
          <c:orientation val="minMax"/>
        </c:scaling>
        <c:delete val="0"/>
        <c:axPos val="b"/>
        <c:title>
          <c:tx>
            <c:rich>
              <a:bodyPr/>
              <a:lstStyle/>
              <a:p>
                <a:pPr>
                  <a:defRPr/>
                </a:pPr>
                <a:r>
                  <a:rPr lang="en-US"/>
                  <a:t>Time of injury (hrs)</a:t>
                </a:r>
              </a:p>
            </c:rich>
          </c:tx>
          <c:overlay val="0"/>
        </c:title>
        <c:majorTickMark val="out"/>
        <c:minorTickMark val="none"/>
        <c:tickLblPos val="nextTo"/>
        <c:crossAx val="486006856"/>
        <c:crosses val="autoZero"/>
        <c:auto val="1"/>
        <c:lblAlgn val="ctr"/>
        <c:lblOffset val="100"/>
        <c:noMultiLvlLbl val="0"/>
      </c:catAx>
      <c:valAx>
        <c:axId val="486006856"/>
        <c:scaling>
          <c:orientation val="minMax"/>
          <c:max val="10"/>
        </c:scaling>
        <c:delete val="0"/>
        <c:axPos val="l"/>
        <c:majorGridlines/>
        <c:title>
          <c:tx>
            <c:rich>
              <a:bodyPr rot="-5400000" vert="horz"/>
              <a:lstStyle/>
              <a:p>
                <a:pPr>
                  <a:defRPr/>
                </a:pPr>
                <a:r>
                  <a:rPr lang="en-US"/>
                  <a:t>Number</a:t>
                </a:r>
                <a:r>
                  <a:rPr lang="en-US" baseline="0"/>
                  <a:t> of neonatal head injuries</a:t>
                </a:r>
                <a:endParaRPr lang="en-US"/>
              </a:p>
            </c:rich>
          </c:tx>
          <c:overlay val="0"/>
        </c:title>
        <c:numFmt formatCode="General" sourceLinked="1"/>
        <c:majorTickMark val="out"/>
        <c:minorTickMark val="none"/>
        <c:tickLblPos val="nextTo"/>
        <c:crossAx val="4860096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ofPieChart>
        <c:ofPieType val="pie"/>
        <c:varyColors val="1"/>
        <c:ser>
          <c:idx val="0"/>
          <c:order val="0"/>
          <c:tx>
            <c:strRef>
              <c:f>'New fig 4'!$E$9</c:f>
              <c:strCache>
                <c:ptCount val="1"/>
                <c:pt idx="0">
                  <c:v>n</c:v>
                </c:pt>
              </c:strCache>
            </c:strRef>
          </c:tx>
          <c:dLbls>
            <c:dLbl>
              <c:idx val="0"/>
              <c:tx>
                <c:rich>
                  <a:bodyPr/>
                  <a:lstStyle/>
                  <a:p>
                    <a:r>
                      <a:rPr lang="en-US"/>
                      <a:t>Public outdoor area
7.5%</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C7B-4BB2-B0A9-7593380A9E92}"/>
                </c:ext>
              </c:extLst>
            </c:dLbl>
            <c:dLbl>
              <c:idx val="1"/>
              <c:tx>
                <c:rich>
                  <a:bodyPr/>
                  <a:lstStyle/>
                  <a:p>
                    <a:r>
                      <a:rPr lang="en-US"/>
                      <a:t>Unknown
15.1%</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7B-4BB2-B0A9-7593380A9E92}"/>
                </c:ext>
              </c:extLst>
            </c:dLbl>
            <c:dLbl>
              <c:idx val="2"/>
              <c:tx>
                <c:rich>
                  <a:bodyPr/>
                  <a:lstStyle/>
                  <a:p>
                    <a:r>
                      <a:rPr lang="en-US"/>
                      <a:t>Restaurant/Eating Area
1.1%</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C7B-4BB2-B0A9-7593380A9E92}"/>
                </c:ext>
              </c:extLst>
            </c:dLbl>
            <c:dLbl>
              <c:idx val="3"/>
              <c:tx>
                <c:rich>
                  <a:bodyPr/>
                  <a:lstStyle/>
                  <a:p>
                    <a:r>
                      <a:rPr lang="en-US"/>
                      <a:t>Bathroom
2.8%</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C7B-4BB2-B0A9-7593380A9E92}"/>
                </c:ext>
              </c:extLst>
            </c:dLbl>
            <c:dLbl>
              <c:idx val="4"/>
              <c:tx>
                <c:rich>
                  <a:bodyPr/>
                  <a:lstStyle/>
                  <a:p>
                    <a:r>
                      <a:rPr lang="en-US"/>
                      <a:t>Bedroom
25.4%</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C7B-4BB2-B0A9-7593380A9E92}"/>
                </c:ext>
              </c:extLst>
            </c:dLbl>
            <c:dLbl>
              <c:idx val="5"/>
              <c:layout>
                <c:manualLayout>
                  <c:x val="-4.74906999814E-2"/>
                  <c:y val="-1.3038820728804201E-2"/>
                </c:manualLayout>
              </c:layout>
              <c:tx>
                <c:rich>
                  <a:bodyPr/>
                  <a:lstStyle/>
                  <a:p>
                    <a:r>
                      <a:rPr lang="en-US"/>
                      <a:t>Driveway
2.8%</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C7B-4BB2-B0A9-7593380A9E92}"/>
                </c:ext>
              </c:extLst>
            </c:dLbl>
            <c:dLbl>
              <c:idx val="6"/>
              <c:tx>
                <c:rich>
                  <a:bodyPr/>
                  <a:lstStyle/>
                  <a:p>
                    <a:r>
                      <a:rPr lang="en-US"/>
                      <a:t>Kitchen
4.2%</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C7B-4BB2-B0A9-7593380A9E92}"/>
                </c:ext>
              </c:extLst>
            </c:dLbl>
            <c:dLbl>
              <c:idx val="7"/>
              <c:tx>
                <c:rich>
                  <a:bodyPr/>
                  <a:lstStyle/>
                  <a:p>
                    <a:r>
                      <a:rPr lang="en-US"/>
                      <a:t>Living Area
43.7%</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C7B-4BB2-B0A9-7593380A9E92}"/>
                </c:ext>
              </c:extLst>
            </c:dLbl>
            <c:dLbl>
              <c:idx val="8"/>
              <c:tx>
                <c:rich>
                  <a:bodyPr/>
                  <a:lstStyle/>
                  <a:p>
                    <a:r>
                      <a:rPr lang="en-US"/>
                      <a:t>Stairs
5.6%</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2C7B-4BB2-B0A9-7593380A9E92}"/>
                </c:ext>
              </c:extLst>
            </c:dLbl>
            <c:dLbl>
              <c:idx val="9"/>
              <c:tx>
                <c:rich>
                  <a:bodyPr/>
                  <a:lstStyle/>
                  <a:p>
                    <a:r>
                      <a:rPr lang="en-US"/>
                      <a:t>Yard/Garden
5.6%</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C7B-4BB2-B0A9-7593380A9E92}"/>
                </c:ext>
              </c:extLst>
            </c:dLbl>
            <c:dLbl>
              <c:idx val="10"/>
              <c:tx>
                <c:rich>
                  <a:bodyPr/>
                  <a:lstStyle/>
                  <a:p>
                    <a:r>
                      <a:rPr lang="en-US"/>
                      <a:t>Other Home Area
9.8%</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2C7B-4BB2-B0A9-7593380A9E92}"/>
                </c:ext>
              </c:extLst>
            </c:dLbl>
            <c:dLbl>
              <c:idx val="11"/>
              <c:tx>
                <c:rich>
                  <a:bodyPr/>
                  <a:lstStyle/>
                  <a:p>
                    <a:r>
                      <a:rPr lang="en-US"/>
                      <a:t>Home
76.3%</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C7B-4BB2-B0A9-7593380A9E92}"/>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'New fig 4'!$D$10:$D$20</c:f>
              <c:strCache>
                <c:ptCount val="11"/>
                <c:pt idx="0">
                  <c:v>Public outdoor area</c:v>
                </c:pt>
                <c:pt idx="1">
                  <c:v>Unknown</c:v>
                </c:pt>
                <c:pt idx="2">
                  <c:v>Restaurant/Eating Area</c:v>
                </c:pt>
                <c:pt idx="3">
                  <c:v>Bathroom</c:v>
                </c:pt>
                <c:pt idx="4">
                  <c:v>Bedroom</c:v>
                </c:pt>
                <c:pt idx="5">
                  <c:v>Driveway</c:v>
                </c:pt>
                <c:pt idx="6">
                  <c:v>Kitchen</c:v>
                </c:pt>
                <c:pt idx="7">
                  <c:v>Living Area</c:v>
                </c:pt>
                <c:pt idx="8">
                  <c:v>Stairs</c:v>
                </c:pt>
                <c:pt idx="9">
                  <c:v>Yard/Garden</c:v>
                </c:pt>
                <c:pt idx="10">
                  <c:v>Other Home Area</c:v>
                </c:pt>
              </c:strCache>
            </c:strRef>
          </c:cat>
          <c:val>
            <c:numRef>
              <c:f>'New fig 4'!$E$10:$E$20</c:f>
              <c:numCache>
                <c:formatCode>General</c:formatCode>
                <c:ptCount val="11"/>
                <c:pt idx="0">
                  <c:v>7</c:v>
                </c:pt>
                <c:pt idx="1">
                  <c:v>14</c:v>
                </c:pt>
                <c:pt idx="2">
                  <c:v>1</c:v>
                </c:pt>
                <c:pt idx="3">
                  <c:v>2</c:v>
                </c:pt>
                <c:pt idx="4">
                  <c:v>18</c:v>
                </c:pt>
                <c:pt idx="5">
                  <c:v>2</c:v>
                </c:pt>
                <c:pt idx="6">
                  <c:v>3</c:v>
                </c:pt>
                <c:pt idx="7">
                  <c:v>31</c:v>
                </c:pt>
                <c:pt idx="8">
                  <c:v>4</c:v>
                </c:pt>
                <c:pt idx="9">
                  <c:v>4</c:v>
                </c:pt>
                <c:pt idx="10">
                  <c:v>7</c:v>
                </c:pt>
              </c:numCache>
            </c:numRef>
          </c:val>
          <c:extLst>
            <c:ext xmlns:c16="http://schemas.microsoft.com/office/drawing/2014/chart" uri="{C3380CC4-5D6E-409C-BE32-E72D297353CC}">
              <c16:uniqueId val="{0000000C-2C7B-4BB2-B0A9-7593380A9E92}"/>
            </c:ext>
          </c:extLst>
        </c:ser>
        <c:ser>
          <c:idx val="1"/>
          <c:order val="1"/>
          <c:tx>
            <c:strRef>
              <c:f>'New fig 4'!$F$9</c:f>
              <c:strCache>
                <c:ptCount val="1"/>
                <c:pt idx="0">
                  <c:v>%</c:v>
                </c:pt>
              </c:strCache>
            </c:strRef>
          </c:tx>
          <c:dLbls>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'New fig 4'!$D$10:$D$20</c:f>
              <c:strCache>
                <c:ptCount val="11"/>
                <c:pt idx="0">
                  <c:v>Public outdoor area</c:v>
                </c:pt>
                <c:pt idx="1">
                  <c:v>Unknown</c:v>
                </c:pt>
                <c:pt idx="2">
                  <c:v>Restaurant/Eating Area</c:v>
                </c:pt>
                <c:pt idx="3">
                  <c:v>Bathroom</c:v>
                </c:pt>
                <c:pt idx="4">
                  <c:v>Bedroom</c:v>
                </c:pt>
                <c:pt idx="5">
                  <c:v>Driveway</c:v>
                </c:pt>
                <c:pt idx="6">
                  <c:v>Kitchen</c:v>
                </c:pt>
                <c:pt idx="7">
                  <c:v>Living Area</c:v>
                </c:pt>
                <c:pt idx="8">
                  <c:v>Stairs</c:v>
                </c:pt>
                <c:pt idx="9">
                  <c:v>Yard/Garden</c:v>
                </c:pt>
                <c:pt idx="10">
                  <c:v>Other Home Area</c:v>
                </c:pt>
              </c:strCache>
            </c:strRef>
          </c:cat>
          <c:val>
            <c:numRef>
              <c:f>'New fig 4'!$F$10:$F$20</c:f>
              <c:numCache>
                <c:formatCode>General</c:formatCode>
                <c:ptCount val="11"/>
                <c:pt idx="0">
                  <c:v>7.5268817204301079</c:v>
                </c:pt>
                <c:pt idx="1">
                  <c:v>15.06</c:v>
                </c:pt>
                <c:pt idx="2">
                  <c:v>1.08</c:v>
                </c:pt>
                <c:pt idx="3">
                  <c:v>2.15</c:v>
                </c:pt>
                <c:pt idx="4">
                  <c:v>19.350000000000001</c:v>
                </c:pt>
                <c:pt idx="5">
                  <c:v>2.15</c:v>
                </c:pt>
                <c:pt idx="6">
                  <c:v>3.23</c:v>
                </c:pt>
                <c:pt idx="7">
                  <c:v>33.33</c:v>
                </c:pt>
                <c:pt idx="8">
                  <c:v>4.3</c:v>
                </c:pt>
                <c:pt idx="9">
                  <c:v>4.3</c:v>
                </c:pt>
                <c:pt idx="10">
                  <c:v>7.53</c:v>
                </c:pt>
              </c:numCache>
            </c:numRef>
          </c:val>
          <c:extLst>
            <c:ext xmlns:c16="http://schemas.microsoft.com/office/drawing/2014/chart" uri="{C3380CC4-5D6E-409C-BE32-E72D297353CC}">
              <c16:uniqueId val="{0000000D-2C7B-4BB2-B0A9-7593380A9E92}"/>
            </c:ext>
          </c:extLst>
        </c:ser>
        <c:dLbls>
          <c:dLblPos val="bestFit"/>
          <c:showLegendKey val="0"/>
          <c:showVal val="0"/>
          <c:showCatName val="1"/>
          <c:showSerName val="0"/>
          <c:showPercent val="1"/>
          <c:showBubbleSize val="0"/>
          <c:showLeaderLines val="1"/>
        </c:dLbls>
        <c:gapWidth val="100"/>
        <c:splitType val="pos"/>
        <c:splitPos val="8"/>
        <c:secondPieSize val="117"/>
        <c:serLines/>
      </c:ofPieChart>
    </c:plotArea>
    <c:plotVisOnly val="1"/>
    <c:dispBlanksAs val="gap"/>
    <c:showDLblsOverMax val="0"/>
  </c:chart>
  <c:spPr>
    <a:no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7AF1-BC47-4C11-8AF2-69D8AD16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4761</Words>
  <Characters>27139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31837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Nitaa Eapen</dc:creator>
  <cp:keywords/>
  <dc:description/>
  <cp:lastModifiedBy>Mark Lyttle</cp:lastModifiedBy>
  <cp:revision>2</cp:revision>
  <cp:lastPrinted>2018-07-24T04:51:00Z</cp:lastPrinted>
  <dcterms:created xsi:type="dcterms:W3CDTF">2020-07-21T14:04:00Z</dcterms:created>
  <dcterms:modified xsi:type="dcterms:W3CDTF">2020-07-21T14:04:00Z</dcterms:modified>
</cp:coreProperties>
</file>