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61DAB" w14:textId="3F4F65C0" w:rsidR="003B397F" w:rsidRPr="002F792F" w:rsidRDefault="003B397F" w:rsidP="003B397F">
      <w:pPr>
        <w:pStyle w:val="Notesoncontributors"/>
        <w:jc w:val="center"/>
        <w:rPr>
          <w:b/>
          <w:bCs/>
        </w:rPr>
      </w:pPr>
      <w:r w:rsidRPr="0002039B">
        <w:rPr>
          <w:b/>
          <w:sz w:val="28"/>
        </w:rPr>
        <w:t>Why Did UK Governments Cut Road Build</w:t>
      </w:r>
      <w:r>
        <w:rPr>
          <w:b/>
          <w:sz w:val="28"/>
        </w:rPr>
        <w:t>ing in the 1990s and Expand it A</w:t>
      </w:r>
      <w:r w:rsidR="005364F0">
        <w:rPr>
          <w:b/>
          <w:sz w:val="28"/>
        </w:rPr>
        <w:t>fter 2010</w:t>
      </w:r>
      <w:r w:rsidRPr="001158F3">
        <w:rPr>
          <w:b/>
          <w:sz w:val="28"/>
        </w:rPr>
        <w:t>?</w:t>
      </w:r>
    </w:p>
    <w:p w14:paraId="6F3EA31A" w14:textId="77777777" w:rsidR="001158F3" w:rsidRDefault="001158F3" w:rsidP="00A2360E">
      <w:pPr>
        <w:pStyle w:val="Affiliation"/>
        <w:rPr>
          <w:i w:val="0"/>
          <w:sz w:val="28"/>
        </w:rPr>
      </w:pPr>
      <w:r w:rsidRPr="001158F3">
        <w:rPr>
          <w:i w:val="0"/>
          <w:sz w:val="28"/>
        </w:rPr>
        <w:t>Dr Steve Melia</w:t>
      </w:r>
      <w:r>
        <w:rPr>
          <w:i w:val="0"/>
          <w:sz w:val="28"/>
        </w:rPr>
        <w:t>*</w:t>
      </w:r>
    </w:p>
    <w:p w14:paraId="6F3EA31B" w14:textId="77777777" w:rsidR="00997B0F" w:rsidRDefault="001158F3" w:rsidP="00A2360E">
      <w:pPr>
        <w:pStyle w:val="Affiliation"/>
      </w:pPr>
      <w:r>
        <w:t>Centre for Transport and Society</w:t>
      </w:r>
      <w:r>
        <w:br/>
      </w:r>
      <w:r w:rsidR="00997B0F">
        <w:t>University</w:t>
      </w:r>
      <w:r>
        <w:t xml:space="preserve"> of the West of England, Bristol</w:t>
      </w:r>
      <w:r w:rsidR="00997B0F">
        <w:t>,</w:t>
      </w:r>
      <w:r>
        <w:t>UK</w:t>
      </w:r>
    </w:p>
    <w:p w14:paraId="6F3EA31E" w14:textId="67723CEC" w:rsidR="001158F3" w:rsidRDefault="001158F3" w:rsidP="00A2360E">
      <w:pPr>
        <w:pStyle w:val="Correspondencedetails"/>
      </w:pPr>
      <w:r>
        <w:t xml:space="preserve">* Coldharbour Lane, Bristol BS13 1QY.  Email: </w:t>
      </w:r>
      <w:hyperlink r:id="rId8" w:history="1">
        <w:r w:rsidRPr="003031A1">
          <w:rPr>
            <w:rStyle w:val="Hyperlink"/>
          </w:rPr>
          <w:t>steve.melia@uwe.ac.uk</w:t>
        </w:r>
      </w:hyperlink>
    </w:p>
    <w:p w14:paraId="6F3EA31F" w14:textId="77777777" w:rsidR="001158F3" w:rsidRDefault="001158F3" w:rsidP="001158F3">
      <w:pPr>
        <w:pStyle w:val="Articletitle"/>
      </w:pPr>
    </w:p>
    <w:p w14:paraId="6F3EA320" w14:textId="77777777" w:rsidR="001158F3" w:rsidRDefault="001158F3">
      <w:pPr>
        <w:spacing w:line="240" w:lineRule="auto"/>
        <w:rPr>
          <w:b/>
          <w:sz w:val="28"/>
        </w:rPr>
      </w:pPr>
      <w:r>
        <w:br w:type="page"/>
      </w:r>
    </w:p>
    <w:p w14:paraId="6F3EA321" w14:textId="2D28BAAE" w:rsidR="002F792F" w:rsidRPr="002F792F" w:rsidRDefault="0002039B" w:rsidP="00702F05">
      <w:pPr>
        <w:pStyle w:val="Notesoncontributors"/>
        <w:spacing w:before="0" w:line="240" w:lineRule="auto"/>
        <w:jc w:val="center"/>
        <w:rPr>
          <w:b/>
          <w:bCs/>
        </w:rPr>
      </w:pPr>
      <w:r w:rsidRPr="0002039B">
        <w:rPr>
          <w:b/>
          <w:sz w:val="28"/>
        </w:rPr>
        <w:lastRenderedPageBreak/>
        <w:t>Why Did UK Governments Cut Road Build</w:t>
      </w:r>
      <w:r>
        <w:rPr>
          <w:b/>
          <w:sz w:val="28"/>
        </w:rPr>
        <w:t>ing in the 1990s and Expand it A</w:t>
      </w:r>
      <w:r w:rsidR="005B2804">
        <w:rPr>
          <w:b/>
          <w:sz w:val="28"/>
        </w:rPr>
        <w:t>fter 2010</w:t>
      </w:r>
      <w:r w:rsidR="001158F3" w:rsidRPr="001158F3">
        <w:rPr>
          <w:b/>
          <w:sz w:val="28"/>
        </w:rPr>
        <w:t>?</w:t>
      </w:r>
    </w:p>
    <w:p w14:paraId="6F3EA322" w14:textId="77777777" w:rsidR="002F792F" w:rsidRPr="002F792F" w:rsidRDefault="002F792F" w:rsidP="00702F05">
      <w:pPr>
        <w:pStyle w:val="Notesoncontributors"/>
        <w:spacing w:before="100" w:beforeAutospacing="1" w:after="100" w:afterAutospacing="1" w:line="240" w:lineRule="auto"/>
        <w:rPr>
          <w:b/>
          <w:bCs/>
        </w:rPr>
      </w:pPr>
      <w:r w:rsidRPr="002F792F">
        <w:rPr>
          <w:b/>
          <w:bCs/>
        </w:rPr>
        <w:t>Abstract</w:t>
      </w:r>
    </w:p>
    <w:p w14:paraId="75FE18F2" w14:textId="77777777" w:rsidR="008471A8" w:rsidRDefault="0035487A" w:rsidP="00702F05">
      <w:pPr>
        <w:pStyle w:val="Notesoncontributors"/>
        <w:spacing w:before="100" w:beforeAutospacing="1" w:after="100" w:afterAutospacing="1" w:line="240" w:lineRule="auto"/>
      </w:pPr>
      <w:r>
        <w:t xml:space="preserve">Why did a Conservative UK government decide to cut back road building during a time of austerity in the 1990s, whereas a Conservative-led Coalition government </w:t>
      </w:r>
      <w:r w:rsidR="00BB01D8">
        <w:t xml:space="preserve">decided to substantially increase road building during a time of austerity after 2010? This study aims to answer that question drawing on 32 interviews with ministers, advisors and others, and secondary analysis of </w:t>
      </w:r>
      <w:r w:rsidR="00F17FD1">
        <w:t xml:space="preserve">media coverage and </w:t>
      </w:r>
      <w:r w:rsidR="00BB01D8">
        <w:t>public opinion.  It uses Critical Realist methods in a more specific way than previous studies, representing the key actors, causal mechanisms and changes in underlying social structures in diagrammatic form.  It concludes that three mechanisms: a rational response to changing transport circumstances, changing economic ideology p</w:t>
      </w:r>
      <w:r w:rsidR="00E52C2D">
        <w:t>rompted by the recession of 2007</w:t>
      </w:r>
      <w:r w:rsidR="00BB01D8">
        <w:t xml:space="preserve">-9 and public opinion, influenced by the protest movement </w:t>
      </w:r>
      <w:r w:rsidR="00F835FB">
        <w:t>in</w:t>
      </w:r>
      <w:r w:rsidR="00BB01D8">
        <w:t xml:space="preserve"> the 1990s</w:t>
      </w:r>
      <w:r w:rsidR="00F835FB">
        <w:t>,</w:t>
      </w:r>
      <w:r w:rsidR="00BB01D8">
        <w:t xml:space="preserve"> explain the contrasting decisions.  </w:t>
      </w:r>
      <w:r w:rsidR="008471A8">
        <w:t xml:space="preserve">It identifies key actors who influenced government decisions and explains how a Critical Realist analysis questions the traditional concept in transport studies of causal factors and their relative importance. </w:t>
      </w:r>
    </w:p>
    <w:p w14:paraId="6F3EA324" w14:textId="49AFBD4D" w:rsidR="001158F3" w:rsidRPr="002F792F" w:rsidRDefault="001158F3" w:rsidP="00702F05">
      <w:pPr>
        <w:pStyle w:val="Notesoncontributors"/>
        <w:spacing w:before="100" w:beforeAutospacing="1" w:after="100" w:afterAutospacing="1" w:line="240" w:lineRule="auto"/>
      </w:pPr>
      <w:r w:rsidRPr="001158F3">
        <w:rPr>
          <w:b/>
        </w:rPr>
        <w:t>Keywords</w:t>
      </w:r>
      <w:r w:rsidRPr="001158F3">
        <w:t xml:space="preserve">: </w:t>
      </w:r>
      <w:r w:rsidR="008307AF">
        <w:t>Road building, demand management, UK politics, critical realist methodology</w:t>
      </w:r>
    </w:p>
    <w:p w14:paraId="6F3EA325" w14:textId="3BCD86BB" w:rsidR="002F792F" w:rsidRPr="005C0C11" w:rsidRDefault="002F792F" w:rsidP="005C0C11">
      <w:pPr>
        <w:pStyle w:val="Heading1"/>
      </w:pPr>
      <w:r w:rsidRPr="005C0C11">
        <w:t>Introduction and Context</w:t>
      </w:r>
    </w:p>
    <w:p w14:paraId="56B67B44" w14:textId="0A8E4355" w:rsidR="00975D03" w:rsidRPr="00975D03" w:rsidRDefault="00975D03" w:rsidP="00702F05">
      <w:pPr>
        <w:pStyle w:val="Heading2"/>
        <w:spacing w:before="100" w:beforeAutospacing="1" w:after="100" w:afterAutospacing="1" w:line="240" w:lineRule="auto"/>
      </w:pPr>
      <w:bookmarkStart w:id="0" w:name="_Ref527202050"/>
      <w:r>
        <w:t>Aims of the Study</w:t>
      </w:r>
      <w:bookmarkEnd w:id="0"/>
    </w:p>
    <w:p w14:paraId="31C482F6" w14:textId="22A76BCC" w:rsidR="007A19AF" w:rsidRDefault="007A19AF" w:rsidP="004B654C">
      <w:pPr>
        <w:pStyle w:val="Paragraph"/>
        <w:spacing w:before="100" w:beforeAutospacing="1" w:after="100" w:afterAutospacing="1"/>
      </w:pPr>
      <w:r>
        <w:t xml:space="preserve">In the late 1990s a Conservative government leading the UK out of a recession, with severe pressures on public spending, </w:t>
      </w:r>
      <w:r w:rsidR="00586CC2">
        <w:t xml:space="preserve">decided to </w:t>
      </w:r>
      <w:r>
        <w:t>substantially cut back its road building programme.  In 2013 a Conservative-led coalition leading the UK out of a recession</w:t>
      </w:r>
      <w:r w:rsidR="00975D03">
        <w:t>,</w:t>
      </w:r>
      <w:r>
        <w:t xml:space="preserve"> </w:t>
      </w:r>
      <w:r w:rsidR="00975D03" w:rsidRPr="00975D03">
        <w:t xml:space="preserve">with severe pressures on public spending, </w:t>
      </w:r>
      <w:r w:rsidR="00586CC2">
        <w:t>decided to substantially expand</w:t>
      </w:r>
      <w:r>
        <w:t xml:space="preserve"> its road building programme.  Why did those two governments react so differently on those occasions?</w:t>
      </w:r>
    </w:p>
    <w:p w14:paraId="67D9A4D6" w14:textId="34118120" w:rsidR="001A757F" w:rsidRDefault="007A19AF" w:rsidP="004B654C">
      <w:pPr>
        <w:pStyle w:val="Newparagraph"/>
        <w:spacing w:before="100" w:beforeAutospacing="1" w:after="100" w:afterAutospacing="1"/>
      </w:pPr>
      <w:r>
        <w:t>That question was the</w:t>
      </w:r>
      <w:r w:rsidR="00891EBF">
        <w:t xml:space="preserve"> starting point for this study.  Much has been written about the changes in road building policy during the 1990s.  Less has been written about the later period; this is the first study to compare the two.   It</w:t>
      </w:r>
      <w:r>
        <w:t xml:space="preserve"> also has a methodological aim: to </w:t>
      </w:r>
      <w:r w:rsidR="009A337D">
        <w:t>develop a method for applying the concepts of Critical Realism (CR) in a more concre</w:t>
      </w:r>
      <w:r w:rsidR="00E54F4E">
        <w:t xml:space="preserve">tised way than previous studies, responding to </w:t>
      </w:r>
      <w:r w:rsidR="001E7DA2">
        <w:t>a</w:t>
      </w:r>
      <w:r w:rsidR="002504E6">
        <w:t xml:space="preserve"> recurring </w:t>
      </w:r>
      <w:r w:rsidR="001E7DA2">
        <w:t>criticism</w:t>
      </w:r>
      <w:r w:rsidR="00E54F4E">
        <w:t xml:space="preserve"> of CR</w:t>
      </w:r>
      <w:r w:rsidR="001E7DA2">
        <w:t xml:space="preserve"> that its broad concepts allow researchers to cherry pick their preferred explanations</w:t>
      </w:r>
      <w:r w:rsidR="00E54F4E">
        <w:t xml:space="preserve"> </w:t>
      </w:r>
      <w:r w:rsidR="003C4026">
        <w:fldChar w:fldCharType="begin"/>
      </w:r>
      <w:r w:rsidR="001E7DA2">
        <w:instrText>ADDIN RW.CITE{{3927 Hodgson,GeoffreyM. 1999 /pe.g. ; 3928 Hodgson,GeoffreyM. 2004 /a; 3976 Sayer,Andrew 1997}}</w:instrText>
      </w:r>
      <w:r w:rsidR="003C4026">
        <w:fldChar w:fldCharType="separate"/>
      </w:r>
      <w:r w:rsidR="00897909" w:rsidRPr="00897909">
        <w:t>(e.g. Hodgson, 1999, 2004, Sayer, 1997)</w:t>
      </w:r>
      <w:r w:rsidR="003C4026">
        <w:fldChar w:fldCharType="end"/>
      </w:r>
      <w:r w:rsidR="00E54F4E">
        <w:t>.</w:t>
      </w:r>
      <w:r w:rsidR="001A757F">
        <w:t xml:space="preserve">  </w:t>
      </w:r>
    </w:p>
    <w:p w14:paraId="29ADCF78" w14:textId="78EA57C2" w:rsidR="00E87D04" w:rsidRDefault="002C0D16" w:rsidP="004B654C">
      <w:pPr>
        <w:pStyle w:val="Newparagraph"/>
        <w:spacing w:before="100" w:beforeAutospacing="1" w:after="100" w:afterAutospacing="1"/>
      </w:pPr>
      <w:r>
        <w:lastRenderedPageBreak/>
        <w:t>The study draws on 32</w:t>
      </w:r>
      <w:r w:rsidR="00E87D04">
        <w:t xml:space="preserve"> interviews, with </w:t>
      </w:r>
      <w:r w:rsidR="00E54F4E">
        <w:t>six</w:t>
      </w:r>
      <w:r w:rsidR="00E87D04">
        <w:t xml:space="preserve"> former government ministers as well as civil servants, advisors, leaders of NGOs and protest movements.  It will also draw on </w:t>
      </w:r>
      <w:r>
        <w:t>some analysis of</w:t>
      </w:r>
      <w:r w:rsidR="004E53FC">
        <w:t xml:space="preserve"> public spending, media coverage and</w:t>
      </w:r>
      <w:r>
        <w:t xml:space="preserve"> </w:t>
      </w:r>
      <w:r w:rsidR="00E87D04">
        <w:t>public opinion as measured by the British Social Atti</w:t>
      </w:r>
      <w:r>
        <w:t>tudes Survey</w:t>
      </w:r>
      <w:r w:rsidR="00E87D04">
        <w:t xml:space="preserve">.  A retrospective comparison with more recent events will shed new light </w:t>
      </w:r>
      <w:r w:rsidR="000C18DE">
        <w:t xml:space="preserve">(summarised in Section </w:t>
      </w:r>
      <w:r w:rsidR="000C18DE">
        <w:fldChar w:fldCharType="begin"/>
      </w:r>
      <w:r w:rsidR="000C18DE">
        <w:instrText xml:space="preserve"> REF _Ref10035782 \r \h </w:instrText>
      </w:r>
      <w:r w:rsidR="000C18DE">
        <w:fldChar w:fldCharType="separate"/>
      </w:r>
      <w:r w:rsidR="0027625B">
        <w:t>6.1</w:t>
      </w:r>
      <w:r w:rsidR="000C18DE">
        <w:fldChar w:fldCharType="end"/>
      </w:r>
      <w:r w:rsidR="000C18DE">
        <w:t xml:space="preserve">) </w:t>
      </w:r>
      <w:r w:rsidR="00E87D04">
        <w:t xml:space="preserve">on </w:t>
      </w:r>
      <w:r w:rsidR="00236516">
        <w:t>some</w:t>
      </w:r>
      <w:r w:rsidR="00E87D04">
        <w:t xml:space="preserve"> unresolved controversies </w:t>
      </w:r>
      <w:r w:rsidR="008471A8">
        <w:t>in the literature on the influence of the anti-roads protests in the 1990s and whether UK transport po</w:t>
      </w:r>
      <w:r w:rsidR="000C18DE">
        <w:t>licy underwent a paradigm shift.</w:t>
      </w:r>
    </w:p>
    <w:p w14:paraId="24AFF604" w14:textId="4283904E" w:rsidR="001A757F" w:rsidRDefault="00975D03" w:rsidP="004B654C">
      <w:pPr>
        <w:pStyle w:val="Heading2"/>
        <w:spacing w:before="100" w:beforeAutospacing="1" w:after="100" w:afterAutospacing="1" w:line="480" w:lineRule="auto"/>
      </w:pPr>
      <w:bookmarkStart w:id="1" w:name="_Ref527291806"/>
      <w:r>
        <w:t>Context – UK Policy on Road Building Since the 1990s</w:t>
      </w:r>
      <w:bookmarkEnd w:id="1"/>
    </w:p>
    <w:p w14:paraId="2C7E2CE2" w14:textId="736E5548" w:rsidR="00D87799" w:rsidRDefault="00577512" w:rsidP="004B654C">
      <w:pPr>
        <w:pStyle w:val="Newparagraph"/>
        <w:spacing w:before="100" w:beforeAutospacing="1" w:after="100" w:afterAutospacing="1"/>
      </w:pPr>
      <w:r w:rsidRPr="00577512">
        <w:t xml:space="preserve">The late 1980s was a period of rapid economic growth and rising traffic volumes as shown in </w:t>
      </w:r>
      <w:r w:rsidRPr="00577512">
        <w:fldChar w:fldCharType="begin"/>
      </w:r>
      <w:r w:rsidRPr="00577512">
        <w:instrText xml:space="preserve"> REF _Ref526849503 \h </w:instrText>
      </w:r>
      <w:r>
        <w:instrText xml:space="preserve"> \* MERGEFORMAT </w:instrText>
      </w:r>
      <w:r w:rsidRPr="00577512">
        <w:fldChar w:fldCharType="separate"/>
      </w:r>
      <w:r w:rsidR="0027625B">
        <w:t>Figure 1</w:t>
      </w:r>
      <w:r w:rsidRPr="00577512">
        <w:fldChar w:fldCharType="end"/>
      </w:r>
      <w:r w:rsidRPr="00577512">
        <w:t xml:space="preserve">.  </w:t>
      </w:r>
      <w:r w:rsidR="00D87799" w:rsidRPr="00577512">
        <w:t xml:space="preserve">Following some intense lobbying from industry groups </w:t>
      </w:r>
      <w:r w:rsidR="00152866">
        <w:fldChar w:fldCharType="begin"/>
      </w:r>
      <w:r w:rsidR="00152866">
        <w:instrText>ADDIN RW.CITE{{3949 Hamer,Mick 1987}}</w:instrText>
      </w:r>
      <w:r w:rsidR="00152866">
        <w:fldChar w:fldCharType="separate"/>
      </w:r>
      <w:r w:rsidR="00897909" w:rsidRPr="00897909">
        <w:t>(Hamer, 1987)</w:t>
      </w:r>
      <w:r w:rsidR="00152866">
        <w:fldChar w:fldCharType="end"/>
      </w:r>
      <w:r w:rsidR="00152866">
        <w:t xml:space="preserve"> </w:t>
      </w:r>
      <w:r w:rsidR="00D87799" w:rsidRPr="00577512">
        <w:t xml:space="preserve">in 1989 the Conservative government led by Margaret Thatcher published </w:t>
      </w:r>
      <w:r w:rsidR="00D87799" w:rsidRPr="00152866">
        <w:rPr>
          <w:i/>
        </w:rPr>
        <w:t>Roads for Prosperity</w:t>
      </w:r>
      <w:r w:rsidR="00D87799" w:rsidRPr="00577512">
        <w:t xml:space="preserve"> </w:t>
      </w:r>
      <w:r w:rsidR="00D87799" w:rsidRPr="00577512">
        <w:fldChar w:fldCharType="begin"/>
      </w:r>
      <w:r w:rsidR="00D87799" w:rsidRPr="00577512">
        <w:instrText>ADDIN RW.CITE{{3936 DTp 1989}}</w:instrText>
      </w:r>
      <w:r w:rsidR="00D87799" w:rsidRPr="00577512">
        <w:fldChar w:fldCharType="separate"/>
      </w:r>
      <w:r w:rsidR="00897909" w:rsidRPr="00897909">
        <w:t>(DTp, 1989)</w:t>
      </w:r>
      <w:r w:rsidR="00D87799" w:rsidRPr="00577512">
        <w:fldChar w:fldCharType="end"/>
      </w:r>
      <w:r w:rsidR="00D87799" w:rsidRPr="00577512">
        <w:t>, which would more than double the size of the strategic</w:t>
      </w:r>
      <w:r w:rsidR="00D87799" w:rsidRPr="00902A26">
        <w:rPr>
          <w:vertAlign w:val="superscript"/>
        </w:rPr>
        <w:footnoteReference w:id="1"/>
      </w:r>
      <w:r w:rsidR="00D87799" w:rsidRPr="00577512">
        <w:t xml:space="preserve"> road building programme.  It was accompanied by forecasts that traffic would grow by between 83% and 142% by 2025.  </w:t>
      </w:r>
      <w:r w:rsidR="00D87799">
        <w:t xml:space="preserve"> </w:t>
      </w:r>
    </w:p>
    <w:p w14:paraId="3CEAD85D" w14:textId="77777777" w:rsidR="00D87799" w:rsidRPr="009C0DBB" w:rsidRDefault="00D87799" w:rsidP="004B654C">
      <w:pPr>
        <w:pStyle w:val="Newparagraph"/>
        <w:spacing w:before="100" w:beforeAutospacing="1" w:after="100" w:afterAutospacing="1"/>
        <w:ind w:firstLine="0"/>
      </w:pPr>
      <w:r>
        <w:rPr>
          <w:noProof/>
        </w:rPr>
        <w:drawing>
          <wp:inline distT="0" distB="0" distL="0" distR="0" wp14:anchorId="49892034" wp14:editId="2CA5554A">
            <wp:extent cx="5396865" cy="3148330"/>
            <wp:effectExtent l="0" t="0" r="1333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7B3411" w14:textId="3B00C466" w:rsidR="00D87799" w:rsidRDefault="00D87799" w:rsidP="004B654C">
      <w:pPr>
        <w:pStyle w:val="Caption"/>
        <w:spacing w:before="100" w:beforeAutospacing="1" w:after="100" w:afterAutospacing="1" w:line="480" w:lineRule="auto"/>
      </w:pPr>
      <w:bookmarkStart w:id="2" w:name="_Ref526849503"/>
      <w:bookmarkStart w:id="3" w:name="_Ref527037896"/>
      <w:r>
        <w:t xml:space="preserve">Figure </w:t>
      </w:r>
      <w:r>
        <w:rPr>
          <w:noProof/>
        </w:rPr>
        <w:fldChar w:fldCharType="begin"/>
      </w:r>
      <w:r>
        <w:rPr>
          <w:noProof/>
        </w:rPr>
        <w:instrText xml:space="preserve"> SEQ Figure \* ARABIC </w:instrText>
      </w:r>
      <w:r>
        <w:rPr>
          <w:noProof/>
        </w:rPr>
        <w:fldChar w:fldCharType="separate"/>
      </w:r>
      <w:r w:rsidR="0027625B">
        <w:rPr>
          <w:noProof/>
        </w:rPr>
        <w:t>1</w:t>
      </w:r>
      <w:r>
        <w:rPr>
          <w:noProof/>
        </w:rPr>
        <w:fldChar w:fldCharType="end"/>
      </w:r>
      <w:bookmarkEnd w:id="2"/>
      <w:r>
        <w:t xml:space="preserve"> Annual changes in GDP and </w:t>
      </w:r>
      <w:r w:rsidR="006C3DA2">
        <w:t>Vehicle Km</w:t>
      </w:r>
      <w:r w:rsidR="008471A8">
        <w:t>s</w:t>
      </w:r>
      <w:r>
        <w:t xml:space="preserve"> 1986 – 2017 </w:t>
      </w:r>
      <w:r>
        <w:fldChar w:fldCharType="begin"/>
      </w:r>
      <w:r>
        <w:instrText>ADDIN RW.CITE{{3935 ONS 2018; 3934 DfT 2018}}</w:instrText>
      </w:r>
      <w:r>
        <w:fldChar w:fldCharType="separate"/>
      </w:r>
      <w:r w:rsidR="00897909" w:rsidRPr="00897909">
        <w:t>(ONS, 2018, DfT, 2018b)</w:t>
      </w:r>
      <w:r>
        <w:fldChar w:fldCharType="end"/>
      </w:r>
      <w:bookmarkEnd w:id="3"/>
    </w:p>
    <w:p w14:paraId="2FF385A2" w14:textId="34E39FD6" w:rsidR="007A19AF" w:rsidRDefault="00D87799" w:rsidP="004B654C">
      <w:pPr>
        <w:pStyle w:val="Newparagraph"/>
        <w:spacing w:before="100" w:beforeAutospacing="1" w:after="100" w:afterAutospacing="1"/>
      </w:pPr>
      <w:r w:rsidRPr="00D87799">
        <w:rPr>
          <w:i/>
        </w:rPr>
        <w:t>Trunk Roads England</w:t>
      </w:r>
      <w:r>
        <w:t xml:space="preserve"> </w:t>
      </w:r>
      <w:r>
        <w:fldChar w:fldCharType="begin"/>
      </w:r>
      <w:r>
        <w:instrText>ADDIN RW.CITE{{3937 DTp 1990}}</w:instrText>
      </w:r>
      <w:r>
        <w:fldChar w:fldCharType="separate"/>
      </w:r>
      <w:r w:rsidR="00897909" w:rsidRPr="00897909">
        <w:t>(DTp, 1990)</w:t>
      </w:r>
      <w:r>
        <w:fldChar w:fldCharType="end"/>
      </w:r>
      <w:r w:rsidR="004E53FC">
        <w:t>, published just before the start of a recession,</w:t>
      </w:r>
      <w:r>
        <w:t xml:space="preserve"> added s</w:t>
      </w:r>
      <w:r w:rsidR="00902A26">
        <w:t>ome more schemes</w:t>
      </w:r>
      <w:r>
        <w:t xml:space="preserve">, clarified the details of the programme and set out a six-year programme of increasing budgets, as shown in </w:t>
      </w:r>
      <w:r>
        <w:fldChar w:fldCharType="begin"/>
      </w:r>
      <w:r>
        <w:instrText xml:space="preserve"> REF _Ref526865865 \h </w:instrText>
      </w:r>
      <w:r>
        <w:fldChar w:fldCharType="separate"/>
      </w:r>
      <w:r w:rsidR="0027625B" w:rsidRPr="00236516">
        <w:t xml:space="preserve">Table </w:t>
      </w:r>
      <w:r w:rsidR="0027625B">
        <w:rPr>
          <w:noProof/>
        </w:rPr>
        <w:t>1</w:t>
      </w:r>
      <w:r>
        <w:fldChar w:fldCharType="end"/>
      </w:r>
      <w:r>
        <w:t xml:space="preserve"> </w:t>
      </w:r>
      <w:r>
        <w:fldChar w:fldCharType="begin"/>
      </w:r>
      <w:r>
        <w:instrText xml:space="preserve"> REF _Ref527039828 \p \h </w:instrText>
      </w:r>
      <w:r>
        <w:fldChar w:fldCharType="separate"/>
      </w:r>
      <w:r w:rsidR="0027625B">
        <w:t>below</w:t>
      </w:r>
      <w:r>
        <w:fldChar w:fldCharType="end"/>
      </w:r>
      <w:r>
        <w:t xml:space="preserve">.  </w:t>
      </w:r>
      <w:r w:rsidR="008D7DC0">
        <w:t>The road building programme was controversial; many of the new or widened roads would cut through environmentally sensitive areas and/or protected landscapes.  Between 1993 and 1997 a mass protest movement</w:t>
      </w:r>
      <w:r w:rsidR="00382B05">
        <w:t xml:space="preserve"> used direct action to oppose the programme.  </w:t>
      </w:r>
      <w:r w:rsidR="007F75E1">
        <w:t xml:space="preserve">The Conservative government led by John Major after </w:t>
      </w:r>
      <w:r w:rsidR="00D856E9">
        <w:t xml:space="preserve">November </w:t>
      </w:r>
      <w:r w:rsidR="007F75E1">
        <w:t xml:space="preserve">1990 initially persisted with the programme </w:t>
      </w:r>
      <w:r w:rsidR="00EF5520">
        <w:t>then cancelled</w:t>
      </w:r>
      <w:r w:rsidR="007F75E1">
        <w:t xml:space="preserve"> a few of the more controversial schemes during 1993.  The budget of November 1994 cut back the programme, as part of an overall reduction in public spending</w:t>
      </w:r>
      <w:r w:rsidR="00EF5520">
        <w:t xml:space="preserve">. The budget of 1996 cancelled the </w:t>
      </w:r>
      <w:r>
        <w:t>rest of the</w:t>
      </w:r>
      <w:r w:rsidR="00EF5520">
        <w:t xml:space="preserve"> programme apart from existing commitments </w:t>
      </w:r>
      <w:r w:rsidR="004E53FC">
        <w:t>plus</w:t>
      </w:r>
      <w:r w:rsidR="00EF5520">
        <w:t xml:space="preserve"> </w:t>
      </w:r>
      <w:r w:rsidR="006E6EAB">
        <w:t>one new bypass</w:t>
      </w:r>
      <w:r w:rsidR="00EF5520">
        <w:t>.</w:t>
      </w:r>
    </w:p>
    <w:p w14:paraId="44AE3A81" w14:textId="300406A5" w:rsidR="00EF5520" w:rsidRDefault="00EF5520" w:rsidP="004B654C">
      <w:pPr>
        <w:pStyle w:val="Newparagraph"/>
        <w:spacing w:before="100" w:beforeAutospacing="1" w:after="100" w:afterAutospacing="1"/>
      </w:pPr>
      <w:r>
        <w:t xml:space="preserve">In 1997 a Labour government was elected, initially committed to a new ‘integrated’ transport policy with less emphasis on road building </w:t>
      </w:r>
      <w:r>
        <w:fldChar w:fldCharType="begin"/>
      </w:r>
      <w:r>
        <w:instrText>ADDIN RW.CITE{{17 DETR 1998}}</w:instrText>
      </w:r>
      <w:r>
        <w:fldChar w:fldCharType="separate"/>
      </w:r>
      <w:r w:rsidR="00897909" w:rsidRPr="00897909">
        <w:t>(DETR, 1998)</w:t>
      </w:r>
      <w:r>
        <w:fldChar w:fldCharType="end"/>
      </w:r>
      <w:r>
        <w:t>.  Although their commitment to integrated transport wavered over the following years</w:t>
      </w:r>
      <w:r w:rsidR="00F835FB">
        <w:t>, and a few road schemes were approved,</w:t>
      </w:r>
      <w:r>
        <w:t xml:space="preserve"> spending on road </w:t>
      </w:r>
      <w:r w:rsidR="00F835FB">
        <w:t xml:space="preserve">building remained </w:t>
      </w:r>
      <w:r>
        <w:t>low</w:t>
      </w:r>
      <w:r w:rsidR="00F835FB">
        <w:t xml:space="preserve"> compared to the periods before and after</w:t>
      </w:r>
      <w:r>
        <w:t>.</w:t>
      </w:r>
      <w:r w:rsidR="0002766D">
        <w:t xml:space="preserve">  Traffic volumes continued to increase until the Global Financial Crisis of 2007, but at a slower r</w:t>
      </w:r>
      <w:r w:rsidR="00C808F0">
        <w:t>ate (</w:t>
      </w:r>
      <w:r w:rsidR="00D87799">
        <w:t xml:space="preserve">see </w:t>
      </w:r>
      <w:r w:rsidR="00C808F0" w:rsidRPr="00577512">
        <w:fldChar w:fldCharType="begin"/>
      </w:r>
      <w:r w:rsidR="00C808F0" w:rsidRPr="00577512">
        <w:instrText xml:space="preserve"> REF _Ref526849503 \h </w:instrText>
      </w:r>
      <w:r w:rsidR="00C808F0">
        <w:instrText xml:space="preserve"> \* MERGEFORMAT </w:instrText>
      </w:r>
      <w:r w:rsidR="00C808F0" w:rsidRPr="00577512">
        <w:fldChar w:fldCharType="separate"/>
      </w:r>
      <w:r w:rsidR="0027625B">
        <w:t>Figure 1</w:t>
      </w:r>
      <w:r w:rsidR="00C808F0" w:rsidRPr="00577512">
        <w:fldChar w:fldCharType="end"/>
      </w:r>
      <w:r w:rsidR="00C808F0">
        <w:t>)</w:t>
      </w:r>
      <w:r w:rsidR="000D2C10">
        <w:t>.</w:t>
      </w:r>
      <w:r w:rsidR="00C808F0" w:rsidRPr="00577512">
        <w:t xml:space="preserve">  </w:t>
      </w:r>
    </w:p>
    <w:p w14:paraId="10EC1A87" w14:textId="503CEA7B" w:rsidR="008D7DC0" w:rsidRDefault="00EF5520" w:rsidP="004B654C">
      <w:pPr>
        <w:pStyle w:val="Newparagraph"/>
        <w:spacing w:before="100" w:beforeAutospacing="1" w:after="100" w:afterAutospacing="1"/>
      </w:pPr>
      <w:r>
        <w:t>In 2010 a Conservative-led coalition was elected.  They initially confirmed only existing commitments.  T</w:t>
      </w:r>
      <w:r w:rsidR="00E72BD8">
        <w:t xml:space="preserve">hen during 2011 </w:t>
      </w:r>
      <w:r w:rsidR="004769DD">
        <w:t xml:space="preserve">(and early 2012 in one case) </w:t>
      </w:r>
      <w:r w:rsidR="00E72BD8">
        <w:t xml:space="preserve">they unexpectedly approved all </w:t>
      </w:r>
      <w:r w:rsidR="004769DD">
        <w:t xml:space="preserve">bar one </w:t>
      </w:r>
      <w:r w:rsidR="00E72BD8">
        <w:t>of the road schemes submit</w:t>
      </w:r>
      <w:r w:rsidR="004769DD">
        <w:t xml:space="preserve">ted to them in a competitive bidding process by local authorities </w:t>
      </w:r>
      <w:r w:rsidR="004769DD">
        <w:fldChar w:fldCharType="begin"/>
      </w:r>
      <w:r w:rsidR="004769DD">
        <w:instrText>ADDIN RW.CITE{{3939 DfT 2011; 3938 HMTreasury 2011}}</w:instrText>
      </w:r>
      <w:r w:rsidR="004769DD">
        <w:fldChar w:fldCharType="separate"/>
      </w:r>
      <w:r w:rsidR="00897909" w:rsidRPr="00897909">
        <w:t>(DfT, 2011, H M Treasury, 2011)</w:t>
      </w:r>
      <w:r w:rsidR="004769DD">
        <w:fldChar w:fldCharType="end"/>
      </w:r>
      <w:r w:rsidR="004769DD">
        <w:t>.</w:t>
      </w:r>
      <w:r w:rsidR="0049632C">
        <w:t xml:space="preserve">   In June 2013 they announced a big increase in capital spending on strategic road building</w:t>
      </w:r>
      <w:r w:rsidR="00BD22CB">
        <w:t xml:space="preserve"> from 2015 onwards</w:t>
      </w:r>
      <w:r w:rsidR="0049632C">
        <w:t xml:space="preserve"> </w:t>
      </w:r>
      <w:r w:rsidR="0049632C">
        <w:fldChar w:fldCharType="begin"/>
      </w:r>
      <w:r w:rsidR="000D2C10">
        <w:instrText>ADDIN RW.CITE{{3579 HMTreasury 2013 /pand high speed rail over a longer time period: }}</w:instrText>
      </w:r>
      <w:r w:rsidR="0049632C">
        <w:fldChar w:fldCharType="separate"/>
      </w:r>
      <w:r w:rsidR="00897909" w:rsidRPr="00897909">
        <w:t>(and high speed rail over a longer time period: H M Treasury, 2013)</w:t>
      </w:r>
      <w:r w:rsidR="0049632C">
        <w:fldChar w:fldCharType="end"/>
      </w:r>
      <w:r w:rsidR="0049632C">
        <w:t xml:space="preserve">.  DfT </w:t>
      </w:r>
      <w:r w:rsidR="0049632C">
        <w:fldChar w:fldCharType="begin"/>
      </w:r>
      <w:r w:rsidR="0049632C">
        <w:instrText>ADDIN RW.CITE{{3732 DfT 2015 /a}}</w:instrText>
      </w:r>
      <w:r w:rsidR="0049632C">
        <w:fldChar w:fldCharType="separate"/>
      </w:r>
      <w:r w:rsidR="0049632C" w:rsidRPr="0049632C">
        <w:t>(2015)</w:t>
      </w:r>
      <w:r w:rsidR="0049632C">
        <w:fldChar w:fldCharType="end"/>
      </w:r>
      <w:r w:rsidR="0049632C">
        <w:t xml:space="preserve"> provided more detail in a similar way to DTp (1990); </w:t>
      </w:r>
      <w:r w:rsidR="00243C5F">
        <w:fldChar w:fldCharType="begin"/>
      </w:r>
      <w:r w:rsidR="00243C5F">
        <w:instrText xml:space="preserve"> REF _Ref526865865 \h </w:instrText>
      </w:r>
      <w:r w:rsidR="00243C5F">
        <w:fldChar w:fldCharType="separate"/>
      </w:r>
      <w:r w:rsidR="0027625B" w:rsidRPr="00236516">
        <w:t xml:space="preserve">Table </w:t>
      </w:r>
      <w:r w:rsidR="0027625B">
        <w:rPr>
          <w:noProof/>
        </w:rPr>
        <w:t>1</w:t>
      </w:r>
      <w:r w:rsidR="00243C5F">
        <w:fldChar w:fldCharType="end"/>
      </w:r>
      <w:r w:rsidR="00243C5F">
        <w:t xml:space="preserve"> </w:t>
      </w:r>
      <w:r w:rsidR="0049632C">
        <w:t>compares</w:t>
      </w:r>
      <w:r w:rsidR="00E15E09">
        <w:t xml:space="preserve"> the six-year budget trajectories </w:t>
      </w:r>
      <w:r w:rsidR="00243C5F">
        <w:t>contained in</w:t>
      </w:r>
      <w:r w:rsidR="00E15E09">
        <w:t xml:space="preserve"> the two reports, using the Retail Price Index </w:t>
      </w:r>
      <w:r w:rsidR="00243C5F">
        <w:t xml:space="preserve">(RPI) </w:t>
      </w:r>
      <w:r w:rsidR="00E15E09">
        <w:t>to uprate DTp (1990) to 2015 prices.</w:t>
      </w:r>
      <w:r w:rsidR="00243C5F">
        <w:t xml:space="preserve">  </w:t>
      </w:r>
      <w:r w:rsidR="000D2C10">
        <w:t>I</w:t>
      </w:r>
      <w:r w:rsidR="00E15E09">
        <w:t xml:space="preserve">f the Road Construction Price Index </w:t>
      </w:r>
      <w:r w:rsidR="00E15E09">
        <w:fldChar w:fldCharType="begin"/>
      </w:r>
      <w:r w:rsidR="00E15E09">
        <w:instrText>ADDIN RW.CITE{{3940 AECOM 2018}}</w:instrText>
      </w:r>
      <w:r w:rsidR="00E15E09">
        <w:fldChar w:fldCharType="separate"/>
      </w:r>
      <w:r w:rsidR="00897909" w:rsidRPr="00897909">
        <w:t>(AECOM, 2018)</w:t>
      </w:r>
      <w:r w:rsidR="00E15E09">
        <w:fldChar w:fldCharType="end"/>
      </w:r>
      <w:r w:rsidR="00E15E09">
        <w:t xml:space="preserve"> </w:t>
      </w:r>
      <w:r w:rsidR="000C0CCA">
        <w:t>is used instead</w:t>
      </w:r>
      <w:r w:rsidR="00243C5F">
        <w:t xml:space="preserve"> of the RPI</w:t>
      </w:r>
      <w:r w:rsidR="000C0CCA">
        <w:t xml:space="preserve">, </w:t>
      </w:r>
      <w:r w:rsidR="00E15E09">
        <w:t xml:space="preserve">the </w:t>
      </w:r>
      <w:r w:rsidR="000C0CCA">
        <w:t>budget for 2020/21 would buy roughly three quarters of the capital works budgeted for 1992/3.</w:t>
      </w:r>
    </w:p>
    <w:tbl>
      <w:tblPr>
        <w:tblStyle w:val="TableGrid"/>
        <w:tblW w:w="0" w:type="auto"/>
        <w:tblLook w:val="04A0" w:firstRow="1" w:lastRow="0" w:firstColumn="1" w:lastColumn="0" w:noHBand="0" w:noVBand="1"/>
      </w:tblPr>
      <w:tblGrid>
        <w:gridCol w:w="1272"/>
        <w:gridCol w:w="1556"/>
        <w:gridCol w:w="1417"/>
        <w:gridCol w:w="1279"/>
        <w:gridCol w:w="1548"/>
        <w:gridCol w:w="1417"/>
      </w:tblGrid>
      <w:tr w:rsidR="008D7DC0" w14:paraId="1FB12A59" w14:textId="77777777" w:rsidTr="00424250">
        <w:trPr>
          <w:trHeight w:hRule="exact" w:val="454"/>
        </w:trPr>
        <w:tc>
          <w:tcPr>
            <w:tcW w:w="4245" w:type="dxa"/>
            <w:gridSpan w:val="3"/>
            <w:shd w:val="clear" w:color="auto" w:fill="F2F2F2" w:themeFill="background1" w:themeFillShade="F2"/>
            <w:vAlign w:val="bottom"/>
          </w:tcPr>
          <w:p w14:paraId="1EBCC77E" w14:textId="72D84B2D" w:rsidR="008D7DC0" w:rsidRPr="008D7DC0" w:rsidRDefault="008D7DC0" w:rsidP="004B654C">
            <w:pPr>
              <w:pStyle w:val="Newparagraph"/>
              <w:spacing w:before="100" w:beforeAutospacing="1" w:after="100" w:afterAutospacing="1"/>
              <w:ind w:firstLine="0"/>
              <w:jc w:val="center"/>
              <w:rPr>
                <w:rFonts w:ascii="Arial" w:hAnsi="Arial" w:cs="Arial"/>
                <w:sz w:val="22"/>
                <w:szCs w:val="22"/>
              </w:rPr>
            </w:pPr>
            <w:r w:rsidRPr="008D7DC0">
              <w:rPr>
                <w:rFonts w:ascii="Arial" w:hAnsi="Arial" w:cs="Arial"/>
                <w:sz w:val="22"/>
                <w:szCs w:val="22"/>
              </w:rPr>
              <w:t>Trunk Roads England (DTp, 1990)</w:t>
            </w:r>
          </w:p>
        </w:tc>
        <w:tc>
          <w:tcPr>
            <w:tcW w:w="4244" w:type="dxa"/>
            <w:gridSpan w:val="3"/>
            <w:shd w:val="clear" w:color="auto" w:fill="D9D9D9" w:themeFill="background1" w:themeFillShade="D9"/>
            <w:vAlign w:val="bottom"/>
          </w:tcPr>
          <w:p w14:paraId="4B3DDF6D" w14:textId="470EAFDE" w:rsidR="008D7DC0" w:rsidRPr="008D7DC0" w:rsidRDefault="008D7DC0" w:rsidP="004B654C">
            <w:pPr>
              <w:pStyle w:val="Newparagraph"/>
              <w:spacing w:before="100" w:beforeAutospacing="1" w:after="100" w:afterAutospacing="1"/>
              <w:ind w:firstLine="0"/>
              <w:jc w:val="center"/>
              <w:rPr>
                <w:rFonts w:ascii="Arial" w:hAnsi="Arial" w:cs="Arial"/>
                <w:sz w:val="22"/>
                <w:szCs w:val="22"/>
              </w:rPr>
            </w:pPr>
            <w:r w:rsidRPr="008D7DC0">
              <w:rPr>
                <w:rFonts w:ascii="Arial" w:hAnsi="Arial" w:cs="Arial"/>
                <w:sz w:val="22"/>
                <w:szCs w:val="22"/>
              </w:rPr>
              <w:t>Road Investment Strategy (DfT, 2015)</w:t>
            </w:r>
          </w:p>
        </w:tc>
      </w:tr>
      <w:tr w:rsidR="008D7DC0" w:rsidRPr="004B2117" w14:paraId="40D6F5F4" w14:textId="77777777" w:rsidTr="00424250">
        <w:trPr>
          <w:trHeight w:hRule="exact" w:val="590"/>
        </w:trPr>
        <w:tc>
          <w:tcPr>
            <w:tcW w:w="1272" w:type="dxa"/>
            <w:shd w:val="clear" w:color="auto" w:fill="F2F2F2" w:themeFill="background1" w:themeFillShade="F2"/>
            <w:vAlign w:val="bottom"/>
          </w:tcPr>
          <w:p w14:paraId="389E07BB" w14:textId="77777777" w:rsidR="008D7DC0" w:rsidRPr="004B2117" w:rsidRDefault="008D7DC0" w:rsidP="004B654C">
            <w:pPr>
              <w:pStyle w:val="Newparagraph"/>
              <w:spacing w:before="100" w:beforeAutospacing="1" w:after="100" w:afterAutospacing="1" w:line="240" w:lineRule="auto"/>
              <w:ind w:firstLine="0"/>
              <w:rPr>
                <w:rFonts w:ascii="Arial" w:hAnsi="Arial" w:cs="Arial"/>
                <w:color w:val="000000"/>
                <w:sz w:val="22"/>
                <w:szCs w:val="22"/>
              </w:rPr>
            </w:pPr>
            <w:r>
              <w:rPr>
                <w:rFonts w:ascii="Arial" w:hAnsi="Arial" w:cs="Arial"/>
                <w:color w:val="000000"/>
                <w:sz w:val="22"/>
                <w:szCs w:val="22"/>
              </w:rPr>
              <w:t>Financial Year</w:t>
            </w:r>
          </w:p>
        </w:tc>
        <w:tc>
          <w:tcPr>
            <w:tcW w:w="1556" w:type="dxa"/>
            <w:shd w:val="clear" w:color="auto" w:fill="F2F2F2" w:themeFill="background1" w:themeFillShade="F2"/>
            <w:vAlign w:val="bottom"/>
          </w:tcPr>
          <w:p w14:paraId="219B5EC9" w14:textId="77777777" w:rsidR="008D7DC0" w:rsidRPr="004B2117" w:rsidRDefault="008D7DC0" w:rsidP="004B654C">
            <w:pPr>
              <w:pStyle w:val="Newparagraph"/>
              <w:spacing w:before="100" w:beforeAutospacing="1" w:after="100" w:afterAutospacing="1" w:line="240" w:lineRule="auto"/>
              <w:ind w:firstLine="0"/>
              <w:jc w:val="left"/>
              <w:rPr>
                <w:rFonts w:ascii="Arial" w:hAnsi="Arial" w:cs="Arial"/>
                <w:color w:val="000000"/>
                <w:sz w:val="22"/>
                <w:szCs w:val="22"/>
              </w:rPr>
            </w:pPr>
            <w:r>
              <w:rPr>
                <w:rFonts w:ascii="Arial" w:hAnsi="Arial" w:cs="Arial"/>
                <w:color w:val="000000"/>
                <w:sz w:val="22"/>
                <w:szCs w:val="22"/>
              </w:rPr>
              <w:t>Budget (£bn</w:t>
            </w:r>
            <w:r>
              <w:rPr>
                <w:rFonts w:ascii="Arial" w:hAnsi="Arial" w:cs="Arial"/>
                <w:color w:val="000000"/>
                <w:sz w:val="22"/>
                <w:szCs w:val="22"/>
              </w:rPr>
              <w:br/>
              <w:t>2015 prices)</w:t>
            </w:r>
          </w:p>
        </w:tc>
        <w:tc>
          <w:tcPr>
            <w:tcW w:w="1417" w:type="dxa"/>
            <w:shd w:val="clear" w:color="auto" w:fill="F2F2F2" w:themeFill="background1" w:themeFillShade="F2"/>
            <w:vAlign w:val="bottom"/>
          </w:tcPr>
          <w:p w14:paraId="6090144B" w14:textId="77777777" w:rsidR="008D7DC0" w:rsidRDefault="008D7DC0" w:rsidP="004B654C">
            <w:pPr>
              <w:pStyle w:val="Newparagraph"/>
              <w:spacing w:before="100" w:beforeAutospacing="1" w:after="100" w:afterAutospacing="1" w:line="240" w:lineRule="auto"/>
              <w:ind w:firstLine="0"/>
              <w:jc w:val="left"/>
              <w:rPr>
                <w:rFonts w:ascii="Arial" w:hAnsi="Arial" w:cs="Arial"/>
              </w:rPr>
            </w:pPr>
            <w:r>
              <w:rPr>
                <w:rFonts w:ascii="Arial" w:hAnsi="Arial" w:cs="Arial"/>
              </w:rPr>
              <w:t>Cumulative</w:t>
            </w:r>
          </w:p>
          <w:p w14:paraId="126761D5" w14:textId="77777777" w:rsidR="008D7DC0" w:rsidRPr="004B2117" w:rsidRDefault="008D7DC0" w:rsidP="004B654C">
            <w:pPr>
              <w:pStyle w:val="Newparagraph"/>
              <w:spacing w:before="100" w:beforeAutospacing="1" w:after="100" w:afterAutospacing="1" w:line="240" w:lineRule="auto"/>
              <w:ind w:firstLine="0"/>
              <w:jc w:val="left"/>
              <w:rPr>
                <w:rFonts w:ascii="Arial" w:hAnsi="Arial" w:cs="Arial"/>
              </w:rPr>
            </w:pPr>
            <w:r>
              <w:rPr>
                <w:rFonts w:ascii="Arial" w:hAnsi="Arial" w:cs="Arial"/>
              </w:rPr>
              <w:t>Increase</w:t>
            </w:r>
          </w:p>
        </w:tc>
        <w:tc>
          <w:tcPr>
            <w:tcW w:w="1279" w:type="dxa"/>
            <w:shd w:val="clear" w:color="auto" w:fill="D9D9D9" w:themeFill="background1" w:themeFillShade="D9"/>
            <w:vAlign w:val="bottom"/>
          </w:tcPr>
          <w:p w14:paraId="2320E107" w14:textId="77777777" w:rsidR="008D7DC0" w:rsidRPr="004B2117" w:rsidRDefault="008D7DC0" w:rsidP="004B654C">
            <w:pPr>
              <w:pStyle w:val="Newparagraph"/>
              <w:spacing w:before="100" w:beforeAutospacing="1" w:after="100" w:afterAutospacing="1" w:line="240" w:lineRule="auto"/>
              <w:ind w:firstLine="0"/>
              <w:jc w:val="left"/>
              <w:rPr>
                <w:rFonts w:ascii="Arial" w:hAnsi="Arial" w:cs="Arial"/>
                <w:color w:val="000000"/>
                <w:sz w:val="22"/>
                <w:szCs w:val="22"/>
              </w:rPr>
            </w:pPr>
            <w:r>
              <w:rPr>
                <w:rFonts w:ascii="Arial" w:hAnsi="Arial" w:cs="Arial"/>
                <w:color w:val="000000"/>
                <w:sz w:val="22"/>
                <w:szCs w:val="22"/>
              </w:rPr>
              <w:t>Financial Year</w:t>
            </w:r>
          </w:p>
        </w:tc>
        <w:tc>
          <w:tcPr>
            <w:tcW w:w="1548" w:type="dxa"/>
            <w:shd w:val="clear" w:color="auto" w:fill="D9D9D9" w:themeFill="background1" w:themeFillShade="D9"/>
            <w:vAlign w:val="bottom"/>
          </w:tcPr>
          <w:p w14:paraId="3F65894F" w14:textId="77777777" w:rsidR="008D7DC0" w:rsidRPr="004B2117" w:rsidRDefault="008D7DC0" w:rsidP="004B654C">
            <w:pPr>
              <w:pStyle w:val="Newparagraph"/>
              <w:spacing w:before="100" w:beforeAutospacing="1" w:after="100" w:afterAutospacing="1" w:line="240" w:lineRule="auto"/>
              <w:ind w:firstLine="0"/>
              <w:jc w:val="left"/>
              <w:rPr>
                <w:rFonts w:ascii="Arial" w:hAnsi="Arial" w:cs="Arial"/>
                <w:color w:val="000000"/>
                <w:sz w:val="22"/>
                <w:szCs w:val="22"/>
              </w:rPr>
            </w:pPr>
            <w:r>
              <w:rPr>
                <w:rFonts w:ascii="Arial" w:hAnsi="Arial" w:cs="Arial"/>
                <w:color w:val="000000"/>
                <w:sz w:val="22"/>
                <w:szCs w:val="22"/>
              </w:rPr>
              <w:t>Budget (£bn</w:t>
            </w:r>
            <w:r>
              <w:rPr>
                <w:rFonts w:ascii="Arial" w:hAnsi="Arial" w:cs="Arial"/>
                <w:color w:val="000000"/>
                <w:sz w:val="22"/>
                <w:szCs w:val="22"/>
              </w:rPr>
              <w:br/>
              <w:t>2015 prices)</w:t>
            </w:r>
          </w:p>
        </w:tc>
        <w:tc>
          <w:tcPr>
            <w:tcW w:w="1417" w:type="dxa"/>
            <w:shd w:val="clear" w:color="auto" w:fill="D9D9D9" w:themeFill="background1" w:themeFillShade="D9"/>
            <w:vAlign w:val="bottom"/>
          </w:tcPr>
          <w:p w14:paraId="35516548" w14:textId="77777777" w:rsidR="008D7DC0" w:rsidRDefault="008D7DC0" w:rsidP="004B654C">
            <w:pPr>
              <w:pStyle w:val="Newparagraph"/>
              <w:spacing w:before="100" w:beforeAutospacing="1" w:after="100" w:afterAutospacing="1" w:line="240" w:lineRule="auto"/>
              <w:ind w:firstLine="0"/>
              <w:jc w:val="left"/>
              <w:rPr>
                <w:rFonts w:ascii="Arial" w:hAnsi="Arial" w:cs="Arial"/>
              </w:rPr>
            </w:pPr>
            <w:r>
              <w:rPr>
                <w:rFonts w:ascii="Arial" w:hAnsi="Arial" w:cs="Arial"/>
              </w:rPr>
              <w:t>Cumulative</w:t>
            </w:r>
          </w:p>
          <w:p w14:paraId="0EA73CDF" w14:textId="77777777" w:rsidR="008D7DC0" w:rsidRPr="004B2117" w:rsidRDefault="008D7DC0" w:rsidP="004B654C">
            <w:pPr>
              <w:pStyle w:val="Newparagraph"/>
              <w:spacing w:before="100" w:beforeAutospacing="1" w:after="100" w:afterAutospacing="1" w:line="240" w:lineRule="auto"/>
              <w:ind w:firstLine="0"/>
              <w:jc w:val="left"/>
              <w:rPr>
                <w:rFonts w:ascii="Arial" w:hAnsi="Arial" w:cs="Arial"/>
              </w:rPr>
            </w:pPr>
            <w:r>
              <w:rPr>
                <w:rFonts w:ascii="Arial" w:hAnsi="Arial" w:cs="Arial"/>
              </w:rPr>
              <w:t>Increase</w:t>
            </w:r>
          </w:p>
        </w:tc>
      </w:tr>
      <w:tr w:rsidR="008D7DC0" w:rsidRPr="004B2117" w14:paraId="1DCC55E6" w14:textId="77777777" w:rsidTr="00424250">
        <w:trPr>
          <w:trHeight w:hRule="exact" w:val="454"/>
        </w:trPr>
        <w:tc>
          <w:tcPr>
            <w:tcW w:w="1272" w:type="dxa"/>
            <w:vAlign w:val="bottom"/>
          </w:tcPr>
          <w:p w14:paraId="11A65B4C"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1987/88</w:t>
            </w:r>
          </w:p>
        </w:tc>
        <w:tc>
          <w:tcPr>
            <w:tcW w:w="1556" w:type="dxa"/>
          </w:tcPr>
          <w:p w14:paraId="36093B4A" w14:textId="77777777" w:rsidR="008D7DC0" w:rsidRPr="00DE6817" w:rsidRDefault="008D7DC0" w:rsidP="004B654C">
            <w:pPr>
              <w:pStyle w:val="Newparagraph"/>
              <w:spacing w:before="100" w:beforeAutospacing="1" w:after="100" w:afterAutospacing="1"/>
              <w:ind w:firstLine="0"/>
              <w:jc w:val="right"/>
              <w:rPr>
                <w:rFonts w:ascii="Arial" w:hAnsi="Arial" w:cs="Arial"/>
                <w:color w:val="000000"/>
                <w:sz w:val="22"/>
                <w:szCs w:val="22"/>
              </w:rPr>
            </w:pPr>
            <w:r w:rsidRPr="00DE6817">
              <w:rPr>
                <w:rFonts w:ascii="Arial" w:hAnsi="Arial" w:cs="Arial"/>
                <w:color w:val="000000"/>
                <w:sz w:val="22"/>
                <w:szCs w:val="22"/>
              </w:rPr>
              <w:t xml:space="preserve"> 1,245 </w:t>
            </w:r>
          </w:p>
        </w:tc>
        <w:tc>
          <w:tcPr>
            <w:tcW w:w="1417" w:type="dxa"/>
            <w:vAlign w:val="bottom"/>
          </w:tcPr>
          <w:p w14:paraId="1B346711" w14:textId="77777777" w:rsidR="008D7DC0" w:rsidRPr="004B2117" w:rsidRDefault="008D7DC0" w:rsidP="004B654C">
            <w:pPr>
              <w:pStyle w:val="Newparagraph"/>
              <w:spacing w:before="100" w:beforeAutospacing="1" w:after="100" w:afterAutospacing="1"/>
              <w:ind w:firstLine="0"/>
              <w:jc w:val="right"/>
              <w:rPr>
                <w:rFonts w:ascii="Arial" w:hAnsi="Arial" w:cs="Arial"/>
              </w:rPr>
            </w:pPr>
          </w:p>
        </w:tc>
        <w:tc>
          <w:tcPr>
            <w:tcW w:w="1279" w:type="dxa"/>
            <w:vAlign w:val="bottom"/>
          </w:tcPr>
          <w:p w14:paraId="4462C134"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2015/16</w:t>
            </w:r>
          </w:p>
        </w:tc>
        <w:tc>
          <w:tcPr>
            <w:tcW w:w="1548" w:type="dxa"/>
            <w:vAlign w:val="bottom"/>
          </w:tcPr>
          <w:p w14:paraId="1B9AD36A"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1,064</w:t>
            </w:r>
          </w:p>
        </w:tc>
        <w:tc>
          <w:tcPr>
            <w:tcW w:w="1417" w:type="dxa"/>
            <w:vAlign w:val="bottom"/>
          </w:tcPr>
          <w:p w14:paraId="1DAD5616" w14:textId="77777777" w:rsidR="008D7DC0" w:rsidRPr="004B2117" w:rsidRDefault="008D7DC0" w:rsidP="004B654C">
            <w:pPr>
              <w:pStyle w:val="Newparagraph"/>
              <w:spacing w:before="100" w:beforeAutospacing="1" w:after="100" w:afterAutospacing="1"/>
              <w:ind w:firstLine="0"/>
              <w:jc w:val="right"/>
              <w:rPr>
                <w:rFonts w:ascii="Arial" w:hAnsi="Arial" w:cs="Arial"/>
              </w:rPr>
            </w:pPr>
          </w:p>
        </w:tc>
      </w:tr>
      <w:tr w:rsidR="008D7DC0" w:rsidRPr="004B2117" w14:paraId="4AE5DF12" w14:textId="77777777" w:rsidTr="00424250">
        <w:trPr>
          <w:trHeight w:hRule="exact" w:val="454"/>
        </w:trPr>
        <w:tc>
          <w:tcPr>
            <w:tcW w:w="1272" w:type="dxa"/>
            <w:vAlign w:val="bottom"/>
          </w:tcPr>
          <w:p w14:paraId="43080C1B"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1988/</w:t>
            </w:r>
            <w:r>
              <w:rPr>
                <w:rFonts w:ascii="Arial" w:hAnsi="Arial" w:cs="Arial"/>
                <w:color w:val="000000"/>
                <w:sz w:val="22"/>
                <w:szCs w:val="22"/>
              </w:rPr>
              <w:t>89</w:t>
            </w:r>
          </w:p>
        </w:tc>
        <w:tc>
          <w:tcPr>
            <w:tcW w:w="1556" w:type="dxa"/>
          </w:tcPr>
          <w:p w14:paraId="26C54073" w14:textId="77777777" w:rsidR="008D7DC0" w:rsidRPr="00DE6817" w:rsidRDefault="008D7DC0" w:rsidP="004B654C">
            <w:pPr>
              <w:pStyle w:val="Newparagraph"/>
              <w:spacing w:before="100" w:beforeAutospacing="1" w:after="100" w:afterAutospacing="1"/>
              <w:ind w:firstLine="0"/>
              <w:jc w:val="right"/>
              <w:rPr>
                <w:rFonts w:ascii="Arial" w:hAnsi="Arial" w:cs="Arial"/>
                <w:color w:val="000000"/>
                <w:sz w:val="22"/>
                <w:szCs w:val="22"/>
              </w:rPr>
            </w:pPr>
            <w:r w:rsidRPr="00DE6817">
              <w:rPr>
                <w:rFonts w:ascii="Arial" w:hAnsi="Arial" w:cs="Arial"/>
                <w:color w:val="000000"/>
                <w:sz w:val="22"/>
                <w:szCs w:val="22"/>
              </w:rPr>
              <w:t xml:space="preserve"> 1,450 </w:t>
            </w:r>
          </w:p>
        </w:tc>
        <w:tc>
          <w:tcPr>
            <w:tcW w:w="1417" w:type="dxa"/>
            <w:vAlign w:val="bottom"/>
          </w:tcPr>
          <w:p w14:paraId="7846510B"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16%</w:t>
            </w:r>
          </w:p>
        </w:tc>
        <w:tc>
          <w:tcPr>
            <w:tcW w:w="1279" w:type="dxa"/>
            <w:vAlign w:val="bottom"/>
          </w:tcPr>
          <w:p w14:paraId="3CA007F6"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2016/17</w:t>
            </w:r>
          </w:p>
        </w:tc>
        <w:tc>
          <w:tcPr>
            <w:tcW w:w="1548" w:type="dxa"/>
            <w:vAlign w:val="bottom"/>
          </w:tcPr>
          <w:p w14:paraId="625E30AC"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1,101</w:t>
            </w:r>
          </w:p>
        </w:tc>
        <w:tc>
          <w:tcPr>
            <w:tcW w:w="1417" w:type="dxa"/>
            <w:vAlign w:val="bottom"/>
          </w:tcPr>
          <w:p w14:paraId="527E1B30"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3%</w:t>
            </w:r>
          </w:p>
        </w:tc>
      </w:tr>
      <w:tr w:rsidR="008D7DC0" w:rsidRPr="004B2117" w14:paraId="3A35F0A0" w14:textId="77777777" w:rsidTr="00424250">
        <w:trPr>
          <w:trHeight w:hRule="exact" w:val="454"/>
        </w:trPr>
        <w:tc>
          <w:tcPr>
            <w:tcW w:w="1272" w:type="dxa"/>
            <w:vAlign w:val="bottom"/>
          </w:tcPr>
          <w:p w14:paraId="6FAB9F2F"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1989/90</w:t>
            </w:r>
          </w:p>
        </w:tc>
        <w:tc>
          <w:tcPr>
            <w:tcW w:w="1556" w:type="dxa"/>
          </w:tcPr>
          <w:p w14:paraId="2606D2A0" w14:textId="77777777" w:rsidR="008D7DC0" w:rsidRPr="00DE6817" w:rsidRDefault="008D7DC0" w:rsidP="004B654C">
            <w:pPr>
              <w:pStyle w:val="Newparagraph"/>
              <w:spacing w:before="100" w:beforeAutospacing="1" w:after="100" w:afterAutospacing="1"/>
              <w:ind w:firstLine="0"/>
              <w:jc w:val="right"/>
              <w:rPr>
                <w:rFonts w:ascii="Arial" w:hAnsi="Arial" w:cs="Arial"/>
                <w:color w:val="000000"/>
                <w:sz w:val="22"/>
                <w:szCs w:val="22"/>
              </w:rPr>
            </w:pPr>
            <w:r w:rsidRPr="00DE6817">
              <w:rPr>
                <w:rFonts w:ascii="Arial" w:hAnsi="Arial" w:cs="Arial"/>
                <w:color w:val="000000"/>
                <w:sz w:val="22"/>
                <w:szCs w:val="22"/>
              </w:rPr>
              <w:t xml:space="preserve"> 1,970 </w:t>
            </w:r>
          </w:p>
        </w:tc>
        <w:tc>
          <w:tcPr>
            <w:tcW w:w="1417" w:type="dxa"/>
            <w:vAlign w:val="bottom"/>
          </w:tcPr>
          <w:p w14:paraId="6ECB0409"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58%</w:t>
            </w:r>
          </w:p>
        </w:tc>
        <w:tc>
          <w:tcPr>
            <w:tcW w:w="1279" w:type="dxa"/>
            <w:vAlign w:val="bottom"/>
          </w:tcPr>
          <w:p w14:paraId="7D66CB25"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2017/18</w:t>
            </w:r>
          </w:p>
        </w:tc>
        <w:tc>
          <w:tcPr>
            <w:tcW w:w="1548" w:type="dxa"/>
            <w:vAlign w:val="bottom"/>
          </w:tcPr>
          <w:p w14:paraId="6B8C50A3"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1,509</w:t>
            </w:r>
          </w:p>
        </w:tc>
        <w:tc>
          <w:tcPr>
            <w:tcW w:w="1417" w:type="dxa"/>
            <w:vAlign w:val="bottom"/>
          </w:tcPr>
          <w:p w14:paraId="00FE6359"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42%</w:t>
            </w:r>
          </w:p>
        </w:tc>
      </w:tr>
      <w:tr w:rsidR="008D7DC0" w:rsidRPr="004B2117" w14:paraId="0773311E" w14:textId="77777777" w:rsidTr="00424250">
        <w:trPr>
          <w:trHeight w:hRule="exact" w:val="454"/>
        </w:trPr>
        <w:tc>
          <w:tcPr>
            <w:tcW w:w="1272" w:type="dxa"/>
            <w:vAlign w:val="bottom"/>
          </w:tcPr>
          <w:p w14:paraId="425CF2CF"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1990/91</w:t>
            </w:r>
          </w:p>
        </w:tc>
        <w:tc>
          <w:tcPr>
            <w:tcW w:w="1556" w:type="dxa"/>
          </w:tcPr>
          <w:p w14:paraId="02DBB57C" w14:textId="77777777" w:rsidR="008D7DC0" w:rsidRPr="00DE6817" w:rsidRDefault="008D7DC0" w:rsidP="004B654C">
            <w:pPr>
              <w:pStyle w:val="Newparagraph"/>
              <w:spacing w:before="100" w:beforeAutospacing="1" w:after="100" w:afterAutospacing="1"/>
              <w:ind w:firstLine="0"/>
              <w:jc w:val="right"/>
              <w:rPr>
                <w:rFonts w:ascii="Arial" w:hAnsi="Arial" w:cs="Arial"/>
                <w:color w:val="000000"/>
                <w:sz w:val="22"/>
                <w:szCs w:val="22"/>
              </w:rPr>
            </w:pPr>
            <w:r w:rsidRPr="00DE6817">
              <w:rPr>
                <w:rFonts w:ascii="Arial" w:hAnsi="Arial" w:cs="Arial"/>
                <w:color w:val="000000"/>
                <w:sz w:val="22"/>
                <w:szCs w:val="22"/>
              </w:rPr>
              <w:t xml:space="preserve"> 2,630 </w:t>
            </w:r>
          </w:p>
        </w:tc>
        <w:tc>
          <w:tcPr>
            <w:tcW w:w="1417" w:type="dxa"/>
            <w:vAlign w:val="bottom"/>
          </w:tcPr>
          <w:p w14:paraId="41CE180F"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111%</w:t>
            </w:r>
          </w:p>
        </w:tc>
        <w:tc>
          <w:tcPr>
            <w:tcW w:w="1279" w:type="dxa"/>
            <w:vAlign w:val="bottom"/>
          </w:tcPr>
          <w:p w14:paraId="1A7DD244"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2018/19</w:t>
            </w:r>
          </w:p>
        </w:tc>
        <w:tc>
          <w:tcPr>
            <w:tcW w:w="1548" w:type="dxa"/>
            <w:vAlign w:val="bottom"/>
          </w:tcPr>
          <w:p w14:paraId="67F84AE0"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1,789</w:t>
            </w:r>
          </w:p>
        </w:tc>
        <w:tc>
          <w:tcPr>
            <w:tcW w:w="1417" w:type="dxa"/>
            <w:vAlign w:val="bottom"/>
          </w:tcPr>
          <w:p w14:paraId="3B5D5ADA"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68%</w:t>
            </w:r>
          </w:p>
        </w:tc>
      </w:tr>
      <w:tr w:rsidR="008D7DC0" w:rsidRPr="004B2117" w14:paraId="53556B6C" w14:textId="77777777" w:rsidTr="00424250">
        <w:trPr>
          <w:trHeight w:hRule="exact" w:val="454"/>
        </w:trPr>
        <w:tc>
          <w:tcPr>
            <w:tcW w:w="1272" w:type="dxa"/>
            <w:vAlign w:val="bottom"/>
          </w:tcPr>
          <w:p w14:paraId="69301028"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1991/92</w:t>
            </w:r>
          </w:p>
        </w:tc>
        <w:tc>
          <w:tcPr>
            <w:tcW w:w="1556" w:type="dxa"/>
          </w:tcPr>
          <w:p w14:paraId="73E8BA93" w14:textId="77777777" w:rsidR="008D7DC0" w:rsidRPr="00DE6817" w:rsidRDefault="008D7DC0" w:rsidP="004B654C">
            <w:pPr>
              <w:pStyle w:val="Newparagraph"/>
              <w:spacing w:before="100" w:beforeAutospacing="1" w:after="100" w:afterAutospacing="1"/>
              <w:ind w:firstLine="0"/>
              <w:jc w:val="right"/>
              <w:rPr>
                <w:rFonts w:ascii="Arial" w:hAnsi="Arial" w:cs="Arial"/>
                <w:color w:val="000000"/>
                <w:sz w:val="22"/>
                <w:szCs w:val="22"/>
              </w:rPr>
            </w:pPr>
            <w:r w:rsidRPr="00DE6817">
              <w:rPr>
                <w:rFonts w:ascii="Arial" w:hAnsi="Arial" w:cs="Arial"/>
                <w:color w:val="000000"/>
                <w:sz w:val="22"/>
                <w:szCs w:val="22"/>
              </w:rPr>
              <w:t xml:space="preserve"> 2,712 </w:t>
            </w:r>
          </w:p>
        </w:tc>
        <w:tc>
          <w:tcPr>
            <w:tcW w:w="1417" w:type="dxa"/>
            <w:vAlign w:val="bottom"/>
          </w:tcPr>
          <w:p w14:paraId="424A96C2"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118%</w:t>
            </w:r>
          </w:p>
        </w:tc>
        <w:tc>
          <w:tcPr>
            <w:tcW w:w="1279" w:type="dxa"/>
            <w:vAlign w:val="bottom"/>
          </w:tcPr>
          <w:p w14:paraId="428665F8"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2019/20</w:t>
            </w:r>
          </w:p>
        </w:tc>
        <w:tc>
          <w:tcPr>
            <w:tcW w:w="1548" w:type="dxa"/>
            <w:vAlign w:val="bottom"/>
          </w:tcPr>
          <w:p w14:paraId="3902BE99"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2,230</w:t>
            </w:r>
          </w:p>
        </w:tc>
        <w:tc>
          <w:tcPr>
            <w:tcW w:w="1417" w:type="dxa"/>
            <w:vAlign w:val="bottom"/>
          </w:tcPr>
          <w:p w14:paraId="3956D5D0"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110%</w:t>
            </w:r>
          </w:p>
        </w:tc>
      </w:tr>
      <w:tr w:rsidR="008D7DC0" w:rsidRPr="004B2117" w14:paraId="62259EB4" w14:textId="77777777" w:rsidTr="00424250">
        <w:trPr>
          <w:trHeight w:hRule="exact" w:val="454"/>
        </w:trPr>
        <w:tc>
          <w:tcPr>
            <w:tcW w:w="1272" w:type="dxa"/>
            <w:vAlign w:val="bottom"/>
          </w:tcPr>
          <w:p w14:paraId="0F06E66E"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1992/93</w:t>
            </w:r>
          </w:p>
        </w:tc>
        <w:tc>
          <w:tcPr>
            <w:tcW w:w="1556" w:type="dxa"/>
          </w:tcPr>
          <w:p w14:paraId="16C2B56C" w14:textId="77777777" w:rsidR="008D7DC0" w:rsidRPr="00DE6817" w:rsidRDefault="008D7DC0" w:rsidP="004B654C">
            <w:pPr>
              <w:pStyle w:val="Newparagraph"/>
              <w:spacing w:before="100" w:beforeAutospacing="1" w:after="100" w:afterAutospacing="1"/>
              <w:ind w:firstLine="0"/>
              <w:jc w:val="right"/>
              <w:rPr>
                <w:rFonts w:ascii="Arial" w:hAnsi="Arial" w:cs="Arial"/>
                <w:color w:val="000000"/>
                <w:sz w:val="22"/>
                <w:szCs w:val="22"/>
              </w:rPr>
            </w:pPr>
            <w:r w:rsidRPr="00DE6817">
              <w:rPr>
                <w:rFonts w:ascii="Arial" w:hAnsi="Arial" w:cs="Arial"/>
                <w:color w:val="000000"/>
                <w:sz w:val="22"/>
                <w:szCs w:val="22"/>
              </w:rPr>
              <w:t xml:space="preserve"> 2,878 </w:t>
            </w:r>
          </w:p>
        </w:tc>
        <w:tc>
          <w:tcPr>
            <w:tcW w:w="1417" w:type="dxa"/>
            <w:vAlign w:val="bottom"/>
          </w:tcPr>
          <w:p w14:paraId="46B6B132"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131%</w:t>
            </w:r>
          </w:p>
        </w:tc>
        <w:tc>
          <w:tcPr>
            <w:tcW w:w="1279" w:type="dxa"/>
            <w:vAlign w:val="bottom"/>
          </w:tcPr>
          <w:p w14:paraId="69B8B782" w14:textId="77777777" w:rsidR="008D7DC0" w:rsidRPr="004B2117" w:rsidRDefault="008D7DC0" w:rsidP="004B654C">
            <w:pPr>
              <w:pStyle w:val="Newparagraph"/>
              <w:spacing w:before="100" w:beforeAutospacing="1" w:after="100" w:afterAutospacing="1"/>
              <w:ind w:firstLine="0"/>
              <w:rPr>
                <w:rFonts w:ascii="Arial" w:hAnsi="Arial" w:cs="Arial"/>
              </w:rPr>
            </w:pPr>
            <w:r w:rsidRPr="004B2117">
              <w:rPr>
                <w:rFonts w:ascii="Arial" w:hAnsi="Arial" w:cs="Arial"/>
                <w:color w:val="000000"/>
                <w:sz w:val="22"/>
                <w:szCs w:val="22"/>
              </w:rPr>
              <w:t>2020/21</w:t>
            </w:r>
          </w:p>
        </w:tc>
        <w:tc>
          <w:tcPr>
            <w:tcW w:w="1548" w:type="dxa"/>
            <w:vAlign w:val="bottom"/>
          </w:tcPr>
          <w:p w14:paraId="6E64E917"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3,114</w:t>
            </w:r>
          </w:p>
        </w:tc>
        <w:tc>
          <w:tcPr>
            <w:tcW w:w="1417" w:type="dxa"/>
            <w:vAlign w:val="bottom"/>
          </w:tcPr>
          <w:p w14:paraId="304F02A7" w14:textId="77777777" w:rsidR="008D7DC0" w:rsidRPr="004B2117" w:rsidRDefault="008D7DC0" w:rsidP="004B654C">
            <w:pPr>
              <w:pStyle w:val="Newparagraph"/>
              <w:spacing w:before="100" w:beforeAutospacing="1" w:after="100" w:afterAutospacing="1"/>
              <w:ind w:firstLine="0"/>
              <w:jc w:val="right"/>
              <w:rPr>
                <w:rFonts w:ascii="Arial" w:hAnsi="Arial" w:cs="Arial"/>
              </w:rPr>
            </w:pPr>
            <w:r w:rsidRPr="004B2117">
              <w:rPr>
                <w:rFonts w:ascii="Arial" w:hAnsi="Arial" w:cs="Arial"/>
                <w:color w:val="000000"/>
                <w:sz w:val="22"/>
                <w:szCs w:val="22"/>
              </w:rPr>
              <w:t>193%</w:t>
            </w:r>
          </w:p>
        </w:tc>
      </w:tr>
    </w:tbl>
    <w:p w14:paraId="46342C0A" w14:textId="2574CADA" w:rsidR="00243C5F" w:rsidRPr="00236516" w:rsidRDefault="00243C5F" w:rsidP="004B654C">
      <w:pPr>
        <w:pStyle w:val="Caption"/>
        <w:spacing w:before="100" w:beforeAutospacing="1" w:after="100" w:afterAutospacing="1" w:line="480" w:lineRule="auto"/>
      </w:pPr>
      <w:bookmarkStart w:id="4" w:name="_Ref526865865"/>
      <w:bookmarkStart w:id="5" w:name="_Ref527039828"/>
      <w:bookmarkStart w:id="6" w:name="_Ref526850335"/>
      <w:bookmarkStart w:id="7" w:name="_Ref526850338"/>
      <w:r w:rsidRPr="00236516">
        <w:t xml:space="preserve">Table </w:t>
      </w:r>
      <w:r w:rsidR="00702F05">
        <w:rPr>
          <w:noProof/>
        </w:rPr>
        <w:fldChar w:fldCharType="begin"/>
      </w:r>
      <w:r w:rsidR="00702F05">
        <w:rPr>
          <w:noProof/>
        </w:rPr>
        <w:instrText xml:space="preserve"> SEQ Table \* ARABIC </w:instrText>
      </w:r>
      <w:r w:rsidR="00702F05">
        <w:rPr>
          <w:noProof/>
        </w:rPr>
        <w:fldChar w:fldCharType="separate"/>
      </w:r>
      <w:r w:rsidR="0027625B">
        <w:rPr>
          <w:noProof/>
        </w:rPr>
        <w:t>1</w:t>
      </w:r>
      <w:r w:rsidR="00702F05">
        <w:rPr>
          <w:noProof/>
        </w:rPr>
        <w:fldChar w:fldCharType="end"/>
      </w:r>
      <w:bookmarkEnd w:id="4"/>
      <w:r w:rsidR="005762E9">
        <w:rPr>
          <w:noProof/>
        </w:rPr>
        <w:t xml:space="preserve"> - </w:t>
      </w:r>
      <w:r w:rsidRPr="00236516">
        <w:t>Strategic Road Building Programmes Compared, in Constant Prices</w:t>
      </w:r>
      <w:bookmarkEnd w:id="5"/>
    </w:p>
    <w:bookmarkEnd w:id="6"/>
    <w:bookmarkEnd w:id="7"/>
    <w:p w14:paraId="002D177A" w14:textId="217893F2" w:rsidR="00905423" w:rsidRDefault="00905423" w:rsidP="004B654C">
      <w:pPr>
        <w:pStyle w:val="Paragraph"/>
        <w:spacing w:before="100" w:beforeAutospacing="1" w:after="100" w:afterAutospacing="1"/>
        <w:rPr>
          <w:lang w:eastAsia="zh-CN"/>
        </w:rPr>
      </w:pPr>
      <w:r>
        <w:rPr>
          <w:lang w:eastAsia="zh-CN"/>
        </w:rPr>
        <w:t>In between the two periods shown, spending on road building (</w:t>
      </w:r>
      <w:r>
        <w:rPr>
          <w:lang w:eastAsia="zh-CN"/>
        </w:rPr>
        <w:fldChar w:fldCharType="begin"/>
      </w:r>
      <w:r>
        <w:rPr>
          <w:lang w:eastAsia="zh-CN"/>
        </w:rPr>
        <w:instrText xml:space="preserve"> REF _Ref527123514 \h </w:instrText>
      </w:r>
      <w:r>
        <w:rPr>
          <w:lang w:eastAsia="zh-CN"/>
        </w:rPr>
      </w:r>
      <w:r>
        <w:rPr>
          <w:lang w:eastAsia="zh-CN"/>
        </w:rPr>
        <w:fldChar w:fldCharType="separate"/>
      </w:r>
      <w:r w:rsidR="0027625B">
        <w:t xml:space="preserve">Figure </w:t>
      </w:r>
      <w:r w:rsidR="0027625B">
        <w:rPr>
          <w:noProof/>
        </w:rPr>
        <w:t>2</w:t>
      </w:r>
      <w:r>
        <w:rPr>
          <w:lang w:eastAsia="zh-CN"/>
        </w:rPr>
        <w:fldChar w:fldCharType="end"/>
      </w:r>
      <w:r w:rsidR="00F67DC5">
        <w:rPr>
          <w:lang w:eastAsia="zh-CN"/>
        </w:rPr>
        <w:t xml:space="preserve"> </w:t>
      </w:r>
      <w:r w:rsidR="00F67DC5">
        <w:rPr>
          <w:lang w:eastAsia="zh-CN"/>
        </w:rPr>
        <w:fldChar w:fldCharType="begin"/>
      </w:r>
      <w:r w:rsidR="00F67DC5">
        <w:rPr>
          <w:lang w:eastAsia="zh-CN"/>
        </w:rPr>
        <w:instrText xml:space="preserve"> REF _Ref10022442 \p \h </w:instrText>
      </w:r>
      <w:r w:rsidR="00F67DC5">
        <w:rPr>
          <w:lang w:eastAsia="zh-CN"/>
        </w:rPr>
      </w:r>
      <w:r w:rsidR="00F67DC5">
        <w:rPr>
          <w:lang w:eastAsia="zh-CN"/>
        </w:rPr>
        <w:fldChar w:fldCharType="separate"/>
      </w:r>
      <w:r w:rsidR="0027625B">
        <w:rPr>
          <w:lang w:eastAsia="zh-CN"/>
        </w:rPr>
        <w:t>below</w:t>
      </w:r>
      <w:r w:rsidR="00F67DC5">
        <w:rPr>
          <w:lang w:eastAsia="zh-CN"/>
        </w:rPr>
        <w:fldChar w:fldCharType="end"/>
      </w:r>
      <w:r>
        <w:rPr>
          <w:lang w:eastAsia="zh-CN"/>
        </w:rPr>
        <w:t>), and transport as a whole, declined r</w:t>
      </w:r>
      <w:r w:rsidR="00F67DC5">
        <w:rPr>
          <w:lang w:eastAsia="zh-CN"/>
        </w:rPr>
        <w:t>apidly and then recovered</w:t>
      </w:r>
      <w:r>
        <w:rPr>
          <w:lang w:eastAsia="zh-CN"/>
        </w:rPr>
        <w:t>.  Between</w:t>
      </w:r>
      <w:r w:rsidR="00F67DC5">
        <w:rPr>
          <w:lang w:eastAsia="zh-CN"/>
        </w:rPr>
        <w:t xml:space="preserve"> 1994/5 and 1999/2000 government spending on transport halved as a proportion of national income</w:t>
      </w:r>
      <w:r>
        <w:rPr>
          <w:lang w:eastAsia="zh-CN"/>
        </w:rPr>
        <w:t xml:space="preserve"> </w:t>
      </w:r>
      <w:r w:rsidR="00F67DC5">
        <w:rPr>
          <w:lang w:eastAsia="zh-CN"/>
        </w:rPr>
        <w:fldChar w:fldCharType="begin"/>
      </w:r>
      <w:r w:rsidR="00F67DC5">
        <w:rPr>
          <w:lang w:eastAsia="zh-CN"/>
        </w:rPr>
        <w:instrText>ADDIN RW.CITE{{4110 Keynes,S 2014}}</w:instrText>
      </w:r>
      <w:r w:rsidR="00F67DC5">
        <w:rPr>
          <w:lang w:eastAsia="zh-CN"/>
        </w:rPr>
        <w:fldChar w:fldCharType="separate"/>
      </w:r>
      <w:r w:rsidR="00897909" w:rsidRPr="00897909">
        <w:rPr>
          <w:lang w:eastAsia="zh-CN"/>
        </w:rPr>
        <w:t>(Keynes and Tetlow, 2014)</w:t>
      </w:r>
      <w:r w:rsidR="00F67DC5">
        <w:rPr>
          <w:lang w:eastAsia="zh-CN"/>
        </w:rPr>
        <w:fldChar w:fldCharType="end"/>
      </w:r>
      <w:r w:rsidR="00F67DC5">
        <w:rPr>
          <w:lang w:eastAsia="zh-CN"/>
        </w:rPr>
        <w:t>.</w:t>
      </w:r>
    </w:p>
    <w:p w14:paraId="20B8ADE5" w14:textId="13933B2F" w:rsidR="006C43BF" w:rsidRDefault="00243C5F" w:rsidP="004B654C">
      <w:pPr>
        <w:pStyle w:val="Paragraph"/>
        <w:spacing w:before="100" w:beforeAutospacing="1" w:after="100" w:afterAutospacing="1"/>
        <w:rPr>
          <w:lang w:eastAsia="zh-CN"/>
        </w:rPr>
      </w:pPr>
      <w:r>
        <w:rPr>
          <w:lang w:eastAsia="zh-CN"/>
        </w:rPr>
        <w:fldChar w:fldCharType="begin"/>
      </w:r>
      <w:r>
        <w:rPr>
          <w:lang w:eastAsia="zh-CN"/>
        </w:rPr>
        <w:instrText xml:space="preserve"> REF _Ref526865908 \h </w:instrText>
      </w:r>
      <w:r>
        <w:rPr>
          <w:lang w:eastAsia="zh-CN"/>
        </w:rPr>
      </w:r>
      <w:r>
        <w:rPr>
          <w:lang w:eastAsia="zh-CN"/>
        </w:rPr>
        <w:fldChar w:fldCharType="separate"/>
      </w:r>
      <w:r w:rsidR="0027625B">
        <w:t xml:space="preserve">Table </w:t>
      </w:r>
      <w:r w:rsidR="0027625B">
        <w:rPr>
          <w:noProof/>
        </w:rPr>
        <w:t>2</w:t>
      </w:r>
      <w:r>
        <w:rPr>
          <w:lang w:eastAsia="zh-CN"/>
        </w:rPr>
        <w:fldChar w:fldCharType="end"/>
      </w:r>
      <w:r>
        <w:rPr>
          <w:lang w:eastAsia="zh-CN"/>
        </w:rPr>
        <w:t xml:space="preserve"> lists some of the key announcements and dates in the two periods compared. </w:t>
      </w:r>
      <w:r w:rsidR="000C0CCA">
        <w:rPr>
          <w:lang w:eastAsia="zh-CN"/>
        </w:rPr>
        <w:t xml:space="preserve">This study aims to compare decisions and decision-making rather than the </w:t>
      </w:r>
      <w:r w:rsidR="000C0CCA" w:rsidRPr="00243C5F">
        <w:rPr>
          <w:i/>
          <w:lang w:eastAsia="zh-CN"/>
        </w:rPr>
        <w:t>outcomes</w:t>
      </w:r>
      <w:r w:rsidR="000C0CCA">
        <w:rPr>
          <w:lang w:eastAsia="zh-CN"/>
        </w:rPr>
        <w:t xml:space="preserve"> of decisions.  However, transport outcomes from the 1990s onwards will be considered amongst the influences on the decisions made by the Coalition Government </w:t>
      </w:r>
      <w:r w:rsidR="00AB339E">
        <w:rPr>
          <w:lang w:eastAsia="zh-CN"/>
        </w:rPr>
        <w:t>between May 2010 and May 2015.</w:t>
      </w:r>
    </w:p>
    <w:tbl>
      <w:tblPr>
        <w:tblStyle w:val="TableGrid"/>
        <w:tblW w:w="0" w:type="auto"/>
        <w:tblLook w:val="04A0" w:firstRow="1" w:lastRow="0" w:firstColumn="1" w:lastColumn="0" w:noHBand="0" w:noVBand="1"/>
      </w:tblPr>
      <w:tblGrid>
        <w:gridCol w:w="1838"/>
        <w:gridCol w:w="3686"/>
        <w:gridCol w:w="2965"/>
      </w:tblGrid>
      <w:tr w:rsidR="000C0CCA" w:rsidRPr="002E4F9E" w14:paraId="63E1EE04" w14:textId="77777777" w:rsidTr="00424250">
        <w:trPr>
          <w:trHeight w:hRule="exact" w:val="454"/>
        </w:trPr>
        <w:tc>
          <w:tcPr>
            <w:tcW w:w="1838" w:type="dxa"/>
            <w:shd w:val="clear" w:color="auto" w:fill="F2F2F2" w:themeFill="background1" w:themeFillShade="F2"/>
          </w:tcPr>
          <w:p w14:paraId="67586BEA" w14:textId="77777777" w:rsidR="000C0CCA" w:rsidRPr="00382B05" w:rsidRDefault="000C0CCA" w:rsidP="004B654C">
            <w:pPr>
              <w:pStyle w:val="Newparagraph"/>
              <w:spacing w:before="100" w:beforeAutospacing="1" w:after="100" w:afterAutospacing="1"/>
              <w:ind w:firstLine="0"/>
              <w:rPr>
                <w:rFonts w:ascii="Arial" w:hAnsi="Arial" w:cs="Arial"/>
                <w:b/>
                <w:color w:val="000000"/>
                <w:sz w:val="22"/>
                <w:szCs w:val="22"/>
              </w:rPr>
            </w:pPr>
            <w:r w:rsidRPr="00382B05">
              <w:rPr>
                <w:rFonts w:ascii="Arial" w:hAnsi="Arial" w:cs="Arial"/>
                <w:b/>
                <w:color w:val="000000"/>
                <w:sz w:val="22"/>
                <w:szCs w:val="22"/>
              </w:rPr>
              <w:t>Date</w:t>
            </w:r>
          </w:p>
        </w:tc>
        <w:tc>
          <w:tcPr>
            <w:tcW w:w="3686" w:type="dxa"/>
            <w:shd w:val="clear" w:color="auto" w:fill="F2F2F2" w:themeFill="background1" w:themeFillShade="F2"/>
          </w:tcPr>
          <w:p w14:paraId="4630EA37" w14:textId="77777777" w:rsidR="000C0CCA" w:rsidRPr="00382B05" w:rsidRDefault="000C0CCA" w:rsidP="004B654C">
            <w:pPr>
              <w:pStyle w:val="Newparagraph"/>
              <w:spacing w:before="100" w:beforeAutospacing="1" w:after="100" w:afterAutospacing="1"/>
              <w:ind w:firstLine="0"/>
              <w:rPr>
                <w:rFonts w:ascii="Arial" w:hAnsi="Arial" w:cs="Arial"/>
                <w:b/>
                <w:color w:val="000000"/>
                <w:sz w:val="22"/>
                <w:szCs w:val="22"/>
              </w:rPr>
            </w:pPr>
            <w:r w:rsidRPr="00382B05">
              <w:rPr>
                <w:rFonts w:ascii="Arial" w:hAnsi="Arial" w:cs="Arial"/>
                <w:b/>
                <w:color w:val="000000"/>
                <w:sz w:val="22"/>
                <w:szCs w:val="22"/>
              </w:rPr>
              <w:t>Publication or Statement</w:t>
            </w:r>
          </w:p>
        </w:tc>
        <w:tc>
          <w:tcPr>
            <w:tcW w:w="2965" w:type="dxa"/>
            <w:shd w:val="clear" w:color="auto" w:fill="F2F2F2" w:themeFill="background1" w:themeFillShade="F2"/>
          </w:tcPr>
          <w:p w14:paraId="5D9623A2" w14:textId="77777777" w:rsidR="000C0CCA" w:rsidRPr="00382B05" w:rsidRDefault="000C0CCA" w:rsidP="004B654C">
            <w:pPr>
              <w:pStyle w:val="Newparagraph"/>
              <w:spacing w:before="100" w:beforeAutospacing="1" w:after="100" w:afterAutospacing="1"/>
              <w:ind w:firstLine="0"/>
              <w:jc w:val="center"/>
              <w:rPr>
                <w:rFonts w:ascii="Arial" w:hAnsi="Arial" w:cs="Arial"/>
                <w:b/>
                <w:color w:val="000000"/>
                <w:sz w:val="22"/>
                <w:szCs w:val="22"/>
              </w:rPr>
            </w:pPr>
            <w:r w:rsidRPr="00382B05">
              <w:rPr>
                <w:rFonts w:ascii="Arial" w:hAnsi="Arial" w:cs="Arial"/>
                <w:b/>
                <w:color w:val="000000"/>
                <w:sz w:val="22"/>
                <w:szCs w:val="22"/>
              </w:rPr>
              <w:t>Impact on Road Building</w:t>
            </w:r>
          </w:p>
        </w:tc>
      </w:tr>
      <w:tr w:rsidR="000C0CCA" w:rsidRPr="002E4F9E" w14:paraId="275B3109" w14:textId="77777777" w:rsidTr="00424250">
        <w:trPr>
          <w:trHeight w:hRule="exact" w:val="454"/>
        </w:trPr>
        <w:tc>
          <w:tcPr>
            <w:tcW w:w="1838" w:type="dxa"/>
          </w:tcPr>
          <w:p w14:paraId="6D750C6E"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May 1989</w:t>
            </w:r>
          </w:p>
        </w:tc>
        <w:tc>
          <w:tcPr>
            <w:tcW w:w="3686" w:type="dxa"/>
          </w:tcPr>
          <w:p w14:paraId="3E6AD744"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Roads for Prosperity</w:t>
            </w:r>
          </w:p>
        </w:tc>
        <w:tc>
          <w:tcPr>
            <w:tcW w:w="2965" w:type="dxa"/>
          </w:tcPr>
          <w:p w14:paraId="23D1168F" w14:textId="77777777" w:rsidR="000C0CCA" w:rsidRPr="002E4F9E" w:rsidRDefault="000C0CCA"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w:t>
            </w:r>
          </w:p>
        </w:tc>
      </w:tr>
      <w:tr w:rsidR="000C0CCA" w:rsidRPr="002E4F9E" w14:paraId="5D238566" w14:textId="77777777" w:rsidTr="00424250">
        <w:trPr>
          <w:trHeight w:hRule="exact" w:val="454"/>
        </w:trPr>
        <w:tc>
          <w:tcPr>
            <w:tcW w:w="1838" w:type="dxa"/>
          </w:tcPr>
          <w:p w14:paraId="7074EBE0"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Feb 1990</w:t>
            </w:r>
          </w:p>
        </w:tc>
        <w:tc>
          <w:tcPr>
            <w:tcW w:w="3686" w:type="dxa"/>
          </w:tcPr>
          <w:p w14:paraId="5089E6C3"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Trunk Roads England</w:t>
            </w:r>
          </w:p>
        </w:tc>
        <w:tc>
          <w:tcPr>
            <w:tcW w:w="2965" w:type="dxa"/>
          </w:tcPr>
          <w:p w14:paraId="5566A061" w14:textId="77777777" w:rsidR="000C0CCA" w:rsidRPr="002E4F9E" w:rsidRDefault="000C0CCA"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w:t>
            </w:r>
          </w:p>
        </w:tc>
      </w:tr>
      <w:tr w:rsidR="000C0CCA" w:rsidRPr="002E4F9E" w14:paraId="0E097278" w14:textId="77777777" w:rsidTr="00424250">
        <w:trPr>
          <w:trHeight w:hRule="exact" w:val="454"/>
        </w:trPr>
        <w:tc>
          <w:tcPr>
            <w:tcW w:w="1838" w:type="dxa"/>
          </w:tcPr>
          <w:p w14:paraId="36C183EE"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Nov 1994</w:t>
            </w:r>
          </w:p>
        </w:tc>
        <w:tc>
          <w:tcPr>
            <w:tcW w:w="3686" w:type="dxa"/>
          </w:tcPr>
          <w:p w14:paraId="38EF0E30"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H.M. Treasury Budget Statement</w:t>
            </w:r>
          </w:p>
        </w:tc>
        <w:tc>
          <w:tcPr>
            <w:tcW w:w="2965" w:type="dxa"/>
          </w:tcPr>
          <w:p w14:paraId="46002147" w14:textId="77777777" w:rsidR="000C0CCA" w:rsidRPr="002E4F9E" w:rsidRDefault="000C0CCA"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w:t>
            </w:r>
          </w:p>
        </w:tc>
      </w:tr>
      <w:tr w:rsidR="000C0CCA" w:rsidRPr="002E4F9E" w14:paraId="692CE7BC" w14:textId="77777777" w:rsidTr="00424250">
        <w:trPr>
          <w:trHeight w:hRule="exact" w:val="454"/>
        </w:trPr>
        <w:tc>
          <w:tcPr>
            <w:tcW w:w="1838" w:type="dxa"/>
          </w:tcPr>
          <w:p w14:paraId="1B79189F"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Nov 1996</w:t>
            </w:r>
          </w:p>
        </w:tc>
        <w:tc>
          <w:tcPr>
            <w:tcW w:w="3686" w:type="dxa"/>
          </w:tcPr>
          <w:p w14:paraId="0FB259FD"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H.M. Treasury Budget Statement</w:t>
            </w:r>
          </w:p>
        </w:tc>
        <w:tc>
          <w:tcPr>
            <w:tcW w:w="2965" w:type="dxa"/>
          </w:tcPr>
          <w:p w14:paraId="48330AAA" w14:textId="77777777" w:rsidR="000C0CCA" w:rsidRPr="002E4F9E" w:rsidRDefault="000C0CCA"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w:t>
            </w:r>
          </w:p>
        </w:tc>
      </w:tr>
      <w:tr w:rsidR="003B397F" w:rsidRPr="002E4F9E" w14:paraId="04CB3672" w14:textId="77777777" w:rsidTr="003B397F">
        <w:trPr>
          <w:trHeight w:hRule="exact" w:val="514"/>
        </w:trPr>
        <w:tc>
          <w:tcPr>
            <w:tcW w:w="8489" w:type="dxa"/>
            <w:gridSpan w:val="3"/>
            <w:shd w:val="clear" w:color="auto" w:fill="F2F2F2" w:themeFill="background1" w:themeFillShade="F2"/>
          </w:tcPr>
          <w:p w14:paraId="360BFBE4" w14:textId="00405588" w:rsidR="003B397F" w:rsidRDefault="003B397F" w:rsidP="004B654C">
            <w:pPr>
              <w:pStyle w:val="Newparagraph"/>
              <w:spacing w:before="100" w:beforeAutospacing="1" w:after="100" w:afterAutospacing="1"/>
              <w:ind w:firstLine="0"/>
              <w:jc w:val="left"/>
              <w:rPr>
                <w:rFonts w:ascii="Arial" w:hAnsi="Arial" w:cs="Arial"/>
                <w:color w:val="000000"/>
                <w:sz w:val="22"/>
                <w:szCs w:val="22"/>
              </w:rPr>
            </w:pPr>
            <w:r>
              <w:rPr>
                <w:rFonts w:ascii="Arial" w:hAnsi="Arial" w:cs="Arial"/>
                <w:color w:val="000000"/>
                <w:sz w:val="22"/>
                <w:szCs w:val="22"/>
              </w:rPr>
              <w:t>May 1997 – May 2010 – Labour Government</w:t>
            </w:r>
          </w:p>
        </w:tc>
      </w:tr>
      <w:tr w:rsidR="000C0CCA" w:rsidRPr="002E4F9E" w14:paraId="223DBC59" w14:textId="77777777" w:rsidTr="00424250">
        <w:trPr>
          <w:trHeight w:hRule="exact" w:val="454"/>
        </w:trPr>
        <w:tc>
          <w:tcPr>
            <w:tcW w:w="1838" w:type="dxa"/>
          </w:tcPr>
          <w:p w14:paraId="7AC2F82D"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Oct 2010</w:t>
            </w:r>
          </w:p>
        </w:tc>
        <w:tc>
          <w:tcPr>
            <w:tcW w:w="3686" w:type="dxa"/>
          </w:tcPr>
          <w:p w14:paraId="24B7D13B"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Comprehensive Spending Review</w:t>
            </w:r>
          </w:p>
        </w:tc>
        <w:tc>
          <w:tcPr>
            <w:tcW w:w="2965" w:type="dxa"/>
          </w:tcPr>
          <w:p w14:paraId="3AE29A14" w14:textId="77777777" w:rsidR="000C0CCA" w:rsidRPr="002E4F9E" w:rsidRDefault="000C0CCA"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Neutral</w:t>
            </w:r>
          </w:p>
        </w:tc>
      </w:tr>
      <w:tr w:rsidR="000C0CCA" w:rsidRPr="002E4F9E" w14:paraId="5099410C" w14:textId="77777777" w:rsidTr="00424250">
        <w:trPr>
          <w:trHeight w:hRule="exact" w:val="454"/>
        </w:trPr>
        <w:tc>
          <w:tcPr>
            <w:tcW w:w="1838" w:type="dxa"/>
          </w:tcPr>
          <w:p w14:paraId="356F55F5"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Nov 2011</w:t>
            </w:r>
          </w:p>
        </w:tc>
        <w:tc>
          <w:tcPr>
            <w:tcW w:w="3686" w:type="dxa"/>
          </w:tcPr>
          <w:p w14:paraId="0B41779E"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H.M. Treasury Autumn Statement</w:t>
            </w:r>
          </w:p>
        </w:tc>
        <w:tc>
          <w:tcPr>
            <w:tcW w:w="2965" w:type="dxa"/>
          </w:tcPr>
          <w:p w14:paraId="6996932E" w14:textId="77777777" w:rsidR="000C0CCA" w:rsidRPr="002E4F9E" w:rsidRDefault="000C0CCA"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w:t>
            </w:r>
          </w:p>
        </w:tc>
      </w:tr>
      <w:tr w:rsidR="000C0CCA" w:rsidRPr="002E4F9E" w14:paraId="3C2C723C" w14:textId="77777777" w:rsidTr="00424250">
        <w:trPr>
          <w:trHeight w:hRule="exact" w:val="454"/>
        </w:trPr>
        <w:tc>
          <w:tcPr>
            <w:tcW w:w="1838" w:type="dxa"/>
          </w:tcPr>
          <w:p w14:paraId="2261546F"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Jun 2013</w:t>
            </w:r>
          </w:p>
        </w:tc>
        <w:tc>
          <w:tcPr>
            <w:tcW w:w="3686" w:type="dxa"/>
          </w:tcPr>
          <w:p w14:paraId="0AF0EF75"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Investing in Britain’s Future</w:t>
            </w:r>
          </w:p>
        </w:tc>
        <w:tc>
          <w:tcPr>
            <w:tcW w:w="2965" w:type="dxa"/>
          </w:tcPr>
          <w:p w14:paraId="581F19C5" w14:textId="77777777" w:rsidR="000C0CCA" w:rsidRPr="002E4F9E" w:rsidRDefault="000C0CCA"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w:t>
            </w:r>
          </w:p>
        </w:tc>
      </w:tr>
      <w:tr w:rsidR="000C0CCA" w:rsidRPr="002E4F9E" w14:paraId="643CC9E7" w14:textId="77777777" w:rsidTr="00424250">
        <w:trPr>
          <w:trHeight w:hRule="exact" w:val="454"/>
        </w:trPr>
        <w:tc>
          <w:tcPr>
            <w:tcW w:w="1838" w:type="dxa"/>
          </w:tcPr>
          <w:p w14:paraId="10272F35"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Mar 2015</w:t>
            </w:r>
          </w:p>
        </w:tc>
        <w:tc>
          <w:tcPr>
            <w:tcW w:w="3686" w:type="dxa"/>
          </w:tcPr>
          <w:p w14:paraId="4A4ABBB3" w14:textId="77777777" w:rsidR="000C0CCA" w:rsidRPr="002E4F9E" w:rsidRDefault="000C0CCA"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Road Investment Strategy</w:t>
            </w:r>
          </w:p>
        </w:tc>
        <w:tc>
          <w:tcPr>
            <w:tcW w:w="2965" w:type="dxa"/>
          </w:tcPr>
          <w:p w14:paraId="300FABC1" w14:textId="77777777" w:rsidR="000C0CCA" w:rsidRPr="002E4F9E" w:rsidRDefault="000C0CCA"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w:t>
            </w:r>
          </w:p>
        </w:tc>
      </w:tr>
    </w:tbl>
    <w:p w14:paraId="123CBB7A" w14:textId="27D02DF8" w:rsidR="00243C5F" w:rsidRDefault="00243C5F" w:rsidP="004B654C">
      <w:pPr>
        <w:pStyle w:val="Caption"/>
        <w:spacing w:before="100" w:beforeAutospacing="1" w:after="100" w:afterAutospacing="1" w:line="480" w:lineRule="auto"/>
      </w:pPr>
      <w:bookmarkStart w:id="8" w:name="_Ref526865908"/>
      <w:bookmarkStart w:id="9" w:name="_Ref526865731"/>
      <w:r>
        <w:t xml:space="preserve">Table </w:t>
      </w:r>
      <w:r w:rsidR="00186944">
        <w:rPr>
          <w:noProof/>
        </w:rPr>
        <w:fldChar w:fldCharType="begin"/>
      </w:r>
      <w:r w:rsidR="00186944">
        <w:rPr>
          <w:noProof/>
        </w:rPr>
        <w:instrText xml:space="preserve"> SEQ Table \* ARABIC </w:instrText>
      </w:r>
      <w:r w:rsidR="00186944">
        <w:rPr>
          <w:noProof/>
        </w:rPr>
        <w:fldChar w:fldCharType="separate"/>
      </w:r>
      <w:r w:rsidR="0027625B">
        <w:rPr>
          <w:noProof/>
        </w:rPr>
        <w:t>2</w:t>
      </w:r>
      <w:r w:rsidR="00186944">
        <w:rPr>
          <w:noProof/>
        </w:rPr>
        <w:fldChar w:fldCharType="end"/>
      </w:r>
      <w:bookmarkEnd w:id="8"/>
      <w:r>
        <w:t xml:space="preserve"> </w:t>
      </w:r>
      <w:r w:rsidR="005762E9">
        <w:t xml:space="preserve">- </w:t>
      </w:r>
      <w:r w:rsidRPr="00243C5F">
        <w:t>Key Events and Dates in the Two Periods Compared</w:t>
      </w:r>
    </w:p>
    <w:p w14:paraId="6F3EA32A" w14:textId="111E3E4C" w:rsidR="002F792F" w:rsidRDefault="00EC1ADC" w:rsidP="004B654C">
      <w:pPr>
        <w:pStyle w:val="Heading1"/>
        <w:spacing w:before="100" w:beforeAutospacing="1" w:after="100" w:afterAutospacing="1" w:line="480" w:lineRule="auto"/>
      </w:pPr>
      <w:bookmarkStart w:id="10" w:name="_Ref527287315"/>
      <w:bookmarkEnd w:id="9"/>
      <w:r>
        <w:t>Changing UK Government Policy</w:t>
      </w:r>
      <w:r w:rsidR="0051524D">
        <w:t>: Analyses and Influences</w:t>
      </w:r>
      <w:bookmarkEnd w:id="10"/>
    </w:p>
    <w:p w14:paraId="52D26274" w14:textId="16A3576A" w:rsidR="00236516" w:rsidRPr="00236516" w:rsidRDefault="0051524D" w:rsidP="004B654C">
      <w:pPr>
        <w:pStyle w:val="Paragraph"/>
        <w:spacing w:before="100" w:beforeAutospacing="1" w:after="100" w:afterAutospacing="1"/>
      </w:pPr>
      <w:r>
        <w:t xml:space="preserve">Subsections </w:t>
      </w:r>
      <w:r>
        <w:fldChar w:fldCharType="begin"/>
      </w:r>
      <w:r>
        <w:instrText xml:space="preserve"> REF _Ref527112325 \r \h </w:instrText>
      </w:r>
      <w:r>
        <w:fldChar w:fldCharType="separate"/>
      </w:r>
      <w:r w:rsidR="0027625B">
        <w:t>2.1</w:t>
      </w:r>
      <w:r>
        <w:fldChar w:fldCharType="end"/>
      </w:r>
      <w:r w:rsidR="00BD23AB">
        <w:t xml:space="preserve"> and </w:t>
      </w:r>
      <w:r w:rsidR="00BD23AB">
        <w:fldChar w:fldCharType="begin"/>
      </w:r>
      <w:r w:rsidR="00BD23AB">
        <w:instrText xml:space="preserve"> REF _Ref527112500 \r \h </w:instrText>
      </w:r>
      <w:r w:rsidR="00BD23AB">
        <w:fldChar w:fldCharType="separate"/>
      </w:r>
      <w:r w:rsidR="0027625B">
        <w:t>2.2</w:t>
      </w:r>
      <w:r w:rsidR="00BD23AB">
        <w:fldChar w:fldCharType="end"/>
      </w:r>
      <w:r w:rsidR="00BD23AB">
        <w:t xml:space="preserve"> w</w:t>
      </w:r>
      <w:r w:rsidR="00236516">
        <w:t xml:space="preserve">ill </w:t>
      </w:r>
      <w:r w:rsidR="00812C15">
        <w:t xml:space="preserve">briefly </w:t>
      </w:r>
      <w:r>
        <w:t xml:space="preserve">review the literature </w:t>
      </w:r>
      <w:r w:rsidR="00812C15">
        <w:t>on</w:t>
      </w:r>
      <w:r>
        <w:t xml:space="preserve"> </w:t>
      </w:r>
      <w:r w:rsidR="00236516">
        <w:t>UK gov</w:t>
      </w:r>
      <w:r>
        <w:t>e</w:t>
      </w:r>
      <w:r w:rsidR="005762E9">
        <w:t>rnment policy on road building and</w:t>
      </w:r>
      <w:r>
        <w:t xml:space="preserve"> </w:t>
      </w:r>
      <w:r w:rsidR="00D61A89">
        <w:t>Subsection</w:t>
      </w:r>
      <w:r w:rsidR="00BD23AB">
        <w:t xml:space="preserve"> </w:t>
      </w:r>
      <w:r w:rsidR="00D61A89">
        <w:fldChar w:fldCharType="begin"/>
      </w:r>
      <w:r w:rsidR="00D61A89">
        <w:instrText xml:space="preserve"> REF _Ref527131503 \r \h </w:instrText>
      </w:r>
      <w:r w:rsidR="00D61A89">
        <w:fldChar w:fldCharType="separate"/>
      </w:r>
      <w:r w:rsidR="0027625B">
        <w:t>2.3</w:t>
      </w:r>
      <w:r w:rsidR="00D61A89">
        <w:fldChar w:fldCharType="end"/>
      </w:r>
      <w:r w:rsidR="00D61A89">
        <w:t xml:space="preserve"> </w:t>
      </w:r>
      <w:r w:rsidR="00BD23AB">
        <w:t>w</w:t>
      </w:r>
      <w:r>
        <w:t xml:space="preserve">ill </w:t>
      </w:r>
      <w:r w:rsidR="00382B05">
        <w:t>discuss</w:t>
      </w:r>
      <w:r>
        <w:t xml:space="preserve"> the contested evidential issues which have influenced the official discourse about road building.  </w:t>
      </w:r>
      <w:r w:rsidR="00236516">
        <w:t xml:space="preserve">The </w:t>
      </w:r>
      <w:r w:rsidR="004E53FC">
        <w:t>analysis</w:t>
      </w:r>
      <w:r w:rsidR="00236516">
        <w:t xml:space="preserve"> explored two other areas of literature relating to public opinion and changing economic orthodoxies.  To avoid repetition they</w:t>
      </w:r>
      <w:r>
        <w:t xml:space="preserve"> will be introduced in Section </w:t>
      </w:r>
      <w:r>
        <w:fldChar w:fldCharType="begin"/>
      </w:r>
      <w:r>
        <w:instrText xml:space="preserve"> REF _Ref527041881 \r \h </w:instrText>
      </w:r>
      <w:r>
        <w:fldChar w:fldCharType="separate"/>
      </w:r>
      <w:r w:rsidR="0027625B">
        <w:t>5</w:t>
      </w:r>
      <w:r>
        <w:fldChar w:fldCharType="end"/>
      </w:r>
      <w:r w:rsidR="00236516">
        <w:t>.</w:t>
      </w:r>
    </w:p>
    <w:p w14:paraId="6F3EA32B" w14:textId="5B141EA6" w:rsidR="00CB71E4" w:rsidRDefault="00EF284F" w:rsidP="004B654C">
      <w:pPr>
        <w:pStyle w:val="Heading2"/>
        <w:spacing w:before="100" w:beforeAutospacing="1" w:after="100" w:afterAutospacing="1" w:line="480" w:lineRule="auto"/>
      </w:pPr>
      <w:bookmarkStart w:id="11" w:name="_Ref527112325"/>
      <w:r>
        <w:t>Explanations for the Changes in</w:t>
      </w:r>
      <w:r w:rsidR="00B355D4">
        <w:t xml:space="preserve"> </w:t>
      </w:r>
      <w:r>
        <w:t xml:space="preserve">UK </w:t>
      </w:r>
      <w:r w:rsidR="00FA1250">
        <w:t>Policy on Road Building</w:t>
      </w:r>
      <w:r>
        <w:t xml:space="preserve"> 1989–97</w:t>
      </w:r>
      <w:bookmarkEnd w:id="11"/>
      <w:r w:rsidR="00B355D4">
        <w:t xml:space="preserve"> </w:t>
      </w:r>
    </w:p>
    <w:p w14:paraId="7F88D22D" w14:textId="3B06AD2A" w:rsidR="00B355D4" w:rsidRDefault="00FA1250" w:rsidP="004B654C">
      <w:pPr>
        <w:pStyle w:val="Paragraph"/>
        <w:spacing w:before="100" w:beforeAutospacing="1" w:after="100" w:afterAutospacing="1"/>
      </w:pPr>
      <w:r w:rsidRPr="00FA1250">
        <w:rPr>
          <w:i/>
        </w:rPr>
        <w:t>Transport, the New Realism</w:t>
      </w:r>
      <w:r>
        <w:t xml:space="preserve"> </w:t>
      </w:r>
      <w:r>
        <w:fldChar w:fldCharType="begin"/>
      </w:r>
      <w:r w:rsidR="00241D97">
        <w:instrText>ADDIN RW.CITE{{2019 Goodwin,Phil 1991}}</w:instrText>
      </w:r>
      <w:r>
        <w:fldChar w:fldCharType="separate"/>
      </w:r>
      <w:r w:rsidR="00241D97" w:rsidRPr="00241D97">
        <w:t>(Goodwin</w:t>
      </w:r>
      <w:r w:rsidR="00241D97" w:rsidRPr="00241D97">
        <w:rPr>
          <w:i/>
        </w:rPr>
        <w:t xml:space="preserve"> et al.,</w:t>
      </w:r>
      <w:r w:rsidR="00241D97" w:rsidRPr="00241D97">
        <w:t xml:space="preserve"> 1991)</w:t>
      </w:r>
      <w:r>
        <w:fldChar w:fldCharType="end"/>
      </w:r>
      <w:r>
        <w:t xml:space="preserve"> has </w:t>
      </w:r>
      <w:r w:rsidR="004E53FC">
        <w:t>provided a</w:t>
      </w:r>
      <w:r>
        <w:t xml:space="preserve"> starting point for several attempts to explain the shift in UK government policy on road building during the 1990s.  It was both a survey of </w:t>
      </w:r>
      <w:r w:rsidR="0002766D">
        <w:t xml:space="preserve">what it described as an ‘emerging consensus’ </w:t>
      </w:r>
      <w:r w:rsidR="00812C15">
        <w:t xml:space="preserve">in the transport professions </w:t>
      </w:r>
      <w:r w:rsidR="0002766D">
        <w:t xml:space="preserve">and a normative attempt to promote that consensus as an alternative to the traditional ‘predict and provide’ approach to road building.  </w:t>
      </w:r>
      <w:r w:rsidR="0016274D">
        <w:t xml:space="preserve">It pointed out that even the big increase in road building proposed by </w:t>
      </w:r>
      <w:r w:rsidR="0016274D" w:rsidRPr="0016274D">
        <w:rPr>
          <w:i/>
        </w:rPr>
        <w:t>Roads for Prosperity</w:t>
      </w:r>
      <w:r w:rsidR="0016274D">
        <w:t xml:space="preserve"> could never keep pace with the forecast increase in car use; therefore demand management and expansion of alternative modes would be essential to prevent congestion worsening. </w:t>
      </w:r>
      <w:r w:rsidR="006A7DEF">
        <w:t xml:space="preserve"> </w:t>
      </w:r>
    </w:p>
    <w:p w14:paraId="0C126DFE" w14:textId="7ABF731C" w:rsidR="0016274D" w:rsidRDefault="0016274D" w:rsidP="004B654C">
      <w:pPr>
        <w:pStyle w:val="Newparagraph"/>
        <w:spacing w:before="100" w:beforeAutospacing="1" w:after="100" w:afterAutospacing="1"/>
      </w:pPr>
      <w:r>
        <w:t xml:space="preserve">Goodwin </w:t>
      </w:r>
      <w:r w:rsidR="00D87799">
        <w:t xml:space="preserve">went on to </w:t>
      </w:r>
      <w:r>
        <w:t xml:space="preserve">chair the committee that </w:t>
      </w:r>
      <w:r w:rsidR="00812C15">
        <w:t>advised</w:t>
      </w:r>
      <w:r>
        <w:t xml:space="preserve"> the </w:t>
      </w:r>
      <w:r w:rsidR="00812C15">
        <w:t xml:space="preserve">civil servants writing the </w:t>
      </w:r>
      <w:r>
        <w:t xml:space="preserve">first </w:t>
      </w:r>
      <w:r w:rsidR="00455831">
        <w:t xml:space="preserve">Transport </w:t>
      </w:r>
      <w:r>
        <w:t xml:space="preserve">White Paper of the new Labour Government </w:t>
      </w:r>
      <w:r>
        <w:fldChar w:fldCharType="begin"/>
      </w:r>
      <w:r>
        <w:instrText>ADDIN RW.CITE{{17 DETR 1998}}</w:instrText>
      </w:r>
      <w:r>
        <w:fldChar w:fldCharType="separate"/>
      </w:r>
      <w:r w:rsidR="00897909" w:rsidRPr="00897909">
        <w:t>(DETR, 1998)</w:t>
      </w:r>
      <w:r>
        <w:fldChar w:fldCharType="end"/>
      </w:r>
      <w:r>
        <w:t xml:space="preserve">.  Goodwin </w:t>
      </w:r>
      <w:r w:rsidR="00455831">
        <w:fldChar w:fldCharType="begin"/>
      </w:r>
      <w:r w:rsidR="00455831">
        <w:instrText>ADDIN RW.CITE{{3771 Goodwin,Phil 1999 /a}}</w:instrText>
      </w:r>
      <w:r w:rsidR="00455831">
        <w:fldChar w:fldCharType="separate"/>
      </w:r>
      <w:r w:rsidR="00455831" w:rsidRPr="00455831">
        <w:t>(1999)</w:t>
      </w:r>
      <w:r w:rsidR="00455831">
        <w:fldChar w:fldCharType="end"/>
      </w:r>
      <w:r w:rsidR="00D87799">
        <w:t xml:space="preserve"> is his </w:t>
      </w:r>
      <w:r w:rsidR="00CA0B33">
        <w:t xml:space="preserve">semi-insider </w:t>
      </w:r>
      <w:r w:rsidR="00D87799">
        <w:t xml:space="preserve">account of </w:t>
      </w:r>
      <w:r w:rsidR="00455831">
        <w:t xml:space="preserve">how and why a paradigm shift, reflecting the New Realism, </w:t>
      </w:r>
      <w:r w:rsidR="00D87799">
        <w:t xml:space="preserve">displaced predict and provide.  It </w:t>
      </w:r>
      <w:r w:rsidR="003E4F91">
        <w:t xml:space="preserve">describes a gradual change in government thinking, </w:t>
      </w:r>
      <w:r w:rsidR="00692F33">
        <w:t>motivated by growing</w:t>
      </w:r>
      <w:r w:rsidR="003E4F91">
        <w:t xml:space="preserve"> environmental concerns, starting </w:t>
      </w:r>
      <w:r w:rsidR="00692F33">
        <w:t xml:space="preserve">earlier than most other accounts </w:t>
      </w:r>
      <w:r w:rsidR="003E4F91">
        <w:t xml:space="preserve">with a “key turning point” </w:t>
      </w:r>
      <w:r w:rsidR="00382B05">
        <w:t>in 1989</w:t>
      </w:r>
      <w:r w:rsidR="00692F33">
        <w:t xml:space="preserve">.  </w:t>
      </w:r>
      <w:r w:rsidR="002F5D6E">
        <w:t xml:space="preserve">During the 1990s </w:t>
      </w:r>
      <w:r w:rsidR="00F835FB">
        <w:t>“a string of scientific and research-based reports”</w:t>
      </w:r>
      <w:r w:rsidR="002F5D6E">
        <w:t xml:space="preserve"> notably including SACTRA </w:t>
      </w:r>
      <w:r w:rsidR="002F5D6E">
        <w:fldChar w:fldCharType="begin"/>
      </w:r>
      <w:r w:rsidR="004E1DBD">
        <w:instrText>ADDIN RW.CITE{{1599 SACTRA 1994 /a/f on 'induced traffic', discussed below}}</w:instrText>
      </w:r>
      <w:r w:rsidR="002F5D6E">
        <w:fldChar w:fldCharType="separate"/>
      </w:r>
      <w:r w:rsidR="004E1DBD" w:rsidRPr="004E1DBD">
        <w:t>(1994 on 'induced traffic', discussed below)</w:t>
      </w:r>
      <w:r w:rsidR="002F5D6E">
        <w:fldChar w:fldCharType="end"/>
      </w:r>
      <w:r w:rsidR="002F5D6E">
        <w:t xml:space="preserve"> in which Goodwin was also involved, strengthened the “tentative policy reorientation”, which had begun in 1989</w:t>
      </w:r>
      <w:r w:rsidR="00F835FB">
        <w:t xml:space="preserve"> </w:t>
      </w:r>
      <w:r w:rsidR="00F835FB">
        <w:fldChar w:fldCharType="begin"/>
      </w:r>
      <w:r w:rsidR="00F835FB">
        <w:instrText>ADDIN RW.CITE{{3771 Goodwin,Phil 1999 /f p.662}}</w:instrText>
      </w:r>
      <w:r w:rsidR="00F835FB">
        <w:fldChar w:fldCharType="separate"/>
      </w:r>
      <w:r w:rsidR="00897909" w:rsidRPr="00897909">
        <w:t>(Goodwin, 1999 p.662)</w:t>
      </w:r>
      <w:r w:rsidR="00F835FB">
        <w:fldChar w:fldCharType="end"/>
      </w:r>
      <w:r w:rsidR="002F5D6E">
        <w:t xml:space="preserve">.  </w:t>
      </w:r>
      <w:r w:rsidR="00B71FAA">
        <w:t>Goodwin</w:t>
      </w:r>
      <w:r w:rsidR="004E53FC">
        <w:t xml:space="preserve">’s explanations </w:t>
      </w:r>
      <w:r w:rsidR="0037578B">
        <w:t>emphasise the rational response of political leaders to research evidence and changing circumstances</w:t>
      </w:r>
      <w:r w:rsidR="003B397F">
        <w:t>; they</w:t>
      </w:r>
      <w:r w:rsidR="00B35392">
        <w:t xml:space="preserve"> </w:t>
      </w:r>
      <w:r w:rsidR="003B397F">
        <w:t>form</w:t>
      </w:r>
      <w:r w:rsidR="00B35392">
        <w:t xml:space="preserve"> the basis of the </w:t>
      </w:r>
      <w:r w:rsidR="00B35392" w:rsidRPr="00271318">
        <w:rPr>
          <w:b/>
          <w:i/>
        </w:rPr>
        <w:t>rational response mechanism</w:t>
      </w:r>
      <w:r w:rsidR="00B35392">
        <w:t xml:space="preserve"> investigated in Section </w:t>
      </w:r>
      <w:r w:rsidR="00B35392">
        <w:fldChar w:fldCharType="begin"/>
      </w:r>
      <w:r w:rsidR="00B35392">
        <w:instrText xml:space="preserve"> REF _Ref527041881 \r \h </w:instrText>
      </w:r>
      <w:r w:rsidR="00B35392">
        <w:fldChar w:fldCharType="separate"/>
      </w:r>
      <w:r w:rsidR="0027625B">
        <w:t>5</w:t>
      </w:r>
      <w:r w:rsidR="00B35392">
        <w:fldChar w:fldCharType="end"/>
      </w:r>
      <w:r w:rsidR="00B35392">
        <w:t xml:space="preserve">.  </w:t>
      </w:r>
    </w:p>
    <w:p w14:paraId="22F6A5C2" w14:textId="1229F72E" w:rsidR="0037578B" w:rsidRDefault="00CA0B33" w:rsidP="004B654C">
      <w:pPr>
        <w:pStyle w:val="Newparagraph"/>
        <w:spacing w:before="100" w:beforeAutospacing="1" w:after="100" w:afterAutospacing="1"/>
      </w:pPr>
      <w:r>
        <w:t xml:space="preserve">Dudley and Richardson </w:t>
      </w:r>
      <w:r w:rsidR="00B35392">
        <w:fldChar w:fldCharType="begin"/>
      </w:r>
      <w:r w:rsidR="00B35392">
        <w:instrText>ADDIN RW.CITE{{2202 Dudley,Geoffrey 1998 /a; 3945 Dudley,Geoffrey 2000 /a}}</w:instrText>
      </w:r>
      <w:r w:rsidR="00B35392">
        <w:fldChar w:fldCharType="separate"/>
      </w:r>
      <w:r w:rsidR="00B35392" w:rsidRPr="00B35392">
        <w:t>(1998, 2000)</w:t>
      </w:r>
      <w:r w:rsidR="00B35392">
        <w:fldChar w:fldCharType="end"/>
      </w:r>
      <w:r w:rsidR="00F146B7">
        <w:t xml:space="preserve"> </w:t>
      </w:r>
      <w:r w:rsidR="000A25EB">
        <w:t>agree with Goodwin that a paradigm shift occurred</w:t>
      </w:r>
      <w:r w:rsidR="00382B05">
        <w:t xml:space="preserve"> </w:t>
      </w:r>
      <w:r w:rsidR="000A25EB">
        <w:t xml:space="preserve">– a ‘third order policy change’ following Hall </w:t>
      </w:r>
      <w:r w:rsidR="007712A3">
        <w:fldChar w:fldCharType="begin"/>
      </w:r>
      <w:r w:rsidR="007712A3">
        <w:instrText>ADDIN RW.CITE{{3946 Hall,PeterA. 1993 /a}}</w:instrText>
      </w:r>
      <w:r w:rsidR="007712A3">
        <w:fldChar w:fldCharType="separate"/>
      </w:r>
      <w:r w:rsidR="007712A3" w:rsidRPr="007712A3">
        <w:t>(1993)</w:t>
      </w:r>
      <w:r w:rsidR="007712A3">
        <w:fldChar w:fldCharType="end"/>
      </w:r>
      <w:r w:rsidR="007712A3">
        <w:t xml:space="preserve">.  </w:t>
      </w:r>
      <w:r w:rsidR="00233559">
        <w:t xml:space="preserve">They draw on the concepts of advocacy coalitions </w:t>
      </w:r>
      <w:r w:rsidR="00233559">
        <w:fldChar w:fldCharType="begin"/>
      </w:r>
      <w:r w:rsidR="00233559">
        <w:instrText>ADDIN RW.CITE{{3924 Sabatier,PaulA. 1988}}</w:instrText>
      </w:r>
      <w:r w:rsidR="00233559">
        <w:fldChar w:fldCharType="separate"/>
      </w:r>
      <w:r w:rsidR="00897909" w:rsidRPr="00897909">
        <w:t>(Sabatier, 1988)</w:t>
      </w:r>
      <w:r w:rsidR="00233559">
        <w:fldChar w:fldCharType="end"/>
      </w:r>
      <w:r w:rsidR="00233559">
        <w:t xml:space="preserve"> and policy entrepreneurs </w:t>
      </w:r>
      <w:r w:rsidR="00233559">
        <w:fldChar w:fldCharType="begin"/>
      </w:r>
      <w:r w:rsidR="00233559">
        <w:instrText>ADDIN RW.CITE{{3947 Kingdon,JohnW. 1995; 2203 Mintrom,Michael 1997}}</w:instrText>
      </w:r>
      <w:r w:rsidR="00233559">
        <w:fldChar w:fldCharType="separate"/>
      </w:r>
      <w:r w:rsidR="00897909" w:rsidRPr="00897909">
        <w:t>(Kingdon, 1995, Mintrom, 1997)</w:t>
      </w:r>
      <w:r w:rsidR="00233559">
        <w:fldChar w:fldCharType="end"/>
      </w:r>
      <w:r w:rsidR="00233559">
        <w:t xml:space="preserve"> in an explanation which also emphasises the importance of environmental ideas </w:t>
      </w:r>
      <w:r w:rsidR="00305F06">
        <w:t>and the agency of individuals</w:t>
      </w:r>
      <w:r w:rsidR="00133F86">
        <w:t>,</w:t>
      </w:r>
      <w:r w:rsidR="00305F06">
        <w:t xml:space="preserve"> particularly</w:t>
      </w:r>
      <w:r w:rsidR="00EF284F">
        <w:t xml:space="preserve"> </w:t>
      </w:r>
      <w:r w:rsidR="00305F06">
        <w:t xml:space="preserve">Transport Secretaries Brian Mawhinney (1994 – 5) and Sir George Young (1995-7). </w:t>
      </w:r>
      <w:r w:rsidR="004E1DBD">
        <w:t xml:space="preserve"> Sabatier’s framework requires significant changes in external factors to alter the balance of power between competing advocacy coalitions.  Dudley and Richardson’s </w:t>
      </w:r>
      <w:r w:rsidR="004E1DBD">
        <w:fldChar w:fldCharType="begin"/>
      </w:r>
      <w:r w:rsidR="004E1DBD">
        <w:instrText>ADDIN RW.CITE{{3945 Dudley,Geoffrey 2000 /a}}</w:instrText>
      </w:r>
      <w:r w:rsidR="004E1DBD">
        <w:fldChar w:fldCharType="separate"/>
      </w:r>
      <w:r w:rsidR="004E1DBD" w:rsidRPr="004E1DBD">
        <w:t>(2000)</w:t>
      </w:r>
      <w:r w:rsidR="004E1DBD">
        <w:fldChar w:fldCharType="end"/>
      </w:r>
      <w:r w:rsidR="004E1DBD">
        <w:t xml:space="preserve"> account of these external changes shares some similarity to Goodwin’s; they emphasise the influence of state-sponsored research reports SACTRA </w:t>
      </w:r>
      <w:r w:rsidR="004E1DBD">
        <w:fldChar w:fldCharType="begin"/>
      </w:r>
      <w:r w:rsidR="004E1DBD">
        <w:instrText>ADDIN RW.CITE{{1599 SACTRA 1994 /a/f }}</w:instrText>
      </w:r>
      <w:r w:rsidR="004E1DBD">
        <w:fldChar w:fldCharType="separate"/>
      </w:r>
      <w:r w:rsidR="004E1DBD" w:rsidRPr="004E1DBD">
        <w:t>(1994)</w:t>
      </w:r>
      <w:r w:rsidR="004E1DBD">
        <w:fldChar w:fldCharType="end"/>
      </w:r>
      <w:r w:rsidR="004E1DBD">
        <w:t xml:space="preserve"> and RCEP </w:t>
      </w:r>
      <w:r w:rsidR="004E1DBD">
        <w:fldChar w:fldCharType="begin"/>
      </w:r>
      <w:r w:rsidR="004E1DBD">
        <w:instrText>ADDIN RW.CITE{{3948 RCEP 1994 /a/f, on air pollution}}</w:instrText>
      </w:r>
      <w:r w:rsidR="004E1DBD">
        <w:fldChar w:fldCharType="separate"/>
      </w:r>
      <w:r w:rsidR="004E1DBD" w:rsidRPr="004E1DBD">
        <w:t>(1994, on air pollution)</w:t>
      </w:r>
      <w:r w:rsidR="004E1DBD">
        <w:fldChar w:fldCharType="end"/>
      </w:r>
      <w:r w:rsidR="004E1DBD">
        <w:t xml:space="preserve"> whilst Dudley and Richardson </w:t>
      </w:r>
      <w:r w:rsidR="004E1DBD">
        <w:fldChar w:fldCharType="begin"/>
      </w:r>
      <w:r w:rsidR="004E1DBD">
        <w:instrText>ADDIN RW.CITE{{2202 Dudley,Geoffrey 1998 /a}}</w:instrText>
      </w:r>
      <w:r w:rsidR="004E1DBD">
        <w:fldChar w:fldCharType="separate"/>
      </w:r>
      <w:r w:rsidR="004E1DBD" w:rsidRPr="004E1DBD">
        <w:t>(1998)</w:t>
      </w:r>
      <w:r w:rsidR="004E1DBD">
        <w:fldChar w:fldCharType="end"/>
      </w:r>
      <w:r w:rsidR="004E1DBD">
        <w:t xml:space="preserve"> focusses on the </w:t>
      </w:r>
      <w:r w:rsidR="00BD3D57">
        <w:t>role of protestors, using ‘arenas without rules’ including direct action to circumvent the hegemony of the advocacy coalition for road building.</w:t>
      </w:r>
      <w:r w:rsidR="004E1DBD">
        <w:t xml:space="preserve"> </w:t>
      </w:r>
      <w:r w:rsidR="00E21AE6">
        <w:t xml:space="preserve"> The squeeze on public spending between 1994 and 1996 created an ‘expedient alliance’ between environmentalists and the Treasury, which sealed the fate of </w:t>
      </w:r>
      <w:r w:rsidR="00E21AE6" w:rsidRPr="00E21AE6">
        <w:rPr>
          <w:i/>
        </w:rPr>
        <w:t>Roads for Prosperity</w:t>
      </w:r>
      <w:r w:rsidR="00E21AE6">
        <w:t>.</w:t>
      </w:r>
    </w:p>
    <w:p w14:paraId="100AB70E" w14:textId="149A6A6D" w:rsidR="00750AD5" w:rsidRDefault="00750AD5" w:rsidP="004B654C">
      <w:pPr>
        <w:pStyle w:val="Newparagraph"/>
        <w:spacing w:before="100" w:beforeAutospacing="1" w:after="100" w:afterAutospacing="1"/>
      </w:pPr>
      <w:r>
        <w:t>The influence of the anti-road</w:t>
      </w:r>
      <w:r w:rsidR="00152866">
        <w:t xml:space="preserve"> protests is an issue of disagreement in the literature.  Wall </w:t>
      </w:r>
      <w:r w:rsidR="00152866">
        <w:fldChar w:fldCharType="begin"/>
      </w:r>
      <w:r w:rsidR="00152866">
        <w:instrText>ADDIN RW.CITE{{3950 Wall,Derek 1999 /a}}</w:instrText>
      </w:r>
      <w:r w:rsidR="00152866">
        <w:fldChar w:fldCharType="separate"/>
      </w:r>
      <w:r w:rsidR="00152866" w:rsidRPr="00152866">
        <w:t>(1999)</w:t>
      </w:r>
      <w:r w:rsidR="00152866">
        <w:fldChar w:fldCharType="end"/>
      </w:r>
      <w:r w:rsidR="00152866">
        <w:t xml:space="preserve"> concludes t</w:t>
      </w:r>
      <w:r>
        <w:t xml:space="preserve">hat it did achieve its tactical objectives to stop large-scale road building, though not its aspirations for a more fundamental transformation of policy.  Robinson </w:t>
      </w:r>
      <w:r>
        <w:fldChar w:fldCharType="begin"/>
      </w:r>
      <w:r>
        <w:instrText>ADDIN RW.CITE{{3943 Robinson,Nick 2000 /a}}</w:instrText>
      </w:r>
      <w:r>
        <w:fldChar w:fldCharType="separate"/>
      </w:r>
      <w:r w:rsidRPr="002F5D6E">
        <w:t>(2000)</w:t>
      </w:r>
      <w:r>
        <w:fldChar w:fldCharType="end"/>
      </w:r>
      <w:r>
        <w:t xml:space="preserve"> and Vigar </w:t>
      </w:r>
      <w:r>
        <w:fldChar w:fldCharType="begin"/>
      </w:r>
      <w:r>
        <w:instrText>ADDIN RW.CITE{{3767 Vigar,Geoff 2001 /a}}</w:instrText>
      </w:r>
      <w:r>
        <w:fldChar w:fldCharType="separate"/>
      </w:r>
      <w:r w:rsidRPr="00750AD5">
        <w:t>(2001)</w:t>
      </w:r>
      <w:r>
        <w:fldChar w:fldCharType="end"/>
      </w:r>
      <w:r>
        <w:t xml:space="preserve"> both </w:t>
      </w:r>
      <w:r w:rsidR="006D4512">
        <w:t>question the</w:t>
      </w:r>
      <w:r>
        <w:t xml:space="preserve"> claim</w:t>
      </w:r>
      <w:r w:rsidR="006D4512">
        <w:t>s made about the impact of the protest movement</w:t>
      </w:r>
      <w:r>
        <w:t xml:space="preserve"> </w:t>
      </w:r>
      <w:r>
        <w:fldChar w:fldCharType="begin"/>
      </w:r>
      <w:r w:rsidR="00382B05">
        <w:instrText>ADDIN RW.CITE{{1265 Vigar,Geoff 2002 /palthough /f does appear to ascribe a causal impact – his question may be one of degree}}</w:instrText>
      </w:r>
      <w:r>
        <w:fldChar w:fldCharType="separate"/>
      </w:r>
      <w:r w:rsidR="00897909" w:rsidRPr="00897909">
        <w:t>(although Vigar, 2002 does appear to ascribe a causal impact – his question may be one of degree)</w:t>
      </w:r>
      <w:r>
        <w:fldChar w:fldCharType="end"/>
      </w:r>
      <w:r w:rsidR="006D4512">
        <w:t>.</w:t>
      </w:r>
      <w:r w:rsidR="003257FC">
        <w:t xml:space="preserve">  </w:t>
      </w:r>
      <w:r w:rsidR="007C51FC">
        <w:t xml:space="preserve">Robinson </w:t>
      </w:r>
      <w:r w:rsidR="007C51FC">
        <w:fldChar w:fldCharType="begin"/>
      </w:r>
      <w:r w:rsidR="007C51FC">
        <w:instrText>ADDIN RW.CITE{{3943 Robinson,Nick 2000 /a}}</w:instrText>
      </w:r>
      <w:r w:rsidR="007C51FC">
        <w:fldChar w:fldCharType="separate"/>
      </w:r>
      <w:r w:rsidR="007C51FC" w:rsidRPr="002F5D6E">
        <w:t>(2000)</w:t>
      </w:r>
      <w:r w:rsidR="007C51FC">
        <w:fldChar w:fldCharType="end"/>
      </w:r>
      <w:r w:rsidR="007C51FC">
        <w:t xml:space="preserve"> argues that external factors made the protest movement appear more influential than it was in reality.  Amongst those external factors, Robinson cites the explanations of Goodwin (whom he interviewed)</w:t>
      </w:r>
      <w:r w:rsidR="00C44791">
        <w:t xml:space="preserve"> and the small parliamentary majority of the Major government; this amplified the “policy disaster” created by </w:t>
      </w:r>
      <w:r w:rsidR="00C44791" w:rsidRPr="00C44791">
        <w:rPr>
          <w:i/>
        </w:rPr>
        <w:t>Roads for Prosperity</w:t>
      </w:r>
      <w:r w:rsidR="00C44791">
        <w:t>, which impose</w:t>
      </w:r>
      <w:r w:rsidR="00F835FB">
        <w:t>d many unpopular road schemes in</w:t>
      </w:r>
      <w:r w:rsidR="00E32704">
        <w:t xml:space="preserve"> </w:t>
      </w:r>
      <w:r w:rsidR="00C44791">
        <w:t xml:space="preserve">Conservative-held constituencies. </w:t>
      </w:r>
    </w:p>
    <w:p w14:paraId="072EBA62" w14:textId="77701019" w:rsidR="00A5679D" w:rsidRDefault="00A5679D" w:rsidP="004B654C">
      <w:pPr>
        <w:pStyle w:val="Newparagraph"/>
        <w:spacing w:before="100" w:beforeAutospacing="1" w:after="100" w:afterAutospacing="1"/>
      </w:pPr>
      <w:r>
        <w:t>Vigar</w:t>
      </w:r>
      <w:r w:rsidR="00382B05">
        <w:t xml:space="preserve"> </w:t>
      </w:r>
      <w:r>
        <w:t xml:space="preserve">takes </w:t>
      </w:r>
      <w:r w:rsidR="00DC5D41">
        <w:t>issue with Dudley and Richardson’s conclusions, arguing that change “appeared to be of a second order”, a change in the “system of meaning” rather than deeper cultural change</w:t>
      </w:r>
      <w:r w:rsidR="00382B05">
        <w:t xml:space="preserve"> (</w:t>
      </w:r>
      <w:r w:rsidR="00382B05" w:rsidRPr="00382B05">
        <w:t>Vigar, 2002, p.184</w:t>
      </w:r>
      <w:r w:rsidR="00382B05">
        <w:t>)</w:t>
      </w:r>
      <w:r w:rsidR="00DC5D41">
        <w:t>.</w:t>
      </w:r>
      <w:r w:rsidR="00BA142F">
        <w:t xml:space="preserve">  His study of four local authorities provides some support for the claims in Goodwin </w:t>
      </w:r>
      <w:r w:rsidR="00BA142F" w:rsidRPr="00BA142F">
        <w:rPr>
          <w:i/>
        </w:rPr>
        <w:t>et al.</w:t>
      </w:r>
      <w:r w:rsidR="00BA142F">
        <w:t xml:space="preserve"> </w:t>
      </w:r>
      <w:r w:rsidR="00BA142F">
        <w:fldChar w:fldCharType="begin"/>
      </w:r>
      <w:r w:rsidR="00BA142F">
        <w:instrText>ADDIN RW.CITE{{2019 Goodwin,Phil 1991 /a}}</w:instrText>
      </w:r>
      <w:r w:rsidR="00BA142F">
        <w:fldChar w:fldCharType="separate"/>
      </w:r>
      <w:r w:rsidR="00BA142F" w:rsidRPr="00BA142F">
        <w:t>(1991)</w:t>
      </w:r>
      <w:r w:rsidR="00BA142F">
        <w:fldChar w:fldCharType="end"/>
      </w:r>
      <w:r w:rsidR="00BA142F">
        <w:t xml:space="preserve"> of a change of thinking within the transport professions, although this was uneven; in some localities predict and provide had endured. </w:t>
      </w:r>
      <w:r w:rsidR="00D05350">
        <w:t xml:space="preserve"> Exogenous change at a national level came </w:t>
      </w:r>
      <w:r w:rsidR="002466D6">
        <w:t xml:space="preserve">from the economy; environmental arguments for cuts in road building are “always more attractive to governments in periods of fiscal crisis” </w:t>
      </w:r>
      <w:r w:rsidR="002466D6">
        <w:fldChar w:fldCharType="begin"/>
      </w:r>
      <w:r w:rsidR="00F835FB">
        <w:instrText>ADDIN RW.CITE{{1265 Vigar,Geoff 2002 /pGlaister et al. 1998 cited in: /f p.161}}</w:instrText>
      </w:r>
      <w:r w:rsidR="002466D6">
        <w:fldChar w:fldCharType="separate"/>
      </w:r>
      <w:r w:rsidR="00897909" w:rsidRPr="00897909">
        <w:t>(Glaister et al. 1998 cited in: Vigar, 2002 p.161)</w:t>
      </w:r>
      <w:r w:rsidR="002466D6">
        <w:fldChar w:fldCharType="end"/>
      </w:r>
      <w:r w:rsidR="002466D6">
        <w:t>.</w:t>
      </w:r>
    </w:p>
    <w:p w14:paraId="5879BD91" w14:textId="0A32E342" w:rsidR="0051524D" w:rsidRDefault="00750AD5" w:rsidP="004B654C">
      <w:pPr>
        <w:pStyle w:val="Heading2"/>
        <w:spacing w:before="100" w:beforeAutospacing="1" w:after="100" w:afterAutospacing="1" w:line="480" w:lineRule="auto"/>
      </w:pPr>
      <w:r>
        <w:t xml:space="preserve"> </w:t>
      </w:r>
      <w:bookmarkStart w:id="12" w:name="_Ref527112500"/>
      <w:r w:rsidR="0051524D">
        <w:t xml:space="preserve">Explanations for </w:t>
      </w:r>
      <w:r w:rsidR="00BD23AB">
        <w:t>Changing</w:t>
      </w:r>
      <w:r w:rsidR="0051524D">
        <w:t xml:space="preserve"> UK Policy on Road Building </w:t>
      </w:r>
      <w:r w:rsidR="00BD23AB">
        <w:t>Since 1997</w:t>
      </w:r>
      <w:bookmarkEnd w:id="12"/>
      <w:r w:rsidR="0051524D">
        <w:t xml:space="preserve"> </w:t>
      </w:r>
    </w:p>
    <w:p w14:paraId="10C9DDC3" w14:textId="16C8352A" w:rsidR="004B66E7" w:rsidRDefault="004B66E7" w:rsidP="004B654C">
      <w:pPr>
        <w:pStyle w:val="Newparagraph"/>
        <w:spacing w:before="100" w:beforeAutospacing="1" w:after="100" w:afterAutospacing="1"/>
      </w:pPr>
      <w:r>
        <w:t>During the Labour governments of 1997 to 2010 researchers increasingly questioned the claims of a New Realist paradigm shift</w:t>
      </w:r>
      <w:r w:rsidR="0085566D">
        <w:t xml:space="preserve"> as the bold objectives of DETR </w:t>
      </w:r>
      <w:r w:rsidR="0085566D">
        <w:fldChar w:fldCharType="begin"/>
      </w:r>
      <w:r w:rsidR="0085566D">
        <w:instrText>ADDIN RW.CITE{{17 DETR 1998 /a}}</w:instrText>
      </w:r>
      <w:r w:rsidR="0085566D">
        <w:fldChar w:fldCharType="separate"/>
      </w:r>
      <w:r w:rsidR="0085566D" w:rsidRPr="0085566D">
        <w:t>(1998)</w:t>
      </w:r>
      <w:r w:rsidR="0085566D">
        <w:fldChar w:fldCharType="end"/>
      </w:r>
      <w:r w:rsidR="0085566D">
        <w:t xml:space="preserve"> gave way to “timidity, reactiveness and excess faith in future technologies” </w:t>
      </w:r>
      <w:r w:rsidR="0085566D">
        <w:fldChar w:fldCharType="begin"/>
      </w:r>
      <w:r w:rsidR="0085566D">
        <w:instrText>ADDIN RW.CITE{{3954 Dudley,Geoffrey 2008 /f, p.70}}</w:instrText>
      </w:r>
      <w:r w:rsidR="0085566D">
        <w:fldChar w:fldCharType="separate"/>
      </w:r>
      <w:r w:rsidR="00897909" w:rsidRPr="00897909">
        <w:t>(Dudley and Parkhurst, 2008, p.70)</w:t>
      </w:r>
      <w:r w:rsidR="0085566D">
        <w:fldChar w:fldCharType="end"/>
      </w:r>
      <w:r w:rsidR="0085566D">
        <w:t xml:space="preserve">.  The fuel tax protests of 2000, where farmers and hauliers </w:t>
      </w:r>
      <w:r w:rsidR="00382B05">
        <w:t>blockaded fuel distribution</w:t>
      </w:r>
      <w:r w:rsidR="005166D7">
        <w:t xml:space="preserve"> </w:t>
      </w:r>
      <w:r w:rsidR="0085566D">
        <w:t xml:space="preserve">were one </w:t>
      </w:r>
      <w:r w:rsidR="005166D7">
        <w:t xml:space="preserve">pivotal </w:t>
      </w:r>
      <w:r w:rsidR="0085566D">
        <w:t xml:space="preserve">factor </w:t>
      </w:r>
      <w:r w:rsidR="005166D7">
        <w:fldChar w:fldCharType="begin"/>
      </w:r>
      <w:r w:rsidR="005166D7">
        <w:instrText>ADDIN RW.CITE{{3955 Lyons,G. 2002; 3784 Robinson,Nick 2003}}</w:instrText>
      </w:r>
      <w:r w:rsidR="005166D7">
        <w:fldChar w:fldCharType="separate"/>
      </w:r>
      <w:r w:rsidR="00897909" w:rsidRPr="00897909">
        <w:t>(Lyons and Chatterjee, 2002, Robinson, 2003)</w:t>
      </w:r>
      <w:r w:rsidR="005166D7">
        <w:fldChar w:fldCharType="end"/>
      </w:r>
      <w:r w:rsidR="005166D7">
        <w:t xml:space="preserve">.  The crisis forced the government to abandon </w:t>
      </w:r>
      <w:r w:rsidR="00BA7EF6">
        <w:t xml:space="preserve">the policy it inherited from its predecessors of increasing fuel duty faster than inflation.  It </w:t>
      </w:r>
      <w:r w:rsidR="005166D7">
        <w:t>also shifted the attitudes of leaders</w:t>
      </w:r>
      <w:r w:rsidR="00E32704">
        <w:t>,</w:t>
      </w:r>
      <w:r w:rsidR="005166D7">
        <w:t xml:space="preserve"> including Chancellor and future Prime Minister Gordon Brown</w:t>
      </w:r>
      <w:r w:rsidR="00E32704">
        <w:t>,</w:t>
      </w:r>
      <w:r w:rsidR="005166D7">
        <w:t xml:space="preserve"> against road pricing and congestion charging </w:t>
      </w:r>
      <w:r w:rsidR="005166D7">
        <w:fldChar w:fldCharType="begin"/>
      </w:r>
      <w:r w:rsidR="005166D7">
        <w:instrText>ADDIN RW.CITE{{3720 Docherty,Iain 2011 /pDavid Begg quoted in: /f, p.239}}</w:instrText>
      </w:r>
      <w:r w:rsidR="005166D7">
        <w:fldChar w:fldCharType="separate"/>
      </w:r>
      <w:r w:rsidR="00897909" w:rsidRPr="00897909">
        <w:t>(David Begg quoted in: Docherty and Shaw, 2011, p.239)</w:t>
      </w:r>
      <w:r w:rsidR="005166D7">
        <w:fldChar w:fldCharType="end"/>
      </w:r>
      <w:r w:rsidR="005166D7">
        <w:t>.</w:t>
      </w:r>
      <w:r w:rsidR="009F31B3">
        <w:t xml:space="preserve">  With the exception of London </w:t>
      </w:r>
      <w:r w:rsidR="009F31B3">
        <w:fldChar w:fldCharType="begin"/>
      </w:r>
      <w:r w:rsidR="00FE4EC9">
        <w:instrText>ADDIN RW.CITE{{2453 White,Peter 2008 /psucceeding despite the government, according to }}</w:instrText>
      </w:r>
      <w:r w:rsidR="009F31B3">
        <w:fldChar w:fldCharType="separate"/>
      </w:r>
      <w:r w:rsidR="00897909" w:rsidRPr="00897909">
        <w:t>(succeeding despite the government, according to White, 2008)</w:t>
      </w:r>
      <w:r w:rsidR="009F31B3">
        <w:fldChar w:fldCharType="end"/>
      </w:r>
      <w:r w:rsidR="009F31B3">
        <w:t>, the demand management measures</w:t>
      </w:r>
      <w:r w:rsidR="00E84BE0">
        <w:t xml:space="preserve"> essential to the New Realism were weakly and unevenly embraced at local levels </w:t>
      </w:r>
      <w:r w:rsidR="00E84BE0">
        <w:fldChar w:fldCharType="begin"/>
      </w:r>
      <w:r w:rsidR="00E84BE0">
        <w:instrText>ADDIN RW.CITE{{3916 Bulkeley,Harriet 2003; 3917 Vigar,Geoff 2000 /f and 2002}}</w:instrText>
      </w:r>
      <w:r w:rsidR="00E84BE0">
        <w:fldChar w:fldCharType="separate"/>
      </w:r>
      <w:r w:rsidR="00897909" w:rsidRPr="00897909">
        <w:t>(Bulkeley and Rayner, 2003, Vigar, 2000 and 2002)</w:t>
      </w:r>
      <w:r w:rsidR="00E84BE0">
        <w:fldChar w:fldCharType="end"/>
      </w:r>
      <w:r w:rsidR="00E84BE0">
        <w:t xml:space="preserve">, and avoided altogether at national level </w:t>
      </w:r>
      <w:r w:rsidR="00E84BE0">
        <w:fldChar w:fldCharType="begin"/>
      </w:r>
      <w:r w:rsidR="00E84BE0">
        <w:instrText>ADDIN RW.CITE{{3720 Docherty,Iain 2011}}</w:instrText>
      </w:r>
      <w:r w:rsidR="00E84BE0">
        <w:fldChar w:fldCharType="separate"/>
      </w:r>
      <w:r w:rsidR="00897909" w:rsidRPr="00897909">
        <w:t>(Docherty and Shaw, 2011)</w:t>
      </w:r>
      <w:r w:rsidR="00E84BE0">
        <w:fldChar w:fldCharType="end"/>
      </w:r>
      <w:r w:rsidR="00E84BE0">
        <w:t xml:space="preserve">.  The multi-modal studies, which were supposed to identify alternatives to road expansion along identified corridors </w:t>
      </w:r>
      <w:r w:rsidR="001000F4">
        <w:t xml:space="preserve">were subjected to “subtle pressure” from ministers, which </w:t>
      </w:r>
      <w:r w:rsidR="00B164BE">
        <w:t xml:space="preserve">led instead </w:t>
      </w:r>
      <w:r w:rsidR="001000F4">
        <w:t xml:space="preserve">to proposals for more road building </w:t>
      </w:r>
      <w:r w:rsidR="001000F4">
        <w:fldChar w:fldCharType="begin"/>
      </w:r>
      <w:r w:rsidR="00241D97">
        <w:instrText>ADDIN RW.CITE{{3956 Shaw,Jon 2006}}</w:instrText>
      </w:r>
      <w:r w:rsidR="001000F4">
        <w:fldChar w:fldCharType="separate"/>
      </w:r>
      <w:r w:rsidR="00241D97" w:rsidRPr="00241D97">
        <w:t>(Shaw</w:t>
      </w:r>
      <w:r w:rsidR="00241D97" w:rsidRPr="00241D97">
        <w:rPr>
          <w:i/>
        </w:rPr>
        <w:t xml:space="preserve"> et al.,</w:t>
      </w:r>
      <w:r w:rsidR="00241D97" w:rsidRPr="00241D97">
        <w:t xml:space="preserve"> 2006)</w:t>
      </w:r>
      <w:r w:rsidR="001000F4">
        <w:fldChar w:fldCharType="end"/>
      </w:r>
      <w:r w:rsidR="00B74A6D">
        <w:t>.</w:t>
      </w:r>
    </w:p>
    <w:p w14:paraId="568F3E38" w14:textId="2358D6FB" w:rsidR="00616D86" w:rsidRDefault="0004594D" w:rsidP="004B654C">
      <w:pPr>
        <w:pStyle w:val="Newparagraph"/>
        <w:spacing w:before="100" w:beforeAutospacing="1" w:after="100" w:afterAutospacing="1"/>
      </w:pPr>
      <w:r>
        <w:t xml:space="preserve">Despite this </w:t>
      </w:r>
      <w:r w:rsidR="00616D86">
        <w:t>apparent reversion to earl</w:t>
      </w:r>
      <w:r w:rsidR="00812C15">
        <w:t>ier (or default) thinking, the return to road buil</w:t>
      </w:r>
      <w:r w:rsidR="00616D86">
        <w:t>di</w:t>
      </w:r>
      <w:r w:rsidR="001E251A">
        <w:t>ng during the Labour years</w:t>
      </w:r>
      <w:r w:rsidR="00812C15">
        <w:t xml:space="preserve"> was limited</w:t>
      </w:r>
      <w:r w:rsidR="001E251A">
        <w:t xml:space="preserve">, as shown in </w:t>
      </w:r>
      <w:r w:rsidR="001E251A">
        <w:fldChar w:fldCharType="begin"/>
      </w:r>
      <w:r w:rsidR="001E251A">
        <w:instrText xml:space="preserve"> REF _Ref527123514 \h </w:instrText>
      </w:r>
      <w:r w:rsidR="001E251A">
        <w:fldChar w:fldCharType="separate"/>
      </w:r>
      <w:r w:rsidR="0027625B">
        <w:t xml:space="preserve">Figure </w:t>
      </w:r>
      <w:r w:rsidR="0027625B">
        <w:rPr>
          <w:noProof/>
        </w:rPr>
        <w:t>2</w:t>
      </w:r>
      <w:r w:rsidR="001E251A">
        <w:fldChar w:fldCharType="end"/>
      </w:r>
      <w:r w:rsidR="00BD22CB">
        <w:t xml:space="preserve"> (private finance, not included in the black line, was widely used for public projects but </w:t>
      </w:r>
      <w:r w:rsidR="00F835FB">
        <w:t>sparingly used</w:t>
      </w:r>
      <w:r w:rsidR="00BD22CB">
        <w:t xml:space="preserve"> </w:t>
      </w:r>
      <w:r w:rsidR="001954EB">
        <w:t>for road bu</w:t>
      </w:r>
      <w:r w:rsidR="00BD22CB">
        <w:t>ilding).</w:t>
      </w:r>
      <w:r w:rsidR="001E251A">
        <w:t xml:space="preserve">  </w:t>
      </w:r>
      <w:r w:rsidR="006A2455">
        <w:t>Slower g</w:t>
      </w:r>
      <w:r w:rsidR="001E251A">
        <w:t>rowth in traffic volumes, also illustrated,</w:t>
      </w:r>
      <w:r w:rsidR="00FC0684">
        <w:t xml:space="preserve"> </w:t>
      </w:r>
      <w:r w:rsidR="006A2455">
        <w:t xml:space="preserve">would have reduced pressures for road building.  Traffic growth </w:t>
      </w:r>
      <w:r w:rsidR="00B31D33">
        <w:t xml:space="preserve">was considerably slower than </w:t>
      </w:r>
      <w:r w:rsidR="0032381F">
        <w:t xml:space="preserve">any of the DfT’s own forecasts during the Labour and Coalition years, </w:t>
      </w:r>
      <w:r w:rsidR="006A2455">
        <w:t xml:space="preserve">for reasons which are uncertain and contested </w:t>
      </w:r>
      <w:r w:rsidR="006A2455">
        <w:fldChar w:fldCharType="begin"/>
      </w:r>
      <w:r w:rsidR="006A2455">
        <w:instrText>ADDIN RW.CITE{{3952 Goodwin,Phil 2019}}</w:instrText>
      </w:r>
      <w:r w:rsidR="006A2455">
        <w:fldChar w:fldCharType="separate"/>
      </w:r>
      <w:r w:rsidR="00897909" w:rsidRPr="00897909">
        <w:t>(Goodwin, In press)</w:t>
      </w:r>
      <w:r w:rsidR="006A2455">
        <w:fldChar w:fldCharType="end"/>
      </w:r>
      <w:r w:rsidR="006A2455">
        <w:t xml:space="preserve">.   </w:t>
      </w:r>
    </w:p>
    <w:p w14:paraId="5C28B7E5" w14:textId="5CB60860" w:rsidR="003130B8" w:rsidRDefault="00FC0684" w:rsidP="004B654C">
      <w:pPr>
        <w:pStyle w:val="Newparagraph"/>
        <w:spacing w:before="100" w:beforeAutospacing="1" w:after="100" w:afterAutospacing="1"/>
        <w:ind w:firstLine="0"/>
      </w:pPr>
      <w:r>
        <w:rPr>
          <w:noProof/>
        </w:rPr>
        <w:drawing>
          <wp:inline distT="0" distB="0" distL="0" distR="0" wp14:anchorId="4E6C2A1C" wp14:editId="21007BAC">
            <wp:extent cx="5396865" cy="29705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fic versus Investment.png"/>
                    <pic:cNvPicPr/>
                  </pic:nvPicPr>
                  <pic:blipFill>
                    <a:blip r:embed="rId10">
                      <a:extLst>
                        <a:ext uri="{28A0092B-C50C-407E-A947-70E740481C1C}">
                          <a14:useLocalDpi xmlns:a14="http://schemas.microsoft.com/office/drawing/2010/main" val="0"/>
                        </a:ext>
                      </a:extLst>
                    </a:blip>
                    <a:stretch>
                      <a:fillRect/>
                    </a:stretch>
                  </pic:blipFill>
                  <pic:spPr>
                    <a:xfrm>
                      <a:off x="0" y="0"/>
                      <a:ext cx="5396865" cy="2970530"/>
                    </a:xfrm>
                    <a:prstGeom prst="rect">
                      <a:avLst/>
                    </a:prstGeom>
                  </pic:spPr>
                </pic:pic>
              </a:graphicData>
            </a:graphic>
          </wp:inline>
        </w:drawing>
      </w:r>
    </w:p>
    <w:p w14:paraId="16929ED4" w14:textId="5EBA4FC4" w:rsidR="00616D86" w:rsidRDefault="00616D86" w:rsidP="004B654C">
      <w:pPr>
        <w:pStyle w:val="Caption"/>
        <w:spacing w:before="100" w:beforeAutospacing="1" w:after="100" w:afterAutospacing="1" w:line="480" w:lineRule="auto"/>
      </w:pPr>
      <w:bookmarkStart w:id="13" w:name="_Ref527123514"/>
      <w:bookmarkStart w:id="14" w:name="_Ref10022442"/>
      <w:r>
        <w:t xml:space="preserve">Figure </w:t>
      </w:r>
      <w:r w:rsidR="00702F05">
        <w:rPr>
          <w:noProof/>
        </w:rPr>
        <w:fldChar w:fldCharType="begin"/>
      </w:r>
      <w:r w:rsidR="00702F05">
        <w:rPr>
          <w:noProof/>
        </w:rPr>
        <w:instrText xml:space="preserve"> SEQ Figure \* ARABIC </w:instrText>
      </w:r>
      <w:r w:rsidR="00702F05">
        <w:rPr>
          <w:noProof/>
        </w:rPr>
        <w:fldChar w:fldCharType="separate"/>
      </w:r>
      <w:r w:rsidR="0027625B">
        <w:rPr>
          <w:noProof/>
        </w:rPr>
        <w:t>2</w:t>
      </w:r>
      <w:r w:rsidR="00702F05">
        <w:rPr>
          <w:noProof/>
        </w:rPr>
        <w:fldChar w:fldCharType="end"/>
      </w:r>
      <w:bookmarkEnd w:id="13"/>
      <w:r>
        <w:t xml:space="preserve"> </w:t>
      </w:r>
      <w:r w:rsidR="001E251A">
        <w:t>Major Road Scheme</w:t>
      </w:r>
      <w:r>
        <w:t xml:space="preserve"> </w:t>
      </w:r>
      <w:r w:rsidR="003130B8">
        <w:t xml:space="preserve">Spending </w:t>
      </w:r>
      <w:r w:rsidR="001E251A">
        <w:t>Traffic Volumes (</w:t>
      </w:r>
      <w:r>
        <w:t>HM Treasury</w:t>
      </w:r>
      <w:r w:rsidR="001E251A">
        <w:t>,</w:t>
      </w:r>
      <w:r>
        <w:t xml:space="preserve"> 2013</w:t>
      </w:r>
      <w:r w:rsidR="001E251A">
        <w:t>, p.18</w:t>
      </w:r>
      <w:r>
        <w:t>)</w:t>
      </w:r>
      <w:r w:rsidR="00B8684B">
        <w:rPr>
          <w:rStyle w:val="FootnoteReference"/>
        </w:rPr>
        <w:footnoteReference w:id="2"/>
      </w:r>
      <w:bookmarkEnd w:id="14"/>
      <w:r w:rsidR="00C04DF1">
        <w:t xml:space="preserve"> </w:t>
      </w:r>
    </w:p>
    <w:p w14:paraId="4F4A9055" w14:textId="5D2D6CB0" w:rsidR="004B66E7" w:rsidRDefault="00B23122" w:rsidP="004B654C">
      <w:pPr>
        <w:pStyle w:val="Newparagraph"/>
        <w:spacing w:before="100" w:beforeAutospacing="1" w:after="100" w:afterAutospacing="1"/>
      </w:pPr>
      <w:r>
        <w:t xml:space="preserve">There is, as yet, relatively little academic literature on the transport decision-making of UK governments after 2010.  Davis and Tapp </w:t>
      </w:r>
      <w:r w:rsidR="006E66AC">
        <w:fldChar w:fldCharType="begin"/>
      </w:r>
      <w:r w:rsidR="006E66AC">
        <w:instrText>ADDIN RW.CITE{{3959 Davis,Adrian 2017 /a}}</w:instrText>
      </w:r>
      <w:r w:rsidR="006E66AC">
        <w:fldChar w:fldCharType="separate"/>
      </w:r>
      <w:r w:rsidR="006E66AC" w:rsidRPr="006E66AC">
        <w:t>(2017)</w:t>
      </w:r>
      <w:r w:rsidR="006E66AC">
        <w:fldChar w:fldCharType="end"/>
      </w:r>
      <w:r w:rsidR="004E53FC">
        <w:t xml:space="preserve"> </w:t>
      </w:r>
      <w:r w:rsidR="006E66AC">
        <w:t xml:space="preserve">emphasise the influence of the road lobby, citing Hamer </w:t>
      </w:r>
      <w:r w:rsidR="006E66AC">
        <w:fldChar w:fldCharType="begin"/>
      </w:r>
      <w:r w:rsidR="006E66AC">
        <w:instrText>ADDIN RW.CITE{{3949 Hamer,Mick 1987 /a}}</w:instrText>
      </w:r>
      <w:r w:rsidR="006E66AC">
        <w:fldChar w:fldCharType="separate"/>
      </w:r>
      <w:r w:rsidR="006E66AC" w:rsidRPr="006E66AC">
        <w:t>(1987)</w:t>
      </w:r>
      <w:r w:rsidR="006E66AC">
        <w:fldChar w:fldCharType="end"/>
      </w:r>
      <w:r w:rsidR="006E66AC">
        <w:t xml:space="preserve"> for an earlier period, although they do not provide much evidence for more recent influence.  Docherty </w:t>
      </w:r>
      <w:r w:rsidR="006E66AC" w:rsidRPr="006E66AC">
        <w:rPr>
          <w:i/>
        </w:rPr>
        <w:t>et al.</w:t>
      </w:r>
      <w:r w:rsidR="006E66AC">
        <w:t xml:space="preserve"> </w:t>
      </w:r>
      <w:r w:rsidR="006E66AC">
        <w:fldChar w:fldCharType="begin"/>
      </w:r>
      <w:r w:rsidR="006E66AC">
        <w:instrText>ADDIN RW.CITE{{3951 Docherty,Iain 2018 /a}}</w:instrText>
      </w:r>
      <w:r w:rsidR="006E66AC">
        <w:fldChar w:fldCharType="separate"/>
      </w:r>
      <w:r w:rsidR="006E66AC" w:rsidRPr="006E66AC">
        <w:t>(2018)</w:t>
      </w:r>
      <w:r w:rsidR="006E66AC">
        <w:fldChar w:fldCharType="end"/>
      </w:r>
      <w:r w:rsidR="00B74A6D">
        <w:t xml:space="preserve">, who interviewed 20 stakeholders identified the strong personal influence of the Chancellor George Osborne (a finding confirmed by this study), who </w:t>
      </w:r>
      <w:r w:rsidR="00D17A9B">
        <w:t>believed</w:t>
      </w:r>
      <w:r w:rsidR="00B74A6D">
        <w:t xml:space="preserve"> that transport infrastructure was essential for international economic competitiveness.  The Coalition also believed that Labour’s multi-modal studies had failed</w:t>
      </w:r>
      <w:r w:rsidR="00BC28CF">
        <w:t>; a return to mode-by-mode decision-making was more likely to produce results.</w:t>
      </w:r>
    </w:p>
    <w:p w14:paraId="46006E52" w14:textId="70A1FB68" w:rsidR="00152866" w:rsidRDefault="00D61A89" w:rsidP="004B654C">
      <w:pPr>
        <w:pStyle w:val="Heading2"/>
        <w:spacing w:before="100" w:beforeAutospacing="1" w:after="100" w:afterAutospacing="1" w:line="480" w:lineRule="auto"/>
      </w:pPr>
      <w:bookmarkStart w:id="15" w:name="_Ref527131503"/>
      <w:r>
        <w:t>Causal Beliefs and the Impacts of Road Building</w:t>
      </w:r>
      <w:bookmarkEnd w:id="15"/>
    </w:p>
    <w:p w14:paraId="61F7C2E2" w14:textId="147BEE7F" w:rsidR="00B555EC" w:rsidRDefault="00D17A9B" w:rsidP="004B654C">
      <w:pPr>
        <w:pStyle w:val="Newparagraph"/>
        <w:spacing w:before="100" w:beforeAutospacing="1" w:after="100" w:afterAutospacing="1"/>
      </w:pPr>
      <w:r>
        <w:t xml:space="preserve">The findings of Docherty </w:t>
      </w:r>
      <w:r w:rsidRPr="006E66AC">
        <w:rPr>
          <w:i/>
        </w:rPr>
        <w:t>et al.</w:t>
      </w:r>
      <w:r>
        <w:t xml:space="preserve"> </w:t>
      </w:r>
      <w:r>
        <w:fldChar w:fldCharType="begin"/>
      </w:r>
      <w:r>
        <w:instrText>ADDIN RW.CITE{{3951 Docherty,Iain 2018 /a}}</w:instrText>
      </w:r>
      <w:r>
        <w:fldChar w:fldCharType="separate"/>
      </w:r>
      <w:r w:rsidRPr="006E66AC">
        <w:t>(2018)</w:t>
      </w:r>
      <w:r>
        <w:fldChar w:fldCharType="end"/>
      </w:r>
      <w:r>
        <w:t xml:space="preserve">, like Dudley and Richardson </w:t>
      </w:r>
      <w:r>
        <w:fldChar w:fldCharType="begin"/>
      </w:r>
      <w:r>
        <w:instrText>ADDIN RW.CITE{{3945 Dudley,Geoffrey 2000 /a}}</w:instrText>
      </w:r>
      <w:r>
        <w:fldChar w:fldCharType="separate"/>
      </w:r>
      <w:r w:rsidRPr="00D17A9B">
        <w:t>(2000)</w:t>
      </w:r>
      <w:r>
        <w:fldChar w:fldCharType="end"/>
      </w:r>
      <w:r>
        <w:t xml:space="preserve"> emphasise the importance of causal beliefs about the impacts of road building – on </w:t>
      </w:r>
      <w:r w:rsidR="00382B05">
        <w:t>the economy, traffic and congestion</w:t>
      </w:r>
      <w:r>
        <w:t>, which accompanied changes</w:t>
      </w:r>
      <w:r w:rsidR="00102E22">
        <w:t xml:space="preserve"> in government policy.  Whether causal beliefs </w:t>
      </w:r>
      <w:r w:rsidR="00B555EC">
        <w:t>helped</w:t>
      </w:r>
      <w:r w:rsidR="00102E22">
        <w:t xml:space="preserve"> to change government policy, or vice versa, </w:t>
      </w:r>
      <w:r>
        <w:t xml:space="preserve">is not entirely clear, however.  Sabatier </w:t>
      </w:r>
      <w:r>
        <w:fldChar w:fldCharType="begin"/>
      </w:r>
      <w:r>
        <w:instrText>ADDIN RW.CITE{{3924 Sabatier,PaulA. 1988 /a}}</w:instrText>
      </w:r>
      <w:r>
        <w:fldChar w:fldCharType="separate"/>
      </w:r>
      <w:r w:rsidRPr="00D17A9B">
        <w:t>(1988)</w:t>
      </w:r>
      <w:r>
        <w:fldChar w:fldCharType="end"/>
      </w:r>
      <w:r>
        <w:t xml:space="preserve"> notes that shared</w:t>
      </w:r>
      <w:r w:rsidR="00102E22">
        <w:t xml:space="preserve"> causal beliefs form part of the second (middle) level of the belief systems of policy elites; these beliefs are close to the deep normative core and are unlikely to change unless there is a significant external perturbation; new research evidence a</w:t>
      </w:r>
      <w:r w:rsidR="00DE25C2">
        <w:t>lone is unlikely to change them</w:t>
      </w:r>
      <w:r w:rsidR="00237D25">
        <w:t>.  Confirmation bias is most likely to influence the interpretation of evidence in political situations which are “inherently complex and ambiguous</w:t>
      </w:r>
      <w:r w:rsidR="00642F40">
        <w:t>… and in which the cause-effect relationships are obscure</w:t>
      </w:r>
      <w:r w:rsidR="00237D25">
        <w:t>”</w:t>
      </w:r>
      <w:r w:rsidR="00B2276C">
        <w:t xml:space="preserve"> </w:t>
      </w:r>
      <w:r w:rsidR="00B2276C">
        <w:fldChar w:fldCharType="begin"/>
      </w:r>
      <w:r w:rsidR="00B2276C">
        <w:instrText>ADDIN RW.CITE{{3965 Nickerson,RaymondS. 1998 /f, p.191}}</w:instrText>
      </w:r>
      <w:r w:rsidR="00B2276C">
        <w:fldChar w:fldCharType="separate"/>
      </w:r>
      <w:r w:rsidR="00897909" w:rsidRPr="00897909">
        <w:t>(Nickerson, 1998, p.191)</w:t>
      </w:r>
      <w:r w:rsidR="00B2276C">
        <w:fldChar w:fldCharType="end"/>
      </w:r>
      <w:r w:rsidR="00382B05">
        <w:t xml:space="preserve">.  </w:t>
      </w:r>
      <w:r w:rsidR="00B555EC">
        <w:t xml:space="preserve">That was true of the </w:t>
      </w:r>
      <w:r w:rsidR="0035247A">
        <w:t>causal beliefs</w:t>
      </w:r>
      <w:r w:rsidR="00B555EC">
        <w:t xml:space="preserve"> </w:t>
      </w:r>
      <w:r w:rsidR="0035247A">
        <w:t>around road building</w:t>
      </w:r>
      <w:r w:rsidR="00B555EC">
        <w:t xml:space="preserve"> during the 1990s and remains true today.</w:t>
      </w:r>
    </w:p>
    <w:p w14:paraId="36562CEE" w14:textId="2E58EA2B" w:rsidR="000305BC" w:rsidRDefault="008570EE" w:rsidP="004B654C">
      <w:pPr>
        <w:pStyle w:val="Newparagraph"/>
        <w:spacing w:before="100" w:beforeAutospacing="1" w:after="100" w:afterAutospacing="1"/>
      </w:pPr>
      <w:r>
        <w:t xml:space="preserve">The idea that road expansion might induce more traffic was not new when </w:t>
      </w:r>
      <w:r w:rsidR="006527AC">
        <w:t xml:space="preserve">SACTRA </w:t>
      </w:r>
      <w:r w:rsidR="00A005E7">
        <w:fldChar w:fldCharType="begin"/>
      </w:r>
      <w:r w:rsidR="00A005E7">
        <w:instrText>ADDIN RW.CITE{{1599 SACTRA 1994 /a}}</w:instrText>
      </w:r>
      <w:r w:rsidR="00A005E7">
        <w:fldChar w:fldCharType="separate"/>
      </w:r>
      <w:r w:rsidR="00A005E7" w:rsidRPr="00A005E7">
        <w:t>(1994)</w:t>
      </w:r>
      <w:r w:rsidR="00A005E7">
        <w:fldChar w:fldCharType="end"/>
      </w:r>
      <w:r>
        <w:t xml:space="preserve"> was </w:t>
      </w:r>
      <w:r w:rsidR="001C13F6">
        <w:t xml:space="preserve">published, nor was the inference that </w:t>
      </w:r>
      <w:r w:rsidR="000305BC">
        <w:t>it</w:t>
      </w:r>
      <w:r w:rsidR="001C13F6">
        <w:t xml:space="preserve"> might increase congestion</w:t>
      </w:r>
      <w:r w:rsidR="00521EA8">
        <w:t xml:space="preserve"> in at least some circumstances</w:t>
      </w:r>
      <w:r w:rsidR="00097794">
        <w:t xml:space="preserve"> </w:t>
      </w:r>
      <w:r w:rsidR="00927E35">
        <w:fldChar w:fldCharType="begin"/>
      </w:r>
      <w:r w:rsidR="00097794">
        <w:instrText>ADDIN RW.CITE{{3504 Arnott,Richard 1994 /psee for example: Downs, 1962 cited in: }}</w:instrText>
      </w:r>
      <w:r w:rsidR="00927E35">
        <w:fldChar w:fldCharType="separate"/>
      </w:r>
      <w:r w:rsidR="00897909" w:rsidRPr="00897909">
        <w:t>(see for example: Downs, 1962 cited in: Arnott and Small, 1994)</w:t>
      </w:r>
      <w:r w:rsidR="00927E35">
        <w:fldChar w:fldCharType="end"/>
      </w:r>
      <w:r w:rsidR="00927E35">
        <w:t>.</w:t>
      </w:r>
      <w:r w:rsidR="000C16B4">
        <w:t xml:space="preserve">  </w:t>
      </w:r>
      <w:r w:rsidR="000305BC">
        <w:t xml:space="preserve">SACTRA (1994) strengthened the empirical basis for </w:t>
      </w:r>
      <w:r w:rsidR="00CB6581">
        <w:t>induced traffic</w:t>
      </w:r>
      <w:r w:rsidR="000305BC">
        <w:t xml:space="preserve">.  It was written in technical language and was restrained in its policy recommendations.  The phrase “we cannot build our way out of congestion”, often attributed to SACTRA, was coined three years earlier by Labour transport spokesperson John Prescott </w:t>
      </w:r>
      <w:r w:rsidR="000305BC">
        <w:fldChar w:fldCharType="begin"/>
      </w:r>
      <w:r w:rsidR="000305BC">
        <w:instrText>ADDIN RW.CITE{{3963 Hardy,James 1991}}</w:instrText>
      </w:r>
      <w:r w:rsidR="000305BC">
        <w:fldChar w:fldCharType="separate"/>
      </w:r>
      <w:r w:rsidR="00897909" w:rsidRPr="00897909">
        <w:t>(Hardy, 1991)</w:t>
      </w:r>
      <w:r w:rsidR="000305BC">
        <w:fldChar w:fldCharType="end"/>
      </w:r>
      <w:r w:rsidR="000305BC">
        <w:t>.</w:t>
      </w:r>
    </w:p>
    <w:p w14:paraId="6904A055" w14:textId="55AD92C0" w:rsidR="00C01370" w:rsidRDefault="000305BC" w:rsidP="004B654C">
      <w:pPr>
        <w:pStyle w:val="Newparagraph"/>
        <w:spacing w:before="100" w:beforeAutospacing="1" w:after="100" w:afterAutospacing="1"/>
      </w:pPr>
      <w:r>
        <w:t xml:space="preserve">The existence of induced traffic has never been seriously disputed but its extent and contextual variations remain contested.  The UK Highways Agency </w:t>
      </w:r>
      <w:r>
        <w:fldChar w:fldCharType="begin"/>
      </w:r>
      <w:r>
        <w:instrText>ADDIN RW.CITE{{3589 HighwaysAgency 2013 /a}}</w:instrText>
      </w:r>
      <w:r>
        <w:fldChar w:fldCharType="separate"/>
      </w:r>
      <w:r w:rsidRPr="000305BC">
        <w:t>(2013)</w:t>
      </w:r>
      <w:r>
        <w:fldChar w:fldCharType="end"/>
      </w:r>
      <w:r>
        <w:t xml:space="preserve"> presented some modest estimates for strategic roads built in England; their analysis was challenged by Sloman </w:t>
      </w:r>
      <w:r w:rsidRPr="000305BC">
        <w:rPr>
          <w:i/>
        </w:rPr>
        <w:t>et al</w:t>
      </w:r>
      <w:r>
        <w:t xml:space="preserve">. </w:t>
      </w:r>
      <w:r>
        <w:fldChar w:fldCharType="begin"/>
      </w:r>
      <w:r>
        <w:instrText>ADDIN RW.CITE{{3748 Sloman,L. 2017 /a}}</w:instrText>
      </w:r>
      <w:r>
        <w:fldChar w:fldCharType="separate"/>
      </w:r>
      <w:r w:rsidRPr="000305BC">
        <w:t>(2017)</w:t>
      </w:r>
      <w:r>
        <w:fldChar w:fldCharType="end"/>
      </w:r>
      <w:r>
        <w:t xml:space="preserve">, who reanalysed some of the same data, finding much greater induced traffic.  </w:t>
      </w:r>
      <w:r w:rsidR="005B6A5A">
        <w:t xml:space="preserve">The modelling literature continues to explore Downs’ hypotheses half a century later </w:t>
      </w:r>
      <w:r w:rsidR="005B6A5A">
        <w:fldChar w:fldCharType="begin"/>
      </w:r>
      <w:r w:rsidR="00241D97">
        <w:instrText>ADDIN RW.CITE{{3962 Feng,Shumin 2018 /pe.g. ; 3961 Wang,A. 2018}}</w:instrText>
      </w:r>
      <w:r w:rsidR="005B6A5A">
        <w:fldChar w:fldCharType="separate"/>
      </w:r>
      <w:r w:rsidR="00241D97" w:rsidRPr="00241D97">
        <w:t>(e.g. Feng</w:t>
      </w:r>
      <w:r w:rsidR="00241D97" w:rsidRPr="00241D97">
        <w:rPr>
          <w:i/>
        </w:rPr>
        <w:t xml:space="preserve"> et al.,</w:t>
      </w:r>
      <w:r w:rsidR="00241D97" w:rsidRPr="00241D97">
        <w:t xml:space="preserve"> 2018, Wang and Ziedins, 2018)</w:t>
      </w:r>
      <w:r w:rsidR="005B6A5A">
        <w:fldChar w:fldCharType="end"/>
      </w:r>
      <w:r w:rsidR="005B6A5A">
        <w:t xml:space="preserve"> but no writer, and no model, has ever demonstrated a robust context-independent relationship between road capacity, traffic volumes and congestion.</w:t>
      </w:r>
    </w:p>
    <w:p w14:paraId="5AC33CEC" w14:textId="37D0EBA2" w:rsidR="00702808" w:rsidRDefault="00FF23F3" w:rsidP="004B654C">
      <w:pPr>
        <w:pStyle w:val="Newparagraph"/>
        <w:spacing w:before="100" w:beforeAutospacing="1" w:after="100" w:afterAutospacing="1"/>
      </w:pPr>
      <w:r>
        <w:t>Similar observations may</w:t>
      </w:r>
      <w:r w:rsidR="00427395">
        <w:t xml:space="preserve"> be made about the relationship</w:t>
      </w:r>
      <w:r>
        <w:t xml:space="preserve"> between road building (or transport infrastructure or public investment in general) and </w:t>
      </w:r>
      <w:r w:rsidR="00427395">
        <w:t xml:space="preserve">economic growth.  </w:t>
      </w:r>
      <w:r w:rsidR="00FE0520">
        <w:t xml:space="preserve">SACTRA </w:t>
      </w:r>
      <w:r w:rsidR="00427395">
        <w:t xml:space="preserve">found </w:t>
      </w:r>
      <w:r w:rsidR="00427395" w:rsidRPr="00427395">
        <w:t xml:space="preserve">a “strong theoretical expectation” that transport investment could boost economic growth but that direct evidence was “weak and </w:t>
      </w:r>
      <w:r w:rsidR="00427395">
        <w:t>disputed</w:t>
      </w:r>
      <w:r w:rsidR="00427395" w:rsidRPr="00427395">
        <w:t>”</w:t>
      </w:r>
      <w:r w:rsidR="00427395">
        <w:t xml:space="preserve"> </w:t>
      </w:r>
      <w:r w:rsidR="00427395">
        <w:fldChar w:fldCharType="begin"/>
      </w:r>
      <w:r w:rsidR="00D219DF">
        <w:instrText>ADDIN RW.CITE{{2282 SACTRA 1999 /f, p.8}}</w:instrText>
      </w:r>
      <w:r w:rsidR="00427395">
        <w:fldChar w:fldCharType="separate"/>
      </w:r>
      <w:r w:rsidR="00897909" w:rsidRPr="00897909">
        <w:t>(SACTRA, 1999, p.8)</w:t>
      </w:r>
      <w:r w:rsidR="00427395">
        <w:fldChar w:fldCharType="end"/>
      </w:r>
      <w:r w:rsidR="00427395">
        <w:t>.  This conclusion was also not new; studies casting doubt on the apparent</w:t>
      </w:r>
      <w:r w:rsidR="005B60E0">
        <w:t>ly positive</w:t>
      </w:r>
      <w:r w:rsidR="00427395">
        <w:t xml:space="preserve"> relationships were available </w:t>
      </w:r>
      <w:r w:rsidR="00FE0520">
        <w:t>earlier in</w:t>
      </w:r>
      <w:r w:rsidR="00C01370">
        <w:t xml:space="preserve"> the 1990s </w:t>
      </w:r>
      <w:r w:rsidR="00427395">
        <w:fldChar w:fldCharType="begin"/>
      </w:r>
      <w:r w:rsidR="00427395">
        <w:instrText>ADDIN RW.CITE{{3966 Whitelegg,J. 1994 /pe.g. }}</w:instrText>
      </w:r>
      <w:r w:rsidR="00427395">
        <w:fldChar w:fldCharType="separate"/>
      </w:r>
      <w:r w:rsidR="00897909" w:rsidRPr="00897909">
        <w:t>(e.g. Whitelegg, 1994)</w:t>
      </w:r>
      <w:r w:rsidR="00427395">
        <w:fldChar w:fldCharType="end"/>
      </w:r>
      <w:r w:rsidR="00427395">
        <w:t xml:space="preserve">.  </w:t>
      </w:r>
      <w:r w:rsidR="00B2276C">
        <w:t xml:space="preserve">The following years produced </w:t>
      </w:r>
      <w:r w:rsidR="00702808">
        <w:t>many</w:t>
      </w:r>
      <w:r w:rsidR="00B2276C">
        <w:t xml:space="preserve"> </w:t>
      </w:r>
      <w:r w:rsidR="0045179A">
        <w:t>more</w:t>
      </w:r>
      <w:r w:rsidR="00B2276C">
        <w:t xml:space="preserve"> studies</w:t>
      </w:r>
      <w:r w:rsidR="00FC5782">
        <w:t xml:space="preserve"> with widely varying findings</w:t>
      </w:r>
      <w:r w:rsidR="00702808">
        <w:t xml:space="preserve">.  </w:t>
      </w:r>
      <w:r w:rsidR="005B6A5A">
        <w:t>Amongst the recent meta-studies, most have found more positive than negative associations; some infer a causal relationship</w:t>
      </w:r>
      <w:r w:rsidR="005B60E0">
        <w:t xml:space="preserve"> </w:t>
      </w:r>
      <w:r w:rsidR="005B60E0">
        <w:fldChar w:fldCharType="begin"/>
      </w:r>
      <w:r w:rsidR="005B60E0">
        <w:instrText>ADDIN RW.CITE{{3450 Bom,PedroR.D. 2014 /pe.g. }}</w:instrText>
      </w:r>
      <w:r w:rsidR="005B60E0">
        <w:fldChar w:fldCharType="separate"/>
      </w:r>
      <w:r w:rsidR="00897909" w:rsidRPr="00897909">
        <w:t>(e.g. Bom and Ligthart, 2014)</w:t>
      </w:r>
      <w:r w:rsidR="005B60E0">
        <w:fldChar w:fldCharType="end"/>
      </w:r>
      <w:r w:rsidR="005B6A5A">
        <w:t>; others carefully avoid the language of causality</w:t>
      </w:r>
      <w:r w:rsidR="005B60E0">
        <w:t xml:space="preserve"> </w:t>
      </w:r>
      <w:r w:rsidR="005B60E0">
        <w:fldChar w:fldCharType="begin"/>
      </w:r>
      <w:r w:rsidR="00241D97">
        <w:instrText>ADDIN RW.CITE{{2408 Melo,PatriciaC. 2013 /pe.g. }}</w:instrText>
      </w:r>
      <w:r w:rsidR="005B60E0">
        <w:fldChar w:fldCharType="separate"/>
      </w:r>
      <w:r w:rsidR="00241D97" w:rsidRPr="00241D97">
        <w:t>(e.g. Melo</w:t>
      </w:r>
      <w:r w:rsidR="00241D97" w:rsidRPr="00241D97">
        <w:rPr>
          <w:i/>
        </w:rPr>
        <w:t xml:space="preserve"> et al.,</w:t>
      </w:r>
      <w:r w:rsidR="00241D97" w:rsidRPr="00241D97">
        <w:t xml:space="preserve"> 2013)</w:t>
      </w:r>
      <w:r w:rsidR="005B60E0">
        <w:fldChar w:fldCharType="end"/>
      </w:r>
      <w:r w:rsidR="005B60E0">
        <w:t xml:space="preserve">.  </w:t>
      </w:r>
      <w:r w:rsidR="00702808">
        <w:t>One recent meta-study found evidence of publication bias weighted towards more positive impacts, concluding that “the estimated effects exhibiting high precis</w:t>
      </w:r>
      <w:r w:rsidR="00C01370">
        <w:t>ion are clustered around zero.</w:t>
      </w:r>
      <w:r w:rsidR="00702808">
        <w:t xml:space="preserve">” </w:t>
      </w:r>
      <w:r w:rsidR="00702808">
        <w:fldChar w:fldCharType="begin"/>
      </w:r>
      <w:r w:rsidR="00702808">
        <w:instrText>ADDIN RW.CITE{{3737 Holmgren,Johan 2017}}</w:instrText>
      </w:r>
      <w:r w:rsidR="00702808">
        <w:fldChar w:fldCharType="separate"/>
      </w:r>
      <w:r w:rsidR="00897909" w:rsidRPr="00897909">
        <w:t>(Holmgren and Merkel, 2017)</w:t>
      </w:r>
      <w:r w:rsidR="00702808">
        <w:fldChar w:fldCharType="end"/>
      </w:r>
      <w:r w:rsidR="0045179A">
        <w:t xml:space="preserve">; Melia </w:t>
      </w:r>
      <w:r w:rsidR="0045179A">
        <w:fldChar w:fldCharType="begin"/>
      </w:r>
      <w:r w:rsidR="0045179A">
        <w:instrText>ADDIN RW.CITE{{3861 Melia,Steve 2017 /a}}</w:instrText>
      </w:r>
      <w:r w:rsidR="0045179A">
        <w:fldChar w:fldCharType="separate"/>
      </w:r>
      <w:r w:rsidR="0045179A" w:rsidRPr="0045179A">
        <w:t>(2017)</w:t>
      </w:r>
      <w:r w:rsidR="0045179A">
        <w:fldChar w:fldCharType="end"/>
      </w:r>
      <w:r w:rsidR="0045179A">
        <w:t xml:space="preserve"> concludes that the uncertainties identified by </w:t>
      </w:r>
      <w:r w:rsidR="00CB6581">
        <w:t>SACTRA (1999) remain unresolved.</w:t>
      </w:r>
    </w:p>
    <w:p w14:paraId="2EB7C748" w14:textId="5EDFD047" w:rsidR="00BD23AB" w:rsidRDefault="00BD23AB" w:rsidP="004B654C">
      <w:pPr>
        <w:pStyle w:val="Heading2"/>
        <w:spacing w:before="100" w:beforeAutospacing="1" w:after="100" w:afterAutospacing="1" w:line="480" w:lineRule="auto"/>
      </w:pPr>
      <w:bookmarkStart w:id="16" w:name="_Ref527112563"/>
      <w:r>
        <w:t>Summary and Research Questions</w:t>
      </w:r>
      <w:bookmarkEnd w:id="16"/>
    </w:p>
    <w:p w14:paraId="45690753" w14:textId="61EB1154" w:rsidR="00AC3F1E" w:rsidRDefault="00E43B44" w:rsidP="00CB6581">
      <w:pPr>
        <w:pStyle w:val="Newparagraph"/>
        <w:spacing w:before="100" w:beforeAutospacing="1" w:after="100" w:afterAutospacing="1"/>
      </w:pPr>
      <w:r>
        <w:t xml:space="preserve">The explanations summarised in Subsections </w:t>
      </w:r>
      <w:r>
        <w:fldChar w:fldCharType="begin"/>
      </w:r>
      <w:r>
        <w:instrText xml:space="preserve"> REF _Ref527112325 \r \h </w:instrText>
      </w:r>
      <w:r>
        <w:fldChar w:fldCharType="separate"/>
      </w:r>
      <w:r w:rsidR="0027625B">
        <w:t>2.1</w:t>
      </w:r>
      <w:r>
        <w:fldChar w:fldCharType="end"/>
      </w:r>
      <w:r>
        <w:t xml:space="preserve"> and </w:t>
      </w:r>
      <w:r>
        <w:fldChar w:fldCharType="begin"/>
      </w:r>
      <w:r>
        <w:instrText xml:space="preserve"> REF _Ref527112500 \r \h </w:instrText>
      </w:r>
      <w:r>
        <w:fldChar w:fldCharType="separate"/>
      </w:r>
      <w:r w:rsidR="0027625B">
        <w:t>2.2</w:t>
      </w:r>
      <w:r>
        <w:fldChar w:fldCharType="end"/>
      </w:r>
      <w:r>
        <w:t xml:space="preserve"> have generally focussed on the actions of individual actors within government or the transport professions and</w:t>
      </w:r>
      <w:r w:rsidR="005364F0">
        <w:t xml:space="preserve"> the quasi-autonomous role of evidence and ideas.  Most of the writers have mainly sought explanations within the ‘transport world’; wider socio-economic changes are generally presented as exogenous.  There</w:t>
      </w:r>
      <w:r w:rsidR="00294A7A">
        <w:t xml:space="preserve"> are several common explanations</w:t>
      </w:r>
      <w:r w:rsidR="005364F0">
        <w:t xml:space="preserve"> but also some </w:t>
      </w:r>
      <w:r w:rsidR="00294A7A">
        <w:t xml:space="preserve">differences e.g. </w:t>
      </w:r>
      <w:r w:rsidR="005364F0">
        <w:t>the imp</w:t>
      </w:r>
      <w:r w:rsidR="00822318">
        <w:t xml:space="preserve">act of the </w:t>
      </w:r>
      <w:r w:rsidR="00F37A25">
        <w:t>anti-road protests</w:t>
      </w:r>
      <w:r w:rsidR="00822318">
        <w:t xml:space="preserve"> and the paradigm shift which may have occurred during the 1990s.  The rest of this study will seek to contrast and explain the decisions made in the two periods, using CR methods, discussed next.  </w:t>
      </w:r>
    </w:p>
    <w:p w14:paraId="6DAFCB7F" w14:textId="71D1E56A" w:rsidR="00AC3F1E" w:rsidRDefault="00AC3F1E" w:rsidP="00AC3F1E">
      <w:pPr>
        <w:pStyle w:val="Heading1"/>
      </w:pPr>
      <w:r>
        <w:t>The Challenge for Critical Realist Methods</w:t>
      </w:r>
    </w:p>
    <w:p w14:paraId="1645B50B" w14:textId="17FBB0E8" w:rsidR="00D52C87" w:rsidRDefault="00AC3F1E" w:rsidP="00D52C87">
      <w:pPr>
        <w:pStyle w:val="Newparagraph"/>
        <w:spacing w:before="100" w:beforeAutospacing="1" w:after="100" w:afterAutospacing="1"/>
      </w:pPr>
      <w:r>
        <w:t xml:space="preserve">The application of CR to empirical research involves the identification of causal mechanisms, which can explain phenomena at the </w:t>
      </w:r>
      <w:r w:rsidRPr="008F3B90">
        <w:t>empirical</w:t>
      </w:r>
      <w:r>
        <w:t xml:space="preserve"> level and the ‘actual level’ – events or phenomena whether observed or not </w:t>
      </w:r>
      <w:r>
        <w:fldChar w:fldCharType="begin"/>
      </w:r>
      <w:r>
        <w:instrText>ADDIN RW.CITE{{3724 Fletcher,AmberJ. 2017}}</w:instrText>
      </w:r>
      <w:r>
        <w:fldChar w:fldCharType="separate"/>
      </w:r>
      <w:r w:rsidR="00897909" w:rsidRPr="00897909">
        <w:t>(Fletcher, 2017)</w:t>
      </w:r>
      <w:r>
        <w:fldChar w:fldCharType="end"/>
      </w:r>
      <w:r>
        <w:t xml:space="preserve">.  The causal mechanisms can be identified and traced back to underlying social structures through abduction (theoretical redescription) and retroduction (the process of identifying causes and eliminating of alternatives).  In describing the process of retroduction, Lawson </w:t>
      </w:r>
      <w:r w:rsidR="00D52C87">
        <w:fldChar w:fldCharType="begin"/>
      </w:r>
      <w:r w:rsidR="00D52C87">
        <w:instrText>ADDIN RW.CITE{{3972 Lawson,Tony 1998 /a}}</w:instrText>
      </w:r>
      <w:r w:rsidR="00D52C87">
        <w:fldChar w:fldCharType="separate"/>
      </w:r>
      <w:r w:rsidR="00D52C87" w:rsidRPr="00D52C87">
        <w:t>(1998)</w:t>
      </w:r>
      <w:r w:rsidR="00D52C87">
        <w:fldChar w:fldCharType="end"/>
      </w:r>
      <w:r>
        <w:t xml:space="preserve"> emphasises the potential for contrasting situations with apparent inconsistencies (one of which prompted this study) but he acknowledges that the process itself will be context-specific, drawing on the investigator’s perspective and experience.  </w:t>
      </w:r>
      <w:r w:rsidR="00D52C87">
        <w:t xml:space="preserve">Critics of CR have argued with some justification that the subjectivity of this process has been exploited to confirm preferred explanations, often influenced by political views </w:t>
      </w:r>
      <w:r w:rsidR="00D52C87">
        <w:fldChar w:fldCharType="begin"/>
      </w:r>
      <w:r w:rsidR="00D52C87">
        <w:instrText>ADDIN RW.CITE{{3928 Hodgson,GeoffreyM. 2004 /pe.g. ; 3927 Hodgson,GeoffreyM. 1999 /a}}</w:instrText>
      </w:r>
      <w:r w:rsidR="00D52C87">
        <w:fldChar w:fldCharType="separate"/>
      </w:r>
      <w:r w:rsidR="00897909" w:rsidRPr="00897909">
        <w:rPr>
          <w:bCs/>
          <w:lang w:val="en-US"/>
        </w:rPr>
        <w:t>(e.g. Hodgson, 2004, 1999)</w:t>
      </w:r>
      <w:r w:rsidR="00D52C87">
        <w:fldChar w:fldCharType="end"/>
      </w:r>
      <w:r w:rsidR="00D52C87">
        <w:t xml:space="preserve">.   </w:t>
      </w:r>
    </w:p>
    <w:p w14:paraId="33E8447E" w14:textId="5FDCB682" w:rsidR="00D52C87" w:rsidRDefault="00D52C87" w:rsidP="00AC3F1E">
      <w:pPr>
        <w:pStyle w:val="Newparagraph"/>
        <w:spacing w:before="100" w:beforeAutospacing="1" w:after="100" w:afterAutospacing="1"/>
      </w:pPr>
      <w:r>
        <w:t xml:space="preserve">CR offers a useful framework for analysing social or political change but as Fletcher </w:t>
      </w:r>
      <w:r>
        <w:fldChar w:fldCharType="begin"/>
      </w:r>
      <w:r>
        <w:instrText>ADDIN RW.CITE{{3724 Fletcher,AmberJ. 2017 /a}}</w:instrText>
      </w:r>
      <w:r>
        <w:fldChar w:fldCharType="separate"/>
      </w:r>
      <w:r w:rsidRPr="00D52C87">
        <w:t>(2017)</w:t>
      </w:r>
      <w:r>
        <w:fldChar w:fldCharType="end"/>
      </w:r>
      <w:r>
        <w:t xml:space="preserve"> points out, anyone reviewing </w:t>
      </w:r>
      <w:r w:rsidR="00C838FA">
        <w:t>contemporary</w:t>
      </w:r>
      <w:r>
        <w:t xml:space="preserve"> applied CR literature would find it difficult to work out how CR methods led the authors to their findings and conclusions.</w:t>
      </w:r>
      <w:r w:rsidR="007A03AE">
        <w:t xml:space="preserve">  The relevant changes in social structures and causal mechanisms are rarely made explicit and rarely related in a specific way to decisions by individual actors.  </w:t>
      </w:r>
      <w:r w:rsidR="00EF5B90">
        <w:t xml:space="preserve">Diagrams are often used in CR articles, but usually to make or elaborate a theoretical </w:t>
      </w:r>
      <w:r w:rsidR="00CE4AB1">
        <w:t>argument</w:t>
      </w:r>
      <w:r w:rsidR="00EF5B90">
        <w:t xml:space="preserve">, rarely to illustrate specific mechanisms </w:t>
      </w:r>
      <w:r w:rsidR="00EF5B90">
        <w:fldChar w:fldCharType="begin"/>
      </w:r>
      <w:r w:rsidR="00C651CD">
        <w:instrText>ADDIN RW.CITE{{3914 Jonsson,Ivar 2012 /f makes a partial attempt at this within a narrative explanation of economic change}}</w:instrText>
      </w:r>
      <w:r w:rsidR="00EF5B90">
        <w:fldChar w:fldCharType="separate"/>
      </w:r>
      <w:r w:rsidR="00897909" w:rsidRPr="00897909">
        <w:t>(Jonsson, 2012 makes a partial attempt at this within a narrative explanation of economic change)</w:t>
      </w:r>
      <w:r w:rsidR="00EF5B90">
        <w:fldChar w:fldCharType="end"/>
      </w:r>
      <w:r w:rsidR="00EF5B90">
        <w:t xml:space="preserve">.  Among the few applications of CR to transport </w:t>
      </w:r>
      <w:r w:rsidR="00EF5B90" w:rsidRPr="00EF5B90">
        <w:t>Næss</w:t>
      </w:r>
      <w:r w:rsidR="00EF5B90">
        <w:t xml:space="preserve"> </w:t>
      </w:r>
      <w:r w:rsidR="00EF5B90">
        <w:fldChar w:fldCharType="begin"/>
      </w:r>
      <w:r w:rsidR="00C651CD">
        <w:instrText>ADDIN RW.CITE{{3915 Næss,Petter 2004 /a; 3023 Næss,Petter 2006 /a}}</w:instrText>
      </w:r>
      <w:r w:rsidR="00EF5B90">
        <w:fldChar w:fldCharType="separate"/>
      </w:r>
      <w:r w:rsidR="00C651CD" w:rsidRPr="00C651CD">
        <w:t>(2004, 2006)</w:t>
      </w:r>
      <w:r w:rsidR="00EF5B90">
        <w:fldChar w:fldCharType="end"/>
      </w:r>
      <w:r w:rsidR="00C651CD">
        <w:t xml:space="preserve"> and </w:t>
      </w:r>
      <w:r w:rsidR="00C651CD" w:rsidRPr="00C651CD">
        <w:t>Næss and Strand</w:t>
      </w:r>
      <w:r w:rsidR="00C651CD">
        <w:t xml:space="preserve"> </w:t>
      </w:r>
      <w:r w:rsidR="00C651CD">
        <w:fldChar w:fldCharType="begin"/>
      </w:r>
      <w:r w:rsidR="00C651CD">
        <w:instrText>ADDIN RW.CITE{{3692 Næss,Petter 2012 /a}}</w:instrText>
      </w:r>
      <w:r w:rsidR="00C651CD">
        <w:fldChar w:fldCharType="separate"/>
      </w:r>
      <w:r w:rsidR="00C651CD" w:rsidRPr="00C651CD">
        <w:t>(2012)</w:t>
      </w:r>
      <w:r w:rsidR="00C651CD">
        <w:fldChar w:fldCharType="end"/>
      </w:r>
      <w:r w:rsidR="00C651CD">
        <w:t xml:space="preserve"> demonstrate how CR philosophy can help to answer some fundamental questions for transport policy such as: what types of traffic forecast are possible? Those papers </w:t>
      </w:r>
      <w:r w:rsidR="002303BD">
        <w:t>focus</w:t>
      </w:r>
      <w:r w:rsidR="00C651CD">
        <w:t xml:space="preserve"> on </w:t>
      </w:r>
      <w:r w:rsidR="002303BD">
        <w:t>high-level</w:t>
      </w:r>
      <w:r w:rsidR="00C651CD">
        <w:t xml:space="preserve"> questions</w:t>
      </w:r>
      <w:r w:rsidR="002303BD">
        <w:t xml:space="preserve"> of principle; Wall </w:t>
      </w:r>
      <w:r w:rsidR="002303BD">
        <w:fldChar w:fldCharType="begin"/>
      </w:r>
      <w:r w:rsidR="002303BD">
        <w:instrText>ADDIN RW.CITE{{3950 Wall,Derek 1999 /a}}</w:instrText>
      </w:r>
      <w:r w:rsidR="002303BD">
        <w:fldChar w:fldCharType="separate"/>
      </w:r>
      <w:r w:rsidR="002303BD" w:rsidRPr="002303BD">
        <w:t>(1999)</w:t>
      </w:r>
      <w:r w:rsidR="002303BD">
        <w:fldChar w:fldCharType="end"/>
      </w:r>
      <w:r w:rsidR="002303BD">
        <w:t xml:space="preserve"> illustrates another possibility, where CR was used as </w:t>
      </w:r>
      <w:r w:rsidR="00E32704">
        <w:t xml:space="preserve">a </w:t>
      </w:r>
      <w:r w:rsidR="002303BD">
        <w:t xml:space="preserve">general guiding principle but with no attempt to relate specific causal mechanisms to changes in social structures.   </w:t>
      </w:r>
    </w:p>
    <w:p w14:paraId="1D1A414D" w14:textId="77C1C88E" w:rsidR="00D07C5D" w:rsidRDefault="002303BD" w:rsidP="00D07C5D">
      <w:pPr>
        <w:pStyle w:val="Newparagraph"/>
        <w:spacing w:before="100" w:beforeAutospacing="1" w:after="100" w:afterAutospacing="1"/>
      </w:pPr>
      <w:r>
        <w:t xml:space="preserve">The challenge for this study is to develop a replicable method, </w:t>
      </w:r>
      <w:r w:rsidR="00D07C5D">
        <w:t xml:space="preserve">which applies CR principles to empirical questions using diagrams with explanations to illustrate the relationships between: changes in social structure, causal mechanisms, actions of individual actors and ultimate outcomes.  As the </w:t>
      </w:r>
      <w:r w:rsidR="0047492F">
        <w:t>biases identified in earlier studies may also influence the author of this study,</w:t>
      </w:r>
      <w:r w:rsidR="00D07C5D">
        <w:t xml:space="preserve"> the choices between alternative explanations will be made as transparently as possible, followed by an explicit statement of normative perspective before drawing conclusions. </w:t>
      </w:r>
    </w:p>
    <w:p w14:paraId="26B9C2FB" w14:textId="2C87D13E" w:rsidR="00271318" w:rsidRDefault="00271318" w:rsidP="004B654C">
      <w:pPr>
        <w:pStyle w:val="Heading1"/>
        <w:spacing w:before="100" w:beforeAutospacing="1" w:after="100" w:afterAutospacing="1" w:line="480" w:lineRule="auto"/>
      </w:pPr>
      <w:r>
        <w:t>Methodology</w:t>
      </w:r>
    </w:p>
    <w:p w14:paraId="62985CDD" w14:textId="3F9FBAD7" w:rsidR="00D46E25" w:rsidRDefault="00D46E25" w:rsidP="00D46E25">
      <w:pPr>
        <w:pStyle w:val="Heading2"/>
      </w:pPr>
      <w:r>
        <w:t>Sampling and Interviews</w:t>
      </w:r>
    </w:p>
    <w:p w14:paraId="46EDA4E4" w14:textId="6FD5C875" w:rsidR="005B37A3" w:rsidRDefault="00767FCE" w:rsidP="004B654C">
      <w:pPr>
        <w:pStyle w:val="Paragraph"/>
        <w:spacing w:before="100" w:beforeAutospacing="1" w:after="100" w:afterAutospacing="1"/>
      </w:pPr>
      <w:r>
        <w:t xml:space="preserve">The search for </w:t>
      </w:r>
      <w:r w:rsidR="00113275">
        <w:t>causal mechanisms</w:t>
      </w:r>
      <w:r>
        <w:t xml:space="preserve"> starts from the assumption that individual actors will </w:t>
      </w:r>
      <w:r w:rsidR="009A739A">
        <w:t xml:space="preserve">have their own explanations for why something occurred.  These explanations will contain important elements of the truth but are unlikely to be comprehensive.  </w:t>
      </w:r>
      <w:r w:rsidR="005B37A3">
        <w:t xml:space="preserve">The </w:t>
      </w:r>
      <w:r w:rsidR="003556B0">
        <w:t>next step</w:t>
      </w:r>
      <w:r w:rsidR="005B37A3">
        <w:t xml:space="preserve"> for this </w:t>
      </w:r>
      <w:r w:rsidR="003556B0">
        <w:t xml:space="preserve">study </w:t>
      </w:r>
      <w:r w:rsidR="005B37A3">
        <w:t xml:space="preserve">was therefore to identify key actors amongst the politicians, officials and non-governmental actors involved in the events described in Subsections </w:t>
      </w:r>
      <w:r w:rsidR="005B37A3">
        <w:fldChar w:fldCharType="begin"/>
      </w:r>
      <w:r w:rsidR="005B37A3">
        <w:instrText xml:space="preserve"> REF _Ref527291806 \r \h </w:instrText>
      </w:r>
      <w:r w:rsidR="005B37A3">
        <w:fldChar w:fldCharType="separate"/>
      </w:r>
      <w:r w:rsidR="0027625B">
        <w:t>1.2</w:t>
      </w:r>
      <w:r w:rsidR="005B37A3">
        <w:fldChar w:fldCharType="end"/>
      </w:r>
      <w:r w:rsidR="005B37A3">
        <w:t xml:space="preserve"> to </w:t>
      </w:r>
      <w:r w:rsidR="005B37A3">
        <w:fldChar w:fldCharType="begin"/>
      </w:r>
      <w:r w:rsidR="005B37A3">
        <w:instrText xml:space="preserve"> REF _Ref527112500 \r \h </w:instrText>
      </w:r>
      <w:r w:rsidR="005B37A3">
        <w:fldChar w:fldCharType="separate"/>
      </w:r>
      <w:r w:rsidR="0027625B">
        <w:t>2.2</w:t>
      </w:r>
      <w:r w:rsidR="005B37A3">
        <w:fldChar w:fldCharType="end"/>
      </w:r>
      <w:r w:rsidR="005B37A3">
        <w:t xml:space="preserve">.  The sampling strategy was purposeful, aiming to cover the whole period from 1989 to 2018 with a particular focus on the Major government </w:t>
      </w:r>
      <w:r w:rsidR="00034906">
        <w:t>from</w:t>
      </w:r>
      <w:r w:rsidR="005B37A3">
        <w:t xml:space="preserve"> 1990 to 1997 and the Coalition government from 2010 to 2015.  </w:t>
      </w:r>
      <w:r w:rsidR="00D46E25">
        <w:t>29 of the 32 interviews were face-to-face; all were recorded.</w:t>
      </w:r>
    </w:p>
    <w:tbl>
      <w:tblPr>
        <w:tblStyle w:val="TableGrid"/>
        <w:tblW w:w="0" w:type="auto"/>
        <w:jc w:val="center"/>
        <w:tblLook w:val="04A0" w:firstRow="1" w:lastRow="0" w:firstColumn="1" w:lastColumn="0" w:noHBand="0" w:noVBand="1"/>
      </w:tblPr>
      <w:tblGrid>
        <w:gridCol w:w="3681"/>
        <w:gridCol w:w="850"/>
        <w:gridCol w:w="1418"/>
        <w:gridCol w:w="1276"/>
        <w:gridCol w:w="1264"/>
      </w:tblGrid>
      <w:tr w:rsidR="00592EC2" w:rsidRPr="002E4F9E" w14:paraId="58AD1764" w14:textId="77777777" w:rsidTr="00D856E9">
        <w:trPr>
          <w:trHeight w:hRule="exact" w:val="454"/>
          <w:jc w:val="center"/>
        </w:trPr>
        <w:tc>
          <w:tcPr>
            <w:tcW w:w="3681" w:type="dxa"/>
            <w:shd w:val="clear" w:color="auto" w:fill="F2F2F2" w:themeFill="background1" w:themeFillShade="F2"/>
          </w:tcPr>
          <w:p w14:paraId="528A54DD" w14:textId="77777777" w:rsidR="00592EC2" w:rsidRPr="00A613D8" w:rsidRDefault="00592EC2" w:rsidP="004B654C">
            <w:pPr>
              <w:pStyle w:val="Newparagraph"/>
              <w:spacing w:before="100" w:beforeAutospacing="1" w:after="100" w:afterAutospacing="1"/>
              <w:ind w:firstLine="0"/>
              <w:rPr>
                <w:rFonts w:ascii="Arial" w:hAnsi="Arial" w:cs="Arial"/>
                <w:color w:val="000000"/>
                <w:sz w:val="22"/>
                <w:szCs w:val="22"/>
              </w:rPr>
            </w:pPr>
          </w:p>
        </w:tc>
        <w:tc>
          <w:tcPr>
            <w:tcW w:w="850" w:type="dxa"/>
            <w:shd w:val="clear" w:color="auto" w:fill="F2F2F2" w:themeFill="background1" w:themeFillShade="F2"/>
          </w:tcPr>
          <w:p w14:paraId="1FE68185" w14:textId="77777777" w:rsidR="00592EC2" w:rsidRDefault="00592EC2" w:rsidP="004B654C">
            <w:pPr>
              <w:pStyle w:val="Newparagraph"/>
              <w:spacing w:before="100" w:beforeAutospacing="1" w:after="100" w:afterAutospacing="1"/>
              <w:ind w:firstLine="0"/>
              <w:jc w:val="center"/>
              <w:rPr>
                <w:rFonts w:ascii="Arial" w:hAnsi="Arial" w:cs="Arial"/>
                <w:color w:val="000000"/>
                <w:sz w:val="22"/>
                <w:szCs w:val="22"/>
              </w:rPr>
            </w:pPr>
          </w:p>
        </w:tc>
        <w:tc>
          <w:tcPr>
            <w:tcW w:w="3958" w:type="dxa"/>
            <w:gridSpan w:val="3"/>
            <w:shd w:val="clear" w:color="auto" w:fill="F2F2F2" w:themeFill="background1" w:themeFillShade="F2"/>
          </w:tcPr>
          <w:p w14:paraId="427D36D3" w14:textId="025E4C92" w:rsidR="00592EC2" w:rsidRPr="00A613D8" w:rsidRDefault="00592EC2" w:rsidP="00D856E9">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 xml:space="preserve">Experience </w:t>
            </w:r>
            <w:r w:rsidR="00362E6D">
              <w:rPr>
                <w:rFonts w:ascii="Arial" w:hAnsi="Arial" w:cs="Arial"/>
                <w:color w:val="000000"/>
                <w:sz w:val="22"/>
                <w:szCs w:val="22"/>
              </w:rPr>
              <w:t xml:space="preserve">Relevant to </w:t>
            </w:r>
            <w:r w:rsidR="00D856E9">
              <w:rPr>
                <w:rFonts w:ascii="Arial" w:hAnsi="Arial" w:cs="Arial"/>
                <w:color w:val="000000"/>
                <w:sz w:val="22"/>
                <w:szCs w:val="22"/>
              </w:rPr>
              <w:t>Government</w:t>
            </w:r>
            <w:r w:rsidR="00362E6D">
              <w:rPr>
                <w:rFonts w:ascii="Arial" w:hAnsi="Arial" w:cs="Arial"/>
                <w:color w:val="000000"/>
                <w:sz w:val="22"/>
                <w:szCs w:val="22"/>
              </w:rPr>
              <w:t>:</w:t>
            </w:r>
          </w:p>
        </w:tc>
      </w:tr>
      <w:tr w:rsidR="00592EC2" w:rsidRPr="002E4F9E" w14:paraId="12E819DB" w14:textId="77777777" w:rsidTr="00D856E9">
        <w:trPr>
          <w:trHeight w:hRule="exact" w:val="454"/>
          <w:jc w:val="center"/>
        </w:trPr>
        <w:tc>
          <w:tcPr>
            <w:tcW w:w="3681" w:type="dxa"/>
            <w:shd w:val="clear" w:color="auto" w:fill="F2F2F2" w:themeFill="background1" w:themeFillShade="F2"/>
          </w:tcPr>
          <w:p w14:paraId="54AA326D" w14:textId="77777777" w:rsidR="00592EC2" w:rsidRPr="00A613D8" w:rsidRDefault="00592EC2" w:rsidP="004B654C">
            <w:pPr>
              <w:pStyle w:val="Newparagraph"/>
              <w:spacing w:before="100" w:beforeAutospacing="1" w:after="100" w:afterAutospacing="1"/>
              <w:ind w:firstLine="0"/>
              <w:rPr>
                <w:rFonts w:ascii="Arial" w:hAnsi="Arial" w:cs="Arial"/>
                <w:color w:val="000000"/>
                <w:sz w:val="22"/>
                <w:szCs w:val="22"/>
              </w:rPr>
            </w:pPr>
          </w:p>
        </w:tc>
        <w:tc>
          <w:tcPr>
            <w:tcW w:w="850" w:type="dxa"/>
            <w:shd w:val="clear" w:color="auto" w:fill="F2F2F2" w:themeFill="background1" w:themeFillShade="F2"/>
          </w:tcPr>
          <w:p w14:paraId="205D56BE" w14:textId="7C5B004B" w:rsidR="00592EC2"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Total</w:t>
            </w:r>
          </w:p>
        </w:tc>
        <w:tc>
          <w:tcPr>
            <w:tcW w:w="1418" w:type="dxa"/>
            <w:shd w:val="clear" w:color="auto" w:fill="F2F2F2" w:themeFill="background1" w:themeFillShade="F2"/>
          </w:tcPr>
          <w:p w14:paraId="37D57404" w14:textId="28DF8B33" w:rsidR="00592EC2" w:rsidRPr="00A613D8" w:rsidRDefault="00D856E9"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Major</w:t>
            </w:r>
          </w:p>
        </w:tc>
        <w:tc>
          <w:tcPr>
            <w:tcW w:w="1276" w:type="dxa"/>
            <w:shd w:val="clear" w:color="auto" w:fill="F2F2F2" w:themeFill="background1" w:themeFillShade="F2"/>
          </w:tcPr>
          <w:p w14:paraId="2DAB9626" w14:textId="77777777" w:rsidR="00592EC2" w:rsidRDefault="00592EC2"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Labour</w:t>
            </w:r>
          </w:p>
          <w:p w14:paraId="12D091C0" w14:textId="274DFCD7"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G</w:t>
            </w:r>
          </w:p>
        </w:tc>
        <w:tc>
          <w:tcPr>
            <w:tcW w:w="1264" w:type="dxa"/>
            <w:shd w:val="clear" w:color="auto" w:fill="F2F2F2" w:themeFill="background1" w:themeFillShade="F2"/>
          </w:tcPr>
          <w:p w14:paraId="6674337C" w14:textId="11BEB8B8" w:rsidR="00592EC2" w:rsidRPr="00A613D8" w:rsidRDefault="00592EC2"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Coalition</w:t>
            </w:r>
          </w:p>
        </w:tc>
      </w:tr>
      <w:tr w:rsidR="00592EC2" w:rsidRPr="002E4F9E" w14:paraId="5056EC96" w14:textId="7E36EBF7" w:rsidTr="00D856E9">
        <w:trPr>
          <w:trHeight w:hRule="exact" w:val="454"/>
          <w:jc w:val="center"/>
        </w:trPr>
        <w:tc>
          <w:tcPr>
            <w:tcW w:w="3681" w:type="dxa"/>
          </w:tcPr>
          <w:p w14:paraId="59705C76" w14:textId="77777777" w:rsidR="00592EC2" w:rsidRPr="002E4F9E" w:rsidRDefault="00592EC2" w:rsidP="004B654C">
            <w:pPr>
              <w:pStyle w:val="Newparagraph"/>
              <w:spacing w:before="100" w:beforeAutospacing="1" w:after="100" w:afterAutospacing="1"/>
              <w:ind w:firstLine="0"/>
              <w:rPr>
                <w:rFonts w:ascii="Arial" w:hAnsi="Arial" w:cs="Arial"/>
                <w:color w:val="000000"/>
                <w:sz w:val="22"/>
                <w:szCs w:val="22"/>
              </w:rPr>
            </w:pPr>
            <w:r w:rsidRPr="00A613D8">
              <w:rPr>
                <w:rFonts w:ascii="Arial" w:hAnsi="Arial" w:cs="Arial"/>
                <w:color w:val="000000"/>
                <w:sz w:val="22"/>
                <w:szCs w:val="22"/>
              </w:rPr>
              <w:t>Ministers</w:t>
            </w:r>
          </w:p>
        </w:tc>
        <w:tc>
          <w:tcPr>
            <w:tcW w:w="850" w:type="dxa"/>
          </w:tcPr>
          <w:p w14:paraId="46980079" w14:textId="77777777" w:rsidR="00592EC2" w:rsidRPr="002E4F9E" w:rsidRDefault="00592EC2" w:rsidP="004B654C">
            <w:pPr>
              <w:pStyle w:val="Newparagraph"/>
              <w:spacing w:before="100" w:beforeAutospacing="1" w:after="100" w:afterAutospacing="1"/>
              <w:ind w:firstLine="0"/>
              <w:jc w:val="center"/>
              <w:rPr>
                <w:rFonts w:ascii="Arial" w:hAnsi="Arial" w:cs="Arial"/>
                <w:color w:val="000000"/>
                <w:sz w:val="22"/>
                <w:szCs w:val="22"/>
              </w:rPr>
            </w:pPr>
            <w:r w:rsidRPr="00A613D8">
              <w:rPr>
                <w:rFonts w:ascii="Arial" w:hAnsi="Arial" w:cs="Arial"/>
                <w:color w:val="000000"/>
                <w:sz w:val="22"/>
                <w:szCs w:val="22"/>
              </w:rPr>
              <w:t>6</w:t>
            </w:r>
          </w:p>
        </w:tc>
        <w:tc>
          <w:tcPr>
            <w:tcW w:w="1418" w:type="dxa"/>
          </w:tcPr>
          <w:p w14:paraId="21A5F79C" w14:textId="5565F70A" w:rsidR="00592EC2"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4</w:t>
            </w:r>
          </w:p>
        </w:tc>
        <w:tc>
          <w:tcPr>
            <w:tcW w:w="1276" w:type="dxa"/>
          </w:tcPr>
          <w:p w14:paraId="30700CE7" w14:textId="4624FCBF" w:rsidR="00592EC2"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6</w:t>
            </w:r>
          </w:p>
        </w:tc>
        <w:tc>
          <w:tcPr>
            <w:tcW w:w="1264" w:type="dxa"/>
          </w:tcPr>
          <w:p w14:paraId="1C076568" w14:textId="147424BA" w:rsidR="00592EC2"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6</w:t>
            </w:r>
          </w:p>
        </w:tc>
      </w:tr>
      <w:tr w:rsidR="00592EC2" w:rsidRPr="002E4F9E" w14:paraId="5837ED6C" w14:textId="62CA183A" w:rsidTr="00D856E9">
        <w:trPr>
          <w:trHeight w:hRule="exact" w:val="454"/>
          <w:jc w:val="center"/>
        </w:trPr>
        <w:tc>
          <w:tcPr>
            <w:tcW w:w="3681" w:type="dxa"/>
          </w:tcPr>
          <w:p w14:paraId="31BF0D09" w14:textId="074246D1" w:rsidR="00592EC2" w:rsidRPr="002E4F9E" w:rsidRDefault="00885638" w:rsidP="004B654C">
            <w:pPr>
              <w:pStyle w:val="Newparagraph"/>
              <w:spacing w:before="100" w:beforeAutospacing="1" w:after="100" w:afterAutospacing="1"/>
              <w:ind w:firstLine="0"/>
              <w:rPr>
                <w:rFonts w:ascii="Arial" w:hAnsi="Arial" w:cs="Arial"/>
                <w:color w:val="000000"/>
                <w:sz w:val="22"/>
                <w:szCs w:val="22"/>
              </w:rPr>
            </w:pPr>
            <w:r>
              <w:rPr>
                <w:rFonts w:ascii="Arial" w:hAnsi="Arial" w:cs="Arial"/>
                <w:color w:val="000000"/>
                <w:sz w:val="22"/>
                <w:szCs w:val="22"/>
              </w:rPr>
              <w:t>A</w:t>
            </w:r>
            <w:r w:rsidR="00592EC2" w:rsidRPr="00A613D8">
              <w:rPr>
                <w:rFonts w:ascii="Arial" w:hAnsi="Arial" w:cs="Arial"/>
                <w:color w:val="000000"/>
                <w:sz w:val="22"/>
                <w:szCs w:val="22"/>
              </w:rPr>
              <w:t>dvisors</w:t>
            </w:r>
          </w:p>
        </w:tc>
        <w:tc>
          <w:tcPr>
            <w:tcW w:w="850" w:type="dxa"/>
          </w:tcPr>
          <w:p w14:paraId="0963E43F" w14:textId="5F4F73EA" w:rsidR="00592EC2" w:rsidRPr="002E4F9E" w:rsidRDefault="00885638"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8</w:t>
            </w:r>
          </w:p>
        </w:tc>
        <w:tc>
          <w:tcPr>
            <w:tcW w:w="1418" w:type="dxa"/>
          </w:tcPr>
          <w:p w14:paraId="0DEF550F" w14:textId="04A19955" w:rsidR="00592EC2" w:rsidRPr="00A613D8" w:rsidRDefault="00240A46"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3</w:t>
            </w:r>
          </w:p>
        </w:tc>
        <w:tc>
          <w:tcPr>
            <w:tcW w:w="1276" w:type="dxa"/>
          </w:tcPr>
          <w:p w14:paraId="37FC5849" w14:textId="36C034C4" w:rsidR="00592EC2" w:rsidRPr="00A613D8" w:rsidRDefault="00885638"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8</w:t>
            </w:r>
          </w:p>
        </w:tc>
        <w:tc>
          <w:tcPr>
            <w:tcW w:w="1264" w:type="dxa"/>
          </w:tcPr>
          <w:p w14:paraId="7E1053EA" w14:textId="6C02CDDB" w:rsidR="00592EC2" w:rsidRPr="00A613D8" w:rsidRDefault="00885638"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7</w:t>
            </w:r>
          </w:p>
        </w:tc>
      </w:tr>
      <w:tr w:rsidR="00592EC2" w:rsidRPr="002E4F9E" w14:paraId="786EFFE2" w14:textId="537038F5" w:rsidTr="00D856E9">
        <w:trPr>
          <w:trHeight w:hRule="exact" w:val="454"/>
          <w:jc w:val="center"/>
        </w:trPr>
        <w:tc>
          <w:tcPr>
            <w:tcW w:w="3681" w:type="dxa"/>
          </w:tcPr>
          <w:p w14:paraId="749C2C56" w14:textId="77777777" w:rsidR="00592EC2" w:rsidRPr="002E4F9E" w:rsidRDefault="00592EC2" w:rsidP="004B654C">
            <w:pPr>
              <w:pStyle w:val="Newparagraph"/>
              <w:spacing w:before="100" w:beforeAutospacing="1" w:after="100" w:afterAutospacing="1"/>
              <w:ind w:firstLine="0"/>
              <w:rPr>
                <w:rFonts w:ascii="Arial" w:hAnsi="Arial" w:cs="Arial"/>
                <w:color w:val="000000"/>
                <w:sz w:val="22"/>
                <w:szCs w:val="22"/>
              </w:rPr>
            </w:pPr>
            <w:r w:rsidRPr="00A613D8">
              <w:rPr>
                <w:rFonts w:ascii="Arial" w:hAnsi="Arial" w:cs="Arial"/>
                <w:color w:val="000000"/>
                <w:sz w:val="22"/>
                <w:szCs w:val="22"/>
              </w:rPr>
              <w:t>Civil Servants</w:t>
            </w:r>
          </w:p>
        </w:tc>
        <w:tc>
          <w:tcPr>
            <w:tcW w:w="850" w:type="dxa"/>
          </w:tcPr>
          <w:p w14:paraId="265DD2DC" w14:textId="77777777" w:rsidR="00592EC2" w:rsidRPr="002E4F9E" w:rsidRDefault="00592EC2" w:rsidP="004B654C">
            <w:pPr>
              <w:pStyle w:val="Newparagraph"/>
              <w:spacing w:before="100" w:beforeAutospacing="1" w:after="100" w:afterAutospacing="1"/>
              <w:ind w:firstLine="0"/>
              <w:jc w:val="center"/>
              <w:rPr>
                <w:rFonts w:ascii="Arial" w:hAnsi="Arial" w:cs="Arial"/>
                <w:color w:val="000000"/>
                <w:sz w:val="22"/>
                <w:szCs w:val="22"/>
              </w:rPr>
            </w:pPr>
            <w:r w:rsidRPr="00A613D8">
              <w:rPr>
                <w:rFonts w:ascii="Arial" w:hAnsi="Arial" w:cs="Arial"/>
                <w:color w:val="000000"/>
                <w:sz w:val="22"/>
                <w:szCs w:val="22"/>
              </w:rPr>
              <w:t>5</w:t>
            </w:r>
          </w:p>
        </w:tc>
        <w:tc>
          <w:tcPr>
            <w:tcW w:w="1418" w:type="dxa"/>
          </w:tcPr>
          <w:p w14:paraId="341B4972" w14:textId="31870765" w:rsidR="00592EC2"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4</w:t>
            </w:r>
          </w:p>
        </w:tc>
        <w:tc>
          <w:tcPr>
            <w:tcW w:w="1276" w:type="dxa"/>
          </w:tcPr>
          <w:p w14:paraId="61D4979F" w14:textId="38C65034" w:rsidR="00592EC2"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5</w:t>
            </w:r>
          </w:p>
        </w:tc>
        <w:tc>
          <w:tcPr>
            <w:tcW w:w="1264" w:type="dxa"/>
          </w:tcPr>
          <w:p w14:paraId="13460013" w14:textId="455C6BC9" w:rsidR="00592EC2"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5</w:t>
            </w:r>
          </w:p>
        </w:tc>
      </w:tr>
      <w:tr w:rsidR="00362E6D" w:rsidRPr="002E4F9E" w14:paraId="38E352B9" w14:textId="7F7D900C" w:rsidTr="00D856E9">
        <w:tblPrEx>
          <w:jc w:val="left"/>
        </w:tblPrEx>
        <w:trPr>
          <w:trHeight w:hRule="exact" w:val="454"/>
        </w:trPr>
        <w:tc>
          <w:tcPr>
            <w:tcW w:w="3681" w:type="dxa"/>
          </w:tcPr>
          <w:p w14:paraId="555B899F" w14:textId="2424AA07" w:rsidR="00362E6D" w:rsidRPr="002E4F9E" w:rsidRDefault="00362E6D" w:rsidP="004B654C">
            <w:pPr>
              <w:pStyle w:val="Newparagraph"/>
              <w:spacing w:before="100" w:beforeAutospacing="1" w:after="100" w:afterAutospacing="1"/>
              <w:ind w:firstLine="0"/>
              <w:rPr>
                <w:rFonts w:ascii="Arial" w:hAnsi="Arial" w:cs="Arial"/>
                <w:color w:val="000000"/>
                <w:sz w:val="22"/>
                <w:szCs w:val="22"/>
              </w:rPr>
            </w:pPr>
            <w:r w:rsidRPr="00A613D8">
              <w:rPr>
                <w:rFonts w:ascii="Arial" w:hAnsi="Arial" w:cs="Arial"/>
                <w:color w:val="000000"/>
                <w:sz w:val="22"/>
                <w:szCs w:val="22"/>
              </w:rPr>
              <w:t>NGO representatives</w:t>
            </w:r>
            <w:r>
              <w:rPr>
                <w:rFonts w:ascii="Arial" w:hAnsi="Arial" w:cs="Arial"/>
                <w:color w:val="000000"/>
                <w:sz w:val="22"/>
                <w:szCs w:val="22"/>
              </w:rPr>
              <w:t>/lobbyists</w:t>
            </w:r>
          </w:p>
        </w:tc>
        <w:tc>
          <w:tcPr>
            <w:tcW w:w="850" w:type="dxa"/>
          </w:tcPr>
          <w:p w14:paraId="33BB70CE" w14:textId="77777777" w:rsidR="00362E6D" w:rsidRPr="002E4F9E" w:rsidRDefault="00362E6D" w:rsidP="004B654C">
            <w:pPr>
              <w:pStyle w:val="Newparagraph"/>
              <w:spacing w:before="100" w:beforeAutospacing="1" w:after="100" w:afterAutospacing="1"/>
              <w:ind w:firstLine="0"/>
              <w:jc w:val="center"/>
              <w:rPr>
                <w:rFonts w:ascii="Arial" w:hAnsi="Arial" w:cs="Arial"/>
                <w:color w:val="000000"/>
                <w:sz w:val="22"/>
                <w:szCs w:val="22"/>
              </w:rPr>
            </w:pPr>
            <w:r w:rsidRPr="00A613D8">
              <w:rPr>
                <w:rFonts w:ascii="Arial" w:hAnsi="Arial" w:cs="Arial"/>
                <w:color w:val="000000"/>
                <w:sz w:val="22"/>
                <w:szCs w:val="22"/>
              </w:rPr>
              <w:t>6</w:t>
            </w:r>
          </w:p>
        </w:tc>
        <w:tc>
          <w:tcPr>
            <w:tcW w:w="1418" w:type="dxa"/>
          </w:tcPr>
          <w:p w14:paraId="68F8D35B" w14:textId="2B5B5A2F"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6</w:t>
            </w:r>
          </w:p>
        </w:tc>
        <w:tc>
          <w:tcPr>
            <w:tcW w:w="1276" w:type="dxa"/>
          </w:tcPr>
          <w:p w14:paraId="59644142" w14:textId="6A9F8933"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6</w:t>
            </w:r>
          </w:p>
        </w:tc>
        <w:tc>
          <w:tcPr>
            <w:tcW w:w="1264" w:type="dxa"/>
          </w:tcPr>
          <w:p w14:paraId="0F0C1094" w14:textId="055F585A"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4</w:t>
            </w:r>
          </w:p>
        </w:tc>
      </w:tr>
      <w:tr w:rsidR="00362E6D" w:rsidRPr="002E4F9E" w14:paraId="38A4A392" w14:textId="5CE4A6C0" w:rsidTr="00D856E9">
        <w:trPr>
          <w:trHeight w:hRule="exact" w:val="454"/>
          <w:jc w:val="center"/>
        </w:trPr>
        <w:tc>
          <w:tcPr>
            <w:tcW w:w="3681" w:type="dxa"/>
          </w:tcPr>
          <w:p w14:paraId="03E94C6A" w14:textId="77777777" w:rsidR="00362E6D" w:rsidRPr="002E4F9E" w:rsidRDefault="00362E6D" w:rsidP="004B654C">
            <w:pPr>
              <w:pStyle w:val="Newparagraph"/>
              <w:spacing w:before="100" w:beforeAutospacing="1" w:after="100" w:afterAutospacing="1"/>
              <w:ind w:firstLine="0"/>
              <w:rPr>
                <w:rFonts w:ascii="Arial" w:hAnsi="Arial" w:cs="Arial"/>
                <w:color w:val="000000"/>
                <w:sz w:val="22"/>
                <w:szCs w:val="22"/>
              </w:rPr>
            </w:pPr>
            <w:r w:rsidRPr="00A613D8">
              <w:rPr>
                <w:rFonts w:ascii="Arial" w:hAnsi="Arial" w:cs="Arial"/>
                <w:color w:val="000000"/>
                <w:sz w:val="22"/>
                <w:szCs w:val="22"/>
              </w:rPr>
              <w:t>Leaders of campaign movements</w:t>
            </w:r>
          </w:p>
        </w:tc>
        <w:tc>
          <w:tcPr>
            <w:tcW w:w="850" w:type="dxa"/>
          </w:tcPr>
          <w:p w14:paraId="282543BE" w14:textId="77777777" w:rsidR="00362E6D" w:rsidRPr="002E4F9E" w:rsidRDefault="00362E6D" w:rsidP="004B654C">
            <w:pPr>
              <w:pStyle w:val="Newparagraph"/>
              <w:spacing w:before="100" w:beforeAutospacing="1" w:after="100" w:afterAutospacing="1"/>
              <w:ind w:firstLine="0"/>
              <w:jc w:val="center"/>
              <w:rPr>
                <w:rFonts w:ascii="Arial" w:hAnsi="Arial" w:cs="Arial"/>
                <w:color w:val="000000"/>
                <w:sz w:val="22"/>
                <w:szCs w:val="22"/>
              </w:rPr>
            </w:pPr>
            <w:r w:rsidRPr="00A613D8">
              <w:rPr>
                <w:rFonts w:ascii="Arial" w:hAnsi="Arial" w:cs="Arial"/>
                <w:color w:val="000000"/>
                <w:sz w:val="22"/>
                <w:szCs w:val="22"/>
              </w:rPr>
              <w:t>4</w:t>
            </w:r>
          </w:p>
        </w:tc>
        <w:tc>
          <w:tcPr>
            <w:tcW w:w="1418" w:type="dxa"/>
          </w:tcPr>
          <w:p w14:paraId="71F89695" w14:textId="64AAD697"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4</w:t>
            </w:r>
          </w:p>
        </w:tc>
        <w:tc>
          <w:tcPr>
            <w:tcW w:w="1276" w:type="dxa"/>
          </w:tcPr>
          <w:p w14:paraId="0602AC29" w14:textId="13F1ED94"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3</w:t>
            </w:r>
          </w:p>
        </w:tc>
        <w:tc>
          <w:tcPr>
            <w:tcW w:w="1264" w:type="dxa"/>
          </w:tcPr>
          <w:p w14:paraId="4ADDFB4D" w14:textId="5A7FF04D"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3</w:t>
            </w:r>
          </w:p>
        </w:tc>
      </w:tr>
      <w:tr w:rsidR="00362E6D" w:rsidRPr="002E4F9E" w14:paraId="5E35E3E2" w14:textId="40FE93DC" w:rsidTr="00D856E9">
        <w:trPr>
          <w:trHeight w:hRule="exact" w:val="454"/>
          <w:jc w:val="center"/>
        </w:trPr>
        <w:tc>
          <w:tcPr>
            <w:tcW w:w="3681" w:type="dxa"/>
          </w:tcPr>
          <w:p w14:paraId="1F23DFD3" w14:textId="77777777" w:rsidR="00362E6D" w:rsidRPr="002E4F9E" w:rsidRDefault="00362E6D" w:rsidP="004B654C">
            <w:pPr>
              <w:pStyle w:val="Newparagraph"/>
              <w:spacing w:before="100" w:beforeAutospacing="1" w:after="100" w:afterAutospacing="1"/>
              <w:ind w:firstLine="0"/>
              <w:rPr>
                <w:rFonts w:ascii="Arial" w:hAnsi="Arial" w:cs="Arial"/>
                <w:color w:val="000000"/>
                <w:sz w:val="22"/>
                <w:szCs w:val="22"/>
              </w:rPr>
            </w:pPr>
            <w:r w:rsidRPr="00A613D8">
              <w:rPr>
                <w:rFonts w:ascii="Arial" w:hAnsi="Arial" w:cs="Arial"/>
                <w:color w:val="000000"/>
                <w:sz w:val="22"/>
                <w:szCs w:val="22"/>
              </w:rPr>
              <w:t>Civic leaders</w:t>
            </w:r>
            <w:r>
              <w:rPr>
                <w:rFonts w:ascii="Arial" w:hAnsi="Arial" w:cs="Arial"/>
                <w:color w:val="000000"/>
                <w:sz w:val="22"/>
                <w:szCs w:val="22"/>
              </w:rPr>
              <w:t xml:space="preserve"> (elected and officers)</w:t>
            </w:r>
          </w:p>
        </w:tc>
        <w:tc>
          <w:tcPr>
            <w:tcW w:w="850" w:type="dxa"/>
          </w:tcPr>
          <w:p w14:paraId="3E4E5594" w14:textId="77777777" w:rsidR="00362E6D" w:rsidRPr="002E4F9E" w:rsidRDefault="00362E6D" w:rsidP="004B654C">
            <w:pPr>
              <w:pStyle w:val="Newparagraph"/>
              <w:spacing w:before="100" w:beforeAutospacing="1" w:after="100" w:afterAutospacing="1"/>
              <w:ind w:firstLine="0"/>
              <w:jc w:val="center"/>
              <w:rPr>
                <w:rFonts w:ascii="Arial" w:hAnsi="Arial" w:cs="Arial"/>
                <w:color w:val="000000"/>
                <w:sz w:val="22"/>
                <w:szCs w:val="22"/>
              </w:rPr>
            </w:pPr>
            <w:r w:rsidRPr="00A613D8">
              <w:rPr>
                <w:rFonts w:ascii="Arial" w:hAnsi="Arial" w:cs="Arial"/>
                <w:color w:val="000000"/>
                <w:sz w:val="22"/>
                <w:szCs w:val="22"/>
              </w:rPr>
              <w:t>3</w:t>
            </w:r>
          </w:p>
        </w:tc>
        <w:tc>
          <w:tcPr>
            <w:tcW w:w="1418" w:type="dxa"/>
          </w:tcPr>
          <w:p w14:paraId="1EDD8076" w14:textId="6FD9A78A"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2</w:t>
            </w:r>
          </w:p>
        </w:tc>
        <w:tc>
          <w:tcPr>
            <w:tcW w:w="1276" w:type="dxa"/>
          </w:tcPr>
          <w:p w14:paraId="42F3085B" w14:textId="6D3C0EBA"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3</w:t>
            </w:r>
          </w:p>
        </w:tc>
        <w:tc>
          <w:tcPr>
            <w:tcW w:w="1264" w:type="dxa"/>
          </w:tcPr>
          <w:p w14:paraId="017B456E" w14:textId="3925FDC0" w:rsidR="00362E6D" w:rsidRPr="00A613D8" w:rsidRDefault="00362E6D" w:rsidP="004B654C">
            <w:pPr>
              <w:pStyle w:val="Newparagraph"/>
              <w:spacing w:before="100" w:beforeAutospacing="1" w:after="100" w:afterAutospacing="1"/>
              <w:ind w:firstLine="0"/>
              <w:jc w:val="center"/>
              <w:rPr>
                <w:rFonts w:ascii="Arial" w:hAnsi="Arial" w:cs="Arial"/>
                <w:color w:val="000000"/>
                <w:sz w:val="22"/>
                <w:szCs w:val="22"/>
              </w:rPr>
            </w:pPr>
            <w:r>
              <w:rPr>
                <w:rFonts w:ascii="Arial" w:hAnsi="Arial" w:cs="Arial"/>
                <w:color w:val="000000"/>
                <w:sz w:val="22"/>
                <w:szCs w:val="22"/>
              </w:rPr>
              <w:t>1</w:t>
            </w:r>
          </w:p>
        </w:tc>
      </w:tr>
      <w:tr w:rsidR="00362E6D" w:rsidRPr="002E4F9E" w14:paraId="11CF9AD8" w14:textId="3C07AD37" w:rsidTr="00D856E9">
        <w:tblPrEx>
          <w:jc w:val="left"/>
        </w:tblPrEx>
        <w:trPr>
          <w:trHeight w:hRule="exact" w:val="454"/>
        </w:trPr>
        <w:tc>
          <w:tcPr>
            <w:tcW w:w="3681" w:type="dxa"/>
          </w:tcPr>
          <w:p w14:paraId="5EC89FF7" w14:textId="77777777" w:rsidR="00362E6D" w:rsidRPr="00362E6D" w:rsidRDefault="00362E6D" w:rsidP="001E5B3D">
            <w:pPr>
              <w:pStyle w:val="Newparagraph"/>
              <w:spacing w:before="100" w:beforeAutospacing="1" w:after="100" w:afterAutospacing="1"/>
              <w:ind w:firstLine="0"/>
              <w:rPr>
                <w:rFonts w:ascii="Arial" w:hAnsi="Arial" w:cs="Arial"/>
                <w:b/>
                <w:color w:val="000000"/>
                <w:sz w:val="22"/>
                <w:szCs w:val="22"/>
              </w:rPr>
            </w:pPr>
            <w:r w:rsidRPr="00362E6D">
              <w:rPr>
                <w:rFonts w:ascii="Arial" w:hAnsi="Arial" w:cs="Arial"/>
                <w:b/>
                <w:color w:val="000000"/>
                <w:sz w:val="22"/>
                <w:szCs w:val="22"/>
              </w:rPr>
              <w:t>Total</w:t>
            </w:r>
          </w:p>
        </w:tc>
        <w:tc>
          <w:tcPr>
            <w:tcW w:w="850" w:type="dxa"/>
          </w:tcPr>
          <w:p w14:paraId="51ADC0F0" w14:textId="77777777" w:rsidR="00362E6D" w:rsidRPr="00362E6D" w:rsidRDefault="00362E6D" w:rsidP="004B654C">
            <w:pPr>
              <w:pStyle w:val="Newparagraph"/>
              <w:spacing w:before="100" w:beforeAutospacing="1" w:after="100" w:afterAutospacing="1"/>
              <w:ind w:firstLine="0"/>
              <w:jc w:val="center"/>
              <w:rPr>
                <w:rFonts w:ascii="Arial" w:hAnsi="Arial" w:cs="Arial"/>
                <w:b/>
                <w:color w:val="000000"/>
                <w:sz w:val="22"/>
                <w:szCs w:val="22"/>
              </w:rPr>
            </w:pPr>
            <w:r w:rsidRPr="00362E6D">
              <w:rPr>
                <w:rFonts w:ascii="Arial" w:hAnsi="Arial" w:cs="Arial"/>
                <w:b/>
                <w:color w:val="000000"/>
                <w:sz w:val="22"/>
                <w:szCs w:val="22"/>
              </w:rPr>
              <w:t>32</w:t>
            </w:r>
          </w:p>
        </w:tc>
        <w:tc>
          <w:tcPr>
            <w:tcW w:w="1418" w:type="dxa"/>
          </w:tcPr>
          <w:p w14:paraId="4A8471E2" w14:textId="007AEFCA" w:rsidR="00362E6D" w:rsidRPr="00362E6D" w:rsidRDefault="001814CC" w:rsidP="004B654C">
            <w:pPr>
              <w:pStyle w:val="Newparagraph"/>
              <w:spacing w:before="100" w:beforeAutospacing="1" w:after="100" w:afterAutospacing="1"/>
              <w:ind w:firstLine="0"/>
              <w:jc w:val="center"/>
              <w:rPr>
                <w:rFonts w:ascii="Arial" w:hAnsi="Arial" w:cs="Arial"/>
                <w:b/>
                <w:color w:val="000000"/>
                <w:sz w:val="22"/>
                <w:szCs w:val="22"/>
              </w:rPr>
            </w:pPr>
            <w:r>
              <w:rPr>
                <w:rFonts w:ascii="Arial" w:hAnsi="Arial" w:cs="Arial"/>
                <w:b/>
                <w:color w:val="000000"/>
                <w:sz w:val="22"/>
                <w:szCs w:val="22"/>
              </w:rPr>
              <w:t>23</w:t>
            </w:r>
          </w:p>
        </w:tc>
        <w:tc>
          <w:tcPr>
            <w:tcW w:w="1276" w:type="dxa"/>
          </w:tcPr>
          <w:p w14:paraId="10A4BD50" w14:textId="3C5044A7" w:rsidR="00362E6D" w:rsidRPr="00362E6D" w:rsidRDefault="00362E6D" w:rsidP="004B654C">
            <w:pPr>
              <w:pStyle w:val="Newparagraph"/>
              <w:spacing w:before="100" w:beforeAutospacing="1" w:after="100" w:afterAutospacing="1"/>
              <w:ind w:firstLine="0"/>
              <w:jc w:val="center"/>
              <w:rPr>
                <w:rFonts w:ascii="Arial" w:hAnsi="Arial" w:cs="Arial"/>
                <w:b/>
                <w:color w:val="000000"/>
                <w:sz w:val="22"/>
                <w:szCs w:val="22"/>
              </w:rPr>
            </w:pPr>
            <w:r w:rsidRPr="00362E6D">
              <w:rPr>
                <w:rFonts w:ascii="Arial" w:hAnsi="Arial" w:cs="Arial"/>
                <w:b/>
                <w:color w:val="000000"/>
                <w:sz w:val="22"/>
                <w:szCs w:val="22"/>
              </w:rPr>
              <w:t>31</w:t>
            </w:r>
          </w:p>
        </w:tc>
        <w:tc>
          <w:tcPr>
            <w:tcW w:w="1264" w:type="dxa"/>
          </w:tcPr>
          <w:p w14:paraId="0D8CF46B" w14:textId="3003C7D2" w:rsidR="00362E6D" w:rsidRPr="00362E6D" w:rsidRDefault="00362E6D" w:rsidP="004B654C">
            <w:pPr>
              <w:pStyle w:val="Newparagraph"/>
              <w:spacing w:before="100" w:beforeAutospacing="1" w:after="100" w:afterAutospacing="1"/>
              <w:ind w:firstLine="0"/>
              <w:jc w:val="center"/>
              <w:rPr>
                <w:rFonts w:ascii="Arial" w:hAnsi="Arial" w:cs="Arial"/>
                <w:b/>
                <w:color w:val="000000"/>
                <w:sz w:val="22"/>
                <w:szCs w:val="22"/>
              </w:rPr>
            </w:pPr>
            <w:r w:rsidRPr="00362E6D">
              <w:rPr>
                <w:rFonts w:ascii="Arial" w:hAnsi="Arial" w:cs="Arial"/>
                <w:b/>
                <w:color w:val="000000"/>
                <w:sz w:val="22"/>
                <w:szCs w:val="22"/>
              </w:rPr>
              <w:t>26</w:t>
            </w:r>
          </w:p>
        </w:tc>
      </w:tr>
    </w:tbl>
    <w:p w14:paraId="7396B423" w14:textId="5F159CD7" w:rsidR="005B37A3" w:rsidRDefault="00930152" w:rsidP="004B654C">
      <w:pPr>
        <w:pStyle w:val="Caption"/>
        <w:spacing w:before="100" w:beforeAutospacing="1" w:after="100" w:afterAutospacing="1" w:line="480" w:lineRule="auto"/>
      </w:pPr>
      <w:bookmarkStart w:id="17" w:name="_Ref527369716"/>
      <w:r>
        <w:t xml:space="preserve">Table </w:t>
      </w:r>
      <w:r w:rsidR="00702F05">
        <w:rPr>
          <w:noProof/>
        </w:rPr>
        <w:fldChar w:fldCharType="begin"/>
      </w:r>
      <w:r w:rsidR="00702F05">
        <w:rPr>
          <w:noProof/>
        </w:rPr>
        <w:instrText xml:space="preserve"> SEQ Table \* ARABIC </w:instrText>
      </w:r>
      <w:r w:rsidR="00702F05">
        <w:rPr>
          <w:noProof/>
        </w:rPr>
        <w:fldChar w:fldCharType="separate"/>
      </w:r>
      <w:r w:rsidR="0027625B">
        <w:rPr>
          <w:noProof/>
        </w:rPr>
        <w:t>3</w:t>
      </w:r>
      <w:r w:rsidR="00702F05">
        <w:rPr>
          <w:noProof/>
        </w:rPr>
        <w:fldChar w:fldCharType="end"/>
      </w:r>
      <w:bookmarkEnd w:id="17"/>
      <w:r>
        <w:t xml:space="preserve"> Interviewees Categorised by Principal Activity</w:t>
      </w:r>
    </w:p>
    <w:p w14:paraId="46FA6F02" w14:textId="5D14939E" w:rsidR="00767FCE" w:rsidRDefault="00362E6D" w:rsidP="004B654C">
      <w:pPr>
        <w:pStyle w:val="Paragraph"/>
        <w:spacing w:before="100" w:beforeAutospacing="1" w:after="100" w:afterAutospacing="1"/>
      </w:pPr>
      <w:r>
        <w:fldChar w:fldCharType="begin"/>
      </w:r>
      <w:r>
        <w:instrText xml:space="preserve"> REF _Ref527369716 \h </w:instrText>
      </w:r>
      <w:r>
        <w:fldChar w:fldCharType="separate"/>
      </w:r>
      <w:r w:rsidR="0027625B">
        <w:t xml:space="preserve">Table </w:t>
      </w:r>
      <w:r w:rsidR="0027625B">
        <w:rPr>
          <w:noProof/>
        </w:rPr>
        <w:t>3</w:t>
      </w:r>
      <w:r>
        <w:fldChar w:fldCharType="end"/>
      </w:r>
      <w:r>
        <w:t xml:space="preserve"> shows the interviews categorised by their principal activity</w:t>
      </w:r>
      <w:r w:rsidR="00EB0B62">
        <w:t xml:space="preserve"> (several occupied more than one over time) and the period of their relevant experience; 17 of the 32 interviewees had experience spanning both the 1990s and the Coalition years, enabling them to make comparisons. </w:t>
      </w:r>
      <w:r>
        <w:t xml:space="preserve"> </w:t>
      </w:r>
      <w:r w:rsidR="005B37A3">
        <w:t xml:space="preserve">Of the six former ministers three were in office during the 1990s and three during the Coalition.  </w:t>
      </w:r>
      <w:r w:rsidR="0021472B">
        <w:t xml:space="preserve">Some of the interviewees focussed on more specific events but most were asked for their own responses to the central question in Subsection </w:t>
      </w:r>
      <w:r w:rsidR="0021472B">
        <w:fldChar w:fldCharType="begin"/>
      </w:r>
      <w:r w:rsidR="0021472B">
        <w:instrText xml:space="preserve"> REF _Ref527202050 \r \h </w:instrText>
      </w:r>
      <w:r w:rsidR="0021472B">
        <w:fldChar w:fldCharType="separate"/>
      </w:r>
      <w:r w:rsidR="0027625B">
        <w:t>1.1</w:t>
      </w:r>
      <w:r w:rsidR="0021472B">
        <w:fldChar w:fldCharType="end"/>
      </w:r>
      <w:r w:rsidR="0021472B">
        <w:t xml:space="preserve">.  Those responses, plus the findings from the literature, </w:t>
      </w:r>
      <w:r w:rsidR="00EB0B62">
        <w:t>provided</w:t>
      </w:r>
      <w:r w:rsidR="0021472B">
        <w:t xml:space="preserve"> the basis for the rest of the analysis.</w:t>
      </w:r>
      <w:r w:rsidR="00F17B37">
        <w:t xml:space="preserve">  Section </w:t>
      </w:r>
      <w:r w:rsidR="00F17B37">
        <w:fldChar w:fldCharType="begin"/>
      </w:r>
      <w:r w:rsidR="00F17B37">
        <w:instrText xml:space="preserve"> REF _Ref527041881 \r \h </w:instrText>
      </w:r>
      <w:r w:rsidR="00F17B37">
        <w:fldChar w:fldCharType="separate"/>
      </w:r>
      <w:r w:rsidR="0027625B">
        <w:t>5</w:t>
      </w:r>
      <w:r w:rsidR="00F17B37">
        <w:fldChar w:fldCharType="end"/>
      </w:r>
      <w:r w:rsidR="00F17B37">
        <w:t xml:space="preserve"> </w:t>
      </w:r>
      <w:r w:rsidR="003E34BB">
        <w:t xml:space="preserve">mainly </w:t>
      </w:r>
      <w:r w:rsidR="00F17B37">
        <w:t>focus</w:t>
      </w:r>
      <w:r w:rsidR="003E34BB">
        <w:t>s</w:t>
      </w:r>
      <w:r w:rsidR="00F17B37">
        <w:t>es on the explanations from decision-makers within government.</w:t>
      </w:r>
    </w:p>
    <w:p w14:paraId="148A48E4" w14:textId="3C2278CB" w:rsidR="002504E6" w:rsidRDefault="002504E6" w:rsidP="002504E6">
      <w:pPr>
        <w:pStyle w:val="Heading2"/>
      </w:pPr>
      <w:r>
        <w:t>Abduction and Retroduction</w:t>
      </w:r>
    </w:p>
    <w:p w14:paraId="41B41C26" w14:textId="58C23E8C" w:rsidR="00AA554A" w:rsidRDefault="00E11B4B" w:rsidP="002504E6">
      <w:pPr>
        <w:pStyle w:val="Newparagraph"/>
      </w:pPr>
      <w:r>
        <w:t>Explanations offered by the interviewees</w:t>
      </w:r>
      <w:r w:rsidR="00C44C40">
        <w:t xml:space="preserve"> or the literature</w:t>
      </w:r>
      <w:r>
        <w:t xml:space="preserve"> for the policy change in one period, or comparing </w:t>
      </w:r>
      <w:r w:rsidR="00C44C40">
        <w:t>both</w:t>
      </w:r>
      <w:r>
        <w:t xml:space="preserve"> periods, were coded and grouped into broad categories.  The juxtaposition of </w:t>
      </w:r>
      <w:r w:rsidR="00D46E25">
        <w:t xml:space="preserve">the two </w:t>
      </w:r>
      <w:r w:rsidR="00F95DCD">
        <w:t>periods</w:t>
      </w:r>
      <w:r w:rsidR="00D46E25">
        <w:t>, created a sifting criterion</w:t>
      </w:r>
      <w:r w:rsidR="00C44C40">
        <w:t>:</w:t>
      </w:r>
      <w:r>
        <w:t xml:space="preserve"> could each explanation be logically applied to the events in both? Nearly all explanatio</w:t>
      </w:r>
      <w:r w:rsidR="00C44C40">
        <w:t>ns contained some merit but some could not be applied</w:t>
      </w:r>
      <w:r w:rsidR="00BA4EFB">
        <w:t xml:space="preserve"> as e</w:t>
      </w:r>
      <w:r w:rsidR="00C44C40">
        <w:t>xpressed to both periods; the challenge was to adapt and synthesise the</w:t>
      </w:r>
      <w:r w:rsidR="007F02E8">
        <w:t>m into a consistent framework.</w:t>
      </w:r>
      <w:r w:rsidR="00C44C40">
        <w:t xml:space="preserve"> </w:t>
      </w:r>
    </w:p>
    <w:p w14:paraId="1180D7D2" w14:textId="59242886" w:rsidR="002504E6" w:rsidRDefault="00AA554A" w:rsidP="002504E6">
      <w:pPr>
        <w:pStyle w:val="Newparagraph"/>
      </w:pPr>
      <w:r>
        <w:t xml:space="preserve">To </w:t>
      </w:r>
      <w:r w:rsidR="00262591">
        <w:t>clarify the findings</w:t>
      </w:r>
      <w:r>
        <w:t xml:space="preserve"> it was decided to represent the social structures, actors, and causal mechanisms in diagrammatic form.</w:t>
      </w:r>
      <w:r w:rsidR="00262591">
        <w:t xml:space="preserve">  This end-product also helped to structure the comparative analysis; causal mechanisms were sought with </w:t>
      </w:r>
      <w:r w:rsidR="0019260B">
        <w:t>pathways applicable</w:t>
      </w:r>
      <w:r w:rsidR="00340802">
        <w:t xml:space="preserve"> to both time periods;</w:t>
      </w:r>
      <w:r w:rsidR="0019260B">
        <w:t xml:space="preserve"> only the content would differ</w:t>
      </w:r>
      <w:r w:rsidR="007F02E8">
        <w:t>,</w:t>
      </w:r>
      <w:r w:rsidR="0019260B">
        <w:t xml:space="preserve"> </w:t>
      </w:r>
      <w:r w:rsidR="00CB6581">
        <w:t xml:space="preserve">as illustrated in Section </w:t>
      </w:r>
      <w:r w:rsidR="00CB6581">
        <w:fldChar w:fldCharType="begin"/>
      </w:r>
      <w:r w:rsidR="00CB6581">
        <w:instrText xml:space="preserve"> REF _Ref527041881 \r \h </w:instrText>
      </w:r>
      <w:r w:rsidR="00CB6581">
        <w:fldChar w:fldCharType="separate"/>
      </w:r>
      <w:r w:rsidR="0027625B">
        <w:t>5</w:t>
      </w:r>
      <w:r w:rsidR="00CB6581">
        <w:fldChar w:fldCharType="end"/>
      </w:r>
      <w:r w:rsidR="0019260B">
        <w:t xml:space="preserve">.  </w:t>
      </w:r>
    </w:p>
    <w:p w14:paraId="17052EDE" w14:textId="407BFECE" w:rsidR="00F25088" w:rsidRDefault="00FC0DC6" w:rsidP="0044131E">
      <w:pPr>
        <w:pStyle w:val="Newparagraph"/>
      </w:pPr>
      <w:r>
        <w:t xml:space="preserve">In seeking to identify the relevant social structures </w:t>
      </w:r>
      <w:r w:rsidR="00340802">
        <w:t xml:space="preserve">Sabatier’s (1988) distinction between </w:t>
      </w:r>
      <w:r w:rsidR="00C67DD5">
        <w:t xml:space="preserve">stable system parameters </w:t>
      </w:r>
      <w:r w:rsidR="00ED3477">
        <w:t xml:space="preserve">(e.g. </w:t>
      </w:r>
      <w:r w:rsidR="001535C6">
        <w:t>a Capitalist economic system</w:t>
      </w:r>
      <w:r w:rsidR="00ED3477">
        <w:t xml:space="preserve">) </w:t>
      </w:r>
      <w:r w:rsidR="00C67DD5">
        <w:t>and e</w:t>
      </w:r>
      <w:r w:rsidR="00ED3477">
        <w:t>xternal system events (e.g. changes in economic circumstances) is useful.  I</w:t>
      </w:r>
      <w:r>
        <w:t xml:space="preserve">n this study we are mainly concerned with the latter; changes in economic conditions, evidenced by changes in indicators such as GDP, </w:t>
      </w:r>
      <w:r w:rsidR="001535C6">
        <w:t>will be relevant</w:t>
      </w:r>
      <w:r>
        <w:t xml:space="preserve">.  Following the same logic, changes in the </w:t>
      </w:r>
      <w:r w:rsidRPr="00FC0DC6">
        <w:rPr>
          <w:b/>
        </w:rPr>
        <w:t>transport social structure</w:t>
      </w:r>
      <w:r>
        <w:t xml:space="preserve"> – the ensemble of </w:t>
      </w:r>
      <w:r w:rsidR="0044131E">
        <w:t xml:space="preserve">travel behaviour, conventions and objective circumstances – </w:t>
      </w:r>
      <w:r>
        <w:t>may be detected through indicators such as total traffic volumes.</w:t>
      </w:r>
    </w:p>
    <w:p w14:paraId="141397E4" w14:textId="340B0DCB" w:rsidR="00271318" w:rsidRDefault="00271318" w:rsidP="00271318">
      <w:pPr>
        <w:pStyle w:val="Heading1"/>
      </w:pPr>
      <w:bookmarkStart w:id="18" w:name="_Ref527041881"/>
      <w:r>
        <w:t>Findings</w:t>
      </w:r>
      <w:bookmarkEnd w:id="18"/>
    </w:p>
    <w:p w14:paraId="271CF5D2" w14:textId="53F6020C" w:rsidR="005A45B3" w:rsidRDefault="005A45B3" w:rsidP="00BF4F9D">
      <w:pPr>
        <w:pStyle w:val="Heading2"/>
      </w:pPr>
      <w:r>
        <w:t xml:space="preserve">Explanations </w:t>
      </w:r>
      <w:r w:rsidR="006D6E7B">
        <w:t xml:space="preserve">Rejected </w:t>
      </w:r>
      <w:r w:rsidR="00A90DF6">
        <w:t>and Synthesised</w:t>
      </w:r>
    </w:p>
    <w:p w14:paraId="6A325686" w14:textId="58A4FA81" w:rsidR="007F02E8" w:rsidRDefault="00C42BC6" w:rsidP="000C062F">
      <w:pPr>
        <w:pStyle w:val="Newparagraph"/>
      </w:pPr>
      <w:r>
        <w:t>Amongst the explanations proffered by interviewees</w:t>
      </w:r>
      <w:r w:rsidR="007F02E8">
        <w:t xml:space="preserve"> and the literature, </w:t>
      </w:r>
      <w:r w:rsidR="00A90DF6">
        <w:t>several</w:t>
      </w:r>
      <w:r>
        <w:t xml:space="preserve"> could not be applied </w:t>
      </w:r>
      <w:r w:rsidR="007F02E8">
        <w:t xml:space="preserve">in the way they were expressed </w:t>
      </w:r>
      <w:r>
        <w:t>t</w:t>
      </w:r>
      <w:r w:rsidR="007F02E8">
        <w:t>o the decisions in both periods.  T</w:t>
      </w:r>
      <w:r w:rsidR="000C062F">
        <w:t xml:space="preserve">he observation of Glaister </w:t>
      </w:r>
      <w:r w:rsidR="000C062F" w:rsidRPr="000C062F">
        <w:rPr>
          <w:i/>
        </w:rPr>
        <w:t>et al.</w:t>
      </w:r>
      <w:r w:rsidR="000C062F">
        <w:t xml:space="preserve"> 1998 </w:t>
      </w:r>
      <w:r w:rsidR="007F02E8">
        <w:t xml:space="preserve">that environmental arguments </w:t>
      </w:r>
      <w:r w:rsidR="000C062F">
        <w:t>a</w:t>
      </w:r>
      <w:r w:rsidR="007F02E8">
        <w:t xml:space="preserve">gainst road building are more </w:t>
      </w:r>
      <w:r w:rsidR="000C062F">
        <w:t xml:space="preserve">attractive </w:t>
      </w:r>
      <w:r w:rsidR="007F02E8">
        <w:t xml:space="preserve">to governments in fiscal crisis could have applied post-2010 but clearly did not.  Similarly, Davis and Tapp’s </w:t>
      </w:r>
      <w:r w:rsidR="007F02E8">
        <w:fldChar w:fldCharType="begin"/>
      </w:r>
      <w:r w:rsidR="007F02E8">
        <w:instrText>ADDIN RW.CITE{{3959 Davis,Adrian 2017 /a}}</w:instrText>
      </w:r>
      <w:r w:rsidR="007F02E8">
        <w:fldChar w:fldCharType="separate"/>
      </w:r>
      <w:r w:rsidR="007F02E8" w:rsidRPr="006E66AC">
        <w:t>(2017)</w:t>
      </w:r>
      <w:r w:rsidR="007F02E8">
        <w:fldChar w:fldCharType="end"/>
      </w:r>
      <w:r w:rsidR="007F02E8">
        <w:t xml:space="preserve"> argument about the power of the roads lobby </w:t>
      </w:r>
      <w:r w:rsidR="00B9657D">
        <w:t>cannot explain what happened during the 1990s.</w:t>
      </w:r>
      <w:r w:rsidR="007F02E8">
        <w:t xml:space="preserve"> </w:t>
      </w:r>
    </w:p>
    <w:p w14:paraId="7F19ADD1" w14:textId="4B0CE621" w:rsidR="00DE1C4F" w:rsidRDefault="00B9657D" w:rsidP="000C062F">
      <w:pPr>
        <w:pStyle w:val="Newparagraph"/>
      </w:pPr>
      <w:r>
        <w:t xml:space="preserve">One comparative explanation advanced by two interviewees could not be accepted as expressed but did help to suggest one of the causal mechanisms below.  This referred to lower interest rates post-2010 allegedly making it easier for the Coalition government to borrow to finance public investment.  </w:t>
      </w:r>
    </w:p>
    <w:p w14:paraId="41F29324" w14:textId="7D00BD54" w:rsidR="007F02E8" w:rsidRDefault="00DE1C4F" w:rsidP="000C062F">
      <w:pPr>
        <w:pStyle w:val="Newparagraph"/>
      </w:pPr>
      <w:r>
        <w:t xml:space="preserve">In terms of interest </w:t>
      </w:r>
      <w:r w:rsidRPr="00DE1C4F">
        <w:rPr>
          <w:i/>
        </w:rPr>
        <w:t>costs</w:t>
      </w:r>
      <w:r>
        <w:t xml:space="preserve">, this argument could equally have applied to borrowing for </w:t>
      </w:r>
      <w:r w:rsidRPr="00DE1C4F">
        <w:rPr>
          <w:i/>
        </w:rPr>
        <w:t>current</w:t>
      </w:r>
      <w:r>
        <w:t xml:space="preserve"> spending (e.g. on health or education).  In both periods overall public spending was </w:t>
      </w:r>
      <w:r w:rsidR="00A90DF6">
        <w:t>reduced</w:t>
      </w:r>
      <w:r>
        <w:t xml:space="preserve">; in the late 1990s the cuts fell </w:t>
      </w:r>
      <w:r w:rsidR="005B4C0B">
        <w:t>more</w:t>
      </w:r>
      <w:r>
        <w:t xml:space="preserve"> heavily on capital spending</w:t>
      </w:r>
      <w:r w:rsidR="005B4C0B">
        <w:t xml:space="preserve"> (including road building)</w:t>
      </w:r>
      <w:r>
        <w:t xml:space="preserve"> </w:t>
      </w:r>
      <w:r w:rsidR="005B4C0B">
        <w:t xml:space="preserve">but capital spending also fell </w:t>
      </w:r>
      <w:r w:rsidR="00A90DF6">
        <w:t>after 2010</w:t>
      </w:r>
      <w:r>
        <w:t xml:space="preserve">, as shown in </w:t>
      </w:r>
      <w:r>
        <w:fldChar w:fldCharType="begin"/>
      </w:r>
      <w:r>
        <w:instrText xml:space="preserve"> REF _Ref527448320 \h </w:instrText>
      </w:r>
      <w:r>
        <w:fldChar w:fldCharType="separate"/>
      </w:r>
      <w:r w:rsidR="0027625B">
        <w:t xml:space="preserve">Figure </w:t>
      </w:r>
      <w:r w:rsidR="0027625B">
        <w:rPr>
          <w:noProof/>
        </w:rPr>
        <w:t>3</w:t>
      </w:r>
      <w:r>
        <w:fldChar w:fldCharType="end"/>
      </w:r>
      <w:r w:rsidR="0003591D">
        <w:t>.</w:t>
      </w:r>
      <w:r>
        <w:t xml:space="preserve">  </w:t>
      </w:r>
    </w:p>
    <w:p w14:paraId="30229CD7" w14:textId="77777777" w:rsidR="00113275" w:rsidRDefault="00113275" w:rsidP="000C062F">
      <w:pPr>
        <w:pStyle w:val="Newparagraph"/>
      </w:pPr>
    </w:p>
    <w:p w14:paraId="0E2262F3" w14:textId="0560B335" w:rsidR="00DE1C4F" w:rsidRDefault="0052432C" w:rsidP="0052432C">
      <w:pPr>
        <w:pStyle w:val="Newparagraph"/>
        <w:ind w:firstLine="0"/>
      </w:pPr>
      <w:r>
        <w:rPr>
          <w:noProof/>
        </w:rPr>
        <w:drawing>
          <wp:inline distT="0" distB="0" distL="0" distR="0" wp14:anchorId="69C7A788" wp14:editId="06DA6693">
            <wp:extent cx="5396865" cy="3148330"/>
            <wp:effectExtent l="0" t="0" r="13335"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C2CDB0" w14:textId="1FBFF924" w:rsidR="00DE1C4F" w:rsidRDefault="00DE1C4F" w:rsidP="00DE1C4F">
      <w:pPr>
        <w:pStyle w:val="Caption"/>
      </w:pPr>
      <w:bookmarkStart w:id="19" w:name="_Ref527448320"/>
      <w:r>
        <w:t xml:space="preserve">Figure </w:t>
      </w:r>
      <w:r w:rsidR="00054D1A">
        <w:rPr>
          <w:noProof/>
        </w:rPr>
        <w:fldChar w:fldCharType="begin"/>
      </w:r>
      <w:r w:rsidR="00054D1A">
        <w:rPr>
          <w:noProof/>
        </w:rPr>
        <w:instrText xml:space="preserve"> SEQ Figure \* ARABIC </w:instrText>
      </w:r>
      <w:r w:rsidR="00054D1A">
        <w:rPr>
          <w:noProof/>
        </w:rPr>
        <w:fldChar w:fldCharType="separate"/>
      </w:r>
      <w:r w:rsidR="0027625B">
        <w:rPr>
          <w:noProof/>
        </w:rPr>
        <w:t>3</w:t>
      </w:r>
      <w:r w:rsidR="00054D1A">
        <w:rPr>
          <w:noProof/>
        </w:rPr>
        <w:fldChar w:fldCharType="end"/>
      </w:r>
      <w:bookmarkEnd w:id="19"/>
      <w:r>
        <w:t xml:space="preserve"> –</w:t>
      </w:r>
      <w:r w:rsidR="00E343CF">
        <w:t xml:space="preserve"> Trends in </w:t>
      </w:r>
      <w:r>
        <w:t xml:space="preserve">Public Spending and Net Public Investment </w:t>
      </w:r>
      <w:r w:rsidR="0052432C">
        <w:t>as a Proportion of GDP</w:t>
      </w:r>
      <w:r w:rsidR="0003591D">
        <w:t xml:space="preserve"> </w:t>
      </w:r>
      <w:r w:rsidR="00A90DF6">
        <w:t>1990 – 1997 and 2010 – 17</w:t>
      </w:r>
      <w:r w:rsidR="00E343CF">
        <w:rPr>
          <w:rStyle w:val="FootnoteReference"/>
        </w:rPr>
        <w:footnoteReference w:id="3"/>
      </w:r>
      <w:r w:rsidR="0003591D">
        <w:t xml:space="preserve"> </w:t>
      </w:r>
      <w:r w:rsidR="0052432C">
        <w:t>(1990= 100)</w:t>
      </w:r>
    </w:p>
    <w:p w14:paraId="52A7ED0B" w14:textId="0394ABB1" w:rsidR="00DE1C4F" w:rsidRDefault="00A90DF6" w:rsidP="00843137">
      <w:pPr>
        <w:pStyle w:val="Newparagraph"/>
      </w:pPr>
      <w:r>
        <w:t xml:space="preserve">A more precise argument could be made that lower interest rates post-2010 would increase the Net Present Value of future economic benefits from new roads, if </w:t>
      </w:r>
      <w:r w:rsidR="00843137">
        <w:t>such</w:t>
      </w:r>
      <w:r>
        <w:t xml:space="preserve"> benefits exist</w:t>
      </w:r>
      <w:r w:rsidR="00843137">
        <w:t xml:space="preserve"> at a national level</w:t>
      </w:r>
      <w:r>
        <w:t xml:space="preserve">; as discussed in Section </w:t>
      </w:r>
      <w:r>
        <w:fldChar w:fldCharType="begin"/>
      </w:r>
      <w:r>
        <w:instrText xml:space="preserve"> REF _Ref527131503 \r \h </w:instrText>
      </w:r>
      <w:r>
        <w:fldChar w:fldCharType="separate"/>
      </w:r>
      <w:r w:rsidR="0027625B">
        <w:t>2.3</w:t>
      </w:r>
      <w:r>
        <w:fldChar w:fldCharType="end"/>
      </w:r>
      <w:r>
        <w:t xml:space="preserve"> there is uncertainty around that hypothesis.  </w:t>
      </w:r>
      <w:r w:rsidR="007F27AD">
        <w:t xml:space="preserve">A belief that road schemes represent better value for money at a time of low interest rates is also relevant to the </w:t>
      </w:r>
      <w:r w:rsidRPr="00EB6020">
        <w:rPr>
          <w:b/>
          <w:i/>
        </w:rPr>
        <w:t>economic ideology</w:t>
      </w:r>
      <w:r w:rsidR="00843137">
        <w:t xml:space="preserve"> mechanism below.  </w:t>
      </w:r>
      <w:r>
        <w:t>Having rejected or amended certain explanations, the remaining explanations were synthesised into three mechanisms: rational response, public opinion (including the protest movement in t</w:t>
      </w:r>
      <w:r w:rsidR="00113275">
        <w:t>he 1990s) and economic ideology</w:t>
      </w:r>
      <w:r>
        <w:t>.</w:t>
      </w:r>
      <w:r w:rsidR="005A2A5F">
        <w:t xml:space="preserve">  </w:t>
      </w:r>
      <w:r w:rsidR="005A2A5F">
        <w:fldChar w:fldCharType="begin"/>
      </w:r>
      <w:r w:rsidR="005A2A5F">
        <w:instrText xml:space="preserve"> REF _Ref529970922 \h </w:instrText>
      </w:r>
      <w:r w:rsidR="005A2A5F">
        <w:fldChar w:fldCharType="separate"/>
      </w:r>
      <w:r w:rsidR="0027625B">
        <w:t xml:space="preserve">Figure </w:t>
      </w:r>
      <w:r w:rsidR="0027625B">
        <w:rPr>
          <w:noProof/>
        </w:rPr>
        <w:t>4</w:t>
      </w:r>
      <w:r w:rsidR="005A2A5F">
        <w:fldChar w:fldCharType="end"/>
      </w:r>
      <w:r w:rsidR="005A2A5F">
        <w:t xml:space="preserve"> illustrates all three mechanisms.</w:t>
      </w:r>
      <w:r w:rsidR="00CC0CFB">
        <w:t xml:space="preserve">  The analysis that follows will treat each one separately, although all three were interlinked in a variety of ways.</w:t>
      </w:r>
      <w:r w:rsidR="00E63413">
        <w:t xml:space="preserve">  The white boxes indicate a group of actors.  An arrow pointing towards a box indicates an influence </w:t>
      </w:r>
      <w:r w:rsidR="00E63413" w:rsidRPr="00E63413">
        <w:rPr>
          <w:i/>
        </w:rPr>
        <w:t>on</w:t>
      </w:r>
      <w:r w:rsidR="00843137">
        <w:t xml:space="preserve"> those actors, so in </w:t>
      </w:r>
      <w:r w:rsidR="00843137">
        <w:fldChar w:fldCharType="begin"/>
      </w:r>
      <w:r w:rsidR="00843137">
        <w:instrText xml:space="preserve"> REF _Ref527461441 \h </w:instrText>
      </w:r>
      <w:r w:rsidR="00843137">
        <w:fldChar w:fldCharType="separate"/>
      </w:r>
      <w:r w:rsidR="0027625B">
        <w:t xml:space="preserve">Figure </w:t>
      </w:r>
      <w:r w:rsidR="0027625B">
        <w:rPr>
          <w:noProof/>
        </w:rPr>
        <w:t>6</w:t>
      </w:r>
      <w:r w:rsidR="00843137">
        <w:fldChar w:fldCharType="end"/>
      </w:r>
      <w:r w:rsidR="00843137">
        <w:t xml:space="preserve"> for example, the arrows pointing towards ‘General Public’ </w:t>
      </w:r>
      <w:r w:rsidR="00704195">
        <w:t>represent</w:t>
      </w:r>
      <w:r w:rsidR="00843137">
        <w:t xml:space="preserve"> influences on public opinion.</w:t>
      </w:r>
      <w:r w:rsidR="00801A38">
        <w:t xml:space="preserve">  A</w:t>
      </w:r>
      <w:r w:rsidR="00E63413">
        <w:t xml:space="preserve">n arrow pointing away from a white box indicates the impacts of decisions and/or actions </w:t>
      </w:r>
      <w:r w:rsidR="00E63413" w:rsidRPr="00E63413">
        <w:rPr>
          <w:i/>
        </w:rPr>
        <w:t>of</w:t>
      </w:r>
      <w:r w:rsidR="00E63413">
        <w:t xml:space="preserve"> those actors; in some cas</w:t>
      </w:r>
      <w:r w:rsidR="00801A38">
        <w:t xml:space="preserve">es, both occur at the same time, so in </w:t>
      </w:r>
      <w:r w:rsidR="00801A38">
        <w:fldChar w:fldCharType="begin"/>
      </w:r>
      <w:r w:rsidR="00801A38">
        <w:instrText xml:space="preserve"> REF _Ref529970922 \h </w:instrText>
      </w:r>
      <w:r w:rsidR="00801A38">
        <w:fldChar w:fldCharType="separate"/>
      </w:r>
      <w:r w:rsidR="0027625B">
        <w:t xml:space="preserve">Figure </w:t>
      </w:r>
      <w:r w:rsidR="0027625B">
        <w:rPr>
          <w:noProof/>
        </w:rPr>
        <w:t>4</w:t>
      </w:r>
      <w:r w:rsidR="00801A38">
        <w:fldChar w:fldCharType="end"/>
      </w:r>
      <w:r w:rsidR="00801A38">
        <w:t xml:space="preserve"> </w:t>
      </w:r>
      <w:r w:rsidR="000C18DE">
        <w:t>actions of the general p</w:t>
      </w:r>
      <w:r w:rsidR="00801A38">
        <w:t>ublic influence, and are influenced by, changes in transport social structure.</w:t>
      </w:r>
    </w:p>
    <w:p w14:paraId="73590E3C" w14:textId="2B90DC77" w:rsidR="005A2A5F" w:rsidRDefault="005A2A5F" w:rsidP="000C062F">
      <w:pPr>
        <w:pStyle w:val="Newparagraph"/>
      </w:pPr>
    </w:p>
    <w:p w14:paraId="6F667B99" w14:textId="212002B3" w:rsidR="005A2A5F" w:rsidRDefault="00B73A1F" w:rsidP="005A2A5F">
      <w:pPr>
        <w:pStyle w:val="Newparagraph"/>
        <w:ind w:firstLine="0"/>
      </w:pPr>
      <w:r>
        <w:rPr>
          <w:noProof/>
        </w:rPr>
        <w:drawing>
          <wp:inline distT="0" distB="0" distL="0" distR="0" wp14:anchorId="641440F3" wp14:editId="5BA0D33F">
            <wp:extent cx="5396865" cy="27203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se Diagram.png"/>
                    <pic:cNvPicPr/>
                  </pic:nvPicPr>
                  <pic:blipFill>
                    <a:blip r:embed="rId12">
                      <a:extLst>
                        <a:ext uri="{28A0092B-C50C-407E-A947-70E740481C1C}">
                          <a14:useLocalDpi xmlns:a14="http://schemas.microsoft.com/office/drawing/2010/main" val="0"/>
                        </a:ext>
                      </a:extLst>
                    </a:blip>
                    <a:stretch>
                      <a:fillRect/>
                    </a:stretch>
                  </pic:blipFill>
                  <pic:spPr>
                    <a:xfrm>
                      <a:off x="0" y="0"/>
                      <a:ext cx="5396865" cy="2720340"/>
                    </a:xfrm>
                    <a:prstGeom prst="rect">
                      <a:avLst/>
                    </a:prstGeom>
                  </pic:spPr>
                </pic:pic>
              </a:graphicData>
            </a:graphic>
          </wp:inline>
        </w:drawing>
      </w:r>
    </w:p>
    <w:p w14:paraId="2CB55362" w14:textId="1B17905B" w:rsidR="00DE1C4F" w:rsidRDefault="005B4C0B" w:rsidP="005A2A5F">
      <w:pPr>
        <w:pStyle w:val="Caption"/>
      </w:pPr>
      <w:r>
        <w:tab/>
      </w:r>
      <w:bookmarkStart w:id="20" w:name="_Ref529970922"/>
      <w:r w:rsidR="005A2A5F">
        <w:t xml:space="preserve">Figure </w:t>
      </w:r>
      <w:r w:rsidR="00F835FB">
        <w:rPr>
          <w:noProof/>
        </w:rPr>
        <w:fldChar w:fldCharType="begin"/>
      </w:r>
      <w:r w:rsidR="00F835FB">
        <w:rPr>
          <w:noProof/>
        </w:rPr>
        <w:instrText xml:space="preserve"> SEQ Figure \* ARABIC </w:instrText>
      </w:r>
      <w:r w:rsidR="00F835FB">
        <w:rPr>
          <w:noProof/>
        </w:rPr>
        <w:fldChar w:fldCharType="separate"/>
      </w:r>
      <w:r w:rsidR="0027625B">
        <w:rPr>
          <w:noProof/>
        </w:rPr>
        <w:t>4</w:t>
      </w:r>
      <w:r w:rsidR="00F835FB">
        <w:rPr>
          <w:noProof/>
        </w:rPr>
        <w:fldChar w:fldCharType="end"/>
      </w:r>
      <w:bookmarkEnd w:id="20"/>
      <w:r w:rsidR="005A2A5F">
        <w:t xml:space="preserve"> – The Causal Mechanisms Combined</w:t>
      </w:r>
    </w:p>
    <w:p w14:paraId="19654FD0" w14:textId="51B3C4DF" w:rsidR="005A45B3" w:rsidRDefault="005A45B3" w:rsidP="00BF4F9D">
      <w:pPr>
        <w:pStyle w:val="Heading2"/>
      </w:pPr>
      <w:r>
        <w:t xml:space="preserve">Causal Mechanisms </w:t>
      </w:r>
      <w:r w:rsidR="00F3579B">
        <w:t>Under the Major Government (1990-7)</w:t>
      </w:r>
    </w:p>
    <w:p w14:paraId="7FBCFD76" w14:textId="528ED360" w:rsidR="005A45B3" w:rsidRDefault="005A45B3" w:rsidP="00BF4F9D">
      <w:pPr>
        <w:pStyle w:val="Heading3"/>
      </w:pPr>
      <w:bookmarkStart w:id="21" w:name="_Ref527819195"/>
      <w:r>
        <w:t>Rational Response</w:t>
      </w:r>
      <w:bookmarkEnd w:id="21"/>
    </w:p>
    <w:p w14:paraId="4C4FDFE4" w14:textId="11E794E0" w:rsidR="006A7DEF" w:rsidRDefault="002F2F89" w:rsidP="006A7DEF">
      <w:pPr>
        <w:pStyle w:val="Paragraph"/>
      </w:pPr>
      <w:r>
        <w:fldChar w:fldCharType="begin"/>
      </w:r>
      <w:r>
        <w:instrText xml:space="preserve"> REF _Ref529973763 \h </w:instrText>
      </w:r>
      <w:r>
        <w:fldChar w:fldCharType="separate"/>
      </w:r>
      <w:r w:rsidR="0027625B">
        <w:t xml:space="preserve">Figure </w:t>
      </w:r>
      <w:r w:rsidR="0027625B">
        <w:rPr>
          <w:noProof/>
        </w:rPr>
        <w:t>5</w:t>
      </w:r>
      <w:r>
        <w:fldChar w:fldCharType="end"/>
      </w:r>
      <w:r>
        <w:t xml:space="preserve"> </w:t>
      </w:r>
      <w:r w:rsidR="006A7DEF">
        <w:t xml:space="preserve">illustrates the principal causal mechanisms of the rational response postulated by Goodwin </w:t>
      </w:r>
      <w:r w:rsidR="00F877FF">
        <w:fldChar w:fldCharType="begin"/>
      </w:r>
      <w:r w:rsidR="00F877FF">
        <w:instrText>ADDIN RW.CITE{{3771 Goodwin,Phil 1999 /a; 1620 Goodwin,Phil 2008 /a}}</w:instrText>
      </w:r>
      <w:r w:rsidR="00F877FF">
        <w:fldChar w:fldCharType="separate"/>
      </w:r>
      <w:r w:rsidR="00F877FF" w:rsidRPr="00F877FF">
        <w:t>(1999, 2008)</w:t>
      </w:r>
      <w:r w:rsidR="00F877FF">
        <w:fldChar w:fldCharType="end"/>
      </w:r>
      <w:r w:rsidR="00F877FF">
        <w:t>.</w:t>
      </w:r>
      <w:r w:rsidR="000D1682">
        <w:t xml:space="preserve">  Changes in the economic structure, particularly cumulative economic growth, amplified by changes in the transport social structure </w:t>
      </w:r>
      <w:r w:rsidR="00EF2343">
        <w:t xml:space="preserve">(e.g. deregulation of buses, growth of car-based suburbs) </w:t>
      </w:r>
      <w:r w:rsidR="000D1682">
        <w:t>were inc</w:t>
      </w:r>
      <w:r w:rsidR="00C53A30">
        <w:t xml:space="preserve">reasing car ownership and use (shown as economic impacts </w:t>
      </w:r>
      <w:r w:rsidR="00C53A30" w:rsidRPr="00C53A30">
        <w:rPr>
          <w:i/>
        </w:rPr>
        <w:t>on</w:t>
      </w:r>
      <w:r w:rsidR="00C53A30">
        <w:t xml:space="preserve"> the public, and impacts </w:t>
      </w:r>
      <w:r w:rsidR="00C53A30" w:rsidRPr="00C53A30">
        <w:rPr>
          <w:i/>
        </w:rPr>
        <w:t>of</w:t>
      </w:r>
      <w:r w:rsidR="00C53A30">
        <w:t xml:space="preserve"> the public’s actions on the transport social structure</w:t>
      </w:r>
      <w:r w:rsidR="00704195">
        <w:t xml:space="preserve">, which create a feedback influence </w:t>
      </w:r>
      <w:r w:rsidR="00704195" w:rsidRPr="00704195">
        <w:rPr>
          <w:i/>
        </w:rPr>
        <w:t>on</w:t>
      </w:r>
      <w:r w:rsidR="00704195">
        <w:t xml:space="preserve"> the public</w:t>
      </w:r>
      <w:r w:rsidR="00C53A30">
        <w:t xml:space="preserve">).  </w:t>
      </w:r>
      <w:r w:rsidR="000D1682">
        <w:t xml:space="preserve">The analysts were drawing the conclusions that </w:t>
      </w:r>
      <w:r w:rsidR="00EF2343">
        <w:t>this increase could not be acc</w:t>
      </w:r>
      <w:r w:rsidR="000B3CA2">
        <w:t>ommodated through road building, whilst policy entrepreneurs in the transpo</w:t>
      </w:r>
      <w:r w:rsidR="00704195">
        <w:t>rt profession, NGOs and academics</w:t>
      </w:r>
      <w:r w:rsidR="000B3CA2">
        <w:t xml:space="preserve"> were proposing alternative transport strategies.</w:t>
      </w:r>
      <w:r w:rsidR="00C53A30">
        <w:t xml:space="preserve">  All of these influenced the decision makers</w:t>
      </w:r>
      <w:r w:rsidR="00E63413">
        <w:t>, whose decisions (to expand and then contract the road building programme) impacted on the transport social structure.</w:t>
      </w:r>
    </w:p>
    <w:p w14:paraId="2AC790E3" w14:textId="11C8AF03" w:rsidR="00FB17B7" w:rsidRDefault="00FB17B7" w:rsidP="00FB17B7">
      <w:pPr>
        <w:pStyle w:val="Newparagraph"/>
        <w:ind w:firstLine="0"/>
      </w:pPr>
    </w:p>
    <w:p w14:paraId="35D2789B" w14:textId="57C8F996" w:rsidR="00CC0CFB" w:rsidRDefault="000D608D" w:rsidP="006A7DEF">
      <w:pPr>
        <w:pStyle w:val="Caption"/>
      </w:pPr>
      <w:bookmarkStart w:id="22" w:name="_Ref527455930"/>
      <w:r>
        <w:rPr>
          <w:noProof/>
          <w:lang w:eastAsia="en-GB"/>
        </w:rPr>
        <w:drawing>
          <wp:inline distT="0" distB="0" distL="0" distR="0" wp14:anchorId="044ADDD9" wp14:editId="65C8F771">
            <wp:extent cx="5396865" cy="2672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tional response diagram.png"/>
                    <pic:cNvPicPr/>
                  </pic:nvPicPr>
                  <pic:blipFill>
                    <a:blip r:embed="rId13">
                      <a:extLst>
                        <a:ext uri="{28A0092B-C50C-407E-A947-70E740481C1C}">
                          <a14:useLocalDpi xmlns:a14="http://schemas.microsoft.com/office/drawing/2010/main" val="0"/>
                        </a:ext>
                      </a:extLst>
                    </a:blip>
                    <a:stretch>
                      <a:fillRect/>
                    </a:stretch>
                  </pic:blipFill>
                  <pic:spPr>
                    <a:xfrm>
                      <a:off x="0" y="0"/>
                      <a:ext cx="5396865" cy="2672715"/>
                    </a:xfrm>
                    <a:prstGeom prst="rect">
                      <a:avLst/>
                    </a:prstGeom>
                  </pic:spPr>
                </pic:pic>
              </a:graphicData>
            </a:graphic>
          </wp:inline>
        </w:drawing>
      </w:r>
    </w:p>
    <w:p w14:paraId="67AC7CC8" w14:textId="63110C34" w:rsidR="006A7DEF" w:rsidRPr="00FB17B7" w:rsidRDefault="006A7DEF" w:rsidP="006A7DEF">
      <w:pPr>
        <w:pStyle w:val="Caption"/>
      </w:pPr>
      <w:bookmarkStart w:id="23" w:name="_Ref529973763"/>
      <w:r>
        <w:t xml:space="preserve">Figure </w:t>
      </w:r>
      <w:r w:rsidR="00054D1A">
        <w:rPr>
          <w:noProof/>
        </w:rPr>
        <w:fldChar w:fldCharType="begin"/>
      </w:r>
      <w:r w:rsidR="00054D1A">
        <w:rPr>
          <w:noProof/>
        </w:rPr>
        <w:instrText xml:space="preserve"> SEQ Figure \* ARABIC </w:instrText>
      </w:r>
      <w:r w:rsidR="00054D1A">
        <w:rPr>
          <w:noProof/>
        </w:rPr>
        <w:fldChar w:fldCharType="separate"/>
      </w:r>
      <w:r w:rsidR="0027625B">
        <w:rPr>
          <w:noProof/>
        </w:rPr>
        <w:t>5</w:t>
      </w:r>
      <w:r w:rsidR="00054D1A">
        <w:rPr>
          <w:noProof/>
        </w:rPr>
        <w:fldChar w:fldCharType="end"/>
      </w:r>
      <w:bookmarkEnd w:id="22"/>
      <w:bookmarkEnd w:id="23"/>
      <w:r>
        <w:t xml:space="preserve"> – Rational Response Causal Mechanism</w:t>
      </w:r>
    </w:p>
    <w:p w14:paraId="763362A9" w14:textId="1463B0BA" w:rsidR="00565855" w:rsidRDefault="006A7DEF" w:rsidP="00F877FF">
      <w:pPr>
        <w:pStyle w:val="Paragraph"/>
      </w:pPr>
      <w:r>
        <w:t xml:space="preserve">To advance a rational response mechanism as an explanation for political </w:t>
      </w:r>
      <w:r w:rsidR="00704195">
        <w:t>decisions</w:t>
      </w:r>
      <w:r>
        <w:t>, it is not sufficient to demonstrate that a convincing rational argument was made</w:t>
      </w:r>
      <w:r w:rsidR="000B3CA2">
        <w:t>, nor that its conclusions were implemented</w:t>
      </w:r>
      <w:r>
        <w:t xml:space="preserve">; evidence is needed </w:t>
      </w:r>
      <w:r w:rsidR="000B3CA2">
        <w:t>for causal mechanisms</w:t>
      </w:r>
      <w:r>
        <w:t xml:space="preserve"> </w:t>
      </w:r>
      <w:r w:rsidR="000B3CA2">
        <w:t xml:space="preserve">that </w:t>
      </w:r>
      <w:r w:rsidR="00704195">
        <w:t>influenced decisions in</w:t>
      </w:r>
      <w:r w:rsidR="000B3CA2">
        <w:t xml:space="preserve"> practice</w:t>
      </w:r>
      <w:r>
        <w:t xml:space="preserve">.  </w:t>
      </w:r>
      <w:r w:rsidR="00F877FF">
        <w:t xml:space="preserve">Amongst the reasons advanced by Goodwin, </w:t>
      </w:r>
      <w:r w:rsidR="00702708">
        <w:t>the interviews did not provide much support for the</w:t>
      </w:r>
      <w:r w:rsidR="00F3579B">
        <w:t xml:space="preserve"> direct</w:t>
      </w:r>
      <w:r w:rsidR="00702708">
        <w:t xml:space="preserve"> influence of </w:t>
      </w:r>
      <w:r w:rsidR="00F877FF">
        <w:t xml:space="preserve">environmental evidence. </w:t>
      </w:r>
      <w:r w:rsidR="006925C2">
        <w:t xml:space="preserve"> </w:t>
      </w:r>
      <w:r w:rsidR="002E1303">
        <w:t xml:space="preserve">One minister described the influence of climate change on transport decisions as “almost zero.”  </w:t>
      </w:r>
      <w:r w:rsidR="00702708">
        <w:t xml:space="preserve">The discourse in government changed after 1990, particularly in the Department of the Environment </w:t>
      </w:r>
      <w:r w:rsidR="00702708">
        <w:fldChar w:fldCharType="begin"/>
      </w:r>
      <w:r w:rsidR="00702708">
        <w:instrText>ADDIN RW.CITE{{3944 DoE 1990 /pe.g. }}</w:instrText>
      </w:r>
      <w:r w:rsidR="00702708">
        <w:fldChar w:fldCharType="separate"/>
      </w:r>
      <w:r w:rsidR="00897909" w:rsidRPr="00897909">
        <w:t>(e.g. DoE, 1990)</w:t>
      </w:r>
      <w:r w:rsidR="00702708">
        <w:fldChar w:fldCharType="end"/>
      </w:r>
      <w:r w:rsidR="00702708">
        <w:t>,</w:t>
      </w:r>
      <w:r w:rsidR="00F877FF">
        <w:t xml:space="preserve"> but any influence on decisions</w:t>
      </w:r>
      <w:r w:rsidR="00702708">
        <w:t xml:space="preserve"> over road building</w:t>
      </w:r>
      <w:r w:rsidR="00F877FF">
        <w:t xml:space="preserve"> seems to have acted via public opinion (discussed below) rather than a rational response to the evidence.</w:t>
      </w:r>
      <w:r w:rsidR="00702708">
        <w:t xml:space="preserve">  </w:t>
      </w:r>
    </w:p>
    <w:p w14:paraId="48A676FA" w14:textId="77777777" w:rsidR="00C833A0" w:rsidRDefault="00702708" w:rsidP="00F877FF">
      <w:pPr>
        <w:pStyle w:val="Paragraph"/>
      </w:pPr>
      <w:r>
        <w:t xml:space="preserve">There was stronger evidence for the </w:t>
      </w:r>
      <w:r w:rsidR="00C2100E">
        <w:t>impact of SACTRA (1994), the traffic forecasts and the inference from both that attempting to ‘build our way out of congestion’ would be futile.  One minister</w:t>
      </w:r>
      <w:r w:rsidR="00C833A0">
        <w:t xml:space="preserve"> said: </w:t>
      </w:r>
    </w:p>
    <w:p w14:paraId="2A2C6A55" w14:textId="55688133" w:rsidR="00C833A0" w:rsidRDefault="00C833A0" w:rsidP="00E10117">
      <w:pPr>
        <w:pStyle w:val="Paragraph"/>
        <w:ind w:left="720"/>
      </w:pPr>
      <w:r>
        <w:t>“Everyone began to learn that you couldn’t build [roads] to solve the problem that there were too many cars for roads.”</w:t>
      </w:r>
    </w:p>
    <w:p w14:paraId="1603DFE5" w14:textId="3AE437D5" w:rsidR="006A7DEF" w:rsidRDefault="00C833A0" w:rsidP="00F877FF">
      <w:pPr>
        <w:pStyle w:val="Paragraph"/>
      </w:pPr>
      <w:r>
        <w:t xml:space="preserve"> Another minister referred to</w:t>
      </w:r>
      <w:r w:rsidR="00C2100E">
        <w:t xml:space="preserve"> abortive plans to build distributor roads around </w:t>
      </w:r>
      <w:r w:rsidR="000D1682">
        <w:t xml:space="preserve">the </w:t>
      </w:r>
      <w:r w:rsidR="00C02ACB">
        <w:t>M25 motorway</w:t>
      </w:r>
      <w:r w:rsidR="00C2100E">
        <w:t xml:space="preserve">: </w:t>
      </w:r>
    </w:p>
    <w:p w14:paraId="66F3859D" w14:textId="61B48281" w:rsidR="00C2100E" w:rsidRPr="00C2100E" w:rsidRDefault="00C2100E" w:rsidP="000D1682">
      <w:pPr>
        <w:pStyle w:val="Newparagraph"/>
        <w:ind w:left="720"/>
      </w:pPr>
      <w:r>
        <w:t xml:space="preserve">“It came with a health warning that said this would only be good enough for ten years.  That sent a very big signal to me that said: ‘this is a ridiculous project’ because presumably in ten years you’re going to be saying to my successor: ‘please can we have another three lanes in each direction?’” </w:t>
      </w:r>
    </w:p>
    <w:p w14:paraId="55DF869D" w14:textId="10C0EB82" w:rsidR="00EF2343" w:rsidRDefault="00C833A0" w:rsidP="00EF2343">
      <w:pPr>
        <w:pStyle w:val="Newparagraph"/>
      </w:pPr>
      <w:r>
        <w:t>A third</w:t>
      </w:r>
      <w:r w:rsidR="000D1682">
        <w:t xml:space="preserve"> minister </w:t>
      </w:r>
      <w:r>
        <w:t xml:space="preserve">said he </w:t>
      </w:r>
      <w:r w:rsidR="000D1682">
        <w:t xml:space="preserve">drew the conclusion that demand should be restrained through increasing fuel duty and moderating </w:t>
      </w:r>
      <w:r w:rsidR="00BA7EF6">
        <w:t>rises in public transport fares, noting with regret that later governments had done the opposite.</w:t>
      </w:r>
      <w:r w:rsidR="000A322F">
        <w:t xml:space="preserve">  </w:t>
      </w:r>
    </w:p>
    <w:p w14:paraId="73FAF5E4" w14:textId="7CA139B1" w:rsidR="005A45B3" w:rsidRDefault="005A45B3" w:rsidP="00EF2343">
      <w:pPr>
        <w:pStyle w:val="Heading3"/>
      </w:pPr>
      <w:bookmarkStart w:id="24" w:name="_Ref527873537"/>
      <w:r>
        <w:t>Public Opinion</w:t>
      </w:r>
      <w:r w:rsidR="00EF2343">
        <w:t xml:space="preserve"> and Protest Movement</w:t>
      </w:r>
      <w:bookmarkEnd w:id="24"/>
    </w:p>
    <w:p w14:paraId="4D7EBB47" w14:textId="6836EEA6" w:rsidR="00E63413" w:rsidRDefault="00EF2343" w:rsidP="00EF2343">
      <w:pPr>
        <w:pStyle w:val="Paragraph"/>
      </w:pPr>
      <w:r>
        <w:fldChar w:fldCharType="begin"/>
      </w:r>
      <w:r>
        <w:instrText xml:space="preserve"> REF _Ref527461441 \h </w:instrText>
      </w:r>
      <w:r>
        <w:fldChar w:fldCharType="separate"/>
      </w:r>
      <w:r w:rsidR="0027625B">
        <w:t xml:space="preserve">Figure </w:t>
      </w:r>
      <w:r w:rsidR="0027625B">
        <w:rPr>
          <w:noProof/>
        </w:rPr>
        <w:t>6</w:t>
      </w:r>
      <w:r>
        <w:fldChar w:fldCharType="end"/>
      </w:r>
      <w:r>
        <w:t xml:space="preserve"> illustrates the protest movement and public opinion causal mechanism</w:t>
      </w:r>
      <w:r w:rsidR="00C02ACB">
        <w:t>s</w:t>
      </w:r>
      <w:r>
        <w:t xml:space="preserve">.  </w:t>
      </w:r>
      <w:r w:rsidR="00616DF1">
        <w:t>The relevant changes in the transport social structure include the increase in traffic and also the road prog</w:t>
      </w:r>
      <w:r w:rsidR="00E63413">
        <w:t>ramme itself</w:t>
      </w:r>
      <w:r w:rsidR="00EA68F6">
        <w:t xml:space="preserve"> (partly caused by economic factors)</w:t>
      </w:r>
      <w:r w:rsidR="00E63413">
        <w:t xml:space="preserve">.  These influenced the opinions </w:t>
      </w:r>
      <w:r w:rsidR="00EA68F6">
        <w:t>of the general public, who influenced the decision-makers directly in many cases.</w:t>
      </w:r>
    </w:p>
    <w:p w14:paraId="3022EECA" w14:textId="49CF9514" w:rsidR="00EF2343" w:rsidRDefault="00616DF1" w:rsidP="00EF2343">
      <w:pPr>
        <w:pStyle w:val="Paragraph"/>
      </w:pPr>
      <w:r>
        <w:t xml:space="preserve">The militant direct-action protestors, as well as the more conventional local groups </w:t>
      </w:r>
      <w:r w:rsidR="00EA68F6">
        <w:t xml:space="preserve">influenced the general public directly in some cases, and also achieved considerable media impact, which influenced the decision makers directly, and indirectly via the general public.  They </w:t>
      </w:r>
      <w:r>
        <w:t xml:space="preserve">interacted in multiple ways with the analysts who were making the </w:t>
      </w:r>
      <w:r w:rsidR="00555488">
        <w:t>evidential case against large-scal</w:t>
      </w:r>
      <w:r w:rsidR="006D12FF">
        <w:t xml:space="preserve">e road building. </w:t>
      </w:r>
      <w:r w:rsidR="003763E7">
        <w:t xml:space="preserve"> As the protest movement raised the political profile of road building, academics and other analysts were more likely to gain media coverage, and to influence the general public and decision-makers through that route.</w:t>
      </w:r>
    </w:p>
    <w:p w14:paraId="2EB583C7" w14:textId="77777777" w:rsidR="00CB6581" w:rsidRPr="00CB6581" w:rsidRDefault="00CB6581" w:rsidP="00CB6581">
      <w:pPr>
        <w:pStyle w:val="Newparagraph"/>
      </w:pPr>
    </w:p>
    <w:p w14:paraId="23972D59" w14:textId="2C480DCF" w:rsidR="00EF2343" w:rsidRDefault="000D608D" w:rsidP="00EF2343">
      <w:pPr>
        <w:pStyle w:val="Newparagraph"/>
        <w:ind w:firstLine="0"/>
      </w:pPr>
      <w:r>
        <w:rPr>
          <w:noProof/>
        </w:rPr>
        <w:drawing>
          <wp:inline distT="0" distB="0" distL="0" distR="0" wp14:anchorId="63467F76" wp14:editId="41375250">
            <wp:extent cx="5396865" cy="27044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st and Public Opinion Diagram.png"/>
                    <pic:cNvPicPr/>
                  </pic:nvPicPr>
                  <pic:blipFill>
                    <a:blip r:embed="rId14">
                      <a:extLst>
                        <a:ext uri="{28A0092B-C50C-407E-A947-70E740481C1C}">
                          <a14:useLocalDpi xmlns:a14="http://schemas.microsoft.com/office/drawing/2010/main" val="0"/>
                        </a:ext>
                      </a:extLst>
                    </a:blip>
                    <a:stretch>
                      <a:fillRect/>
                    </a:stretch>
                  </pic:blipFill>
                  <pic:spPr>
                    <a:xfrm>
                      <a:off x="0" y="0"/>
                      <a:ext cx="5396865" cy="2704465"/>
                    </a:xfrm>
                    <a:prstGeom prst="rect">
                      <a:avLst/>
                    </a:prstGeom>
                  </pic:spPr>
                </pic:pic>
              </a:graphicData>
            </a:graphic>
          </wp:inline>
        </w:drawing>
      </w:r>
    </w:p>
    <w:p w14:paraId="35BB5615" w14:textId="431886A4" w:rsidR="00EF2343" w:rsidRDefault="00EF2343" w:rsidP="00EF2343">
      <w:pPr>
        <w:pStyle w:val="Caption"/>
      </w:pPr>
      <w:bookmarkStart w:id="25" w:name="_Ref527461441"/>
      <w:r>
        <w:t xml:space="preserve">Figure </w:t>
      </w:r>
      <w:r w:rsidR="00054D1A">
        <w:rPr>
          <w:noProof/>
        </w:rPr>
        <w:fldChar w:fldCharType="begin"/>
      </w:r>
      <w:r w:rsidR="00054D1A">
        <w:rPr>
          <w:noProof/>
        </w:rPr>
        <w:instrText xml:space="preserve"> SEQ Figure \* ARABIC </w:instrText>
      </w:r>
      <w:r w:rsidR="00054D1A">
        <w:rPr>
          <w:noProof/>
        </w:rPr>
        <w:fldChar w:fldCharType="separate"/>
      </w:r>
      <w:r w:rsidR="0027625B">
        <w:rPr>
          <w:noProof/>
        </w:rPr>
        <w:t>6</w:t>
      </w:r>
      <w:r w:rsidR="00054D1A">
        <w:rPr>
          <w:noProof/>
        </w:rPr>
        <w:fldChar w:fldCharType="end"/>
      </w:r>
      <w:bookmarkEnd w:id="25"/>
      <w:r>
        <w:t xml:space="preserve"> – Public Opinion and Protest Movement Causal Mechanism</w:t>
      </w:r>
      <w:r w:rsidR="00877DCC">
        <w:t xml:space="preserve"> – 1990s</w:t>
      </w:r>
    </w:p>
    <w:p w14:paraId="66565E17" w14:textId="42E96045" w:rsidR="00DB67C2" w:rsidRDefault="006D12FF" w:rsidP="006D12FF">
      <w:pPr>
        <w:pStyle w:val="Paragraph"/>
        <w:rPr>
          <w:lang w:eastAsia="zh-CN"/>
        </w:rPr>
      </w:pPr>
      <w:r>
        <w:rPr>
          <w:lang w:eastAsia="zh-CN"/>
        </w:rPr>
        <w:t xml:space="preserve">Public opinion was mentioned by </w:t>
      </w:r>
      <w:r w:rsidR="00DB67C2">
        <w:rPr>
          <w:lang w:eastAsia="zh-CN"/>
        </w:rPr>
        <w:t>many</w:t>
      </w:r>
      <w:r>
        <w:rPr>
          <w:lang w:eastAsia="zh-CN"/>
        </w:rPr>
        <w:t xml:space="preserve"> of the interviewees</w:t>
      </w:r>
      <w:r w:rsidR="00113275">
        <w:rPr>
          <w:lang w:eastAsia="zh-CN"/>
        </w:rPr>
        <w:t>;</w:t>
      </w:r>
      <w:r w:rsidR="00560113">
        <w:rPr>
          <w:lang w:eastAsia="zh-CN"/>
        </w:rPr>
        <w:t xml:space="preserve"> a chapter of the transport green paper </w:t>
      </w:r>
      <w:r w:rsidR="00560113">
        <w:rPr>
          <w:lang w:eastAsia="zh-CN"/>
        </w:rPr>
        <w:fldChar w:fldCharType="begin"/>
      </w:r>
      <w:r w:rsidR="00560113">
        <w:rPr>
          <w:lang w:eastAsia="zh-CN"/>
        </w:rPr>
        <w:instrText>ADDIN RW.CITE{{3744 DTp 1996}}</w:instrText>
      </w:r>
      <w:r w:rsidR="00560113">
        <w:rPr>
          <w:lang w:eastAsia="zh-CN"/>
        </w:rPr>
        <w:fldChar w:fldCharType="separate"/>
      </w:r>
      <w:r w:rsidR="00897909" w:rsidRPr="00897909">
        <w:rPr>
          <w:lang w:eastAsia="zh-CN"/>
        </w:rPr>
        <w:t>(DTp, 1996)</w:t>
      </w:r>
      <w:r w:rsidR="00560113">
        <w:rPr>
          <w:lang w:eastAsia="zh-CN"/>
        </w:rPr>
        <w:fldChar w:fldCharType="end"/>
      </w:r>
      <w:r w:rsidR="00560113">
        <w:rPr>
          <w:lang w:eastAsia="zh-CN"/>
        </w:rPr>
        <w:t xml:space="preserve"> was devoted to public opinion, noting that public support for road building had declined</w:t>
      </w:r>
      <w:r>
        <w:rPr>
          <w:lang w:eastAsia="zh-CN"/>
        </w:rPr>
        <w:t xml:space="preserve">.  </w:t>
      </w:r>
      <w:r w:rsidR="00DB67C2">
        <w:rPr>
          <w:lang w:eastAsia="zh-CN"/>
        </w:rPr>
        <w:t xml:space="preserve">One advisor explained how Michael Heseltine, </w:t>
      </w:r>
      <w:r w:rsidR="00F65893">
        <w:rPr>
          <w:lang w:eastAsia="zh-CN"/>
        </w:rPr>
        <w:t xml:space="preserve">who became Deputy Prime Minister in 1995, had </w:t>
      </w:r>
      <w:r w:rsidR="00DB67C2">
        <w:rPr>
          <w:lang w:eastAsia="zh-CN"/>
        </w:rPr>
        <w:t xml:space="preserve">spent much time as a backbencher visiting local Conservative parties and found </w:t>
      </w:r>
      <w:r w:rsidR="00F65893">
        <w:rPr>
          <w:lang w:eastAsia="zh-CN"/>
        </w:rPr>
        <w:t>many members were</w:t>
      </w:r>
      <w:r w:rsidR="00DB67C2">
        <w:rPr>
          <w:lang w:eastAsia="zh-CN"/>
        </w:rPr>
        <w:t xml:space="preserve"> “quite wound up” about environmental issues, particularly relating to the countryside.</w:t>
      </w:r>
    </w:p>
    <w:p w14:paraId="31FA673B" w14:textId="6F5A7E1D" w:rsidR="0083654C" w:rsidRDefault="00357A74" w:rsidP="00357A74">
      <w:pPr>
        <w:pStyle w:val="Newparagraph"/>
        <w:rPr>
          <w:lang w:eastAsia="zh-CN"/>
        </w:rPr>
      </w:pPr>
      <w:r>
        <w:rPr>
          <w:lang w:eastAsia="zh-CN"/>
        </w:rPr>
        <w:t xml:space="preserve">One protest leader explained how the conventional protest groups lobbied MPs to great effect, sending thousands of letters to the same MP in some constituencies.  </w:t>
      </w:r>
      <w:r w:rsidR="00F65893">
        <w:rPr>
          <w:lang w:eastAsia="zh-CN"/>
        </w:rPr>
        <w:t>Interviewees from</w:t>
      </w:r>
      <w:r w:rsidR="006D12FF">
        <w:rPr>
          <w:lang w:eastAsia="zh-CN"/>
        </w:rPr>
        <w:t xml:space="preserve"> the </w:t>
      </w:r>
      <w:r>
        <w:rPr>
          <w:lang w:eastAsia="zh-CN"/>
        </w:rPr>
        <w:t>direct action</w:t>
      </w:r>
      <w:r w:rsidR="006D12FF">
        <w:rPr>
          <w:lang w:eastAsia="zh-CN"/>
        </w:rPr>
        <w:t xml:space="preserve"> movement pointed to the widespread local support they enjoyed around different protest sites.  Some of the other interviewees were keen to differentiate those views from a more or less silent majority, who they believed to be concerned about congestion and supportive of road building in their area.</w:t>
      </w:r>
      <w:r w:rsidR="00701B26">
        <w:rPr>
          <w:lang w:eastAsia="zh-CN"/>
        </w:rPr>
        <w:t xml:space="preserve"> </w:t>
      </w:r>
      <w:r w:rsidR="00D57481">
        <w:rPr>
          <w:lang w:eastAsia="zh-CN"/>
        </w:rPr>
        <w:t xml:space="preserve"> </w:t>
      </w:r>
      <w:r w:rsidR="001B0EC2">
        <w:rPr>
          <w:lang w:eastAsia="zh-CN"/>
        </w:rPr>
        <w:t xml:space="preserve"> </w:t>
      </w:r>
      <w:r w:rsidR="00E12BB3">
        <w:rPr>
          <w:lang w:eastAsia="zh-CN"/>
        </w:rPr>
        <w:t>Ministers and civil servants generally played down the influence of the protest</w:t>
      </w:r>
      <w:r>
        <w:rPr>
          <w:lang w:eastAsia="zh-CN"/>
        </w:rPr>
        <w:t>ors</w:t>
      </w:r>
      <w:r w:rsidR="00C833A0">
        <w:rPr>
          <w:lang w:eastAsia="zh-CN"/>
        </w:rPr>
        <w:t xml:space="preserve">, </w:t>
      </w:r>
      <w:r>
        <w:rPr>
          <w:lang w:eastAsia="zh-CN"/>
        </w:rPr>
        <w:t>whose tactics and appearance anta</w:t>
      </w:r>
      <w:r w:rsidR="00E46E33">
        <w:rPr>
          <w:lang w:eastAsia="zh-CN"/>
        </w:rPr>
        <w:t>gonised Conservative supporters.  Ministers emphasised</w:t>
      </w:r>
      <w:r w:rsidR="00C833A0">
        <w:rPr>
          <w:lang w:eastAsia="zh-CN"/>
        </w:rPr>
        <w:t xml:space="preserve"> that decisions were </w:t>
      </w:r>
      <w:r>
        <w:rPr>
          <w:lang w:eastAsia="zh-CN"/>
        </w:rPr>
        <w:t>based</w:t>
      </w:r>
      <w:r w:rsidR="00C833A0">
        <w:rPr>
          <w:lang w:eastAsia="zh-CN"/>
        </w:rPr>
        <w:t xml:space="preserve"> – or should be </w:t>
      </w:r>
      <w:r>
        <w:rPr>
          <w:lang w:eastAsia="zh-CN"/>
        </w:rPr>
        <w:t>based</w:t>
      </w:r>
      <w:r w:rsidR="00C833A0">
        <w:rPr>
          <w:lang w:eastAsia="zh-CN"/>
        </w:rPr>
        <w:t xml:space="preserve"> –</w:t>
      </w:r>
      <w:r w:rsidR="005B01DD">
        <w:rPr>
          <w:lang w:eastAsia="zh-CN"/>
        </w:rPr>
        <w:t xml:space="preserve"> </w:t>
      </w:r>
      <w:r w:rsidR="00C833A0">
        <w:rPr>
          <w:lang w:eastAsia="zh-CN"/>
        </w:rPr>
        <w:t xml:space="preserve">on reasoned argument.  </w:t>
      </w:r>
      <w:r w:rsidR="00E12BB3">
        <w:rPr>
          <w:lang w:eastAsia="zh-CN"/>
        </w:rPr>
        <w:t xml:space="preserve"> One minister </w:t>
      </w:r>
      <w:r w:rsidR="00760396">
        <w:rPr>
          <w:lang w:eastAsia="zh-CN"/>
        </w:rPr>
        <w:t>acknowledged that the protests had influenced decision-making</w:t>
      </w:r>
      <w:r w:rsidR="00E12BB3">
        <w:rPr>
          <w:lang w:eastAsia="zh-CN"/>
        </w:rPr>
        <w:t>: “</w:t>
      </w:r>
      <w:r w:rsidR="00BA7EF6">
        <w:rPr>
          <w:lang w:eastAsia="zh-CN"/>
        </w:rPr>
        <w:t>a</w:t>
      </w:r>
      <w:r w:rsidR="00760396">
        <w:rPr>
          <w:lang w:eastAsia="zh-CN"/>
        </w:rPr>
        <w:t>t the margin, to the extent that it influenced public opinion” adding: “I hope government isn’t over-influenced by direct action.”</w:t>
      </w:r>
      <w:r w:rsidR="00F65893" w:rsidRPr="00F65893">
        <w:rPr>
          <w:lang w:eastAsia="zh-CN"/>
        </w:rPr>
        <w:t xml:space="preserve"> </w:t>
      </w:r>
      <w:r w:rsidR="00F65893">
        <w:rPr>
          <w:lang w:eastAsia="zh-CN"/>
        </w:rPr>
        <w:t xml:space="preserve"> </w:t>
      </w:r>
    </w:p>
    <w:p w14:paraId="108A7C5B" w14:textId="1C2919FE" w:rsidR="001954EB" w:rsidRDefault="00F65893" w:rsidP="006D12FF">
      <w:pPr>
        <w:pStyle w:val="Paragraph"/>
        <w:rPr>
          <w:lang w:eastAsia="zh-CN"/>
        </w:rPr>
      </w:pPr>
      <w:r>
        <w:rPr>
          <w:lang w:eastAsia="zh-CN"/>
        </w:rPr>
        <w:t xml:space="preserve">A few comments suggested that the protests had made </w:t>
      </w:r>
      <w:r w:rsidR="00E46E33">
        <w:rPr>
          <w:lang w:eastAsia="zh-CN"/>
        </w:rPr>
        <w:t>road building a more problematic</w:t>
      </w:r>
      <w:r>
        <w:rPr>
          <w:lang w:eastAsia="zh-CN"/>
        </w:rPr>
        <w:t xml:space="preserve"> or “fraught” issue.  This perception influenced the incoming Labour government.  </w:t>
      </w:r>
      <w:r w:rsidR="001954EB">
        <w:rPr>
          <w:lang w:eastAsia="zh-CN"/>
        </w:rPr>
        <w:t>An advisor under that government said:</w:t>
      </w:r>
    </w:p>
    <w:p w14:paraId="5748D984" w14:textId="24D8F9BE" w:rsidR="001954EB" w:rsidRPr="001954EB" w:rsidRDefault="001954EB" w:rsidP="0018016E">
      <w:pPr>
        <w:pStyle w:val="Newparagraph"/>
        <w:ind w:left="720"/>
        <w:rPr>
          <w:lang w:eastAsia="zh-CN"/>
        </w:rPr>
      </w:pPr>
      <w:r>
        <w:rPr>
          <w:lang w:eastAsia="zh-CN"/>
        </w:rPr>
        <w:t>“</w:t>
      </w:r>
      <w:r w:rsidR="00BD22CB">
        <w:rPr>
          <w:lang w:eastAsia="zh-CN"/>
        </w:rPr>
        <w:t>Swampy [a prominent protestor] had a lasting impact.  To build a road now is a lot of aggro.  You are going to have to get Securicor to protect your site.  And to go round bragging about the size of your road programme looks a bit non-PC.”</w:t>
      </w:r>
    </w:p>
    <w:p w14:paraId="5C9A95B4" w14:textId="1562F62B" w:rsidR="001B0EC2" w:rsidRDefault="00F65893" w:rsidP="006D12FF">
      <w:pPr>
        <w:pStyle w:val="Paragraph"/>
        <w:rPr>
          <w:lang w:eastAsia="zh-CN"/>
        </w:rPr>
      </w:pPr>
      <w:r>
        <w:rPr>
          <w:lang w:eastAsia="zh-CN"/>
        </w:rPr>
        <w:t>One Conservative minister in the Coalition government said: “</w:t>
      </w:r>
      <w:r w:rsidR="00053634">
        <w:rPr>
          <w:lang w:eastAsia="zh-CN"/>
        </w:rPr>
        <w:t>in the early 2000s</w:t>
      </w:r>
      <w:r>
        <w:rPr>
          <w:lang w:eastAsia="zh-CN"/>
        </w:rPr>
        <w:t xml:space="preserve"> </w:t>
      </w:r>
      <w:r w:rsidR="00053634">
        <w:rPr>
          <w:lang w:eastAsia="zh-CN"/>
        </w:rPr>
        <w:t xml:space="preserve">[Conservative MPs] </w:t>
      </w:r>
      <w:r>
        <w:rPr>
          <w:lang w:eastAsia="zh-CN"/>
        </w:rPr>
        <w:t>were still conscious of what had been a substantial anti-roads movement”, adding that they “moved on”</w:t>
      </w:r>
      <w:r w:rsidR="00053634">
        <w:rPr>
          <w:lang w:eastAsia="zh-CN"/>
        </w:rPr>
        <w:t xml:space="preserve"> whilst in opposition</w:t>
      </w:r>
      <w:r>
        <w:rPr>
          <w:lang w:eastAsia="zh-CN"/>
        </w:rPr>
        <w:t>.</w:t>
      </w:r>
    </w:p>
    <w:p w14:paraId="26E9226D" w14:textId="438E2C6E" w:rsidR="006D12FF" w:rsidRDefault="00760396" w:rsidP="006D12FF">
      <w:pPr>
        <w:pStyle w:val="Paragraph"/>
        <w:rPr>
          <w:lang w:eastAsia="zh-CN"/>
        </w:rPr>
      </w:pPr>
      <w:r>
        <w:rPr>
          <w:lang w:eastAsia="zh-CN"/>
        </w:rPr>
        <w:t xml:space="preserve">A literature search failed to reveal any studies that might provide direct evidence on how the protest movement </w:t>
      </w:r>
      <w:r w:rsidR="00177FC1">
        <w:rPr>
          <w:lang w:eastAsia="zh-CN"/>
        </w:rPr>
        <w:t xml:space="preserve">(or any other relevant factors) </w:t>
      </w:r>
      <w:r>
        <w:rPr>
          <w:lang w:eastAsia="zh-CN"/>
        </w:rPr>
        <w:t>influenced public opinion, but some influence may be inferred.</w:t>
      </w:r>
      <w:r w:rsidR="001B0EC2">
        <w:rPr>
          <w:lang w:eastAsia="zh-CN"/>
        </w:rPr>
        <w:t xml:space="preserve">  </w:t>
      </w:r>
      <w:r w:rsidR="001B0EC2">
        <w:rPr>
          <w:lang w:eastAsia="zh-CN"/>
        </w:rPr>
        <w:fldChar w:fldCharType="begin"/>
      </w:r>
      <w:r w:rsidR="001B0EC2">
        <w:rPr>
          <w:lang w:eastAsia="zh-CN"/>
        </w:rPr>
        <w:instrText xml:space="preserve"> REF _Ref527468860 \h </w:instrText>
      </w:r>
      <w:r w:rsidR="001B0EC2">
        <w:rPr>
          <w:lang w:eastAsia="zh-CN"/>
        </w:rPr>
      </w:r>
      <w:r w:rsidR="001B0EC2">
        <w:rPr>
          <w:lang w:eastAsia="zh-CN"/>
        </w:rPr>
        <w:fldChar w:fldCharType="separate"/>
      </w:r>
      <w:r w:rsidR="0027625B">
        <w:t xml:space="preserve">Figure </w:t>
      </w:r>
      <w:r w:rsidR="0027625B">
        <w:rPr>
          <w:noProof/>
        </w:rPr>
        <w:t>7</w:t>
      </w:r>
      <w:r w:rsidR="001B0EC2">
        <w:rPr>
          <w:lang w:eastAsia="zh-CN"/>
        </w:rPr>
        <w:fldChar w:fldCharType="end"/>
      </w:r>
      <w:r w:rsidR="001B0EC2">
        <w:rPr>
          <w:lang w:eastAsia="zh-CN"/>
        </w:rPr>
        <w:t xml:space="preserve"> </w:t>
      </w:r>
      <w:r w:rsidR="00560113">
        <w:rPr>
          <w:lang w:eastAsia="zh-CN"/>
        </w:rPr>
        <w:t xml:space="preserve">based on </w:t>
      </w:r>
      <w:r w:rsidR="00053634">
        <w:rPr>
          <w:lang w:eastAsia="zh-CN"/>
        </w:rPr>
        <w:t xml:space="preserve">the </w:t>
      </w:r>
      <w:r w:rsidR="00560113">
        <w:rPr>
          <w:lang w:eastAsia="zh-CN"/>
        </w:rPr>
        <w:t xml:space="preserve">British Social Attitudes Survey confirms the observation in DTp </w:t>
      </w:r>
      <w:r w:rsidR="00560113">
        <w:rPr>
          <w:lang w:eastAsia="zh-CN"/>
        </w:rPr>
        <w:fldChar w:fldCharType="begin"/>
      </w:r>
      <w:r w:rsidR="00560113">
        <w:rPr>
          <w:lang w:eastAsia="zh-CN"/>
        </w:rPr>
        <w:instrText>ADDIN RW.CITE{{3744 DTp 1996 /a}}</w:instrText>
      </w:r>
      <w:r w:rsidR="00560113">
        <w:rPr>
          <w:lang w:eastAsia="zh-CN"/>
        </w:rPr>
        <w:fldChar w:fldCharType="separate"/>
      </w:r>
      <w:r w:rsidR="00560113" w:rsidRPr="00560113">
        <w:rPr>
          <w:lang w:eastAsia="zh-CN"/>
        </w:rPr>
        <w:t>(1996)</w:t>
      </w:r>
      <w:r w:rsidR="00560113">
        <w:rPr>
          <w:lang w:eastAsia="zh-CN"/>
        </w:rPr>
        <w:fldChar w:fldCharType="end"/>
      </w:r>
      <w:r w:rsidR="00053634">
        <w:rPr>
          <w:lang w:eastAsia="zh-CN"/>
        </w:rPr>
        <w:t xml:space="preserve"> </w:t>
      </w:r>
      <w:r w:rsidR="00560113">
        <w:rPr>
          <w:lang w:eastAsia="zh-CN"/>
        </w:rPr>
        <w:t>about declining public support for</w:t>
      </w:r>
      <w:r w:rsidR="001B0EC2">
        <w:rPr>
          <w:lang w:eastAsia="zh-CN"/>
        </w:rPr>
        <w:t xml:space="preserve"> motorway building</w:t>
      </w:r>
      <w:r w:rsidR="00560113">
        <w:rPr>
          <w:lang w:eastAsia="zh-CN"/>
        </w:rPr>
        <w:t xml:space="preserve">.  This shift occurred </w:t>
      </w:r>
      <w:r w:rsidR="001B0EC2">
        <w:rPr>
          <w:lang w:eastAsia="zh-CN"/>
        </w:rPr>
        <w:t xml:space="preserve">between 1993, when the protest movement began, and 1996, when it reached its height </w:t>
      </w:r>
      <w:r w:rsidR="00177FC1">
        <w:rPr>
          <w:lang w:eastAsia="zh-CN"/>
        </w:rPr>
        <w:t>with intense media coverage of</w:t>
      </w:r>
      <w:r w:rsidR="001B0EC2">
        <w:rPr>
          <w:lang w:eastAsia="zh-CN"/>
        </w:rPr>
        <w:t xml:space="preserve"> the Newbury Bypass</w:t>
      </w:r>
      <w:r w:rsidR="00177FC1">
        <w:rPr>
          <w:lang w:eastAsia="zh-CN"/>
        </w:rPr>
        <w:t xml:space="preserve"> evictions</w:t>
      </w:r>
      <w:r w:rsidR="001B0EC2">
        <w:rPr>
          <w:lang w:eastAsia="zh-CN"/>
        </w:rPr>
        <w:t xml:space="preserve">.  </w:t>
      </w:r>
      <w:r w:rsidR="00E5611C">
        <w:rPr>
          <w:lang w:eastAsia="zh-CN"/>
        </w:rPr>
        <w:t xml:space="preserve">Support for unrestricted driving also fell until the change of government in 1997.  By the time the Coalition took office in 2010 opinion had shifted back towards unrestricted driving, as discussed in Subsection </w:t>
      </w:r>
      <w:r w:rsidR="008E1085">
        <w:rPr>
          <w:lang w:eastAsia="zh-CN"/>
        </w:rPr>
        <w:fldChar w:fldCharType="begin"/>
      </w:r>
      <w:r w:rsidR="008E1085">
        <w:rPr>
          <w:lang w:eastAsia="zh-CN"/>
        </w:rPr>
        <w:instrText xml:space="preserve"> REF _Ref529972039 \r \h </w:instrText>
      </w:r>
      <w:r w:rsidR="008E1085">
        <w:rPr>
          <w:lang w:eastAsia="zh-CN"/>
        </w:rPr>
      </w:r>
      <w:r w:rsidR="008E1085">
        <w:rPr>
          <w:lang w:eastAsia="zh-CN"/>
        </w:rPr>
        <w:fldChar w:fldCharType="separate"/>
      </w:r>
      <w:r w:rsidR="0027625B">
        <w:rPr>
          <w:lang w:eastAsia="zh-CN"/>
        </w:rPr>
        <w:t>5.3.3</w:t>
      </w:r>
      <w:r w:rsidR="008E1085">
        <w:rPr>
          <w:lang w:eastAsia="zh-CN"/>
        </w:rPr>
        <w:fldChar w:fldCharType="end"/>
      </w:r>
      <w:r w:rsidR="008E1085">
        <w:rPr>
          <w:lang w:eastAsia="zh-CN"/>
        </w:rPr>
        <w:t xml:space="preserve"> </w:t>
      </w:r>
      <w:r w:rsidR="00E5611C">
        <w:rPr>
          <w:lang w:eastAsia="zh-CN"/>
        </w:rPr>
        <w:t>(the question on motorway building was not asked after 2010).</w:t>
      </w:r>
    </w:p>
    <w:p w14:paraId="732F5A1A" w14:textId="77777777" w:rsidR="00701B26" w:rsidRPr="00701B26" w:rsidRDefault="00701B26" w:rsidP="00701B26">
      <w:pPr>
        <w:pStyle w:val="Newparagraph"/>
        <w:rPr>
          <w:lang w:eastAsia="zh-CN"/>
        </w:rPr>
      </w:pPr>
    </w:p>
    <w:p w14:paraId="4E4472F0" w14:textId="4F3822E0" w:rsidR="009C6A3A" w:rsidRDefault="00D57481" w:rsidP="009C6A3A">
      <w:pPr>
        <w:pStyle w:val="Newparagraph"/>
        <w:ind w:firstLine="0"/>
      </w:pPr>
      <w:r>
        <w:rPr>
          <w:noProof/>
        </w:rPr>
        <mc:AlternateContent>
          <mc:Choice Requires="wps">
            <w:drawing>
              <wp:anchor distT="0" distB="0" distL="114300" distR="114300" simplePos="0" relativeHeight="251659264" behindDoc="0" locked="0" layoutInCell="1" allowOverlap="1" wp14:anchorId="379EDC5E" wp14:editId="47EB8628">
                <wp:simplePos x="0" y="0"/>
                <wp:positionH relativeFrom="column">
                  <wp:posOffset>456056</wp:posOffset>
                </wp:positionH>
                <wp:positionV relativeFrom="paragraph">
                  <wp:posOffset>628447</wp:posOffset>
                </wp:positionV>
                <wp:extent cx="4725619" cy="0"/>
                <wp:effectExtent l="0" t="0" r="37465" b="19050"/>
                <wp:wrapNone/>
                <wp:docPr id="25" name="Straight Connector 25"/>
                <wp:cNvGraphicFramePr/>
                <a:graphic xmlns:a="http://schemas.openxmlformats.org/drawingml/2006/main">
                  <a:graphicData uri="http://schemas.microsoft.com/office/word/2010/wordprocessingShape">
                    <wps:wsp>
                      <wps:cNvCnPr/>
                      <wps:spPr>
                        <a:xfrm>
                          <a:off x="0" y="0"/>
                          <a:ext cx="47256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833C7"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pt,49.5pt" to="4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" strokecolor="black [3213]" strokeweight="1pt"/>
            </w:pict>
          </mc:Fallback>
        </mc:AlternateContent>
      </w:r>
      <w:r w:rsidR="009C6A3A">
        <w:rPr>
          <w:noProof/>
        </w:rPr>
        <w:drawing>
          <wp:inline distT="0" distB="0" distL="0" distR="0" wp14:anchorId="43BA5898" wp14:editId="64A5FC25">
            <wp:extent cx="5396865" cy="3148330"/>
            <wp:effectExtent l="0" t="0" r="13335" b="139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FA346F" w14:textId="3854F2DE" w:rsidR="009C6A3A" w:rsidRDefault="009C6A3A" w:rsidP="009C6A3A">
      <w:pPr>
        <w:pStyle w:val="Caption"/>
      </w:pPr>
      <w:bookmarkStart w:id="26" w:name="_Ref527468860"/>
      <w:r>
        <w:t xml:space="preserve">Figure </w:t>
      </w:r>
      <w:r w:rsidR="00054D1A">
        <w:rPr>
          <w:noProof/>
        </w:rPr>
        <w:fldChar w:fldCharType="begin"/>
      </w:r>
      <w:r w:rsidR="00054D1A">
        <w:rPr>
          <w:noProof/>
        </w:rPr>
        <w:instrText xml:space="preserve"> SEQ Figure \* ARABIC </w:instrText>
      </w:r>
      <w:r w:rsidR="00054D1A">
        <w:rPr>
          <w:noProof/>
        </w:rPr>
        <w:fldChar w:fldCharType="separate"/>
      </w:r>
      <w:r w:rsidR="0027625B">
        <w:rPr>
          <w:noProof/>
        </w:rPr>
        <w:t>7</w:t>
      </w:r>
      <w:r w:rsidR="00054D1A">
        <w:rPr>
          <w:noProof/>
        </w:rPr>
        <w:fldChar w:fldCharType="end"/>
      </w:r>
      <w:bookmarkEnd w:id="26"/>
      <w:r>
        <w:t xml:space="preserve"> – </w:t>
      </w:r>
      <w:r w:rsidR="00FC472A">
        <w:t>Net (Dis)agreement with Building Motorways to</w:t>
      </w:r>
      <w:r w:rsidR="00E5611C">
        <w:t xml:space="preserve"> Ease Congestion and Unrestrict</w:t>
      </w:r>
      <w:r w:rsidR="00FC472A">
        <w:t>ed Car Use – Even if it Damages the Environment</w:t>
      </w:r>
      <w:r w:rsidR="00053634">
        <w:t xml:space="preserve"> </w:t>
      </w:r>
      <w:r w:rsidR="00053634">
        <w:fldChar w:fldCharType="begin"/>
      </w:r>
      <w:r w:rsidR="00053634">
        <w:instrText>ADDIN RW.CITE{{3979 DfT 2018}}</w:instrText>
      </w:r>
      <w:r w:rsidR="00053634">
        <w:fldChar w:fldCharType="separate"/>
      </w:r>
      <w:r w:rsidR="00897909" w:rsidRPr="00897909">
        <w:t>(DfT, 2018a)</w:t>
      </w:r>
      <w:r w:rsidR="00053634">
        <w:fldChar w:fldCharType="end"/>
      </w:r>
    </w:p>
    <w:p w14:paraId="727C1C33" w14:textId="24A188AA" w:rsidR="00053634" w:rsidRDefault="008A7A2C" w:rsidP="006D12FF">
      <w:pPr>
        <w:pStyle w:val="Newparagraph"/>
        <w:rPr>
          <w:lang w:eastAsia="zh-CN"/>
        </w:rPr>
      </w:pPr>
      <w:r>
        <w:rPr>
          <w:lang w:eastAsia="zh-CN"/>
        </w:rPr>
        <w:t xml:space="preserve">For people not directly affected by road building schemes, the media was likely to be the main source of information and influence on their views.   </w:t>
      </w:r>
      <w:r>
        <w:rPr>
          <w:lang w:eastAsia="zh-CN"/>
        </w:rPr>
        <w:fldChar w:fldCharType="begin"/>
      </w:r>
      <w:r>
        <w:rPr>
          <w:lang w:eastAsia="zh-CN"/>
        </w:rPr>
        <w:instrText xml:space="preserve"> REF _Ref527475684 \h </w:instrText>
      </w:r>
      <w:r>
        <w:rPr>
          <w:lang w:eastAsia="zh-CN"/>
        </w:rPr>
      </w:r>
      <w:r>
        <w:rPr>
          <w:lang w:eastAsia="zh-CN"/>
        </w:rPr>
        <w:fldChar w:fldCharType="separate"/>
      </w:r>
      <w:r w:rsidR="0027625B">
        <w:t xml:space="preserve">Table </w:t>
      </w:r>
      <w:r w:rsidR="0027625B">
        <w:rPr>
          <w:noProof/>
        </w:rPr>
        <w:t>4</w:t>
      </w:r>
      <w:r>
        <w:rPr>
          <w:lang w:eastAsia="zh-CN"/>
        </w:rPr>
        <w:fldChar w:fldCharType="end"/>
      </w:r>
      <w:r>
        <w:rPr>
          <w:lang w:eastAsia="zh-CN"/>
        </w:rPr>
        <w:t xml:space="preserve"> shows an analysis of newspaper articles about road building for the two years leading up to </w:t>
      </w:r>
      <w:r w:rsidR="0083654C">
        <w:rPr>
          <w:lang w:eastAsia="zh-CN"/>
        </w:rPr>
        <w:t xml:space="preserve">the 1996 Budget and the publication of H M Treasury </w:t>
      </w:r>
      <w:r w:rsidR="0083654C">
        <w:rPr>
          <w:lang w:eastAsia="zh-CN"/>
        </w:rPr>
        <w:fldChar w:fldCharType="begin"/>
      </w:r>
      <w:r w:rsidR="0083654C">
        <w:rPr>
          <w:lang w:eastAsia="zh-CN"/>
        </w:rPr>
        <w:instrText>ADDIN RW.CITE{{3579 HMTreasury 2013 /a}}</w:instrText>
      </w:r>
      <w:r w:rsidR="0083654C">
        <w:rPr>
          <w:lang w:eastAsia="zh-CN"/>
        </w:rPr>
        <w:fldChar w:fldCharType="separate"/>
      </w:r>
      <w:r w:rsidR="00812C15" w:rsidRPr="00812C15">
        <w:rPr>
          <w:lang w:eastAsia="zh-CN"/>
        </w:rPr>
        <w:t>(2013)</w:t>
      </w:r>
      <w:r w:rsidR="0083654C">
        <w:rPr>
          <w:lang w:eastAsia="zh-CN"/>
        </w:rPr>
        <w:fldChar w:fldCharType="end"/>
      </w:r>
      <w:r w:rsidR="0083654C">
        <w:rPr>
          <w:lang w:eastAsia="zh-CN"/>
        </w:rPr>
        <w:t>.  This shows that road building received far more media coverage during the 1</w:t>
      </w:r>
      <w:r w:rsidR="00560113">
        <w:rPr>
          <w:lang w:eastAsia="zh-CN"/>
        </w:rPr>
        <w:t xml:space="preserve">990s, and that most of this </w:t>
      </w:r>
      <w:r w:rsidR="00C02ACB">
        <w:rPr>
          <w:lang w:eastAsia="zh-CN"/>
        </w:rPr>
        <w:t>was critical</w:t>
      </w:r>
      <w:r w:rsidR="0083654C">
        <w:rPr>
          <w:lang w:eastAsia="zh-CN"/>
        </w:rPr>
        <w:t xml:space="preserve">.  </w:t>
      </w:r>
    </w:p>
    <w:p w14:paraId="23A9D668" w14:textId="77777777" w:rsidR="00560113" w:rsidRDefault="00560113" w:rsidP="006D12FF">
      <w:pPr>
        <w:pStyle w:val="Newparagraph"/>
        <w:rPr>
          <w:lang w:eastAsia="zh-CN"/>
        </w:rPr>
      </w:pPr>
    </w:p>
    <w:tbl>
      <w:tblPr>
        <w:tblStyle w:val="TableGrid"/>
        <w:tblW w:w="0" w:type="auto"/>
        <w:tblLook w:val="04A0" w:firstRow="1" w:lastRow="0" w:firstColumn="1" w:lastColumn="0" w:noHBand="0" w:noVBand="1"/>
      </w:tblPr>
      <w:tblGrid>
        <w:gridCol w:w="5480"/>
        <w:gridCol w:w="960"/>
        <w:gridCol w:w="1068"/>
      </w:tblGrid>
      <w:tr w:rsidR="008A7A2C" w:rsidRPr="004A00CD" w14:paraId="4EC45B9F" w14:textId="77777777" w:rsidTr="00560113">
        <w:trPr>
          <w:trHeight w:val="300"/>
        </w:trPr>
        <w:tc>
          <w:tcPr>
            <w:tcW w:w="5480" w:type="dxa"/>
            <w:noWrap/>
            <w:hideMark/>
          </w:tcPr>
          <w:p w14:paraId="3BD6AEE8" w14:textId="0BD05DE6" w:rsidR="008A7A2C" w:rsidRPr="004A00CD" w:rsidRDefault="008A7A2C" w:rsidP="00560113">
            <w:pPr>
              <w:pStyle w:val="Newparagraph"/>
              <w:spacing w:before="0" w:line="360" w:lineRule="auto"/>
              <w:ind w:firstLine="0"/>
            </w:pPr>
            <w:r>
              <w:t>Time Period of Search:</w:t>
            </w:r>
          </w:p>
        </w:tc>
        <w:tc>
          <w:tcPr>
            <w:tcW w:w="960" w:type="dxa"/>
            <w:noWrap/>
            <w:hideMark/>
          </w:tcPr>
          <w:p w14:paraId="3600D745" w14:textId="77777777" w:rsidR="008A7A2C" w:rsidRPr="004A00CD" w:rsidRDefault="008A7A2C" w:rsidP="008A7A2C">
            <w:pPr>
              <w:pStyle w:val="Newparagraph"/>
              <w:spacing w:before="0" w:line="360" w:lineRule="auto"/>
              <w:ind w:hanging="70"/>
              <w:jc w:val="center"/>
            </w:pPr>
            <w:r w:rsidRPr="004A00CD">
              <w:t>1994-6</w:t>
            </w:r>
          </w:p>
        </w:tc>
        <w:tc>
          <w:tcPr>
            <w:tcW w:w="1068" w:type="dxa"/>
            <w:noWrap/>
            <w:hideMark/>
          </w:tcPr>
          <w:p w14:paraId="594F3580" w14:textId="77777777" w:rsidR="008A7A2C" w:rsidRPr="004A00CD" w:rsidRDefault="008A7A2C" w:rsidP="008A7A2C">
            <w:pPr>
              <w:pStyle w:val="Newparagraph"/>
              <w:spacing w:before="0" w:line="360" w:lineRule="auto"/>
              <w:ind w:hanging="34"/>
              <w:jc w:val="center"/>
            </w:pPr>
            <w:r w:rsidRPr="004A00CD">
              <w:t>2011-13</w:t>
            </w:r>
          </w:p>
        </w:tc>
      </w:tr>
      <w:tr w:rsidR="008A7A2C" w:rsidRPr="004A00CD" w14:paraId="37C375C3" w14:textId="77777777" w:rsidTr="00560113">
        <w:trPr>
          <w:trHeight w:val="300"/>
        </w:trPr>
        <w:tc>
          <w:tcPr>
            <w:tcW w:w="5480" w:type="dxa"/>
            <w:noWrap/>
            <w:hideMark/>
          </w:tcPr>
          <w:p w14:paraId="5DFBC0B8" w14:textId="77777777" w:rsidR="008A7A2C" w:rsidRPr="004A00CD" w:rsidRDefault="008A7A2C" w:rsidP="00560113">
            <w:pPr>
              <w:pStyle w:val="Newparagraph"/>
              <w:spacing w:before="0" w:line="360" w:lineRule="auto"/>
              <w:ind w:firstLine="0"/>
            </w:pPr>
          </w:p>
        </w:tc>
        <w:tc>
          <w:tcPr>
            <w:tcW w:w="960" w:type="dxa"/>
            <w:noWrap/>
            <w:hideMark/>
          </w:tcPr>
          <w:p w14:paraId="1E1D4A82" w14:textId="77777777" w:rsidR="008A7A2C" w:rsidRPr="004A00CD" w:rsidRDefault="008A7A2C" w:rsidP="00560113">
            <w:pPr>
              <w:pStyle w:val="Newparagraph"/>
              <w:spacing w:before="0" w:line="360" w:lineRule="auto"/>
              <w:ind w:hanging="70"/>
            </w:pPr>
          </w:p>
        </w:tc>
        <w:tc>
          <w:tcPr>
            <w:tcW w:w="1068" w:type="dxa"/>
            <w:noWrap/>
            <w:hideMark/>
          </w:tcPr>
          <w:p w14:paraId="64C013C6" w14:textId="77777777" w:rsidR="008A7A2C" w:rsidRPr="004A00CD" w:rsidRDefault="008A7A2C" w:rsidP="00560113">
            <w:pPr>
              <w:pStyle w:val="Newparagraph"/>
              <w:spacing w:before="0" w:line="360" w:lineRule="auto"/>
              <w:ind w:hanging="34"/>
            </w:pPr>
          </w:p>
        </w:tc>
      </w:tr>
      <w:tr w:rsidR="008A7A2C" w:rsidRPr="004A00CD" w14:paraId="562852CF" w14:textId="77777777" w:rsidTr="00560113">
        <w:trPr>
          <w:trHeight w:val="300"/>
        </w:trPr>
        <w:tc>
          <w:tcPr>
            <w:tcW w:w="5480" w:type="dxa"/>
            <w:noWrap/>
            <w:hideMark/>
          </w:tcPr>
          <w:p w14:paraId="608983B8" w14:textId="77777777" w:rsidR="008A7A2C" w:rsidRPr="004A00CD" w:rsidRDefault="008A7A2C" w:rsidP="00560113">
            <w:pPr>
              <w:pStyle w:val="Newparagraph"/>
              <w:spacing w:before="0" w:line="360" w:lineRule="auto"/>
              <w:ind w:firstLine="0"/>
            </w:pPr>
            <w:r w:rsidRPr="004A00CD">
              <w:t>Number of articles found in the search</w:t>
            </w:r>
            <w:r>
              <w:t>:</w:t>
            </w:r>
          </w:p>
        </w:tc>
        <w:tc>
          <w:tcPr>
            <w:tcW w:w="960" w:type="dxa"/>
            <w:noWrap/>
            <w:hideMark/>
          </w:tcPr>
          <w:p w14:paraId="168F076F" w14:textId="77777777" w:rsidR="008A7A2C" w:rsidRPr="004A00CD" w:rsidRDefault="008A7A2C" w:rsidP="008A7A2C">
            <w:pPr>
              <w:pStyle w:val="Newparagraph"/>
              <w:spacing w:before="0" w:line="360" w:lineRule="auto"/>
              <w:ind w:hanging="70"/>
              <w:jc w:val="right"/>
            </w:pPr>
            <w:r w:rsidRPr="004A00CD">
              <w:t>165</w:t>
            </w:r>
          </w:p>
        </w:tc>
        <w:tc>
          <w:tcPr>
            <w:tcW w:w="1068" w:type="dxa"/>
            <w:noWrap/>
            <w:hideMark/>
          </w:tcPr>
          <w:p w14:paraId="081CDBC9" w14:textId="77777777" w:rsidR="008A7A2C" w:rsidRPr="004A00CD" w:rsidRDefault="008A7A2C" w:rsidP="008A7A2C">
            <w:pPr>
              <w:pStyle w:val="Newparagraph"/>
              <w:spacing w:before="0" w:line="360" w:lineRule="auto"/>
              <w:ind w:hanging="34"/>
              <w:jc w:val="right"/>
            </w:pPr>
            <w:r w:rsidRPr="004A00CD">
              <w:t>39</w:t>
            </w:r>
          </w:p>
        </w:tc>
      </w:tr>
      <w:tr w:rsidR="008A7A2C" w:rsidRPr="004A00CD" w14:paraId="7AC11C0E" w14:textId="77777777" w:rsidTr="00560113">
        <w:trPr>
          <w:trHeight w:val="300"/>
        </w:trPr>
        <w:tc>
          <w:tcPr>
            <w:tcW w:w="5480" w:type="dxa"/>
            <w:noWrap/>
            <w:hideMark/>
          </w:tcPr>
          <w:p w14:paraId="63FDB028" w14:textId="77777777" w:rsidR="008A7A2C" w:rsidRPr="004A00CD" w:rsidRDefault="008A7A2C" w:rsidP="00560113">
            <w:pPr>
              <w:pStyle w:val="Newparagraph"/>
              <w:spacing w:before="0" w:line="360" w:lineRule="auto"/>
              <w:ind w:firstLine="0"/>
            </w:pPr>
            <w:r w:rsidRPr="004A00CD">
              <w:t>Found to be valid</w:t>
            </w:r>
          </w:p>
        </w:tc>
        <w:tc>
          <w:tcPr>
            <w:tcW w:w="960" w:type="dxa"/>
            <w:noWrap/>
            <w:hideMark/>
          </w:tcPr>
          <w:p w14:paraId="165BCA06" w14:textId="77777777" w:rsidR="008A7A2C" w:rsidRPr="004A00CD" w:rsidRDefault="008A7A2C" w:rsidP="008A7A2C">
            <w:pPr>
              <w:pStyle w:val="Newparagraph"/>
              <w:spacing w:before="0" w:line="360" w:lineRule="auto"/>
              <w:ind w:hanging="70"/>
              <w:jc w:val="right"/>
            </w:pPr>
            <w:r w:rsidRPr="004A00CD">
              <w:t>101</w:t>
            </w:r>
          </w:p>
        </w:tc>
        <w:tc>
          <w:tcPr>
            <w:tcW w:w="1068" w:type="dxa"/>
            <w:noWrap/>
            <w:hideMark/>
          </w:tcPr>
          <w:p w14:paraId="5A61F356" w14:textId="77777777" w:rsidR="008A7A2C" w:rsidRPr="004A00CD" w:rsidRDefault="008A7A2C" w:rsidP="008A7A2C">
            <w:pPr>
              <w:pStyle w:val="Newparagraph"/>
              <w:spacing w:before="0" w:line="360" w:lineRule="auto"/>
              <w:ind w:hanging="34"/>
              <w:jc w:val="right"/>
            </w:pPr>
            <w:r w:rsidRPr="004A00CD">
              <w:t>29</w:t>
            </w:r>
          </w:p>
        </w:tc>
      </w:tr>
      <w:tr w:rsidR="008A7A2C" w:rsidRPr="004A00CD" w14:paraId="2B4720B4" w14:textId="77777777" w:rsidTr="00560113">
        <w:trPr>
          <w:trHeight w:val="300"/>
        </w:trPr>
        <w:tc>
          <w:tcPr>
            <w:tcW w:w="5480" w:type="dxa"/>
            <w:noWrap/>
            <w:hideMark/>
          </w:tcPr>
          <w:p w14:paraId="5D5E41EA" w14:textId="77777777" w:rsidR="008A7A2C" w:rsidRPr="004A00CD" w:rsidRDefault="008A7A2C" w:rsidP="00560113">
            <w:pPr>
              <w:pStyle w:val="Newparagraph"/>
              <w:spacing w:before="0" w:line="360" w:lineRule="auto"/>
              <w:ind w:firstLine="0"/>
              <w:jc w:val="left"/>
            </w:pPr>
          </w:p>
        </w:tc>
        <w:tc>
          <w:tcPr>
            <w:tcW w:w="960" w:type="dxa"/>
            <w:noWrap/>
            <w:hideMark/>
          </w:tcPr>
          <w:p w14:paraId="04139F87" w14:textId="77777777" w:rsidR="008A7A2C" w:rsidRPr="004A00CD" w:rsidRDefault="008A7A2C" w:rsidP="008A7A2C">
            <w:pPr>
              <w:pStyle w:val="Newparagraph"/>
              <w:spacing w:before="0" w:line="360" w:lineRule="auto"/>
              <w:ind w:hanging="70"/>
              <w:jc w:val="right"/>
            </w:pPr>
          </w:p>
        </w:tc>
        <w:tc>
          <w:tcPr>
            <w:tcW w:w="1068" w:type="dxa"/>
            <w:noWrap/>
            <w:hideMark/>
          </w:tcPr>
          <w:p w14:paraId="7FDBB8A2" w14:textId="77777777" w:rsidR="008A7A2C" w:rsidRPr="004A00CD" w:rsidRDefault="008A7A2C" w:rsidP="008A7A2C">
            <w:pPr>
              <w:pStyle w:val="Newparagraph"/>
              <w:spacing w:before="0" w:line="360" w:lineRule="auto"/>
              <w:ind w:hanging="34"/>
              <w:jc w:val="right"/>
            </w:pPr>
          </w:p>
        </w:tc>
      </w:tr>
      <w:tr w:rsidR="008A7A2C" w:rsidRPr="004A00CD" w14:paraId="60C21D72" w14:textId="77777777" w:rsidTr="00560113">
        <w:trPr>
          <w:trHeight w:val="300"/>
        </w:trPr>
        <w:tc>
          <w:tcPr>
            <w:tcW w:w="5480" w:type="dxa"/>
            <w:noWrap/>
            <w:hideMark/>
          </w:tcPr>
          <w:p w14:paraId="62BE6AFC" w14:textId="77777777" w:rsidR="008A7A2C" w:rsidRPr="004A00CD" w:rsidRDefault="008A7A2C" w:rsidP="00560113">
            <w:pPr>
              <w:pStyle w:val="Newparagraph"/>
              <w:spacing w:before="0" w:line="360" w:lineRule="auto"/>
              <w:ind w:firstLine="0"/>
              <w:rPr>
                <w:b/>
                <w:bCs/>
              </w:rPr>
            </w:pPr>
            <w:r w:rsidRPr="004A00CD">
              <w:rPr>
                <w:b/>
                <w:bCs/>
              </w:rPr>
              <w:t>Article or a quote implies that road building:</w:t>
            </w:r>
          </w:p>
        </w:tc>
        <w:tc>
          <w:tcPr>
            <w:tcW w:w="960" w:type="dxa"/>
            <w:noWrap/>
            <w:hideMark/>
          </w:tcPr>
          <w:p w14:paraId="3E1B3E55" w14:textId="77777777" w:rsidR="008A7A2C" w:rsidRPr="004A00CD" w:rsidRDefault="008A7A2C" w:rsidP="008A7A2C">
            <w:pPr>
              <w:pStyle w:val="Newparagraph"/>
              <w:spacing w:before="0" w:line="360" w:lineRule="auto"/>
              <w:ind w:hanging="70"/>
              <w:jc w:val="right"/>
              <w:rPr>
                <w:b/>
                <w:bCs/>
              </w:rPr>
            </w:pPr>
          </w:p>
        </w:tc>
        <w:tc>
          <w:tcPr>
            <w:tcW w:w="1068" w:type="dxa"/>
            <w:noWrap/>
            <w:hideMark/>
          </w:tcPr>
          <w:p w14:paraId="3633153A" w14:textId="77777777" w:rsidR="008A7A2C" w:rsidRPr="004A00CD" w:rsidRDefault="008A7A2C" w:rsidP="008A7A2C">
            <w:pPr>
              <w:pStyle w:val="Newparagraph"/>
              <w:spacing w:before="0" w:line="360" w:lineRule="auto"/>
              <w:ind w:hanging="34"/>
              <w:jc w:val="right"/>
            </w:pPr>
          </w:p>
        </w:tc>
      </w:tr>
      <w:tr w:rsidR="008A7A2C" w:rsidRPr="004A00CD" w14:paraId="08E288B5" w14:textId="77777777" w:rsidTr="00560113">
        <w:trPr>
          <w:trHeight w:val="300"/>
        </w:trPr>
        <w:tc>
          <w:tcPr>
            <w:tcW w:w="5480" w:type="dxa"/>
            <w:noWrap/>
            <w:hideMark/>
          </w:tcPr>
          <w:p w14:paraId="11F09448" w14:textId="77777777" w:rsidR="008A7A2C" w:rsidRPr="004A00CD" w:rsidRDefault="008A7A2C" w:rsidP="00560113">
            <w:pPr>
              <w:pStyle w:val="Newparagraph"/>
              <w:spacing w:before="0" w:line="360" w:lineRule="auto"/>
              <w:ind w:firstLine="0"/>
            </w:pPr>
          </w:p>
        </w:tc>
        <w:tc>
          <w:tcPr>
            <w:tcW w:w="960" w:type="dxa"/>
            <w:noWrap/>
            <w:hideMark/>
          </w:tcPr>
          <w:p w14:paraId="557536EB" w14:textId="77777777" w:rsidR="008A7A2C" w:rsidRPr="004A00CD" w:rsidRDefault="008A7A2C" w:rsidP="008A7A2C">
            <w:pPr>
              <w:pStyle w:val="Newparagraph"/>
              <w:spacing w:before="0" w:line="360" w:lineRule="auto"/>
              <w:ind w:hanging="70"/>
              <w:jc w:val="right"/>
            </w:pPr>
          </w:p>
        </w:tc>
        <w:tc>
          <w:tcPr>
            <w:tcW w:w="1068" w:type="dxa"/>
            <w:noWrap/>
            <w:hideMark/>
          </w:tcPr>
          <w:p w14:paraId="0CC8A805" w14:textId="77777777" w:rsidR="008A7A2C" w:rsidRPr="004A00CD" w:rsidRDefault="008A7A2C" w:rsidP="008A7A2C">
            <w:pPr>
              <w:pStyle w:val="Newparagraph"/>
              <w:spacing w:before="0" w:line="360" w:lineRule="auto"/>
              <w:ind w:hanging="34"/>
              <w:jc w:val="right"/>
            </w:pPr>
          </w:p>
        </w:tc>
      </w:tr>
      <w:tr w:rsidR="008A7A2C" w:rsidRPr="004A00CD" w14:paraId="3A2CBAFB" w14:textId="77777777" w:rsidTr="00560113">
        <w:trPr>
          <w:trHeight w:val="300"/>
        </w:trPr>
        <w:tc>
          <w:tcPr>
            <w:tcW w:w="5480" w:type="dxa"/>
            <w:noWrap/>
            <w:hideMark/>
          </w:tcPr>
          <w:p w14:paraId="75A346C4" w14:textId="77777777" w:rsidR="008A7A2C" w:rsidRPr="004A00CD" w:rsidRDefault="008A7A2C" w:rsidP="00560113">
            <w:pPr>
              <w:pStyle w:val="Newparagraph"/>
              <w:spacing w:before="0" w:line="360" w:lineRule="auto"/>
              <w:ind w:firstLine="0"/>
            </w:pPr>
            <w:r w:rsidRPr="004A00CD">
              <w:t>Causes environmental damage</w:t>
            </w:r>
          </w:p>
        </w:tc>
        <w:tc>
          <w:tcPr>
            <w:tcW w:w="960" w:type="dxa"/>
            <w:noWrap/>
            <w:hideMark/>
          </w:tcPr>
          <w:p w14:paraId="13DEC431" w14:textId="77777777" w:rsidR="008A7A2C" w:rsidRPr="004A00CD" w:rsidRDefault="008A7A2C" w:rsidP="008A7A2C">
            <w:pPr>
              <w:pStyle w:val="Newparagraph"/>
              <w:spacing w:before="0" w:line="360" w:lineRule="auto"/>
              <w:ind w:hanging="70"/>
              <w:jc w:val="right"/>
            </w:pPr>
            <w:r w:rsidRPr="004A00CD">
              <w:t>33</w:t>
            </w:r>
          </w:p>
        </w:tc>
        <w:tc>
          <w:tcPr>
            <w:tcW w:w="1068" w:type="dxa"/>
            <w:noWrap/>
            <w:hideMark/>
          </w:tcPr>
          <w:p w14:paraId="6419505C" w14:textId="77777777" w:rsidR="008A7A2C" w:rsidRPr="004A00CD" w:rsidRDefault="008A7A2C" w:rsidP="008A7A2C">
            <w:pPr>
              <w:pStyle w:val="Newparagraph"/>
              <w:spacing w:before="0" w:line="360" w:lineRule="auto"/>
              <w:ind w:hanging="34"/>
              <w:jc w:val="right"/>
            </w:pPr>
            <w:r w:rsidRPr="004A00CD">
              <w:t>8</w:t>
            </w:r>
          </w:p>
        </w:tc>
      </w:tr>
      <w:tr w:rsidR="008A7A2C" w:rsidRPr="004A00CD" w14:paraId="1789447B" w14:textId="77777777" w:rsidTr="00560113">
        <w:trPr>
          <w:trHeight w:val="300"/>
        </w:trPr>
        <w:tc>
          <w:tcPr>
            <w:tcW w:w="5480" w:type="dxa"/>
            <w:noWrap/>
            <w:hideMark/>
          </w:tcPr>
          <w:p w14:paraId="610DF5B0" w14:textId="77777777" w:rsidR="008A7A2C" w:rsidRPr="004A00CD" w:rsidRDefault="008A7A2C" w:rsidP="00560113">
            <w:pPr>
              <w:pStyle w:val="Newparagraph"/>
              <w:spacing w:before="0" w:line="360" w:lineRule="auto"/>
              <w:ind w:firstLine="0"/>
            </w:pPr>
            <w:r w:rsidRPr="004A00CD">
              <w:t>Induces traffic (or fails to reduce congestion)</w:t>
            </w:r>
          </w:p>
        </w:tc>
        <w:tc>
          <w:tcPr>
            <w:tcW w:w="960" w:type="dxa"/>
            <w:noWrap/>
            <w:hideMark/>
          </w:tcPr>
          <w:p w14:paraId="6F975E37" w14:textId="77777777" w:rsidR="008A7A2C" w:rsidRPr="004A00CD" w:rsidRDefault="008A7A2C" w:rsidP="008A7A2C">
            <w:pPr>
              <w:pStyle w:val="Newparagraph"/>
              <w:spacing w:before="0" w:line="360" w:lineRule="auto"/>
              <w:ind w:hanging="70"/>
              <w:jc w:val="right"/>
            </w:pPr>
            <w:r w:rsidRPr="004A00CD">
              <w:t>16</w:t>
            </w:r>
          </w:p>
        </w:tc>
        <w:tc>
          <w:tcPr>
            <w:tcW w:w="1068" w:type="dxa"/>
            <w:noWrap/>
            <w:hideMark/>
          </w:tcPr>
          <w:p w14:paraId="1D0658CC" w14:textId="77777777" w:rsidR="008A7A2C" w:rsidRPr="004A00CD" w:rsidRDefault="008A7A2C" w:rsidP="008A7A2C">
            <w:pPr>
              <w:pStyle w:val="Newparagraph"/>
              <w:spacing w:before="0" w:line="360" w:lineRule="auto"/>
              <w:ind w:hanging="34"/>
              <w:jc w:val="right"/>
            </w:pPr>
            <w:r w:rsidRPr="004A00CD">
              <w:t>10</w:t>
            </w:r>
          </w:p>
        </w:tc>
      </w:tr>
      <w:tr w:rsidR="008A7A2C" w:rsidRPr="004A00CD" w14:paraId="7EB4561A" w14:textId="77777777" w:rsidTr="00560113">
        <w:trPr>
          <w:trHeight w:val="300"/>
        </w:trPr>
        <w:tc>
          <w:tcPr>
            <w:tcW w:w="5480" w:type="dxa"/>
            <w:noWrap/>
            <w:hideMark/>
          </w:tcPr>
          <w:p w14:paraId="0814E945" w14:textId="7A2A4847" w:rsidR="008A7A2C" w:rsidRPr="004A00CD" w:rsidRDefault="008A7A2C" w:rsidP="0071714B">
            <w:pPr>
              <w:pStyle w:val="Newparagraph"/>
              <w:spacing w:before="0" w:line="360" w:lineRule="auto"/>
              <w:ind w:firstLine="0"/>
            </w:pPr>
            <w:r>
              <w:t>(</w:t>
            </w:r>
            <w:r w:rsidR="0071714B">
              <w:t>Factual r</w:t>
            </w:r>
            <w:r w:rsidRPr="004A00CD">
              <w:t>eference</w:t>
            </w:r>
            <w:r>
              <w:t>s</w:t>
            </w:r>
            <w:r w:rsidRPr="004A00CD">
              <w:t xml:space="preserve"> to </w:t>
            </w:r>
            <w:r w:rsidR="00F37A25">
              <w:t>anti-road protests</w:t>
            </w:r>
            <w:r>
              <w:t>)</w:t>
            </w:r>
          </w:p>
        </w:tc>
        <w:tc>
          <w:tcPr>
            <w:tcW w:w="960" w:type="dxa"/>
            <w:noWrap/>
            <w:hideMark/>
          </w:tcPr>
          <w:p w14:paraId="2545B397" w14:textId="77777777" w:rsidR="008A7A2C" w:rsidRPr="004A00CD" w:rsidRDefault="008A7A2C" w:rsidP="008A7A2C">
            <w:pPr>
              <w:pStyle w:val="Newparagraph"/>
              <w:spacing w:before="0" w:line="360" w:lineRule="auto"/>
              <w:ind w:hanging="70"/>
              <w:jc w:val="right"/>
            </w:pPr>
            <w:r w:rsidRPr="004A00CD">
              <w:t>15</w:t>
            </w:r>
          </w:p>
        </w:tc>
        <w:tc>
          <w:tcPr>
            <w:tcW w:w="1068" w:type="dxa"/>
            <w:noWrap/>
            <w:hideMark/>
          </w:tcPr>
          <w:p w14:paraId="7E07722E" w14:textId="77777777" w:rsidR="008A7A2C" w:rsidRPr="004A00CD" w:rsidRDefault="008A7A2C" w:rsidP="008A7A2C">
            <w:pPr>
              <w:pStyle w:val="Newparagraph"/>
              <w:spacing w:before="0" w:line="360" w:lineRule="auto"/>
              <w:ind w:hanging="34"/>
              <w:jc w:val="right"/>
            </w:pPr>
            <w:r w:rsidRPr="004A00CD">
              <w:t>2</w:t>
            </w:r>
          </w:p>
        </w:tc>
      </w:tr>
      <w:tr w:rsidR="008A7A2C" w:rsidRPr="004A00CD" w14:paraId="4D6C5F41" w14:textId="77777777" w:rsidTr="00560113">
        <w:trPr>
          <w:trHeight w:val="300"/>
        </w:trPr>
        <w:tc>
          <w:tcPr>
            <w:tcW w:w="5480" w:type="dxa"/>
            <w:noWrap/>
            <w:hideMark/>
          </w:tcPr>
          <w:p w14:paraId="67582C56" w14:textId="77777777" w:rsidR="008A7A2C" w:rsidRPr="004A00CD" w:rsidRDefault="008A7A2C" w:rsidP="00560113">
            <w:pPr>
              <w:pStyle w:val="Newparagraph"/>
              <w:spacing w:before="0" w:line="360" w:lineRule="auto"/>
              <w:ind w:firstLine="0"/>
            </w:pPr>
            <w:r w:rsidRPr="004A00CD">
              <w:t>Costs would be better spent on alternatives</w:t>
            </w:r>
          </w:p>
        </w:tc>
        <w:tc>
          <w:tcPr>
            <w:tcW w:w="960" w:type="dxa"/>
            <w:noWrap/>
            <w:hideMark/>
          </w:tcPr>
          <w:p w14:paraId="3CA9DA0D" w14:textId="77777777" w:rsidR="008A7A2C" w:rsidRPr="004A00CD" w:rsidRDefault="008A7A2C" w:rsidP="008A7A2C">
            <w:pPr>
              <w:pStyle w:val="Newparagraph"/>
              <w:spacing w:before="0" w:line="360" w:lineRule="auto"/>
              <w:ind w:hanging="70"/>
              <w:jc w:val="right"/>
            </w:pPr>
            <w:r w:rsidRPr="004A00CD">
              <w:t>14</w:t>
            </w:r>
          </w:p>
        </w:tc>
        <w:tc>
          <w:tcPr>
            <w:tcW w:w="1068" w:type="dxa"/>
            <w:noWrap/>
            <w:hideMark/>
          </w:tcPr>
          <w:p w14:paraId="5B1EF365" w14:textId="77777777" w:rsidR="008A7A2C" w:rsidRPr="004A00CD" w:rsidRDefault="008A7A2C" w:rsidP="008A7A2C">
            <w:pPr>
              <w:pStyle w:val="Newparagraph"/>
              <w:spacing w:before="0" w:line="360" w:lineRule="auto"/>
              <w:ind w:hanging="34"/>
              <w:jc w:val="right"/>
            </w:pPr>
            <w:r w:rsidRPr="004A00CD">
              <w:t>9</w:t>
            </w:r>
          </w:p>
        </w:tc>
      </w:tr>
      <w:tr w:rsidR="008A7A2C" w:rsidRPr="004A00CD" w14:paraId="6E5A6F68" w14:textId="77777777" w:rsidTr="00560113">
        <w:trPr>
          <w:trHeight w:val="300"/>
        </w:trPr>
        <w:tc>
          <w:tcPr>
            <w:tcW w:w="5480" w:type="dxa"/>
            <w:noWrap/>
            <w:hideMark/>
          </w:tcPr>
          <w:p w14:paraId="518F1A3A" w14:textId="77777777" w:rsidR="008A7A2C" w:rsidRPr="004A00CD" w:rsidRDefault="008A7A2C" w:rsidP="00560113">
            <w:pPr>
              <w:pStyle w:val="Newparagraph"/>
              <w:spacing w:before="0" w:line="360" w:lineRule="auto"/>
              <w:ind w:firstLine="0"/>
            </w:pPr>
            <w:r w:rsidRPr="004A00CD">
              <w:t>Cannot satisfy demand, or restraint is required</w:t>
            </w:r>
          </w:p>
        </w:tc>
        <w:tc>
          <w:tcPr>
            <w:tcW w:w="960" w:type="dxa"/>
            <w:noWrap/>
            <w:hideMark/>
          </w:tcPr>
          <w:p w14:paraId="79EE0632" w14:textId="77777777" w:rsidR="008A7A2C" w:rsidRPr="004A00CD" w:rsidRDefault="008A7A2C" w:rsidP="008A7A2C">
            <w:pPr>
              <w:pStyle w:val="Newparagraph"/>
              <w:spacing w:before="0" w:line="360" w:lineRule="auto"/>
              <w:ind w:hanging="70"/>
              <w:jc w:val="right"/>
            </w:pPr>
            <w:r w:rsidRPr="004A00CD">
              <w:t>7</w:t>
            </w:r>
          </w:p>
        </w:tc>
        <w:tc>
          <w:tcPr>
            <w:tcW w:w="1068" w:type="dxa"/>
            <w:noWrap/>
            <w:hideMark/>
          </w:tcPr>
          <w:p w14:paraId="3B70B848" w14:textId="77777777" w:rsidR="008A7A2C" w:rsidRPr="004A00CD" w:rsidRDefault="008A7A2C" w:rsidP="008A7A2C">
            <w:pPr>
              <w:pStyle w:val="Newparagraph"/>
              <w:spacing w:before="0" w:line="360" w:lineRule="auto"/>
              <w:ind w:hanging="34"/>
              <w:jc w:val="right"/>
            </w:pPr>
            <w:r w:rsidRPr="004A00CD">
              <w:t>0</w:t>
            </w:r>
          </w:p>
        </w:tc>
      </w:tr>
      <w:tr w:rsidR="008A7A2C" w:rsidRPr="004A00CD" w14:paraId="0A76A0AD" w14:textId="77777777" w:rsidTr="00560113">
        <w:trPr>
          <w:trHeight w:val="300"/>
        </w:trPr>
        <w:tc>
          <w:tcPr>
            <w:tcW w:w="5480" w:type="dxa"/>
            <w:noWrap/>
            <w:hideMark/>
          </w:tcPr>
          <w:p w14:paraId="1E70CD0A" w14:textId="77777777" w:rsidR="008A7A2C" w:rsidRPr="004A00CD" w:rsidRDefault="008A7A2C" w:rsidP="00560113">
            <w:pPr>
              <w:pStyle w:val="Newparagraph"/>
              <w:spacing w:before="0" w:line="360" w:lineRule="auto"/>
              <w:ind w:firstLine="0"/>
            </w:pPr>
            <w:r w:rsidRPr="004A00CD">
              <w:t>Is unpopular, or cuts are popular</w:t>
            </w:r>
          </w:p>
        </w:tc>
        <w:tc>
          <w:tcPr>
            <w:tcW w:w="960" w:type="dxa"/>
            <w:noWrap/>
            <w:hideMark/>
          </w:tcPr>
          <w:p w14:paraId="6876AD9B" w14:textId="77777777" w:rsidR="008A7A2C" w:rsidRPr="004A00CD" w:rsidRDefault="008A7A2C" w:rsidP="008A7A2C">
            <w:pPr>
              <w:pStyle w:val="Newparagraph"/>
              <w:spacing w:before="0" w:line="360" w:lineRule="auto"/>
              <w:ind w:hanging="70"/>
              <w:jc w:val="right"/>
            </w:pPr>
            <w:r w:rsidRPr="004A00CD">
              <w:t>6</w:t>
            </w:r>
          </w:p>
        </w:tc>
        <w:tc>
          <w:tcPr>
            <w:tcW w:w="1068" w:type="dxa"/>
            <w:noWrap/>
            <w:hideMark/>
          </w:tcPr>
          <w:p w14:paraId="2BEEFD42" w14:textId="77777777" w:rsidR="008A7A2C" w:rsidRPr="004A00CD" w:rsidRDefault="008A7A2C" w:rsidP="008A7A2C">
            <w:pPr>
              <w:pStyle w:val="Newparagraph"/>
              <w:spacing w:before="0" w:line="360" w:lineRule="auto"/>
              <w:ind w:hanging="34"/>
              <w:jc w:val="right"/>
            </w:pPr>
            <w:r w:rsidRPr="004A00CD">
              <w:t>0</w:t>
            </w:r>
          </w:p>
        </w:tc>
      </w:tr>
      <w:tr w:rsidR="008A7A2C" w:rsidRPr="004A00CD" w14:paraId="236B9A12" w14:textId="77777777" w:rsidTr="00560113">
        <w:trPr>
          <w:trHeight w:val="300"/>
        </w:trPr>
        <w:tc>
          <w:tcPr>
            <w:tcW w:w="5480" w:type="dxa"/>
            <w:noWrap/>
            <w:hideMark/>
          </w:tcPr>
          <w:p w14:paraId="03FEBC35" w14:textId="77777777" w:rsidR="008A7A2C" w:rsidRPr="004A00CD" w:rsidRDefault="008A7A2C" w:rsidP="00560113">
            <w:pPr>
              <w:pStyle w:val="Newparagraph"/>
              <w:spacing w:before="0" w:line="360" w:lineRule="auto"/>
              <w:ind w:firstLine="0"/>
            </w:pPr>
            <w:r w:rsidRPr="004A00CD">
              <w:t>Offers poor value for money, or too much is spent on it</w:t>
            </w:r>
          </w:p>
        </w:tc>
        <w:tc>
          <w:tcPr>
            <w:tcW w:w="960" w:type="dxa"/>
            <w:noWrap/>
            <w:hideMark/>
          </w:tcPr>
          <w:p w14:paraId="5E86E8F0" w14:textId="77777777" w:rsidR="008A7A2C" w:rsidRPr="004A00CD" w:rsidRDefault="008A7A2C" w:rsidP="008A7A2C">
            <w:pPr>
              <w:pStyle w:val="Newparagraph"/>
              <w:spacing w:before="0" w:line="360" w:lineRule="auto"/>
              <w:ind w:hanging="70"/>
              <w:jc w:val="right"/>
            </w:pPr>
            <w:r w:rsidRPr="004A00CD">
              <w:t>3</w:t>
            </w:r>
          </w:p>
        </w:tc>
        <w:tc>
          <w:tcPr>
            <w:tcW w:w="1068" w:type="dxa"/>
            <w:noWrap/>
            <w:hideMark/>
          </w:tcPr>
          <w:p w14:paraId="78A3150D" w14:textId="77777777" w:rsidR="008A7A2C" w:rsidRPr="004A00CD" w:rsidRDefault="008A7A2C" w:rsidP="008A7A2C">
            <w:pPr>
              <w:pStyle w:val="Newparagraph"/>
              <w:spacing w:before="0" w:line="360" w:lineRule="auto"/>
              <w:ind w:hanging="34"/>
              <w:jc w:val="right"/>
            </w:pPr>
            <w:r w:rsidRPr="004A00CD">
              <w:t>6</w:t>
            </w:r>
          </w:p>
        </w:tc>
      </w:tr>
      <w:tr w:rsidR="008A7A2C" w:rsidRPr="004A00CD" w14:paraId="229DBAA6" w14:textId="77777777" w:rsidTr="00560113">
        <w:trPr>
          <w:trHeight w:val="300"/>
        </w:trPr>
        <w:tc>
          <w:tcPr>
            <w:tcW w:w="5480" w:type="dxa"/>
            <w:noWrap/>
            <w:hideMark/>
          </w:tcPr>
          <w:p w14:paraId="7202723D" w14:textId="77777777" w:rsidR="008A7A2C" w:rsidRPr="004A00CD" w:rsidRDefault="008A7A2C" w:rsidP="00560113">
            <w:pPr>
              <w:pStyle w:val="Newparagraph"/>
              <w:spacing w:before="0" w:line="360" w:lineRule="auto"/>
              <w:ind w:firstLine="0"/>
            </w:pPr>
            <w:r w:rsidRPr="004A00CD">
              <w:t>Does not bring economic benefits</w:t>
            </w:r>
          </w:p>
        </w:tc>
        <w:tc>
          <w:tcPr>
            <w:tcW w:w="960" w:type="dxa"/>
            <w:noWrap/>
            <w:hideMark/>
          </w:tcPr>
          <w:p w14:paraId="62E575DC" w14:textId="77777777" w:rsidR="008A7A2C" w:rsidRPr="004A00CD" w:rsidRDefault="008A7A2C" w:rsidP="008A7A2C">
            <w:pPr>
              <w:pStyle w:val="Newparagraph"/>
              <w:spacing w:before="0" w:line="360" w:lineRule="auto"/>
              <w:ind w:hanging="70"/>
              <w:jc w:val="right"/>
            </w:pPr>
            <w:r w:rsidRPr="004A00CD">
              <w:t>3</w:t>
            </w:r>
          </w:p>
        </w:tc>
        <w:tc>
          <w:tcPr>
            <w:tcW w:w="1068" w:type="dxa"/>
            <w:noWrap/>
            <w:hideMark/>
          </w:tcPr>
          <w:p w14:paraId="17E761C0" w14:textId="77777777" w:rsidR="008A7A2C" w:rsidRPr="004A00CD" w:rsidRDefault="008A7A2C" w:rsidP="008A7A2C">
            <w:pPr>
              <w:pStyle w:val="Newparagraph"/>
              <w:spacing w:before="0" w:line="360" w:lineRule="auto"/>
              <w:ind w:hanging="34"/>
              <w:jc w:val="right"/>
            </w:pPr>
            <w:r w:rsidRPr="004A00CD">
              <w:t>3</w:t>
            </w:r>
          </w:p>
        </w:tc>
      </w:tr>
      <w:tr w:rsidR="008A7A2C" w:rsidRPr="004A00CD" w14:paraId="32B90CE5" w14:textId="77777777" w:rsidTr="00560113">
        <w:trPr>
          <w:trHeight w:val="300"/>
        </w:trPr>
        <w:tc>
          <w:tcPr>
            <w:tcW w:w="5480" w:type="dxa"/>
            <w:noWrap/>
            <w:hideMark/>
          </w:tcPr>
          <w:p w14:paraId="180E391D" w14:textId="77777777" w:rsidR="008A7A2C" w:rsidRPr="004A00CD" w:rsidRDefault="008A7A2C" w:rsidP="00560113">
            <w:pPr>
              <w:pStyle w:val="Newparagraph"/>
              <w:spacing w:before="0" w:line="360" w:lineRule="auto"/>
              <w:ind w:firstLine="0"/>
            </w:pPr>
            <w:r w:rsidRPr="004A00CD">
              <w:t>Disadvantages the poor</w:t>
            </w:r>
          </w:p>
        </w:tc>
        <w:tc>
          <w:tcPr>
            <w:tcW w:w="960" w:type="dxa"/>
            <w:noWrap/>
            <w:hideMark/>
          </w:tcPr>
          <w:p w14:paraId="74B1D9F6" w14:textId="77777777" w:rsidR="008A7A2C" w:rsidRPr="004A00CD" w:rsidRDefault="008A7A2C" w:rsidP="008A7A2C">
            <w:pPr>
              <w:pStyle w:val="Newparagraph"/>
              <w:spacing w:before="0" w:line="360" w:lineRule="auto"/>
              <w:ind w:hanging="70"/>
              <w:jc w:val="right"/>
            </w:pPr>
            <w:r w:rsidRPr="004A00CD">
              <w:t>2</w:t>
            </w:r>
          </w:p>
        </w:tc>
        <w:tc>
          <w:tcPr>
            <w:tcW w:w="1068" w:type="dxa"/>
            <w:noWrap/>
            <w:hideMark/>
          </w:tcPr>
          <w:p w14:paraId="660396B2" w14:textId="77777777" w:rsidR="008A7A2C" w:rsidRPr="004A00CD" w:rsidRDefault="008A7A2C" w:rsidP="008A7A2C">
            <w:pPr>
              <w:pStyle w:val="Newparagraph"/>
              <w:spacing w:before="0" w:line="360" w:lineRule="auto"/>
              <w:ind w:hanging="34"/>
              <w:jc w:val="right"/>
            </w:pPr>
            <w:r w:rsidRPr="004A00CD">
              <w:t>0</w:t>
            </w:r>
          </w:p>
        </w:tc>
      </w:tr>
      <w:tr w:rsidR="008A7A2C" w:rsidRPr="004A00CD" w14:paraId="492F2ABA" w14:textId="77777777" w:rsidTr="00560113">
        <w:trPr>
          <w:trHeight w:val="300"/>
        </w:trPr>
        <w:tc>
          <w:tcPr>
            <w:tcW w:w="5480" w:type="dxa"/>
            <w:noWrap/>
            <w:hideMark/>
          </w:tcPr>
          <w:p w14:paraId="00308C0E" w14:textId="77777777" w:rsidR="008A7A2C" w:rsidRPr="004A00CD" w:rsidRDefault="008A7A2C" w:rsidP="00560113">
            <w:pPr>
              <w:pStyle w:val="Newparagraph"/>
              <w:spacing w:before="0" w:line="360" w:lineRule="auto"/>
              <w:ind w:firstLine="0"/>
              <w:jc w:val="left"/>
            </w:pPr>
          </w:p>
        </w:tc>
        <w:tc>
          <w:tcPr>
            <w:tcW w:w="960" w:type="dxa"/>
            <w:noWrap/>
            <w:hideMark/>
          </w:tcPr>
          <w:p w14:paraId="6179A6E9" w14:textId="77777777" w:rsidR="008A7A2C" w:rsidRPr="004A00CD" w:rsidRDefault="008A7A2C" w:rsidP="008A7A2C">
            <w:pPr>
              <w:pStyle w:val="Newparagraph"/>
              <w:spacing w:before="0" w:line="360" w:lineRule="auto"/>
              <w:ind w:hanging="70"/>
              <w:jc w:val="right"/>
            </w:pPr>
          </w:p>
        </w:tc>
        <w:tc>
          <w:tcPr>
            <w:tcW w:w="1068" w:type="dxa"/>
            <w:noWrap/>
            <w:hideMark/>
          </w:tcPr>
          <w:p w14:paraId="130530D6" w14:textId="77777777" w:rsidR="008A7A2C" w:rsidRPr="004A00CD" w:rsidRDefault="008A7A2C" w:rsidP="008A7A2C">
            <w:pPr>
              <w:pStyle w:val="Newparagraph"/>
              <w:spacing w:before="0" w:line="360" w:lineRule="auto"/>
              <w:ind w:hanging="34"/>
              <w:jc w:val="right"/>
            </w:pPr>
          </w:p>
        </w:tc>
      </w:tr>
      <w:tr w:rsidR="008A7A2C" w:rsidRPr="004A00CD" w14:paraId="415281C2" w14:textId="77777777" w:rsidTr="00560113">
        <w:trPr>
          <w:trHeight w:val="300"/>
        </w:trPr>
        <w:tc>
          <w:tcPr>
            <w:tcW w:w="5480" w:type="dxa"/>
            <w:noWrap/>
            <w:hideMark/>
          </w:tcPr>
          <w:p w14:paraId="3187091F" w14:textId="77777777" w:rsidR="008A7A2C" w:rsidRPr="004A00CD" w:rsidRDefault="008A7A2C" w:rsidP="00560113">
            <w:pPr>
              <w:pStyle w:val="Newparagraph"/>
              <w:spacing w:before="0" w:line="360" w:lineRule="auto"/>
              <w:ind w:firstLine="0"/>
            </w:pPr>
            <w:r w:rsidRPr="004A00CD">
              <w:t>Brings economic benefits</w:t>
            </w:r>
          </w:p>
        </w:tc>
        <w:tc>
          <w:tcPr>
            <w:tcW w:w="960" w:type="dxa"/>
            <w:noWrap/>
            <w:hideMark/>
          </w:tcPr>
          <w:p w14:paraId="2475C527" w14:textId="77777777" w:rsidR="008A7A2C" w:rsidRPr="004A00CD" w:rsidRDefault="008A7A2C" w:rsidP="008A7A2C">
            <w:pPr>
              <w:pStyle w:val="Newparagraph"/>
              <w:spacing w:before="0" w:line="360" w:lineRule="auto"/>
              <w:ind w:hanging="70"/>
              <w:jc w:val="right"/>
            </w:pPr>
            <w:r w:rsidRPr="004A00CD">
              <w:t>17</w:t>
            </w:r>
          </w:p>
        </w:tc>
        <w:tc>
          <w:tcPr>
            <w:tcW w:w="1068" w:type="dxa"/>
            <w:noWrap/>
            <w:hideMark/>
          </w:tcPr>
          <w:p w14:paraId="5519294E" w14:textId="77777777" w:rsidR="008A7A2C" w:rsidRPr="004A00CD" w:rsidRDefault="008A7A2C" w:rsidP="008A7A2C">
            <w:pPr>
              <w:pStyle w:val="Newparagraph"/>
              <w:spacing w:before="0" w:line="360" w:lineRule="auto"/>
              <w:ind w:hanging="34"/>
              <w:jc w:val="right"/>
            </w:pPr>
            <w:r w:rsidRPr="004A00CD">
              <w:t>13</w:t>
            </w:r>
          </w:p>
        </w:tc>
      </w:tr>
      <w:tr w:rsidR="008A7A2C" w:rsidRPr="004A00CD" w14:paraId="3F4CD0F3" w14:textId="77777777" w:rsidTr="00560113">
        <w:trPr>
          <w:trHeight w:val="300"/>
        </w:trPr>
        <w:tc>
          <w:tcPr>
            <w:tcW w:w="5480" w:type="dxa"/>
            <w:noWrap/>
            <w:hideMark/>
          </w:tcPr>
          <w:p w14:paraId="1548C2F3" w14:textId="77777777" w:rsidR="008A7A2C" w:rsidRPr="004A00CD" w:rsidRDefault="008A7A2C" w:rsidP="00560113">
            <w:pPr>
              <w:pStyle w:val="Newparagraph"/>
              <w:spacing w:before="0" w:line="360" w:lineRule="auto"/>
              <w:ind w:firstLine="0"/>
            </w:pPr>
            <w:r w:rsidRPr="004A00CD">
              <w:t>Improves the environment</w:t>
            </w:r>
          </w:p>
        </w:tc>
        <w:tc>
          <w:tcPr>
            <w:tcW w:w="960" w:type="dxa"/>
            <w:noWrap/>
            <w:hideMark/>
          </w:tcPr>
          <w:p w14:paraId="236BA518" w14:textId="77777777" w:rsidR="008A7A2C" w:rsidRPr="004A00CD" w:rsidRDefault="008A7A2C" w:rsidP="008A7A2C">
            <w:pPr>
              <w:pStyle w:val="Newparagraph"/>
              <w:spacing w:before="0" w:line="360" w:lineRule="auto"/>
              <w:ind w:hanging="70"/>
              <w:jc w:val="right"/>
            </w:pPr>
            <w:r w:rsidRPr="004A00CD">
              <w:t>7</w:t>
            </w:r>
          </w:p>
        </w:tc>
        <w:tc>
          <w:tcPr>
            <w:tcW w:w="1068" w:type="dxa"/>
            <w:noWrap/>
            <w:hideMark/>
          </w:tcPr>
          <w:p w14:paraId="73A941C3" w14:textId="77777777" w:rsidR="008A7A2C" w:rsidRPr="004A00CD" w:rsidRDefault="008A7A2C" w:rsidP="008A7A2C">
            <w:pPr>
              <w:pStyle w:val="Newparagraph"/>
              <w:spacing w:before="0" w:line="360" w:lineRule="auto"/>
              <w:ind w:hanging="34"/>
              <w:jc w:val="right"/>
            </w:pPr>
            <w:r w:rsidRPr="004A00CD">
              <w:t>0</w:t>
            </w:r>
          </w:p>
        </w:tc>
      </w:tr>
      <w:tr w:rsidR="008A7A2C" w:rsidRPr="004A00CD" w14:paraId="47A0A141" w14:textId="77777777" w:rsidTr="00560113">
        <w:trPr>
          <w:trHeight w:val="300"/>
        </w:trPr>
        <w:tc>
          <w:tcPr>
            <w:tcW w:w="5480" w:type="dxa"/>
            <w:noWrap/>
            <w:hideMark/>
          </w:tcPr>
          <w:p w14:paraId="00F8BE8B" w14:textId="77777777" w:rsidR="008A7A2C" w:rsidRPr="004A00CD" w:rsidRDefault="008A7A2C" w:rsidP="00560113">
            <w:pPr>
              <w:pStyle w:val="Newparagraph"/>
              <w:spacing w:before="0" w:line="360" w:lineRule="auto"/>
              <w:ind w:firstLine="0"/>
            </w:pPr>
            <w:r w:rsidRPr="004A00CD">
              <w:t>Reduces congestion or saves time</w:t>
            </w:r>
          </w:p>
        </w:tc>
        <w:tc>
          <w:tcPr>
            <w:tcW w:w="960" w:type="dxa"/>
            <w:noWrap/>
            <w:hideMark/>
          </w:tcPr>
          <w:p w14:paraId="61B279D0" w14:textId="77777777" w:rsidR="008A7A2C" w:rsidRPr="004A00CD" w:rsidRDefault="008A7A2C" w:rsidP="008A7A2C">
            <w:pPr>
              <w:pStyle w:val="Newparagraph"/>
              <w:spacing w:before="0" w:line="360" w:lineRule="auto"/>
              <w:ind w:hanging="70"/>
              <w:jc w:val="right"/>
            </w:pPr>
            <w:r w:rsidRPr="004A00CD">
              <w:t>6</w:t>
            </w:r>
          </w:p>
        </w:tc>
        <w:tc>
          <w:tcPr>
            <w:tcW w:w="1068" w:type="dxa"/>
            <w:noWrap/>
            <w:hideMark/>
          </w:tcPr>
          <w:p w14:paraId="16F81DEC" w14:textId="77777777" w:rsidR="008A7A2C" w:rsidRPr="004A00CD" w:rsidRDefault="008A7A2C" w:rsidP="008A7A2C">
            <w:pPr>
              <w:pStyle w:val="Newparagraph"/>
              <w:spacing w:before="0" w:line="360" w:lineRule="auto"/>
              <w:ind w:hanging="34"/>
              <w:jc w:val="right"/>
            </w:pPr>
            <w:r w:rsidRPr="004A00CD">
              <w:t>8</w:t>
            </w:r>
          </w:p>
        </w:tc>
      </w:tr>
      <w:tr w:rsidR="008A7A2C" w:rsidRPr="004A00CD" w14:paraId="194FE358" w14:textId="77777777" w:rsidTr="00560113">
        <w:trPr>
          <w:trHeight w:val="300"/>
        </w:trPr>
        <w:tc>
          <w:tcPr>
            <w:tcW w:w="5480" w:type="dxa"/>
            <w:noWrap/>
            <w:hideMark/>
          </w:tcPr>
          <w:p w14:paraId="78570F21" w14:textId="77777777" w:rsidR="008A7A2C" w:rsidRPr="004A00CD" w:rsidRDefault="008A7A2C" w:rsidP="00560113">
            <w:pPr>
              <w:pStyle w:val="Newparagraph"/>
              <w:spacing w:before="0" w:line="360" w:lineRule="auto"/>
              <w:ind w:firstLine="0"/>
            </w:pPr>
            <w:r w:rsidRPr="004A00CD">
              <w:t>Should satisfy demand from car-drivers</w:t>
            </w:r>
          </w:p>
        </w:tc>
        <w:tc>
          <w:tcPr>
            <w:tcW w:w="960" w:type="dxa"/>
            <w:noWrap/>
            <w:hideMark/>
          </w:tcPr>
          <w:p w14:paraId="3EEC60FF" w14:textId="77777777" w:rsidR="008A7A2C" w:rsidRPr="004A00CD" w:rsidRDefault="008A7A2C" w:rsidP="008A7A2C">
            <w:pPr>
              <w:pStyle w:val="Newparagraph"/>
              <w:spacing w:before="0" w:line="360" w:lineRule="auto"/>
              <w:ind w:hanging="70"/>
              <w:jc w:val="right"/>
            </w:pPr>
            <w:r w:rsidRPr="004A00CD">
              <w:t>2</w:t>
            </w:r>
          </w:p>
        </w:tc>
        <w:tc>
          <w:tcPr>
            <w:tcW w:w="1068" w:type="dxa"/>
            <w:noWrap/>
            <w:hideMark/>
          </w:tcPr>
          <w:p w14:paraId="0D51E1CB" w14:textId="77777777" w:rsidR="008A7A2C" w:rsidRPr="004A00CD" w:rsidRDefault="008A7A2C" w:rsidP="008A7A2C">
            <w:pPr>
              <w:pStyle w:val="Newparagraph"/>
              <w:spacing w:before="0" w:line="360" w:lineRule="auto"/>
              <w:ind w:hanging="34"/>
              <w:jc w:val="right"/>
            </w:pPr>
            <w:r w:rsidRPr="004A00CD">
              <w:t>0</w:t>
            </w:r>
          </w:p>
        </w:tc>
      </w:tr>
      <w:tr w:rsidR="008A7A2C" w:rsidRPr="004A00CD" w14:paraId="5D71F44A" w14:textId="77777777" w:rsidTr="00560113">
        <w:trPr>
          <w:trHeight w:val="300"/>
        </w:trPr>
        <w:tc>
          <w:tcPr>
            <w:tcW w:w="5480" w:type="dxa"/>
            <w:noWrap/>
            <w:hideMark/>
          </w:tcPr>
          <w:p w14:paraId="28D15C18" w14:textId="77777777" w:rsidR="008A7A2C" w:rsidRPr="004A00CD" w:rsidRDefault="008A7A2C" w:rsidP="00560113">
            <w:pPr>
              <w:pStyle w:val="Newparagraph"/>
              <w:spacing w:before="0" w:line="360" w:lineRule="auto"/>
              <w:ind w:firstLine="0"/>
            </w:pPr>
            <w:r w:rsidRPr="004A00CD">
              <w:t>Reduces accidents</w:t>
            </w:r>
          </w:p>
        </w:tc>
        <w:tc>
          <w:tcPr>
            <w:tcW w:w="960" w:type="dxa"/>
            <w:noWrap/>
            <w:hideMark/>
          </w:tcPr>
          <w:p w14:paraId="02C6D63F" w14:textId="77777777" w:rsidR="008A7A2C" w:rsidRPr="004A00CD" w:rsidRDefault="008A7A2C" w:rsidP="008A7A2C">
            <w:pPr>
              <w:pStyle w:val="Newparagraph"/>
              <w:spacing w:before="0" w:line="360" w:lineRule="auto"/>
              <w:ind w:hanging="70"/>
              <w:jc w:val="right"/>
            </w:pPr>
            <w:r w:rsidRPr="004A00CD">
              <w:t>2</w:t>
            </w:r>
          </w:p>
        </w:tc>
        <w:tc>
          <w:tcPr>
            <w:tcW w:w="1068" w:type="dxa"/>
            <w:noWrap/>
            <w:hideMark/>
          </w:tcPr>
          <w:p w14:paraId="2115D3FA" w14:textId="77777777" w:rsidR="008A7A2C" w:rsidRPr="004A00CD" w:rsidRDefault="008A7A2C" w:rsidP="008A7A2C">
            <w:pPr>
              <w:pStyle w:val="Newparagraph"/>
              <w:spacing w:before="0" w:line="360" w:lineRule="auto"/>
              <w:ind w:hanging="34"/>
              <w:jc w:val="right"/>
            </w:pPr>
            <w:r w:rsidRPr="004A00CD">
              <w:t>0</w:t>
            </w:r>
          </w:p>
        </w:tc>
      </w:tr>
      <w:tr w:rsidR="008A7A2C" w:rsidRPr="004A00CD" w14:paraId="30E5B130" w14:textId="77777777" w:rsidTr="00560113">
        <w:trPr>
          <w:trHeight w:val="300"/>
        </w:trPr>
        <w:tc>
          <w:tcPr>
            <w:tcW w:w="5480" w:type="dxa"/>
            <w:noWrap/>
            <w:hideMark/>
          </w:tcPr>
          <w:p w14:paraId="77B59CE3" w14:textId="77777777" w:rsidR="008A7A2C" w:rsidRPr="004A00CD" w:rsidRDefault="008A7A2C" w:rsidP="00560113">
            <w:pPr>
              <w:pStyle w:val="Newparagraph"/>
              <w:spacing w:before="0" w:line="360" w:lineRule="auto"/>
              <w:ind w:firstLine="0"/>
            </w:pPr>
            <w:r w:rsidRPr="004A00CD">
              <w:t>Is popular</w:t>
            </w:r>
          </w:p>
        </w:tc>
        <w:tc>
          <w:tcPr>
            <w:tcW w:w="960" w:type="dxa"/>
            <w:noWrap/>
            <w:hideMark/>
          </w:tcPr>
          <w:p w14:paraId="0D50A0C9" w14:textId="77777777" w:rsidR="008A7A2C" w:rsidRPr="004A00CD" w:rsidRDefault="008A7A2C" w:rsidP="008A7A2C">
            <w:pPr>
              <w:pStyle w:val="Newparagraph"/>
              <w:spacing w:before="0" w:line="360" w:lineRule="auto"/>
              <w:ind w:hanging="70"/>
              <w:jc w:val="right"/>
            </w:pPr>
            <w:r w:rsidRPr="004A00CD">
              <w:t>2</w:t>
            </w:r>
          </w:p>
        </w:tc>
        <w:tc>
          <w:tcPr>
            <w:tcW w:w="1068" w:type="dxa"/>
            <w:noWrap/>
            <w:hideMark/>
          </w:tcPr>
          <w:p w14:paraId="6934FD48" w14:textId="77777777" w:rsidR="008A7A2C" w:rsidRPr="004A00CD" w:rsidRDefault="008A7A2C" w:rsidP="008A7A2C">
            <w:pPr>
              <w:pStyle w:val="Newparagraph"/>
              <w:spacing w:before="0" w:line="360" w:lineRule="auto"/>
              <w:ind w:hanging="34"/>
              <w:jc w:val="right"/>
            </w:pPr>
            <w:r w:rsidRPr="004A00CD">
              <w:t>0</w:t>
            </w:r>
          </w:p>
        </w:tc>
      </w:tr>
    </w:tbl>
    <w:p w14:paraId="65501AD9" w14:textId="53ACC805" w:rsidR="006D12FF" w:rsidRDefault="008A7A2C" w:rsidP="008A7A2C">
      <w:pPr>
        <w:pStyle w:val="Caption"/>
      </w:pPr>
      <w:bookmarkStart w:id="27" w:name="_Ref527475684"/>
      <w:bookmarkStart w:id="28" w:name="_Ref527475680"/>
      <w:bookmarkStart w:id="29" w:name="_Ref527877646"/>
      <w:r>
        <w:t xml:space="preserve">Table </w:t>
      </w:r>
      <w:r w:rsidR="00054D1A">
        <w:rPr>
          <w:noProof/>
        </w:rPr>
        <w:fldChar w:fldCharType="begin"/>
      </w:r>
      <w:r w:rsidR="00054D1A">
        <w:rPr>
          <w:noProof/>
        </w:rPr>
        <w:instrText xml:space="preserve"> SEQ Table \* ARABIC </w:instrText>
      </w:r>
      <w:r w:rsidR="00054D1A">
        <w:rPr>
          <w:noProof/>
        </w:rPr>
        <w:fldChar w:fldCharType="separate"/>
      </w:r>
      <w:r w:rsidR="0027625B">
        <w:rPr>
          <w:noProof/>
        </w:rPr>
        <w:t>4</w:t>
      </w:r>
      <w:r w:rsidR="00054D1A">
        <w:rPr>
          <w:noProof/>
        </w:rPr>
        <w:fldChar w:fldCharType="end"/>
      </w:r>
      <w:bookmarkEnd w:id="27"/>
      <w:r>
        <w:t xml:space="preserve"> – Analysis of Articles in the UK National and Local Press </w:t>
      </w:r>
      <w:r w:rsidR="0083654C">
        <w:t>Using Search Term</w:t>
      </w:r>
      <w:r>
        <w:t xml:space="preserve"> </w:t>
      </w:r>
      <w:r w:rsidR="0083654C">
        <w:t>“</w:t>
      </w:r>
      <w:r>
        <w:t>Road Building</w:t>
      </w:r>
      <w:r w:rsidR="0083654C">
        <w:t xml:space="preserve">” in the </w:t>
      </w:r>
      <w:r>
        <w:t>Nexis</w:t>
      </w:r>
      <w:bookmarkEnd w:id="28"/>
      <w:r w:rsidR="0083654C">
        <w:t xml:space="preserve"> database</w:t>
      </w:r>
      <w:bookmarkEnd w:id="29"/>
    </w:p>
    <w:p w14:paraId="754653AE" w14:textId="22E72D31" w:rsidR="008A7A2C" w:rsidRDefault="0071714B" w:rsidP="006D12FF">
      <w:pPr>
        <w:pStyle w:val="Newparagraph"/>
        <w:rPr>
          <w:lang w:eastAsia="zh-CN"/>
        </w:rPr>
      </w:pPr>
      <w:r>
        <w:rPr>
          <w:lang w:eastAsia="zh-CN"/>
        </w:rPr>
        <w:t xml:space="preserve">The search term “road building” only picked up a small proportion of the many articles about the </w:t>
      </w:r>
      <w:r w:rsidR="00F37A25">
        <w:rPr>
          <w:lang w:eastAsia="zh-CN"/>
        </w:rPr>
        <w:t>anti-road protests</w:t>
      </w:r>
      <w:r>
        <w:rPr>
          <w:lang w:eastAsia="zh-CN"/>
        </w:rPr>
        <w:t xml:space="preserve">; a search on the terms “Newbury Bypass or Twyford Down” produced </w:t>
      </w:r>
      <w:r w:rsidR="00DD0991">
        <w:rPr>
          <w:lang w:eastAsia="zh-CN"/>
        </w:rPr>
        <w:t>846</w:t>
      </w:r>
      <w:r>
        <w:rPr>
          <w:lang w:eastAsia="zh-CN"/>
        </w:rPr>
        <w:t xml:space="preserve"> articles</w:t>
      </w:r>
      <w:r w:rsidR="00DD0991">
        <w:rPr>
          <w:lang w:eastAsia="zh-CN"/>
        </w:rPr>
        <w:t xml:space="preserve"> in the earlier period</w:t>
      </w:r>
      <w:r>
        <w:rPr>
          <w:lang w:eastAsia="zh-CN"/>
        </w:rPr>
        <w:t>.  It may also be noted that several of the critical comments reflect the tenets of the New Realism, suggesting a link between the rational respon</w:t>
      </w:r>
      <w:r w:rsidR="00F37A25">
        <w:rPr>
          <w:lang w:eastAsia="zh-CN"/>
        </w:rPr>
        <w:t>se mechanism and public opinion</w:t>
      </w:r>
      <w:r>
        <w:rPr>
          <w:lang w:eastAsia="zh-CN"/>
        </w:rPr>
        <w:t>.</w:t>
      </w:r>
    </w:p>
    <w:p w14:paraId="17713CA2" w14:textId="489B47BF" w:rsidR="005A45B3" w:rsidRDefault="005A45B3" w:rsidP="00BF4F9D">
      <w:pPr>
        <w:pStyle w:val="Heading3"/>
      </w:pPr>
      <w:r>
        <w:t>Economic Ideology</w:t>
      </w:r>
    </w:p>
    <w:p w14:paraId="7BD48EB3" w14:textId="25DB9961" w:rsidR="00544B75" w:rsidRDefault="006A1C84" w:rsidP="00DD0991">
      <w:pPr>
        <w:pStyle w:val="Paragraph"/>
      </w:pPr>
      <w:r>
        <w:t>V</w:t>
      </w:r>
      <w:r w:rsidR="00DD0991">
        <w:t>iews within government about the role of public investment and its impact on economic growth</w:t>
      </w:r>
      <w:r>
        <w:t xml:space="preserve"> changed between the two periods of study.  The</w:t>
      </w:r>
      <w:r w:rsidR="00FB0DE9">
        <w:t xml:space="preserve"> </w:t>
      </w:r>
      <w:r>
        <w:t>pathways</w:t>
      </w:r>
      <w:r w:rsidR="00FB0DE9">
        <w:t xml:space="preserve"> illustrated in </w:t>
      </w:r>
      <w:r w:rsidR="00FB0DE9">
        <w:rPr>
          <w:lang w:eastAsia="zh-CN"/>
        </w:rPr>
        <w:fldChar w:fldCharType="begin"/>
      </w:r>
      <w:r w:rsidR="00FB0DE9">
        <w:rPr>
          <w:lang w:eastAsia="zh-CN"/>
        </w:rPr>
        <w:instrText xml:space="preserve"> REF _Ref527540020 \h </w:instrText>
      </w:r>
      <w:r w:rsidR="00FB0DE9">
        <w:rPr>
          <w:lang w:eastAsia="zh-CN"/>
        </w:rPr>
      </w:r>
      <w:r w:rsidR="00FB0DE9">
        <w:rPr>
          <w:lang w:eastAsia="zh-CN"/>
        </w:rPr>
        <w:fldChar w:fldCharType="separate"/>
      </w:r>
      <w:r w:rsidR="0027625B">
        <w:t xml:space="preserve">Figure </w:t>
      </w:r>
      <w:r w:rsidR="0027625B">
        <w:rPr>
          <w:noProof/>
        </w:rPr>
        <w:t>8</w:t>
      </w:r>
      <w:r w:rsidR="00FB0DE9">
        <w:rPr>
          <w:lang w:eastAsia="zh-CN"/>
        </w:rPr>
        <w:fldChar w:fldCharType="end"/>
      </w:r>
      <w:r>
        <w:rPr>
          <w:lang w:eastAsia="zh-CN"/>
        </w:rPr>
        <w:t xml:space="preserve"> apply to both</w:t>
      </w:r>
      <w:r w:rsidR="00DD0991">
        <w:t xml:space="preserve">.  </w:t>
      </w:r>
      <w:r w:rsidR="00544B75">
        <w:t>Economic changes influenced the ideology of the analysts, lobbyists and policy entrepreneurs, who influence the decision makers directly and via the media.</w:t>
      </w:r>
    </w:p>
    <w:p w14:paraId="63E39B77" w14:textId="16ED2D9E" w:rsidR="00FB0DE9" w:rsidRDefault="009D2842" w:rsidP="00FB0DE9">
      <w:pPr>
        <w:pStyle w:val="Paragraph"/>
        <w:rPr>
          <w:lang w:eastAsia="zh-CN"/>
        </w:rPr>
      </w:pPr>
      <w:r>
        <w:rPr>
          <w:lang w:eastAsia="zh-CN"/>
        </w:rPr>
        <w:t xml:space="preserve">One minister explained the </w:t>
      </w:r>
      <w:r w:rsidR="008879F0">
        <w:rPr>
          <w:lang w:eastAsia="zh-CN"/>
        </w:rPr>
        <w:t xml:space="preserve">prevailing </w:t>
      </w:r>
      <w:r>
        <w:rPr>
          <w:lang w:eastAsia="zh-CN"/>
        </w:rPr>
        <w:t xml:space="preserve">attitude </w:t>
      </w:r>
      <w:r w:rsidR="00D856E9">
        <w:rPr>
          <w:lang w:eastAsia="zh-CN"/>
        </w:rPr>
        <w:t xml:space="preserve">within government </w:t>
      </w:r>
      <w:r w:rsidR="00F37A25">
        <w:rPr>
          <w:lang w:eastAsia="zh-CN"/>
        </w:rPr>
        <w:t xml:space="preserve">in the 1990s </w:t>
      </w:r>
      <w:r>
        <w:rPr>
          <w:lang w:eastAsia="zh-CN"/>
        </w:rPr>
        <w:t>as follows:</w:t>
      </w:r>
    </w:p>
    <w:p w14:paraId="71CEEA24" w14:textId="19BD7E6E" w:rsidR="009D2842" w:rsidRDefault="009D2842" w:rsidP="00D856E9">
      <w:pPr>
        <w:pStyle w:val="Newparagraph"/>
        <w:ind w:left="576"/>
        <w:rPr>
          <w:lang w:eastAsia="zh-CN"/>
        </w:rPr>
      </w:pPr>
      <w:r>
        <w:rPr>
          <w:lang w:eastAsia="zh-CN"/>
        </w:rPr>
        <w:t>“</w:t>
      </w:r>
      <w:r w:rsidR="00B90B68">
        <w:rPr>
          <w:lang w:eastAsia="zh-CN"/>
        </w:rPr>
        <w:t xml:space="preserve">There was a very long tradition… </w:t>
      </w:r>
      <w:r>
        <w:rPr>
          <w:lang w:eastAsia="zh-CN"/>
        </w:rPr>
        <w:t>that infrastructure was basically just money.  Rather than it being viewed as an investment improving our social and economic efficiency it was seen as a big lump of money that either had to be borrowed or taxed, neither of which was particularly attractive.”</w:t>
      </w:r>
    </w:p>
    <w:p w14:paraId="2AF885FA" w14:textId="07059FED" w:rsidR="00FF2117" w:rsidRDefault="00240A46" w:rsidP="009D2842">
      <w:pPr>
        <w:pStyle w:val="Newparagraph"/>
        <w:rPr>
          <w:lang w:eastAsia="zh-CN"/>
        </w:rPr>
      </w:pPr>
      <w:r>
        <w:rPr>
          <w:lang w:eastAsia="zh-CN"/>
        </w:rPr>
        <w:t xml:space="preserve">An advisor commented “we had all completely abandoned Keynes by then”. </w:t>
      </w:r>
      <w:r w:rsidR="008879F0">
        <w:rPr>
          <w:lang w:eastAsia="zh-CN"/>
        </w:rPr>
        <w:t xml:space="preserve"> </w:t>
      </w:r>
      <w:r>
        <w:rPr>
          <w:lang w:eastAsia="zh-CN"/>
        </w:rPr>
        <w:t>A</w:t>
      </w:r>
      <w:r w:rsidR="008879F0">
        <w:rPr>
          <w:lang w:eastAsia="zh-CN"/>
        </w:rPr>
        <w:t xml:space="preserve"> Treasury civil servant</w:t>
      </w:r>
      <w:r>
        <w:rPr>
          <w:lang w:eastAsia="zh-CN"/>
        </w:rPr>
        <w:t xml:space="preserve"> said</w:t>
      </w:r>
      <w:r w:rsidR="00FF2117">
        <w:rPr>
          <w:lang w:eastAsia="zh-CN"/>
        </w:rPr>
        <w:t>:</w:t>
      </w:r>
    </w:p>
    <w:p w14:paraId="6C173C49" w14:textId="4917DEC3" w:rsidR="00855485" w:rsidRDefault="00855485" w:rsidP="00B90B68">
      <w:pPr>
        <w:pStyle w:val="Newparagraph"/>
        <w:ind w:left="720"/>
        <w:rPr>
          <w:lang w:eastAsia="zh-CN"/>
        </w:rPr>
      </w:pPr>
      <w:r>
        <w:rPr>
          <w:lang w:eastAsia="zh-CN"/>
        </w:rPr>
        <w:t>“The whole atmosphere was one of ‘we must save money’</w:t>
      </w:r>
      <w:r w:rsidR="00FF2117">
        <w:rPr>
          <w:lang w:eastAsia="zh-CN"/>
        </w:rPr>
        <w:t xml:space="preserve">... It was indifferent to whether this was operating spending or capital spending.  It’s easier to cut a road scheme than to cut [staffing]… </w:t>
      </w:r>
      <w:r>
        <w:rPr>
          <w:lang w:eastAsia="zh-CN"/>
        </w:rPr>
        <w:t xml:space="preserve"> </w:t>
      </w:r>
      <w:r w:rsidR="00FF2117">
        <w:rPr>
          <w:lang w:eastAsia="zh-CN"/>
        </w:rPr>
        <w:t xml:space="preserve">The Treasury was </w:t>
      </w:r>
      <w:r>
        <w:rPr>
          <w:lang w:eastAsia="zh-CN"/>
        </w:rPr>
        <w:t xml:space="preserve">all about markets, </w:t>
      </w:r>
      <w:r w:rsidR="00FF2117">
        <w:rPr>
          <w:lang w:eastAsia="zh-CN"/>
        </w:rPr>
        <w:t xml:space="preserve">competition, regulation, </w:t>
      </w:r>
      <w:r>
        <w:rPr>
          <w:lang w:eastAsia="zh-CN"/>
        </w:rPr>
        <w:t>privatis</w:t>
      </w:r>
      <w:r w:rsidR="00FF2117">
        <w:rPr>
          <w:lang w:eastAsia="zh-CN"/>
        </w:rPr>
        <w:t>at</w:t>
      </w:r>
      <w:r w:rsidR="00240A46">
        <w:rPr>
          <w:lang w:eastAsia="zh-CN"/>
        </w:rPr>
        <w:t xml:space="preserve">ion and private finance </w:t>
      </w:r>
      <w:r w:rsidR="00AC345B">
        <w:rPr>
          <w:lang w:eastAsia="zh-CN"/>
        </w:rPr>
        <w:t>– about better ways of delivery” [rather than investing public money in the interests of the wider economy]</w:t>
      </w:r>
    </w:p>
    <w:p w14:paraId="19D9C591" w14:textId="72E2FB25" w:rsidR="00DD0991" w:rsidRDefault="007F27AD" w:rsidP="00611F3F">
      <w:pPr>
        <w:pStyle w:val="Newparagraph"/>
        <w:rPr>
          <w:lang w:eastAsia="zh-CN"/>
        </w:rPr>
      </w:pPr>
      <w:r>
        <w:rPr>
          <w:lang w:eastAsia="zh-CN"/>
        </w:rPr>
        <w:t xml:space="preserve">Several writers have noted how the International Monetary Fund (IMF) </w:t>
      </w:r>
      <w:r w:rsidR="00241D97">
        <w:rPr>
          <w:lang w:eastAsia="zh-CN"/>
        </w:rPr>
        <w:t>is both a barometer of, and a significant contributor to, changes in international economic orthodoxy</w:t>
      </w:r>
      <w:r w:rsidR="00FF14EF">
        <w:rPr>
          <w:lang w:eastAsia="zh-CN"/>
        </w:rPr>
        <w:t xml:space="preserve"> </w:t>
      </w:r>
      <w:r w:rsidR="00FF14EF">
        <w:fldChar w:fldCharType="begin"/>
      </w:r>
      <w:r w:rsidR="00241D97">
        <w:instrText>ADDIN RW.CITE{{3980 Clift,Ben 2018; 4111 Ban,Cornel 2015}}</w:instrText>
      </w:r>
      <w:r w:rsidR="00FF14EF">
        <w:fldChar w:fldCharType="separate"/>
      </w:r>
      <w:r w:rsidR="00241D97" w:rsidRPr="00241D97">
        <w:t>(Clift, 2018, Ban and Gallagher, 2015)</w:t>
      </w:r>
      <w:r w:rsidR="00FF14EF">
        <w:fldChar w:fldCharType="end"/>
      </w:r>
      <w:r w:rsidR="00BC7884">
        <w:rPr>
          <w:lang w:eastAsia="zh-CN"/>
        </w:rPr>
        <w:t>.  Although the IMF’s influence is greatest on those countries which borrow directly from it, its staff have privileged access to national finance min</w:t>
      </w:r>
      <w:r w:rsidR="006A1C84">
        <w:rPr>
          <w:lang w:eastAsia="zh-CN"/>
        </w:rPr>
        <w:t>istries of other countries; UK C</w:t>
      </w:r>
      <w:r w:rsidR="00BC7884">
        <w:rPr>
          <w:lang w:eastAsia="zh-CN"/>
        </w:rPr>
        <w:t xml:space="preserve">hancellors </w:t>
      </w:r>
      <w:r w:rsidR="006A1C84">
        <w:rPr>
          <w:lang w:eastAsia="zh-CN"/>
        </w:rPr>
        <w:t xml:space="preserve">(finance ministers) </w:t>
      </w:r>
      <w:r w:rsidR="00BC7884">
        <w:rPr>
          <w:lang w:eastAsia="zh-CN"/>
        </w:rPr>
        <w:t xml:space="preserve">have paid frequent attention to its analyses, sometimes citing them in support of their own policies </w:t>
      </w:r>
      <w:r w:rsidR="0001618B">
        <w:fldChar w:fldCharType="begin"/>
      </w:r>
      <w:r w:rsidR="00BC7884">
        <w:instrText>ADDIN RW.CITE{{3980 Clift,Ben 2018}}</w:instrText>
      </w:r>
      <w:r w:rsidR="0001618B">
        <w:fldChar w:fldCharType="separate"/>
      </w:r>
      <w:r w:rsidR="00BC7884" w:rsidRPr="00BC7884">
        <w:t>(Clift, 2018)</w:t>
      </w:r>
      <w:r w:rsidR="0001618B">
        <w:fldChar w:fldCharType="end"/>
      </w:r>
      <w:r w:rsidR="00BC7884">
        <w:rPr>
          <w:lang w:eastAsia="zh-CN"/>
        </w:rPr>
        <w:t>.</w:t>
      </w:r>
      <w:r w:rsidR="000B5688">
        <w:rPr>
          <w:lang w:eastAsia="zh-CN"/>
        </w:rPr>
        <w:t xml:space="preserve"> </w:t>
      </w:r>
      <w:r w:rsidR="00F3579B">
        <w:rPr>
          <w:lang w:eastAsia="zh-CN"/>
        </w:rPr>
        <w:t xml:space="preserve">  </w:t>
      </w:r>
      <w:r w:rsidR="00FF64AC">
        <w:rPr>
          <w:lang w:eastAsia="zh-CN"/>
        </w:rPr>
        <w:t xml:space="preserve">During the 1990s, the IMF put much greater emphasis on fiscal rectitude than any potential for public capital spending to boost flagging economies, although some of their publications did acknowledge the possibility of the latter </w:t>
      </w:r>
      <w:r w:rsidR="000B5688">
        <w:rPr>
          <w:lang w:eastAsia="zh-CN"/>
        </w:rPr>
        <w:fldChar w:fldCharType="begin"/>
      </w:r>
      <w:r w:rsidR="000B5688">
        <w:rPr>
          <w:lang w:eastAsia="zh-CN"/>
        </w:rPr>
        <w:instrText>ADDIN RW.CITE{{3932 IMF 1996}}</w:instrText>
      </w:r>
      <w:r w:rsidR="000B5688">
        <w:rPr>
          <w:lang w:eastAsia="zh-CN"/>
        </w:rPr>
        <w:fldChar w:fldCharType="separate"/>
      </w:r>
      <w:r w:rsidR="00897909" w:rsidRPr="00897909">
        <w:rPr>
          <w:lang w:eastAsia="zh-CN"/>
        </w:rPr>
        <w:t>(IMF, 1996b)</w:t>
      </w:r>
      <w:r w:rsidR="000B5688">
        <w:rPr>
          <w:lang w:eastAsia="zh-CN"/>
        </w:rPr>
        <w:fldChar w:fldCharType="end"/>
      </w:r>
      <w:r w:rsidR="000B5688">
        <w:rPr>
          <w:lang w:eastAsia="zh-CN"/>
        </w:rPr>
        <w:t xml:space="preserve">.  The UK chapters of their annual reports </w:t>
      </w:r>
      <w:r w:rsidR="00720295">
        <w:rPr>
          <w:lang w:eastAsia="zh-CN"/>
        </w:rPr>
        <w:t xml:space="preserve">for this period support the fiscal contraction </w:t>
      </w:r>
      <w:r w:rsidR="00CF727B">
        <w:rPr>
          <w:lang w:eastAsia="zh-CN"/>
        </w:rPr>
        <w:t xml:space="preserve">policies </w:t>
      </w:r>
      <w:r w:rsidR="00720295">
        <w:rPr>
          <w:lang w:eastAsia="zh-CN"/>
        </w:rPr>
        <w:t xml:space="preserve">of the UK government </w:t>
      </w:r>
      <w:r w:rsidR="00720295">
        <w:rPr>
          <w:lang w:eastAsia="zh-CN"/>
        </w:rPr>
        <w:fldChar w:fldCharType="begin"/>
      </w:r>
      <w:r w:rsidR="00F3579B">
        <w:rPr>
          <w:lang w:eastAsia="zh-CN"/>
        </w:rPr>
        <w:instrText>ADDIN RW.CITE{{3981 IMF 1994; 3983 IMF 1996 /a}}</w:instrText>
      </w:r>
      <w:r w:rsidR="00720295">
        <w:rPr>
          <w:lang w:eastAsia="zh-CN"/>
        </w:rPr>
        <w:fldChar w:fldCharType="separate"/>
      </w:r>
      <w:r w:rsidR="00897909" w:rsidRPr="00897909">
        <w:rPr>
          <w:lang w:eastAsia="zh-CN"/>
        </w:rPr>
        <w:t>(IMF, 1994, 1996a)</w:t>
      </w:r>
      <w:r w:rsidR="00720295">
        <w:rPr>
          <w:lang w:eastAsia="zh-CN"/>
        </w:rPr>
        <w:fldChar w:fldCharType="end"/>
      </w:r>
      <w:r w:rsidR="00720295">
        <w:rPr>
          <w:lang w:eastAsia="zh-CN"/>
        </w:rPr>
        <w:t xml:space="preserve">.  IMF </w:t>
      </w:r>
      <w:r w:rsidR="00720295">
        <w:rPr>
          <w:lang w:eastAsia="zh-CN"/>
        </w:rPr>
        <w:fldChar w:fldCharType="begin"/>
      </w:r>
      <w:r w:rsidR="00720295">
        <w:rPr>
          <w:lang w:eastAsia="zh-CN"/>
        </w:rPr>
        <w:instrText>ADDIN RW.CITE{{3982 IMF 1995 /a}}</w:instrText>
      </w:r>
      <w:r w:rsidR="00720295">
        <w:rPr>
          <w:lang w:eastAsia="zh-CN"/>
        </w:rPr>
        <w:fldChar w:fldCharType="separate"/>
      </w:r>
      <w:r w:rsidR="00720295" w:rsidRPr="00720295">
        <w:rPr>
          <w:lang w:eastAsia="zh-CN"/>
        </w:rPr>
        <w:t>(1995)</w:t>
      </w:r>
      <w:r w:rsidR="00720295">
        <w:rPr>
          <w:lang w:eastAsia="zh-CN"/>
        </w:rPr>
        <w:fldChar w:fldCharType="end"/>
      </w:r>
      <w:r w:rsidR="00720295">
        <w:rPr>
          <w:lang w:eastAsia="zh-CN"/>
        </w:rPr>
        <w:t xml:space="preserve"> </w:t>
      </w:r>
      <w:r w:rsidR="00417BD3">
        <w:rPr>
          <w:lang w:eastAsia="zh-CN"/>
        </w:rPr>
        <w:t>calls for more rapid fiscal contraction</w:t>
      </w:r>
      <w:r w:rsidR="00F3579B">
        <w:rPr>
          <w:lang w:eastAsia="zh-CN"/>
        </w:rPr>
        <w:t>;</w:t>
      </w:r>
      <w:r w:rsidR="00FF64AC">
        <w:rPr>
          <w:lang w:eastAsia="zh-CN"/>
        </w:rPr>
        <w:t xml:space="preserve"> it states that more </w:t>
      </w:r>
      <w:r w:rsidR="00B90B68">
        <w:rPr>
          <w:lang w:eastAsia="zh-CN"/>
        </w:rPr>
        <w:t>could be done to retrain</w:t>
      </w:r>
      <w:r w:rsidR="00FF64AC">
        <w:rPr>
          <w:lang w:eastAsia="zh-CN"/>
        </w:rPr>
        <w:t xml:space="preserve"> the unemployed, but</w:t>
      </w:r>
      <w:r w:rsidR="00CF727B">
        <w:rPr>
          <w:lang w:eastAsia="zh-CN"/>
        </w:rPr>
        <w:t xml:space="preserve"> none</w:t>
      </w:r>
      <w:r w:rsidR="00417BD3">
        <w:rPr>
          <w:lang w:eastAsia="zh-CN"/>
        </w:rPr>
        <w:t xml:space="preserve"> of the three reports mentions</w:t>
      </w:r>
      <w:r w:rsidR="00F3579B">
        <w:rPr>
          <w:lang w:eastAsia="zh-CN"/>
        </w:rPr>
        <w:t xml:space="preserve"> </w:t>
      </w:r>
      <w:r w:rsidR="00B90B68">
        <w:rPr>
          <w:lang w:eastAsia="zh-CN"/>
        </w:rPr>
        <w:t xml:space="preserve">the public capital spending which the UK government was cutting </w:t>
      </w:r>
      <w:r w:rsidR="00C34050">
        <w:rPr>
          <w:lang w:eastAsia="zh-CN"/>
        </w:rPr>
        <w:t>most rapidly</w:t>
      </w:r>
      <w:r w:rsidR="00B90B68">
        <w:rPr>
          <w:lang w:eastAsia="zh-CN"/>
        </w:rPr>
        <w:t>.</w:t>
      </w:r>
    </w:p>
    <w:p w14:paraId="5BB7C82A" w14:textId="6F431391" w:rsidR="00177FC1" w:rsidRDefault="00177FC1" w:rsidP="00611F3F">
      <w:pPr>
        <w:pStyle w:val="Newparagraph"/>
        <w:rPr>
          <w:lang w:eastAsia="zh-CN"/>
        </w:rPr>
      </w:pPr>
      <w:r>
        <w:rPr>
          <w:lang w:eastAsia="zh-CN"/>
        </w:rPr>
        <w:t xml:space="preserve">During this time, business interests continued to lobby for road building or </w:t>
      </w:r>
      <w:r w:rsidR="007717D5">
        <w:rPr>
          <w:lang w:eastAsia="zh-CN"/>
        </w:rPr>
        <w:t>against cuts in the programme but as one minister explained:</w:t>
      </w:r>
    </w:p>
    <w:p w14:paraId="7B529C55" w14:textId="34ABC4CD" w:rsidR="007717D5" w:rsidRDefault="007717D5" w:rsidP="00611F3F">
      <w:pPr>
        <w:pStyle w:val="Newparagraph"/>
        <w:rPr>
          <w:lang w:eastAsia="zh-CN"/>
        </w:rPr>
      </w:pPr>
      <w:r>
        <w:rPr>
          <w:lang w:eastAsia="zh-CN"/>
        </w:rPr>
        <w:t>“We told them that we agreed with them but we didn’t have any money.”</w:t>
      </w:r>
    </w:p>
    <w:p w14:paraId="5CCE0AD1" w14:textId="226982ED" w:rsidR="005A45B3" w:rsidRDefault="00FF64AC" w:rsidP="00611F3F">
      <w:pPr>
        <w:pStyle w:val="Newparagraph"/>
        <w:rPr>
          <w:lang w:eastAsia="zh-CN"/>
        </w:rPr>
      </w:pPr>
      <w:r>
        <w:rPr>
          <w:lang w:eastAsia="zh-CN"/>
        </w:rPr>
        <w:fldChar w:fldCharType="begin"/>
      </w:r>
      <w:r>
        <w:rPr>
          <w:lang w:eastAsia="zh-CN"/>
        </w:rPr>
        <w:instrText xml:space="preserve"> REF _Ref527540020 \h </w:instrText>
      </w:r>
      <w:r>
        <w:rPr>
          <w:lang w:eastAsia="zh-CN"/>
        </w:rPr>
      </w:r>
      <w:r>
        <w:rPr>
          <w:lang w:eastAsia="zh-CN"/>
        </w:rPr>
        <w:fldChar w:fldCharType="separate"/>
      </w:r>
      <w:r w:rsidR="0027625B">
        <w:t xml:space="preserve">Figure </w:t>
      </w:r>
      <w:r w:rsidR="0027625B">
        <w:rPr>
          <w:noProof/>
        </w:rPr>
        <w:t>8</w:t>
      </w:r>
      <w:r>
        <w:rPr>
          <w:lang w:eastAsia="zh-CN"/>
        </w:rPr>
        <w:fldChar w:fldCharType="end"/>
      </w:r>
      <w:r>
        <w:rPr>
          <w:lang w:eastAsia="zh-CN"/>
        </w:rPr>
        <w:t xml:space="preserve"> illustrates the economic ideology causal mechanisms.  As th</w:t>
      </w:r>
      <w:r w:rsidR="00B90B68">
        <w:rPr>
          <w:lang w:eastAsia="zh-CN"/>
        </w:rPr>
        <w:t>os</w:t>
      </w:r>
      <w:r>
        <w:rPr>
          <w:lang w:eastAsia="zh-CN"/>
        </w:rPr>
        <w:t xml:space="preserve">e </w:t>
      </w:r>
      <w:r w:rsidR="00B90B68">
        <w:rPr>
          <w:lang w:eastAsia="zh-CN"/>
        </w:rPr>
        <w:t>ideologies were</w:t>
      </w:r>
      <w:r>
        <w:rPr>
          <w:lang w:eastAsia="zh-CN"/>
        </w:rPr>
        <w:t xml:space="preserve"> well-established by the 1990s, to explain the</w:t>
      </w:r>
      <w:r w:rsidR="00B90B68">
        <w:rPr>
          <w:lang w:eastAsia="zh-CN"/>
        </w:rPr>
        <w:t>ir</w:t>
      </w:r>
      <w:r>
        <w:rPr>
          <w:lang w:eastAsia="zh-CN"/>
        </w:rPr>
        <w:t xml:space="preserve"> economic</w:t>
      </w:r>
      <w:r w:rsidR="00B90B68">
        <w:rPr>
          <w:lang w:eastAsia="zh-CN"/>
        </w:rPr>
        <w:t xml:space="preserve"> origins</w:t>
      </w:r>
      <w:r>
        <w:rPr>
          <w:lang w:eastAsia="zh-CN"/>
        </w:rPr>
        <w:t xml:space="preserve"> would lie beyond the scope of this study; Leeson </w:t>
      </w:r>
      <w:r>
        <w:rPr>
          <w:lang w:eastAsia="zh-CN"/>
        </w:rPr>
        <w:fldChar w:fldCharType="begin"/>
      </w:r>
      <w:r w:rsidR="00B90B68">
        <w:rPr>
          <w:lang w:eastAsia="zh-CN"/>
        </w:rPr>
        <w:instrText>ADDIN RW.CITE{{3985 Leeson,Robert 2001 /a}}</w:instrText>
      </w:r>
      <w:r>
        <w:rPr>
          <w:lang w:eastAsia="zh-CN"/>
        </w:rPr>
        <w:fldChar w:fldCharType="separate"/>
      </w:r>
      <w:r w:rsidR="00B90B68" w:rsidRPr="00B90B68">
        <w:rPr>
          <w:lang w:eastAsia="zh-CN"/>
        </w:rPr>
        <w:t>(2001)</w:t>
      </w:r>
      <w:r>
        <w:rPr>
          <w:lang w:eastAsia="zh-CN"/>
        </w:rPr>
        <w:fldChar w:fldCharType="end"/>
      </w:r>
      <w:r w:rsidR="00B90B68">
        <w:rPr>
          <w:lang w:eastAsia="zh-CN"/>
        </w:rPr>
        <w:t xml:space="preserve"> and O’Connor </w:t>
      </w:r>
      <w:r w:rsidR="00B90B68">
        <w:rPr>
          <w:lang w:eastAsia="zh-CN"/>
        </w:rPr>
        <w:fldChar w:fldCharType="begin"/>
      </w:r>
      <w:r w:rsidR="00B90B68">
        <w:rPr>
          <w:lang w:eastAsia="zh-CN"/>
        </w:rPr>
        <w:instrText>ADDIN RW.CITE{{3984 O'Connor,James 2017 /a}}</w:instrText>
      </w:r>
      <w:r w:rsidR="00B90B68">
        <w:rPr>
          <w:lang w:eastAsia="zh-CN"/>
        </w:rPr>
        <w:fldChar w:fldCharType="separate"/>
      </w:r>
      <w:r w:rsidR="00B90B68" w:rsidRPr="00B90B68">
        <w:rPr>
          <w:lang w:eastAsia="zh-CN"/>
        </w:rPr>
        <w:t>(2017)</w:t>
      </w:r>
      <w:r w:rsidR="00B90B68">
        <w:rPr>
          <w:lang w:eastAsia="zh-CN"/>
        </w:rPr>
        <w:fldChar w:fldCharType="end"/>
      </w:r>
      <w:r>
        <w:rPr>
          <w:lang w:eastAsia="zh-CN"/>
        </w:rPr>
        <w:t xml:space="preserve"> </w:t>
      </w:r>
      <w:r w:rsidR="00B90B68">
        <w:rPr>
          <w:lang w:eastAsia="zh-CN"/>
        </w:rPr>
        <w:t>provide two contrasting accounts.  A more relevant question for this study is how they came to change.</w:t>
      </w:r>
    </w:p>
    <w:p w14:paraId="2B96CAD7" w14:textId="77777777" w:rsidR="0068315C" w:rsidRDefault="0068315C" w:rsidP="00B90B68">
      <w:pPr>
        <w:pStyle w:val="Newparagraph"/>
        <w:ind w:left="576"/>
        <w:rPr>
          <w:lang w:eastAsia="zh-CN"/>
        </w:rPr>
      </w:pPr>
    </w:p>
    <w:p w14:paraId="1F99E530" w14:textId="0D467F1F" w:rsidR="00C34050" w:rsidRDefault="00CC0CFB" w:rsidP="00C34050">
      <w:pPr>
        <w:pStyle w:val="Newparagraph"/>
        <w:ind w:firstLine="0"/>
      </w:pPr>
      <w:r>
        <w:rPr>
          <w:noProof/>
        </w:rPr>
        <w:drawing>
          <wp:inline distT="0" distB="0" distL="0" distR="0" wp14:anchorId="64878C4B" wp14:editId="0D1739CC">
            <wp:extent cx="5396865" cy="27330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onomic ideology diagram.png"/>
                    <pic:cNvPicPr/>
                  </pic:nvPicPr>
                  <pic:blipFill>
                    <a:blip r:embed="rId16">
                      <a:extLst>
                        <a:ext uri="{28A0092B-C50C-407E-A947-70E740481C1C}">
                          <a14:useLocalDpi xmlns:a14="http://schemas.microsoft.com/office/drawing/2010/main" val="0"/>
                        </a:ext>
                      </a:extLst>
                    </a:blip>
                    <a:stretch>
                      <a:fillRect/>
                    </a:stretch>
                  </pic:blipFill>
                  <pic:spPr>
                    <a:xfrm>
                      <a:off x="0" y="0"/>
                      <a:ext cx="5396865" cy="2733040"/>
                    </a:xfrm>
                    <a:prstGeom prst="rect">
                      <a:avLst/>
                    </a:prstGeom>
                  </pic:spPr>
                </pic:pic>
              </a:graphicData>
            </a:graphic>
          </wp:inline>
        </w:drawing>
      </w:r>
    </w:p>
    <w:p w14:paraId="1352366B" w14:textId="09B3CB67" w:rsidR="00C34050" w:rsidRDefault="00C34050" w:rsidP="00C34050">
      <w:pPr>
        <w:pStyle w:val="Caption"/>
      </w:pPr>
      <w:bookmarkStart w:id="30" w:name="_Ref527540020"/>
      <w:bookmarkStart w:id="31" w:name="_Ref527540017"/>
      <w:r>
        <w:t xml:space="preserve">Figure </w:t>
      </w:r>
      <w:r w:rsidR="00AC345B">
        <w:rPr>
          <w:noProof/>
        </w:rPr>
        <w:fldChar w:fldCharType="begin"/>
      </w:r>
      <w:r w:rsidR="00AC345B">
        <w:rPr>
          <w:noProof/>
        </w:rPr>
        <w:instrText xml:space="preserve"> SEQ Figure \* ARABIC </w:instrText>
      </w:r>
      <w:r w:rsidR="00AC345B">
        <w:rPr>
          <w:noProof/>
        </w:rPr>
        <w:fldChar w:fldCharType="separate"/>
      </w:r>
      <w:r w:rsidR="0027625B">
        <w:rPr>
          <w:noProof/>
        </w:rPr>
        <w:t>8</w:t>
      </w:r>
      <w:r w:rsidR="00AC345B">
        <w:rPr>
          <w:noProof/>
        </w:rPr>
        <w:fldChar w:fldCharType="end"/>
      </w:r>
      <w:bookmarkEnd w:id="30"/>
      <w:r>
        <w:t xml:space="preserve"> – Economic Ideology Causal Mechanism</w:t>
      </w:r>
      <w:bookmarkEnd w:id="31"/>
    </w:p>
    <w:p w14:paraId="0DDBADE5" w14:textId="77777777" w:rsidR="00C34050" w:rsidRDefault="00C34050" w:rsidP="00B90B68">
      <w:pPr>
        <w:pStyle w:val="Newparagraph"/>
        <w:ind w:left="576"/>
      </w:pPr>
    </w:p>
    <w:p w14:paraId="06A6DD69" w14:textId="44BB569B" w:rsidR="005A45B3" w:rsidRDefault="005A45B3" w:rsidP="00BF4F9D">
      <w:pPr>
        <w:pStyle w:val="Heading2"/>
      </w:pPr>
      <w:r>
        <w:t xml:space="preserve">Causal Mechanisms </w:t>
      </w:r>
      <w:r w:rsidR="00702708">
        <w:t xml:space="preserve">Under the Coalition (2010 – 15) </w:t>
      </w:r>
    </w:p>
    <w:p w14:paraId="135257A3" w14:textId="05B276C6" w:rsidR="005A45B3" w:rsidRDefault="0068315C" w:rsidP="00BF4F9D">
      <w:pPr>
        <w:pStyle w:val="Heading3"/>
      </w:pPr>
      <w:r>
        <w:t>Economic Ideology</w:t>
      </w:r>
    </w:p>
    <w:p w14:paraId="40BB91A7" w14:textId="694C5017" w:rsidR="0068315C" w:rsidRDefault="00203928" w:rsidP="0068315C">
      <w:pPr>
        <w:pStyle w:val="Paragraph"/>
      </w:pPr>
      <w:r>
        <w:fldChar w:fldCharType="begin"/>
      </w:r>
      <w:r>
        <w:instrText xml:space="preserve"> REF _Ref527540020 \h </w:instrText>
      </w:r>
      <w:r>
        <w:fldChar w:fldCharType="separate"/>
      </w:r>
      <w:r w:rsidR="0027625B">
        <w:t xml:space="preserve">Figure </w:t>
      </w:r>
      <w:r w:rsidR="0027625B">
        <w:rPr>
          <w:noProof/>
        </w:rPr>
        <w:t>8</w:t>
      </w:r>
      <w:r>
        <w:fldChar w:fldCharType="end"/>
      </w:r>
      <w:r>
        <w:t xml:space="preserve"> </w:t>
      </w:r>
      <w:r w:rsidR="0001618B">
        <w:t xml:space="preserve">also </w:t>
      </w:r>
      <w:r>
        <w:t xml:space="preserve">applies to </w:t>
      </w:r>
      <w:r w:rsidR="0001618B">
        <w:t>this subsection</w:t>
      </w:r>
      <w:r w:rsidR="00DE1ACF">
        <w:t>, where the same pathways applied in a different way after 2010</w:t>
      </w:r>
      <w:r>
        <w:t xml:space="preserve">.  </w:t>
      </w:r>
      <w:r w:rsidR="0001618B">
        <w:t>The principal change</w:t>
      </w:r>
      <w:r w:rsidR="007717D5">
        <w:t xml:space="preserve"> in the economic social structure </w:t>
      </w:r>
      <w:r w:rsidR="007D18FB">
        <w:t xml:space="preserve">was the </w:t>
      </w:r>
      <w:r w:rsidR="007717D5">
        <w:t>recession of 2007-9</w:t>
      </w:r>
      <w:r w:rsidR="007D18FB">
        <w:t xml:space="preserve">, which was global, unlike the milder UK recession of the early 1990s.  The causal mechanism, interpreted by analysts and international bodies was a changed attitude to public investment.  </w:t>
      </w:r>
      <w:r>
        <w:t>Amongst the decision-makers, one actor was particularly important: t</w:t>
      </w:r>
      <w:r w:rsidR="006A1C84">
        <w:t>he Chancellor</w:t>
      </w:r>
      <w:r>
        <w:t xml:space="preserve"> George Osborne.  O</w:t>
      </w:r>
      <w:r w:rsidR="00954BD8">
        <w:t xml:space="preserve">ne </w:t>
      </w:r>
      <w:r>
        <w:t>minister</w:t>
      </w:r>
      <w:r w:rsidR="00954BD8">
        <w:t xml:space="preserve"> </w:t>
      </w:r>
      <w:r>
        <w:t xml:space="preserve">described Osborne </w:t>
      </w:r>
      <w:r w:rsidR="00954BD8">
        <w:t xml:space="preserve">as the “chief executive” </w:t>
      </w:r>
      <w:r w:rsidR="007D18FB">
        <w:t xml:space="preserve">controlling the detailed work </w:t>
      </w:r>
      <w:r w:rsidR="00954BD8">
        <w:t>of government with Prime Minister</w:t>
      </w:r>
      <w:r w:rsidR="007D18FB">
        <w:t xml:space="preserve"> Cameron overseeing like a</w:t>
      </w:r>
      <w:r w:rsidR="00954BD8">
        <w:t xml:space="preserve"> “chairman of the board</w:t>
      </w:r>
      <w:r w:rsidR="007D18FB">
        <w:t>”</w:t>
      </w:r>
      <w:r w:rsidR="0068315C">
        <w:t>.   As one minister</w:t>
      </w:r>
      <w:r w:rsidR="00992144">
        <w:t xml:space="preserve"> from the Major government, observing from outside government in later years</w:t>
      </w:r>
      <w:r w:rsidR="0068315C">
        <w:t>, put it:</w:t>
      </w:r>
    </w:p>
    <w:p w14:paraId="60BED6CF" w14:textId="77F0BABA" w:rsidR="0068315C" w:rsidRDefault="0068315C" w:rsidP="00DF650C">
      <w:pPr>
        <w:pStyle w:val="Newparagraph"/>
        <w:ind w:left="720"/>
      </w:pPr>
      <w:r>
        <w:t>“</w:t>
      </w:r>
      <w:r w:rsidR="007D18FB">
        <w:t xml:space="preserve">George Osborne </w:t>
      </w:r>
      <w:r w:rsidR="00DF650C">
        <w:t>rehabilitated infrastructure; he saw infrastructure for what it should be: a means of improving the social and economic health of the nation.”</w:t>
      </w:r>
    </w:p>
    <w:p w14:paraId="2213AF74" w14:textId="28C82192" w:rsidR="00DF650C" w:rsidRDefault="00DF650C" w:rsidP="00DF650C">
      <w:pPr>
        <w:pStyle w:val="Newparagraph"/>
      </w:pPr>
      <w:r>
        <w:t xml:space="preserve">A minister in the Coalition Government </w:t>
      </w:r>
      <w:r w:rsidR="00C42192">
        <w:t>explained the background to th</w:t>
      </w:r>
      <w:r w:rsidR="00954BD8">
        <w:t>e unexpected announcement made by H M Treasury</w:t>
      </w:r>
      <w:r w:rsidR="00C42192">
        <w:t xml:space="preserve"> </w:t>
      </w:r>
      <w:r w:rsidR="00954BD8">
        <w:fldChar w:fldCharType="begin"/>
      </w:r>
      <w:r w:rsidR="00954BD8">
        <w:instrText>ADDIN RW.CITE{{3938 HMTreasury 2011 /a}}</w:instrText>
      </w:r>
      <w:r w:rsidR="00954BD8">
        <w:fldChar w:fldCharType="separate"/>
      </w:r>
      <w:r w:rsidR="00954BD8" w:rsidRPr="00954BD8">
        <w:t>(2011)</w:t>
      </w:r>
      <w:r w:rsidR="00954BD8">
        <w:fldChar w:fldCharType="end"/>
      </w:r>
      <w:r>
        <w:t>:</w:t>
      </w:r>
    </w:p>
    <w:p w14:paraId="281B9323" w14:textId="475BB57E" w:rsidR="00C42192" w:rsidRDefault="00DF650C" w:rsidP="00C42192">
      <w:pPr>
        <w:pStyle w:val="Newparagraph"/>
        <w:ind w:left="720"/>
      </w:pPr>
      <w:r>
        <w:t>“</w:t>
      </w:r>
      <w:r w:rsidR="00C42192">
        <w:t xml:space="preserve">Osborne noticed that </w:t>
      </w:r>
      <w:r w:rsidR="00954BD8">
        <w:t>[the DfT’s assessment of major schemes submitted by local authorities]</w:t>
      </w:r>
      <w:r w:rsidR="00C42192">
        <w:t xml:space="preserve"> was all pro-rail and he decided, without any evidence but based on prejudice, to ‘rebalance it’ as he saw it.  He said to the DfT: give me all the road schemes you’ve got in any way worked up and funded the whole lot…  It was a personal decision… To be fair to him he had a good political brain; he could see the political sense of doing these things but it completely threw out of the window all the DfT’s careful cost benefit analysis.”</w:t>
      </w:r>
    </w:p>
    <w:p w14:paraId="4995CE4C" w14:textId="0474E6BE" w:rsidR="001C2EBF" w:rsidRDefault="00F55F68" w:rsidP="006170B2">
      <w:pPr>
        <w:pStyle w:val="Newparagraph"/>
      </w:pPr>
      <w:r>
        <w:t xml:space="preserve">The big increase in strategic road building was also announced by H M Treasury </w:t>
      </w:r>
      <w:r>
        <w:fldChar w:fldCharType="begin"/>
      </w:r>
      <w:r>
        <w:instrText>ADDIN RW.CITE{{3579 HMTreasury 2013 /a}}</w:instrText>
      </w:r>
      <w:r>
        <w:fldChar w:fldCharType="separate"/>
      </w:r>
      <w:r w:rsidR="00812C15" w:rsidRPr="00812C15">
        <w:t>(2013)</w:t>
      </w:r>
      <w:r>
        <w:fldChar w:fldCharType="end"/>
      </w:r>
      <w:r>
        <w:t xml:space="preserve"> rather </w:t>
      </w:r>
      <w:r w:rsidR="00550EF5">
        <w:t xml:space="preserve">than the DfT.  </w:t>
      </w:r>
      <w:r w:rsidR="006170B2">
        <w:t xml:space="preserve">Osborne’s early speeches in government emphasised the </w:t>
      </w:r>
      <w:r w:rsidR="007D18FB">
        <w:t>need to cut the budget deficit</w:t>
      </w:r>
      <w:r w:rsidR="006170B2">
        <w:t xml:space="preserve"> </w:t>
      </w:r>
      <w:r w:rsidR="006170B2">
        <w:fldChar w:fldCharType="begin"/>
      </w:r>
      <w:r w:rsidR="006170B2">
        <w:instrText>ADDIN RW.CITE{{2032 Osborne,George 2011}}</w:instrText>
      </w:r>
      <w:r w:rsidR="006170B2">
        <w:fldChar w:fldCharType="separate"/>
      </w:r>
      <w:r w:rsidR="00897909" w:rsidRPr="00897909">
        <w:t>(Osborne, 2011b)</w:t>
      </w:r>
      <w:r w:rsidR="006170B2">
        <w:fldChar w:fldCharType="end"/>
      </w:r>
      <w:r w:rsidR="006170B2">
        <w:t xml:space="preserve">; later speeches </w:t>
      </w:r>
      <w:r w:rsidR="00203928">
        <w:t>reiterated</w:t>
      </w:r>
      <w:r w:rsidR="006170B2">
        <w:t xml:space="preserve"> that view but also emphasised the benefits of public investment</w:t>
      </w:r>
      <w:r w:rsidR="007D18FB">
        <w:t>,</w:t>
      </w:r>
      <w:r w:rsidR="006170B2">
        <w:t xml:space="preserve"> including road building </w:t>
      </w:r>
      <w:r w:rsidR="006170B2">
        <w:fldChar w:fldCharType="begin"/>
      </w:r>
      <w:r w:rsidR="006170B2">
        <w:instrText>ADDIN RW.CITE{{3986 Osborne,George 2013}}</w:instrText>
      </w:r>
      <w:r w:rsidR="006170B2">
        <w:fldChar w:fldCharType="separate"/>
      </w:r>
      <w:r w:rsidR="00897909" w:rsidRPr="00897909">
        <w:t>(Osborne, 2013)</w:t>
      </w:r>
      <w:r w:rsidR="006170B2">
        <w:fldChar w:fldCharType="end"/>
      </w:r>
      <w:r w:rsidR="006170B2">
        <w:t xml:space="preserve">.  </w:t>
      </w:r>
    </w:p>
    <w:p w14:paraId="312DAB69" w14:textId="2DF7C88A" w:rsidR="001C2EBF" w:rsidRDefault="006170B2" w:rsidP="001C2EBF">
      <w:pPr>
        <w:pStyle w:val="Newparagraph"/>
      </w:pPr>
      <w:r>
        <w:t xml:space="preserve">Although </w:t>
      </w:r>
      <w:r w:rsidR="0001209B">
        <w:t>no one</w:t>
      </w:r>
      <w:r>
        <w:t xml:space="preserve"> doubted the sincerity of these beliefs, they did not emerge in a vacuum.  </w:t>
      </w:r>
      <w:r w:rsidR="00550EF5">
        <w:t>Osborne had no economic trainin</w:t>
      </w:r>
      <w:r w:rsidR="00E7736E">
        <w:t>g before becoming</w:t>
      </w:r>
      <w:r w:rsidR="009950F4">
        <w:t xml:space="preserve"> Chancellor </w:t>
      </w:r>
      <w:r w:rsidR="009950F4">
        <w:fldChar w:fldCharType="begin"/>
      </w:r>
      <w:r w:rsidR="009950F4">
        <w:instrText>ADDIN RW.CITE{{3987 Ganesh,Janan 2012}}</w:instrText>
      </w:r>
      <w:r w:rsidR="009950F4">
        <w:fldChar w:fldCharType="separate"/>
      </w:r>
      <w:r w:rsidR="00897909" w:rsidRPr="00897909">
        <w:t>(Ganesh, 2012)</w:t>
      </w:r>
      <w:r w:rsidR="009950F4">
        <w:fldChar w:fldCharType="end"/>
      </w:r>
      <w:r w:rsidR="009950F4">
        <w:t xml:space="preserve">.  </w:t>
      </w:r>
      <w:r w:rsidR="001C2EBF">
        <w:t xml:space="preserve">One civil servant explained how </w:t>
      </w:r>
      <w:r w:rsidR="00C63720">
        <w:t>the government’s</w:t>
      </w:r>
      <w:r w:rsidR="001C2EBF">
        <w:t xml:space="preserve"> attitudes to infrastructure investment changed rapidly between 2010 and 2011.  In 2010 Osborne and</w:t>
      </w:r>
      <w:r w:rsidR="00565A86">
        <w:t xml:space="preserve"> two of the</w:t>
      </w:r>
      <w:r w:rsidR="001C2EBF">
        <w:t xml:space="preserve"> </w:t>
      </w:r>
      <w:r w:rsidR="00565A86">
        <w:t xml:space="preserve">four </w:t>
      </w:r>
      <w:r w:rsidR="001C2EBF">
        <w:t>transport minister</w:t>
      </w:r>
      <w:r w:rsidR="00565A86">
        <w:t>s</w:t>
      </w:r>
      <w:r w:rsidR="001C2EBF">
        <w:t xml:space="preserve"> both wanted to make a “</w:t>
      </w:r>
      <w:r w:rsidR="00565A86">
        <w:t xml:space="preserve">very </w:t>
      </w:r>
      <w:r w:rsidR="00E7736E">
        <w:t>public display of hair shirt</w:t>
      </w:r>
      <w:r w:rsidR="001C2EBF">
        <w:t xml:space="preserve">” </w:t>
      </w:r>
      <w:r w:rsidR="00E7736E">
        <w:t xml:space="preserve">on public spending. </w:t>
      </w:r>
      <w:r w:rsidR="001C2EBF">
        <w:t xml:space="preserve"> To reinforce</w:t>
      </w:r>
      <w:r w:rsidR="00565A86">
        <w:t xml:space="preserve"> the point one minister </w:t>
      </w:r>
      <w:r w:rsidR="004F6B53">
        <w:t>said to a civil servant</w:t>
      </w:r>
      <w:r w:rsidR="00565A86">
        <w:t>: “you need to understand that we are not postponing these schemes we are cancelling them.</w:t>
      </w:r>
      <w:r w:rsidR="00E7736E">
        <w:t>”</w:t>
      </w:r>
    </w:p>
    <w:p w14:paraId="430EC687" w14:textId="1C37F423" w:rsidR="00C42192" w:rsidRDefault="00565A86" w:rsidP="006170B2">
      <w:pPr>
        <w:pStyle w:val="Newparagraph"/>
      </w:pPr>
      <w:r>
        <w:t xml:space="preserve">However, </w:t>
      </w:r>
      <w:r w:rsidR="0001618B">
        <w:t>the civil servant continued</w:t>
      </w:r>
      <w:r w:rsidR="009950F4">
        <w:t>:</w:t>
      </w:r>
    </w:p>
    <w:p w14:paraId="6F678197" w14:textId="210D1D84" w:rsidR="009950F4" w:rsidRDefault="009950F4" w:rsidP="00FE4CB6">
      <w:pPr>
        <w:pStyle w:val="Newparagraph"/>
        <w:ind w:left="720"/>
      </w:pPr>
      <w:r>
        <w:t>“</w:t>
      </w:r>
      <w:r w:rsidR="00B96A56">
        <w:t xml:space="preserve">Between 2011 and 2013 there was a growing </w:t>
      </w:r>
      <w:r w:rsidR="00FE4CB6">
        <w:t xml:space="preserve">swell of opinion </w:t>
      </w:r>
      <w:r w:rsidR="00565A86">
        <w:t xml:space="preserve">[particularly in business organisations] </w:t>
      </w:r>
      <w:r w:rsidR="00FE4CB6">
        <w:t xml:space="preserve">that said: yes government needs to rein back public spending, as any business would, but businesses need to invest.  Investment in infrastructure is good because it enables business to operate efficiently; infrastructure is roads and bridges, railways and tunnels. </w:t>
      </w:r>
      <w:r w:rsidR="0001618B">
        <w:t>George Osborne listened.</w:t>
      </w:r>
      <w:r w:rsidR="00FE4CB6">
        <w:t>”</w:t>
      </w:r>
    </w:p>
    <w:p w14:paraId="13C36311" w14:textId="77777777" w:rsidR="00992144" w:rsidRDefault="00FE4CB6" w:rsidP="00FF4142">
      <w:pPr>
        <w:pStyle w:val="Newparagraph"/>
      </w:pPr>
      <w:r>
        <w:t xml:space="preserve">Lobbying from the business community </w:t>
      </w:r>
      <w:r w:rsidR="00E7736E">
        <w:t xml:space="preserve">for road building </w:t>
      </w:r>
      <w:r>
        <w:t>was not new</w:t>
      </w:r>
      <w:r w:rsidR="00F40B88">
        <w:t xml:space="preserve"> </w:t>
      </w:r>
      <w:r>
        <w:t>bu</w:t>
      </w:r>
      <w:r w:rsidR="001575AD">
        <w:t xml:space="preserve">t following the global </w:t>
      </w:r>
      <w:r w:rsidR="007D18FB">
        <w:t>recession</w:t>
      </w:r>
      <w:r w:rsidR="001575AD">
        <w:t xml:space="preserve"> the ideological context</w:t>
      </w:r>
      <w:r w:rsidR="00FF4142">
        <w:t xml:space="preserve">, </w:t>
      </w:r>
      <w:r w:rsidR="00203928">
        <w:t>with</w:t>
      </w:r>
      <w:r w:rsidR="00FF4142">
        <w:t>in the Treasury and internationally,</w:t>
      </w:r>
      <w:r w:rsidR="001575AD">
        <w:t xml:space="preserve"> was </w:t>
      </w:r>
      <w:r w:rsidR="00FF4142">
        <w:t xml:space="preserve">now </w:t>
      </w:r>
      <w:r w:rsidR="001575AD">
        <w:t xml:space="preserve">more receptive to such arguments.   </w:t>
      </w:r>
      <w:r w:rsidR="00FB5526">
        <w:t>A</w:t>
      </w:r>
      <w:r w:rsidR="00565A86">
        <w:t>nother</w:t>
      </w:r>
      <w:r w:rsidR="00FB5526">
        <w:t xml:space="preserve"> civil servant said</w:t>
      </w:r>
      <w:r w:rsidR="00E7736E">
        <w:t>:</w:t>
      </w:r>
      <w:r w:rsidR="00FB5526">
        <w:t xml:space="preserve"> “t</w:t>
      </w:r>
      <w:r w:rsidR="008D6B9F">
        <w:t xml:space="preserve">he Treasury were totally sold on the economic role of transport spend,” comparing their </w:t>
      </w:r>
      <w:r w:rsidR="008D6B9F" w:rsidRPr="00E7736E">
        <w:rPr>
          <w:i/>
        </w:rPr>
        <w:t>volte face</w:t>
      </w:r>
      <w:r w:rsidR="008D6B9F">
        <w:t xml:space="preserve"> to a religious conversion, with Osborne as the evangelist.</w:t>
      </w:r>
      <w:r w:rsidR="00A730E2">
        <w:t xml:space="preserve">  </w:t>
      </w:r>
    </w:p>
    <w:p w14:paraId="486E3914" w14:textId="26F157D6" w:rsidR="00E955D9" w:rsidRDefault="001575AD" w:rsidP="00FF4142">
      <w:pPr>
        <w:pStyle w:val="Newparagraph"/>
      </w:pPr>
      <w:r>
        <w:t>Clift</w:t>
      </w:r>
      <w:r w:rsidR="004A7AC9">
        <w:t>’s</w:t>
      </w:r>
      <w:r>
        <w:t xml:space="preserve"> </w:t>
      </w:r>
      <w:r>
        <w:fldChar w:fldCharType="begin"/>
      </w:r>
      <w:r>
        <w:instrText>ADDIN RW.CITE{{3980 Clift,Ben 2018 /a}}</w:instrText>
      </w:r>
      <w:r>
        <w:fldChar w:fldCharType="separate"/>
      </w:r>
      <w:r w:rsidRPr="001575AD">
        <w:t>(2018)</w:t>
      </w:r>
      <w:r>
        <w:fldChar w:fldCharType="end"/>
      </w:r>
      <w:r>
        <w:t xml:space="preserve"> </w:t>
      </w:r>
      <w:r w:rsidR="004A7AC9">
        <w:t>study of the IMF offers an insight into the deeper mechanisms at work.  The</w:t>
      </w:r>
      <w:r w:rsidR="00986131">
        <w:t xml:space="preserve"> global financial crisis caused a shift in </w:t>
      </w:r>
      <w:r w:rsidR="004A7AC9">
        <w:t>thinking within the IMF</w:t>
      </w:r>
      <w:r w:rsidR="00F40B88">
        <w:t xml:space="preserve"> and opened</w:t>
      </w:r>
      <w:r w:rsidR="004A7AC9">
        <w:t>,</w:t>
      </w:r>
      <w:r w:rsidR="00F40B88">
        <w:t xml:space="preserve"> </w:t>
      </w:r>
      <w:r w:rsidR="004A7AC9">
        <w:t xml:space="preserve">or widened, </w:t>
      </w:r>
      <w:r w:rsidR="00F40B88">
        <w:t>a</w:t>
      </w:r>
      <w:r w:rsidR="00FF4142">
        <w:t>n ideological</w:t>
      </w:r>
      <w:r w:rsidR="00F40B88">
        <w:t xml:space="preserve"> gap between applied economists </w:t>
      </w:r>
      <w:r w:rsidR="00FF4142">
        <w:t>and mainstream</w:t>
      </w:r>
      <w:r w:rsidR="00F40B88">
        <w:t xml:space="preserve"> academic economists</w:t>
      </w:r>
      <w:r w:rsidR="008D6B9F">
        <w:t xml:space="preserve">, also noted by </w:t>
      </w:r>
      <w:r w:rsidR="00E955D9">
        <w:t xml:space="preserve">Keen </w:t>
      </w:r>
      <w:r w:rsidR="00E955D9">
        <w:fldChar w:fldCharType="begin"/>
      </w:r>
      <w:r w:rsidR="00E955D9">
        <w:instrText>ADDIN RW.CITE{{3686 Keen,Steve 2011 /a}}</w:instrText>
      </w:r>
      <w:r w:rsidR="00E955D9">
        <w:fldChar w:fldCharType="separate"/>
      </w:r>
      <w:r w:rsidR="00E955D9" w:rsidRPr="00E955D9">
        <w:rPr>
          <w:bCs/>
          <w:lang w:val="en-US"/>
        </w:rPr>
        <w:t>(2011)</w:t>
      </w:r>
      <w:r w:rsidR="00E955D9">
        <w:fldChar w:fldCharType="end"/>
      </w:r>
      <w:r w:rsidR="00F40B88">
        <w:t>.</w:t>
      </w:r>
      <w:r w:rsidR="00986131">
        <w:t xml:space="preserve">  The ‘expansionary fiscal contraction’ hypothesis (</w:t>
      </w:r>
      <w:r w:rsidR="00FF4142">
        <w:t>the belief that</w:t>
      </w:r>
      <w:r w:rsidR="00986131">
        <w:t xml:space="preserve"> cutting deficits </w:t>
      </w:r>
      <w:r w:rsidR="00FF4142">
        <w:t>can boost economic growth</w:t>
      </w:r>
      <w:r w:rsidR="00986131">
        <w:t xml:space="preserve">) lost ground to an eclectically neo-Keynsian view, which favoured more active fiscal policy </w:t>
      </w:r>
      <w:r w:rsidR="00203928">
        <w:t>and</w:t>
      </w:r>
      <w:r w:rsidR="00986131">
        <w:t xml:space="preserve"> public infrastructure investment.  B</w:t>
      </w:r>
      <w:r>
        <w:t>etween 2011 and 2013 the IMF tried to persuade the UK government to relax its fiscal stance and invest more in public infrastructure.</w:t>
      </w:r>
      <w:r w:rsidR="00AF0F44">
        <w:t xml:space="preserve">  Although the government maintained its public com</w:t>
      </w:r>
      <w:r w:rsidR="00FF4142">
        <w:t>mitment to fiscal rectitude their response to the IMF emphasised their</w:t>
      </w:r>
      <w:r w:rsidR="00AF0F44">
        <w:t xml:space="preserve"> search for “shovel ready” infrastructure projects, including roads.</w:t>
      </w:r>
      <w:r w:rsidR="00FF4142">
        <w:t xml:space="preserve"> </w:t>
      </w:r>
      <w:r w:rsidR="004A7AC9">
        <w:t xml:space="preserve"> </w:t>
      </w:r>
      <w:r w:rsidR="00E955D9">
        <w:t>Osborne clearly paid attention to the IMF’s advi</w:t>
      </w:r>
      <w:r w:rsidR="00FB5526">
        <w:t xml:space="preserve">ce, referring to it in several of </w:t>
      </w:r>
      <w:r w:rsidR="00E955D9">
        <w:t xml:space="preserve">his speeches </w:t>
      </w:r>
      <w:r w:rsidR="00E955D9">
        <w:fldChar w:fldCharType="begin"/>
      </w:r>
      <w:r w:rsidR="00E955D9">
        <w:instrText>ADDIN RW.CITE{{3988 Osborne,George 2011 /pe.g. ; 3986 Osborne,George 2013 /a}}</w:instrText>
      </w:r>
      <w:r w:rsidR="00E955D9">
        <w:fldChar w:fldCharType="separate"/>
      </w:r>
      <w:r w:rsidR="00897909" w:rsidRPr="00897909">
        <w:rPr>
          <w:bCs/>
          <w:lang w:val="en-US"/>
        </w:rPr>
        <w:t>(e.g. Osborne, 2011a, 2013)</w:t>
      </w:r>
      <w:r w:rsidR="00E955D9">
        <w:fldChar w:fldCharType="end"/>
      </w:r>
      <w:r w:rsidR="00E955D9">
        <w:t xml:space="preserve"> but </w:t>
      </w:r>
      <w:r w:rsidR="00FB5526">
        <w:t>its</w:t>
      </w:r>
      <w:r w:rsidR="00E955D9">
        <w:t xml:space="preserve"> main significance here is as an indicator of </w:t>
      </w:r>
      <w:r w:rsidR="00A730E2">
        <w:t xml:space="preserve">changing </w:t>
      </w:r>
      <w:r w:rsidR="00E955D9">
        <w:t>i</w:t>
      </w:r>
      <w:r w:rsidR="000D4B76">
        <w:t>nternational economic orthodoxy.</w:t>
      </w:r>
    </w:p>
    <w:p w14:paraId="47BD2DD6" w14:textId="3ED5FD1F" w:rsidR="005A45B3" w:rsidRDefault="0068315C" w:rsidP="00BF4F9D">
      <w:pPr>
        <w:pStyle w:val="Heading3"/>
      </w:pPr>
      <w:r>
        <w:t>Rational Response</w:t>
      </w:r>
    </w:p>
    <w:p w14:paraId="2F980303" w14:textId="05893556" w:rsidR="00DE1ACF" w:rsidRPr="00DE1ACF" w:rsidRDefault="001C61C6" w:rsidP="00513D25">
      <w:pPr>
        <w:pStyle w:val="Paragraph"/>
      </w:pPr>
      <w:r>
        <w:t xml:space="preserve"> </w:t>
      </w:r>
      <w:r w:rsidR="000D608D" w:rsidRPr="000D608D">
        <w:t xml:space="preserve">This section will follow the same logic as Subsection 4.2.1 and pathways in </w:t>
      </w:r>
      <w:r w:rsidR="000D608D">
        <w:fldChar w:fldCharType="begin"/>
      </w:r>
      <w:r w:rsidR="000D608D">
        <w:instrText xml:space="preserve"> REF _Ref529973763 \h </w:instrText>
      </w:r>
      <w:r w:rsidR="000D608D">
        <w:fldChar w:fldCharType="separate"/>
      </w:r>
      <w:r w:rsidR="0027625B">
        <w:t xml:space="preserve">Figure </w:t>
      </w:r>
      <w:r w:rsidR="0027625B">
        <w:rPr>
          <w:noProof/>
        </w:rPr>
        <w:t>5</w:t>
      </w:r>
      <w:r w:rsidR="000D608D">
        <w:fldChar w:fldCharType="end"/>
      </w:r>
      <w:r w:rsidR="000D608D">
        <w:t xml:space="preserve"> </w:t>
      </w:r>
      <w:r w:rsidR="00B64941">
        <w:t>to explain the decision to increase road building after 2010.</w:t>
      </w:r>
      <w:r w:rsidR="006F614E">
        <w:t xml:space="preserve">  </w:t>
      </w:r>
      <w:r w:rsidR="00DE1ACF">
        <w:t xml:space="preserve">The arrows pointing to and from the general public illustrate their </w:t>
      </w:r>
      <w:r w:rsidR="00992144">
        <w:t>travel decisions, which influenced the transport social structure, and were influenced by it.  The arrows t</w:t>
      </w:r>
      <w:r w:rsidR="00DE1ACF">
        <w:t>o and from the analysts illust</w:t>
      </w:r>
      <w:r w:rsidR="00513D25">
        <w:t>rate the rational responses which they proposed to decision makers.</w:t>
      </w:r>
    </w:p>
    <w:p w14:paraId="78DBD469" w14:textId="15E47BA2" w:rsidR="00F03D8C" w:rsidRDefault="006F614E" w:rsidP="000D608D">
      <w:pPr>
        <w:pStyle w:val="Paragraph"/>
      </w:pPr>
      <w:r>
        <w:t xml:space="preserve">As in the 1990s environmental </w:t>
      </w:r>
      <w:r w:rsidR="0001618B">
        <w:t>concerns</w:t>
      </w:r>
      <w:r>
        <w:t xml:space="preserve"> </w:t>
      </w:r>
      <w:r w:rsidR="00F17B37">
        <w:t xml:space="preserve">did not exert </w:t>
      </w:r>
      <w:r w:rsidR="001C61C6">
        <w:t>much influence on that decision</w:t>
      </w:r>
      <w:r w:rsidR="00A64761">
        <w:t xml:space="preserve">.  Although awareness of climate change had increased and was influencing some other areas of government policy, </w:t>
      </w:r>
      <w:r w:rsidR="001C61C6">
        <w:t>improvements in vehicle technology and appraisal mechanisms (with carbon pricing in the DfT’s</w:t>
      </w:r>
      <w:r w:rsidR="00F17B37">
        <w:t xml:space="preserve"> </w:t>
      </w:r>
      <w:r w:rsidR="001C61C6">
        <w:t>WebTAG system) were expected to address those</w:t>
      </w:r>
      <w:r w:rsidR="00A64761">
        <w:t xml:space="preserve"> concerns as they applied to road building</w:t>
      </w:r>
      <w:r w:rsidR="001C61C6">
        <w:t xml:space="preserve">.  </w:t>
      </w:r>
      <w:r w:rsidR="00F03D8C">
        <w:t>On</w:t>
      </w:r>
      <w:r w:rsidR="001C2EBF">
        <w:t>e civil servant said these meant that it became:</w:t>
      </w:r>
    </w:p>
    <w:p w14:paraId="3C762E8F" w14:textId="77777777" w:rsidR="001C2EBF" w:rsidRDefault="001C2EBF" w:rsidP="001C2EBF">
      <w:pPr>
        <w:pStyle w:val="Newparagraph"/>
        <w:ind w:left="720"/>
      </w:pPr>
      <w:r>
        <w:t>“possible in polite society to talk about road capacity expansion in a way that just wasn’t possible” before.</w:t>
      </w:r>
    </w:p>
    <w:p w14:paraId="5D5F6549" w14:textId="21C5CDD5" w:rsidR="002F53EC" w:rsidRDefault="001C61C6" w:rsidP="001C2EBF">
      <w:pPr>
        <w:pStyle w:val="Newparagraph"/>
      </w:pPr>
      <w:r>
        <w:t>Two</w:t>
      </w:r>
      <w:r w:rsidR="00E813AE">
        <w:t xml:space="preserve"> minister</w:t>
      </w:r>
      <w:r>
        <w:t>s</w:t>
      </w:r>
      <w:r w:rsidR="00E813AE">
        <w:t xml:space="preserve"> </w:t>
      </w:r>
      <w:r w:rsidR="00D14A87">
        <w:t xml:space="preserve">also </w:t>
      </w:r>
      <w:r w:rsidR="00E813AE">
        <w:t xml:space="preserve">mentioned the hostility of George Osborne to environmental arguments that he perceived to be conflicting with </w:t>
      </w:r>
      <w:r>
        <w:t>economic objectives</w:t>
      </w:r>
      <w:r w:rsidR="00E813AE">
        <w:t>.</w:t>
      </w:r>
    </w:p>
    <w:p w14:paraId="550B61ED" w14:textId="1043A488" w:rsidR="00C9306A" w:rsidRDefault="00C9306A" w:rsidP="00C9306A">
      <w:pPr>
        <w:pStyle w:val="Newparagraph"/>
      </w:pPr>
      <w:r>
        <w:t xml:space="preserve">The logic of the New Realism required demand management to constrain traffic growth.  Goodwin </w:t>
      </w:r>
      <w:r w:rsidRPr="00C9306A">
        <w:rPr>
          <w:i/>
        </w:rPr>
        <w:t>et al.</w:t>
      </w:r>
      <w:r>
        <w:t xml:space="preserve"> </w:t>
      </w:r>
      <w:r>
        <w:fldChar w:fldCharType="begin"/>
      </w:r>
      <w:r>
        <w:instrText>ADDIN RW.CITE{{2019 Goodwin,Phil 1991 /a}}</w:instrText>
      </w:r>
      <w:r>
        <w:fldChar w:fldCharType="separate"/>
      </w:r>
      <w:r w:rsidRPr="00C9306A">
        <w:rPr>
          <w:bCs/>
          <w:lang w:val="en-US"/>
        </w:rPr>
        <w:t>(1991)</w:t>
      </w:r>
      <w:r>
        <w:fldChar w:fldCharType="end"/>
      </w:r>
      <w:r>
        <w:t xml:space="preserve"> set out several methods but suggested that without road pricing pressure on road space would continue to build</w:t>
      </w:r>
      <w:r w:rsidR="00CB132A">
        <w:t>.  The implications of that</w:t>
      </w:r>
      <w:r w:rsidR="00663F96">
        <w:t xml:space="preserve"> conclusion </w:t>
      </w:r>
      <w:r w:rsidR="00CB132A">
        <w:t xml:space="preserve">were </w:t>
      </w:r>
      <w:r w:rsidR="00663F96">
        <w:t xml:space="preserve">embraced by </w:t>
      </w:r>
      <w:r w:rsidR="00D8577A">
        <w:t xml:space="preserve">John Prescott, the minister for transport and the environment </w:t>
      </w:r>
      <w:r w:rsidR="00CB132A">
        <w:t xml:space="preserve">in DETR </w:t>
      </w:r>
      <w:r w:rsidR="00CB132A">
        <w:fldChar w:fldCharType="begin"/>
      </w:r>
      <w:r w:rsidR="00CB132A">
        <w:instrText>ADDIN RW.CITE{{17 DETR 1998 /a}}</w:instrText>
      </w:r>
      <w:r w:rsidR="00CB132A">
        <w:fldChar w:fldCharType="separate"/>
      </w:r>
      <w:r w:rsidR="00CB132A" w:rsidRPr="00CB132A">
        <w:rPr>
          <w:bCs/>
          <w:lang w:val="en-US"/>
        </w:rPr>
        <w:t>(1998)</w:t>
      </w:r>
      <w:r w:rsidR="00CB132A">
        <w:fldChar w:fldCharType="end"/>
      </w:r>
      <w:r w:rsidR="00D8577A">
        <w:t xml:space="preserve"> but as one civil servant observed “there was no real buy-in” from the Prime Minister, Chancellor or cabinet colleagues</w:t>
      </w:r>
      <w:r w:rsidR="00130A85">
        <w:t>.  An advisor added that there was also resistance amongst DfT civil servants who had “built their careers around roads”</w:t>
      </w:r>
      <w:r w:rsidR="00D8577A">
        <w:t>.</w:t>
      </w:r>
      <w:r w:rsidR="0097035D">
        <w:t xml:space="preserve">  Following substantial ‘no’ votes in referenda in Edinburgh and Manchester, urban congestion charging was not pursued </w:t>
      </w:r>
      <w:r w:rsidR="00D8577A">
        <w:t>outside London.  Following a</w:t>
      </w:r>
      <w:r w:rsidR="0097035D">
        <w:t xml:space="preserve">n online petition signed by </w:t>
      </w:r>
      <w:r w:rsidR="00D8577A">
        <w:t>1.8 million people in 2007 the Labour government abandoned its preparatory work on national road pricing.</w:t>
      </w:r>
      <w:r w:rsidR="00AC345B">
        <w:t xml:space="preserve">  Following the crisis </w:t>
      </w:r>
      <w:r w:rsidR="004F6B53">
        <w:t>created by</w:t>
      </w:r>
      <w:r w:rsidR="00AC345B">
        <w:t xml:space="preserve"> the fuel tax protests, this petition made a deep impression on the perceptions of minister</w:t>
      </w:r>
      <w:r w:rsidR="004F6B53">
        <w:t xml:space="preserve">s, advisors, </w:t>
      </w:r>
      <w:r w:rsidR="00AC345B">
        <w:t xml:space="preserve">civil servants </w:t>
      </w:r>
      <w:r w:rsidR="004F6B53">
        <w:t>and local government leaders about the political price of using financial instruments to restrain car use</w:t>
      </w:r>
      <w:r w:rsidR="00AC345B">
        <w:t>.</w:t>
      </w:r>
    </w:p>
    <w:p w14:paraId="234DA0EE" w14:textId="75AFF8FD" w:rsidR="0046702D" w:rsidRDefault="00CB132A" w:rsidP="00C9306A">
      <w:pPr>
        <w:pStyle w:val="Newparagraph"/>
      </w:pPr>
      <w:r>
        <w:t xml:space="preserve">Several of the civil servants and advisors explained how Labour’s attempts at demand management were perceived to have failed.  </w:t>
      </w:r>
      <w:r w:rsidR="0046702D">
        <w:t>One advisor during the Labour years expressed a view that:</w:t>
      </w:r>
    </w:p>
    <w:p w14:paraId="146066CC" w14:textId="71157C2D" w:rsidR="0046702D" w:rsidRDefault="0046702D" w:rsidP="0046702D">
      <w:pPr>
        <w:pStyle w:val="Newparagraph"/>
        <w:ind w:left="720"/>
      </w:pPr>
      <w:r>
        <w:t>“The demand managers were a long distance from where your average transport user was… talking about integrated transport didn’t get much political attention.  The integrated strategy was aimed more at interest groups.”</w:t>
      </w:r>
    </w:p>
    <w:p w14:paraId="13683C1C" w14:textId="742396E3" w:rsidR="002B377C" w:rsidRDefault="00A153F4" w:rsidP="00C9306A">
      <w:pPr>
        <w:pStyle w:val="Newparagraph"/>
      </w:pPr>
      <w:r>
        <w:t>The Multi-modal Studies were m</w:t>
      </w:r>
      <w:r w:rsidR="00130A85">
        <w:t>entioned several times</w:t>
      </w:r>
      <w:r w:rsidR="005971D3">
        <w:t>, always negatively</w:t>
      </w:r>
      <w:r w:rsidR="00AC345B">
        <w:t>.</w:t>
      </w:r>
      <w:r w:rsidR="00862CB7">
        <w:t xml:space="preserve"> </w:t>
      </w:r>
      <w:r w:rsidR="00AC345B">
        <w:t>One civil servant pointed out that whereas the strategic road proposals could proceed straight to a programme, the public transport schemes had to go through further levels of approval</w:t>
      </w:r>
      <w:r w:rsidR="005971D3">
        <w:t>, which made those recommendations less likely to achieve implementation</w:t>
      </w:r>
      <w:r w:rsidR="00AC345B">
        <w:t>.  However,</w:t>
      </w:r>
      <w:r w:rsidR="00862CB7">
        <w:t xml:space="preserve"> the </w:t>
      </w:r>
      <w:r w:rsidR="00123660">
        <w:t>inferences</w:t>
      </w:r>
      <w:r w:rsidR="00862CB7">
        <w:t xml:space="preserve"> </w:t>
      </w:r>
      <w:r w:rsidR="00AC345B">
        <w:t xml:space="preserve">drawn by most interviewees </w:t>
      </w:r>
      <w:r w:rsidR="00862CB7">
        <w:t xml:space="preserve">differed from Shaw </w:t>
      </w:r>
      <w:r w:rsidR="00862CB7" w:rsidRPr="00862CB7">
        <w:rPr>
          <w:i/>
        </w:rPr>
        <w:t>et al.</w:t>
      </w:r>
      <w:r w:rsidR="00123660" w:rsidRPr="00123660">
        <w:t>’s</w:t>
      </w:r>
      <w:r w:rsidR="00862CB7">
        <w:t xml:space="preserve"> </w:t>
      </w:r>
      <w:r w:rsidR="00862CB7">
        <w:fldChar w:fldCharType="begin"/>
      </w:r>
      <w:r w:rsidR="00123660">
        <w:instrText>ADDIN RW.CITE{{3956 Shaw,Jon 2006 /a/f }}</w:instrText>
      </w:r>
      <w:r w:rsidR="00862CB7">
        <w:fldChar w:fldCharType="separate"/>
      </w:r>
      <w:r w:rsidR="00123660" w:rsidRPr="00123660">
        <w:t>(2006)</w:t>
      </w:r>
      <w:r w:rsidR="00862CB7">
        <w:fldChar w:fldCharType="end"/>
      </w:r>
      <w:r w:rsidR="00123660">
        <w:t xml:space="preserve"> findings about ministerial interference</w:t>
      </w:r>
      <w:r w:rsidR="00862CB7">
        <w:t>.</w:t>
      </w:r>
      <w:r w:rsidR="00130A85">
        <w:t xml:space="preserve"> </w:t>
      </w:r>
      <w:r w:rsidR="00862CB7">
        <w:t xml:space="preserve"> The studies were </w:t>
      </w:r>
      <w:r w:rsidR="00130A85">
        <w:t>viewed</w:t>
      </w:r>
      <w:r w:rsidR="00862CB7">
        <w:t xml:space="preserve"> as misconceived, offering no realistic alternative</w:t>
      </w:r>
      <w:r w:rsidR="00130A85">
        <w:t xml:space="preserve"> to road capacity expansion.  </w:t>
      </w:r>
      <w:r w:rsidR="002B377C">
        <w:t xml:space="preserve">As traffic volumes continued to rise (albeit more slowly) and were forecast to rise more rapidly as the economy recovered, expanding road capacity was increasingly viewed as the only realistic option. </w:t>
      </w:r>
      <w:r w:rsidR="00885638">
        <w:t xml:space="preserve"> O</w:t>
      </w:r>
      <w:r w:rsidR="002B377C">
        <w:t xml:space="preserve">ne civil servant </w:t>
      </w:r>
      <w:r w:rsidR="00885638">
        <w:t>described the prevailing “mindset” as</w:t>
      </w:r>
      <w:r w:rsidR="002B377C">
        <w:t>:</w:t>
      </w:r>
    </w:p>
    <w:p w14:paraId="00C10B8D" w14:textId="077A759D" w:rsidR="002B377C" w:rsidRDefault="002B377C" w:rsidP="00885638">
      <w:pPr>
        <w:pStyle w:val="Newparagraph"/>
        <w:ind w:left="720"/>
      </w:pPr>
      <w:r>
        <w:t xml:space="preserve">“We might not be able to build our way out of [congestion] entirely but we </w:t>
      </w:r>
      <w:r w:rsidR="00885638" w:rsidRPr="00123660">
        <w:rPr>
          <w:i/>
        </w:rPr>
        <w:t>can</w:t>
      </w:r>
      <w:r w:rsidR="00885638">
        <w:t xml:space="preserve"> do </w:t>
      </w:r>
      <w:r w:rsidR="00885638" w:rsidRPr="00123660">
        <w:rPr>
          <w:i/>
        </w:rPr>
        <w:t>something</w:t>
      </w:r>
      <w:r w:rsidR="00885638">
        <w:t xml:space="preserve"> about it – surely.” </w:t>
      </w:r>
    </w:p>
    <w:p w14:paraId="6B1F228D" w14:textId="11A6499B" w:rsidR="005F6F29" w:rsidRDefault="001E5B3D" w:rsidP="00C9306A">
      <w:pPr>
        <w:pStyle w:val="Newparagraph"/>
      </w:pPr>
      <w:r>
        <w:t>An adviso</w:t>
      </w:r>
      <w:r w:rsidR="00885638">
        <w:t xml:space="preserve">r explained that the aggregate volume increases (illustrated in </w:t>
      </w:r>
      <w:r w:rsidR="00885638">
        <w:fldChar w:fldCharType="begin"/>
      </w:r>
      <w:r w:rsidR="00885638">
        <w:instrText xml:space="preserve"> REF _Ref526849503 \h </w:instrText>
      </w:r>
      <w:r w:rsidR="00885638">
        <w:fldChar w:fldCharType="separate"/>
      </w:r>
      <w:r w:rsidR="0027625B">
        <w:t xml:space="preserve">Figure </w:t>
      </w:r>
      <w:r w:rsidR="0027625B">
        <w:rPr>
          <w:noProof/>
        </w:rPr>
        <w:t>1</w:t>
      </w:r>
      <w:r w:rsidR="00885638">
        <w:fldChar w:fldCharType="end"/>
      </w:r>
      <w:r w:rsidR="00885638">
        <w:t xml:space="preserve">) disguised </w:t>
      </w:r>
      <w:r>
        <w:t>rapid increases on inter-urban roads, particularly motorways</w:t>
      </w:r>
      <w:r w:rsidR="001C61C6">
        <w:t>,</w:t>
      </w:r>
      <w:r>
        <w:t xml:space="preserve"> partly offset by declines in some urban areas, so </w:t>
      </w:r>
      <w:r w:rsidR="00EB203D">
        <w:t>there became “a clearer distinction between the right policy for urban and inter</w:t>
      </w:r>
      <w:r w:rsidR="00EC2FC0">
        <w:t>-</w:t>
      </w:r>
      <w:r w:rsidR="00EB203D">
        <w:t>urban roads.”  Multi-modalism continued to make sense within urban areas, while inter</w:t>
      </w:r>
      <w:r w:rsidR="00EC2FC0">
        <w:t>-</w:t>
      </w:r>
      <w:r w:rsidR="00EB203D">
        <w:t xml:space="preserve">urban road capacity would be expanded. </w:t>
      </w:r>
    </w:p>
    <w:p w14:paraId="4A43DFC6" w14:textId="0897C389" w:rsidR="00102369" w:rsidRPr="00102369" w:rsidRDefault="005F6F29" w:rsidP="00102369">
      <w:pPr>
        <w:pStyle w:val="Newparagraph"/>
      </w:pPr>
      <w:r>
        <w:fldChar w:fldCharType="begin"/>
      </w:r>
      <w:r>
        <w:instrText xml:space="preserve"> REF _Ref527123514 \h </w:instrText>
      </w:r>
      <w:r>
        <w:fldChar w:fldCharType="separate"/>
      </w:r>
      <w:r w:rsidR="0027625B">
        <w:t xml:space="preserve">Figure </w:t>
      </w:r>
      <w:r w:rsidR="0027625B">
        <w:rPr>
          <w:noProof/>
        </w:rPr>
        <w:t>2</w:t>
      </w:r>
      <w:r>
        <w:fldChar w:fldCharType="end"/>
      </w:r>
      <w:r>
        <w:t xml:space="preserve"> graphically illustrates the official view of the growing pressure on road space.  Like </w:t>
      </w:r>
      <w:r w:rsidR="00E346E8">
        <w:t>their</w:t>
      </w:r>
      <w:r>
        <w:t xml:space="preserve"> predecessors </w:t>
      </w:r>
      <w:r w:rsidR="00183AF6">
        <w:fldChar w:fldCharType="begin"/>
      </w:r>
      <w:r w:rsidR="00183AF6">
        <w:instrText>ADDIN RW.CITE{{3936 DTp 1989; 3937 DTp 1990 /a}}</w:instrText>
      </w:r>
      <w:r w:rsidR="00183AF6">
        <w:fldChar w:fldCharType="separate"/>
      </w:r>
      <w:r w:rsidR="00897909" w:rsidRPr="00897909">
        <w:rPr>
          <w:bCs/>
          <w:lang w:val="en-US"/>
        </w:rPr>
        <w:t>(DTp, 1989, 1990)</w:t>
      </w:r>
      <w:r w:rsidR="00183AF6">
        <w:fldChar w:fldCharType="end"/>
      </w:r>
      <w:r w:rsidR="00183AF6">
        <w:t xml:space="preserve"> H M Treasury </w:t>
      </w:r>
      <w:r w:rsidR="00183AF6">
        <w:fldChar w:fldCharType="begin"/>
      </w:r>
      <w:r w:rsidR="00183AF6">
        <w:instrText>ADDIN RW.CITE{{3579 HMTreasury 2013 /a}}</w:instrText>
      </w:r>
      <w:r w:rsidR="00183AF6">
        <w:fldChar w:fldCharType="separate"/>
      </w:r>
      <w:r w:rsidR="00812C15" w:rsidRPr="00812C15">
        <w:rPr>
          <w:bCs/>
          <w:lang w:val="en-US"/>
        </w:rPr>
        <w:t>(2013)</w:t>
      </w:r>
      <w:r w:rsidR="00183AF6">
        <w:fldChar w:fldCharType="end"/>
      </w:r>
      <w:r w:rsidR="00183AF6">
        <w:t xml:space="preserve"> </w:t>
      </w:r>
      <w:r w:rsidR="00E346E8">
        <w:t xml:space="preserve">and DfT </w:t>
      </w:r>
      <w:r w:rsidR="00E346E8">
        <w:fldChar w:fldCharType="begin"/>
      </w:r>
      <w:r w:rsidR="00E346E8">
        <w:instrText>ADDIN RW.CITE{{3732 DfT 2015 /a}}</w:instrText>
      </w:r>
      <w:r w:rsidR="00E346E8">
        <w:fldChar w:fldCharType="separate"/>
      </w:r>
      <w:r w:rsidR="00E346E8" w:rsidRPr="00E346E8">
        <w:rPr>
          <w:bCs/>
          <w:lang w:val="en-US"/>
        </w:rPr>
        <w:t>(2015)</w:t>
      </w:r>
      <w:r w:rsidR="00E346E8">
        <w:fldChar w:fldCharType="end"/>
      </w:r>
      <w:r w:rsidR="00E346E8">
        <w:t xml:space="preserve"> make</w:t>
      </w:r>
      <w:r w:rsidR="00183AF6">
        <w:t xml:space="preserve"> no </w:t>
      </w:r>
      <w:r w:rsidR="00FD2FBA">
        <w:t>projections</w:t>
      </w:r>
      <w:r w:rsidR="00183AF6">
        <w:t xml:space="preserve"> about the impact of the road schemes on national </w:t>
      </w:r>
      <w:r w:rsidR="003C5676">
        <w:t xml:space="preserve">traffic </w:t>
      </w:r>
      <w:r w:rsidR="00183AF6">
        <w:t>congestion but there is a strong inference that they will alleviate it.</w:t>
      </w:r>
      <w:r w:rsidR="00CB132A">
        <w:t xml:space="preserve"> </w:t>
      </w:r>
    </w:p>
    <w:p w14:paraId="71864483" w14:textId="49BA511C" w:rsidR="005A45B3" w:rsidRDefault="0068315C" w:rsidP="00BF4F9D">
      <w:pPr>
        <w:pStyle w:val="Heading3"/>
      </w:pPr>
      <w:bookmarkStart w:id="32" w:name="_Ref529972039"/>
      <w:r>
        <w:t>Public Opinion</w:t>
      </w:r>
      <w:bookmarkEnd w:id="32"/>
    </w:p>
    <w:p w14:paraId="42A4F763" w14:textId="45B1875F" w:rsidR="00704BAA" w:rsidRDefault="00877DCC" w:rsidP="0018016E">
      <w:pPr>
        <w:pStyle w:val="Paragraph"/>
      </w:pPr>
      <w:r>
        <w:fldChar w:fldCharType="begin"/>
      </w:r>
      <w:r>
        <w:instrText xml:space="preserve"> REF _Ref527873480 \h </w:instrText>
      </w:r>
      <w:r>
        <w:fldChar w:fldCharType="separate"/>
      </w:r>
      <w:r w:rsidR="0027625B">
        <w:t xml:space="preserve">Figure </w:t>
      </w:r>
      <w:r w:rsidR="0027625B">
        <w:rPr>
          <w:noProof/>
        </w:rPr>
        <w:t>9</w:t>
      </w:r>
      <w:r>
        <w:fldChar w:fldCharType="end"/>
      </w:r>
      <w:r>
        <w:t xml:space="preserve"> illustrates the public opinion causal mechanism post-2010.  This differs from </w:t>
      </w:r>
      <w:r>
        <w:fldChar w:fldCharType="begin"/>
      </w:r>
      <w:r>
        <w:instrText xml:space="preserve"> REF _Ref527461441 \h </w:instrText>
      </w:r>
      <w:r>
        <w:fldChar w:fldCharType="separate"/>
      </w:r>
      <w:r w:rsidR="0027625B">
        <w:t xml:space="preserve">Figure </w:t>
      </w:r>
      <w:r w:rsidR="0027625B">
        <w:rPr>
          <w:noProof/>
        </w:rPr>
        <w:t>6</w:t>
      </w:r>
      <w:r>
        <w:fldChar w:fldCharType="end"/>
      </w:r>
      <w:r>
        <w:t xml:space="preserve"> for the 1990s; there is no protest mechanism and an additional pathway has been created from changes in economic circumstances</w:t>
      </w:r>
      <w:r w:rsidR="000C18DE">
        <w:t xml:space="preserve"> to the general public</w:t>
      </w:r>
      <w:r>
        <w:t>.  This represents the influence of the recession on public opinion.</w:t>
      </w:r>
      <w:r w:rsidR="00791D57">
        <w:t xml:space="preserve">  </w:t>
      </w:r>
      <w:r w:rsidR="00704BAA">
        <w:t>The changes in the transport social structure were the increasing traffic volumes, particularly on strategic roads, causing more congestion.</w:t>
      </w:r>
    </w:p>
    <w:p w14:paraId="4DC601D3" w14:textId="2B535286" w:rsidR="009E0817" w:rsidRDefault="00CC0CFB" w:rsidP="00877DCC">
      <w:pPr>
        <w:pStyle w:val="Newparagraph"/>
        <w:ind w:firstLine="0"/>
      </w:pPr>
      <w:r>
        <w:rPr>
          <w:noProof/>
        </w:rPr>
        <w:drawing>
          <wp:inline distT="0" distB="0" distL="0" distR="0" wp14:anchorId="3691A424" wp14:editId="2353C7E7">
            <wp:extent cx="5396865" cy="27012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ublic Opinion Diagram.png"/>
                    <pic:cNvPicPr/>
                  </pic:nvPicPr>
                  <pic:blipFill>
                    <a:blip r:embed="rId17">
                      <a:extLst>
                        <a:ext uri="{28A0092B-C50C-407E-A947-70E740481C1C}">
                          <a14:useLocalDpi xmlns:a14="http://schemas.microsoft.com/office/drawing/2010/main" val="0"/>
                        </a:ext>
                      </a:extLst>
                    </a:blip>
                    <a:stretch>
                      <a:fillRect/>
                    </a:stretch>
                  </pic:blipFill>
                  <pic:spPr>
                    <a:xfrm>
                      <a:off x="0" y="0"/>
                      <a:ext cx="5396865" cy="2701290"/>
                    </a:xfrm>
                    <a:prstGeom prst="rect">
                      <a:avLst/>
                    </a:prstGeom>
                  </pic:spPr>
                </pic:pic>
              </a:graphicData>
            </a:graphic>
          </wp:inline>
        </w:drawing>
      </w:r>
    </w:p>
    <w:p w14:paraId="4D7A6A2B" w14:textId="525B12E3" w:rsidR="00877DCC" w:rsidRDefault="00877DCC" w:rsidP="00877DCC">
      <w:pPr>
        <w:pStyle w:val="Caption"/>
      </w:pPr>
      <w:bookmarkStart w:id="33" w:name="_Ref527873480"/>
      <w:r>
        <w:t xml:space="preserve">Figure </w:t>
      </w:r>
      <w:r w:rsidR="00AC345B">
        <w:rPr>
          <w:noProof/>
        </w:rPr>
        <w:fldChar w:fldCharType="begin"/>
      </w:r>
      <w:r w:rsidR="00AC345B">
        <w:rPr>
          <w:noProof/>
        </w:rPr>
        <w:instrText xml:space="preserve"> SEQ Figure \* ARABIC </w:instrText>
      </w:r>
      <w:r w:rsidR="00AC345B">
        <w:rPr>
          <w:noProof/>
        </w:rPr>
        <w:fldChar w:fldCharType="separate"/>
      </w:r>
      <w:r w:rsidR="0027625B">
        <w:rPr>
          <w:noProof/>
        </w:rPr>
        <w:t>9</w:t>
      </w:r>
      <w:r w:rsidR="00AC345B">
        <w:rPr>
          <w:noProof/>
        </w:rPr>
        <w:fldChar w:fldCharType="end"/>
      </w:r>
      <w:bookmarkEnd w:id="33"/>
      <w:r>
        <w:t xml:space="preserve"> – Public Opinion Causal Mechanism – Post 2010</w:t>
      </w:r>
    </w:p>
    <w:p w14:paraId="73B274A9" w14:textId="24245324" w:rsidR="002073F1" w:rsidRDefault="002073F1" w:rsidP="002073F1">
      <w:pPr>
        <w:pStyle w:val="Paragraph"/>
      </w:pPr>
      <w:r>
        <w:t xml:space="preserve">The impact of the recession on environmental attitudes and UK politics has been well documented.  Taylor’s </w:t>
      </w:r>
      <w:r>
        <w:fldChar w:fldCharType="begin"/>
      </w:r>
      <w:r>
        <w:instrText>ADDIN RW.CITE{{3992 Taylor,Eleanor 2012 /a}}</w:instrText>
      </w:r>
      <w:r>
        <w:fldChar w:fldCharType="separate"/>
      </w:r>
      <w:r w:rsidRPr="00241B37">
        <w:rPr>
          <w:bCs/>
          <w:lang w:val="en-US"/>
        </w:rPr>
        <w:t>(2012)</w:t>
      </w:r>
      <w:r>
        <w:fldChar w:fldCharType="end"/>
      </w:r>
      <w:r>
        <w:t xml:space="preserve"> analysis of the British Social Attitudes Survey (BSA) shows how public attitudes were less sympathetic to the environment in 2010, compared to both 2000 and 1993.  Carter</w:t>
      </w:r>
      <w:r w:rsidR="00767135">
        <w:t xml:space="preserve"> and Clements</w:t>
      </w:r>
      <w:r>
        <w:t xml:space="preserve"> </w:t>
      </w:r>
      <w:r>
        <w:fldChar w:fldCharType="begin"/>
      </w:r>
      <w:r>
        <w:instrText>ADDIN RW.CITE{{3860 Carter,Neil 2015 /a}}</w:instrText>
      </w:r>
      <w:r>
        <w:fldChar w:fldCharType="separate"/>
      </w:r>
      <w:r w:rsidRPr="00072907">
        <w:rPr>
          <w:bCs/>
          <w:lang w:val="en-US"/>
        </w:rPr>
        <w:t>(2015)</w:t>
      </w:r>
      <w:r>
        <w:fldChar w:fldCharType="end"/>
      </w:r>
      <w:r w:rsidR="00767135">
        <w:t xml:space="preserve"> show</w:t>
      </w:r>
      <w:r>
        <w:t xml:space="preserve"> how perceptions of that shift influenced the policies of the Coalition government.  One of the ministers interviewed for this study said the phrase “get rid of all the green crap” attributed by the media and Carter</w:t>
      </w:r>
      <w:r w:rsidR="00767135">
        <w:t xml:space="preserve"> and Clements</w:t>
      </w:r>
      <w:bookmarkStart w:id="34" w:name="_GoBack"/>
      <w:bookmarkEnd w:id="34"/>
      <w:r>
        <w:t xml:space="preserve"> </w:t>
      </w:r>
      <w:r>
        <w:fldChar w:fldCharType="begin"/>
      </w:r>
      <w:r>
        <w:instrText>ADDIN RW.CITE{{3860 Carter,Neil 2015 /a}}</w:instrText>
      </w:r>
      <w:r>
        <w:fldChar w:fldCharType="separate"/>
      </w:r>
      <w:r w:rsidRPr="00072907">
        <w:rPr>
          <w:bCs/>
          <w:lang w:val="en-US"/>
        </w:rPr>
        <w:t>(2015)</w:t>
      </w:r>
      <w:r>
        <w:fldChar w:fldCharType="end"/>
      </w:r>
      <w:r>
        <w:t xml:space="preserve"> to David Cameron actually originated from George Osborne.</w:t>
      </w:r>
    </w:p>
    <w:p w14:paraId="3032E041" w14:textId="47CE1480" w:rsidR="006B6E8E" w:rsidRDefault="00081B7A" w:rsidP="001C2377">
      <w:pPr>
        <w:pStyle w:val="Paragraph"/>
        <w:rPr>
          <w:lang w:eastAsia="zh-CN"/>
        </w:rPr>
      </w:pPr>
      <w:r>
        <w:rPr>
          <w:lang w:eastAsia="zh-CN"/>
        </w:rPr>
        <w:fldChar w:fldCharType="begin"/>
      </w:r>
      <w:r>
        <w:rPr>
          <w:lang w:eastAsia="zh-CN"/>
        </w:rPr>
        <w:instrText xml:space="preserve"> REF _Ref527468860 \h </w:instrText>
      </w:r>
      <w:r>
        <w:rPr>
          <w:lang w:eastAsia="zh-CN"/>
        </w:rPr>
      </w:r>
      <w:r>
        <w:rPr>
          <w:lang w:eastAsia="zh-CN"/>
        </w:rPr>
        <w:fldChar w:fldCharType="separate"/>
      </w:r>
      <w:r w:rsidR="0027625B">
        <w:t xml:space="preserve">Figure </w:t>
      </w:r>
      <w:r w:rsidR="0027625B">
        <w:rPr>
          <w:noProof/>
        </w:rPr>
        <w:t>7</w:t>
      </w:r>
      <w:r>
        <w:rPr>
          <w:lang w:eastAsia="zh-CN"/>
        </w:rPr>
        <w:fldChar w:fldCharType="end"/>
      </w:r>
      <w:r>
        <w:rPr>
          <w:lang w:eastAsia="zh-CN"/>
        </w:rPr>
        <w:t xml:space="preserve"> (in Subsection </w:t>
      </w:r>
      <w:r>
        <w:rPr>
          <w:lang w:eastAsia="zh-CN"/>
        </w:rPr>
        <w:fldChar w:fldCharType="begin"/>
      </w:r>
      <w:r>
        <w:rPr>
          <w:lang w:eastAsia="zh-CN"/>
        </w:rPr>
        <w:instrText xml:space="preserve"> REF _Ref527873537 \r \h </w:instrText>
      </w:r>
      <w:r>
        <w:rPr>
          <w:lang w:eastAsia="zh-CN"/>
        </w:rPr>
      </w:r>
      <w:r>
        <w:rPr>
          <w:lang w:eastAsia="zh-CN"/>
        </w:rPr>
        <w:fldChar w:fldCharType="separate"/>
      </w:r>
      <w:r w:rsidR="0027625B">
        <w:rPr>
          <w:lang w:eastAsia="zh-CN"/>
        </w:rPr>
        <w:t>5.2.2</w:t>
      </w:r>
      <w:r>
        <w:rPr>
          <w:lang w:eastAsia="zh-CN"/>
        </w:rPr>
        <w:fldChar w:fldCharType="end"/>
      </w:r>
      <w:r>
        <w:rPr>
          <w:lang w:eastAsia="zh-CN"/>
        </w:rPr>
        <w:t xml:space="preserve">) illustrates </w:t>
      </w:r>
      <w:r w:rsidR="006B6E8E">
        <w:rPr>
          <w:lang w:eastAsia="zh-CN"/>
        </w:rPr>
        <w:t>how public opinion became less negativ</w:t>
      </w:r>
      <w:r w:rsidR="00EC2FC0">
        <w:rPr>
          <w:lang w:eastAsia="zh-CN"/>
        </w:rPr>
        <w:t>e towards unrestricted driving “</w:t>
      </w:r>
      <w:r w:rsidR="006B6E8E">
        <w:rPr>
          <w:lang w:eastAsia="zh-CN"/>
        </w:rPr>
        <w:t xml:space="preserve">even </w:t>
      </w:r>
      <w:r w:rsidR="00EC2FC0">
        <w:rPr>
          <w:lang w:eastAsia="zh-CN"/>
        </w:rPr>
        <w:t>if this damages the environment”</w:t>
      </w:r>
      <w:r w:rsidR="006B6E8E">
        <w:rPr>
          <w:lang w:eastAsia="zh-CN"/>
        </w:rPr>
        <w:t xml:space="preserve"> after 2008.  </w:t>
      </w:r>
      <w:r w:rsidR="001C2377">
        <w:rPr>
          <w:lang w:eastAsia="zh-CN"/>
        </w:rPr>
        <w:t>Public opinion on motorway building was also less negative in 2010 than during the 1990s, although that question was removed from the BSA after that.  Public concern about congestion on motorways</w:t>
      </w:r>
      <w:r w:rsidR="006B6E8E">
        <w:rPr>
          <w:lang w:eastAsia="zh-CN"/>
        </w:rPr>
        <w:t xml:space="preserve"> rose during the Coalition government from a low point in 2011 </w:t>
      </w:r>
      <w:r w:rsidR="006B6E8E">
        <w:rPr>
          <w:lang w:eastAsia="zh-CN"/>
        </w:rPr>
        <w:fldChar w:fldCharType="begin"/>
      </w:r>
      <w:r w:rsidR="006B6E8E">
        <w:rPr>
          <w:lang w:eastAsia="zh-CN"/>
        </w:rPr>
        <w:instrText>ADDIN RW.CITE{{3979 DfT 2018}}</w:instrText>
      </w:r>
      <w:r w:rsidR="006B6E8E">
        <w:rPr>
          <w:lang w:eastAsia="zh-CN"/>
        </w:rPr>
        <w:fldChar w:fldCharType="separate"/>
      </w:r>
      <w:r w:rsidR="00897909" w:rsidRPr="00897909">
        <w:rPr>
          <w:bCs/>
          <w:lang w:val="en-US" w:eastAsia="zh-CN"/>
        </w:rPr>
        <w:t>(DfT, 2018a)</w:t>
      </w:r>
      <w:r w:rsidR="006B6E8E">
        <w:rPr>
          <w:lang w:eastAsia="zh-CN"/>
        </w:rPr>
        <w:fldChar w:fldCharType="end"/>
      </w:r>
      <w:r w:rsidR="006B6E8E">
        <w:rPr>
          <w:lang w:eastAsia="zh-CN"/>
        </w:rPr>
        <w:t>.</w:t>
      </w:r>
    </w:p>
    <w:p w14:paraId="2B3DB656" w14:textId="4A74EC08" w:rsidR="006B6E8E" w:rsidRDefault="006B6E8E" w:rsidP="001C2377">
      <w:pPr>
        <w:pStyle w:val="Paragraph"/>
        <w:rPr>
          <w:lang w:eastAsia="zh-CN"/>
        </w:rPr>
      </w:pPr>
      <w:r>
        <w:rPr>
          <w:lang w:eastAsia="zh-CN"/>
        </w:rPr>
        <w:fldChar w:fldCharType="begin"/>
      </w:r>
      <w:r>
        <w:rPr>
          <w:lang w:eastAsia="zh-CN"/>
        </w:rPr>
        <w:instrText xml:space="preserve"> REF _Ref527475684 \h </w:instrText>
      </w:r>
      <w:r>
        <w:rPr>
          <w:lang w:eastAsia="zh-CN"/>
        </w:rPr>
      </w:r>
      <w:r>
        <w:rPr>
          <w:lang w:eastAsia="zh-CN"/>
        </w:rPr>
        <w:fldChar w:fldCharType="separate"/>
      </w:r>
      <w:r w:rsidR="0027625B">
        <w:t xml:space="preserve">Table </w:t>
      </w:r>
      <w:r w:rsidR="0027625B">
        <w:rPr>
          <w:noProof/>
        </w:rPr>
        <w:t>4</w:t>
      </w:r>
      <w:r>
        <w:rPr>
          <w:lang w:eastAsia="zh-CN"/>
        </w:rPr>
        <w:fldChar w:fldCharType="end"/>
      </w:r>
      <w:r>
        <w:rPr>
          <w:lang w:eastAsia="zh-CN"/>
        </w:rPr>
        <w:t xml:space="preserve"> (Subsection </w:t>
      </w:r>
      <w:r>
        <w:rPr>
          <w:lang w:eastAsia="zh-CN"/>
        </w:rPr>
        <w:fldChar w:fldCharType="begin"/>
      </w:r>
      <w:r>
        <w:rPr>
          <w:lang w:eastAsia="zh-CN"/>
        </w:rPr>
        <w:instrText xml:space="preserve"> REF _Ref527873537 \r \h </w:instrText>
      </w:r>
      <w:r>
        <w:rPr>
          <w:lang w:eastAsia="zh-CN"/>
        </w:rPr>
      </w:r>
      <w:r>
        <w:rPr>
          <w:lang w:eastAsia="zh-CN"/>
        </w:rPr>
        <w:fldChar w:fldCharType="separate"/>
      </w:r>
      <w:r w:rsidR="0027625B">
        <w:rPr>
          <w:lang w:eastAsia="zh-CN"/>
        </w:rPr>
        <w:t>5.2.2</w:t>
      </w:r>
      <w:r>
        <w:rPr>
          <w:lang w:eastAsia="zh-CN"/>
        </w:rPr>
        <w:fldChar w:fldCharType="end"/>
      </w:r>
      <w:r>
        <w:rPr>
          <w:lang w:eastAsia="zh-CN"/>
        </w:rPr>
        <w:t xml:space="preserve">) illustrates how road building was rarely mentioned by </w:t>
      </w:r>
      <w:r w:rsidR="007D0179">
        <w:rPr>
          <w:lang w:eastAsia="zh-CN"/>
        </w:rPr>
        <w:t>the media between 2011 and 2013, whilst</w:t>
      </w:r>
      <w:r w:rsidR="002073F1">
        <w:rPr>
          <w:lang w:eastAsia="zh-CN"/>
        </w:rPr>
        <w:t xml:space="preserve"> </w:t>
      </w:r>
      <w:r w:rsidR="002073F1">
        <w:rPr>
          <w:lang w:eastAsia="zh-CN"/>
        </w:rPr>
        <w:fldChar w:fldCharType="begin"/>
      </w:r>
      <w:r w:rsidR="002073F1">
        <w:rPr>
          <w:lang w:eastAsia="zh-CN"/>
        </w:rPr>
        <w:instrText xml:space="preserve"> REF _Ref527878067 \h </w:instrText>
      </w:r>
      <w:r w:rsidR="002073F1">
        <w:rPr>
          <w:lang w:eastAsia="zh-CN"/>
        </w:rPr>
      </w:r>
      <w:r w:rsidR="002073F1">
        <w:rPr>
          <w:lang w:eastAsia="zh-CN"/>
        </w:rPr>
        <w:fldChar w:fldCharType="separate"/>
      </w:r>
      <w:r w:rsidR="0027625B">
        <w:t xml:space="preserve">Figure </w:t>
      </w:r>
      <w:r w:rsidR="0027625B">
        <w:rPr>
          <w:noProof/>
        </w:rPr>
        <w:t>10</w:t>
      </w:r>
      <w:r w:rsidR="002073F1">
        <w:rPr>
          <w:lang w:eastAsia="zh-CN"/>
        </w:rPr>
        <w:fldChar w:fldCharType="end"/>
      </w:r>
      <w:r w:rsidR="002073F1">
        <w:rPr>
          <w:lang w:eastAsia="zh-CN"/>
        </w:rPr>
        <w:t xml:space="preserve"> illustrates how traffic congestion rose up the media’s agenda during the Coalition government.</w:t>
      </w:r>
    </w:p>
    <w:p w14:paraId="12608545" w14:textId="6902EB1A" w:rsidR="006B6E8E" w:rsidRDefault="006B6E8E" w:rsidP="006B6E8E">
      <w:pPr>
        <w:pStyle w:val="Paragraph"/>
        <w:ind w:firstLine="0"/>
        <w:rPr>
          <w:lang w:eastAsia="zh-CN"/>
        </w:rPr>
      </w:pPr>
      <w:r>
        <w:rPr>
          <w:noProof/>
        </w:rPr>
        <w:drawing>
          <wp:inline distT="0" distB="0" distL="0" distR="0" wp14:anchorId="30022D45" wp14:editId="1F86A919">
            <wp:extent cx="5396865" cy="3148330"/>
            <wp:effectExtent l="0" t="0" r="1333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7A9489" w14:textId="024A0CEF" w:rsidR="001C2377" w:rsidRDefault="002073F1" w:rsidP="002073F1">
      <w:pPr>
        <w:pStyle w:val="Caption"/>
      </w:pPr>
      <w:bookmarkStart w:id="35" w:name="_Ref527878067"/>
      <w:r>
        <w:t xml:space="preserve">Figure </w:t>
      </w:r>
      <w:r w:rsidR="00AC345B">
        <w:rPr>
          <w:noProof/>
        </w:rPr>
        <w:fldChar w:fldCharType="begin"/>
      </w:r>
      <w:r w:rsidR="00AC345B">
        <w:rPr>
          <w:noProof/>
        </w:rPr>
        <w:instrText xml:space="preserve"> SEQ Figure \* ARABIC </w:instrText>
      </w:r>
      <w:r w:rsidR="00AC345B">
        <w:rPr>
          <w:noProof/>
        </w:rPr>
        <w:fldChar w:fldCharType="separate"/>
      </w:r>
      <w:r w:rsidR="0027625B">
        <w:rPr>
          <w:noProof/>
        </w:rPr>
        <w:t>10</w:t>
      </w:r>
      <w:r w:rsidR="00AC345B">
        <w:rPr>
          <w:noProof/>
        </w:rPr>
        <w:fldChar w:fldCharType="end"/>
      </w:r>
      <w:bookmarkEnd w:id="35"/>
      <w:r>
        <w:t xml:space="preserve"> – Number</w:t>
      </w:r>
      <w:r w:rsidR="00EC2FC0">
        <w:t>s</w:t>
      </w:r>
      <w:r>
        <w:t xml:space="preserve"> of articles mentioning “congested roads”, “traffic congestion” or “road congestion” in UK national newspapers, from Nexis.</w:t>
      </w:r>
    </w:p>
    <w:p w14:paraId="1F28FBF1" w14:textId="7C6A5408" w:rsidR="007E6B86" w:rsidRPr="007E6B86" w:rsidRDefault="00A31A8D" w:rsidP="007E6B86">
      <w:pPr>
        <w:pStyle w:val="Paragraph"/>
        <w:rPr>
          <w:lang w:eastAsia="zh-CN"/>
        </w:rPr>
      </w:pPr>
      <w:r>
        <w:rPr>
          <w:lang w:eastAsia="zh-CN"/>
        </w:rPr>
        <w:t xml:space="preserve">None of the interviewees cited </w:t>
      </w:r>
      <w:r w:rsidR="00BB1D60">
        <w:rPr>
          <w:lang w:eastAsia="zh-CN"/>
        </w:rPr>
        <w:t>shifting</w:t>
      </w:r>
      <w:r>
        <w:rPr>
          <w:lang w:eastAsia="zh-CN"/>
        </w:rPr>
        <w:t xml:space="preserve"> public opinion as a reason for the ch</w:t>
      </w:r>
      <w:r w:rsidR="00BB1D60">
        <w:rPr>
          <w:lang w:eastAsia="zh-CN"/>
        </w:rPr>
        <w:t>ange in policy on road building</w:t>
      </w:r>
      <w:r>
        <w:rPr>
          <w:lang w:eastAsia="zh-CN"/>
        </w:rPr>
        <w:t xml:space="preserve"> but </w:t>
      </w:r>
      <w:r w:rsidR="00BB1D60">
        <w:rPr>
          <w:lang w:eastAsia="zh-CN"/>
        </w:rPr>
        <w:t>a few expressed a more general view that people tended to favour road schemes in their areas</w:t>
      </w:r>
      <w:r w:rsidR="005A2A5F">
        <w:rPr>
          <w:lang w:eastAsia="zh-CN"/>
        </w:rPr>
        <w:t>; they also emphasised public resistance to any attempts to restrain traffic growth by charging motorists more</w:t>
      </w:r>
      <w:r w:rsidR="00BB1D60">
        <w:rPr>
          <w:lang w:eastAsia="zh-CN"/>
        </w:rPr>
        <w:t xml:space="preserve">.  </w:t>
      </w:r>
    </w:p>
    <w:p w14:paraId="259BC3E1" w14:textId="67DC3CBC" w:rsidR="005A45B3" w:rsidRDefault="00B2235C" w:rsidP="005A45B3">
      <w:pPr>
        <w:pStyle w:val="Heading1"/>
      </w:pPr>
      <w:r>
        <w:t>Discussion</w:t>
      </w:r>
    </w:p>
    <w:p w14:paraId="3BA3F35D" w14:textId="77CDC0FB" w:rsidR="000C18DE" w:rsidRPr="000C18DE" w:rsidRDefault="000C18DE" w:rsidP="000C18DE">
      <w:pPr>
        <w:pStyle w:val="Heading2"/>
      </w:pPr>
      <w:bookmarkStart w:id="36" w:name="_Ref10035782"/>
      <w:r w:rsidRPr="000C18DE">
        <w:t>Paradigm Shifts and the Impact of the Anti-Roads Protests</w:t>
      </w:r>
      <w:bookmarkEnd w:id="36"/>
    </w:p>
    <w:p w14:paraId="0712DFA0" w14:textId="11242AFB" w:rsidR="00B2235C" w:rsidRDefault="00271A7E" w:rsidP="00B2235C">
      <w:pPr>
        <w:pStyle w:val="Paragraph"/>
      </w:pPr>
      <w:r>
        <w:t xml:space="preserve">Section </w:t>
      </w:r>
      <w:r>
        <w:fldChar w:fldCharType="begin"/>
      </w:r>
      <w:r>
        <w:instrText xml:space="preserve"> REF _Ref527041881 \r \h </w:instrText>
      </w:r>
      <w:r>
        <w:fldChar w:fldCharType="separate"/>
      </w:r>
      <w:r w:rsidR="0027625B">
        <w:t>5</w:t>
      </w:r>
      <w:r>
        <w:fldChar w:fldCharType="end"/>
      </w:r>
      <w:r>
        <w:t xml:space="preserve"> has shown how changes in social structures triggered causal mechanisms that explain the contrasting decisions taken in the 1990s and post-2010.  It has also illuminated the interaction between those mechanisms and the agency of decision-makers</w:t>
      </w:r>
      <w:r w:rsidR="000C18DE">
        <w:t>, amongst</w:t>
      </w:r>
      <w:r>
        <w:t xml:space="preserve"> whom George Osborne was the most notable agent fo</w:t>
      </w:r>
      <w:r w:rsidR="00361811">
        <w:t>r change</w:t>
      </w:r>
      <w:r w:rsidR="000C18DE">
        <w:t xml:space="preserve"> after 2010</w:t>
      </w:r>
      <w:r w:rsidR="00361811">
        <w:t>.  The recession of 2007</w:t>
      </w:r>
      <w:r>
        <w:t>-9 provided the context for his decisions; it clearly impacted ideology and opinions amongst elites and the general public more</w:t>
      </w:r>
      <w:r w:rsidR="00F74EF0">
        <w:t xml:space="preserve"> profoundly</w:t>
      </w:r>
      <w:r>
        <w:t xml:space="preserve"> than the shallower recession of 1990-1.  To some extent, it prompted a return to earlier beliefs and policies, which could also be viewed as a longer-term default: intra-urban multi-modalism and inter-urban road capacity expansion (with the addition of high speed rail), as described by Vigar </w:t>
      </w:r>
      <w:r>
        <w:fldChar w:fldCharType="begin"/>
      </w:r>
      <w:r>
        <w:instrText>ADDIN RW.CITE{{3767 Vigar,Geoff 2001 /a}}</w:instrText>
      </w:r>
      <w:r>
        <w:fldChar w:fldCharType="separate"/>
      </w:r>
      <w:r w:rsidRPr="00271A7E">
        <w:rPr>
          <w:bCs/>
          <w:lang w:val="en-US"/>
        </w:rPr>
        <w:t>(2001)</w:t>
      </w:r>
      <w:r>
        <w:fldChar w:fldCharType="end"/>
      </w:r>
      <w:r>
        <w:t>.  With hindsight it is easy to see that claims of a paradigm shift in the late 1990s were exaggerated.  The New Realism may have made a lasting impact on the transport planning profession (as distinct from the highway engineering profession) but its influence on decision-makers was limited and short-lived.</w:t>
      </w:r>
    </w:p>
    <w:p w14:paraId="221147AA" w14:textId="015AA910" w:rsidR="0050026B" w:rsidRDefault="00271A7E" w:rsidP="0050026B">
      <w:pPr>
        <w:pStyle w:val="Newparagraph"/>
      </w:pPr>
      <w:r>
        <w:t xml:space="preserve">The impact of the 1990s protest movement is more difficult to assess.  The language used by some interviewees suggests that it may have been greater than some decision-makers wanted to acknowledge.  Descriptions of road building as “fraught”, “non-PC” and not discussed (before 2010) “in polite society” suggest a residual subliminal impact, which gradually diminished during the Labour years.  The protests raised the profile of road building, exposing the public to some of the evidence and </w:t>
      </w:r>
      <w:r w:rsidR="0050026B">
        <w:t>analysis</w:t>
      </w:r>
      <w:r w:rsidR="00F74EF0">
        <w:t xml:space="preserve"> of the New Realism</w:t>
      </w:r>
      <w:r w:rsidR="0050026B">
        <w:t xml:space="preserve">.  </w:t>
      </w:r>
    </w:p>
    <w:p w14:paraId="4706D360" w14:textId="1B523630" w:rsidR="00BC6CEF" w:rsidRDefault="00BC6CEF" w:rsidP="00BC6CEF">
      <w:pPr>
        <w:pStyle w:val="Heading2"/>
      </w:pPr>
      <w:r>
        <w:t>Methodological Reflection</w:t>
      </w:r>
    </w:p>
    <w:p w14:paraId="3BF5847D" w14:textId="518706E9" w:rsidR="00BC6CEF" w:rsidRDefault="00BC6CEF" w:rsidP="0050026B">
      <w:pPr>
        <w:pStyle w:val="Newparagraph"/>
      </w:pPr>
      <w:r>
        <w:t xml:space="preserve">This study set out to apply CR methods to an empirical policy question in a more specific and transparent way than previous studies; it is the first such attempt in a transport context.  It started with an apparent inconsistency, sought </w:t>
      </w:r>
      <w:r w:rsidR="000A675E">
        <w:t>evidence from multiple sources including explanations from the actors involved.  Those explanations were then assessed for their applicability to both scenarios and traced back to changes in underlying social structures.  The concept of economic social structures is well-established; the concept of a transport social structure has also proved useful in this analysis.  This framework could be applied or adapted to explain the reasons for changes of policy or practice in many other contexts.</w:t>
      </w:r>
    </w:p>
    <w:p w14:paraId="61BA3D55" w14:textId="6B5B0487" w:rsidR="00526389" w:rsidRDefault="000A675E" w:rsidP="000A675E">
      <w:pPr>
        <w:pStyle w:val="Newparagraph"/>
      </w:pPr>
      <w:r>
        <w:t xml:space="preserve">The </w:t>
      </w:r>
      <w:r w:rsidR="001B3851">
        <w:t xml:space="preserve">CR framework provides a different perspective on a question frequently asked in such contexts: which were the most important causes?  </w:t>
      </w:r>
      <w:r>
        <w:t xml:space="preserve">CR posits an unpredictable relationship between causal mechanisms and human agency.  </w:t>
      </w:r>
      <w:r w:rsidR="001B3851">
        <w:t>The existence of human agency implies that nothing is predetermined; the same set of circumstances could always have produced a different outcome</w:t>
      </w:r>
      <w:r w:rsidR="006D3E5F">
        <w:t>, which makes it difficult to assess which factors had more influence than others</w:t>
      </w:r>
      <w:r w:rsidR="001B3851">
        <w:t xml:space="preserve">.  </w:t>
      </w:r>
      <w:r w:rsidR="00526389">
        <w:t xml:space="preserve">Indeed, the unpredictability of the outcome challenges the traditional view of causality in transport studies, which often tries to attach numerical probabilities to causal factors.  If a change in any factor might have produced a different </w:t>
      </w:r>
      <w:r w:rsidR="00D82ACC">
        <w:t>outcome</w:t>
      </w:r>
      <w:r w:rsidR="00526389">
        <w:t xml:space="preserve">, is it meaningful </w:t>
      </w:r>
      <w:r w:rsidR="00D82ACC">
        <w:t xml:space="preserve">to distinguish between </w:t>
      </w:r>
      <w:r w:rsidR="00A319A4">
        <w:t>‘</w:t>
      </w:r>
      <w:r w:rsidR="00D82ACC">
        <w:t>more</w:t>
      </w:r>
      <w:r w:rsidR="00A319A4">
        <w:t xml:space="preserve"> important’</w:t>
      </w:r>
      <w:r w:rsidR="00D82ACC">
        <w:t xml:space="preserve"> or </w:t>
      </w:r>
      <w:r w:rsidR="00A319A4">
        <w:t>‘</w:t>
      </w:r>
      <w:r w:rsidR="00D82ACC">
        <w:t>less important</w:t>
      </w:r>
      <w:r w:rsidR="00A319A4">
        <w:t>’</w:t>
      </w:r>
      <w:r w:rsidR="00D82ACC">
        <w:t xml:space="preserve"> causes? </w:t>
      </w:r>
    </w:p>
    <w:p w14:paraId="1EB9DA8F" w14:textId="7C8C83BD" w:rsidR="000A675E" w:rsidRDefault="001B3851" w:rsidP="000A675E">
      <w:pPr>
        <w:pStyle w:val="Newparagraph"/>
      </w:pPr>
      <w:r>
        <w:t xml:space="preserve">In this study, the </w:t>
      </w:r>
      <w:r w:rsidR="000A675E">
        <w:t xml:space="preserve">three </w:t>
      </w:r>
      <w:r w:rsidR="006D3E5F">
        <w:t xml:space="preserve">causal </w:t>
      </w:r>
      <w:r w:rsidR="000A675E">
        <w:t>mechanisms interacted in different ways e.g. media references to New Realist analysis</w:t>
      </w:r>
      <w:r>
        <w:t>, linking the rational choice and public opinion mechanisms,</w:t>
      </w:r>
      <w:r w:rsidR="000A675E">
        <w:t xml:space="preserve"> and the indirect influence of economic ideology on public opinion.  The only clear conclusion is that the impact of each one would have bee</w:t>
      </w:r>
      <w:r w:rsidR="00A319A4">
        <w:t>n different without the others or with a different set of actors.</w:t>
      </w:r>
    </w:p>
    <w:p w14:paraId="74367BD2" w14:textId="333F676B" w:rsidR="00B2235C" w:rsidRDefault="00B2235C" w:rsidP="00B2235C">
      <w:pPr>
        <w:pStyle w:val="Heading1"/>
      </w:pPr>
      <w:r>
        <w:t>Conclusions</w:t>
      </w:r>
    </w:p>
    <w:p w14:paraId="1E6448B5" w14:textId="34BDA534" w:rsidR="0047492F" w:rsidRDefault="00BE7765" w:rsidP="00A659E6">
      <w:pPr>
        <w:pStyle w:val="Paragraph"/>
      </w:pPr>
      <w:r>
        <w:t>Why did the Conservative governments of the 1990s and the Coalition government of 2010 – 15 react so differently on road building policy when leading the UK out of recessions?  This study suggests that the</w:t>
      </w:r>
      <w:r w:rsidR="001C4347">
        <w:t>ir</w:t>
      </w:r>
      <w:r>
        <w:t xml:space="preserve"> different </w:t>
      </w:r>
      <w:r w:rsidR="001C4347">
        <w:t xml:space="preserve">reactions </w:t>
      </w:r>
      <w:r>
        <w:t>can be traced back to underlying changes i</w:t>
      </w:r>
      <w:r w:rsidR="001C4347">
        <w:t>n social structures, as well as personal interventions of some key actors.</w:t>
      </w:r>
      <w:r>
        <w:t xml:space="preserve">  Some of those </w:t>
      </w:r>
      <w:r w:rsidR="001C4347">
        <w:t xml:space="preserve">underlying </w:t>
      </w:r>
      <w:r>
        <w:t>cha</w:t>
      </w:r>
      <w:r w:rsidR="001C4347">
        <w:t>nges were economic but the findings do not support a reductionist interpretation.  For example, the economic ideology mechanism post-2010 promoted public capital spending but the decision to treble the size of the strategic road building programme was clearly exceptional; other factors were clearly at work.</w:t>
      </w:r>
    </w:p>
    <w:p w14:paraId="4AFD2387" w14:textId="0215EE51" w:rsidR="00FD695C" w:rsidRDefault="004A7AC9" w:rsidP="00A659E6">
      <w:pPr>
        <w:pStyle w:val="Paragraph"/>
      </w:pPr>
      <w:r>
        <w:t xml:space="preserve">The analysis so far should be useful to supporters or opponents of road building.  The </w:t>
      </w:r>
      <w:r w:rsidR="00854BFE">
        <w:t>conclusions that follow</w:t>
      </w:r>
      <w:r w:rsidR="008A65D3">
        <w:t xml:space="preserve"> start</w:t>
      </w:r>
      <w:r>
        <w:t xml:space="preserve"> from an environmental</w:t>
      </w:r>
      <w:r w:rsidR="008A65D3">
        <w:t>ist</w:t>
      </w:r>
      <w:r>
        <w:t xml:space="preserve"> perspective, recognising that the same evidence could be interpreted differently starting from different perspectives.</w:t>
      </w:r>
      <w:r w:rsidR="00B37A15">
        <w:t xml:space="preserve">  </w:t>
      </w:r>
    </w:p>
    <w:p w14:paraId="4019B679" w14:textId="55934F7C" w:rsidR="00A659E6" w:rsidRDefault="009A7E39" w:rsidP="00A659E6">
      <w:pPr>
        <w:pStyle w:val="Paragraph"/>
      </w:pPr>
      <w:r>
        <w:t xml:space="preserve">Goodwin </w:t>
      </w:r>
      <w:r>
        <w:fldChar w:fldCharType="begin"/>
      </w:r>
      <w:r>
        <w:instrText>ADDIN RW.CITE{{1620 Goodwin,Phil 2008 /a}}</w:instrText>
      </w:r>
      <w:r>
        <w:fldChar w:fldCharType="separate"/>
      </w:r>
      <w:r w:rsidRPr="009A7E39">
        <w:rPr>
          <w:bCs/>
          <w:lang w:val="en-US"/>
        </w:rPr>
        <w:t>(2008)</w:t>
      </w:r>
      <w:r>
        <w:fldChar w:fldCharType="end"/>
      </w:r>
      <w:r>
        <w:t xml:space="preserve"> explains one implication of the new Realism that without demand management the best that road building can achieve is </w:t>
      </w:r>
      <w:r w:rsidR="00BE089E">
        <w:t xml:space="preserve">to make </w:t>
      </w:r>
      <w:r>
        <w:t>congest</w:t>
      </w:r>
      <w:r w:rsidR="00BE089E">
        <w:t xml:space="preserve">ion </w:t>
      </w:r>
      <w:r>
        <w:t>get worse more slowly.</w:t>
      </w:r>
      <w:r w:rsidR="00BE089E">
        <w:t xml:space="preserve">  </w:t>
      </w:r>
      <w:r w:rsidR="00FD695C">
        <w:t xml:space="preserve">Official road building strategies </w:t>
      </w:r>
      <w:r w:rsidR="00FD695C">
        <w:fldChar w:fldCharType="begin"/>
      </w:r>
      <w:r w:rsidR="00044477">
        <w:instrText>ADDIN RW.CITE{{3937 DTp 1990; 3579 HMTreasury 2013; 3732 DfT 2015}}</w:instrText>
      </w:r>
      <w:r w:rsidR="00FD695C">
        <w:fldChar w:fldCharType="separate"/>
      </w:r>
      <w:r w:rsidR="00897909" w:rsidRPr="00897909">
        <w:rPr>
          <w:bCs/>
          <w:lang w:val="en-US"/>
        </w:rPr>
        <w:t>(DTp, 1990, H M Treasury, 2013, DfT, 2015)</w:t>
      </w:r>
      <w:r w:rsidR="00FD695C">
        <w:fldChar w:fldCharType="end"/>
      </w:r>
      <w:r w:rsidR="00FD695C">
        <w:t xml:space="preserve"> are consistently coy about the impacts they hope to achieve, possibly for that reason.  </w:t>
      </w:r>
      <w:r w:rsidR="00B10E9A">
        <w:t>Many l</w:t>
      </w:r>
      <w:r w:rsidR="00FD695C">
        <w:t xml:space="preserve">ocal authorities, who </w:t>
      </w:r>
      <w:r w:rsidR="00B10E9A">
        <w:t>hope</w:t>
      </w:r>
      <w:r w:rsidR="00FD695C">
        <w:t xml:space="preserve"> to </w:t>
      </w:r>
      <w:r w:rsidR="00B10E9A">
        <w:t xml:space="preserve">access more government funds for </w:t>
      </w:r>
      <w:r w:rsidR="00FD695C">
        <w:t>road building, have been more explicit</w:t>
      </w:r>
      <w:r w:rsidR="00854BFE">
        <w:t>,</w:t>
      </w:r>
      <w:r w:rsidR="00FD695C">
        <w:t xml:space="preserve"> or more honest</w:t>
      </w:r>
      <w:r w:rsidR="00DE203D">
        <w:t xml:space="preserve">, </w:t>
      </w:r>
      <w:r w:rsidR="00B10E9A">
        <w:t xml:space="preserve">publishing quantitative forecasts that confirm the aspiration of their road building plans to help congestion get worse more slowly </w:t>
      </w:r>
      <w:r w:rsidR="00B10E9A">
        <w:fldChar w:fldCharType="begin"/>
      </w:r>
      <w:r w:rsidR="00B10E9A">
        <w:instrText>ADDIN RW.CITE{{3993 WestofEnglandAuthorities 2017 /psee for example: /f, Table 12.4; 3994 Amey 2016 /f, Figure 4.1}}</w:instrText>
      </w:r>
      <w:r w:rsidR="00B10E9A">
        <w:fldChar w:fldCharType="separate"/>
      </w:r>
      <w:r w:rsidR="00897909" w:rsidRPr="00897909">
        <w:rPr>
          <w:bCs/>
          <w:lang w:val="en-US"/>
        </w:rPr>
        <w:t>(see for example: West of England Authorities, 2017, Table 12.4, Amey, 2016, Figure 4.1)</w:t>
      </w:r>
      <w:r w:rsidR="00B10E9A">
        <w:fldChar w:fldCharType="end"/>
      </w:r>
      <w:r w:rsidR="00B10E9A">
        <w:t>.  In the absence of effective demand management this may be a rational short-term response, deferring more difficult decisions to future generations.  Demand management has not failed in the UK; outside a few urban centres it</w:t>
      </w:r>
      <w:r w:rsidR="00BC6CEF">
        <w:t xml:space="preserve"> has never seriously been tried, partly because of public resistance.</w:t>
      </w:r>
    </w:p>
    <w:p w14:paraId="32201CCB" w14:textId="0E53B100" w:rsidR="00AD3B4B" w:rsidRDefault="00B10E9A" w:rsidP="00B10E9A">
      <w:pPr>
        <w:pStyle w:val="Newparagraph"/>
      </w:pPr>
      <w:r>
        <w:t>In the 1990s a campaign of illegal direct action raised the profile of rational analysis, which decision-makers might otherwise have ignored</w:t>
      </w:r>
      <w:r w:rsidR="009E3CBA">
        <w:t>, as they ignored the open letter from 32 transport professors questioning the rationale for expanding the strategic road network</w:t>
      </w:r>
      <w:r>
        <w:t xml:space="preserve"> </w:t>
      </w:r>
      <w:r w:rsidR="009E3CBA">
        <w:fldChar w:fldCharType="begin"/>
      </w:r>
      <w:r w:rsidR="00241D97">
        <w:instrText>ADDIN RW.CITE{{3995 Marsden,Greg 2013}}</w:instrText>
      </w:r>
      <w:r w:rsidR="009E3CBA">
        <w:fldChar w:fldCharType="separate"/>
      </w:r>
      <w:r w:rsidR="00241D97" w:rsidRPr="00241D97">
        <w:rPr>
          <w:bCs/>
          <w:lang w:val="en-US"/>
        </w:rPr>
        <w:t>(Marsden</w:t>
      </w:r>
      <w:r w:rsidR="00241D97" w:rsidRPr="00241D97">
        <w:rPr>
          <w:bCs/>
          <w:i/>
          <w:lang w:val="en-US"/>
        </w:rPr>
        <w:t xml:space="preserve"> et al.,</w:t>
      </w:r>
      <w:r w:rsidR="00241D97" w:rsidRPr="00241D97">
        <w:rPr>
          <w:bCs/>
          <w:lang w:val="en-US"/>
        </w:rPr>
        <w:t xml:space="preserve"> 2013)</w:t>
      </w:r>
      <w:r w:rsidR="009E3CBA">
        <w:fldChar w:fldCharType="end"/>
      </w:r>
      <w:r w:rsidR="009E3CBA">
        <w:t>.  Some of the road scheme</w:t>
      </w:r>
      <w:r w:rsidR="00854BFE">
        <w:t>s</w:t>
      </w:r>
      <w:r w:rsidR="009E3CBA">
        <w:t xml:space="preserve"> </w:t>
      </w:r>
      <w:r w:rsidR="00F43227">
        <w:t xml:space="preserve">in national and sub-regional plans </w:t>
      </w:r>
      <w:r w:rsidR="009E3CBA">
        <w:t xml:space="preserve">would damage national </w:t>
      </w:r>
      <w:r w:rsidR="00F43227">
        <w:t xml:space="preserve">parks </w:t>
      </w:r>
      <w:r w:rsidR="00F43227">
        <w:fldChar w:fldCharType="begin"/>
      </w:r>
      <w:r w:rsidR="00F43227">
        <w:instrText>ADDIN RW.CITE{{3996 HighwaysEngland 2018}}</w:instrText>
      </w:r>
      <w:r w:rsidR="00F43227">
        <w:fldChar w:fldCharType="separate"/>
      </w:r>
      <w:r w:rsidR="00897909" w:rsidRPr="00897909">
        <w:rPr>
          <w:bCs/>
          <w:lang w:val="en-US"/>
        </w:rPr>
        <w:t>(Highways England, 2018)</w:t>
      </w:r>
      <w:r w:rsidR="00F43227">
        <w:fldChar w:fldCharType="end"/>
      </w:r>
      <w:r w:rsidR="00BC527C">
        <w:t xml:space="preserve">, World Heritage archaeological sites </w:t>
      </w:r>
      <w:r w:rsidR="00BC527C">
        <w:fldChar w:fldCharType="begin"/>
      </w:r>
      <w:r w:rsidR="00241D97">
        <w:instrText>ADDIN RW.CITE{{3997 Parker,Mike 2017}}</w:instrText>
      </w:r>
      <w:r w:rsidR="00BC527C">
        <w:fldChar w:fldCharType="separate"/>
      </w:r>
      <w:r w:rsidR="00241D97" w:rsidRPr="00241D97">
        <w:rPr>
          <w:bCs/>
          <w:lang w:val="en-US"/>
        </w:rPr>
        <w:t>(Parker</w:t>
      </w:r>
      <w:r w:rsidR="00241D97" w:rsidRPr="00241D97">
        <w:rPr>
          <w:bCs/>
          <w:i/>
          <w:lang w:val="en-US"/>
        </w:rPr>
        <w:t xml:space="preserve"> et al.,</w:t>
      </w:r>
      <w:r w:rsidR="00241D97" w:rsidRPr="00241D97">
        <w:rPr>
          <w:bCs/>
          <w:lang w:val="en-US"/>
        </w:rPr>
        <w:t xml:space="preserve"> 2017)</w:t>
      </w:r>
      <w:r w:rsidR="00BC527C">
        <w:fldChar w:fldCharType="end"/>
      </w:r>
      <w:r w:rsidR="00BC527C">
        <w:t>,</w:t>
      </w:r>
      <w:r w:rsidR="009E3CBA">
        <w:t xml:space="preserve"> </w:t>
      </w:r>
      <w:r w:rsidR="00F43227">
        <w:t xml:space="preserve">ancient woodland and </w:t>
      </w:r>
      <w:r w:rsidR="009E3CBA">
        <w:t xml:space="preserve">Sites of Special Scientific Interest </w:t>
      </w:r>
      <w:r w:rsidR="00F43227">
        <w:fldChar w:fldCharType="begin"/>
      </w:r>
      <w:r w:rsidR="00BC527C">
        <w:instrText>ADDIN RW.CITE{{3993 WestofEnglandAuthorities 2017 /f, Figure 5.1}}</w:instrText>
      </w:r>
      <w:r w:rsidR="00F43227">
        <w:fldChar w:fldCharType="separate"/>
      </w:r>
      <w:r w:rsidR="00897909" w:rsidRPr="00897909">
        <w:rPr>
          <w:bCs/>
          <w:lang w:val="en-US"/>
        </w:rPr>
        <w:t>(West of England Authorities, 2017, Figure 5.1)</w:t>
      </w:r>
      <w:r w:rsidR="00F43227">
        <w:fldChar w:fldCharType="end"/>
      </w:r>
      <w:r w:rsidR="00BC527C">
        <w:t xml:space="preserve"> – the same issues that ignited the anti-road protests of the 1990s.  The challenge for any new protest movement would be greater today.  Deeper forces have changed the ideological context</w:t>
      </w:r>
      <w:r w:rsidR="00854BFE">
        <w:t>,</w:t>
      </w:r>
      <w:r w:rsidR="00BC527C">
        <w:t xml:space="preserve"> and </w:t>
      </w:r>
      <w:r w:rsidR="00797786">
        <w:t xml:space="preserve">eroded </w:t>
      </w:r>
      <w:r w:rsidR="00BC527C">
        <w:t>belief in the possibility of an alternative</w:t>
      </w:r>
      <w:r w:rsidR="00797786">
        <w:t xml:space="preserve"> national transport strategy</w:t>
      </w:r>
      <w:r w:rsidR="0079445E">
        <w:t>.</w:t>
      </w:r>
    </w:p>
    <w:p w14:paraId="644093E6" w14:textId="3F63F839" w:rsidR="0079445E" w:rsidRDefault="0079445E" w:rsidP="00C8213B">
      <w:pPr>
        <w:ind w:firstLine="709"/>
      </w:pPr>
      <w:r>
        <w:t>At the time of writing a new campaign of illegal direct action motivated by concerns about climate change had recently begun in the UK.  Amongst its targets airport expansion has featured more highly than road transport</w:t>
      </w:r>
      <w:r w:rsidR="00897909">
        <w:t xml:space="preserve"> </w:t>
      </w:r>
      <w:r w:rsidR="00F07935">
        <w:fldChar w:fldCharType="begin"/>
      </w:r>
      <w:r w:rsidR="00F07935">
        <w:instrText>ADDIN RW.CITE{{4109 Taylor,Matthew 2019}}</w:instrText>
      </w:r>
      <w:r w:rsidR="00F07935">
        <w:fldChar w:fldCharType="separate"/>
      </w:r>
      <w:r w:rsidR="00BC7884" w:rsidRPr="00BC7884">
        <w:t>(M. Taylor and Gayle, 2019)</w:t>
      </w:r>
      <w:r w:rsidR="00F07935">
        <w:fldChar w:fldCharType="end"/>
      </w:r>
      <w:r w:rsidR="00A319A4">
        <w:t xml:space="preserve"> but the protestors’ demands would have far-reaching implications for both</w:t>
      </w:r>
      <w:r>
        <w:t>.  Whether this campaign will have similar or different impacts</w:t>
      </w:r>
      <w:r w:rsidR="00A319A4">
        <w:t xml:space="preserve"> to the anti-roads protestors </w:t>
      </w:r>
      <w:r>
        <w:t>on public opinion and decision-makers remains to be seen.</w:t>
      </w:r>
    </w:p>
    <w:p w14:paraId="2C4A750E" w14:textId="77777777" w:rsidR="00BC6CEF" w:rsidRDefault="00BC6CEF" w:rsidP="00B10E9A">
      <w:pPr>
        <w:pStyle w:val="Newparagraph"/>
      </w:pPr>
    </w:p>
    <w:p w14:paraId="740AF5CC" w14:textId="4C3C89B6" w:rsidR="00241D97" w:rsidRPr="00241D97" w:rsidRDefault="006A2455" w:rsidP="00241D97">
      <w:pPr>
        <w:pStyle w:val="NormalWeb"/>
        <w:jc w:val="center"/>
      </w:pPr>
      <w:r>
        <w:fldChar w:fldCharType="begin"/>
      </w:r>
      <w:r w:rsidR="00241D97">
        <w:instrText>ADDIN RW.BIB</w:instrText>
      </w:r>
      <w:r>
        <w:fldChar w:fldCharType="separate"/>
      </w:r>
      <w:r w:rsidR="00241D97" w:rsidRPr="00241D97">
        <w:t xml:space="preserve">References: </w:t>
      </w:r>
    </w:p>
    <w:p w14:paraId="63848F0B" w14:textId="77777777" w:rsidR="00241D97" w:rsidRPr="00241D97" w:rsidRDefault="00241D97" w:rsidP="00241D97">
      <w:pPr>
        <w:pStyle w:val="NormalWeb"/>
      </w:pPr>
      <w:r w:rsidRPr="00241D97">
        <w:t xml:space="preserve">AECOM (2018) </w:t>
      </w:r>
      <w:r w:rsidRPr="00241D97">
        <w:rPr>
          <w:i/>
          <w:iCs/>
        </w:rPr>
        <w:t>Spon's Civil Engineering and Highway Works Price Book 2017</w:t>
      </w:r>
      <w:r w:rsidRPr="00241D97">
        <w:t xml:space="preserve"> [online]. CRC Press.</w:t>
      </w:r>
    </w:p>
    <w:p w14:paraId="6F70742E" w14:textId="3391AC23" w:rsidR="00241D97" w:rsidRPr="00241D97" w:rsidRDefault="00241D97" w:rsidP="00241D97">
      <w:pPr>
        <w:pStyle w:val="NormalWeb"/>
      </w:pPr>
      <w:r w:rsidRPr="00241D97">
        <w:t xml:space="preserve">Amey, (2016) </w:t>
      </w:r>
      <w:r w:rsidRPr="00241D97">
        <w:rPr>
          <w:i/>
          <w:iCs/>
        </w:rPr>
        <w:t>Forecasting Report - Maidstone VISUM Transport Model</w:t>
      </w:r>
      <w:r w:rsidRPr="00241D97">
        <w:t xml:space="preserve"> [online]. Report number: CO04300370/003 Revision 01.</w:t>
      </w:r>
      <w:hyperlink r:id="rId19" w:tgtFrame="_blank" w:history="1">
        <w:r w:rsidRPr="00241D97">
          <w:rPr>
            <w:rStyle w:val="Hyperlink"/>
          </w:rPr>
          <w:t>www.maidstone.gov.uk</w:t>
        </w:r>
      </w:hyperlink>
      <w:r w:rsidRPr="00241D97">
        <w:t>: Kent County Council. [Accessed October 2018].</w:t>
      </w:r>
    </w:p>
    <w:p w14:paraId="48260B16" w14:textId="77777777" w:rsidR="00241D97" w:rsidRPr="00241D97" w:rsidRDefault="00241D97" w:rsidP="00241D97">
      <w:pPr>
        <w:pStyle w:val="NormalWeb"/>
      </w:pPr>
      <w:r w:rsidRPr="00241D97">
        <w:t xml:space="preserve">Arnott, R. and Small, K. (1994) The economics of traffic congestion. </w:t>
      </w:r>
      <w:r w:rsidRPr="00241D97">
        <w:rPr>
          <w:i/>
          <w:iCs/>
        </w:rPr>
        <w:t>American Scientist</w:t>
      </w:r>
      <w:r w:rsidRPr="00241D97">
        <w:t>. 82 (5), pp. 446-455.</w:t>
      </w:r>
    </w:p>
    <w:p w14:paraId="768426ED" w14:textId="77777777" w:rsidR="00241D97" w:rsidRPr="00241D97" w:rsidRDefault="00241D97" w:rsidP="00241D97">
      <w:pPr>
        <w:pStyle w:val="NormalWeb"/>
      </w:pPr>
      <w:r w:rsidRPr="00241D97">
        <w:t xml:space="preserve">Ban, C. and Gallagher, K. (2015) Recalibrating Policy Orthodoxy: The IMF Since the Great Recession. </w:t>
      </w:r>
      <w:r w:rsidRPr="00241D97">
        <w:rPr>
          <w:i/>
          <w:iCs/>
        </w:rPr>
        <w:t>Governance</w:t>
      </w:r>
      <w:r w:rsidRPr="00241D97">
        <w:t>. 28 (2), pp. 131-146.</w:t>
      </w:r>
    </w:p>
    <w:p w14:paraId="46D64D6E" w14:textId="77777777" w:rsidR="00241D97" w:rsidRPr="00241D97" w:rsidRDefault="00241D97" w:rsidP="00241D97">
      <w:pPr>
        <w:pStyle w:val="NormalWeb"/>
      </w:pPr>
      <w:r w:rsidRPr="00241D97">
        <w:t xml:space="preserve">Bom, P.R.D. and Ligthart, J.E. (2014) What have we learned from three decades of research on the productivity of public capital? </w:t>
      </w:r>
      <w:r w:rsidRPr="00241D97">
        <w:rPr>
          <w:i/>
          <w:iCs/>
        </w:rPr>
        <w:t>Journal of Economic Surveys</w:t>
      </w:r>
      <w:r w:rsidRPr="00241D97">
        <w:t>. 28 (5), pp. 889-916.</w:t>
      </w:r>
    </w:p>
    <w:p w14:paraId="26654E34" w14:textId="77777777" w:rsidR="00241D97" w:rsidRPr="00241D97" w:rsidRDefault="00241D97" w:rsidP="00241D97">
      <w:pPr>
        <w:pStyle w:val="NormalWeb"/>
      </w:pPr>
      <w:r w:rsidRPr="00241D97">
        <w:t xml:space="preserve">Bulkeley, H. and Rayner, T. (2003) New Realism and Local Realities: Local Transport Planning in Leicester and Cambridgeshire. </w:t>
      </w:r>
      <w:r w:rsidRPr="00241D97">
        <w:rPr>
          <w:i/>
          <w:iCs/>
        </w:rPr>
        <w:t>Urban Studies</w:t>
      </w:r>
      <w:r w:rsidRPr="00241D97">
        <w:t>. 40 (1), pp. 35-55.</w:t>
      </w:r>
    </w:p>
    <w:p w14:paraId="1775E12F" w14:textId="77777777" w:rsidR="00241D97" w:rsidRPr="00241D97" w:rsidRDefault="00241D97" w:rsidP="00241D97">
      <w:pPr>
        <w:pStyle w:val="NormalWeb"/>
      </w:pPr>
      <w:r w:rsidRPr="00241D97">
        <w:t xml:space="preserve">Carter, N. and Clements, B. (2015) From 'greenest government ever' to 'get rid of all the green crap': David Cameron, the Conservatives and the environment. </w:t>
      </w:r>
      <w:r w:rsidRPr="00241D97">
        <w:rPr>
          <w:i/>
          <w:iCs/>
        </w:rPr>
        <w:t>British Politics</w:t>
      </w:r>
      <w:r w:rsidRPr="00241D97">
        <w:t>. 10 (2), pp. 204-225.</w:t>
      </w:r>
    </w:p>
    <w:p w14:paraId="204C75B5" w14:textId="77777777" w:rsidR="00241D97" w:rsidRPr="00241D97" w:rsidRDefault="00241D97" w:rsidP="00241D97">
      <w:pPr>
        <w:pStyle w:val="NormalWeb"/>
      </w:pPr>
      <w:r w:rsidRPr="00241D97">
        <w:t xml:space="preserve">Clift, B. (2018) </w:t>
      </w:r>
      <w:r w:rsidRPr="00241D97">
        <w:rPr>
          <w:i/>
          <w:iCs/>
        </w:rPr>
        <w:t>The IMF and the Politics of Austerity in the Wake of the Global Financial Crisis</w:t>
      </w:r>
      <w:r w:rsidRPr="00241D97">
        <w:t>. Oxford: Oxford University Press.</w:t>
      </w:r>
    </w:p>
    <w:p w14:paraId="304C6BFC" w14:textId="77777777" w:rsidR="00241D97" w:rsidRPr="00241D97" w:rsidRDefault="00241D97" w:rsidP="00241D97">
      <w:pPr>
        <w:pStyle w:val="NormalWeb"/>
      </w:pPr>
      <w:r w:rsidRPr="00241D97">
        <w:t xml:space="preserve">Davis, A. and Tapp, A. (2017) The UK transport policy menu: Roads, roads, and a dash of multimodalism. </w:t>
      </w:r>
      <w:r w:rsidRPr="00241D97">
        <w:rPr>
          <w:i/>
          <w:iCs/>
        </w:rPr>
        <w:t>Social Business</w:t>
      </w:r>
      <w:r w:rsidRPr="00241D97">
        <w:t>. 7 (3-4), pp. 313-332.</w:t>
      </w:r>
    </w:p>
    <w:p w14:paraId="7ED7641B" w14:textId="77777777" w:rsidR="00241D97" w:rsidRPr="00241D97" w:rsidRDefault="00241D97" w:rsidP="00241D97">
      <w:pPr>
        <w:pStyle w:val="NormalWeb"/>
      </w:pPr>
      <w:r w:rsidRPr="00241D97">
        <w:t xml:space="preserve">DETR (1998) </w:t>
      </w:r>
      <w:r w:rsidRPr="00241D97">
        <w:rPr>
          <w:i/>
          <w:iCs/>
        </w:rPr>
        <w:t>A New Deal for Transport - Better for Everyone : The Government's White Paper on the Future of Transport</w:t>
      </w:r>
      <w:r w:rsidRPr="00241D97">
        <w:t>. The Stationary Office Ltd.</w:t>
      </w:r>
    </w:p>
    <w:p w14:paraId="28285D8A" w14:textId="76858318" w:rsidR="00241D97" w:rsidRPr="00241D97" w:rsidRDefault="00241D97" w:rsidP="00241D97">
      <w:pPr>
        <w:pStyle w:val="NormalWeb"/>
      </w:pPr>
      <w:r w:rsidRPr="00241D97">
        <w:t xml:space="preserve">DfT, (2018a) </w:t>
      </w:r>
      <w:r w:rsidRPr="00241D97">
        <w:rPr>
          <w:i/>
          <w:iCs/>
        </w:rPr>
        <w:t>Public Attitudes to Transport - from the British Social Attitudes Survey</w:t>
      </w:r>
      <w:r w:rsidRPr="00241D97">
        <w:t xml:space="preserve">. </w:t>
      </w:r>
      <w:hyperlink r:id="rId20" w:tgtFrame="_blank" w:history="1">
        <w:r w:rsidRPr="00241D97">
          <w:rPr>
            <w:rStyle w:val="Hyperlink"/>
          </w:rPr>
          <w:t>www.gov.uk</w:t>
        </w:r>
      </w:hyperlink>
      <w:r w:rsidRPr="00241D97">
        <w:t>: Department for Transport.</w:t>
      </w:r>
    </w:p>
    <w:p w14:paraId="2F99492E" w14:textId="7B031B63" w:rsidR="00241D97" w:rsidRPr="00241D97" w:rsidRDefault="00241D97" w:rsidP="00241D97">
      <w:pPr>
        <w:pStyle w:val="NormalWeb"/>
      </w:pPr>
      <w:r w:rsidRPr="00241D97">
        <w:t xml:space="preserve">DfT, (2018b) </w:t>
      </w:r>
      <w:r w:rsidRPr="00241D97">
        <w:rPr>
          <w:i/>
          <w:iCs/>
        </w:rPr>
        <w:t>Road Traffic Statistics Table TRA0201.  Road Traffic (Vehicle Kilometres) by Vehicle Type in Great Britain, Annual from 1949</w:t>
      </w:r>
      <w:r w:rsidRPr="00241D97">
        <w:t xml:space="preserve"> [online]. </w:t>
      </w:r>
      <w:hyperlink r:id="rId21" w:tgtFrame="_blank" w:history="1">
        <w:r w:rsidRPr="00241D97">
          <w:rPr>
            <w:rStyle w:val="Hyperlink"/>
          </w:rPr>
          <w:t>www.gov.uk</w:t>
        </w:r>
      </w:hyperlink>
      <w:r w:rsidRPr="00241D97">
        <w:t>: UK Department for Transport. [Accessed September 2018].</w:t>
      </w:r>
    </w:p>
    <w:p w14:paraId="26993F95" w14:textId="413EA5EB" w:rsidR="00241D97" w:rsidRPr="00241D97" w:rsidRDefault="00241D97" w:rsidP="00241D97">
      <w:pPr>
        <w:pStyle w:val="NormalWeb"/>
      </w:pPr>
      <w:r w:rsidRPr="00241D97">
        <w:t xml:space="preserve">DfT, (2015) </w:t>
      </w:r>
      <w:r w:rsidRPr="00241D97">
        <w:rPr>
          <w:i/>
          <w:iCs/>
        </w:rPr>
        <w:t>Road Investment Strategy: For the 2015/16 – 2019/20 Road Period</w:t>
      </w:r>
      <w:r w:rsidRPr="00241D97">
        <w:t xml:space="preserve"> [online]. </w:t>
      </w:r>
      <w:hyperlink r:id="rId22" w:tgtFrame="_blank" w:history="1">
        <w:r w:rsidRPr="00241D97">
          <w:rPr>
            <w:rStyle w:val="Hyperlink"/>
          </w:rPr>
          <w:t>www.gov.uk</w:t>
        </w:r>
      </w:hyperlink>
      <w:r w:rsidRPr="00241D97">
        <w:t>: Department for Transport. [Accessed July 2017].</w:t>
      </w:r>
    </w:p>
    <w:p w14:paraId="6028F0BF" w14:textId="77777777" w:rsidR="00241D97" w:rsidRPr="00241D97" w:rsidRDefault="00241D97" w:rsidP="00241D97">
      <w:pPr>
        <w:pStyle w:val="NormalWeb"/>
      </w:pPr>
      <w:r w:rsidRPr="00241D97">
        <w:t xml:space="preserve">DfT, (2011) </w:t>
      </w:r>
      <w:r w:rsidRPr="00241D97">
        <w:rPr>
          <w:i/>
          <w:iCs/>
        </w:rPr>
        <w:t>Investment in Local Transport Major Schemes - Update</w:t>
      </w:r>
      <w:r w:rsidRPr="00241D97">
        <w:t>. London: Great Britain Department for Transport.</w:t>
      </w:r>
    </w:p>
    <w:p w14:paraId="1DA8C361" w14:textId="77777777" w:rsidR="00241D97" w:rsidRPr="00241D97" w:rsidRDefault="00241D97" w:rsidP="00241D97">
      <w:pPr>
        <w:pStyle w:val="NormalWeb"/>
      </w:pPr>
      <w:r w:rsidRPr="00241D97">
        <w:t xml:space="preserve">Docherty, I. and Shaw, J. (2011) The Transformation of Transport Policy in Great Britain? ‘New Realism’ and New Labour's Decade of Displacement Activity. </w:t>
      </w:r>
      <w:r w:rsidRPr="00241D97">
        <w:rPr>
          <w:i/>
          <w:iCs/>
        </w:rPr>
        <w:t>Environ Plan A</w:t>
      </w:r>
      <w:r w:rsidRPr="00241D97">
        <w:t>. 43 (1), pp. 224-251.</w:t>
      </w:r>
    </w:p>
    <w:p w14:paraId="6E5C1A9B" w14:textId="77777777" w:rsidR="00241D97" w:rsidRPr="00241D97" w:rsidRDefault="00241D97" w:rsidP="00241D97">
      <w:pPr>
        <w:pStyle w:val="NormalWeb"/>
      </w:pPr>
      <w:r w:rsidRPr="00241D97">
        <w:t xml:space="preserve">Docherty, I., Shaw, J., Marsden, G. and Anable, J. (2018) The curious death – And life? – Of British transport policy. </w:t>
      </w:r>
      <w:r w:rsidRPr="00241D97">
        <w:rPr>
          <w:i/>
          <w:iCs/>
        </w:rPr>
        <w:t>Environment and Planning C: Politics and Space</w:t>
      </w:r>
      <w:r w:rsidRPr="00241D97">
        <w:t>. pp. 2399654418764451.</w:t>
      </w:r>
    </w:p>
    <w:p w14:paraId="5E759941" w14:textId="77777777" w:rsidR="00241D97" w:rsidRPr="00241D97" w:rsidRDefault="00241D97" w:rsidP="00241D97">
      <w:pPr>
        <w:pStyle w:val="NormalWeb"/>
      </w:pPr>
      <w:r w:rsidRPr="00241D97">
        <w:t xml:space="preserve">DoE (1990) </w:t>
      </w:r>
      <w:r w:rsidRPr="00241D97">
        <w:rPr>
          <w:i/>
          <w:iCs/>
        </w:rPr>
        <w:t>This Common Inheritance</w:t>
      </w:r>
      <w:r w:rsidRPr="00241D97">
        <w:t>. Great Britain, Department of the Environment.</w:t>
      </w:r>
    </w:p>
    <w:p w14:paraId="608530A6" w14:textId="77777777" w:rsidR="00241D97" w:rsidRPr="00241D97" w:rsidRDefault="00241D97" w:rsidP="00241D97">
      <w:pPr>
        <w:pStyle w:val="NormalWeb"/>
      </w:pPr>
      <w:r w:rsidRPr="00241D97">
        <w:t xml:space="preserve">DTp, (1996) </w:t>
      </w:r>
      <w:r w:rsidRPr="00241D97">
        <w:rPr>
          <w:i/>
          <w:iCs/>
        </w:rPr>
        <w:t>Transport. the Way Forward. the Government's Response to the Transport Debate</w:t>
      </w:r>
      <w:r w:rsidRPr="00241D97">
        <w:t>. Report number: CM 3234.London: Department of Transport.</w:t>
      </w:r>
    </w:p>
    <w:p w14:paraId="70A82891" w14:textId="77777777" w:rsidR="00241D97" w:rsidRPr="00241D97" w:rsidRDefault="00241D97" w:rsidP="00241D97">
      <w:pPr>
        <w:pStyle w:val="NormalWeb"/>
      </w:pPr>
      <w:r w:rsidRPr="00241D97">
        <w:t xml:space="preserve">DTp (1990) </w:t>
      </w:r>
      <w:r w:rsidRPr="00241D97">
        <w:rPr>
          <w:i/>
          <w:iCs/>
        </w:rPr>
        <w:t>Trunk Roads England: Into the 1990s</w:t>
      </w:r>
      <w:r w:rsidRPr="00241D97">
        <w:t>. London: Great Britain. Department of Transport.;.</w:t>
      </w:r>
    </w:p>
    <w:p w14:paraId="7E2941D3" w14:textId="77777777" w:rsidR="00241D97" w:rsidRPr="00241D97" w:rsidRDefault="00241D97" w:rsidP="00241D97">
      <w:pPr>
        <w:pStyle w:val="NormalWeb"/>
      </w:pPr>
      <w:r w:rsidRPr="00241D97">
        <w:t xml:space="preserve">DTp (1989) </w:t>
      </w:r>
      <w:r w:rsidRPr="00241D97">
        <w:rPr>
          <w:i/>
          <w:iCs/>
        </w:rPr>
        <w:t>Roads for Prosperity</w:t>
      </w:r>
      <w:r w:rsidRPr="00241D97">
        <w:t>. London: Great Britain. Department of Transport.;.</w:t>
      </w:r>
    </w:p>
    <w:p w14:paraId="0FCF454D" w14:textId="77777777" w:rsidR="00241D97" w:rsidRPr="00241D97" w:rsidRDefault="00241D97" w:rsidP="00241D97">
      <w:pPr>
        <w:pStyle w:val="NormalWeb"/>
      </w:pPr>
      <w:r w:rsidRPr="00241D97">
        <w:t>Dudley, G. and Parkhurst, G. (2008) Roads and traffic: from “predict and provide” to “making best use.”. In: Docherty, I. and Shaw, J., eds. (2008)</w:t>
      </w:r>
      <w:r w:rsidRPr="00241D97">
        <w:rPr>
          <w:i/>
          <w:iCs/>
        </w:rPr>
        <w:t xml:space="preserve"> Traffic Jam : Ten Years of 'Sustainable' Transport in the UK</w:t>
      </w:r>
      <w:r w:rsidRPr="00241D97">
        <w:t>. Bristol: Policy, pp. 51-74.</w:t>
      </w:r>
    </w:p>
    <w:p w14:paraId="1DA24203" w14:textId="77777777" w:rsidR="00241D97" w:rsidRPr="00241D97" w:rsidRDefault="00241D97" w:rsidP="00241D97">
      <w:pPr>
        <w:pStyle w:val="NormalWeb"/>
      </w:pPr>
      <w:r w:rsidRPr="00241D97">
        <w:t xml:space="preserve">Dudley, G. and Richardson, J. (2000) </w:t>
      </w:r>
      <w:r w:rsidRPr="00241D97">
        <w:rPr>
          <w:i/>
          <w:iCs/>
        </w:rPr>
        <w:t>Why does Policy Change?: Lessons from British Transport Policy, 1945-99</w:t>
      </w:r>
      <w:r w:rsidRPr="00241D97">
        <w:t>. London: Routledge.</w:t>
      </w:r>
    </w:p>
    <w:p w14:paraId="74CB38EA" w14:textId="77777777" w:rsidR="00241D97" w:rsidRPr="00241D97" w:rsidRDefault="00241D97" w:rsidP="00241D97">
      <w:pPr>
        <w:pStyle w:val="NormalWeb"/>
      </w:pPr>
      <w:r w:rsidRPr="00241D97">
        <w:t xml:space="preserve">Dudley, G. and Richardson, J. (1998) Arenas without Rules and the Policy Change Process: Outsider Groups and British Roads Policy. </w:t>
      </w:r>
      <w:r w:rsidRPr="00241D97">
        <w:rPr>
          <w:i/>
          <w:iCs/>
        </w:rPr>
        <w:t>Political Studies</w:t>
      </w:r>
      <w:r w:rsidRPr="00241D97">
        <w:t>. 46 (4), pp. 727-747.</w:t>
      </w:r>
    </w:p>
    <w:p w14:paraId="33536251" w14:textId="77777777" w:rsidR="00241D97" w:rsidRPr="00241D97" w:rsidRDefault="00241D97" w:rsidP="00241D97">
      <w:pPr>
        <w:pStyle w:val="NormalWeb"/>
      </w:pPr>
      <w:r w:rsidRPr="00241D97">
        <w:t xml:space="preserve">Feng, S., Shen, X. and Hu, B. (2018) Optimization of traffic demand management policy in China: towards a sustainable mode split. </w:t>
      </w:r>
      <w:r w:rsidRPr="00241D97">
        <w:rPr>
          <w:i/>
          <w:iCs/>
        </w:rPr>
        <w:t>Transportation Planning and Technology</w:t>
      </w:r>
      <w:r w:rsidRPr="00241D97">
        <w:t>. 41 (2), pp. 198-210.</w:t>
      </w:r>
    </w:p>
    <w:p w14:paraId="20EF9A44" w14:textId="77777777" w:rsidR="00241D97" w:rsidRPr="00241D97" w:rsidRDefault="00241D97" w:rsidP="00241D97">
      <w:pPr>
        <w:pStyle w:val="NormalWeb"/>
      </w:pPr>
      <w:r w:rsidRPr="00241D97">
        <w:t xml:space="preserve">Fletcher, A.J. (2017) Applying critical realism in qualitative research: methodology meets method. </w:t>
      </w:r>
      <w:r w:rsidRPr="00241D97">
        <w:rPr>
          <w:i/>
          <w:iCs/>
        </w:rPr>
        <w:t>International Journal of Social Research Methodology</w:t>
      </w:r>
      <w:r w:rsidRPr="00241D97">
        <w:t>. 20 (2), pp. 181-194.</w:t>
      </w:r>
    </w:p>
    <w:p w14:paraId="22FDD834" w14:textId="77777777" w:rsidR="00241D97" w:rsidRPr="00241D97" w:rsidRDefault="00241D97" w:rsidP="00241D97">
      <w:pPr>
        <w:pStyle w:val="NormalWeb"/>
      </w:pPr>
      <w:r w:rsidRPr="00241D97">
        <w:t xml:space="preserve">Ganesh, J. (2012) </w:t>
      </w:r>
      <w:r w:rsidRPr="00241D97">
        <w:rPr>
          <w:i/>
          <w:iCs/>
        </w:rPr>
        <w:t>George Osborne : The Austerity Chancellor</w:t>
      </w:r>
      <w:r w:rsidRPr="00241D97">
        <w:t>. London: Biteback.</w:t>
      </w:r>
    </w:p>
    <w:p w14:paraId="7F5C10E3" w14:textId="77777777" w:rsidR="00241D97" w:rsidRPr="00241D97" w:rsidRDefault="00241D97" w:rsidP="00241D97">
      <w:pPr>
        <w:pStyle w:val="NormalWeb"/>
      </w:pPr>
      <w:r w:rsidRPr="00241D97">
        <w:t>Goodwin, P. (In press) Forecasting road traffic and its significance for transport policy. In: Docherty,Iain,Shaw,Jon, ed. (In press)</w:t>
      </w:r>
      <w:r w:rsidRPr="00241D97">
        <w:rPr>
          <w:i/>
          <w:iCs/>
        </w:rPr>
        <w:t xml:space="preserve"> Transport Matters</w:t>
      </w:r>
      <w:r w:rsidRPr="00241D97">
        <w:t>. Bristol: Policy Press, pp. Chapter 7.</w:t>
      </w:r>
    </w:p>
    <w:p w14:paraId="0A00D80B" w14:textId="77777777" w:rsidR="00241D97" w:rsidRPr="00241D97" w:rsidRDefault="00241D97" w:rsidP="00241D97">
      <w:pPr>
        <w:pStyle w:val="NormalWeb"/>
      </w:pPr>
      <w:r w:rsidRPr="00241D97">
        <w:t>Goodwin, P. (2008) Traffic jam? Policy debates after 10 years of 'sustainable' transport. In: Docherty, I. and Shaw, J., eds. (2008)</w:t>
      </w:r>
      <w:r w:rsidRPr="00241D97">
        <w:rPr>
          <w:i/>
          <w:iCs/>
        </w:rPr>
        <w:t xml:space="preserve"> Traffic Jam : Ten Years of 'Sustainable' Transport in the UK</w:t>
      </w:r>
      <w:r w:rsidRPr="00241D97">
        <w:t>. Bristol: Policy, pp. 231-240.</w:t>
      </w:r>
    </w:p>
    <w:p w14:paraId="5D6CCFF9" w14:textId="77777777" w:rsidR="00241D97" w:rsidRPr="00241D97" w:rsidRDefault="00241D97" w:rsidP="00241D97">
      <w:pPr>
        <w:pStyle w:val="NormalWeb"/>
      </w:pPr>
      <w:r w:rsidRPr="00241D97">
        <w:t xml:space="preserve">Goodwin, P. (1999) Transformation of transport policy in Great Britain. </w:t>
      </w:r>
      <w:r w:rsidRPr="00241D97">
        <w:rPr>
          <w:i/>
          <w:iCs/>
        </w:rPr>
        <w:t>Transportation Research Part A: Policy and Practice</w:t>
      </w:r>
      <w:r w:rsidRPr="00241D97">
        <w:t>. 33(7), pp. 655-669.</w:t>
      </w:r>
    </w:p>
    <w:p w14:paraId="32736337" w14:textId="77777777" w:rsidR="00241D97" w:rsidRPr="00241D97" w:rsidRDefault="00241D97" w:rsidP="00241D97">
      <w:pPr>
        <w:pStyle w:val="NormalWeb"/>
      </w:pPr>
      <w:r w:rsidRPr="00241D97">
        <w:t xml:space="preserve">Goodwin, P., Hallett, S., Kenny, F. and Stokes, G. (1991) </w:t>
      </w:r>
      <w:r w:rsidRPr="00241D97">
        <w:rPr>
          <w:i/>
          <w:iCs/>
        </w:rPr>
        <w:t>Transport, the New Realism</w:t>
      </w:r>
      <w:r w:rsidRPr="00241D97">
        <w:t>. Transport Studies Unit, Oxford University.</w:t>
      </w:r>
    </w:p>
    <w:p w14:paraId="0FB21411" w14:textId="1B6FF314" w:rsidR="00241D97" w:rsidRPr="00241D97" w:rsidRDefault="00241D97" w:rsidP="00241D97">
      <w:pPr>
        <w:pStyle w:val="NormalWeb"/>
      </w:pPr>
      <w:r w:rsidRPr="00241D97">
        <w:t xml:space="preserve">H M Treasury, (2018) </w:t>
      </w:r>
      <w:r w:rsidRPr="00241D97">
        <w:rPr>
          <w:i/>
          <w:iCs/>
        </w:rPr>
        <w:t>Public Expenditure Statistical Analyses</w:t>
      </w:r>
      <w:r w:rsidRPr="00241D97">
        <w:t xml:space="preserve"> [online]. </w:t>
      </w:r>
      <w:hyperlink r:id="rId23" w:tgtFrame="_blank" w:history="1">
        <w:r w:rsidRPr="00241D97">
          <w:rPr>
            <w:rStyle w:val="Hyperlink"/>
          </w:rPr>
          <w:t>www.gov.uk</w:t>
        </w:r>
      </w:hyperlink>
      <w:r w:rsidRPr="00241D97">
        <w:t>: [Accessed October 2018].</w:t>
      </w:r>
    </w:p>
    <w:p w14:paraId="3DB896E9" w14:textId="30CCFD6A" w:rsidR="00241D97" w:rsidRPr="00241D97" w:rsidRDefault="00241D97" w:rsidP="00241D97">
      <w:pPr>
        <w:pStyle w:val="NormalWeb"/>
      </w:pPr>
      <w:r w:rsidRPr="00241D97">
        <w:t xml:space="preserve">H M Treasury, (2013) </w:t>
      </w:r>
      <w:r w:rsidRPr="00241D97">
        <w:rPr>
          <w:i/>
          <w:iCs/>
        </w:rPr>
        <w:t>Investing in Britain's Future</w:t>
      </w:r>
      <w:r w:rsidRPr="00241D97">
        <w:t xml:space="preserve"> [online]. </w:t>
      </w:r>
      <w:hyperlink r:id="rId24" w:tgtFrame="_blank" w:history="1">
        <w:r w:rsidRPr="00241D97">
          <w:rPr>
            <w:rStyle w:val="Hyperlink"/>
          </w:rPr>
          <w:t>www.gov.uk</w:t>
        </w:r>
      </w:hyperlink>
      <w:r w:rsidRPr="00241D97">
        <w:t>: [Accessed December 2013].</w:t>
      </w:r>
    </w:p>
    <w:p w14:paraId="6D822E1A" w14:textId="4322995C" w:rsidR="00241D97" w:rsidRPr="00241D97" w:rsidRDefault="00241D97" w:rsidP="00241D97">
      <w:pPr>
        <w:pStyle w:val="NormalWeb"/>
      </w:pPr>
      <w:r w:rsidRPr="00241D97">
        <w:t xml:space="preserve">H M Treasury, (2011) </w:t>
      </w:r>
      <w:r w:rsidRPr="00241D97">
        <w:rPr>
          <w:i/>
          <w:iCs/>
        </w:rPr>
        <w:t>Autumn Statement</w:t>
      </w:r>
      <w:r w:rsidRPr="00241D97">
        <w:t xml:space="preserve"> [online]. </w:t>
      </w:r>
      <w:hyperlink r:id="rId25" w:tgtFrame="_blank" w:history="1">
        <w:r w:rsidRPr="00241D97">
          <w:rPr>
            <w:rStyle w:val="Hyperlink"/>
          </w:rPr>
          <w:t>www.gov.uk</w:t>
        </w:r>
      </w:hyperlink>
      <w:r w:rsidRPr="00241D97">
        <w:t>: [Accessed October 2018].</w:t>
      </w:r>
    </w:p>
    <w:p w14:paraId="362F83E5" w14:textId="77777777" w:rsidR="00241D97" w:rsidRPr="00241D97" w:rsidRDefault="00241D97" w:rsidP="00241D97">
      <w:pPr>
        <w:pStyle w:val="NormalWeb"/>
      </w:pPr>
      <w:r w:rsidRPr="00241D97">
        <w:t xml:space="preserve">Hall, P.A. (1993) Policy Paradigms, Social Learning, and the State: The Case of Economic Policymaking in Britain. </w:t>
      </w:r>
      <w:r w:rsidRPr="00241D97">
        <w:rPr>
          <w:i/>
          <w:iCs/>
        </w:rPr>
        <w:t>Comparative Politics</w:t>
      </w:r>
      <w:r w:rsidRPr="00241D97">
        <w:t>. 25 (3), pp. 275-296.</w:t>
      </w:r>
    </w:p>
    <w:p w14:paraId="57E3CA1F" w14:textId="77777777" w:rsidR="00241D97" w:rsidRPr="00241D97" w:rsidRDefault="00241D97" w:rsidP="00241D97">
      <w:pPr>
        <w:pStyle w:val="NormalWeb"/>
      </w:pPr>
      <w:r w:rsidRPr="00241D97">
        <w:t xml:space="preserve">Hamer, M. (1987) </w:t>
      </w:r>
      <w:r w:rsidRPr="00241D97">
        <w:rPr>
          <w:i/>
          <w:iCs/>
        </w:rPr>
        <w:t>Wheels within Wheels: A Study of the Road Lobby</w:t>
      </w:r>
      <w:r w:rsidRPr="00241D97">
        <w:t>. London: Routledge &amp; Kegan Paul.</w:t>
      </w:r>
    </w:p>
    <w:p w14:paraId="58CDF09C" w14:textId="77777777" w:rsidR="00241D97" w:rsidRPr="00241D97" w:rsidRDefault="00241D97" w:rsidP="00241D97">
      <w:pPr>
        <w:pStyle w:val="NormalWeb"/>
      </w:pPr>
      <w:r w:rsidRPr="00241D97">
        <w:t xml:space="preserve">Hardy, J. (1991) Labour Plans Stop on New Roads. </w:t>
      </w:r>
      <w:r w:rsidRPr="00241D97">
        <w:rPr>
          <w:i/>
          <w:iCs/>
        </w:rPr>
        <w:t>Press Association</w:t>
      </w:r>
      <w:r w:rsidRPr="00241D97">
        <w:t>. April 17.</w:t>
      </w:r>
    </w:p>
    <w:p w14:paraId="6F947958" w14:textId="77777777" w:rsidR="00241D97" w:rsidRPr="00241D97" w:rsidRDefault="00241D97" w:rsidP="00241D97">
      <w:pPr>
        <w:pStyle w:val="NormalWeb"/>
      </w:pPr>
      <w:r w:rsidRPr="00241D97">
        <w:t xml:space="preserve">Highways Agency, (2013) </w:t>
      </w:r>
      <w:r w:rsidRPr="00241D97">
        <w:rPr>
          <w:i/>
          <w:iCs/>
        </w:rPr>
        <w:t>Post Opening Project Evaluation of Major Schemes.  Meta-Analysis</w:t>
      </w:r>
      <w:r w:rsidRPr="00241D97">
        <w:t xml:space="preserve">. </w:t>
      </w:r>
    </w:p>
    <w:p w14:paraId="2E001BA8" w14:textId="21622DB3" w:rsidR="00241D97" w:rsidRPr="00241D97" w:rsidRDefault="00241D97" w:rsidP="00241D97">
      <w:pPr>
        <w:pStyle w:val="NormalWeb"/>
      </w:pPr>
      <w:r w:rsidRPr="00241D97">
        <w:t xml:space="preserve">Highways England (2018) </w:t>
      </w:r>
      <w:r w:rsidRPr="00241D97">
        <w:rPr>
          <w:i/>
          <w:iCs/>
        </w:rPr>
        <w:t xml:space="preserve">Arundel Bypass Feedback. </w:t>
      </w:r>
      <w:r w:rsidRPr="00241D97">
        <w:t xml:space="preserve">Available from: </w:t>
      </w:r>
      <w:hyperlink r:id="rId26" w:tgtFrame="_blank" w:history="1">
        <w:r w:rsidRPr="00241D97">
          <w:rPr>
            <w:rStyle w:val="Hyperlink"/>
          </w:rPr>
          <w:t>https://highwaysengland.citizenspace.com/he/a27-arundel-bypass/</w:t>
        </w:r>
      </w:hyperlink>
      <w:r w:rsidRPr="00241D97">
        <w:t xml:space="preserve"> [Accessed October 2018].</w:t>
      </w:r>
    </w:p>
    <w:p w14:paraId="5531CB14" w14:textId="77777777" w:rsidR="00241D97" w:rsidRPr="00241D97" w:rsidRDefault="00241D97" w:rsidP="00241D97">
      <w:pPr>
        <w:pStyle w:val="NormalWeb"/>
      </w:pPr>
      <w:r w:rsidRPr="00241D97">
        <w:t xml:space="preserve">Hodgson, G.M. (2004) Some claims made for critical realism in economics: two case studies. </w:t>
      </w:r>
      <w:r w:rsidRPr="00241D97">
        <w:rPr>
          <w:i/>
          <w:iCs/>
        </w:rPr>
        <w:t>Journal of Economic Methodology</w:t>
      </w:r>
      <w:r w:rsidRPr="00241D97">
        <w:t>. 11 (1), pp. 53-73.</w:t>
      </w:r>
    </w:p>
    <w:p w14:paraId="7248B04E" w14:textId="77777777" w:rsidR="00241D97" w:rsidRPr="00241D97" w:rsidRDefault="00241D97" w:rsidP="00241D97">
      <w:pPr>
        <w:pStyle w:val="NormalWeb"/>
      </w:pPr>
      <w:r w:rsidRPr="00241D97">
        <w:t xml:space="preserve">Hodgson, G.M. (1999) Marching to the Promised Land? Some Doubts on the Policy Affinities of Critical Realism. </w:t>
      </w:r>
      <w:r w:rsidRPr="00241D97">
        <w:rPr>
          <w:i/>
          <w:iCs/>
        </w:rPr>
        <w:t>Alethia</w:t>
      </w:r>
      <w:r w:rsidRPr="00241D97">
        <w:t>. 2 (2), pp. 2-10.</w:t>
      </w:r>
    </w:p>
    <w:p w14:paraId="69A08BB5" w14:textId="77777777" w:rsidR="00241D97" w:rsidRPr="00241D97" w:rsidRDefault="00241D97" w:rsidP="00241D97">
      <w:pPr>
        <w:pStyle w:val="NormalWeb"/>
      </w:pPr>
      <w:r w:rsidRPr="00241D97">
        <w:t xml:space="preserve">Holmgren, J. and Merkel, A. (2017) Much ado about nothing? – A meta-analysis of the relationship between infrastructure and economic growth. </w:t>
      </w:r>
      <w:r w:rsidRPr="00241D97">
        <w:rPr>
          <w:i/>
          <w:iCs/>
        </w:rPr>
        <w:t>Research in Transportation Economics</w:t>
      </w:r>
      <w:r w:rsidRPr="00241D97">
        <w:t>. 63(Supplement C), pp. 13-26.</w:t>
      </w:r>
    </w:p>
    <w:p w14:paraId="4F1C83D5" w14:textId="77777777" w:rsidR="00241D97" w:rsidRPr="00241D97" w:rsidRDefault="00241D97" w:rsidP="00241D97">
      <w:pPr>
        <w:pStyle w:val="NormalWeb"/>
      </w:pPr>
      <w:r w:rsidRPr="00241D97">
        <w:t xml:space="preserve">IMF, (1996a) </w:t>
      </w:r>
      <w:r w:rsidRPr="00241D97">
        <w:rPr>
          <w:i/>
          <w:iCs/>
        </w:rPr>
        <w:t>Annual Report</w:t>
      </w:r>
      <w:r w:rsidRPr="00241D97">
        <w:t>. Washington DC: International Monetary Fund.</w:t>
      </w:r>
    </w:p>
    <w:p w14:paraId="13FA5D7F" w14:textId="77777777" w:rsidR="00241D97" w:rsidRPr="00241D97" w:rsidRDefault="00241D97" w:rsidP="00241D97">
      <w:pPr>
        <w:pStyle w:val="NormalWeb"/>
      </w:pPr>
      <w:r w:rsidRPr="00241D97">
        <w:t xml:space="preserve">IMF (1996b) </w:t>
      </w:r>
      <w:r w:rsidRPr="00241D97">
        <w:rPr>
          <w:i/>
          <w:iCs/>
        </w:rPr>
        <w:t>Guidelines for Fiscal Adjustments</w:t>
      </w:r>
      <w:r w:rsidRPr="00241D97">
        <w:t>. Washington DC: International Monetary Fund.</w:t>
      </w:r>
    </w:p>
    <w:p w14:paraId="06E17FD2" w14:textId="77777777" w:rsidR="00241D97" w:rsidRPr="00241D97" w:rsidRDefault="00241D97" w:rsidP="00241D97">
      <w:pPr>
        <w:pStyle w:val="NormalWeb"/>
      </w:pPr>
      <w:r w:rsidRPr="00241D97">
        <w:t xml:space="preserve">IMF, (1995) </w:t>
      </w:r>
      <w:r w:rsidRPr="00241D97">
        <w:rPr>
          <w:i/>
          <w:iCs/>
        </w:rPr>
        <w:t>Annual Report</w:t>
      </w:r>
      <w:r w:rsidRPr="00241D97">
        <w:t>. Washington DC: International Monetary Fund.</w:t>
      </w:r>
    </w:p>
    <w:p w14:paraId="13F154FD" w14:textId="77777777" w:rsidR="00241D97" w:rsidRPr="00241D97" w:rsidRDefault="00241D97" w:rsidP="00241D97">
      <w:pPr>
        <w:pStyle w:val="NormalWeb"/>
      </w:pPr>
      <w:r w:rsidRPr="00241D97">
        <w:t xml:space="preserve">IMF, (1994) </w:t>
      </w:r>
      <w:r w:rsidRPr="00241D97">
        <w:rPr>
          <w:i/>
          <w:iCs/>
        </w:rPr>
        <w:t>Annual Report</w:t>
      </w:r>
      <w:r w:rsidRPr="00241D97">
        <w:t>. Washington DC: International Monetary Fund.</w:t>
      </w:r>
    </w:p>
    <w:p w14:paraId="2C561C24" w14:textId="77777777" w:rsidR="00241D97" w:rsidRPr="00241D97" w:rsidRDefault="00241D97" w:rsidP="00241D97">
      <w:pPr>
        <w:pStyle w:val="NormalWeb"/>
      </w:pPr>
      <w:r w:rsidRPr="00241D97">
        <w:t xml:space="preserve">Jonsson, I. (2012) Explaining the Crisis of Iceland. </w:t>
      </w:r>
      <w:r w:rsidRPr="00241D97">
        <w:rPr>
          <w:i/>
          <w:iCs/>
        </w:rPr>
        <w:t>Journal of Critical Realism</w:t>
      </w:r>
      <w:r w:rsidRPr="00241D97">
        <w:t>. 11 (1), pp. 5-39.</w:t>
      </w:r>
    </w:p>
    <w:p w14:paraId="7E826DB0" w14:textId="77777777" w:rsidR="00241D97" w:rsidRPr="00241D97" w:rsidRDefault="00241D97" w:rsidP="00241D97">
      <w:pPr>
        <w:pStyle w:val="NormalWeb"/>
      </w:pPr>
      <w:r w:rsidRPr="00241D97">
        <w:t xml:space="preserve">Keen, S. (2011) </w:t>
      </w:r>
      <w:r w:rsidRPr="00241D97">
        <w:rPr>
          <w:i/>
          <w:iCs/>
        </w:rPr>
        <w:t>Debunking Economics: The Naked Emperor Dethroned?</w:t>
      </w:r>
      <w:r w:rsidRPr="00241D97">
        <w:t>. Revised and expanded ed. London: Zed.</w:t>
      </w:r>
    </w:p>
    <w:p w14:paraId="6CB6E641" w14:textId="77777777" w:rsidR="00241D97" w:rsidRPr="00241D97" w:rsidRDefault="00241D97" w:rsidP="00241D97">
      <w:pPr>
        <w:pStyle w:val="NormalWeb"/>
      </w:pPr>
      <w:r w:rsidRPr="00241D97">
        <w:t xml:space="preserve">Keynes, S. and Tetlow, G., (2014) </w:t>
      </w:r>
      <w:r w:rsidRPr="00241D97">
        <w:rPr>
          <w:i/>
          <w:iCs/>
        </w:rPr>
        <w:t>Survey of Public Spending in the UK</w:t>
      </w:r>
      <w:r w:rsidRPr="00241D97">
        <w:t xml:space="preserve"> [online]. Report number: BN43.London: Institute for Fiscal Studies.</w:t>
      </w:r>
    </w:p>
    <w:p w14:paraId="3FAC4C6A" w14:textId="77777777" w:rsidR="00241D97" w:rsidRPr="00241D97" w:rsidRDefault="00241D97" w:rsidP="00241D97">
      <w:pPr>
        <w:pStyle w:val="NormalWeb"/>
      </w:pPr>
      <w:r w:rsidRPr="00241D97">
        <w:t xml:space="preserve">Kingdon, J.W. (1995) </w:t>
      </w:r>
      <w:r w:rsidRPr="00241D97">
        <w:rPr>
          <w:i/>
          <w:iCs/>
        </w:rPr>
        <w:t>Agendas, Alternatives, and Public Policies</w:t>
      </w:r>
      <w:r w:rsidRPr="00241D97">
        <w:t>. 2nd ed. New York: Harper Collins.</w:t>
      </w:r>
    </w:p>
    <w:p w14:paraId="4FFC61A3" w14:textId="77777777" w:rsidR="00241D97" w:rsidRPr="00241D97" w:rsidRDefault="00241D97" w:rsidP="00241D97">
      <w:pPr>
        <w:pStyle w:val="NormalWeb"/>
      </w:pPr>
      <w:r w:rsidRPr="00241D97">
        <w:t>Lawson, T. (1998) Economic Science Without Experimentation. In: Bhaskar, R., Archer, M., Collier, A., Lawson, T. and Norrie, A., eds. (1998)</w:t>
      </w:r>
      <w:r w:rsidRPr="00241D97">
        <w:rPr>
          <w:i/>
          <w:iCs/>
        </w:rPr>
        <w:t xml:space="preserve"> Critical Realism: Essential Readings</w:t>
      </w:r>
      <w:r w:rsidRPr="00241D97">
        <w:t>. Routledge, pp. 144-186.</w:t>
      </w:r>
    </w:p>
    <w:p w14:paraId="203A8FF8" w14:textId="77777777" w:rsidR="00241D97" w:rsidRPr="00241D97" w:rsidRDefault="00241D97" w:rsidP="00241D97">
      <w:pPr>
        <w:pStyle w:val="NormalWeb"/>
      </w:pPr>
      <w:r w:rsidRPr="00241D97">
        <w:t xml:space="preserve">Leeson, R. (2001) </w:t>
      </w:r>
      <w:r w:rsidRPr="00241D97">
        <w:rPr>
          <w:i/>
          <w:iCs/>
        </w:rPr>
        <w:t>The Eclipse of Keynesianism: The Political Economy of the Chicago Counter-Revolution</w:t>
      </w:r>
      <w:r w:rsidRPr="00241D97">
        <w:t xml:space="preserve"> [online]. Springer.</w:t>
      </w:r>
    </w:p>
    <w:p w14:paraId="01B1EA33" w14:textId="77777777" w:rsidR="00241D97" w:rsidRPr="00241D97" w:rsidRDefault="00241D97" w:rsidP="00241D97">
      <w:pPr>
        <w:pStyle w:val="NormalWeb"/>
      </w:pPr>
      <w:r w:rsidRPr="00241D97">
        <w:t xml:space="preserve">Lyons, G. and Chatterjee, K. (2002) </w:t>
      </w:r>
      <w:r w:rsidRPr="00241D97">
        <w:rPr>
          <w:i/>
          <w:iCs/>
        </w:rPr>
        <w:t>Transport Lessons from the Fuel Tax Protests of 2000</w:t>
      </w:r>
      <w:r w:rsidRPr="00241D97">
        <w:t>. Ashgate.</w:t>
      </w:r>
    </w:p>
    <w:p w14:paraId="2172567C" w14:textId="4E7FE63F" w:rsidR="00241D97" w:rsidRPr="00241D97" w:rsidRDefault="00241D97" w:rsidP="00241D97">
      <w:pPr>
        <w:pStyle w:val="NormalWeb"/>
      </w:pPr>
      <w:r w:rsidRPr="00241D97">
        <w:t xml:space="preserve">Marsden, G., Metz, D., Mackie, P., Hull, A., Parkhurst, G., Rye, T., Hess, S., Nelson, J., Docherty, I., Lyons, G., Maher, M., Allsop, R., Potter, S., Shaw, J., Nash, C., Banister, D., Tight, M., Carey, M., Parkin, J., Wilson, R., Saleh, W., Goodwin, P., Preston, J., McDonald, M., Hine, J., Ison, S., Stradling, S., Wardman, M., Bell, M., White, P., Atkins, S., Smyth, A., Buchan, K. and Elliott, T., (2013) </w:t>
      </w:r>
      <w:r w:rsidRPr="00241D97">
        <w:rPr>
          <w:i/>
          <w:iCs/>
        </w:rPr>
        <w:t>Transport Strategy – Where should we be Heading? Letter to the Secretary of State for Transport</w:t>
      </w:r>
      <w:r w:rsidRPr="00241D97">
        <w:t xml:space="preserve"> [online]. </w:t>
      </w:r>
      <w:hyperlink r:id="rId27" w:tgtFrame="_blank" w:history="1">
        <w:r w:rsidRPr="00241D97">
          <w:rPr>
            <w:rStyle w:val="Hyperlink"/>
          </w:rPr>
          <w:t>www.tps.org.uk</w:t>
        </w:r>
      </w:hyperlink>
      <w:r w:rsidRPr="00241D97">
        <w:t>: Transport Planning Society. [Accessed October 2015].</w:t>
      </w:r>
    </w:p>
    <w:p w14:paraId="3A6C901E" w14:textId="77777777" w:rsidR="00241D97" w:rsidRPr="00241D97" w:rsidRDefault="00241D97" w:rsidP="00241D97">
      <w:pPr>
        <w:pStyle w:val="NormalWeb"/>
      </w:pPr>
      <w:r w:rsidRPr="00241D97">
        <w:t xml:space="preserve">Melia, S. (2017) Does Transport Investment Really Boost Economic Growth? </w:t>
      </w:r>
      <w:r w:rsidRPr="00241D97">
        <w:rPr>
          <w:i/>
          <w:iCs/>
        </w:rPr>
        <w:t>World Transport Policy &amp; Practice</w:t>
      </w:r>
      <w:r w:rsidRPr="00241D97">
        <w:t>. 23.3&amp;4 pp. 118-128.</w:t>
      </w:r>
    </w:p>
    <w:p w14:paraId="71E19ACC" w14:textId="77777777" w:rsidR="00241D97" w:rsidRPr="00241D97" w:rsidRDefault="00241D97" w:rsidP="00241D97">
      <w:pPr>
        <w:pStyle w:val="NormalWeb"/>
      </w:pPr>
      <w:r w:rsidRPr="00241D97">
        <w:t xml:space="preserve">Melo, P.C., Graham, D.J. and Brage-Ardao, R. (2013) The productivity of transport infrastructure investment: A meta-analysis of empirical evidence. </w:t>
      </w:r>
      <w:r w:rsidRPr="00241D97">
        <w:rPr>
          <w:i/>
          <w:iCs/>
        </w:rPr>
        <w:t>Regional Science and Urban Economics</w:t>
      </w:r>
      <w:r w:rsidRPr="00241D97">
        <w:t>. 43 (5), pp. 695-706.</w:t>
      </w:r>
    </w:p>
    <w:p w14:paraId="76FC8462" w14:textId="77777777" w:rsidR="00241D97" w:rsidRPr="00241D97" w:rsidRDefault="00241D97" w:rsidP="00241D97">
      <w:pPr>
        <w:pStyle w:val="NormalWeb"/>
      </w:pPr>
      <w:r w:rsidRPr="00241D97">
        <w:t xml:space="preserve">Mintrom, M. (1997) Policy Entrepreneurs and the Diffusion of Innovation. </w:t>
      </w:r>
      <w:r w:rsidRPr="00241D97">
        <w:rPr>
          <w:i/>
          <w:iCs/>
        </w:rPr>
        <w:t>American Journal of Political Science</w:t>
      </w:r>
      <w:r w:rsidRPr="00241D97">
        <w:t>. 41 (3), pp. pp. 738-770.</w:t>
      </w:r>
    </w:p>
    <w:p w14:paraId="506FA29B" w14:textId="77777777" w:rsidR="00241D97" w:rsidRPr="00241D97" w:rsidRDefault="00241D97" w:rsidP="00241D97">
      <w:pPr>
        <w:pStyle w:val="NormalWeb"/>
      </w:pPr>
      <w:r w:rsidRPr="00241D97">
        <w:t xml:space="preserve">Næss, P. (2006) Cost-benefit analyses of transportation investments: neither critical nor realistic. </w:t>
      </w:r>
      <w:r w:rsidRPr="00241D97">
        <w:rPr>
          <w:i/>
          <w:iCs/>
        </w:rPr>
        <w:t>Journal of Critical Realism</w:t>
      </w:r>
      <w:r w:rsidRPr="00241D97">
        <w:t>. 5 (1), pp. 32-60.</w:t>
      </w:r>
    </w:p>
    <w:p w14:paraId="65BDE9A6" w14:textId="77777777" w:rsidR="00241D97" w:rsidRPr="00241D97" w:rsidRDefault="00241D97" w:rsidP="00241D97">
      <w:pPr>
        <w:pStyle w:val="NormalWeb"/>
      </w:pPr>
      <w:r w:rsidRPr="00241D97">
        <w:t xml:space="preserve">Næss, P. (2004) Prediction, Regressions and Critical Realism. </w:t>
      </w:r>
      <w:r w:rsidRPr="00241D97">
        <w:rPr>
          <w:i/>
          <w:iCs/>
        </w:rPr>
        <w:t>Journal of Critical Realism</w:t>
      </w:r>
      <w:r w:rsidRPr="00241D97">
        <w:t>. 3 (1), pp. 133-164.</w:t>
      </w:r>
    </w:p>
    <w:p w14:paraId="41B9813C" w14:textId="77777777" w:rsidR="00241D97" w:rsidRPr="00241D97" w:rsidRDefault="00241D97" w:rsidP="00241D97">
      <w:pPr>
        <w:pStyle w:val="NormalWeb"/>
      </w:pPr>
      <w:r w:rsidRPr="00241D97">
        <w:t xml:space="preserve">Næss, P. and Strand, A. (2012) What Kinds of Traffic Forecasts are Possible? </w:t>
      </w:r>
      <w:r w:rsidRPr="00241D97">
        <w:rPr>
          <w:i/>
          <w:iCs/>
        </w:rPr>
        <w:t>Journal of Critical Realism</w:t>
      </w:r>
      <w:r w:rsidRPr="00241D97">
        <w:t>. 11 (3), pp. 277-295.</w:t>
      </w:r>
    </w:p>
    <w:p w14:paraId="049FC546" w14:textId="77777777" w:rsidR="00241D97" w:rsidRPr="00241D97" w:rsidRDefault="00241D97" w:rsidP="00241D97">
      <w:pPr>
        <w:pStyle w:val="NormalWeb"/>
      </w:pPr>
      <w:r w:rsidRPr="00241D97">
        <w:t xml:space="preserve">Nickerson, R.S. (1998) Confirmation bias: A ubiquitous phenomenon in many guises. </w:t>
      </w:r>
      <w:r w:rsidRPr="00241D97">
        <w:rPr>
          <w:i/>
          <w:iCs/>
        </w:rPr>
        <w:t>Review of General Psychology</w:t>
      </w:r>
      <w:r w:rsidRPr="00241D97">
        <w:t>. 2 (2), pp. 175-220.</w:t>
      </w:r>
    </w:p>
    <w:p w14:paraId="005FC62E" w14:textId="77777777" w:rsidR="00241D97" w:rsidRPr="00241D97" w:rsidRDefault="00241D97" w:rsidP="00241D97">
      <w:pPr>
        <w:pStyle w:val="NormalWeb"/>
      </w:pPr>
      <w:r w:rsidRPr="00241D97">
        <w:t xml:space="preserve">O'Connor, J. (2017) </w:t>
      </w:r>
      <w:r w:rsidRPr="00241D97">
        <w:rPr>
          <w:i/>
          <w:iCs/>
        </w:rPr>
        <w:t>The Fiscal Crisis of the State</w:t>
      </w:r>
      <w:r w:rsidRPr="00241D97">
        <w:t>. Routledge.</w:t>
      </w:r>
    </w:p>
    <w:p w14:paraId="75428B94" w14:textId="1BB0DDE6" w:rsidR="00241D97" w:rsidRPr="00241D97" w:rsidRDefault="00241D97" w:rsidP="00241D97">
      <w:pPr>
        <w:pStyle w:val="NormalWeb"/>
      </w:pPr>
      <w:r w:rsidRPr="00241D97">
        <w:t xml:space="preserve">ONS, (2018) </w:t>
      </w:r>
      <w:r w:rsidRPr="00241D97">
        <w:rPr>
          <w:i/>
          <w:iCs/>
        </w:rPr>
        <w:t>Gross Domestic Product: Chained Volume Measures: Seasonally Adjusted £m</w:t>
      </w:r>
      <w:r w:rsidRPr="00241D97">
        <w:t xml:space="preserve"> [online]. </w:t>
      </w:r>
      <w:hyperlink r:id="rId28" w:tgtFrame="_blank" w:history="1">
        <w:r w:rsidRPr="00241D97">
          <w:rPr>
            <w:rStyle w:val="Hyperlink"/>
          </w:rPr>
          <w:t>www.ons.gov.uk</w:t>
        </w:r>
      </w:hyperlink>
      <w:r w:rsidRPr="00241D97">
        <w:t>: UK Office of National Statistics. [Accessed September 2018].</w:t>
      </w:r>
    </w:p>
    <w:p w14:paraId="14F1A7CD" w14:textId="6B3D8051" w:rsidR="00241D97" w:rsidRPr="00241D97" w:rsidRDefault="00241D97" w:rsidP="00241D97">
      <w:pPr>
        <w:pStyle w:val="NormalWeb"/>
      </w:pPr>
      <w:r w:rsidRPr="00241D97">
        <w:t xml:space="preserve">ONS, (2017) </w:t>
      </w:r>
      <w:r w:rsidRPr="00241D97">
        <w:rPr>
          <w:i/>
          <w:iCs/>
        </w:rPr>
        <w:t>Public Sector Finances, UK: August 2017</w:t>
      </w:r>
      <w:r w:rsidRPr="00241D97">
        <w:t xml:space="preserve"> [online]. </w:t>
      </w:r>
      <w:hyperlink r:id="rId29" w:tgtFrame="_blank" w:history="1">
        <w:r w:rsidRPr="00241D97">
          <w:rPr>
            <w:rStyle w:val="Hyperlink"/>
          </w:rPr>
          <w:t>www.ons.gov.uk</w:t>
        </w:r>
      </w:hyperlink>
      <w:r w:rsidRPr="00241D97">
        <w:t>: UK Office of National Statistics. [Accessed October 2018].</w:t>
      </w:r>
    </w:p>
    <w:p w14:paraId="15BF2F14" w14:textId="3170935F" w:rsidR="00241D97" w:rsidRPr="00241D97" w:rsidRDefault="00241D97" w:rsidP="00241D97">
      <w:pPr>
        <w:pStyle w:val="NormalWeb"/>
      </w:pPr>
      <w:r w:rsidRPr="00241D97">
        <w:t xml:space="preserve">Osborne, G. (2013) </w:t>
      </w:r>
      <w:r w:rsidRPr="00241D97">
        <w:rPr>
          <w:i/>
          <w:iCs/>
        </w:rPr>
        <w:t xml:space="preserve">Chancellor of the Exchequers Keynote Speech on the Economy. </w:t>
      </w:r>
      <w:r w:rsidRPr="00241D97">
        <w:t xml:space="preserve">Available from: </w:t>
      </w:r>
      <w:hyperlink r:id="rId30" w:tgtFrame="_blank" w:history="1">
        <w:r w:rsidRPr="00241D97">
          <w:rPr>
            <w:rStyle w:val="Hyperlink"/>
          </w:rPr>
          <w:t>https://www.gov.uk/government/speeches/chancellor-speech-on-the-economy</w:t>
        </w:r>
      </w:hyperlink>
      <w:r w:rsidRPr="00241D97">
        <w:t xml:space="preserve"> [Accessed January 2018].</w:t>
      </w:r>
    </w:p>
    <w:p w14:paraId="627DD04E" w14:textId="77777777" w:rsidR="00241D97" w:rsidRPr="00241D97" w:rsidRDefault="00241D97" w:rsidP="00241D97">
      <w:pPr>
        <w:pStyle w:val="NormalWeb"/>
      </w:pPr>
      <w:r w:rsidRPr="00241D97">
        <w:t>Osborne, G. (2011a) Budget Speech. [online]. [Accessed October 2018].</w:t>
      </w:r>
    </w:p>
    <w:p w14:paraId="0FAD2977" w14:textId="77777777" w:rsidR="00241D97" w:rsidRPr="00241D97" w:rsidRDefault="00241D97" w:rsidP="00241D97">
      <w:pPr>
        <w:pStyle w:val="NormalWeb"/>
      </w:pPr>
      <w:r w:rsidRPr="00241D97">
        <w:t xml:space="preserve">Osborne, G. (2011b) Speech to Conservative Party Conference. In: Anon. (2011b) . Manchester, October 3rd. New Statesman. </w:t>
      </w:r>
    </w:p>
    <w:p w14:paraId="011C67A4" w14:textId="46D26560" w:rsidR="00241D97" w:rsidRPr="00241D97" w:rsidRDefault="00241D97" w:rsidP="00241D97">
      <w:pPr>
        <w:pStyle w:val="NormalWeb"/>
      </w:pPr>
      <w:r w:rsidRPr="00241D97">
        <w:t xml:space="preserve">Parker, M., Albarella, U., Allen, M., Bishop, B., Branch, N., Chippindale, C., Craig, O., Field, D., French, C., Gaffney, V., MSc, G., Jacques, D., James, N., Pollard, J., Richards, C., Robinson, D., Rowley-Conwy, P., Ruggles, C., Thomas, J., Tilley, C. and Welham, K., (2017) </w:t>
      </w:r>
      <w:r w:rsidRPr="00241D97">
        <w:rPr>
          <w:i/>
          <w:iCs/>
        </w:rPr>
        <w:br/>
        <w:t xml:space="preserve">A303 Stonehenge Feedback from a Consortium of Stonehenge Experts </w:t>
      </w:r>
      <w:r w:rsidRPr="00241D97">
        <w:t xml:space="preserve">[online]. </w:t>
      </w:r>
      <w:hyperlink r:id="rId31" w:tgtFrame="_blank" w:history="1">
        <w:r w:rsidRPr="00241D97">
          <w:rPr>
            <w:rStyle w:val="Hyperlink"/>
          </w:rPr>
          <w:t>http://www.ucl.ac.uk/archaeology/news-events/news/Final_consultation_letter.pdf</w:t>
        </w:r>
      </w:hyperlink>
      <w:r w:rsidRPr="00241D97">
        <w:t>: University College London. [Accessed October 2018].</w:t>
      </w:r>
    </w:p>
    <w:p w14:paraId="39C0B4E7" w14:textId="77777777" w:rsidR="00241D97" w:rsidRPr="00241D97" w:rsidRDefault="00241D97" w:rsidP="00241D97">
      <w:pPr>
        <w:pStyle w:val="NormalWeb"/>
      </w:pPr>
      <w:r w:rsidRPr="00241D97">
        <w:t xml:space="preserve">RCEP, (1994) </w:t>
      </w:r>
      <w:r w:rsidRPr="00241D97">
        <w:rPr>
          <w:i/>
          <w:iCs/>
        </w:rPr>
        <w:t>Transport and the Environment</w:t>
      </w:r>
      <w:r w:rsidRPr="00241D97">
        <w:t>. Report number: 26.Norwich: Royal Commission on Environmental Pollution, The Stationery Office.</w:t>
      </w:r>
    </w:p>
    <w:p w14:paraId="30E8CFD9" w14:textId="77777777" w:rsidR="00241D97" w:rsidRPr="00241D97" w:rsidRDefault="00241D97" w:rsidP="00241D97">
      <w:pPr>
        <w:pStyle w:val="NormalWeb"/>
      </w:pPr>
      <w:r w:rsidRPr="00241D97">
        <w:t xml:space="preserve">Robinson, N. (2003) Fuel protests: Governing the ungovernable? </w:t>
      </w:r>
      <w:r w:rsidRPr="00241D97">
        <w:rPr>
          <w:i/>
          <w:iCs/>
        </w:rPr>
        <w:t>Parliamentary Affairs</w:t>
      </w:r>
      <w:r w:rsidRPr="00241D97">
        <w:t>. 56 (3), pp. 423-440.</w:t>
      </w:r>
    </w:p>
    <w:p w14:paraId="6E7A732C" w14:textId="77777777" w:rsidR="00241D97" w:rsidRPr="00241D97" w:rsidRDefault="00241D97" w:rsidP="00241D97">
      <w:pPr>
        <w:pStyle w:val="NormalWeb"/>
      </w:pPr>
      <w:r w:rsidRPr="00241D97">
        <w:t>Robinson, N. (2000) The politics of the car: the limits of actor-centred models of agenda setting. In: Seel, B., Paterson, M. and Doherty, B., eds. (2000)</w:t>
      </w:r>
      <w:r w:rsidRPr="00241D97">
        <w:rPr>
          <w:i/>
          <w:iCs/>
        </w:rPr>
        <w:t xml:space="preserve"> Direct Action in British Environmentalism</w:t>
      </w:r>
      <w:r w:rsidRPr="00241D97">
        <w:t>. London: Routledge, pp. 199-218.</w:t>
      </w:r>
    </w:p>
    <w:p w14:paraId="6AA159CA" w14:textId="77777777" w:rsidR="00241D97" w:rsidRPr="00241D97" w:rsidRDefault="00241D97" w:rsidP="00241D97">
      <w:pPr>
        <w:pStyle w:val="NormalWeb"/>
      </w:pPr>
      <w:r w:rsidRPr="00241D97">
        <w:t xml:space="preserve">Sabatier, P.A. (1988) An advocacy coalition framework of policy change and the role of policy-oriented learning therein. </w:t>
      </w:r>
      <w:r w:rsidRPr="00241D97">
        <w:rPr>
          <w:i/>
          <w:iCs/>
        </w:rPr>
        <w:t>Policy Sciences</w:t>
      </w:r>
      <w:r w:rsidRPr="00241D97">
        <w:t>. 21 (2-4), pp. 129-168.</w:t>
      </w:r>
    </w:p>
    <w:p w14:paraId="4AFE8F7F" w14:textId="77777777" w:rsidR="00241D97" w:rsidRPr="00241D97" w:rsidRDefault="00241D97" w:rsidP="00241D97">
      <w:pPr>
        <w:pStyle w:val="NormalWeb"/>
      </w:pPr>
      <w:r w:rsidRPr="00241D97">
        <w:t xml:space="preserve">SACTRA, (1999) </w:t>
      </w:r>
      <w:r w:rsidRPr="00241D97">
        <w:rPr>
          <w:i/>
          <w:iCs/>
        </w:rPr>
        <w:t>Transport and the Economy</w:t>
      </w:r>
      <w:r w:rsidRPr="00241D97">
        <w:t>. London: Standing Committee on Trunk Road Assessment.</w:t>
      </w:r>
    </w:p>
    <w:p w14:paraId="22D3D14E" w14:textId="77777777" w:rsidR="00241D97" w:rsidRPr="00241D97" w:rsidRDefault="00241D97" w:rsidP="00241D97">
      <w:pPr>
        <w:pStyle w:val="NormalWeb"/>
      </w:pPr>
      <w:r w:rsidRPr="00241D97">
        <w:t xml:space="preserve">SACTRA, (1994) </w:t>
      </w:r>
      <w:r w:rsidRPr="00241D97">
        <w:rPr>
          <w:i/>
          <w:iCs/>
        </w:rPr>
        <w:t>Trunk Roads and the Generation of Traffic</w:t>
      </w:r>
      <w:r w:rsidRPr="00241D97">
        <w:t>. Report number: 11.London: Department of Transport Standing Advisory Committee on Trunk Roads Assessment.</w:t>
      </w:r>
    </w:p>
    <w:p w14:paraId="331172D5" w14:textId="77777777" w:rsidR="00241D97" w:rsidRPr="00241D97" w:rsidRDefault="00241D97" w:rsidP="00241D97">
      <w:pPr>
        <w:pStyle w:val="NormalWeb"/>
      </w:pPr>
      <w:r w:rsidRPr="00241D97">
        <w:t xml:space="preserve">Sayer, A. (1997) Critical Realism and the Limits to Critical Social Science. </w:t>
      </w:r>
      <w:r w:rsidRPr="00241D97">
        <w:rPr>
          <w:i/>
          <w:iCs/>
        </w:rPr>
        <w:t>Journal for the Theory of Social Behaviour</w:t>
      </w:r>
      <w:r w:rsidRPr="00241D97">
        <w:t>. 27 (4), pp. 473-488.</w:t>
      </w:r>
    </w:p>
    <w:p w14:paraId="3F6F1285" w14:textId="77777777" w:rsidR="00241D97" w:rsidRPr="00241D97" w:rsidRDefault="00241D97" w:rsidP="00241D97">
      <w:pPr>
        <w:pStyle w:val="NormalWeb"/>
      </w:pPr>
      <w:r w:rsidRPr="00241D97">
        <w:t xml:space="preserve">Shaw, J., Hunter, C. and Gray, D. (2006) Disintegrated Transport Policy: The Multimodal Studies Process in England. </w:t>
      </w:r>
      <w:r w:rsidRPr="00241D97">
        <w:rPr>
          <w:i/>
          <w:iCs/>
        </w:rPr>
        <w:t>Environ Plann C Gov Policy</w:t>
      </w:r>
      <w:r w:rsidRPr="00241D97">
        <w:t>. 24 (4), pp. 575-596.</w:t>
      </w:r>
    </w:p>
    <w:p w14:paraId="23265A8D" w14:textId="1087E0C1" w:rsidR="00241D97" w:rsidRPr="00241D97" w:rsidRDefault="00241D97" w:rsidP="00241D97">
      <w:pPr>
        <w:pStyle w:val="NormalWeb"/>
      </w:pPr>
      <w:r w:rsidRPr="00241D97">
        <w:t xml:space="preserve">Sloman, L., Hopkinson, L. and Taylor, I., (2017) </w:t>
      </w:r>
      <w:r w:rsidRPr="00241D97">
        <w:rPr>
          <w:i/>
          <w:iCs/>
        </w:rPr>
        <w:t>The Impact of Road Projects in England</w:t>
      </w:r>
      <w:r w:rsidRPr="00241D97">
        <w:t xml:space="preserve"> [online]. </w:t>
      </w:r>
      <w:hyperlink r:id="rId32" w:tgtFrame="_blank" w:history="1">
        <w:r w:rsidRPr="00241D97">
          <w:rPr>
            <w:rStyle w:val="Hyperlink"/>
          </w:rPr>
          <w:t>www.cpre.org.uk</w:t>
        </w:r>
      </w:hyperlink>
      <w:r w:rsidRPr="00241D97">
        <w:t>: Campaign to Protect Rural England. [Accessed May 2017].</w:t>
      </w:r>
    </w:p>
    <w:p w14:paraId="116C8BB9" w14:textId="77777777" w:rsidR="00241D97" w:rsidRPr="00241D97" w:rsidRDefault="00241D97" w:rsidP="00241D97">
      <w:pPr>
        <w:pStyle w:val="NormalWeb"/>
      </w:pPr>
      <w:r w:rsidRPr="00241D97">
        <w:t xml:space="preserve">Taylor, M. and Gayle, D. (2019) Extinction Rebellion targets Heathrow as activists held in jail. </w:t>
      </w:r>
      <w:r w:rsidRPr="00241D97">
        <w:rPr>
          <w:i/>
          <w:iCs/>
        </w:rPr>
        <w:t>The Guardian</w:t>
      </w:r>
      <w:r w:rsidRPr="00241D97">
        <w:t>. April 18.</w:t>
      </w:r>
    </w:p>
    <w:p w14:paraId="0C38EA0A" w14:textId="77777777" w:rsidR="00241D97" w:rsidRPr="00241D97" w:rsidRDefault="00241D97" w:rsidP="00241D97">
      <w:pPr>
        <w:pStyle w:val="NormalWeb"/>
      </w:pPr>
      <w:r w:rsidRPr="00241D97">
        <w:t>Taylor, E. (2012) Chapter 6 - Environment. In: Park, A., Clery, E., Curtice, J., Phillips, M. and Utting, D., eds. (2012)</w:t>
      </w:r>
      <w:r w:rsidRPr="00241D97">
        <w:rPr>
          <w:i/>
          <w:iCs/>
        </w:rPr>
        <w:t xml:space="preserve"> British Social Attitudes Survey 28</w:t>
      </w:r>
      <w:r w:rsidRPr="00241D97">
        <w:t>. London: Sage, .</w:t>
      </w:r>
    </w:p>
    <w:p w14:paraId="7E772D16" w14:textId="77777777" w:rsidR="00241D97" w:rsidRPr="00241D97" w:rsidRDefault="00241D97" w:rsidP="00241D97">
      <w:pPr>
        <w:pStyle w:val="NormalWeb"/>
      </w:pPr>
      <w:r w:rsidRPr="00241D97">
        <w:t xml:space="preserve">Vigar, G. (2002) </w:t>
      </w:r>
      <w:r w:rsidRPr="00241D97">
        <w:rPr>
          <w:i/>
          <w:iCs/>
        </w:rPr>
        <w:t>The Politics of Mobility : Transport, the Environment, and Public Policy</w:t>
      </w:r>
      <w:r w:rsidRPr="00241D97">
        <w:t>. London: Spon Press.</w:t>
      </w:r>
    </w:p>
    <w:p w14:paraId="3D09B2AF" w14:textId="77777777" w:rsidR="00241D97" w:rsidRPr="00241D97" w:rsidRDefault="00241D97" w:rsidP="00241D97">
      <w:pPr>
        <w:pStyle w:val="NormalWeb"/>
      </w:pPr>
      <w:r w:rsidRPr="00241D97">
        <w:t xml:space="preserve">Vigar, G. (2001) Reappraising UK transport policy 1950-99: the myth of 'mono-modality' and the nature of 'paradigm shifts'. </w:t>
      </w:r>
      <w:r w:rsidRPr="00241D97">
        <w:rPr>
          <w:i/>
          <w:iCs/>
        </w:rPr>
        <w:t>Planning Perspectives</w:t>
      </w:r>
      <w:r w:rsidRPr="00241D97">
        <w:t>. 16 (3), pp. 269-291.</w:t>
      </w:r>
    </w:p>
    <w:p w14:paraId="3818A9A2" w14:textId="77777777" w:rsidR="00241D97" w:rsidRPr="00241D97" w:rsidRDefault="00241D97" w:rsidP="00241D97">
      <w:pPr>
        <w:pStyle w:val="NormalWeb"/>
      </w:pPr>
      <w:r w:rsidRPr="00241D97">
        <w:t xml:space="preserve">Vigar, G. (2000) Local 'Barriers' to Environmentally Sustainable Transport Planning. </w:t>
      </w:r>
      <w:r w:rsidRPr="00241D97">
        <w:rPr>
          <w:i/>
          <w:iCs/>
        </w:rPr>
        <w:t>Local Environment</w:t>
      </w:r>
      <w:r w:rsidRPr="00241D97">
        <w:t>. 5 (1), pp. 19-32.</w:t>
      </w:r>
    </w:p>
    <w:p w14:paraId="25307F53" w14:textId="77777777" w:rsidR="00241D97" w:rsidRPr="00241D97" w:rsidRDefault="00241D97" w:rsidP="00241D97">
      <w:pPr>
        <w:pStyle w:val="NormalWeb"/>
      </w:pPr>
      <w:r w:rsidRPr="00241D97">
        <w:t xml:space="preserve">Wall, D. (1999) </w:t>
      </w:r>
      <w:r w:rsidRPr="00241D97">
        <w:rPr>
          <w:i/>
          <w:iCs/>
        </w:rPr>
        <w:t>Earth First! and the Anti-Roads Movement: Radical Environmentalism and Comparative Social Movements</w:t>
      </w:r>
      <w:r w:rsidRPr="00241D97">
        <w:t>. London: Routledge.</w:t>
      </w:r>
    </w:p>
    <w:p w14:paraId="509153F7" w14:textId="77777777" w:rsidR="00241D97" w:rsidRPr="00241D97" w:rsidRDefault="00241D97" w:rsidP="00241D97">
      <w:pPr>
        <w:pStyle w:val="NormalWeb"/>
      </w:pPr>
      <w:r w:rsidRPr="00241D97">
        <w:t xml:space="preserve">Wang, A. and Ziedins, I. (2018) Probabilistic selfish routing in parallel batch and single-server queues. </w:t>
      </w:r>
      <w:r w:rsidRPr="00241D97">
        <w:rPr>
          <w:i/>
          <w:iCs/>
        </w:rPr>
        <w:t>Queueing Systems</w:t>
      </w:r>
      <w:r w:rsidRPr="00241D97">
        <w:t>. 88 (3), pp. 389-407.</w:t>
      </w:r>
    </w:p>
    <w:p w14:paraId="724F0923" w14:textId="47C60D87" w:rsidR="00241D97" w:rsidRPr="00241D97" w:rsidRDefault="00241D97" w:rsidP="00241D97">
      <w:pPr>
        <w:pStyle w:val="NormalWeb"/>
      </w:pPr>
      <w:r w:rsidRPr="00241D97">
        <w:t xml:space="preserve">West of England Authorities, (2017) </w:t>
      </w:r>
      <w:r w:rsidRPr="00241D97">
        <w:rPr>
          <w:i/>
          <w:iCs/>
        </w:rPr>
        <w:t>Joint Transport Study Final Report</w:t>
      </w:r>
      <w:r w:rsidRPr="00241D97">
        <w:t xml:space="preserve"> [online]. </w:t>
      </w:r>
      <w:hyperlink r:id="rId33" w:tgtFrame="_blank" w:history="1">
        <w:r w:rsidRPr="00241D97">
          <w:rPr>
            <w:rStyle w:val="Hyperlink"/>
          </w:rPr>
          <w:t>www.jointplanningwofe.org.uk</w:t>
        </w:r>
      </w:hyperlink>
      <w:r w:rsidRPr="00241D97">
        <w:t>: [Accessed January 2018].</w:t>
      </w:r>
    </w:p>
    <w:p w14:paraId="5D1E7ED2" w14:textId="77777777" w:rsidR="00241D97" w:rsidRPr="00241D97" w:rsidRDefault="00241D97" w:rsidP="00241D97">
      <w:pPr>
        <w:pStyle w:val="NormalWeb"/>
      </w:pPr>
      <w:r w:rsidRPr="00241D97">
        <w:t>White, P. (2008) Transport for London: success despite Westminster? In: Docherty, I. and Shaw, J., eds. (2008)</w:t>
      </w:r>
      <w:r w:rsidRPr="00241D97">
        <w:rPr>
          <w:i/>
          <w:iCs/>
        </w:rPr>
        <w:t xml:space="preserve"> Traffic Jam : Ten Years of 'Sustainable' Transport in the UK</w:t>
      </w:r>
      <w:r w:rsidRPr="00241D97">
        <w:t>. Bristol: Policy, pp. 183-203.</w:t>
      </w:r>
    </w:p>
    <w:p w14:paraId="75F428E9" w14:textId="77777777" w:rsidR="00241D97" w:rsidRPr="00241D97" w:rsidRDefault="00241D97" w:rsidP="00241D97">
      <w:pPr>
        <w:pStyle w:val="NormalWeb"/>
      </w:pPr>
      <w:r w:rsidRPr="00241D97">
        <w:t xml:space="preserve">Whitelegg, J., (1994) </w:t>
      </w:r>
      <w:r w:rsidRPr="00241D97">
        <w:rPr>
          <w:i/>
          <w:iCs/>
        </w:rPr>
        <w:t>Roads, Jobs and the Economy - a Report for Greenpeace</w:t>
      </w:r>
      <w:r w:rsidRPr="00241D97">
        <w:t>. Lancaster: Ecologica Ltd.</w:t>
      </w:r>
    </w:p>
    <w:p w14:paraId="7E7A3358" w14:textId="03B72EF1" w:rsidR="00B04B0F" w:rsidRDefault="00241D97" w:rsidP="00241D97">
      <w:r w:rsidRPr="00241D97">
        <w:t> </w:t>
      </w:r>
      <w:r w:rsidR="006A2455">
        <w:fldChar w:fldCharType="end"/>
      </w:r>
    </w:p>
    <w:p w14:paraId="7D74C0F2" w14:textId="3ED6F747" w:rsidR="00A659E6" w:rsidRPr="00A659E6" w:rsidRDefault="00A659E6" w:rsidP="00A659E6">
      <w:pPr>
        <w:rPr>
          <w:sz w:val="22"/>
          <w:szCs w:val="22"/>
        </w:rPr>
      </w:pPr>
    </w:p>
    <w:p w14:paraId="28F5E141" w14:textId="73A66E5B" w:rsidR="00A659E6" w:rsidRPr="00A659E6" w:rsidRDefault="00A659E6" w:rsidP="00A659E6">
      <w:pPr>
        <w:pStyle w:val="Newparagraph"/>
        <w:rPr>
          <w:sz w:val="22"/>
          <w:szCs w:val="22"/>
        </w:rPr>
      </w:pPr>
    </w:p>
    <w:sectPr w:rsidR="00A659E6" w:rsidRPr="00A659E6" w:rsidSect="00074B81">
      <w:footerReference w:type="default" r:id="rId3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29604" w14:textId="77777777" w:rsidR="00E32704" w:rsidRDefault="00E32704" w:rsidP="00AF2C92">
      <w:r>
        <w:separator/>
      </w:r>
    </w:p>
  </w:endnote>
  <w:endnote w:type="continuationSeparator" w:id="0">
    <w:p w14:paraId="776F5A9F" w14:textId="77777777" w:rsidR="00E32704" w:rsidRDefault="00E3270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26566"/>
      <w:docPartObj>
        <w:docPartGallery w:val="Page Numbers (Bottom of Page)"/>
        <w:docPartUnique/>
      </w:docPartObj>
    </w:sdtPr>
    <w:sdtEndPr>
      <w:rPr>
        <w:noProof/>
      </w:rPr>
    </w:sdtEndPr>
    <w:sdtContent>
      <w:p w14:paraId="65AEEDCB" w14:textId="073317FE" w:rsidR="00E32704" w:rsidRDefault="00E32704">
        <w:pPr>
          <w:pStyle w:val="Footer"/>
          <w:jc w:val="center"/>
        </w:pPr>
        <w:r>
          <w:fldChar w:fldCharType="begin"/>
        </w:r>
        <w:r>
          <w:instrText xml:space="preserve"> PAGE   \* MERGEFORMAT </w:instrText>
        </w:r>
        <w:r>
          <w:fldChar w:fldCharType="separate"/>
        </w:r>
        <w:r w:rsidR="00767135">
          <w:rPr>
            <w:noProof/>
          </w:rPr>
          <w:t>34</w:t>
        </w:r>
        <w:r>
          <w:rPr>
            <w:noProof/>
          </w:rPr>
          <w:fldChar w:fldCharType="end"/>
        </w:r>
      </w:p>
    </w:sdtContent>
  </w:sdt>
  <w:p w14:paraId="4F09F1AE" w14:textId="77777777" w:rsidR="00E32704" w:rsidRDefault="00E3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9B6D" w14:textId="77777777" w:rsidR="00E32704" w:rsidRDefault="00E32704" w:rsidP="00AF2C92">
      <w:r>
        <w:separator/>
      </w:r>
    </w:p>
  </w:footnote>
  <w:footnote w:type="continuationSeparator" w:id="0">
    <w:p w14:paraId="6335C0A2" w14:textId="77777777" w:rsidR="00E32704" w:rsidRDefault="00E32704" w:rsidP="00AF2C92">
      <w:r>
        <w:continuationSeparator/>
      </w:r>
    </w:p>
  </w:footnote>
  <w:footnote w:id="1">
    <w:p w14:paraId="0D7027A6" w14:textId="77777777" w:rsidR="00E32704" w:rsidRDefault="00E32704" w:rsidP="00D87799">
      <w:pPr>
        <w:pStyle w:val="FootnoteText"/>
      </w:pPr>
      <w:r>
        <w:rPr>
          <w:rStyle w:val="FootnoteReference"/>
        </w:rPr>
        <w:footnoteRef/>
      </w:r>
      <w:r>
        <w:t xml:space="preserve"> The terminology and classification of some roads have changed over time.  ‘Strategic’ is used here to describe roads controlled by central government.</w:t>
      </w:r>
    </w:p>
  </w:footnote>
  <w:footnote w:id="2">
    <w:p w14:paraId="261D9F31" w14:textId="77777777" w:rsidR="00E32704" w:rsidRPr="00B8684B" w:rsidRDefault="00E32704" w:rsidP="00B8684B">
      <w:pPr>
        <w:pStyle w:val="Caption"/>
        <w:jc w:val="left"/>
        <w:rPr>
          <w:b w:val="0"/>
        </w:rPr>
      </w:pPr>
      <w:r w:rsidRPr="00B8684B">
        <w:rPr>
          <w:rStyle w:val="FootnoteReference"/>
          <w:b w:val="0"/>
        </w:rPr>
        <w:footnoteRef/>
      </w:r>
      <w:r w:rsidRPr="00B8684B">
        <w:rPr>
          <w:b w:val="0"/>
        </w:rPr>
        <w:t xml:space="preserve"> Reproduced under </w:t>
      </w:r>
      <w:hyperlink r:id="rId1" w:history="1">
        <w:r w:rsidRPr="00B8684B">
          <w:rPr>
            <w:rStyle w:val="Hyperlink"/>
            <w:b w:val="0"/>
          </w:rPr>
          <w:t>Open Government Licence 3.0</w:t>
        </w:r>
      </w:hyperlink>
    </w:p>
    <w:p w14:paraId="488A7B57" w14:textId="5583388F" w:rsidR="00E32704" w:rsidRDefault="00E32704">
      <w:pPr>
        <w:pStyle w:val="FootnoteText"/>
      </w:pPr>
    </w:p>
  </w:footnote>
  <w:footnote w:id="3">
    <w:p w14:paraId="2F51134D" w14:textId="58EDFA35" w:rsidR="00E32704" w:rsidRDefault="00E32704">
      <w:pPr>
        <w:pStyle w:val="FootnoteText"/>
      </w:pPr>
      <w:r>
        <w:rPr>
          <w:rStyle w:val="FootnoteReference"/>
        </w:rPr>
        <w:footnoteRef/>
      </w:r>
      <w:r>
        <w:t xml:space="preserve"> Excluding public sector banks. </w:t>
      </w:r>
      <w:r>
        <w:fldChar w:fldCharType="begin"/>
      </w:r>
      <w:r>
        <w:instrText>ADDIN RW.CITE{{3977 ONS 2017 ~f~k; 3978 HMTreasury 2018 ~f~k}}</w:instrText>
      </w:r>
      <w:r>
        <w:fldChar w:fldCharType="separate"/>
      </w:r>
      <w:r w:rsidRPr="00897909">
        <w:t>(ONS, 2017, H M Treasury, 2018)</w:t>
      </w:r>
      <w:r>
        <w:fldChar w:fldCharType="end"/>
      </w:r>
      <w:r>
        <w:t xml:space="preserve">.  The years shown are the financial years, so 1990 is actually 1990/1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1D3F"/>
    <w:multiLevelType w:val="hybridMultilevel"/>
    <w:tmpl w:val="672EBD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187827"/>
    <w:multiLevelType w:val="hybridMultilevel"/>
    <w:tmpl w:val="46CA1E0A"/>
    <w:lvl w:ilvl="0" w:tplc="4ED22AA4">
      <w:start w:val="1"/>
      <w:numFmt w:val="decimal"/>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8F868D3"/>
    <w:multiLevelType w:val="multilevel"/>
    <w:tmpl w:val="489886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5B2287B"/>
    <w:multiLevelType w:val="hybridMultilevel"/>
    <w:tmpl w:val="E5408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060D0"/>
    <w:multiLevelType w:val="hybridMultilevel"/>
    <w:tmpl w:val="DAA8F948"/>
    <w:lvl w:ilvl="0" w:tplc="3EF6D064">
      <w:start w:val="1"/>
      <w:numFmt w:val="lowerRoman"/>
      <w:lvlText w:val="(%1)"/>
      <w:lvlJc w:val="left"/>
      <w:pPr>
        <w:ind w:left="1500" w:hanging="720"/>
      </w:pPr>
      <w:rPr>
        <w:rFonts w:hint="default"/>
      </w:rPr>
    </w:lvl>
    <w:lvl w:ilvl="1" w:tplc="C0E00DF2">
      <w:start w:val="1"/>
      <w:numFmt w:val="decimal"/>
      <w:lvlText w:val="%2."/>
      <w:lvlJc w:val="left"/>
      <w:pPr>
        <w:ind w:left="1860" w:hanging="360"/>
      </w:pPr>
      <w:rPr>
        <w:rFonts w:hint="default"/>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A4A21"/>
    <w:multiLevelType w:val="singleLevel"/>
    <w:tmpl w:val="EAA0BE68"/>
    <w:lvl w:ilvl="0">
      <w:start w:val="1"/>
      <w:numFmt w:val="decimal"/>
      <w:pStyle w:val="Hangingnumberedreference"/>
      <w:lvlText w:val="%1."/>
      <w:lvlJc w:val="left"/>
      <w:pPr>
        <w:tabs>
          <w:tab w:val="num" w:pos="567"/>
        </w:tabs>
        <w:ind w:left="567" w:hanging="567"/>
      </w:pPr>
    </w:lvl>
  </w:abstractNum>
  <w:abstractNum w:abstractNumId="8" w15:restartNumberingAfterBreak="0">
    <w:nsid w:val="7BD97A48"/>
    <w:multiLevelType w:val="hybridMultilevel"/>
    <w:tmpl w:val="6F766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1"/>
    <w:lvlOverride w:ilvl="0">
      <w:startOverride w:val="1"/>
    </w:lvlOverride>
  </w:num>
  <w:num w:numId="6">
    <w:abstractNumId w:val="1"/>
  </w:num>
  <w:num w:numId="7">
    <w:abstractNumId w:val="1"/>
    <w:lvlOverride w:ilvl="0">
      <w:startOverride w:val="3"/>
    </w:lvlOverride>
  </w:num>
  <w:num w:numId="8">
    <w:abstractNumId w:val="1"/>
    <w:lvlOverride w:ilvl="0">
      <w:startOverride w:val="1"/>
    </w:lvlOverride>
  </w:num>
  <w:num w:numId="9">
    <w:abstractNumId w:val="8"/>
  </w:num>
  <w:num w:numId="10">
    <w:abstractNumId w:val="5"/>
  </w:num>
  <w:num w:numId="11">
    <w:abstractNumId w:val="3"/>
  </w:num>
  <w:num w:numId="12">
    <w:abstractNumId w:val="2"/>
  </w:num>
  <w:num w:numId="13">
    <w:abstractNumId w:val="2"/>
  </w:num>
  <w:num w:numId="14">
    <w:abstractNumId w:val="2"/>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2F"/>
    <w:rsid w:val="00001899"/>
    <w:rsid w:val="000031EA"/>
    <w:rsid w:val="00004563"/>
    <w:rsid w:val="000049AD"/>
    <w:rsid w:val="00005984"/>
    <w:rsid w:val="00005AF2"/>
    <w:rsid w:val="00006119"/>
    <w:rsid w:val="000062BB"/>
    <w:rsid w:val="0000681B"/>
    <w:rsid w:val="00006A2A"/>
    <w:rsid w:val="0001209B"/>
    <w:rsid w:val="000133C0"/>
    <w:rsid w:val="000144DE"/>
    <w:rsid w:val="0001480D"/>
    <w:rsid w:val="00014C4E"/>
    <w:rsid w:val="0001618B"/>
    <w:rsid w:val="00017107"/>
    <w:rsid w:val="000202E2"/>
    <w:rsid w:val="0002039B"/>
    <w:rsid w:val="00022441"/>
    <w:rsid w:val="0002261E"/>
    <w:rsid w:val="00024839"/>
    <w:rsid w:val="00024E13"/>
    <w:rsid w:val="00026871"/>
    <w:rsid w:val="0002766D"/>
    <w:rsid w:val="000305BC"/>
    <w:rsid w:val="00033DFD"/>
    <w:rsid w:val="000342F2"/>
    <w:rsid w:val="00034906"/>
    <w:rsid w:val="0003591D"/>
    <w:rsid w:val="000364E2"/>
    <w:rsid w:val="00037A98"/>
    <w:rsid w:val="0004143A"/>
    <w:rsid w:val="00041B47"/>
    <w:rsid w:val="00042507"/>
    <w:rsid w:val="000427FB"/>
    <w:rsid w:val="00044477"/>
    <w:rsid w:val="0004455E"/>
    <w:rsid w:val="0004590B"/>
    <w:rsid w:val="0004594D"/>
    <w:rsid w:val="000472C9"/>
    <w:rsid w:val="00047CB5"/>
    <w:rsid w:val="00051FAA"/>
    <w:rsid w:val="00053634"/>
    <w:rsid w:val="00054D1A"/>
    <w:rsid w:val="000572A9"/>
    <w:rsid w:val="00061325"/>
    <w:rsid w:val="000655FA"/>
    <w:rsid w:val="000662E4"/>
    <w:rsid w:val="00072907"/>
    <w:rsid w:val="000733AC"/>
    <w:rsid w:val="00074B81"/>
    <w:rsid w:val="00074D22"/>
    <w:rsid w:val="00075081"/>
    <w:rsid w:val="0007528A"/>
    <w:rsid w:val="000811AB"/>
    <w:rsid w:val="00081B7A"/>
    <w:rsid w:val="00081F74"/>
    <w:rsid w:val="00083C5F"/>
    <w:rsid w:val="000843DD"/>
    <w:rsid w:val="0009172C"/>
    <w:rsid w:val="000930EC"/>
    <w:rsid w:val="0009591F"/>
    <w:rsid w:val="00095E61"/>
    <w:rsid w:val="000966C1"/>
    <w:rsid w:val="0009689D"/>
    <w:rsid w:val="000970AC"/>
    <w:rsid w:val="00097794"/>
    <w:rsid w:val="000A1167"/>
    <w:rsid w:val="000A25EB"/>
    <w:rsid w:val="000A322F"/>
    <w:rsid w:val="000A4428"/>
    <w:rsid w:val="000A675E"/>
    <w:rsid w:val="000A6D40"/>
    <w:rsid w:val="000A7BC3"/>
    <w:rsid w:val="000B1661"/>
    <w:rsid w:val="000B2196"/>
    <w:rsid w:val="000B24FC"/>
    <w:rsid w:val="000B2695"/>
    <w:rsid w:val="000B2E88"/>
    <w:rsid w:val="000B3CA2"/>
    <w:rsid w:val="000B4603"/>
    <w:rsid w:val="000B5688"/>
    <w:rsid w:val="000B6A4E"/>
    <w:rsid w:val="000C062F"/>
    <w:rsid w:val="000C09BE"/>
    <w:rsid w:val="000C0CCA"/>
    <w:rsid w:val="000C1232"/>
    <w:rsid w:val="000C1380"/>
    <w:rsid w:val="000C16B4"/>
    <w:rsid w:val="000C18DE"/>
    <w:rsid w:val="000C327A"/>
    <w:rsid w:val="000C3C00"/>
    <w:rsid w:val="000C554F"/>
    <w:rsid w:val="000D0DC5"/>
    <w:rsid w:val="000D15FF"/>
    <w:rsid w:val="000D1682"/>
    <w:rsid w:val="000D28DF"/>
    <w:rsid w:val="000D2C10"/>
    <w:rsid w:val="000D488B"/>
    <w:rsid w:val="000D4B76"/>
    <w:rsid w:val="000D608D"/>
    <w:rsid w:val="000D68DF"/>
    <w:rsid w:val="000D799C"/>
    <w:rsid w:val="000E138D"/>
    <w:rsid w:val="000E187A"/>
    <w:rsid w:val="000E2D61"/>
    <w:rsid w:val="000E450E"/>
    <w:rsid w:val="000E6259"/>
    <w:rsid w:val="000F4677"/>
    <w:rsid w:val="000F5BE0"/>
    <w:rsid w:val="000F7CBC"/>
    <w:rsid w:val="001000F4"/>
    <w:rsid w:val="00100587"/>
    <w:rsid w:val="00102369"/>
    <w:rsid w:val="0010284E"/>
    <w:rsid w:val="00102E22"/>
    <w:rsid w:val="00103122"/>
    <w:rsid w:val="0010336A"/>
    <w:rsid w:val="001050F1"/>
    <w:rsid w:val="00105AEA"/>
    <w:rsid w:val="00105B6F"/>
    <w:rsid w:val="00106DAF"/>
    <w:rsid w:val="00107FAA"/>
    <w:rsid w:val="0011258A"/>
    <w:rsid w:val="00113275"/>
    <w:rsid w:val="00114ABE"/>
    <w:rsid w:val="001158F3"/>
    <w:rsid w:val="00116023"/>
    <w:rsid w:val="001214AE"/>
    <w:rsid w:val="00123660"/>
    <w:rsid w:val="0012663A"/>
    <w:rsid w:val="00130A85"/>
    <w:rsid w:val="00130DEE"/>
    <w:rsid w:val="00133787"/>
    <w:rsid w:val="00133789"/>
    <w:rsid w:val="00133CF1"/>
    <w:rsid w:val="00133DA5"/>
    <w:rsid w:val="00133F86"/>
    <w:rsid w:val="00134A51"/>
    <w:rsid w:val="00137AE3"/>
    <w:rsid w:val="00140727"/>
    <w:rsid w:val="001428AF"/>
    <w:rsid w:val="00145DCD"/>
    <w:rsid w:val="00146A30"/>
    <w:rsid w:val="00152866"/>
    <w:rsid w:val="001535C6"/>
    <w:rsid w:val="00154663"/>
    <w:rsid w:val="00155310"/>
    <w:rsid w:val="001575AD"/>
    <w:rsid w:val="00160628"/>
    <w:rsid w:val="0016128D"/>
    <w:rsid w:val="00161344"/>
    <w:rsid w:val="00161B50"/>
    <w:rsid w:val="00162195"/>
    <w:rsid w:val="0016274D"/>
    <w:rsid w:val="0016322A"/>
    <w:rsid w:val="00165A21"/>
    <w:rsid w:val="001705CE"/>
    <w:rsid w:val="00172D03"/>
    <w:rsid w:val="0017714B"/>
    <w:rsid w:val="00177FC1"/>
    <w:rsid w:val="0018016E"/>
    <w:rsid w:val="001804DF"/>
    <w:rsid w:val="001814CC"/>
    <w:rsid w:val="00181BDC"/>
    <w:rsid w:val="00181DB0"/>
    <w:rsid w:val="001829E3"/>
    <w:rsid w:val="00183AF6"/>
    <w:rsid w:val="00186944"/>
    <w:rsid w:val="00191744"/>
    <w:rsid w:val="001924C0"/>
    <w:rsid w:val="00192570"/>
    <w:rsid w:val="0019260B"/>
    <w:rsid w:val="00193146"/>
    <w:rsid w:val="001949FD"/>
    <w:rsid w:val="001954EB"/>
    <w:rsid w:val="0019731E"/>
    <w:rsid w:val="001A09FE"/>
    <w:rsid w:val="001A67C9"/>
    <w:rsid w:val="001A69DE"/>
    <w:rsid w:val="001A713C"/>
    <w:rsid w:val="001A757F"/>
    <w:rsid w:val="001B0EC2"/>
    <w:rsid w:val="001B1C7C"/>
    <w:rsid w:val="001B3851"/>
    <w:rsid w:val="001B398F"/>
    <w:rsid w:val="001B46C6"/>
    <w:rsid w:val="001B4B48"/>
    <w:rsid w:val="001B4D1F"/>
    <w:rsid w:val="001B681F"/>
    <w:rsid w:val="001B7681"/>
    <w:rsid w:val="001B7CAE"/>
    <w:rsid w:val="001C0772"/>
    <w:rsid w:val="001C0D4F"/>
    <w:rsid w:val="001C13F6"/>
    <w:rsid w:val="001C1BA3"/>
    <w:rsid w:val="001C1DEC"/>
    <w:rsid w:val="001C2377"/>
    <w:rsid w:val="001C2EBF"/>
    <w:rsid w:val="001C4347"/>
    <w:rsid w:val="001C5736"/>
    <w:rsid w:val="001C61C6"/>
    <w:rsid w:val="001D51B7"/>
    <w:rsid w:val="001D647F"/>
    <w:rsid w:val="001D6857"/>
    <w:rsid w:val="001E0572"/>
    <w:rsid w:val="001E0A67"/>
    <w:rsid w:val="001E1028"/>
    <w:rsid w:val="001E1176"/>
    <w:rsid w:val="001E14E2"/>
    <w:rsid w:val="001E251A"/>
    <w:rsid w:val="001E43EA"/>
    <w:rsid w:val="001E4922"/>
    <w:rsid w:val="001E5B3D"/>
    <w:rsid w:val="001E6302"/>
    <w:rsid w:val="001E7DA2"/>
    <w:rsid w:val="001E7DCB"/>
    <w:rsid w:val="001F0BD5"/>
    <w:rsid w:val="001F1352"/>
    <w:rsid w:val="001F3411"/>
    <w:rsid w:val="001F4287"/>
    <w:rsid w:val="001F4DBA"/>
    <w:rsid w:val="001F65BE"/>
    <w:rsid w:val="001F74E0"/>
    <w:rsid w:val="00201BA4"/>
    <w:rsid w:val="00203928"/>
    <w:rsid w:val="0020415E"/>
    <w:rsid w:val="00204FF4"/>
    <w:rsid w:val="00206AC7"/>
    <w:rsid w:val="002073F1"/>
    <w:rsid w:val="0021056E"/>
    <w:rsid w:val="0021075D"/>
    <w:rsid w:val="00210B70"/>
    <w:rsid w:val="0021165A"/>
    <w:rsid w:val="00211BC9"/>
    <w:rsid w:val="0021472B"/>
    <w:rsid w:val="0021487B"/>
    <w:rsid w:val="00215069"/>
    <w:rsid w:val="0021562E"/>
    <w:rsid w:val="0021620C"/>
    <w:rsid w:val="00216E78"/>
    <w:rsid w:val="00217275"/>
    <w:rsid w:val="00217EF6"/>
    <w:rsid w:val="00221F35"/>
    <w:rsid w:val="00222242"/>
    <w:rsid w:val="00223B93"/>
    <w:rsid w:val="002303BD"/>
    <w:rsid w:val="00233559"/>
    <w:rsid w:val="00235070"/>
    <w:rsid w:val="002350E1"/>
    <w:rsid w:val="00236516"/>
    <w:rsid w:val="00236F4B"/>
    <w:rsid w:val="00237D25"/>
    <w:rsid w:val="00240A46"/>
    <w:rsid w:val="00241510"/>
    <w:rsid w:val="00241B37"/>
    <w:rsid w:val="00241D97"/>
    <w:rsid w:val="00242B0D"/>
    <w:rsid w:val="0024305F"/>
    <w:rsid w:val="00243C5F"/>
    <w:rsid w:val="002444F6"/>
    <w:rsid w:val="002466D6"/>
    <w:rsid w:val="002467C6"/>
    <w:rsid w:val="0024692A"/>
    <w:rsid w:val="0025043E"/>
    <w:rsid w:val="002504E6"/>
    <w:rsid w:val="0025110D"/>
    <w:rsid w:val="00252BBA"/>
    <w:rsid w:val="00253123"/>
    <w:rsid w:val="00262591"/>
    <w:rsid w:val="00264001"/>
    <w:rsid w:val="00265913"/>
    <w:rsid w:val="00266354"/>
    <w:rsid w:val="00267A18"/>
    <w:rsid w:val="00271318"/>
    <w:rsid w:val="00271A7E"/>
    <w:rsid w:val="00273462"/>
    <w:rsid w:val="0027395B"/>
    <w:rsid w:val="00274583"/>
    <w:rsid w:val="0027520F"/>
    <w:rsid w:val="00275854"/>
    <w:rsid w:val="0027625B"/>
    <w:rsid w:val="00283B41"/>
    <w:rsid w:val="00283C6A"/>
    <w:rsid w:val="00285F28"/>
    <w:rsid w:val="00286398"/>
    <w:rsid w:val="0028717F"/>
    <w:rsid w:val="002948AE"/>
    <w:rsid w:val="00294A7A"/>
    <w:rsid w:val="0029755F"/>
    <w:rsid w:val="002A3C42"/>
    <w:rsid w:val="002A3FC0"/>
    <w:rsid w:val="002A5D75"/>
    <w:rsid w:val="002A6293"/>
    <w:rsid w:val="002B1B1A"/>
    <w:rsid w:val="002B3221"/>
    <w:rsid w:val="002B377C"/>
    <w:rsid w:val="002B4AB2"/>
    <w:rsid w:val="002B5081"/>
    <w:rsid w:val="002B7228"/>
    <w:rsid w:val="002C0D16"/>
    <w:rsid w:val="002C53EE"/>
    <w:rsid w:val="002D24F7"/>
    <w:rsid w:val="002D2799"/>
    <w:rsid w:val="002D2CD7"/>
    <w:rsid w:val="002D4DDC"/>
    <w:rsid w:val="002D4F75"/>
    <w:rsid w:val="002D6493"/>
    <w:rsid w:val="002D7AB6"/>
    <w:rsid w:val="002E06D0"/>
    <w:rsid w:val="002E1303"/>
    <w:rsid w:val="002E2C5E"/>
    <w:rsid w:val="002E3C27"/>
    <w:rsid w:val="002E403A"/>
    <w:rsid w:val="002E7F3A"/>
    <w:rsid w:val="002F2F89"/>
    <w:rsid w:val="002F4EDB"/>
    <w:rsid w:val="002F53EC"/>
    <w:rsid w:val="002F5D6E"/>
    <w:rsid w:val="002F6054"/>
    <w:rsid w:val="002F687E"/>
    <w:rsid w:val="002F792F"/>
    <w:rsid w:val="00304BEE"/>
    <w:rsid w:val="00305025"/>
    <w:rsid w:val="00305F06"/>
    <w:rsid w:val="0031014D"/>
    <w:rsid w:val="003130B8"/>
    <w:rsid w:val="00313FBC"/>
    <w:rsid w:val="00315713"/>
    <w:rsid w:val="0031686C"/>
    <w:rsid w:val="00316FE0"/>
    <w:rsid w:val="003204D2"/>
    <w:rsid w:val="003237B6"/>
    <w:rsid w:val="0032381F"/>
    <w:rsid w:val="00325676"/>
    <w:rsid w:val="003257FC"/>
    <w:rsid w:val="0032605E"/>
    <w:rsid w:val="003275D1"/>
    <w:rsid w:val="00330B2A"/>
    <w:rsid w:val="00331E17"/>
    <w:rsid w:val="00333063"/>
    <w:rsid w:val="0033785A"/>
    <w:rsid w:val="00340802"/>
    <w:rsid w:val="003408E3"/>
    <w:rsid w:val="00343480"/>
    <w:rsid w:val="003444AC"/>
    <w:rsid w:val="003447BE"/>
    <w:rsid w:val="00345E89"/>
    <w:rsid w:val="003501EB"/>
    <w:rsid w:val="003522A1"/>
    <w:rsid w:val="0035247A"/>
    <w:rsid w:val="0035254B"/>
    <w:rsid w:val="00353555"/>
    <w:rsid w:val="00353A9E"/>
    <w:rsid w:val="0035487A"/>
    <w:rsid w:val="003556B0"/>
    <w:rsid w:val="003565D4"/>
    <w:rsid w:val="00357A74"/>
    <w:rsid w:val="003607FB"/>
    <w:rsid w:val="00360FD5"/>
    <w:rsid w:val="00361811"/>
    <w:rsid w:val="00362E6D"/>
    <w:rsid w:val="0036340D"/>
    <w:rsid w:val="003634A5"/>
    <w:rsid w:val="00365468"/>
    <w:rsid w:val="00366868"/>
    <w:rsid w:val="00367506"/>
    <w:rsid w:val="00370085"/>
    <w:rsid w:val="00370AC1"/>
    <w:rsid w:val="003725CC"/>
    <w:rsid w:val="003744A7"/>
    <w:rsid w:val="0037578B"/>
    <w:rsid w:val="00376235"/>
    <w:rsid w:val="003763E7"/>
    <w:rsid w:val="00380D6E"/>
    <w:rsid w:val="00381D75"/>
    <w:rsid w:val="00381FB6"/>
    <w:rsid w:val="00382B05"/>
    <w:rsid w:val="003836D3"/>
    <w:rsid w:val="00383A52"/>
    <w:rsid w:val="00387E22"/>
    <w:rsid w:val="00391652"/>
    <w:rsid w:val="0039507F"/>
    <w:rsid w:val="003A1260"/>
    <w:rsid w:val="003A295F"/>
    <w:rsid w:val="003A41DD"/>
    <w:rsid w:val="003A7033"/>
    <w:rsid w:val="003B397F"/>
    <w:rsid w:val="003B47FE"/>
    <w:rsid w:val="003B5673"/>
    <w:rsid w:val="003B62C9"/>
    <w:rsid w:val="003C04C3"/>
    <w:rsid w:val="003C1F82"/>
    <w:rsid w:val="003C4026"/>
    <w:rsid w:val="003C5676"/>
    <w:rsid w:val="003C5A39"/>
    <w:rsid w:val="003C7176"/>
    <w:rsid w:val="003D0929"/>
    <w:rsid w:val="003D4729"/>
    <w:rsid w:val="003D755D"/>
    <w:rsid w:val="003D7DD6"/>
    <w:rsid w:val="003E24AD"/>
    <w:rsid w:val="003E34BB"/>
    <w:rsid w:val="003E4F91"/>
    <w:rsid w:val="003E5AAF"/>
    <w:rsid w:val="003E600D"/>
    <w:rsid w:val="003E64DF"/>
    <w:rsid w:val="003E6A5D"/>
    <w:rsid w:val="003F193A"/>
    <w:rsid w:val="003F4207"/>
    <w:rsid w:val="003F5C46"/>
    <w:rsid w:val="003F7CBB"/>
    <w:rsid w:val="003F7D34"/>
    <w:rsid w:val="004122F3"/>
    <w:rsid w:val="00412C8E"/>
    <w:rsid w:val="00414870"/>
    <w:rsid w:val="0041518D"/>
    <w:rsid w:val="004156E9"/>
    <w:rsid w:val="00417BD3"/>
    <w:rsid w:val="00420E8B"/>
    <w:rsid w:val="0042221D"/>
    <w:rsid w:val="004230E9"/>
    <w:rsid w:val="00423C30"/>
    <w:rsid w:val="00424250"/>
    <w:rsid w:val="00424DD3"/>
    <w:rsid w:val="00425BB0"/>
    <w:rsid w:val="004269C5"/>
    <w:rsid w:val="00427395"/>
    <w:rsid w:val="00435939"/>
    <w:rsid w:val="00437CC7"/>
    <w:rsid w:val="0044131E"/>
    <w:rsid w:val="00442B9C"/>
    <w:rsid w:val="00445EFA"/>
    <w:rsid w:val="0044738A"/>
    <w:rsid w:val="004473D3"/>
    <w:rsid w:val="0045179A"/>
    <w:rsid w:val="00452231"/>
    <w:rsid w:val="004530A6"/>
    <w:rsid w:val="00455831"/>
    <w:rsid w:val="00460C13"/>
    <w:rsid w:val="004626CB"/>
    <w:rsid w:val="00463228"/>
    <w:rsid w:val="00463782"/>
    <w:rsid w:val="004667E0"/>
    <w:rsid w:val="0046702D"/>
    <w:rsid w:val="0046760E"/>
    <w:rsid w:val="004701F0"/>
    <w:rsid w:val="00470E10"/>
    <w:rsid w:val="0047354D"/>
    <w:rsid w:val="00473A59"/>
    <w:rsid w:val="0047492F"/>
    <w:rsid w:val="004769DD"/>
    <w:rsid w:val="00477A97"/>
    <w:rsid w:val="00481343"/>
    <w:rsid w:val="0048549E"/>
    <w:rsid w:val="00485F46"/>
    <w:rsid w:val="004909A6"/>
    <w:rsid w:val="004931FB"/>
    <w:rsid w:val="00493347"/>
    <w:rsid w:val="00493810"/>
    <w:rsid w:val="00496092"/>
    <w:rsid w:val="0049632C"/>
    <w:rsid w:val="00496E69"/>
    <w:rsid w:val="00497105"/>
    <w:rsid w:val="004A08DB"/>
    <w:rsid w:val="004A25D0"/>
    <w:rsid w:val="004A37E8"/>
    <w:rsid w:val="004A3987"/>
    <w:rsid w:val="004A4EE8"/>
    <w:rsid w:val="004A63D8"/>
    <w:rsid w:val="004A6D5B"/>
    <w:rsid w:val="004A7549"/>
    <w:rsid w:val="004A7AC9"/>
    <w:rsid w:val="004B09D4"/>
    <w:rsid w:val="004B309D"/>
    <w:rsid w:val="004B330A"/>
    <w:rsid w:val="004B654C"/>
    <w:rsid w:val="004B66E7"/>
    <w:rsid w:val="004B7C8E"/>
    <w:rsid w:val="004C3D3C"/>
    <w:rsid w:val="004C48A0"/>
    <w:rsid w:val="004C5183"/>
    <w:rsid w:val="004D0EDC"/>
    <w:rsid w:val="004D1220"/>
    <w:rsid w:val="004D14B3"/>
    <w:rsid w:val="004D1529"/>
    <w:rsid w:val="004D2253"/>
    <w:rsid w:val="004D39A8"/>
    <w:rsid w:val="004D473E"/>
    <w:rsid w:val="004D5514"/>
    <w:rsid w:val="004D56C3"/>
    <w:rsid w:val="004E0338"/>
    <w:rsid w:val="004E1DBD"/>
    <w:rsid w:val="004E31F4"/>
    <w:rsid w:val="004E4FF3"/>
    <w:rsid w:val="004E53FC"/>
    <w:rsid w:val="004E56A8"/>
    <w:rsid w:val="004F3B55"/>
    <w:rsid w:val="004F4E46"/>
    <w:rsid w:val="004F6B53"/>
    <w:rsid w:val="004F6B7D"/>
    <w:rsid w:val="004F6D2E"/>
    <w:rsid w:val="004F70F6"/>
    <w:rsid w:val="0050026B"/>
    <w:rsid w:val="005015F6"/>
    <w:rsid w:val="005030C4"/>
    <w:rsid w:val="005031C5"/>
    <w:rsid w:val="00504FDC"/>
    <w:rsid w:val="00510DEF"/>
    <w:rsid w:val="005120CC"/>
    <w:rsid w:val="00512B7B"/>
    <w:rsid w:val="00513D25"/>
    <w:rsid w:val="00513EA6"/>
    <w:rsid w:val="00514EA1"/>
    <w:rsid w:val="0051524D"/>
    <w:rsid w:val="00516389"/>
    <w:rsid w:val="005166D7"/>
    <w:rsid w:val="0051798B"/>
    <w:rsid w:val="00521EA8"/>
    <w:rsid w:val="00521F5A"/>
    <w:rsid w:val="0052432C"/>
    <w:rsid w:val="00525707"/>
    <w:rsid w:val="00525E06"/>
    <w:rsid w:val="00526389"/>
    <w:rsid w:val="00526454"/>
    <w:rsid w:val="005316A0"/>
    <w:rsid w:val="00531823"/>
    <w:rsid w:val="00534ECC"/>
    <w:rsid w:val="005364F0"/>
    <w:rsid w:val="0053720D"/>
    <w:rsid w:val="00537A34"/>
    <w:rsid w:val="00540EF5"/>
    <w:rsid w:val="005411A0"/>
    <w:rsid w:val="00541BF3"/>
    <w:rsid w:val="00541CD3"/>
    <w:rsid w:val="00544B75"/>
    <w:rsid w:val="005476FA"/>
    <w:rsid w:val="00550241"/>
    <w:rsid w:val="00550EF5"/>
    <w:rsid w:val="00555488"/>
    <w:rsid w:val="0055595E"/>
    <w:rsid w:val="0055737C"/>
    <w:rsid w:val="00557988"/>
    <w:rsid w:val="00560113"/>
    <w:rsid w:val="00562C49"/>
    <w:rsid w:val="00562DEF"/>
    <w:rsid w:val="0056321A"/>
    <w:rsid w:val="00563A35"/>
    <w:rsid w:val="00563CF2"/>
    <w:rsid w:val="00565855"/>
    <w:rsid w:val="00565A86"/>
    <w:rsid w:val="00566596"/>
    <w:rsid w:val="005667DB"/>
    <w:rsid w:val="00572FAB"/>
    <w:rsid w:val="005741E9"/>
    <w:rsid w:val="005748CF"/>
    <w:rsid w:val="00574975"/>
    <w:rsid w:val="005762E9"/>
    <w:rsid w:val="00577512"/>
    <w:rsid w:val="00584270"/>
    <w:rsid w:val="00584738"/>
    <w:rsid w:val="00585DFF"/>
    <w:rsid w:val="00586CC2"/>
    <w:rsid w:val="005878AA"/>
    <w:rsid w:val="005920B0"/>
    <w:rsid w:val="00592EC2"/>
    <w:rsid w:val="0059380D"/>
    <w:rsid w:val="00595A8F"/>
    <w:rsid w:val="005971D3"/>
    <w:rsid w:val="005977C2"/>
    <w:rsid w:val="00597BF2"/>
    <w:rsid w:val="005A2A5F"/>
    <w:rsid w:val="005A45B3"/>
    <w:rsid w:val="005A5501"/>
    <w:rsid w:val="005A691A"/>
    <w:rsid w:val="005A7A9E"/>
    <w:rsid w:val="005B01DD"/>
    <w:rsid w:val="005B134E"/>
    <w:rsid w:val="005B2039"/>
    <w:rsid w:val="005B2804"/>
    <w:rsid w:val="005B344F"/>
    <w:rsid w:val="005B37A3"/>
    <w:rsid w:val="005B3FBA"/>
    <w:rsid w:val="005B4A1D"/>
    <w:rsid w:val="005B4C0B"/>
    <w:rsid w:val="005B4D7C"/>
    <w:rsid w:val="005B60E0"/>
    <w:rsid w:val="005B674D"/>
    <w:rsid w:val="005B6A5A"/>
    <w:rsid w:val="005B793B"/>
    <w:rsid w:val="005C009F"/>
    <w:rsid w:val="005C0C11"/>
    <w:rsid w:val="005C0CBE"/>
    <w:rsid w:val="005C1FCF"/>
    <w:rsid w:val="005C53BC"/>
    <w:rsid w:val="005C7C4C"/>
    <w:rsid w:val="005C7F05"/>
    <w:rsid w:val="005D0323"/>
    <w:rsid w:val="005D08D3"/>
    <w:rsid w:val="005D0CCE"/>
    <w:rsid w:val="005D1885"/>
    <w:rsid w:val="005D4A38"/>
    <w:rsid w:val="005E1968"/>
    <w:rsid w:val="005E2EEA"/>
    <w:rsid w:val="005E3708"/>
    <w:rsid w:val="005E37D6"/>
    <w:rsid w:val="005E3CCD"/>
    <w:rsid w:val="005E3D6B"/>
    <w:rsid w:val="005E5B55"/>
    <w:rsid w:val="005E5E4A"/>
    <w:rsid w:val="005E693D"/>
    <w:rsid w:val="005E7093"/>
    <w:rsid w:val="005E75BF"/>
    <w:rsid w:val="005F5492"/>
    <w:rsid w:val="005F57BA"/>
    <w:rsid w:val="005F61E6"/>
    <w:rsid w:val="005F6C45"/>
    <w:rsid w:val="005F6F29"/>
    <w:rsid w:val="0060112C"/>
    <w:rsid w:val="0060484A"/>
    <w:rsid w:val="00605A69"/>
    <w:rsid w:val="00606C54"/>
    <w:rsid w:val="00611F3F"/>
    <w:rsid w:val="00614375"/>
    <w:rsid w:val="006150A0"/>
    <w:rsid w:val="00615B0A"/>
    <w:rsid w:val="006168CF"/>
    <w:rsid w:val="00616D86"/>
    <w:rsid w:val="00616DF1"/>
    <w:rsid w:val="006170B2"/>
    <w:rsid w:val="00617367"/>
    <w:rsid w:val="0062011B"/>
    <w:rsid w:val="00626DE0"/>
    <w:rsid w:val="00626FC3"/>
    <w:rsid w:val="00630901"/>
    <w:rsid w:val="00630941"/>
    <w:rsid w:val="00631F8E"/>
    <w:rsid w:val="00636464"/>
    <w:rsid w:val="00636EE9"/>
    <w:rsid w:val="00640950"/>
    <w:rsid w:val="00641AE7"/>
    <w:rsid w:val="00642629"/>
    <w:rsid w:val="00642F40"/>
    <w:rsid w:val="00646578"/>
    <w:rsid w:val="006469AA"/>
    <w:rsid w:val="0065026E"/>
    <w:rsid w:val="00650FD1"/>
    <w:rsid w:val="0065160F"/>
    <w:rsid w:val="00651B57"/>
    <w:rsid w:val="006527AC"/>
    <w:rsid w:val="0065293D"/>
    <w:rsid w:val="00653EFC"/>
    <w:rsid w:val="00654021"/>
    <w:rsid w:val="00661045"/>
    <w:rsid w:val="00663F96"/>
    <w:rsid w:val="00666DA8"/>
    <w:rsid w:val="00667B93"/>
    <w:rsid w:val="00671057"/>
    <w:rsid w:val="00675AAF"/>
    <w:rsid w:val="0068031A"/>
    <w:rsid w:val="0068040A"/>
    <w:rsid w:val="00681B2F"/>
    <w:rsid w:val="0068315C"/>
    <w:rsid w:val="0068335F"/>
    <w:rsid w:val="00686B0B"/>
    <w:rsid w:val="00687217"/>
    <w:rsid w:val="006925C2"/>
    <w:rsid w:val="00692F33"/>
    <w:rsid w:val="00693302"/>
    <w:rsid w:val="0069640B"/>
    <w:rsid w:val="006A1B83"/>
    <w:rsid w:val="006A1C84"/>
    <w:rsid w:val="006A21CD"/>
    <w:rsid w:val="006A2455"/>
    <w:rsid w:val="006A44F2"/>
    <w:rsid w:val="006A5918"/>
    <w:rsid w:val="006A6356"/>
    <w:rsid w:val="006A7DEF"/>
    <w:rsid w:val="006B1D95"/>
    <w:rsid w:val="006B21B2"/>
    <w:rsid w:val="006B4A4A"/>
    <w:rsid w:val="006B6E8E"/>
    <w:rsid w:val="006C19B2"/>
    <w:rsid w:val="006C3DA2"/>
    <w:rsid w:val="006C43BF"/>
    <w:rsid w:val="006C5BB8"/>
    <w:rsid w:val="006C6936"/>
    <w:rsid w:val="006C7075"/>
    <w:rsid w:val="006C7B01"/>
    <w:rsid w:val="006D0CF5"/>
    <w:rsid w:val="006D0FE8"/>
    <w:rsid w:val="006D12FF"/>
    <w:rsid w:val="006D3E5F"/>
    <w:rsid w:val="006D4512"/>
    <w:rsid w:val="006D4B2B"/>
    <w:rsid w:val="006D4F3C"/>
    <w:rsid w:val="006D5C66"/>
    <w:rsid w:val="006D6926"/>
    <w:rsid w:val="006D6E7B"/>
    <w:rsid w:val="006D76CC"/>
    <w:rsid w:val="006E1B3C"/>
    <w:rsid w:val="006E23FB"/>
    <w:rsid w:val="006E325A"/>
    <w:rsid w:val="006E33EC"/>
    <w:rsid w:val="006E3802"/>
    <w:rsid w:val="006E66AC"/>
    <w:rsid w:val="006E6C02"/>
    <w:rsid w:val="006E6EAB"/>
    <w:rsid w:val="006F0336"/>
    <w:rsid w:val="006F231A"/>
    <w:rsid w:val="006F614E"/>
    <w:rsid w:val="006F6B55"/>
    <w:rsid w:val="006F704C"/>
    <w:rsid w:val="006F788D"/>
    <w:rsid w:val="006F78E1"/>
    <w:rsid w:val="00701072"/>
    <w:rsid w:val="00701A3A"/>
    <w:rsid w:val="00701B26"/>
    <w:rsid w:val="00702054"/>
    <w:rsid w:val="00702708"/>
    <w:rsid w:val="00702808"/>
    <w:rsid w:val="00702F05"/>
    <w:rsid w:val="00703344"/>
    <w:rsid w:val="007035A4"/>
    <w:rsid w:val="00703A18"/>
    <w:rsid w:val="00704195"/>
    <w:rsid w:val="00704BAA"/>
    <w:rsid w:val="00711799"/>
    <w:rsid w:val="00712B78"/>
    <w:rsid w:val="0071393B"/>
    <w:rsid w:val="00713EE2"/>
    <w:rsid w:val="0071714B"/>
    <w:rsid w:val="007177FC"/>
    <w:rsid w:val="00717FA0"/>
    <w:rsid w:val="00720295"/>
    <w:rsid w:val="00720C5E"/>
    <w:rsid w:val="00721701"/>
    <w:rsid w:val="00721E3D"/>
    <w:rsid w:val="00724547"/>
    <w:rsid w:val="0073053B"/>
    <w:rsid w:val="00731835"/>
    <w:rsid w:val="007336A9"/>
    <w:rsid w:val="00733A51"/>
    <w:rsid w:val="007341F8"/>
    <w:rsid w:val="00734372"/>
    <w:rsid w:val="00734EB8"/>
    <w:rsid w:val="00735F8B"/>
    <w:rsid w:val="00741CCA"/>
    <w:rsid w:val="00742D1F"/>
    <w:rsid w:val="00743EBA"/>
    <w:rsid w:val="00744C8E"/>
    <w:rsid w:val="00746B6E"/>
    <w:rsid w:val="0074707E"/>
    <w:rsid w:val="0075038D"/>
    <w:rsid w:val="00750AD5"/>
    <w:rsid w:val="007516DC"/>
    <w:rsid w:val="00754B80"/>
    <w:rsid w:val="00755B00"/>
    <w:rsid w:val="00760396"/>
    <w:rsid w:val="0076182A"/>
    <w:rsid w:val="00761918"/>
    <w:rsid w:val="00762F03"/>
    <w:rsid w:val="0076413B"/>
    <w:rsid w:val="007648AE"/>
    <w:rsid w:val="00764BF8"/>
    <w:rsid w:val="0076514D"/>
    <w:rsid w:val="00767135"/>
    <w:rsid w:val="00767FCE"/>
    <w:rsid w:val="007712A3"/>
    <w:rsid w:val="007717D5"/>
    <w:rsid w:val="007718BE"/>
    <w:rsid w:val="00773D59"/>
    <w:rsid w:val="00781003"/>
    <w:rsid w:val="007861D0"/>
    <w:rsid w:val="00790A95"/>
    <w:rsid w:val="007911FD"/>
    <w:rsid w:val="00791D57"/>
    <w:rsid w:val="007933C5"/>
    <w:rsid w:val="00793930"/>
    <w:rsid w:val="00793DD1"/>
    <w:rsid w:val="0079445E"/>
    <w:rsid w:val="007945CC"/>
    <w:rsid w:val="00794FEC"/>
    <w:rsid w:val="00796D44"/>
    <w:rsid w:val="0079734C"/>
    <w:rsid w:val="00797786"/>
    <w:rsid w:val="007A003E"/>
    <w:rsid w:val="007A03AE"/>
    <w:rsid w:val="007A1965"/>
    <w:rsid w:val="007A19AF"/>
    <w:rsid w:val="007A2ED1"/>
    <w:rsid w:val="007A3AB8"/>
    <w:rsid w:val="007A4BE6"/>
    <w:rsid w:val="007A5E3C"/>
    <w:rsid w:val="007B0DC6"/>
    <w:rsid w:val="007B1094"/>
    <w:rsid w:val="007B1762"/>
    <w:rsid w:val="007B3320"/>
    <w:rsid w:val="007B3847"/>
    <w:rsid w:val="007B609E"/>
    <w:rsid w:val="007C1EB2"/>
    <w:rsid w:val="007C301F"/>
    <w:rsid w:val="007C315A"/>
    <w:rsid w:val="007C4540"/>
    <w:rsid w:val="007C51FC"/>
    <w:rsid w:val="007C65AF"/>
    <w:rsid w:val="007D0179"/>
    <w:rsid w:val="007D135D"/>
    <w:rsid w:val="007D18FB"/>
    <w:rsid w:val="007D55CA"/>
    <w:rsid w:val="007D730F"/>
    <w:rsid w:val="007D7CD8"/>
    <w:rsid w:val="007D7DE3"/>
    <w:rsid w:val="007E1EAD"/>
    <w:rsid w:val="007E3136"/>
    <w:rsid w:val="007E3AA7"/>
    <w:rsid w:val="007E6B86"/>
    <w:rsid w:val="007E77B1"/>
    <w:rsid w:val="007F02E8"/>
    <w:rsid w:val="007F27AD"/>
    <w:rsid w:val="007F4E25"/>
    <w:rsid w:val="007F737D"/>
    <w:rsid w:val="007F75E1"/>
    <w:rsid w:val="00801A38"/>
    <w:rsid w:val="0080308E"/>
    <w:rsid w:val="00805303"/>
    <w:rsid w:val="00806705"/>
    <w:rsid w:val="00806738"/>
    <w:rsid w:val="00806EBE"/>
    <w:rsid w:val="0080798F"/>
    <w:rsid w:val="00812C15"/>
    <w:rsid w:val="00815030"/>
    <w:rsid w:val="008170D5"/>
    <w:rsid w:val="0082140B"/>
    <w:rsid w:val="008216D5"/>
    <w:rsid w:val="00822318"/>
    <w:rsid w:val="008249CE"/>
    <w:rsid w:val="008277D0"/>
    <w:rsid w:val="008307AF"/>
    <w:rsid w:val="0083138C"/>
    <w:rsid w:val="00831A50"/>
    <w:rsid w:val="00831B3C"/>
    <w:rsid w:val="00831C89"/>
    <w:rsid w:val="00832114"/>
    <w:rsid w:val="00834C46"/>
    <w:rsid w:val="00835495"/>
    <w:rsid w:val="00835ACD"/>
    <w:rsid w:val="0083654C"/>
    <w:rsid w:val="0084093E"/>
    <w:rsid w:val="00841CE1"/>
    <w:rsid w:val="00842526"/>
    <w:rsid w:val="00843137"/>
    <w:rsid w:val="00843C48"/>
    <w:rsid w:val="008471A8"/>
    <w:rsid w:val="008473D8"/>
    <w:rsid w:val="008478A6"/>
    <w:rsid w:val="008512C2"/>
    <w:rsid w:val="008519DB"/>
    <w:rsid w:val="008528DC"/>
    <w:rsid w:val="00852B8C"/>
    <w:rsid w:val="00854981"/>
    <w:rsid w:val="00854BFE"/>
    <w:rsid w:val="00855485"/>
    <w:rsid w:val="0085566D"/>
    <w:rsid w:val="0085657B"/>
    <w:rsid w:val="008570EE"/>
    <w:rsid w:val="00862CB7"/>
    <w:rsid w:val="00863AE2"/>
    <w:rsid w:val="00864B2E"/>
    <w:rsid w:val="00865963"/>
    <w:rsid w:val="00871C1D"/>
    <w:rsid w:val="00871DAB"/>
    <w:rsid w:val="0087450E"/>
    <w:rsid w:val="00875A82"/>
    <w:rsid w:val="00876CA3"/>
    <w:rsid w:val="00876E49"/>
    <w:rsid w:val="008772FE"/>
    <w:rsid w:val="008775F1"/>
    <w:rsid w:val="00877DCC"/>
    <w:rsid w:val="008821AE"/>
    <w:rsid w:val="00883D3A"/>
    <w:rsid w:val="008854F7"/>
    <w:rsid w:val="00885638"/>
    <w:rsid w:val="00885A9D"/>
    <w:rsid w:val="008879F0"/>
    <w:rsid w:val="00891EBF"/>
    <w:rsid w:val="008929D2"/>
    <w:rsid w:val="00893636"/>
    <w:rsid w:val="00893B94"/>
    <w:rsid w:val="00896E9D"/>
    <w:rsid w:val="00896F11"/>
    <w:rsid w:val="00897909"/>
    <w:rsid w:val="008A1049"/>
    <w:rsid w:val="008A1C98"/>
    <w:rsid w:val="008A2E91"/>
    <w:rsid w:val="008A322D"/>
    <w:rsid w:val="008A4CCE"/>
    <w:rsid w:val="008A4D72"/>
    <w:rsid w:val="008A6285"/>
    <w:rsid w:val="008A63B2"/>
    <w:rsid w:val="008A65D3"/>
    <w:rsid w:val="008A7712"/>
    <w:rsid w:val="008A7999"/>
    <w:rsid w:val="008A7A2C"/>
    <w:rsid w:val="008B1995"/>
    <w:rsid w:val="008B345D"/>
    <w:rsid w:val="008C1FC2"/>
    <w:rsid w:val="008C2980"/>
    <w:rsid w:val="008C4DD6"/>
    <w:rsid w:val="008C5AFB"/>
    <w:rsid w:val="008D07FB"/>
    <w:rsid w:val="008D0C02"/>
    <w:rsid w:val="008D357D"/>
    <w:rsid w:val="008D41DA"/>
    <w:rsid w:val="008D435A"/>
    <w:rsid w:val="008D50AA"/>
    <w:rsid w:val="008D64D3"/>
    <w:rsid w:val="008D6B9F"/>
    <w:rsid w:val="008D7DC0"/>
    <w:rsid w:val="008E1085"/>
    <w:rsid w:val="008E387B"/>
    <w:rsid w:val="008E6087"/>
    <w:rsid w:val="008E758D"/>
    <w:rsid w:val="008F10A7"/>
    <w:rsid w:val="008F234E"/>
    <w:rsid w:val="008F3B90"/>
    <w:rsid w:val="008F44B5"/>
    <w:rsid w:val="008F755D"/>
    <w:rsid w:val="008F7A39"/>
    <w:rsid w:val="009021E8"/>
    <w:rsid w:val="00902A26"/>
    <w:rsid w:val="00904677"/>
    <w:rsid w:val="00904A0C"/>
    <w:rsid w:val="00905423"/>
    <w:rsid w:val="00905EE2"/>
    <w:rsid w:val="00906F9C"/>
    <w:rsid w:val="00911440"/>
    <w:rsid w:val="00911712"/>
    <w:rsid w:val="00911B27"/>
    <w:rsid w:val="00915913"/>
    <w:rsid w:val="0091689F"/>
    <w:rsid w:val="009170BE"/>
    <w:rsid w:val="00920B55"/>
    <w:rsid w:val="00922275"/>
    <w:rsid w:val="009224C9"/>
    <w:rsid w:val="00925C2D"/>
    <w:rsid w:val="009262C9"/>
    <w:rsid w:val="00927E35"/>
    <w:rsid w:val="00930152"/>
    <w:rsid w:val="009302B6"/>
    <w:rsid w:val="0093051C"/>
    <w:rsid w:val="00930EB9"/>
    <w:rsid w:val="00933DC7"/>
    <w:rsid w:val="009418F4"/>
    <w:rsid w:val="00942BBC"/>
    <w:rsid w:val="00944180"/>
    <w:rsid w:val="00944AA0"/>
    <w:rsid w:val="00944E4C"/>
    <w:rsid w:val="00945C23"/>
    <w:rsid w:val="00946010"/>
    <w:rsid w:val="00947DA2"/>
    <w:rsid w:val="00951177"/>
    <w:rsid w:val="009545B8"/>
    <w:rsid w:val="00954BD8"/>
    <w:rsid w:val="009555FF"/>
    <w:rsid w:val="009673A7"/>
    <w:rsid w:val="009673E8"/>
    <w:rsid w:val="0097030F"/>
    <w:rsid w:val="0097035D"/>
    <w:rsid w:val="00972B50"/>
    <w:rsid w:val="00974DB8"/>
    <w:rsid w:val="00975595"/>
    <w:rsid w:val="00975D03"/>
    <w:rsid w:val="00980661"/>
    <w:rsid w:val="0098093B"/>
    <w:rsid w:val="00980B27"/>
    <w:rsid w:val="00986131"/>
    <w:rsid w:val="009876D4"/>
    <w:rsid w:val="009914A5"/>
    <w:rsid w:val="00992144"/>
    <w:rsid w:val="009923B0"/>
    <w:rsid w:val="0099422F"/>
    <w:rsid w:val="00994884"/>
    <w:rsid w:val="009950F4"/>
    <w:rsid w:val="0099548E"/>
    <w:rsid w:val="009960CE"/>
    <w:rsid w:val="00996456"/>
    <w:rsid w:val="00996A12"/>
    <w:rsid w:val="00996DD0"/>
    <w:rsid w:val="00997B0F"/>
    <w:rsid w:val="009A02E7"/>
    <w:rsid w:val="009A09B7"/>
    <w:rsid w:val="009A1CAD"/>
    <w:rsid w:val="009A337D"/>
    <w:rsid w:val="009A3440"/>
    <w:rsid w:val="009A5832"/>
    <w:rsid w:val="009A6838"/>
    <w:rsid w:val="009A739A"/>
    <w:rsid w:val="009A7E39"/>
    <w:rsid w:val="009B24B5"/>
    <w:rsid w:val="009B4EBC"/>
    <w:rsid w:val="009B5ABB"/>
    <w:rsid w:val="009B64B5"/>
    <w:rsid w:val="009B6509"/>
    <w:rsid w:val="009B73CE"/>
    <w:rsid w:val="009C2461"/>
    <w:rsid w:val="009C6A3A"/>
    <w:rsid w:val="009C6FE2"/>
    <w:rsid w:val="009C7674"/>
    <w:rsid w:val="009D004A"/>
    <w:rsid w:val="009D2842"/>
    <w:rsid w:val="009D5201"/>
    <w:rsid w:val="009D5880"/>
    <w:rsid w:val="009E07A6"/>
    <w:rsid w:val="009E0817"/>
    <w:rsid w:val="009E1FD4"/>
    <w:rsid w:val="009E3B07"/>
    <w:rsid w:val="009E3CBA"/>
    <w:rsid w:val="009E404D"/>
    <w:rsid w:val="009E4740"/>
    <w:rsid w:val="009E51D1"/>
    <w:rsid w:val="009E5531"/>
    <w:rsid w:val="009F04B5"/>
    <w:rsid w:val="009F171E"/>
    <w:rsid w:val="009F1A9A"/>
    <w:rsid w:val="009F31B3"/>
    <w:rsid w:val="009F3D2F"/>
    <w:rsid w:val="009F685C"/>
    <w:rsid w:val="009F7052"/>
    <w:rsid w:val="00A005E7"/>
    <w:rsid w:val="00A01B4A"/>
    <w:rsid w:val="00A02668"/>
    <w:rsid w:val="00A02801"/>
    <w:rsid w:val="00A033F3"/>
    <w:rsid w:val="00A04384"/>
    <w:rsid w:val="00A06A39"/>
    <w:rsid w:val="00A07F58"/>
    <w:rsid w:val="00A131CB"/>
    <w:rsid w:val="00A146C3"/>
    <w:rsid w:val="00A14847"/>
    <w:rsid w:val="00A153F4"/>
    <w:rsid w:val="00A16D6D"/>
    <w:rsid w:val="00A17D87"/>
    <w:rsid w:val="00A21383"/>
    <w:rsid w:val="00A2199F"/>
    <w:rsid w:val="00A21B31"/>
    <w:rsid w:val="00A2360E"/>
    <w:rsid w:val="00A239BB"/>
    <w:rsid w:val="00A26E0C"/>
    <w:rsid w:val="00A275C4"/>
    <w:rsid w:val="00A319A4"/>
    <w:rsid w:val="00A31A8D"/>
    <w:rsid w:val="00A31DB0"/>
    <w:rsid w:val="00A32FCB"/>
    <w:rsid w:val="00A34392"/>
    <w:rsid w:val="00A34C25"/>
    <w:rsid w:val="00A3507D"/>
    <w:rsid w:val="00A3717A"/>
    <w:rsid w:val="00A4088C"/>
    <w:rsid w:val="00A4175D"/>
    <w:rsid w:val="00A419E6"/>
    <w:rsid w:val="00A4456B"/>
    <w:rsid w:val="00A448D4"/>
    <w:rsid w:val="00A452E0"/>
    <w:rsid w:val="00A46424"/>
    <w:rsid w:val="00A51EA5"/>
    <w:rsid w:val="00A53742"/>
    <w:rsid w:val="00A557A1"/>
    <w:rsid w:val="00A5679D"/>
    <w:rsid w:val="00A63059"/>
    <w:rsid w:val="00A63AE3"/>
    <w:rsid w:val="00A64761"/>
    <w:rsid w:val="00A651A4"/>
    <w:rsid w:val="00A659E6"/>
    <w:rsid w:val="00A66664"/>
    <w:rsid w:val="00A71361"/>
    <w:rsid w:val="00A730E2"/>
    <w:rsid w:val="00A746E2"/>
    <w:rsid w:val="00A81FF2"/>
    <w:rsid w:val="00A83904"/>
    <w:rsid w:val="00A90A5D"/>
    <w:rsid w:val="00A90A79"/>
    <w:rsid w:val="00A90DF6"/>
    <w:rsid w:val="00A91082"/>
    <w:rsid w:val="00A96B30"/>
    <w:rsid w:val="00AA554A"/>
    <w:rsid w:val="00AA591A"/>
    <w:rsid w:val="00AA59B5"/>
    <w:rsid w:val="00AA632F"/>
    <w:rsid w:val="00AA7777"/>
    <w:rsid w:val="00AA7B84"/>
    <w:rsid w:val="00AB339E"/>
    <w:rsid w:val="00AC007B"/>
    <w:rsid w:val="00AC0119"/>
    <w:rsid w:val="00AC0B4C"/>
    <w:rsid w:val="00AC1164"/>
    <w:rsid w:val="00AC2296"/>
    <w:rsid w:val="00AC2754"/>
    <w:rsid w:val="00AC345B"/>
    <w:rsid w:val="00AC3F1E"/>
    <w:rsid w:val="00AC48B0"/>
    <w:rsid w:val="00AC4ACD"/>
    <w:rsid w:val="00AC5DFB"/>
    <w:rsid w:val="00AD13DC"/>
    <w:rsid w:val="00AD3B4B"/>
    <w:rsid w:val="00AD43AE"/>
    <w:rsid w:val="00AD612D"/>
    <w:rsid w:val="00AD6DE2"/>
    <w:rsid w:val="00AE0A40"/>
    <w:rsid w:val="00AE1ED4"/>
    <w:rsid w:val="00AE21E1"/>
    <w:rsid w:val="00AE2F8D"/>
    <w:rsid w:val="00AE3BAE"/>
    <w:rsid w:val="00AE5FCE"/>
    <w:rsid w:val="00AE6A21"/>
    <w:rsid w:val="00AF0F44"/>
    <w:rsid w:val="00AF1C8F"/>
    <w:rsid w:val="00AF2B68"/>
    <w:rsid w:val="00AF2C92"/>
    <w:rsid w:val="00AF3EC1"/>
    <w:rsid w:val="00AF5025"/>
    <w:rsid w:val="00AF519F"/>
    <w:rsid w:val="00AF5387"/>
    <w:rsid w:val="00AF55F5"/>
    <w:rsid w:val="00AF718C"/>
    <w:rsid w:val="00AF7E86"/>
    <w:rsid w:val="00B024B9"/>
    <w:rsid w:val="00B03711"/>
    <w:rsid w:val="00B04B0F"/>
    <w:rsid w:val="00B05CFD"/>
    <w:rsid w:val="00B066B0"/>
    <w:rsid w:val="00B077FA"/>
    <w:rsid w:val="00B101FE"/>
    <w:rsid w:val="00B10BDC"/>
    <w:rsid w:val="00B10E9A"/>
    <w:rsid w:val="00B127D7"/>
    <w:rsid w:val="00B13B0C"/>
    <w:rsid w:val="00B13E1A"/>
    <w:rsid w:val="00B1453A"/>
    <w:rsid w:val="00B153D4"/>
    <w:rsid w:val="00B155A6"/>
    <w:rsid w:val="00B164BE"/>
    <w:rsid w:val="00B20F82"/>
    <w:rsid w:val="00B2235C"/>
    <w:rsid w:val="00B2276C"/>
    <w:rsid w:val="00B22E80"/>
    <w:rsid w:val="00B23122"/>
    <w:rsid w:val="00B25BD5"/>
    <w:rsid w:val="00B27E9C"/>
    <w:rsid w:val="00B30F98"/>
    <w:rsid w:val="00B31D33"/>
    <w:rsid w:val="00B33325"/>
    <w:rsid w:val="00B34079"/>
    <w:rsid w:val="00B35392"/>
    <w:rsid w:val="00B355D4"/>
    <w:rsid w:val="00B36B23"/>
    <w:rsid w:val="00B3793A"/>
    <w:rsid w:val="00B37A15"/>
    <w:rsid w:val="00B37F6B"/>
    <w:rsid w:val="00B401BA"/>
    <w:rsid w:val="00B407E4"/>
    <w:rsid w:val="00B40F24"/>
    <w:rsid w:val="00B425B6"/>
    <w:rsid w:val="00B42A72"/>
    <w:rsid w:val="00B441AE"/>
    <w:rsid w:val="00B442A3"/>
    <w:rsid w:val="00B45A65"/>
    <w:rsid w:val="00B45F33"/>
    <w:rsid w:val="00B46D50"/>
    <w:rsid w:val="00B477E8"/>
    <w:rsid w:val="00B53170"/>
    <w:rsid w:val="00B5389C"/>
    <w:rsid w:val="00B548B9"/>
    <w:rsid w:val="00B555EC"/>
    <w:rsid w:val="00B56DBE"/>
    <w:rsid w:val="00B61979"/>
    <w:rsid w:val="00B62999"/>
    <w:rsid w:val="00B63BE3"/>
    <w:rsid w:val="00B64885"/>
    <w:rsid w:val="00B64941"/>
    <w:rsid w:val="00B66612"/>
    <w:rsid w:val="00B66810"/>
    <w:rsid w:val="00B66FA9"/>
    <w:rsid w:val="00B71FAA"/>
    <w:rsid w:val="00B72BE3"/>
    <w:rsid w:val="00B73A1F"/>
    <w:rsid w:val="00B73B80"/>
    <w:rsid w:val="00B74A6D"/>
    <w:rsid w:val="00B770C7"/>
    <w:rsid w:val="00B80F26"/>
    <w:rsid w:val="00B822BD"/>
    <w:rsid w:val="00B83B00"/>
    <w:rsid w:val="00B842F4"/>
    <w:rsid w:val="00B8684B"/>
    <w:rsid w:val="00B90B68"/>
    <w:rsid w:val="00B91A7B"/>
    <w:rsid w:val="00B929DD"/>
    <w:rsid w:val="00B93AF6"/>
    <w:rsid w:val="00B94B5F"/>
    <w:rsid w:val="00B953F5"/>
    <w:rsid w:val="00B95405"/>
    <w:rsid w:val="00B95F6B"/>
    <w:rsid w:val="00B963F1"/>
    <w:rsid w:val="00B9657D"/>
    <w:rsid w:val="00B96A56"/>
    <w:rsid w:val="00B96B3C"/>
    <w:rsid w:val="00BA020A"/>
    <w:rsid w:val="00BA0EA8"/>
    <w:rsid w:val="00BA142F"/>
    <w:rsid w:val="00BA4978"/>
    <w:rsid w:val="00BA4EFB"/>
    <w:rsid w:val="00BA7EF6"/>
    <w:rsid w:val="00BB01D8"/>
    <w:rsid w:val="00BB02A4"/>
    <w:rsid w:val="00BB0ACE"/>
    <w:rsid w:val="00BB1270"/>
    <w:rsid w:val="00BB1D60"/>
    <w:rsid w:val="00BB1E44"/>
    <w:rsid w:val="00BB38B2"/>
    <w:rsid w:val="00BB5267"/>
    <w:rsid w:val="00BB52B8"/>
    <w:rsid w:val="00BB59D8"/>
    <w:rsid w:val="00BB5CE1"/>
    <w:rsid w:val="00BB7E69"/>
    <w:rsid w:val="00BC0E51"/>
    <w:rsid w:val="00BC28CF"/>
    <w:rsid w:val="00BC3C1F"/>
    <w:rsid w:val="00BC527C"/>
    <w:rsid w:val="00BC6CEF"/>
    <w:rsid w:val="00BC7884"/>
    <w:rsid w:val="00BC7CE7"/>
    <w:rsid w:val="00BD22CB"/>
    <w:rsid w:val="00BD23AB"/>
    <w:rsid w:val="00BD295E"/>
    <w:rsid w:val="00BD2CE2"/>
    <w:rsid w:val="00BD3D57"/>
    <w:rsid w:val="00BD4664"/>
    <w:rsid w:val="00BE089E"/>
    <w:rsid w:val="00BE1193"/>
    <w:rsid w:val="00BE538D"/>
    <w:rsid w:val="00BE5F72"/>
    <w:rsid w:val="00BE6AA9"/>
    <w:rsid w:val="00BE7765"/>
    <w:rsid w:val="00BF081B"/>
    <w:rsid w:val="00BF2693"/>
    <w:rsid w:val="00BF4849"/>
    <w:rsid w:val="00BF4EA7"/>
    <w:rsid w:val="00BF4F9D"/>
    <w:rsid w:val="00BF64FD"/>
    <w:rsid w:val="00C005EE"/>
    <w:rsid w:val="00C00EDB"/>
    <w:rsid w:val="00C01370"/>
    <w:rsid w:val="00C01732"/>
    <w:rsid w:val="00C024AA"/>
    <w:rsid w:val="00C02863"/>
    <w:rsid w:val="00C02ACB"/>
    <w:rsid w:val="00C0383A"/>
    <w:rsid w:val="00C03B8B"/>
    <w:rsid w:val="00C04DF1"/>
    <w:rsid w:val="00C067FF"/>
    <w:rsid w:val="00C1011D"/>
    <w:rsid w:val="00C12862"/>
    <w:rsid w:val="00C13D28"/>
    <w:rsid w:val="00C14585"/>
    <w:rsid w:val="00C165A0"/>
    <w:rsid w:val="00C2100E"/>
    <w:rsid w:val="00C216CE"/>
    <w:rsid w:val="00C2184F"/>
    <w:rsid w:val="00C22A78"/>
    <w:rsid w:val="00C23C7E"/>
    <w:rsid w:val="00C246C5"/>
    <w:rsid w:val="00C2476B"/>
    <w:rsid w:val="00C25A82"/>
    <w:rsid w:val="00C25B52"/>
    <w:rsid w:val="00C273F8"/>
    <w:rsid w:val="00C27B4E"/>
    <w:rsid w:val="00C30A2A"/>
    <w:rsid w:val="00C316FC"/>
    <w:rsid w:val="00C33993"/>
    <w:rsid w:val="00C34050"/>
    <w:rsid w:val="00C36F22"/>
    <w:rsid w:val="00C4069E"/>
    <w:rsid w:val="00C41ADC"/>
    <w:rsid w:val="00C42192"/>
    <w:rsid w:val="00C42BC6"/>
    <w:rsid w:val="00C44149"/>
    <w:rsid w:val="00C44410"/>
    <w:rsid w:val="00C44791"/>
    <w:rsid w:val="00C44A15"/>
    <w:rsid w:val="00C44C40"/>
    <w:rsid w:val="00C4630A"/>
    <w:rsid w:val="00C523F0"/>
    <w:rsid w:val="00C526D2"/>
    <w:rsid w:val="00C53A30"/>
    <w:rsid w:val="00C53A91"/>
    <w:rsid w:val="00C54CFA"/>
    <w:rsid w:val="00C5794E"/>
    <w:rsid w:val="00C60968"/>
    <w:rsid w:val="00C62F88"/>
    <w:rsid w:val="00C63720"/>
    <w:rsid w:val="00C63D39"/>
    <w:rsid w:val="00C63EDD"/>
    <w:rsid w:val="00C651CD"/>
    <w:rsid w:val="00C65B36"/>
    <w:rsid w:val="00C66BAE"/>
    <w:rsid w:val="00C67DD5"/>
    <w:rsid w:val="00C70059"/>
    <w:rsid w:val="00C71B4A"/>
    <w:rsid w:val="00C7292E"/>
    <w:rsid w:val="00C74E88"/>
    <w:rsid w:val="00C77D2E"/>
    <w:rsid w:val="00C808F0"/>
    <w:rsid w:val="00C80924"/>
    <w:rsid w:val="00C81DD6"/>
    <w:rsid w:val="00C8213B"/>
    <w:rsid w:val="00C8286B"/>
    <w:rsid w:val="00C833A0"/>
    <w:rsid w:val="00C838FA"/>
    <w:rsid w:val="00C87618"/>
    <w:rsid w:val="00C9306A"/>
    <w:rsid w:val="00C947F8"/>
    <w:rsid w:val="00C9515F"/>
    <w:rsid w:val="00C963C5"/>
    <w:rsid w:val="00CA030C"/>
    <w:rsid w:val="00CA0B33"/>
    <w:rsid w:val="00CA1F41"/>
    <w:rsid w:val="00CA2A37"/>
    <w:rsid w:val="00CA32EE"/>
    <w:rsid w:val="00CA5771"/>
    <w:rsid w:val="00CA6A1A"/>
    <w:rsid w:val="00CB132A"/>
    <w:rsid w:val="00CB6581"/>
    <w:rsid w:val="00CB71E4"/>
    <w:rsid w:val="00CC04D8"/>
    <w:rsid w:val="00CC0CFB"/>
    <w:rsid w:val="00CC1E75"/>
    <w:rsid w:val="00CC2E0E"/>
    <w:rsid w:val="00CC361C"/>
    <w:rsid w:val="00CC474B"/>
    <w:rsid w:val="00CC658C"/>
    <w:rsid w:val="00CC67BF"/>
    <w:rsid w:val="00CD0843"/>
    <w:rsid w:val="00CD4691"/>
    <w:rsid w:val="00CD56F1"/>
    <w:rsid w:val="00CD5A78"/>
    <w:rsid w:val="00CD6E02"/>
    <w:rsid w:val="00CD7345"/>
    <w:rsid w:val="00CE0D9D"/>
    <w:rsid w:val="00CE372E"/>
    <w:rsid w:val="00CE37C7"/>
    <w:rsid w:val="00CE4AB1"/>
    <w:rsid w:val="00CE56A2"/>
    <w:rsid w:val="00CE7FEB"/>
    <w:rsid w:val="00CF0756"/>
    <w:rsid w:val="00CF0A1B"/>
    <w:rsid w:val="00CF19F6"/>
    <w:rsid w:val="00CF2F4F"/>
    <w:rsid w:val="00CF536D"/>
    <w:rsid w:val="00CF727B"/>
    <w:rsid w:val="00CF7984"/>
    <w:rsid w:val="00D02E9D"/>
    <w:rsid w:val="00D04BCE"/>
    <w:rsid w:val="00D05014"/>
    <w:rsid w:val="00D05350"/>
    <w:rsid w:val="00D069DE"/>
    <w:rsid w:val="00D07C5D"/>
    <w:rsid w:val="00D10CB8"/>
    <w:rsid w:val="00D12806"/>
    <w:rsid w:val="00D12D44"/>
    <w:rsid w:val="00D1452A"/>
    <w:rsid w:val="00D14A87"/>
    <w:rsid w:val="00D15018"/>
    <w:rsid w:val="00D158AC"/>
    <w:rsid w:val="00D1694C"/>
    <w:rsid w:val="00D17A9B"/>
    <w:rsid w:val="00D20F5E"/>
    <w:rsid w:val="00D219DF"/>
    <w:rsid w:val="00D22C51"/>
    <w:rsid w:val="00D23B76"/>
    <w:rsid w:val="00D24B4A"/>
    <w:rsid w:val="00D336D0"/>
    <w:rsid w:val="00D3676D"/>
    <w:rsid w:val="00D379A3"/>
    <w:rsid w:val="00D411EA"/>
    <w:rsid w:val="00D45FF3"/>
    <w:rsid w:val="00D469D5"/>
    <w:rsid w:val="00D46E25"/>
    <w:rsid w:val="00D512CF"/>
    <w:rsid w:val="00D51719"/>
    <w:rsid w:val="00D5184B"/>
    <w:rsid w:val="00D528B9"/>
    <w:rsid w:val="00D52C87"/>
    <w:rsid w:val="00D53186"/>
    <w:rsid w:val="00D5487D"/>
    <w:rsid w:val="00D57481"/>
    <w:rsid w:val="00D60140"/>
    <w:rsid w:val="00D6024A"/>
    <w:rsid w:val="00D608B5"/>
    <w:rsid w:val="00D61A89"/>
    <w:rsid w:val="00D64739"/>
    <w:rsid w:val="00D6785A"/>
    <w:rsid w:val="00D71F99"/>
    <w:rsid w:val="00D73CA4"/>
    <w:rsid w:val="00D73D71"/>
    <w:rsid w:val="00D74396"/>
    <w:rsid w:val="00D753CA"/>
    <w:rsid w:val="00D80284"/>
    <w:rsid w:val="00D81F71"/>
    <w:rsid w:val="00D827BB"/>
    <w:rsid w:val="00D82ACC"/>
    <w:rsid w:val="00D856E9"/>
    <w:rsid w:val="00D8577A"/>
    <w:rsid w:val="00D8642D"/>
    <w:rsid w:val="00D87799"/>
    <w:rsid w:val="00D90A5E"/>
    <w:rsid w:val="00D91A68"/>
    <w:rsid w:val="00D95A68"/>
    <w:rsid w:val="00D9688B"/>
    <w:rsid w:val="00DA17C7"/>
    <w:rsid w:val="00DA18CB"/>
    <w:rsid w:val="00DA2594"/>
    <w:rsid w:val="00DA6242"/>
    <w:rsid w:val="00DA6A9A"/>
    <w:rsid w:val="00DA6F9B"/>
    <w:rsid w:val="00DB1953"/>
    <w:rsid w:val="00DB1EFD"/>
    <w:rsid w:val="00DB3EAF"/>
    <w:rsid w:val="00DB46C6"/>
    <w:rsid w:val="00DB5729"/>
    <w:rsid w:val="00DB67C2"/>
    <w:rsid w:val="00DB7D79"/>
    <w:rsid w:val="00DC3203"/>
    <w:rsid w:val="00DC3C99"/>
    <w:rsid w:val="00DC44FC"/>
    <w:rsid w:val="00DC52F5"/>
    <w:rsid w:val="00DC5D41"/>
    <w:rsid w:val="00DC5FD0"/>
    <w:rsid w:val="00DC723A"/>
    <w:rsid w:val="00DD0354"/>
    <w:rsid w:val="00DD0991"/>
    <w:rsid w:val="00DD0EB3"/>
    <w:rsid w:val="00DD1F6E"/>
    <w:rsid w:val="00DD27D7"/>
    <w:rsid w:val="00DD458C"/>
    <w:rsid w:val="00DD72E9"/>
    <w:rsid w:val="00DD7605"/>
    <w:rsid w:val="00DE1ACF"/>
    <w:rsid w:val="00DE1C4F"/>
    <w:rsid w:val="00DE2020"/>
    <w:rsid w:val="00DE203D"/>
    <w:rsid w:val="00DE25C2"/>
    <w:rsid w:val="00DE3476"/>
    <w:rsid w:val="00DE3872"/>
    <w:rsid w:val="00DE7BEA"/>
    <w:rsid w:val="00DF5B84"/>
    <w:rsid w:val="00DF650C"/>
    <w:rsid w:val="00DF6AB6"/>
    <w:rsid w:val="00DF6D5B"/>
    <w:rsid w:val="00DF771B"/>
    <w:rsid w:val="00DF78E9"/>
    <w:rsid w:val="00DF7EE2"/>
    <w:rsid w:val="00E01BAA"/>
    <w:rsid w:val="00E0282A"/>
    <w:rsid w:val="00E02F9B"/>
    <w:rsid w:val="00E07E14"/>
    <w:rsid w:val="00E10117"/>
    <w:rsid w:val="00E11B4B"/>
    <w:rsid w:val="00E12BB3"/>
    <w:rsid w:val="00E14F94"/>
    <w:rsid w:val="00E15E09"/>
    <w:rsid w:val="00E17336"/>
    <w:rsid w:val="00E17D15"/>
    <w:rsid w:val="00E21AE6"/>
    <w:rsid w:val="00E220FD"/>
    <w:rsid w:val="00E22293"/>
    <w:rsid w:val="00E2274B"/>
    <w:rsid w:val="00E22B95"/>
    <w:rsid w:val="00E24030"/>
    <w:rsid w:val="00E247C9"/>
    <w:rsid w:val="00E26EFD"/>
    <w:rsid w:val="00E27C1F"/>
    <w:rsid w:val="00E30201"/>
    <w:rsid w:val="00E30331"/>
    <w:rsid w:val="00E30BB8"/>
    <w:rsid w:val="00E31F9C"/>
    <w:rsid w:val="00E32704"/>
    <w:rsid w:val="00E343CF"/>
    <w:rsid w:val="00E346E8"/>
    <w:rsid w:val="00E35278"/>
    <w:rsid w:val="00E40488"/>
    <w:rsid w:val="00E43B44"/>
    <w:rsid w:val="00E4674C"/>
    <w:rsid w:val="00E46E33"/>
    <w:rsid w:val="00E50367"/>
    <w:rsid w:val="00E5135D"/>
    <w:rsid w:val="00E51ABA"/>
    <w:rsid w:val="00E524CB"/>
    <w:rsid w:val="00E52C2D"/>
    <w:rsid w:val="00E54F4E"/>
    <w:rsid w:val="00E551EC"/>
    <w:rsid w:val="00E55B52"/>
    <w:rsid w:val="00E5611C"/>
    <w:rsid w:val="00E6324A"/>
    <w:rsid w:val="00E63413"/>
    <w:rsid w:val="00E64907"/>
    <w:rsid w:val="00E65456"/>
    <w:rsid w:val="00E65A91"/>
    <w:rsid w:val="00E66188"/>
    <w:rsid w:val="00E664FB"/>
    <w:rsid w:val="00E672F0"/>
    <w:rsid w:val="00E70373"/>
    <w:rsid w:val="00E71194"/>
    <w:rsid w:val="00E72BD8"/>
    <w:rsid w:val="00E72E40"/>
    <w:rsid w:val="00E73665"/>
    <w:rsid w:val="00E73999"/>
    <w:rsid w:val="00E73BDC"/>
    <w:rsid w:val="00E73E9E"/>
    <w:rsid w:val="00E759B4"/>
    <w:rsid w:val="00E7736E"/>
    <w:rsid w:val="00E80FAC"/>
    <w:rsid w:val="00E813AE"/>
    <w:rsid w:val="00E81660"/>
    <w:rsid w:val="00E84BE0"/>
    <w:rsid w:val="00E854FE"/>
    <w:rsid w:val="00E87D04"/>
    <w:rsid w:val="00E906CC"/>
    <w:rsid w:val="00E939A0"/>
    <w:rsid w:val="00E955D9"/>
    <w:rsid w:val="00E97E4E"/>
    <w:rsid w:val="00EA1CC2"/>
    <w:rsid w:val="00EA2374"/>
    <w:rsid w:val="00EA2D76"/>
    <w:rsid w:val="00EA4644"/>
    <w:rsid w:val="00EA4EF1"/>
    <w:rsid w:val="00EA68F6"/>
    <w:rsid w:val="00EA758A"/>
    <w:rsid w:val="00EB096F"/>
    <w:rsid w:val="00EB0B62"/>
    <w:rsid w:val="00EB199F"/>
    <w:rsid w:val="00EB203D"/>
    <w:rsid w:val="00EB204C"/>
    <w:rsid w:val="00EB27C4"/>
    <w:rsid w:val="00EB5387"/>
    <w:rsid w:val="00EB5C10"/>
    <w:rsid w:val="00EB6020"/>
    <w:rsid w:val="00EB7322"/>
    <w:rsid w:val="00EC0FE9"/>
    <w:rsid w:val="00EC198B"/>
    <w:rsid w:val="00EC1ADC"/>
    <w:rsid w:val="00EC2FC0"/>
    <w:rsid w:val="00EC426D"/>
    <w:rsid w:val="00EC571B"/>
    <w:rsid w:val="00EC57D7"/>
    <w:rsid w:val="00EC6385"/>
    <w:rsid w:val="00ED1AA2"/>
    <w:rsid w:val="00ED1DE9"/>
    <w:rsid w:val="00ED1EE1"/>
    <w:rsid w:val="00ED23D4"/>
    <w:rsid w:val="00ED3477"/>
    <w:rsid w:val="00ED5832"/>
    <w:rsid w:val="00ED5E0B"/>
    <w:rsid w:val="00ED7FF4"/>
    <w:rsid w:val="00EE37B6"/>
    <w:rsid w:val="00EE3DB4"/>
    <w:rsid w:val="00EE41DD"/>
    <w:rsid w:val="00EE65EA"/>
    <w:rsid w:val="00EF0DCF"/>
    <w:rsid w:val="00EF0F45"/>
    <w:rsid w:val="00EF2343"/>
    <w:rsid w:val="00EF284F"/>
    <w:rsid w:val="00EF5520"/>
    <w:rsid w:val="00EF5B90"/>
    <w:rsid w:val="00EF5D93"/>
    <w:rsid w:val="00EF7463"/>
    <w:rsid w:val="00EF7971"/>
    <w:rsid w:val="00EF7BCE"/>
    <w:rsid w:val="00F002EF"/>
    <w:rsid w:val="00F00639"/>
    <w:rsid w:val="00F01EE9"/>
    <w:rsid w:val="00F03D8C"/>
    <w:rsid w:val="00F04900"/>
    <w:rsid w:val="00F065A4"/>
    <w:rsid w:val="00F07935"/>
    <w:rsid w:val="00F126B9"/>
    <w:rsid w:val="00F12715"/>
    <w:rsid w:val="00F14052"/>
    <w:rsid w:val="00F144D5"/>
    <w:rsid w:val="00F146B7"/>
    <w:rsid w:val="00F146F0"/>
    <w:rsid w:val="00F15039"/>
    <w:rsid w:val="00F15190"/>
    <w:rsid w:val="00F17B37"/>
    <w:rsid w:val="00F17FD1"/>
    <w:rsid w:val="00F20FF3"/>
    <w:rsid w:val="00F2190B"/>
    <w:rsid w:val="00F228B5"/>
    <w:rsid w:val="00F2389C"/>
    <w:rsid w:val="00F241AC"/>
    <w:rsid w:val="00F25088"/>
    <w:rsid w:val="00F25C67"/>
    <w:rsid w:val="00F30DFF"/>
    <w:rsid w:val="00F3212A"/>
    <w:rsid w:val="00F32B80"/>
    <w:rsid w:val="00F337D0"/>
    <w:rsid w:val="00F340EB"/>
    <w:rsid w:val="00F35285"/>
    <w:rsid w:val="00F3579B"/>
    <w:rsid w:val="00F37A25"/>
    <w:rsid w:val="00F40B88"/>
    <w:rsid w:val="00F43227"/>
    <w:rsid w:val="00F43B9D"/>
    <w:rsid w:val="00F44D5E"/>
    <w:rsid w:val="00F46A3A"/>
    <w:rsid w:val="00F506AE"/>
    <w:rsid w:val="00F51233"/>
    <w:rsid w:val="00F52E7C"/>
    <w:rsid w:val="00F53A35"/>
    <w:rsid w:val="00F55A3D"/>
    <w:rsid w:val="00F55F68"/>
    <w:rsid w:val="00F5744B"/>
    <w:rsid w:val="00F6073A"/>
    <w:rsid w:val="00F61209"/>
    <w:rsid w:val="00F6259E"/>
    <w:rsid w:val="00F65893"/>
    <w:rsid w:val="00F65DD4"/>
    <w:rsid w:val="00F672B2"/>
    <w:rsid w:val="00F67DC5"/>
    <w:rsid w:val="00F737BF"/>
    <w:rsid w:val="00F73E18"/>
    <w:rsid w:val="00F74EF0"/>
    <w:rsid w:val="00F82FE6"/>
    <w:rsid w:val="00F835FB"/>
    <w:rsid w:val="00F83973"/>
    <w:rsid w:val="00F84964"/>
    <w:rsid w:val="00F859A9"/>
    <w:rsid w:val="00F8692E"/>
    <w:rsid w:val="00F86A3E"/>
    <w:rsid w:val="00F877FF"/>
    <w:rsid w:val="00F87FA3"/>
    <w:rsid w:val="00F93D8C"/>
    <w:rsid w:val="00F94D52"/>
    <w:rsid w:val="00F95DCD"/>
    <w:rsid w:val="00FA1250"/>
    <w:rsid w:val="00FA23EB"/>
    <w:rsid w:val="00FA3102"/>
    <w:rsid w:val="00FA473A"/>
    <w:rsid w:val="00FA48D4"/>
    <w:rsid w:val="00FA5091"/>
    <w:rsid w:val="00FA54FA"/>
    <w:rsid w:val="00FA61D8"/>
    <w:rsid w:val="00FA6D39"/>
    <w:rsid w:val="00FA7D6F"/>
    <w:rsid w:val="00FB078D"/>
    <w:rsid w:val="00FB0DE9"/>
    <w:rsid w:val="00FB1693"/>
    <w:rsid w:val="00FB17B7"/>
    <w:rsid w:val="00FB227E"/>
    <w:rsid w:val="00FB3D61"/>
    <w:rsid w:val="00FB44CE"/>
    <w:rsid w:val="00FB497B"/>
    <w:rsid w:val="00FB5009"/>
    <w:rsid w:val="00FB5526"/>
    <w:rsid w:val="00FB76AB"/>
    <w:rsid w:val="00FC0684"/>
    <w:rsid w:val="00FC0DC6"/>
    <w:rsid w:val="00FC472A"/>
    <w:rsid w:val="00FC5782"/>
    <w:rsid w:val="00FD03FE"/>
    <w:rsid w:val="00FD126E"/>
    <w:rsid w:val="00FD2FBA"/>
    <w:rsid w:val="00FD3C36"/>
    <w:rsid w:val="00FD4D81"/>
    <w:rsid w:val="00FD695C"/>
    <w:rsid w:val="00FD7498"/>
    <w:rsid w:val="00FD7FB3"/>
    <w:rsid w:val="00FE0520"/>
    <w:rsid w:val="00FE4713"/>
    <w:rsid w:val="00FE4CB6"/>
    <w:rsid w:val="00FE4EC9"/>
    <w:rsid w:val="00FF14EF"/>
    <w:rsid w:val="00FF1DCC"/>
    <w:rsid w:val="00FF1F44"/>
    <w:rsid w:val="00FF2117"/>
    <w:rsid w:val="00FF225E"/>
    <w:rsid w:val="00FF23F3"/>
    <w:rsid w:val="00FF4142"/>
    <w:rsid w:val="00FF64AC"/>
    <w:rsid w:val="00FF672C"/>
    <w:rsid w:val="00FF6CE8"/>
    <w:rsid w:val="00FF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F3EA319"/>
  <w15:docId w15:val="{0BD148E9-B399-446F-85F8-FF9A3419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B0"/>
    <w:pPr>
      <w:spacing w:line="480" w:lineRule="auto"/>
    </w:pPr>
    <w:rPr>
      <w:sz w:val="24"/>
      <w:szCs w:val="24"/>
    </w:rPr>
  </w:style>
  <w:style w:type="paragraph" w:styleId="Heading1">
    <w:name w:val="heading 1"/>
    <w:basedOn w:val="Normal"/>
    <w:next w:val="Paragraph"/>
    <w:link w:val="Heading1Char"/>
    <w:qFormat/>
    <w:rsid w:val="001158F3"/>
    <w:pPr>
      <w:keepNext/>
      <w:numPr>
        <w:numId w:val="4"/>
      </w:numPr>
      <w:spacing w:before="360" w:after="60" w:line="360" w:lineRule="auto"/>
      <w:ind w:right="567"/>
      <w:contextualSpacing/>
      <w:outlineLvl w:val="0"/>
    </w:pPr>
    <w:rPr>
      <w:rFonts w:cs="Arial"/>
      <w:b/>
      <w:bCs/>
      <w:kern w:val="32"/>
      <w:szCs w:val="32"/>
    </w:rPr>
  </w:style>
  <w:style w:type="paragraph" w:styleId="Heading2">
    <w:name w:val="heading 2"/>
    <w:basedOn w:val="Normal"/>
    <w:next w:val="Newparagraph"/>
    <w:link w:val="Heading2Char"/>
    <w:qFormat/>
    <w:rsid w:val="008D07FB"/>
    <w:pPr>
      <w:keepNext/>
      <w:numPr>
        <w:ilvl w:val="1"/>
        <w:numId w:val="4"/>
      </w:numPr>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numPr>
        <w:ilvl w:val="2"/>
        <w:numId w:val="4"/>
      </w:numPr>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numPr>
        <w:ilvl w:val="3"/>
        <w:numId w:val="4"/>
      </w:numPr>
      <w:spacing w:before="360"/>
      <w:outlineLvl w:val="3"/>
    </w:pPr>
    <w:rPr>
      <w:bCs/>
      <w:szCs w:val="28"/>
    </w:rPr>
  </w:style>
  <w:style w:type="paragraph" w:styleId="Heading5">
    <w:name w:val="heading 5"/>
    <w:basedOn w:val="Normal"/>
    <w:next w:val="Normal"/>
    <w:link w:val="Heading5Char"/>
    <w:qFormat/>
    <w:rsid w:val="002F792F"/>
    <w:pPr>
      <w:keepNext/>
      <w:numPr>
        <w:ilvl w:val="4"/>
        <w:numId w:val="4"/>
      </w:numPr>
      <w:spacing w:line="240" w:lineRule="auto"/>
      <w:jc w:val="both"/>
      <w:outlineLvl w:val="4"/>
    </w:pPr>
    <w:rPr>
      <w:rFonts w:ascii="Arial" w:hAnsi="Arial" w:cs="Arial"/>
      <w:b/>
      <w:bCs/>
      <w:lang w:eastAsia="zh-CN"/>
    </w:rPr>
  </w:style>
  <w:style w:type="paragraph" w:styleId="Heading6">
    <w:name w:val="heading 6"/>
    <w:basedOn w:val="Normal"/>
    <w:next w:val="Normal"/>
    <w:link w:val="Heading6Char"/>
    <w:rsid w:val="001158F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1158F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158F3"/>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1158F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425BB0"/>
    <w:pPr>
      <w:widowControl w:val="0"/>
      <w:spacing w:before="240"/>
      <w:ind w:firstLine="720"/>
    </w:pPr>
  </w:style>
  <w:style w:type="paragraph" w:customStyle="1" w:styleId="Newparagraph">
    <w:name w:val="New paragraph"/>
    <w:basedOn w:val="Normal"/>
    <w:qFormat/>
    <w:rsid w:val="00425BB0"/>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1158F3"/>
    <w:rPr>
      <w:rFonts w:cs="Arial"/>
      <w:b/>
      <w:bCs/>
      <w:kern w:val="32"/>
      <w:sz w:val="24"/>
      <w:szCs w:val="32"/>
    </w:rPr>
  </w:style>
  <w:style w:type="character" w:customStyle="1" w:styleId="Heading3Char">
    <w:name w:val="Heading 3 Char"/>
    <w:basedOn w:val="DefaultParagraphFont"/>
    <w:link w:val="Heading3"/>
    <w:rsid w:val="00DF7EE2"/>
    <w:rPr>
      <w:rFonts w:cs="Arial"/>
      <w:bCs/>
      <w:i/>
      <w:sz w:val="24"/>
      <w:szCs w:val="26"/>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8D7DC0"/>
    <w:pPr>
      <w:spacing w:line="240" w:lineRule="auto"/>
    </w:pPr>
    <w:rPr>
      <w:sz w:val="22"/>
      <w:szCs w:val="20"/>
    </w:rPr>
  </w:style>
  <w:style w:type="character" w:customStyle="1" w:styleId="FootnoteTextChar">
    <w:name w:val="Footnote Text Char"/>
    <w:basedOn w:val="DefaultParagraphFont"/>
    <w:link w:val="FootnoteText"/>
    <w:rsid w:val="008D7DC0"/>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Heading5Char">
    <w:name w:val="Heading 5 Char"/>
    <w:basedOn w:val="DefaultParagraphFont"/>
    <w:link w:val="Heading5"/>
    <w:rsid w:val="002F792F"/>
    <w:rPr>
      <w:rFonts w:ascii="Arial" w:hAnsi="Arial" w:cs="Arial"/>
      <w:b/>
      <w:bCs/>
      <w:sz w:val="24"/>
      <w:szCs w:val="24"/>
      <w:lang w:eastAsia="zh-CN"/>
    </w:rPr>
  </w:style>
  <w:style w:type="character" w:styleId="PageNumber">
    <w:name w:val="page number"/>
    <w:rsid w:val="002F792F"/>
  </w:style>
  <w:style w:type="paragraph" w:customStyle="1" w:styleId="Bull-1">
    <w:name w:val="Bull-1"/>
    <w:basedOn w:val="Normal"/>
    <w:rsid w:val="002F792F"/>
    <w:pPr>
      <w:spacing w:line="240" w:lineRule="auto"/>
      <w:ind w:left="681" w:hanging="284"/>
    </w:pPr>
    <w:rPr>
      <w:rFonts w:ascii="Arial" w:hAnsi="Arial" w:cs="Arial"/>
      <w:sz w:val="20"/>
      <w:szCs w:val="20"/>
      <w:lang w:eastAsia="zh-CN"/>
    </w:rPr>
  </w:style>
  <w:style w:type="paragraph" w:customStyle="1" w:styleId="Bull-2">
    <w:name w:val="Bull-2"/>
    <w:basedOn w:val="Bull-1"/>
    <w:rsid w:val="002F792F"/>
    <w:pPr>
      <w:ind w:left="1077" w:hanging="283"/>
    </w:pPr>
  </w:style>
  <w:style w:type="paragraph" w:customStyle="1" w:styleId="Hangingnumberedreference">
    <w:name w:val="Hanging numbered reference"/>
    <w:basedOn w:val="Normal"/>
    <w:rsid w:val="002F792F"/>
    <w:pPr>
      <w:numPr>
        <w:numId w:val="3"/>
      </w:numPr>
      <w:spacing w:before="120" w:line="240" w:lineRule="auto"/>
      <w:jc w:val="both"/>
    </w:pPr>
    <w:rPr>
      <w:rFonts w:ascii="Arial" w:hAnsi="Arial" w:cs="Arial"/>
      <w:lang w:eastAsia="zh-CN"/>
    </w:rPr>
  </w:style>
  <w:style w:type="paragraph" w:styleId="DocumentMap">
    <w:name w:val="Document Map"/>
    <w:basedOn w:val="Normal"/>
    <w:link w:val="DocumentMapChar"/>
    <w:rsid w:val="002F792F"/>
    <w:pPr>
      <w:shd w:val="clear" w:color="auto" w:fill="000080"/>
      <w:spacing w:before="120" w:line="240" w:lineRule="auto"/>
      <w:jc w:val="both"/>
    </w:pPr>
    <w:rPr>
      <w:rFonts w:ascii="Tahoma" w:hAnsi="Tahoma" w:cs="Tahoma"/>
      <w:sz w:val="20"/>
      <w:szCs w:val="20"/>
      <w:lang w:eastAsia="zh-CN"/>
    </w:rPr>
  </w:style>
  <w:style w:type="character" w:customStyle="1" w:styleId="DocumentMapChar">
    <w:name w:val="Document Map Char"/>
    <w:basedOn w:val="DefaultParagraphFont"/>
    <w:link w:val="DocumentMap"/>
    <w:rsid w:val="002F792F"/>
    <w:rPr>
      <w:rFonts w:ascii="Tahoma" w:hAnsi="Tahoma" w:cs="Tahoma"/>
      <w:shd w:val="clear" w:color="auto" w:fill="000080"/>
      <w:lang w:eastAsia="zh-CN"/>
    </w:rPr>
  </w:style>
  <w:style w:type="paragraph" w:styleId="BodyText">
    <w:name w:val="Body Text"/>
    <w:basedOn w:val="Normal"/>
    <w:link w:val="BodyTextChar"/>
    <w:rsid w:val="002F792F"/>
    <w:pPr>
      <w:spacing w:before="120" w:line="240" w:lineRule="auto"/>
      <w:jc w:val="both"/>
    </w:pPr>
    <w:rPr>
      <w:rFonts w:ascii="Arial" w:hAnsi="Arial" w:cs="Arial"/>
      <w:b/>
      <w:bCs/>
      <w:sz w:val="20"/>
      <w:szCs w:val="20"/>
      <w:lang w:eastAsia="zh-CN"/>
    </w:rPr>
  </w:style>
  <w:style w:type="character" w:customStyle="1" w:styleId="BodyTextChar">
    <w:name w:val="Body Text Char"/>
    <w:basedOn w:val="DefaultParagraphFont"/>
    <w:link w:val="BodyText"/>
    <w:rsid w:val="002F792F"/>
    <w:rPr>
      <w:rFonts w:ascii="Arial" w:hAnsi="Arial" w:cs="Arial"/>
      <w:b/>
      <w:bCs/>
      <w:lang w:eastAsia="zh-CN"/>
    </w:rPr>
  </w:style>
  <w:style w:type="table" w:styleId="TableGrid">
    <w:name w:val="Table Grid"/>
    <w:basedOn w:val="TableNormal"/>
    <w:rsid w:val="002F792F"/>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792F"/>
    <w:pPr>
      <w:spacing w:before="120" w:after="120"/>
      <w:jc w:val="both"/>
    </w:pPr>
    <w:rPr>
      <w:rFonts w:ascii="Arial" w:hAnsi="Arial" w:cs="Arial"/>
      <w:sz w:val="20"/>
      <w:szCs w:val="20"/>
      <w:lang w:eastAsia="zh-CN"/>
    </w:rPr>
  </w:style>
  <w:style w:type="character" w:customStyle="1" w:styleId="BodyText2Char">
    <w:name w:val="Body Text 2 Char"/>
    <w:basedOn w:val="DefaultParagraphFont"/>
    <w:link w:val="BodyText2"/>
    <w:rsid w:val="002F792F"/>
    <w:rPr>
      <w:rFonts w:ascii="Arial" w:hAnsi="Arial" w:cs="Arial"/>
      <w:lang w:eastAsia="zh-CN"/>
    </w:rPr>
  </w:style>
  <w:style w:type="paragraph" w:styleId="Title">
    <w:name w:val="Title"/>
    <w:basedOn w:val="Normal"/>
    <w:link w:val="TitleChar"/>
    <w:qFormat/>
    <w:rsid w:val="002F792F"/>
    <w:pPr>
      <w:spacing w:before="100" w:after="400" w:line="240" w:lineRule="auto"/>
      <w:jc w:val="center"/>
      <w:outlineLvl w:val="0"/>
    </w:pPr>
    <w:rPr>
      <w:rFonts w:ascii="Arial" w:hAnsi="Arial" w:cs="Arial"/>
      <w:b/>
      <w:bCs/>
      <w:caps/>
      <w:kern w:val="28"/>
      <w:sz w:val="26"/>
      <w:szCs w:val="32"/>
      <w:lang w:eastAsia="en-US"/>
    </w:rPr>
  </w:style>
  <w:style w:type="character" w:customStyle="1" w:styleId="TitleChar">
    <w:name w:val="Title Char"/>
    <w:basedOn w:val="DefaultParagraphFont"/>
    <w:link w:val="Title"/>
    <w:rsid w:val="002F792F"/>
    <w:rPr>
      <w:rFonts w:ascii="Arial" w:hAnsi="Arial" w:cs="Arial"/>
      <w:b/>
      <w:bCs/>
      <w:caps/>
      <w:kern w:val="28"/>
      <w:sz w:val="26"/>
      <w:szCs w:val="32"/>
      <w:lang w:eastAsia="en-US"/>
    </w:rPr>
  </w:style>
  <w:style w:type="paragraph" w:styleId="Signature">
    <w:name w:val="Signature"/>
    <w:basedOn w:val="Normal"/>
    <w:link w:val="SignatureChar"/>
    <w:rsid w:val="002F792F"/>
    <w:pPr>
      <w:spacing w:before="100" w:line="240" w:lineRule="auto"/>
      <w:jc w:val="both"/>
    </w:pPr>
    <w:rPr>
      <w:rFonts w:ascii="Arial" w:hAnsi="Arial"/>
      <w:sz w:val="20"/>
      <w:lang w:eastAsia="en-US"/>
    </w:rPr>
  </w:style>
  <w:style w:type="character" w:customStyle="1" w:styleId="SignatureChar">
    <w:name w:val="Signature Char"/>
    <w:basedOn w:val="DefaultParagraphFont"/>
    <w:link w:val="Signature"/>
    <w:rsid w:val="002F792F"/>
    <w:rPr>
      <w:rFonts w:ascii="Arial" w:hAnsi="Arial"/>
      <w:szCs w:val="24"/>
      <w:lang w:eastAsia="en-US"/>
    </w:rPr>
  </w:style>
  <w:style w:type="character" w:styleId="Hyperlink">
    <w:name w:val="Hyperlink"/>
    <w:uiPriority w:val="99"/>
    <w:rsid w:val="002F792F"/>
    <w:rPr>
      <w:color w:val="0000FF"/>
      <w:u w:val="single"/>
    </w:rPr>
  </w:style>
  <w:style w:type="paragraph" w:styleId="BalloonText">
    <w:name w:val="Balloon Text"/>
    <w:basedOn w:val="Normal"/>
    <w:link w:val="BalloonTextChar"/>
    <w:rsid w:val="002F792F"/>
    <w:pPr>
      <w:spacing w:before="120" w:line="240" w:lineRule="auto"/>
      <w:jc w:val="both"/>
    </w:pPr>
    <w:rPr>
      <w:rFonts w:ascii="Tahoma" w:hAnsi="Tahoma" w:cs="Tahoma"/>
      <w:sz w:val="16"/>
      <w:szCs w:val="16"/>
      <w:lang w:eastAsia="zh-CN"/>
    </w:rPr>
  </w:style>
  <w:style w:type="character" w:customStyle="1" w:styleId="BalloonTextChar">
    <w:name w:val="Balloon Text Char"/>
    <w:basedOn w:val="DefaultParagraphFont"/>
    <w:link w:val="BalloonText"/>
    <w:rsid w:val="002F792F"/>
    <w:rPr>
      <w:rFonts w:ascii="Tahoma" w:hAnsi="Tahoma" w:cs="Tahoma"/>
      <w:sz w:val="16"/>
      <w:szCs w:val="16"/>
      <w:lang w:eastAsia="zh-CN"/>
    </w:rPr>
  </w:style>
  <w:style w:type="paragraph" w:styleId="NormalWeb">
    <w:name w:val="Normal (Web)"/>
    <w:basedOn w:val="Normal"/>
    <w:uiPriority w:val="99"/>
    <w:unhideWhenUsed/>
    <w:rsid w:val="002F792F"/>
    <w:pPr>
      <w:spacing w:before="100" w:beforeAutospacing="1" w:after="100" w:afterAutospacing="1" w:line="240" w:lineRule="auto"/>
    </w:pPr>
    <w:rPr>
      <w:rFonts w:eastAsia="MS Mincho"/>
    </w:rPr>
  </w:style>
  <w:style w:type="paragraph" w:styleId="Caption">
    <w:name w:val="caption"/>
    <w:basedOn w:val="Normal"/>
    <w:next w:val="Paragraph"/>
    <w:uiPriority w:val="35"/>
    <w:unhideWhenUsed/>
    <w:qFormat/>
    <w:rsid w:val="00236516"/>
    <w:pPr>
      <w:spacing w:before="120" w:after="360" w:line="240" w:lineRule="auto"/>
      <w:jc w:val="center"/>
    </w:pPr>
    <w:rPr>
      <w:b/>
      <w:bCs/>
      <w:sz w:val="22"/>
      <w:szCs w:val="22"/>
      <w:lang w:eastAsia="zh-CN"/>
    </w:rPr>
  </w:style>
  <w:style w:type="table" w:styleId="LightShading">
    <w:name w:val="Light Shading"/>
    <w:basedOn w:val="TableNormal"/>
    <w:uiPriority w:val="60"/>
    <w:rsid w:val="002F792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nhideWhenUsed/>
    <w:rsid w:val="002F792F"/>
    <w:rPr>
      <w:sz w:val="16"/>
      <w:szCs w:val="16"/>
    </w:rPr>
  </w:style>
  <w:style w:type="paragraph" w:styleId="CommentText">
    <w:name w:val="annotation text"/>
    <w:basedOn w:val="Normal"/>
    <w:link w:val="CommentTextChar"/>
    <w:unhideWhenUsed/>
    <w:rsid w:val="002F792F"/>
    <w:pPr>
      <w:spacing w:before="120" w:line="240" w:lineRule="auto"/>
      <w:jc w:val="both"/>
    </w:pPr>
    <w:rPr>
      <w:rFonts w:ascii="Arial" w:hAnsi="Arial" w:cs="Arial"/>
      <w:sz w:val="20"/>
      <w:szCs w:val="20"/>
      <w:lang w:eastAsia="zh-CN"/>
    </w:rPr>
  </w:style>
  <w:style w:type="character" w:customStyle="1" w:styleId="CommentTextChar">
    <w:name w:val="Comment Text Char"/>
    <w:basedOn w:val="DefaultParagraphFont"/>
    <w:link w:val="CommentText"/>
    <w:rsid w:val="002F792F"/>
    <w:rPr>
      <w:rFonts w:ascii="Arial" w:hAnsi="Arial" w:cs="Arial"/>
      <w:lang w:eastAsia="zh-CN"/>
    </w:rPr>
  </w:style>
  <w:style w:type="paragraph" w:styleId="CommentSubject">
    <w:name w:val="annotation subject"/>
    <w:basedOn w:val="CommentText"/>
    <w:next w:val="CommentText"/>
    <w:link w:val="CommentSubjectChar"/>
    <w:unhideWhenUsed/>
    <w:rsid w:val="002F792F"/>
    <w:rPr>
      <w:b/>
      <w:bCs/>
    </w:rPr>
  </w:style>
  <w:style w:type="character" w:customStyle="1" w:styleId="CommentSubjectChar">
    <w:name w:val="Comment Subject Char"/>
    <w:basedOn w:val="CommentTextChar"/>
    <w:link w:val="CommentSubject"/>
    <w:rsid w:val="002F792F"/>
    <w:rPr>
      <w:rFonts w:ascii="Arial" w:hAnsi="Arial" w:cs="Arial"/>
      <w:b/>
      <w:bCs/>
      <w:lang w:eastAsia="zh-CN"/>
    </w:rPr>
  </w:style>
  <w:style w:type="paragraph" w:styleId="ListParagraph">
    <w:name w:val="List Paragraph"/>
    <w:basedOn w:val="Normal"/>
    <w:uiPriority w:val="34"/>
    <w:qFormat/>
    <w:rsid w:val="00B94B5F"/>
    <w:pPr>
      <w:numPr>
        <w:numId w:val="6"/>
      </w:numPr>
      <w:spacing w:before="120" w:after="240" w:line="360" w:lineRule="auto"/>
      <w:contextualSpacing/>
      <w:jc w:val="both"/>
    </w:pPr>
    <w:rPr>
      <w:lang w:eastAsia="zh-CN"/>
    </w:rPr>
  </w:style>
  <w:style w:type="paragraph" w:styleId="Revision">
    <w:name w:val="Revision"/>
    <w:hidden/>
    <w:uiPriority w:val="99"/>
    <w:rsid w:val="002F792F"/>
    <w:rPr>
      <w:rFonts w:ascii="Arial" w:hAnsi="Arial" w:cs="Arial"/>
      <w:lang w:eastAsia="zh-CN"/>
    </w:rPr>
  </w:style>
  <w:style w:type="character" w:customStyle="1" w:styleId="Heading6Char">
    <w:name w:val="Heading 6 Char"/>
    <w:basedOn w:val="DefaultParagraphFont"/>
    <w:link w:val="Heading6"/>
    <w:rsid w:val="001158F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1158F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1158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158F3"/>
    <w:rPr>
      <w:rFonts w:asciiTheme="majorHAnsi" w:eastAsiaTheme="majorEastAsia" w:hAnsiTheme="majorHAnsi" w:cstheme="majorBidi"/>
      <w:i/>
      <w:iCs/>
      <w:color w:val="404040" w:themeColor="text1" w:themeTint="BF"/>
    </w:rPr>
  </w:style>
  <w:style w:type="character" w:customStyle="1" w:styleId="UnresolvedMention1">
    <w:name w:val="Unresolved Mention1"/>
    <w:basedOn w:val="DefaultParagraphFont"/>
    <w:uiPriority w:val="99"/>
    <w:semiHidden/>
    <w:unhideWhenUsed/>
    <w:rsid w:val="00C04D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2932">
      <w:bodyDiv w:val="1"/>
      <w:marLeft w:val="0"/>
      <w:marRight w:val="0"/>
      <w:marTop w:val="0"/>
      <w:marBottom w:val="0"/>
      <w:divBdr>
        <w:top w:val="none" w:sz="0" w:space="0" w:color="auto"/>
        <w:left w:val="none" w:sz="0" w:space="0" w:color="auto"/>
        <w:bottom w:val="none" w:sz="0" w:space="0" w:color="auto"/>
        <w:right w:val="none" w:sz="0" w:space="0" w:color="auto"/>
      </w:divBdr>
    </w:div>
    <w:div w:id="50933071">
      <w:bodyDiv w:val="1"/>
      <w:marLeft w:val="0"/>
      <w:marRight w:val="0"/>
      <w:marTop w:val="0"/>
      <w:marBottom w:val="0"/>
      <w:divBdr>
        <w:top w:val="none" w:sz="0" w:space="0" w:color="auto"/>
        <w:left w:val="none" w:sz="0" w:space="0" w:color="auto"/>
        <w:bottom w:val="none" w:sz="0" w:space="0" w:color="auto"/>
        <w:right w:val="none" w:sz="0" w:space="0" w:color="auto"/>
      </w:divBdr>
    </w:div>
    <w:div w:id="57746371">
      <w:bodyDiv w:val="1"/>
      <w:marLeft w:val="0"/>
      <w:marRight w:val="0"/>
      <w:marTop w:val="0"/>
      <w:marBottom w:val="0"/>
      <w:divBdr>
        <w:top w:val="none" w:sz="0" w:space="0" w:color="auto"/>
        <w:left w:val="none" w:sz="0" w:space="0" w:color="auto"/>
        <w:bottom w:val="none" w:sz="0" w:space="0" w:color="auto"/>
        <w:right w:val="none" w:sz="0" w:space="0" w:color="auto"/>
      </w:divBdr>
    </w:div>
    <w:div w:id="87119212">
      <w:bodyDiv w:val="1"/>
      <w:marLeft w:val="0"/>
      <w:marRight w:val="0"/>
      <w:marTop w:val="0"/>
      <w:marBottom w:val="0"/>
      <w:divBdr>
        <w:top w:val="none" w:sz="0" w:space="0" w:color="auto"/>
        <w:left w:val="none" w:sz="0" w:space="0" w:color="auto"/>
        <w:bottom w:val="none" w:sz="0" w:space="0" w:color="auto"/>
        <w:right w:val="none" w:sz="0" w:space="0" w:color="auto"/>
      </w:divBdr>
    </w:div>
    <w:div w:id="88242130">
      <w:bodyDiv w:val="1"/>
      <w:marLeft w:val="0"/>
      <w:marRight w:val="0"/>
      <w:marTop w:val="0"/>
      <w:marBottom w:val="0"/>
      <w:divBdr>
        <w:top w:val="none" w:sz="0" w:space="0" w:color="auto"/>
        <w:left w:val="none" w:sz="0" w:space="0" w:color="auto"/>
        <w:bottom w:val="none" w:sz="0" w:space="0" w:color="auto"/>
        <w:right w:val="none" w:sz="0" w:space="0" w:color="auto"/>
      </w:divBdr>
    </w:div>
    <w:div w:id="96876891">
      <w:bodyDiv w:val="1"/>
      <w:marLeft w:val="0"/>
      <w:marRight w:val="0"/>
      <w:marTop w:val="0"/>
      <w:marBottom w:val="0"/>
      <w:divBdr>
        <w:top w:val="none" w:sz="0" w:space="0" w:color="auto"/>
        <w:left w:val="none" w:sz="0" w:space="0" w:color="auto"/>
        <w:bottom w:val="none" w:sz="0" w:space="0" w:color="auto"/>
        <w:right w:val="none" w:sz="0" w:space="0" w:color="auto"/>
      </w:divBdr>
    </w:div>
    <w:div w:id="100271477">
      <w:bodyDiv w:val="1"/>
      <w:marLeft w:val="0"/>
      <w:marRight w:val="0"/>
      <w:marTop w:val="0"/>
      <w:marBottom w:val="0"/>
      <w:divBdr>
        <w:top w:val="none" w:sz="0" w:space="0" w:color="auto"/>
        <w:left w:val="none" w:sz="0" w:space="0" w:color="auto"/>
        <w:bottom w:val="none" w:sz="0" w:space="0" w:color="auto"/>
        <w:right w:val="none" w:sz="0" w:space="0" w:color="auto"/>
      </w:divBdr>
    </w:div>
    <w:div w:id="103840906">
      <w:bodyDiv w:val="1"/>
      <w:marLeft w:val="0"/>
      <w:marRight w:val="0"/>
      <w:marTop w:val="0"/>
      <w:marBottom w:val="0"/>
      <w:divBdr>
        <w:top w:val="none" w:sz="0" w:space="0" w:color="auto"/>
        <w:left w:val="none" w:sz="0" w:space="0" w:color="auto"/>
        <w:bottom w:val="none" w:sz="0" w:space="0" w:color="auto"/>
        <w:right w:val="none" w:sz="0" w:space="0" w:color="auto"/>
      </w:divBdr>
    </w:div>
    <w:div w:id="109127850">
      <w:bodyDiv w:val="1"/>
      <w:marLeft w:val="0"/>
      <w:marRight w:val="0"/>
      <w:marTop w:val="0"/>
      <w:marBottom w:val="0"/>
      <w:divBdr>
        <w:top w:val="none" w:sz="0" w:space="0" w:color="auto"/>
        <w:left w:val="none" w:sz="0" w:space="0" w:color="auto"/>
        <w:bottom w:val="none" w:sz="0" w:space="0" w:color="auto"/>
        <w:right w:val="none" w:sz="0" w:space="0" w:color="auto"/>
      </w:divBdr>
    </w:div>
    <w:div w:id="119035437">
      <w:bodyDiv w:val="1"/>
      <w:marLeft w:val="0"/>
      <w:marRight w:val="0"/>
      <w:marTop w:val="0"/>
      <w:marBottom w:val="0"/>
      <w:divBdr>
        <w:top w:val="none" w:sz="0" w:space="0" w:color="auto"/>
        <w:left w:val="none" w:sz="0" w:space="0" w:color="auto"/>
        <w:bottom w:val="none" w:sz="0" w:space="0" w:color="auto"/>
        <w:right w:val="none" w:sz="0" w:space="0" w:color="auto"/>
      </w:divBdr>
    </w:div>
    <w:div w:id="126239973">
      <w:bodyDiv w:val="1"/>
      <w:marLeft w:val="0"/>
      <w:marRight w:val="0"/>
      <w:marTop w:val="0"/>
      <w:marBottom w:val="0"/>
      <w:divBdr>
        <w:top w:val="none" w:sz="0" w:space="0" w:color="auto"/>
        <w:left w:val="none" w:sz="0" w:space="0" w:color="auto"/>
        <w:bottom w:val="none" w:sz="0" w:space="0" w:color="auto"/>
        <w:right w:val="none" w:sz="0" w:space="0" w:color="auto"/>
      </w:divBdr>
    </w:div>
    <w:div w:id="130757152">
      <w:bodyDiv w:val="1"/>
      <w:marLeft w:val="0"/>
      <w:marRight w:val="0"/>
      <w:marTop w:val="0"/>
      <w:marBottom w:val="0"/>
      <w:divBdr>
        <w:top w:val="none" w:sz="0" w:space="0" w:color="auto"/>
        <w:left w:val="none" w:sz="0" w:space="0" w:color="auto"/>
        <w:bottom w:val="none" w:sz="0" w:space="0" w:color="auto"/>
        <w:right w:val="none" w:sz="0" w:space="0" w:color="auto"/>
      </w:divBdr>
    </w:div>
    <w:div w:id="138159170">
      <w:bodyDiv w:val="1"/>
      <w:marLeft w:val="0"/>
      <w:marRight w:val="0"/>
      <w:marTop w:val="0"/>
      <w:marBottom w:val="0"/>
      <w:divBdr>
        <w:top w:val="none" w:sz="0" w:space="0" w:color="auto"/>
        <w:left w:val="none" w:sz="0" w:space="0" w:color="auto"/>
        <w:bottom w:val="none" w:sz="0" w:space="0" w:color="auto"/>
        <w:right w:val="none" w:sz="0" w:space="0" w:color="auto"/>
      </w:divBdr>
    </w:div>
    <w:div w:id="162942305">
      <w:bodyDiv w:val="1"/>
      <w:marLeft w:val="0"/>
      <w:marRight w:val="0"/>
      <w:marTop w:val="0"/>
      <w:marBottom w:val="0"/>
      <w:divBdr>
        <w:top w:val="none" w:sz="0" w:space="0" w:color="auto"/>
        <w:left w:val="none" w:sz="0" w:space="0" w:color="auto"/>
        <w:bottom w:val="none" w:sz="0" w:space="0" w:color="auto"/>
        <w:right w:val="none" w:sz="0" w:space="0" w:color="auto"/>
      </w:divBdr>
    </w:div>
    <w:div w:id="174350798">
      <w:bodyDiv w:val="1"/>
      <w:marLeft w:val="0"/>
      <w:marRight w:val="0"/>
      <w:marTop w:val="0"/>
      <w:marBottom w:val="0"/>
      <w:divBdr>
        <w:top w:val="none" w:sz="0" w:space="0" w:color="auto"/>
        <w:left w:val="none" w:sz="0" w:space="0" w:color="auto"/>
        <w:bottom w:val="none" w:sz="0" w:space="0" w:color="auto"/>
        <w:right w:val="none" w:sz="0" w:space="0" w:color="auto"/>
      </w:divBdr>
    </w:div>
    <w:div w:id="192884382">
      <w:bodyDiv w:val="1"/>
      <w:marLeft w:val="0"/>
      <w:marRight w:val="0"/>
      <w:marTop w:val="0"/>
      <w:marBottom w:val="0"/>
      <w:divBdr>
        <w:top w:val="none" w:sz="0" w:space="0" w:color="auto"/>
        <w:left w:val="none" w:sz="0" w:space="0" w:color="auto"/>
        <w:bottom w:val="none" w:sz="0" w:space="0" w:color="auto"/>
        <w:right w:val="none" w:sz="0" w:space="0" w:color="auto"/>
      </w:divBdr>
    </w:div>
    <w:div w:id="194658955">
      <w:bodyDiv w:val="1"/>
      <w:marLeft w:val="0"/>
      <w:marRight w:val="0"/>
      <w:marTop w:val="0"/>
      <w:marBottom w:val="0"/>
      <w:divBdr>
        <w:top w:val="none" w:sz="0" w:space="0" w:color="auto"/>
        <w:left w:val="none" w:sz="0" w:space="0" w:color="auto"/>
        <w:bottom w:val="none" w:sz="0" w:space="0" w:color="auto"/>
        <w:right w:val="none" w:sz="0" w:space="0" w:color="auto"/>
      </w:divBdr>
    </w:div>
    <w:div w:id="202445996">
      <w:bodyDiv w:val="1"/>
      <w:marLeft w:val="0"/>
      <w:marRight w:val="0"/>
      <w:marTop w:val="0"/>
      <w:marBottom w:val="0"/>
      <w:divBdr>
        <w:top w:val="none" w:sz="0" w:space="0" w:color="auto"/>
        <w:left w:val="none" w:sz="0" w:space="0" w:color="auto"/>
        <w:bottom w:val="none" w:sz="0" w:space="0" w:color="auto"/>
        <w:right w:val="none" w:sz="0" w:space="0" w:color="auto"/>
      </w:divBdr>
    </w:div>
    <w:div w:id="205987696">
      <w:bodyDiv w:val="1"/>
      <w:marLeft w:val="0"/>
      <w:marRight w:val="0"/>
      <w:marTop w:val="0"/>
      <w:marBottom w:val="0"/>
      <w:divBdr>
        <w:top w:val="none" w:sz="0" w:space="0" w:color="auto"/>
        <w:left w:val="none" w:sz="0" w:space="0" w:color="auto"/>
        <w:bottom w:val="none" w:sz="0" w:space="0" w:color="auto"/>
        <w:right w:val="none" w:sz="0" w:space="0" w:color="auto"/>
      </w:divBdr>
    </w:div>
    <w:div w:id="208498164">
      <w:bodyDiv w:val="1"/>
      <w:marLeft w:val="0"/>
      <w:marRight w:val="0"/>
      <w:marTop w:val="0"/>
      <w:marBottom w:val="0"/>
      <w:divBdr>
        <w:top w:val="none" w:sz="0" w:space="0" w:color="auto"/>
        <w:left w:val="none" w:sz="0" w:space="0" w:color="auto"/>
        <w:bottom w:val="none" w:sz="0" w:space="0" w:color="auto"/>
        <w:right w:val="none" w:sz="0" w:space="0" w:color="auto"/>
      </w:divBdr>
    </w:div>
    <w:div w:id="229771842">
      <w:bodyDiv w:val="1"/>
      <w:marLeft w:val="0"/>
      <w:marRight w:val="0"/>
      <w:marTop w:val="0"/>
      <w:marBottom w:val="0"/>
      <w:divBdr>
        <w:top w:val="none" w:sz="0" w:space="0" w:color="auto"/>
        <w:left w:val="none" w:sz="0" w:space="0" w:color="auto"/>
        <w:bottom w:val="none" w:sz="0" w:space="0" w:color="auto"/>
        <w:right w:val="none" w:sz="0" w:space="0" w:color="auto"/>
      </w:divBdr>
    </w:div>
    <w:div w:id="240601242">
      <w:bodyDiv w:val="1"/>
      <w:marLeft w:val="0"/>
      <w:marRight w:val="0"/>
      <w:marTop w:val="0"/>
      <w:marBottom w:val="0"/>
      <w:divBdr>
        <w:top w:val="none" w:sz="0" w:space="0" w:color="auto"/>
        <w:left w:val="none" w:sz="0" w:space="0" w:color="auto"/>
        <w:bottom w:val="none" w:sz="0" w:space="0" w:color="auto"/>
        <w:right w:val="none" w:sz="0" w:space="0" w:color="auto"/>
      </w:divBdr>
    </w:div>
    <w:div w:id="253787843">
      <w:bodyDiv w:val="1"/>
      <w:marLeft w:val="0"/>
      <w:marRight w:val="0"/>
      <w:marTop w:val="0"/>
      <w:marBottom w:val="0"/>
      <w:divBdr>
        <w:top w:val="none" w:sz="0" w:space="0" w:color="auto"/>
        <w:left w:val="none" w:sz="0" w:space="0" w:color="auto"/>
        <w:bottom w:val="none" w:sz="0" w:space="0" w:color="auto"/>
        <w:right w:val="none" w:sz="0" w:space="0" w:color="auto"/>
      </w:divBdr>
    </w:div>
    <w:div w:id="255600852">
      <w:bodyDiv w:val="1"/>
      <w:marLeft w:val="0"/>
      <w:marRight w:val="0"/>
      <w:marTop w:val="0"/>
      <w:marBottom w:val="0"/>
      <w:divBdr>
        <w:top w:val="none" w:sz="0" w:space="0" w:color="auto"/>
        <w:left w:val="none" w:sz="0" w:space="0" w:color="auto"/>
        <w:bottom w:val="none" w:sz="0" w:space="0" w:color="auto"/>
        <w:right w:val="none" w:sz="0" w:space="0" w:color="auto"/>
      </w:divBdr>
    </w:div>
    <w:div w:id="267398784">
      <w:bodyDiv w:val="1"/>
      <w:marLeft w:val="0"/>
      <w:marRight w:val="0"/>
      <w:marTop w:val="0"/>
      <w:marBottom w:val="0"/>
      <w:divBdr>
        <w:top w:val="none" w:sz="0" w:space="0" w:color="auto"/>
        <w:left w:val="none" w:sz="0" w:space="0" w:color="auto"/>
        <w:bottom w:val="none" w:sz="0" w:space="0" w:color="auto"/>
        <w:right w:val="none" w:sz="0" w:space="0" w:color="auto"/>
      </w:divBdr>
    </w:div>
    <w:div w:id="275868774">
      <w:bodyDiv w:val="1"/>
      <w:marLeft w:val="0"/>
      <w:marRight w:val="0"/>
      <w:marTop w:val="0"/>
      <w:marBottom w:val="0"/>
      <w:divBdr>
        <w:top w:val="none" w:sz="0" w:space="0" w:color="auto"/>
        <w:left w:val="none" w:sz="0" w:space="0" w:color="auto"/>
        <w:bottom w:val="none" w:sz="0" w:space="0" w:color="auto"/>
        <w:right w:val="none" w:sz="0" w:space="0" w:color="auto"/>
      </w:divBdr>
    </w:div>
    <w:div w:id="300691591">
      <w:bodyDiv w:val="1"/>
      <w:marLeft w:val="0"/>
      <w:marRight w:val="0"/>
      <w:marTop w:val="0"/>
      <w:marBottom w:val="0"/>
      <w:divBdr>
        <w:top w:val="none" w:sz="0" w:space="0" w:color="auto"/>
        <w:left w:val="none" w:sz="0" w:space="0" w:color="auto"/>
        <w:bottom w:val="none" w:sz="0" w:space="0" w:color="auto"/>
        <w:right w:val="none" w:sz="0" w:space="0" w:color="auto"/>
      </w:divBdr>
    </w:div>
    <w:div w:id="319385394">
      <w:bodyDiv w:val="1"/>
      <w:marLeft w:val="0"/>
      <w:marRight w:val="0"/>
      <w:marTop w:val="0"/>
      <w:marBottom w:val="0"/>
      <w:divBdr>
        <w:top w:val="none" w:sz="0" w:space="0" w:color="auto"/>
        <w:left w:val="none" w:sz="0" w:space="0" w:color="auto"/>
        <w:bottom w:val="none" w:sz="0" w:space="0" w:color="auto"/>
        <w:right w:val="none" w:sz="0" w:space="0" w:color="auto"/>
      </w:divBdr>
    </w:div>
    <w:div w:id="333463206">
      <w:bodyDiv w:val="1"/>
      <w:marLeft w:val="0"/>
      <w:marRight w:val="0"/>
      <w:marTop w:val="0"/>
      <w:marBottom w:val="0"/>
      <w:divBdr>
        <w:top w:val="none" w:sz="0" w:space="0" w:color="auto"/>
        <w:left w:val="none" w:sz="0" w:space="0" w:color="auto"/>
        <w:bottom w:val="none" w:sz="0" w:space="0" w:color="auto"/>
        <w:right w:val="none" w:sz="0" w:space="0" w:color="auto"/>
      </w:divBdr>
    </w:div>
    <w:div w:id="364840769">
      <w:bodyDiv w:val="1"/>
      <w:marLeft w:val="0"/>
      <w:marRight w:val="0"/>
      <w:marTop w:val="0"/>
      <w:marBottom w:val="0"/>
      <w:divBdr>
        <w:top w:val="none" w:sz="0" w:space="0" w:color="auto"/>
        <w:left w:val="none" w:sz="0" w:space="0" w:color="auto"/>
        <w:bottom w:val="none" w:sz="0" w:space="0" w:color="auto"/>
        <w:right w:val="none" w:sz="0" w:space="0" w:color="auto"/>
      </w:divBdr>
    </w:div>
    <w:div w:id="369886233">
      <w:bodyDiv w:val="1"/>
      <w:marLeft w:val="0"/>
      <w:marRight w:val="0"/>
      <w:marTop w:val="0"/>
      <w:marBottom w:val="0"/>
      <w:divBdr>
        <w:top w:val="none" w:sz="0" w:space="0" w:color="auto"/>
        <w:left w:val="none" w:sz="0" w:space="0" w:color="auto"/>
        <w:bottom w:val="none" w:sz="0" w:space="0" w:color="auto"/>
        <w:right w:val="none" w:sz="0" w:space="0" w:color="auto"/>
      </w:divBdr>
    </w:div>
    <w:div w:id="378936209">
      <w:bodyDiv w:val="1"/>
      <w:marLeft w:val="0"/>
      <w:marRight w:val="0"/>
      <w:marTop w:val="0"/>
      <w:marBottom w:val="0"/>
      <w:divBdr>
        <w:top w:val="none" w:sz="0" w:space="0" w:color="auto"/>
        <w:left w:val="none" w:sz="0" w:space="0" w:color="auto"/>
        <w:bottom w:val="none" w:sz="0" w:space="0" w:color="auto"/>
        <w:right w:val="none" w:sz="0" w:space="0" w:color="auto"/>
      </w:divBdr>
    </w:div>
    <w:div w:id="388187692">
      <w:bodyDiv w:val="1"/>
      <w:marLeft w:val="0"/>
      <w:marRight w:val="0"/>
      <w:marTop w:val="0"/>
      <w:marBottom w:val="0"/>
      <w:divBdr>
        <w:top w:val="none" w:sz="0" w:space="0" w:color="auto"/>
        <w:left w:val="none" w:sz="0" w:space="0" w:color="auto"/>
        <w:bottom w:val="none" w:sz="0" w:space="0" w:color="auto"/>
        <w:right w:val="none" w:sz="0" w:space="0" w:color="auto"/>
      </w:divBdr>
    </w:div>
    <w:div w:id="391126283">
      <w:bodyDiv w:val="1"/>
      <w:marLeft w:val="0"/>
      <w:marRight w:val="0"/>
      <w:marTop w:val="0"/>
      <w:marBottom w:val="0"/>
      <w:divBdr>
        <w:top w:val="none" w:sz="0" w:space="0" w:color="auto"/>
        <w:left w:val="none" w:sz="0" w:space="0" w:color="auto"/>
        <w:bottom w:val="none" w:sz="0" w:space="0" w:color="auto"/>
        <w:right w:val="none" w:sz="0" w:space="0" w:color="auto"/>
      </w:divBdr>
    </w:div>
    <w:div w:id="406928091">
      <w:bodyDiv w:val="1"/>
      <w:marLeft w:val="0"/>
      <w:marRight w:val="0"/>
      <w:marTop w:val="0"/>
      <w:marBottom w:val="0"/>
      <w:divBdr>
        <w:top w:val="none" w:sz="0" w:space="0" w:color="auto"/>
        <w:left w:val="none" w:sz="0" w:space="0" w:color="auto"/>
        <w:bottom w:val="none" w:sz="0" w:space="0" w:color="auto"/>
        <w:right w:val="none" w:sz="0" w:space="0" w:color="auto"/>
      </w:divBdr>
    </w:div>
    <w:div w:id="427776643">
      <w:bodyDiv w:val="1"/>
      <w:marLeft w:val="0"/>
      <w:marRight w:val="0"/>
      <w:marTop w:val="0"/>
      <w:marBottom w:val="0"/>
      <w:divBdr>
        <w:top w:val="none" w:sz="0" w:space="0" w:color="auto"/>
        <w:left w:val="none" w:sz="0" w:space="0" w:color="auto"/>
        <w:bottom w:val="none" w:sz="0" w:space="0" w:color="auto"/>
        <w:right w:val="none" w:sz="0" w:space="0" w:color="auto"/>
      </w:divBdr>
    </w:div>
    <w:div w:id="469983629">
      <w:bodyDiv w:val="1"/>
      <w:marLeft w:val="0"/>
      <w:marRight w:val="0"/>
      <w:marTop w:val="0"/>
      <w:marBottom w:val="0"/>
      <w:divBdr>
        <w:top w:val="none" w:sz="0" w:space="0" w:color="auto"/>
        <w:left w:val="none" w:sz="0" w:space="0" w:color="auto"/>
        <w:bottom w:val="none" w:sz="0" w:space="0" w:color="auto"/>
        <w:right w:val="none" w:sz="0" w:space="0" w:color="auto"/>
      </w:divBdr>
    </w:div>
    <w:div w:id="472874114">
      <w:bodyDiv w:val="1"/>
      <w:marLeft w:val="0"/>
      <w:marRight w:val="0"/>
      <w:marTop w:val="0"/>
      <w:marBottom w:val="0"/>
      <w:divBdr>
        <w:top w:val="none" w:sz="0" w:space="0" w:color="auto"/>
        <w:left w:val="none" w:sz="0" w:space="0" w:color="auto"/>
        <w:bottom w:val="none" w:sz="0" w:space="0" w:color="auto"/>
        <w:right w:val="none" w:sz="0" w:space="0" w:color="auto"/>
      </w:divBdr>
    </w:div>
    <w:div w:id="477381785">
      <w:bodyDiv w:val="1"/>
      <w:marLeft w:val="0"/>
      <w:marRight w:val="0"/>
      <w:marTop w:val="0"/>
      <w:marBottom w:val="0"/>
      <w:divBdr>
        <w:top w:val="none" w:sz="0" w:space="0" w:color="auto"/>
        <w:left w:val="none" w:sz="0" w:space="0" w:color="auto"/>
        <w:bottom w:val="none" w:sz="0" w:space="0" w:color="auto"/>
        <w:right w:val="none" w:sz="0" w:space="0" w:color="auto"/>
      </w:divBdr>
    </w:div>
    <w:div w:id="479461495">
      <w:bodyDiv w:val="1"/>
      <w:marLeft w:val="0"/>
      <w:marRight w:val="0"/>
      <w:marTop w:val="0"/>
      <w:marBottom w:val="0"/>
      <w:divBdr>
        <w:top w:val="none" w:sz="0" w:space="0" w:color="auto"/>
        <w:left w:val="none" w:sz="0" w:space="0" w:color="auto"/>
        <w:bottom w:val="none" w:sz="0" w:space="0" w:color="auto"/>
        <w:right w:val="none" w:sz="0" w:space="0" w:color="auto"/>
      </w:divBdr>
    </w:div>
    <w:div w:id="498546394">
      <w:bodyDiv w:val="1"/>
      <w:marLeft w:val="0"/>
      <w:marRight w:val="0"/>
      <w:marTop w:val="0"/>
      <w:marBottom w:val="0"/>
      <w:divBdr>
        <w:top w:val="none" w:sz="0" w:space="0" w:color="auto"/>
        <w:left w:val="none" w:sz="0" w:space="0" w:color="auto"/>
        <w:bottom w:val="none" w:sz="0" w:space="0" w:color="auto"/>
        <w:right w:val="none" w:sz="0" w:space="0" w:color="auto"/>
      </w:divBdr>
    </w:div>
    <w:div w:id="505828629">
      <w:bodyDiv w:val="1"/>
      <w:marLeft w:val="0"/>
      <w:marRight w:val="0"/>
      <w:marTop w:val="0"/>
      <w:marBottom w:val="0"/>
      <w:divBdr>
        <w:top w:val="none" w:sz="0" w:space="0" w:color="auto"/>
        <w:left w:val="none" w:sz="0" w:space="0" w:color="auto"/>
        <w:bottom w:val="none" w:sz="0" w:space="0" w:color="auto"/>
        <w:right w:val="none" w:sz="0" w:space="0" w:color="auto"/>
      </w:divBdr>
    </w:div>
    <w:div w:id="512261351">
      <w:bodyDiv w:val="1"/>
      <w:marLeft w:val="0"/>
      <w:marRight w:val="0"/>
      <w:marTop w:val="0"/>
      <w:marBottom w:val="0"/>
      <w:divBdr>
        <w:top w:val="none" w:sz="0" w:space="0" w:color="auto"/>
        <w:left w:val="none" w:sz="0" w:space="0" w:color="auto"/>
        <w:bottom w:val="none" w:sz="0" w:space="0" w:color="auto"/>
        <w:right w:val="none" w:sz="0" w:space="0" w:color="auto"/>
      </w:divBdr>
    </w:div>
    <w:div w:id="517349512">
      <w:bodyDiv w:val="1"/>
      <w:marLeft w:val="0"/>
      <w:marRight w:val="0"/>
      <w:marTop w:val="0"/>
      <w:marBottom w:val="0"/>
      <w:divBdr>
        <w:top w:val="none" w:sz="0" w:space="0" w:color="auto"/>
        <w:left w:val="none" w:sz="0" w:space="0" w:color="auto"/>
        <w:bottom w:val="none" w:sz="0" w:space="0" w:color="auto"/>
        <w:right w:val="none" w:sz="0" w:space="0" w:color="auto"/>
      </w:divBdr>
    </w:div>
    <w:div w:id="530609322">
      <w:bodyDiv w:val="1"/>
      <w:marLeft w:val="0"/>
      <w:marRight w:val="0"/>
      <w:marTop w:val="0"/>
      <w:marBottom w:val="0"/>
      <w:divBdr>
        <w:top w:val="none" w:sz="0" w:space="0" w:color="auto"/>
        <w:left w:val="none" w:sz="0" w:space="0" w:color="auto"/>
        <w:bottom w:val="none" w:sz="0" w:space="0" w:color="auto"/>
        <w:right w:val="none" w:sz="0" w:space="0" w:color="auto"/>
      </w:divBdr>
    </w:div>
    <w:div w:id="552232337">
      <w:bodyDiv w:val="1"/>
      <w:marLeft w:val="0"/>
      <w:marRight w:val="0"/>
      <w:marTop w:val="0"/>
      <w:marBottom w:val="0"/>
      <w:divBdr>
        <w:top w:val="none" w:sz="0" w:space="0" w:color="auto"/>
        <w:left w:val="none" w:sz="0" w:space="0" w:color="auto"/>
        <w:bottom w:val="none" w:sz="0" w:space="0" w:color="auto"/>
        <w:right w:val="none" w:sz="0" w:space="0" w:color="auto"/>
      </w:divBdr>
    </w:div>
    <w:div w:id="555118917">
      <w:bodyDiv w:val="1"/>
      <w:marLeft w:val="0"/>
      <w:marRight w:val="0"/>
      <w:marTop w:val="0"/>
      <w:marBottom w:val="0"/>
      <w:divBdr>
        <w:top w:val="none" w:sz="0" w:space="0" w:color="auto"/>
        <w:left w:val="none" w:sz="0" w:space="0" w:color="auto"/>
        <w:bottom w:val="none" w:sz="0" w:space="0" w:color="auto"/>
        <w:right w:val="none" w:sz="0" w:space="0" w:color="auto"/>
      </w:divBdr>
    </w:div>
    <w:div w:id="560213147">
      <w:bodyDiv w:val="1"/>
      <w:marLeft w:val="0"/>
      <w:marRight w:val="0"/>
      <w:marTop w:val="0"/>
      <w:marBottom w:val="0"/>
      <w:divBdr>
        <w:top w:val="none" w:sz="0" w:space="0" w:color="auto"/>
        <w:left w:val="none" w:sz="0" w:space="0" w:color="auto"/>
        <w:bottom w:val="none" w:sz="0" w:space="0" w:color="auto"/>
        <w:right w:val="none" w:sz="0" w:space="0" w:color="auto"/>
      </w:divBdr>
    </w:div>
    <w:div w:id="569848543">
      <w:bodyDiv w:val="1"/>
      <w:marLeft w:val="0"/>
      <w:marRight w:val="0"/>
      <w:marTop w:val="0"/>
      <w:marBottom w:val="0"/>
      <w:divBdr>
        <w:top w:val="none" w:sz="0" w:space="0" w:color="auto"/>
        <w:left w:val="none" w:sz="0" w:space="0" w:color="auto"/>
        <w:bottom w:val="none" w:sz="0" w:space="0" w:color="auto"/>
        <w:right w:val="none" w:sz="0" w:space="0" w:color="auto"/>
      </w:divBdr>
    </w:div>
    <w:div w:id="572668591">
      <w:bodyDiv w:val="1"/>
      <w:marLeft w:val="0"/>
      <w:marRight w:val="0"/>
      <w:marTop w:val="0"/>
      <w:marBottom w:val="0"/>
      <w:divBdr>
        <w:top w:val="none" w:sz="0" w:space="0" w:color="auto"/>
        <w:left w:val="none" w:sz="0" w:space="0" w:color="auto"/>
        <w:bottom w:val="none" w:sz="0" w:space="0" w:color="auto"/>
        <w:right w:val="none" w:sz="0" w:space="0" w:color="auto"/>
      </w:divBdr>
    </w:div>
    <w:div w:id="579947526">
      <w:bodyDiv w:val="1"/>
      <w:marLeft w:val="0"/>
      <w:marRight w:val="0"/>
      <w:marTop w:val="0"/>
      <w:marBottom w:val="0"/>
      <w:divBdr>
        <w:top w:val="none" w:sz="0" w:space="0" w:color="auto"/>
        <w:left w:val="none" w:sz="0" w:space="0" w:color="auto"/>
        <w:bottom w:val="none" w:sz="0" w:space="0" w:color="auto"/>
        <w:right w:val="none" w:sz="0" w:space="0" w:color="auto"/>
      </w:divBdr>
    </w:div>
    <w:div w:id="589503634">
      <w:bodyDiv w:val="1"/>
      <w:marLeft w:val="0"/>
      <w:marRight w:val="0"/>
      <w:marTop w:val="0"/>
      <w:marBottom w:val="0"/>
      <w:divBdr>
        <w:top w:val="none" w:sz="0" w:space="0" w:color="auto"/>
        <w:left w:val="none" w:sz="0" w:space="0" w:color="auto"/>
        <w:bottom w:val="none" w:sz="0" w:space="0" w:color="auto"/>
        <w:right w:val="none" w:sz="0" w:space="0" w:color="auto"/>
      </w:divBdr>
    </w:div>
    <w:div w:id="601035671">
      <w:bodyDiv w:val="1"/>
      <w:marLeft w:val="0"/>
      <w:marRight w:val="0"/>
      <w:marTop w:val="0"/>
      <w:marBottom w:val="0"/>
      <w:divBdr>
        <w:top w:val="none" w:sz="0" w:space="0" w:color="auto"/>
        <w:left w:val="none" w:sz="0" w:space="0" w:color="auto"/>
        <w:bottom w:val="none" w:sz="0" w:space="0" w:color="auto"/>
        <w:right w:val="none" w:sz="0" w:space="0" w:color="auto"/>
      </w:divBdr>
    </w:div>
    <w:div w:id="603224742">
      <w:bodyDiv w:val="1"/>
      <w:marLeft w:val="0"/>
      <w:marRight w:val="0"/>
      <w:marTop w:val="0"/>
      <w:marBottom w:val="0"/>
      <w:divBdr>
        <w:top w:val="none" w:sz="0" w:space="0" w:color="auto"/>
        <w:left w:val="none" w:sz="0" w:space="0" w:color="auto"/>
        <w:bottom w:val="none" w:sz="0" w:space="0" w:color="auto"/>
        <w:right w:val="none" w:sz="0" w:space="0" w:color="auto"/>
      </w:divBdr>
    </w:div>
    <w:div w:id="608855381">
      <w:bodyDiv w:val="1"/>
      <w:marLeft w:val="0"/>
      <w:marRight w:val="0"/>
      <w:marTop w:val="0"/>
      <w:marBottom w:val="0"/>
      <w:divBdr>
        <w:top w:val="none" w:sz="0" w:space="0" w:color="auto"/>
        <w:left w:val="none" w:sz="0" w:space="0" w:color="auto"/>
        <w:bottom w:val="none" w:sz="0" w:space="0" w:color="auto"/>
        <w:right w:val="none" w:sz="0" w:space="0" w:color="auto"/>
      </w:divBdr>
    </w:div>
    <w:div w:id="614292745">
      <w:bodyDiv w:val="1"/>
      <w:marLeft w:val="0"/>
      <w:marRight w:val="0"/>
      <w:marTop w:val="0"/>
      <w:marBottom w:val="0"/>
      <w:divBdr>
        <w:top w:val="none" w:sz="0" w:space="0" w:color="auto"/>
        <w:left w:val="none" w:sz="0" w:space="0" w:color="auto"/>
        <w:bottom w:val="none" w:sz="0" w:space="0" w:color="auto"/>
        <w:right w:val="none" w:sz="0" w:space="0" w:color="auto"/>
      </w:divBdr>
    </w:div>
    <w:div w:id="621806328">
      <w:bodyDiv w:val="1"/>
      <w:marLeft w:val="0"/>
      <w:marRight w:val="0"/>
      <w:marTop w:val="0"/>
      <w:marBottom w:val="0"/>
      <w:divBdr>
        <w:top w:val="none" w:sz="0" w:space="0" w:color="auto"/>
        <w:left w:val="none" w:sz="0" w:space="0" w:color="auto"/>
        <w:bottom w:val="none" w:sz="0" w:space="0" w:color="auto"/>
        <w:right w:val="none" w:sz="0" w:space="0" w:color="auto"/>
      </w:divBdr>
    </w:div>
    <w:div w:id="634213305">
      <w:bodyDiv w:val="1"/>
      <w:marLeft w:val="0"/>
      <w:marRight w:val="0"/>
      <w:marTop w:val="0"/>
      <w:marBottom w:val="0"/>
      <w:divBdr>
        <w:top w:val="none" w:sz="0" w:space="0" w:color="auto"/>
        <w:left w:val="none" w:sz="0" w:space="0" w:color="auto"/>
        <w:bottom w:val="none" w:sz="0" w:space="0" w:color="auto"/>
        <w:right w:val="none" w:sz="0" w:space="0" w:color="auto"/>
      </w:divBdr>
    </w:div>
    <w:div w:id="642083674">
      <w:bodyDiv w:val="1"/>
      <w:marLeft w:val="0"/>
      <w:marRight w:val="0"/>
      <w:marTop w:val="0"/>
      <w:marBottom w:val="0"/>
      <w:divBdr>
        <w:top w:val="none" w:sz="0" w:space="0" w:color="auto"/>
        <w:left w:val="none" w:sz="0" w:space="0" w:color="auto"/>
        <w:bottom w:val="none" w:sz="0" w:space="0" w:color="auto"/>
        <w:right w:val="none" w:sz="0" w:space="0" w:color="auto"/>
      </w:divBdr>
    </w:div>
    <w:div w:id="643512434">
      <w:bodyDiv w:val="1"/>
      <w:marLeft w:val="0"/>
      <w:marRight w:val="0"/>
      <w:marTop w:val="0"/>
      <w:marBottom w:val="0"/>
      <w:divBdr>
        <w:top w:val="none" w:sz="0" w:space="0" w:color="auto"/>
        <w:left w:val="none" w:sz="0" w:space="0" w:color="auto"/>
        <w:bottom w:val="none" w:sz="0" w:space="0" w:color="auto"/>
        <w:right w:val="none" w:sz="0" w:space="0" w:color="auto"/>
      </w:divBdr>
    </w:div>
    <w:div w:id="649792639">
      <w:bodyDiv w:val="1"/>
      <w:marLeft w:val="0"/>
      <w:marRight w:val="0"/>
      <w:marTop w:val="0"/>
      <w:marBottom w:val="0"/>
      <w:divBdr>
        <w:top w:val="none" w:sz="0" w:space="0" w:color="auto"/>
        <w:left w:val="none" w:sz="0" w:space="0" w:color="auto"/>
        <w:bottom w:val="none" w:sz="0" w:space="0" w:color="auto"/>
        <w:right w:val="none" w:sz="0" w:space="0" w:color="auto"/>
      </w:divBdr>
    </w:div>
    <w:div w:id="665398793">
      <w:bodyDiv w:val="1"/>
      <w:marLeft w:val="0"/>
      <w:marRight w:val="0"/>
      <w:marTop w:val="0"/>
      <w:marBottom w:val="0"/>
      <w:divBdr>
        <w:top w:val="none" w:sz="0" w:space="0" w:color="auto"/>
        <w:left w:val="none" w:sz="0" w:space="0" w:color="auto"/>
        <w:bottom w:val="none" w:sz="0" w:space="0" w:color="auto"/>
        <w:right w:val="none" w:sz="0" w:space="0" w:color="auto"/>
      </w:divBdr>
    </w:div>
    <w:div w:id="670566886">
      <w:bodyDiv w:val="1"/>
      <w:marLeft w:val="0"/>
      <w:marRight w:val="0"/>
      <w:marTop w:val="0"/>
      <w:marBottom w:val="0"/>
      <w:divBdr>
        <w:top w:val="none" w:sz="0" w:space="0" w:color="auto"/>
        <w:left w:val="none" w:sz="0" w:space="0" w:color="auto"/>
        <w:bottom w:val="none" w:sz="0" w:space="0" w:color="auto"/>
        <w:right w:val="none" w:sz="0" w:space="0" w:color="auto"/>
      </w:divBdr>
    </w:div>
    <w:div w:id="691495032">
      <w:bodyDiv w:val="1"/>
      <w:marLeft w:val="0"/>
      <w:marRight w:val="0"/>
      <w:marTop w:val="0"/>
      <w:marBottom w:val="0"/>
      <w:divBdr>
        <w:top w:val="none" w:sz="0" w:space="0" w:color="auto"/>
        <w:left w:val="none" w:sz="0" w:space="0" w:color="auto"/>
        <w:bottom w:val="none" w:sz="0" w:space="0" w:color="auto"/>
        <w:right w:val="none" w:sz="0" w:space="0" w:color="auto"/>
      </w:divBdr>
    </w:div>
    <w:div w:id="698286864">
      <w:bodyDiv w:val="1"/>
      <w:marLeft w:val="0"/>
      <w:marRight w:val="0"/>
      <w:marTop w:val="0"/>
      <w:marBottom w:val="0"/>
      <w:divBdr>
        <w:top w:val="none" w:sz="0" w:space="0" w:color="auto"/>
        <w:left w:val="none" w:sz="0" w:space="0" w:color="auto"/>
        <w:bottom w:val="none" w:sz="0" w:space="0" w:color="auto"/>
        <w:right w:val="none" w:sz="0" w:space="0" w:color="auto"/>
      </w:divBdr>
    </w:div>
    <w:div w:id="704015537">
      <w:bodyDiv w:val="1"/>
      <w:marLeft w:val="0"/>
      <w:marRight w:val="0"/>
      <w:marTop w:val="0"/>
      <w:marBottom w:val="0"/>
      <w:divBdr>
        <w:top w:val="none" w:sz="0" w:space="0" w:color="auto"/>
        <w:left w:val="none" w:sz="0" w:space="0" w:color="auto"/>
        <w:bottom w:val="none" w:sz="0" w:space="0" w:color="auto"/>
        <w:right w:val="none" w:sz="0" w:space="0" w:color="auto"/>
      </w:divBdr>
    </w:div>
    <w:div w:id="721295757">
      <w:bodyDiv w:val="1"/>
      <w:marLeft w:val="0"/>
      <w:marRight w:val="0"/>
      <w:marTop w:val="0"/>
      <w:marBottom w:val="0"/>
      <w:divBdr>
        <w:top w:val="none" w:sz="0" w:space="0" w:color="auto"/>
        <w:left w:val="none" w:sz="0" w:space="0" w:color="auto"/>
        <w:bottom w:val="none" w:sz="0" w:space="0" w:color="auto"/>
        <w:right w:val="none" w:sz="0" w:space="0" w:color="auto"/>
      </w:divBdr>
    </w:div>
    <w:div w:id="740449595">
      <w:bodyDiv w:val="1"/>
      <w:marLeft w:val="0"/>
      <w:marRight w:val="0"/>
      <w:marTop w:val="0"/>
      <w:marBottom w:val="0"/>
      <w:divBdr>
        <w:top w:val="none" w:sz="0" w:space="0" w:color="auto"/>
        <w:left w:val="none" w:sz="0" w:space="0" w:color="auto"/>
        <w:bottom w:val="none" w:sz="0" w:space="0" w:color="auto"/>
        <w:right w:val="none" w:sz="0" w:space="0" w:color="auto"/>
      </w:divBdr>
    </w:div>
    <w:div w:id="745423014">
      <w:bodyDiv w:val="1"/>
      <w:marLeft w:val="0"/>
      <w:marRight w:val="0"/>
      <w:marTop w:val="0"/>
      <w:marBottom w:val="0"/>
      <w:divBdr>
        <w:top w:val="none" w:sz="0" w:space="0" w:color="auto"/>
        <w:left w:val="none" w:sz="0" w:space="0" w:color="auto"/>
        <w:bottom w:val="none" w:sz="0" w:space="0" w:color="auto"/>
        <w:right w:val="none" w:sz="0" w:space="0" w:color="auto"/>
      </w:divBdr>
    </w:div>
    <w:div w:id="753626599">
      <w:bodyDiv w:val="1"/>
      <w:marLeft w:val="0"/>
      <w:marRight w:val="0"/>
      <w:marTop w:val="0"/>
      <w:marBottom w:val="0"/>
      <w:divBdr>
        <w:top w:val="none" w:sz="0" w:space="0" w:color="auto"/>
        <w:left w:val="none" w:sz="0" w:space="0" w:color="auto"/>
        <w:bottom w:val="none" w:sz="0" w:space="0" w:color="auto"/>
        <w:right w:val="none" w:sz="0" w:space="0" w:color="auto"/>
      </w:divBdr>
    </w:div>
    <w:div w:id="755177752">
      <w:bodyDiv w:val="1"/>
      <w:marLeft w:val="0"/>
      <w:marRight w:val="0"/>
      <w:marTop w:val="0"/>
      <w:marBottom w:val="0"/>
      <w:divBdr>
        <w:top w:val="none" w:sz="0" w:space="0" w:color="auto"/>
        <w:left w:val="none" w:sz="0" w:space="0" w:color="auto"/>
        <w:bottom w:val="none" w:sz="0" w:space="0" w:color="auto"/>
        <w:right w:val="none" w:sz="0" w:space="0" w:color="auto"/>
      </w:divBdr>
    </w:div>
    <w:div w:id="774178828">
      <w:bodyDiv w:val="1"/>
      <w:marLeft w:val="0"/>
      <w:marRight w:val="0"/>
      <w:marTop w:val="0"/>
      <w:marBottom w:val="0"/>
      <w:divBdr>
        <w:top w:val="none" w:sz="0" w:space="0" w:color="auto"/>
        <w:left w:val="none" w:sz="0" w:space="0" w:color="auto"/>
        <w:bottom w:val="none" w:sz="0" w:space="0" w:color="auto"/>
        <w:right w:val="none" w:sz="0" w:space="0" w:color="auto"/>
      </w:divBdr>
    </w:div>
    <w:div w:id="777289304">
      <w:bodyDiv w:val="1"/>
      <w:marLeft w:val="0"/>
      <w:marRight w:val="0"/>
      <w:marTop w:val="0"/>
      <w:marBottom w:val="0"/>
      <w:divBdr>
        <w:top w:val="none" w:sz="0" w:space="0" w:color="auto"/>
        <w:left w:val="none" w:sz="0" w:space="0" w:color="auto"/>
        <w:bottom w:val="none" w:sz="0" w:space="0" w:color="auto"/>
        <w:right w:val="none" w:sz="0" w:space="0" w:color="auto"/>
      </w:divBdr>
    </w:div>
    <w:div w:id="784690807">
      <w:bodyDiv w:val="1"/>
      <w:marLeft w:val="0"/>
      <w:marRight w:val="0"/>
      <w:marTop w:val="0"/>
      <w:marBottom w:val="0"/>
      <w:divBdr>
        <w:top w:val="none" w:sz="0" w:space="0" w:color="auto"/>
        <w:left w:val="none" w:sz="0" w:space="0" w:color="auto"/>
        <w:bottom w:val="none" w:sz="0" w:space="0" w:color="auto"/>
        <w:right w:val="none" w:sz="0" w:space="0" w:color="auto"/>
      </w:divBdr>
    </w:div>
    <w:div w:id="815073923">
      <w:bodyDiv w:val="1"/>
      <w:marLeft w:val="0"/>
      <w:marRight w:val="0"/>
      <w:marTop w:val="0"/>
      <w:marBottom w:val="0"/>
      <w:divBdr>
        <w:top w:val="none" w:sz="0" w:space="0" w:color="auto"/>
        <w:left w:val="none" w:sz="0" w:space="0" w:color="auto"/>
        <w:bottom w:val="none" w:sz="0" w:space="0" w:color="auto"/>
        <w:right w:val="none" w:sz="0" w:space="0" w:color="auto"/>
      </w:divBdr>
    </w:div>
    <w:div w:id="818884767">
      <w:bodyDiv w:val="1"/>
      <w:marLeft w:val="0"/>
      <w:marRight w:val="0"/>
      <w:marTop w:val="0"/>
      <w:marBottom w:val="0"/>
      <w:divBdr>
        <w:top w:val="none" w:sz="0" w:space="0" w:color="auto"/>
        <w:left w:val="none" w:sz="0" w:space="0" w:color="auto"/>
        <w:bottom w:val="none" w:sz="0" w:space="0" w:color="auto"/>
        <w:right w:val="none" w:sz="0" w:space="0" w:color="auto"/>
      </w:divBdr>
    </w:div>
    <w:div w:id="849442468">
      <w:bodyDiv w:val="1"/>
      <w:marLeft w:val="0"/>
      <w:marRight w:val="0"/>
      <w:marTop w:val="0"/>
      <w:marBottom w:val="0"/>
      <w:divBdr>
        <w:top w:val="none" w:sz="0" w:space="0" w:color="auto"/>
        <w:left w:val="none" w:sz="0" w:space="0" w:color="auto"/>
        <w:bottom w:val="none" w:sz="0" w:space="0" w:color="auto"/>
        <w:right w:val="none" w:sz="0" w:space="0" w:color="auto"/>
      </w:divBdr>
    </w:div>
    <w:div w:id="855146275">
      <w:bodyDiv w:val="1"/>
      <w:marLeft w:val="0"/>
      <w:marRight w:val="0"/>
      <w:marTop w:val="0"/>
      <w:marBottom w:val="0"/>
      <w:divBdr>
        <w:top w:val="none" w:sz="0" w:space="0" w:color="auto"/>
        <w:left w:val="none" w:sz="0" w:space="0" w:color="auto"/>
        <w:bottom w:val="none" w:sz="0" w:space="0" w:color="auto"/>
        <w:right w:val="none" w:sz="0" w:space="0" w:color="auto"/>
      </w:divBdr>
    </w:div>
    <w:div w:id="869538265">
      <w:bodyDiv w:val="1"/>
      <w:marLeft w:val="0"/>
      <w:marRight w:val="0"/>
      <w:marTop w:val="0"/>
      <w:marBottom w:val="0"/>
      <w:divBdr>
        <w:top w:val="none" w:sz="0" w:space="0" w:color="auto"/>
        <w:left w:val="none" w:sz="0" w:space="0" w:color="auto"/>
        <w:bottom w:val="none" w:sz="0" w:space="0" w:color="auto"/>
        <w:right w:val="none" w:sz="0" w:space="0" w:color="auto"/>
      </w:divBdr>
    </w:div>
    <w:div w:id="878277912">
      <w:bodyDiv w:val="1"/>
      <w:marLeft w:val="0"/>
      <w:marRight w:val="0"/>
      <w:marTop w:val="0"/>
      <w:marBottom w:val="0"/>
      <w:divBdr>
        <w:top w:val="none" w:sz="0" w:space="0" w:color="auto"/>
        <w:left w:val="none" w:sz="0" w:space="0" w:color="auto"/>
        <w:bottom w:val="none" w:sz="0" w:space="0" w:color="auto"/>
        <w:right w:val="none" w:sz="0" w:space="0" w:color="auto"/>
      </w:divBdr>
    </w:div>
    <w:div w:id="89315615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09927159">
      <w:bodyDiv w:val="1"/>
      <w:marLeft w:val="0"/>
      <w:marRight w:val="0"/>
      <w:marTop w:val="0"/>
      <w:marBottom w:val="0"/>
      <w:divBdr>
        <w:top w:val="none" w:sz="0" w:space="0" w:color="auto"/>
        <w:left w:val="none" w:sz="0" w:space="0" w:color="auto"/>
        <w:bottom w:val="none" w:sz="0" w:space="0" w:color="auto"/>
        <w:right w:val="none" w:sz="0" w:space="0" w:color="auto"/>
      </w:divBdr>
    </w:div>
    <w:div w:id="930048206">
      <w:bodyDiv w:val="1"/>
      <w:marLeft w:val="0"/>
      <w:marRight w:val="0"/>
      <w:marTop w:val="0"/>
      <w:marBottom w:val="0"/>
      <w:divBdr>
        <w:top w:val="none" w:sz="0" w:space="0" w:color="auto"/>
        <w:left w:val="none" w:sz="0" w:space="0" w:color="auto"/>
        <w:bottom w:val="none" w:sz="0" w:space="0" w:color="auto"/>
        <w:right w:val="none" w:sz="0" w:space="0" w:color="auto"/>
      </w:divBdr>
    </w:div>
    <w:div w:id="939338955">
      <w:bodyDiv w:val="1"/>
      <w:marLeft w:val="0"/>
      <w:marRight w:val="0"/>
      <w:marTop w:val="0"/>
      <w:marBottom w:val="0"/>
      <w:divBdr>
        <w:top w:val="none" w:sz="0" w:space="0" w:color="auto"/>
        <w:left w:val="none" w:sz="0" w:space="0" w:color="auto"/>
        <w:bottom w:val="none" w:sz="0" w:space="0" w:color="auto"/>
        <w:right w:val="none" w:sz="0" w:space="0" w:color="auto"/>
      </w:divBdr>
    </w:div>
    <w:div w:id="954679066">
      <w:bodyDiv w:val="1"/>
      <w:marLeft w:val="0"/>
      <w:marRight w:val="0"/>
      <w:marTop w:val="0"/>
      <w:marBottom w:val="0"/>
      <w:divBdr>
        <w:top w:val="none" w:sz="0" w:space="0" w:color="auto"/>
        <w:left w:val="none" w:sz="0" w:space="0" w:color="auto"/>
        <w:bottom w:val="none" w:sz="0" w:space="0" w:color="auto"/>
        <w:right w:val="none" w:sz="0" w:space="0" w:color="auto"/>
      </w:divBdr>
    </w:div>
    <w:div w:id="970402776">
      <w:bodyDiv w:val="1"/>
      <w:marLeft w:val="0"/>
      <w:marRight w:val="0"/>
      <w:marTop w:val="0"/>
      <w:marBottom w:val="0"/>
      <w:divBdr>
        <w:top w:val="none" w:sz="0" w:space="0" w:color="auto"/>
        <w:left w:val="none" w:sz="0" w:space="0" w:color="auto"/>
        <w:bottom w:val="none" w:sz="0" w:space="0" w:color="auto"/>
        <w:right w:val="none" w:sz="0" w:space="0" w:color="auto"/>
      </w:divBdr>
    </w:div>
    <w:div w:id="979266328">
      <w:bodyDiv w:val="1"/>
      <w:marLeft w:val="0"/>
      <w:marRight w:val="0"/>
      <w:marTop w:val="0"/>
      <w:marBottom w:val="0"/>
      <w:divBdr>
        <w:top w:val="none" w:sz="0" w:space="0" w:color="auto"/>
        <w:left w:val="none" w:sz="0" w:space="0" w:color="auto"/>
        <w:bottom w:val="none" w:sz="0" w:space="0" w:color="auto"/>
        <w:right w:val="none" w:sz="0" w:space="0" w:color="auto"/>
      </w:divBdr>
    </w:div>
    <w:div w:id="986667314">
      <w:bodyDiv w:val="1"/>
      <w:marLeft w:val="0"/>
      <w:marRight w:val="0"/>
      <w:marTop w:val="0"/>
      <w:marBottom w:val="0"/>
      <w:divBdr>
        <w:top w:val="none" w:sz="0" w:space="0" w:color="auto"/>
        <w:left w:val="none" w:sz="0" w:space="0" w:color="auto"/>
        <w:bottom w:val="none" w:sz="0" w:space="0" w:color="auto"/>
        <w:right w:val="none" w:sz="0" w:space="0" w:color="auto"/>
      </w:divBdr>
    </w:div>
    <w:div w:id="990980320">
      <w:bodyDiv w:val="1"/>
      <w:marLeft w:val="0"/>
      <w:marRight w:val="0"/>
      <w:marTop w:val="0"/>
      <w:marBottom w:val="0"/>
      <w:divBdr>
        <w:top w:val="none" w:sz="0" w:space="0" w:color="auto"/>
        <w:left w:val="none" w:sz="0" w:space="0" w:color="auto"/>
        <w:bottom w:val="none" w:sz="0" w:space="0" w:color="auto"/>
        <w:right w:val="none" w:sz="0" w:space="0" w:color="auto"/>
      </w:divBdr>
    </w:div>
    <w:div w:id="1003972575">
      <w:bodyDiv w:val="1"/>
      <w:marLeft w:val="0"/>
      <w:marRight w:val="0"/>
      <w:marTop w:val="0"/>
      <w:marBottom w:val="0"/>
      <w:divBdr>
        <w:top w:val="none" w:sz="0" w:space="0" w:color="auto"/>
        <w:left w:val="none" w:sz="0" w:space="0" w:color="auto"/>
        <w:bottom w:val="none" w:sz="0" w:space="0" w:color="auto"/>
        <w:right w:val="none" w:sz="0" w:space="0" w:color="auto"/>
      </w:divBdr>
    </w:div>
    <w:div w:id="1012073898">
      <w:bodyDiv w:val="1"/>
      <w:marLeft w:val="0"/>
      <w:marRight w:val="0"/>
      <w:marTop w:val="0"/>
      <w:marBottom w:val="0"/>
      <w:divBdr>
        <w:top w:val="none" w:sz="0" w:space="0" w:color="auto"/>
        <w:left w:val="none" w:sz="0" w:space="0" w:color="auto"/>
        <w:bottom w:val="none" w:sz="0" w:space="0" w:color="auto"/>
        <w:right w:val="none" w:sz="0" w:space="0" w:color="auto"/>
      </w:divBdr>
    </w:div>
    <w:div w:id="1039012363">
      <w:bodyDiv w:val="1"/>
      <w:marLeft w:val="0"/>
      <w:marRight w:val="0"/>
      <w:marTop w:val="0"/>
      <w:marBottom w:val="0"/>
      <w:divBdr>
        <w:top w:val="none" w:sz="0" w:space="0" w:color="auto"/>
        <w:left w:val="none" w:sz="0" w:space="0" w:color="auto"/>
        <w:bottom w:val="none" w:sz="0" w:space="0" w:color="auto"/>
        <w:right w:val="none" w:sz="0" w:space="0" w:color="auto"/>
      </w:divBdr>
    </w:div>
    <w:div w:id="1048843303">
      <w:bodyDiv w:val="1"/>
      <w:marLeft w:val="0"/>
      <w:marRight w:val="0"/>
      <w:marTop w:val="0"/>
      <w:marBottom w:val="0"/>
      <w:divBdr>
        <w:top w:val="none" w:sz="0" w:space="0" w:color="auto"/>
        <w:left w:val="none" w:sz="0" w:space="0" w:color="auto"/>
        <w:bottom w:val="none" w:sz="0" w:space="0" w:color="auto"/>
        <w:right w:val="none" w:sz="0" w:space="0" w:color="auto"/>
      </w:divBdr>
    </w:div>
    <w:div w:id="1057314316">
      <w:bodyDiv w:val="1"/>
      <w:marLeft w:val="0"/>
      <w:marRight w:val="0"/>
      <w:marTop w:val="0"/>
      <w:marBottom w:val="0"/>
      <w:divBdr>
        <w:top w:val="none" w:sz="0" w:space="0" w:color="auto"/>
        <w:left w:val="none" w:sz="0" w:space="0" w:color="auto"/>
        <w:bottom w:val="none" w:sz="0" w:space="0" w:color="auto"/>
        <w:right w:val="none" w:sz="0" w:space="0" w:color="auto"/>
      </w:divBdr>
    </w:div>
    <w:div w:id="1068259574">
      <w:bodyDiv w:val="1"/>
      <w:marLeft w:val="0"/>
      <w:marRight w:val="0"/>
      <w:marTop w:val="0"/>
      <w:marBottom w:val="0"/>
      <w:divBdr>
        <w:top w:val="none" w:sz="0" w:space="0" w:color="auto"/>
        <w:left w:val="none" w:sz="0" w:space="0" w:color="auto"/>
        <w:bottom w:val="none" w:sz="0" w:space="0" w:color="auto"/>
        <w:right w:val="none" w:sz="0" w:space="0" w:color="auto"/>
      </w:divBdr>
    </w:div>
    <w:div w:id="1074620911">
      <w:bodyDiv w:val="1"/>
      <w:marLeft w:val="0"/>
      <w:marRight w:val="0"/>
      <w:marTop w:val="0"/>
      <w:marBottom w:val="0"/>
      <w:divBdr>
        <w:top w:val="none" w:sz="0" w:space="0" w:color="auto"/>
        <w:left w:val="none" w:sz="0" w:space="0" w:color="auto"/>
        <w:bottom w:val="none" w:sz="0" w:space="0" w:color="auto"/>
        <w:right w:val="none" w:sz="0" w:space="0" w:color="auto"/>
      </w:divBdr>
    </w:div>
    <w:div w:id="1102796037">
      <w:bodyDiv w:val="1"/>
      <w:marLeft w:val="0"/>
      <w:marRight w:val="0"/>
      <w:marTop w:val="0"/>
      <w:marBottom w:val="0"/>
      <w:divBdr>
        <w:top w:val="none" w:sz="0" w:space="0" w:color="auto"/>
        <w:left w:val="none" w:sz="0" w:space="0" w:color="auto"/>
        <w:bottom w:val="none" w:sz="0" w:space="0" w:color="auto"/>
        <w:right w:val="none" w:sz="0" w:space="0" w:color="auto"/>
      </w:divBdr>
    </w:div>
    <w:div w:id="1103380898">
      <w:bodyDiv w:val="1"/>
      <w:marLeft w:val="0"/>
      <w:marRight w:val="0"/>
      <w:marTop w:val="0"/>
      <w:marBottom w:val="0"/>
      <w:divBdr>
        <w:top w:val="none" w:sz="0" w:space="0" w:color="auto"/>
        <w:left w:val="none" w:sz="0" w:space="0" w:color="auto"/>
        <w:bottom w:val="none" w:sz="0" w:space="0" w:color="auto"/>
        <w:right w:val="none" w:sz="0" w:space="0" w:color="auto"/>
      </w:divBdr>
    </w:div>
    <w:div w:id="1103766255">
      <w:bodyDiv w:val="1"/>
      <w:marLeft w:val="0"/>
      <w:marRight w:val="0"/>
      <w:marTop w:val="0"/>
      <w:marBottom w:val="0"/>
      <w:divBdr>
        <w:top w:val="none" w:sz="0" w:space="0" w:color="auto"/>
        <w:left w:val="none" w:sz="0" w:space="0" w:color="auto"/>
        <w:bottom w:val="none" w:sz="0" w:space="0" w:color="auto"/>
        <w:right w:val="none" w:sz="0" w:space="0" w:color="auto"/>
      </w:divBdr>
    </w:div>
    <w:div w:id="1104302212">
      <w:bodyDiv w:val="1"/>
      <w:marLeft w:val="0"/>
      <w:marRight w:val="0"/>
      <w:marTop w:val="0"/>
      <w:marBottom w:val="0"/>
      <w:divBdr>
        <w:top w:val="none" w:sz="0" w:space="0" w:color="auto"/>
        <w:left w:val="none" w:sz="0" w:space="0" w:color="auto"/>
        <w:bottom w:val="none" w:sz="0" w:space="0" w:color="auto"/>
        <w:right w:val="none" w:sz="0" w:space="0" w:color="auto"/>
      </w:divBdr>
    </w:div>
    <w:div w:id="1112818396">
      <w:bodyDiv w:val="1"/>
      <w:marLeft w:val="0"/>
      <w:marRight w:val="0"/>
      <w:marTop w:val="0"/>
      <w:marBottom w:val="0"/>
      <w:divBdr>
        <w:top w:val="none" w:sz="0" w:space="0" w:color="auto"/>
        <w:left w:val="none" w:sz="0" w:space="0" w:color="auto"/>
        <w:bottom w:val="none" w:sz="0" w:space="0" w:color="auto"/>
        <w:right w:val="none" w:sz="0" w:space="0" w:color="auto"/>
      </w:divBdr>
    </w:div>
    <w:div w:id="1115825333">
      <w:bodyDiv w:val="1"/>
      <w:marLeft w:val="0"/>
      <w:marRight w:val="0"/>
      <w:marTop w:val="0"/>
      <w:marBottom w:val="0"/>
      <w:divBdr>
        <w:top w:val="none" w:sz="0" w:space="0" w:color="auto"/>
        <w:left w:val="none" w:sz="0" w:space="0" w:color="auto"/>
        <w:bottom w:val="none" w:sz="0" w:space="0" w:color="auto"/>
        <w:right w:val="none" w:sz="0" w:space="0" w:color="auto"/>
      </w:divBdr>
    </w:div>
    <w:div w:id="1122921996">
      <w:bodyDiv w:val="1"/>
      <w:marLeft w:val="0"/>
      <w:marRight w:val="0"/>
      <w:marTop w:val="0"/>
      <w:marBottom w:val="0"/>
      <w:divBdr>
        <w:top w:val="none" w:sz="0" w:space="0" w:color="auto"/>
        <w:left w:val="none" w:sz="0" w:space="0" w:color="auto"/>
        <w:bottom w:val="none" w:sz="0" w:space="0" w:color="auto"/>
        <w:right w:val="none" w:sz="0" w:space="0" w:color="auto"/>
      </w:divBdr>
    </w:div>
    <w:div w:id="1129785471">
      <w:bodyDiv w:val="1"/>
      <w:marLeft w:val="0"/>
      <w:marRight w:val="0"/>
      <w:marTop w:val="0"/>
      <w:marBottom w:val="0"/>
      <w:divBdr>
        <w:top w:val="none" w:sz="0" w:space="0" w:color="auto"/>
        <w:left w:val="none" w:sz="0" w:space="0" w:color="auto"/>
        <w:bottom w:val="none" w:sz="0" w:space="0" w:color="auto"/>
        <w:right w:val="none" w:sz="0" w:space="0" w:color="auto"/>
      </w:divBdr>
    </w:div>
    <w:div w:id="1135103487">
      <w:bodyDiv w:val="1"/>
      <w:marLeft w:val="0"/>
      <w:marRight w:val="0"/>
      <w:marTop w:val="0"/>
      <w:marBottom w:val="0"/>
      <w:divBdr>
        <w:top w:val="none" w:sz="0" w:space="0" w:color="auto"/>
        <w:left w:val="none" w:sz="0" w:space="0" w:color="auto"/>
        <w:bottom w:val="none" w:sz="0" w:space="0" w:color="auto"/>
        <w:right w:val="none" w:sz="0" w:space="0" w:color="auto"/>
      </w:divBdr>
    </w:div>
    <w:div w:id="1136727117">
      <w:bodyDiv w:val="1"/>
      <w:marLeft w:val="0"/>
      <w:marRight w:val="0"/>
      <w:marTop w:val="0"/>
      <w:marBottom w:val="0"/>
      <w:divBdr>
        <w:top w:val="none" w:sz="0" w:space="0" w:color="auto"/>
        <w:left w:val="none" w:sz="0" w:space="0" w:color="auto"/>
        <w:bottom w:val="none" w:sz="0" w:space="0" w:color="auto"/>
        <w:right w:val="none" w:sz="0" w:space="0" w:color="auto"/>
      </w:divBdr>
    </w:div>
    <w:div w:id="1154446982">
      <w:bodyDiv w:val="1"/>
      <w:marLeft w:val="0"/>
      <w:marRight w:val="0"/>
      <w:marTop w:val="0"/>
      <w:marBottom w:val="0"/>
      <w:divBdr>
        <w:top w:val="none" w:sz="0" w:space="0" w:color="auto"/>
        <w:left w:val="none" w:sz="0" w:space="0" w:color="auto"/>
        <w:bottom w:val="none" w:sz="0" w:space="0" w:color="auto"/>
        <w:right w:val="none" w:sz="0" w:space="0" w:color="auto"/>
      </w:divBdr>
    </w:div>
    <w:div w:id="1154495023">
      <w:bodyDiv w:val="1"/>
      <w:marLeft w:val="0"/>
      <w:marRight w:val="0"/>
      <w:marTop w:val="0"/>
      <w:marBottom w:val="0"/>
      <w:divBdr>
        <w:top w:val="none" w:sz="0" w:space="0" w:color="auto"/>
        <w:left w:val="none" w:sz="0" w:space="0" w:color="auto"/>
        <w:bottom w:val="none" w:sz="0" w:space="0" w:color="auto"/>
        <w:right w:val="none" w:sz="0" w:space="0" w:color="auto"/>
      </w:divBdr>
    </w:div>
    <w:div w:id="1156803713">
      <w:bodyDiv w:val="1"/>
      <w:marLeft w:val="0"/>
      <w:marRight w:val="0"/>
      <w:marTop w:val="0"/>
      <w:marBottom w:val="0"/>
      <w:divBdr>
        <w:top w:val="none" w:sz="0" w:space="0" w:color="auto"/>
        <w:left w:val="none" w:sz="0" w:space="0" w:color="auto"/>
        <w:bottom w:val="none" w:sz="0" w:space="0" w:color="auto"/>
        <w:right w:val="none" w:sz="0" w:space="0" w:color="auto"/>
      </w:divBdr>
    </w:div>
    <w:div w:id="1157114638">
      <w:bodyDiv w:val="1"/>
      <w:marLeft w:val="0"/>
      <w:marRight w:val="0"/>
      <w:marTop w:val="0"/>
      <w:marBottom w:val="0"/>
      <w:divBdr>
        <w:top w:val="none" w:sz="0" w:space="0" w:color="auto"/>
        <w:left w:val="none" w:sz="0" w:space="0" w:color="auto"/>
        <w:bottom w:val="none" w:sz="0" w:space="0" w:color="auto"/>
        <w:right w:val="none" w:sz="0" w:space="0" w:color="auto"/>
      </w:divBdr>
    </w:div>
    <w:div w:id="1175269959">
      <w:bodyDiv w:val="1"/>
      <w:marLeft w:val="0"/>
      <w:marRight w:val="0"/>
      <w:marTop w:val="0"/>
      <w:marBottom w:val="0"/>
      <w:divBdr>
        <w:top w:val="none" w:sz="0" w:space="0" w:color="auto"/>
        <w:left w:val="none" w:sz="0" w:space="0" w:color="auto"/>
        <w:bottom w:val="none" w:sz="0" w:space="0" w:color="auto"/>
        <w:right w:val="none" w:sz="0" w:space="0" w:color="auto"/>
      </w:divBdr>
    </w:div>
    <w:div w:id="1175919768">
      <w:bodyDiv w:val="1"/>
      <w:marLeft w:val="0"/>
      <w:marRight w:val="0"/>
      <w:marTop w:val="0"/>
      <w:marBottom w:val="0"/>
      <w:divBdr>
        <w:top w:val="none" w:sz="0" w:space="0" w:color="auto"/>
        <w:left w:val="none" w:sz="0" w:space="0" w:color="auto"/>
        <w:bottom w:val="none" w:sz="0" w:space="0" w:color="auto"/>
        <w:right w:val="none" w:sz="0" w:space="0" w:color="auto"/>
      </w:divBdr>
    </w:div>
    <w:div w:id="1181970141">
      <w:bodyDiv w:val="1"/>
      <w:marLeft w:val="0"/>
      <w:marRight w:val="0"/>
      <w:marTop w:val="0"/>
      <w:marBottom w:val="0"/>
      <w:divBdr>
        <w:top w:val="none" w:sz="0" w:space="0" w:color="auto"/>
        <w:left w:val="none" w:sz="0" w:space="0" w:color="auto"/>
        <w:bottom w:val="none" w:sz="0" w:space="0" w:color="auto"/>
        <w:right w:val="none" w:sz="0" w:space="0" w:color="auto"/>
      </w:divBdr>
    </w:div>
    <w:div w:id="1193034142">
      <w:bodyDiv w:val="1"/>
      <w:marLeft w:val="0"/>
      <w:marRight w:val="0"/>
      <w:marTop w:val="0"/>
      <w:marBottom w:val="0"/>
      <w:divBdr>
        <w:top w:val="none" w:sz="0" w:space="0" w:color="auto"/>
        <w:left w:val="none" w:sz="0" w:space="0" w:color="auto"/>
        <w:bottom w:val="none" w:sz="0" w:space="0" w:color="auto"/>
        <w:right w:val="none" w:sz="0" w:space="0" w:color="auto"/>
      </w:divBdr>
    </w:div>
    <w:div w:id="1201670007">
      <w:bodyDiv w:val="1"/>
      <w:marLeft w:val="0"/>
      <w:marRight w:val="0"/>
      <w:marTop w:val="0"/>
      <w:marBottom w:val="0"/>
      <w:divBdr>
        <w:top w:val="none" w:sz="0" w:space="0" w:color="auto"/>
        <w:left w:val="none" w:sz="0" w:space="0" w:color="auto"/>
        <w:bottom w:val="none" w:sz="0" w:space="0" w:color="auto"/>
        <w:right w:val="none" w:sz="0" w:space="0" w:color="auto"/>
      </w:divBdr>
    </w:div>
    <w:div w:id="1205942800">
      <w:bodyDiv w:val="1"/>
      <w:marLeft w:val="0"/>
      <w:marRight w:val="0"/>
      <w:marTop w:val="0"/>
      <w:marBottom w:val="0"/>
      <w:divBdr>
        <w:top w:val="none" w:sz="0" w:space="0" w:color="auto"/>
        <w:left w:val="none" w:sz="0" w:space="0" w:color="auto"/>
        <w:bottom w:val="none" w:sz="0" w:space="0" w:color="auto"/>
        <w:right w:val="none" w:sz="0" w:space="0" w:color="auto"/>
      </w:divBdr>
    </w:div>
    <w:div w:id="1220168439">
      <w:bodyDiv w:val="1"/>
      <w:marLeft w:val="0"/>
      <w:marRight w:val="0"/>
      <w:marTop w:val="0"/>
      <w:marBottom w:val="0"/>
      <w:divBdr>
        <w:top w:val="none" w:sz="0" w:space="0" w:color="auto"/>
        <w:left w:val="none" w:sz="0" w:space="0" w:color="auto"/>
        <w:bottom w:val="none" w:sz="0" w:space="0" w:color="auto"/>
        <w:right w:val="none" w:sz="0" w:space="0" w:color="auto"/>
      </w:divBdr>
    </w:div>
    <w:div w:id="1229340320">
      <w:bodyDiv w:val="1"/>
      <w:marLeft w:val="0"/>
      <w:marRight w:val="0"/>
      <w:marTop w:val="0"/>
      <w:marBottom w:val="0"/>
      <w:divBdr>
        <w:top w:val="none" w:sz="0" w:space="0" w:color="auto"/>
        <w:left w:val="none" w:sz="0" w:space="0" w:color="auto"/>
        <w:bottom w:val="none" w:sz="0" w:space="0" w:color="auto"/>
        <w:right w:val="none" w:sz="0" w:space="0" w:color="auto"/>
      </w:divBdr>
    </w:div>
    <w:div w:id="1249384674">
      <w:bodyDiv w:val="1"/>
      <w:marLeft w:val="0"/>
      <w:marRight w:val="0"/>
      <w:marTop w:val="0"/>
      <w:marBottom w:val="0"/>
      <w:divBdr>
        <w:top w:val="none" w:sz="0" w:space="0" w:color="auto"/>
        <w:left w:val="none" w:sz="0" w:space="0" w:color="auto"/>
        <w:bottom w:val="none" w:sz="0" w:space="0" w:color="auto"/>
        <w:right w:val="none" w:sz="0" w:space="0" w:color="auto"/>
      </w:divBdr>
    </w:div>
    <w:div w:id="1253392506">
      <w:bodyDiv w:val="1"/>
      <w:marLeft w:val="0"/>
      <w:marRight w:val="0"/>
      <w:marTop w:val="0"/>
      <w:marBottom w:val="0"/>
      <w:divBdr>
        <w:top w:val="none" w:sz="0" w:space="0" w:color="auto"/>
        <w:left w:val="none" w:sz="0" w:space="0" w:color="auto"/>
        <w:bottom w:val="none" w:sz="0" w:space="0" w:color="auto"/>
        <w:right w:val="none" w:sz="0" w:space="0" w:color="auto"/>
      </w:divBdr>
    </w:div>
    <w:div w:id="1269388180">
      <w:bodyDiv w:val="1"/>
      <w:marLeft w:val="0"/>
      <w:marRight w:val="0"/>
      <w:marTop w:val="0"/>
      <w:marBottom w:val="0"/>
      <w:divBdr>
        <w:top w:val="none" w:sz="0" w:space="0" w:color="auto"/>
        <w:left w:val="none" w:sz="0" w:space="0" w:color="auto"/>
        <w:bottom w:val="none" w:sz="0" w:space="0" w:color="auto"/>
        <w:right w:val="none" w:sz="0" w:space="0" w:color="auto"/>
      </w:divBdr>
    </w:div>
    <w:div w:id="1285694049">
      <w:bodyDiv w:val="1"/>
      <w:marLeft w:val="0"/>
      <w:marRight w:val="0"/>
      <w:marTop w:val="0"/>
      <w:marBottom w:val="0"/>
      <w:divBdr>
        <w:top w:val="none" w:sz="0" w:space="0" w:color="auto"/>
        <w:left w:val="none" w:sz="0" w:space="0" w:color="auto"/>
        <w:bottom w:val="none" w:sz="0" w:space="0" w:color="auto"/>
        <w:right w:val="none" w:sz="0" w:space="0" w:color="auto"/>
      </w:divBdr>
    </w:div>
    <w:div w:id="1298684378">
      <w:bodyDiv w:val="1"/>
      <w:marLeft w:val="0"/>
      <w:marRight w:val="0"/>
      <w:marTop w:val="0"/>
      <w:marBottom w:val="0"/>
      <w:divBdr>
        <w:top w:val="none" w:sz="0" w:space="0" w:color="auto"/>
        <w:left w:val="none" w:sz="0" w:space="0" w:color="auto"/>
        <w:bottom w:val="none" w:sz="0" w:space="0" w:color="auto"/>
        <w:right w:val="none" w:sz="0" w:space="0" w:color="auto"/>
      </w:divBdr>
    </w:div>
    <w:div w:id="1310406047">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32488733">
      <w:bodyDiv w:val="1"/>
      <w:marLeft w:val="0"/>
      <w:marRight w:val="0"/>
      <w:marTop w:val="0"/>
      <w:marBottom w:val="0"/>
      <w:divBdr>
        <w:top w:val="none" w:sz="0" w:space="0" w:color="auto"/>
        <w:left w:val="none" w:sz="0" w:space="0" w:color="auto"/>
        <w:bottom w:val="none" w:sz="0" w:space="0" w:color="auto"/>
        <w:right w:val="none" w:sz="0" w:space="0" w:color="auto"/>
      </w:divBdr>
    </w:div>
    <w:div w:id="1333140223">
      <w:bodyDiv w:val="1"/>
      <w:marLeft w:val="0"/>
      <w:marRight w:val="0"/>
      <w:marTop w:val="0"/>
      <w:marBottom w:val="0"/>
      <w:divBdr>
        <w:top w:val="none" w:sz="0" w:space="0" w:color="auto"/>
        <w:left w:val="none" w:sz="0" w:space="0" w:color="auto"/>
        <w:bottom w:val="none" w:sz="0" w:space="0" w:color="auto"/>
        <w:right w:val="none" w:sz="0" w:space="0" w:color="auto"/>
      </w:divBdr>
    </w:div>
    <w:div w:id="1336808164">
      <w:bodyDiv w:val="1"/>
      <w:marLeft w:val="0"/>
      <w:marRight w:val="0"/>
      <w:marTop w:val="0"/>
      <w:marBottom w:val="0"/>
      <w:divBdr>
        <w:top w:val="none" w:sz="0" w:space="0" w:color="auto"/>
        <w:left w:val="none" w:sz="0" w:space="0" w:color="auto"/>
        <w:bottom w:val="none" w:sz="0" w:space="0" w:color="auto"/>
        <w:right w:val="none" w:sz="0" w:space="0" w:color="auto"/>
      </w:divBdr>
    </w:div>
    <w:div w:id="1348755959">
      <w:bodyDiv w:val="1"/>
      <w:marLeft w:val="0"/>
      <w:marRight w:val="0"/>
      <w:marTop w:val="0"/>
      <w:marBottom w:val="0"/>
      <w:divBdr>
        <w:top w:val="none" w:sz="0" w:space="0" w:color="auto"/>
        <w:left w:val="none" w:sz="0" w:space="0" w:color="auto"/>
        <w:bottom w:val="none" w:sz="0" w:space="0" w:color="auto"/>
        <w:right w:val="none" w:sz="0" w:space="0" w:color="auto"/>
      </w:divBdr>
    </w:div>
    <w:div w:id="1349063523">
      <w:bodyDiv w:val="1"/>
      <w:marLeft w:val="0"/>
      <w:marRight w:val="0"/>
      <w:marTop w:val="0"/>
      <w:marBottom w:val="0"/>
      <w:divBdr>
        <w:top w:val="none" w:sz="0" w:space="0" w:color="auto"/>
        <w:left w:val="none" w:sz="0" w:space="0" w:color="auto"/>
        <w:bottom w:val="none" w:sz="0" w:space="0" w:color="auto"/>
        <w:right w:val="none" w:sz="0" w:space="0" w:color="auto"/>
      </w:divBdr>
    </w:div>
    <w:div w:id="1354459623">
      <w:bodyDiv w:val="1"/>
      <w:marLeft w:val="0"/>
      <w:marRight w:val="0"/>
      <w:marTop w:val="0"/>
      <w:marBottom w:val="0"/>
      <w:divBdr>
        <w:top w:val="none" w:sz="0" w:space="0" w:color="auto"/>
        <w:left w:val="none" w:sz="0" w:space="0" w:color="auto"/>
        <w:bottom w:val="none" w:sz="0" w:space="0" w:color="auto"/>
        <w:right w:val="none" w:sz="0" w:space="0" w:color="auto"/>
      </w:divBdr>
    </w:div>
    <w:div w:id="1367678148">
      <w:bodyDiv w:val="1"/>
      <w:marLeft w:val="0"/>
      <w:marRight w:val="0"/>
      <w:marTop w:val="0"/>
      <w:marBottom w:val="0"/>
      <w:divBdr>
        <w:top w:val="none" w:sz="0" w:space="0" w:color="auto"/>
        <w:left w:val="none" w:sz="0" w:space="0" w:color="auto"/>
        <w:bottom w:val="none" w:sz="0" w:space="0" w:color="auto"/>
        <w:right w:val="none" w:sz="0" w:space="0" w:color="auto"/>
      </w:divBdr>
    </w:div>
    <w:div w:id="1371801076">
      <w:bodyDiv w:val="1"/>
      <w:marLeft w:val="0"/>
      <w:marRight w:val="0"/>
      <w:marTop w:val="0"/>
      <w:marBottom w:val="0"/>
      <w:divBdr>
        <w:top w:val="none" w:sz="0" w:space="0" w:color="auto"/>
        <w:left w:val="none" w:sz="0" w:space="0" w:color="auto"/>
        <w:bottom w:val="none" w:sz="0" w:space="0" w:color="auto"/>
        <w:right w:val="none" w:sz="0" w:space="0" w:color="auto"/>
      </w:divBdr>
    </w:div>
    <w:div w:id="1373925393">
      <w:bodyDiv w:val="1"/>
      <w:marLeft w:val="0"/>
      <w:marRight w:val="0"/>
      <w:marTop w:val="0"/>
      <w:marBottom w:val="0"/>
      <w:divBdr>
        <w:top w:val="none" w:sz="0" w:space="0" w:color="auto"/>
        <w:left w:val="none" w:sz="0" w:space="0" w:color="auto"/>
        <w:bottom w:val="none" w:sz="0" w:space="0" w:color="auto"/>
        <w:right w:val="none" w:sz="0" w:space="0" w:color="auto"/>
      </w:divBdr>
    </w:div>
    <w:div w:id="1382442810">
      <w:bodyDiv w:val="1"/>
      <w:marLeft w:val="0"/>
      <w:marRight w:val="0"/>
      <w:marTop w:val="0"/>
      <w:marBottom w:val="0"/>
      <w:divBdr>
        <w:top w:val="none" w:sz="0" w:space="0" w:color="auto"/>
        <w:left w:val="none" w:sz="0" w:space="0" w:color="auto"/>
        <w:bottom w:val="none" w:sz="0" w:space="0" w:color="auto"/>
        <w:right w:val="none" w:sz="0" w:space="0" w:color="auto"/>
      </w:divBdr>
    </w:div>
    <w:div w:id="1394086413">
      <w:bodyDiv w:val="1"/>
      <w:marLeft w:val="0"/>
      <w:marRight w:val="0"/>
      <w:marTop w:val="0"/>
      <w:marBottom w:val="0"/>
      <w:divBdr>
        <w:top w:val="none" w:sz="0" w:space="0" w:color="auto"/>
        <w:left w:val="none" w:sz="0" w:space="0" w:color="auto"/>
        <w:bottom w:val="none" w:sz="0" w:space="0" w:color="auto"/>
        <w:right w:val="none" w:sz="0" w:space="0" w:color="auto"/>
      </w:divBdr>
    </w:div>
    <w:div w:id="1404448045">
      <w:bodyDiv w:val="1"/>
      <w:marLeft w:val="0"/>
      <w:marRight w:val="0"/>
      <w:marTop w:val="0"/>
      <w:marBottom w:val="0"/>
      <w:divBdr>
        <w:top w:val="none" w:sz="0" w:space="0" w:color="auto"/>
        <w:left w:val="none" w:sz="0" w:space="0" w:color="auto"/>
        <w:bottom w:val="none" w:sz="0" w:space="0" w:color="auto"/>
        <w:right w:val="none" w:sz="0" w:space="0" w:color="auto"/>
      </w:divBdr>
    </w:div>
    <w:div w:id="1407068340">
      <w:bodyDiv w:val="1"/>
      <w:marLeft w:val="0"/>
      <w:marRight w:val="0"/>
      <w:marTop w:val="0"/>
      <w:marBottom w:val="0"/>
      <w:divBdr>
        <w:top w:val="none" w:sz="0" w:space="0" w:color="auto"/>
        <w:left w:val="none" w:sz="0" w:space="0" w:color="auto"/>
        <w:bottom w:val="none" w:sz="0" w:space="0" w:color="auto"/>
        <w:right w:val="none" w:sz="0" w:space="0" w:color="auto"/>
      </w:divBdr>
    </w:div>
    <w:div w:id="1421366024">
      <w:bodyDiv w:val="1"/>
      <w:marLeft w:val="0"/>
      <w:marRight w:val="0"/>
      <w:marTop w:val="0"/>
      <w:marBottom w:val="0"/>
      <w:divBdr>
        <w:top w:val="none" w:sz="0" w:space="0" w:color="auto"/>
        <w:left w:val="none" w:sz="0" w:space="0" w:color="auto"/>
        <w:bottom w:val="none" w:sz="0" w:space="0" w:color="auto"/>
        <w:right w:val="none" w:sz="0" w:space="0" w:color="auto"/>
      </w:divBdr>
    </w:div>
    <w:div w:id="1431000626">
      <w:bodyDiv w:val="1"/>
      <w:marLeft w:val="0"/>
      <w:marRight w:val="0"/>
      <w:marTop w:val="0"/>
      <w:marBottom w:val="0"/>
      <w:divBdr>
        <w:top w:val="none" w:sz="0" w:space="0" w:color="auto"/>
        <w:left w:val="none" w:sz="0" w:space="0" w:color="auto"/>
        <w:bottom w:val="none" w:sz="0" w:space="0" w:color="auto"/>
        <w:right w:val="none" w:sz="0" w:space="0" w:color="auto"/>
      </w:divBdr>
    </w:div>
    <w:div w:id="1440448124">
      <w:bodyDiv w:val="1"/>
      <w:marLeft w:val="0"/>
      <w:marRight w:val="0"/>
      <w:marTop w:val="0"/>
      <w:marBottom w:val="0"/>
      <w:divBdr>
        <w:top w:val="none" w:sz="0" w:space="0" w:color="auto"/>
        <w:left w:val="none" w:sz="0" w:space="0" w:color="auto"/>
        <w:bottom w:val="none" w:sz="0" w:space="0" w:color="auto"/>
        <w:right w:val="none" w:sz="0" w:space="0" w:color="auto"/>
      </w:divBdr>
    </w:div>
    <w:div w:id="1447655357">
      <w:bodyDiv w:val="1"/>
      <w:marLeft w:val="0"/>
      <w:marRight w:val="0"/>
      <w:marTop w:val="0"/>
      <w:marBottom w:val="0"/>
      <w:divBdr>
        <w:top w:val="none" w:sz="0" w:space="0" w:color="auto"/>
        <w:left w:val="none" w:sz="0" w:space="0" w:color="auto"/>
        <w:bottom w:val="none" w:sz="0" w:space="0" w:color="auto"/>
        <w:right w:val="none" w:sz="0" w:space="0" w:color="auto"/>
      </w:divBdr>
    </w:div>
    <w:div w:id="1477524102">
      <w:bodyDiv w:val="1"/>
      <w:marLeft w:val="0"/>
      <w:marRight w:val="0"/>
      <w:marTop w:val="0"/>
      <w:marBottom w:val="0"/>
      <w:divBdr>
        <w:top w:val="none" w:sz="0" w:space="0" w:color="auto"/>
        <w:left w:val="none" w:sz="0" w:space="0" w:color="auto"/>
        <w:bottom w:val="none" w:sz="0" w:space="0" w:color="auto"/>
        <w:right w:val="none" w:sz="0" w:space="0" w:color="auto"/>
      </w:divBdr>
    </w:div>
    <w:div w:id="1488789494">
      <w:bodyDiv w:val="1"/>
      <w:marLeft w:val="0"/>
      <w:marRight w:val="0"/>
      <w:marTop w:val="0"/>
      <w:marBottom w:val="0"/>
      <w:divBdr>
        <w:top w:val="none" w:sz="0" w:space="0" w:color="auto"/>
        <w:left w:val="none" w:sz="0" w:space="0" w:color="auto"/>
        <w:bottom w:val="none" w:sz="0" w:space="0" w:color="auto"/>
        <w:right w:val="none" w:sz="0" w:space="0" w:color="auto"/>
      </w:divBdr>
    </w:div>
    <w:div w:id="1491367138">
      <w:bodyDiv w:val="1"/>
      <w:marLeft w:val="0"/>
      <w:marRight w:val="0"/>
      <w:marTop w:val="0"/>
      <w:marBottom w:val="0"/>
      <w:divBdr>
        <w:top w:val="none" w:sz="0" w:space="0" w:color="auto"/>
        <w:left w:val="none" w:sz="0" w:space="0" w:color="auto"/>
        <w:bottom w:val="none" w:sz="0" w:space="0" w:color="auto"/>
        <w:right w:val="none" w:sz="0" w:space="0" w:color="auto"/>
      </w:divBdr>
    </w:div>
    <w:div w:id="1492797118">
      <w:bodyDiv w:val="1"/>
      <w:marLeft w:val="0"/>
      <w:marRight w:val="0"/>
      <w:marTop w:val="0"/>
      <w:marBottom w:val="0"/>
      <w:divBdr>
        <w:top w:val="none" w:sz="0" w:space="0" w:color="auto"/>
        <w:left w:val="none" w:sz="0" w:space="0" w:color="auto"/>
        <w:bottom w:val="none" w:sz="0" w:space="0" w:color="auto"/>
        <w:right w:val="none" w:sz="0" w:space="0" w:color="auto"/>
      </w:divBdr>
    </w:div>
    <w:div w:id="1497383598">
      <w:bodyDiv w:val="1"/>
      <w:marLeft w:val="0"/>
      <w:marRight w:val="0"/>
      <w:marTop w:val="0"/>
      <w:marBottom w:val="0"/>
      <w:divBdr>
        <w:top w:val="none" w:sz="0" w:space="0" w:color="auto"/>
        <w:left w:val="none" w:sz="0" w:space="0" w:color="auto"/>
        <w:bottom w:val="none" w:sz="0" w:space="0" w:color="auto"/>
        <w:right w:val="none" w:sz="0" w:space="0" w:color="auto"/>
      </w:divBdr>
    </w:div>
    <w:div w:id="1515802929">
      <w:bodyDiv w:val="1"/>
      <w:marLeft w:val="0"/>
      <w:marRight w:val="0"/>
      <w:marTop w:val="0"/>
      <w:marBottom w:val="0"/>
      <w:divBdr>
        <w:top w:val="none" w:sz="0" w:space="0" w:color="auto"/>
        <w:left w:val="none" w:sz="0" w:space="0" w:color="auto"/>
        <w:bottom w:val="none" w:sz="0" w:space="0" w:color="auto"/>
        <w:right w:val="none" w:sz="0" w:space="0" w:color="auto"/>
      </w:divBdr>
    </w:div>
    <w:div w:id="1544051881">
      <w:bodyDiv w:val="1"/>
      <w:marLeft w:val="0"/>
      <w:marRight w:val="0"/>
      <w:marTop w:val="0"/>
      <w:marBottom w:val="0"/>
      <w:divBdr>
        <w:top w:val="none" w:sz="0" w:space="0" w:color="auto"/>
        <w:left w:val="none" w:sz="0" w:space="0" w:color="auto"/>
        <w:bottom w:val="none" w:sz="0" w:space="0" w:color="auto"/>
        <w:right w:val="none" w:sz="0" w:space="0" w:color="auto"/>
      </w:divBdr>
    </w:div>
    <w:div w:id="1547181875">
      <w:bodyDiv w:val="1"/>
      <w:marLeft w:val="0"/>
      <w:marRight w:val="0"/>
      <w:marTop w:val="0"/>
      <w:marBottom w:val="0"/>
      <w:divBdr>
        <w:top w:val="none" w:sz="0" w:space="0" w:color="auto"/>
        <w:left w:val="none" w:sz="0" w:space="0" w:color="auto"/>
        <w:bottom w:val="none" w:sz="0" w:space="0" w:color="auto"/>
        <w:right w:val="none" w:sz="0" w:space="0" w:color="auto"/>
      </w:divBdr>
    </w:div>
    <w:div w:id="1582640416">
      <w:bodyDiv w:val="1"/>
      <w:marLeft w:val="0"/>
      <w:marRight w:val="0"/>
      <w:marTop w:val="0"/>
      <w:marBottom w:val="0"/>
      <w:divBdr>
        <w:top w:val="none" w:sz="0" w:space="0" w:color="auto"/>
        <w:left w:val="none" w:sz="0" w:space="0" w:color="auto"/>
        <w:bottom w:val="none" w:sz="0" w:space="0" w:color="auto"/>
        <w:right w:val="none" w:sz="0" w:space="0" w:color="auto"/>
      </w:divBdr>
    </w:div>
    <w:div w:id="1595086645">
      <w:bodyDiv w:val="1"/>
      <w:marLeft w:val="0"/>
      <w:marRight w:val="0"/>
      <w:marTop w:val="0"/>
      <w:marBottom w:val="0"/>
      <w:divBdr>
        <w:top w:val="none" w:sz="0" w:space="0" w:color="auto"/>
        <w:left w:val="none" w:sz="0" w:space="0" w:color="auto"/>
        <w:bottom w:val="none" w:sz="0" w:space="0" w:color="auto"/>
        <w:right w:val="none" w:sz="0" w:space="0" w:color="auto"/>
      </w:divBdr>
    </w:div>
    <w:div w:id="1595555926">
      <w:bodyDiv w:val="1"/>
      <w:marLeft w:val="0"/>
      <w:marRight w:val="0"/>
      <w:marTop w:val="0"/>
      <w:marBottom w:val="0"/>
      <w:divBdr>
        <w:top w:val="none" w:sz="0" w:space="0" w:color="auto"/>
        <w:left w:val="none" w:sz="0" w:space="0" w:color="auto"/>
        <w:bottom w:val="none" w:sz="0" w:space="0" w:color="auto"/>
        <w:right w:val="none" w:sz="0" w:space="0" w:color="auto"/>
      </w:divBdr>
    </w:div>
    <w:div w:id="1598977518">
      <w:bodyDiv w:val="1"/>
      <w:marLeft w:val="0"/>
      <w:marRight w:val="0"/>
      <w:marTop w:val="0"/>
      <w:marBottom w:val="0"/>
      <w:divBdr>
        <w:top w:val="none" w:sz="0" w:space="0" w:color="auto"/>
        <w:left w:val="none" w:sz="0" w:space="0" w:color="auto"/>
        <w:bottom w:val="none" w:sz="0" w:space="0" w:color="auto"/>
        <w:right w:val="none" w:sz="0" w:space="0" w:color="auto"/>
      </w:divBdr>
    </w:div>
    <w:div w:id="1614096978">
      <w:bodyDiv w:val="1"/>
      <w:marLeft w:val="0"/>
      <w:marRight w:val="0"/>
      <w:marTop w:val="0"/>
      <w:marBottom w:val="0"/>
      <w:divBdr>
        <w:top w:val="none" w:sz="0" w:space="0" w:color="auto"/>
        <w:left w:val="none" w:sz="0" w:space="0" w:color="auto"/>
        <w:bottom w:val="none" w:sz="0" w:space="0" w:color="auto"/>
        <w:right w:val="none" w:sz="0" w:space="0" w:color="auto"/>
      </w:divBdr>
    </w:div>
    <w:div w:id="1616714971">
      <w:bodyDiv w:val="1"/>
      <w:marLeft w:val="0"/>
      <w:marRight w:val="0"/>
      <w:marTop w:val="0"/>
      <w:marBottom w:val="0"/>
      <w:divBdr>
        <w:top w:val="none" w:sz="0" w:space="0" w:color="auto"/>
        <w:left w:val="none" w:sz="0" w:space="0" w:color="auto"/>
        <w:bottom w:val="none" w:sz="0" w:space="0" w:color="auto"/>
        <w:right w:val="none" w:sz="0" w:space="0" w:color="auto"/>
      </w:divBdr>
    </w:div>
    <w:div w:id="1621372367">
      <w:bodyDiv w:val="1"/>
      <w:marLeft w:val="0"/>
      <w:marRight w:val="0"/>
      <w:marTop w:val="0"/>
      <w:marBottom w:val="0"/>
      <w:divBdr>
        <w:top w:val="none" w:sz="0" w:space="0" w:color="auto"/>
        <w:left w:val="none" w:sz="0" w:space="0" w:color="auto"/>
        <w:bottom w:val="none" w:sz="0" w:space="0" w:color="auto"/>
        <w:right w:val="none" w:sz="0" w:space="0" w:color="auto"/>
      </w:divBdr>
    </w:div>
    <w:div w:id="1626354548">
      <w:bodyDiv w:val="1"/>
      <w:marLeft w:val="0"/>
      <w:marRight w:val="0"/>
      <w:marTop w:val="0"/>
      <w:marBottom w:val="0"/>
      <w:divBdr>
        <w:top w:val="none" w:sz="0" w:space="0" w:color="auto"/>
        <w:left w:val="none" w:sz="0" w:space="0" w:color="auto"/>
        <w:bottom w:val="none" w:sz="0" w:space="0" w:color="auto"/>
        <w:right w:val="none" w:sz="0" w:space="0" w:color="auto"/>
      </w:divBdr>
    </w:div>
    <w:div w:id="1633902087">
      <w:bodyDiv w:val="1"/>
      <w:marLeft w:val="0"/>
      <w:marRight w:val="0"/>
      <w:marTop w:val="0"/>
      <w:marBottom w:val="0"/>
      <w:divBdr>
        <w:top w:val="none" w:sz="0" w:space="0" w:color="auto"/>
        <w:left w:val="none" w:sz="0" w:space="0" w:color="auto"/>
        <w:bottom w:val="none" w:sz="0" w:space="0" w:color="auto"/>
        <w:right w:val="none" w:sz="0" w:space="0" w:color="auto"/>
      </w:divBdr>
    </w:div>
    <w:div w:id="1637374445">
      <w:bodyDiv w:val="1"/>
      <w:marLeft w:val="0"/>
      <w:marRight w:val="0"/>
      <w:marTop w:val="0"/>
      <w:marBottom w:val="0"/>
      <w:divBdr>
        <w:top w:val="none" w:sz="0" w:space="0" w:color="auto"/>
        <w:left w:val="none" w:sz="0" w:space="0" w:color="auto"/>
        <w:bottom w:val="none" w:sz="0" w:space="0" w:color="auto"/>
        <w:right w:val="none" w:sz="0" w:space="0" w:color="auto"/>
      </w:divBdr>
    </w:div>
    <w:div w:id="1637562421">
      <w:bodyDiv w:val="1"/>
      <w:marLeft w:val="0"/>
      <w:marRight w:val="0"/>
      <w:marTop w:val="0"/>
      <w:marBottom w:val="0"/>
      <w:divBdr>
        <w:top w:val="none" w:sz="0" w:space="0" w:color="auto"/>
        <w:left w:val="none" w:sz="0" w:space="0" w:color="auto"/>
        <w:bottom w:val="none" w:sz="0" w:space="0" w:color="auto"/>
        <w:right w:val="none" w:sz="0" w:space="0" w:color="auto"/>
      </w:divBdr>
    </w:div>
    <w:div w:id="1640069816">
      <w:bodyDiv w:val="1"/>
      <w:marLeft w:val="0"/>
      <w:marRight w:val="0"/>
      <w:marTop w:val="0"/>
      <w:marBottom w:val="0"/>
      <w:divBdr>
        <w:top w:val="none" w:sz="0" w:space="0" w:color="auto"/>
        <w:left w:val="none" w:sz="0" w:space="0" w:color="auto"/>
        <w:bottom w:val="none" w:sz="0" w:space="0" w:color="auto"/>
        <w:right w:val="none" w:sz="0" w:space="0" w:color="auto"/>
      </w:divBdr>
    </w:div>
    <w:div w:id="1668168318">
      <w:bodyDiv w:val="1"/>
      <w:marLeft w:val="0"/>
      <w:marRight w:val="0"/>
      <w:marTop w:val="0"/>
      <w:marBottom w:val="0"/>
      <w:divBdr>
        <w:top w:val="none" w:sz="0" w:space="0" w:color="auto"/>
        <w:left w:val="none" w:sz="0" w:space="0" w:color="auto"/>
        <w:bottom w:val="none" w:sz="0" w:space="0" w:color="auto"/>
        <w:right w:val="none" w:sz="0" w:space="0" w:color="auto"/>
      </w:divBdr>
    </w:div>
    <w:div w:id="1678577860">
      <w:bodyDiv w:val="1"/>
      <w:marLeft w:val="0"/>
      <w:marRight w:val="0"/>
      <w:marTop w:val="0"/>
      <w:marBottom w:val="0"/>
      <w:divBdr>
        <w:top w:val="none" w:sz="0" w:space="0" w:color="auto"/>
        <w:left w:val="none" w:sz="0" w:space="0" w:color="auto"/>
        <w:bottom w:val="none" w:sz="0" w:space="0" w:color="auto"/>
        <w:right w:val="none" w:sz="0" w:space="0" w:color="auto"/>
      </w:divBdr>
    </w:div>
    <w:div w:id="1739472179">
      <w:bodyDiv w:val="1"/>
      <w:marLeft w:val="0"/>
      <w:marRight w:val="0"/>
      <w:marTop w:val="0"/>
      <w:marBottom w:val="0"/>
      <w:divBdr>
        <w:top w:val="none" w:sz="0" w:space="0" w:color="auto"/>
        <w:left w:val="none" w:sz="0" w:space="0" w:color="auto"/>
        <w:bottom w:val="none" w:sz="0" w:space="0" w:color="auto"/>
        <w:right w:val="none" w:sz="0" w:space="0" w:color="auto"/>
      </w:divBdr>
    </w:div>
    <w:div w:id="1751463186">
      <w:bodyDiv w:val="1"/>
      <w:marLeft w:val="0"/>
      <w:marRight w:val="0"/>
      <w:marTop w:val="0"/>
      <w:marBottom w:val="0"/>
      <w:divBdr>
        <w:top w:val="none" w:sz="0" w:space="0" w:color="auto"/>
        <w:left w:val="none" w:sz="0" w:space="0" w:color="auto"/>
        <w:bottom w:val="none" w:sz="0" w:space="0" w:color="auto"/>
        <w:right w:val="none" w:sz="0" w:space="0" w:color="auto"/>
      </w:divBdr>
    </w:div>
    <w:div w:id="1773935641">
      <w:bodyDiv w:val="1"/>
      <w:marLeft w:val="0"/>
      <w:marRight w:val="0"/>
      <w:marTop w:val="0"/>
      <w:marBottom w:val="0"/>
      <w:divBdr>
        <w:top w:val="none" w:sz="0" w:space="0" w:color="auto"/>
        <w:left w:val="none" w:sz="0" w:space="0" w:color="auto"/>
        <w:bottom w:val="none" w:sz="0" w:space="0" w:color="auto"/>
        <w:right w:val="none" w:sz="0" w:space="0" w:color="auto"/>
      </w:divBdr>
    </w:div>
    <w:div w:id="1778716261">
      <w:bodyDiv w:val="1"/>
      <w:marLeft w:val="0"/>
      <w:marRight w:val="0"/>
      <w:marTop w:val="0"/>
      <w:marBottom w:val="0"/>
      <w:divBdr>
        <w:top w:val="none" w:sz="0" w:space="0" w:color="auto"/>
        <w:left w:val="none" w:sz="0" w:space="0" w:color="auto"/>
        <w:bottom w:val="none" w:sz="0" w:space="0" w:color="auto"/>
        <w:right w:val="none" w:sz="0" w:space="0" w:color="auto"/>
      </w:divBdr>
    </w:div>
    <w:div w:id="1779254914">
      <w:bodyDiv w:val="1"/>
      <w:marLeft w:val="0"/>
      <w:marRight w:val="0"/>
      <w:marTop w:val="0"/>
      <w:marBottom w:val="0"/>
      <w:divBdr>
        <w:top w:val="none" w:sz="0" w:space="0" w:color="auto"/>
        <w:left w:val="none" w:sz="0" w:space="0" w:color="auto"/>
        <w:bottom w:val="none" w:sz="0" w:space="0" w:color="auto"/>
        <w:right w:val="none" w:sz="0" w:space="0" w:color="auto"/>
      </w:divBdr>
    </w:div>
    <w:div w:id="1790931926">
      <w:bodyDiv w:val="1"/>
      <w:marLeft w:val="0"/>
      <w:marRight w:val="0"/>
      <w:marTop w:val="0"/>
      <w:marBottom w:val="0"/>
      <w:divBdr>
        <w:top w:val="none" w:sz="0" w:space="0" w:color="auto"/>
        <w:left w:val="none" w:sz="0" w:space="0" w:color="auto"/>
        <w:bottom w:val="none" w:sz="0" w:space="0" w:color="auto"/>
        <w:right w:val="none" w:sz="0" w:space="0" w:color="auto"/>
      </w:divBdr>
    </w:div>
    <w:div w:id="1814981855">
      <w:bodyDiv w:val="1"/>
      <w:marLeft w:val="0"/>
      <w:marRight w:val="0"/>
      <w:marTop w:val="0"/>
      <w:marBottom w:val="0"/>
      <w:divBdr>
        <w:top w:val="none" w:sz="0" w:space="0" w:color="auto"/>
        <w:left w:val="none" w:sz="0" w:space="0" w:color="auto"/>
        <w:bottom w:val="none" w:sz="0" w:space="0" w:color="auto"/>
        <w:right w:val="none" w:sz="0" w:space="0" w:color="auto"/>
      </w:divBdr>
    </w:div>
    <w:div w:id="1819300362">
      <w:bodyDiv w:val="1"/>
      <w:marLeft w:val="0"/>
      <w:marRight w:val="0"/>
      <w:marTop w:val="0"/>
      <w:marBottom w:val="0"/>
      <w:divBdr>
        <w:top w:val="none" w:sz="0" w:space="0" w:color="auto"/>
        <w:left w:val="none" w:sz="0" w:space="0" w:color="auto"/>
        <w:bottom w:val="none" w:sz="0" w:space="0" w:color="auto"/>
        <w:right w:val="none" w:sz="0" w:space="0" w:color="auto"/>
      </w:divBdr>
    </w:div>
    <w:div w:id="1821731266">
      <w:bodyDiv w:val="1"/>
      <w:marLeft w:val="0"/>
      <w:marRight w:val="0"/>
      <w:marTop w:val="0"/>
      <w:marBottom w:val="0"/>
      <w:divBdr>
        <w:top w:val="none" w:sz="0" w:space="0" w:color="auto"/>
        <w:left w:val="none" w:sz="0" w:space="0" w:color="auto"/>
        <w:bottom w:val="none" w:sz="0" w:space="0" w:color="auto"/>
        <w:right w:val="none" w:sz="0" w:space="0" w:color="auto"/>
      </w:divBdr>
    </w:div>
    <w:div w:id="1841265884">
      <w:bodyDiv w:val="1"/>
      <w:marLeft w:val="0"/>
      <w:marRight w:val="0"/>
      <w:marTop w:val="0"/>
      <w:marBottom w:val="0"/>
      <w:divBdr>
        <w:top w:val="none" w:sz="0" w:space="0" w:color="auto"/>
        <w:left w:val="none" w:sz="0" w:space="0" w:color="auto"/>
        <w:bottom w:val="none" w:sz="0" w:space="0" w:color="auto"/>
        <w:right w:val="none" w:sz="0" w:space="0" w:color="auto"/>
      </w:divBdr>
    </w:div>
    <w:div w:id="1842618410">
      <w:bodyDiv w:val="1"/>
      <w:marLeft w:val="0"/>
      <w:marRight w:val="0"/>
      <w:marTop w:val="0"/>
      <w:marBottom w:val="0"/>
      <w:divBdr>
        <w:top w:val="none" w:sz="0" w:space="0" w:color="auto"/>
        <w:left w:val="none" w:sz="0" w:space="0" w:color="auto"/>
        <w:bottom w:val="none" w:sz="0" w:space="0" w:color="auto"/>
        <w:right w:val="none" w:sz="0" w:space="0" w:color="auto"/>
      </w:divBdr>
    </w:div>
    <w:div w:id="1871649815">
      <w:bodyDiv w:val="1"/>
      <w:marLeft w:val="0"/>
      <w:marRight w:val="0"/>
      <w:marTop w:val="0"/>
      <w:marBottom w:val="0"/>
      <w:divBdr>
        <w:top w:val="none" w:sz="0" w:space="0" w:color="auto"/>
        <w:left w:val="none" w:sz="0" w:space="0" w:color="auto"/>
        <w:bottom w:val="none" w:sz="0" w:space="0" w:color="auto"/>
        <w:right w:val="none" w:sz="0" w:space="0" w:color="auto"/>
      </w:divBdr>
    </w:div>
    <w:div w:id="1872304535">
      <w:bodyDiv w:val="1"/>
      <w:marLeft w:val="0"/>
      <w:marRight w:val="0"/>
      <w:marTop w:val="0"/>
      <w:marBottom w:val="0"/>
      <w:divBdr>
        <w:top w:val="none" w:sz="0" w:space="0" w:color="auto"/>
        <w:left w:val="none" w:sz="0" w:space="0" w:color="auto"/>
        <w:bottom w:val="none" w:sz="0" w:space="0" w:color="auto"/>
        <w:right w:val="none" w:sz="0" w:space="0" w:color="auto"/>
      </w:divBdr>
    </w:div>
    <w:div w:id="1881935988">
      <w:bodyDiv w:val="1"/>
      <w:marLeft w:val="0"/>
      <w:marRight w:val="0"/>
      <w:marTop w:val="0"/>
      <w:marBottom w:val="0"/>
      <w:divBdr>
        <w:top w:val="none" w:sz="0" w:space="0" w:color="auto"/>
        <w:left w:val="none" w:sz="0" w:space="0" w:color="auto"/>
        <w:bottom w:val="none" w:sz="0" w:space="0" w:color="auto"/>
        <w:right w:val="none" w:sz="0" w:space="0" w:color="auto"/>
      </w:divBdr>
    </w:div>
    <w:div w:id="1882744791">
      <w:bodyDiv w:val="1"/>
      <w:marLeft w:val="0"/>
      <w:marRight w:val="0"/>
      <w:marTop w:val="0"/>
      <w:marBottom w:val="0"/>
      <w:divBdr>
        <w:top w:val="none" w:sz="0" w:space="0" w:color="auto"/>
        <w:left w:val="none" w:sz="0" w:space="0" w:color="auto"/>
        <w:bottom w:val="none" w:sz="0" w:space="0" w:color="auto"/>
        <w:right w:val="none" w:sz="0" w:space="0" w:color="auto"/>
      </w:divBdr>
    </w:div>
    <w:div w:id="1896233163">
      <w:bodyDiv w:val="1"/>
      <w:marLeft w:val="0"/>
      <w:marRight w:val="0"/>
      <w:marTop w:val="0"/>
      <w:marBottom w:val="0"/>
      <w:divBdr>
        <w:top w:val="none" w:sz="0" w:space="0" w:color="auto"/>
        <w:left w:val="none" w:sz="0" w:space="0" w:color="auto"/>
        <w:bottom w:val="none" w:sz="0" w:space="0" w:color="auto"/>
        <w:right w:val="none" w:sz="0" w:space="0" w:color="auto"/>
      </w:divBdr>
    </w:div>
    <w:div w:id="1918128624">
      <w:bodyDiv w:val="1"/>
      <w:marLeft w:val="0"/>
      <w:marRight w:val="0"/>
      <w:marTop w:val="0"/>
      <w:marBottom w:val="0"/>
      <w:divBdr>
        <w:top w:val="none" w:sz="0" w:space="0" w:color="auto"/>
        <w:left w:val="none" w:sz="0" w:space="0" w:color="auto"/>
        <w:bottom w:val="none" w:sz="0" w:space="0" w:color="auto"/>
        <w:right w:val="none" w:sz="0" w:space="0" w:color="auto"/>
      </w:divBdr>
    </w:div>
    <w:div w:id="1932230610">
      <w:bodyDiv w:val="1"/>
      <w:marLeft w:val="0"/>
      <w:marRight w:val="0"/>
      <w:marTop w:val="0"/>
      <w:marBottom w:val="0"/>
      <w:divBdr>
        <w:top w:val="none" w:sz="0" w:space="0" w:color="auto"/>
        <w:left w:val="none" w:sz="0" w:space="0" w:color="auto"/>
        <w:bottom w:val="none" w:sz="0" w:space="0" w:color="auto"/>
        <w:right w:val="none" w:sz="0" w:space="0" w:color="auto"/>
      </w:divBdr>
    </w:div>
    <w:div w:id="1940258862">
      <w:bodyDiv w:val="1"/>
      <w:marLeft w:val="0"/>
      <w:marRight w:val="0"/>
      <w:marTop w:val="0"/>
      <w:marBottom w:val="0"/>
      <w:divBdr>
        <w:top w:val="none" w:sz="0" w:space="0" w:color="auto"/>
        <w:left w:val="none" w:sz="0" w:space="0" w:color="auto"/>
        <w:bottom w:val="none" w:sz="0" w:space="0" w:color="auto"/>
        <w:right w:val="none" w:sz="0" w:space="0" w:color="auto"/>
      </w:divBdr>
    </w:div>
    <w:div w:id="1976447299">
      <w:bodyDiv w:val="1"/>
      <w:marLeft w:val="0"/>
      <w:marRight w:val="0"/>
      <w:marTop w:val="0"/>
      <w:marBottom w:val="0"/>
      <w:divBdr>
        <w:top w:val="none" w:sz="0" w:space="0" w:color="auto"/>
        <w:left w:val="none" w:sz="0" w:space="0" w:color="auto"/>
        <w:bottom w:val="none" w:sz="0" w:space="0" w:color="auto"/>
        <w:right w:val="none" w:sz="0" w:space="0" w:color="auto"/>
      </w:divBdr>
    </w:div>
    <w:div w:id="1990597516">
      <w:bodyDiv w:val="1"/>
      <w:marLeft w:val="0"/>
      <w:marRight w:val="0"/>
      <w:marTop w:val="0"/>
      <w:marBottom w:val="0"/>
      <w:divBdr>
        <w:top w:val="none" w:sz="0" w:space="0" w:color="auto"/>
        <w:left w:val="none" w:sz="0" w:space="0" w:color="auto"/>
        <w:bottom w:val="none" w:sz="0" w:space="0" w:color="auto"/>
        <w:right w:val="none" w:sz="0" w:space="0" w:color="auto"/>
      </w:divBdr>
    </w:div>
    <w:div w:id="2002393120">
      <w:bodyDiv w:val="1"/>
      <w:marLeft w:val="0"/>
      <w:marRight w:val="0"/>
      <w:marTop w:val="0"/>
      <w:marBottom w:val="0"/>
      <w:divBdr>
        <w:top w:val="none" w:sz="0" w:space="0" w:color="auto"/>
        <w:left w:val="none" w:sz="0" w:space="0" w:color="auto"/>
        <w:bottom w:val="none" w:sz="0" w:space="0" w:color="auto"/>
        <w:right w:val="none" w:sz="0" w:space="0" w:color="auto"/>
      </w:divBdr>
    </w:div>
    <w:div w:id="2013605829">
      <w:bodyDiv w:val="1"/>
      <w:marLeft w:val="0"/>
      <w:marRight w:val="0"/>
      <w:marTop w:val="0"/>
      <w:marBottom w:val="0"/>
      <w:divBdr>
        <w:top w:val="none" w:sz="0" w:space="0" w:color="auto"/>
        <w:left w:val="none" w:sz="0" w:space="0" w:color="auto"/>
        <w:bottom w:val="none" w:sz="0" w:space="0" w:color="auto"/>
        <w:right w:val="none" w:sz="0" w:space="0" w:color="auto"/>
      </w:divBdr>
    </w:div>
    <w:div w:id="2016416842">
      <w:bodyDiv w:val="1"/>
      <w:marLeft w:val="0"/>
      <w:marRight w:val="0"/>
      <w:marTop w:val="0"/>
      <w:marBottom w:val="0"/>
      <w:divBdr>
        <w:top w:val="none" w:sz="0" w:space="0" w:color="auto"/>
        <w:left w:val="none" w:sz="0" w:space="0" w:color="auto"/>
        <w:bottom w:val="none" w:sz="0" w:space="0" w:color="auto"/>
        <w:right w:val="none" w:sz="0" w:space="0" w:color="auto"/>
      </w:divBdr>
    </w:div>
    <w:div w:id="2026134093">
      <w:bodyDiv w:val="1"/>
      <w:marLeft w:val="0"/>
      <w:marRight w:val="0"/>
      <w:marTop w:val="0"/>
      <w:marBottom w:val="0"/>
      <w:divBdr>
        <w:top w:val="none" w:sz="0" w:space="0" w:color="auto"/>
        <w:left w:val="none" w:sz="0" w:space="0" w:color="auto"/>
        <w:bottom w:val="none" w:sz="0" w:space="0" w:color="auto"/>
        <w:right w:val="none" w:sz="0" w:space="0" w:color="auto"/>
      </w:divBdr>
    </w:div>
    <w:div w:id="2063675472">
      <w:bodyDiv w:val="1"/>
      <w:marLeft w:val="0"/>
      <w:marRight w:val="0"/>
      <w:marTop w:val="0"/>
      <w:marBottom w:val="0"/>
      <w:divBdr>
        <w:top w:val="none" w:sz="0" w:space="0" w:color="auto"/>
        <w:left w:val="none" w:sz="0" w:space="0" w:color="auto"/>
        <w:bottom w:val="none" w:sz="0" w:space="0" w:color="auto"/>
        <w:right w:val="none" w:sz="0" w:space="0" w:color="auto"/>
      </w:divBdr>
    </w:div>
    <w:div w:id="2082748516">
      <w:bodyDiv w:val="1"/>
      <w:marLeft w:val="0"/>
      <w:marRight w:val="0"/>
      <w:marTop w:val="0"/>
      <w:marBottom w:val="0"/>
      <w:divBdr>
        <w:top w:val="none" w:sz="0" w:space="0" w:color="auto"/>
        <w:left w:val="none" w:sz="0" w:space="0" w:color="auto"/>
        <w:bottom w:val="none" w:sz="0" w:space="0" w:color="auto"/>
        <w:right w:val="none" w:sz="0" w:space="0" w:color="auto"/>
      </w:divBdr>
    </w:div>
    <w:div w:id="2087604806">
      <w:bodyDiv w:val="1"/>
      <w:marLeft w:val="0"/>
      <w:marRight w:val="0"/>
      <w:marTop w:val="0"/>
      <w:marBottom w:val="0"/>
      <w:divBdr>
        <w:top w:val="none" w:sz="0" w:space="0" w:color="auto"/>
        <w:left w:val="none" w:sz="0" w:space="0" w:color="auto"/>
        <w:bottom w:val="none" w:sz="0" w:space="0" w:color="auto"/>
        <w:right w:val="none" w:sz="0" w:space="0" w:color="auto"/>
      </w:divBdr>
    </w:div>
    <w:div w:id="2088333492">
      <w:bodyDiv w:val="1"/>
      <w:marLeft w:val="0"/>
      <w:marRight w:val="0"/>
      <w:marTop w:val="0"/>
      <w:marBottom w:val="0"/>
      <w:divBdr>
        <w:top w:val="none" w:sz="0" w:space="0" w:color="auto"/>
        <w:left w:val="none" w:sz="0" w:space="0" w:color="auto"/>
        <w:bottom w:val="none" w:sz="0" w:space="0" w:color="auto"/>
        <w:right w:val="none" w:sz="0" w:space="0" w:color="auto"/>
      </w:divBdr>
    </w:div>
    <w:div w:id="2088334795">
      <w:bodyDiv w:val="1"/>
      <w:marLeft w:val="0"/>
      <w:marRight w:val="0"/>
      <w:marTop w:val="0"/>
      <w:marBottom w:val="0"/>
      <w:divBdr>
        <w:top w:val="none" w:sz="0" w:space="0" w:color="auto"/>
        <w:left w:val="none" w:sz="0" w:space="0" w:color="auto"/>
        <w:bottom w:val="none" w:sz="0" w:space="0" w:color="auto"/>
        <w:right w:val="none" w:sz="0" w:space="0" w:color="auto"/>
      </w:divBdr>
    </w:div>
    <w:div w:id="2091003266">
      <w:bodyDiv w:val="1"/>
      <w:marLeft w:val="0"/>
      <w:marRight w:val="0"/>
      <w:marTop w:val="0"/>
      <w:marBottom w:val="0"/>
      <w:divBdr>
        <w:top w:val="none" w:sz="0" w:space="0" w:color="auto"/>
        <w:left w:val="none" w:sz="0" w:space="0" w:color="auto"/>
        <w:bottom w:val="none" w:sz="0" w:space="0" w:color="auto"/>
        <w:right w:val="none" w:sz="0" w:space="0" w:color="auto"/>
      </w:divBdr>
    </w:div>
    <w:div w:id="2095399399">
      <w:bodyDiv w:val="1"/>
      <w:marLeft w:val="0"/>
      <w:marRight w:val="0"/>
      <w:marTop w:val="0"/>
      <w:marBottom w:val="0"/>
      <w:divBdr>
        <w:top w:val="none" w:sz="0" w:space="0" w:color="auto"/>
        <w:left w:val="none" w:sz="0" w:space="0" w:color="auto"/>
        <w:bottom w:val="none" w:sz="0" w:space="0" w:color="auto"/>
        <w:right w:val="none" w:sz="0" w:space="0" w:color="auto"/>
      </w:divBdr>
    </w:div>
    <w:div w:id="2098482242">
      <w:bodyDiv w:val="1"/>
      <w:marLeft w:val="0"/>
      <w:marRight w:val="0"/>
      <w:marTop w:val="0"/>
      <w:marBottom w:val="0"/>
      <w:divBdr>
        <w:top w:val="none" w:sz="0" w:space="0" w:color="auto"/>
        <w:left w:val="none" w:sz="0" w:space="0" w:color="auto"/>
        <w:bottom w:val="none" w:sz="0" w:space="0" w:color="auto"/>
        <w:right w:val="none" w:sz="0" w:space="0" w:color="auto"/>
      </w:divBdr>
    </w:div>
    <w:div w:id="2121146472">
      <w:bodyDiv w:val="1"/>
      <w:marLeft w:val="0"/>
      <w:marRight w:val="0"/>
      <w:marTop w:val="0"/>
      <w:marBottom w:val="0"/>
      <w:divBdr>
        <w:top w:val="none" w:sz="0" w:space="0" w:color="auto"/>
        <w:left w:val="none" w:sz="0" w:space="0" w:color="auto"/>
        <w:bottom w:val="none" w:sz="0" w:space="0" w:color="auto"/>
        <w:right w:val="none" w:sz="0" w:space="0" w:color="auto"/>
      </w:divBdr>
    </w:div>
    <w:div w:id="2123844330">
      <w:bodyDiv w:val="1"/>
      <w:marLeft w:val="0"/>
      <w:marRight w:val="0"/>
      <w:marTop w:val="0"/>
      <w:marBottom w:val="0"/>
      <w:divBdr>
        <w:top w:val="none" w:sz="0" w:space="0" w:color="auto"/>
        <w:left w:val="none" w:sz="0" w:space="0" w:color="auto"/>
        <w:bottom w:val="none" w:sz="0" w:space="0" w:color="auto"/>
        <w:right w:val="none" w:sz="0" w:space="0" w:color="auto"/>
      </w:divBdr>
    </w:div>
    <w:div w:id="21294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melia@uwe.ac.uk" TargetMode="External"/><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hyperlink" Target="https://highwaysengland.citizenspace.com/he/a27-arundel-bypass/" TargetMode="External"/><Relationship Id="rId3" Type="http://schemas.openxmlformats.org/officeDocument/2006/relationships/styles" Target="styles.xml"/><Relationship Id="rId21" Type="http://schemas.openxmlformats.org/officeDocument/2006/relationships/hyperlink" Target="http://www.gov.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gov.uk" TargetMode="External"/><Relationship Id="rId33" Type="http://schemas.openxmlformats.org/officeDocument/2006/relationships/hyperlink" Target="http://www.jointplanningwofe.org.uk"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gov.uk" TargetMode="External"/><Relationship Id="rId29" Type="http://schemas.openxmlformats.org/officeDocument/2006/relationships/hyperlink" Target="http://www.on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gov.uk" TargetMode="External"/><Relationship Id="rId32" Type="http://schemas.openxmlformats.org/officeDocument/2006/relationships/hyperlink" Target="http://www.cpre.org.uk"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www.gov.uk" TargetMode="External"/><Relationship Id="rId28" Type="http://schemas.openxmlformats.org/officeDocument/2006/relationships/hyperlink" Target="http://www.ons.gov.u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maidstone.gov.uk" TargetMode="External"/><Relationship Id="rId31" Type="http://schemas.openxmlformats.org/officeDocument/2006/relationships/hyperlink" Target="http://www.ucl.ac.uk/archaeology/news-events/news/Final_consultation_letter.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hyperlink" Target="http://www.gov.uk" TargetMode="External"/><Relationship Id="rId27" Type="http://schemas.openxmlformats.org/officeDocument/2006/relationships/hyperlink" Target="http://www.tps.org.uk" TargetMode="External"/><Relationship Id="rId30" Type="http://schemas.openxmlformats.org/officeDocument/2006/relationships/hyperlink" Target="https://www.gov.uk/government/speeches/chancellor-speech-on-the-economy"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ationalarchives.gov.uk/doc/open-government-licence/version/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melia\AppData\Roaming\Microsoft\Templates\Taylor%20and%20Franci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GDP</c:v>
                </c:pt>
              </c:strCache>
            </c:strRef>
          </c:tx>
          <c:spPr>
            <a:ln w="28575" cap="rnd">
              <a:solidFill>
                <a:schemeClr val="tx1"/>
              </a:solidFill>
              <a:round/>
            </a:ln>
            <a:effectLst/>
          </c:spPr>
          <c:marker>
            <c:symbol val="none"/>
          </c:marker>
          <c:cat>
            <c:strRef>
              <c:f>Sheet1!$A$2:$A$33</c:f>
              <c:strCache>
                <c:ptCount val="32"/>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strCache>
            </c:strRef>
          </c:cat>
          <c:val>
            <c:numRef>
              <c:f>Sheet1!$B$2:$B$33</c:f>
              <c:numCache>
                <c:formatCode>0.0%</c:formatCode>
                <c:ptCount val="32"/>
                <c:pt idx="0">
                  <c:v>3.140524543320744E-2</c:v>
                </c:pt>
                <c:pt idx="1">
                  <c:v>5.300720113508417E-2</c:v>
                </c:pt>
                <c:pt idx="2">
                  <c:v>5.7582497296210455E-2</c:v>
                </c:pt>
                <c:pt idx="3">
                  <c:v>2.568747673316274E-2</c:v>
                </c:pt>
                <c:pt idx="4">
                  <c:v>7.3931885648552687E-3</c:v>
                </c:pt>
                <c:pt idx="5">
                  <c:v>-1.087898632473927E-2</c:v>
                </c:pt>
                <c:pt idx="6">
                  <c:v>3.7102590226754106E-3</c:v>
                </c:pt>
                <c:pt idx="7">
                  <c:v>2.5263469693190377E-2</c:v>
                </c:pt>
                <c:pt idx="8">
                  <c:v>3.8949585262565645E-2</c:v>
                </c:pt>
                <c:pt idx="9">
                  <c:v>2.4553041464612457E-2</c:v>
                </c:pt>
                <c:pt idx="10">
                  <c:v>2.5352660378631153E-2</c:v>
                </c:pt>
                <c:pt idx="11">
                  <c:v>4.2930749041610428E-2</c:v>
                </c:pt>
                <c:pt idx="12">
                  <c:v>3.341279041290468E-2</c:v>
                </c:pt>
                <c:pt idx="13">
                  <c:v>3.2137858428826993E-2</c:v>
                </c:pt>
                <c:pt idx="14">
                  <c:v>3.4534629602442912E-2</c:v>
                </c:pt>
                <c:pt idx="15">
                  <c:v>2.8407654107101443E-2</c:v>
                </c:pt>
                <c:pt idx="16">
                  <c:v>2.4997269683943779E-2</c:v>
                </c:pt>
                <c:pt idx="17">
                  <c:v>3.3394561907320153E-2</c:v>
                </c:pt>
                <c:pt idx="18">
                  <c:v>2.3477920493526039E-2</c:v>
                </c:pt>
                <c:pt idx="19">
                  <c:v>3.1487242409600213E-2</c:v>
                </c:pt>
                <c:pt idx="20">
                  <c:v>2.5480783851370425E-2</c:v>
                </c:pt>
                <c:pt idx="21">
                  <c:v>2.5455007909957583E-2</c:v>
                </c:pt>
                <c:pt idx="22">
                  <c:v>-3.4591665410725891E-3</c:v>
                </c:pt>
                <c:pt idx="23">
                  <c:v>-4.2465515673019927E-2</c:v>
                </c:pt>
                <c:pt idx="24">
                  <c:v>1.7112064468789212E-2</c:v>
                </c:pt>
                <c:pt idx="25">
                  <c:v>1.6447700164110346E-2</c:v>
                </c:pt>
                <c:pt idx="26">
                  <c:v>1.4470604417906152E-2</c:v>
                </c:pt>
                <c:pt idx="27">
                  <c:v>2.0462995841717513E-2</c:v>
                </c:pt>
                <c:pt idx="28">
                  <c:v>2.9475621676518626E-2</c:v>
                </c:pt>
                <c:pt idx="29">
                  <c:v>2.3491226891609651E-2</c:v>
                </c:pt>
                <c:pt idx="30">
                  <c:v>1.7892886620156201E-2</c:v>
                </c:pt>
                <c:pt idx="31">
                  <c:v>1.6560346560895001E-2</c:v>
                </c:pt>
              </c:numCache>
            </c:numRef>
          </c:val>
          <c:smooth val="0"/>
          <c:extLst>
            <c:ext xmlns:c16="http://schemas.microsoft.com/office/drawing/2014/chart" uri="{C3380CC4-5D6E-409C-BE32-E72D297353CC}">
              <c16:uniqueId val="{00000000-3AAD-4FCA-8D4C-F68FEF96157A}"/>
            </c:ext>
          </c:extLst>
        </c:ser>
        <c:ser>
          <c:idx val="1"/>
          <c:order val="1"/>
          <c:tx>
            <c:strRef>
              <c:f>Sheet1!$C$1</c:f>
              <c:strCache>
                <c:ptCount val="1"/>
                <c:pt idx="0">
                  <c:v>Traffic</c:v>
                </c:pt>
              </c:strCache>
            </c:strRef>
          </c:tx>
          <c:spPr>
            <a:ln w="28575" cap="rnd">
              <a:solidFill>
                <a:schemeClr val="bg1">
                  <a:lumMod val="65000"/>
                </a:schemeClr>
              </a:solidFill>
              <a:round/>
            </a:ln>
            <a:effectLst/>
          </c:spPr>
          <c:marker>
            <c:symbol val="none"/>
          </c:marker>
          <c:cat>
            <c:strRef>
              <c:f>Sheet1!$A$2:$A$33</c:f>
              <c:strCache>
                <c:ptCount val="32"/>
                <c:pt idx="0">
                  <c:v>1986</c:v>
                </c:pt>
                <c:pt idx="1">
                  <c:v>1987</c:v>
                </c:pt>
                <c:pt idx="2">
                  <c:v>1988</c:v>
                </c:pt>
                <c:pt idx="3">
                  <c:v>1989</c:v>
                </c:pt>
                <c:pt idx="4">
                  <c:v>1990</c:v>
                </c:pt>
                <c:pt idx="5">
                  <c:v>1991</c:v>
                </c:pt>
                <c:pt idx="6">
                  <c:v>1992</c:v>
                </c:pt>
                <c:pt idx="7">
                  <c:v>1993</c:v>
                </c:pt>
                <c:pt idx="8">
                  <c:v>1994</c:v>
                </c:pt>
                <c:pt idx="9">
                  <c:v>1995</c:v>
                </c:pt>
                <c:pt idx="10">
                  <c:v>1996</c:v>
                </c:pt>
                <c:pt idx="11">
                  <c:v>1997</c:v>
                </c:pt>
                <c:pt idx="12">
                  <c:v>1998</c:v>
                </c:pt>
                <c:pt idx="13">
                  <c:v>1999</c:v>
                </c:pt>
                <c:pt idx="14">
                  <c:v>2000</c:v>
                </c:pt>
                <c:pt idx="15">
                  <c:v>2001</c:v>
                </c:pt>
                <c:pt idx="16">
                  <c:v>2002</c:v>
                </c:pt>
                <c:pt idx="17">
                  <c:v>2003</c:v>
                </c:pt>
                <c:pt idx="18">
                  <c:v>2004</c:v>
                </c:pt>
                <c:pt idx="19">
                  <c:v>2005</c:v>
                </c:pt>
                <c:pt idx="20">
                  <c:v>2006</c:v>
                </c:pt>
                <c:pt idx="21">
                  <c:v>2007</c:v>
                </c:pt>
                <c:pt idx="22">
                  <c:v>2008</c:v>
                </c:pt>
                <c:pt idx="23">
                  <c:v>2009</c:v>
                </c:pt>
                <c:pt idx="24">
                  <c:v>2010</c:v>
                </c:pt>
                <c:pt idx="25">
                  <c:v>2011</c:v>
                </c:pt>
                <c:pt idx="26">
                  <c:v>2012</c:v>
                </c:pt>
                <c:pt idx="27">
                  <c:v>2013</c:v>
                </c:pt>
                <c:pt idx="28">
                  <c:v>2014</c:v>
                </c:pt>
                <c:pt idx="29">
                  <c:v>2015</c:v>
                </c:pt>
                <c:pt idx="30">
                  <c:v>2016</c:v>
                </c:pt>
                <c:pt idx="31">
                  <c:v>2017</c:v>
                </c:pt>
              </c:strCache>
            </c:strRef>
          </c:cat>
          <c:val>
            <c:numRef>
              <c:f>Sheet1!$C$2:$C$33</c:f>
              <c:numCache>
                <c:formatCode>0.0%</c:formatCode>
                <c:ptCount val="32"/>
                <c:pt idx="0">
                  <c:v>0.05</c:v>
                </c:pt>
                <c:pt idx="1">
                  <c:v>7.6999999999999999E-2</c:v>
                </c:pt>
                <c:pt idx="2">
                  <c:v>7.1897289586305244E-2</c:v>
                </c:pt>
                <c:pt idx="3">
                  <c:v>8.3044982698961906E-2</c:v>
                </c:pt>
                <c:pt idx="4">
                  <c:v>9.5846645367412987E-3</c:v>
                </c:pt>
                <c:pt idx="5">
                  <c:v>1.9474196689386839E-3</c:v>
                </c:pt>
                <c:pt idx="6">
                  <c:v>1.2147716229348883E-3</c:v>
                </c:pt>
                <c:pt idx="7">
                  <c:v>4.8531909730645142E-4</c:v>
                </c:pt>
                <c:pt idx="8">
                  <c:v>2.2313849138976445E-2</c:v>
                </c:pt>
                <c:pt idx="9">
                  <c:v>1.9454329774614445E-2</c:v>
                </c:pt>
                <c:pt idx="10">
                  <c:v>2.6530137305096659E-2</c:v>
                </c:pt>
                <c:pt idx="11">
                  <c:v>2.0856948537746518E-2</c:v>
                </c:pt>
                <c:pt idx="12">
                  <c:v>1.8210082167443901E-2</c:v>
                </c:pt>
                <c:pt idx="13">
                  <c:v>1.8538713195201745E-2</c:v>
                </c:pt>
                <c:pt idx="14">
                  <c:v>-1.7130620985010951E-3</c:v>
                </c:pt>
                <c:pt idx="15">
                  <c:v>1.3728013728013801E-2</c:v>
                </c:pt>
                <c:pt idx="16">
                  <c:v>2.3487092678798064E-2</c:v>
                </c:pt>
                <c:pt idx="17">
                  <c:v>6.2021914409758115E-3</c:v>
                </c:pt>
                <c:pt idx="18">
                  <c:v>1.4793507294020935E-2</c:v>
                </c:pt>
                <c:pt idx="19">
                  <c:v>0</c:v>
                </c:pt>
                <c:pt idx="20">
                  <c:v>1.4577849767159437E-2</c:v>
                </c:pt>
                <c:pt idx="21">
                  <c:v>8.5811215326281262E-3</c:v>
                </c:pt>
                <c:pt idx="22">
                  <c:v>-9.4974277799761662E-3</c:v>
                </c:pt>
                <c:pt idx="23">
                  <c:v>-9.5884938074311046E-3</c:v>
                </c:pt>
                <c:pt idx="24">
                  <c:v>-1.5933844292053315E-2</c:v>
                </c:pt>
                <c:pt idx="25">
                  <c:v>2.0496003279360524E-3</c:v>
                </c:pt>
                <c:pt idx="26">
                  <c:v>-3.681734506033861E-3</c:v>
                </c:pt>
                <c:pt idx="27">
                  <c:v>3.4900431122972461E-3</c:v>
                </c:pt>
                <c:pt idx="28">
                  <c:v>2.5981996726677555E-2</c:v>
                </c:pt>
                <c:pt idx="29">
                  <c:v>1.6350947158524403E-2</c:v>
                </c:pt>
                <c:pt idx="30">
                  <c:v>1.9619383951344039E-2</c:v>
                </c:pt>
                <c:pt idx="31">
                  <c:v>1.2892053107561923E-2</c:v>
                </c:pt>
              </c:numCache>
            </c:numRef>
          </c:val>
          <c:smooth val="0"/>
          <c:extLst>
            <c:ext xmlns:c16="http://schemas.microsoft.com/office/drawing/2014/chart" uri="{C3380CC4-5D6E-409C-BE32-E72D297353CC}">
              <c16:uniqueId val="{00000001-3AAD-4FCA-8D4C-F68FEF96157A}"/>
            </c:ext>
          </c:extLst>
        </c:ser>
        <c:dLbls>
          <c:showLegendKey val="0"/>
          <c:showVal val="0"/>
          <c:showCatName val="0"/>
          <c:showSerName val="0"/>
          <c:showPercent val="0"/>
          <c:showBubbleSize val="0"/>
        </c:dLbls>
        <c:smooth val="0"/>
        <c:axId val="344446712"/>
        <c:axId val="344458192"/>
      </c:lineChart>
      <c:dateAx>
        <c:axId val="3444467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4458192"/>
        <c:crossesAt val="-6"/>
        <c:auto val="0"/>
        <c:lblOffset val="100"/>
        <c:baseTimeUnit val="days"/>
        <c:majorUnit val="2"/>
        <c:minorUnit val="2"/>
      </c:dateAx>
      <c:valAx>
        <c:axId val="344458192"/>
        <c:scaling>
          <c:orientation val="minMax"/>
        </c:scaling>
        <c:delete val="0"/>
        <c:axPos val="l"/>
        <c:majorGridlines>
          <c:spPr>
            <a:ln w="9525" cap="flat" cmpd="sng" algn="ctr">
              <a:noFill/>
              <a:round/>
            </a:ln>
            <a:effectLst/>
          </c:spPr>
        </c:majorGridlines>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444671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Public Spending</c:v>
                </c:pt>
              </c:strCache>
            </c:strRef>
          </c:tx>
          <c:spPr>
            <a:ln w="28575" cap="rnd">
              <a:solidFill>
                <a:schemeClr val="tx1"/>
              </a:solidFill>
              <a:round/>
            </a:ln>
            <a:effectLst/>
          </c:spPr>
          <c:marker>
            <c:symbol val="none"/>
          </c:marker>
          <c:cat>
            <c:strRef>
              <c:f>Sheet1!$A$2:$A$18</c:f>
              <c:strCache>
                <c:ptCount val="17"/>
                <c:pt idx="0">
                  <c:v>1990</c:v>
                </c:pt>
                <c:pt idx="1">
                  <c:v>1991</c:v>
                </c:pt>
                <c:pt idx="2">
                  <c:v>1992</c:v>
                </c:pt>
                <c:pt idx="3">
                  <c:v>1993</c:v>
                </c:pt>
                <c:pt idx="4">
                  <c:v>1994</c:v>
                </c:pt>
                <c:pt idx="5">
                  <c:v>1995</c:v>
                </c:pt>
                <c:pt idx="6">
                  <c:v>1996</c:v>
                </c:pt>
                <c:pt idx="7">
                  <c:v>1997</c:v>
                </c:pt>
                <c:pt idx="9">
                  <c:v>2010</c:v>
                </c:pt>
                <c:pt idx="10">
                  <c:v>2011</c:v>
                </c:pt>
                <c:pt idx="11">
                  <c:v>2012</c:v>
                </c:pt>
                <c:pt idx="12">
                  <c:v>2013</c:v>
                </c:pt>
                <c:pt idx="13">
                  <c:v>2014</c:v>
                </c:pt>
                <c:pt idx="14">
                  <c:v>2015</c:v>
                </c:pt>
                <c:pt idx="15">
                  <c:v>2016</c:v>
                </c:pt>
                <c:pt idx="16">
                  <c:v>2017</c:v>
                </c:pt>
              </c:strCache>
            </c:strRef>
          </c:cat>
          <c:val>
            <c:numRef>
              <c:f>Sheet1!$B$2:$B$18</c:f>
              <c:numCache>
                <c:formatCode>0.0</c:formatCode>
                <c:ptCount val="17"/>
                <c:pt idx="0">
                  <c:v>100</c:v>
                </c:pt>
                <c:pt idx="1">
                  <c:v>105.86319218241043</c:v>
                </c:pt>
                <c:pt idx="2">
                  <c:v>111.72638436482083</c:v>
                </c:pt>
                <c:pt idx="3">
                  <c:v>111.40065146579805</c:v>
                </c:pt>
                <c:pt idx="4">
                  <c:v>110.74918566775244</c:v>
                </c:pt>
                <c:pt idx="5">
                  <c:v>110.42345276872965</c:v>
                </c:pt>
                <c:pt idx="6">
                  <c:v>106.84039087947883</c:v>
                </c:pt>
                <c:pt idx="7">
                  <c:v>104.56026058631922</c:v>
                </c:pt>
                <c:pt idx="9">
                  <c:v>129.31596091205213</c:v>
                </c:pt>
                <c:pt idx="10">
                  <c:v>127.36156351791533</c:v>
                </c:pt>
                <c:pt idx="11">
                  <c:v>124.75570032573289</c:v>
                </c:pt>
                <c:pt idx="12">
                  <c:v>121.49837133550487</c:v>
                </c:pt>
                <c:pt idx="13">
                  <c:v>118.56677524429968</c:v>
                </c:pt>
                <c:pt idx="14">
                  <c:v>116.28664495114008</c:v>
                </c:pt>
                <c:pt idx="15">
                  <c:v>113.35504885993484</c:v>
                </c:pt>
                <c:pt idx="16">
                  <c:v>112.05211726384366</c:v>
                </c:pt>
              </c:numCache>
            </c:numRef>
          </c:val>
          <c:smooth val="0"/>
          <c:extLst>
            <c:ext xmlns:c16="http://schemas.microsoft.com/office/drawing/2014/chart" uri="{C3380CC4-5D6E-409C-BE32-E72D297353CC}">
              <c16:uniqueId val="{00000000-303A-42FA-826F-E8C3200556FC}"/>
            </c:ext>
          </c:extLst>
        </c:ser>
        <c:ser>
          <c:idx val="1"/>
          <c:order val="1"/>
          <c:tx>
            <c:strRef>
              <c:f>Sheet1!$C$1</c:f>
              <c:strCache>
                <c:ptCount val="1"/>
                <c:pt idx="0">
                  <c:v>Net Public Investment</c:v>
                </c:pt>
              </c:strCache>
            </c:strRef>
          </c:tx>
          <c:spPr>
            <a:ln w="28575" cap="rnd">
              <a:solidFill>
                <a:schemeClr val="bg1">
                  <a:lumMod val="65000"/>
                </a:schemeClr>
              </a:solidFill>
              <a:round/>
            </a:ln>
            <a:effectLst/>
          </c:spPr>
          <c:marker>
            <c:symbol val="none"/>
          </c:marker>
          <c:cat>
            <c:strRef>
              <c:f>Sheet1!$A$2:$A$18</c:f>
              <c:strCache>
                <c:ptCount val="17"/>
                <c:pt idx="0">
                  <c:v>1990</c:v>
                </c:pt>
                <c:pt idx="1">
                  <c:v>1991</c:v>
                </c:pt>
                <c:pt idx="2">
                  <c:v>1992</c:v>
                </c:pt>
                <c:pt idx="3">
                  <c:v>1993</c:v>
                </c:pt>
                <c:pt idx="4">
                  <c:v>1994</c:v>
                </c:pt>
                <c:pt idx="5">
                  <c:v>1995</c:v>
                </c:pt>
                <c:pt idx="6">
                  <c:v>1996</c:v>
                </c:pt>
                <c:pt idx="7">
                  <c:v>1997</c:v>
                </c:pt>
                <c:pt idx="9">
                  <c:v>2010</c:v>
                </c:pt>
                <c:pt idx="10">
                  <c:v>2011</c:v>
                </c:pt>
                <c:pt idx="11">
                  <c:v>2012</c:v>
                </c:pt>
                <c:pt idx="12">
                  <c:v>2013</c:v>
                </c:pt>
                <c:pt idx="13">
                  <c:v>2014</c:v>
                </c:pt>
                <c:pt idx="14">
                  <c:v>2015</c:v>
                </c:pt>
                <c:pt idx="15">
                  <c:v>2016</c:v>
                </c:pt>
                <c:pt idx="16">
                  <c:v>2017</c:v>
                </c:pt>
              </c:strCache>
            </c:strRef>
          </c:cat>
          <c:val>
            <c:numRef>
              <c:f>Sheet1!$C$2:$C$18</c:f>
              <c:numCache>
                <c:formatCode>0.0</c:formatCode>
                <c:ptCount val="17"/>
                <c:pt idx="0">
                  <c:v>100</c:v>
                </c:pt>
                <c:pt idx="1">
                  <c:v>126.66666666666666</c:v>
                </c:pt>
                <c:pt idx="2">
                  <c:v>126.66666666666666</c:v>
                </c:pt>
                <c:pt idx="3">
                  <c:v>106.66666666666667</c:v>
                </c:pt>
                <c:pt idx="4">
                  <c:v>100</c:v>
                </c:pt>
                <c:pt idx="5">
                  <c:v>100</c:v>
                </c:pt>
                <c:pt idx="6">
                  <c:v>60</c:v>
                </c:pt>
                <c:pt idx="7">
                  <c:v>46.666666666666664</c:v>
                </c:pt>
                <c:pt idx="9">
                  <c:v>193.33333333333334</c:v>
                </c:pt>
                <c:pt idx="10">
                  <c:v>146.66666666666669</c:v>
                </c:pt>
                <c:pt idx="11">
                  <c:v>153.33333333333331</c:v>
                </c:pt>
                <c:pt idx="12">
                  <c:v>113.33333333333333</c:v>
                </c:pt>
                <c:pt idx="13">
                  <c:v>133.33333333333331</c:v>
                </c:pt>
                <c:pt idx="14">
                  <c:v>120</c:v>
                </c:pt>
                <c:pt idx="15">
                  <c:v>126.66666666666666</c:v>
                </c:pt>
                <c:pt idx="16">
                  <c:v>133.33333333333331</c:v>
                </c:pt>
              </c:numCache>
            </c:numRef>
          </c:val>
          <c:smooth val="0"/>
          <c:extLst>
            <c:ext xmlns:c16="http://schemas.microsoft.com/office/drawing/2014/chart" uri="{C3380CC4-5D6E-409C-BE32-E72D297353CC}">
              <c16:uniqueId val="{00000001-303A-42FA-826F-E8C3200556FC}"/>
            </c:ext>
          </c:extLst>
        </c:ser>
        <c:dLbls>
          <c:showLegendKey val="0"/>
          <c:showVal val="0"/>
          <c:showCatName val="0"/>
          <c:showSerName val="0"/>
          <c:showPercent val="0"/>
          <c:showBubbleSize val="0"/>
        </c:dLbls>
        <c:smooth val="0"/>
        <c:axId val="344446712"/>
        <c:axId val="344458192"/>
      </c:lineChart>
      <c:dateAx>
        <c:axId val="3444467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4458192"/>
        <c:crossesAt val="-6"/>
        <c:auto val="0"/>
        <c:lblOffset val="100"/>
        <c:baseTimeUnit val="days"/>
        <c:majorUnit val="1"/>
        <c:minorUnit val="1"/>
      </c:dateAx>
      <c:valAx>
        <c:axId val="344458192"/>
        <c:scaling>
          <c:orientation val="minMax"/>
        </c:scaling>
        <c:delete val="0"/>
        <c:axPos val="l"/>
        <c:majorGridlines>
          <c:spPr>
            <a:ln w="9525" cap="flat" cmpd="sng" algn="ctr">
              <a:noFill/>
              <a:round/>
            </a:ln>
            <a:effectLst/>
          </c:spPr>
        </c:majorGridlines>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444671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Unrestricted Driving</c:v>
                </c:pt>
              </c:strCache>
            </c:strRef>
          </c:tx>
          <c:spPr>
            <a:ln w="28575" cap="rnd">
              <a:solidFill>
                <a:schemeClr val="tx1"/>
              </a:solidFill>
              <a:round/>
            </a:ln>
            <a:effectLst/>
          </c:spPr>
          <c:marker>
            <c:symbol val="none"/>
          </c:marker>
          <c:cat>
            <c:strRef>
              <c:f>Sheet1!$A$2:$A$17</c:f>
              <c:strCache>
                <c:ptCount val="16"/>
                <c:pt idx="0">
                  <c:v>1993</c:v>
                </c:pt>
                <c:pt idx="1">
                  <c:v>1994</c:v>
                </c:pt>
                <c:pt idx="2">
                  <c:v>1995</c:v>
                </c:pt>
                <c:pt idx="3">
                  <c:v>1996</c:v>
                </c:pt>
                <c:pt idx="4">
                  <c:v>1997</c:v>
                </c:pt>
                <c:pt idx="6">
                  <c:v>2008</c:v>
                </c:pt>
                <c:pt idx="7">
                  <c:v>2009</c:v>
                </c:pt>
                <c:pt idx="8">
                  <c:v>2010</c:v>
                </c:pt>
                <c:pt idx="9">
                  <c:v>2011</c:v>
                </c:pt>
                <c:pt idx="10">
                  <c:v>2012</c:v>
                </c:pt>
                <c:pt idx="11">
                  <c:v>2013</c:v>
                </c:pt>
                <c:pt idx="12">
                  <c:v>2014</c:v>
                </c:pt>
                <c:pt idx="13">
                  <c:v>2015</c:v>
                </c:pt>
                <c:pt idx="14">
                  <c:v>2016</c:v>
                </c:pt>
                <c:pt idx="15">
                  <c:v>2017</c:v>
                </c:pt>
              </c:strCache>
            </c:strRef>
          </c:cat>
          <c:val>
            <c:numRef>
              <c:f>Sheet1!$B$2:$B$17</c:f>
              <c:numCache>
                <c:formatCode>0%</c:formatCode>
                <c:ptCount val="16"/>
                <c:pt idx="0">
                  <c:v>-0.23</c:v>
                </c:pt>
                <c:pt idx="1">
                  <c:v>-0.31</c:v>
                </c:pt>
                <c:pt idx="2">
                  <c:v>-0.33</c:v>
                </c:pt>
                <c:pt idx="3">
                  <c:v>-0.31</c:v>
                </c:pt>
                <c:pt idx="4">
                  <c:v>-0.34</c:v>
                </c:pt>
                <c:pt idx="6">
                  <c:v>-0.14709279180280363</c:v>
                </c:pt>
                <c:pt idx="7">
                  <c:v>-8.6663594357198115E-2</c:v>
                </c:pt>
                <c:pt idx="8">
                  <c:v>-6.1027837259100652E-2</c:v>
                </c:pt>
                <c:pt idx="9">
                  <c:v>-5.9325415595777926E-2</c:v>
                </c:pt>
                <c:pt idx="10">
                  <c:v>-6.8378039137259913E-2</c:v>
                </c:pt>
                <c:pt idx="11">
                  <c:v>-3.5782279066146998E-2</c:v>
                </c:pt>
                <c:pt idx="12">
                  <c:v>-7.6025245465921931E-2</c:v>
                </c:pt>
                <c:pt idx="13">
                  <c:v>-0.113</c:v>
                </c:pt>
                <c:pt idx="14">
                  <c:v>-0.06</c:v>
                </c:pt>
                <c:pt idx="15">
                  <c:v>-0.13</c:v>
                </c:pt>
              </c:numCache>
            </c:numRef>
          </c:val>
          <c:smooth val="0"/>
          <c:extLst>
            <c:ext xmlns:c16="http://schemas.microsoft.com/office/drawing/2014/chart" uri="{C3380CC4-5D6E-409C-BE32-E72D297353CC}">
              <c16:uniqueId val="{00000000-C037-4F45-B8C6-16D575C4F3EC}"/>
            </c:ext>
          </c:extLst>
        </c:ser>
        <c:ser>
          <c:idx val="1"/>
          <c:order val="1"/>
          <c:tx>
            <c:strRef>
              <c:f>Sheet1!$C$1</c:f>
              <c:strCache>
                <c:ptCount val="1"/>
                <c:pt idx="0">
                  <c:v>Motorway Building</c:v>
                </c:pt>
              </c:strCache>
            </c:strRef>
          </c:tx>
          <c:spPr>
            <a:ln w="28575" cap="rnd">
              <a:solidFill>
                <a:schemeClr val="bg1">
                  <a:lumMod val="65000"/>
                </a:schemeClr>
              </a:solidFill>
              <a:round/>
            </a:ln>
            <a:effectLst/>
          </c:spPr>
          <c:marker>
            <c:symbol val="none"/>
          </c:marker>
          <c:cat>
            <c:strRef>
              <c:f>Sheet1!$A$2:$A$17</c:f>
              <c:strCache>
                <c:ptCount val="16"/>
                <c:pt idx="0">
                  <c:v>1993</c:v>
                </c:pt>
                <c:pt idx="1">
                  <c:v>1994</c:v>
                </c:pt>
                <c:pt idx="2">
                  <c:v>1995</c:v>
                </c:pt>
                <c:pt idx="3">
                  <c:v>1996</c:v>
                </c:pt>
                <c:pt idx="4">
                  <c:v>1997</c:v>
                </c:pt>
                <c:pt idx="6">
                  <c:v>2008</c:v>
                </c:pt>
                <c:pt idx="7">
                  <c:v>2009</c:v>
                </c:pt>
                <c:pt idx="8">
                  <c:v>2010</c:v>
                </c:pt>
                <c:pt idx="9">
                  <c:v>2011</c:v>
                </c:pt>
                <c:pt idx="10">
                  <c:v>2012</c:v>
                </c:pt>
                <c:pt idx="11">
                  <c:v>2013</c:v>
                </c:pt>
                <c:pt idx="12">
                  <c:v>2014</c:v>
                </c:pt>
                <c:pt idx="13">
                  <c:v>2015</c:v>
                </c:pt>
                <c:pt idx="14">
                  <c:v>2016</c:v>
                </c:pt>
                <c:pt idx="15">
                  <c:v>2017</c:v>
                </c:pt>
              </c:strCache>
            </c:strRef>
          </c:cat>
          <c:val>
            <c:numRef>
              <c:f>Sheet1!$C$2:$C$10</c:f>
              <c:numCache>
                <c:formatCode>0%</c:formatCode>
                <c:ptCount val="9"/>
                <c:pt idx="0">
                  <c:v>2.6000000000000013E-2</c:v>
                </c:pt>
                <c:pt idx="1">
                  <c:v>2.5000000000000001E-2</c:v>
                </c:pt>
                <c:pt idx="2">
                  <c:v>-0.14399999999999999</c:v>
                </c:pt>
                <c:pt idx="3">
                  <c:v>-0.23499999999999999</c:v>
                </c:pt>
                <c:pt idx="4">
                  <c:v>-0.11699999999999999</c:v>
                </c:pt>
              </c:numCache>
            </c:numRef>
          </c:val>
          <c:smooth val="0"/>
          <c:extLst>
            <c:ext xmlns:c16="http://schemas.microsoft.com/office/drawing/2014/chart" uri="{C3380CC4-5D6E-409C-BE32-E72D297353CC}">
              <c16:uniqueId val="{00000001-C037-4F45-B8C6-16D575C4F3EC}"/>
            </c:ext>
          </c:extLst>
        </c:ser>
        <c:dLbls>
          <c:showLegendKey val="0"/>
          <c:showVal val="0"/>
          <c:showCatName val="0"/>
          <c:showSerName val="0"/>
          <c:showPercent val="0"/>
          <c:showBubbleSize val="0"/>
        </c:dLbls>
        <c:smooth val="0"/>
        <c:axId val="344446712"/>
        <c:axId val="344458192"/>
      </c:lineChart>
      <c:dateAx>
        <c:axId val="3444467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4458192"/>
        <c:crossesAt val="-0.4"/>
        <c:auto val="0"/>
        <c:lblOffset val="100"/>
        <c:baseTimeUnit val="days"/>
        <c:majorUnit val="1"/>
        <c:minorUnit val="1"/>
      </c:dateAx>
      <c:valAx>
        <c:axId val="344458192"/>
        <c:scaling>
          <c:orientation val="minMax"/>
          <c:max val="0.1"/>
          <c:min val="-0.4"/>
        </c:scaling>
        <c:delete val="0"/>
        <c:axPos val="l"/>
        <c:majorGridlines>
          <c:spPr>
            <a:ln w="9525" cap="flat" cmpd="sng" algn="ctr">
              <a:noFill/>
              <a:round/>
            </a:ln>
            <a:effectLst/>
          </c:spPr>
        </c:majorGridlines>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444671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GDP</c:v>
                </c:pt>
              </c:strCache>
            </c:strRef>
          </c:tx>
          <c:spPr>
            <a:solidFill>
              <a:schemeClr val="bg1">
                <a:lumMod val="50000"/>
              </a:schemeClr>
            </a:solidFill>
            <a:ln>
              <a:solidFill>
                <a:schemeClr val="tx1"/>
              </a:solidFill>
            </a:ln>
            <a:effectLst/>
          </c:spPr>
          <c:invertIfNegative val="0"/>
          <c:cat>
            <c:strRef>
              <c:f>Sheet1!$A$2:$A$9</c:f>
              <c:strCache>
                <c:ptCount val="8"/>
                <c:pt idx="0">
                  <c:v>2008</c:v>
                </c:pt>
                <c:pt idx="1">
                  <c:v>2009</c:v>
                </c:pt>
                <c:pt idx="2">
                  <c:v>2010</c:v>
                </c:pt>
                <c:pt idx="3">
                  <c:v>2011</c:v>
                </c:pt>
                <c:pt idx="4">
                  <c:v>2012</c:v>
                </c:pt>
                <c:pt idx="5">
                  <c:v>2013</c:v>
                </c:pt>
                <c:pt idx="6">
                  <c:v>2014</c:v>
                </c:pt>
                <c:pt idx="7">
                  <c:v>2015</c:v>
                </c:pt>
              </c:strCache>
            </c:strRef>
          </c:cat>
          <c:val>
            <c:numRef>
              <c:f>Sheet1!$B$2:$B$9</c:f>
              <c:numCache>
                <c:formatCode>0</c:formatCode>
                <c:ptCount val="8"/>
                <c:pt idx="0">
                  <c:v>354</c:v>
                </c:pt>
                <c:pt idx="1">
                  <c:v>225</c:v>
                </c:pt>
                <c:pt idx="2">
                  <c:v>223</c:v>
                </c:pt>
                <c:pt idx="3">
                  <c:v>286</c:v>
                </c:pt>
                <c:pt idx="4">
                  <c:v>416</c:v>
                </c:pt>
                <c:pt idx="5">
                  <c:v>395</c:v>
                </c:pt>
                <c:pt idx="6">
                  <c:v>433</c:v>
                </c:pt>
                <c:pt idx="7">
                  <c:v>491</c:v>
                </c:pt>
              </c:numCache>
            </c:numRef>
          </c:val>
          <c:extLst>
            <c:ext xmlns:c16="http://schemas.microsoft.com/office/drawing/2014/chart" uri="{C3380CC4-5D6E-409C-BE32-E72D297353CC}">
              <c16:uniqueId val="{00000000-2036-446E-939D-BA6EE1149B06}"/>
            </c:ext>
          </c:extLst>
        </c:ser>
        <c:dLbls>
          <c:showLegendKey val="0"/>
          <c:showVal val="0"/>
          <c:showCatName val="0"/>
          <c:showSerName val="0"/>
          <c:showPercent val="0"/>
          <c:showBubbleSize val="0"/>
        </c:dLbls>
        <c:gapWidth val="150"/>
        <c:axId val="344446712"/>
        <c:axId val="344458192"/>
      </c:barChart>
      <c:dateAx>
        <c:axId val="3444467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4458192"/>
        <c:crossesAt val="-6"/>
        <c:auto val="0"/>
        <c:lblOffset val="100"/>
        <c:baseTimeUnit val="days"/>
        <c:majorUnit val="1"/>
        <c:minorUnit val="1"/>
      </c:dateAx>
      <c:valAx>
        <c:axId val="344458192"/>
        <c:scaling>
          <c:orientation val="minMax"/>
        </c:scaling>
        <c:delete val="0"/>
        <c:axPos val="l"/>
        <c:majorGridlines>
          <c:spPr>
            <a:ln w="9525" cap="flat" cmpd="sng" algn="ctr">
              <a:noFill/>
              <a:round/>
            </a:ln>
            <a:effectLst/>
          </c:spPr>
        </c:majorGridlines>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44446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0.07591</cdr:x>
      <cdr:y>0.53209</cdr:y>
    </cdr:from>
    <cdr:to>
      <cdr:x>0.95153</cdr:x>
      <cdr:y>0.53209</cdr:y>
    </cdr:to>
    <cdr:cxnSp macro="">
      <cdr:nvCxnSpPr>
        <cdr:cNvPr id="3" name="Straight Connector 2"/>
        <cdr:cNvCxnSpPr/>
      </cdr:nvCxnSpPr>
      <cdr:spPr>
        <a:xfrm xmlns:a="http://schemas.openxmlformats.org/drawingml/2006/main">
          <a:off x="409651" y="1675181"/>
          <a:ext cx="4725619"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839E-C7E6-4052-A74A-3BAA9404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Taylor and Francis.dotx</Template>
  <TotalTime>313</TotalTime>
  <Pages>44</Pages>
  <Words>11693</Words>
  <Characters>66651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_</vt:lpstr>
    </vt:vector>
  </TitlesOfParts>
  <Company>Informa Plc</Company>
  <LinksUpToDate>false</LinksUpToDate>
  <CharactersWithSpaces>78188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Steve Melia</dc:creator>
  <cp:keywords/>
  <cp:lastModifiedBy>Steve Melia</cp:lastModifiedBy>
  <cp:revision>28</cp:revision>
  <cp:lastPrinted>2018-11-14T14:19:00Z</cp:lastPrinted>
  <dcterms:created xsi:type="dcterms:W3CDTF">2019-05-28T15:27:00Z</dcterms:created>
  <dcterms:modified xsi:type="dcterms:W3CDTF">2019-07-16T10:47:00Z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9380</vt:lpwstr>
  </property>
  <property fmtid="{D5CDD505-2E9C-101B-9397-08002B2CF9AE}" pid="3" name="WnCSubscriberId">
    <vt:lpwstr>2961</vt:lpwstr>
  </property>
  <property fmtid="{D5CDD505-2E9C-101B-9397-08002B2CF9AE}" pid="4" name="WnCOutputStyleId">
    <vt:lpwstr>10349</vt:lpwstr>
  </property>
  <property fmtid="{D5CDD505-2E9C-101B-9397-08002B2CF9AE}" pid="5" name="RWProductId">
    <vt:lpwstr>WnC</vt:lpwstr>
  </property>
  <property fmtid="{D5CDD505-2E9C-101B-9397-08002B2CF9AE}" pid="6" name="WnC4Folder">
    <vt:lpwstr>Documents///Why Did UK Governments Cut Road Building in the 1990s and Expand it after 2010</vt:lpwstr>
  </property>
</Properties>
</file>