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B1E349" w14:textId="24172D48" w:rsidR="00065EF8" w:rsidRDefault="00065EF8" w:rsidP="00065EF8">
      <w:pPr>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TITLE</w:t>
      </w:r>
      <w:r>
        <w:rPr>
          <w:rFonts w:ascii="Times New Roman" w:eastAsia="Times New Roman" w:hAnsi="Times New Roman" w:cs="Times New Roman"/>
          <w:sz w:val="24"/>
          <w:szCs w:val="24"/>
        </w:rPr>
        <w:t xml:space="preserve">: </w:t>
      </w:r>
      <w:r w:rsidRPr="00065EF8">
        <w:rPr>
          <w:rFonts w:ascii="Times New Roman" w:eastAsia="Times New Roman" w:hAnsi="Times New Roman" w:cs="Times New Roman"/>
          <w:b/>
          <w:bCs/>
          <w:sz w:val="24"/>
          <w:szCs w:val="24"/>
        </w:rPr>
        <w:t>SECTORAL INTERCONNECTEDNESS IN THE INDIAN EQUITY MARKET</w:t>
      </w:r>
    </w:p>
    <w:p w14:paraId="010B0AA2" w14:textId="77777777" w:rsidR="00953BFC" w:rsidRDefault="00953BFC" w:rsidP="00065EF8">
      <w:pPr>
        <w:spacing w:line="480" w:lineRule="auto"/>
        <w:jc w:val="both"/>
        <w:rPr>
          <w:rFonts w:ascii="Times New Roman" w:eastAsia="Times New Roman" w:hAnsi="Times New Roman" w:cs="Times New Roman"/>
          <w:b/>
          <w:sz w:val="24"/>
          <w:szCs w:val="24"/>
        </w:rPr>
      </w:pPr>
    </w:p>
    <w:p w14:paraId="1CED4C3B" w14:textId="06803F5A" w:rsidR="00065EF8" w:rsidRDefault="00065EF8" w:rsidP="00065EF8">
      <w:pPr>
        <w:spacing w:line="48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ABSTRACT</w:t>
      </w:r>
    </w:p>
    <w:p w14:paraId="2C11C452" w14:textId="5686D21D" w:rsidR="00AB53A2" w:rsidRDefault="00AB53A2" w:rsidP="00175463">
      <w:pPr>
        <w:spacing w:after="0" w:line="480" w:lineRule="auto"/>
        <w:jc w:val="both"/>
        <w:rPr>
          <w:rFonts w:ascii="Times New Roman" w:eastAsia="Times New Roman" w:hAnsi="Times New Roman" w:cs="Times New Roman"/>
          <w:sz w:val="24"/>
          <w:szCs w:val="24"/>
          <w:highlight w:val="red"/>
        </w:rPr>
      </w:pPr>
      <w:r>
        <w:rPr>
          <w:rFonts w:ascii="Times New Roman" w:eastAsia="Times New Roman" w:hAnsi="Times New Roman" w:cs="Times New Roman"/>
          <w:sz w:val="24"/>
          <w:szCs w:val="24"/>
        </w:rPr>
        <w:t xml:space="preserve">We examine the connectedness among the sectoral equity indices in the Indian stock market. </w:t>
      </w:r>
      <w:r w:rsidR="003C3846">
        <w:rPr>
          <w:rFonts w:ascii="Times New Roman" w:eastAsia="Times New Roman" w:hAnsi="Times New Roman" w:cs="Times New Roman"/>
          <w:sz w:val="24"/>
          <w:szCs w:val="24"/>
        </w:rPr>
        <w:t>F</w:t>
      </w:r>
      <w:r>
        <w:rPr>
          <w:rFonts w:ascii="Times New Roman" w:eastAsia="Times New Roman" w:hAnsi="Times New Roman" w:cs="Times New Roman"/>
          <w:sz w:val="24"/>
          <w:szCs w:val="24"/>
        </w:rPr>
        <w:t>our equity sectors of National Stock Exchange</w:t>
      </w:r>
      <w:r w:rsidR="003C3846">
        <w:rPr>
          <w:rFonts w:ascii="Times New Roman" w:eastAsia="Times New Roman" w:hAnsi="Times New Roman" w:cs="Times New Roman"/>
          <w:sz w:val="24"/>
          <w:szCs w:val="24"/>
        </w:rPr>
        <w:t xml:space="preserve"> of India</w:t>
      </w:r>
      <w:r>
        <w:rPr>
          <w:rFonts w:ascii="Times New Roman" w:eastAsia="Times New Roman" w:hAnsi="Times New Roman" w:cs="Times New Roman"/>
          <w:sz w:val="24"/>
          <w:szCs w:val="24"/>
        </w:rPr>
        <w:t xml:space="preserve">, viz., Automobiles, Consumer Durables, Fast Moving Consumer Goods, and Healthcare </w:t>
      </w:r>
      <w:r w:rsidR="003C3846">
        <w:rPr>
          <w:rFonts w:ascii="Times New Roman" w:eastAsia="Times New Roman" w:hAnsi="Times New Roman" w:cs="Times New Roman"/>
          <w:sz w:val="24"/>
          <w:szCs w:val="24"/>
        </w:rPr>
        <w:t xml:space="preserve">(Health) are analysed with their daily closing returns for the period 2020-2023. Time Varying Parameter Vector Auto Regression connectedness measure is </w:t>
      </w:r>
      <w:r w:rsidR="00D6507E">
        <w:rPr>
          <w:rFonts w:ascii="Times New Roman" w:eastAsia="Times New Roman" w:hAnsi="Times New Roman" w:cs="Times New Roman"/>
          <w:sz w:val="24"/>
          <w:szCs w:val="24"/>
        </w:rPr>
        <w:t>employed</w:t>
      </w:r>
      <w:r w:rsidR="003C3846">
        <w:rPr>
          <w:rFonts w:ascii="Times New Roman" w:eastAsia="Times New Roman" w:hAnsi="Times New Roman" w:cs="Times New Roman"/>
          <w:sz w:val="24"/>
          <w:szCs w:val="24"/>
        </w:rPr>
        <w:t xml:space="preserve"> in this study. </w:t>
      </w:r>
      <w:r>
        <w:rPr>
          <w:rFonts w:ascii="Times New Roman" w:eastAsia="Times New Roman" w:hAnsi="Times New Roman" w:cs="Times New Roman"/>
          <w:sz w:val="24"/>
          <w:szCs w:val="24"/>
        </w:rPr>
        <w:t xml:space="preserve">The results show that </w:t>
      </w:r>
      <w:r w:rsidR="003C3846">
        <w:rPr>
          <w:rFonts w:ascii="Times New Roman" w:eastAsia="Times New Roman" w:hAnsi="Times New Roman" w:cs="Times New Roman"/>
          <w:sz w:val="24"/>
          <w:szCs w:val="24"/>
        </w:rPr>
        <w:t xml:space="preserve">strong connectedness exist with the sectoral equity indices in India. Among the four sectors, Consumer Durables and Healthcare are net receivers of information; Auto and FMCG are net transmitters in the connectedness network. </w:t>
      </w:r>
      <w:r w:rsidR="00175463">
        <w:rPr>
          <w:rFonts w:ascii="Times New Roman" w:eastAsia="Times New Roman" w:hAnsi="Times New Roman" w:cs="Times New Roman"/>
          <w:sz w:val="24"/>
          <w:szCs w:val="24"/>
        </w:rPr>
        <w:t>I</w:t>
      </w:r>
      <w:r>
        <w:rPr>
          <w:rFonts w:ascii="Times New Roman" w:eastAsia="Times New Roman" w:hAnsi="Times New Roman" w:cs="Times New Roman"/>
          <w:sz w:val="24"/>
          <w:szCs w:val="24"/>
        </w:rPr>
        <w:t>mplications for the portfolio managers and policy makers</w:t>
      </w:r>
      <w:r w:rsidR="00175463">
        <w:rPr>
          <w:rFonts w:ascii="Times New Roman" w:eastAsia="Times New Roman" w:hAnsi="Times New Roman" w:cs="Times New Roman"/>
          <w:sz w:val="24"/>
          <w:szCs w:val="24"/>
        </w:rPr>
        <w:t xml:space="preserve"> are discussed.</w:t>
      </w:r>
      <w:r>
        <w:rPr>
          <w:rFonts w:ascii="Times New Roman" w:eastAsia="Times New Roman" w:hAnsi="Times New Roman" w:cs="Times New Roman"/>
          <w:sz w:val="24"/>
          <w:szCs w:val="24"/>
        </w:rPr>
        <w:t xml:space="preserve"> </w:t>
      </w:r>
    </w:p>
    <w:p w14:paraId="5AE1DF3A" w14:textId="77777777" w:rsidR="00126FAA" w:rsidRDefault="00126FAA" w:rsidP="00065EF8">
      <w:pPr>
        <w:spacing w:line="480" w:lineRule="auto"/>
        <w:jc w:val="both"/>
        <w:rPr>
          <w:rFonts w:ascii="Times New Roman" w:eastAsia="Times New Roman" w:hAnsi="Times New Roman" w:cs="Times New Roman"/>
          <w:b/>
          <w:sz w:val="24"/>
          <w:szCs w:val="24"/>
        </w:rPr>
      </w:pPr>
    </w:p>
    <w:p w14:paraId="7CE637C0" w14:textId="263DA750" w:rsidR="00126FAA" w:rsidRDefault="00126FAA" w:rsidP="00126FAA">
      <w:pPr>
        <w:spacing w:line="48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INTRODUCTION</w:t>
      </w:r>
    </w:p>
    <w:p w14:paraId="2648697A" w14:textId="3C592D14" w:rsidR="00126FAA" w:rsidRPr="00CB309D" w:rsidRDefault="00CB309D" w:rsidP="00126FAA">
      <w:pPr>
        <w:spacing w:line="480" w:lineRule="auto"/>
        <w:jc w:val="both"/>
        <w:rPr>
          <w:rFonts w:ascii="Times New Roman" w:eastAsia="Times New Roman" w:hAnsi="Times New Roman" w:cs="Times New Roman"/>
          <w:sz w:val="24"/>
          <w:szCs w:val="24"/>
        </w:rPr>
      </w:pPr>
      <w:r w:rsidRPr="00CB309D">
        <w:rPr>
          <w:rFonts w:ascii="Times New Roman" w:eastAsia="Times New Roman" w:hAnsi="Times New Roman" w:cs="Times New Roman"/>
          <w:sz w:val="24"/>
          <w:szCs w:val="24"/>
        </w:rPr>
        <w:t>Connected</w:t>
      </w:r>
      <w:r>
        <w:rPr>
          <w:rFonts w:ascii="Times New Roman" w:eastAsia="Times New Roman" w:hAnsi="Times New Roman" w:cs="Times New Roman"/>
          <w:sz w:val="24"/>
          <w:szCs w:val="24"/>
        </w:rPr>
        <w:t xml:space="preserve"> financial markets disseminate price movements that are similar. Such connections become channels of information transmission which also transmits contagion. </w:t>
      </w:r>
      <w:r w:rsidRPr="00CB309D">
        <w:rPr>
          <w:rFonts w:ascii="Times New Roman" w:eastAsia="Times New Roman" w:hAnsi="Times New Roman" w:cs="Times New Roman"/>
          <w:sz w:val="24"/>
          <w:szCs w:val="24"/>
        </w:rPr>
        <w:t>Connectedness hold substantial importance in financial risk measurement and management</w:t>
      </w:r>
      <w:r>
        <w:rPr>
          <w:rFonts w:ascii="Times New Roman" w:eastAsia="Times New Roman" w:hAnsi="Times New Roman" w:cs="Times New Roman"/>
          <w:sz w:val="24"/>
          <w:szCs w:val="24"/>
        </w:rPr>
        <w:t xml:space="preserve"> </w:t>
      </w:r>
      <w:r w:rsidRPr="00CB309D">
        <w:rPr>
          <w:rFonts w:ascii="Times New Roman" w:eastAsia="Times New Roman" w:hAnsi="Times New Roman" w:cs="Times New Roman"/>
          <w:sz w:val="24"/>
          <w:szCs w:val="24"/>
        </w:rPr>
        <w:t>(</w:t>
      </w:r>
      <w:proofErr w:type="spellStart"/>
      <w:r w:rsidRPr="00CB309D">
        <w:rPr>
          <w:rFonts w:ascii="Times New Roman" w:eastAsia="Times New Roman" w:hAnsi="Times New Roman" w:cs="Times New Roman"/>
          <w:sz w:val="24"/>
          <w:szCs w:val="24"/>
        </w:rPr>
        <w:t>Damirer</w:t>
      </w:r>
      <w:proofErr w:type="spellEnd"/>
      <w:r w:rsidRPr="00CB309D">
        <w:rPr>
          <w:rFonts w:ascii="Times New Roman" w:eastAsia="Times New Roman" w:hAnsi="Times New Roman" w:cs="Times New Roman"/>
          <w:sz w:val="24"/>
          <w:szCs w:val="24"/>
        </w:rPr>
        <w:t xml:space="preserve"> et al., 2017).The continuous process of international trade and economic </w:t>
      </w:r>
      <w:proofErr w:type="spellStart"/>
      <w:r w:rsidRPr="00CB309D">
        <w:rPr>
          <w:rFonts w:ascii="Times New Roman" w:eastAsia="Times New Roman" w:hAnsi="Times New Roman" w:cs="Times New Roman"/>
          <w:sz w:val="24"/>
          <w:szCs w:val="24"/>
        </w:rPr>
        <w:t>gloabalization</w:t>
      </w:r>
      <w:proofErr w:type="spellEnd"/>
      <w:r w:rsidRPr="00CB309D">
        <w:rPr>
          <w:rFonts w:ascii="Times New Roman" w:eastAsia="Times New Roman" w:hAnsi="Times New Roman" w:cs="Times New Roman"/>
          <w:sz w:val="24"/>
          <w:szCs w:val="24"/>
        </w:rPr>
        <w:t xml:space="preserve"> have contributed to the integration of stock markets.</w:t>
      </w:r>
      <w:r>
        <w:rPr>
          <w:rFonts w:ascii="Times New Roman" w:eastAsia="Times New Roman" w:hAnsi="Times New Roman" w:cs="Times New Roman"/>
          <w:sz w:val="24"/>
          <w:szCs w:val="24"/>
        </w:rPr>
        <w:t xml:space="preserve"> </w:t>
      </w:r>
      <w:r w:rsidRPr="00CB309D">
        <w:rPr>
          <w:rFonts w:ascii="Times New Roman" w:eastAsia="Times New Roman" w:hAnsi="Times New Roman" w:cs="Times New Roman"/>
          <w:sz w:val="24"/>
          <w:szCs w:val="24"/>
        </w:rPr>
        <w:t xml:space="preserve">The Covid-19 pandemic's emergence has severely disturbed many aspects of </w:t>
      </w:r>
      <w:r>
        <w:rPr>
          <w:rFonts w:ascii="Times New Roman" w:eastAsia="Times New Roman" w:hAnsi="Times New Roman" w:cs="Times New Roman"/>
          <w:sz w:val="24"/>
          <w:szCs w:val="24"/>
        </w:rPr>
        <w:t xml:space="preserve">business </w:t>
      </w:r>
      <w:r w:rsidRPr="00CB309D">
        <w:rPr>
          <w:rFonts w:ascii="Times New Roman" w:eastAsia="Times New Roman" w:hAnsi="Times New Roman" w:cs="Times New Roman"/>
          <w:sz w:val="24"/>
          <w:szCs w:val="24"/>
        </w:rPr>
        <w:t>operation</w:t>
      </w:r>
      <w:r>
        <w:rPr>
          <w:rFonts w:ascii="Times New Roman" w:eastAsia="Times New Roman" w:hAnsi="Times New Roman" w:cs="Times New Roman"/>
          <w:sz w:val="24"/>
          <w:szCs w:val="24"/>
        </w:rPr>
        <w:t>s</w:t>
      </w:r>
      <w:r w:rsidRPr="00CB309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I</w:t>
      </w:r>
      <w:r w:rsidRPr="00CB309D">
        <w:rPr>
          <w:rFonts w:ascii="Times New Roman" w:eastAsia="Times New Roman" w:hAnsi="Times New Roman" w:cs="Times New Roman"/>
          <w:sz w:val="24"/>
          <w:szCs w:val="24"/>
        </w:rPr>
        <w:t xml:space="preserve">t has highlighted the necessity of </w:t>
      </w:r>
      <w:r>
        <w:rPr>
          <w:rFonts w:ascii="Times New Roman" w:eastAsia="Times New Roman" w:hAnsi="Times New Roman" w:cs="Times New Roman"/>
          <w:sz w:val="24"/>
          <w:szCs w:val="24"/>
        </w:rPr>
        <w:t>synchronisation</w:t>
      </w:r>
      <w:r w:rsidRPr="00CB309D">
        <w:rPr>
          <w:rFonts w:ascii="Times New Roman" w:eastAsia="Times New Roman" w:hAnsi="Times New Roman" w:cs="Times New Roman"/>
          <w:sz w:val="24"/>
          <w:szCs w:val="24"/>
        </w:rPr>
        <w:t xml:space="preserve"> across industries to preserve agility and productivity and react to changing dynamics during times of turbulence</w:t>
      </w:r>
      <w:r>
        <w:rPr>
          <w:rFonts w:ascii="Times New Roman" w:eastAsia="Times New Roman" w:hAnsi="Times New Roman" w:cs="Times New Roman"/>
          <w:sz w:val="24"/>
          <w:szCs w:val="24"/>
        </w:rPr>
        <w:t xml:space="preserve"> </w:t>
      </w:r>
      <w:r w:rsidRPr="00CB309D">
        <w:rPr>
          <w:rFonts w:ascii="Times New Roman" w:eastAsia="Times New Roman" w:hAnsi="Times New Roman" w:cs="Times New Roman"/>
          <w:sz w:val="24"/>
          <w:szCs w:val="24"/>
        </w:rPr>
        <w:t xml:space="preserve">(Wang &amp; Wu, 2018). </w:t>
      </w:r>
      <w:proofErr w:type="gramStart"/>
      <w:r w:rsidRPr="00CB309D">
        <w:rPr>
          <w:rFonts w:ascii="Times New Roman" w:eastAsia="Times New Roman" w:hAnsi="Times New Roman" w:cs="Times New Roman"/>
          <w:sz w:val="24"/>
          <w:szCs w:val="24"/>
        </w:rPr>
        <w:t>Therefore</w:t>
      </w:r>
      <w:proofErr w:type="gramEnd"/>
      <w:r w:rsidRPr="00CB309D">
        <w:rPr>
          <w:rFonts w:ascii="Times New Roman" w:eastAsia="Times New Roman" w:hAnsi="Times New Roman" w:cs="Times New Roman"/>
          <w:sz w:val="24"/>
          <w:szCs w:val="24"/>
        </w:rPr>
        <w:t xml:space="preserve"> understanding the interconnectedness among the sectors is crucial to diversify risk and increase returns</w:t>
      </w:r>
      <w:r>
        <w:rPr>
          <w:rFonts w:ascii="Times New Roman" w:eastAsia="Times New Roman" w:hAnsi="Times New Roman" w:cs="Times New Roman"/>
          <w:sz w:val="24"/>
          <w:szCs w:val="24"/>
        </w:rPr>
        <w:t xml:space="preserve"> on sectoral investments </w:t>
      </w:r>
      <w:r w:rsidRPr="00CB309D">
        <w:rPr>
          <w:rFonts w:ascii="Times New Roman" w:eastAsia="Times New Roman" w:hAnsi="Times New Roman" w:cs="Times New Roman"/>
          <w:sz w:val="24"/>
          <w:szCs w:val="24"/>
        </w:rPr>
        <w:t>(Nong, 2023).</w:t>
      </w:r>
      <w:r>
        <w:rPr>
          <w:rFonts w:ascii="Times New Roman" w:eastAsia="Times New Roman" w:hAnsi="Times New Roman" w:cs="Times New Roman"/>
          <w:sz w:val="24"/>
          <w:szCs w:val="24"/>
        </w:rPr>
        <w:t xml:space="preserve"> </w:t>
      </w:r>
    </w:p>
    <w:p w14:paraId="26F5C4C7" w14:textId="68837957" w:rsidR="00126FAA" w:rsidRDefault="00126FAA" w:rsidP="00126FAA">
      <w:pPr>
        <w:spacing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LITERATURE REVIEW &amp; RESEARCH GAP</w:t>
      </w:r>
    </w:p>
    <w:p w14:paraId="16D2F6A5" w14:textId="77777777" w:rsidR="006A0D99" w:rsidRDefault="006A0D99" w:rsidP="00126FAA">
      <w:pPr>
        <w:spacing w:line="240" w:lineRule="auto"/>
        <w:jc w:val="both"/>
        <w:rPr>
          <w:rFonts w:ascii="Times New Roman" w:eastAsia="Times New Roman" w:hAnsi="Times New Roman" w:cs="Times New Roman"/>
          <w:b/>
          <w:sz w:val="24"/>
          <w:szCs w:val="24"/>
        </w:rPr>
      </w:pPr>
    </w:p>
    <w:p w14:paraId="6D583DE3" w14:textId="46336908" w:rsidR="00126FAA" w:rsidRDefault="00D6614A" w:rsidP="004E037A">
      <w:pPr>
        <w:spacing w:line="480" w:lineRule="auto"/>
        <w:jc w:val="both"/>
        <w:rPr>
          <w:rFonts w:ascii="Times New Roman" w:eastAsia="Times New Roman" w:hAnsi="Times New Roman" w:cs="Times New Roman"/>
          <w:sz w:val="24"/>
          <w:szCs w:val="24"/>
        </w:rPr>
      </w:pPr>
      <w:r w:rsidRPr="00D6614A">
        <w:rPr>
          <w:rFonts w:ascii="Times New Roman" w:eastAsia="Times New Roman" w:hAnsi="Times New Roman" w:cs="Times New Roman"/>
          <w:sz w:val="24"/>
          <w:szCs w:val="24"/>
        </w:rPr>
        <w:t>Financial connectedness has emerged as a prominent subject of discussion</w:t>
      </w:r>
      <w:r w:rsidR="00D076A2">
        <w:rPr>
          <w:rFonts w:ascii="Times New Roman" w:eastAsia="Times New Roman" w:hAnsi="Times New Roman" w:cs="Times New Roman"/>
          <w:sz w:val="24"/>
          <w:szCs w:val="24"/>
        </w:rPr>
        <w:t xml:space="preserve"> in the information transmission literature. Studies like </w:t>
      </w:r>
      <w:r w:rsidR="00D076A2" w:rsidRPr="00D076A2">
        <w:rPr>
          <w:rFonts w:ascii="Times New Roman" w:eastAsia="Times New Roman" w:hAnsi="Times New Roman" w:cs="Times New Roman"/>
          <w:sz w:val="24"/>
          <w:szCs w:val="24"/>
        </w:rPr>
        <w:t xml:space="preserve">Amar et al. (2021), Corbet et al. (2021) examine the volatility </w:t>
      </w:r>
      <w:r w:rsidR="00D076A2">
        <w:rPr>
          <w:rFonts w:ascii="Times New Roman" w:eastAsia="Times New Roman" w:hAnsi="Times New Roman" w:cs="Times New Roman"/>
          <w:sz w:val="24"/>
          <w:szCs w:val="24"/>
        </w:rPr>
        <w:t xml:space="preserve">among multiple asset markets and document the spillovers in volatility, while connectedness across multiple regional stock markets </w:t>
      </w:r>
      <w:proofErr w:type="gramStart"/>
      <w:r w:rsidR="00D076A2">
        <w:rPr>
          <w:rFonts w:ascii="Times New Roman" w:eastAsia="Times New Roman" w:hAnsi="Times New Roman" w:cs="Times New Roman"/>
          <w:sz w:val="24"/>
          <w:szCs w:val="24"/>
        </w:rPr>
        <w:t>are</w:t>
      </w:r>
      <w:proofErr w:type="gramEnd"/>
      <w:r w:rsidR="00D076A2">
        <w:rPr>
          <w:rFonts w:ascii="Times New Roman" w:eastAsia="Times New Roman" w:hAnsi="Times New Roman" w:cs="Times New Roman"/>
          <w:sz w:val="24"/>
          <w:szCs w:val="24"/>
        </w:rPr>
        <w:t xml:space="preserve"> documented in the studies of </w:t>
      </w:r>
      <w:r w:rsidR="00D076A2" w:rsidRPr="00E747B5">
        <w:rPr>
          <w:rFonts w:ascii="Times New Roman" w:eastAsia="Times New Roman" w:hAnsi="Times New Roman" w:cs="Times New Roman"/>
          <w:sz w:val="24"/>
          <w:szCs w:val="24"/>
        </w:rPr>
        <w:t>Rizwan et al. (2020), and Arreola Hernandez et al. (2020).</w:t>
      </w:r>
      <w:r w:rsidR="00E747B5" w:rsidRPr="00E747B5">
        <w:rPr>
          <w:rFonts w:ascii="Times New Roman" w:eastAsia="Times New Roman" w:hAnsi="Times New Roman" w:cs="Times New Roman"/>
          <w:sz w:val="24"/>
          <w:szCs w:val="24"/>
        </w:rPr>
        <w:t xml:space="preserve"> The significance </w:t>
      </w:r>
      <w:r w:rsidR="00E747B5">
        <w:rPr>
          <w:rFonts w:ascii="Times New Roman" w:eastAsia="Times New Roman" w:hAnsi="Times New Roman" w:cs="Times New Roman"/>
          <w:sz w:val="24"/>
          <w:szCs w:val="24"/>
        </w:rPr>
        <w:t xml:space="preserve">of the interconnectedness became more pronounced during the Covid-19 crisis as </w:t>
      </w:r>
      <w:r w:rsidR="00E747B5" w:rsidRPr="00E747B5">
        <w:rPr>
          <w:rFonts w:ascii="Times New Roman" w:eastAsia="Times New Roman" w:hAnsi="Times New Roman" w:cs="Times New Roman"/>
          <w:sz w:val="24"/>
          <w:szCs w:val="24"/>
          <w:lang w:val="en-US"/>
        </w:rPr>
        <w:t xml:space="preserve">spillovers make investment choices </w:t>
      </w:r>
      <w:r w:rsidR="00E747B5">
        <w:rPr>
          <w:rFonts w:ascii="Times New Roman" w:eastAsia="Times New Roman" w:hAnsi="Times New Roman" w:cs="Times New Roman"/>
          <w:sz w:val="24"/>
          <w:szCs w:val="24"/>
          <w:lang w:val="en-US"/>
        </w:rPr>
        <w:t>policy development</w:t>
      </w:r>
      <w:r w:rsidR="00E747B5" w:rsidRPr="00E747B5">
        <w:rPr>
          <w:rFonts w:ascii="Times New Roman" w:eastAsia="Times New Roman" w:hAnsi="Times New Roman" w:cs="Times New Roman"/>
          <w:sz w:val="24"/>
          <w:szCs w:val="24"/>
          <w:lang w:val="en-US"/>
        </w:rPr>
        <w:t xml:space="preserve"> uphold</w:t>
      </w:r>
      <w:r w:rsidR="00E747B5">
        <w:rPr>
          <w:rFonts w:ascii="Times New Roman" w:eastAsia="Times New Roman" w:hAnsi="Times New Roman" w:cs="Times New Roman"/>
          <w:sz w:val="24"/>
          <w:szCs w:val="24"/>
          <w:lang w:val="en-US"/>
        </w:rPr>
        <w:t xml:space="preserve"> financial stability</w:t>
      </w:r>
      <w:r w:rsidR="00E747B5" w:rsidRPr="00E747B5">
        <w:rPr>
          <w:rFonts w:ascii="Times New Roman" w:eastAsia="Times New Roman" w:hAnsi="Times New Roman" w:cs="Times New Roman"/>
          <w:sz w:val="24"/>
          <w:szCs w:val="24"/>
          <w:lang w:val="en-US"/>
        </w:rPr>
        <w:t xml:space="preserve"> as emphasized by Bouri et al. (2021)</w:t>
      </w:r>
      <w:r w:rsidR="00E747B5">
        <w:rPr>
          <w:rFonts w:ascii="Times New Roman" w:eastAsia="Times New Roman" w:hAnsi="Times New Roman" w:cs="Times New Roman"/>
          <w:sz w:val="24"/>
          <w:szCs w:val="24"/>
          <w:lang w:val="en-US"/>
        </w:rPr>
        <w:t>.</w:t>
      </w:r>
      <w:r w:rsidR="005A6FF3">
        <w:rPr>
          <w:rFonts w:ascii="Times New Roman" w:eastAsia="Times New Roman" w:hAnsi="Times New Roman" w:cs="Times New Roman"/>
          <w:sz w:val="24"/>
          <w:szCs w:val="24"/>
          <w:lang w:val="en-US"/>
        </w:rPr>
        <w:t xml:space="preserve"> </w:t>
      </w:r>
      <w:r w:rsidR="005A6FF3" w:rsidRPr="005A6FF3">
        <w:rPr>
          <w:rFonts w:ascii="Times New Roman" w:eastAsia="Times New Roman" w:hAnsi="Times New Roman" w:cs="Times New Roman"/>
          <w:sz w:val="24"/>
          <w:szCs w:val="24"/>
          <w:lang w:val="en-US"/>
        </w:rPr>
        <w:t>Sectoral connectedness is important for substantial number of invest</w:t>
      </w:r>
      <w:r w:rsidR="005A6FF3">
        <w:rPr>
          <w:rFonts w:ascii="Times New Roman" w:eastAsia="Times New Roman" w:hAnsi="Times New Roman" w:cs="Times New Roman"/>
          <w:sz w:val="24"/>
          <w:szCs w:val="24"/>
          <w:lang w:val="en-US"/>
        </w:rPr>
        <w:t xml:space="preserve">ors, </w:t>
      </w:r>
      <w:r w:rsidR="005A6FF3" w:rsidRPr="005A6FF3">
        <w:rPr>
          <w:rFonts w:ascii="Times New Roman" w:eastAsia="Times New Roman" w:hAnsi="Times New Roman" w:cs="Times New Roman"/>
          <w:sz w:val="24"/>
          <w:szCs w:val="24"/>
          <w:lang w:val="en-US"/>
        </w:rPr>
        <w:t>asset managers</w:t>
      </w:r>
      <w:r w:rsidR="005A6FF3">
        <w:rPr>
          <w:rFonts w:ascii="Times New Roman" w:eastAsia="Times New Roman" w:hAnsi="Times New Roman" w:cs="Times New Roman"/>
          <w:sz w:val="24"/>
          <w:szCs w:val="24"/>
          <w:lang w:val="en-US"/>
        </w:rPr>
        <w:t xml:space="preserve">, and </w:t>
      </w:r>
      <w:r w:rsidR="005A6FF3" w:rsidRPr="005A6FF3">
        <w:rPr>
          <w:rFonts w:ascii="Times New Roman" w:eastAsia="Times New Roman" w:hAnsi="Times New Roman" w:cs="Times New Roman"/>
          <w:sz w:val="24"/>
          <w:szCs w:val="24"/>
          <w:lang w:val="en-US"/>
        </w:rPr>
        <w:t xml:space="preserve">policymakers </w:t>
      </w:r>
      <w:r w:rsidR="005A6FF3">
        <w:rPr>
          <w:rFonts w:ascii="Times New Roman" w:eastAsia="Times New Roman" w:hAnsi="Times New Roman" w:cs="Times New Roman"/>
          <w:sz w:val="24"/>
          <w:szCs w:val="24"/>
          <w:lang w:val="en-US"/>
        </w:rPr>
        <w:t>alike</w:t>
      </w:r>
      <w:r w:rsidR="005A6FF3" w:rsidRPr="005A6FF3">
        <w:rPr>
          <w:rFonts w:ascii="Times New Roman" w:eastAsia="Times New Roman" w:hAnsi="Times New Roman" w:cs="Times New Roman"/>
          <w:sz w:val="24"/>
          <w:szCs w:val="24"/>
          <w:lang w:val="en-US"/>
        </w:rPr>
        <w:t xml:space="preserve">. </w:t>
      </w:r>
      <w:r w:rsidR="005A6FF3">
        <w:rPr>
          <w:rFonts w:ascii="Times New Roman" w:eastAsia="Times New Roman" w:hAnsi="Times New Roman" w:cs="Times New Roman"/>
          <w:sz w:val="24"/>
          <w:szCs w:val="24"/>
          <w:lang w:val="en-US"/>
        </w:rPr>
        <w:t xml:space="preserve">However, </w:t>
      </w:r>
      <w:proofErr w:type="gramStart"/>
      <w:r w:rsidR="005A6FF3">
        <w:rPr>
          <w:rFonts w:ascii="Times New Roman" w:eastAsia="Times New Roman" w:hAnsi="Times New Roman" w:cs="Times New Roman"/>
          <w:sz w:val="24"/>
          <w:szCs w:val="24"/>
          <w:lang w:val="en-US"/>
        </w:rPr>
        <w:t>the scholarly</w:t>
      </w:r>
      <w:proofErr w:type="gramEnd"/>
      <w:r w:rsidR="005A6FF3">
        <w:rPr>
          <w:rFonts w:ascii="Times New Roman" w:eastAsia="Times New Roman" w:hAnsi="Times New Roman" w:cs="Times New Roman"/>
          <w:sz w:val="24"/>
          <w:szCs w:val="24"/>
          <w:lang w:val="en-US"/>
        </w:rPr>
        <w:t xml:space="preserve"> literature paid less attention towards </w:t>
      </w:r>
      <w:r w:rsidR="005A6FF3" w:rsidRPr="005A6FF3">
        <w:rPr>
          <w:rFonts w:ascii="Times New Roman" w:eastAsia="Times New Roman" w:hAnsi="Times New Roman" w:cs="Times New Roman"/>
          <w:sz w:val="24"/>
          <w:szCs w:val="24"/>
          <w:lang w:val="en-US"/>
        </w:rPr>
        <w:t xml:space="preserve">sectoral connectedness </w:t>
      </w:r>
      <w:r w:rsidR="005A6FF3">
        <w:rPr>
          <w:rFonts w:ascii="Times New Roman" w:eastAsia="Times New Roman" w:hAnsi="Times New Roman" w:cs="Times New Roman"/>
          <w:sz w:val="24"/>
          <w:szCs w:val="24"/>
          <w:lang w:val="en-US"/>
        </w:rPr>
        <w:t xml:space="preserve">as more studies examine </w:t>
      </w:r>
      <w:r w:rsidR="00AF37B1">
        <w:rPr>
          <w:rFonts w:ascii="Times New Roman" w:eastAsia="Times New Roman" w:hAnsi="Times New Roman" w:cs="Times New Roman"/>
          <w:sz w:val="24"/>
          <w:szCs w:val="24"/>
          <w:lang w:val="en-US"/>
        </w:rPr>
        <w:t>aggregate</w:t>
      </w:r>
      <w:r w:rsidR="005A6FF3" w:rsidRPr="005A6FF3">
        <w:rPr>
          <w:rFonts w:ascii="Times New Roman" w:eastAsia="Times New Roman" w:hAnsi="Times New Roman" w:cs="Times New Roman"/>
          <w:sz w:val="24"/>
          <w:szCs w:val="24"/>
          <w:lang w:val="en-US"/>
        </w:rPr>
        <w:t xml:space="preserve"> </w:t>
      </w:r>
      <w:r w:rsidR="005A6FF3">
        <w:rPr>
          <w:rFonts w:ascii="Times New Roman" w:eastAsia="Times New Roman" w:hAnsi="Times New Roman" w:cs="Times New Roman"/>
          <w:sz w:val="24"/>
          <w:szCs w:val="24"/>
          <w:lang w:val="en-US"/>
        </w:rPr>
        <w:t xml:space="preserve">asset </w:t>
      </w:r>
      <w:r w:rsidR="005A6FF3" w:rsidRPr="005A6FF3">
        <w:rPr>
          <w:rFonts w:ascii="Times New Roman" w:eastAsia="Times New Roman" w:hAnsi="Times New Roman" w:cs="Times New Roman"/>
          <w:sz w:val="24"/>
          <w:szCs w:val="24"/>
          <w:lang w:val="en-US"/>
        </w:rPr>
        <w:t>markets</w:t>
      </w:r>
      <w:r w:rsidR="005A6FF3">
        <w:rPr>
          <w:rFonts w:ascii="Times New Roman" w:eastAsia="Times New Roman" w:hAnsi="Times New Roman" w:cs="Times New Roman"/>
          <w:sz w:val="24"/>
          <w:szCs w:val="24"/>
          <w:lang w:val="en-US"/>
        </w:rPr>
        <w:t xml:space="preserve"> </w:t>
      </w:r>
      <w:r w:rsidR="00AF37B1">
        <w:rPr>
          <w:rFonts w:ascii="Times New Roman" w:eastAsia="Times New Roman" w:hAnsi="Times New Roman" w:cs="Times New Roman"/>
          <w:sz w:val="24"/>
          <w:szCs w:val="24"/>
          <w:lang w:val="en-US"/>
        </w:rPr>
        <w:t>(</w:t>
      </w:r>
      <w:r w:rsidR="005A6FF3" w:rsidRPr="005A6FF3">
        <w:rPr>
          <w:rFonts w:ascii="Times New Roman" w:eastAsia="Times New Roman" w:hAnsi="Times New Roman" w:cs="Times New Roman"/>
          <w:sz w:val="24"/>
          <w:szCs w:val="24"/>
          <w:lang w:val="en-US"/>
        </w:rPr>
        <w:t>Mensi et al. (2020)</w:t>
      </w:r>
      <w:r w:rsidR="00AF37B1">
        <w:rPr>
          <w:rFonts w:ascii="Times New Roman" w:eastAsia="Times New Roman" w:hAnsi="Times New Roman" w:cs="Times New Roman"/>
          <w:sz w:val="24"/>
          <w:szCs w:val="24"/>
          <w:lang w:val="en-US"/>
        </w:rPr>
        <w:t>)</w:t>
      </w:r>
      <w:r w:rsidR="005A6FF3" w:rsidRPr="005A6FF3">
        <w:rPr>
          <w:rFonts w:ascii="Times New Roman" w:eastAsia="Times New Roman" w:hAnsi="Times New Roman" w:cs="Times New Roman"/>
          <w:sz w:val="24"/>
          <w:szCs w:val="24"/>
          <w:lang w:val="en-US"/>
        </w:rPr>
        <w:t>.</w:t>
      </w:r>
      <w:r w:rsidR="004E037A">
        <w:rPr>
          <w:rFonts w:ascii="Times New Roman" w:eastAsia="Times New Roman" w:hAnsi="Times New Roman" w:cs="Times New Roman"/>
          <w:sz w:val="24"/>
          <w:szCs w:val="24"/>
          <w:lang w:val="en-US"/>
        </w:rPr>
        <w:t xml:space="preserve"> We recognize it as a gap in </w:t>
      </w:r>
      <w:proofErr w:type="gramStart"/>
      <w:r w:rsidR="004E037A">
        <w:rPr>
          <w:rFonts w:ascii="Times New Roman" w:eastAsia="Times New Roman" w:hAnsi="Times New Roman" w:cs="Times New Roman"/>
          <w:sz w:val="24"/>
          <w:szCs w:val="24"/>
          <w:lang w:val="en-US"/>
        </w:rPr>
        <w:t>the literature</w:t>
      </w:r>
      <w:proofErr w:type="gramEnd"/>
      <w:r w:rsidR="004E037A">
        <w:rPr>
          <w:rFonts w:ascii="Times New Roman" w:eastAsia="Times New Roman" w:hAnsi="Times New Roman" w:cs="Times New Roman"/>
          <w:sz w:val="24"/>
          <w:szCs w:val="24"/>
          <w:lang w:val="en-US"/>
        </w:rPr>
        <w:t xml:space="preserve"> and our research attempts to fill the gap.</w:t>
      </w:r>
    </w:p>
    <w:p w14:paraId="48CD1464" w14:textId="7E941957" w:rsidR="00D6614A" w:rsidRDefault="00D6614A" w:rsidP="00126FAA">
      <w:pPr>
        <w:spacing w:line="240" w:lineRule="auto"/>
        <w:jc w:val="both"/>
        <w:rPr>
          <w:rFonts w:ascii="Times New Roman" w:eastAsia="Times New Roman" w:hAnsi="Times New Roman" w:cs="Times New Roman"/>
          <w:sz w:val="24"/>
          <w:szCs w:val="24"/>
        </w:rPr>
      </w:pPr>
    </w:p>
    <w:p w14:paraId="3D8ABBDE" w14:textId="6D4B1B02" w:rsidR="00126FAA" w:rsidRDefault="00126FAA" w:rsidP="00126FAA">
      <w:pPr>
        <w:spacing w:line="48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RESEARCH PROBLEM</w:t>
      </w:r>
    </w:p>
    <w:p w14:paraId="75580B24" w14:textId="4384CBA4" w:rsidR="00126FAA" w:rsidRPr="00A05010" w:rsidRDefault="00A05010" w:rsidP="00A05010">
      <w:pPr>
        <w:pStyle w:val="ListParagraph"/>
        <w:numPr>
          <w:ilvl w:val="0"/>
          <w:numId w:val="1"/>
        </w:numPr>
        <w:spacing w:line="480" w:lineRule="auto"/>
        <w:jc w:val="both"/>
        <w:rPr>
          <w:rFonts w:ascii="Times New Roman" w:eastAsia="Times New Roman" w:hAnsi="Times New Roman" w:cs="Times New Roman"/>
          <w:sz w:val="24"/>
          <w:szCs w:val="24"/>
        </w:rPr>
      </w:pPr>
      <w:r w:rsidRPr="00A05010">
        <w:rPr>
          <w:rFonts w:ascii="Times New Roman" w:eastAsia="Times New Roman" w:hAnsi="Times New Roman" w:cs="Times New Roman"/>
          <w:sz w:val="24"/>
          <w:szCs w:val="24"/>
        </w:rPr>
        <w:t>Are the sectoral equity markets interconnected?</w:t>
      </w:r>
    </w:p>
    <w:p w14:paraId="0E56089F" w14:textId="5C730B81" w:rsidR="00126FAA" w:rsidRDefault="00126FAA" w:rsidP="00126FAA">
      <w:pPr>
        <w:spacing w:line="48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O</w:t>
      </w:r>
      <w:r w:rsidR="00E12955">
        <w:rPr>
          <w:rFonts w:ascii="Times New Roman" w:eastAsia="Times New Roman" w:hAnsi="Times New Roman" w:cs="Times New Roman"/>
          <w:b/>
          <w:sz w:val="24"/>
          <w:szCs w:val="24"/>
        </w:rPr>
        <w:t>BJECTIVE</w:t>
      </w:r>
      <w:r>
        <w:rPr>
          <w:rFonts w:ascii="Times New Roman" w:eastAsia="Times New Roman" w:hAnsi="Times New Roman" w:cs="Times New Roman"/>
          <w:b/>
          <w:sz w:val="24"/>
          <w:szCs w:val="24"/>
        </w:rPr>
        <w:t xml:space="preserve"> OF THE STUDY</w:t>
      </w:r>
    </w:p>
    <w:p w14:paraId="0399692F" w14:textId="74794491" w:rsidR="00126FAA" w:rsidRPr="00A05010" w:rsidRDefault="00A05010" w:rsidP="00A05010">
      <w:pPr>
        <w:pStyle w:val="ListParagraph"/>
        <w:numPr>
          <w:ilvl w:val="0"/>
          <w:numId w:val="1"/>
        </w:numPr>
        <w:spacing w:line="480" w:lineRule="auto"/>
        <w:jc w:val="both"/>
        <w:rPr>
          <w:rFonts w:ascii="Times New Roman" w:eastAsia="Times New Roman" w:hAnsi="Times New Roman" w:cs="Times New Roman"/>
          <w:sz w:val="24"/>
          <w:szCs w:val="24"/>
        </w:rPr>
      </w:pPr>
      <w:r w:rsidRPr="00A05010">
        <w:rPr>
          <w:rFonts w:ascii="Times New Roman" w:eastAsia="Times New Roman" w:hAnsi="Times New Roman" w:cs="Times New Roman"/>
          <w:sz w:val="24"/>
          <w:szCs w:val="24"/>
        </w:rPr>
        <w:t>To examine</w:t>
      </w:r>
      <w:r>
        <w:rPr>
          <w:rFonts w:ascii="Times New Roman" w:eastAsia="Times New Roman" w:hAnsi="Times New Roman" w:cs="Times New Roman"/>
          <w:sz w:val="24"/>
          <w:szCs w:val="24"/>
        </w:rPr>
        <w:t xml:space="preserve"> the static and dynamic connectedness among the sectoral equity indices in the Indian stock market.</w:t>
      </w:r>
    </w:p>
    <w:p w14:paraId="5D5D8363" w14:textId="77777777" w:rsidR="00F06F3E" w:rsidRDefault="00F06F3E" w:rsidP="00126FAA">
      <w:pPr>
        <w:spacing w:line="240" w:lineRule="auto"/>
        <w:jc w:val="both"/>
        <w:rPr>
          <w:rFonts w:ascii="Times New Roman" w:eastAsia="Times New Roman" w:hAnsi="Times New Roman" w:cs="Times New Roman"/>
          <w:b/>
          <w:sz w:val="24"/>
          <w:szCs w:val="24"/>
        </w:rPr>
      </w:pPr>
    </w:p>
    <w:p w14:paraId="15956E7E" w14:textId="5E5AD300" w:rsidR="00126FAA" w:rsidRDefault="00126FAA" w:rsidP="00126FAA">
      <w:pPr>
        <w:spacing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DATA &amp; RESEARCH METHODOLOGY</w:t>
      </w:r>
    </w:p>
    <w:p w14:paraId="7FA41A29" w14:textId="60755009" w:rsidR="00126FAA" w:rsidRDefault="006A0D99" w:rsidP="00F06F3E">
      <w:pPr>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w:t>
      </w:r>
      <w:r w:rsidRPr="006A0D99">
        <w:rPr>
          <w:rFonts w:ascii="Times New Roman" w:eastAsia="Times New Roman" w:hAnsi="Times New Roman" w:cs="Times New Roman"/>
          <w:sz w:val="24"/>
          <w:szCs w:val="24"/>
        </w:rPr>
        <w:t>empirical</w:t>
      </w:r>
      <w:r>
        <w:rPr>
          <w:rFonts w:ascii="Times New Roman" w:eastAsia="Times New Roman" w:hAnsi="Times New Roman" w:cs="Times New Roman"/>
          <w:sz w:val="24"/>
          <w:szCs w:val="24"/>
        </w:rPr>
        <w:t xml:space="preserve"> research is conducted in the Indian context. Four sectoral stock indices of National Stock Exchange of India, viz., Automobiles</w:t>
      </w:r>
      <w:r w:rsidR="00AB53A2">
        <w:rPr>
          <w:rFonts w:ascii="Times New Roman" w:eastAsia="Times New Roman" w:hAnsi="Times New Roman" w:cs="Times New Roman"/>
          <w:sz w:val="24"/>
          <w:szCs w:val="24"/>
        </w:rPr>
        <w:t xml:space="preserve"> (Auto)</w:t>
      </w:r>
      <w:r>
        <w:rPr>
          <w:rFonts w:ascii="Times New Roman" w:eastAsia="Times New Roman" w:hAnsi="Times New Roman" w:cs="Times New Roman"/>
          <w:sz w:val="24"/>
          <w:szCs w:val="24"/>
        </w:rPr>
        <w:t>, Consumer Durables</w:t>
      </w:r>
      <w:r w:rsidR="00AB53A2">
        <w:rPr>
          <w:rFonts w:ascii="Times New Roman" w:eastAsia="Times New Roman" w:hAnsi="Times New Roman" w:cs="Times New Roman"/>
          <w:sz w:val="24"/>
          <w:szCs w:val="24"/>
        </w:rPr>
        <w:t xml:space="preserve"> (</w:t>
      </w:r>
      <w:proofErr w:type="spellStart"/>
      <w:r w:rsidR="00AB53A2">
        <w:rPr>
          <w:rFonts w:ascii="Times New Roman" w:eastAsia="Times New Roman" w:hAnsi="Times New Roman" w:cs="Times New Roman"/>
          <w:sz w:val="24"/>
          <w:szCs w:val="24"/>
        </w:rPr>
        <w:t>Cons.Dur</w:t>
      </w:r>
      <w:proofErr w:type="spellEnd"/>
      <w:r w:rsidR="00AB53A2">
        <w:rPr>
          <w:rFonts w:ascii="Times New Roman" w:eastAsia="Times New Roman" w:hAnsi="Times New Roman" w:cs="Times New Roman"/>
          <w:sz w:val="24"/>
          <w:szCs w:val="24"/>
        </w:rPr>
        <w:t>)</w:t>
      </w:r>
      <w:r>
        <w:rPr>
          <w:rFonts w:ascii="Times New Roman" w:eastAsia="Times New Roman" w:hAnsi="Times New Roman" w:cs="Times New Roman"/>
          <w:sz w:val="24"/>
          <w:szCs w:val="24"/>
        </w:rPr>
        <w:t>, Fast Moving Consumer Goods</w:t>
      </w:r>
      <w:r w:rsidR="00AB53A2">
        <w:rPr>
          <w:rFonts w:ascii="Times New Roman" w:eastAsia="Times New Roman" w:hAnsi="Times New Roman" w:cs="Times New Roman"/>
          <w:sz w:val="24"/>
          <w:szCs w:val="24"/>
        </w:rPr>
        <w:t xml:space="preserve"> (FMCG)</w:t>
      </w:r>
      <w:r>
        <w:rPr>
          <w:rFonts w:ascii="Times New Roman" w:eastAsia="Times New Roman" w:hAnsi="Times New Roman" w:cs="Times New Roman"/>
          <w:sz w:val="24"/>
          <w:szCs w:val="24"/>
        </w:rPr>
        <w:t>, and Healthcare</w:t>
      </w:r>
      <w:r w:rsidR="00AB53A2">
        <w:rPr>
          <w:rFonts w:ascii="Times New Roman" w:eastAsia="Times New Roman" w:hAnsi="Times New Roman" w:cs="Times New Roman"/>
          <w:sz w:val="24"/>
          <w:szCs w:val="24"/>
        </w:rPr>
        <w:t xml:space="preserve"> (Health)</w:t>
      </w:r>
      <w:r>
        <w:rPr>
          <w:rFonts w:ascii="Times New Roman" w:eastAsia="Times New Roman" w:hAnsi="Times New Roman" w:cs="Times New Roman"/>
          <w:sz w:val="24"/>
          <w:szCs w:val="24"/>
        </w:rPr>
        <w:t xml:space="preserve"> representing both products and services are included in our study. Our sample period is </w:t>
      </w:r>
      <w:r w:rsidRPr="006A0D99">
        <w:rPr>
          <w:rFonts w:ascii="Times New Roman" w:eastAsia="Times New Roman" w:hAnsi="Times New Roman" w:cs="Times New Roman"/>
          <w:sz w:val="24"/>
          <w:szCs w:val="24"/>
        </w:rPr>
        <w:t xml:space="preserve">period is from December 30th, </w:t>
      </w:r>
      <w:r w:rsidRPr="006A0D99">
        <w:rPr>
          <w:rFonts w:ascii="Times New Roman" w:eastAsia="Times New Roman" w:hAnsi="Times New Roman" w:cs="Times New Roman"/>
          <w:sz w:val="24"/>
          <w:szCs w:val="24"/>
        </w:rPr>
        <w:lastRenderedPageBreak/>
        <w:t>2019, to July 26th</w:t>
      </w:r>
      <w:proofErr w:type="gramStart"/>
      <w:r w:rsidRPr="006A0D99">
        <w:rPr>
          <w:rFonts w:ascii="Times New Roman" w:eastAsia="Times New Roman" w:hAnsi="Times New Roman" w:cs="Times New Roman"/>
          <w:sz w:val="24"/>
          <w:szCs w:val="24"/>
        </w:rPr>
        <w:t xml:space="preserve"> 2023</w:t>
      </w:r>
      <w:proofErr w:type="gramEnd"/>
      <w:r>
        <w:rPr>
          <w:rFonts w:ascii="Times New Roman" w:eastAsia="Times New Roman" w:hAnsi="Times New Roman" w:cs="Times New Roman"/>
          <w:sz w:val="24"/>
          <w:szCs w:val="24"/>
        </w:rPr>
        <w:t xml:space="preserve"> comprising of daily closing values of indices with 4,445 total observations.</w:t>
      </w:r>
      <w:r w:rsidR="00C04CEC">
        <w:rPr>
          <w:rFonts w:ascii="Times New Roman" w:eastAsia="Times New Roman" w:hAnsi="Times New Roman" w:cs="Times New Roman"/>
          <w:sz w:val="24"/>
          <w:szCs w:val="24"/>
        </w:rPr>
        <w:t xml:space="preserve"> </w:t>
      </w:r>
    </w:p>
    <w:p w14:paraId="7DEDADF1" w14:textId="07903CE6" w:rsidR="00F06F3E" w:rsidRDefault="00F06F3E" w:rsidP="00F06F3E">
      <w:pPr>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We apply the </w:t>
      </w:r>
      <w:r w:rsidRPr="00F06F3E">
        <w:rPr>
          <w:rFonts w:ascii="Times New Roman" w:eastAsia="Times New Roman" w:hAnsi="Times New Roman" w:cs="Times New Roman"/>
          <w:sz w:val="24"/>
          <w:szCs w:val="24"/>
        </w:rPr>
        <w:t>Time-Varying Parameter Vector Autoregressive (TVP-VAR) connectedness approach</w:t>
      </w:r>
      <w:r>
        <w:rPr>
          <w:rFonts w:ascii="Times New Roman" w:eastAsia="Times New Roman" w:hAnsi="Times New Roman" w:cs="Times New Roman"/>
          <w:sz w:val="24"/>
          <w:szCs w:val="24"/>
        </w:rPr>
        <w:t xml:space="preserve"> to </w:t>
      </w:r>
      <w:r w:rsidRPr="00F06F3E">
        <w:rPr>
          <w:rFonts w:ascii="Times New Roman" w:eastAsia="Times New Roman" w:hAnsi="Times New Roman" w:cs="Times New Roman"/>
          <w:sz w:val="24"/>
          <w:szCs w:val="24"/>
        </w:rPr>
        <w:t>examine the asymmetries in the interconnections among the sectors of the Indian Equity market</w:t>
      </w:r>
      <w:r>
        <w:rPr>
          <w:rFonts w:ascii="Times New Roman" w:eastAsia="Times New Roman" w:hAnsi="Times New Roman" w:cs="Times New Roman"/>
          <w:sz w:val="24"/>
          <w:szCs w:val="24"/>
        </w:rPr>
        <w:t>.</w:t>
      </w:r>
      <w:r w:rsidRPr="00F06F3E">
        <w:rPr>
          <w:rFonts w:ascii="Times New Roman" w:eastAsia="Times New Roman" w:hAnsi="Times New Roman" w:cs="Times New Roman"/>
          <w:sz w:val="24"/>
          <w:szCs w:val="24"/>
        </w:rPr>
        <w:t xml:space="preserve"> This method was </w:t>
      </w:r>
      <w:r>
        <w:rPr>
          <w:rFonts w:ascii="Times New Roman" w:eastAsia="Times New Roman" w:hAnsi="Times New Roman" w:cs="Times New Roman"/>
          <w:sz w:val="24"/>
          <w:szCs w:val="24"/>
        </w:rPr>
        <w:t>(</w:t>
      </w:r>
      <w:r w:rsidRPr="00F06F3E">
        <w:rPr>
          <w:rFonts w:ascii="Times New Roman" w:eastAsia="Times New Roman" w:hAnsi="Times New Roman" w:cs="Times New Roman"/>
          <w:sz w:val="24"/>
          <w:szCs w:val="24"/>
        </w:rPr>
        <w:t xml:space="preserve">originally proposed by Diebold </w:t>
      </w:r>
      <w:r w:rsidR="00DA7333">
        <w:rPr>
          <w:rFonts w:ascii="Times New Roman" w:eastAsia="Times New Roman" w:hAnsi="Times New Roman" w:cs="Times New Roman"/>
          <w:sz w:val="24"/>
          <w:szCs w:val="24"/>
        </w:rPr>
        <w:t>&amp;</w:t>
      </w:r>
      <w:r w:rsidRPr="00F06F3E">
        <w:rPr>
          <w:rFonts w:ascii="Times New Roman" w:eastAsia="Times New Roman" w:hAnsi="Times New Roman" w:cs="Times New Roman"/>
          <w:sz w:val="24"/>
          <w:szCs w:val="24"/>
        </w:rPr>
        <w:t xml:space="preserve"> Yilmaz </w:t>
      </w:r>
      <w:r w:rsidR="00DA7333">
        <w:rPr>
          <w:rFonts w:ascii="Times New Roman" w:eastAsia="Times New Roman" w:hAnsi="Times New Roman" w:cs="Times New Roman"/>
          <w:sz w:val="24"/>
          <w:szCs w:val="24"/>
        </w:rPr>
        <w:t>(</w:t>
      </w:r>
      <w:r w:rsidRPr="00F06F3E">
        <w:rPr>
          <w:rFonts w:ascii="Times New Roman" w:eastAsia="Times New Roman" w:hAnsi="Times New Roman" w:cs="Times New Roman"/>
          <w:sz w:val="24"/>
          <w:szCs w:val="24"/>
        </w:rPr>
        <w:t>2009</w:t>
      </w:r>
      <w:r w:rsidR="00DA7333">
        <w:rPr>
          <w:rFonts w:ascii="Times New Roman" w:eastAsia="Times New Roman" w:hAnsi="Times New Roman" w:cs="Times New Roman"/>
          <w:sz w:val="24"/>
          <w:szCs w:val="24"/>
        </w:rPr>
        <w:t>),</w:t>
      </w:r>
      <w:r w:rsidRPr="00F06F3E">
        <w:rPr>
          <w:rFonts w:ascii="Times New Roman" w:eastAsia="Times New Roman" w:hAnsi="Times New Roman" w:cs="Times New Roman"/>
          <w:sz w:val="24"/>
          <w:szCs w:val="24"/>
        </w:rPr>
        <w:t xml:space="preserve"> </w:t>
      </w:r>
      <w:r w:rsidR="00DA7333">
        <w:rPr>
          <w:rFonts w:ascii="Times New Roman" w:eastAsia="Times New Roman" w:hAnsi="Times New Roman" w:cs="Times New Roman"/>
          <w:sz w:val="24"/>
          <w:szCs w:val="24"/>
        </w:rPr>
        <w:t>(</w:t>
      </w:r>
      <w:r w:rsidRPr="00F06F3E">
        <w:rPr>
          <w:rFonts w:ascii="Times New Roman" w:eastAsia="Times New Roman" w:hAnsi="Times New Roman" w:cs="Times New Roman"/>
          <w:sz w:val="24"/>
          <w:szCs w:val="24"/>
        </w:rPr>
        <w:t>2012</w:t>
      </w:r>
      <w:r w:rsidR="00DA7333">
        <w:rPr>
          <w:rFonts w:ascii="Times New Roman" w:eastAsia="Times New Roman" w:hAnsi="Times New Roman" w:cs="Times New Roman"/>
          <w:sz w:val="24"/>
          <w:szCs w:val="24"/>
        </w:rPr>
        <w:t>)</w:t>
      </w:r>
      <w:r w:rsidRPr="00F06F3E">
        <w:rPr>
          <w:rFonts w:ascii="Times New Roman" w:eastAsia="Times New Roman" w:hAnsi="Times New Roman" w:cs="Times New Roman"/>
          <w:sz w:val="24"/>
          <w:szCs w:val="24"/>
        </w:rPr>
        <w:t xml:space="preserve">, and further expanded upon by Antonakakis et al. </w:t>
      </w:r>
      <w:r w:rsidR="00DA7333">
        <w:rPr>
          <w:rFonts w:ascii="Times New Roman" w:eastAsia="Times New Roman" w:hAnsi="Times New Roman" w:cs="Times New Roman"/>
          <w:sz w:val="24"/>
          <w:szCs w:val="24"/>
        </w:rPr>
        <w:t>(</w:t>
      </w:r>
      <w:r w:rsidRPr="00F06F3E">
        <w:rPr>
          <w:rFonts w:ascii="Times New Roman" w:eastAsia="Times New Roman" w:hAnsi="Times New Roman" w:cs="Times New Roman"/>
          <w:sz w:val="24"/>
          <w:szCs w:val="24"/>
        </w:rPr>
        <w:t>2020</w:t>
      </w:r>
      <w:r w:rsidR="00DA7333">
        <w:rPr>
          <w:rFonts w:ascii="Times New Roman" w:eastAsia="Times New Roman" w:hAnsi="Times New Roman" w:cs="Times New Roman"/>
          <w:sz w:val="24"/>
          <w:szCs w:val="24"/>
        </w:rPr>
        <w:t>)</w:t>
      </w:r>
      <w:r w:rsidRPr="00F06F3E">
        <w:rPr>
          <w:rFonts w:ascii="Times New Roman" w:eastAsia="Times New Roman" w:hAnsi="Times New Roman" w:cs="Times New Roman"/>
          <w:sz w:val="24"/>
          <w:szCs w:val="24"/>
        </w:rPr>
        <w:t>.</w:t>
      </w:r>
    </w:p>
    <w:p w14:paraId="4A8E4BAC" w14:textId="2F542056" w:rsidR="00F06F3E" w:rsidRPr="00F06F3E" w:rsidRDefault="00000000" w:rsidP="00F06F3E">
      <w:pPr>
        <w:spacing w:line="480" w:lineRule="auto"/>
        <w:jc w:val="both"/>
        <w:rPr>
          <w:rFonts w:ascii="Times New Roman" w:eastAsia="Times New Roman" w:hAnsi="Times New Roman" w:cs="Times New Roman"/>
          <w:sz w:val="24"/>
          <w:szCs w:val="24"/>
        </w:rPr>
      </w:pP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p</m:t>
            </m:r>
          </m:e>
          <m:sub>
            <m:r>
              <w:rPr>
                <w:rFonts w:ascii="Cambria Math" w:eastAsia="Times New Roman" w:hAnsi="Cambria Math" w:cs="Times New Roman"/>
                <w:sz w:val="24"/>
                <w:szCs w:val="24"/>
              </w:rPr>
              <m:t>t=</m:t>
            </m:r>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b</m:t>
                </m:r>
              </m:e>
              <m:sub>
                <m:r>
                  <w:rPr>
                    <w:rFonts w:ascii="Cambria Math" w:eastAsia="Times New Roman" w:hAnsi="Cambria Math" w:cs="Times New Roman"/>
                    <w:sz w:val="24"/>
                    <w:szCs w:val="24"/>
                  </w:rPr>
                  <m:t xml:space="preserve">t </m:t>
                </m:r>
              </m:sub>
            </m:sSub>
          </m:sub>
        </m:sSub>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p</m:t>
            </m:r>
          </m:e>
          <m:sub>
            <m:r>
              <w:rPr>
                <w:rFonts w:ascii="Cambria Math" w:eastAsia="Times New Roman" w:hAnsi="Cambria Math" w:cs="Times New Roman"/>
                <w:sz w:val="24"/>
                <w:szCs w:val="24"/>
              </w:rPr>
              <m:t xml:space="preserve">t-1 </m:t>
            </m:r>
          </m:sub>
        </m:sSub>
      </m:oMath>
      <w:r w:rsidR="00F06F3E" w:rsidRPr="00F06F3E">
        <w:rPr>
          <w:rFonts w:ascii="Times New Roman" w:eastAsia="Times New Roman" w:hAnsi="Times New Roman" w:cs="Times New Roman"/>
          <w:sz w:val="24"/>
          <w:szCs w:val="24"/>
        </w:rPr>
        <w:t>+</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v</m:t>
            </m:r>
          </m:e>
          <m:sub>
            <m:r>
              <w:rPr>
                <w:rFonts w:ascii="Cambria Math" w:eastAsia="Times New Roman" w:hAnsi="Cambria Math" w:cs="Times New Roman"/>
                <w:sz w:val="24"/>
                <w:szCs w:val="24"/>
              </w:rPr>
              <m:t>t,</m:t>
            </m:r>
          </m:sub>
        </m:sSub>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v</m:t>
            </m:r>
          </m:e>
          <m:sub>
            <m:r>
              <w:rPr>
                <w:rFonts w:ascii="Cambria Math" w:eastAsia="Times New Roman" w:hAnsi="Cambria Math" w:cs="Times New Roman"/>
                <w:sz w:val="24"/>
                <w:szCs w:val="24"/>
              </w:rPr>
              <m:t>t~</m:t>
            </m:r>
          </m:sub>
        </m:sSub>
      </m:oMath>
      <w:r w:rsidR="00F06F3E" w:rsidRPr="00F06F3E">
        <w:rPr>
          <w:rFonts w:ascii="Times New Roman" w:eastAsia="Times New Roman" w:hAnsi="Times New Roman" w:cs="Times New Roman"/>
          <w:sz w:val="24"/>
          <w:szCs w:val="24"/>
        </w:rPr>
        <w:t>N(0,</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m:t>
            </m:r>
          </m:e>
          <m:sub>
            <m:r>
              <w:rPr>
                <w:rFonts w:ascii="Cambria Math" w:eastAsia="Times New Roman" w:hAnsi="Cambria Math" w:cs="Times New Roman"/>
                <w:sz w:val="24"/>
                <w:szCs w:val="24"/>
              </w:rPr>
              <m:t>t</m:t>
            </m:r>
          </m:sub>
        </m:sSub>
      </m:oMath>
      <w:r w:rsidR="00F06F3E" w:rsidRPr="00F06F3E">
        <w:rPr>
          <w:rFonts w:ascii="Times New Roman" w:eastAsia="Times New Roman" w:hAnsi="Times New Roman" w:cs="Times New Roman"/>
          <w:sz w:val="24"/>
          <w:szCs w:val="24"/>
        </w:rPr>
        <w:t>)</w:t>
      </w:r>
      <w:r w:rsidR="00F06F3E">
        <w:rPr>
          <w:rFonts w:ascii="Times New Roman" w:eastAsia="Times New Roman" w:hAnsi="Times New Roman" w:cs="Times New Roman"/>
          <w:sz w:val="24"/>
          <w:szCs w:val="24"/>
        </w:rPr>
        <w:t xml:space="preserve">                                                                                                     </w:t>
      </w:r>
      <w:r w:rsidR="00F06F3E" w:rsidRPr="00F06F3E">
        <w:rPr>
          <w:rFonts w:ascii="Times New Roman" w:eastAsia="Times New Roman" w:hAnsi="Times New Roman" w:cs="Times New Roman"/>
          <w:sz w:val="24"/>
          <w:szCs w:val="24"/>
        </w:rPr>
        <w:t>(</w:t>
      </w:r>
      <w:r w:rsidR="00F06F3E">
        <w:rPr>
          <w:rFonts w:ascii="Times New Roman" w:eastAsia="Times New Roman" w:hAnsi="Times New Roman" w:cs="Times New Roman"/>
          <w:sz w:val="24"/>
          <w:szCs w:val="24"/>
        </w:rPr>
        <w:t>1</w:t>
      </w:r>
      <w:r w:rsidR="00F06F3E" w:rsidRPr="00F06F3E">
        <w:rPr>
          <w:rFonts w:ascii="Times New Roman" w:eastAsia="Times New Roman" w:hAnsi="Times New Roman" w:cs="Times New Roman"/>
          <w:sz w:val="24"/>
          <w:szCs w:val="24"/>
        </w:rPr>
        <w:t>)</w:t>
      </w:r>
    </w:p>
    <w:p w14:paraId="4FF9E398" w14:textId="6A2A800A" w:rsidR="00F06F3E" w:rsidRPr="00F06F3E" w:rsidRDefault="00F06F3E" w:rsidP="00F06F3E">
      <w:pPr>
        <w:spacing w:line="480" w:lineRule="auto"/>
        <w:jc w:val="both"/>
        <w:rPr>
          <w:rFonts w:ascii="Times New Roman" w:eastAsia="Times New Roman" w:hAnsi="Times New Roman" w:cs="Times New Roman"/>
          <w:sz w:val="24"/>
          <w:szCs w:val="24"/>
        </w:rPr>
      </w:pPr>
      <w:r w:rsidRPr="00F06F3E">
        <w:rPr>
          <w:rFonts w:ascii="Times New Roman" w:eastAsia="Times New Roman" w:hAnsi="Times New Roman" w:cs="Times New Roman"/>
          <w:sz w:val="24"/>
          <w:szCs w:val="24"/>
        </w:rPr>
        <w:t>Vec</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 xml:space="preserve"> b</m:t>
            </m:r>
          </m:e>
          <m:sub>
            <m:r>
              <w:rPr>
                <w:rFonts w:ascii="Cambria Math" w:eastAsia="Times New Roman" w:hAnsi="Cambria Math" w:cs="Times New Roman"/>
                <w:sz w:val="24"/>
                <w:szCs w:val="24"/>
              </w:rPr>
              <m:t>t</m:t>
            </m:r>
          </m:sub>
        </m:sSub>
      </m:oMath>
      <w:r w:rsidRPr="00F06F3E">
        <w:rPr>
          <w:rFonts w:ascii="Times New Roman" w:eastAsia="Times New Roman" w:hAnsi="Times New Roman" w:cs="Times New Roman"/>
          <w:sz w:val="24"/>
          <w:szCs w:val="24"/>
        </w:rPr>
        <w:t>= vec= vec</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 xml:space="preserve"> b</m:t>
            </m:r>
          </m:e>
          <m:sub>
            <m:r>
              <w:rPr>
                <w:rFonts w:ascii="Cambria Math" w:eastAsia="Times New Roman" w:hAnsi="Cambria Math" w:cs="Times New Roman"/>
                <w:sz w:val="24"/>
                <w:szCs w:val="24"/>
              </w:rPr>
              <m:t>t-1</m:t>
            </m:r>
          </m:sub>
        </m:sSub>
      </m:oMath>
      <w:r w:rsidRPr="00F06F3E">
        <w:rPr>
          <w:rFonts w:ascii="Times New Roman" w:eastAsia="Times New Roman" w:hAnsi="Times New Roman" w:cs="Times New Roman"/>
          <w:sz w:val="24"/>
          <w:szCs w:val="24"/>
        </w:rPr>
        <w:t xml:space="preserve"> +</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u</m:t>
            </m:r>
          </m:e>
          <m:sub>
            <m:r>
              <w:rPr>
                <w:rFonts w:ascii="Cambria Math" w:eastAsia="Times New Roman" w:hAnsi="Cambria Math" w:cs="Times New Roman"/>
                <w:sz w:val="24"/>
                <w:szCs w:val="24"/>
              </w:rPr>
              <m:t>t</m:t>
            </m:r>
          </m:sub>
        </m:sSub>
      </m:oMath>
      <w:r w:rsidRPr="00F06F3E">
        <w:rPr>
          <w:rFonts w:ascii="Times New Roman" w:eastAsia="Times New Roman" w:hAnsi="Times New Roman" w:cs="Times New Roman"/>
          <w:sz w:val="24"/>
          <w:szCs w:val="24"/>
        </w:rPr>
        <w:t>,</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u</m:t>
            </m:r>
          </m:e>
          <m:sub>
            <m:r>
              <w:rPr>
                <w:rFonts w:ascii="Cambria Math" w:eastAsia="Times New Roman" w:hAnsi="Cambria Math" w:cs="Times New Roman"/>
                <w:sz w:val="24"/>
                <w:szCs w:val="24"/>
              </w:rPr>
              <m:t xml:space="preserve">t </m:t>
            </m:r>
          </m:sub>
        </m:sSub>
        <m:r>
          <w:rPr>
            <w:rFonts w:ascii="Cambria Math" w:eastAsia="Times New Roman" w:hAnsi="Cambria Math" w:cs="Times New Roman"/>
            <w:sz w:val="24"/>
            <w:szCs w:val="24"/>
          </w:rPr>
          <m:t>~</m:t>
        </m:r>
      </m:oMath>
      <w:r w:rsidRPr="00F06F3E">
        <w:rPr>
          <w:rFonts w:ascii="Times New Roman" w:eastAsia="Times New Roman" w:hAnsi="Times New Roman" w:cs="Times New Roman"/>
          <w:sz w:val="24"/>
          <w:szCs w:val="24"/>
        </w:rPr>
        <w:t xml:space="preserve"> N(0,</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S</m:t>
            </m:r>
          </m:e>
          <m:sub>
            <m:r>
              <w:rPr>
                <w:rFonts w:ascii="Cambria Math" w:eastAsia="Times New Roman" w:hAnsi="Cambria Math" w:cs="Times New Roman"/>
                <w:sz w:val="24"/>
                <w:szCs w:val="24"/>
              </w:rPr>
              <m:t>t</m:t>
            </m:r>
          </m:sub>
        </m:sSub>
      </m:oMath>
      <w:r w:rsidRPr="00F06F3E">
        <w:rPr>
          <w:rFonts w:ascii="Times New Roman" w:eastAsia="Times New Roman" w:hAnsi="Times New Roman" w:cs="Times New Roman"/>
          <w:sz w:val="24"/>
          <w:szCs w:val="24"/>
        </w:rPr>
        <w:t>)</w:t>
      </w:r>
      <w:r w:rsidRPr="00F06F3E">
        <w:rPr>
          <w:rFonts w:ascii="Times New Roman" w:eastAsia="Times New Roman" w:hAnsi="Times New Roman" w:cs="Times New Roman"/>
          <w:sz w:val="24"/>
          <w:szCs w:val="24"/>
        </w:rPr>
        <w:tab/>
      </w:r>
      <w:r w:rsidRPr="00F06F3E">
        <w:rPr>
          <w:rFonts w:ascii="Times New Roman" w:eastAsia="Times New Roman" w:hAnsi="Times New Roman" w:cs="Times New Roman"/>
          <w:sz w:val="24"/>
          <w:szCs w:val="24"/>
        </w:rPr>
        <w:tab/>
      </w:r>
      <w:r w:rsidRPr="00F06F3E">
        <w:rPr>
          <w:rFonts w:ascii="Times New Roman" w:eastAsia="Times New Roman" w:hAnsi="Times New Roman" w:cs="Times New Roman"/>
          <w:sz w:val="24"/>
          <w:szCs w:val="24"/>
        </w:rPr>
        <w:tab/>
      </w:r>
      <w:r w:rsidRPr="00F06F3E">
        <w:rPr>
          <w:rFonts w:ascii="Times New Roman" w:eastAsia="Times New Roman" w:hAnsi="Times New Roman" w:cs="Times New Roman"/>
          <w:sz w:val="24"/>
          <w:szCs w:val="24"/>
        </w:rPr>
        <w:tab/>
      </w:r>
      <w:r w:rsidRPr="00F06F3E">
        <w:rPr>
          <w:rFonts w:ascii="Times New Roman" w:eastAsia="Times New Roman" w:hAnsi="Times New Roman" w:cs="Times New Roman"/>
          <w:sz w:val="24"/>
          <w:szCs w:val="24"/>
        </w:rPr>
        <w:tab/>
      </w:r>
      <w:r w:rsidRPr="00F06F3E">
        <w:rPr>
          <w:rFonts w:ascii="Times New Roman" w:eastAsia="Times New Roman" w:hAnsi="Times New Roman" w:cs="Times New Roman"/>
          <w:sz w:val="24"/>
          <w:szCs w:val="24"/>
        </w:rPr>
        <w:tab/>
      </w:r>
      <w:r w:rsidRPr="00F06F3E">
        <w:rPr>
          <w:rFonts w:ascii="Times New Roman" w:eastAsia="Times New Roman" w:hAnsi="Times New Roman" w:cs="Times New Roman"/>
          <w:sz w:val="24"/>
          <w:szCs w:val="24"/>
        </w:rPr>
        <w:tab/>
        <w:t>(</w:t>
      </w:r>
      <w:r>
        <w:rPr>
          <w:rFonts w:ascii="Times New Roman" w:eastAsia="Times New Roman" w:hAnsi="Times New Roman" w:cs="Times New Roman"/>
          <w:sz w:val="24"/>
          <w:szCs w:val="24"/>
        </w:rPr>
        <w:t>2</w:t>
      </w:r>
      <w:r w:rsidRPr="00F06F3E">
        <w:rPr>
          <w:rFonts w:ascii="Times New Roman" w:eastAsia="Times New Roman" w:hAnsi="Times New Roman" w:cs="Times New Roman"/>
          <w:sz w:val="24"/>
          <w:szCs w:val="24"/>
        </w:rPr>
        <w:t>)</w:t>
      </w:r>
    </w:p>
    <w:p w14:paraId="409D1D74" w14:textId="7B7EF724" w:rsidR="00F06F3E" w:rsidRPr="00F06F3E" w:rsidRDefault="00F06F3E" w:rsidP="00F06F3E">
      <w:pPr>
        <w:spacing w:line="480" w:lineRule="auto"/>
        <w:jc w:val="both"/>
        <w:rPr>
          <w:rFonts w:ascii="Times New Roman" w:eastAsia="Times New Roman" w:hAnsi="Times New Roman" w:cs="Times New Roman"/>
          <w:sz w:val="24"/>
          <w:szCs w:val="24"/>
        </w:rPr>
      </w:pPr>
      <w:r w:rsidRPr="00F06F3E">
        <w:rPr>
          <w:rFonts w:ascii="Times New Roman" w:eastAsia="Times New Roman" w:hAnsi="Times New Roman" w:cs="Times New Roman"/>
          <w:sz w:val="24"/>
          <w:szCs w:val="24"/>
        </w:rPr>
        <w:t xml:space="preserve">where </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p</m:t>
            </m:r>
          </m:e>
          <m:sub>
            <m:r>
              <w:rPr>
                <w:rFonts w:ascii="Cambria Math" w:eastAsia="Times New Roman" w:hAnsi="Cambria Math" w:cs="Times New Roman"/>
                <w:sz w:val="24"/>
                <w:szCs w:val="24"/>
              </w:rPr>
              <m:t>t</m:t>
            </m:r>
          </m:sub>
        </m:sSub>
      </m:oMath>
      <w:r w:rsidRPr="00F06F3E">
        <w:rPr>
          <w:rFonts w:ascii="Times New Roman" w:eastAsia="Times New Roman" w:hAnsi="Times New Roman" w:cs="Times New Roman"/>
          <w:sz w:val="24"/>
          <w:szCs w:val="24"/>
        </w:rPr>
        <w:t xml:space="preserve"> is a k × 1 the dimensional vectors at time t and </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v</m:t>
            </m:r>
          </m:e>
          <m:sub>
            <m:r>
              <w:rPr>
                <w:rFonts w:ascii="Cambria Math" w:eastAsia="Times New Roman" w:hAnsi="Cambria Math" w:cs="Times New Roman"/>
                <w:sz w:val="24"/>
                <w:szCs w:val="24"/>
              </w:rPr>
              <m:t>t,</m:t>
            </m:r>
          </m:sub>
        </m:sSub>
      </m:oMath>
      <w:r w:rsidRPr="00F06F3E">
        <w:rPr>
          <w:rFonts w:ascii="Times New Roman" w:eastAsia="Times New Roman" w:hAnsi="Times New Roman" w:cs="Times New Roman"/>
          <w:sz w:val="24"/>
          <w:szCs w:val="24"/>
        </w:rPr>
        <w:t xml:space="preserve"> correspond to the respective error terms.The matrices  </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m:t>
            </m:r>
          </m:e>
          <m:sub>
            <m:r>
              <w:rPr>
                <w:rFonts w:ascii="Cambria Math" w:eastAsia="Times New Roman" w:hAnsi="Cambria Math" w:cs="Times New Roman"/>
                <w:sz w:val="24"/>
                <w:szCs w:val="24"/>
              </w:rPr>
              <m:t>t</m:t>
            </m:r>
          </m:sub>
        </m:sSub>
      </m:oMath>
      <w:r w:rsidRPr="00F06F3E">
        <w:rPr>
          <w:rFonts w:ascii="Times New Roman" w:eastAsia="Times New Roman" w:hAnsi="Times New Roman" w:cs="Times New Roman"/>
          <w:sz w:val="24"/>
          <w:szCs w:val="24"/>
        </w:rPr>
        <w:t xml:space="preserve"> and </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b</m:t>
            </m:r>
          </m:e>
          <m:sub>
            <m:r>
              <w:rPr>
                <w:rFonts w:ascii="Cambria Math" w:eastAsia="Times New Roman" w:hAnsi="Cambria Math" w:cs="Times New Roman"/>
                <w:sz w:val="24"/>
                <w:szCs w:val="24"/>
              </w:rPr>
              <m:t xml:space="preserve">t </m:t>
            </m:r>
          </m:sub>
        </m:sSub>
      </m:oMath>
      <w:r w:rsidRPr="00F06F3E">
        <w:rPr>
          <w:rFonts w:ascii="Times New Roman" w:eastAsia="Times New Roman" w:hAnsi="Times New Roman" w:cs="Times New Roman"/>
          <w:sz w:val="24"/>
          <w:szCs w:val="24"/>
        </w:rPr>
        <w:t xml:space="preserve">are k × k dimensional matrices that represent that time-varying variance covariance and time-varying VAR coefficient matrix, respectively. vec </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 xml:space="preserve"> b</m:t>
            </m:r>
          </m:e>
          <m:sub>
            <m:r>
              <w:rPr>
                <w:rFonts w:ascii="Cambria Math" w:eastAsia="Times New Roman" w:hAnsi="Cambria Math" w:cs="Times New Roman"/>
                <w:sz w:val="24"/>
                <w:szCs w:val="24"/>
              </w:rPr>
              <m:t>t</m:t>
            </m:r>
          </m:sub>
        </m:sSub>
      </m:oMath>
      <w:r w:rsidRPr="00F06F3E">
        <w:rPr>
          <w:rFonts w:ascii="Times New Roman" w:eastAsia="Times New Roman" w:hAnsi="Times New Roman" w:cs="Times New Roman"/>
          <w:sz w:val="24"/>
          <w:szCs w:val="24"/>
        </w:rPr>
        <w:t xml:space="preserve"> denotes the vectorization applied to the transpose of vector </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 xml:space="preserve"> b</m:t>
            </m:r>
          </m:e>
          <m:sub>
            <m:r>
              <w:rPr>
                <w:rFonts w:ascii="Cambria Math" w:eastAsia="Times New Roman" w:hAnsi="Cambria Math" w:cs="Times New Roman"/>
                <w:sz w:val="24"/>
                <w:szCs w:val="24"/>
              </w:rPr>
              <m:t>t</m:t>
            </m:r>
          </m:sub>
        </m:sSub>
      </m:oMath>
      <w:r w:rsidRPr="00F06F3E">
        <w:rPr>
          <w:rFonts w:ascii="Times New Roman" w:eastAsia="Times New Roman" w:hAnsi="Times New Roman" w:cs="Times New Roman"/>
          <w:sz w:val="24"/>
          <w:szCs w:val="24"/>
        </w:rPr>
        <w:t xml:space="preserve">  which means, vec (</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 xml:space="preserve"> b</m:t>
            </m:r>
          </m:e>
          <m:sub>
            <m:r>
              <w:rPr>
                <w:rFonts w:ascii="Cambria Math" w:eastAsia="Times New Roman" w:hAnsi="Cambria Math" w:cs="Times New Roman"/>
                <w:sz w:val="24"/>
                <w:szCs w:val="24"/>
              </w:rPr>
              <m:t>t</m:t>
            </m:r>
          </m:sub>
        </m:sSub>
      </m:oMath>
      <w:r w:rsidRPr="00F06F3E">
        <w:rPr>
          <w:rFonts w:ascii="Times New Roman" w:eastAsia="Times New Roman" w:hAnsi="Times New Roman" w:cs="Times New Roman"/>
          <w:sz w:val="24"/>
          <w:szCs w:val="24"/>
        </w:rPr>
        <w:t xml:space="preserve">) and </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u</m:t>
            </m:r>
          </m:e>
          <m:sub>
            <m:r>
              <w:rPr>
                <w:rFonts w:ascii="Cambria Math" w:eastAsia="Times New Roman" w:hAnsi="Cambria Math" w:cs="Times New Roman"/>
                <w:sz w:val="24"/>
                <w:szCs w:val="24"/>
              </w:rPr>
              <m:t>t</m:t>
            </m:r>
          </m:sub>
        </m:sSub>
      </m:oMath>
      <w:r w:rsidRPr="00F06F3E">
        <w:rPr>
          <w:rFonts w:ascii="Times New Roman" w:eastAsia="Times New Roman" w:hAnsi="Times New Roman" w:cs="Times New Roman"/>
          <w:sz w:val="24"/>
          <w:szCs w:val="24"/>
        </w:rPr>
        <w:t xml:space="preserve"> are the k 2 × 1 dimensional </w:t>
      </w:r>
      <w:proofErr w:type="gramStart"/>
      <w:r w:rsidRPr="00F06F3E">
        <w:rPr>
          <w:rFonts w:ascii="Times New Roman" w:eastAsia="Times New Roman" w:hAnsi="Times New Roman" w:cs="Times New Roman"/>
          <w:sz w:val="24"/>
          <w:szCs w:val="24"/>
        </w:rPr>
        <w:t>vectors</w:t>
      </w:r>
      <w:proofErr w:type="gramEnd"/>
      <w:r w:rsidRPr="00F06F3E">
        <w:rPr>
          <w:rFonts w:ascii="Times New Roman" w:eastAsia="Times New Roman" w:hAnsi="Times New Roman" w:cs="Times New Roman"/>
          <w:sz w:val="24"/>
          <w:szCs w:val="24"/>
        </w:rPr>
        <w:t xml:space="preserve">, </w:t>
      </w:r>
      <m:oMath>
        <m:sSub>
          <m:sSubPr>
            <m:ctrlPr>
              <w:rPr>
                <w:rFonts w:ascii="Cambria Math" w:eastAsia="Times New Roman" w:hAnsi="Cambria Math" w:cs="Times New Roman"/>
                <w:i/>
                <w:sz w:val="24"/>
                <w:szCs w:val="24"/>
              </w:rPr>
            </m:ctrlPr>
          </m:sSubPr>
          <m:e>
            <m:r>
              <w:rPr>
                <w:rFonts w:ascii="Cambria Math" w:eastAsia="Times New Roman" w:hAnsi="Cambria Math" w:cs="Times New Roman"/>
                <w:sz w:val="24"/>
                <w:szCs w:val="24"/>
              </w:rPr>
              <m:t>S</m:t>
            </m:r>
          </m:e>
          <m:sub>
            <m:r>
              <w:rPr>
                <w:rFonts w:ascii="Cambria Math" w:eastAsia="Times New Roman" w:hAnsi="Cambria Math" w:cs="Times New Roman"/>
                <w:sz w:val="24"/>
                <w:szCs w:val="24"/>
              </w:rPr>
              <m:t>t</m:t>
            </m:r>
          </m:sub>
        </m:sSub>
      </m:oMath>
      <w:r w:rsidRPr="00F06F3E">
        <w:rPr>
          <w:rFonts w:ascii="Times New Roman" w:eastAsia="Times New Roman" w:hAnsi="Times New Roman" w:cs="Times New Roman"/>
          <w:sz w:val="24"/>
          <w:szCs w:val="24"/>
        </w:rPr>
        <w:t xml:space="preserve"> are k 2 × k 2 dimensional matrices that denotes the variance–covariance matrix of time-varying coefficients</w:t>
      </w:r>
      <w:r>
        <w:rPr>
          <w:rFonts w:ascii="Times New Roman" w:eastAsia="Times New Roman" w:hAnsi="Times New Roman" w:cs="Times New Roman"/>
          <w:sz w:val="24"/>
          <w:szCs w:val="24"/>
        </w:rPr>
        <w:t>.</w:t>
      </w:r>
    </w:p>
    <w:p w14:paraId="0E9E7F9F" w14:textId="77777777" w:rsidR="00126FAA" w:rsidRDefault="00126FAA" w:rsidP="00126FAA">
      <w:pPr>
        <w:spacing w:line="240" w:lineRule="auto"/>
        <w:jc w:val="both"/>
        <w:rPr>
          <w:rFonts w:ascii="Times New Roman" w:eastAsia="Times New Roman" w:hAnsi="Times New Roman" w:cs="Times New Roman"/>
          <w:b/>
          <w:sz w:val="24"/>
          <w:szCs w:val="24"/>
        </w:rPr>
      </w:pPr>
    </w:p>
    <w:p w14:paraId="20BC8A21" w14:textId="7192AFDB" w:rsidR="00126FAA" w:rsidRDefault="00126FAA" w:rsidP="00126FAA">
      <w:pPr>
        <w:spacing w:after="0" w:line="48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FINDINGS OF THE STUDY</w:t>
      </w:r>
    </w:p>
    <w:p w14:paraId="23714E22" w14:textId="58336CE1" w:rsidR="00126FAA" w:rsidRDefault="003D3E40" w:rsidP="00126FAA">
      <w:pPr>
        <w:spacing w:after="0" w:line="480" w:lineRule="auto"/>
        <w:jc w:val="both"/>
        <w:rPr>
          <w:rFonts w:ascii="Times New Roman" w:eastAsia="Times New Roman" w:hAnsi="Times New Roman" w:cs="Times New Roman"/>
          <w:sz w:val="24"/>
          <w:szCs w:val="24"/>
        </w:rPr>
      </w:pPr>
      <w:r w:rsidRPr="003D3E40">
        <w:rPr>
          <w:rFonts w:ascii="Times New Roman" w:eastAsia="Times New Roman" w:hAnsi="Times New Roman" w:cs="Times New Roman"/>
          <w:sz w:val="24"/>
          <w:szCs w:val="24"/>
        </w:rPr>
        <w:t>We briefly discuss the major findings here.</w:t>
      </w:r>
      <w:r>
        <w:rPr>
          <w:rFonts w:ascii="Times New Roman" w:eastAsia="Times New Roman" w:hAnsi="Times New Roman" w:cs="Times New Roman"/>
          <w:sz w:val="24"/>
          <w:szCs w:val="24"/>
        </w:rPr>
        <w:t xml:space="preserve"> </w:t>
      </w:r>
      <w:r w:rsidR="00A115FB">
        <w:rPr>
          <w:rFonts w:ascii="Times New Roman" w:eastAsia="Times New Roman" w:hAnsi="Times New Roman" w:cs="Times New Roman"/>
          <w:sz w:val="24"/>
          <w:szCs w:val="24"/>
        </w:rPr>
        <w:t>The daily logarithmic returns of sectoral equity indices are computed and applied for estimations. Table 1 shows that the returns are found to be non-normal and have no unit root. The f</w:t>
      </w:r>
      <w:r>
        <w:rPr>
          <w:rFonts w:ascii="Times New Roman" w:eastAsia="Times New Roman" w:hAnsi="Times New Roman" w:cs="Times New Roman"/>
          <w:sz w:val="24"/>
          <w:szCs w:val="24"/>
        </w:rPr>
        <w:t>igure 1 indic</w:t>
      </w:r>
      <w:r w:rsidR="00A115FB">
        <w:rPr>
          <w:rFonts w:ascii="Times New Roman" w:eastAsia="Times New Roman" w:hAnsi="Times New Roman" w:cs="Times New Roman"/>
          <w:sz w:val="24"/>
          <w:szCs w:val="24"/>
        </w:rPr>
        <w:t>ates a strong and positive correlation among all the four sectoral indices. The table 2 and 3 shows the measures of connectedness among the equity indices in their static and dynamic forms.</w:t>
      </w:r>
      <w:r w:rsidR="008F6CFB">
        <w:rPr>
          <w:rFonts w:ascii="Times New Roman" w:eastAsia="Times New Roman" w:hAnsi="Times New Roman" w:cs="Times New Roman"/>
          <w:sz w:val="24"/>
          <w:szCs w:val="24"/>
        </w:rPr>
        <w:t xml:space="preserve">  We document strong connectedness among the sectoral equity indices in India. Among the four sectors, Consumer Durables and Healthcare are net receivers of information; Auto and FMCG are net transmitters in the connectedness network. </w:t>
      </w:r>
    </w:p>
    <w:p w14:paraId="54D86143" w14:textId="77777777" w:rsidR="008F6CFB" w:rsidRPr="003D3E40" w:rsidRDefault="008F6CFB" w:rsidP="00126FAA">
      <w:pPr>
        <w:spacing w:after="0" w:line="480" w:lineRule="auto"/>
        <w:jc w:val="both"/>
        <w:rPr>
          <w:rFonts w:ascii="Times New Roman" w:eastAsia="Times New Roman" w:hAnsi="Times New Roman" w:cs="Times New Roman"/>
          <w:sz w:val="24"/>
          <w:szCs w:val="24"/>
        </w:rPr>
      </w:pPr>
    </w:p>
    <w:p w14:paraId="7C0BC9DC" w14:textId="59155810" w:rsidR="00126FAA" w:rsidRDefault="00126FAA" w:rsidP="00126FAA">
      <w:pPr>
        <w:spacing w:after="0" w:line="48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IMPLICATIONS</w:t>
      </w:r>
    </w:p>
    <w:p w14:paraId="16FEE38D" w14:textId="459F5C41" w:rsidR="00126FAA" w:rsidRPr="00BE1C32" w:rsidRDefault="00BE1C32" w:rsidP="00126FAA">
      <w:pPr>
        <w:spacing w:after="0" w:line="480"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Strong network connectedness </w:t>
      </w:r>
      <w:proofErr w:type="gramStart"/>
      <w:r>
        <w:rPr>
          <w:rFonts w:ascii="Times New Roman" w:eastAsia="Times New Roman" w:hAnsi="Times New Roman" w:cs="Times New Roman"/>
          <w:sz w:val="24"/>
          <w:szCs w:val="24"/>
        </w:rPr>
        <w:t>indicate</w:t>
      </w:r>
      <w:proofErr w:type="gramEnd"/>
      <w:r>
        <w:rPr>
          <w:rFonts w:ascii="Times New Roman" w:eastAsia="Times New Roman" w:hAnsi="Times New Roman" w:cs="Times New Roman"/>
          <w:sz w:val="24"/>
          <w:szCs w:val="24"/>
        </w:rPr>
        <w:t xml:space="preserve"> the information transmission channel exist between the equity sectors. Asset managers and </w:t>
      </w:r>
      <w:proofErr w:type="spellStart"/>
      <w:r>
        <w:rPr>
          <w:rFonts w:ascii="Times New Roman" w:eastAsia="Times New Roman" w:hAnsi="Times New Roman" w:cs="Times New Roman"/>
          <w:sz w:val="24"/>
          <w:szCs w:val="24"/>
        </w:rPr>
        <w:t>commod</w:t>
      </w:r>
      <w:r>
        <w:rPr>
          <w:rFonts w:ascii="Times New Roman" w:eastAsia="Times New Roman" w:hAnsi="Times New Roman" w:cs="Times New Roman"/>
          <w:sz w:val="24"/>
          <w:szCs w:val="24"/>
          <w:lang w:val="en-US"/>
        </w:rPr>
        <w:t>ity</w:t>
      </w:r>
      <w:proofErr w:type="spellEnd"/>
      <w:r>
        <w:rPr>
          <w:rFonts w:ascii="Times New Roman" w:eastAsia="Times New Roman" w:hAnsi="Times New Roman" w:cs="Times New Roman"/>
          <w:sz w:val="24"/>
          <w:szCs w:val="24"/>
          <w:lang w:val="en-US"/>
        </w:rPr>
        <w:t xml:space="preserve"> traders can benefit from </w:t>
      </w:r>
      <w:proofErr w:type="gramStart"/>
      <w:r>
        <w:rPr>
          <w:rFonts w:ascii="Times New Roman" w:eastAsia="Times New Roman" w:hAnsi="Times New Roman" w:cs="Times New Roman"/>
          <w:sz w:val="24"/>
          <w:szCs w:val="24"/>
          <w:lang w:val="en-US"/>
        </w:rPr>
        <w:t>this findings</w:t>
      </w:r>
      <w:proofErr w:type="gramEnd"/>
      <w:r>
        <w:rPr>
          <w:rFonts w:ascii="Times New Roman" w:eastAsia="Times New Roman" w:hAnsi="Times New Roman" w:cs="Times New Roman"/>
          <w:sz w:val="24"/>
          <w:szCs w:val="24"/>
          <w:lang w:val="en-US"/>
        </w:rPr>
        <w:t xml:space="preserve"> by identifying the indices that act as complementary (hedge) assets in their broad market portfolios. The information transmission channels in the connectedness plot will be helpful to the policy makers to choose the intervention measures to effect regulatory changes in specific sectors thoughtful of the connectedness among sectors that would create system-wide contagion.</w:t>
      </w:r>
    </w:p>
    <w:p w14:paraId="532A4660" w14:textId="77777777" w:rsidR="00BE1C32" w:rsidRPr="00BE1C32" w:rsidRDefault="00BE1C32" w:rsidP="00126FAA">
      <w:pPr>
        <w:spacing w:after="0" w:line="480" w:lineRule="auto"/>
        <w:jc w:val="both"/>
        <w:rPr>
          <w:rFonts w:ascii="Times New Roman" w:eastAsia="Times New Roman" w:hAnsi="Times New Roman" w:cs="Times New Roman"/>
          <w:sz w:val="24"/>
          <w:szCs w:val="24"/>
        </w:rPr>
      </w:pPr>
    </w:p>
    <w:p w14:paraId="6B4BEDC3" w14:textId="77777777" w:rsidR="00126FAA" w:rsidRDefault="00126FAA" w:rsidP="00126FAA">
      <w:pPr>
        <w:spacing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REFERENCES</w:t>
      </w:r>
    </w:p>
    <w:p w14:paraId="04D8C850" w14:textId="77777777" w:rsidR="002B7A05" w:rsidRPr="00AB53A2" w:rsidRDefault="002B7A05" w:rsidP="00AB53A2">
      <w:pPr>
        <w:pStyle w:val="ListParagraph"/>
        <w:widowControl w:val="0"/>
        <w:numPr>
          <w:ilvl w:val="0"/>
          <w:numId w:val="2"/>
        </w:numPr>
        <w:autoSpaceDE w:val="0"/>
        <w:autoSpaceDN w:val="0"/>
        <w:adjustRightInd w:val="0"/>
        <w:spacing w:line="480" w:lineRule="auto"/>
        <w:rPr>
          <w:rFonts w:ascii="Times New Roman" w:hAnsi="Times New Roman" w:cs="Times New Roman"/>
          <w:noProof/>
          <w:sz w:val="24"/>
          <w:szCs w:val="24"/>
        </w:rPr>
      </w:pPr>
      <w:r w:rsidRPr="00AB53A2">
        <w:rPr>
          <w:rFonts w:ascii="Times New Roman" w:hAnsi="Times New Roman" w:cs="Times New Roman"/>
          <w:noProof/>
          <w:sz w:val="24"/>
          <w:szCs w:val="24"/>
        </w:rPr>
        <w:t xml:space="preserve">Antonakakis, N., Chatziantoniou, I., &amp; Gabauer, D. (2020). Refined Measures of Dynamic Connectedness based on Time-Varying Parameter Vector Autoregressions. </w:t>
      </w:r>
      <w:r w:rsidRPr="00AB53A2">
        <w:rPr>
          <w:rFonts w:ascii="Times New Roman" w:hAnsi="Times New Roman" w:cs="Times New Roman"/>
          <w:i/>
          <w:iCs/>
          <w:noProof/>
          <w:sz w:val="24"/>
          <w:szCs w:val="24"/>
        </w:rPr>
        <w:t>Journal of Risk and Financial Management</w:t>
      </w:r>
      <w:r w:rsidRPr="00AB53A2">
        <w:rPr>
          <w:rFonts w:ascii="Times New Roman" w:hAnsi="Times New Roman" w:cs="Times New Roman"/>
          <w:noProof/>
          <w:sz w:val="24"/>
          <w:szCs w:val="24"/>
        </w:rPr>
        <w:t xml:space="preserve">, </w:t>
      </w:r>
      <w:r w:rsidRPr="00AB53A2">
        <w:rPr>
          <w:rFonts w:ascii="Times New Roman" w:hAnsi="Times New Roman" w:cs="Times New Roman"/>
          <w:i/>
          <w:iCs/>
          <w:noProof/>
          <w:sz w:val="24"/>
          <w:szCs w:val="24"/>
        </w:rPr>
        <w:t>13</w:t>
      </w:r>
      <w:r w:rsidRPr="00AB53A2">
        <w:rPr>
          <w:rFonts w:ascii="Times New Roman" w:hAnsi="Times New Roman" w:cs="Times New Roman"/>
          <w:noProof/>
          <w:sz w:val="24"/>
          <w:szCs w:val="24"/>
        </w:rPr>
        <w:t>(4), 84. https://doi.org/10.3390/jrfm13040084</w:t>
      </w:r>
    </w:p>
    <w:p w14:paraId="0B8963B5" w14:textId="77777777" w:rsidR="002B7A05" w:rsidRPr="00AB53A2" w:rsidRDefault="002B7A05" w:rsidP="00AB53A2">
      <w:pPr>
        <w:pStyle w:val="ListParagraph"/>
        <w:numPr>
          <w:ilvl w:val="0"/>
          <w:numId w:val="2"/>
        </w:numPr>
        <w:spacing w:line="480" w:lineRule="auto"/>
        <w:jc w:val="both"/>
        <w:rPr>
          <w:rFonts w:ascii="Times New Roman" w:eastAsia="Times New Roman" w:hAnsi="Times New Roman" w:cs="Times New Roman"/>
          <w:sz w:val="24"/>
          <w:szCs w:val="24"/>
        </w:rPr>
      </w:pPr>
      <w:r w:rsidRPr="00AB53A2">
        <w:rPr>
          <w:rFonts w:ascii="Times New Roman" w:eastAsia="Times New Roman" w:hAnsi="Times New Roman" w:cs="Times New Roman"/>
          <w:sz w:val="24"/>
          <w:szCs w:val="24"/>
        </w:rPr>
        <w:t xml:space="preserve">Bouri, E., </w:t>
      </w:r>
      <w:proofErr w:type="spellStart"/>
      <w:r w:rsidRPr="00AB53A2">
        <w:rPr>
          <w:rFonts w:ascii="Times New Roman" w:eastAsia="Times New Roman" w:hAnsi="Times New Roman" w:cs="Times New Roman"/>
          <w:sz w:val="24"/>
          <w:szCs w:val="24"/>
        </w:rPr>
        <w:t>Cepni</w:t>
      </w:r>
      <w:proofErr w:type="spellEnd"/>
      <w:r w:rsidRPr="00AB53A2">
        <w:rPr>
          <w:rFonts w:ascii="Times New Roman" w:eastAsia="Times New Roman" w:hAnsi="Times New Roman" w:cs="Times New Roman"/>
          <w:sz w:val="24"/>
          <w:szCs w:val="24"/>
        </w:rPr>
        <w:t>, O., Gabauer, D., &amp; Gupta, R. (2021). Return connectedness across asset classes around the COVID-19 outbreak. </w:t>
      </w:r>
      <w:r w:rsidRPr="00AB53A2">
        <w:rPr>
          <w:rFonts w:ascii="Times New Roman" w:eastAsia="Times New Roman" w:hAnsi="Times New Roman" w:cs="Times New Roman"/>
          <w:i/>
          <w:iCs/>
          <w:sz w:val="24"/>
          <w:szCs w:val="24"/>
        </w:rPr>
        <w:t>International review of financial analysis</w:t>
      </w:r>
      <w:r w:rsidRPr="00AB53A2">
        <w:rPr>
          <w:rFonts w:ascii="Times New Roman" w:eastAsia="Times New Roman" w:hAnsi="Times New Roman" w:cs="Times New Roman"/>
          <w:sz w:val="24"/>
          <w:szCs w:val="24"/>
        </w:rPr>
        <w:t>, </w:t>
      </w:r>
      <w:r w:rsidRPr="00AB53A2">
        <w:rPr>
          <w:rFonts w:ascii="Times New Roman" w:eastAsia="Times New Roman" w:hAnsi="Times New Roman" w:cs="Times New Roman"/>
          <w:i/>
          <w:iCs/>
          <w:sz w:val="24"/>
          <w:szCs w:val="24"/>
        </w:rPr>
        <w:t>73</w:t>
      </w:r>
      <w:r w:rsidRPr="00AB53A2">
        <w:rPr>
          <w:rFonts w:ascii="Times New Roman" w:eastAsia="Times New Roman" w:hAnsi="Times New Roman" w:cs="Times New Roman"/>
          <w:sz w:val="24"/>
          <w:szCs w:val="24"/>
        </w:rPr>
        <w:t>, 101646.</w:t>
      </w:r>
    </w:p>
    <w:p w14:paraId="30C2C489" w14:textId="77777777" w:rsidR="002B7A05" w:rsidRPr="00AB53A2" w:rsidRDefault="002B7A05" w:rsidP="00AB53A2">
      <w:pPr>
        <w:pStyle w:val="ListParagraph"/>
        <w:widowControl w:val="0"/>
        <w:numPr>
          <w:ilvl w:val="0"/>
          <w:numId w:val="2"/>
        </w:numPr>
        <w:autoSpaceDE w:val="0"/>
        <w:autoSpaceDN w:val="0"/>
        <w:adjustRightInd w:val="0"/>
        <w:spacing w:line="480" w:lineRule="auto"/>
        <w:rPr>
          <w:rFonts w:ascii="Times New Roman" w:hAnsi="Times New Roman" w:cs="Times New Roman"/>
          <w:noProof/>
          <w:sz w:val="24"/>
          <w:szCs w:val="24"/>
        </w:rPr>
      </w:pPr>
      <w:r w:rsidRPr="00AB53A2">
        <w:rPr>
          <w:rFonts w:ascii="Times New Roman" w:hAnsi="Times New Roman" w:cs="Times New Roman"/>
          <w:noProof/>
          <w:sz w:val="24"/>
          <w:szCs w:val="24"/>
        </w:rPr>
        <w:t xml:space="preserve">Corbet, S., Goodell, J. W., &amp; Günay, S. (2020). Co-movements and spillovers of oil and renewable firms under extreme conditions: New evidence from negative WTI prices during COVID-19. </w:t>
      </w:r>
      <w:r w:rsidRPr="00AB53A2">
        <w:rPr>
          <w:rFonts w:ascii="Times New Roman" w:hAnsi="Times New Roman" w:cs="Times New Roman"/>
          <w:i/>
          <w:iCs/>
          <w:noProof/>
          <w:sz w:val="24"/>
          <w:szCs w:val="24"/>
        </w:rPr>
        <w:t>Energy Economics</w:t>
      </w:r>
      <w:r w:rsidRPr="00AB53A2">
        <w:rPr>
          <w:rFonts w:ascii="Times New Roman" w:hAnsi="Times New Roman" w:cs="Times New Roman"/>
          <w:noProof/>
          <w:sz w:val="24"/>
          <w:szCs w:val="24"/>
        </w:rPr>
        <w:t xml:space="preserve">, </w:t>
      </w:r>
      <w:r w:rsidRPr="00AB53A2">
        <w:rPr>
          <w:rFonts w:ascii="Times New Roman" w:hAnsi="Times New Roman" w:cs="Times New Roman"/>
          <w:i/>
          <w:iCs/>
          <w:noProof/>
          <w:sz w:val="24"/>
          <w:szCs w:val="24"/>
        </w:rPr>
        <w:t>92</w:t>
      </w:r>
      <w:r w:rsidRPr="00AB53A2">
        <w:rPr>
          <w:rFonts w:ascii="Times New Roman" w:hAnsi="Times New Roman" w:cs="Times New Roman"/>
          <w:noProof/>
          <w:sz w:val="24"/>
          <w:szCs w:val="24"/>
        </w:rPr>
        <w:t>. https://doi.org/10.1016/j.eneco.2020.104978</w:t>
      </w:r>
    </w:p>
    <w:p w14:paraId="3AFA94EF" w14:textId="77777777" w:rsidR="002B7A05" w:rsidRPr="00AB53A2" w:rsidRDefault="002B7A05" w:rsidP="00AB53A2">
      <w:pPr>
        <w:pStyle w:val="ListParagraph"/>
        <w:numPr>
          <w:ilvl w:val="0"/>
          <w:numId w:val="2"/>
        </w:numPr>
        <w:spacing w:line="480" w:lineRule="auto"/>
        <w:jc w:val="both"/>
        <w:rPr>
          <w:rFonts w:ascii="Times New Roman" w:eastAsia="Times New Roman" w:hAnsi="Times New Roman" w:cs="Times New Roman"/>
          <w:sz w:val="24"/>
          <w:szCs w:val="24"/>
        </w:rPr>
      </w:pPr>
      <w:r w:rsidRPr="00AB53A2">
        <w:rPr>
          <w:rFonts w:ascii="Times New Roman" w:eastAsia="Times New Roman" w:hAnsi="Times New Roman" w:cs="Times New Roman"/>
          <w:sz w:val="24"/>
          <w:szCs w:val="24"/>
        </w:rPr>
        <w:t>Demirer, M., Diebold, F. X., Liu, L., &amp; Yilmaz, K. (2018). Estimating global bank network connectedness. </w:t>
      </w:r>
      <w:r w:rsidRPr="00AB53A2">
        <w:rPr>
          <w:rFonts w:ascii="Times New Roman" w:eastAsia="Times New Roman" w:hAnsi="Times New Roman" w:cs="Times New Roman"/>
          <w:i/>
          <w:iCs/>
          <w:sz w:val="24"/>
          <w:szCs w:val="24"/>
        </w:rPr>
        <w:t>Journal of Applied Econometrics</w:t>
      </w:r>
      <w:r w:rsidRPr="00AB53A2">
        <w:rPr>
          <w:rFonts w:ascii="Times New Roman" w:eastAsia="Times New Roman" w:hAnsi="Times New Roman" w:cs="Times New Roman"/>
          <w:sz w:val="24"/>
          <w:szCs w:val="24"/>
        </w:rPr>
        <w:t>, </w:t>
      </w:r>
      <w:r w:rsidRPr="00AB53A2">
        <w:rPr>
          <w:rFonts w:ascii="Times New Roman" w:eastAsia="Times New Roman" w:hAnsi="Times New Roman" w:cs="Times New Roman"/>
          <w:i/>
          <w:iCs/>
          <w:sz w:val="24"/>
          <w:szCs w:val="24"/>
        </w:rPr>
        <w:t>33</w:t>
      </w:r>
      <w:r w:rsidRPr="00AB53A2">
        <w:rPr>
          <w:rFonts w:ascii="Times New Roman" w:eastAsia="Times New Roman" w:hAnsi="Times New Roman" w:cs="Times New Roman"/>
          <w:sz w:val="24"/>
          <w:szCs w:val="24"/>
        </w:rPr>
        <w:t>(1), 1-15.</w:t>
      </w:r>
    </w:p>
    <w:p w14:paraId="3A307482" w14:textId="77777777" w:rsidR="002B7A05" w:rsidRPr="00AB53A2" w:rsidRDefault="002B7A05" w:rsidP="00AB53A2">
      <w:pPr>
        <w:pStyle w:val="ListParagraph"/>
        <w:widowControl w:val="0"/>
        <w:numPr>
          <w:ilvl w:val="0"/>
          <w:numId w:val="2"/>
        </w:numPr>
        <w:autoSpaceDE w:val="0"/>
        <w:autoSpaceDN w:val="0"/>
        <w:adjustRightInd w:val="0"/>
        <w:spacing w:line="480" w:lineRule="auto"/>
        <w:rPr>
          <w:rFonts w:ascii="Times New Roman" w:hAnsi="Times New Roman" w:cs="Times New Roman"/>
          <w:noProof/>
          <w:sz w:val="24"/>
          <w:szCs w:val="24"/>
        </w:rPr>
      </w:pPr>
      <w:r w:rsidRPr="00AB53A2">
        <w:rPr>
          <w:rFonts w:ascii="Times New Roman" w:hAnsi="Times New Roman" w:cs="Times New Roman"/>
          <w:noProof/>
          <w:sz w:val="24"/>
          <w:szCs w:val="24"/>
        </w:rPr>
        <w:t xml:space="preserve">Diebold, F. X., &amp; Yilmaz, K. (2012). Better to give than to receive: Predictive </w:t>
      </w:r>
      <w:r w:rsidRPr="00AB53A2">
        <w:rPr>
          <w:rFonts w:ascii="Times New Roman" w:hAnsi="Times New Roman" w:cs="Times New Roman"/>
          <w:noProof/>
          <w:sz w:val="24"/>
          <w:szCs w:val="24"/>
        </w:rPr>
        <w:lastRenderedPageBreak/>
        <w:t xml:space="preserve">directional measurement of volatility spillovers. </w:t>
      </w:r>
      <w:r w:rsidRPr="00AB53A2">
        <w:rPr>
          <w:rFonts w:ascii="Times New Roman" w:hAnsi="Times New Roman" w:cs="Times New Roman"/>
          <w:i/>
          <w:iCs/>
          <w:noProof/>
          <w:sz w:val="24"/>
          <w:szCs w:val="24"/>
        </w:rPr>
        <w:t>International Journal of Forecasting</w:t>
      </w:r>
      <w:r w:rsidRPr="00AB53A2">
        <w:rPr>
          <w:rFonts w:ascii="Times New Roman" w:hAnsi="Times New Roman" w:cs="Times New Roman"/>
          <w:noProof/>
          <w:sz w:val="24"/>
          <w:szCs w:val="24"/>
        </w:rPr>
        <w:t xml:space="preserve">, </w:t>
      </w:r>
      <w:r w:rsidRPr="00AB53A2">
        <w:rPr>
          <w:rFonts w:ascii="Times New Roman" w:hAnsi="Times New Roman" w:cs="Times New Roman"/>
          <w:i/>
          <w:iCs/>
          <w:noProof/>
          <w:sz w:val="24"/>
          <w:szCs w:val="24"/>
        </w:rPr>
        <w:t>28</w:t>
      </w:r>
      <w:r w:rsidRPr="00AB53A2">
        <w:rPr>
          <w:rFonts w:ascii="Times New Roman" w:hAnsi="Times New Roman" w:cs="Times New Roman"/>
          <w:noProof/>
          <w:sz w:val="24"/>
          <w:szCs w:val="24"/>
        </w:rPr>
        <w:t>(1), 57–66. https://doi.org/10.1016/j.ijforecast.2011.02.006</w:t>
      </w:r>
    </w:p>
    <w:p w14:paraId="6FF27757" w14:textId="77777777" w:rsidR="002B7A05" w:rsidRPr="00AB53A2" w:rsidRDefault="002B7A05" w:rsidP="00AB53A2">
      <w:pPr>
        <w:pStyle w:val="ListParagraph"/>
        <w:numPr>
          <w:ilvl w:val="0"/>
          <w:numId w:val="2"/>
        </w:numPr>
        <w:spacing w:line="480" w:lineRule="auto"/>
        <w:jc w:val="both"/>
        <w:rPr>
          <w:rFonts w:ascii="Times New Roman" w:eastAsia="Times New Roman" w:hAnsi="Times New Roman" w:cs="Times New Roman"/>
          <w:sz w:val="24"/>
          <w:szCs w:val="24"/>
        </w:rPr>
      </w:pPr>
      <w:r w:rsidRPr="00AB53A2">
        <w:rPr>
          <w:rFonts w:ascii="Times New Roman" w:eastAsia="Times New Roman" w:hAnsi="Times New Roman" w:cs="Times New Roman"/>
          <w:sz w:val="24"/>
          <w:szCs w:val="24"/>
        </w:rPr>
        <w:t>Hernandez, J. A., Kang, S. H., Shahzad, S. J. H., &amp; Yoon, S. M. (2020). Spillovers and diversification potential of bank equity returns from developed and emerging America. </w:t>
      </w:r>
      <w:r w:rsidRPr="00AB53A2">
        <w:rPr>
          <w:rFonts w:ascii="Times New Roman" w:eastAsia="Times New Roman" w:hAnsi="Times New Roman" w:cs="Times New Roman"/>
          <w:i/>
          <w:iCs/>
          <w:sz w:val="24"/>
          <w:szCs w:val="24"/>
        </w:rPr>
        <w:t>The North American Journal of Economics and Finance</w:t>
      </w:r>
      <w:r w:rsidRPr="00AB53A2">
        <w:rPr>
          <w:rFonts w:ascii="Times New Roman" w:eastAsia="Times New Roman" w:hAnsi="Times New Roman" w:cs="Times New Roman"/>
          <w:sz w:val="24"/>
          <w:szCs w:val="24"/>
        </w:rPr>
        <w:t>, </w:t>
      </w:r>
      <w:r w:rsidRPr="00AB53A2">
        <w:rPr>
          <w:rFonts w:ascii="Times New Roman" w:eastAsia="Times New Roman" w:hAnsi="Times New Roman" w:cs="Times New Roman"/>
          <w:i/>
          <w:iCs/>
          <w:sz w:val="24"/>
          <w:szCs w:val="24"/>
        </w:rPr>
        <w:t>54</w:t>
      </w:r>
      <w:r w:rsidRPr="00AB53A2">
        <w:rPr>
          <w:rFonts w:ascii="Times New Roman" w:eastAsia="Times New Roman" w:hAnsi="Times New Roman" w:cs="Times New Roman"/>
          <w:sz w:val="24"/>
          <w:szCs w:val="24"/>
        </w:rPr>
        <w:t>, 101219.</w:t>
      </w:r>
    </w:p>
    <w:p w14:paraId="43D935D2" w14:textId="77777777" w:rsidR="002B7A05" w:rsidRPr="00AB53A2" w:rsidRDefault="002B7A05" w:rsidP="00AB53A2">
      <w:pPr>
        <w:pStyle w:val="ListParagraph"/>
        <w:numPr>
          <w:ilvl w:val="0"/>
          <w:numId w:val="2"/>
        </w:numPr>
        <w:spacing w:line="480" w:lineRule="auto"/>
        <w:jc w:val="both"/>
        <w:rPr>
          <w:rFonts w:ascii="Times New Roman" w:eastAsia="Times New Roman" w:hAnsi="Times New Roman" w:cs="Times New Roman"/>
          <w:sz w:val="24"/>
          <w:szCs w:val="24"/>
        </w:rPr>
      </w:pPr>
      <w:r w:rsidRPr="00AB53A2">
        <w:rPr>
          <w:rFonts w:ascii="Times New Roman" w:eastAsia="Times New Roman" w:hAnsi="Times New Roman" w:cs="Times New Roman"/>
          <w:sz w:val="24"/>
          <w:szCs w:val="24"/>
        </w:rPr>
        <w:t>Mensi, W., Rehman, M. U., &amp; Vo, X. V. (2020). Spillovers and co-movements between precious metals and energy markets: Implications on portfolio management. </w:t>
      </w:r>
      <w:r w:rsidRPr="00AB53A2">
        <w:rPr>
          <w:rFonts w:ascii="Times New Roman" w:eastAsia="Times New Roman" w:hAnsi="Times New Roman" w:cs="Times New Roman"/>
          <w:i/>
          <w:iCs/>
          <w:sz w:val="24"/>
          <w:szCs w:val="24"/>
        </w:rPr>
        <w:t>Resources Policy</w:t>
      </w:r>
      <w:r w:rsidRPr="00AB53A2">
        <w:rPr>
          <w:rFonts w:ascii="Times New Roman" w:eastAsia="Times New Roman" w:hAnsi="Times New Roman" w:cs="Times New Roman"/>
          <w:sz w:val="24"/>
          <w:szCs w:val="24"/>
        </w:rPr>
        <w:t>, </w:t>
      </w:r>
      <w:r w:rsidRPr="00AB53A2">
        <w:rPr>
          <w:rFonts w:ascii="Times New Roman" w:eastAsia="Times New Roman" w:hAnsi="Times New Roman" w:cs="Times New Roman"/>
          <w:i/>
          <w:iCs/>
          <w:sz w:val="24"/>
          <w:szCs w:val="24"/>
        </w:rPr>
        <w:t>69</w:t>
      </w:r>
      <w:r w:rsidRPr="00AB53A2">
        <w:rPr>
          <w:rFonts w:ascii="Times New Roman" w:eastAsia="Times New Roman" w:hAnsi="Times New Roman" w:cs="Times New Roman"/>
          <w:sz w:val="24"/>
          <w:szCs w:val="24"/>
        </w:rPr>
        <w:t>, 101836.</w:t>
      </w:r>
    </w:p>
    <w:p w14:paraId="7EF2A4CF" w14:textId="77777777" w:rsidR="002B7A05" w:rsidRPr="00AB53A2" w:rsidRDefault="002B7A05" w:rsidP="00AB53A2">
      <w:pPr>
        <w:pStyle w:val="ListParagraph"/>
        <w:widowControl w:val="0"/>
        <w:numPr>
          <w:ilvl w:val="0"/>
          <w:numId w:val="2"/>
        </w:numPr>
        <w:autoSpaceDE w:val="0"/>
        <w:autoSpaceDN w:val="0"/>
        <w:adjustRightInd w:val="0"/>
        <w:spacing w:line="480" w:lineRule="auto"/>
        <w:rPr>
          <w:rFonts w:ascii="Times New Roman" w:hAnsi="Times New Roman" w:cs="Times New Roman"/>
          <w:noProof/>
          <w:sz w:val="24"/>
          <w:szCs w:val="24"/>
        </w:rPr>
      </w:pPr>
      <w:r w:rsidRPr="00AB53A2">
        <w:rPr>
          <w:rFonts w:ascii="Times New Roman" w:hAnsi="Times New Roman" w:cs="Times New Roman"/>
          <w:noProof/>
          <w:sz w:val="24"/>
          <w:szCs w:val="24"/>
        </w:rPr>
        <w:t xml:space="preserve">Nong, H. (2023). Return and volatility connectedness across stock markets: A global perspective. </w:t>
      </w:r>
      <w:r w:rsidRPr="00AB53A2">
        <w:rPr>
          <w:rFonts w:ascii="Times New Roman" w:hAnsi="Times New Roman" w:cs="Times New Roman"/>
          <w:i/>
          <w:iCs/>
          <w:noProof/>
          <w:sz w:val="24"/>
          <w:szCs w:val="24"/>
        </w:rPr>
        <w:t>Investment Analysts Journal</w:t>
      </w:r>
      <w:r w:rsidRPr="00AB53A2">
        <w:rPr>
          <w:rFonts w:ascii="Times New Roman" w:hAnsi="Times New Roman" w:cs="Times New Roman"/>
          <w:noProof/>
          <w:sz w:val="24"/>
          <w:szCs w:val="24"/>
        </w:rPr>
        <w:t xml:space="preserve">, </w:t>
      </w:r>
      <w:r w:rsidRPr="00AB53A2">
        <w:rPr>
          <w:rFonts w:ascii="Times New Roman" w:hAnsi="Times New Roman" w:cs="Times New Roman"/>
          <w:i/>
          <w:iCs/>
          <w:noProof/>
          <w:sz w:val="24"/>
          <w:szCs w:val="24"/>
        </w:rPr>
        <w:t>0</w:t>
      </w:r>
      <w:r w:rsidRPr="00AB53A2">
        <w:rPr>
          <w:rFonts w:ascii="Times New Roman" w:hAnsi="Times New Roman" w:cs="Times New Roman"/>
          <w:noProof/>
          <w:sz w:val="24"/>
          <w:szCs w:val="24"/>
        </w:rPr>
        <w:t>(0), 1–22. https://doi.org/10.1080/10293523.2023.2240562</w:t>
      </w:r>
    </w:p>
    <w:p w14:paraId="3DA98C24" w14:textId="77777777" w:rsidR="002B7A05" w:rsidRPr="00AB53A2" w:rsidRDefault="002B7A05" w:rsidP="00AB53A2">
      <w:pPr>
        <w:pStyle w:val="ListParagraph"/>
        <w:numPr>
          <w:ilvl w:val="0"/>
          <w:numId w:val="2"/>
        </w:numPr>
        <w:spacing w:line="480" w:lineRule="auto"/>
        <w:jc w:val="both"/>
        <w:rPr>
          <w:rFonts w:ascii="Times New Roman" w:eastAsia="Times New Roman" w:hAnsi="Times New Roman" w:cs="Times New Roman"/>
          <w:sz w:val="24"/>
          <w:szCs w:val="24"/>
        </w:rPr>
      </w:pPr>
      <w:r w:rsidRPr="00AB53A2">
        <w:rPr>
          <w:rFonts w:ascii="Times New Roman" w:eastAsia="Times New Roman" w:hAnsi="Times New Roman" w:cs="Times New Roman"/>
          <w:sz w:val="24"/>
          <w:szCs w:val="24"/>
        </w:rPr>
        <w:t>Rizwan, M. S., Ahmad, G., &amp; Ashraf, D. (2020). Systemic risk: The impact of COVID-19. </w:t>
      </w:r>
      <w:r w:rsidRPr="00AB53A2">
        <w:rPr>
          <w:rFonts w:ascii="Times New Roman" w:eastAsia="Times New Roman" w:hAnsi="Times New Roman" w:cs="Times New Roman"/>
          <w:i/>
          <w:iCs/>
          <w:sz w:val="24"/>
          <w:szCs w:val="24"/>
        </w:rPr>
        <w:t>Finance Research Letters</w:t>
      </w:r>
      <w:r w:rsidRPr="00AB53A2">
        <w:rPr>
          <w:rFonts w:ascii="Times New Roman" w:eastAsia="Times New Roman" w:hAnsi="Times New Roman" w:cs="Times New Roman"/>
          <w:sz w:val="24"/>
          <w:szCs w:val="24"/>
        </w:rPr>
        <w:t>, </w:t>
      </w:r>
      <w:r w:rsidRPr="00AB53A2">
        <w:rPr>
          <w:rFonts w:ascii="Times New Roman" w:eastAsia="Times New Roman" w:hAnsi="Times New Roman" w:cs="Times New Roman"/>
          <w:i/>
          <w:iCs/>
          <w:sz w:val="24"/>
          <w:szCs w:val="24"/>
        </w:rPr>
        <w:t>36</w:t>
      </w:r>
      <w:r w:rsidRPr="00AB53A2">
        <w:rPr>
          <w:rFonts w:ascii="Times New Roman" w:eastAsia="Times New Roman" w:hAnsi="Times New Roman" w:cs="Times New Roman"/>
          <w:sz w:val="24"/>
          <w:szCs w:val="24"/>
        </w:rPr>
        <w:t>, 101682.</w:t>
      </w:r>
    </w:p>
    <w:p w14:paraId="2C720D22" w14:textId="77777777" w:rsidR="002B7A05" w:rsidRPr="00AB53A2" w:rsidRDefault="002B7A05" w:rsidP="00AB53A2">
      <w:pPr>
        <w:pStyle w:val="ListParagraph"/>
        <w:numPr>
          <w:ilvl w:val="0"/>
          <w:numId w:val="2"/>
        </w:numPr>
        <w:spacing w:line="480" w:lineRule="auto"/>
        <w:jc w:val="both"/>
        <w:rPr>
          <w:rFonts w:ascii="Times New Roman" w:eastAsia="Times New Roman" w:hAnsi="Times New Roman" w:cs="Times New Roman"/>
          <w:sz w:val="24"/>
          <w:szCs w:val="24"/>
        </w:rPr>
      </w:pPr>
      <w:r w:rsidRPr="00AB53A2">
        <w:rPr>
          <w:rFonts w:ascii="Times New Roman" w:eastAsia="Times New Roman" w:hAnsi="Times New Roman" w:cs="Times New Roman"/>
          <w:sz w:val="24"/>
          <w:szCs w:val="24"/>
        </w:rPr>
        <w:t xml:space="preserve">Wang, X., &amp; Wu, C. (2018). Asymmetric volatility spillovers between crude oil and international financial markets. </w:t>
      </w:r>
      <w:r w:rsidRPr="00AB53A2">
        <w:rPr>
          <w:rFonts w:ascii="Times New Roman" w:eastAsia="Times New Roman" w:hAnsi="Times New Roman" w:cs="Times New Roman"/>
          <w:i/>
          <w:iCs/>
          <w:sz w:val="24"/>
          <w:szCs w:val="24"/>
        </w:rPr>
        <w:t>Energy Economics</w:t>
      </w:r>
      <w:r w:rsidRPr="00AB53A2">
        <w:rPr>
          <w:rFonts w:ascii="Times New Roman" w:eastAsia="Times New Roman" w:hAnsi="Times New Roman" w:cs="Times New Roman"/>
          <w:sz w:val="24"/>
          <w:szCs w:val="24"/>
        </w:rPr>
        <w:t xml:space="preserve">, </w:t>
      </w:r>
      <w:r w:rsidRPr="00AB53A2">
        <w:rPr>
          <w:rFonts w:ascii="Times New Roman" w:eastAsia="Times New Roman" w:hAnsi="Times New Roman" w:cs="Times New Roman"/>
          <w:i/>
          <w:iCs/>
          <w:sz w:val="24"/>
          <w:szCs w:val="24"/>
        </w:rPr>
        <w:t>74</w:t>
      </w:r>
      <w:r w:rsidRPr="00AB53A2">
        <w:rPr>
          <w:rFonts w:ascii="Times New Roman" w:eastAsia="Times New Roman" w:hAnsi="Times New Roman" w:cs="Times New Roman"/>
          <w:sz w:val="24"/>
          <w:szCs w:val="24"/>
        </w:rPr>
        <w:t xml:space="preserve">, 592–604. </w:t>
      </w:r>
      <w:hyperlink r:id="rId8" w:history="1">
        <w:r w:rsidRPr="00AB53A2">
          <w:rPr>
            <w:rStyle w:val="Hyperlink"/>
            <w:rFonts w:ascii="Times New Roman" w:eastAsia="Times New Roman" w:hAnsi="Times New Roman" w:cs="Times New Roman"/>
            <w:sz w:val="24"/>
            <w:szCs w:val="24"/>
          </w:rPr>
          <w:t>https://doi.org/10.1016/j.eneco.2018.06.022</w:t>
        </w:r>
      </w:hyperlink>
      <w:r w:rsidRPr="00AB53A2">
        <w:rPr>
          <w:rFonts w:ascii="Times New Roman" w:eastAsia="Times New Roman" w:hAnsi="Times New Roman" w:cs="Times New Roman"/>
          <w:sz w:val="24"/>
          <w:szCs w:val="24"/>
        </w:rPr>
        <w:t>.</w:t>
      </w:r>
    </w:p>
    <w:p w14:paraId="2E41D7AB" w14:textId="77777777" w:rsidR="00AB53A2" w:rsidRDefault="00AB53A2" w:rsidP="00065EF8">
      <w:pPr>
        <w:spacing w:line="480" w:lineRule="auto"/>
        <w:jc w:val="both"/>
        <w:rPr>
          <w:rFonts w:ascii="Times New Roman" w:eastAsia="Times New Roman" w:hAnsi="Times New Roman" w:cs="Times New Roman"/>
          <w:b/>
          <w:sz w:val="24"/>
          <w:szCs w:val="24"/>
        </w:rPr>
      </w:pPr>
    </w:p>
    <w:p w14:paraId="55A427DE" w14:textId="0C6588E8" w:rsidR="002D62EF" w:rsidRDefault="002D62EF" w:rsidP="00065EF8">
      <w:pPr>
        <w:spacing w:line="48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APPENDIX</w:t>
      </w:r>
    </w:p>
    <w:p w14:paraId="766E888C" w14:textId="6DF7F336" w:rsidR="007A19C6" w:rsidRPr="00A115FB" w:rsidRDefault="007A19C6" w:rsidP="00953BFC">
      <w:pPr>
        <w:spacing w:line="480" w:lineRule="auto"/>
        <w:jc w:val="center"/>
        <w:rPr>
          <w:rFonts w:ascii="Times New Roman" w:eastAsia="Times New Roman" w:hAnsi="Times New Roman" w:cs="Times New Roman"/>
          <w:sz w:val="24"/>
          <w:szCs w:val="24"/>
        </w:rPr>
      </w:pPr>
      <w:r w:rsidRPr="00A115FB">
        <w:rPr>
          <w:rFonts w:ascii="Times New Roman" w:eastAsia="Times New Roman" w:hAnsi="Times New Roman" w:cs="Times New Roman"/>
          <w:sz w:val="24"/>
          <w:szCs w:val="24"/>
        </w:rPr>
        <w:t>Table 1 Descriptive Statistics of the log returns</w:t>
      </w:r>
    </w:p>
    <w:tbl>
      <w:tblPr>
        <w:tblStyle w:val="TableGrid"/>
        <w:tblW w:w="0" w:type="auto"/>
        <w:jc w:val="center"/>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00"/>
        <w:gridCol w:w="1300"/>
        <w:gridCol w:w="1300"/>
        <w:gridCol w:w="1300"/>
        <w:gridCol w:w="1300"/>
      </w:tblGrid>
      <w:tr w:rsidR="00126FAA" w:rsidRPr="002D62EF" w14:paraId="650CA9E3" w14:textId="77777777" w:rsidTr="00953BFC">
        <w:trPr>
          <w:trHeight w:val="320"/>
          <w:jc w:val="center"/>
        </w:trPr>
        <w:tc>
          <w:tcPr>
            <w:tcW w:w="1300" w:type="dxa"/>
            <w:tcBorders>
              <w:top w:val="single" w:sz="4" w:space="0" w:color="auto"/>
              <w:bottom w:val="single" w:sz="4" w:space="0" w:color="auto"/>
            </w:tcBorders>
            <w:noWrap/>
            <w:hideMark/>
          </w:tcPr>
          <w:p w14:paraId="492685DE" w14:textId="77777777" w:rsidR="00126FAA" w:rsidRPr="002D62EF" w:rsidRDefault="00126FAA" w:rsidP="00126FAA">
            <w:pPr>
              <w:spacing w:line="240" w:lineRule="auto"/>
              <w:jc w:val="both"/>
              <w:rPr>
                <w:rFonts w:ascii="Times New Roman" w:eastAsia="Times New Roman" w:hAnsi="Times New Roman" w:cs="Times New Roman"/>
                <w:bCs/>
                <w:sz w:val="24"/>
                <w:szCs w:val="24"/>
              </w:rPr>
            </w:pPr>
          </w:p>
        </w:tc>
        <w:tc>
          <w:tcPr>
            <w:tcW w:w="1300" w:type="dxa"/>
            <w:tcBorders>
              <w:top w:val="single" w:sz="4" w:space="0" w:color="auto"/>
              <w:bottom w:val="single" w:sz="4" w:space="0" w:color="auto"/>
            </w:tcBorders>
            <w:noWrap/>
            <w:hideMark/>
          </w:tcPr>
          <w:p w14:paraId="65EA78C7" w14:textId="77777777" w:rsidR="00126FAA" w:rsidRPr="002D62EF" w:rsidRDefault="00126FAA" w:rsidP="00126FAA">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Auto</w:t>
            </w:r>
          </w:p>
        </w:tc>
        <w:tc>
          <w:tcPr>
            <w:tcW w:w="1300" w:type="dxa"/>
            <w:tcBorders>
              <w:top w:val="single" w:sz="4" w:space="0" w:color="auto"/>
              <w:bottom w:val="single" w:sz="4" w:space="0" w:color="auto"/>
            </w:tcBorders>
            <w:noWrap/>
            <w:hideMark/>
          </w:tcPr>
          <w:p w14:paraId="6F28500B" w14:textId="77777777" w:rsidR="00126FAA" w:rsidRPr="002D62EF" w:rsidRDefault="00126FAA" w:rsidP="00126FAA">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FMCG</w:t>
            </w:r>
          </w:p>
        </w:tc>
        <w:tc>
          <w:tcPr>
            <w:tcW w:w="1300" w:type="dxa"/>
            <w:tcBorders>
              <w:top w:val="single" w:sz="4" w:space="0" w:color="auto"/>
              <w:bottom w:val="single" w:sz="4" w:space="0" w:color="auto"/>
            </w:tcBorders>
            <w:noWrap/>
            <w:hideMark/>
          </w:tcPr>
          <w:p w14:paraId="7893A975" w14:textId="77777777" w:rsidR="00126FAA" w:rsidRPr="002D62EF" w:rsidRDefault="00126FAA" w:rsidP="00126FAA">
            <w:pPr>
              <w:spacing w:line="240" w:lineRule="auto"/>
              <w:jc w:val="right"/>
              <w:rPr>
                <w:rFonts w:ascii="Times New Roman" w:eastAsia="Times New Roman" w:hAnsi="Times New Roman" w:cs="Times New Roman"/>
                <w:bCs/>
                <w:sz w:val="24"/>
                <w:szCs w:val="24"/>
              </w:rPr>
            </w:pPr>
            <w:proofErr w:type="spellStart"/>
            <w:r w:rsidRPr="002D62EF">
              <w:rPr>
                <w:rFonts w:ascii="Times New Roman" w:eastAsia="Times New Roman" w:hAnsi="Times New Roman" w:cs="Times New Roman"/>
                <w:bCs/>
                <w:sz w:val="24"/>
                <w:szCs w:val="24"/>
              </w:rPr>
              <w:t>Cons.Dur</w:t>
            </w:r>
            <w:proofErr w:type="spellEnd"/>
          </w:p>
        </w:tc>
        <w:tc>
          <w:tcPr>
            <w:tcW w:w="1300" w:type="dxa"/>
            <w:tcBorders>
              <w:top w:val="single" w:sz="4" w:space="0" w:color="auto"/>
              <w:bottom w:val="single" w:sz="4" w:space="0" w:color="auto"/>
            </w:tcBorders>
            <w:noWrap/>
            <w:hideMark/>
          </w:tcPr>
          <w:p w14:paraId="53D8EA42" w14:textId="77777777" w:rsidR="00126FAA" w:rsidRPr="002D62EF" w:rsidRDefault="00126FAA" w:rsidP="00126FAA">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Health</w:t>
            </w:r>
          </w:p>
        </w:tc>
      </w:tr>
      <w:tr w:rsidR="00126FAA" w:rsidRPr="002D62EF" w14:paraId="5E931CFB" w14:textId="77777777" w:rsidTr="00953BFC">
        <w:trPr>
          <w:trHeight w:val="320"/>
          <w:jc w:val="center"/>
        </w:trPr>
        <w:tc>
          <w:tcPr>
            <w:tcW w:w="1300" w:type="dxa"/>
            <w:noWrap/>
          </w:tcPr>
          <w:p w14:paraId="31DE48B3" w14:textId="3412E2A9" w:rsidR="00126FAA" w:rsidRPr="00126FAA" w:rsidRDefault="00126FAA" w:rsidP="00126FAA">
            <w:pPr>
              <w:spacing w:line="240" w:lineRule="auto"/>
              <w:jc w:val="both"/>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Mean</w:t>
            </w:r>
          </w:p>
        </w:tc>
        <w:tc>
          <w:tcPr>
            <w:tcW w:w="1300" w:type="dxa"/>
            <w:noWrap/>
          </w:tcPr>
          <w:p w14:paraId="3797CFB2" w14:textId="538E31E1"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0.0007</w:t>
            </w:r>
          </w:p>
        </w:tc>
        <w:tc>
          <w:tcPr>
            <w:tcW w:w="1300" w:type="dxa"/>
            <w:noWrap/>
          </w:tcPr>
          <w:p w14:paraId="5607C33E" w14:textId="111C5F54"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0.0006</w:t>
            </w:r>
          </w:p>
        </w:tc>
        <w:tc>
          <w:tcPr>
            <w:tcW w:w="1300" w:type="dxa"/>
            <w:noWrap/>
          </w:tcPr>
          <w:p w14:paraId="02DA0ABA" w14:textId="0881E426"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0.0005</w:t>
            </w:r>
          </w:p>
        </w:tc>
        <w:tc>
          <w:tcPr>
            <w:tcW w:w="1300" w:type="dxa"/>
            <w:noWrap/>
          </w:tcPr>
          <w:p w14:paraId="01DA35F3" w14:textId="7A1A35FB"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0.0007</w:t>
            </w:r>
          </w:p>
        </w:tc>
      </w:tr>
      <w:tr w:rsidR="00126FAA" w:rsidRPr="002D62EF" w14:paraId="600271CB" w14:textId="77777777" w:rsidTr="00953BFC">
        <w:trPr>
          <w:trHeight w:val="320"/>
          <w:jc w:val="center"/>
        </w:trPr>
        <w:tc>
          <w:tcPr>
            <w:tcW w:w="1300" w:type="dxa"/>
            <w:noWrap/>
          </w:tcPr>
          <w:p w14:paraId="4CCBB18F" w14:textId="5A95D684" w:rsidR="00126FAA" w:rsidRPr="00126FAA" w:rsidRDefault="00126FAA" w:rsidP="00126FAA">
            <w:pPr>
              <w:spacing w:line="240" w:lineRule="auto"/>
              <w:jc w:val="both"/>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Variance</w:t>
            </w:r>
          </w:p>
        </w:tc>
        <w:tc>
          <w:tcPr>
            <w:tcW w:w="1300" w:type="dxa"/>
            <w:noWrap/>
          </w:tcPr>
          <w:p w14:paraId="3D6795C3" w14:textId="41537B5E"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0.0002</w:t>
            </w:r>
          </w:p>
        </w:tc>
        <w:tc>
          <w:tcPr>
            <w:tcW w:w="1300" w:type="dxa"/>
            <w:noWrap/>
          </w:tcPr>
          <w:p w14:paraId="49E93960" w14:textId="3AB090D4"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0.0001</w:t>
            </w:r>
          </w:p>
        </w:tc>
        <w:tc>
          <w:tcPr>
            <w:tcW w:w="1300" w:type="dxa"/>
            <w:noWrap/>
          </w:tcPr>
          <w:p w14:paraId="134AE20F" w14:textId="22B0DA07"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0.0001</w:t>
            </w:r>
          </w:p>
        </w:tc>
        <w:tc>
          <w:tcPr>
            <w:tcW w:w="1300" w:type="dxa"/>
            <w:noWrap/>
          </w:tcPr>
          <w:p w14:paraId="3ACF062F" w14:textId="75A8FD2E"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0.0001</w:t>
            </w:r>
          </w:p>
        </w:tc>
      </w:tr>
      <w:tr w:rsidR="00126FAA" w:rsidRPr="002D62EF" w14:paraId="3E93395A" w14:textId="77777777" w:rsidTr="00953BFC">
        <w:trPr>
          <w:trHeight w:val="320"/>
          <w:jc w:val="center"/>
        </w:trPr>
        <w:tc>
          <w:tcPr>
            <w:tcW w:w="1300" w:type="dxa"/>
            <w:noWrap/>
          </w:tcPr>
          <w:p w14:paraId="58D471FB" w14:textId="6F05C837" w:rsidR="00126FAA" w:rsidRPr="00126FAA" w:rsidRDefault="00126FAA" w:rsidP="00126FAA">
            <w:pPr>
              <w:spacing w:line="240" w:lineRule="auto"/>
              <w:jc w:val="both"/>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Skewness</w:t>
            </w:r>
          </w:p>
        </w:tc>
        <w:tc>
          <w:tcPr>
            <w:tcW w:w="1300" w:type="dxa"/>
            <w:noWrap/>
          </w:tcPr>
          <w:p w14:paraId="69257FF9" w14:textId="4BDEE595"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-0.9696</w:t>
            </w:r>
          </w:p>
        </w:tc>
        <w:tc>
          <w:tcPr>
            <w:tcW w:w="1300" w:type="dxa"/>
            <w:noWrap/>
          </w:tcPr>
          <w:p w14:paraId="5EAB72D5" w14:textId="411A6BDB"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-0.6804</w:t>
            </w:r>
          </w:p>
        </w:tc>
        <w:tc>
          <w:tcPr>
            <w:tcW w:w="1300" w:type="dxa"/>
            <w:noWrap/>
          </w:tcPr>
          <w:p w14:paraId="72614D7C" w14:textId="2DA88B86"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-1.1419</w:t>
            </w:r>
          </w:p>
        </w:tc>
        <w:tc>
          <w:tcPr>
            <w:tcW w:w="1300" w:type="dxa"/>
            <w:noWrap/>
          </w:tcPr>
          <w:p w14:paraId="19E694C5" w14:textId="35FD5ACA"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-0.1526</w:t>
            </w:r>
          </w:p>
        </w:tc>
      </w:tr>
      <w:tr w:rsidR="00126FAA" w:rsidRPr="002D62EF" w14:paraId="255412E2" w14:textId="77777777" w:rsidTr="00953BFC">
        <w:trPr>
          <w:trHeight w:val="320"/>
          <w:jc w:val="center"/>
        </w:trPr>
        <w:tc>
          <w:tcPr>
            <w:tcW w:w="1300" w:type="dxa"/>
            <w:noWrap/>
          </w:tcPr>
          <w:p w14:paraId="310C1846" w14:textId="5390B952" w:rsidR="00126FAA" w:rsidRPr="00126FAA" w:rsidRDefault="00126FAA" w:rsidP="00126FAA">
            <w:pPr>
              <w:spacing w:line="240" w:lineRule="auto"/>
              <w:jc w:val="both"/>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Kurtosis</w:t>
            </w:r>
          </w:p>
        </w:tc>
        <w:tc>
          <w:tcPr>
            <w:tcW w:w="1300" w:type="dxa"/>
            <w:noWrap/>
          </w:tcPr>
          <w:p w14:paraId="380C0275" w14:textId="722252A2"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15.1055</w:t>
            </w:r>
          </w:p>
        </w:tc>
        <w:tc>
          <w:tcPr>
            <w:tcW w:w="1300" w:type="dxa"/>
            <w:noWrap/>
          </w:tcPr>
          <w:p w14:paraId="3FC711DA" w14:textId="29C8F482"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20.3034</w:t>
            </w:r>
          </w:p>
        </w:tc>
        <w:tc>
          <w:tcPr>
            <w:tcW w:w="1300" w:type="dxa"/>
            <w:noWrap/>
          </w:tcPr>
          <w:p w14:paraId="5304BFBF" w14:textId="1D58E92F"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13.3248</w:t>
            </w:r>
          </w:p>
        </w:tc>
        <w:tc>
          <w:tcPr>
            <w:tcW w:w="1300" w:type="dxa"/>
            <w:noWrap/>
          </w:tcPr>
          <w:p w14:paraId="783CDD46" w14:textId="76F66E43"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10.8502</w:t>
            </w:r>
          </w:p>
        </w:tc>
      </w:tr>
      <w:tr w:rsidR="00126FAA" w:rsidRPr="002D62EF" w14:paraId="089B7BA8" w14:textId="77777777" w:rsidTr="00953BFC">
        <w:trPr>
          <w:trHeight w:val="320"/>
          <w:jc w:val="center"/>
        </w:trPr>
        <w:tc>
          <w:tcPr>
            <w:tcW w:w="1300" w:type="dxa"/>
            <w:noWrap/>
          </w:tcPr>
          <w:p w14:paraId="25653B93" w14:textId="66F0F766" w:rsidR="00126FAA" w:rsidRPr="00126FAA" w:rsidRDefault="00126FAA" w:rsidP="00126FAA">
            <w:pPr>
              <w:spacing w:line="240" w:lineRule="auto"/>
              <w:jc w:val="both"/>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SD</w:t>
            </w:r>
          </w:p>
        </w:tc>
        <w:tc>
          <w:tcPr>
            <w:tcW w:w="1300" w:type="dxa"/>
            <w:noWrap/>
          </w:tcPr>
          <w:p w14:paraId="37AB3737" w14:textId="454FF605"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0.0164</w:t>
            </w:r>
          </w:p>
        </w:tc>
        <w:tc>
          <w:tcPr>
            <w:tcW w:w="1300" w:type="dxa"/>
            <w:noWrap/>
          </w:tcPr>
          <w:p w14:paraId="3E721764" w14:textId="279E0239"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0.0116</w:t>
            </w:r>
          </w:p>
        </w:tc>
        <w:tc>
          <w:tcPr>
            <w:tcW w:w="1300" w:type="dxa"/>
            <w:noWrap/>
          </w:tcPr>
          <w:p w14:paraId="39F82C13" w14:textId="73C80777"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0.0134</w:t>
            </w:r>
          </w:p>
        </w:tc>
        <w:tc>
          <w:tcPr>
            <w:tcW w:w="1300" w:type="dxa"/>
            <w:noWrap/>
          </w:tcPr>
          <w:p w14:paraId="00BF9917" w14:textId="5BD35A5D"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0.0125</w:t>
            </w:r>
          </w:p>
        </w:tc>
      </w:tr>
      <w:tr w:rsidR="00126FAA" w:rsidRPr="002D62EF" w14:paraId="51D8F1FC" w14:textId="77777777" w:rsidTr="00953BFC">
        <w:trPr>
          <w:trHeight w:val="320"/>
          <w:jc w:val="center"/>
        </w:trPr>
        <w:tc>
          <w:tcPr>
            <w:tcW w:w="1300" w:type="dxa"/>
            <w:noWrap/>
          </w:tcPr>
          <w:p w14:paraId="4FE3962D" w14:textId="563E7E9F" w:rsidR="00126FAA" w:rsidRPr="00126FAA" w:rsidRDefault="00126FAA" w:rsidP="00126FAA">
            <w:pPr>
              <w:spacing w:line="240" w:lineRule="auto"/>
              <w:jc w:val="both"/>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lastRenderedPageBreak/>
              <w:t>JB</w:t>
            </w:r>
          </w:p>
        </w:tc>
        <w:tc>
          <w:tcPr>
            <w:tcW w:w="1300" w:type="dxa"/>
            <w:noWrap/>
          </w:tcPr>
          <w:p w14:paraId="69051463" w14:textId="368C75A0"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5567.5***</w:t>
            </w:r>
          </w:p>
        </w:tc>
        <w:tc>
          <w:tcPr>
            <w:tcW w:w="1300" w:type="dxa"/>
            <w:noWrap/>
          </w:tcPr>
          <w:p w14:paraId="02EC0438" w14:textId="45894920"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11159***</w:t>
            </w:r>
          </w:p>
        </w:tc>
        <w:tc>
          <w:tcPr>
            <w:tcW w:w="1300" w:type="dxa"/>
            <w:noWrap/>
          </w:tcPr>
          <w:p w14:paraId="336A7B30" w14:textId="3EC72DD6"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4142***</w:t>
            </w:r>
          </w:p>
        </w:tc>
        <w:tc>
          <w:tcPr>
            <w:tcW w:w="1300" w:type="dxa"/>
            <w:noWrap/>
          </w:tcPr>
          <w:p w14:paraId="1704A5AD" w14:textId="7A364314"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2286.2***</w:t>
            </w:r>
          </w:p>
        </w:tc>
      </w:tr>
      <w:tr w:rsidR="00126FAA" w:rsidRPr="002D62EF" w14:paraId="5FE5C86E" w14:textId="77777777" w:rsidTr="00953BFC">
        <w:trPr>
          <w:trHeight w:val="320"/>
          <w:jc w:val="center"/>
        </w:trPr>
        <w:tc>
          <w:tcPr>
            <w:tcW w:w="1300" w:type="dxa"/>
            <w:tcBorders>
              <w:bottom w:val="single" w:sz="4" w:space="0" w:color="auto"/>
            </w:tcBorders>
            <w:noWrap/>
          </w:tcPr>
          <w:p w14:paraId="0AC82BAA" w14:textId="0EB85C64" w:rsidR="00126FAA" w:rsidRPr="00126FAA" w:rsidRDefault="00126FAA" w:rsidP="00126FAA">
            <w:pPr>
              <w:spacing w:line="240" w:lineRule="auto"/>
              <w:jc w:val="both"/>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ADF</w:t>
            </w:r>
          </w:p>
        </w:tc>
        <w:tc>
          <w:tcPr>
            <w:tcW w:w="1300" w:type="dxa"/>
            <w:tcBorders>
              <w:bottom w:val="single" w:sz="4" w:space="0" w:color="auto"/>
            </w:tcBorders>
            <w:noWrap/>
          </w:tcPr>
          <w:p w14:paraId="3C3FC770" w14:textId="51BD2133"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-7.98***</w:t>
            </w:r>
          </w:p>
        </w:tc>
        <w:tc>
          <w:tcPr>
            <w:tcW w:w="1300" w:type="dxa"/>
            <w:tcBorders>
              <w:bottom w:val="single" w:sz="4" w:space="0" w:color="auto"/>
            </w:tcBorders>
            <w:noWrap/>
          </w:tcPr>
          <w:p w14:paraId="75D2F3BE" w14:textId="5FAF7632"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-9.15***</w:t>
            </w:r>
          </w:p>
        </w:tc>
        <w:tc>
          <w:tcPr>
            <w:tcW w:w="1300" w:type="dxa"/>
            <w:tcBorders>
              <w:bottom w:val="single" w:sz="4" w:space="0" w:color="auto"/>
            </w:tcBorders>
            <w:noWrap/>
          </w:tcPr>
          <w:p w14:paraId="38DDBAFB" w14:textId="69563FBE"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-8.67***</w:t>
            </w:r>
          </w:p>
        </w:tc>
        <w:tc>
          <w:tcPr>
            <w:tcW w:w="1300" w:type="dxa"/>
            <w:tcBorders>
              <w:bottom w:val="single" w:sz="4" w:space="0" w:color="auto"/>
            </w:tcBorders>
            <w:noWrap/>
          </w:tcPr>
          <w:p w14:paraId="2D5B0BDF" w14:textId="2CD84539" w:rsidR="00126FAA" w:rsidRPr="00126FAA" w:rsidRDefault="00126FAA" w:rsidP="00126FAA">
            <w:pPr>
              <w:spacing w:line="240" w:lineRule="auto"/>
              <w:jc w:val="right"/>
              <w:rPr>
                <w:rFonts w:ascii="Times New Roman" w:eastAsia="Times New Roman" w:hAnsi="Times New Roman" w:cs="Times New Roman"/>
                <w:bCs/>
                <w:sz w:val="24"/>
                <w:szCs w:val="24"/>
              </w:rPr>
            </w:pPr>
            <w:r w:rsidRPr="00126FAA">
              <w:rPr>
                <w:rFonts w:ascii="Times New Roman" w:eastAsia="Times New Roman" w:hAnsi="Times New Roman" w:cs="Times New Roman"/>
                <w:sz w:val="24"/>
                <w:szCs w:val="24"/>
              </w:rPr>
              <w:t>-8.82***</w:t>
            </w:r>
          </w:p>
        </w:tc>
      </w:tr>
    </w:tbl>
    <w:p w14:paraId="7A80C98F" w14:textId="1C9C62EF" w:rsidR="00953BFC" w:rsidRDefault="007A19C6" w:rsidP="00953BFC">
      <w:pPr>
        <w:spacing w:line="480" w:lineRule="auto"/>
        <w:jc w:val="center"/>
        <w:rPr>
          <w:rFonts w:ascii="Times New Roman" w:eastAsia="Times New Roman" w:hAnsi="Times New Roman" w:cs="Times New Roman"/>
          <w:b/>
          <w:sz w:val="24"/>
          <w:szCs w:val="24"/>
        </w:rPr>
      </w:pPr>
      <w:r w:rsidRPr="007A19C6">
        <w:rPr>
          <w:rFonts w:ascii="Times New Roman" w:eastAsia="Times New Roman" w:hAnsi="Times New Roman" w:cs="Times New Roman"/>
          <w:b/>
          <w:noProof/>
          <w:sz w:val="24"/>
          <w:szCs w:val="24"/>
          <w:lang w:val="en-US"/>
        </w:rPr>
        <w:drawing>
          <wp:inline distT="0" distB="0" distL="0" distR="0" wp14:anchorId="2EBE6FC7" wp14:editId="597946C2">
            <wp:extent cx="3659243" cy="2392070"/>
            <wp:effectExtent l="0" t="0" r="0" b="8255"/>
            <wp:docPr id="1" name="Picture 1" descr="F:\ASB desktop backup March 03, 2021\d\Research &amp; Pub\R WD ASK desktop\Sony\4SectConnect_25.11.2023\Corr_plo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ASB desktop backup March 03, 2021\d\Research &amp; Pub\R WD ASK desktop\Sony\4SectConnect_25.11.2023\Corr_plot.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65596" cy="2396223"/>
                    </a:xfrm>
                    <a:prstGeom prst="rect">
                      <a:avLst/>
                    </a:prstGeom>
                    <a:noFill/>
                    <a:ln>
                      <a:noFill/>
                    </a:ln>
                  </pic:spPr>
                </pic:pic>
              </a:graphicData>
            </a:graphic>
          </wp:inline>
        </w:drawing>
      </w:r>
    </w:p>
    <w:p w14:paraId="10BF94BD" w14:textId="11EBB44E" w:rsidR="007A19C6" w:rsidRPr="007A19C6" w:rsidRDefault="007A19C6" w:rsidP="00953BFC">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Fig 1 </w:t>
      </w:r>
      <w:r w:rsidRPr="007A19C6">
        <w:rPr>
          <w:rFonts w:ascii="Times New Roman" w:eastAsia="Times New Roman" w:hAnsi="Times New Roman" w:cs="Times New Roman"/>
          <w:sz w:val="24"/>
          <w:szCs w:val="24"/>
        </w:rPr>
        <w:t>Correlation Plot</w:t>
      </w:r>
    </w:p>
    <w:p w14:paraId="266D1C3C" w14:textId="77777777" w:rsidR="00953BFC" w:rsidRDefault="00953BFC" w:rsidP="00953BFC">
      <w:pPr>
        <w:spacing w:line="480" w:lineRule="auto"/>
        <w:jc w:val="center"/>
        <w:rPr>
          <w:rFonts w:ascii="Times New Roman" w:eastAsia="Times New Roman" w:hAnsi="Times New Roman" w:cs="Times New Roman"/>
          <w:sz w:val="24"/>
          <w:szCs w:val="24"/>
        </w:rPr>
      </w:pPr>
    </w:p>
    <w:p w14:paraId="2DD59976" w14:textId="69316142" w:rsidR="00DF579C" w:rsidRPr="00A115FB" w:rsidRDefault="00DF579C" w:rsidP="00953BFC">
      <w:pPr>
        <w:spacing w:line="480" w:lineRule="auto"/>
        <w:jc w:val="center"/>
        <w:rPr>
          <w:rFonts w:ascii="Times New Roman" w:eastAsia="Times New Roman" w:hAnsi="Times New Roman" w:cs="Times New Roman"/>
          <w:sz w:val="24"/>
          <w:szCs w:val="24"/>
        </w:rPr>
      </w:pPr>
      <w:r w:rsidRPr="00A115FB">
        <w:rPr>
          <w:rFonts w:ascii="Times New Roman" w:eastAsia="Times New Roman" w:hAnsi="Times New Roman" w:cs="Times New Roman"/>
          <w:sz w:val="24"/>
          <w:szCs w:val="24"/>
        </w:rPr>
        <w:t xml:space="preserve">Table 2 </w:t>
      </w:r>
      <w:r w:rsidR="00C01855" w:rsidRPr="00A115FB">
        <w:rPr>
          <w:rFonts w:ascii="Times New Roman" w:eastAsia="Times New Roman" w:hAnsi="Times New Roman" w:cs="Times New Roman"/>
          <w:sz w:val="24"/>
          <w:szCs w:val="24"/>
        </w:rPr>
        <w:t xml:space="preserve">Static </w:t>
      </w:r>
      <w:r w:rsidRPr="00A115FB">
        <w:rPr>
          <w:rFonts w:ascii="Times New Roman" w:eastAsia="Times New Roman" w:hAnsi="Times New Roman" w:cs="Times New Roman"/>
          <w:sz w:val="24"/>
          <w:szCs w:val="24"/>
        </w:rPr>
        <w:t>Total Connectedness Table</w:t>
      </w:r>
    </w:p>
    <w:tbl>
      <w:tblPr>
        <w:tblStyle w:val="TableGrid"/>
        <w:tblW w:w="0" w:type="auto"/>
        <w:jc w:val="center"/>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00"/>
        <w:gridCol w:w="1300"/>
        <w:gridCol w:w="1300"/>
        <w:gridCol w:w="1300"/>
        <w:gridCol w:w="1300"/>
        <w:gridCol w:w="1363"/>
      </w:tblGrid>
      <w:tr w:rsidR="002D62EF" w:rsidRPr="002D62EF" w14:paraId="061D954A" w14:textId="77777777" w:rsidTr="00953BFC">
        <w:trPr>
          <w:trHeight w:val="320"/>
          <w:jc w:val="center"/>
        </w:trPr>
        <w:tc>
          <w:tcPr>
            <w:tcW w:w="1300" w:type="dxa"/>
            <w:tcBorders>
              <w:top w:val="single" w:sz="4" w:space="0" w:color="auto"/>
              <w:bottom w:val="single" w:sz="4" w:space="0" w:color="auto"/>
            </w:tcBorders>
            <w:noWrap/>
            <w:hideMark/>
          </w:tcPr>
          <w:p w14:paraId="28C604AC" w14:textId="77777777" w:rsidR="002D62EF" w:rsidRPr="002D62EF" w:rsidRDefault="002D62EF" w:rsidP="00192EEC">
            <w:pPr>
              <w:spacing w:line="240" w:lineRule="auto"/>
              <w:jc w:val="both"/>
              <w:rPr>
                <w:rFonts w:ascii="Times New Roman" w:eastAsia="Times New Roman" w:hAnsi="Times New Roman" w:cs="Times New Roman"/>
                <w:bCs/>
                <w:sz w:val="24"/>
                <w:szCs w:val="24"/>
              </w:rPr>
            </w:pPr>
          </w:p>
        </w:tc>
        <w:tc>
          <w:tcPr>
            <w:tcW w:w="1300" w:type="dxa"/>
            <w:tcBorders>
              <w:top w:val="single" w:sz="4" w:space="0" w:color="auto"/>
              <w:bottom w:val="single" w:sz="4" w:space="0" w:color="auto"/>
            </w:tcBorders>
            <w:noWrap/>
            <w:hideMark/>
          </w:tcPr>
          <w:p w14:paraId="4FADF0BB"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Auto</w:t>
            </w:r>
          </w:p>
        </w:tc>
        <w:tc>
          <w:tcPr>
            <w:tcW w:w="1300" w:type="dxa"/>
            <w:tcBorders>
              <w:top w:val="single" w:sz="4" w:space="0" w:color="auto"/>
              <w:bottom w:val="single" w:sz="4" w:space="0" w:color="auto"/>
            </w:tcBorders>
            <w:noWrap/>
            <w:hideMark/>
          </w:tcPr>
          <w:p w14:paraId="5EF92341"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FMCG</w:t>
            </w:r>
          </w:p>
        </w:tc>
        <w:tc>
          <w:tcPr>
            <w:tcW w:w="1300" w:type="dxa"/>
            <w:tcBorders>
              <w:top w:val="single" w:sz="4" w:space="0" w:color="auto"/>
              <w:bottom w:val="single" w:sz="4" w:space="0" w:color="auto"/>
            </w:tcBorders>
            <w:noWrap/>
            <w:hideMark/>
          </w:tcPr>
          <w:p w14:paraId="16CA4EFB"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proofErr w:type="spellStart"/>
            <w:r w:rsidRPr="002D62EF">
              <w:rPr>
                <w:rFonts w:ascii="Times New Roman" w:eastAsia="Times New Roman" w:hAnsi="Times New Roman" w:cs="Times New Roman"/>
                <w:bCs/>
                <w:sz w:val="24"/>
                <w:szCs w:val="24"/>
              </w:rPr>
              <w:t>Cons.Dur</w:t>
            </w:r>
            <w:proofErr w:type="spellEnd"/>
          </w:p>
        </w:tc>
        <w:tc>
          <w:tcPr>
            <w:tcW w:w="1300" w:type="dxa"/>
            <w:tcBorders>
              <w:top w:val="single" w:sz="4" w:space="0" w:color="auto"/>
              <w:bottom w:val="single" w:sz="4" w:space="0" w:color="auto"/>
            </w:tcBorders>
            <w:noWrap/>
            <w:hideMark/>
          </w:tcPr>
          <w:p w14:paraId="6A44A8E8"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Health</w:t>
            </w:r>
          </w:p>
        </w:tc>
        <w:tc>
          <w:tcPr>
            <w:tcW w:w="1300" w:type="dxa"/>
            <w:tcBorders>
              <w:top w:val="single" w:sz="4" w:space="0" w:color="auto"/>
              <w:bottom w:val="single" w:sz="4" w:space="0" w:color="auto"/>
            </w:tcBorders>
            <w:noWrap/>
            <w:hideMark/>
          </w:tcPr>
          <w:p w14:paraId="6710AF2F"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FROM</w:t>
            </w:r>
          </w:p>
        </w:tc>
      </w:tr>
      <w:tr w:rsidR="002D62EF" w:rsidRPr="002D62EF" w14:paraId="515D1A76" w14:textId="77777777" w:rsidTr="00953BFC">
        <w:trPr>
          <w:trHeight w:val="320"/>
          <w:jc w:val="center"/>
        </w:trPr>
        <w:tc>
          <w:tcPr>
            <w:tcW w:w="1300" w:type="dxa"/>
            <w:tcBorders>
              <w:top w:val="single" w:sz="4" w:space="0" w:color="auto"/>
            </w:tcBorders>
            <w:noWrap/>
            <w:hideMark/>
          </w:tcPr>
          <w:p w14:paraId="37F4EAFC" w14:textId="77777777" w:rsidR="002D62EF" w:rsidRPr="002D62EF" w:rsidRDefault="002D62EF" w:rsidP="00192EEC">
            <w:pPr>
              <w:spacing w:line="240" w:lineRule="auto"/>
              <w:jc w:val="both"/>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Auto</w:t>
            </w:r>
          </w:p>
        </w:tc>
        <w:tc>
          <w:tcPr>
            <w:tcW w:w="1300" w:type="dxa"/>
            <w:tcBorders>
              <w:top w:val="single" w:sz="4" w:space="0" w:color="auto"/>
            </w:tcBorders>
            <w:noWrap/>
            <w:hideMark/>
          </w:tcPr>
          <w:p w14:paraId="49E79ABD"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46.85</w:t>
            </w:r>
          </w:p>
        </w:tc>
        <w:tc>
          <w:tcPr>
            <w:tcW w:w="1300" w:type="dxa"/>
            <w:tcBorders>
              <w:top w:val="single" w:sz="4" w:space="0" w:color="auto"/>
            </w:tcBorders>
            <w:noWrap/>
            <w:hideMark/>
          </w:tcPr>
          <w:p w14:paraId="552832A7"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16.34</w:t>
            </w:r>
          </w:p>
        </w:tc>
        <w:tc>
          <w:tcPr>
            <w:tcW w:w="1300" w:type="dxa"/>
            <w:tcBorders>
              <w:top w:val="single" w:sz="4" w:space="0" w:color="auto"/>
            </w:tcBorders>
            <w:noWrap/>
            <w:hideMark/>
          </w:tcPr>
          <w:p w14:paraId="022C2363"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25.2</w:t>
            </w:r>
          </w:p>
        </w:tc>
        <w:tc>
          <w:tcPr>
            <w:tcW w:w="1300" w:type="dxa"/>
            <w:tcBorders>
              <w:top w:val="single" w:sz="4" w:space="0" w:color="auto"/>
            </w:tcBorders>
            <w:noWrap/>
            <w:hideMark/>
          </w:tcPr>
          <w:p w14:paraId="725643F6"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11.61</w:t>
            </w:r>
          </w:p>
        </w:tc>
        <w:tc>
          <w:tcPr>
            <w:tcW w:w="1300" w:type="dxa"/>
            <w:tcBorders>
              <w:top w:val="single" w:sz="4" w:space="0" w:color="auto"/>
            </w:tcBorders>
            <w:noWrap/>
            <w:hideMark/>
          </w:tcPr>
          <w:p w14:paraId="727A1AA5"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53.15</w:t>
            </w:r>
          </w:p>
        </w:tc>
      </w:tr>
      <w:tr w:rsidR="002D62EF" w:rsidRPr="002D62EF" w14:paraId="776AE566" w14:textId="77777777" w:rsidTr="00953BFC">
        <w:trPr>
          <w:trHeight w:val="320"/>
          <w:jc w:val="center"/>
        </w:trPr>
        <w:tc>
          <w:tcPr>
            <w:tcW w:w="1300" w:type="dxa"/>
            <w:noWrap/>
            <w:hideMark/>
          </w:tcPr>
          <w:p w14:paraId="7BCCF7B5" w14:textId="77777777" w:rsidR="002D62EF" w:rsidRPr="002D62EF" w:rsidRDefault="002D62EF" w:rsidP="00192EEC">
            <w:pPr>
              <w:spacing w:line="240" w:lineRule="auto"/>
              <w:jc w:val="both"/>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FMCG</w:t>
            </w:r>
          </w:p>
        </w:tc>
        <w:tc>
          <w:tcPr>
            <w:tcW w:w="1300" w:type="dxa"/>
            <w:noWrap/>
            <w:hideMark/>
          </w:tcPr>
          <w:p w14:paraId="0147C89A"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17.34</w:t>
            </w:r>
          </w:p>
        </w:tc>
        <w:tc>
          <w:tcPr>
            <w:tcW w:w="1300" w:type="dxa"/>
            <w:noWrap/>
            <w:hideMark/>
          </w:tcPr>
          <w:p w14:paraId="39E77A5C"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49.77</w:t>
            </w:r>
          </w:p>
        </w:tc>
        <w:tc>
          <w:tcPr>
            <w:tcW w:w="1300" w:type="dxa"/>
            <w:noWrap/>
            <w:hideMark/>
          </w:tcPr>
          <w:p w14:paraId="004E0108"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17.95</w:t>
            </w:r>
          </w:p>
        </w:tc>
        <w:tc>
          <w:tcPr>
            <w:tcW w:w="1300" w:type="dxa"/>
            <w:noWrap/>
            <w:hideMark/>
          </w:tcPr>
          <w:p w14:paraId="4B8A342C"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14.94</w:t>
            </w:r>
          </w:p>
        </w:tc>
        <w:tc>
          <w:tcPr>
            <w:tcW w:w="1300" w:type="dxa"/>
            <w:noWrap/>
            <w:hideMark/>
          </w:tcPr>
          <w:p w14:paraId="10005288"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50.23</w:t>
            </w:r>
          </w:p>
        </w:tc>
      </w:tr>
      <w:tr w:rsidR="002D62EF" w:rsidRPr="002D62EF" w14:paraId="0E363B2A" w14:textId="77777777" w:rsidTr="00953BFC">
        <w:trPr>
          <w:trHeight w:val="320"/>
          <w:jc w:val="center"/>
        </w:trPr>
        <w:tc>
          <w:tcPr>
            <w:tcW w:w="1300" w:type="dxa"/>
            <w:noWrap/>
            <w:hideMark/>
          </w:tcPr>
          <w:p w14:paraId="5AEF6A85" w14:textId="77777777" w:rsidR="002D62EF" w:rsidRPr="002D62EF" w:rsidRDefault="002D62EF" w:rsidP="00192EEC">
            <w:pPr>
              <w:spacing w:line="240" w:lineRule="auto"/>
              <w:jc w:val="both"/>
              <w:rPr>
                <w:rFonts w:ascii="Times New Roman" w:eastAsia="Times New Roman" w:hAnsi="Times New Roman" w:cs="Times New Roman"/>
                <w:bCs/>
                <w:sz w:val="24"/>
                <w:szCs w:val="24"/>
              </w:rPr>
            </w:pPr>
            <w:proofErr w:type="spellStart"/>
            <w:r w:rsidRPr="002D62EF">
              <w:rPr>
                <w:rFonts w:ascii="Times New Roman" w:eastAsia="Times New Roman" w:hAnsi="Times New Roman" w:cs="Times New Roman"/>
                <w:bCs/>
                <w:sz w:val="24"/>
                <w:szCs w:val="24"/>
              </w:rPr>
              <w:t>Cons.Dur</w:t>
            </w:r>
            <w:proofErr w:type="spellEnd"/>
          </w:p>
        </w:tc>
        <w:tc>
          <w:tcPr>
            <w:tcW w:w="1300" w:type="dxa"/>
            <w:noWrap/>
            <w:hideMark/>
          </w:tcPr>
          <w:p w14:paraId="2DD662E2"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25.04</w:t>
            </w:r>
          </w:p>
        </w:tc>
        <w:tc>
          <w:tcPr>
            <w:tcW w:w="1300" w:type="dxa"/>
            <w:noWrap/>
            <w:hideMark/>
          </w:tcPr>
          <w:p w14:paraId="149C4787"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16.76</w:t>
            </w:r>
          </w:p>
        </w:tc>
        <w:tc>
          <w:tcPr>
            <w:tcW w:w="1300" w:type="dxa"/>
            <w:noWrap/>
            <w:hideMark/>
          </w:tcPr>
          <w:p w14:paraId="4A70CE33"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46.12</w:t>
            </w:r>
          </w:p>
        </w:tc>
        <w:tc>
          <w:tcPr>
            <w:tcW w:w="1300" w:type="dxa"/>
            <w:noWrap/>
            <w:hideMark/>
          </w:tcPr>
          <w:p w14:paraId="64A3514B"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12.07</w:t>
            </w:r>
          </w:p>
        </w:tc>
        <w:tc>
          <w:tcPr>
            <w:tcW w:w="1300" w:type="dxa"/>
            <w:noWrap/>
            <w:hideMark/>
          </w:tcPr>
          <w:p w14:paraId="6872911F"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53.88</w:t>
            </w:r>
          </w:p>
        </w:tc>
      </w:tr>
      <w:tr w:rsidR="002D62EF" w:rsidRPr="002D62EF" w14:paraId="6598E749" w14:textId="77777777" w:rsidTr="00953BFC">
        <w:trPr>
          <w:trHeight w:val="320"/>
          <w:jc w:val="center"/>
        </w:trPr>
        <w:tc>
          <w:tcPr>
            <w:tcW w:w="1300" w:type="dxa"/>
            <w:noWrap/>
            <w:hideMark/>
          </w:tcPr>
          <w:p w14:paraId="5188791F" w14:textId="77777777" w:rsidR="002D62EF" w:rsidRPr="002D62EF" w:rsidRDefault="002D62EF" w:rsidP="00192EEC">
            <w:pPr>
              <w:spacing w:line="240" w:lineRule="auto"/>
              <w:jc w:val="both"/>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Health</w:t>
            </w:r>
          </w:p>
        </w:tc>
        <w:tc>
          <w:tcPr>
            <w:tcW w:w="1300" w:type="dxa"/>
            <w:noWrap/>
            <w:hideMark/>
          </w:tcPr>
          <w:p w14:paraId="7B9B834F"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13.43</w:t>
            </w:r>
          </w:p>
        </w:tc>
        <w:tc>
          <w:tcPr>
            <w:tcW w:w="1300" w:type="dxa"/>
            <w:noWrap/>
            <w:hideMark/>
          </w:tcPr>
          <w:p w14:paraId="180960DE"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16.85</w:t>
            </w:r>
          </w:p>
        </w:tc>
        <w:tc>
          <w:tcPr>
            <w:tcW w:w="1300" w:type="dxa"/>
            <w:noWrap/>
            <w:hideMark/>
          </w:tcPr>
          <w:p w14:paraId="3AD5DF2B"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14.09</w:t>
            </w:r>
          </w:p>
        </w:tc>
        <w:tc>
          <w:tcPr>
            <w:tcW w:w="1300" w:type="dxa"/>
            <w:noWrap/>
            <w:hideMark/>
          </w:tcPr>
          <w:p w14:paraId="39DF4924"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55.64</w:t>
            </w:r>
          </w:p>
        </w:tc>
        <w:tc>
          <w:tcPr>
            <w:tcW w:w="1300" w:type="dxa"/>
            <w:noWrap/>
            <w:hideMark/>
          </w:tcPr>
          <w:p w14:paraId="4605BFB9"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44.36</w:t>
            </w:r>
          </w:p>
        </w:tc>
      </w:tr>
      <w:tr w:rsidR="002D62EF" w:rsidRPr="002D62EF" w14:paraId="15A64EBF" w14:textId="77777777" w:rsidTr="00953BFC">
        <w:trPr>
          <w:trHeight w:val="320"/>
          <w:jc w:val="center"/>
        </w:trPr>
        <w:tc>
          <w:tcPr>
            <w:tcW w:w="1300" w:type="dxa"/>
            <w:noWrap/>
            <w:hideMark/>
          </w:tcPr>
          <w:p w14:paraId="35EDB582" w14:textId="77777777" w:rsidR="002D62EF" w:rsidRPr="002D62EF" w:rsidRDefault="002D62EF" w:rsidP="00192EEC">
            <w:pPr>
              <w:spacing w:line="240" w:lineRule="auto"/>
              <w:jc w:val="both"/>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TO</w:t>
            </w:r>
          </w:p>
        </w:tc>
        <w:tc>
          <w:tcPr>
            <w:tcW w:w="1300" w:type="dxa"/>
            <w:noWrap/>
            <w:hideMark/>
          </w:tcPr>
          <w:p w14:paraId="7B591BD5"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55.81</w:t>
            </w:r>
          </w:p>
        </w:tc>
        <w:tc>
          <w:tcPr>
            <w:tcW w:w="1300" w:type="dxa"/>
            <w:noWrap/>
            <w:hideMark/>
          </w:tcPr>
          <w:p w14:paraId="248DB1E4"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49.95</w:t>
            </w:r>
          </w:p>
        </w:tc>
        <w:tc>
          <w:tcPr>
            <w:tcW w:w="1300" w:type="dxa"/>
            <w:noWrap/>
            <w:hideMark/>
          </w:tcPr>
          <w:p w14:paraId="6AEE46E0"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57.23</w:t>
            </w:r>
          </w:p>
        </w:tc>
        <w:tc>
          <w:tcPr>
            <w:tcW w:w="1300" w:type="dxa"/>
            <w:noWrap/>
            <w:hideMark/>
          </w:tcPr>
          <w:p w14:paraId="5221F16A"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38.63</w:t>
            </w:r>
          </w:p>
        </w:tc>
        <w:tc>
          <w:tcPr>
            <w:tcW w:w="1300" w:type="dxa"/>
            <w:noWrap/>
            <w:hideMark/>
          </w:tcPr>
          <w:p w14:paraId="7B375AE0"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201.62</w:t>
            </w:r>
          </w:p>
        </w:tc>
      </w:tr>
      <w:tr w:rsidR="002D62EF" w:rsidRPr="002D62EF" w14:paraId="1D8E0A17" w14:textId="77777777" w:rsidTr="00953BFC">
        <w:trPr>
          <w:trHeight w:val="320"/>
          <w:jc w:val="center"/>
        </w:trPr>
        <w:tc>
          <w:tcPr>
            <w:tcW w:w="1300" w:type="dxa"/>
            <w:noWrap/>
            <w:hideMark/>
          </w:tcPr>
          <w:p w14:paraId="2827A32B" w14:textId="77777777" w:rsidR="002D62EF" w:rsidRPr="002D62EF" w:rsidRDefault="002D62EF" w:rsidP="00192EEC">
            <w:pPr>
              <w:spacing w:line="240" w:lineRule="auto"/>
              <w:jc w:val="both"/>
              <w:rPr>
                <w:rFonts w:ascii="Times New Roman" w:eastAsia="Times New Roman" w:hAnsi="Times New Roman" w:cs="Times New Roman"/>
                <w:bCs/>
                <w:sz w:val="24"/>
                <w:szCs w:val="24"/>
              </w:rPr>
            </w:pPr>
            <w:proofErr w:type="spellStart"/>
            <w:r w:rsidRPr="002D62EF">
              <w:rPr>
                <w:rFonts w:ascii="Times New Roman" w:eastAsia="Times New Roman" w:hAnsi="Times New Roman" w:cs="Times New Roman"/>
                <w:bCs/>
                <w:sz w:val="24"/>
                <w:szCs w:val="24"/>
              </w:rPr>
              <w:t>Inc.Own</w:t>
            </w:r>
            <w:proofErr w:type="spellEnd"/>
          </w:p>
        </w:tc>
        <w:tc>
          <w:tcPr>
            <w:tcW w:w="1300" w:type="dxa"/>
            <w:noWrap/>
            <w:hideMark/>
          </w:tcPr>
          <w:p w14:paraId="13AB81CA"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102.66</w:t>
            </w:r>
          </w:p>
        </w:tc>
        <w:tc>
          <w:tcPr>
            <w:tcW w:w="1300" w:type="dxa"/>
            <w:noWrap/>
            <w:hideMark/>
          </w:tcPr>
          <w:p w14:paraId="359EDBB4"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99.72</w:t>
            </w:r>
          </w:p>
        </w:tc>
        <w:tc>
          <w:tcPr>
            <w:tcW w:w="1300" w:type="dxa"/>
            <w:noWrap/>
            <w:hideMark/>
          </w:tcPr>
          <w:p w14:paraId="2A5F6082"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103.35</w:t>
            </w:r>
          </w:p>
        </w:tc>
        <w:tc>
          <w:tcPr>
            <w:tcW w:w="1300" w:type="dxa"/>
            <w:noWrap/>
            <w:hideMark/>
          </w:tcPr>
          <w:p w14:paraId="28062615"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94.26</w:t>
            </w:r>
          </w:p>
        </w:tc>
        <w:tc>
          <w:tcPr>
            <w:tcW w:w="1300" w:type="dxa"/>
            <w:noWrap/>
            <w:hideMark/>
          </w:tcPr>
          <w:p w14:paraId="0EEFB8B7"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proofErr w:type="spellStart"/>
            <w:r w:rsidRPr="002D62EF">
              <w:rPr>
                <w:rFonts w:ascii="Times New Roman" w:eastAsia="Times New Roman" w:hAnsi="Times New Roman" w:cs="Times New Roman"/>
                <w:bCs/>
                <w:sz w:val="24"/>
                <w:szCs w:val="24"/>
              </w:rPr>
              <w:t>cTCI</w:t>
            </w:r>
            <w:proofErr w:type="spellEnd"/>
            <w:r w:rsidRPr="002D62EF">
              <w:rPr>
                <w:rFonts w:ascii="Times New Roman" w:eastAsia="Times New Roman" w:hAnsi="Times New Roman" w:cs="Times New Roman"/>
                <w:bCs/>
                <w:sz w:val="24"/>
                <w:szCs w:val="24"/>
              </w:rPr>
              <w:t>/TCI</w:t>
            </w:r>
          </w:p>
        </w:tc>
      </w:tr>
      <w:tr w:rsidR="002D62EF" w:rsidRPr="002D62EF" w14:paraId="490C6E43" w14:textId="77777777" w:rsidTr="00953BFC">
        <w:trPr>
          <w:trHeight w:val="320"/>
          <w:jc w:val="center"/>
        </w:trPr>
        <w:tc>
          <w:tcPr>
            <w:tcW w:w="1300" w:type="dxa"/>
            <w:tcBorders>
              <w:bottom w:val="nil"/>
            </w:tcBorders>
            <w:noWrap/>
            <w:hideMark/>
          </w:tcPr>
          <w:p w14:paraId="6D25E460" w14:textId="77777777" w:rsidR="002D62EF" w:rsidRPr="002D62EF" w:rsidRDefault="002D62EF" w:rsidP="00192EEC">
            <w:pPr>
              <w:spacing w:line="240" w:lineRule="auto"/>
              <w:jc w:val="both"/>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NET</w:t>
            </w:r>
          </w:p>
        </w:tc>
        <w:tc>
          <w:tcPr>
            <w:tcW w:w="1300" w:type="dxa"/>
            <w:tcBorders>
              <w:bottom w:val="nil"/>
            </w:tcBorders>
            <w:noWrap/>
            <w:hideMark/>
          </w:tcPr>
          <w:p w14:paraId="61B736C7"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2.66</w:t>
            </w:r>
          </w:p>
        </w:tc>
        <w:tc>
          <w:tcPr>
            <w:tcW w:w="1300" w:type="dxa"/>
            <w:tcBorders>
              <w:bottom w:val="nil"/>
            </w:tcBorders>
            <w:noWrap/>
            <w:hideMark/>
          </w:tcPr>
          <w:p w14:paraId="4CBD4C87"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-0.28</w:t>
            </w:r>
          </w:p>
        </w:tc>
        <w:tc>
          <w:tcPr>
            <w:tcW w:w="1300" w:type="dxa"/>
            <w:tcBorders>
              <w:bottom w:val="nil"/>
            </w:tcBorders>
            <w:noWrap/>
            <w:hideMark/>
          </w:tcPr>
          <w:p w14:paraId="152DC7E3"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3.35</w:t>
            </w:r>
          </w:p>
        </w:tc>
        <w:tc>
          <w:tcPr>
            <w:tcW w:w="1300" w:type="dxa"/>
            <w:tcBorders>
              <w:bottom w:val="nil"/>
            </w:tcBorders>
            <w:noWrap/>
            <w:hideMark/>
          </w:tcPr>
          <w:p w14:paraId="185A1813"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-5.74</w:t>
            </w:r>
          </w:p>
        </w:tc>
        <w:tc>
          <w:tcPr>
            <w:tcW w:w="1300" w:type="dxa"/>
            <w:tcBorders>
              <w:bottom w:val="nil"/>
            </w:tcBorders>
            <w:noWrap/>
            <w:hideMark/>
          </w:tcPr>
          <w:p w14:paraId="535A44C0"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67.21/50.40</w:t>
            </w:r>
          </w:p>
        </w:tc>
      </w:tr>
      <w:tr w:rsidR="002D62EF" w:rsidRPr="002D62EF" w14:paraId="7A3EABE0" w14:textId="77777777" w:rsidTr="00953BFC">
        <w:trPr>
          <w:trHeight w:val="320"/>
          <w:jc w:val="center"/>
        </w:trPr>
        <w:tc>
          <w:tcPr>
            <w:tcW w:w="1300" w:type="dxa"/>
            <w:tcBorders>
              <w:top w:val="nil"/>
              <w:bottom w:val="single" w:sz="4" w:space="0" w:color="auto"/>
            </w:tcBorders>
            <w:noWrap/>
            <w:hideMark/>
          </w:tcPr>
          <w:p w14:paraId="7CEEEB7C" w14:textId="77777777" w:rsidR="002D62EF" w:rsidRPr="002D62EF" w:rsidRDefault="002D62EF" w:rsidP="00192EEC">
            <w:pPr>
              <w:spacing w:line="240" w:lineRule="auto"/>
              <w:jc w:val="both"/>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NPT</w:t>
            </w:r>
          </w:p>
        </w:tc>
        <w:tc>
          <w:tcPr>
            <w:tcW w:w="1300" w:type="dxa"/>
            <w:tcBorders>
              <w:top w:val="nil"/>
              <w:bottom w:val="single" w:sz="4" w:space="0" w:color="auto"/>
            </w:tcBorders>
            <w:noWrap/>
            <w:hideMark/>
          </w:tcPr>
          <w:p w14:paraId="74CCEA81"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2</w:t>
            </w:r>
          </w:p>
        </w:tc>
        <w:tc>
          <w:tcPr>
            <w:tcW w:w="1300" w:type="dxa"/>
            <w:tcBorders>
              <w:top w:val="nil"/>
              <w:bottom w:val="single" w:sz="4" w:space="0" w:color="auto"/>
            </w:tcBorders>
            <w:noWrap/>
            <w:hideMark/>
          </w:tcPr>
          <w:p w14:paraId="744D5DCE"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1</w:t>
            </w:r>
          </w:p>
        </w:tc>
        <w:tc>
          <w:tcPr>
            <w:tcW w:w="1300" w:type="dxa"/>
            <w:tcBorders>
              <w:top w:val="nil"/>
              <w:bottom w:val="single" w:sz="4" w:space="0" w:color="auto"/>
            </w:tcBorders>
            <w:noWrap/>
            <w:hideMark/>
          </w:tcPr>
          <w:p w14:paraId="5714AD48"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3</w:t>
            </w:r>
          </w:p>
        </w:tc>
        <w:tc>
          <w:tcPr>
            <w:tcW w:w="1300" w:type="dxa"/>
            <w:tcBorders>
              <w:top w:val="nil"/>
              <w:bottom w:val="single" w:sz="4" w:space="0" w:color="auto"/>
            </w:tcBorders>
            <w:noWrap/>
            <w:hideMark/>
          </w:tcPr>
          <w:p w14:paraId="4F489053"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r w:rsidRPr="002D62EF">
              <w:rPr>
                <w:rFonts w:ascii="Times New Roman" w:eastAsia="Times New Roman" w:hAnsi="Times New Roman" w:cs="Times New Roman"/>
                <w:bCs/>
                <w:sz w:val="24"/>
                <w:szCs w:val="24"/>
              </w:rPr>
              <w:t>0</w:t>
            </w:r>
          </w:p>
        </w:tc>
        <w:tc>
          <w:tcPr>
            <w:tcW w:w="1300" w:type="dxa"/>
            <w:tcBorders>
              <w:top w:val="nil"/>
              <w:bottom w:val="single" w:sz="4" w:space="0" w:color="auto"/>
            </w:tcBorders>
            <w:noWrap/>
            <w:hideMark/>
          </w:tcPr>
          <w:p w14:paraId="2DD5B2F2" w14:textId="77777777" w:rsidR="002D62EF" w:rsidRPr="002D62EF" w:rsidRDefault="002D62EF" w:rsidP="00192EEC">
            <w:pPr>
              <w:spacing w:line="240" w:lineRule="auto"/>
              <w:jc w:val="right"/>
              <w:rPr>
                <w:rFonts w:ascii="Times New Roman" w:eastAsia="Times New Roman" w:hAnsi="Times New Roman" w:cs="Times New Roman"/>
                <w:bCs/>
                <w:sz w:val="24"/>
                <w:szCs w:val="24"/>
              </w:rPr>
            </w:pPr>
          </w:p>
        </w:tc>
      </w:tr>
    </w:tbl>
    <w:p w14:paraId="3E991A5D" w14:textId="77777777" w:rsidR="002D62EF" w:rsidRDefault="002D62EF" w:rsidP="00065EF8">
      <w:pPr>
        <w:spacing w:line="480" w:lineRule="auto"/>
        <w:jc w:val="both"/>
        <w:rPr>
          <w:rFonts w:ascii="Times New Roman" w:eastAsia="Times New Roman" w:hAnsi="Times New Roman" w:cs="Times New Roman"/>
          <w:b/>
          <w:sz w:val="24"/>
          <w:szCs w:val="24"/>
        </w:rPr>
      </w:pPr>
    </w:p>
    <w:p w14:paraId="7D52821E" w14:textId="3176CD5C" w:rsidR="00C01855" w:rsidRPr="00953BFC" w:rsidRDefault="00C01855" w:rsidP="00953BFC">
      <w:pPr>
        <w:spacing w:line="480" w:lineRule="auto"/>
        <w:jc w:val="center"/>
        <w:rPr>
          <w:rFonts w:ascii="Times New Roman" w:eastAsia="Times New Roman" w:hAnsi="Times New Roman" w:cs="Times New Roman"/>
          <w:sz w:val="24"/>
          <w:szCs w:val="24"/>
        </w:rPr>
      </w:pPr>
      <w:r w:rsidRPr="00953BFC">
        <w:rPr>
          <w:rFonts w:ascii="Times New Roman" w:eastAsia="Times New Roman" w:hAnsi="Times New Roman" w:cs="Times New Roman"/>
          <w:sz w:val="24"/>
          <w:szCs w:val="24"/>
        </w:rPr>
        <w:t>Table 3 Dynamic Total Connectedness Table</w:t>
      </w:r>
    </w:p>
    <w:tbl>
      <w:tblPr>
        <w:tblStyle w:val="TableGrid"/>
        <w:tblW w:w="0" w:type="auto"/>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00"/>
        <w:gridCol w:w="1300"/>
        <w:gridCol w:w="1300"/>
        <w:gridCol w:w="1300"/>
        <w:gridCol w:w="1300"/>
        <w:gridCol w:w="1363"/>
      </w:tblGrid>
      <w:tr w:rsidR="00C01855" w:rsidRPr="00C01855" w14:paraId="0615EFDD" w14:textId="77777777" w:rsidTr="00953BFC">
        <w:trPr>
          <w:trHeight w:val="320"/>
          <w:jc w:val="center"/>
        </w:trPr>
        <w:tc>
          <w:tcPr>
            <w:tcW w:w="1300" w:type="dxa"/>
            <w:tcBorders>
              <w:top w:val="single" w:sz="4" w:space="0" w:color="auto"/>
              <w:bottom w:val="single" w:sz="4" w:space="0" w:color="auto"/>
            </w:tcBorders>
            <w:noWrap/>
            <w:hideMark/>
          </w:tcPr>
          <w:p w14:paraId="4E3B2CAA" w14:textId="77777777" w:rsidR="00C01855" w:rsidRPr="00C01855" w:rsidRDefault="00C01855" w:rsidP="00192EEC">
            <w:pPr>
              <w:spacing w:line="240" w:lineRule="auto"/>
              <w:jc w:val="both"/>
              <w:rPr>
                <w:rFonts w:ascii="Times New Roman" w:eastAsia="Times New Roman" w:hAnsi="Times New Roman" w:cs="Times New Roman"/>
                <w:bCs/>
                <w:sz w:val="24"/>
                <w:szCs w:val="24"/>
              </w:rPr>
            </w:pPr>
          </w:p>
        </w:tc>
        <w:tc>
          <w:tcPr>
            <w:tcW w:w="1300" w:type="dxa"/>
            <w:tcBorders>
              <w:top w:val="single" w:sz="4" w:space="0" w:color="auto"/>
              <w:bottom w:val="single" w:sz="4" w:space="0" w:color="auto"/>
            </w:tcBorders>
            <w:noWrap/>
            <w:hideMark/>
          </w:tcPr>
          <w:p w14:paraId="4F2D590A"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Auto</w:t>
            </w:r>
          </w:p>
        </w:tc>
        <w:tc>
          <w:tcPr>
            <w:tcW w:w="1300" w:type="dxa"/>
            <w:tcBorders>
              <w:top w:val="single" w:sz="4" w:space="0" w:color="auto"/>
              <w:bottom w:val="single" w:sz="4" w:space="0" w:color="auto"/>
            </w:tcBorders>
            <w:noWrap/>
            <w:hideMark/>
          </w:tcPr>
          <w:p w14:paraId="19BDA1F6"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FMCG</w:t>
            </w:r>
          </w:p>
        </w:tc>
        <w:tc>
          <w:tcPr>
            <w:tcW w:w="1300" w:type="dxa"/>
            <w:tcBorders>
              <w:top w:val="single" w:sz="4" w:space="0" w:color="auto"/>
              <w:bottom w:val="single" w:sz="4" w:space="0" w:color="auto"/>
            </w:tcBorders>
            <w:noWrap/>
            <w:hideMark/>
          </w:tcPr>
          <w:p w14:paraId="1AFB1F3B"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proofErr w:type="spellStart"/>
            <w:r w:rsidRPr="00C01855">
              <w:rPr>
                <w:rFonts w:ascii="Times New Roman" w:eastAsia="Times New Roman" w:hAnsi="Times New Roman" w:cs="Times New Roman"/>
                <w:bCs/>
                <w:sz w:val="24"/>
                <w:szCs w:val="24"/>
              </w:rPr>
              <w:t>Cons.Dur</w:t>
            </w:r>
            <w:proofErr w:type="spellEnd"/>
          </w:p>
        </w:tc>
        <w:tc>
          <w:tcPr>
            <w:tcW w:w="1300" w:type="dxa"/>
            <w:tcBorders>
              <w:top w:val="single" w:sz="4" w:space="0" w:color="auto"/>
              <w:bottom w:val="single" w:sz="4" w:space="0" w:color="auto"/>
            </w:tcBorders>
            <w:noWrap/>
            <w:hideMark/>
          </w:tcPr>
          <w:p w14:paraId="2EE9CB23"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Health</w:t>
            </w:r>
          </w:p>
        </w:tc>
        <w:tc>
          <w:tcPr>
            <w:tcW w:w="1363" w:type="dxa"/>
            <w:tcBorders>
              <w:top w:val="single" w:sz="4" w:space="0" w:color="auto"/>
              <w:bottom w:val="single" w:sz="4" w:space="0" w:color="auto"/>
            </w:tcBorders>
            <w:noWrap/>
            <w:hideMark/>
          </w:tcPr>
          <w:p w14:paraId="5A22DA1A"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FROM</w:t>
            </w:r>
          </w:p>
        </w:tc>
      </w:tr>
      <w:tr w:rsidR="00C01855" w:rsidRPr="00C01855" w14:paraId="6288A9DA" w14:textId="77777777" w:rsidTr="00953BFC">
        <w:trPr>
          <w:trHeight w:val="320"/>
          <w:jc w:val="center"/>
        </w:trPr>
        <w:tc>
          <w:tcPr>
            <w:tcW w:w="1300" w:type="dxa"/>
            <w:tcBorders>
              <w:top w:val="single" w:sz="4" w:space="0" w:color="auto"/>
            </w:tcBorders>
            <w:noWrap/>
            <w:hideMark/>
          </w:tcPr>
          <w:p w14:paraId="129FB1A7" w14:textId="77777777" w:rsidR="00C01855" w:rsidRPr="00C01855" w:rsidRDefault="00C01855" w:rsidP="00192EEC">
            <w:pPr>
              <w:spacing w:line="240" w:lineRule="auto"/>
              <w:jc w:val="both"/>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Auto</w:t>
            </w:r>
          </w:p>
        </w:tc>
        <w:tc>
          <w:tcPr>
            <w:tcW w:w="1300" w:type="dxa"/>
            <w:tcBorders>
              <w:top w:val="single" w:sz="4" w:space="0" w:color="auto"/>
            </w:tcBorders>
            <w:noWrap/>
            <w:hideMark/>
          </w:tcPr>
          <w:p w14:paraId="136F0845"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50.21</w:t>
            </w:r>
          </w:p>
        </w:tc>
        <w:tc>
          <w:tcPr>
            <w:tcW w:w="1300" w:type="dxa"/>
            <w:tcBorders>
              <w:top w:val="single" w:sz="4" w:space="0" w:color="auto"/>
            </w:tcBorders>
            <w:noWrap/>
            <w:hideMark/>
          </w:tcPr>
          <w:p w14:paraId="259D062D"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15.21</w:t>
            </w:r>
          </w:p>
        </w:tc>
        <w:tc>
          <w:tcPr>
            <w:tcW w:w="1300" w:type="dxa"/>
            <w:tcBorders>
              <w:top w:val="single" w:sz="4" w:space="0" w:color="auto"/>
            </w:tcBorders>
            <w:noWrap/>
            <w:hideMark/>
          </w:tcPr>
          <w:p w14:paraId="1402AE4A"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23.89</w:t>
            </w:r>
          </w:p>
        </w:tc>
        <w:tc>
          <w:tcPr>
            <w:tcW w:w="1300" w:type="dxa"/>
            <w:tcBorders>
              <w:top w:val="single" w:sz="4" w:space="0" w:color="auto"/>
            </w:tcBorders>
            <w:noWrap/>
            <w:hideMark/>
          </w:tcPr>
          <w:p w14:paraId="45E4FA5D"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10.69</w:t>
            </w:r>
          </w:p>
        </w:tc>
        <w:tc>
          <w:tcPr>
            <w:tcW w:w="1363" w:type="dxa"/>
            <w:tcBorders>
              <w:top w:val="single" w:sz="4" w:space="0" w:color="auto"/>
            </w:tcBorders>
            <w:noWrap/>
            <w:hideMark/>
          </w:tcPr>
          <w:p w14:paraId="7C65A570"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49.79</w:t>
            </w:r>
          </w:p>
        </w:tc>
      </w:tr>
      <w:tr w:rsidR="00C01855" w:rsidRPr="00C01855" w14:paraId="527EFBB8" w14:textId="77777777" w:rsidTr="00953BFC">
        <w:trPr>
          <w:trHeight w:val="320"/>
          <w:jc w:val="center"/>
        </w:trPr>
        <w:tc>
          <w:tcPr>
            <w:tcW w:w="1300" w:type="dxa"/>
            <w:noWrap/>
            <w:hideMark/>
          </w:tcPr>
          <w:p w14:paraId="2FE90D40" w14:textId="77777777" w:rsidR="00C01855" w:rsidRPr="00C01855" w:rsidRDefault="00C01855" w:rsidP="00192EEC">
            <w:pPr>
              <w:spacing w:line="240" w:lineRule="auto"/>
              <w:jc w:val="both"/>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lastRenderedPageBreak/>
              <w:t>FMCG</w:t>
            </w:r>
          </w:p>
        </w:tc>
        <w:tc>
          <w:tcPr>
            <w:tcW w:w="1300" w:type="dxa"/>
            <w:noWrap/>
            <w:hideMark/>
          </w:tcPr>
          <w:p w14:paraId="1AAE3029"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16.31</w:t>
            </w:r>
          </w:p>
        </w:tc>
        <w:tc>
          <w:tcPr>
            <w:tcW w:w="1300" w:type="dxa"/>
            <w:noWrap/>
            <w:hideMark/>
          </w:tcPr>
          <w:p w14:paraId="277A5B8E"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54.03</w:t>
            </w:r>
          </w:p>
        </w:tc>
        <w:tc>
          <w:tcPr>
            <w:tcW w:w="1300" w:type="dxa"/>
            <w:noWrap/>
            <w:hideMark/>
          </w:tcPr>
          <w:p w14:paraId="1C171514"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16.68</w:t>
            </w:r>
          </w:p>
        </w:tc>
        <w:tc>
          <w:tcPr>
            <w:tcW w:w="1300" w:type="dxa"/>
            <w:noWrap/>
            <w:hideMark/>
          </w:tcPr>
          <w:p w14:paraId="3C906679"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12.98</w:t>
            </w:r>
          </w:p>
        </w:tc>
        <w:tc>
          <w:tcPr>
            <w:tcW w:w="1363" w:type="dxa"/>
            <w:noWrap/>
            <w:hideMark/>
          </w:tcPr>
          <w:p w14:paraId="0AB8115E"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45.97</w:t>
            </w:r>
          </w:p>
        </w:tc>
      </w:tr>
      <w:tr w:rsidR="00C01855" w:rsidRPr="00C01855" w14:paraId="33436E8B" w14:textId="77777777" w:rsidTr="00953BFC">
        <w:trPr>
          <w:trHeight w:val="320"/>
          <w:jc w:val="center"/>
        </w:trPr>
        <w:tc>
          <w:tcPr>
            <w:tcW w:w="1300" w:type="dxa"/>
            <w:noWrap/>
            <w:hideMark/>
          </w:tcPr>
          <w:p w14:paraId="6C8BA100" w14:textId="77777777" w:rsidR="00C01855" w:rsidRPr="00C01855" w:rsidRDefault="00C01855" w:rsidP="00192EEC">
            <w:pPr>
              <w:spacing w:line="240" w:lineRule="auto"/>
              <w:jc w:val="both"/>
              <w:rPr>
                <w:rFonts w:ascii="Times New Roman" w:eastAsia="Times New Roman" w:hAnsi="Times New Roman" w:cs="Times New Roman"/>
                <w:bCs/>
                <w:sz w:val="24"/>
                <w:szCs w:val="24"/>
              </w:rPr>
            </w:pPr>
            <w:proofErr w:type="spellStart"/>
            <w:r w:rsidRPr="00C01855">
              <w:rPr>
                <w:rFonts w:ascii="Times New Roman" w:eastAsia="Times New Roman" w:hAnsi="Times New Roman" w:cs="Times New Roman"/>
                <w:bCs/>
                <w:sz w:val="24"/>
                <w:szCs w:val="24"/>
              </w:rPr>
              <w:t>Cons.Dur</w:t>
            </w:r>
            <w:proofErr w:type="spellEnd"/>
          </w:p>
        </w:tc>
        <w:tc>
          <w:tcPr>
            <w:tcW w:w="1300" w:type="dxa"/>
            <w:noWrap/>
            <w:hideMark/>
          </w:tcPr>
          <w:p w14:paraId="43AC7110"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23.55</w:t>
            </w:r>
          </w:p>
        </w:tc>
        <w:tc>
          <w:tcPr>
            <w:tcW w:w="1300" w:type="dxa"/>
            <w:noWrap/>
            <w:hideMark/>
          </w:tcPr>
          <w:p w14:paraId="497A5A97"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15.39</w:t>
            </w:r>
          </w:p>
        </w:tc>
        <w:tc>
          <w:tcPr>
            <w:tcW w:w="1300" w:type="dxa"/>
            <w:noWrap/>
            <w:hideMark/>
          </w:tcPr>
          <w:p w14:paraId="75F21C48"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49.17</w:t>
            </w:r>
          </w:p>
        </w:tc>
        <w:tc>
          <w:tcPr>
            <w:tcW w:w="1300" w:type="dxa"/>
            <w:noWrap/>
            <w:hideMark/>
          </w:tcPr>
          <w:p w14:paraId="6433F6A8"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11.89</w:t>
            </w:r>
          </w:p>
        </w:tc>
        <w:tc>
          <w:tcPr>
            <w:tcW w:w="1363" w:type="dxa"/>
            <w:noWrap/>
            <w:hideMark/>
          </w:tcPr>
          <w:p w14:paraId="388A78A7"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50.83</w:t>
            </w:r>
          </w:p>
        </w:tc>
      </w:tr>
      <w:tr w:rsidR="00C01855" w:rsidRPr="00C01855" w14:paraId="7484574B" w14:textId="77777777" w:rsidTr="00953BFC">
        <w:trPr>
          <w:trHeight w:val="320"/>
          <w:jc w:val="center"/>
        </w:trPr>
        <w:tc>
          <w:tcPr>
            <w:tcW w:w="1300" w:type="dxa"/>
            <w:noWrap/>
            <w:hideMark/>
          </w:tcPr>
          <w:p w14:paraId="3CF49619" w14:textId="77777777" w:rsidR="00C01855" w:rsidRPr="00C01855" w:rsidRDefault="00C01855" w:rsidP="00192EEC">
            <w:pPr>
              <w:spacing w:line="240" w:lineRule="auto"/>
              <w:jc w:val="both"/>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Health</w:t>
            </w:r>
          </w:p>
        </w:tc>
        <w:tc>
          <w:tcPr>
            <w:tcW w:w="1300" w:type="dxa"/>
            <w:noWrap/>
            <w:hideMark/>
          </w:tcPr>
          <w:p w14:paraId="0E2F217D"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12.51</w:t>
            </w:r>
          </w:p>
        </w:tc>
        <w:tc>
          <w:tcPr>
            <w:tcW w:w="1300" w:type="dxa"/>
            <w:noWrap/>
            <w:hideMark/>
          </w:tcPr>
          <w:p w14:paraId="41247B2C"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14.3</w:t>
            </w:r>
          </w:p>
        </w:tc>
        <w:tc>
          <w:tcPr>
            <w:tcW w:w="1300" w:type="dxa"/>
            <w:noWrap/>
            <w:hideMark/>
          </w:tcPr>
          <w:p w14:paraId="2F961AC1"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13.81</w:t>
            </w:r>
          </w:p>
        </w:tc>
        <w:tc>
          <w:tcPr>
            <w:tcW w:w="1300" w:type="dxa"/>
            <w:noWrap/>
            <w:hideMark/>
          </w:tcPr>
          <w:p w14:paraId="2C8D3ACD"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59.38</w:t>
            </w:r>
          </w:p>
        </w:tc>
        <w:tc>
          <w:tcPr>
            <w:tcW w:w="1363" w:type="dxa"/>
            <w:noWrap/>
            <w:hideMark/>
          </w:tcPr>
          <w:p w14:paraId="41159866"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40.62</w:t>
            </w:r>
          </w:p>
        </w:tc>
      </w:tr>
      <w:tr w:rsidR="00C01855" w:rsidRPr="00C01855" w14:paraId="4D67E0E2" w14:textId="77777777" w:rsidTr="00953BFC">
        <w:trPr>
          <w:trHeight w:val="320"/>
          <w:jc w:val="center"/>
        </w:trPr>
        <w:tc>
          <w:tcPr>
            <w:tcW w:w="1300" w:type="dxa"/>
            <w:noWrap/>
            <w:hideMark/>
          </w:tcPr>
          <w:p w14:paraId="1415DB13" w14:textId="77777777" w:rsidR="00C01855" w:rsidRPr="00C01855" w:rsidRDefault="00C01855" w:rsidP="00192EEC">
            <w:pPr>
              <w:spacing w:line="240" w:lineRule="auto"/>
              <w:jc w:val="both"/>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TO</w:t>
            </w:r>
          </w:p>
        </w:tc>
        <w:tc>
          <w:tcPr>
            <w:tcW w:w="1300" w:type="dxa"/>
            <w:noWrap/>
            <w:hideMark/>
          </w:tcPr>
          <w:p w14:paraId="258220ED"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52.37</w:t>
            </w:r>
          </w:p>
        </w:tc>
        <w:tc>
          <w:tcPr>
            <w:tcW w:w="1300" w:type="dxa"/>
            <w:noWrap/>
            <w:hideMark/>
          </w:tcPr>
          <w:p w14:paraId="0C35E058"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44.9</w:t>
            </w:r>
          </w:p>
        </w:tc>
        <w:tc>
          <w:tcPr>
            <w:tcW w:w="1300" w:type="dxa"/>
            <w:noWrap/>
            <w:hideMark/>
          </w:tcPr>
          <w:p w14:paraId="09EC44F2"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54.38</w:t>
            </w:r>
          </w:p>
        </w:tc>
        <w:tc>
          <w:tcPr>
            <w:tcW w:w="1300" w:type="dxa"/>
            <w:noWrap/>
            <w:hideMark/>
          </w:tcPr>
          <w:p w14:paraId="481DBB80"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35.57</w:t>
            </w:r>
          </w:p>
        </w:tc>
        <w:tc>
          <w:tcPr>
            <w:tcW w:w="1363" w:type="dxa"/>
            <w:noWrap/>
            <w:hideMark/>
          </w:tcPr>
          <w:p w14:paraId="37AEF132"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187.21</w:t>
            </w:r>
          </w:p>
        </w:tc>
      </w:tr>
      <w:tr w:rsidR="00C01855" w:rsidRPr="00C01855" w14:paraId="4DE34953" w14:textId="77777777" w:rsidTr="00953BFC">
        <w:trPr>
          <w:trHeight w:val="320"/>
          <w:jc w:val="center"/>
        </w:trPr>
        <w:tc>
          <w:tcPr>
            <w:tcW w:w="1300" w:type="dxa"/>
            <w:noWrap/>
            <w:hideMark/>
          </w:tcPr>
          <w:p w14:paraId="252B1026" w14:textId="77777777" w:rsidR="00C01855" w:rsidRPr="00C01855" w:rsidRDefault="00C01855" w:rsidP="00192EEC">
            <w:pPr>
              <w:spacing w:line="240" w:lineRule="auto"/>
              <w:jc w:val="both"/>
              <w:rPr>
                <w:rFonts w:ascii="Times New Roman" w:eastAsia="Times New Roman" w:hAnsi="Times New Roman" w:cs="Times New Roman"/>
                <w:bCs/>
                <w:sz w:val="24"/>
                <w:szCs w:val="24"/>
              </w:rPr>
            </w:pPr>
            <w:proofErr w:type="spellStart"/>
            <w:r w:rsidRPr="00C01855">
              <w:rPr>
                <w:rFonts w:ascii="Times New Roman" w:eastAsia="Times New Roman" w:hAnsi="Times New Roman" w:cs="Times New Roman"/>
                <w:bCs/>
                <w:sz w:val="24"/>
                <w:szCs w:val="24"/>
              </w:rPr>
              <w:t>Inc.Own</w:t>
            </w:r>
            <w:proofErr w:type="spellEnd"/>
          </w:p>
        </w:tc>
        <w:tc>
          <w:tcPr>
            <w:tcW w:w="1300" w:type="dxa"/>
            <w:noWrap/>
            <w:hideMark/>
          </w:tcPr>
          <w:p w14:paraId="001757AD"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102.58</w:t>
            </w:r>
          </w:p>
        </w:tc>
        <w:tc>
          <w:tcPr>
            <w:tcW w:w="1300" w:type="dxa"/>
            <w:noWrap/>
            <w:hideMark/>
          </w:tcPr>
          <w:p w14:paraId="1A8B4178"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98.93</w:t>
            </w:r>
          </w:p>
        </w:tc>
        <w:tc>
          <w:tcPr>
            <w:tcW w:w="1300" w:type="dxa"/>
            <w:noWrap/>
            <w:hideMark/>
          </w:tcPr>
          <w:p w14:paraId="6B5B6638"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103.55</w:t>
            </w:r>
          </w:p>
        </w:tc>
        <w:tc>
          <w:tcPr>
            <w:tcW w:w="1300" w:type="dxa"/>
            <w:noWrap/>
            <w:hideMark/>
          </w:tcPr>
          <w:p w14:paraId="2C6D60BC"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94.95</w:t>
            </w:r>
          </w:p>
        </w:tc>
        <w:tc>
          <w:tcPr>
            <w:tcW w:w="1363" w:type="dxa"/>
            <w:noWrap/>
            <w:hideMark/>
          </w:tcPr>
          <w:p w14:paraId="7B24CD42"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proofErr w:type="spellStart"/>
            <w:r w:rsidRPr="00C01855">
              <w:rPr>
                <w:rFonts w:ascii="Times New Roman" w:eastAsia="Times New Roman" w:hAnsi="Times New Roman" w:cs="Times New Roman"/>
                <w:bCs/>
                <w:sz w:val="24"/>
                <w:szCs w:val="24"/>
              </w:rPr>
              <w:t>cTCI</w:t>
            </w:r>
            <w:proofErr w:type="spellEnd"/>
            <w:r w:rsidRPr="00C01855">
              <w:rPr>
                <w:rFonts w:ascii="Times New Roman" w:eastAsia="Times New Roman" w:hAnsi="Times New Roman" w:cs="Times New Roman"/>
                <w:bCs/>
                <w:sz w:val="24"/>
                <w:szCs w:val="24"/>
              </w:rPr>
              <w:t>/TCI</w:t>
            </w:r>
          </w:p>
        </w:tc>
      </w:tr>
      <w:tr w:rsidR="00C01855" w:rsidRPr="00C01855" w14:paraId="291E0390" w14:textId="77777777" w:rsidTr="00953BFC">
        <w:trPr>
          <w:trHeight w:val="320"/>
          <w:jc w:val="center"/>
        </w:trPr>
        <w:tc>
          <w:tcPr>
            <w:tcW w:w="1300" w:type="dxa"/>
            <w:noWrap/>
            <w:hideMark/>
          </w:tcPr>
          <w:p w14:paraId="2380C1A8" w14:textId="77777777" w:rsidR="00C01855" w:rsidRPr="00C01855" w:rsidRDefault="00C01855" w:rsidP="00192EEC">
            <w:pPr>
              <w:spacing w:line="240" w:lineRule="auto"/>
              <w:jc w:val="both"/>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NET</w:t>
            </w:r>
          </w:p>
        </w:tc>
        <w:tc>
          <w:tcPr>
            <w:tcW w:w="1300" w:type="dxa"/>
            <w:noWrap/>
            <w:hideMark/>
          </w:tcPr>
          <w:p w14:paraId="1D920EF8"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2.58</w:t>
            </w:r>
          </w:p>
        </w:tc>
        <w:tc>
          <w:tcPr>
            <w:tcW w:w="1300" w:type="dxa"/>
            <w:noWrap/>
            <w:hideMark/>
          </w:tcPr>
          <w:p w14:paraId="0754F7C5"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-1.07</w:t>
            </w:r>
          </w:p>
        </w:tc>
        <w:tc>
          <w:tcPr>
            <w:tcW w:w="1300" w:type="dxa"/>
            <w:noWrap/>
            <w:hideMark/>
          </w:tcPr>
          <w:p w14:paraId="61B1F278"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3.55</w:t>
            </w:r>
          </w:p>
        </w:tc>
        <w:tc>
          <w:tcPr>
            <w:tcW w:w="1300" w:type="dxa"/>
            <w:noWrap/>
            <w:hideMark/>
          </w:tcPr>
          <w:p w14:paraId="02AFBE63"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-5.05</w:t>
            </w:r>
          </w:p>
        </w:tc>
        <w:tc>
          <w:tcPr>
            <w:tcW w:w="1363" w:type="dxa"/>
            <w:noWrap/>
            <w:hideMark/>
          </w:tcPr>
          <w:p w14:paraId="2B2798CF"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62.40/46.80</w:t>
            </w:r>
          </w:p>
        </w:tc>
      </w:tr>
      <w:tr w:rsidR="00C01855" w:rsidRPr="00C01855" w14:paraId="7F7AF6A2" w14:textId="77777777" w:rsidTr="00953BFC">
        <w:trPr>
          <w:trHeight w:val="320"/>
          <w:jc w:val="center"/>
        </w:trPr>
        <w:tc>
          <w:tcPr>
            <w:tcW w:w="1300" w:type="dxa"/>
            <w:noWrap/>
            <w:hideMark/>
          </w:tcPr>
          <w:p w14:paraId="7F7B64EE" w14:textId="77777777" w:rsidR="00C01855" w:rsidRPr="00C01855" w:rsidRDefault="00C01855" w:rsidP="00192EEC">
            <w:pPr>
              <w:spacing w:line="240" w:lineRule="auto"/>
              <w:jc w:val="both"/>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NPT</w:t>
            </w:r>
          </w:p>
        </w:tc>
        <w:tc>
          <w:tcPr>
            <w:tcW w:w="1300" w:type="dxa"/>
            <w:noWrap/>
            <w:hideMark/>
          </w:tcPr>
          <w:p w14:paraId="3BDBF273"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2</w:t>
            </w:r>
          </w:p>
        </w:tc>
        <w:tc>
          <w:tcPr>
            <w:tcW w:w="1300" w:type="dxa"/>
            <w:noWrap/>
            <w:hideMark/>
          </w:tcPr>
          <w:p w14:paraId="7FF10682"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1</w:t>
            </w:r>
          </w:p>
        </w:tc>
        <w:tc>
          <w:tcPr>
            <w:tcW w:w="1300" w:type="dxa"/>
            <w:noWrap/>
            <w:hideMark/>
          </w:tcPr>
          <w:p w14:paraId="5C93962C"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3</w:t>
            </w:r>
          </w:p>
        </w:tc>
        <w:tc>
          <w:tcPr>
            <w:tcW w:w="1300" w:type="dxa"/>
            <w:noWrap/>
            <w:hideMark/>
          </w:tcPr>
          <w:p w14:paraId="24F4F3DF"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r w:rsidRPr="00C01855">
              <w:rPr>
                <w:rFonts w:ascii="Times New Roman" w:eastAsia="Times New Roman" w:hAnsi="Times New Roman" w:cs="Times New Roman"/>
                <w:bCs/>
                <w:sz w:val="24"/>
                <w:szCs w:val="24"/>
              </w:rPr>
              <w:t>0</w:t>
            </w:r>
          </w:p>
        </w:tc>
        <w:tc>
          <w:tcPr>
            <w:tcW w:w="1363" w:type="dxa"/>
            <w:noWrap/>
            <w:hideMark/>
          </w:tcPr>
          <w:p w14:paraId="643C7C57" w14:textId="77777777" w:rsidR="00C01855" w:rsidRPr="00C01855" w:rsidRDefault="00C01855" w:rsidP="00192EEC">
            <w:pPr>
              <w:spacing w:line="240" w:lineRule="auto"/>
              <w:jc w:val="right"/>
              <w:rPr>
                <w:rFonts w:ascii="Times New Roman" w:eastAsia="Times New Roman" w:hAnsi="Times New Roman" w:cs="Times New Roman"/>
                <w:bCs/>
                <w:sz w:val="24"/>
                <w:szCs w:val="24"/>
              </w:rPr>
            </w:pPr>
          </w:p>
        </w:tc>
      </w:tr>
    </w:tbl>
    <w:p w14:paraId="4E979A2C" w14:textId="77777777" w:rsidR="00065EF8" w:rsidRDefault="00065EF8">
      <w:pPr>
        <w:rPr>
          <w:lang w:val="en-US"/>
        </w:rPr>
      </w:pPr>
    </w:p>
    <w:p w14:paraId="3DB627F3" w14:textId="77777777" w:rsidR="00946EE8" w:rsidRDefault="00946EE8">
      <w:pPr>
        <w:rPr>
          <w:lang w:val="en-US"/>
        </w:rPr>
      </w:pPr>
    </w:p>
    <w:p w14:paraId="55CFED32" w14:textId="77777777" w:rsidR="00946EE8" w:rsidRDefault="00946EE8">
      <w:pPr>
        <w:rPr>
          <w:lang w:val="en-US"/>
        </w:rPr>
      </w:pPr>
    </w:p>
    <w:p w14:paraId="2E0E0A44" w14:textId="77777777" w:rsidR="00946EE8" w:rsidRDefault="00946EE8">
      <w:pPr>
        <w:rPr>
          <w:lang w:val="en-US"/>
        </w:rPr>
      </w:pPr>
    </w:p>
    <w:p w14:paraId="5C46611D" w14:textId="74F6D8D5" w:rsidR="00065EF8" w:rsidRDefault="00946EE8">
      <w:pPr>
        <w:rPr>
          <w:lang w:val="en-US"/>
        </w:rPr>
      </w:pPr>
      <w:r>
        <w:rPr>
          <w:noProof/>
          <w:lang w:val="en-US"/>
        </w:rPr>
        <w:drawing>
          <wp:inline distT="0" distB="0" distL="0" distR="0" wp14:anchorId="15ACB01E" wp14:editId="4D7FB8B4">
            <wp:extent cx="3016329" cy="1971675"/>
            <wp:effectExtent l="0" t="0" r="0" b="0"/>
            <wp:docPr id="199919640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9196406" name="Picture 1999196406"/>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022773" cy="1975887"/>
                    </a:xfrm>
                    <a:prstGeom prst="rect">
                      <a:avLst/>
                    </a:prstGeom>
                  </pic:spPr>
                </pic:pic>
              </a:graphicData>
            </a:graphic>
          </wp:inline>
        </w:drawing>
      </w:r>
      <w:r w:rsidR="00192EEC">
        <w:rPr>
          <w:noProof/>
          <w:lang w:val="en-US"/>
        </w:rPr>
        <w:drawing>
          <wp:inline distT="0" distB="0" distL="0" distR="0" wp14:anchorId="3CE96BAD" wp14:editId="39F78298">
            <wp:extent cx="2686050" cy="1755782"/>
            <wp:effectExtent l="0" t="0" r="0" b="0"/>
            <wp:docPr id="44246413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464133" name="Picture 442464133"/>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722416" cy="1779553"/>
                    </a:xfrm>
                    <a:prstGeom prst="rect">
                      <a:avLst/>
                    </a:prstGeom>
                  </pic:spPr>
                </pic:pic>
              </a:graphicData>
            </a:graphic>
          </wp:inline>
        </w:drawing>
      </w:r>
    </w:p>
    <w:p w14:paraId="58F71297" w14:textId="6759E2C6" w:rsidR="00946EE8" w:rsidRPr="00953BFC" w:rsidRDefault="00946EE8" w:rsidP="00953BFC">
      <w:pPr>
        <w:jc w:val="center"/>
        <w:rPr>
          <w:rFonts w:ascii="Times New Roman" w:hAnsi="Times New Roman" w:cs="Times New Roman"/>
          <w:sz w:val="24"/>
          <w:szCs w:val="24"/>
          <w:lang w:val="en-US"/>
        </w:rPr>
      </w:pPr>
      <w:r w:rsidRPr="00953BFC">
        <w:rPr>
          <w:rFonts w:ascii="Times New Roman" w:hAnsi="Times New Roman" w:cs="Times New Roman"/>
          <w:sz w:val="24"/>
          <w:szCs w:val="24"/>
          <w:lang w:val="en-US"/>
        </w:rPr>
        <w:t>Figure 2 Connectedness network</w:t>
      </w:r>
      <w:r w:rsidR="00192EEC" w:rsidRPr="00953BFC">
        <w:rPr>
          <w:rFonts w:ascii="Times New Roman" w:hAnsi="Times New Roman" w:cs="Times New Roman"/>
          <w:sz w:val="24"/>
          <w:szCs w:val="24"/>
          <w:lang w:val="en-US"/>
        </w:rPr>
        <w:t>s</w:t>
      </w:r>
    </w:p>
    <w:p w14:paraId="6F11486F" w14:textId="114EE9AA" w:rsidR="00946EE8" w:rsidRDefault="00946EE8">
      <w:pPr>
        <w:rPr>
          <w:lang w:val="en-US"/>
        </w:rPr>
      </w:pPr>
    </w:p>
    <w:p w14:paraId="7E8481E4" w14:textId="63BC2DF2" w:rsidR="008F558E" w:rsidRDefault="008F558E" w:rsidP="00953BFC">
      <w:pPr>
        <w:jc w:val="center"/>
        <w:rPr>
          <w:lang w:val="en-US"/>
        </w:rPr>
      </w:pPr>
      <w:r>
        <w:rPr>
          <w:noProof/>
          <w:lang w:val="en-US"/>
        </w:rPr>
        <w:drawing>
          <wp:inline distT="0" distB="0" distL="0" distR="0" wp14:anchorId="453B801E" wp14:editId="61111A11">
            <wp:extent cx="1882588" cy="1230586"/>
            <wp:effectExtent l="0" t="0" r="0" b="1905"/>
            <wp:docPr id="1713686007" name="Picture 3" descr="A graph showing the number of numbers and the number of the number of numbe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3686007" name="Picture 3" descr="A graph showing the number of numbers and the number of the number of numbers&#10;&#10;Description automatically generated with medium confidenc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945554" cy="1271745"/>
                    </a:xfrm>
                    <a:prstGeom prst="rect">
                      <a:avLst/>
                    </a:prstGeom>
                  </pic:spPr>
                </pic:pic>
              </a:graphicData>
            </a:graphic>
          </wp:inline>
        </w:drawing>
      </w:r>
    </w:p>
    <w:p w14:paraId="7C9D47EB" w14:textId="0505DBFB" w:rsidR="008F558E" w:rsidRPr="00953BFC" w:rsidRDefault="00953BFC" w:rsidP="00953BFC">
      <w:pPr>
        <w:jc w:val="center"/>
        <w:rPr>
          <w:rFonts w:ascii="Times New Roman" w:hAnsi="Times New Roman" w:cs="Times New Roman"/>
          <w:sz w:val="24"/>
          <w:szCs w:val="24"/>
          <w:lang w:val="en-US"/>
        </w:rPr>
      </w:pPr>
      <w:r>
        <w:rPr>
          <w:rFonts w:ascii="Times New Roman" w:hAnsi="Times New Roman" w:cs="Times New Roman"/>
          <w:sz w:val="24"/>
          <w:szCs w:val="24"/>
          <w:lang w:val="en-US"/>
        </w:rPr>
        <w:t>Figure</w:t>
      </w:r>
      <w:r w:rsidR="008F558E" w:rsidRPr="00953BFC">
        <w:rPr>
          <w:rFonts w:ascii="Times New Roman" w:hAnsi="Times New Roman" w:cs="Times New Roman"/>
          <w:sz w:val="24"/>
          <w:szCs w:val="24"/>
          <w:lang w:val="en-US"/>
        </w:rPr>
        <w:t xml:space="preserve"> 3 TCI Over time</w:t>
      </w:r>
      <w:r>
        <w:rPr>
          <w:rFonts w:ascii="Times New Roman" w:hAnsi="Times New Roman" w:cs="Times New Roman"/>
          <w:sz w:val="24"/>
          <w:szCs w:val="24"/>
          <w:lang w:val="en-US"/>
        </w:rPr>
        <w:t xml:space="preserve"> - overall</w:t>
      </w:r>
    </w:p>
    <w:p w14:paraId="06F08B56" w14:textId="5F9DF5AD" w:rsidR="008F558E" w:rsidRDefault="008F558E">
      <w:pPr>
        <w:rPr>
          <w:lang w:val="en-US"/>
        </w:rPr>
      </w:pPr>
      <w:r>
        <w:rPr>
          <w:noProof/>
          <w:lang w:val="en-US"/>
        </w:rPr>
        <w:drawing>
          <wp:inline distT="0" distB="0" distL="0" distR="0" wp14:anchorId="5F5ACF6F" wp14:editId="3301A484">
            <wp:extent cx="1361474" cy="889951"/>
            <wp:effectExtent l="0" t="0" r="0" b="0"/>
            <wp:docPr id="38726619" name="Picture 4" descr="A graph of a graph showing the same graph&#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26619" name="Picture 4" descr="A graph of a graph showing the same graph&#10;&#10;Description automatically generated with medium confidenc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435962" cy="938641"/>
                    </a:xfrm>
                    <a:prstGeom prst="rect">
                      <a:avLst/>
                    </a:prstGeom>
                  </pic:spPr>
                </pic:pic>
              </a:graphicData>
            </a:graphic>
          </wp:inline>
        </w:drawing>
      </w:r>
      <w:r>
        <w:rPr>
          <w:noProof/>
          <w:lang w:val="en-US"/>
        </w:rPr>
        <w:drawing>
          <wp:inline distT="0" distB="0" distL="0" distR="0" wp14:anchorId="0E6EE27D" wp14:editId="7C5DBBFC">
            <wp:extent cx="1398877" cy="914400"/>
            <wp:effectExtent l="0" t="0" r="0" b="0"/>
            <wp:docPr id="58627279" name="Picture 5" descr="A graph of a graph showing the value of a stock mark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27279" name="Picture 5" descr="A graph of a graph showing the value of a stock market&#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469360" cy="960472"/>
                    </a:xfrm>
                    <a:prstGeom prst="rect">
                      <a:avLst/>
                    </a:prstGeom>
                  </pic:spPr>
                </pic:pic>
              </a:graphicData>
            </a:graphic>
          </wp:inline>
        </w:drawing>
      </w:r>
      <w:r>
        <w:rPr>
          <w:noProof/>
          <w:lang w:val="en-US"/>
        </w:rPr>
        <w:drawing>
          <wp:inline distT="0" distB="0" distL="0" distR="0" wp14:anchorId="5175262E" wp14:editId="6AC400C0">
            <wp:extent cx="1376436" cy="899731"/>
            <wp:effectExtent l="0" t="0" r="0" b="2540"/>
            <wp:docPr id="1992006997" name="Picture 6" descr="A graph of a graph&#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2006997" name="Picture 6" descr="A graph of a graph&#10;&#10;Description automatically generated with medium confidenc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497919" cy="979140"/>
                    </a:xfrm>
                    <a:prstGeom prst="rect">
                      <a:avLst/>
                    </a:prstGeom>
                  </pic:spPr>
                </pic:pic>
              </a:graphicData>
            </a:graphic>
          </wp:inline>
        </w:drawing>
      </w:r>
      <w:r>
        <w:rPr>
          <w:noProof/>
          <w:lang w:val="en-US"/>
        </w:rPr>
        <w:drawing>
          <wp:inline distT="0" distB="0" distL="0" distR="0" wp14:anchorId="49E6DC84" wp14:editId="2C9BA98B">
            <wp:extent cx="1324070" cy="865501"/>
            <wp:effectExtent l="0" t="0" r="0" b="0"/>
            <wp:docPr id="669832508" name="Picture 7" descr="A graph showing the growth of healt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832508" name="Picture 7" descr="A graph showing the growth of health&#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394024" cy="911227"/>
                    </a:xfrm>
                    <a:prstGeom prst="rect">
                      <a:avLst/>
                    </a:prstGeom>
                  </pic:spPr>
                </pic:pic>
              </a:graphicData>
            </a:graphic>
          </wp:inline>
        </w:drawing>
      </w:r>
    </w:p>
    <w:p w14:paraId="32BB4CFD" w14:textId="1D89A896" w:rsidR="008F558E" w:rsidRDefault="00953BFC" w:rsidP="00953BFC">
      <w:pPr>
        <w:jc w:val="center"/>
        <w:rPr>
          <w:lang w:val="en-US"/>
        </w:rPr>
      </w:pPr>
      <w:r>
        <w:rPr>
          <w:rFonts w:ascii="Times New Roman" w:hAnsi="Times New Roman" w:cs="Times New Roman"/>
          <w:sz w:val="24"/>
          <w:szCs w:val="24"/>
          <w:lang w:val="en-US"/>
        </w:rPr>
        <w:t>Figure</w:t>
      </w:r>
      <w:r w:rsidRPr="00953BFC">
        <w:rPr>
          <w:rFonts w:ascii="Times New Roman" w:hAnsi="Times New Roman" w:cs="Times New Roman"/>
          <w:sz w:val="24"/>
          <w:szCs w:val="24"/>
          <w:lang w:val="en-US"/>
        </w:rPr>
        <w:t xml:space="preserve"> </w:t>
      </w:r>
      <w:r>
        <w:rPr>
          <w:rFonts w:ascii="Times New Roman" w:hAnsi="Times New Roman" w:cs="Times New Roman"/>
          <w:sz w:val="24"/>
          <w:szCs w:val="24"/>
          <w:lang w:val="en-US"/>
        </w:rPr>
        <w:t>4</w:t>
      </w:r>
      <w:r w:rsidRPr="00953BFC">
        <w:rPr>
          <w:rFonts w:ascii="Times New Roman" w:hAnsi="Times New Roman" w:cs="Times New Roman"/>
          <w:sz w:val="24"/>
          <w:szCs w:val="24"/>
          <w:lang w:val="en-US"/>
        </w:rPr>
        <w:t xml:space="preserve"> TCI Over time</w:t>
      </w:r>
      <w:r>
        <w:rPr>
          <w:rFonts w:ascii="Times New Roman" w:hAnsi="Times New Roman" w:cs="Times New Roman"/>
          <w:sz w:val="24"/>
          <w:szCs w:val="24"/>
          <w:lang w:val="en-US"/>
        </w:rPr>
        <w:t xml:space="preserve"> – sectoral indices</w:t>
      </w:r>
    </w:p>
    <w:p w14:paraId="672890EA" w14:textId="40A6110F" w:rsidR="008F558E" w:rsidRDefault="008F558E" w:rsidP="00953BFC">
      <w:pPr>
        <w:jc w:val="center"/>
        <w:rPr>
          <w:lang w:val="en-US"/>
        </w:rPr>
      </w:pPr>
      <w:r>
        <w:rPr>
          <w:noProof/>
          <w:lang w:val="en-US"/>
        </w:rPr>
        <w:lastRenderedPageBreak/>
        <w:drawing>
          <wp:inline distT="0" distB="0" distL="0" distR="0" wp14:anchorId="3DE93DD2" wp14:editId="68695981">
            <wp:extent cx="2184342" cy="1427833"/>
            <wp:effectExtent l="0" t="0" r="635" b="0"/>
            <wp:docPr id="1540612876" name="Picture 8" descr="A graph of different types of data&#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0612876" name="Picture 8" descr="A graph of different types of data&#10;&#10;Description automatically generated with medium confidenc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281907" cy="1491608"/>
                    </a:xfrm>
                    <a:prstGeom prst="rect">
                      <a:avLst/>
                    </a:prstGeom>
                  </pic:spPr>
                </pic:pic>
              </a:graphicData>
            </a:graphic>
          </wp:inline>
        </w:drawing>
      </w:r>
    </w:p>
    <w:p w14:paraId="312EEBA9" w14:textId="3B8D0527" w:rsidR="008F558E" w:rsidRPr="00953BFC" w:rsidRDefault="008F558E" w:rsidP="00953BFC">
      <w:pPr>
        <w:jc w:val="center"/>
        <w:rPr>
          <w:rFonts w:ascii="Times New Roman" w:hAnsi="Times New Roman" w:cs="Times New Roman"/>
          <w:sz w:val="24"/>
          <w:szCs w:val="24"/>
          <w:lang w:val="en-US"/>
        </w:rPr>
      </w:pPr>
      <w:r w:rsidRPr="00953BFC">
        <w:rPr>
          <w:rFonts w:ascii="Times New Roman" w:hAnsi="Times New Roman" w:cs="Times New Roman"/>
          <w:sz w:val="24"/>
          <w:szCs w:val="24"/>
          <w:lang w:val="en-US"/>
        </w:rPr>
        <w:t>Fig 5 Net</w:t>
      </w:r>
      <w:r w:rsidR="00953BFC">
        <w:rPr>
          <w:rFonts w:ascii="Times New Roman" w:hAnsi="Times New Roman" w:cs="Times New Roman"/>
          <w:sz w:val="24"/>
          <w:szCs w:val="24"/>
          <w:lang w:val="en-US"/>
        </w:rPr>
        <w:t xml:space="preserve"> Directional Connectedness Index</w:t>
      </w:r>
    </w:p>
    <w:sectPr w:rsidR="008F558E" w:rsidRPr="00953BFC" w:rsidSect="000D5C86">
      <w:footerReference w:type="defaul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69B4F7" w14:textId="77777777" w:rsidR="004C16E8" w:rsidRDefault="004C16E8" w:rsidP="00953BFC">
      <w:pPr>
        <w:spacing w:after="0" w:line="240" w:lineRule="auto"/>
      </w:pPr>
      <w:r>
        <w:separator/>
      </w:r>
    </w:p>
  </w:endnote>
  <w:endnote w:type="continuationSeparator" w:id="0">
    <w:p w14:paraId="7F49C2B8" w14:textId="77777777" w:rsidR="004C16E8" w:rsidRDefault="004C16E8" w:rsidP="00953B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90DE12" w14:textId="7A2E58DA" w:rsidR="00953BFC" w:rsidRPr="00953BFC" w:rsidRDefault="00953BFC" w:rsidP="00953BFC">
    <w:pPr>
      <w:pStyle w:val="Footer"/>
      <w:ind w:firstLine="720"/>
      <w:jc w:val="center"/>
      <w:rPr>
        <w:rFonts w:ascii="Times New Roman" w:hAnsi="Times New Roman" w:cs="Times New Roman"/>
      </w:rPr>
    </w:pPr>
    <w:r w:rsidRPr="00953BFC">
      <w:rPr>
        <w:rFonts w:ascii="Times New Roman" w:hAnsi="Times New Roman" w:cs="Times New Roman"/>
      </w:rPr>
      <w:t xml:space="preserve">Page </w:t>
    </w:r>
    <w:r w:rsidRPr="00953BFC">
      <w:rPr>
        <w:rFonts w:ascii="Times New Roman" w:hAnsi="Times New Roman" w:cs="Times New Roman"/>
      </w:rPr>
      <w:fldChar w:fldCharType="begin"/>
    </w:r>
    <w:r w:rsidRPr="00953BFC">
      <w:rPr>
        <w:rFonts w:ascii="Times New Roman" w:hAnsi="Times New Roman" w:cs="Times New Roman"/>
      </w:rPr>
      <w:instrText xml:space="preserve"> PAGE  \* Arabic  \* MERGEFORMAT </w:instrText>
    </w:r>
    <w:r w:rsidRPr="00953BFC">
      <w:rPr>
        <w:rFonts w:ascii="Times New Roman" w:hAnsi="Times New Roman" w:cs="Times New Roman"/>
      </w:rPr>
      <w:fldChar w:fldCharType="separate"/>
    </w:r>
    <w:r w:rsidR="00D56E61">
      <w:rPr>
        <w:rFonts w:ascii="Times New Roman" w:hAnsi="Times New Roman" w:cs="Times New Roman"/>
        <w:noProof/>
      </w:rPr>
      <w:t>7</w:t>
    </w:r>
    <w:r w:rsidRPr="00953BFC">
      <w:rPr>
        <w:rFonts w:ascii="Times New Roman" w:hAnsi="Times New Roman" w:cs="Times New Roman"/>
      </w:rPr>
      <w:fldChar w:fldCharType="end"/>
    </w:r>
    <w:r w:rsidRPr="00953BFC">
      <w:rPr>
        <w:rFonts w:ascii="Times New Roman" w:hAnsi="Times New Roman" w:cs="Times New Roman"/>
      </w:rPr>
      <w:t xml:space="preserve"> of </w:t>
    </w:r>
    <w:r w:rsidRPr="00953BFC">
      <w:rPr>
        <w:rFonts w:ascii="Times New Roman" w:hAnsi="Times New Roman" w:cs="Times New Roman"/>
      </w:rPr>
      <w:fldChar w:fldCharType="begin"/>
    </w:r>
    <w:r w:rsidRPr="00953BFC">
      <w:rPr>
        <w:rFonts w:ascii="Times New Roman" w:hAnsi="Times New Roman" w:cs="Times New Roman"/>
      </w:rPr>
      <w:instrText xml:space="preserve"> NUMPAGES  \* Arabic  \* MERGEFORMAT </w:instrText>
    </w:r>
    <w:r w:rsidRPr="00953BFC">
      <w:rPr>
        <w:rFonts w:ascii="Times New Roman" w:hAnsi="Times New Roman" w:cs="Times New Roman"/>
      </w:rPr>
      <w:fldChar w:fldCharType="separate"/>
    </w:r>
    <w:r w:rsidR="00D56E61">
      <w:rPr>
        <w:rFonts w:ascii="Times New Roman" w:hAnsi="Times New Roman" w:cs="Times New Roman"/>
        <w:noProof/>
      </w:rPr>
      <w:t>8</w:t>
    </w:r>
    <w:r w:rsidRPr="00953BFC">
      <w:rPr>
        <w:rFonts w:ascii="Times New Roman" w:hAnsi="Times New Roman" w:cs="Times New Roman"/>
      </w:rPr>
      <w:fldChar w:fldCharType="end"/>
    </w:r>
  </w:p>
  <w:p w14:paraId="75C6BB95" w14:textId="77777777" w:rsidR="00953BFC" w:rsidRDefault="00953B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53560A" w14:textId="77777777" w:rsidR="004C16E8" w:rsidRDefault="004C16E8" w:rsidP="00953BFC">
      <w:pPr>
        <w:spacing w:after="0" w:line="240" w:lineRule="auto"/>
      </w:pPr>
      <w:r>
        <w:separator/>
      </w:r>
    </w:p>
  </w:footnote>
  <w:footnote w:type="continuationSeparator" w:id="0">
    <w:p w14:paraId="3CE79291" w14:textId="77777777" w:rsidR="004C16E8" w:rsidRDefault="004C16E8" w:rsidP="00953BF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88407FD"/>
    <w:multiLevelType w:val="hybridMultilevel"/>
    <w:tmpl w:val="3398D3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DFE2D6B"/>
    <w:multiLevelType w:val="hybridMultilevel"/>
    <w:tmpl w:val="19DC8F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72062668">
    <w:abstractNumId w:val="0"/>
  </w:num>
  <w:num w:numId="2" w16cid:durableId="20594690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79E2"/>
    <w:rsid w:val="00025F8E"/>
    <w:rsid w:val="00065EF8"/>
    <w:rsid w:val="000B533F"/>
    <w:rsid w:val="000C4708"/>
    <w:rsid w:val="000D5C86"/>
    <w:rsid w:val="000F213E"/>
    <w:rsid w:val="00126FAA"/>
    <w:rsid w:val="00132BFB"/>
    <w:rsid w:val="001532C7"/>
    <w:rsid w:val="001558D0"/>
    <w:rsid w:val="00175463"/>
    <w:rsid w:val="00183C63"/>
    <w:rsid w:val="00192EEC"/>
    <w:rsid w:val="00197D8C"/>
    <w:rsid w:val="001A4AE5"/>
    <w:rsid w:val="001A4E31"/>
    <w:rsid w:val="001C0A5B"/>
    <w:rsid w:val="001C5312"/>
    <w:rsid w:val="001D765C"/>
    <w:rsid w:val="001E5085"/>
    <w:rsid w:val="001E6E29"/>
    <w:rsid w:val="001F59DE"/>
    <w:rsid w:val="002114E6"/>
    <w:rsid w:val="00252083"/>
    <w:rsid w:val="0025666D"/>
    <w:rsid w:val="0028464B"/>
    <w:rsid w:val="00297477"/>
    <w:rsid w:val="002B2872"/>
    <w:rsid w:val="002B7A05"/>
    <w:rsid w:val="002C33C5"/>
    <w:rsid w:val="002C6434"/>
    <w:rsid w:val="002D62EF"/>
    <w:rsid w:val="002E605F"/>
    <w:rsid w:val="00307626"/>
    <w:rsid w:val="00310BBC"/>
    <w:rsid w:val="0032414C"/>
    <w:rsid w:val="003356CA"/>
    <w:rsid w:val="00337206"/>
    <w:rsid w:val="00383EDB"/>
    <w:rsid w:val="003A182F"/>
    <w:rsid w:val="003C3846"/>
    <w:rsid w:val="003D3E40"/>
    <w:rsid w:val="003E33C9"/>
    <w:rsid w:val="003F265F"/>
    <w:rsid w:val="003F76B8"/>
    <w:rsid w:val="00473680"/>
    <w:rsid w:val="004A76C0"/>
    <w:rsid w:val="004B48CE"/>
    <w:rsid w:val="004C16E8"/>
    <w:rsid w:val="004C3077"/>
    <w:rsid w:val="004C6D36"/>
    <w:rsid w:val="004D274C"/>
    <w:rsid w:val="004E037A"/>
    <w:rsid w:val="004F0BA5"/>
    <w:rsid w:val="0052155B"/>
    <w:rsid w:val="0053613E"/>
    <w:rsid w:val="00536E2B"/>
    <w:rsid w:val="00544D1B"/>
    <w:rsid w:val="005705E6"/>
    <w:rsid w:val="00571169"/>
    <w:rsid w:val="00577C1F"/>
    <w:rsid w:val="00584791"/>
    <w:rsid w:val="005A6E1B"/>
    <w:rsid w:val="005A6FF3"/>
    <w:rsid w:val="005B154A"/>
    <w:rsid w:val="005B508D"/>
    <w:rsid w:val="005C6978"/>
    <w:rsid w:val="005E5B03"/>
    <w:rsid w:val="005E6855"/>
    <w:rsid w:val="005F1797"/>
    <w:rsid w:val="005F5E6E"/>
    <w:rsid w:val="006058EC"/>
    <w:rsid w:val="00636D5A"/>
    <w:rsid w:val="00682AFF"/>
    <w:rsid w:val="006A0D99"/>
    <w:rsid w:val="006B2FBD"/>
    <w:rsid w:val="006B7BB5"/>
    <w:rsid w:val="00704040"/>
    <w:rsid w:val="00705758"/>
    <w:rsid w:val="00741B12"/>
    <w:rsid w:val="00756625"/>
    <w:rsid w:val="00756E50"/>
    <w:rsid w:val="007A19C6"/>
    <w:rsid w:val="007B1B74"/>
    <w:rsid w:val="00807180"/>
    <w:rsid w:val="008277AB"/>
    <w:rsid w:val="00863057"/>
    <w:rsid w:val="008D4204"/>
    <w:rsid w:val="008D76CE"/>
    <w:rsid w:val="008E5519"/>
    <w:rsid w:val="008F558E"/>
    <w:rsid w:val="008F6CFB"/>
    <w:rsid w:val="008F752B"/>
    <w:rsid w:val="00913DB0"/>
    <w:rsid w:val="00923936"/>
    <w:rsid w:val="00933A16"/>
    <w:rsid w:val="00935747"/>
    <w:rsid w:val="00946EE8"/>
    <w:rsid w:val="0095311A"/>
    <w:rsid w:val="00953197"/>
    <w:rsid w:val="00953BFC"/>
    <w:rsid w:val="009D1072"/>
    <w:rsid w:val="009D2317"/>
    <w:rsid w:val="009D6C42"/>
    <w:rsid w:val="009F12E1"/>
    <w:rsid w:val="00A04B54"/>
    <w:rsid w:val="00A05010"/>
    <w:rsid w:val="00A115FB"/>
    <w:rsid w:val="00A219A4"/>
    <w:rsid w:val="00A73665"/>
    <w:rsid w:val="00A82116"/>
    <w:rsid w:val="00A8306C"/>
    <w:rsid w:val="00A87180"/>
    <w:rsid w:val="00A97E6A"/>
    <w:rsid w:val="00AB53A2"/>
    <w:rsid w:val="00AF37B1"/>
    <w:rsid w:val="00AF4EAE"/>
    <w:rsid w:val="00B06E7D"/>
    <w:rsid w:val="00B139F8"/>
    <w:rsid w:val="00B14FA0"/>
    <w:rsid w:val="00B15701"/>
    <w:rsid w:val="00B208DA"/>
    <w:rsid w:val="00B2436A"/>
    <w:rsid w:val="00B41861"/>
    <w:rsid w:val="00B459FF"/>
    <w:rsid w:val="00B53F7A"/>
    <w:rsid w:val="00B54988"/>
    <w:rsid w:val="00B85400"/>
    <w:rsid w:val="00B93888"/>
    <w:rsid w:val="00BB1D56"/>
    <w:rsid w:val="00BE1C32"/>
    <w:rsid w:val="00BE438E"/>
    <w:rsid w:val="00BF65A6"/>
    <w:rsid w:val="00C01855"/>
    <w:rsid w:val="00C04CEC"/>
    <w:rsid w:val="00C56D5C"/>
    <w:rsid w:val="00C67E24"/>
    <w:rsid w:val="00C804F2"/>
    <w:rsid w:val="00C811DB"/>
    <w:rsid w:val="00C84E4D"/>
    <w:rsid w:val="00C95D28"/>
    <w:rsid w:val="00CB309D"/>
    <w:rsid w:val="00CC7C29"/>
    <w:rsid w:val="00CF3420"/>
    <w:rsid w:val="00D076A2"/>
    <w:rsid w:val="00D20210"/>
    <w:rsid w:val="00D23F1B"/>
    <w:rsid w:val="00D379E2"/>
    <w:rsid w:val="00D40322"/>
    <w:rsid w:val="00D43A63"/>
    <w:rsid w:val="00D56E61"/>
    <w:rsid w:val="00D6507E"/>
    <w:rsid w:val="00D6614A"/>
    <w:rsid w:val="00D6650D"/>
    <w:rsid w:val="00D75468"/>
    <w:rsid w:val="00D924EB"/>
    <w:rsid w:val="00D92DB9"/>
    <w:rsid w:val="00D96EF4"/>
    <w:rsid w:val="00DA7333"/>
    <w:rsid w:val="00DE62B3"/>
    <w:rsid w:val="00DF579C"/>
    <w:rsid w:val="00E12955"/>
    <w:rsid w:val="00E1560E"/>
    <w:rsid w:val="00E40D88"/>
    <w:rsid w:val="00E5536B"/>
    <w:rsid w:val="00E669A7"/>
    <w:rsid w:val="00E73FAB"/>
    <w:rsid w:val="00E747B5"/>
    <w:rsid w:val="00E90AE5"/>
    <w:rsid w:val="00E96DB7"/>
    <w:rsid w:val="00EA5610"/>
    <w:rsid w:val="00EC5157"/>
    <w:rsid w:val="00EF1783"/>
    <w:rsid w:val="00EF3952"/>
    <w:rsid w:val="00F06F3E"/>
    <w:rsid w:val="00F92F6C"/>
    <w:rsid w:val="00FC5098"/>
    <w:rsid w:val="00FE19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5F4B68"/>
  <w15:chartTrackingRefBased/>
  <w15:docId w15:val="{8E33343F-6BA0-4A20-A88D-CC810159FD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213E"/>
    <w:pPr>
      <w:spacing w:after="160" w:line="259"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4736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GB"/>
    </w:rPr>
  </w:style>
  <w:style w:type="character" w:customStyle="1" w:styleId="HTMLPreformattedChar">
    <w:name w:val="HTML Preformatted Char"/>
    <w:link w:val="HTMLPreformatted"/>
    <w:uiPriority w:val="99"/>
    <w:semiHidden/>
    <w:rsid w:val="00473680"/>
    <w:rPr>
      <w:rFonts w:ascii="Courier New" w:eastAsia="Times New Roman" w:hAnsi="Courier New" w:cs="Courier New"/>
    </w:rPr>
  </w:style>
  <w:style w:type="character" w:styleId="PlaceholderText">
    <w:name w:val="Placeholder Text"/>
    <w:basedOn w:val="DefaultParagraphFont"/>
    <w:uiPriority w:val="99"/>
    <w:semiHidden/>
    <w:rsid w:val="001C0A5B"/>
    <w:rPr>
      <w:color w:val="666666"/>
    </w:rPr>
  </w:style>
  <w:style w:type="table" w:styleId="TableGrid">
    <w:name w:val="Table Grid"/>
    <w:basedOn w:val="TableNormal"/>
    <w:uiPriority w:val="39"/>
    <w:rsid w:val="002D62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05010"/>
    <w:pPr>
      <w:ind w:left="720"/>
      <w:contextualSpacing/>
    </w:pPr>
  </w:style>
  <w:style w:type="character" w:styleId="Hyperlink">
    <w:name w:val="Hyperlink"/>
    <w:basedOn w:val="DefaultParagraphFont"/>
    <w:uiPriority w:val="99"/>
    <w:unhideWhenUsed/>
    <w:rsid w:val="001558D0"/>
    <w:rPr>
      <w:color w:val="0563C1" w:themeColor="hyperlink"/>
      <w:u w:val="single"/>
    </w:rPr>
  </w:style>
  <w:style w:type="paragraph" w:styleId="Header">
    <w:name w:val="header"/>
    <w:basedOn w:val="Normal"/>
    <w:link w:val="HeaderChar"/>
    <w:uiPriority w:val="99"/>
    <w:unhideWhenUsed/>
    <w:rsid w:val="00953BF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53BFC"/>
    <w:rPr>
      <w:sz w:val="22"/>
      <w:szCs w:val="22"/>
      <w:lang w:eastAsia="en-US"/>
    </w:rPr>
  </w:style>
  <w:style w:type="paragraph" w:styleId="Footer">
    <w:name w:val="footer"/>
    <w:basedOn w:val="Normal"/>
    <w:link w:val="FooterChar"/>
    <w:uiPriority w:val="99"/>
    <w:unhideWhenUsed/>
    <w:rsid w:val="00953BF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53BFC"/>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711666">
      <w:bodyDiv w:val="1"/>
      <w:marLeft w:val="0"/>
      <w:marRight w:val="0"/>
      <w:marTop w:val="0"/>
      <w:marBottom w:val="0"/>
      <w:divBdr>
        <w:top w:val="none" w:sz="0" w:space="0" w:color="auto"/>
        <w:left w:val="none" w:sz="0" w:space="0" w:color="auto"/>
        <w:bottom w:val="none" w:sz="0" w:space="0" w:color="auto"/>
        <w:right w:val="none" w:sz="0" w:space="0" w:color="auto"/>
      </w:divBdr>
    </w:div>
    <w:div w:id="93668127">
      <w:bodyDiv w:val="1"/>
      <w:marLeft w:val="0"/>
      <w:marRight w:val="0"/>
      <w:marTop w:val="0"/>
      <w:marBottom w:val="0"/>
      <w:divBdr>
        <w:top w:val="none" w:sz="0" w:space="0" w:color="auto"/>
        <w:left w:val="none" w:sz="0" w:space="0" w:color="auto"/>
        <w:bottom w:val="none" w:sz="0" w:space="0" w:color="auto"/>
        <w:right w:val="none" w:sz="0" w:space="0" w:color="auto"/>
      </w:divBdr>
    </w:div>
    <w:div w:id="610942558">
      <w:bodyDiv w:val="1"/>
      <w:marLeft w:val="0"/>
      <w:marRight w:val="0"/>
      <w:marTop w:val="0"/>
      <w:marBottom w:val="0"/>
      <w:divBdr>
        <w:top w:val="none" w:sz="0" w:space="0" w:color="auto"/>
        <w:left w:val="none" w:sz="0" w:space="0" w:color="auto"/>
        <w:bottom w:val="none" w:sz="0" w:space="0" w:color="auto"/>
        <w:right w:val="none" w:sz="0" w:space="0" w:color="auto"/>
      </w:divBdr>
    </w:div>
    <w:div w:id="718481102">
      <w:bodyDiv w:val="1"/>
      <w:marLeft w:val="0"/>
      <w:marRight w:val="0"/>
      <w:marTop w:val="0"/>
      <w:marBottom w:val="0"/>
      <w:divBdr>
        <w:top w:val="none" w:sz="0" w:space="0" w:color="auto"/>
        <w:left w:val="none" w:sz="0" w:space="0" w:color="auto"/>
        <w:bottom w:val="none" w:sz="0" w:space="0" w:color="auto"/>
        <w:right w:val="none" w:sz="0" w:space="0" w:color="auto"/>
      </w:divBdr>
    </w:div>
    <w:div w:id="1040282911">
      <w:bodyDiv w:val="1"/>
      <w:marLeft w:val="0"/>
      <w:marRight w:val="0"/>
      <w:marTop w:val="0"/>
      <w:marBottom w:val="0"/>
      <w:divBdr>
        <w:top w:val="none" w:sz="0" w:space="0" w:color="auto"/>
        <w:left w:val="none" w:sz="0" w:space="0" w:color="auto"/>
        <w:bottom w:val="none" w:sz="0" w:space="0" w:color="auto"/>
        <w:right w:val="none" w:sz="0" w:space="0" w:color="auto"/>
      </w:divBdr>
    </w:div>
    <w:div w:id="1752121554">
      <w:bodyDiv w:val="1"/>
      <w:marLeft w:val="0"/>
      <w:marRight w:val="0"/>
      <w:marTop w:val="0"/>
      <w:marBottom w:val="0"/>
      <w:divBdr>
        <w:top w:val="none" w:sz="0" w:space="0" w:color="auto"/>
        <w:left w:val="none" w:sz="0" w:space="0" w:color="auto"/>
        <w:bottom w:val="none" w:sz="0" w:space="0" w:color="auto"/>
        <w:right w:val="none" w:sz="0" w:space="0" w:color="auto"/>
      </w:divBdr>
    </w:div>
    <w:div w:id="2007708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016/j.eneco.2018.06.022" TargetMode="External"/><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07EB5B-769D-47DF-9234-07ED510763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345</TotalTime>
  <Pages>8</Pages>
  <Words>1350</Words>
  <Characters>7696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Sony Stephen</dc:creator>
  <cp:keywords/>
  <dc:description/>
  <cp:lastModifiedBy>Sony Stephen</cp:lastModifiedBy>
  <cp:revision>56</cp:revision>
  <dcterms:created xsi:type="dcterms:W3CDTF">2023-11-25T01:01:00Z</dcterms:created>
  <dcterms:modified xsi:type="dcterms:W3CDTF">2024-08-22T12:08:00Z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 11th edition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 6th edition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12th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9th edition</vt:lpwstr>
  </property>
  <property fmtid="{D5CDD505-2E9C-101B-9397-08002B2CF9AE}" pid="20" name="Mendeley Recent Style Id 9_1">
    <vt:lpwstr>http://www.zotero.org/styles/harvard-university-of-the-west-of-england</vt:lpwstr>
  </property>
  <property fmtid="{D5CDD505-2E9C-101B-9397-08002B2CF9AE}" pid="21" name="Mendeley Recent Style Name 9_1">
    <vt:lpwstr>University of the West of England (Bristol) - Harvard</vt:lpwstr>
  </property>
  <property fmtid="{D5CDD505-2E9C-101B-9397-08002B2CF9AE}" pid="22" name="Mendeley Citation Style_1">
    <vt:lpwstr>http://www.zotero.org/styles/apa</vt:lpwstr>
  </property>
  <property fmtid="{D5CDD505-2E9C-101B-9397-08002B2CF9AE}" pid="23" name="Mendeley Document_1">
    <vt:lpwstr>True</vt:lpwstr>
  </property>
  <property fmtid="{D5CDD505-2E9C-101B-9397-08002B2CF9AE}" pid="24" name="Mendeley Unique User Id_1">
    <vt:lpwstr>374ccfd0-b802-360a-acad-b47d00c0b40a</vt:lpwstr>
  </property>
</Properties>
</file>