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2707E8" w14:textId="1AF8FFCD" w:rsidR="002F0D23" w:rsidRPr="004F5CF6" w:rsidRDefault="00000000" w:rsidP="004F5CF6">
      <w:pPr>
        <w:pStyle w:val="Heading1"/>
        <w:keepLines w:val="0"/>
        <w:spacing w:before="240" w:after="60"/>
        <w:jc w:val="center"/>
        <w:rPr>
          <w:kern w:val="28"/>
          <w:sz w:val="28"/>
          <w:szCs w:val="20"/>
          <w:lang w:eastAsia="en-US"/>
        </w:rPr>
      </w:pPr>
      <w:bookmarkStart w:id="0" w:name="_71rpgfnt8mgl" w:colFirst="0" w:colLast="0"/>
      <w:bookmarkEnd w:id="0"/>
      <w:r w:rsidRPr="00DE0CFA">
        <w:rPr>
          <w:kern w:val="28"/>
          <w:sz w:val="28"/>
          <w:szCs w:val="20"/>
          <w:lang w:eastAsia="en-US"/>
        </w:rPr>
        <w:t>Transparency in the real estate market</w:t>
      </w:r>
      <w:r w:rsidR="00DE0CFA" w:rsidRPr="00DE0CFA">
        <w:rPr>
          <w:kern w:val="28"/>
          <w:sz w:val="28"/>
          <w:szCs w:val="20"/>
          <w:lang w:eastAsia="en-US"/>
        </w:rPr>
        <w:t xml:space="preserve"> -</w:t>
      </w:r>
      <w:bookmarkStart w:id="1" w:name="_do0u50cd3o5m" w:colFirst="0" w:colLast="0"/>
      <w:bookmarkEnd w:id="1"/>
      <w:r w:rsidR="00DE0CFA">
        <w:rPr>
          <w:kern w:val="28"/>
          <w:sz w:val="28"/>
          <w:szCs w:val="20"/>
          <w:lang w:eastAsia="en-US"/>
        </w:rPr>
        <w:br/>
      </w:r>
      <w:r w:rsidRPr="00DE0CFA">
        <w:rPr>
          <w:kern w:val="28"/>
          <w:sz w:val="28"/>
          <w:szCs w:val="20"/>
          <w:lang w:eastAsia="en-US"/>
        </w:rPr>
        <w:t>A global comparative study</w:t>
      </w:r>
    </w:p>
    <w:p w14:paraId="0E672E72" w14:textId="333FEFFB" w:rsidR="002F0D23" w:rsidRPr="00DE0CFA" w:rsidRDefault="00000000">
      <w:pPr>
        <w:pBdr>
          <w:top w:val="nil"/>
          <w:left w:val="nil"/>
          <w:bottom w:val="nil"/>
          <w:right w:val="nil"/>
          <w:between w:val="nil"/>
        </w:pBdr>
        <w:spacing w:after="0" w:line="240" w:lineRule="auto"/>
        <w:jc w:val="center"/>
        <w:rPr>
          <w:rFonts w:ascii="Times New Roman" w:eastAsia="Times New Roman" w:hAnsi="Times New Roman" w:cs="Times New Roman"/>
          <w:b/>
          <w:sz w:val="24"/>
          <w:szCs w:val="20"/>
          <w:lang w:eastAsia="en-US"/>
        </w:rPr>
      </w:pPr>
      <w:r w:rsidRPr="00DE0CFA">
        <w:rPr>
          <w:rFonts w:ascii="Times New Roman" w:eastAsia="Times New Roman" w:hAnsi="Times New Roman" w:cs="Times New Roman"/>
          <w:b/>
          <w:sz w:val="24"/>
          <w:szCs w:val="20"/>
          <w:lang w:eastAsia="en-US"/>
        </w:rPr>
        <w:t>Grazyna WIEJAK-ROY, United Kingdom</w:t>
      </w:r>
    </w:p>
    <w:p w14:paraId="276D72C1" w14:textId="77777777" w:rsidR="002F0D23" w:rsidRPr="00DE0CFA" w:rsidRDefault="00000000">
      <w:pPr>
        <w:pBdr>
          <w:top w:val="nil"/>
          <w:left w:val="nil"/>
          <w:bottom w:val="nil"/>
          <w:right w:val="nil"/>
          <w:between w:val="nil"/>
        </w:pBdr>
        <w:spacing w:after="0" w:line="240" w:lineRule="auto"/>
        <w:jc w:val="center"/>
        <w:rPr>
          <w:rFonts w:ascii="Times New Roman" w:eastAsia="Times New Roman" w:hAnsi="Times New Roman" w:cs="Times New Roman"/>
          <w:b/>
          <w:sz w:val="24"/>
          <w:szCs w:val="20"/>
          <w:lang w:eastAsia="en-US"/>
        </w:rPr>
      </w:pPr>
      <w:r w:rsidRPr="00DE0CFA">
        <w:rPr>
          <w:rFonts w:ascii="Times New Roman" w:eastAsia="Times New Roman" w:hAnsi="Times New Roman" w:cs="Times New Roman"/>
          <w:b/>
          <w:sz w:val="24"/>
          <w:szCs w:val="20"/>
          <w:lang w:eastAsia="en-US"/>
        </w:rPr>
        <w:t>Bastiaan REYDON, the Netherlands</w:t>
      </w:r>
    </w:p>
    <w:p w14:paraId="2CD81774" w14:textId="77777777" w:rsidR="002F0D23" w:rsidRPr="00DE0CFA" w:rsidRDefault="00000000">
      <w:pPr>
        <w:pBdr>
          <w:top w:val="nil"/>
          <w:left w:val="nil"/>
          <w:bottom w:val="nil"/>
          <w:right w:val="nil"/>
          <w:between w:val="nil"/>
        </w:pBdr>
        <w:spacing w:after="0" w:line="240" w:lineRule="auto"/>
        <w:jc w:val="center"/>
        <w:rPr>
          <w:rFonts w:ascii="Times New Roman" w:eastAsia="Times New Roman" w:hAnsi="Times New Roman" w:cs="Times New Roman"/>
          <w:b/>
          <w:sz w:val="24"/>
          <w:szCs w:val="20"/>
          <w:lang w:eastAsia="en-US"/>
        </w:rPr>
      </w:pPr>
      <w:r w:rsidRPr="00DE0CFA">
        <w:rPr>
          <w:rFonts w:ascii="Times New Roman" w:eastAsia="Times New Roman" w:hAnsi="Times New Roman" w:cs="Times New Roman"/>
          <w:b/>
          <w:sz w:val="24"/>
          <w:szCs w:val="20"/>
          <w:lang w:eastAsia="en-US"/>
        </w:rPr>
        <w:t>Peter Ache, Germany</w:t>
      </w:r>
    </w:p>
    <w:p w14:paraId="79087F99" w14:textId="77777777" w:rsidR="002F0D23" w:rsidRPr="00DE0CFA" w:rsidRDefault="00000000">
      <w:pPr>
        <w:pBdr>
          <w:top w:val="nil"/>
          <w:left w:val="nil"/>
          <w:bottom w:val="nil"/>
          <w:right w:val="nil"/>
          <w:between w:val="nil"/>
        </w:pBdr>
        <w:spacing w:after="0" w:line="240" w:lineRule="auto"/>
        <w:jc w:val="center"/>
        <w:rPr>
          <w:rFonts w:ascii="Times New Roman" w:eastAsia="Times New Roman" w:hAnsi="Times New Roman" w:cs="Times New Roman"/>
          <w:b/>
          <w:sz w:val="24"/>
          <w:szCs w:val="20"/>
          <w:lang w:eastAsia="en-US"/>
        </w:rPr>
      </w:pPr>
      <w:r w:rsidRPr="00DE0CFA">
        <w:rPr>
          <w:rFonts w:ascii="Times New Roman" w:eastAsia="Times New Roman" w:hAnsi="Times New Roman" w:cs="Times New Roman"/>
          <w:b/>
          <w:sz w:val="24"/>
          <w:szCs w:val="20"/>
          <w:lang w:eastAsia="en-US"/>
        </w:rPr>
        <w:t>Eva Katharina NEUBRAND, Germany</w:t>
      </w:r>
    </w:p>
    <w:p w14:paraId="5B7E5936" w14:textId="7A40974B" w:rsidR="002F0D23" w:rsidRPr="004F5CF6" w:rsidRDefault="00000000" w:rsidP="004F5CF6">
      <w:pPr>
        <w:pBdr>
          <w:top w:val="nil"/>
          <w:left w:val="nil"/>
          <w:bottom w:val="nil"/>
          <w:right w:val="nil"/>
          <w:between w:val="nil"/>
        </w:pBdr>
        <w:spacing w:after="0" w:line="240" w:lineRule="auto"/>
        <w:jc w:val="center"/>
        <w:rPr>
          <w:rFonts w:ascii="Times New Roman" w:eastAsia="Times New Roman" w:hAnsi="Times New Roman" w:cs="Times New Roman"/>
          <w:b/>
          <w:sz w:val="24"/>
          <w:szCs w:val="20"/>
          <w:lang w:eastAsia="en-US"/>
        </w:rPr>
      </w:pPr>
      <w:r w:rsidRPr="00DE0CFA">
        <w:rPr>
          <w:rFonts w:ascii="Times New Roman" w:eastAsia="Times New Roman" w:hAnsi="Times New Roman" w:cs="Times New Roman"/>
          <w:b/>
          <w:sz w:val="24"/>
          <w:szCs w:val="20"/>
          <w:lang w:eastAsia="en-US"/>
        </w:rPr>
        <w:t>James KAVANAGH, United Kingdom</w:t>
      </w:r>
    </w:p>
    <w:p w14:paraId="366D0C1F" w14:textId="19BE98D8" w:rsidR="005C4D69" w:rsidRPr="00DE0CFA" w:rsidRDefault="005C4D69" w:rsidP="004F5CF6">
      <w:pPr>
        <w:shd w:val="clear" w:color="auto" w:fill="FFFFFF"/>
        <w:spacing w:before="120" w:after="0" w:line="240" w:lineRule="auto"/>
        <w:ind w:right="36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 February 2024</w:t>
      </w:r>
    </w:p>
    <w:p w14:paraId="127CE746" w14:textId="2E2D0F29"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b/>
          <w:sz w:val="24"/>
          <w:szCs w:val="24"/>
        </w:rPr>
        <w:t>Key words</w:t>
      </w:r>
      <w:r w:rsidRPr="00DE0CFA">
        <w:rPr>
          <w:rFonts w:ascii="Times New Roman" w:eastAsia="Times New Roman" w:hAnsi="Times New Roman" w:cs="Times New Roman"/>
          <w:sz w:val="24"/>
          <w:szCs w:val="24"/>
        </w:rPr>
        <w:t>: grey market, market transparency, real estate markets, property markets, transparency survey</w:t>
      </w:r>
    </w:p>
    <w:p w14:paraId="5CC124F8" w14:textId="77777777" w:rsidR="002F0D23" w:rsidRPr="00DE0CFA" w:rsidRDefault="002F0D23">
      <w:pPr>
        <w:spacing w:after="0" w:line="240" w:lineRule="auto"/>
        <w:jc w:val="both"/>
        <w:rPr>
          <w:rFonts w:ascii="Times New Roman" w:eastAsia="Times New Roman" w:hAnsi="Times New Roman" w:cs="Times New Roman"/>
          <w:sz w:val="24"/>
          <w:szCs w:val="24"/>
          <w:highlight w:val="yellow"/>
        </w:rPr>
      </w:pPr>
    </w:p>
    <w:p w14:paraId="78B4354D" w14:textId="77777777" w:rsidR="002F0D23" w:rsidRDefault="00000000" w:rsidP="006E366E">
      <w:pPr>
        <w:spacing w:after="0"/>
        <w:rPr>
          <w:rFonts w:ascii="Times New Roman" w:hAnsi="Times New Roman" w:cs="Times New Roman"/>
        </w:rPr>
      </w:pPr>
      <w:r w:rsidRPr="00DE0CFA">
        <w:rPr>
          <w:rFonts w:ascii="Times New Roman" w:eastAsia="Times New Roman" w:hAnsi="Times New Roman" w:cs="Times New Roman"/>
          <w:b/>
          <w:sz w:val="24"/>
          <w:szCs w:val="24"/>
        </w:rPr>
        <w:t>SUMMARY</w:t>
      </w:r>
      <w:r w:rsidRPr="00DE0CFA">
        <w:rPr>
          <w:rFonts w:ascii="Times New Roman" w:hAnsi="Times New Roman" w:cs="Times New Roman"/>
        </w:rPr>
        <w:t xml:space="preserve"> </w:t>
      </w:r>
    </w:p>
    <w:p w14:paraId="3E5ADD4F" w14:textId="77777777" w:rsidR="006E366E" w:rsidRPr="00DE0CFA" w:rsidRDefault="006E366E" w:rsidP="006E366E">
      <w:pPr>
        <w:spacing w:after="0"/>
        <w:rPr>
          <w:rFonts w:ascii="Times New Roman" w:hAnsi="Times New Roman" w:cs="Times New Roman"/>
        </w:rPr>
      </w:pPr>
    </w:p>
    <w:p w14:paraId="346DCACD" w14:textId="77777777" w:rsidR="002F0D23" w:rsidRPr="00DE0CFA" w:rsidRDefault="00000000" w:rsidP="00DE0CFA">
      <w:pPr>
        <w:spacing w:after="0" w:line="240" w:lineRule="auto"/>
        <w:jc w:val="both"/>
        <w:rPr>
          <w:rFonts w:ascii="Times New Roman" w:eastAsia="Times New Roman" w:hAnsi="Times New Roman" w:cs="Times New Roman"/>
          <w:sz w:val="24"/>
          <w:szCs w:val="20"/>
          <w:lang w:eastAsia="en-US"/>
        </w:rPr>
      </w:pPr>
      <w:r w:rsidRPr="00DE0CFA">
        <w:rPr>
          <w:rFonts w:ascii="Times New Roman" w:eastAsia="Times New Roman" w:hAnsi="Times New Roman" w:cs="Times New Roman"/>
          <w:sz w:val="24"/>
          <w:szCs w:val="20"/>
          <w:lang w:eastAsia="en-US"/>
        </w:rPr>
        <w:t>This is a collaborative research of the University of the West of England, Bristol, UK (UWE Bristol), the International Federation of Surveyors (FIG), the Royal Institution of Chartered Surveyors (RICS), the International Valuation Standards Council (IVSC) and The European Group of Valuers' Associations (TEGOVA).</w:t>
      </w:r>
    </w:p>
    <w:p w14:paraId="5F41FA7E" w14:textId="109992E4" w:rsidR="002F0D23" w:rsidRPr="00DE0CFA" w:rsidRDefault="00000000" w:rsidP="00DE0CFA">
      <w:pPr>
        <w:spacing w:after="0" w:line="240" w:lineRule="auto"/>
        <w:jc w:val="both"/>
        <w:rPr>
          <w:rFonts w:ascii="Times New Roman" w:eastAsia="Times New Roman" w:hAnsi="Times New Roman" w:cs="Times New Roman"/>
          <w:i/>
          <w:iCs/>
          <w:sz w:val="24"/>
          <w:szCs w:val="20"/>
          <w:lang w:eastAsia="en-US"/>
        </w:rPr>
      </w:pPr>
      <w:r w:rsidRPr="00DE0CFA">
        <w:rPr>
          <w:rFonts w:ascii="Times New Roman" w:eastAsia="Times New Roman" w:hAnsi="Times New Roman" w:cs="Times New Roman"/>
          <w:i/>
          <w:iCs/>
          <w:sz w:val="24"/>
          <w:szCs w:val="20"/>
          <w:lang w:eastAsia="en-US"/>
        </w:rPr>
        <w:t xml:space="preserve">As a first step - before the research results are available - this article examines and presents our basic understanding of the term </w:t>
      </w:r>
      <w:r w:rsidR="00806820">
        <w:rPr>
          <w:rFonts w:ascii="Times New Roman" w:eastAsia="Times New Roman" w:hAnsi="Times New Roman" w:cs="Times New Roman"/>
          <w:i/>
          <w:iCs/>
          <w:sz w:val="24"/>
          <w:szCs w:val="20"/>
          <w:lang w:eastAsia="en-US"/>
        </w:rPr>
        <w:t>‘</w:t>
      </w:r>
      <w:r w:rsidRPr="00DE0CFA">
        <w:rPr>
          <w:rFonts w:ascii="Times New Roman" w:eastAsia="Times New Roman" w:hAnsi="Times New Roman" w:cs="Times New Roman"/>
          <w:i/>
          <w:iCs/>
          <w:sz w:val="24"/>
          <w:szCs w:val="20"/>
          <w:lang w:eastAsia="en-US"/>
        </w:rPr>
        <w:t>transparency in the property market</w:t>
      </w:r>
      <w:r w:rsidR="00806820">
        <w:rPr>
          <w:rFonts w:ascii="Times New Roman" w:eastAsia="Times New Roman" w:hAnsi="Times New Roman" w:cs="Times New Roman"/>
          <w:i/>
          <w:iCs/>
          <w:sz w:val="24"/>
          <w:szCs w:val="20"/>
          <w:lang w:eastAsia="en-US"/>
        </w:rPr>
        <w:t>’</w:t>
      </w:r>
      <w:r w:rsidRPr="00DE0CFA">
        <w:rPr>
          <w:rFonts w:ascii="Times New Roman" w:eastAsia="Times New Roman" w:hAnsi="Times New Roman" w:cs="Times New Roman"/>
          <w:i/>
          <w:iCs/>
          <w:sz w:val="24"/>
          <w:szCs w:val="20"/>
          <w:lang w:eastAsia="en-US"/>
        </w:rPr>
        <w:t xml:space="preserve">. At this stage, the authors are encouraged </w:t>
      </w:r>
      <w:r w:rsidR="00DE0CFA" w:rsidRPr="00DE0CFA">
        <w:rPr>
          <w:rFonts w:ascii="Times New Roman" w:eastAsia="Times New Roman" w:hAnsi="Times New Roman" w:cs="Times New Roman"/>
          <w:i/>
          <w:iCs/>
          <w:sz w:val="24"/>
          <w:szCs w:val="20"/>
          <w:lang w:eastAsia="en-US"/>
        </w:rPr>
        <w:t>by</w:t>
      </w:r>
      <w:r w:rsidRPr="00DE0CFA">
        <w:rPr>
          <w:rFonts w:ascii="Times New Roman" w:eastAsia="Times New Roman" w:hAnsi="Times New Roman" w:cs="Times New Roman"/>
          <w:i/>
          <w:iCs/>
          <w:sz w:val="24"/>
          <w:szCs w:val="20"/>
          <w:lang w:eastAsia="en-US"/>
        </w:rPr>
        <w:t xml:space="preserve"> the extensive number of publications on this topic that show a reasonably uniform consensus. However, it is also worth noting that the term is viewed and interpreted differently, even in specialist circles. One gets the impression that the term </w:t>
      </w:r>
      <w:r w:rsidR="00806820">
        <w:rPr>
          <w:rFonts w:ascii="Times New Roman" w:eastAsia="Times New Roman" w:hAnsi="Times New Roman" w:cs="Times New Roman"/>
          <w:i/>
          <w:iCs/>
          <w:sz w:val="24"/>
          <w:szCs w:val="20"/>
          <w:lang w:eastAsia="en-US"/>
        </w:rPr>
        <w:t>‘</w:t>
      </w:r>
      <w:r w:rsidRPr="00DE0CFA">
        <w:rPr>
          <w:rFonts w:ascii="Times New Roman" w:eastAsia="Times New Roman" w:hAnsi="Times New Roman" w:cs="Times New Roman"/>
          <w:i/>
          <w:iCs/>
          <w:sz w:val="24"/>
          <w:szCs w:val="20"/>
          <w:lang w:eastAsia="en-US"/>
        </w:rPr>
        <w:t>transparency</w:t>
      </w:r>
      <w:r w:rsidR="00806820">
        <w:rPr>
          <w:rFonts w:ascii="Times New Roman" w:eastAsia="Times New Roman" w:hAnsi="Times New Roman" w:cs="Times New Roman"/>
          <w:i/>
          <w:iCs/>
          <w:sz w:val="24"/>
          <w:szCs w:val="20"/>
          <w:lang w:eastAsia="en-US"/>
        </w:rPr>
        <w:t>’</w:t>
      </w:r>
      <w:r w:rsidRPr="00DE0CFA">
        <w:rPr>
          <w:rFonts w:ascii="Times New Roman" w:eastAsia="Times New Roman" w:hAnsi="Times New Roman" w:cs="Times New Roman"/>
          <w:i/>
          <w:iCs/>
          <w:sz w:val="24"/>
          <w:szCs w:val="20"/>
          <w:lang w:eastAsia="en-US"/>
        </w:rPr>
        <w:t xml:space="preserve"> is strongly interpreted from the personal and professional perspective of the user. The authors would like to develop a generally valid and recognised interpretation in the property sector(s). The study is intended to lay these foundations.</w:t>
      </w:r>
    </w:p>
    <w:p w14:paraId="345074BD" w14:textId="77777777" w:rsidR="002F0D23" w:rsidRPr="00DE0CFA" w:rsidRDefault="00000000" w:rsidP="00DE0CFA">
      <w:pPr>
        <w:spacing w:after="0" w:line="240" w:lineRule="auto"/>
        <w:jc w:val="both"/>
        <w:rPr>
          <w:rFonts w:ascii="Times New Roman" w:eastAsia="Times New Roman" w:hAnsi="Times New Roman" w:cs="Times New Roman"/>
          <w:sz w:val="24"/>
          <w:szCs w:val="20"/>
          <w:lang w:eastAsia="en-US"/>
        </w:rPr>
      </w:pPr>
      <w:r w:rsidRPr="00DE0CFA">
        <w:rPr>
          <w:rFonts w:ascii="Times New Roman" w:eastAsia="Times New Roman" w:hAnsi="Times New Roman" w:cs="Times New Roman"/>
          <w:sz w:val="24"/>
          <w:szCs w:val="20"/>
          <w:lang w:eastAsia="en-US"/>
        </w:rPr>
        <w:t>The research uses a global comparative study to examine the level of transparency in real estate markets and identifies key differences between national markets due to the regulatory, economic, political, social, and cultural environment in which sellers and buyers operate. The determination of market transparency focuses on informational market efficiency and information asymmetry. The research is concerned with the perception, definition, and measurement of transparency in real estate markets and exploring any transparency deficits.</w:t>
      </w:r>
    </w:p>
    <w:p w14:paraId="19FEE097" w14:textId="77777777" w:rsidR="002F0D23" w:rsidRPr="00DE0CFA" w:rsidRDefault="00000000" w:rsidP="00DE0CFA">
      <w:pPr>
        <w:spacing w:after="0" w:line="240" w:lineRule="auto"/>
        <w:jc w:val="both"/>
        <w:rPr>
          <w:rFonts w:ascii="Times New Roman" w:eastAsia="Times New Roman" w:hAnsi="Times New Roman" w:cs="Times New Roman"/>
          <w:sz w:val="24"/>
          <w:szCs w:val="20"/>
          <w:lang w:eastAsia="en-US"/>
        </w:rPr>
      </w:pPr>
      <w:r w:rsidRPr="00DE0CFA">
        <w:rPr>
          <w:rFonts w:ascii="Times New Roman" w:eastAsia="Times New Roman" w:hAnsi="Times New Roman" w:cs="Times New Roman"/>
          <w:sz w:val="24"/>
          <w:szCs w:val="20"/>
          <w:lang w:eastAsia="en-US"/>
        </w:rPr>
        <w:t>To obtain comparable evidence, data was collected using an international online survey and utilising the ‘purposive sampling’ technique among relevant FIG members. These include professionals working in the field of land administration and management and in property surveying across the private and public sectors as well as in the higher education sector. Additionally, members of RICS, IVSC, CASLE and TEGOVA have been specifically approached for their input.</w:t>
      </w:r>
    </w:p>
    <w:p w14:paraId="47E6A643" w14:textId="79680D6B" w:rsidR="002F0D23" w:rsidRPr="00DE0CFA" w:rsidRDefault="00000000" w:rsidP="00DE0CFA">
      <w:pPr>
        <w:spacing w:after="0" w:line="240" w:lineRule="auto"/>
        <w:jc w:val="both"/>
        <w:rPr>
          <w:rFonts w:ascii="Times New Roman" w:eastAsia="Times New Roman" w:hAnsi="Times New Roman" w:cs="Times New Roman"/>
          <w:sz w:val="24"/>
          <w:szCs w:val="20"/>
          <w:lang w:eastAsia="en-US"/>
        </w:rPr>
      </w:pPr>
      <w:r w:rsidRPr="00DE0CFA">
        <w:rPr>
          <w:rFonts w:ascii="Times New Roman" w:eastAsia="Times New Roman" w:hAnsi="Times New Roman" w:cs="Times New Roman"/>
          <w:sz w:val="24"/>
          <w:szCs w:val="20"/>
          <w:lang w:eastAsia="en-US"/>
        </w:rPr>
        <w:t>Understanding market transparency, beyond the current measures available for selected countries and selected property sectors only, should help improve policies aimed at improving market efficiency. From a global perspective, the results of this research aim to inform policymakers to support the more vulnerable members of society who are often deprived of their real estate rights due to market opacity.</w:t>
      </w:r>
      <w:bookmarkStart w:id="2" w:name="_tvf3pfibahhe" w:colFirst="0" w:colLast="0"/>
      <w:bookmarkEnd w:id="2"/>
    </w:p>
    <w:p w14:paraId="09C52E9C" w14:textId="77777777" w:rsidR="00DE0CFA" w:rsidRPr="00DE0CFA" w:rsidRDefault="00DE0CFA" w:rsidP="00DE0CFA">
      <w:pPr>
        <w:pStyle w:val="Heading1"/>
        <w:keepLines w:val="0"/>
        <w:spacing w:before="240" w:after="60"/>
        <w:jc w:val="center"/>
        <w:rPr>
          <w:kern w:val="28"/>
          <w:sz w:val="28"/>
          <w:szCs w:val="20"/>
          <w:lang w:eastAsia="en-US"/>
        </w:rPr>
      </w:pPr>
      <w:r w:rsidRPr="00DE0CFA">
        <w:rPr>
          <w:kern w:val="28"/>
          <w:sz w:val="28"/>
          <w:szCs w:val="20"/>
          <w:lang w:eastAsia="en-US"/>
        </w:rPr>
        <w:lastRenderedPageBreak/>
        <w:t>Transparency in the real estate market -</w:t>
      </w:r>
      <w:r>
        <w:rPr>
          <w:kern w:val="28"/>
          <w:sz w:val="28"/>
          <w:szCs w:val="20"/>
          <w:lang w:eastAsia="en-US"/>
        </w:rPr>
        <w:br/>
      </w:r>
      <w:r w:rsidRPr="00DE0CFA">
        <w:rPr>
          <w:kern w:val="28"/>
          <w:sz w:val="28"/>
          <w:szCs w:val="20"/>
          <w:lang w:eastAsia="en-US"/>
        </w:rPr>
        <w:t>A global comparative study</w:t>
      </w:r>
    </w:p>
    <w:p w14:paraId="6C99BAB6" w14:textId="77777777" w:rsidR="00DE0CFA" w:rsidRPr="00DE0CFA" w:rsidRDefault="00DE0CFA" w:rsidP="00DE0CFA">
      <w:pPr>
        <w:pBdr>
          <w:top w:val="nil"/>
          <w:left w:val="nil"/>
          <w:bottom w:val="nil"/>
          <w:right w:val="nil"/>
          <w:between w:val="nil"/>
        </w:pBdr>
        <w:spacing w:after="0" w:line="240" w:lineRule="auto"/>
        <w:jc w:val="center"/>
        <w:rPr>
          <w:rFonts w:ascii="Times New Roman" w:eastAsia="Times New Roman" w:hAnsi="Times New Roman" w:cs="Times New Roman"/>
          <w:b/>
          <w:sz w:val="28"/>
          <w:szCs w:val="28"/>
        </w:rPr>
      </w:pPr>
    </w:p>
    <w:p w14:paraId="609CC01E" w14:textId="77777777" w:rsidR="00DE0CFA" w:rsidRPr="00DE0CFA" w:rsidRDefault="00DE0CFA" w:rsidP="00DE0CFA">
      <w:pPr>
        <w:pBdr>
          <w:top w:val="nil"/>
          <w:left w:val="nil"/>
          <w:bottom w:val="nil"/>
          <w:right w:val="nil"/>
          <w:between w:val="nil"/>
        </w:pBdr>
        <w:spacing w:after="0" w:line="240" w:lineRule="auto"/>
        <w:jc w:val="center"/>
        <w:rPr>
          <w:rFonts w:ascii="Times New Roman" w:eastAsia="Times New Roman" w:hAnsi="Times New Roman" w:cs="Times New Roman"/>
          <w:b/>
          <w:sz w:val="24"/>
          <w:szCs w:val="20"/>
          <w:lang w:eastAsia="en-US"/>
        </w:rPr>
      </w:pPr>
      <w:r w:rsidRPr="00DE0CFA">
        <w:rPr>
          <w:rFonts w:ascii="Times New Roman" w:eastAsia="Times New Roman" w:hAnsi="Times New Roman" w:cs="Times New Roman"/>
          <w:b/>
          <w:sz w:val="24"/>
          <w:szCs w:val="20"/>
          <w:lang w:eastAsia="en-US"/>
        </w:rPr>
        <w:t>Grazyna WIEJAK-ROY, United Kingdom</w:t>
      </w:r>
    </w:p>
    <w:p w14:paraId="78831D3B" w14:textId="77777777" w:rsidR="00DE0CFA" w:rsidRPr="00DE0CFA" w:rsidRDefault="00DE0CFA" w:rsidP="00DE0CFA">
      <w:pPr>
        <w:pBdr>
          <w:top w:val="nil"/>
          <w:left w:val="nil"/>
          <w:bottom w:val="nil"/>
          <w:right w:val="nil"/>
          <w:between w:val="nil"/>
        </w:pBdr>
        <w:spacing w:after="0" w:line="240" w:lineRule="auto"/>
        <w:jc w:val="center"/>
        <w:rPr>
          <w:rFonts w:ascii="Times New Roman" w:eastAsia="Times New Roman" w:hAnsi="Times New Roman" w:cs="Times New Roman"/>
          <w:b/>
          <w:sz w:val="24"/>
          <w:szCs w:val="20"/>
          <w:lang w:eastAsia="en-US"/>
        </w:rPr>
      </w:pPr>
      <w:r w:rsidRPr="00DE0CFA">
        <w:rPr>
          <w:rFonts w:ascii="Times New Roman" w:eastAsia="Times New Roman" w:hAnsi="Times New Roman" w:cs="Times New Roman"/>
          <w:b/>
          <w:sz w:val="24"/>
          <w:szCs w:val="20"/>
          <w:lang w:eastAsia="en-US"/>
        </w:rPr>
        <w:t>Bastiaan REYDON, the Netherlands</w:t>
      </w:r>
    </w:p>
    <w:p w14:paraId="59055492" w14:textId="77777777" w:rsidR="00DE0CFA" w:rsidRPr="00DE0CFA" w:rsidRDefault="00DE0CFA" w:rsidP="00DE0CFA">
      <w:pPr>
        <w:pBdr>
          <w:top w:val="nil"/>
          <w:left w:val="nil"/>
          <w:bottom w:val="nil"/>
          <w:right w:val="nil"/>
          <w:between w:val="nil"/>
        </w:pBdr>
        <w:spacing w:after="0" w:line="240" w:lineRule="auto"/>
        <w:jc w:val="center"/>
        <w:rPr>
          <w:rFonts w:ascii="Times New Roman" w:eastAsia="Times New Roman" w:hAnsi="Times New Roman" w:cs="Times New Roman"/>
          <w:b/>
          <w:sz w:val="24"/>
          <w:szCs w:val="20"/>
          <w:lang w:eastAsia="en-US"/>
        </w:rPr>
      </w:pPr>
      <w:r w:rsidRPr="00DE0CFA">
        <w:rPr>
          <w:rFonts w:ascii="Times New Roman" w:eastAsia="Times New Roman" w:hAnsi="Times New Roman" w:cs="Times New Roman"/>
          <w:b/>
          <w:sz w:val="24"/>
          <w:szCs w:val="20"/>
          <w:lang w:eastAsia="en-US"/>
        </w:rPr>
        <w:t>Peter Ache, Germany</w:t>
      </w:r>
    </w:p>
    <w:p w14:paraId="3C8A53DC" w14:textId="77777777" w:rsidR="00DE0CFA" w:rsidRPr="00DE0CFA" w:rsidRDefault="00DE0CFA" w:rsidP="00DE0CFA">
      <w:pPr>
        <w:pBdr>
          <w:top w:val="nil"/>
          <w:left w:val="nil"/>
          <w:bottom w:val="nil"/>
          <w:right w:val="nil"/>
          <w:between w:val="nil"/>
        </w:pBdr>
        <w:spacing w:after="0" w:line="240" w:lineRule="auto"/>
        <w:jc w:val="center"/>
        <w:rPr>
          <w:rFonts w:ascii="Times New Roman" w:eastAsia="Times New Roman" w:hAnsi="Times New Roman" w:cs="Times New Roman"/>
          <w:b/>
          <w:sz w:val="24"/>
          <w:szCs w:val="20"/>
          <w:lang w:eastAsia="en-US"/>
        </w:rPr>
      </w:pPr>
      <w:r w:rsidRPr="00DE0CFA">
        <w:rPr>
          <w:rFonts w:ascii="Times New Roman" w:eastAsia="Times New Roman" w:hAnsi="Times New Roman" w:cs="Times New Roman"/>
          <w:b/>
          <w:sz w:val="24"/>
          <w:szCs w:val="20"/>
          <w:lang w:eastAsia="en-US"/>
        </w:rPr>
        <w:t>Eva Katharina NEUBRAND, Germany</w:t>
      </w:r>
    </w:p>
    <w:p w14:paraId="21BFEB33" w14:textId="77777777" w:rsidR="00DE0CFA" w:rsidRPr="00DE0CFA" w:rsidRDefault="00DE0CFA" w:rsidP="00DE0CFA">
      <w:pPr>
        <w:pBdr>
          <w:top w:val="nil"/>
          <w:left w:val="nil"/>
          <w:bottom w:val="nil"/>
          <w:right w:val="nil"/>
          <w:between w:val="nil"/>
        </w:pBdr>
        <w:spacing w:after="0" w:line="240" w:lineRule="auto"/>
        <w:jc w:val="center"/>
        <w:rPr>
          <w:rFonts w:ascii="Times New Roman" w:eastAsia="Times New Roman" w:hAnsi="Times New Roman" w:cs="Times New Roman"/>
          <w:b/>
          <w:sz w:val="24"/>
          <w:szCs w:val="20"/>
          <w:lang w:eastAsia="en-US"/>
        </w:rPr>
      </w:pPr>
      <w:r w:rsidRPr="00DE0CFA">
        <w:rPr>
          <w:rFonts w:ascii="Times New Roman" w:eastAsia="Times New Roman" w:hAnsi="Times New Roman" w:cs="Times New Roman"/>
          <w:b/>
          <w:sz w:val="24"/>
          <w:szCs w:val="20"/>
          <w:lang w:eastAsia="en-US"/>
        </w:rPr>
        <w:t>James KAVANAGH, United Kingdom</w:t>
      </w:r>
    </w:p>
    <w:p w14:paraId="76854043" w14:textId="77777777" w:rsidR="002F0D23" w:rsidRDefault="002F0D23">
      <w:pPr>
        <w:rPr>
          <w:rFonts w:ascii="Times New Roman" w:hAnsi="Times New Roman" w:cs="Times New Roman"/>
        </w:rPr>
      </w:pPr>
    </w:p>
    <w:p w14:paraId="36ACD510" w14:textId="295D4BA5" w:rsidR="005C4D69" w:rsidRPr="00DE0CFA" w:rsidRDefault="005C4D69" w:rsidP="005C4D69">
      <w:pPr>
        <w:jc w:val="center"/>
        <w:rPr>
          <w:rFonts w:ascii="Times New Roman" w:hAnsi="Times New Roman" w:cs="Times New Roman"/>
        </w:rPr>
      </w:pPr>
      <w:r>
        <w:rPr>
          <w:rFonts w:ascii="Times New Roman" w:hAnsi="Times New Roman" w:cs="Times New Roman"/>
        </w:rPr>
        <w:t>2 February 2024</w:t>
      </w:r>
    </w:p>
    <w:p w14:paraId="70FF4811" w14:textId="77777777" w:rsidR="002F0D23" w:rsidRPr="00DE0CFA" w:rsidRDefault="00000000">
      <w:pPr>
        <w:pStyle w:val="Heading1"/>
      </w:pPr>
      <w:bookmarkStart w:id="3" w:name="_p44g7o1gifu6" w:colFirst="0" w:colLast="0"/>
      <w:bookmarkEnd w:id="3"/>
      <w:r w:rsidRPr="00DE0CFA">
        <w:t>1.</w:t>
      </w:r>
      <w:r w:rsidRPr="00DE0CFA">
        <w:tab/>
        <w:t>INTRODUCTION</w:t>
      </w:r>
    </w:p>
    <w:p w14:paraId="0C7CAC97" w14:textId="77777777" w:rsidR="002F0D23" w:rsidRPr="00DE0CFA" w:rsidRDefault="002F0D23">
      <w:pPr>
        <w:spacing w:after="0" w:line="240" w:lineRule="auto"/>
        <w:rPr>
          <w:rFonts w:ascii="Times New Roman" w:eastAsia="Times New Roman" w:hAnsi="Times New Roman" w:cs="Times New Roman"/>
          <w:sz w:val="24"/>
          <w:szCs w:val="24"/>
        </w:rPr>
      </w:pPr>
    </w:p>
    <w:p w14:paraId="25F5CC70" w14:textId="01B2350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When the term </w:t>
      </w:r>
      <w:r w:rsidR="00806820" w:rsidRPr="00806820">
        <w:rPr>
          <w:rFonts w:ascii="Times New Roman" w:eastAsia="Times New Roman" w:hAnsi="Times New Roman" w:cs="Times New Roman"/>
          <w:i/>
          <w:iCs/>
          <w:sz w:val="24"/>
          <w:szCs w:val="24"/>
        </w:rPr>
        <w:t>‘</w:t>
      </w:r>
      <w:r w:rsidRPr="00806820">
        <w:rPr>
          <w:rFonts w:ascii="Times New Roman" w:eastAsia="Times New Roman" w:hAnsi="Times New Roman" w:cs="Times New Roman"/>
          <w:i/>
          <w:iCs/>
          <w:sz w:val="24"/>
          <w:szCs w:val="24"/>
        </w:rPr>
        <w:t>transparency</w:t>
      </w:r>
      <w:r w:rsidR="00806820" w:rsidRPr="00806820">
        <w:rPr>
          <w:rFonts w:ascii="Times New Roman" w:eastAsia="Times New Roman" w:hAnsi="Times New Roman" w:cs="Times New Roman"/>
          <w:i/>
          <w:iCs/>
          <w:sz w:val="24"/>
          <w:szCs w:val="24"/>
        </w:rPr>
        <w:t>’</w:t>
      </w:r>
      <w:r w:rsidRPr="00DE0CFA">
        <w:rPr>
          <w:rFonts w:ascii="Times New Roman" w:eastAsia="Times New Roman" w:hAnsi="Times New Roman" w:cs="Times New Roman"/>
          <w:sz w:val="24"/>
          <w:szCs w:val="24"/>
        </w:rPr>
        <w:t xml:space="preserve"> is mentioned, it is usually met with a high degree of approval. However, when it comes to more detailed questions on what we really mean by ‘transparency’, things can become silent in the political, scientific, business and administrative spheres. It can be assumed that the reason for this silence is often the discomfort felt by some parties on the disclosure of data. Lack of transparency means that one market participant has more information than another - in other words, there is an asymmetry of information. Markets tend to value the availability of information only if it provides a competitive advantage.</w:t>
      </w:r>
    </w:p>
    <w:p w14:paraId="61B0A546"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50C15E4C"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In environments where leaders or institutions focus on the willingness and ability of all those involved to make decisions, transparency of action is important. The quality of the decision depends on the quality of the underlying information. Is this information comprehensive and incomplete? Does it correspond to the actual circumstances or is it distorted? Is the information comparable with other information or are the same facts interpreted differently during the survey?</w:t>
      </w:r>
    </w:p>
    <w:p w14:paraId="254B6AB8"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5949D7E7"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Decisions, whether of broad public policy significance or those of individual private persons, are generally based on available, presumed or imagined information or facts. For this reason, the open availability of information that is as undistorted, comprehensive, discoverable and transparent as possible is of particular importance.</w:t>
      </w:r>
    </w:p>
    <w:p w14:paraId="00ECA891"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120B6885" w14:textId="5109BAB5"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This particularly applies to the property market, </w:t>
      </w:r>
      <w:r w:rsidR="00DE0CFA">
        <w:rPr>
          <w:rFonts w:ascii="Times New Roman" w:eastAsia="Times New Roman" w:hAnsi="Times New Roman" w:cs="Times New Roman"/>
          <w:sz w:val="24"/>
          <w:szCs w:val="24"/>
        </w:rPr>
        <w:t xml:space="preserve">as </w:t>
      </w:r>
      <w:r w:rsidRPr="00DE0CFA">
        <w:rPr>
          <w:rFonts w:ascii="Times New Roman" w:eastAsia="Times New Roman" w:hAnsi="Times New Roman" w:cs="Times New Roman"/>
          <w:sz w:val="24"/>
          <w:szCs w:val="24"/>
        </w:rPr>
        <w:t xml:space="preserve">this is a </w:t>
      </w:r>
      <w:proofErr w:type="gramStart"/>
      <w:r w:rsidRPr="00DE0CFA">
        <w:rPr>
          <w:rFonts w:ascii="Times New Roman" w:eastAsia="Times New Roman" w:hAnsi="Times New Roman" w:cs="Times New Roman"/>
          <w:sz w:val="24"/>
          <w:szCs w:val="24"/>
        </w:rPr>
        <w:t>risk based</w:t>
      </w:r>
      <w:proofErr w:type="gramEnd"/>
      <w:r w:rsidRPr="00DE0CFA">
        <w:rPr>
          <w:rFonts w:ascii="Times New Roman" w:eastAsia="Times New Roman" w:hAnsi="Times New Roman" w:cs="Times New Roman"/>
          <w:sz w:val="24"/>
          <w:szCs w:val="24"/>
        </w:rPr>
        <w:t xml:space="preserve"> market with high returns and long-term investments. Property markets are </w:t>
      </w:r>
      <w:proofErr w:type="gramStart"/>
      <w:r w:rsidRPr="00DE0CFA">
        <w:rPr>
          <w:rFonts w:ascii="Times New Roman" w:eastAsia="Times New Roman" w:hAnsi="Times New Roman" w:cs="Times New Roman"/>
          <w:sz w:val="24"/>
          <w:szCs w:val="24"/>
        </w:rPr>
        <w:t>important</w:t>
      </w:r>
      <w:proofErr w:type="gramEnd"/>
      <w:r w:rsidRPr="00DE0CFA">
        <w:rPr>
          <w:rFonts w:ascii="Times New Roman" w:eastAsia="Times New Roman" w:hAnsi="Times New Roman" w:cs="Times New Roman"/>
          <w:sz w:val="24"/>
          <w:szCs w:val="24"/>
        </w:rPr>
        <w:t xml:space="preserve"> and their efficiency is often a key driver of national and regional economic and social success. Not only in terms of pure yield (profit), but also in terms of the quality of work/life, or even the provision of agricultural products to feed the population.</w:t>
      </w:r>
    </w:p>
    <w:p w14:paraId="5AB55F61"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7B18DFE4"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Taking into account all these modern requirements and the technical possibilities of handling large amounts of data, the issue of transparency in the property market needs to be reconsidered. But what exactly are the advantages of a transparent property market? How is transparency defined and perceived, and where is the resistance to transparent markets?</w:t>
      </w:r>
    </w:p>
    <w:p w14:paraId="045239A6"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617A46AE"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This study focuses on transparency in real estate markets. Through a global comparative study, we aim to examine the level of transparency in real estate markets and identify the differences </w:t>
      </w:r>
      <w:r w:rsidRPr="00DE0CFA">
        <w:rPr>
          <w:rFonts w:ascii="Times New Roman" w:eastAsia="Times New Roman" w:hAnsi="Times New Roman" w:cs="Times New Roman"/>
          <w:sz w:val="24"/>
          <w:szCs w:val="24"/>
        </w:rPr>
        <w:lastRenderedPageBreak/>
        <w:t>between national markets due to the regulatory, economic, political, social and cultural environment in which buyers/sellers/investors operate. More specifically, the determination of market transparency focuses on the information efficiency of the market function.</w:t>
      </w:r>
    </w:p>
    <w:p w14:paraId="2AF675F3"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4C17C4F7"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For residential and rural real estate, market transparency has a direct impact on social wellbeing. However, it is also important to consider transparency in other related sectors, as transparency is likely to vary between sectors and asset classes. The reason is that property markets are highly interconnected. The success of shopping centres and business districts are directly related to infrastructure connectivity (roads, public transport etc), residential housing, place making (schools, parks, sports areas etc) and do not exist in isolation.</w:t>
      </w:r>
    </w:p>
    <w:p w14:paraId="46EC21D4"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6BDAA3A5"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The transparency of the property market is primarily about access to relevant information (e.g. sales price, buyer/seller, owner, property and location information); it also depends on who can obtain this information. A classification or even a ranking of how transparent a property market is in a country or state is only possible if national political and cultural differences are also taken into account. </w:t>
      </w:r>
    </w:p>
    <w:p w14:paraId="3DC4E4C8"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45899F9A"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It is therefore important to understand the differences in the perception of transparency and its significance in different countries. Based on this, approaches can be found that allow countries to be categorised and compared.</w:t>
      </w:r>
    </w:p>
    <w:p w14:paraId="4BBCB3B5"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2146FBA6"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Understanding the level of transparency and the particular differences and gaps should help to improve measures to improve market efficiency and enable their evaluation. From a global perspective, the results of our research should inform policy makers and market participants and in particular help the more vulnerable members of society who are often more restricted in their economic opportunities than necessary due to the opacity of markets.</w:t>
      </w:r>
    </w:p>
    <w:p w14:paraId="3B30E16D"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38A25130" w14:textId="7D4C951B" w:rsidR="002F0D23" w:rsidRPr="00DE0CFA" w:rsidRDefault="00000000" w:rsidP="00DE0CFA">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The main research questions are therefore:</w:t>
      </w:r>
    </w:p>
    <w:p w14:paraId="46116C70" w14:textId="77777777" w:rsidR="002F0D23" w:rsidRPr="00DE0CFA" w:rsidRDefault="00000000" w:rsidP="00DE0CFA">
      <w:pPr>
        <w:numPr>
          <w:ilvl w:val="0"/>
          <w:numId w:val="5"/>
        </w:numPr>
        <w:pBdr>
          <w:top w:val="nil"/>
          <w:left w:val="nil"/>
          <w:bottom w:val="nil"/>
          <w:right w:val="nil"/>
          <w:between w:val="nil"/>
        </w:pBdr>
        <w:spacing w:after="0" w:line="240" w:lineRule="auto"/>
        <w:jc w:val="both"/>
        <w:rPr>
          <w:rFonts w:ascii="Times New Roman" w:hAnsi="Times New Roman" w:cs="Times New Roman"/>
          <w:sz w:val="24"/>
          <w:szCs w:val="24"/>
        </w:rPr>
      </w:pPr>
      <w:r w:rsidRPr="00DE0CFA">
        <w:rPr>
          <w:rFonts w:ascii="Times New Roman" w:eastAsia="Times New Roman" w:hAnsi="Times New Roman" w:cs="Times New Roman"/>
          <w:sz w:val="24"/>
          <w:szCs w:val="24"/>
        </w:rPr>
        <w:t>What is the state of market transparency in different countries, especially depending on cultural and social circumstances?</w:t>
      </w:r>
    </w:p>
    <w:p w14:paraId="2579E1E6" w14:textId="77777777" w:rsidR="002F0D23" w:rsidRPr="00DE0CFA" w:rsidRDefault="00000000" w:rsidP="00DE0CFA">
      <w:pPr>
        <w:numPr>
          <w:ilvl w:val="0"/>
          <w:numId w:val="5"/>
        </w:numPr>
        <w:pBdr>
          <w:top w:val="nil"/>
          <w:left w:val="nil"/>
          <w:bottom w:val="nil"/>
          <w:right w:val="nil"/>
          <w:between w:val="nil"/>
        </w:pBdr>
        <w:spacing w:after="0" w:line="240" w:lineRule="auto"/>
        <w:jc w:val="both"/>
        <w:rPr>
          <w:rFonts w:ascii="Times New Roman" w:hAnsi="Times New Roman" w:cs="Times New Roman"/>
          <w:sz w:val="24"/>
          <w:szCs w:val="24"/>
        </w:rPr>
      </w:pPr>
      <w:r w:rsidRPr="00DE0CFA">
        <w:rPr>
          <w:rFonts w:ascii="Times New Roman" w:eastAsia="Times New Roman" w:hAnsi="Times New Roman" w:cs="Times New Roman"/>
          <w:sz w:val="24"/>
          <w:szCs w:val="24"/>
        </w:rPr>
        <w:t>What are the main differences in the perception of the importance of market transparency in the countries studied?</w:t>
      </w:r>
    </w:p>
    <w:p w14:paraId="4FDC0CE5" w14:textId="77777777" w:rsidR="002F0D23" w:rsidRPr="00DE0CFA" w:rsidRDefault="00000000" w:rsidP="00DE0CFA">
      <w:pPr>
        <w:numPr>
          <w:ilvl w:val="0"/>
          <w:numId w:val="5"/>
        </w:numPr>
        <w:pBdr>
          <w:top w:val="nil"/>
          <w:left w:val="nil"/>
          <w:bottom w:val="nil"/>
          <w:right w:val="nil"/>
          <w:between w:val="nil"/>
        </w:pBdr>
        <w:spacing w:after="0" w:line="240" w:lineRule="auto"/>
        <w:jc w:val="both"/>
        <w:rPr>
          <w:rFonts w:ascii="Times New Roman" w:hAnsi="Times New Roman" w:cs="Times New Roman"/>
          <w:sz w:val="24"/>
          <w:szCs w:val="24"/>
        </w:rPr>
      </w:pPr>
      <w:r w:rsidRPr="00DE0CFA">
        <w:rPr>
          <w:rFonts w:ascii="Times New Roman" w:eastAsia="Times New Roman" w:hAnsi="Times New Roman" w:cs="Times New Roman"/>
          <w:sz w:val="24"/>
          <w:szCs w:val="24"/>
        </w:rPr>
        <w:t>What are the main transparency deficits?</w:t>
      </w:r>
    </w:p>
    <w:p w14:paraId="47E78CF3" w14:textId="77777777" w:rsidR="002F0D23" w:rsidRPr="00DE0CFA" w:rsidRDefault="00000000" w:rsidP="00DE0CFA">
      <w:pPr>
        <w:numPr>
          <w:ilvl w:val="0"/>
          <w:numId w:val="5"/>
        </w:numPr>
        <w:pBdr>
          <w:top w:val="nil"/>
          <w:left w:val="nil"/>
          <w:bottom w:val="nil"/>
          <w:right w:val="nil"/>
          <w:between w:val="nil"/>
        </w:pBdr>
        <w:spacing w:after="0" w:line="240" w:lineRule="auto"/>
        <w:jc w:val="both"/>
        <w:rPr>
          <w:rFonts w:ascii="Times New Roman" w:hAnsi="Times New Roman" w:cs="Times New Roman"/>
          <w:sz w:val="24"/>
          <w:szCs w:val="24"/>
        </w:rPr>
      </w:pPr>
      <w:r w:rsidRPr="00DE0CFA">
        <w:rPr>
          <w:rFonts w:ascii="Times New Roman" w:eastAsia="Times New Roman" w:hAnsi="Times New Roman" w:cs="Times New Roman"/>
          <w:sz w:val="24"/>
          <w:szCs w:val="24"/>
        </w:rPr>
        <w:t>How are the main transparency gaps addressed?</w:t>
      </w:r>
    </w:p>
    <w:p w14:paraId="1917255D" w14:textId="77777777" w:rsidR="002F0D23" w:rsidRPr="00DE0CFA" w:rsidRDefault="00000000" w:rsidP="00DE0CFA">
      <w:pPr>
        <w:numPr>
          <w:ilvl w:val="0"/>
          <w:numId w:val="5"/>
        </w:numPr>
        <w:pBdr>
          <w:top w:val="nil"/>
          <w:left w:val="nil"/>
          <w:bottom w:val="nil"/>
          <w:right w:val="nil"/>
          <w:between w:val="nil"/>
        </w:pBdr>
        <w:spacing w:after="0" w:line="240" w:lineRule="auto"/>
        <w:jc w:val="both"/>
        <w:rPr>
          <w:rFonts w:ascii="Times New Roman" w:hAnsi="Times New Roman" w:cs="Times New Roman"/>
          <w:sz w:val="24"/>
          <w:szCs w:val="24"/>
        </w:rPr>
      </w:pPr>
      <w:r w:rsidRPr="00DE0CFA">
        <w:rPr>
          <w:rFonts w:ascii="Times New Roman" w:eastAsia="Times New Roman" w:hAnsi="Times New Roman" w:cs="Times New Roman"/>
          <w:sz w:val="24"/>
          <w:szCs w:val="24"/>
        </w:rPr>
        <w:t>What needs to be improved to close (or at least reduce) transparency gaps?</w:t>
      </w:r>
    </w:p>
    <w:p w14:paraId="28012785" w14:textId="77777777" w:rsidR="002F0D23" w:rsidRPr="00DE0CFA" w:rsidRDefault="002F0D23" w:rsidP="00DE0CFA">
      <w:pPr>
        <w:spacing w:after="0" w:line="240" w:lineRule="auto"/>
        <w:jc w:val="both"/>
        <w:rPr>
          <w:rFonts w:ascii="Times New Roman" w:eastAsia="Times New Roman" w:hAnsi="Times New Roman" w:cs="Times New Roman"/>
          <w:sz w:val="24"/>
          <w:szCs w:val="24"/>
        </w:rPr>
      </w:pPr>
    </w:p>
    <w:p w14:paraId="4F55DEC6"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To answer these questions, a global online survey is conducted with the aim to explore the nature of market transparency in each country, then compare it against meaningful economic, political and cultural parameters. This should reveal insights into significant transparency gaps and increase our understanding on how these are managed in each country and what could be improved to close these gaps.</w:t>
      </w:r>
    </w:p>
    <w:p w14:paraId="2C503A62"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1CDC7D06"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This is a joint study by the University of the West of England, Bristol, UK (UWE Bristol), the International Federation of Surveyors (FIG), the Royal Institution of Chartered Surveyors (RICS), the International Valuation Standards Council (IVSC) and The European Group of Valuers' Associations (TEGOVA).</w:t>
      </w:r>
    </w:p>
    <w:p w14:paraId="51B5043A"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287015FD"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lastRenderedPageBreak/>
        <w:t>It is anticipated that the results of this study will be used for the preparation of reports, policy briefings, conference papers and peer-reviewed academic papers, as well as for conference and other presentations at professional and academic events.</w:t>
      </w:r>
    </w:p>
    <w:p w14:paraId="6F085A7B"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2E841D24"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The remainder of this study is organised as follows: Section 2 provides a literature review on property market transparency; Section 3 provides details of our methodology; Section 4 describes and discusses the data collected; and finally, Section 5 provides conclusions and recommendations for policy makers and practitioners.</w:t>
      </w:r>
    </w:p>
    <w:p w14:paraId="1D5EBCAE" w14:textId="77777777" w:rsidR="002F0D23" w:rsidRPr="00DE0CFA" w:rsidRDefault="002F0D23">
      <w:pPr>
        <w:spacing w:after="0" w:line="240" w:lineRule="auto"/>
        <w:rPr>
          <w:rFonts w:ascii="Times New Roman" w:eastAsia="Times New Roman" w:hAnsi="Times New Roman" w:cs="Times New Roman"/>
          <w:sz w:val="24"/>
          <w:szCs w:val="24"/>
        </w:rPr>
      </w:pPr>
    </w:p>
    <w:p w14:paraId="56792771" w14:textId="77777777" w:rsidR="002F0D23" w:rsidRPr="00DE0CFA" w:rsidRDefault="00000000">
      <w:pPr>
        <w:pStyle w:val="Heading1"/>
      </w:pPr>
      <w:bookmarkStart w:id="4" w:name="_3vzufb8mj3q" w:colFirst="0" w:colLast="0"/>
      <w:bookmarkEnd w:id="4"/>
      <w:r w:rsidRPr="00DE0CFA">
        <w:t>2.</w:t>
      </w:r>
      <w:r w:rsidRPr="00DE0CFA">
        <w:tab/>
        <w:t>LITERATURE REVIEW</w:t>
      </w:r>
    </w:p>
    <w:p w14:paraId="00EAF7CA" w14:textId="77777777" w:rsidR="002F0D23" w:rsidRPr="00DE0CFA" w:rsidRDefault="002F0D23" w:rsidP="00DE0CFA">
      <w:pPr>
        <w:spacing w:after="0" w:line="240" w:lineRule="auto"/>
        <w:rPr>
          <w:rFonts w:ascii="Times New Roman" w:eastAsia="Times New Roman" w:hAnsi="Times New Roman" w:cs="Times New Roman"/>
          <w:sz w:val="24"/>
          <w:szCs w:val="24"/>
        </w:rPr>
      </w:pPr>
    </w:p>
    <w:p w14:paraId="5130BCC6" w14:textId="77777777" w:rsidR="002F0D23" w:rsidRPr="00DE0CFA" w:rsidRDefault="00000000">
      <w:pPr>
        <w:pStyle w:val="Heading2"/>
      </w:pPr>
      <w:bookmarkStart w:id="5" w:name="_7nxhsejggusc" w:colFirst="0" w:colLast="0"/>
      <w:bookmarkEnd w:id="5"/>
      <w:r w:rsidRPr="00DE0CFA">
        <w:t>2.1.</w:t>
      </w:r>
      <w:r w:rsidRPr="00DE0CFA">
        <w:tab/>
        <w:t>Defining transparency</w:t>
      </w:r>
    </w:p>
    <w:p w14:paraId="55C6E134"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49BA7510" w14:textId="0211FBDD"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The importance and benefits of transparency are generally not in question. Transparency in property markets is an important prerequisite for overcoming numerous social, economic and political challenges. It should be possible to review an equitable funding framework, e.g. for the creation of affordable housing, based on data and in various relevant spatial contexts to determine whether the desired effect has actually materialised and where there may be a need for readjustments. In many countries around the world, however, the needs and requirements for transparency are much more basic and include issues such as anti-corruption, money laundering and tax avoidance (OECD, 2023). Transparency is therefore an important basis for assessing the economic, political and social impact of policy decisions.</w:t>
      </w:r>
    </w:p>
    <w:p w14:paraId="1129B33E"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07CE0F7E" w14:textId="4F9DA3BB"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As a construct that can seem rather abstract as it is not directly observable and therefore not directly measurable from a scientific point of view, 'transparency' has an indispensable need for a definition. This should be as precise as possible and should at least include a description of the reference issue and the context, as well as sufficient information on the operationalisation of the parameters (the measured variables). The interpretation of the metrics is also important: </w:t>
      </w:r>
      <w:r w:rsidR="00DE0CFA">
        <w:rPr>
          <w:rFonts w:ascii="Times New Roman" w:eastAsia="Times New Roman" w:hAnsi="Times New Roman" w:cs="Times New Roman"/>
          <w:sz w:val="24"/>
          <w:szCs w:val="24"/>
        </w:rPr>
        <w:t>A</w:t>
      </w:r>
      <w:r w:rsidRPr="00DE0CFA">
        <w:rPr>
          <w:rFonts w:ascii="Times New Roman" w:eastAsia="Times New Roman" w:hAnsi="Times New Roman" w:cs="Times New Roman"/>
          <w:sz w:val="24"/>
          <w:szCs w:val="24"/>
        </w:rPr>
        <w:t xml:space="preserve">re there only transparent and non-transparent markets? Where are the boundaries? </w:t>
      </w:r>
      <w:r w:rsidR="00DE0CFA">
        <w:rPr>
          <w:rFonts w:ascii="Times New Roman" w:eastAsia="Times New Roman" w:hAnsi="Times New Roman" w:cs="Times New Roman"/>
          <w:sz w:val="24"/>
          <w:szCs w:val="24"/>
        </w:rPr>
        <w:t>a</w:t>
      </w:r>
      <w:r w:rsidRPr="00DE0CFA">
        <w:rPr>
          <w:rFonts w:ascii="Times New Roman" w:eastAsia="Times New Roman" w:hAnsi="Times New Roman" w:cs="Times New Roman"/>
          <w:sz w:val="24"/>
          <w:szCs w:val="24"/>
        </w:rPr>
        <w:t xml:space="preserve">nd </w:t>
      </w:r>
      <w:r w:rsidR="00DE0CFA">
        <w:rPr>
          <w:rFonts w:ascii="Times New Roman" w:eastAsia="Times New Roman" w:hAnsi="Times New Roman" w:cs="Times New Roman"/>
          <w:sz w:val="24"/>
          <w:szCs w:val="24"/>
        </w:rPr>
        <w:t>A</w:t>
      </w:r>
      <w:r w:rsidRPr="00DE0CFA">
        <w:rPr>
          <w:rFonts w:ascii="Times New Roman" w:eastAsia="Times New Roman" w:hAnsi="Times New Roman" w:cs="Times New Roman"/>
          <w:sz w:val="24"/>
          <w:szCs w:val="24"/>
        </w:rPr>
        <w:t>re the transitions defined from one to the other or more blurred?</w:t>
      </w:r>
    </w:p>
    <w:p w14:paraId="07351092"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19C96292" w14:textId="4A86E1B9"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The narrower the context under consideration, the more precise the definition is likely to be, so that</w:t>
      </w:r>
      <w:r w:rsidR="00DE0CFA">
        <w:rPr>
          <w:rFonts w:ascii="Times New Roman" w:eastAsia="Times New Roman" w:hAnsi="Times New Roman" w:cs="Times New Roman"/>
          <w:sz w:val="24"/>
          <w:szCs w:val="24"/>
        </w:rPr>
        <w:t xml:space="preserve"> </w:t>
      </w:r>
      <w:r w:rsidRPr="00DE0CFA">
        <w:rPr>
          <w:rFonts w:ascii="Times New Roman" w:eastAsia="Times New Roman" w:hAnsi="Times New Roman" w:cs="Times New Roman"/>
          <w:sz w:val="24"/>
          <w:szCs w:val="24"/>
        </w:rPr>
        <w:t xml:space="preserve">a transparent residential property market in Germany can probably be operationalised more precisely than a global property market that includes all residential and commercial property as well as land markets. It should also always be borne in mind that the choice of parameters and standards used represents an </w:t>
      </w:r>
      <w:r w:rsidRPr="00DE0CFA">
        <w:rPr>
          <w:rFonts w:ascii="Times New Roman" w:eastAsia="Times New Roman" w:hAnsi="Times New Roman" w:cs="Times New Roman"/>
          <w:i/>
          <w:iCs/>
          <w:sz w:val="24"/>
          <w:szCs w:val="24"/>
        </w:rPr>
        <w:t>‘a priori’</w:t>
      </w:r>
      <w:r w:rsidRPr="00DE0CFA">
        <w:rPr>
          <w:rFonts w:ascii="Times New Roman" w:eastAsia="Times New Roman" w:hAnsi="Times New Roman" w:cs="Times New Roman"/>
          <w:sz w:val="24"/>
          <w:szCs w:val="24"/>
        </w:rPr>
        <w:t xml:space="preserve"> selection that cannot be completely neutral and objective. However, since the focus is on global comparison, a definition here can only be an approximation and cannot be universally validated. Of particular interest to this study are differences and similarities in transparency as well as perceptual aspects.</w:t>
      </w:r>
    </w:p>
    <w:p w14:paraId="5DD730FC"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237F2B5C"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An initially provisional and general definition of market transparency centres on the </w:t>
      </w:r>
      <w:r w:rsidRPr="00DE0CFA">
        <w:rPr>
          <w:rFonts w:ascii="Times New Roman" w:eastAsia="Times New Roman" w:hAnsi="Times New Roman" w:cs="Times New Roman"/>
          <w:b/>
          <w:sz w:val="24"/>
          <w:szCs w:val="24"/>
        </w:rPr>
        <w:t xml:space="preserve">degree of accessibility, visibility </w:t>
      </w:r>
      <w:r w:rsidRPr="00DE0CFA">
        <w:rPr>
          <w:rFonts w:ascii="Times New Roman" w:eastAsia="Times New Roman" w:hAnsi="Times New Roman" w:cs="Times New Roman"/>
          <w:bCs/>
          <w:sz w:val="24"/>
          <w:szCs w:val="24"/>
        </w:rPr>
        <w:t>and</w:t>
      </w:r>
      <w:r w:rsidRPr="00DE0CFA">
        <w:rPr>
          <w:rFonts w:ascii="Times New Roman" w:eastAsia="Times New Roman" w:hAnsi="Times New Roman" w:cs="Times New Roman"/>
          <w:b/>
          <w:sz w:val="24"/>
          <w:szCs w:val="24"/>
        </w:rPr>
        <w:t xml:space="preserve"> quality of information</w:t>
      </w:r>
      <w:r w:rsidRPr="00DE0CFA">
        <w:rPr>
          <w:rFonts w:ascii="Times New Roman" w:eastAsia="Times New Roman" w:hAnsi="Times New Roman" w:cs="Times New Roman"/>
          <w:sz w:val="24"/>
          <w:szCs w:val="24"/>
        </w:rPr>
        <w:t xml:space="preserve"> on a market. It refers to how easily market participants have </w:t>
      </w:r>
      <w:r w:rsidRPr="00DE0CFA">
        <w:rPr>
          <w:rFonts w:ascii="Times New Roman" w:eastAsia="Times New Roman" w:hAnsi="Times New Roman" w:cs="Times New Roman"/>
          <w:b/>
          <w:sz w:val="24"/>
          <w:szCs w:val="24"/>
        </w:rPr>
        <w:t>access to information</w:t>
      </w:r>
      <w:r w:rsidRPr="00DE0CFA">
        <w:rPr>
          <w:rFonts w:ascii="Times New Roman" w:eastAsia="Times New Roman" w:hAnsi="Times New Roman" w:cs="Times New Roman"/>
          <w:sz w:val="24"/>
          <w:szCs w:val="24"/>
        </w:rPr>
        <w:t xml:space="preserve"> about prices, products, market participants and market data. A transparent market is characterised by a free flow of information that enables market participants to </w:t>
      </w:r>
      <w:r w:rsidRPr="00DE0CFA">
        <w:rPr>
          <w:rFonts w:ascii="Times New Roman" w:eastAsia="Times New Roman" w:hAnsi="Times New Roman" w:cs="Times New Roman"/>
          <w:b/>
          <w:sz w:val="24"/>
          <w:szCs w:val="24"/>
        </w:rPr>
        <w:t>make informed decisions</w:t>
      </w:r>
      <w:r w:rsidRPr="00DE0CFA">
        <w:rPr>
          <w:rFonts w:ascii="Times New Roman" w:eastAsia="Times New Roman" w:hAnsi="Times New Roman" w:cs="Times New Roman"/>
          <w:sz w:val="24"/>
          <w:szCs w:val="24"/>
        </w:rPr>
        <w:t xml:space="preserve"> and </w:t>
      </w:r>
      <w:r w:rsidRPr="00DE0CFA">
        <w:rPr>
          <w:rFonts w:ascii="Times New Roman" w:eastAsia="Times New Roman" w:hAnsi="Times New Roman" w:cs="Times New Roman"/>
          <w:b/>
          <w:sz w:val="24"/>
          <w:szCs w:val="24"/>
        </w:rPr>
        <w:t>promote fair competition</w:t>
      </w:r>
      <w:r w:rsidRPr="00DE0CFA">
        <w:rPr>
          <w:rFonts w:ascii="Times New Roman" w:eastAsia="Times New Roman" w:hAnsi="Times New Roman" w:cs="Times New Roman"/>
          <w:sz w:val="24"/>
          <w:szCs w:val="24"/>
        </w:rPr>
        <w:t>. The strategies for pricing assets and transactions should be clearly understood.</w:t>
      </w:r>
    </w:p>
    <w:p w14:paraId="60AF2CE8"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3B5A9ADF"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lastRenderedPageBreak/>
        <w:t>According to Newell (2016), transparent markets are also characterised by the integrity and high quality of data, clear regulation, a regulated and open transaction process, strong governance of listed items and a culture or willingness to disclose information. Transparent markets more often have strong governance and robust legal/regulatory frameworks, and higher overall standards of professional behaviour and market practices.</w:t>
      </w:r>
    </w:p>
    <w:p w14:paraId="1DF427A5"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3AA1951F"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The governance aspect is also emphasised by Grover and Grover (2012), for whom land governance plays a key role in the quality of valuation. In their view, market transparency requires freedom of information and association and can be measured by indicators that assess the quality of both institutions and corporate governance, and the absence of corruption.</w:t>
      </w:r>
    </w:p>
    <w:p w14:paraId="63E2983B"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06F704B3" w14:textId="77777777" w:rsidR="002F0D23" w:rsidRPr="00DE0CFA" w:rsidRDefault="00000000">
      <w:pPr>
        <w:pStyle w:val="Heading2"/>
      </w:pPr>
      <w:bookmarkStart w:id="6" w:name="_8edmub8e34za" w:colFirst="0" w:colLast="0"/>
      <w:bookmarkEnd w:id="6"/>
      <w:r w:rsidRPr="00DE0CFA">
        <w:t>2.2.</w:t>
      </w:r>
      <w:r w:rsidRPr="00DE0CFA">
        <w:tab/>
        <w:t>Transparency and institutions</w:t>
      </w:r>
    </w:p>
    <w:p w14:paraId="4D7C04C5"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29CFC6D2"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The role that the property rights, in their different forms, have in the early development of capitalism is widely discussed between the classical political economists (Adam Smith, David Ricardo and Karl Marx) and other, more recent authors, such as Barrington Moore Jr. and Karl Polanyi.</w:t>
      </w:r>
    </w:p>
    <w:p w14:paraId="230B242F"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7D77D3E5" w14:textId="4EF23A34"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One contribution of Karl Polanyi can be used to bridge both referred discussions. In </w:t>
      </w:r>
      <w:r w:rsidRPr="00DE0CFA">
        <w:rPr>
          <w:rFonts w:ascii="Times New Roman" w:eastAsia="Times New Roman" w:hAnsi="Times New Roman" w:cs="Times New Roman"/>
          <w:i/>
          <w:sz w:val="24"/>
          <w:szCs w:val="24"/>
        </w:rPr>
        <w:t>The Great Transformation</w:t>
      </w:r>
      <w:r w:rsidRPr="00DE0CFA">
        <w:rPr>
          <w:rFonts w:ascii="Times New Roman" w:eastAsia="Times New Roman" w:hAnsi="Times New Roman" w:cs="Times New Roman"/>
          <w:sz w:val="24"/>
          <w:szCs w:val="24"/>
        </w:rPr>
        <w:t>, Polanyi (1944</w:t>
      </w:r>
      <w:r w:rsidR="00806820">
        <w:rPr>
          <w:rFonts w:ascii="Times New Roman" w:eastAsia="Times New Roman" w:hAnsi="Times New Roman" w:cs="Times New Roman"/>
          <w:sz w:val="24"/>
          <w:szCs w:val="24"/>
        </w:rPr>
        <w:t>/2001</w:t>
      </w:r>
      <w:r w:rsidRPr="00DE0CFA">
        <w:rPr>
          <w:rFonts w:ascii="Times New Roman" w:eastAsia="Times New Roman" w:hAnsi="Times New Roman" w:cs="Times New Roman"/>
          <w:sz w:val="24"/>
          <w:szCs w:val="24"/>
        </w:rPr>
        <w:t>) defines land (together with money and labo</w:t>
      </w:r>
      <w:r w:rsidR="00DE0CFA">
        <w:rPr>
          <w:rFonts w:ascii="Times New Roman" w:eastAsia="Times New Roman" w:hAnsi="Times New Roman" w:cs="Times New Roman"/>
          <w:sz w:val="24"/>
          <w:szCs w:val="24"/>
        </w:rPr>
        <w:t>u</w:t>
      </w:r>
      <w:r w:rsidRPr="00DE0CFA">
        <w:rPr>
          <w:rFonts w:ascii="Times New Roman" w:eastAsia="Times New Roman" w:hAnsi="Times New Roman" w:cs="Times New Roman"/>
          <w:sz w:val="24"/>
          <w:szCs w:val="24"/>
        </w:rPr>
        <w:t xml:space="preserve">r) as a fictitious commodity – things that were embedded in socially embedded relationships and were not usually subject to be bought and sold or were not commodified, before the emergence of capitalism </w:t>
      </w:r>
      <w:hyperlink r:id="rId5">
        <w:r w:rsidRPr="00DE0CFA">
          <w:rPr>
            <w:rFonts w:ascii="Times New Roman" w:eastAsia="Times New Roman" w:hAnsi="Times New Roman" w:cs="Times New Roman"/>
            <w:sz w:val="24"/>
            <w:szCs w:val="24"/>
          </w:rPr>
          <w:t>(Polanyi, 1944</w:t>
        </w:r>
        <w:r w:rsidR="00806820">
          <w:rPr>
            <w:rFonts w:ascii="Times New Roman" w:eastAsia="Times New Roman" w:hAnsi="Times New Roman" w:cs="Times New Roman"/>
            <w:sz w:val="24"/>
            <w:szCs w:val="24"/>
          </w:rPr>
          <w:t>/2001</w:t>
        </w:r>
        <w:r w:rsidRPr="00DE0CFA">
          <w:rPr>
            <w:rFonts w:ascii="Times New Roman" w:eastAsia="Times New Roman" w:hAnsi="Times New Roman" w:cs="Times New Roman"/>
            <w:sz w:val="24"/>
            <w:szCs w:val="24"/>
          </w:rPr>
          <w:t>)</w:t>
        </w:r>
      </w:hyperlink>
      <w:r w:rsidRPr="00DE0CFA">
        <w:rPr>
          <w:rFonts w:ascii="Times New Roman" w:eastAsia="Times New Roman" w:hAnsi="Times New Roman" w:cs="Times New Roman"/>
          <w:sz w:val="24"/>
          <w:szCs w:val="24"/>
        </w:rPr>
        <w:t>. This leads to the creation and regulation of markets for those fictitious commodities by the State since they cannot be self-regulated. In the author's own words:</w:t>
      </w:r>
    </w:p>
    <w:p w14:paraId="7908FA90"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6881689C" w14:textId="4EDCB71E" w:rsidR="002F0D23" w:rsidRPr="00DE0CFA" w:rsidRDefault="00000000">
      <w:pPr>
        <w:spacing w:after="0" w:line="240" w:lineRule="auto"/>
        <w:ind w:left="720"/>
        <w:jc w:val="both"/>
        <w:rPr>
          <w:rFonts w:ascii="Times New Roman" w:eastAsia="Times New Roman" w:hAnsi="Times New Roman" w:cs="Times New Roman"/>
          <w:sz w:val="24"/>
          <w:szCs w:val="24"/>
        </w:rPr>
      </w:pPr>
      <w:r w:rsidRPr="00DE0CFA">
        <w:rPr>
          <w:rFonts w:ascii="Times New Roman" w:eastAsia="Times New Roman" w:hAnsi="Times New Roman" w:cs="Times New Roman"/>
          <w:i/>
          <w:sz w:val="24"/>
          <w:szCs w:val="24"/>
        </w:rPr>
        <w:t xml:space="preserve">“The crucial point is this: </w:t>
      </w:r>
      <w:proofErr w:type="spellStart"/>
      <w:r w:rsidRPr="00DE0CFA">
        <w:rPr>
          <w:rFonts w:ascii="Times New Roman" w:eastAsia="Times New Roman" w:hAnsi="Times New Roman" w:cs="Times New Roman"/>
          <w:i/>
          <w:sz w:val="24"/>
          <w:szCs w:val="24"/>
        </w:rPr>
        <w:t>labor</w:t>
      </w:r>
      <w:proofErr w:type="spellEnd"/>
      <w:r w:rsidRPr="00DE0CFA">
        <w:rPr>
          <w:rFonts w:ascii="Times New Roman" w:eastAsia="Times New Roman" w:hAnsi="Times New Roman" w:cs="Times New Roman"/>
          <w:i/>
          <w:sz w:val="24"/>
          <w:szCs w:val="24"/>
        </w:rPr>
        <w:t xml:space="preserve">, land, and money are essential elements of industry; they also must be organized in markets; in fact, these markets form an absolutely vital part of the economic system. But </w:t>
      </w:r>
      <w:proofErr w:type="spellStart"/>
      <w:r w:rsidRPr="00DE0CFA">
        <w:rPr>
          <w:rFonts w:ascii="Times New Roman" w:eastAsia="Times New Roman" w:hAnsi="Times New Roman" w:cs="Times New Roman"/>
          <w:i/>
          <w:sz w:val="24"/>
          <w:szCs w:val="24"/>
        </w:rPr>
        <w:t>labor</w:t>
      </w:r>
      <w:proofErr w:type="spellEnd"/>
      <w:r w:rsidRPr="00DE0CFA">
        <w:rPr>
          <w:rFonts w:ascii="Times New Roman" w:eastAsia="Times New Roman" w:hAnsi="Times New Roman" w:cs="Times New Roman"/>
          <w:i/>
          <w:sz w:val="24"/>
          <w:szCs w:val="24"/>
        </w:rPr>
        <w:t xml:space="preserve">, land, and money are obviously not commodities; the postulate that anything that is bought and sold must have been produced for sale is emphatically untrue in regard to them. In other words, according to the empirical definition of a commodity they are not commodities. Labor is only another name for a human activity which goes with life itself, which in its tum is not produced for sale but for entirely different reasons, nor can that activity be detached from the rest of life, be stored or mobilized; land is only another name for nature, which is not produced by man; actual money, finally, is merely a token of purchasing power which, as a rule, is not produced at all, but comes into being through the mechanism of banking or state finance. None of them is produced for sale. The commodity description of </w:t>
      </w:r>
      <w:proofErr w:type="spellStart"/>
      <w:r w:rsidRPr="00DE0CFA">
        <w:rPr>
          <w:rFonts w:ascii="Times New Roman" w:eastAsia="Times New Roman" w:hAnsi="Times New Roman" w:cs="Times New Roman"/>
          <w:i/>
          <w:sz w:val="24"/>
          <w:szCs w:val="24"/>
        </w:rPr>
        <w:t>labor</w:t>
      </w:r>
      <w:proofErr w:type="spellEnd"/>
      <w:r w:rsidRPr="00DE0CFA">
        <w:rPr>
          <w:rFonts w:ascii="Times New Roman" w:eastAsia="Times New Roman" w:hAnsi="Times New Roman" w:cs="Times New Roman"/>
          <w:i/>
          <w:sz w:val="24"/>
          <w:szCs w:val="24"/>
        </w:rPr>
        <w:t>, land, and money is entirely fictitious”</w:t>
      </w:r>
      <w:r w:rsidRPr="00DE0CFA">
        <w:rPr>
          <w:rFonts w:ascii="Times New Roman" w:eastAsia="Times New Roman" w:hAnsi="Times New Roman" w:cs="Times New Roman"/>
          <w:sz w:val="24"/>
          <w:szCs w:val="24"/>
        </w:rPr>
        <w:t xml:space="preserve"> (Polayi, </w:t>
      </w:r>
      <w:r w:rsidR="00806820">
        <w:rPr>
          <w:rFonts w:ascii="Times New Roman" w:eastAsia="Times New Roman" w:hAnsi="Times New Roman" w:cs="Times New Roman"/>
          <w:sz w:val="24"/>
          <w:szCs w:val="24"/>
        </w:rPr>
        <w:t>1944/</w:t>
      </w:r>
      <w:r w:rsidRPr="00DE0CFA">
        <w:rPr>
          <w:rFonts w:ascii="Times New Roman" w:eastAsia="Times New Roman" w:hAnsi="Times New Roman" w:cs="Times New Roman"/>
          <w:sz w:val="24"/>
          <w:szCs w:val="24"/>
        </w:rPr>
        <w:t>2001, p. 75-76).</w:t>
      </w:r>
    </w:p>
    <w:p w14:paraId="47972414" w14:textId="77777777" w:rsidR="002F0D23" w:rsidRPr="00DE0CFA" w:rsidRDefault="002F0D23">
      <w:pPr>
        <w:spacing w:after="0" w:line="240" w:lineRule="auto"/>
        <w:jc w:val="both"/>
        <w:rPr>
          <w:rFonts w:ascii="Times New Roman" w:eastAsia="Times New Roman" w:hAnsi="Times New Roman" w:cs="Times New Roman"/>
          <w:i/>
          <w:sz w:val="24"/>
          <w:szCs w:val="24"/>
        </w:rPr>
      </w:pPr>
    </w:p>
    <w:p w14:paraId="0C4FF354"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In this sense, this argument strengthens and justifies the necessity for the State and its institutions to regulate land rights and ownership as a necessary condition for capitalist development. This regulation is used to make individual property rights clear and transparent and to minimise conflicts around the rights of its ownership and simplify its trade.</w:t>
      </w:r>
    </w:p>
    <w:p w14:paraId="72368BBE"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319BFB00"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lastRenderedPageBreak/>
        <w:t>The role of institutions making the property rights clear, and so transparent, is widely discussed, especially after Douglass North. On the specific issue of property rights, North clearly made the relation between clear rules, property rights and economic development. In his own words:</w:t>
      </w:r>
    </w:p>
    <w:p w14:paraId="47F8F5F5"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3500925E" w14:textId="3D1953B4" w:rsidR="002F0D23" w:rsidRPr="006E366E" w:rsidRDefault="00000000">
      <w:pPr>
        <w:spacing w:after="0" w:line="240" w:lineRule="auto"/>
        <w:ind w:left="720"/>
        <w:jc w:val="both"/>
        <w:rPr>
          <w:rFonts w:ascii="Times New Roman" w:eastAsia="Times New Roman" w:hAnsi="Times New Roman" w:cs="Times New Roman"/>
          <w:i/>
          <w:sz w:val="24"/>
          <w:szCs w:val="24"/>
        </w:rPr>
      </w:pPr>
      <w:r w:rsidRPr="006E366E">
        <w:rPr>
          <w:rFonts w:ascii="Times New Roman" w:eastAsia="Times New Roman" w:hAnsi="Times New Roman" w:cs="Times New Roman"/>
          <w:i/>
          <w:sz w:val="24"/>
          <w:szCs w:val="24"/>
        </w:rPr>
        <w:t xml:space="preserve">“The prosperity of the towns, whether based on the wool cloth trade or metals trade, early on made for an urban </w:t>
      </w:r>
      <w:proofErr w:type="spellStart"/>
      <w:r w:rsidRPr="006E366E">
        <w:rPr>
          <w:rFonts w:ascii="Times New Roman" w:eastAsia="Times New Roman" w:hAnsi="Times New Roman" w:cs="Times New Roman"/>
          <w:i/>
          <w:sz w:val="24"/>
          <w:szCs w:val="24"/>
        </w:rPr>
        <w:t>centered</w:t>
      </w:r>
      <w:proofErr w:type="spellEnd"/>
      <w:r w:rsidRPr="006E366E">
        <w:rPr>
          <w:rFonts w:ascii="Times New Roman" w:eastAsia="Times New Roman" w:hAnsi="Times New Roman" w:cs="Times New Roman"/>
          <w:i/>
          <w:sz w:val="24"/>
          <w:szCs w:val="24"/>
        </w:rPr>
        <w:t xml:space="preserve">, </w:t>
      </w:r>
      <w:proofErr w:type="gramStart"/>
      <w:r w:rsidRPr="006E366E">
        <w:rPr>
          <w:rFonts w:ascii="Times New Roman" w:eastAsia="Times New Roman" w:hAnsi="Times New Roman" w:cs="Times New Roman"/>
          <w:i/>
          <w:sz w:val="24"/>
          <w:szCs w:val="24"/>
        </w:rPr>
        <w:t>market oriented</w:t>
      </w:r>
      <w:proofErr w:type="gramEnd"/>
      <w:r w:rsidRPr="006E366E">
        <w:rPr>
          <w:rFonts w:ascii="Times New Roman" w:eastAsia="Times New Roman" w:hAnsi="Times New Roman" w:cs="Times New Roman"/>
          <w:i/>
          <w:sz w:val="24"/>
          <w:szCs w:val="24"/>
        </w:rPr>
        <w:t xml:space="preserve"> area unique at a time of overwhelmingly rural societies. </w:t>
      </w:r>
      <w:r w:rsidR="006E366E" w:rsidRPr="006E366E">
        <w:rPr>
          <w:rFonts w:ascii="Times New Roman" w:eastAsia="Times New Roman" w:hAnsi="Times New Roman" w:cs="Times New Roman"/>
          <w:i/>
          <w:sz w:val="24"/>
          <w:szCs w:val="24"/>
        </w:rPr>
        <w:t xml:space="preserve">[…] </w:t>
      </w:r>
      <w:r w:rsidRPr="006E366E">
        <w:rPr>
          <w:rFonts w:ascii="Times New Roman" w:eastAsia="Times New Roman" w:hAnsi="Times New Roman" w:cs="Times New Roman"/>
          <w:i/>
          <w:sz w:val="24"/>
          <w:szCs w:val="24"/>
        </w:rPr>
        <w:t xml:space="preserve">The rulers were supported by new centers of industry that sprang up in response to the </w:t>
      </w:r>
      <w:proofErr w:type="spellStart"/>
      <w:r w:rsidRPr="006E366E">
        <w:rPr>
          <w:rFonts w:ascii="Times New Roman" w:eastAsia="Times New Roman" w:hAnsi="Times New Roman" w:cs="Times New Roman"/>
          <w:i/>
          <w:sz w:val="24"/>
          <w:szCs w:val="24"/>
        </w:rPr>
        <w:t>favorable</w:t>
      </w:r>
      <w:proofErr w:type="spellEnd"/>
      <w:r w:rsidRPr="006E366E">
        <w:rPr>
          <w:rFonts w:ascii="Times New Roman" w:eastAsia="Times New Roman" w:hAnsi="Times New Roman" w:cs="Times New Roman"/>
          <w:i/>
          <w:sz w:val="24"/>
          <w:szCs w:val="24"/>
        </w:rPr>
        <w:t xml:space="preserve"> incentives embodied in the rules and property rights. </w:t>
      </w:r>
      <w:r w:rsidR="006E366E" w:rsidRPr="006E366E">
        <w:rPr>
          <w:rFonts w:ascii="Times New Roman" w:eastAsia="Times New Roman" w:hAnsi="Times New Roman" w:cs="Times New Roman"/>
          <w:i/>
          <w:sz w:val="24"/>
          <w:szCs w:val="24"/>
        </w:rPr>
        <w:t>[</w:t>
      </w:r>
      <w:r w:rsidRPr="006E366E">
        <w:rPr>
          <w:rFonts w:ascii="Times New Roman" w:eastAsia="Times New Roman" w:hAnsi="Times New Roman" w:cs="Times New Roman"/>
          <w:i/>
          <w:sz w:val="24"/>
          <w:szCs w:val="24"/>
        </w:rPr>
        <w:t>…</w:t>
      </w:r>
      <w:r w:rsidR="006E366E" w:rsidRPr="006E366E">
        <w:rPr>
          <w:rFonts w:ascii="Times New Roman" w:eastAsia="Times New Roman" w:hAnsi="Times New Roman" w:cs="Times New Roman"/>
          <w:i/>
          <w:sz w:val="24"/>
          <w:szCs w:val="24"/>
        </w:rPr>
        <w:t>]</w:t>
      </w:r>
      <w:r w:rsidRPr="006E366E">
        <w:rPr>
          <w:rFonts w:ascii="Times New Roman" w:eastAsia="Times New Roman" w:hAnsi="Times New Roman" w:cs="Times New Roman"/>
          <w:i/>
          <w:sz w:val="24"/>
          <w:szCs w:val="24"/>
        </w:rPr>
        <w:t xml:space="preserve"> And it was in the Netherlands and Amsterdam specifically that modern economic growth had its genesis.”</w:t>
      </w:r>
      <w:r w:rsidRPr="006E366E">
        <w:rPr>
          <w:rFonts w:ascii="Times New Roman" w:eastAsia="Times New Roman" w:hAnsi="Times New Roman" w:cs="Times New Roman"/>
          <w:sz w:val="24"/>
          <w:szCs w:val="24"/>
        </w:rPr>
        <w:t xml:space="preserve"> (North, </w:t>
      </w:r>
      <w:r w:rsidR="006E366E" w:rsidRPr="006E366E">
        <w:rPr>
          <w:rFonts w:ascii="Times New Roman" w:eastAsia="Times New Roman" w:hAnsi="Times New Roman" w:cs="Times New Roman"/>
          <w:sz w:val="24"/>
          <w:szCs w:val="24"/>
        </w:rPr>
        <w:t>2005</w:t>
      </w:r>
      <w:r w:rsidRPr="006E366E">
        <w:rPr>
          <w:rFonts w:ascii="Times New Roman" w:eastAsia="Times New Roman" w:hAnsi="Times New Roman" w:cs="Times New Roman"/>
          <w:sz w:val="24"/>
          <w:szCs w:val="24"/>
        </w:rPr>
        <w:t xml:space="preserve">, p. </w:t>
      </w:r>
      <w:r w:rsidR="006E366E" w:rsidRPr="006E366E">
        <w:rPr>
          <w:rFonts w:ascii="Times New Roman" w:eastAsia="Times New Roman" w:hAnsi="Times New Roman" w:cs="Times New Roman"/>
          <w:sz w:val="24"/>
          <w:szCs w:val="24"/>
        </w:rPr>
        <w:t>133-134</w:t>
      </w:r>
      <w:r w:rsidRPr="006E366E">
        <w:rPr>
          <w:rFonts w:ascii="Times New Roman" w:eastAsia="Times New Roman" w:hAnsi="Times New Roman" w:cs="Times New Roman"/>
          <w:sz w:val="24"/>
          <w:szCs w:val="24"/>
        </w:rPr>
        <w:t>)</w:t>
      </w:r>
    </w:p>
    <w:p w14:paraId="71FBFC3C"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6B086CB3" w14:textId="481ED1DA"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From this proposition</w:t>
      </w:r>
      <w:r w:rsidR="00DE0CFA">
        <w:rPr>
          <w:rFonts w:ascii="Times New Roman" w:eastAsia="Times New Roman" w:hAnsi="Times New Roman" w:cs="Times New Roman"/>
          <w:sz w:val="24"/>
          <w:szCs w:val="24"/>
        </w:rPr>
        <w:t>,</w:t>
      </w:r>
      <w:r w:rsidRPr="00DE0CFA">
        <w:rPr>
          <w:rFonts w:ascii="Times New Roman" w:eastAsia="Times New Roman" w:hAnsi="Times New Roman" w:cs="Times New Roman"/>
          <w:sz w:val="24"/>
          <w:szCs w:val="24"/>
        </w:rPr>
        <w:t xml:space="preserve"> North shows that well-defined property rights are the basis of economic development. So, the way North defined it is that institutions create the rules of the game in a society or, more formally, that they are human conceived restrictions that shape human behaviour (North, 1990, p. 3). And after that, to make it more clear,</w:t>
      </w:r>
      <w:r w:rsidR="00DE0CFA">
        <w:rPr>
          <w:rFonts w:ascii="Times New Roman" w:eastAsia="Times New Roman" w:hAnsi="Times New Roman" w:cs="Times New Roman"/>
          <w:sz w:val="24"/>
          <w:szCs w:val="24"/>
        </w:rPr>
        <w:t xml:space="preserve"> </w:t>
      </w:r>
      <w:r w:rsidRPr="00DE0CFA">
        <w:rPr>
          <w:rFonts w:ascii="Times New Roman" w:eastAsia="Times New Roman" w:hAnsi="Times New Roman" w:cs="Times New Roman"/>
          <w:sz w:val="24"/>
          <w:szCs w:val="24"/>
        </w:rPr>
        <w:t>Angeles (2011, p. 25) states that:</w:t>
      </w:r>
    </w:p>
    <w:p w14:paraId="3D3F063D" w14:textId="77777777" w:rsidR="002F0D23" w:rsidRPr="00DE0CFA" w:rsidRDefault="002F0D23">
      <w:pPr>
        <w:spacing w:after="0" w:line="240" w:lineRule="auto"/>
        <w:ind w:left="720"/>
        <w:jc w:val="both"/>
        <w:rPr>
          <w:rFonts w:ascii="Times New Roman" w:eastAsia="Times New Roman" w:hAnsi="Times New Roman" w:cs="Times New Roman"/>
          <w:i/>
          <w:sz w:val="24"/>
          <w:szCs w:val="24"/>
        </w:rPr>
      </w:pPr>
    </w:p>
    <w:p w14:paraId="35DF2BB3" w14:textId="77777777" w:rsidR="002F0D23" w:rsidRPr="00DE0CFA" w:rsidRDefault="00000000">
      <w:pPr>
        <w:spacing w:after="0" w:line="240" w:lineRule="auto"/>
        <w:ind w:left="720"/>
        <w:jc w:val="both"/>
        <w:rPr>
          <w:rFonts w:ascii="Times New Roman" w:eastAsia="Times New Roman" w:hAnsi="Times New Roman" w:cs="Times New Roman"/>
          <w:i/>
          <w:sz w:val="24"/>
          <w:szCs w:val="24"/>
        </w:rPr>
      </w:pPr>
      <w:r w:rsidRPr="00DE0CFA">
        <w:rPr>
          <w:rFonts w:ascii="Times New Roman" w:eastAsia="Times New Roman" w:hAnsi="Times New Roman" w:cs="Times New Roman"/>
          <w:i/>
          <w:sz w:val="24"/>
          <w:szCs w:val="24"/>
        </w:rPr>
        <w:t xml:space="preserve">“Institutions have their place in explanations of growth and </w:t>
      </w:r>
      <w:proofErr w:type="gramStart"/>
      <w:r w:rsidRPr="00DE0CFA">
        <w:rPr>
          <w:rFonts w:ascii="Times New Roman" w:eastAsia="Times New Roman" w:hAnsi="Times New Roman" w:cs="Times New Roman"/>
          <w:i/>
          <w:sz w:val="24"/>
          <w:szCs w:val="24"/>
        </w:rPr>
        <w:t>development</w:t>
      </w:r>
      <w:proofErr w:type="gramEnd"/>
      <w:r w:rsidRPr="00DE0CFA">
        <w:rPr>
          <w:rFonts w:ascii="Times New Roman" w:eastAsia="Times New Roman" w:hAnsi="Times New Roman" w:cs="Times New Roman"/>
          <w:i/>
          <w:sz w:val="24"/>
          <w:szCs w:val="24"/>
        </w:rPr>
        <w:t xml:space="preserve"> but their form should be made explicit for each time and place and we should not expect the same institutional explanation to fit all cases”.</w:t>
      </w:r>
    </w:p>
    <w:p w14:paraId="4D9C4E30"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00707151" w14:textId="61656A2A"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The argument that will be underlined in this study is based on this premise: institutional frameworks, especially land rights, are essential to the transparency of land markets, but are not sufficient on their own, since culture, innovation, and other factors play decisive roles in their development.</w:t>
      </w:r>
    </w:p>
    <w:p w14:paraId="74B7D6C9"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4BB7DD39" w14:textId="66BA1001" w:rsidR="002F0D23" w:rsidRPr="00DE0CFA" w:rsidRDefault="00000000">
      <w:pPr>
        <w:spacing w:after="0" w:line="240" w:lineRule="auto"/>
        <w:jc w:val="both"/>
        <w:rPr>
          <w:rFonts w:ascii="Times New Roman" w:eastAsia="Times New Roman" w:hAnsi="Times New Roman" w:cs="Times New Roman"/>
          <w:sz w:val="24"/>
          <w:szCs w:val="24"/>
        </w:rPr>
      </w:pPr>
      <w:bookmarkStart w:id="7" w:name="_gjdgxs" w:colFirst="0" w:colLast="0"/>
      <w:bookmarkEnd w:id="7"/>
      <w:r w:rsidRPr="00DE0CFA">
        <w:rPr>
          <w:rFonts w:ascii="Times New Roman" w:eastAsia="Times New Roman" w:hAnsi="Times New Roman" w:cs="Times New Roman"/>
          <w:sz w:val="24"/>
          <w:szCs w:val="24"/>
        </w:rPr>
        <w:t xml:space="preserve">In his most important articles North (1981, 1990, 2005) proposed the other main definition that can be used in analysing the transparency of the land markets is the extent of transaction costs. Transaction cost is the cost that one incurs when doing any kind of trade, excluding the production cost. Transaction cost is mostly associated with the absence or lack of good information. The absence of clear rules and/or institutions is likely to increase the cost of acquiring an asset. For land transparency this concept can be used quite directly: </w:t>
      </w:r>
      <w:r w:rsidRPr="00DE0CFA">
        <w:rPr>
          <w:rFonts w:ascii="Times New Roman" w:eastAsia="Times New Roman" w:hAnsi="Times New Roman" w:cs="Times New Roman"/>
          <w:b/>
          <w:sz w:val="24"/>
          <w:szCs w:val="24"/>
        </w:rPr>
        <w:t>the less the transparency of a market the bigger the transaction cost that can occur</w:t>
      </w:r>
      <w:r w:rsidR="006E366E">
        <w:rPr>
          <w:rFonts w:ascii="Times New Roman" w:eastAsia="Times New Roman" w:hAnsi="Times New Roman" w:cs="Times New Roman"/>
          <w:b/>
          <w:sz w:val="24"/>
          <w:szCs w:val="24"/>
        </w:rPr>
        <w:t xml:space="preserve"> </w:t>
      </w:r>
      <w:r w:rsidR="006E366E" w:rsidRPr="006E366E">
        <w:rPr>
          <w:rFonts w:ascii="Times New Roman" w:eastAsia="Times New Roman" w:hAnsi="Times New Roman" w:cs="Times New Roman"/>
          <w:bCs/>
          <w:sz w:val="24"/>
          <w:szCs w:val="24"/>
        </w:rPr>
        <w:t xml:space="preserve">(Pagano and </w:t>
      </w:r>
      <w:proofErr w:type="spellStart"/>
      <w:r w:rsidR="006E366E" w:rsidRPr="006E366E">
        <w:rPr>
          <w:rFonts w:ascii="Times New Roman" w:eastAsia="Times New Roman" w:hAnsi="Times New Roman" w:cs="Times New Roman"/>
          <w:bCs/>
          <w:sz w:val="24"/>
          <w:szCs w:val="24"/>
        </w:rPr>
        <w:t>Röell</w:t>
      </w:r>
      <w:proofErr w:type="spellEnd"/>
      <w:r w:rsidR="006E366E" w:rsidRPr="006E366E">
        <w:rPr>
          <w:rFonts w:ascii="Times New Roman" w:eastAsia="Times New Roman" w:hAnsi="Times New Roman" w:cs="Times New Roman"/>
          <w:bCs/>
          <w:sz w:val="24"/>
          <w:szCs w:val="24"/>
        </w:rPr>
        <w:t>, 1996)</w:t>
      </w:r>
      <w:r w:rsidRPr="006E366E">
        <w:rPr>
          <w:rFonts w:ascii="Times New Roman" w:eastAsia="Times New Roman" w:hAnsi="Times New Roman" w:cs="Times New Roman"/>
          <w:bCs/>
          <w:sz w:val="24"/>
          <w:szCs w:val="24"/>
        </w:rPr>
        <w:t>. The buyer needs to make numerous inquiries to find a suitable pro</w:t>
      </w:r>
      <w:r w:rsidRPr="00DE0CFA">
        <w:rPr>
          <w:rFonts w:ascii="Times New Roman" w:eastAsia="Times New Roman" w:hAnsi="Times New Roman" w:cs="Times New Roman"/>
          <w:sz w:val="24"/>
          <w:szCs w:val="24"/>
        </w:rPr>
        <w:t xml:space="preserve">perty and then check several different records to ensure basic </w:t>
      </w:r>
      <w:r w:rsidRPr="00806820">
        <w:rPr>
          <w:rFonts w:ascii="Times New Roman" w:eastAsia="Times New Roman" w:hAnsi="Times New Roman" w:cs="Times New Roman"/>
          <w:i/>
          <w:iCs/>
          <w:sz w:val="24"/>
          <w:szCs w:val="24"/>
        </w:rPr>
        <w:t>‘due diligence’</w:t>
      </w:r>
      <w:r w:rsidRPr="00DE0CFA">
        <w:rPr>
          <w:rFonts w:ascii="Times New Roman" w:eastAsia="Times New Roman" w:hAnsi="Times New Roman" w:cs="Times New Roman"/>
          <w:sz w:val="24"/>
          <w:szCs w:val="24"/>
        </w:rPr>
        <w:t xml:space="preserve"> processes such as clarity on a property's physical </w:t>
      </w:r>
      <w:proofErr w:type="gramStart"/>
      <w:r w:rsidRPr="00DE0CFA">
        <w:rPr>
          <w:rFonts w:ascii="Times New Roman" w:eastAsia="Times New Roman" w:hAnsi="Times New Roman" w:cs="Times New Roman"/>
          <w:sz w:val="24"/>
          <w:szCs w:val="24"/>
        </w:rPr>
        <w:t>details</w:t>
      </w:r>
      <w:r w:rsidR="006E366E">
        <w:rPr>
          <w:rFonts w:ascii="Times New Roman" w:eastAsia="Times New Roman" w:hAnsi="Times New Roman" w:cs="Times New Roman"/>
          <w:sz w:val="24"/>
          <w:szCs w:val="24"/>
        </w:rPr>
        <w:t xml:space="preserve">, </w:t>
      </w:r>
      <w:r w:rsidRPr="00DE0CFA">
        <w:rPr>
          <w:rFonts w:ascii="Times New Roman" w:eastAsia="Times New Roman" w:hAnsi="Times New Roman" w:cs="Times New Roman"/>
          <w:sz w:val="24"/>
          <w:szCs w:val="24"/>
        </w:rPr>
        <w:t>if</w:t>
      </w:r>
      <w:proofErr w:type="gramEnd"/>
      <w:r w:rsidRPr="00DE0CFA">
        <w:rPr>
          <w:rFonts w:ascii="Times New Roman" w:eastAsia="Times New Roman" w:hAnsi="Times New Roman" w:cs="Times New Roman"/>
          <w:sz w:val="24"/>
          <w:szCs w:val="24"/>
        </w:rPr>
        <w:t xml:space="preserve"> the seller is the legal owner and no other restrictions apply to the property. As only a small fraction of properties are on the market at any point in time, buyers incur high costs when searching for a suitable asset and given the complexities of specific market sectors and geographical constraints are forced to rely on costly agents, who may hold insider information (Milgrom and Stokey, 1982). However, can the buyers rely on the sales agents? How can the agents representing the sellers also act in the best interest of the buyer? This may leave many buyers in a potentially disadvantaged position. </w:t>
      </w:r>
      <w:proofErr w:type="spellStart"/>
      <w:r w:rsidRPr="00DE0CFA">
        <w:rPr>
          <w:rFonts w:ascii="Times New Roman" w:eastAsia="Times New Roman" w:hAnsi="Times New Roman" w:cs="Times New Roman"/>
          <w:sz w:val="24"/>
          <w:szCs w:val="24"/>
        </w:rPr>
        <w:t>Garmaise</w:t>
      </w:r>
      <w:proofErr w:type="spellEnd"/>
      <w:r w:rsidRPr="00DE0CFA">
        <w:rPr>
          <w:rFonts w:ascii="Times New Roman" w:eastAsia="Times New Roman" w:hAnsi="Times New Roman" w:cs="Times New Roman"/>
          <w:sz w:val="24"/>
          <w:szCs w:val="24"/>
        </w:rPr>
        <w:t xml:space="preserve"> and Moskowitz (2004), who proved that information considerations in the real estate markets are significant, found that participants resolve that by avoiding transactions with informed professional brokers. </w:t>
      </w:r>
    </w:p>
    <w:p w14:paraId="67AEB0FE"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33C8DF95" w14:textId="0B009D2E"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As properties are non-homogeneous goods, their quality varies and are normally not subject to public knowledge. As the seller may hold maximum information about the asset, buyers when </w:t>
      </w:r>
      <w:r w:rsidRPr="00DE0CFA">
        <w:rPr>
          <w:rFonts w:ascii="Times New Roman" w:eastAsia="Times New Roman" w:hAnsi="Times New Roman" w:cs="Times New Roman"/>
          <w:sz w:val="24"/>
          <w:szCs w:val="24"/>
        </w:rPr>
        <w:lastRenderedPageBreak/>
        <w:t xml:space="preserve">seeking to reduce this information asymmetry, need to conduct their own due diligence not only is this costly but also time consuming. However, even having done thorough due diligence, they can never be 100% sure of the quality of the asset. A property can rarely be tried on like a new jacket nor taken for a test ride like a car. While in particular situations there are ways to reduce these costs via </w:t>
      </w:r>
      <w:r w:rsidR="00806820" w:rsidRPr="00806820">
        <w:rPr>
          <w:rFonts w:ascii="Times New Roman" w:eastAsia="Times New Roman" w:hAnsi="Times New Roman" w:cs="Times New Roman"/>
          <w:i/>
          <w:iCs/>
          <w:sz w:val="24"/>
          <w:szCs w:val="24"/>
        </w:rPr>
        <w:t>‘</w:t>
      </w:r>
      <w:r w:rsidRPr="00806820">
        <w:rPr>
          <w:rFonts w:ascii="Times New Roman" w:eastAsia="Times New Roman" w:hAnsi="Times New Roman" w:cs="Times New Roman"/>
          <w:i/>
          <w:iCs/>
          <w:sz w:val="24"/>
          <w:szCs w:val="24"/>
        </w:rPr>
        <w:t>vendor due diligence</w:t>
      </w:r>
      <w:r w:rsidR="00806820" w:rsidRPr="00806820">
        <w:rPr>
          <w:rFonts w:ascii="Times New Roman" w:eastAsia="Times New Roman" w:hAnsi="Times New Roman" w:cs="Times New Roman"/>
          <w:i/>
          <w:iCs/>
          <w:sz w:val="24"/>
          <w:szCs w:val="24"/>
        </w:rPr>
        <w:t>’</w:t>
      </w:r>
      <w:r w:rsidRPr="00DE0CFA">
        <w:rPr>
          <w:rFonts w:ascii="Times New Roman" w:eastAsia="Times New Roman" w:hAnsi="Times New Roman" w:cs="Times New Roman"/>
          <w:sz w:val="24"/>
          <w:szCs w:val="24"/>
        </w:rPr>
        <w:t>, these transaction costs cannot be reduced to zero (Wiejak-Roy, 2023). Some researchers argue that the information asymmetry between the sellers and buyers leads to market failure (</w:t>
      </w:r>
      <w:proofErr w:type="spellStart"/>
      <w:r w:rsidRPr="00DE0CFA">
        <w:rPr>
          <w:rFonts w:ascii="Times New Roman" w:eastAsia="Times New Roman" w:hAnsi="Times New Roman" w:cs="Times New Roman"/>
          <w:sz w:val="24"/>
          <w:szCs w:val="24"/>
        </w:rPr>
        <w:t>Kurlat</w:t>
      </w:r>
      <w:proofErr w:type="spellEnd"/>
      <w:r w:rsidR="006E366E">
        <w:rPr>
          <w:rFonts w:ascii="Times New Roman" w:eastAsia="Times New Roman" w:hAnsi="Times New Roman" w:cs="Times New Roman"/>
          <w:sz w:val="24"/>
          <w:szCs w:val="24"/>
        </w:rPr>
        <w:t xml:space="preserve"> and Stroebel</w:t>
      </w:r>
      <w:r w:rsidRPr="00DE0CFA">
        <w:rPr>
          <w:rFonts w:ascii="Times New Roman" w:eastAsia="Times New Roman" w:hAnsi="Times New Roman" w:cs="Times New Roman"/>
          <w:sz w:val="24"/>
          <w:szCs w:val="24"/>
        </w:rPr>
        <w:t>, 201</w:t>
      </w:r>
      <w:r w:rsidR="006E366E">
        <w:rPr>
          <w:rFonts w:ascii="Times New Roman" w:eastAsia="Times New Roman" w:hAnsi="Times New Roman" w:cs="Times New Roman"/>
          <w:sz w:val="24"/>
          <w:szCs w:val="24"/>
        </w:rPr>
        <w:t>5</w:t>
      </w:r>
      <w:r w:rsidRPr="00DE0CFA">
        <w:rPr>
          <w:rFonts w:ascii="Times New Roman" w:eastAsia="Times New Roman" w:hAnsi="Times New Roman" w:cs="Times New Roman"/>
          <w:sz w:val="24"/>
          <w:szCs w:val="24"/>
        </w:rPr>
        <w:t xml:space="preserve">). However, others optimistically (Gordon and Winkler, 2019) expect a reduction in the cost of accessing information which is associated with the internet revolution. This is seconded by research on the use of e.g. photos to signal asset quality and to reduce the information asymmetry gap (Bian </w:t>
      </w:r>
      <w:r w:rsidRPr="00DE0CFA">
        <w:rPr>
          <w:rFonts w:ascii="Times New Roman" w:eastAsia="Times New Roman" w:hAnsi="Times New Roman" w:cs="Times New Roman"/>
          <w:i/>
          <w:sz w:val="24"/>
          <w:szCs w:val="24"/>
        </w:rPr>
        <w:t>et al.</w:t>
      </w:r>
      <w:r w:rsidRPr="00DE0CFA">
        <w:rPr>
          <w:rFonts w:ascii="Times New Roman" w:eastAsia="Times New Roman" w:hAnsi="Times New Roman" w:cs="Times New Roman"/>
          <w:sz w:val="24"/>
          <w:szCs w:val="24"/>
        </w:rPr>
        <w:t xml:space="preserve">, 2021). </w:t>
      </w:r>
      <w:r w:rsidR="006E366E">
        <w:rPr>
          <w:rFonts w:ascii="Times New Roman" w:eastAsia="Times New Roman" w:hAnsi="Times New Roman" w:cs="Times New Roman"/>
          <w:sz w:val="24"/>
          <w:szCs w:val="24"/>
        </w:rPr>
        <w:t xml:space="preserve">However, most of this research relates to the residential market and the role of brokers in improving market transparency has not been proved yet (Broxterman and Zhou, 2003). </w:t>
      </w:r>
      <w:r w:rsidRPr="00DE0CFA">
        <w:rPr>
          <w:rFonts w:ascii="Times New Roman" w:eastAsia="Times New Roman" w:hAnsi="Times New Roman" w:cs="Times New Roman"/>
          <w:sz w:val="24"/>
          <w:szCs w:val="24"/>
        </w:rPr>
        <w:t xml:space="preserve">Finally, even if the buyer is confident that they know what they are buying and have negotiated a price, by proceeding with the transaction, they still will have to incur legal fees and pay taxes. As a result, excessive transaction costs discourage transactions, which affects market liquidity. </w:t>
      </w:r>
    </w:p>
    <w:p w14:paraId="3C3632C4"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064668AA" w14:textId="71CE0622"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The relationship between secure property rights, good land governance and efficient land use has been pointed out very clearly by Feder and F</w:t>
      </w:r>
      <w:r w:rsidR="006E366E">
        <w:rPr>
          <w:rFonts w:ascii="Times New Roman" w:eastAsia="Times New Roman" w:hAnsi="Times New Roman" w:cs="Times New Roman"/>
          <w:sz w:val="24"/>
          <w:szCs w:val="24"/>
        </w:rPr>
        <w:t>ee</w:t>
      </w:r>
      <w:r w:rsidRPr="00DE0CFA">
        <w:rPr>
          <w:rFonts w:ascii="Times New Roman" w:eastAsia="Times New Roman" w:hAnsi="Times New Roman" w:cs="Times New Roman"/>
          <w:sz w:val="24"/>
          <w:szCs w:val="24"/>
        </w:rPr>
        <w:t xml:space="preserve">ny (1991). They focus on how land </w:t>
      </w:r>
      <w:r w:rsidR="00DE0CFA">
        <w:rPr>
          <w:rFonts w:ascii="Times New Roman" w:eastAsia="Times New Roman" w:hAnsi="Times New Roman" w:cs="Times New Roman"/>
          <w:sz w:val="24"/>
          <w:szCs w:val="24"/>
        </w:rPr>
        <w:t>and</w:t>
      </w:r>
      <w:r w:rsidRPr="00DE0CFA">
        <w:rPr>
          <w:rFonts w:ascii="Times New Roman" w:eastAsia="Times New Roman" w:hAnsi="Times New Roman" w:cs="Times New Roman"/>
          <w:sz w:val="24"/>
          <w:szCs w:val="24"/>
        </w:rPr>
        <w:t xml:space="preserve"> property rights are defined and institutionalised in different societies throughout history, and how the nature of those rights and the way they are enforced have significant consequences for resource allocation and economic efficiency. Therefore, securing property rights and encouraging transparency over land generates efficient use of the resource, diminishes uncertainty and land market transaction costs, while increasing the use of land as collateral for credit.</w:t>
      </w:r>
    </w:p>
    <w:p w14:paraId="562A04F8"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250D7550"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Another perspective can be found in the work of Hernando de Soto (2000), who underlines the disadvantages of land informality and the advantages of clear property rights over land. The author uses the concept of dead capital to illustrate the </w:t>
      </w:r>
      <w:r w:rsidRPr="00806820">
        <w:rPr>
          <w:rFonts w:ascii="Times New Roman" w:eastAsia="Times New Roman" w:hAnsi="Times New Roman" w:cs="Times New Roman"/>
          <w:i/>
          <w:iCs/>
          <w:sz w:val="24"/>
          <w:szCs w:val="24"/>
        </w:rPr>
        <w:t>‘unseen’</w:t>
      </w:r>
      <w:r w:rsidRPr="00DE0CFA">
        <w:rPr>
          <w:rFonts w:ascii="Times New Roman" w:eastAsia="Times New Roman" w:hAnsi="Times New Roman" w:cs="Times New Roman"/>
          <w:sz w:val="24"/>
          <w:szCs w:val="24"/>
        </w:rPr>
        <w:t xml:space="preserve"> value of land and how this value can be </w:t>
      </w:r>
      <w:r w:rsidRPr="00806820">
        <w:rPr>
          <w:rFonts w:ascii="Times New Roman" w:eastAsia="Times New Roman" w:hAnsi="Times New Roman" w:cs="Times New Roman"/>
          <w:i/>
          <w:iCs/>
          <w:sz w:val="24"/>
          <w:szCs w:val="24"/>
        </w:rPr>
        <w:t>‘unlocked’</w:t>
      </w:r>
      <w:r w:rsidRPr="00DE0CFA">
        <w:rPr>
          <w:rFonts w:ascii="Times New Roman" w:eastAsia="Times New Roman" w:hAnsi="Times New Roman" w:cs="Times New Roman"/>
          <w:sz w:val="24"/>
          <w:szCs w:val="24"/>
        </w:rPr>
        <w:t xml:space="preserve"> through guaranteeing clear and transparent property rights over land (and, therefore, </w:t>
      </w:r>
      <w:r w:rsidRPr="00806820">
        <w:rPr>
          <w:rFonts w:ascii="Times New Roman" w:eastAsia="Times New Roman" w:hAnsi="Times New Roman" w:cs="Times New Roman"/>
          <w:i/>
          <w:iCs/>
          <w:sz w:val="24"/>
          <w:szCs w:val="24"/>
        </w:rPr>
        <w:t>‘unlocking’</w:t>
      </w:r>
      <w:r w:rsidRPr="00DE0CFA">
        <w:rPr>
          <w:rFonts w:ascii="Times New Roman" w:eastAsia="Times New Roman" w:hAnsi="Times New Roman" w:cs="Times New Roman"/>
          <w:sz w:val="24"/>
          <w:szCs w:val="24"/>
        </w:rPr>
        <w:t xml:space="preserve"> it to be traded on land markets or to be used as collateral for credit).</w:t>
      </w:r>
    </w:p>
    <w:p w14:paraId="105A4207"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71A3B05A" w14:textId="77777777" w:rsidR="002F0D23" w:rsidRPr="00DE0CFA" w:rsidRDefault="00000000">
      <w:pPr>
        <w:pStyle w:val="Heading2"/>
      </w:pPr>
      <w:bookmarkStart w:id="8" w:name="_x6jdzfczmlb4" w:colFirst="0" w:colLast="0"/>
      <w:bookmarkEnd w:id="8"/>
      <w:r w:rsidRPr="00DE0CFA">
        <w:t>2.3.</w:t>
      </w:r>
      <w:r w:rsidRPr="00DE0CFA">
        <w:tab/>
        <w:t>Perspectives on transparency</w:t>
      </w:r>
    </w:p>
    <w:p w14:paraId="2FB1542C"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40F6EFFB"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The </w:t>
      </w:r>
      <w:r w:rsidRPr="00DE0CFA">
        <w:rPr>
          <w:rFonts w:ascii="Times New Roman" w:eastAsia="Times New Roman" w:hAnsi="Times New Roman" w:cs="Times New Roman"/>
          <w:b/>
          <w:sz w:val="24"/>
          <w:szCs w:val="24"/>
        </w:rPr>
        <w:t>economic perspective</w:t>
      </w:r>
      <w:r w:rsidRPr="00DE0CFA">
        <w:rPr>
          <w:rFonts w:ascii="Times New Roman" w:eastAsia="Times New Roman" w:hAnsi="Times New Roman" w:cs="Times New Roman"/>
          <w:sz w:val="24"/>
          <w:szCs w:val="24"/>
        </w:rPr>
        <w:t xml:space="preserve"> generally focuses on investment activities or their framework conditions. A general hypothesis is that the more transparent a market is, the lower the risk of an investment. This leads to the conclusion that a further </w:t>
      </w:r>
      <w:proofErr w:type="gramStart"/>
      <w:r w:rsidRPr="00DE0CFA">
        <w:rPr>
          <w:rFonts w:ascii="Times New Roman" w:eastAsia="Times New Roman" w:hAnsi="Times New Roman" w:cs="Times New Roman"/>
          <w:sz w:val="24"/>
          <w:szCs w:val="24"/>
        </w:rPr>
        <w:t>knock on</w:t>
      </w:r>
      <w:proofErr w:type="gramEnd"/>
      <w:r w:rsidRPr="00DE0CFA">
        <w:rPr>
          <w:rFonts w:ascii="Times New Roman" w:eastAsia="Times New Roman" w:hAnsi="Times New Roman" w:cs="Times New Roman"/>
          <w:sz w:val="24"/>
          <w:szCs w:val="24"/>
        </w:rPr>
        <w:t xml:space="preserve"> effect may be a higher value for the respective owner. In an economic context, transparency means providing comprehensive and reliable information so that the market (or the market participant) has sufficient knowledge to operate efficiently and make informed decisions. The aims are therefore generally to promote business and trade, enhance the confidence and attractiveness of the market and promote the willingness to invest, but also to increase social prosperity among the population. The </w:t>
      </w:r>
      <w:r w:rsidRPr="00DE0CFA">
        <w:rPr>
          <w:rFonts w:ascii="Times New Roman" w:eastAsia="Times New Roman" w:hAnsi="Times New Roman" w:cs="Times New Roman"/>
          <w:b/>
          <w:sz w:val="24"/>
          <w:szCs w:val="24"/>
        </w:rPr>
        <w:t xml:space="preserve">social perspective </w:t>
      </w:r>
      <w:r w:rsidRPr="00DE0CFA">
        <w:rPr>
          <w:rFonts w:ascii="Times New Roman" w:eastAsia="Times New Roman" w:hAnsi="Times New Roman" w:cs="Times New Roman"/>
          <w:sz w:val="24"/>
          <w:szCs w:val="24"/>
        </w:rPr>
        <w:t>is not contradictory but focuses in particular on the aspect of fairness and equal conditions of participation in market processes. The objectives of transparent property market mechanisms from a socio-political perspective are such that attributes such as socio-economic status or ethnic or religious background should not play a role in access to information or the enforcement of rights.</w:t>
      </w:r>
    </w:p>
    <w:p w14:paraId="5C613B69"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19311313" w14:textId="43D31BBA"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As already described, the fact that there is no universal, generally agreed and recognised definition of the construct makes it difficult to measure </w:t>
      </w:r>
      <w:r w:rsidRPr="00DE0CFA">
        <w:rPr>
          <w:rFonts w:ascii="Times New Roman" w:eastAsia="Times New Roman" w:hAnsi="Times New Roman" w:cs="Times New Roman"/>
          <w:i/>
          <w:sz w:val="24"/>
          <w:szCs w:val="24"/>
        </w:rPr>
        <w:t>transparency</w:t>
      </w:r>
      <w:r w:rsidRPr="00DE0CFA">
        <w:rPr>
          <w:rFonts w:ascii="Times New Roman" w:eastAsia="Times New Roman" w:hAnsi="Times New Roman" w:cs="Times New Roman"/>
          <w:sz w:val="24"/>
          <w:szCs w:val="24"/>
        </w:rPr>
        <w:t xml:space="preserve">. Indeed, the attitudes to information transparency can be </w:t>
      </w:r>
      <w:r w:rsidRPr="00806820">
        <w:rPr>
          <w:rFonts w:ascii="Times New Roman" w:eastAsia="Times New Roman" w:hAnsi="Times New Roman" w:cs="Times New Roman"/>
          <w:i/>
          <w:iCs/>
          <w:sz w:val="24"/>
          <w:szCs w:val="24"/>
        </w:rPr>
        <w:t>‘cultural’</w:t>
      </w:r>
      <w:r w:rsidRPr="00DE0CFA">
        <w:rPr>
          <w:rFonts w:ascii="Times New Roman" w:eastAsia="Times New Roman" w:hAnsi="Times New Roman" w:cs="Times New Roman"/>
          <w:sz w:val="24"/>
          <w:szCs w:val="24"/>
        </w:rPr>
        <w:t xml:space="preserve">. For example, Scandinavian nations can operate an open access real estate model whilst the UK has struggled to come to terms with transparency and is only now </w:t>
      </w:r>
      <w:r w:rsidR="006E366E">
        <w:rPr>
          <w:rFonts w:ascii="Times New Roman" w:eastAsia="Times New Roman" w:hAnsi="Times New Roman" w:cs="Times New Roman"/>
          <w:sz w:val="24"/>
          <w:szCs w:val="24"/>
        </w:rPr>
        <w:t xml:space="preserve">via the </w:t>
      </w:r>
      <w:r w:rsidR="006E366E" w:rsidRPr="00806820">
        <w:rPr>
          <w:rFonts w:ascii="Times New Roman" w:eastAsia="Times New Roman" w:hAnsi="Times New Roman" w:cs="Times New Roman"/>
          <w:i/>
          <w:iCs/>
          <w:sz w:val="24"/>
          <w:szCs w:val="24"/>
        </w:rPr>
        <w:t xml:space="preserve">Register of Overseas Entities </w:t>
      </w:r>
      <w:r w:rsidRPr="00DE0CFA">
        <w:rPr>
          <w:rFonts w:ascii="Times New Roman" w:eastAsia="Times New Roman" w:hAnsi="Times New Roman" w:cs="Times New Roman"/>
          <w:sz w:val="24"/>
          <w:szCs w:val="24"/>
        </w:rPr>
        <w:t>tackling issues of opacity that enable potentially illegal activities (</w:t>
      </w:r>
      <w:r w:rsidR="006E366E">
        <w:rPr>
          <w:rFonts w:ascii="Times New Roman" w:eastAsia="Times New Roman" w:hAnsi="Times New Roman" w:cs="Times New Roman"/>
          <w:sz w:val="24"/>
          <w:szCs w:val="24"/>
        </w:rPr>
        <w:t>Companies House</w:t>
      </w:r>
      <w:r w:rsidRPr="00DE0CFA">
        <w:rPr>
          <w:rFonts w:ascii="Times New Roman" w:eastAsia="Times New Roman" w:hAnsi="Times New Roman" w:cs="Times New Roman"/>
          <w:sz w:val="24"/>
          <w:szCs w:val="24"/>
        </w:rPr>
        <w:t>, 2022). As a result, there are various sets of indicators, each of which incorporates a different selection of measurement parameters depending on the intended objective. It is therefore necessary to distinguish between different thematic priorities or content orientations, which are intended to depict transparency in different contexts or for different purposes.</w:t>
      </w:r>
    </w:p>
    <w:p w14:paraId="0AB570E9"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6DB9462D"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The specific purposes and objectives of measuring real estate market transparency are diverse and include investor analysis and decision-making, market assessment for banks and lenders, policy-making, and the improvement of market practices and regulatory frameworks. Other objectives may include improving the governance of listed vehicles, increasing the efficiency of transaction processes, and creating confidence and stability in the market. In addition, measuring transparency over time can reveal trends and developments that affect investment attractiveness, market behaviour and structure (Newell, 2016).</w:t>
      </w:r>
    </w:p>
    <w:p w14:paraId="77C61AA4"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05F8EDCF" w14:textId="77777777" w:rsidR="002F0D23" w:rsidRPr="00DE0CFA" w:rsidRDefault="00000000">
      <w:pPr>
        <w:pStyle w:val="Heading2"/>
      </w:pPr>
      <w:bookmarkStart w:id="9" w:name="_3pdozwmmmym" w:colFirst="0" w:colLast="0"/>
      <w:bookmarkEnd w:id="9"/>
      <w:r w:rsidRPr="00DE0CFA">
        <w:t>2.4.</w:t>
      </w:r>
      <w:r w:rsidRPr="00DE0CFA">
        <w:tab/>
        <w:t>Liquidity and transparency</w:t>
      </w:r>
    </w:p>
    <w:p w14:paraId="39C7C4CA"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3FD541C4" w14:textId="2AC619E2"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Another way to look at transparency of property rights is in its relation to its liquidity. The liquidity of land and property assets is directly related to the ease of selling or buying land or properties without incurring losses </w:t>
      </w:r>
      <w:r w:rsidR="00DE0CFA">
        <w:rPr>
          <w:rFonts w:ascii="Times New Roman" w:eastAsia="Times New Roman" w:hAnsi="Times New Roman" w:cs="Times New Roman"/>
          <w:sz w:val="24"/>
          <w:szCs w:val="24"/>
        </w:rPr>
        <w:t xml:space="preserve">and </w:t>
      </w:r>
      <w:r w:rsidRPr="00DE0CFA">
        <w:rPr>
          <w:rFonts w:ascii="Times New Roman" w:eastAsia="Times New Roman" w:hAnsi="Times New Roman" w:cs="Times New Roman"/>
          <w:sz w:val="24"/>
          <w:szCs w:val="24"/>
        </w:rPr>
        <w:t>is not only derived from the institutional setting and the transparency in the market.</w:t>
      </w:r>
      <w:r w:rsidR="00DE0CFA">
        <w:rPr>
          <w:rFonts w:ascii="Times New Roman" w:eastAsia="Times New Roman" w:hAnsi="Times New Roman" w:cs="Times New Roman"/>
          <w:sz w:val="24"/>
          <w:szCs w:val="24"/>
        </w:rPr>
        <w:t xml:space="preserve"> </w:t>
      </w:r>
      <w:r w:rsidRPr="00DE0CFA">
        <w:rPr>
          <w:rFonts w:ascii="Times New Roman" w:eastAsia="Times New Roman" w:hAnsi="Times New Roman" w:cs="Times New Roman"/>
          <w:sz w:val="24"/>
          <w:szCs w:val="24"/>
        </w:rPr>
        <w:t>When the ownership rights over a specific real estate asset are clear and are trusted, its liquidity when compared to another real estate asset with less trust and/or transparency, is higher.</w:t>
      </w:r>
    </w:p>
    <w:p w14:paraId="7348C182"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4934991A" w14:textId="0CDBCF5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Reydon (1992, 1994) attempted to fill this gap by using the Post-Keynesian theoretical system of reference on the formation of asset prices in order to interpret the formation of land prices. Thus land, as it generates productive incomes and possesses liquidity, becomes an asset of sufficient quality for speculation. This occurs because</w:t>
      </w:r>
      <w:r w:rsidR="00DE0CFA">
        <w:rPr>
          <w:rFonts w:ascii="Times New Roman" w:eastAsia="Times New Roman" w:hAnsi="Times New Roman" w:cs="Times New Roman"/>
          <w:sz w:val="24"/>
          <w:szCs w:val="24"/>
        </w:rPr>
        <w:t>,</w:t>
      </w:r>
      <w:r w:rsidRPr="00DE0CFA">
        <w:rPr>
          <w:rFonts w:ascii="Times New Roman" w:eastAsia="Times New Roman" w:hAnsi="Times New Roman" w:cs="Times New Roman"/>
          <w:sz w:val="24"/>
          <w:szCs w:val="24"/>
        </w:rPr>
        <w:t xml:space="preserve"> in this type of economy, the price of land is determined by three expectational characteristics: (1) the quasi-incomes resulting from its productive use, (2) liquidity, a product of its speculative use while a liquid asset, and (3) cost of maintenance arising from </w:t>
      </w:r>
      <w:proofErr w:type="spellStart"/>
      <w:r w:rsidRPr="00DE0CFA">
        <w:rPr>
          <w:rFonts w:ascii="Times New Roman" w:eastAsia="Times New Roman" w:hAnsi="Times New Roman" w:cs="Times New Roman"/>
          <w:sz w:val="24"/>
          <w:szCs w:val="24"/>
        </w:rPr>
        <w:t>it</w:t>
      </w:r>
      <w:proofErr w:type="spellEnd"/>
      <w:r w:rsidRPr="00DE0CFA">
        <w:rPr>
          <w:rFonts w:ascii="Times New Roman" w:eastAsia="Times New Roman" w:hAnsi="Times New Roman" w:cs="Times New Roman"/>
          <w:sz w:val="24"/>
          <w:szCs w:val="24"/>
        </w:rPr>
        <w:t xml:space="preserve"> remaining in the portfolio of the economic agents, all of which are capitalised via a subjective rate of interest.</w:t>
      </w:r>
    </w:p>
    <w:p w14:paraId="01E26479"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65352A41" w14:textId="45747129"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It is these income streams, resulting from the ownership of land that agents evaluate and compare to those of other assets when deciding on the acquisition of a piece of</w:t>
      </w:r>
      <w:r w:rsidR="00DE0CFA">
        <w:rPr>
          <w:rFonts w:ascii="Times New Roman" w:eastAsia="Times New Roman" w:hAnsi="Times New Roman" w:cs="Times New Roman"/>
          <w:sz w:val="24"/>
          <w:szCs w:val="24"/>
        </w:rPr>
        <w:t xml:space="preserve"> </w:t>
      </w:r>
      <w:r w:rsidRPr="00DE0CFA">
        <w:rPr>
          <w:rFonts w:ascii="Times New Roman" w:eastAsia="Times New Roman" w:hAnsi="Times New Roman" w:cs="Times New Roman"/>
          <w:sz w:val="24"/>
          <w:szCs w:val="24"/>
        </w:rPr>
        <w:t>for example agricultural land. The attributes of these real estate assets (i.e.</w:t>
      </w:r>
      <w:r w:rsidR="006E366E">
        <w:rPr>
          <w:rFonts w:ascii="Times New Roman" w:eastAsia="Times New Roman" w:hAnsi="Times New Roman" w:cs="Times New Roman"/>
          <w:sz w:val="24"/>
          <w:szCs w:val="24"/>
        </w:rPr>
        <w:t>,</w:t>
      </w:r>
      <w:r w:rsidRPr="00DE0CFA">
        <w:rPr>
          <w:rFonts w:ascii="Times New Roman" w:eastAsia="Times New Roman" w:hAnsi="Times New Roman" w:cs="Times New Roman"/>
          <w:sz w:val="24"/>
          <w:szCs w:val="24"/>
        </w:rPr>
        <w:t xml:space="preserve"> of being, at the same time, a capital asset that produces other products and a speculative asset) make them a viable asset to have in a portfolio. This leads to there being </w:t>
      </w:r>
      <w:r w:rsidR="00DE0CFA">
        <w:rPr>
          <w:rFonts w:ascii="Times New Roman" w:eastAsia="Times New Roman" w:hAnsi="Times New Roman" w:cs="Times New Roman"/>
          <w:sz w:val="24"/>
          <w:szCs w:val="24"/>
        </w:rPr>
        <w:t xml:space="preserve">a </w:t>
      </w:r>
      <w:r w:rsidRPr="00DE0CFA">
        <w:rPr>
          <w:rFonts w:ascii="Times New Roman" w:eastAsia="Times New Roman" w:hAnsi="Times New Roman" w:cs="Times New Roman"/>
          <w:sz w:val="24"/>
          <w:szCs w:val="24"/>
        </w:rPr>
        <w:t>demand for land from the most diverse ownership</w:t>
      </w:r>
      <w:r w:rsidR="00DE0CFA">
        <w:rPr>
          <w:rFonts w:ascii="Times New Roman" w:eastAsia="Times New Roman" w:hAnsi="Times New Roman" w:cs="Times New Roman"/>
          <w:sz w:val="24"/>
          <w:szCs w:val="24"/>
        </w:rPr>
        <w:t xml:space="preserve"> groups</w:t>
      </w:r>
      <w:r w:rsidRPr="00DE0CFA">
        <w:rPr>
          <w:rFonts w:ascii="Times New Roman" w:eastAsia="Times New Roman" w:hAnsi="Times New Roman" w:cs="Times New Roman"/>
          <w:sz w:val="24"/>
          <w:szCs w:val="24"/>
        </w:rPr>
        <w:t>, from farmers to industry and banks. The more transparent the market, the higher the liquidity.</w:t>
      </w:r>
    </w:p>
    <w:p w14:paraId="5E00ABD3" w14:textId="6CE41E31" w:rsidR="002F0D23" w:rsidRPr="00DE0CFA" w:rsidRDefault="002F0D23" w:rsidP="00DE0CFA">
      <w:pPr>
        <w:spacing w:after="0" w:line="240" w:lineRule="auto"/>
        <w:rPr>
          <w:rFonts w:ascii="Times New Roman" w:eastAsia="Tahoma" w:hAnsi="Times New Roman" w:cs="Times New Roman"/>
          <w:sz w:val="20"/>
          <w:szCs w:val="20"/>
          <w:highlight w:val="magenta"/>
        </w:rPr>
      </w:pPr>
    </w:p>
    <w:p w14:paraId="5ACCAD4B" w14:textId="77777777" w:rsidR="002F0D23" w:rsidRPr="00DE0CFA" w:rsidRDefault="00000000">
      <w:pPr>
        <w:pStyle w:val="Heading2"/>
      </w:pPr>
      <w:bookmarkStart w:id="10" w:name="_jt9hpwag22ls" w:colFirst="0" w:colLast="0"/>
      <w:bookmarkEnd w:id="10"/>
      <w:r w:rsidRPr="00DE0CFA">
        <w:rPr>
          <w:rFonts w:eastAsia="Tahoma"/>
          <w:sz w:val="20"/>
          <w:szCs w:val="20"/>
        </w:rPr>
        <w:lastRenderedPageBreak/>
        <w:t>2.5.</w:t>
      </w:r>
      <w:r w:rsidRPr="00DE0CFA">
        <w:rPr>
          <w:rFonts w:eastAsia="Tahoma"/>
          <w:sz w:val="20"/>
          <w:szCs w:val="20"/>
        </w:rPr>
        <w:tab/>
      </w:r>
      <w:r w:rsidRPr="00DE0CFA">
        <w:t>Data availability and quality</w:t>
      </w:r>
    </w:p>
    <w:p w14:paraId="792108CF"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035BE2FE" w14:textId="37641E5E"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A fundamental problem in assessing transparency is that many valuation models and standards make implicit assumptions about the quality of governance, which are, however, subject to the preconditions of democratic markets. The result, i.e. the evaluated market price of models, must therefore be questioned if the market processes in some markets/countries are subject to guarantee (and thus not further operationalized) qualities and in others are not. Examples of these market processes that operate with </w:t>
      </w:r>
      <w:r w:rsidR="00806820">
        <w:rPr>
          <w:rFonts w:ascii="Times New Roman" w:eastAsia="Times New Roman" w:hAnsi="Times New Roman" w:cs="Times New Roman"/>
          <w:i/>
          <w:sz w:val="24"/>
          <w:szCs w:val="24"/>
        </w:rPr>
        <w:t>‘</w:t>
      </w:r>
      <w:r w:rsidRPr="00DE0CFA">
        <w:rPr>
          <w:rFonts w:ascii="Times New Roman" w:eastAsia="Times New Roman" w:hAnsi="Times New Roman" w:cs="Times New Roman"/>
          <w:i/>
          <w:sz w:val="24"/>
          <w:szCs w:val="24"/>
        </w:rPr>
        <w:t>low standards</w:t>
      </w:r>
      <w:r w:rsidR="00806820">
        <w:rPr>
          <w:rFonts w:ascii="Times New Roman" w:eastAsia="Times New Roman" w:hAnsi="Times New Roman" w:cs="Times New Roman"/>
          <w:i/>
          <w:sz w:val="24"/>
          <w:szCs w:val="24"/>
        </w:rPr>
        <w:t>’</w:t>
      </w:r>
      <w:r w:rsidRPr="00DE0CFA">
        <w:rPr>
          <w:rFonts w:ascii="Times New Roman" w:eastAsia="Times New Roman" w:hAnsi="Times New Roman" w:cs="Times New Roman"/>
          <w:sz w:val="24"/>
          <w:szCs w:val="24"/>
        </w:rPr>
        <w:t xml:space="preserve"> are unlawful confiscation of land, inappropriate or non-existent land registries, transactions subject to corruption, arbitrary court rulings or tax assessments, and limited access to market information (Grover and Grover, 2012).</w:t>
      </w:r>
    </w:p>
    <w:p w14:paraId="771FCC10"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19E47EF2" w14:textId="2FFCCE82"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Some of the global transparency indices discussed below (see section on indicators) include some of these critical market processes in their analyses. For example, the World Bank assesses the categories </w:t>
      </w:r>
      <w:r w:rsidR="00806820">
        <w:rPr>
          <w:rFonts w:ascii="Times New Roman" w:eastAsia="Times New Roman" w:hAnsi="Times New Roman" w:cs="Times New Roman"/>
          <w:i/>
          <w:sz w:val="24"/>
          <w:szCs w:val="24"/>
        </w:rPr>
        <w:t>‘</w:t>
      </w:r>
      <w:r w:rsidRPr="00DE0CFA">
        <w:rPr>
          <w:rFonts w:ascii="Times New Roman" w:eastAsia="Times New Roman" w:hAnsi="Times New Roman" w:cs="Times New Roman"/>
          <w:i/>
          <w:sz w:val="24"/>
          <w:szCs w:val="24"/>
        </w:rPr>
        <w:t>paying taxes</w:t>
      </w:r>
      <w:r w:rsidR="00806820">
        <w:rPr>
          <w:rFonts w:ascii="Times New Roman" w:eastAsia="Times New Roman" w:hAnsi="Times New Roman" w:cs="Times New Roman"/>
          <w:i/>
          <w:sz w:val="24"/>
          <w:szCs w:val="24"/>
        </w:rPr>
        <w:t>’</w:t>
      </w:r>
      <w:r w:rsidRPr="00DE0CFA">
        <w:rPr>
          <w:rFonts w:ascii="Times New Roman" w:eastAsia="Times New Roman" w:hAnsi="Times New Roman" w:cs="Times New Roman"/>
          <w:sz w:val="24"/>
          <w:szCs w:val="24"/>
        </w:rPr>
        <w:t xml:space="preserve"> or </w:t>
      </w:r>
      <w:r w:rsidR="00806820">
        <w:rPr>
          <w:rFonts w:ascii="Times New Roman" w:eastAsia="Times New Roman" w:hAnsi="Times New Roman" w:cs="Times New Roman"/>
          <w:i/>
          <w:sz w:val="24"/>
          <w:szCs w:val="24"/>
        </w:rPr>
        <w:t>‘</w:t>
      </w:r>
      <w:r w:rsidRPr="00DE0CFA">
        <w:rPr>
          <w:rFonts w:ascii="Times New Roman" w:eastAsia="Times New Roman" w:hAnsi="Times New Roman" w:cs="Times New Roman"/>
          <w:i/>
          <w:sz w:val="24"/>
          <w:szCs w:val="24"/>
        </w:rPr>
        <w:t>registering property</w:t>
      </w:r>
      <w:r w:rsidR="00806820">
        <w:rPr>
          <w:rFonts w:ascii="Times New Roman" w:eastAsia="Times New Roman" w:hAnsi="Times New Roman" w:cs="Times New Roman"/>
          <w:i/>
          <w:sz w:val="24"/>
          <w:szCs w:val="24"/>
        </w:rPr>
        <w:t>’</w:t>
      </w:r>
      <w:r w:rsidRPr="00DE0CFA">
        <w:rPr>
          <w:rFonts w:ascii="Times New Roman" w:eastAsia="Times New Roman" w:hAnsi="Times New Roman" w:cs="Times New Roman"/>
          <w:sz w:val="24"/>
          <w:szCs w:val="24"/>
        </w:rPr>
        <w:t xml:space="preserve"> and, for the first time in 2020, a data set on contracting with the government that should have been included in the subsequently discontinued report (World Bank, 2020). In addition to real estate taxes and real estate registration, the JLL/LaSalle index also evaluates beneficial ownership and anti-money laundering regulations (JLL, 2022).</w:t>
      </w:r>
    </w:p>
    <w:p w14:paraId="49F6603D" w14:textId="77777777" w:rsidR="002F0D23" w:rsidRPr="00DE0CFA" w:rsidRDefault="002F0D23">
      <w:pPr>
        <w:spacing w:after="0" w:line="240" w:lineRule="auto"/>
        <w:jc w:val="both"/>
        <w:rPr>
          <w:rFonts w:ascii="Times New Roman" w:eastAsia="Times New Roman" w:hAnsi="Times New Roman" w:cs="Times New Roman"/>
          <w:sz w:val="24"/>
          <w:szCs w:val="24"/>
          <w:highlight w:val="cyan"/>
        </w:rPr>
      </w:pPr>
    </w:p>
    <w:p w14:paraId="0BD6E14D" w14:textId="77777777" w:rsidR="002F0D23" w:rsidRPr="00DE0CFA" w:rsidRDefault="00000000">
      <w:pPr>
        <w:pStyle w:val="Heading2"/>
      </w:pPr>
      <w:bookmarkStart w:id="11" w:name="_3pxk8w9dio32" w:colFirst="0" w:colLast="0"/>
      <w:bookmarkEnd w:id="11"/>
      <w:r w:rsidRPr="00DE0CFA">
        <w:t>2.6.</w:t>
      </w:r>
      <w:r w:rsidRPr="00DE0CFA">
        <w:tab/>
        <w:t>Market maturity and transparency</w:t>
      </w:r>
    </w:p>
    <w:p w14:paraId="4D8DF1FB"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59890E10" w14:textId="7A47C679"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Late 1990s research (Adair </w:t>
      </w:r>
      <w:r w:rsidRPr="00DE0CFA">
        <w:rPr>
          <w:rFonts w:ascii="Times New Roman" w:eastAsia="Times New Roman" w:hAnsi="Times New Roman" w:cs="Times New Roman"/>
          <w:i/>
          <w:sz w:val="24"/>
          <w:szCs w:val="24"/>
        </w:rPr>
        <w:t>et al.</w:t>
      </w:r>
      <w:r w:rsidRPr="00DE0CFA">
        <w:rPr>
          <w:rFonts w:ascii="Times New Roman" w:eastAsia="Times New Roman" w:hAnsi="Times New Roman" w:cs="Times New Roman"/>
          <w:sz w:val="24"/>
          <w:szCs w:val="24"/>
        </w:rPr>
        <w:t>, 1998; D’Arcy and Keogh, 1998, Keogh and D’Arcy, 1999) proved that a key issue in the development of real estate markets is access to timely and accurate data that can be easily interpreted, suggesting that data transparency is one of the key criteria that characterise mature markets. In the European context</w:t>
      </w:r>
      <w:r w:rsidR="00DE0CFA">
        <w:rPr>
          <w:rFonts w:ascii="Times New Roman" w:eastAsia="Times New Roman" w:hAnsi="Times New Roman" w:cs="Times New Roman"/>
          <w:sz w:val="24"/>
          <w:szCs w:val="24"/>
        </w:rPr>
        <w:t>,</w:t>
      </w:r>
      <w:r w:rsidRPr="00DE0CFA">
        <w:rPr>
          <w:rFonts w:ascii="Times New Roman" w:eastAsia="Times New Roman" w:hAnsi="Times New Roman" w:cs="Times New Roman"/>
          <w:sz w:val="24"/>
          <w:szCs w:val="24"/>
        </w:rPr>
        <w:t xml:space="preserve"> this was proven for that time still maturing Central Eastern European countries, which by mid 2000s still lacked performance benchmarks especially in the investment market (Adair </w:t>
      </w:r>
      <w:r w:rsidRPr="00DE0CFA">
        <w:rPr>
          <w:rFonts w:ascii="Times New Roman" w:eastAsia="Times New Roman" w:hAnsi="Times New Roman" w:cs="Times New Roman"/>
          <w:i/>
          <w:sz w:val="24"/>
          <w:szCs w:val="24"/>
        </w:rPr>
        <w:t>et al.</w:t>
      </w:r>
      <w:r w:rsidRPr="00DE0CFA">
        <w:rPr>
          <w:rFonts w:ascii="Times New Roman" w:eastAsia="Times New Roman" w:hAnsi="Times New Roman" w:cs="Times New Roman"/>
          <w:sz w:val="24"/>
          <w:szCs w:val="24"/>
        </w:rPr>
        <w:t xml:space="preserve">, 2006). However, even in mature economies transparency was not as good as one would expect. Schulte </w:t>
      </w:r>
      <w:r w:rsidRPr="00DE0CFA">
        <w:rPr>
          <w:rFonts w:ascii="Times New Roman" w:eastAsia="Times New Roman" w:hAnsi="Times New Roman" w:cs="Times New Roman"/>
          <w:i/>
          <w:sz w:val="24"/>
          <w:szCs w:val="24"/>
        </w:rPr>
        <w:t>et al.</w:t>
      </w:r>
      <w:r w:rsidRPr="00DE0CFA">
        <w:rPr>
          <w:rFonts w:ascii="Times New Roman" w:eastAsia="Times New Roman" w:hAnsi="Times New Roman" w:cs="Times New Roman"/>
          <w:sz w:val="24"/>
          <w:szCs w:val="24"/>
        </w:rPr>
        <w:t xml:space="preserve"> (2005) observed strong differences in real estate market transparency between the UK, the US and Germany, with Germany, despite major improvements being behind the UK and the US.</w:t>
      </w:r>
    </w:p>
    <w:p w14:paraId="79ED5A85"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More recently, </w:t>
      </w:r>
      <w:proofErr w:type="spellStart"/>
      <w:r w:rsidRPr="00DE0CFA">
        <w:rPr>
          <w:rFonts w:ascii="Times New Roman" w:eastAsia="Times New Roman" w:hAnsi="Times New Roman" w:cs="Times New Roman"/>
          <w:sz w:val="24"/>
          <w:szCs w:val="24"/>
        </w:rPr>
        <w:t>Ionaşcu</w:t>
      </w:r>
      <w:proofErr w:type="spellEnd"/>
      <w:r w:rsidRPr="00DE0CFA">
        <w:rPr>
          <w:rFonts w:ascii="Times New Roman" w:eastAsia="Times New Roman" w:hAnsi="Times New Roman" w:cs="Times New Roman"/>
          <w:sz w:val="24"/>
          <w:szCs w:val="24"/>
        </w:rPr>
        <w:t xml:space="preserve"> </w:t>
      </w:r>
      <w:r w:rsidRPr="00DE0CFA">
        <w:rPr>
          <w:rFonts w:ascii="Times New Roman" w:eastAsia="Times New Roman" w:hAnsi="Times New Roman" w:cs="Times New Roman"/>
          <w:i/>
          <w:iCs/>
          <w:sz w:val="24"/>
          <w:szCs w:val="24"/>
        </w:rPr>
        <w:t>et al.</w:t>
      </w:r>
      <w:r w:rsidRPr="00DE0CFA">
        <w:rPr>
          <w:rFonts w:ascii="Times New Roman" w:eastAsia="Times New Roman" w:hAnsi="Times New Roman" w:cs="Times New Roman"/>
          <w:sz w:val="24"/>
          <w:szCs w:val="24"/>
        </w:rPr>
        <w:t xml:space="preserve"> (2019) compared real estate key indicators in industrialised and developing countries. The survey results point to the most competitive and robust countries having the most transparent and mature real estate markets. In developed countries, transparency is driven by technology, innovation, quality of infrastructure and extensive business networks. In emerging and developing countries, the transparency of real estate markets is primarily subject to the quality of governance and the absence of corruption as key prerequisites.</w:t>
      </w:r>
    </w:p>
    <w:p w14:paraId="21B690F0"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73E2FAF6" w14:textId="77777777" w:rsidR="002F0D23" w:rsidRPr="00DE0CFA" w:rsidRDefault="00000000">
      <w:pPr>
        <w:pStyle w:val="Heading2"/>
      </w:pPr>
      <w:bookmarkStart w:id="12" w:name="_z1w82fnh8oj" w:colFirst="0" w:colLast="0"/>
      <w:bookmarkEnd w:id="12"/>
      <w:r w:rsidRPr="00DE0CFA">
        <w:t>2.7.</w:t>
      </w:r>
      <w:r w:rsidRPr="00DE0CFA">
        <w:tab/>
        <w:t>Transparency across countries and cultures</w:t>
      </w:r>
    </w:p>
    <w:p w14:paraId="65C29CE9"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760A860F" w14:textId="4A3991C8"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The importance of transparency in the real estate market and how it is perceived by the population depends on various factors. These depend to a large extent on cultural circumstances and historical circumstances. The handling and use of information in general can vary greatly. This also applies to the property market. Some people have experience of buying or selling property or have this experience within their family circle. Others may have little experience of the market. People or institutions with a lot of experience may perceive greater transparency, </w:t>
      </w:r>
      <w:r w:rsidRPr="00DE0CFA">
        <w:rPr>
          <w:rFonts w:ascii="Times New Roman" w:eastAsia="Times New Roman" w:hAnsi="Times New Roman" w:cs="Times New Roman"/>
          <w:sz w:val="24"/>
          <w:szCs w:val="24"/>
        </w:rPr>
        <w:lastRenderedPageBreak/>
        <w:t>they understand better how the market works, where important information can be found and how it should be interpreted. The ability to correctly interpret information about the property market always depends heavily on a certain level of education. In this context, it is also important to question heuristics (rules of thumb) and to be able to form a different opinion.</w:t>
      </w:r>
    </w:p>
    <w:p w14:paraId="0CC5F17A"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20CD8AE5"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Opponents of transparency often argue that this creates class envy and resentment towards supposedly better-off people or institutions (by exposing inequality) or even increases the risk of potential voyeurism.</w:t>
      </w:r>
    </w:p>
    <w:p w14:paraId="0856482A"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711B25FB" w14:textId="4BCF14A9"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Irrespective of this, however, there is no question that the availability of information about what is happening </w:t>
      </w:r>
      <w:r w:rsidR="00DE0CFA">
        <w:rPr>
          <w:rFonts w:ascii="Times New Roman" w:eastAsia="Times New Roman" w:hAnsi="Times New Roman" w:cs="Times New Roman"/>
          <w:sz w:val="24"/>
          <w:szCs w:val="24"/>
        </w:rPr>
        <w:t>in</w:t>
      </w:r>
      <w:r w:rsidRPr="00DE0CFA">
        <w:rPr>
          <w:rFonts w:ascii="Times New Roman" w:eastAsia="Times New Roman" w:hAnsi="Times New Roman" w:cs="Times New Roman"/>
          <w:sz w:val="24"/>
          <w:szCs w:val="24"/>
        </w:rPr>
        <w:t xml:space="preserve"> the local and national property markets is a positive factor both economically and socially. The fact that the degree of transparency depends on cultural and historical circumstances must be taken into account when assessing and categorising the degree of transparency.</w:t>
      </w:r>
    </w:p>
    <w:p w14:paraId="398D0D43"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73429F93" w14:textId="400415B9"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The </w:t>
      </w:r>
      <w:r w:rsidRPr="00DE0CFA">
        <w:rPr>
          <w:rFonts w:ascii="Times New Roman" w:eastAsia="Times New Roman" w:hAnsi="Times New Roman" w:cs="Times New Roman"/>
          <w:i/>
          <w:iCs/>
          <w:sz w:val="24"/>
          <w:szCs w:val="24"/>
        </w:rPr>
        <w:t>“</w:t>
      </w:r>
      <w:r w:rsidR="00DE0CFA">
        <w:rPr>
          <w:rFonts w:ascii="Times New Roman" w:eastAsia="Times New Roman" w:hAnsi="Times New Roman" w:cs="Times New Roman"/>
          <w:i/>
          <w:iCs/>
          <w:sz w:val="24"/>
          <w:szCs w:val="24"/>
        </w:rPr>
        <w:t>l</w:t>
      </w:r>
      <w:r w:rsidRPr="00DE0CFA">
        <w:rPr>
          <w:rFonts w:ascii="Times New Roman" w:eastAsia="Times New Roman" w:hAnsi="Times New Roman" w:cs="Times New Roman"/>
          <w:i/>
          <w:iCs/>
          <w:sz w:val="24"/>
          <w:szCs w:val="24"/>
        </w:rPr>
        <w:t>ack of transparency reduces international real estate allocations”</w:t>
      </w:r>
      <w:r w:rsidRPr="00DE0CFA">
        <w:rPr>
          <w:rFonts w:ascii="Times New Roman" w:eastAsia="Times New Roman" w:hAnsi="Times New Roman" w:cs="Times New Roman"/>
          <w:sz w:val="24"/>
          <w:szCs w:val="24"/>
        </w:rPr>
        <w:t xml:space="preserve"> (Lieser and Groh, 2014, p. 626). While in some countries access to transaction evidence and other data is more restricted for political reasons, in many this is linked to differences in cultures. French (2020) observed that there is a positive link between the accessibility of data including their reliability and the country’s culture of sharing information. More broadly more recently Li (2022) proved that secrecy or restraining access to information is linked to Hofstede’s </w:t>
      </w:r>
      <w:r w:rsidR="00806820">
        <w:rPr>
          <w:rFonts w:ascii="Times New Roman" w:eastAsia="Times New Roman" w:hAnsi="Times New Roman" w:cs="Times New Roman"/>
          <w:i/>
          <w:iCs/>
          <w:sz w:val="24"/>
          <w:szCs w:val="24"/>
        </w:rPr>
        <w:t>‘</w:t>
      </w:r>
      <w:r w:rsidRPr="00DE0CFA">
        <w:rPr>
          <w:rFonts w:ascii="Times New Roman" w:eastAsia="Times New Roman" w:hAnsi="Times New Roman" w:cs="Times New Roman"/>
          <w:i/>
          <w:iCs/>
          <w:sz w:val="24"/>
          <w:szCs w:val="24"/>
        </w:rPr>
        <w:t>individualism</w:t>
      </w:r>
      <w:r w:rsidR="00806820">
        <w:rPr>
          <w:rFonts w:ascii="Times New Roman" w:eastAsia="Times New Roman" w:hAnsi="Times New Roman" w:cs="Times New Roman"/>
          <w:i/>
          <w:iCs/>
          <w:sz w:val="24"/>
          <w:szCs w:val="24"/>
        </w:rPr>
        <w:t>’</w:t>
      </w:r>
      <w:r w:rsidRPr="00DE0CFA">
        <w:rPr>
          <w:rFonts w:ascii="Times New Roman" w:eastAsia="Times New Roman" w:hAnsi="Times New Roman" w:cs="Times New Roman"/>
          <w:sz w:val="24"/>
          <w:szCs w:val="24"/>
        </w:rPr>
        <w:t xml:space="preserve"> (Hofstede </w:t>
      </w:r>
      <w:r w:rsidRPr="00DE0CFA">
        <w:rPr>
          <w:rFonts w:ascii="Times New Roman" w:eastAsia="Times New Roman" w:hAnsi="Times New Roman" w:cs="Times New Roman"/>
          <w:i/>
          <w:sz w:val="24"/>
          <w:szCs w:val="24"/>
        </w:rPr>
        <w:t>et al.</w:t>
      </w:r>
      <w:r w:rsidRPr="00DE0CFA">
        <w:rPr>
          <w:rFonts w:ascii="Times New Roman" w:eastAsia="Times New Roman" w:hAnsi="Times New Roman" w:cs="Times New Roman"/>
          <w:sz w:val="24"/>
          <w:szCs w:val="24"/>
        </w:rPr>
        <w:t xml:space="preserve">, 2010) and thus varies across countries (Li, 2022). Hence, transparency across countries must be considered in both the political and cultural context. </w:t>
      </w:r>
    </w:p>
    <w:p w14:paraId="5DF0BB3E"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774C28A4" w14:textId="77777777" w:rsidR="002F0D23" w:rsidRPr="00DE0CFA" w:rsidRDefault="00000000">
      <w:pPr>
        <w:pStyle w:val="Heading2"/>
      </w:pPr>
      <w:bookmarkStart w:id="13" w:name="_30j0zll" w:colFirst="0" w:colLast="0"/>
      <w:bookmarkEnd w:id="13"/>
      <w:r w:rsidRPr="00DE0CFA">
        <w:t>2.8.</w:t>
      </w:r>
      <w:r w:rsidRPr="00DE0CFA">
        <w:tab/>
        <w:t>Hierarchy of evidence</w:t>
      </w:r>
    </w:p>
    <w:p w14:paraId="3FC003BB" w14:textId="77777777" w:rsidR="002F0D23" w:rsidRPr="00DE0CFA" w:rsidRDefault="002F0D23">
      <w:pPr>
        <w:spacing w:after="0" w:line="240" w:lineRule="auto"/>
        <w:rPr>
          <w:rFonts w:ascii="Times New Roman" w:eastAsia="Times New Roman" w:hAnsi="Times New Roman" w:cs="Times New Roman"/>
          <w:sz w:val="24"/>
          <w:szCs w:val="24"/>
          <w:highlight w:val="red"/>
        </w:rPr>
      </w:pPr>
    </w:p>
    <w:p w14:paraId="445BE2FE" w14:textId="4D0DB7CD"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Valuation requires reliable information. In response to real </w:t>
      </w:r>
      <w:r w:rsidR="00DE0CFA">
        <w:rPr>
          <w:rFonts w:ascii="Times New Roman" w:eastAsia="Times New Roman" w:hAnsi="Times New Roman" w:cs="Times New Roman"/>
          <w:sz w:val="24"/>
          <w:szCs w:val="24"/>
        </w:rPr>
        <w:t>estate's</w:t>
      </w:r>
      <w:r w:rsidRPr="00DE0CFA">
        <w:rPr>
          <w:rFonts w:ascii="Times New Roman" w:eastAsia="Times New Roman" w:hAnsi="Times New Roman" w:cs="Times New Roman"/>
          <w:sz w:val="24"/>
          <w:szCs w:val="24"/>
        </w:rPr>
        <w:t xml:space="preserve"> weak informational efficiency</w:t>
      </w:r>
      <w:r w:rsidR="00DE0CFA">
        <w:rPr>
          <w:rFonts w:ascii="Times New Roman" w:eastAsia="Times New Roman" w:hAnsi="Times New Roman" w:cs="Times New Roman"/>
          <w:sz w:val="24"/>
          <w:szCs w:val="24"/>
        </w:rPr>
        <w:t>,</w:t>
      </w:r>
      <w:r w:rsidRPr="00DE0CFA">
        <w:rPr>
          <w:rFonts w:ascii="Times New Roman" w:eastAsia="Times New Roman" w:hAnsi="Times New Roman" w:cs="Times New Roman"/>
          <w:sz w:val="24"/>
          <w:szCs w:val="24"/>
        </w:rPr>
        <w:t xml:space="preserve"> several institutions provide instructions on the reliability of various types of data and the ability </w:t>
      </w:r>
      <w:r w:rsidR="00A57206">
        <w:rPr>
          <w:rFonts w:ascii="Times New Roman" w:eastAsia="Times New Roman" w:hAnsi="Times New Roman" w:cs="Times New Roman"/>
          <w:sz w:val="24"/>
          <w:szCs w:val="24"/>
        </w:rPr>
        <w:t>to use</w:t>
      </w:r>
      <w:r w:rsidRPr="00DE0CFA">
        <w:rPr>
          <w:rFonts w:ascii="Times New Roman" w:eastAsia="Times New Roman" w:hAnsi="Times New Roman" w:cs="Times New Roman"/>
          <w:sz w:val="24"/>
          <w:szCs w:val="24"/>
        </w:rPr>
        <w:t xml:space="preserve"> it for valuation for different purposes (IVSC, 202</w:t>
      </w:r>
      <w:r w:rsidR="00A57206">
        <w:rPr>
          <w:rFonts w:ascii="Times New Roman" w:eastAsia="Times New Roman" w:hAnsi="Times New Roman" w:cs="Times New Roman"/>
          <w:sz w:val="24"/>
          <w:szCs w:val="24"/>
        </w:rPr>
        <w:t>4</w:t>
      </w:r>
      <w:r w:rsidRPr="00DE0CFA">
        <w:rPr>
          <w:rFonts w:ascii="Times New Roman" w:eastAsia="Times New Roman" w:hAnsi="Times New Roman" w:cs="Times New Roman"/>
          <w:sz w:val="24"/>
          <w:szCs w:val="24"/>
        </w:rPr>
        <w:t>; RICS, 2019</w:t>
      </w:r>
      <w:r w:rsidR="00DE0CFA">
        <w:rPr>
          <w:rFonts w:ascii="Times New Roman" w:eastAsia="Times New Roman" w:hAnsi="Times New Roman" w:cs="Times New Roman"/>
          <w:sz w:val="24"/>
          <w:szCs w:val="24"/>
        </w:rPr>
        <w:t>;</w:t>
      </w:r>
      <w:r w:rsidRPr="00DE0CFA">
        <w:rPr>
          <w:rFonts w:ascii="Times New Roman" w:eastAsia="Times New Roman" w:hAnsi="Times New Roman" w:cs="Times New Roman"/>
          <w:sz w:val="24"/>
          <w:szCs w:val="24"/>
        </w:rPr>
        <w:t xml:space="preserve"> TEGOVA (French, 2020); IFRS, 2011). This allows both the valuation practitioners and their clients to operate under established criteria which at least gives guidance to ensure some level of consistency in making value estimates. This is especially important in the case of low-activity markets or during quiet periods like what was faced in Europe in 2008 during the global banking crisis or more recently at the beginning of the COVID-19 pandemic. In response to that, professional organisations also provide advice on dealing with </w:t>
      </w:r>
      <w:r w:rsidR="00806820">
        <w:rPr>
          <w:rFonts w:ascii="Times New Roman" w:eastAsia="Times New Roman" w:hAnsi="Times New Roman" w:cs="Times New Roman"/>
          <w:i/>
          <w:sz w:val="24"/>
          <w:szCs w:val="24"/>
        </w:rPr>
        <w:t>‘</w:t>
      </w:r>
      <w:r w:rsidRPr="00DE0CFA">
        <w:rPr>
          <w:rFonts w:ascii="Times New Roman" w:eastAsia="Times New Roman" w:hAnsi="Times New Roman" w:cs="Times New Roman"/>
          <w:i/>
          <w:sz w:val="24"/>
          <w:szCs w:val="24"/>
        </w:rPr>
        <w:t>material uncertainty</w:t>
      </w:r>
      <w:r w:rsidR="00806820">
        <w:rPr>
          <w:rFonts w:ascii="Times New Roman" w:eastAsia="Times New Roman" w:hAnsi="Times New Roman" w:cs="Times New Roman"/>
          <w:i/>
          <w:sz w:val="24"/>
          <w:szCs w:val="24"/>
        </w:rPr>
        <w:t>’</w:t>
      </w:r>
      <w:r w:rsidRPr="00DE0CFA">
        <w:rPr>
          <w:rFonts w:ascii="Times New Roman" w:eastAsia="Times New Roman" w:hAnsi="Times New Roman" w:cs="Times New Roman"/>
          <w:sz w:val="24"/>
          <w:szCs w:val="24"/>
        </w:rPr>
        <w:t xml:space="preserve"> (RICS, 2022, VPS 3), which imposes disclosures around the sources of limited information, its reliability, and how it is used.</w:t>
      </w:r>
    </w:p>
    <w:p w14:paraId="141FFDBF"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2A564934" w14:textId="3BB5BA8A" w:rsidR="002F0D23" w:rsidRPr="00DE0CFA" w:rsidRDefault="00000000" w:rsidP="006F5B82">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Given the varying level of market transparency, various approaches are taken by professional organisations. </w:t>
      </w:r>
      <w:r w:rsidRPr="006F5B82">
        <w:rPr>
          <w:rFonts w:ascii="Times New Roman" w:eastAsia="Times New Roman" w:hAnsi="Times New Roman" w:cs="Times New Roman"/>
          <w:sz w:val="24"/>
          <w:szCs w:val="24"/>
        </w:rPr>
        <w:t xml:space="preserve">In terms of the quality of data and the extent to which they can be relied upon, </w:t>
      </w:r>
      <w:r w:rsidRPr="00DE0CFA">
        <w:rPr>
          <w:rFonts w:ascii="Times New Roman" w:eastAsia="Times New Roman" w:hAnsi="Times New Roman" w:cs="Times New Roman"/>
          <w:sz w:val="24"/>
          <w:szCs w:val="24"/>
        </w:rPr>
        <w:t xml:space="preserve">RICS (2019) </w:t>
      </w:r>
      <w:r w:rsidR="006F5B82">
        <w:rPr>
          <w:rFonts w:ascii="Times New Roman" w:eastAsia="Times New Roman" w:hAnsi="Times New Roman" w:cs="Times New Roman"/>
          <w:sz w:val="24"/>
          <w:szCs w:val="24"/>
        </w:rPr>
        <w:t>refers to</w:t>
      </w:r>
      <w:r w:rsidRPr="00DE0CFA">
        <w:rPr>
          <w:rFonts w:ascii="Times New Roman" w:eastAsia="Times New Roman" w:hAnsi="Times New Roman" w:cs="Times New Roman"/>
          <w:sz w:val="24"/>
          <w:szCs w:val="24"/>
        </w:rPr>
        <w:t xml:space="preserve"> </w:t>
      </w:r>
      <w:r w:rsidR="00806820">
        <w:rPr>
          <w:rFonts w:ascii="Times New Roman" w:eastAsia="Times New Roman" w:hAnsi="Times New Roman" w:cs="Times New Roman"/>
          <w:i/>
          <w:sz w:val="24"/>
          <w:szCs w:val="24"/>
        </w:rPr>
        <w:t>‘</w:t>
      </w:r>
      <w:r w:rsidRPr="00DE0CFA">
        <w:rPr>
          <w:rFonts w:ascii="Times New Roman" w:eastAsia="Times New Roman" w:hAnsi="Times New Roman" w:cs="Times New Roman"/>
          <w:i/>
          <w:sz w:val="24"/>
          <w:szCs w:val="24"/>
        </w:rPr>
        <w:t>hierarchy of evidence</w:t>
      </w:r>
      <w:r w:rsidR="00806820">
        <w:rPr>
          <w:rFonts w:ascii="Times New Roman" w:eastAsia="Times New Roman" w:hAnsi="Times New Roman" w:cs="Times New Roman"/>
          <w:i/>
          <w:sz w:val="24"/>
          <w:szCs w:val="24"/>
        </w:rPr>
        <w:t>’</w:t>
      </w:r>
      <w:r w:rsidRPr="00DE0CFA">
        <w:rPr>
          <w:rFonts w:ascii="Times New Roman" w:eastAsia="Times New Roman" w:hAnsi="Times New Roman" w:cs="Times New Roman"/>
          <w:sz w:val="24"/>
          <w:szCs w:val="24"/>
        </w:rPr>
        <w:t xml:space="preserve"> which provides three categories A (direct comparables), B (general market data) and C (other sources). </w:t>
      </w:r>
      <w:r w:rsidR="006F5B82">
        <w:rPr>
          <w:rFonts w:ascii="Times New Roman" w:eastAsia="Times New Roman" w:hAnsi="Times New Roman" w:cs="Times New Roman"/>
          <w:sz w:val="24"/>
          <w:szCs w:val="24"/>
        </w:rPr>
        <w:t xml:space="preserve">Similarly, the new </w:t>
      </w:r>
      <w:r w:rsidR="006F5B82" w:rsidRPr="006F5B82">
        <w:rPr>
          <w:rFonts w:ascii="Times New Roman" w:eastAsia="Times New Roman" w:hAnsi="Times New Roman" w:cs="Times New Roman"/>
          <w:sz w:val="24"/>
          <w:szCs w:val="24"/>
        </w:rPr>
        <w:t xml:space="preserve">IVSC (2024) refers to </w:t>
      </w:r>
      <w:r w:rsidR="006F5B82" w:rsidRPr="006F5B82">
        <w:rPr>
          <w:rFonts w:ascii="Times New Roman" w:eastAsia="Times New Roman" w:hAnsi="Times New Roman" w:cs="Times New Roman"/>
          <w:i/>
          <w:iCs/>
          <w:sz w:val="24"/>
          <w:szCs w:val="24"/>
        </w:rPr>
        <w:t>‘hierarchy of comparable evidence’</w:t>
      </w:r>
      <w:r w:rsidR="006F5B82" w:rsidRPr="006F5B82">
        <w:rPr>
          <w:rFonts w:ascii="Times New Roman" w:eastAsia="Times New Roman" w:hAnsi="Times New Roman" w:cs="Times New Roman"/>
          <w:sz w:val="24"/>
          <w:szCs w:val="24"/>
        </w:rPr>
        <w:t xml:space="preserve"> including direct comparable evidence, indirect comparable evidence, general market data and other sources</w:t>
      </w:r>
      <w:r w:rsidR="006F5B82">
        <w:rPr>
          <w:rFonts w:ascii="Times New Roman" w:eastAsia="Times New Roman" w:hAnsi="Times New Roman" w:cs="Times New Roman"/>
          <w:sz w:val="24"/>
          <w:szCs w:val="24"/>
        </w:rPr>
        <w:t>, which is a significant change since the previous IVS edition (IVSC, 2022)</w:t>
      </w:r>
      <w:r w:rsidR="006F5B82" w:rsidRPr="006F5B82">
        <w:rPr>
          <w:rFonts w:ascii="Times New Roman" w:eastAsia="Times New Roman" w:hAnsi="Times New Roman" w:cs="Times New Roman"/>
          <w:sz w:val="24"/>
          <w:szCs w:val="24"/>
        </w:rPr>
        <w:t>.</w:t>
      </w:r>
      <w:r w:rsidR="006F5B82">
        <w:rPr>
          <w:rFonts w:ascii="Times New Roman" w:eastAsia="Times New Roman" w:hAnsi="Times New Roman" w:cs="Times New Roman"/>
          <w:i/>
          <w:sz w:val="24"/>
          <w:szCs w:val="24"/>
        </w:rPr>
        <w:t xml:space="preserve"> </w:t>
      </w:r>
      <w:r w:rsidRPr="00DE0CFA">
        <w:rPr>
          <w:rFonts w:ascii="Times New Roman" w:eastAsia="Times New Roman" w:hAnsi="Times New Roman" w:cs="Times New Roman"/>
          <w:sz w:val="24"/>
          <w:szCs w:val="24"/>
        </w:rPr>
        <w:t xml:space="preserve">With that one can draw parallels to IFRS 13 - Fair Value Measurement (IFRS, 2011), where three levels of inputs can be used for fair value estimation. However, a slightly different approach is taken in the TEGOVA commissioned </w:t>
      </w:r>
      <w:r w:rsidRPr="00DE0CFA">
        <w:rPr>
          <w:rFonts w:ascii="Times New Roman" w:eastAsia="Times New Roman" w:hAnsi="Times New Roman" w:cs="Times New Roman"/>
          <w:sz w:val="24"/>
          <w:szCs w:val="24"/>
        </w:rPr>
        <w:lastRenderedPageBreak/>
        <w:t xml:space="preserve">report on comparable evidence (French, 2020). With the focus on veracity and reliability and following on Liberti and Petersen (2019), the data is categorised as </w:t>
      </w:r>
      <w:r w:rsidR="00806820">
        <w:rPr>
          <w:rFonts w:ascii="Times New Roman" w:eastAsia="Times New Roman" w:hAnsi="Times New Roman" w:cs="Times New Roman"/>
          <w:i/>
          <w:sz w:val="24"/>
          <w:szCs w:val="24"/>
        </w:rPr>
        <w:t>‘</w:t>
      </w:r>
      <w:r w:rsidRPr="00DE0CFA">
        <w:rPr>
          <w:rFonts w:ascii="Times New Roman" w:eastAsia="Times New Roman" w:hAnsi="Times New Roman" w:cs="Times New Roman"/>
          <w:i/>
          <w:sz w:val="24"/>
          <w:szCs w:val="24"/>
        </w:rPr>
        <w:t>hard</w:t>
      </w:r>
      <w:r w:rsidR="00806820">
        <w:rPr>
          <w:rFonts w:ascii="Times New Roman" w:eastAsia="Times New Roman" w:hAnsi="Times New Roman" w:cs="Times New Roman"/>
          <w:i/>
          <w:sz w:val="24"/>
          <w:szCs w:val="24"/>
        </w:rPr>
        <w:t>’</w:t>
      </w:r>
      <w:r w:rsidRPr="00DE0CFA">
        <w:rPr>
          <w:rFonts w:ascii="Times New Roman" w:eastAsia="Times New Roman" w:hAnsi="Times New Roman" w:cs="Times New Roman"/>
          <w:sz w:val="24"/>
          <w:szCs w:val="24"/>
        </w:rPr>
        <w:t xml:space="preserve"> information (comparable sale of a similar property) and </w:t>
      </w:r>
      <w:r w:rsidR="00806820">
        <w:rPr>
          <w:rFonts w:ascii="Times New Roman" w:eastAsia="Times New Roman" w:hAnsi="Times New Roman" w:cs="Times New Roman"/>
          <w:i/>
          <w:sz w:val="24"/>
          <w:szCs w:val="24"/>
        </w:rPr>
        <w:t>‘</w:t>
      </w:r>
      <w:r w:rsidRPr="00DE0CFA">
        <w:rPr>
          <w:rFonts w:ascii="Times New Roman" w:eastAsia="Times New Roman" w:hAnsi="Times New Roman" w:cs="Times New Roman"/>
          <w:i/>
          <w:sz w:val="24"/>
          <w:szCs w:val="24"/>
        </w:rPr>
        <w:t>soft</w:t>
      </w:r>
      <w:r w:rsidR="00806820">
        <w:rPr>
          <w:rFonts w:ascii="Times New Roman" w:eastAsia="Times New Roman" w:hAnsi="Times New Roman" w:cs="Times New Roman"/>
          <w:i/>
          <w:sz w:val="24"/>
          <w:szCs w:val="24"/>
        </w:rPr>
        <w:t>’</w:t>
      </w:r>
      <w:r w:rsidRPr="00DE0CFA">
        <w:rPr>
          <w:rFonts w:ascii="Times New Roman" w:eastAsia="Times New Roman" w:hAnsi="Times New Roman" w:cs="Times New Roman"/>
          <w:sz w:val="24"/>
          <w:szCs w:val="24"/>
        </w:rPr>
        <w:t xml:space="preserve"> information (non-verifiable reports and commentaries of third parties). The report concludes that: </w:t>
      </w:r>
    </w:p>
    <w:p w14:paraId="4B4307F0"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659456EE" w14:textId="60DD35E9" w:rsidR="002F0D23" w:rsidRPr="00DE0CFA" w:rsidRDefault="00000000">
      <w:pPr>
        <w:spacing w:after="0" w:line="240" w:lineRule="auto"/>
        <w:ind w:left="720"/>
        <w:jc w:val="both"/>
        <w:rPr>
          <w:rFonts w:ascii="Times New Roman" w:eastAsia="Times New Roman" w:hAnsi="Times New Roman" w:cs="Times New Roman"/>
          <w:i/>
          <w:sz w:val="24"/>
          <w:szCs w:val="24"/>
        </w:rPr>
      </w:pPr>
      <w:r w:rsidRPr="00DE0CFA">
        <w:rPr>
          <w:rFonts w:ascii="Times New Roman" w:eastAsia="Times New Roman" w:hAnsi="Times New Roman" w:cs="Times New Roman"/>
          <w:i/>
          <w:sz w:val="24"/>
          <w:szCs w:val="24"/>
        </w:rPr>
        <w:t xml:space="preserve">“there is a correlation between the ranking of data sources and the transparency of the market in question. This means that information that one country may consider should not be used as a significant signpost for value is, in another country, considered to be the principal signpost” </w:t>
      </w:r>
      <w:r w:rsidRPr="00DE0CFA">
        <w:rPr>
          <w:rFonts w:ascii="Times New Roman" w:eastAsia="Times New Roman" w:hAnsi="Times New Roman" w:cs="Times New Roman"/>
          <w:sz w:val="24"/>
          <w:szCs w:val="24"/>
        </w:rPr>
        <w:t>(French, 2020, p.</w:t>
      </w:r>
      <w:r w:rsidR="00DE0CFA">
        <w:rPr>
          <w:rFonts w:ascii="Times New Roman" w:eastAsia="Times New Roman" w:hAnsi="Times New Roman" w:cs="Times New Roman"/>
          <w:sz w:val="24"/>
          <w:szCs w:val="24"/>
        </w:rPr>
        <w:t xml:space="preserve"> </w:t>
      </w:r>
      <w:r w:rsidRPr="00DE0CFA">
        <w:rPr>
          <w:rFonts w:ascii="Times New Roman" w:eastAsia="Times New Roman" w:hAnsi="Times New Roman" w:cs="Times New Roman"/>
          <w:sz w:val="24"/>
          <w:szCs w:val="24"/>
        </w:rPr>
        <w:t>3)</w:t>
      </w:r>
    </w:p>
    <w:p w14:paraId="06D7D303"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20C6D8CF" w14:textId="61773088"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As discussed by </w:t>
      </w:r>
      <w:proofErr w:type="spellStart"/>
      <w:r w:rsidRPr="00DE0CFA">
        <w:rPr>
          <w:rFonts w:ascii="Times New Roman" w:eastAsia="Times New Roman" w:hAnsi="Times New Roman" w:cs="Times New Roman"/>
          <w:sz w:val="24"/>
          <w:szCs w:val="24"/>
        </w:rPr>
        <w:t>Garmaise</w:t>
      </w:r>
      <w:proofErr w:type="spellEnd"/>
      <w:r w:rsidRPr="00DE0CFA">
        <w:rPr>
          <w:rFonts w:ascii="Times New Roman" w:eastAsia="Times New Roman" w:hAnsi="Times New Roman" w:cs="Times New Roman"/>
          <w:sz w:val="24"/>
          <w:szCs w:val="24"/>
        </w:rPr>
        <w:t xml:space="preserve"> and Moskowitz (2004), Granja </w:t>
      </w:r>
      <w:r w:rsidRPr="00DE0CFA">
        <w:rPr>
          <w:rFonts w:ascii="Times New Roman" w:eastAsia="Times New Roman" w:hAnsi="Times New Roman" w:cs="Times New Roman"/>
          <w:i/>
          <w:sz w:val="24"/>
          <w:szCs w:val="24"/>
        </w:rPr>
        <w:t>et al.</w:t>
      </w:r>
      <w:r w:rsidRPr="00DE0CFA">
        <w:rPr>
          <w:rFonts w:ascii="Times New Roman" w:eastAsia="Times New Roman" w:hAnsi="Times New Roman" w:cs="Times New Roman"/>
          <w:sz w:val="24"/>
          <w:szCs w:val="24"/>
        </w:rPr>
        <w:t xml:space="preserve"> (2017) and by French (2020), the access to data may have a significant impact on purchasers</w:t>
      </w:r>
      <w:r w:rsidR="00DE0CFA">
        <w:rPr>
          <w:rFonts w:ascii="Times New Roman" w:eastAsia="Times New Roman" w:hAnsi="Times New Roman" w:cs="Times New Roman"/>
          <w:sz w:val="24"/>
          <w:szCs w:val="24"/>
        </w:rPr>
        <w:t>’</w:t>
      </w:r>
      <w:r w:rsidRPr="00DE0CFA">
        <w:rPr>
          <w:rFonts w:ascii="Times New Roman" w:eastAsia="Times New Roman" w:hAnsi="Times New Roman" w:cs="Times New Roman"/>
          <w:sz w:val="24"/>
          <w:szCs w:val="24"/>
        </w:rPr>
        <w:t xml:space="preserve"> behaviours, especially when it comes to non-local transactions.</w:t>
      </w:r>
    </w:p>
    <w:p w14:paraId="077831F4" w14:textId="77777777" w:rsidR="002F0D23" w:rsidRPr="00DE0CFA" w:rsidRDefault="002F0D23">
      <w:pPr>
        <w:spacing w:after="0" w:line="240" w:lineRule="auto"/>
        <w:rPr>
          <w:rFonts w:ascii="Times New Roman" w:eastAsia="Times New Roman" w:hAnsi="Times New Roman" w:cs="Times New Roman"/>
          <w:sz w:val="24"/>
          <w:szCs w:val="24"/>
        </w:rPr>
      </w:pPr>
    </w:p>
    <w:p w14:paraId="29210C53" w14:textId="77777777" w:rsidR="002F0D23" w:rsidRPr="00DE0CFA" w:rsidRDefault="00000000">
      <w:pPr>
        <w:pStyle w:val="Heading2"/>
      </w:pPr>
      <w:bookmarkStart w:id="14" w:name="_t0swkx9o24gr" w:colFirst="0" w:colLast="0"/>
      <w:bookmarkEnd w:id="14"/>
      <w:r w:rsidRPr="00DE0CFA">
        <w:t>2.9.</w:t>
      </w:r>
      <w:r w:rsidRPr="00DE0CFA">
        <w:tab/>
        <w:t>Dynamics of real estate transparency</w:t>
      </w:r>
    </w:p>
    <w:p w14:paraId="73E285D8"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5435AA6D"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The recording of transparency in the property market means that its development progress over time should also be the subject of research. A key driver for such comparisons and analyses is the expanding investment capital for real estate, which is increasingly being allocated within a global search radius. At least until the recent slump in transactions in the coronavirus year 2020 and since 2022 as a result of the crisis-induced economic upheavals, particularly due to the consequences of the war in Ukraine, the global transaction volume has been steadily increasing (JLL, 2023). In 2021, JLL recorded a total global transaction volume of USD 757 billion, an all-time high (JLL, 2021).</w:t>
      </w:r>
    </w:p>
    <w:p w14:paraId="29D7F449"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5CC36272" w14:textId="0D585834"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The question of whether property markets are becoming more transparent in a regional and global context was examined by Newell (2015) for the period 2004 to 2014 using data from the JLL Real Estate Transparency Index, the Transparency International Corruption Perception Index and the World Economic Forum Global Competitiveness Index (Newell</w:t>
      </w:r>
      <w:r w:rsidR="00DE0CFA">
        <w:rPr>
          <w:rFonts w:ascii="Times New Roman" w:eastAsia="Times New Roman" w:hAnsi="Times New Roman" w:cs="Times New Roman"/>
          <w:sz w:val="24"/>
          <w:szCs w:val="24"/>
        </w:rPr>
        <w:t xml:space="preserve">, </w:t>
      </w:r>
      <w:r w:rsidRPr="00DE0CFA">
        <w:rPr>
          <w:rFonts w:ascii="Times New Roman" w:eastAsia="Times New Roman" w:hAnsi="Times New Roman" w:cs="Times New Roman"/>
          <w:sz w:val="24"/>
          <w:szCs w:val="24"/>
        </w:rPr>
        <w:t xml:space="preserve">2015). The authors conclude that global real estate markets have improved significantly in terms of transparency, particularly in the years from 2012 to 2014 (72% of the 96 markets analysed improved). For the longer period from 2004 to 2014, real estate transparency statistically improved by 16%. However, only the 49 countries that were benchmarked in 2004 could be included for methodological reasons (23 in Europe, 14 in Asia-Pacific, 8 in the Americas, 3 in the Middle East/North Africa and one market in Sub-Saharan Africa). At the global level, markets in Asia-Pacific have made the most progress over the 10-year period, followed by Europe. Many emerging markets were among the </w:t>
      </w:r>
      <w:r w:rsidRPr="00806820">
        <w:rPr>
          <w:rFonts w:ascii="Times New Roman" w:eastAsia="Times New Roman" w:hAnsi="Times New Roman" w:cs="Times New Roman"/>
          <w:i/>
          <w:iCs/>
          <w:sz w:val="24"/>
          <w:szCs w:val="24"/>
        </w:rPr>
        <w:t>'top ten improvers'</w:t>
      </w:r>
      <w:r w:rsidRPr="00DE0CFA">
        <w:rPr>
          <w:rFonts w:ascii="Times New Roman" w:eastAsia="Times New Roman" w:hAnsi="Times New Roman" w:cs="Times New Roman"/>
          <w:sz w:val="24"/>
          <w:szCs w:val="24"/>
        </w:rPr>
        <w:t xml:space="preserve"> in real estate market transparency between 2004 and 2014, with Romania, Turkey and Indonesia taking the top spots (Newell, 2015).</w:t>
      </w:r>
    </w:p>
    <w:p w14:paraId="4EA485A8"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18A85A7F" w14:textId="4F0D6EAA" w:rsidR="002F0D23" w:rsidRPr="00DE0CFA" w:rsidRDefault="00000000">
      <w:pPr>
        <w:spacing w:after="0" w:line="240" w:lineRule="auto"/>
        <w:jc w:val="both"/>
        <w:rPr>
          <w:rFonts w:ascii="Times New Roman" w:eastAsia="Times New Roman" w:hAnsi="Times New Roman" w:cs="Times New Roman"/>
          <w:sz w:val="24"/>
          <w:szCs w:val="24"/>
        </w:rPr>
      </w:pPr>
      <w:bookmarkStart w:id="15" w:name="_1fob9te" w:colFirst="0" w:colLast="0"/>
      <w:bookmarkEnd w:id="15"/>
      <w:r w:rsidRPr="00DE0CFA">
        <w:rPr>
          <w:rFonts w:ascii="Times New Roman" w:eastAsia="Times New Roman" w:hAnsi="Times New Roman" w:cs="Times New Roman"/>
          <w:sz w:val="24"/>
          <w:szCs w:val="24"/>
        </w:rPr>
        <w:t xml:space="preserve">The correlation between property transparency and corruption (102 markets) was also analysed for 2013/2014: here, European markets were in the middle range (R² of 72.3%), surpassed by a stronger relationship in the Middle East/North Africa (74%), while Asia-Pacific (68.9%) and the Americas (44.9%) showed significantly lower correlation measures. Many of the emerging markets in MENA, Sub-Saharan Africa and Latin America turned out to be </w:t>
      </w:r>
      <w:r w:rsidR="00806820">
        <w:rPr>
          <w:rFonts w:ascii="Times New Roman" w:eastAsia="Times New Roman" w:hAnsi="Times New Roman" w:cs="Times New Roman"/>
          <w:i/>
          <w:iCs/>
          <w:sz w:val="24"/>
          <w:szCs w:val="24"/>
        </w:rPr>
        <w:t>‘</w:t>
      </w:r>
      <w:r w:rsidRPr="00DE0CFA">
        <w:rPr>
          <w:rFonts w:ascii="Times New Roman" w:eastAsia="Times New Roman" w:hAnsi="Times New Roman" w:cs="Times New Roman"/>
          <w:i/>
          <w:iCs/>
          <w:sz w:val="24"/>
          <w:szCs w:val="24"/>
        </w:rPr>
        <w:t>underachievers</w:t>
      </w:r>
      <w:r w:rsidR="00806820">
        <w:rPr>
          <w:rFonts w:ascii="Times New Roman" w:eastAsia="Times New Roman" w:hAnsi="Times New Roman" w:cs="Times New Roman"/>
          <w:i/>
          <w:iCs/>
          <w:sz w:val="24"/>
          <w:szCs w:val="24"/>
        </w:rPr>
        <w:t>’</w:t>
      </w:r>
      <w:r w:rsidRPr="00DE0CFA">
        <w:rPr>
          <w:rFonts w:ascii="Times New Roman" w:eastAsia="Times New Roman" w:hAnsi="Times New Roman" w:cs="Times New Roman"/>
          <w:sz w:val="24"/>
          <w:szCs w:val="24"/>
        </w:rPr>
        <w:t>, where transparency was lower than expected, measured by their level of corruption (Newell, 2015).</w:t>
      </w:r>
    </w:p>
    <w:p w14:paraId="0DA47329"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78E2A822" w14:textId="77777777" w:rsidR="002F0D23" w:rsidRPr="00DE0CFA" w:rsidRDefault="00000000">
      <w:pPr>
        <w:pStyle w:val="Heading2"/>
        <w:pBdr>
          <w:top w:val="nil"/>
          <w:left w:val="nil"/>
          <w:bottom w:val="nil"/>
          <w:right w:val="nil"/>
          <w:between w:val="nil"/>
        </w:pBdr>
      </w:pPr>
      <w:bookmarkStart w:id="16" w:name="_qq4tmkivwp1o" w:colFirst="0" w:colLast="0"/>
      <w:bookmarkEnd w:id="16"/>
      <w:r w:rsidRPr="00DE0CFA">
        <w:t>2.10.</w:t>
      </w:r>
      <w:r w:rsidRPr="00DE0CFA">
        <w:tab/>
        <w:t>Indicators for transparency across sectors</w:t>
      </w:r>
    </w:p>
    <w:p w14:paraId="2A59220E"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387C36BF" w14:textId="15BDE249"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When it comes to actually measuring transparency, the complexity of operationalising such a model quickly becomes apparent. As one of the most widely recognised and comprehensive indices, the Global Real Estate Transparency Index (GRETI) was first surveyed by JLL/ LaSalle in 1999 and has been updated every two years since then. The latest available version (JLL, 2022) assesses the transparency of real estate markets in a total of 156 cities in 94 countries and territories, based on the availability and quality of performance benchmarks and market data, governance structure, regulatory and legal environment, transaction processes and sustainability tools. The economic value of transparency is illustrated by the quote from Mark Gabbay (CEO of LaSalle Investment Management): "</w:t>
      </w:r>
      <w:r w:rsidRPr="00DE0CFA">
        <w:rPr>
          <w:rFonts w:ascii="Times New Roman" w:eastAsia="Times New Roman" w:hAnsi="Times New Roman" w:cs="Times New Roman"/>
          <w:i/>
          <w:sz w:val="24"/>
          <w:szCs w:val="24"/>
        </w:rPr>
        <w:t xml:space="preserve">Rising transparency lowers the cost of capital for real estate by reducing the uncertainty associated with projecting cash flows and capital </w:t>
      </w:r>
      <w:r w:rsidRPr="00806820">
        <w:rPr>
          <w:rFonts w:ascii="Times New Roman" w:eastAsia="Times New Roman" w:hAnsi="Times New Roman" w:cs="Times New Roman"/>
          <w:i/>
          <w:sz w:val="24"/>
          <w:szCs w:val="24"/>
        </w:rPr>
        <w:t>expenses”</w:t>
      </w:r>
      <w:r w:rsidRPr="00DE0CFA">
        <w:rPr>
          <w:rFonts w:ascii="Times New Roman" w:eastAsia="Times New Roman" w:hAnsi="Times New Roman" w:cs="Times New Roman"/>
          <w:sz w:val="24"/>
          <w:szCs w:val="24"/>
        </w:rPr>
        <w:t xml:space="preserve"> (JLL, 2022, p</w:t>
      </w:r>
      <w:r w:rsidR="00806820">
        <w:rPr>
          <w:rFonts w:ascii="Times New Roman" w:eastAsia="Times New Roman" w:hAnsi="Times New Roman" w:cs="Times New Roman"/>
          <w:sz w:val="24"/>
          <w:szCs w:val="24"/>
        </w:rPr>
        <w:t xml:space="preserve">. </w:t>
      </w:r>
      <w:r w:rsidRPr="00DE0CFA">
        <w:rPr>
          <w:rFonts w:ascii="Times New Roman" w:eastAsia="Times New Roman" w:hAnsi="Times New Roman" w:cs="Times New Roman"/>
          <w:sz w:val="24"/>
          <w:szCs w:val="24"/>
        </w:rPr>
        <w:t>9).</w:t>
      </w:r>
    </w:p>
    <w:p w14:paraId="104D180E" w14:textId="78B3DDAB" w:rsidR="002F0D23" w:rsidRPr="00DE0CFA" w:rsidRDefault="00000000" w:rsidP="00DE0CFA">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The overall index value is computed from a set of 254 parameters, which have now increased significantly, and a combination of six sub-index scores, most of which ha</w:t>
      </w:r>
      <w:r w:rsidR="00DE0CFA">
        <w:rPr>
          <w:rFonts w:ascii="Times New Roman" w:eastAsia="Times New Roman" w:hAnsi="Times New Roman" w:cs="Times New Roman"/>
          <w:sz w:val="24"/>
          <w:szCs w:val="24"/>
        </w:rPr>
        <w:t>ve their</w:t>
      </w:r>
      <w:r w:rsidRPr="00DE0CFA">
        <w:rPr>
          <w:rFonts w:ascii="Times New Roman" w:eastAsia="Times New Roman" w:hAnsi="Times New Roman" w:cs="Times New Roman"/>
          <w:sz w:val="24"/>
          <w:szCs w:val="24"/>
        </w:rPr>
        <w:t xml:space="preserve"> own sub-themes. These are:</w:t>
      </w:r>
    </w:p>
    <w:p w14:paraId="78A07C51" w14:textId="113C80A2" w:rsidR="002F0D23" w:rsidRPr="00DE0CFA" w:rsidRDefault="00000000" w:rsidP="00DE0CFA">
      <w:pPr>
        <w:numPr>
          <w:ilvl w:val="0"/>
          <w:numId w:val="2"/>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Performance measurement (direct property indices, listed real estate securities indices, private real estate fund indices, valuations)</w:t>
      </w:r>
      <w:r w:rsidR="00DE0CFA">
        <w:rPr>
          <w:rFonts w:ascii="Times New Roman" w:eastAsia="Times New Roman" w:hAnsi="Times New Roman" w:cs="Times New Roman"/>
          <w:sz w:val="24"/>
          <w:szCs w:val="24"/>
        </w:rPr>
        <w:t>;</w:t>
      </w:r>
    </w:p>
    <w:p w14:paraId="3FCE2836" w14:textId="591F941A" w:rsidR="002F0D23" w:rsidRPr="00DE0CFA" w:rsidRDefault="00000000" w:rsidP="00DE0CFA">
      <w:pPr>
        <w:numPr>
          <w:ilvl w:val="0"/>
          <w:numId w:val="2"/>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Market fundamentals (Market fundamentals data)</w:t>
      </w:r>
      <w:r w:rsidR="00DE0CFA">
        <w:rPr>
          <w:rFonts w:ascii="Times New Roman" w:eastAsia="Times New Roman" w:hAnsi="Times New Roman" w:cs="Times New Roman"/>
          <w:sz w:val="24"/>
          <w:szCs w:val="24"/>
        </w:rPr>
        <w:t>;</w:t>
      </w:r>
    </w:p>
    <w:p w14:paraId="62E971F6" w14:textId="2425E738" w:rsidR="002F0D23" w:rsidRPr="00DE0CFA" w:rsidRDefault="00000000" w:rsidP="00DE0CFA">
      <w:pPr>
        <w:numPr>
          <w:ilvl w:val="0"/>
          <w:numId w:val="2"/>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Governance of listed vehicles (financial disclosure, corporate governance)</w:t>
      </w:r>
      <w:r w:rsidR="00DE0CFA">
        <w:rPr>
          <w:rFonts w:ascii="Times New Roman" w:eastAsia="Times New Roman" w:hAnsi="Times New Roman" w:cs="Times New Roman"/>
          <w:sz w:val="24"/>
          <w:szCs w:val="24"/>
        </w:rPr>
        <w:t>;</w:t>
      </w:r>
    </w:p>
    <w:p w14:paraId="30C5DC1C" w14:textId="5D2404FE" w:rsidR="002F0D23" w:rsidRPr="00DE0CFA" w:rsidRDefault="00000000" w:rsidP="00DE0CFA">
      <w:pPr>
        <w:numPr>
          <w:ilvl w:val="0"/>
          <w:numId w:val="2"/>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Regulatory and legal (regulation, land and property registration, eminent domain/ compulsory purchase, real estate debt information)</w:t>
      </w:r>
      <w:r w:rsidR="00DE0CFA">
        <w:rPr>
          <w:rFonts w:ascii="Times New Roman" w:eastAsia="Times New Roman" w:hAnsi="Times New Roman" w:cs="Times New Roman"/>
          <w:sz w:val="24"/>
          <w:szCs w:val="24"/>
        </w:rPr>
        <w:t>;</w:t>
      </w:r>
    </w:p>
    <w:p w14:paraId="3199EDAC" w14:textId="7A165DB4" w:rsidR="002F0D23" w:rsidRPr="00DE0CFA" w:rsidRDefault="00000000" w:rsidP="00DE0CFA">
      <w:pPr>
        <w:numPr>
          <w:ilvl w:val="0"/>
          <w:numId w:val="2"/>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Transaction process (Sales transactions, occupier services)</w:t>
      </w:r>
      <w:r w:rsidR="00DE0CFA">
        <w:rPr>
          <w:rFonts w:ascii="Times New Roman" w:eastAsia="Times New Roman" w:hAnsi="Times New Roman" w:cs="Times New Roman"/>
          <w:sz w:val="24"/>
          <w:szCs w:val="24"/>
        </w:rPr>
        <w:t>; and</w:t>
      </w:r>
    </w:p>
    <w:p w14:paraId="793FAE9B" w14:textId="4715B33C" w:rsidR="002F0D23" w:rsidRPr="00DE0CFA" w:rsidRDefault="00000000" w:rsidP="00DE0CFA">
      <w:pPr>
        <w:numPr>
          <w:ilvl w:val="0"/>
          <w:numId w:val="2"/>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Sustainability</w:t>
      </w:r>
      <w:r w:rsidR="00DE0CFA">
        <w:rPr>
          <w:rFonts w:ascii="Times New Roman" w:eastAsia="Times New Roman" w:hAnsi="Times New Roman" w:cs="Times New Roman"/>
          <w:sz w:val="24"/>
          <w:szCs w:val="24"/>
        </w:rPr>
        <w:t>.</w:t>
      </w:r>
    </w:p>
    <w:p w14:paraId="1B1A6952" w14:textId="77777777" w:rsidR="002F0D23" w:rsidRPr="00DE0CFA" w:rsidRDefault="002F0D23" w:rsidP="00DE0CFA">
      <w:pPr>
        <w:spacing w:after="0" w:line="240" w:lineRule="auto"/>
        <w:jc w:val="both"/>
        <w:rPr>
          <w:rFonts w:ascii="Times New Roman" w:eastAsia="Times New Roman" w:hAnsi="Times New Roman" w:cs="Times New Roman"/>
          <w:sz w:val="24"/>
          <w:szCs w:val="24"/>
        </w:rPr>
      </w:pPr>
    </w:p>
    <w:p w14:paraId="5F472FC0" w14:textId="4E1C154A" w:rsidR="002F0D23" w:rsidRPr="00DE0CFA" w:rsidRDefault="00000000" w:rsidP="00DE0CFA">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Over the last 10 years, most of the growth in parameters has been in the area of market data. Sustainability was only added in 2018 and became a focus topic in 2022 because </w:t>
      </w:r>
      <w:r w:rsidRPr="00DE0CFA">
        <w:rPr>
          <w:rFonts w:ascii="Times New Roman" w:eastAsia="Times New Roman" w:hAnsi="Times New Roman" w:cs="Times New Roman"/>
          <w:i/>
          <w:sz w:val="24"/>
          <w:szCs w:val="24"/>
        </w:rPr>
        <w:t xml:space="preserve">"[t]he urgent drive for decarbonization is leading to new transparency requirements" </w:t>
      </w:r>
      <w:r w:rsidRPr="00DE0CFA">
        <w:rPr>
          <w:rFonts w:ascii="Times New Roman" w:eastAsia="Times New Roman" w:hAnsi="Times New Roman" w:cs="Times New Roman"/>
          <w:sz w:val="24"/>
          <w:szCs w:val="24"/>
        </w:rPr>
        <w:t>(JLL, 2022</w:t>
      </w:r>
      <w:r w:rsidR="006E366E">
        <w:rPr>
          <w:rFonts w:ascii="Times New Roman" w:eastAsia="Times New Roman" w:hAnsi="Times New Roman" w:cs="Times New Roman"/>
          <w:sz w:val="24"/>
          <w:szCs w:val="24"/>
        </w:rPr>
        <w:t>,</w:t>
      </w:r>
      <w:r w:rsidRPr="00DE0CFA">
        <w:rPr>
          <w:rFonts w:ascii="Times New Roman" w:eastAsia="Times New Roman" w:hAnsi="Times New Roman" w:cs="Times New Roman"/>
          <w:sz w:val="24"/>
          <w:szCs w:val="24"/>
        </w:rPr>
        <w:t xml:space="preserve"> p. 2). As a result, the GRETI classifies the transparency of the real estate market into five levels: high, transparent, semi-transparent, semi-opaque and opaque. The score ranges from 1.0 to 5.0, with lower scores indicating higher transparency. The report also highlights notable new initiatives by selected countries to improve real estate transparency over the past two years (e.g. introduction of a beneficial ownership register for foreign purchasers of real estate in Germany, digitisation of land records in Kenya).</w:t>
      </w:r>
    </w:p>
    <w:p w14:paraId="48FFC519"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17391C96" w14:textId="425F869F"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Another important global transparency index was published by the World Bank annually from 2003 up to 2020. In its latest issue, the </w:t>
      </w:r>
      <w:r w:rsidRPr="006E366E">
        <w:rPr>
          <w:rFonts w:ascii="Times New Roman" w:eastAsia="Times New Roman" w:hAnsi="Times New Roman" w:cs="Times New Roman"/>
          <w:i/>
          <w:iCs/>
          <w:sz w:val="24"/>
          <w:szCs w:val="24"/>
        </w:rPr>
        <w:t>Ease of Doing Business (</w:t>
      </w:r>
      <w:proofErr w:type="spellStart"/>
      <w:r w:rsidRPr="006E366E">
        <w:rPr>
          <w:rFonts w:ascii="Times New Roman" w:eastAsia="Times New Roman" w:hAnsi="Times New Roman" w:cs="Times New Roman"/>
          <w:i/>
          <w:iCs/>
          <w:sz w:val="24"/>
          <w:szCs w:val="24"/>
        </w:rPr>
        <w:t>EoDB</w:t>
      </w:r>
      <w:proofErr w:type="spellEnd"/>
      <w:r w:rsidRPr="006E366E">
        <w:rPr>
          <w:rFonts w:ascii="Times New Roman" w:eastAsia="Times New Roman" w:hAnsi="Times New Roman" w:cs="Times New Roman"/>
          <w:i/>
          <w:iCs/>
          <w:sz w:val="24"/>
          <w:szCs w:val="24"/>
        </w:rPr>
        <w:t>) Index</w:t>
      </w:r>
      <w:r w:rsidRPr="00DE0CFA">
        <w:rPr>
          <w:rFonts w:ascii="Times New Roman" w:eastAsia="Times New Roman" w:hAnsi="Times New Roman" w:cs="Times New Roman"/>
          <w:sz w:val="24"/>
          <w:szCs w:val="24"/>
        </w:rPr>
        <w:t xml:space="preserve"> compiled indicators on business regulations and the protection of property rights in a comparison of 190 economies. </w:t>
      </w:r>
      <w:r w:rsidR="00806820">
        <w:rPr>
          <w:rFonts w:ascii="Times New Roman" w:eastAsia="Times New Roman" w:hAnsi="Times New Roman" w:cs="Times New Roman"/>
          <w:i/>
          <w:iCs/>
          <w:sz w:val="24"/>
          <w:szCs w:val="24"/>
        </w:rPr>
        <w:t>‘</w:t>
      </w:r>
      <w:r w:rsidRPr="00806820">
        <w:rPr>
          <w:rFonts w:ascii="Times New Roman" w:eastAsia="Times New Roman" w:hAnsi="Times New Roman" w:cs="Times New Roman"/>
          <w:i/>
          <w:iCs/>
          <w:sz w:val="24"/>
          <w:szCs w:val="24"/>
        </w:rPr>
        <w:t>Economies</w:t>
      </w:r>
      <w:r w:rsidR="00806820">
        <w:rPr>
          <w:rFonts w:ascii="Times New Roman" w:eastAsia="Times New Roman" w:hAnsi="Times New Roman" w:cs="Times New Roman"/>
          <w:i/>
          <w:iCs/>
          <w:sz w:val="24"/>
          <w:szCs w:val="24"/>
        </w:rPr>
        <w:t>’</w:t>
      </w:r>
      <w:r w:rsidRPr="00DE0CFA">
        <w:rPr>
          <w:rFonts w:ascii="Times New Roman" w:eastAsia="Times New Roman" w:hAnsi="Times New Roman" w:cs="Times New Roman"/>
          <w:sz w:val="24"/>
          <w:szCs w:val="24"/>
        </w:rPr>
        <w:t xml:space="preserve"> are defined here in terms of politically independent countries and territories with their own government and economy. The World Bank explicitly states that the report </w:t>
      </w:r>
      <w:r w:rsidRPr="00DE0CFA">
        <w:rPr>
          <w:rFonts w:ascii="Times New Roman" w:eastAsia="Times New Roman" w:hAnsi="Times New Roman" w:cs="Times New Roman"/>
          <w:i/>
          <w:sz w:val="24"/>
          <w:szCs w:val="24"/>
        </w:rPr>
        <w:t>"isn’t meant to be an investment guide"</w:t>
      </w:r>
      <w:r w:rsidRPr="00DE0CFA">
        <w:rPr>
          <w:rFonts w:ascii="Times New Roman" w:eastAsia="Times New Roman" w:hAnsi="Times New Roman" w:cs="Times New Roman"/>
          <w:sz w:val="24"/>
          <w:szCs w:val="24"/>
        </w:rPr>
        <w:t xml:space="preserve"> (World Bank, 2020</w:t>
      </w:r>
      <w:r w:rsidR="00806820">
        <w:rPr>
          <w:rFonts w:ascii="Times New Roman" w:eastAsia="Times New Roman" w:hAnsi="Times New Roman" w:cs="Times New Roman"/>
          <w:sz w:val="24"/>
          <w:szCs w:val="24"/>
        </w:rPr>
        <w:t>,</w:t>
      </w:r>
      <w:r w:rsidRPr="00DE0CFA">
        <w:rPr>
          <w:rFonts w:ascii="Times New Roman" w:eastAsia="Times New Roman" w:hAnsi="Times New Roman" w:cs="Times New Roman"/>
          <w:sz w:val="24"/>
          <w:szCs w:val="24"/>
        </w:rPr>
        <w:t xml:space="preserve"> p. vii) because it does not take into account many crucial factors such as macroeconomic stability, the development of the financial system or the rule of law. Nonetheless, the name of the index implies that the core of the </w:t>
      </w:r>
      <w:proofErr w:type="spellStart"/>
      <w:r w:rsidRPr="00DE0CFA">
        <w:rPr>
          <w:rFonts w:ascii="Times New Roman" w:eastAsia="Times New Roman" w:hAnsi="Times New Roman" w:cs="Times New Roman"/>
          <w:sz w:val="24"/>
          <w:szCs w:val="24"/>
        </w:rPr>
        <w:t>EoDB</w:t>
      </w:r>
      <w:proofErr w:type="spellEnd"/>
      <w:r w:rsidRPr="00DE0CFA">
        <w:rPr>
          <w:rFonts w:ascii="Times New Roman" w:eastAsia="Times New Roman" w:hAnsi="Times New Roman" w:cs="Times New Roman"/>
          <w:sz w:val="24"/>
          <w:szCs w:val="24"/>
        </w:rPr>
        <w:t xml:space="preserve"> is a statement about entrepreneurial freedom in the respective market, and that the regulations that support or hinder this market behaviour are to be evaluated. The 12 areas of </w:t>
      </w:r>
      <w:r w:rsidRPr="00DE0CFA">
        <w:rPr>
          <w:rFonts w:ascii="Times New Roman" w:eastAsia="Times New Roman" w:hAnsi="Times New Roman" w:cs="Times New Roman"/>
          <w:sz w:val="24"/>
          <w:szCs w:val="24"/>
        </w:rPr>
        <w:lastRenderedPageBreak/>
        <w:t xml:space="preserve">the </w:t>
      </w:r>
      <w:proofErr w:type="spellStart"/>
      <w:r w:rsidRPr="00DE0CFA">
        <w:rPr>
          <w:rFonts w:ascii="Times New Roman" w:eastAsia="Times New Roman" w:hAnsi="Times New Roman" w:cs="Times New Roman"/>
          <w:sz w:val="24"/>
          <w:szCs w:val="24"/>
        </w:rPr>
        <w:t>EoDB</w:t>
      </w:r>
      <w:proofErr w:type="spellEnd"/>
      <w:r w:rsidRPr="00DE0CFA">
        <w:rPr>
          <w:rFonts w:ascii="Times New Roman" w:eastAsia="Times New Roman" w:hAnsi="Times New Roman" w:cs="Times New Roman"/>
          <w:sz w:val="24"/>
          <w:szCs w:val="24"/>
        </w:rPr>
        <w:t xml:space="preserve"> therefore include the following, with a total of 41 indicators (the last two are not part of the ranking):</w:t>
      </w:r>
    </w:p>
    <w:p w14:paraId="050A6B6E" w14:textId="448EA438" w:rsidR="002F0D23" w:rsidRPr="00DE0CFA" w:rsidRDefault="00000000" w:rsidP="00DE0CFA">
      <w:pPr>
        <w:numPr>
          <w:ilvl w:val="0"/>
          <w:numId w:val="3"/>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barriers to starting a business</w:t>
      </w:r>
      <w:r w:rsidR="00DE0CFA">
        <w:rPr>
          <w:rFonts w:ascii="Times New Roman" w:eastAsia="Times New Roman" w:hAnsi="Times New Roman" w:cs="Times New Roman"/>
          <w:sz w:val="24"/>
          <w:szCs w:val="24"/>
        </w:rPr>
        <w:t>;</w:t>
      </w:r>
    </w:p>
    <w:p w14:paraId="7BC812A1" w14:textId="2F3EC047" w:rsidR="002F0D23" w:rsidRPr="00DE0CFA" w:rsidRDefault="00000000" w:rsidP="00DE0CFA">
      <w:pPr>
        <w:numPr>
          <w:ilvl w:val="0"/>
          <w:numId w:val="3"/>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dealing with construction permits</w:t>
      </w:r>
      <w:r w:rsidR="00DE0CFA">
        <w:rPr>
          <w:rFonts w:ascii="Times New Roman" w:eastAsia="Times New Roman" w:hAnsi="Times New Roman" w:cs="Times New Roman"/>
          <w:sz w:val="24"/>
          <w:szCs w:val="24"/>
        </w:rPr>
        <w:t>;</w:t>
      </w:r>
    </w:p>
    <w:p w14:paraId="457FA91E" w14:textId="156325A8" w:rsidR="002F0D23" w:rsidRPr="00DE0CFA" w:rsidRDefault="00000000" w:rsidP="00DE0CFA">
      <w:pPr>
        <w:numPr>
          <w:ilvl w:val="0"/>
          <w:numId w:val="3"/>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getting electricity</w:t>
      </w:r>
      <w:r w:rsidR="00DE0CFA">
        <w:rPr>
          <w:rFonts w:ascii="Times New Roman" w:eastAsia="Times New Roman" w:hAnsi="Times New Roman" w:cs="Times New Roman"/>
          <w:sz w:val="24"/>
          <w:szCs w:val="24"/>
        </w:rPr>
        <w:t>;</w:t>
      </w:r>
    </w:p>
    <w:p w14:paraId="4D87BCD6" w14:textId="17A86AE9" w:rsidR="002F0D23" w:rsidRPr="00DE0CFA" w:rsidRDefault="00000000" w:rsidP="00DE0CFA">
      <w:pPr>
        <w:numPr>
          <w:ilvl w:val="0"/>
          <w:numId w:val="3"/>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registering property</w:t>
      </w:r>
      <w:r w:rsidR="00DE0CFA">
        <w:rPr>
          <w:rFonts w:ascii="Times New Roman" w:eastAsia="Times New Roman" w:hAnsi="Times New Roman" w:cs="Times New Roman"/>
          <w:sz w:val="24"/>
          <w:szCs w:val="24"/>
        </w:rPr>
        <w:t>;</w:t>
      </w:r>
    </w:p>
    <w:p w14:paraId="6B644EE2" w14:textId="331A2E0F" w:rsidR="002F0D23" w:rsidRPr="00DE0CFA" w:rsidRDefault="00000000" w:rsidP="00DE0CFA">
      <w:pPr>
        <w:numPr>
          <w:ilvl w:val="0"/>
          <w:numId w:val="3"/>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getting credit</w:t>
      </w:r>
      <w:r w:rsidR="00DE0CFA">
        <w:rPr>
          <w:rFonts w:ascii="Times New Roman" w:eastAsia="Times New Roman" w:hAnsi="Times New Roman" w:cs="Times New Roman"/>
          <w:sz w:val="24"/>
          <w:szCs w:val="24"/>
        </w:rPr>
        <w:t>;</w:t>
      </w:r>
    </w:p>
    <w:p w14:paraId="02331896" w14:textId="0E65BEE2" w:rsidR="002F0D23" w:rsidRPr="00DE0CFA" w:rsidRDefault="00000000" w:rsidP="00DE0CFA">
      <w:pPr>
        <w:numPr>
          <w:ilvl w:val="0"/>
          <w:numId w:val="3"/>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protecting minority investors</w:t>
      </w:r>
      <w:r w:rsidR="00DE0CFA">
        <w:rPr>
          <w:rFonts w:ascii="Times New Roman" w:eastAsia="Times New Roman" w:hAnsi="Times New Roman" w:cs="Times New Roman"/>
          <w:sz w:val="24"/>
          <w:szCs w:val="24"/>
        </w:rPr>
        <w:t>;</w:t>
      </w:r>
    </w:p>
    <w:p w14:paraId="7D42D5EE" w14:textId="705897E0" w:rsidR="002F0D23" w:rsidRPr="00DE0CFA" w:rsidRDefault="00000000" w:rsidP="00DE0CFA">
      <w:pPr>
        <w:numPr>
          <w:ilvl w:val="0"/>
          <w:numId w:val="3"/>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paying taxes</w:t>
      </w:r>
      <w:r w:rsidR="00DE0CFA">
        <w:rPr>
          <w:rFonts w:ascii="Times New Roman" w:eastAsia="Times New Roman" w:hAnsi="Times New Roman" w:cs="Times New Roman"/>
          <w:sz w:val="24"/>
          <w:szCs w:val="24"/>
        </w:rPr>
        <w:t>;</w:t>
      </w:r>
    </w:p>
    <w:p w14:paraId="08160873" w14:textId="11C759EC" w:rsidR="002F0D23" w:rsidRPr="00DE0CFA" w:rsidRDefault="00000000" w:rsidP="00DE0CFA">
      <w:pPr>
        <w:numPr>
          <w:ilvl w:val="0"/>
          <w:numId w:val="3"/>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trading across borders</w:t>
      </w:r>
      <w:r w:rsidR="00DE0CFA">
        <w:rPr>
          <w:rFonts w:ascii="Times New Roman" w:eastAsia="Times New Roman" w:hAnsi="Times New Roman" w:cs="Times New Roman"/>
          <w:sz w:val="24"/>
          <w:szCs w:val="24"/>
        </w:rPr>
        <w:t>;</w:t>
      </w:r>
    </w:p>
    <w:p w14:paraId="504EC711" w14:textId="2A86D20B" w:rsidR="002F0D23" w:rsidRPr="00DE0CFA" w:rsidRDefault="00000000" w:rsidP="00DE0CFA">
      <w:pPr>
        <w:numPr>
          <w:ilvl w:val="0"/>
          <w:numId w:val="3"/>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enforcing contracts and</w:t>
      </w:r>
      <w:r w:rsidR="00DE0CFA">
        <w:rPr>
          <w:rFonts w:ascii="Times New Roman" w:eastAsia="Times New Roman" w:hAnsi="Times New Roman" w:cs="Times New Roman"/>
          <w:sz w:val="24"/>
          <w:szCs w:val="24"/>
        </w:rPr>
        <w:t>;</w:t>
      </w:r>
    </w:p>
    <w:p w14:paraId="7937C637" w14:textId="1134CBC9" w:rsidR="002F0D23" w:rsidRPr="00DE0CFA" w:rsidRDefault="00000000" w:rsidP="00DE0CFA">
      <w:pPr>
        <w:numPr>
          <w:ilvl w:val="0"/>
          <w:numId w:val="3"/>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resolving insolvency</w:t>
      </w:r>
      <w:r w:rsidR="00DE0CFA">
        <w:rPr>
          <w:rFonts w:ascii="Times New Roman" w:eastAsia="Times New Roman" w:hAnsi="Times New Roman" w:cs="Times New Roman"/>
          <w:sz w:val="24"/>
          <w:szCs w:val="24"/>
        </w:rPr>
        <w:t>;</w:t>
      </w:r>
    </w:p>
    <w:p w14:paraId="6BBC3386" w14:textId="507FC26B" w:rsidR="002F0D23" w:rsidRPr="00DE0CFA" w:rsidRDefault="00000000" w:rsidP="00DE0CFA">
      <w:pPr>
        <w:numPr>
          <w:ilvl w:val="0"/>
          <w:numId w:val="3"/>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employing workers</w:t>
      </w:r>
      <w:r w:rsidR="00DE0CFA">
        <w:rPr>
          <w:rFonts w:ascii="Times New Roman" w:eastAsia="Times New Roman" w:hAnsi="Times New Roman" w:cs="Times New Roman"/>
          <w:sz w:val="24"/>
          <w:szCs w:val="24"/>
        </w:rPr>
        <w:t>; and</w:t>
      </w:r>
    </w:p>
    <w:p w14:paraId="2E118C26" w14:textId="491AC50E" w:rsidR="002F0D23" w:rsidRPr="00DE0CFA" w:rsidRDefault="00000000" w:rsidP="00DE0CFA">
      <w:pPr>
        <w:numPr>
          <w:ilvl w:val="0"/>
          <w:numId w:val="3"/>
        </w:num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contracting with the government</w:t>
      </w:r>
      <w:r w:rsidR="00DE0CFA">
        <w:rPr>
          <w:rFonts w:ascii="Times New Roman" w:eastAsia="Times New Roman" w:hAnsi="Times New Roman" w:cs="Times New Roman"/>
          <w:sz w:val="24"/>
          <w:szCs w:val="24"/>
        </w:rPr>
        <w:t>.</w:t>
      </w:r>
    </w:p>
    <w:p w14:paraId="723A5A01"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439BCE27"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Until 2018, deregulating the labour market has also been evaluated. A country's performance is scored on a scale of 0 (worst performance) to 100 (best performance) based on data from all categories. A ranking is then created based on each country's performance score. The country with the highest score is considered the best country, and the other countries are ranked according to their scores.</w:t>
      </w:r>
    </w:p>
    <w:p w14:paraId="4012DBD4" w14:textId="77777777" w:rsidR="00DE0CFA" w:rsidRDefault="00DE0CFA">
      <w:pPr>
        <w:pBdr>
          <w:top w:val="nil"/>
          <w:left w:val="nil"/>
          <w:bottom w:val="nil"/>
          <w:right w:val="nil"/>
          <w:between w:val="nil"/>
        </w:pBdr>
        <w:spacing w:after="0" w:line="240" w:lineRule="auto"/>
        <w:jc w:val="both"/>
        <w:rPr>
          <w:rFonts w:ascii="Times New Roman" w:eastAsia="Times New Roman" w:hAnsi="Times New Roman" w:cs="Times New Roman"/>
          <w:sz w:val="24"/>
          <w:szCs w:val="24"/>
        </w:rPr>
      </w:pPr>
    </w:p>
    <w:p w14:paraId="4B407653" w14:textId="3EADC884" w:rsidR="002F0D23" w:rsidRPr="00DE0CFA" w:rsidRDefault="00000000">
      <w:pPr>
        <w:pBdr>
          <w:top w:val="nil"/>
          <w:left w:val="nil"/>
          <w:bottom w:val="nil"/>
          <w:right w:val="nil"/>
          <w:between w:val="nil"/>
        </w:pBd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Studies using </w:t>
      </w:r>
      <w:r w:rsidR="006E366E">
        <w:rPr>
          <w:rFonts w:ascii="Times New Roman" w:eastAsia="Times New Roman" w:hAnsi="Times New Roman" w:cs="Times New Roman"/>
          <w:sz w:val="24"/>
          <w:szCs w:val="24"/>
        </w:rPr>
        <w:t xml:space="preserve">the </w:t>
      </w:r>
      <w:r w:rsidRPr="006E366E">
        <w:rPr>
          <w:rFonts w:ascii="Times New Roman" w:eastAsia="Times New Roman" w:hAnsi="Times New Roman" w:cs="Times New Roman"/>
          <w:i/>
          <w:iCs/>
          <w:sz w:val="24"/>
          <w:szCs w:val="24"/>
        </w:rPr>
        <w:t xml:space="preserve">Doing Business </w:t>
      </w:r>
      <w:r w:rsidRPr="00DE0CFA">
        <w:rPr>
          <w:rFonts w:ascii="Times New Roman" w:eastAsia="Times New Roman" w:hAnsi="Times New Roman" w:cs="Times New Roman"/>
          <w:sz w:val="24"/>
          <w:szCs w:val="24"/>
        </w:rPr>
        <w:t xml:space="preserve">report </w:t>
      </w:r>
      <w:r w:rsidR="006E366E">
        <w:rPr>
          <w:rFonts w:ascii="Times New Roman" w:eastAsia="Times New Roman" w:hAnsi="Times New Roman" w:cs="Times New Roman"/>
          <w:sz w:val="24"/>
          <w:szCs w:val="24"/>
        </w:rPr>
        <w:t xml:space="preserve">find </w:t>
      </w:r>
      <w:r w:rsidRPr="00DE0CFA">
        <w:rPr>
          <w:rFonts w:ascii="Times New Roman" w:eastAsia="Times New Roman" w:hAnsi="Times New Roman" w:cs="Times New Roman"/>
          <w:sz w:val="24"/>
          <w:szCs w:val="24"/>
        </w:rPr>
        <w:t xml:space="preserve">a positive correlation between economic freedom (on wages, prices, property rights and licensing requirements) and gross domestic product growth, and a significant correlation between business-friendly regulation (aspects </w:t>
      </w:r>
      <w:r w:rsidR="00DE0CFA">
        <w:rPr>
          <w:rFonts w:ascii="Times New Roman" w:eastAsia="Times New Roman" w:hAnsi="Times New Roman" w:cs="Times New Roman"/>
          <w:sz w:val="24"/>
          <w:szCs w:val="24"/>
        </w:rPr>
        <w:t xml:space="preserve">of </w:t>
      </w:r>
      <w:r w:rsidRPr="00DE0CFA">
        <w:rPr>
          <w:rFonts w:ascii="Times New Roman" w:eastAsia="Times New Roman" w:hAnsi="Times New Roman" w:cs="Times New Roman"/>
          <w:sz w:val="24"/>
          <w:szCs w:val="24"/>
        </w:rPr>
        <w:t>getting credit and enforcing contracts) and lower poverty rate (World Bank</w:t>
      </w:r>
      <w:r w:rsidR="00DE0CFA">
        <w:rPr>
          <w:rFonts w:ascii="Times New Roman" w:eastAsia="Times New Roman" w:hAnsi="Times New Roman" w:cs="Times New Roman"/>
          <w:sz w:val="24"/>
          <w:szCs w:val="24"/>
        </w:rPr>
        <w:t>,</w:t>
      </w:r>
      <w:r w:rsidRPr="00DE0CFA">
        <w:rPr>
          <w:rFonts w:ascii="Times New Roman" w:eastAsia="Times New Roman" w:hAnsi="Times New Roman" w:cs="Times New Roman"/>
          <w:sz w:val="24"/>
          <w:szCs w:val="24"/>
        </w:rPr>
        <w:t xml:space="preserve"> 2020). At a global level, it is concluded that </w:t>
      </w:r>
      <w:r w:rsidRPr="00806820">
        <w:rPr>
          <w:rFonts w:ascii="Times New Roman" w:eastAsia="Times New Roman" w:hAnsi="Times New Roman" w:cs="Times New Roman"/>
          <w:i/>
          <w:iCs/>
          <w:sz w:val="24"/>
          <w:szCs w:val="24"/>
        </w:rPr>
        <w:t>“property registration processes remain most inefficient in the South Asia and Sub-Saharan Africa regions”</w:t>
      </w:r>
      <w:r w:rsidRPr="00DE0CFA">
        <w:rPr>
          <w:rFonts w:ascii="Times New Roman" w:eastAsia="Times New Roman" w:hAnsi="Times New Roman" w:cs="Times New Roman"/>
          <w:sz w:val="24"/>
          <w:szCs w:val="24"/>
        </w:rPr>
        <w:t xml:space="preserve"> (World Bank</w:t>
      </w:r>
      <w:r w:rsidR="00DE0CFA">
        <w:rPr>
          <w:rFonts w:ascii="Times New Roman" w:eastAsia="Times New Roman" w:hAnsi="Times New Roman" w:cs="Times New Roman"/>
          <w:sz w:val="24"/>
          <w:szCs w:val="24"/>
        </w:rPr>
        <w:t>,</w:t>
      </w:r>
      <w:r w:rsidRPr="00DE0CFA">
        <w:rPr>
          <w:rFonts w:ascii="Times New Roman" w:eastAsia="Times New Roman" w:hAnsi="Times New Roman" w:cs="Times New Roman"/>
          <w:sz w:val="24"/>
          <w:szCs w:val="24"/>
        </w:rPr>
        <w:t xml:space="preserve"> 202</w:t>
      </w:r>
      <w:r w:rsidR="006E366E">
        <w:rPr>
          <w:rFonts w:ascii="Times New Roman" w:eastAsia="Times New Roman" w:hAnsi="Times New Roman" w:cs="Times New Roman"/>
          <w:sz w:val="24"/>
          <w:szCs w:val="24"/>
        </w:rPr>
        <w:t>0</w:t>
      </w:r>
      <w:r w:rsidRPr="00DE0CFA">
        <w:rPr>
          <w:rFonts w:ascii="Times New Roman" w:eastAsia="Times New Roman" w:hAnsi="Times New Roman" w:cs="Times New Roman"/>
          <w:sz w:val="24"/>
          <w:szCs w:val="24"/>
        </w:rPr>
        <w:t>, p</w:t>
      </w:r>
      <w:r w:rsidR="00DE0CFA">
        <w:rPr>
          <w:rFonts w:ascii="Times New Roman" w:eastAsia="Times New Roman" w:hAnsi="Times New Roman" w:cs="Times New Roman"/>
          <w:sz w:val="24"/>
          <w:szCs w:val="24"/>
        </w:rPr>
        <w:t xml:space="preserve">. </w:t>
      </w:r>
      <w:r w:rsidRPr="00DE0CFA">
        <w:rPr>
          <w:rFonts w:ascii="Times New Roman" w:eastAsia="Times New Roman" w:hAnsi="Times New Roman" w:cs="Times New Roman"/>
          <w:sz w:val="24"/>
          <w:szCs w:val="24"/>
        </w:rPr>
        <w:t xml:space="preserve">2). </w:t>
      </w:r>
    </w:p>
    <w:p w14:paraId="030824EC"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6A7D323F" w14:textId="1FFC8089"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These two pioneering transparency comparisons already answer one of the questions raised above: Are there only transparent and non-transparent markets, or are the transitions gradual? The complex model of both transparency measures has shown that a dichotomous distinction does not correspond to the reality of the markets and that, ultimately, continuous differences must also be operationalised categorically. In the end, the scores that result from the comparison of the numerous quantitative and qualitative parameters in the various sub-indices also depend on the degree of knowledge and access to market information available to the assessors.</w:t>
      </w:r>
    </w:p>
    <w:p w14:paraId="5FFD83C9"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1BB5B241" w14:textId="40F782F6" w:rsidR="002F0D23" w:rsidRPr="00DE0CFA" w:rsidRDefault="00000000">
      <w:pPr>
        <w:spacing w:after="12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The following </w:t>
      </w:r>
      <w:r w:rsidR="007B7BB2">
        <w:rPr>
          <w:rFonts w:ascii="Times New Roman" w:eastAsia="Times New Roman" w:hAnsi="Times New Roman" w:cs="Times New Roman"/>
          <w:sz w:val="24"/>
          <w:szCs w:val="24"/>
        </w:rPr>
        <w:t>T</w:t>
      </w:r>
      <w:r w:rsidRPr="00DE0CFA">
        <w:rPr>
          <w:rFonts w:ascii="Times New Roman" w:eastAsia="Times New Roman" w:hAnsi="Times New Roman" w:cs="Times New Roman"/>
          <w:sz w:val="24"/>
          <w:szCs w:val="24"/>
        </w:rPr>
        <w:t xml:space="preserve">able </w:t>
      </w:r>
      <w:r w:rsidR="007B7BB2">
        <w:rPr>
          <w:rFonts w:ascii="Times New Roman" w:eastAsia="Times New Roman" w:hAnsi="Times New Roman" w:cs="Times New Roman"/>
          <w:sz w:val="24"/>
          <w:szCs w:val="24"/>
        </w:rPr>
        <w:t>1</w:t>
      </w:r>
      <w:r w:rsidRPr="00DE0CFA">
        <w:rPr>
          <w:rFonts w:ascii="Times New Roman" w:eastAsia="Times New Roman" w:hAnsi="Times New Roman" w:cs="Times New Roman"/>
          <w:sz w:val="24"/>
          <w:szCs w:val="24"/>
        </w:rPr>
        <w:t xml:space="preserve"> provides an overview of the different approaches for transparency measurements or comparable evidence of market-relevant institutions discussed above.</w:t>
      </w:r>
    </w:p>
    <w:p w14:paraId="2484213C" w14:textId="77777777" w:rsidR="002F0D23" w:rsidRDefault="002F0D23">
      <w:pPr>
        <w:spacing w:after="120" w:line="240" w:lineRule="auto"/>
        <w:jc w:val="both"/>
        <w:rPr>
          <w:rFonts w:ascii="Times New Roman" w:eastAsia="Times New Roman" w:hAnsi="Times New Roman" w:cs="Times New Roman"/>
          <w:sz w:val="24"/>
          <w:szCs w:val="24"/>
        </w:rPr>
      </w:pPr>
    </w:p>
    <w:p w14:paraId="0ED6953B" w14:textId="79CA2C49" w:rsidR="003047CB" w:rsidRDefault="003047CB">
      <w:pPr>
        <w:spacing w:after="120" w:line="240" w:lineRule="auto"/>
        <w:jc w:val="both"/>
        <w:rPr>
          <w:rFonts w:ascii="Times New Roman" w:eastAsia="Times New Roman" w:hAnsi="Times New Roman" w:cs="Times New Roman"/>
          <w:sz w:val="24"/>
          <w:szCs w:val="24"/>
        </w:rPr>
      </w:pPr>
    </w:p>
    <w:p w14:paraId="63AFC7A8" w14:textId="77777777" w:rsidR="003047CB" w:rsidRDefault="003047CB">
      <w:pPr>
        <w:spacing w:after="120" w:line="240" w:lineRule="auto"/>
        <w:jc w:val="both"/>
        <w:rPr>
          <w:rFonts w:ascii="Times New Roman" w:eastAsia="Times New Roman" w:hAnsi="Times New Roman" w:cs="Times New Roman"/>
          <w:sz w:val="24"/>
          <w:szCs w:val="24"/>
        </w:rPr>
      </w:pPr>
    </w:p>
    <w:p w14:paraId="6ECD988E" w14:textId="77777777" w:rsidR="007B7BB2" w:rsidRDefault="007B7BB2" w:rsidP="007B7BB2">
      <w:pPr>
        <w:spacing w:after="0" w:line="240" w:lineRule="auto"/>
        <w:rPr>
          <w:rFonts w:ascii="Times New Roman" w:eastAsia="Times New Roman" w:hAnsi="Times New Roman" w:cs="Times New Roman"/>
          <w:sz w:val="24"/>
          <w:szCs w:val="24"/>
        </w:rPr>
        <w:sectPr w:rsidR="007B7BB2" w:rsidSect="00A90FDE">
          <w:pgSz w:w="11906" w:h="16838"/>
          <w:pgMar w:top="1276" w:right="1440" w:bottom="2410" w:left="1440" w:header="708" w:footer="708" w:gutter="0"/>
          <w:pgNumType w:start="1"/>
          <w:cols w:space="720"/>
        </w:sectPr>
      </w:pPr>
    </w:p>
    <w:p w14:paraId="766C549C" w14:textId="7DFF3F65" w:rsidR="007B7BB2" w:rsidRPr="007B7BB2" w:rsidRDefault="007B7BB2">
      <w:pPr>
        <w:spacing w:after="120" w:line="240" w:lineRule="auto"/>
        <w:jc w:val="both"/>
        <w:rPr>
          <w:rFonts w:ascii="Times New Roman" w:eastAsia="Times New Roman" w:hAnsi="Times New Roman" w:cs="Times New Roman"/>
          <w:b/>
          <w:bCs/>
          <w:iCs/>
          <w:sz w:val="24"/>
          <w:szCs w:val="24"/>
        </w:rPr>
      </w:pPr>
      <w:r w:rsidRPr="007B7BB2">
        <w:rPr>
          <w:rFonts w:ascii="Times New Roman" w:eastAsia="Times New Roman" w:hAnsi="Times New Roman" w:cs="Times New Roman"/>
          <w:b/>
          <w:bCs/>
          <w:iCs/>
          <w:sz w:val="24"/>
          <w:szCs w:val="24"/>
        </w:rPr>
        <w:lastRenderedPageBreak/>
        <w:t>Table 1: Approaches for transparency measurements or comparable evidence</w:t>
      </w:r>
    </w:p>
    <w:tbl>
      <w:tblPr>
        <w:tblStyle w:val="a0"/>
        <w:tblW w:w="13246" w:type="dxa"/>
        <w:tblInd w:w="-75" w:type="dxa"/>
        <w:tblBorders>
          <w:top w:val="nil"/>
          <w:left w:val="nil"/>
          <w:bottom w:val="nil"/>
          <w:right w:val="nil"/>
          <w:insideH w:val="nil"/>
          <w:insideV w:val="nil"/>
        </w:tblBorders>
        <w:tblLayout w:type="fixed"/>
        <w:tblLook w:val="0600" w:firstRow="0" w:lastRow="0" w:firstColumn="0" w:lastColumn="0" w:noHBand="1" w:noVBand="1"/>
      </w:tblPr>
      <w:tblGrid>
        <w:gridCol w:w="1055"/>
        <w:gridCol w:w="1134"/>
        <w:gridCol w:w="1985"/>
        <w:gridCol w:w="1275"/>
        <w:gridCol w:w="1441"/>
        <w:gridCol w:w="3095"/>
        <w:gridCol w:w="3261"/>
      </w:tblGrid>
      <w:tr w:rsidR="00DE0CFA" w:rsidRPr="00DE0CFA" w14:paraId="046E760C" w14:textId="77777777" w:rsidTr="003047CB">
        <w:trPr>
          <w:cantSplit/>
          <w:trHeight w:val="825"/>
          <w:tblHeader/>
        </w:trPr>
        <w:tc>
          <w:tcPr>
            <w:tcW w:w="1055" w:type="dxa"/>
            <w:tcBorders>
              <w:top w:val="single" w:sz="10" w:space="0" w:color="000000"/>
              <w:left w:val="single" w:sz="10" w:space="0" w:color="000000"/>
              <w:bottom w:val="single" w:sz="10" w:space="0" w:color="000000"/>
              <w:right w:val="single" w:sz="5" w:space="0" w:color="000000"/>
            </w:tcBorders>
            <w:shd w:val="clear" w:color="auto" w:fill="auto"/>
            <w:tcMar>
              <w:top w:w="0" w:type="dxa"/>
              <w:left w:w="40" w:type="dxa"/>
              <w:bottom w:w="0" w:type="dxa"/>
              <w:right w:w="40" w:type="dxa"/>
            </w:tcMar>
          </w:tcPr>
          <w:p w14:paraId="7BFBC86B" w14:textId="77777777" w:rsidR="002F0D23" w:rsidRPr="004F5CF6" w:rsidRDefault="00000000" w:rsidP="007B7BB2">
            <w:pPr>
              <w:widowControl w:val="0"/>
              <w:spacing w:after="0" w:line="240" w:lineRule="auto"/>
              <w:jc w:val="center"/>
              <w:rPr>
                <w:rFonts w:ascii="Times New Roman" w:eastAsia="Calibri" w:hAnsi="Times New Roman" w:cs="Times New Roman"/>
                <w:b/>
                <w:bCs/>
                <w:sz w:val="18"/>
                <w:szCs w:val="18"/>
              </w:rPr>
            </w:pPr>
            <w:r w:rsidRPr="004F5CF6">
              <w:rPr>
                <w:rFonts w:ascii="Times New Roman" w:eastAsia="Tahoma" w:hAnsi="Times New Roman" w:cs="Times New Roman"/>
                <w:b/>
                <w:bCs/>
                <w:sz w:val="18"/>
                <w:szCs w:val="18"/>
              </w:rPr>
              <w:t xml:space="preserve">Institution (Year) </w:t>
            </w:r>
          </w:p>
        </w:tc>
        <w:tc>
          <w:tcPr>
            <w:tcW w:w="1134" w:type="dxa"/>
            <w:tcBorders>
              <w:top w:val="single" w:sz="10" w:space="0" w:color="000000"/>
              <w:left w:val="single" w:sz="5" w:space="0" w:color="CCCCCC"/>
              <w:bottom w:val="single" w:sz="10" w:space="0" w:color="000000"/>
              <w:right w:val="single" w:sz="5" w:space="0" w:color="000000"/>
            </w:tcBorders>
            <w:shd w:val="clear" w:color="auto" w:fill="auto"/>
            <w:tcMar>
              <w:top w:w="0" w:type="dxa"/>
              <w:left w:w="40" w:type="dxa"/>
              <w:bottom w:w="0" w:type="dxa"/>
              <w:right w:w="40" w:type="dxa"/>
            </w:tcMar>
          </w:tcPr>
          <w:p w14:paraId="0544B7F9" w14:textId="70C1827B" w:rsidR="002F0D23" w:rsidRPr="004F5CF6" w:rsidRDefault="00000000" w:rsidP="007B7BB2">
            <w:pPr>
              <w:widowControl w:val="0"/>
              <w:spacing w:after="0" w:line="240" w:lineRule="auto"/>
              <w:jc w:val="center"/>
              <w:rPr>
                <w:rFonts w:ascii="Times New Roman" w:eastAsia="Tahoma" w:hAnsi="Times New Roman" w:cs="Times New Roman"/>
                <w:b/>
                <w:bCs/>
                <w:sz w:val="18"/>
                <w:szCs w:val="18"/>
              </w:rPr>
            </w:pPr>
            <w:r w:rsidRPr="004F5CF6">
              <w:rPr>
                <w:rFonts w:ascii="Times New Roman" w:eastAsia="Tahoma" w:hAnsi="Times New Roman" w:cs="Times New Roman"/>
                <w:b/>
                <w:bCs/>
                <w:sz w:val="18"/>
                <w:szCs w:val="18"/>
              </w:rPr>
              <w:t>Produ</w:t>
            </w:r>
            <w:r w:rsidR="00DE0CFA" w:rsidRPr="004F5CF6">
              <w:rPr>
                <w:rFonts w:ascii="Times New Roman" w:eastAsia="Tahoma" w:hAnsi="Times New Roman" w:cs="Times New Roman"/>
                <w:b/>
                <w:bCs/>
                <w:sz w:val="18"/>
                <w:szCs w:val="18"/>
              </w:rPr>
              <w:t>c</w:t>
            </w:r>
            <w:r w:rsidRPr="004F5CF6">
              <w:rPr>
                <w:rFonts w:ascii="Times New Roman" w:eastAsia="Tahoma" w:hAnsi="Times New Roman" w:cs="Times New Roman"/>
                <w:b/>
                <w:bCs/>
                <w:sz w:val="18"/>
                <w:szCs w:val="18"/>
              </w:rPr>
              <w:t>t/</w:t>
            </w:r>
          </w:p>
          <w:p w14:paraId="38526BC0" w14:textId="77777777" w:rsidR="002F0D23" w:rsidRPr="004F5CF6" w:rsidRDefault="00000000" w:rsidP="007B7BB2">
            <w:pPr>
              <w:widowControl w:val="0"/>
              <w:spacing w:after="0" w:line="240" w:lineRule="auto"/>
              <w:jc w:val="center"/>
              <w:rPr>
                <w:rFonts w:ascii="Times New Roman" w:eastAsia="Calibri" w:hAnsi="Times New Roman" w:cs="Times New Roman"/>
                <w:b/>
                <w:bCs/>
                <w:sz w:val="18"/>
                <w:szCs w:val="18"/>
              </w:rPr>
            </w:pPr>
            <w:r w:rsidRPr="004F5CF6">
              <w:rPr>
                <w:rFonts w:ascii="Times New Roman" w:eastAsia="Tahoma" w:hAnsi="Times New Roman" w:cs="Times New Roman"/>
                <w:b/>
                <w:bCs/>
                <w:sz w:val="18"/>
                <w:szCs w:val="18"/>
              </w:rPr>
              <w:t xml:space="preserve">Title </w:t>
            </w:r>
          </w:p>
        </w:tc>
        <w:tc>
          <w:tcPr>
            <w:tcW w:w="1985" w:type="dxa"/>
            <w:tcBorders>
              <w:top w:val="single" w:sz="10" w:space="0" w:color="000000"/>
              <w:left w:val="single" w:sz="5" w:space="0" w:color="CCCCCC"/>
              <w:bottom w:val="single" w:sz="10" w:space="0" w:color="000000"/>
              <w:right w:val="single" w:sz="5" w:space="0" w:color="000000"/>
            </w:tcBorders>
            <w:shd w:val="clear" w:color="auto" w:fill="auto"/>
            <w:tcMar>
              <w:top w:w="0" w:type="dxa"/>
              <w:left w:w="40" w:type="dxa"/>
              <w:bottom w:w="0" w:type="dxa"/>
              <w:right w:w="40" w:type="dxa"/>
            </w:tcMar>
          </w:tcPr>
          <w:p w14:paraId="4CFC899A" w14:textId="77777777" w:rsidR="002F0D23" w:rsidRPr="004F5CF6" w:rsidRDefault="00000000" w:rsidP="007B7BB2">
            <w:pPr>
              <w:widowControl w:val="0"/>
              <w:spacing w:after="0" w:line="240" w:lineRule="auto"/>
              <w:jc w:val="center"/>
              <w:rPr>
                <w:rFonts w:ascii="Times New Roman" w:eastAsia="Calibri" w:hAnsi="Times New Roman" w:cs="Times New Roman"/>
                <w:b/>
                <w:bCs/>
                <w:sz w:val="18"/>
                <w:szCs w:val="18"/>
              </w:rPr>
            </w:pPr>
            <w:r w:rsidRPr="004F5CF6">
              <w:rPr>
                <w:rFonts w:ascii="Times New Roman" w:eastAsia="Tahoma" w:hAnsi="Times New Roman" w:cs="Times New Roman"/>
                <w:b/>
                <w:bCs/>
                <w:sz w:val="18"/>
                <w:szCs w:val="18"/>
              </w:rPr>
              <w:t>Goal/Purpose</w:t>
            </w:r>
          </w:p>
        </w:tc>
        <w:tc>
          <w:tcPr>
            <w:tcW w:w="1275" w:type="dxa"/>
            <w:tcBorders>
              <w:top w:val="single" w:sz="10" w:space="0" w:color="000000"/>
              <w:left w:val="single" w:sz="5" w:space="0" w:color="CCCCCC"/>
              <w:bottom w:val="single" w:sz="10" w:space="0" w:color="000000"/>
              <w:right w:val="single" w:sz="5" w:space="0" w:color="000000"/>
            </w:tcBorders>
            <w:shd w:val="clear" w:color="auto" w:fill="auto"/>
            <w:tcMar>
              <w:top w:w="0" w:type="dxa"/>
              <w:left w:w="40" w:type="dxa"/>
              <w:bottom w:w="0" w:type="dxa"/>
              <w:right w:w="40" w:type="dxa"/>
            </w:tcMar>
          </w:tcPr>
          <w:p w14:paraId="0F37C585" w14:textId="77777777" w:rsidR="002F0D23" w:rsidRPr="004F5CF6" w:rsidRDefault="00000000" w:rsidP="007B7BB2">
            <w:pPr>
              <w:widowControl w:val="0"/>
              <w:spacing w:after="0" w:line="240" w:lineRule="auto"/>
              <w:jc w:val="center"/>
              <w:rPr>
                <w:rFonts w:ascii="Times New Roman" w:eastAsia="Calibri" w:hAnsi="Times New Roman" w:cs="Times New Roman"/>
                <w:b/>
                <w:bCs/>
                <w:sz w:val="18"/>
                <w:szCs w:val="18"/>
              </w:rPr>
            </w:pPr>
            <w:r w:rsidRPr="004F5CF6">
              <w:rPr>
                <w:rFonts w:ascii="Times New Roman" w:eastAsia="Tahoma" w:hAnsi="Times New Roman" w:cs="Times New Roman"/>
                <w:b/>
                <w:bCs/>
                <w:sz w:val="18"/>
                <w:szCs w:val="18"/>
              </w:rPr>
              <w:t>Countries / Scope of application</w:t>
            </w:r>
          </w:p>
        </w:tc>
        <w:tc>
          <w:tcPr>
            <w:tcW w:w="1441" w:type="dxa"/>
            <w:tcBorders>
              <w:top w:val="single" w:sz="10" w:space="0" w:color="000000"/>
              <w:left w:val="single" w:sz="5" w:space="0" w:color="CCCCCC"/>
              <w:bottom w:val="single" w:sz="10" w:space="0" w:color="000000"/>
              <w:right w:val="single" w:sz="5" w:space="0" w:color="000000"/>
            </w:tcBorders>
            <w:shd w:val="clear" w:color="auto" w:fill="auto"/>
            <w:tcMar>
              <w:top w:w="0" w:type="dxa"/>
              <w:left w:w="40" w:type="dxa"/>
              <w:bottom w:w="0" w:type="dxa"/>
              <w:right w:w="40" w:type="dxa"/>
            </w:tcMar>
          </w:tcPr>
          <w:p w14:paraId="69A13A5C" w14:textId="77777777" w:rsidR="002F0D23" w:rsidRPr="004F5CF6" w:rsidRDefault="00000000" w:rsidP="007B7BB2">
            <w:pPr>
              <w:widowControl w:val="0"/>
              <w:spacing w:after="0" w:line="240" w:lineRule="auto"/>
              <w:jc w:val="center"/>
              <w:rPr>
                <w:rFonts w:ascii="Times New Roman" w:eastAsia="Calibri" w:hAnsi="Times New Roman" w:cs="Times New Roman"/>
                <w:b/>
                <w:bCs/>
                <w:sz w:val="18"/>
                <w:szCs w:val="18"/>
              </w:rPr>
            </w:pPr>
            <w:r w:rsidRPr="004F5CF6">
              <w:rPr>
                <w:rFonts w:ascii="Times New Roman" w:eastAsia="Tahoma" w:hAnsi="Times New Roman" w:cs="Times New Roman"/>
                <w:b/>
                <w:bCs/>
                <w:sz w:val="18"/>
                <w:szCs w:val="18"/>
              </w:rPr>
              <w:t xml:space="preserve">Instrument </w:t>
            </w:r>
          </w:p>
        </w:tc>
        <w:tc>
          <w:tcPr>
            <w:tcW w:w="3095" w:type="dxa"/>
            <w:tcBorders>
              <w:top w:val="single" w:sz="10" w:space="0" w:color="000000"/>
              <w:left w:val="single" w:sz="5" w:space="0" w:color="CCCCCC"/>
              <w:bottom w:val="single" w:sz="10" w:space="0" w:color="000000"/>
              <w:right w:val="single" w:sz="5" w:space="0" w:color="000000"/>
            </w:tcBorders>
            <w:shd w:val="clear" w:color="auto" w:fill="auto"/>
            <w:tcMar>
              <w:top w:w="0" w:type="dxa"/>
              <w:left w:w="40" w:type="dxa"/>
              <w:bottom w:w="0" w:type="dxa"/>
              <w:right w:w="40" w:type="dxa"/>
            </w:tcMar>
          </w:tcPr>
          <w:p w14:paraId="6948BA5B" w14:textId="77777777" w:rsidR="002F0D23" w:rsidRPr="004F5CF6" w:rsidRDefault="00000000" w:rsidP="007B7BB2">
            <w:pPr>
              <w:widowControl w:val="0"/>
              <w:spacing w:after="0" w:line="240" w:lineRule="auto"/>
              <w:jc w:val="center"/>
              <w:rPr>
                <w:rFonts w:ascii="Times New Roman" w:eastAsia="Calibri" w:hAnsi="Times New Roman" w:cs="Times New Roman"/>
                <w:b/>
                <w:bCs/>
                <w:sz w:val="18"/>
                <w:szCs w:val="18"/>
              </w:rPr>
            </w:pPr>
            <w:r w:rsidRPr="004F5CF6">
              <w:rPr>
                <w:rFonts w:ascii="Times New Roman" w:eastAsia="Tahoma" w:hAnsi="Times New Roman" w:cs="Times New Roman"/>
                <w:b/>
                <w:bCs/>
                <w:sz w:val="18"/>
                <w:szCs w:val="18"/>
              </w:rPr>
              <w:t>Categories</w:t>
            </w:r>
          </w:p>
        </w:tc>
        <w:tc>
          <w:tcPr>
            <w:tcW w:w="3261" w:type="dxa"/>
            <w:tcBorders>
              <w:top w:val="single" w:sz="10" w:space="0" w:color="000000"/>
              <w:left w:val="single" w:sz="5" w:space="0" w:color="CCCCCC"/>
              <w:bottom w:val="single" w:sz="10" w:space="0" w:color="000000"/>
              <w:right w:val="single" w:sz="10" w:space="0" w:color="000000"/>
            </w:tcBorders>
            <w:shd w:val="clear" w:color="auto" w:fill="auto"/>
            <w:tcMar>
              <w:top w:w="0" w:type="dxa"/>
              <w:left w:w="40" w:type="dxa"/>
              <w:bottom w:w="0" w:type="dxa"/>
              <w:right w:w="40" w:type="dxa"/>
            </w:tcMar>
          </w:tcPr>
          <w:p w14:paraId="26221438" w14:textId="77777777" w:rsidR="002F0D23" w:rsidRPr="004F5CF6" w:rsidRDefault="00000000" w:rsidP="007B7BB2">
            <w:pPr>
              <w:widowControl w:val="0"/>
              <w:spacing w:after="0" w:line="240" w:lineRule="auto"/>
              <w:jc w:val="center"/>
              <w:rPr>
                <w:rFonts w:ascii="Times New Roman" w:eastAsia="Calibri" w:hAnsi="Times New Roman" w:cs="Times New Roman"/>
                <w:b/>
                <w:bCs/>
                <w:sz w:val="18"/>
                <w:szCs w:val="18"/>
              </w:rPr>
            </w:pPr>
            <w:r w:rsidRPr="004F5CF6">
              <w:rPr>
                <w:rFonts w:ascii="Times New Roman" w:eastAsia="Tahoma" w:hAnsi="Times New Roman" w:cs="Times New Roman"/>
                <w:b/>
                <w:bCs/>
                <w:sz w:val="18"/>
                <w:szCs w:val="18"/>
              </w:rPr>
              <w:t>Key findings on transparency</w:t>
            </w:r>
          </w:p>
        </w:tc>
      </w:tr>
      <w:tr w:rsidR="00DE0CFA" w:rsidRPr="00DE0CFA" w14:paraId="73DFAAA7" w14:textId="77777777" w:rsidTr="003047CB">
        <w:trPr>
          <w:cantSplit/>
          <w:trHeight w:val="1269"/>
        </w:trPr>
        <w:tc>
          <w:tcPr>
            <w:tcW w:w="1055" w:type="dxa"/>
            <w:tcBorders>
              <w:top w:val="single" w:sz="5" w:space="0" w:color="CCCCCC"/>
              <w:left w:val="single" w:sz="10" w:space="0" w:color="000000"/>
              <w:bottom w:val="single" w:sz="5" w:space="0" w:color="000000"/>
              <w:right w:val="single" w:sz="5" w:space="0" w:color="000000"/>
            </w:tcBorders>
            <w:tcMar>
              <w:top w:w="0" w:type="dxa"/>
              <w:left w:w="40" w:type="dxa"/>
              <w:bottom w:w="0" w:type="dxa"/>
              <w:right w:w="40" w:type="dxa"/>
            </w:tcMar>
          </w:tcPr>
          <w:p w14:paraId="1CB36BB3"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JLL (2022)</w:t>
            </w:r>
          </w:p>
        </w:tc>
        <w:tc>
          <w:tcPr>
            <w:tcW w:w="1134"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2A37747E"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Global Real Estate Transparency Index</w:t>
            </w:r>
          </w:p>
        </w:tc>
        <w:tc>
          <w:tcPr>
            <w:tcW w:w="1985"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4885364B"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Provide a global transparency benchmark as a guide for cross-borders real estate investors, lenders and corporate occupiers</w:t>
            </w:r>
          </w:p>
        </w:tc>
        <w:tc>
          <w:tcPr>
            <w:tcW w:w="1275"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17AD55D1"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156 cities across 94 countries and territories</w:t>
            </w:r>
          </w:p>
        </w:tc>
        <w:tc>
          <w:tcPr>
            <w:tcW w:w="1441"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7DEFE0BB"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Survey and follow-up interviews and market research for verification</w:t>
            </w:r>
          </w:p>
        </w:tc>
        <w:tc>
          <w:tcPr>
            <w:tcW w:w="3095"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57BB8595" w14:textId="6E184893"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 xml:space="preserve">6 </w:t>
            </w:r>
            <w:r w:rsidRPr="004F5CF6">
              <w:rPr>
                <w:rFonts w:ascii="Times New Roman" w:eastAsia="Tahoma" w:hAnsi="Times New Roman" w:cs="Times New Roman"/>
                <w:sz w:val="18"/>
                <w:szCs w:val="18"/>
                <w:u w:val="single"/>
              </w:rPr>
              <w:t>sub-indices</w:t>
            </w:r>
            <w:r w:rsidRPr="004F5CF6">
              <w:rPr>
                <w:rFonts w:ascii="Times New Roman" w:eastAsia="Tahoma" w:hAnsi="Times New Roman" w:cs="Times New Roman"/>
                <w:sz w:val="18"/>
                <w:szCs w:val="18"/>
              </w:rPr>
              <w:t xml:space="preserve"> (see above) which incorporate 254 different datapoints /questions</w:t>
            </w:r>
          </w:p>
          <w:p w14:paraId="500082F0"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 xml:space="preserve">5 </w:t>
            </w:r>
            <w:r w:rsidRPr="004F5CF6">
              <w:rPr>
                <w:rFonts w:ascii="Times New Roman" w:eastAsia="Tahoma" w:hAnsi="Times New Roman" w:cs="Times New Roman"/>
                <w:sz w:val="18"/>
                <w:szCs w:val="18"/>
                <w:u w:val="single"/>
              </w:rPr>
              <w:t>levels of transparency</w:t>
            </w:r>
            <w:r w:rsidRPr="004F5CF6">
              <w:rPr>
                <w:rFonts w:ascii="Times New Roman" w:eastAsia="Tahoma" w:hAnsi="Times New Roman" w:cs="Times New Roman"/>
                <w:sz w:val="18"/>
                <w:szCs w:val="18"/>
              </w:rPr>
              <w:t>:</w:t>
            </w:r>
          </w:p>
          <w:p w14:paraId="3EAC1AE9"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high</w:t>
            </w:r>
          </w:p>
          <w:p w14:paraId="6B9141CC"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transparent</w:t>
            </w:r>
          </w:p>
          <w:p w14:paraId="3E961131"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semi-transparent</w:t>
            </w:r>
          </w:p>
          <w:p w14:paraId="1E1E55CD"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semi-opaque</w:t>
            </w:r>
          </w:p>
          <w:p w14:paraId="52B43CE0" w14:textId="4AB7A48A"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opaque</w:t>
            </w:r>
          </w:p>
        </w:tc>
        <w:tc>
          <w:tcPr>
            <w:tcW w:w="3261" w:type="dxa"/>
            <w:tcBorders>
              <w:top w:val="single" w:sz="5" w:space="0" w:color="CCCCCC"/>
              <w:left w:val="single" w:sz="5" w:space="0" w:color="CCCCCC"/>
              <w:bottom w:val="single" w:sz="5" w:space="0" w:color="000000"/>
              <w:right w:val="single" w:sz="10" w:space="0" w:color="000000"/>
            </w:tcBorders>
            <w:tcMar>
              <w:top w:w="0" w:type="dxa"/>
              <w:left w:w="40" w:type="dxa"/>
              <w:bottom w:w="0" w:type="dxa"/>
              <w:right w:w="40" w:type="dxa"/>
            </w:tcMar>
          </w:tcPr>
          <w:p w14:paraId="254F2BE0"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Compared to 2020, the global transparency score has improved, albeit at a slower rate.</w:t>
            </w:r>
          </w:p>
          <w:p w14:paraId="6952F408"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Widening transparency gap between the leading markets (setting higher standards) and the majority of other markets (stagnation or even regression).</w:t>
            </w:r>
          </w:p>
          <w:p w14:paraId="2E68D7EF"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Sustainability has become the biggest catalyst for transparency improvements.</w:t>
            </w:r>
          </w:p>
          <w:p w14:paraId="0730BD6D"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Use of new technologies drives transparency, but varies widely.</w:t>
            </w:r>
          </w:p>
        </w:tc>
      </w:tr>
      <w:tr w:rsidR="00DE0CFA" w:rsidRPr="00DE0CFA" w14:paraId="18917E0A" w14:textId="77777777" w:rsidTr="003047CB">
        <w:trPr>
          <w:cantSplit/>
          <w:trHeight w:val="1553"/>
        </w:trPr>
        <w:tc>
          <w:tcPr>
            <w:tcW w:w="1055" w:type="dxa"/>
            <w:tcBorders>
              <w:top w:val="single" w:sz="5" w:space="0" w:color="CCCCCC"/>
              <w:left w:val="single" w:sz="10" w:space="0" w:color="000000"/>
              <w:bottom w:val="single" w:sz="5" w:space="0" w:color="000000"/>
              <w:right w:val="single" w:sz="5" w:space="0" w:color="000000"/>
            </w:tcBorders>
            <w:tcMar>
              <w:top w:w="0" w:type="dxa"/>
              <w:left w:w="40" w:type="dxa"/>
              <w:bottom w:w="0" w:type="dxa"/>
              <w:right w:w="40" w:type="dxa"/>
            </w:tcMar>
          </w:tcPr>
          <w:p w14:paraId="66A2C160"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World Bank (2020)</w:t>
            </w:r>
          </w:p>
        </w:tc>
        <w:tc>
          <w:tcPr>
            <w:tcW w:w="1134"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0CE171B2" w14:textId="11AB622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Ease of Doing Business Index</w:t>
            </w:r>
          </w:p>
        </w:tc>
        <w:tc>
          <w:tcPr>
            <w:tcW w:w="1985"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2C8D7592" w14:textId="44D1897A"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 xml:space="preserve">Comparing frameworks for doing business, providing governments with benchmarks, identifying reforms </w:t>
            </w:r>
            <w:r w:rsidR="006E366E" w:rsidRPr="004F5CF6">
              <w:rPr>
                <w:rFonts w:ascii="Times New Roman" w:eastAsia="Tahoma" w:hAnsi="Times New Roman" w:cs="Times New Roman"/>
                <w:sz w:val="18"/>
                <w:szCs w:val="18"/>
              </w:rPr>
              <w:t>for</w:t>
            </w:r>
            <w:r w:rsidRPr="004F5CF6">
              <w:rPr>
                <w:rFonts w:ascii="Times New Roman" w:eastAsia="Tahoma" w:hAnsi="Times New Roman" w:cs="Times New Roman"/>
                <w:sz w:val="18"/>
                <w:szCs w:val="18"/>
              </w:rPr>
              <w:t xml:space="preserve"> better business environment, enabling businesses with information to make informed decisions</w:t>
            </w:r>
          </w:p>
        </w:tc>
        <w:tc>
          <w:tcPr>
            <w:tcW w:w="1275"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52D4642E"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190 economies (politically independent countries and territories with their own government and economy)</w:t>
            </w:r>
          </w:p>
        </w:tc>
        <w:tc>
          <w:tcPr>
            <w:tcW w:w="1441"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50BCAC8B"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Survey and expert consultations</w:t>
            </w:r>
          </w:p>
          <w:p w14:paraId="713429CF"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In addition:</w:t>
            </w:r>
          </w:p>
          <w:p w14:paraId="7934D7D1"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information on potential regulatory reforms from governments and World Bank teams</w:t>
            </w:r>
          </w:p>
        </w:tc>
        <w:tc>
          <w:tcPr>
            <w:tcW w:w="3095"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4E96DF29" w14:textId="5016ED54"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 xml:space="preserve">12 </w:t>
            </w:r>
            <w:r w:rsidRPr="004F5CF6">
              <w:rPr>
                <w:rFonts w:ascii="Times New Roman" w:eastAsia="Tahoma" w:hAnsi="Times New Roman" w:cs="Times New Roman"/>
                <w:sz w:val="18"/>
                <w:szCs w:val="18"/>
                <w:u w:val="single"/>
              </w:rPr>
              <w:t>areas of business regulation</w:t>
            </w:r>
          </w:p>
          <w:p w14:paraId="0CFC143F"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 xml:space="preserve">10 areas are included in the </w:t>
            </w:r>
            <w:r w:rsidRPr="004F5CF6">
              <w:rPr>
                <w:rFonts w:ascii="Times New Roman" w:eastAsia="Tahoma" w:hAnsi="Times New Roman" w:cs="Times New Roman"/>
                <w:sz w:val="18"/>
                <w:szCs w:val="18"/>
                <w:u w:val="single"/>
              </w:rPr>
              <w:t>score</w:t>
            </w:r>
            <w:r w:rsidRPr="004F5CF6">
              <w:rPr>
                <w:rFonts w:ascii="Times New Roman" w:eastAsia="Tahoma" w:hAnsi="Times New Roman" w:cs="Times New Roman"/>
                <w:sz w:val="18"/>
                <w:szCs w:val="18"/>
              </w:rPr>
              <w:t xml:space="preserve"> (assessing the absolute level of regulatory performance and its change over time) and the </w:t>
            </w:r>
            <w:r w:rsidRPr="004F5CF6">
              <w:rPr>
                <w:rFonts w:ascii="Times New Roman" w:eastAsia="Tahoma" w:hAnsi="Times New Roman" w:cs="Times New Roman"/>
                <w:sz w:val="18"/>
                <w:szCs w:val="18"/>
                <w:u w:val="single"/>
              </w:rPr>
              <w:t>ranking</w:t>
            </w:r>
            <w:r w:rsidRPr="004F5CF6">
              <w:rPr>
                <w:rFonts w:ascii="Times New Roman" w:eastAsia="Tahoma" w:hAnsi="Times New Roman" w:cs="Times New Roman"/>
                <w:sz w:val="18"/>
                <w:szCs w:val="18"/>
              </w:rPr>
              <w:t xml:space="preserve"> (performance in business regulation relative to the performance of others)</w:t>
            </w:r>
          </w:p>
        </w:tc>
        <w:tc>
          <w:tcPr>
            <w:tcW w:w="3261" w:type="dxa"/>
            <w:tcBorders>
              <w:top w:val="single" w:sz="5" w:space="0" w:color="CCCCCC"/>
              <w:left w:val="single" w:sz="5" w:space="0" w:color="CCCCCC"/>
              <w:bottom w:val="single" w:sz="5" w:space="0" w:color="000000"/>
              <w:right w:val="single" w:sz="10" w:space="0" w:color="000000"/>
            </w:tcBorders>
            <w:tcMar>
              <w:top w:w="0" w:type="dxa"/>
              <w:left w:w="40" w:type="dxa"/>
              <w:bottom w:w="0" w:type="dxa"/>
              <w:right w:w="40" w:type="dxa"/>
            </w:tcMar>
          </w:tcPr>
          <w:p w14:paraId="722DE079"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Property registration:</w:t>
            </w:r>
          </w:p>
          <w:p w14:paraId="6509865A"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146 economies lack full coverage of private land in their registers.</w:t>
            </w:r>
          </w:p>
          <w:p w14:paraId="39742966"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Only 3% of low-income economies formally register all privately owned land.</w:t>
            </w:r>
          </w:p>
          <w:p w14:paraId="17CFC3A6" w14:textId="023025B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A total of 92 economies scored zero on the geographical coverage of privately owned land Index, 12 on the transparency of information index and 31 on the reliability of infrastructure index.</w:t>
            </w:r>
          </w:p>
        </w:tc>
      </w:tr>
      <w:tr w:rsidR="00DE0CFA" w:rsidRPr="00DE0CFA" w14:paraId="3F9DE65B" w14:textId="77777777" w:rsidTr="003047CB">
        <w:trPr>
          <w:cantSplit/>
          <w:trHeight w:val="1241"/>
        </w:trPr>
        <w:tc>
          <w:tcPr>
            <w:tcW w:w="1055" w:type="dxa"/>
            <w:tcBorders>
              <w:top w:val="single" w:sz="5" w:space="0" w:color="CCCCCC"/>
              <w:left w:val="single" w:sz="10" w:space="0" w:color="000000"/>
              <w:bottom w:val="single" w:sz="5" w:space="0" w:color="000000"/>
              <w:right w:val="single" w:sz="5" w:space="0" w:color="000000"/>
            </w:tcBorders>
            <w:tcMar>
              <w:top w:w="0" w:type="dxa"/>
              <w:left w:w="40" w:type="dxa"/>
              <w:bottom w:w="0" w:type="dxa"/>
              <w:right w:w="40" w:type="dxa"/>
            </w:tcMar>
          </w:tcPr>
          <w:p w14:paraId="209D0B18"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proofErr w:type="spellStart"/>
            <w:r w:rsidRPr="004F5CF6">
              <w:rPr>
                <w:rFonts w:ascii="Times New Roman" w:eastAsia="Tahoma" w:hAnsi="Times New Roman" w:cs="Times New Roman"/>
                <w:sz w:val="18"/>
                <w:szCs w:val="18"/>
              </w:rPr>
              <w:t>TEGoVA</w:t>
            </w:r>
            <w:proofErr w:type="spellEnd"/>
            <w:r w:rsidRPr="004F5CF6">
              <w:rPr>
                <w:rFonts w:ascii="Times New Roman" w:eastAsia="Tahoma" w:hAnsi="Times New Roman" w:cs="Times New Roman"/>
                <w:sz w:val="18"/>
                <w:szCs w:val="18"/>
              </w:rPr>
              <w:t xml:space="preserve"> / Nick French (2020)</w:t>
            </w:r>
          </w:p>
        </w:tc>
        <w:tc>
          <w:tcPr>
            <w:tcW w:w="1134"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43BF59CE"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Use of Comparable Evidence in Property Valuation</w:t>
            </w:r>
          </w:p>
        </w:tc>
        <w:tc>
          <w:tcPr>
            <w:tcW w:w="1985"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557B29CF"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Identify the availability of comparable data in the market/income approach, and how professional valuers use and rank them</w:t>
            </w:r>
          </w:p>
        </w:tc>
        <w:tc>
          <w:tcPr>
            <w:tcW w:w="1275"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2285DD79" w14:textId="4DCA1E2A"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 xml:space="preserve">34 </w:t>
            </w:r>
            <w:r w:rsidR="00DE0CFA" w:rsidRPr="004F5CF6">
              <w:rPr>
                <w:rFonts w:ascii="Times New Roman" w:eastAsia="Tahoma" w:hAnsi="Times New Roman" w:cs="Times New Roman"/>
                <w:sz w:val="18"/>
                <w:szCs w:val="18"/>
              </w:rPr>
              <w:t>European</w:t>
            </w:r>
            <w:r w:rsidRPr="004F5CF6">
              <w:rPr>
                <w:rFonts w:ascii="Times New Roman" w:eastAsia="Tahoma" w:hAnsi="Times New Roman" w:cs="Times New Roman"/>
                <w:sz w:val="18"/>
                <w:szCs w:val="18"/>
              </w:rPr>
              <w:t xml:space="preserve"> countries represented within </w:t>
            </w:r>
            <w:proofErr w:type="spellStart"/>
            <w:r w:rsidRPr="004F5CF6">
              <w:rPr>
                <w:rFonts w:ascii="Times New Roman" w:eastAsia="Tahoma" w:hAnsi="Times New Roman" w:cs="Times New Roman"/>
                <w:sz w:val="18"/>
                <w:szCs w:val="18"/>
              </w:rPr>
              <w:t>TEGoVA</w:t>
            </w:r>
            <w:proofErr w:type="spellEnd"/>
          </w:p>
        </w:tc>
        <w:tc>
          <w:tcPr>
            <w:tcW w:w="1441"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60681DFD"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Survey</w:t>
            </w:r>
          </w:p>
        </w:tc>
        <w:tc>
          <w:tcPr>
            <w:tcW w:w="3095"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3888E9DA"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Categories of comparable evidence used by experts in valuation processes:</w:t>
            </w:r>
          </w:p>
          <w:p w14:paraId="77802B88"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u w:val="single"/>
              </w:rPr>
              <w:t>Hard information</w:t>
            </w:r>
            <w:r w:rsidRPr="004F5CF6">
              <w:rPr>
                <w:rFonts w:ascii="Times New Roman" w:eastAsia="Tahoma" w:hAnsi="Times New Roman" w:cs="Times New Roman"/>
                <w:sz w:val="18"/>
                <w:szCs w:val="18"/>
              </w:rPr>
              <w:t>: all information on comparable sales that is available: direct transactional evidence (e.g. recent sales/lettings)</w:t>
            </w:r>
          </w:p>
          <w:p w14:paraId="0B12EA5C" w14:textId="40E22250"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u w:val="single"/>
              </w:rPr>
              <w:t>Soft information</w:t>
            </w:r>
            <w:r w:rsidRPr="004F5CF6">
              <w:rPr>
                <w:rFonts w:ascii="Times New Roman" w:eastAsia="Tahoma" w:hAnsi="Times New Roman" w:cs="Times New Roman"/>
                <w:sz w:val="18"/>
                <w:szCs w:val="18"/>
              </w:rPr>
              <w:t>: third party and non-verifiable data: all public information, databases, sale &amp; asking prices, indices, AVMs, market sentiment</w:t>
            </w:r>
          </w:p>
        </w:tc>
        <w:tc>
          <w:tcPr>
            <w:tcW w:w="3261" w:type="dxa"/>
            <w:tcBorders>
              <w:top w:val="single" w:sz="5" w:space="0" w:color="CCCCCC"/>
              <w:left w:val="single" w:sz="5" w:space="0" w:color="CCCCCC"/>
              <w:bottom w:val="single" w:sz="5" w:space="0" w:color="000000"/>
              <w:right w:val="single" w:sz="10" w:space="0" w:color="000000"/>
            </w:tcBorders>
            <w:tcMar>
              <w:top w:w="0" w:type="dxa"/>
              <w:left w:w="40" w:type="dxa"/>
              <w:bottom w:w="0" w:type="dxa"/>
              <w:right w:w="40" w:type="dxa"/>
            </w:tcMar>
          </w:tcPr>
          <w:p w14:paraId="1FEC1993"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A decrease in market transparency is usually accompanied by a decrease in the availability of comparable data and an increase in the importance and the use of information on asking prices and other less confidential data</w:t>
            </w:r>
          </w:p>
        </w:tc>
      </w:tr>
      <w:tr w:rsidR="00DE0CFA" w:rsidRPr="00DE0CFA" w14:paraId="1BF3F228" w14:textId="77777777" w:rsidTr="003047CB">
        <w:trPr>
          <w:cantSplit/>
          <w:trHeight w:val="88"/>
        </w:trPr>
        <w:tc>
          <w:tcPr>
            <w:tcW w:w="1055" w:type="dxa"/>
            <w:tcBorders>
              <w:top w:val="single" w:sz="5" w:space="0" w:color="CCCCCC"/>
              <w:left w:val="single" w:sz="10" w:space="0" w:color="000000"/>
              <w:bottom w:val="single" w:sz="5" w:space="0" w:color="000000"/>
              <w:right w:val="single" w:sz="5" w:space="0" w:color="000000"/>
            </w:tcBorders>
            <w:tcMar>
              <w:top w:w="0" w:type="dxa"/>
              <w:left w:w="40" w:type="dxa"/>
              <w:bottom w:w="0" w:type="dxa"/>
              <w:right w:w="40" w:type="dxa"/>
            </w:tcMar>
          </w:tcPr>
          <w:p w14:paraId="279B159D"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lastRenderedPageBreak/>
              <w:t>IFRS Foundation (2011)</w:t>
            </w:r>
          </w:p>
        </w:tc>
        <w:tc>
          <w:tcPr>
            <w:tcW w:w="1134"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0398F8BD"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Fair Value Measurement</w:t>
            </w:r>
          </w:p>
          <w:p w14:paraId="1E8B0FD4"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(IFRS 13)</w:t>
            </w:r>
          </w:p>
        </w:tc>
        <w:tc>
          <w:tcPr>
            <w:tcW w:w="1985"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6AE30C3C" w14:textId="11616A83"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 xml:space="preserve">Establish uniform reporting standards for the fair value measurement approach; require disclosure of information; provide a basis for valuing assets </w:t>
            </w:r>
            <w:r w:rsidR="007B7BB2" w:rsidRPr="004F5CF6">
              <w:rPr>
                <w:rFonts w:ascii="Times New Roman" w:eastAsia="Tahoma" w:hAnsi="Times New Roman" w:cs="Times New Roman"/>
                <w:sz w:val="18"/>
                <w:szCs w:val="18"/>
              </w:rPr>
              <w:t xml:space="preserve">and </w:t>
            </w:r>
            <w:r w:rsidRPr="004F5CF6">
              <w:rPr>
                <w:rFonts w:ascii="Times New Roman" w:eastAsia="Tahoma" w:hAnsi="Times New Roman" w:cs="Times New Roman"/>
                <w:sz w:val="18"/>
                <w:szCs w:val="18"/>
              </w:rPr>
              <w:t>liabilities</w:t>
            </w:r>
            <w:r w:rsidRPr="004F5CF6">
              <w:rPr>
                <w:rFonts w:ascii="Times New Roman" w:eastAsia="Arial" w:hAnsi="Times New Roman" w:cs="Times New Roman"/>
                <w:sz w:val="18"/>
                <w:szCs w:val="18"/>
              </w:rPr>
              <w:t xml:space="preserve"> </w:t>
            </w:r>
          </w:p>
        </w:tc>
        <w:tc>
          <w:tcPr>
            <w:tcW w:w="1275"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34E74EDF" w14:textId="4E51824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Appl</w:t>
            </w:r>
            <w:r w:rsidR="006E366E" w:rsidRPr="004F5CF6">
              <w:rPr>
                <w:rFonts w:ascii="Times New Roman" w:eastAsia="Tahoma" w:hAnsi="Times New Roman" w:cs="Times New Roman"/>
                <w:sz w:val="18"/>
                <w:szCs w:val="18"/>
              </w:rPr>
              <w:t>ies</w:t>
            </w:r>
            <w:r w:rsidRPr="004F5CF6">
              <w:rPr>
                <w:rFonts w:ascii="Times New Roman" w:eastAsia="Tahoma" w:hAnsi="Times New Roman" w:cs="Times New Roman"/>
                <w:sz w:val="18"/>
                <w:szCs w:val="18"/>
              </w:rPr>
              <w:t xml:space="preserve"> to all companies reporting under IFRS and </w:t>
            </w:r>
            <w:r w:rsidR="007B7BB2" w:rsidRPr="004F5CF6">
              <w:rPr>
                <w:rFonts w:ascii="Times New Roman" w:eastAsia="Tahoma" w:hAnsi="Times New Roman" w:cs="Times New Roman"/>
                <w:sz w:val="18"/>
                <w:szCs w:val="18"/>
              </w:rPr>
              <w:t xml:space="preserve">public </w:t>
            </w:r>
            <w:r w:rsidRPr="004F5CF6">
              <w:rPr>
                <w:rFonts w:ascii="Times New Roman" w:eastAsia="Tahoma" w:hAnsi="Times New Roman" w:cs="Times New Roman"/>
                <w:sz w:val="18"/>
                <w:szCs w:val="18"/>
              </w:rPr>
              <w:t xml:space="preserve">entities </w:t>
            </w:r>
            <w:r w:rsidR="007B7BB2" w:rsidRPr="004F5CF6">
              <w:rPr>
                <w:rFonts w:ascii="Times New Roman" w:eastAsia="Tahoma" w:hAnsi="Times New Roman" w:cs="Times New Roman"/>
                <w:sz w:val="18"/>
                <w:szCs w:val="18"/>
              </w:rPr>
              <w:t>reporting</w:t>
            </w:r>
            <w:r w:rsidRPr="004F5CF6">
              <w:rPr>
                <w:rFonts w:ascii="Times New Roman" w:eastAsia="Tahoma" w:hAnsi="Times New Roman" w:cs="Times New Roman"/>
                <w:sz w:val="18"/>
                <w:szCs w:val="18"/>
              </w:rPr>
              <w:t xml:space="preserve"> fair value measurements</w:t>
            </w:r>
          </w:p>
        </w:tc>
        <w:tc>
          <w:tcPr>
            <w:tcW w:w="1441"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55DF760D"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Guideline criteria</w:t>
            </w:r>
          </w:p>
        </w:tc>
        <w:tc>
          <w:tcPr>
            <w:tcW w:w="3095" w:type="dxa"/>
            <w:tcBorders>
              <w:top w:val="single" w:sz="5" w:space="0" w:color="CCCCCC"/>
              <w:left w:val="single" w:sz="5" w:space="0" w:color="CCCCCC"/>
              <w:bottom w:val="single" w:sz="5" w:space="0" w:color="000000"/>
              <w:right w:val="single" w:sz="5" w:space="0" w:color="000000"/>
            </w:tcBorders>
            <w:tcMar>
              <w:top w:w="0" w:type="dxa"/>
              <w:left w:w="40" w:type="dxa"/>
              <w:bottom w:w="0" w:type="dxa"/>
              <w:right w:w="40" w:type="dxa"/>
            </w:tcMar>
          </w:tcPr>
          <w:p w14:paraId="1572A46C"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Fair value hierarchy, categorised inputs into:</w:t>
            </w:r>
          </w:p>
          <w:p w14:paraId="6A1A87F1"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u w:val="single"/>
              </w:rPr>
              <w:t>Level 1</w:t>
            </w:r>
            <w:r w:rsidRPr="004F5CF6">
              <w:rPr>
                <w:rFonts w:ascii="Times New Roman" w:eastAsia="Tahoma" w:hAnsi="Times New Roman" w:cs="Times New Roman"/>
                <w:sz w:val="18"/>
                <w:szCs w:val="18"/>
              </w:rPr>
              <w:t>: quoted prices (unadjusted) in active markets for identical assets</w:t>
            </w:r>
          </w:p>
          <w:p w14:paraId="16DE180C"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u w:val="single"/>
              </w:rPr>
              <w:t>Level 2</w:t>
            </w:r>
            <w:r w:rsidRPr="004F5CF6">
              <w:rPr>
                <w:rFonts w:ascii="Times New Roman" w:eastAsia="Tahoma" w:hAnsi="Times New Roman" w:cs="Times New Roman"/>
                <w:sz w:val="18"/>
                <w:szCs w:val="18"/>
              </w:rPr>
              <w:t>: other Level 1 inputs that are directly or indirectly observable for the asset</w:t>
            </w:r>
          </w:p>
          <w:p w14:paraId="614D42A0"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u w:val="single"/>
              </w:rPr>
              <w:t>Level 3</w:t>
            </w:r>
            <w:r w:rsidRPr="004F5CF6">
              <w:rPr>
                <w:rFonts w:ascii="Times New Roman" w:eastAsia="Tahoma" w:hAnsi="Times New Roman" w:cs="Times New Roman"/>
                <w:sz w:val="18"/>
                <w:szCs w:val="18"/>
              </w:rPr>
              <w:t>: unobservable inputs for the asset</w:t>
            </w:r>
          </w:p>
        </w:tc>
        <w:tc>
          <w:tcPr>
            <w:tcW w:w="3261" w:type="dxa"/>
            <w:tcBorders>
              <w:top w:val="single" w:sz="5" w:space="0" w:color="CCCCCC"/>
              <w:left w:val="single" w:sz="5" w:space="0" w:color="CCCCCC"/>
              <w:bottom w:val="single" w:sz="5" w:space="0" w:color="000000"/>
              <w:right w:val="single" w:sz="10" w:space="0" w:color="000000"/>
            </w:tcBorders>
            <w:tcMar>
              <w:top w:w="0" w:type="dxa"/>
              <w:left w:w="40" w:type="dxa"/>
              <w:bottom w:w="0" w:type="dxa"/>
              <w:right w:w="40" w:type="dxa"/>
            </w:tcMar>
          </w:tcPr>
          <w:p w14:paraId="6C01CBCA" w14:textId="56F62E33" w:rsidR="002F0D23" w:rsidRPr="004F5CF6" w:rsidRDefault="00DE0CFA" w:rsidP="007B7BB2">
            <w:pPr>
              <w:widowControl w:val="0"/>
              <w:spacing w:after="0" w:line="240" w:lineRule="auto"/>
              <w:rPr>
                <w:rFonts w:ascii="Times New Roman" w:eastAsia="Calibri" w:hAnsi="Times New Roman" w:cs="Times New Roman"/>
                <w:sz w:val="18"/>
                <w:szCs w:val="18"/>
              </w:rPr>
            </w:pPr>
            <w:r w:rsidRPr="004F5CF6">
              <w:rPr>
                <w:rFonts w:ascii="Times New Roman" w:eastAsia="Times New Roman" w:hAnsi="Times New Roman" w:cs="Times New Roman"/>
                <w:sz w:val="18"/>
                <w:szCs w:val="18"/>
              </w:rPr>
              <w:t>N/a</w:t>
            </w:r>
          </w:p>
        </w:tc>
      </w:tr>
      <w:tr w:rsidR="00DE0CFA" w:rsidRPr="00DE0CFA" w14:paraId="3BF2E6D3" w14:textId="77777777" w:rsidTr="003047CB">
        <w:trPr>
          <w:cantSplit/>
          <w:trHeight w:val="272"/>
        </w:trPr>
        <w:tc>
          <w:tcPr>
            <w:tcW w:w="1055" w:type="dxa"/>
            <w:tcBorders>
              <w:top w:val="single" w:sz="5" w:space="0" w:color="CCCCCC"/>
              <w:left w:val="single" w:sz="10" w:space="0" w:color="000000"/>
              <w:bottom w:val="single" w:sz="10" w:space="0" w:color="000000"/>
              <w:right w:val="single" w:sz="5" w:space="0" w:color="000000"/>
            </w:tcBorders>
            <w:tcMar>
              <w:top w:w="0" w:type="dxa"/>
              <w:left w:w="40" w:type="dxa"/>
              <w:bottom w:w="0" w:type="dxa"/>
              <w:right w:w="40" w:type="dxa"/>
            </w:tcMar>
          </w:tcPr>
          <w:p w14:paraId="789DA00D"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RICS (2019)</w:t>
            </w:r>
          </w:p>
        </w:tc>
        <w:tc>
          <w:tcPr>
            <w:tcW w:w="1134" w:type="dxa"/>
            <w:tcBorders>
              <w:top w:val="single" w:sz="5" w:space="0" w:color="CCCCCC"/>
              <w:left w:val="single" w:sz="5" w:space="0" w:color="CCCCCC"/>
              <w:bottom w:val="single" w:sz="10" w:space="0" w:color="000000"/>
              <w:right w:val="single" w:sz="5" w:space="0" w:color="000000"/>
            </w:tcBorders>
            <w:tcMar>
              <w:top w:w="0" w:type="dxa"/>
              <w:left w:w="40" w:type="dxa"/>
              <w:bottom w:w="0" w:type="dxa"/>
              <w:right w:w="40" w:type="dxa"/>
            </w:tcMar>
          </w:tcPr>
          <w:p w14:paraId="5212036A"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Comparable evidence in real estate valuation</w:t>
            </w:r>
          </w:p>
        </w:tc>
        <w:tc>
          <w:tcPr>
            <w:tcW w:w="1985" w:type="dxa"/>
            <w:tcBorders>
              <w:top w:val="single" w:sz="5" w:space="0" w:color="CCCCCC"/>
              <w:left w:val="single" w:sz="5" w:space="0" w:color="CCCCCC"/>
              <w:bottom w:val="single" w:sz="10" w:space="0" w:color="000000"/>
              <w:right w:val="single" w:sz="5" w:space="0" w:color="000000"/>
            </w:tcBorders>
            <w:tcMar>
              <w:top w:w="0" w:type="dxa"/>
              <w:left w:w="40" w:type="dxa"/>
              <w:bottom w:w="0" w:type="dxa"/>
              <w:right w:w="40" w:type="dxa"/>
            </w:tcMar>
          </w:tcPr>
          <w:p w14:paraId="32E1C297"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Establish globally consistent principles for the use of comparable data; Discuss and address its use, its availability, its potential sources and its relative importance in the property valuation process</w:t>
            </w:r>
          </w:p>
        </w:tc>
        <w:tc>
          <w:tcPr>
            <w:tcW w:w="1275" w:type="dxa"/>
            <w:tcBorders>
              <w:top w:val="single" w:sz="5" w:space="0" w:color="CCCCCC"/>
              <w:left w:val="single" w:sz="5" w:space="0" w:color="CCCCCC"/>
              <w:bottom w:val="single" w:sz="10" w:space="0" w:color="000000"/>
              <w:right w:val="single" w:sz="5" w:space="0" w:color="000000"/>
            </w:tcBorders>
            <w:tcMar>
              <w:top w:w="0" w:type="dxa"/>
              <w:left w:w="40" w:type="dxa"/>
              <w:bottom w:w="0" w:type="dxa"/>
              <w:right w:w="40" w:type="dxa"/>
            </w:tcMar>
          </w:tcPr>
          <w:p w14:paraId="16C4F7CF"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Requirements or expectations how to provide services/ outcomes apply for all RICS members and regulated firms</w:t>
            </w:r>
          </w:p>
        </w:tc>
        <w:tc>
          <w:tcPr>
            <w:tcW w:w="1441" w:type="dxa"/>
            <w:tcBorders>
              <w:top w:val="single" w:sz="5" w:space="0" w:color="CCCCCC"/>
              <w:left w:val="single" w:sz="5" w:space="0" w:color="CCCCCC"/>
              <w:bottom w:val="single" w:sz="10" w:space="0" w:color="000000"/>
              <w:right w:val="single" w:sz="5" w:space="0" w:color="000000"/>
            </w:tcBorders>
            <w:tcMar>
              <w:top w:w="0" w:type="dxa"/>
              <w:left w:w="40" w:type="dxa"/>
              <w:bottom w:w="0" w:type="dxa"/>
              <w:right w:w="40" w:type="dxa"/>
            </w:tcMar>
          </w:tcPr>
          <w:p w14:paraId="0A51116C"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rPr>
              <w:t>Setting of standards</w:t>
            </w:r>
          </w:p>
        </w:tc>
        <w:tc>
          <w:tcPr>
            <w:tcW w:w="3095" w:type="dxa"/>
            <w:tcBorders>
              <w:top w:val="single" w:sz="5" w:space="0" w:color="CCCCCC"/>
              <w:left w:val="single" w:sz="5" w:space="0" w:color="CCCCCC"/>
              <w:bottom w:val="single" w:sz="10" w:space="0" w:color="000000"/>
              <w:right w:val="single" w:sz="5" w:space="0" w:color="000000"/>
            </w:tcBorders>
            <w:tcMar>
              <w:top w:w="0" w:type="dxa"/>
              <w:left w:w="40" w:type="dxa"/>
              <w:bottom w:w="0" w:type="dxa"/>
              <w:right w:w="40" w:type="dxa"/>
            </w:tcMar>
          </w:tcPr>
          <w:p w14:paraId="5FA7D353" w14:textId="77777777"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rPr>
              <w:t>Categorised Indication of relative importance:</w:t>
            </w:r>
          </w:p>
          <w:p w14:paraId="4462F3FD" w14:textId="00EC9A15"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u w:val="single"/>
              </w:rPr>
              <w:t>Category A</w:t>
            </w:r>
            <w:r w:rsidRPr="004F5CF6">
              <w:rPr>
                <w:rFonts w:ascii="Times New Roman" w:eastAsia="Tahoma" w:hAnsi="Times New Roman" w:cs="Times New Roman"/>
                <w:sz w:val="18"/>
                <w:szCs w:val="18"/>
              </w:rPr>
              <w:t>: direct comparables (comparable transaction data</w:t>
            </w:r>
            <w:r w:rsidR="007B7BB2" w:rsidRPr="004F5CF6">
              <w:rPr>
                <w:rFonts w:ascii="Times New Roman" w:eastAsia="Tahoma" w:hAnsi="Times New Roman" w:cs="Times New Roman"/>
                <w:sz w:val="18"/>
                <w:szCs w:val="18"/>
              </w:rPr>
              <w:t xml:space="preserve"> -</w:t>
            </w:r>
            <w:r w:rsidRPr="004F5CF6">
              <w:rPr>
                <w:rFonts w:ascii="Times New Roman" w:eastAsia="Tahoma" w:hAnsi="Times New Roman" w:cs="Times New Roman"/>
                <w:sz w:val="18"/>
                <w:szCs w:val="18"/>
              </w:rPr>
              <w:t xml:space="preserve"> recent almost identical or similar properties with full </w:t>
            </w:r>
            <w:r w:rsidR="007B7BB2" w:rsidRPr="004F5CF6">
              <w:rPr>
                <w:rFonts w:ascii="Times New Roman" w:eastAsia="Tahoma" w:hAnsi="Times New Roman" w:cs="Times New Roman"/>
                <w:sz w:val="18"/>
                <w:szCs w:val="18"/>
              </w:rPr>
              <w:t>and</w:t>
            </w:r>
            <w:r w:rsidRPr="004F5CF6">
              <w:rPr>
                <w:rFonts w:ascii="Times New Roman" w:eastAsia="Tahoma" w:hAnsi="Times New Roman" w:cs="Times New Roman"/>
                <w:sz w:val="18"/>
                <w:szCs w:val="18"/>
              </w:rPr>
              <w:t xml:space="preserve"> accurate information; asking prices)</w:t>
            </w:r>
          </w:p>
          <w:p w14:paraId="23370CC6" w14:textId="36769C3A" w:rsidR="002F0D23" w:rsidRPr="004F5CF6" w:rsidRDefault="00000000" w:rsidP="007B7BB2">
            <w:pPr>
              <w:widowControl w:val="0"/>
              <w:spacing w:after="0" w:line="240" w:lineRule="auto"/>
              <w:rPr>
                <w:rFonts w:ascii="Times New Roman" w:eastAsia="Tahoma" w:hAnsi="Times New Roman" w:cs="Times New Roman"/>
                <w:sz w:val="18"/>
                <w:szCs w:val="18"/>
              </w:rPr>
            </w:pPr>
            <w:r w:rsidRPr="004F5CF6">
              <w:rPr>
                <w:rFonts w:ascii="Times New Roman" w:eastAsia="Tahoma" w:hAnsi="Times New Roman" w:cs="Times New Roman"/>
                <w:sz w:val="18"/>
                <w:szCs w:val="18"/>
                <w:u w:val="single"/>
              </w:rPr>
              <w:t>Category B</w:t>
            </w:r>
            <w:r w:rsidRPr="004F5CF6">
              <w:rPr>
                <w:rFonts w:ascii="Times New Roman" w:eastAsia="Tahoma" w:hAnsi="Times New Roman" w:cs="Times New Roman"/>
                <w:sz w:val="18"/>
                <w:szCs w:val="18"/>
              </w:rPr>
              <w:t xml:space="preserve">: general market data </w:t>
            </w:r>
            <w:r w:rsidR="007B7BB2" w:rsidRPr="004F5CF6">
              <w:rPr>
                <w:rFonts w:ascii="Times New Roman" w:eastAsia="Tahoma" w:hAnsi="Times New Roman" w:cs="Times New Roman"/>
                <w:sz w:val="18"/>
                <w:szCs w:val="18"/>
              </w:rPr>
              <w:t>(e.g.</w:t>
            </w:r>
            <w:r w:rsidRPr="004F5CF6">
              <w:rPr>
                <w:rFonts w:ascii="Times New Roman" w:eastAsia="Tahoma" w:hAnsi="Times New Roman" w:cs="Times New Roman"/>
                <w:sz w:val="18"/>
                <w:szCs w:val="18"/>
              </w:rPr>
              <w:t xml:space="preserve"> indices, commercial/public databases, demand/supply data)</w:t>
            </w:r>
          </w:p>
          <w:p w14:paraId="11F1D5EF" w14:textId="77777777" w:rsidR="002F0D23" w:rsidRPr="004F5CF6" w:rsidRDefault="00000000" w:rsidP="007B7BB2">
            <w:pPr>
              <w:widowControl w:val="0"/>
              <w:spacing w:after="0" w:line="240" w:lineRule="auto"/>
              <w:rPr>
                <w:rFonts w:ascii="Times New Roman" w:eastAsia="Calibri" w:hAnsi="Times New Roman" w:cs="Times New Roman"/>
                <w:sz w:val="18"/>
                <w:szCs w:val="18"/>
              </w:rPr>
            </w:pPr>
            <w:r w:rsidRPr="004F5CF6">
              <w:rPr>
                <w:rFonts w:ascii="Times New Roman" w:eastAsia="Tahoma" w:hAnsi="Times New Roman" w:cs="Times New Roman"/>
                <w:sz w:val="18"/>
                <w:szCs w:val="18"/>
                <w:u w:val="single"/>
              </w:rPr>
              <w:t>Category C</w:t>
            </w:r>
            <w:r w:rsidRPr="004F5CF6">
              <w:rPr>
                <w:rFonts w:ascii="Times New Roman" w:eastAsia="Tahoma" w:hAnsi="Times New Roman" w:cs="Times New Roman"/>
                <w:sz w:val="18"/>
                <w:szCs w:val="18"/>
              </w:rPr>
              <w:t>: other sources (e.g. transactional evidence from other real estate types or locations, background data like interest rates)</w:t>
            </w:r>
          </w:p>
        </w:tc>
        <w:tc>
          <w:tcPr>
            <w:tcW w:w="3261" w:type="dxa"/>
            <w:tcBorders>
              <w:top w:val="single" w:sz="5" w:space="0" w:color="CCCCCC"/>
              <w:left w:val="single" w:sz="5" w:space="0" w:color="CCCCCC"/>
              <w:bottom w:val="single" w:sz="10" w:space="0" w:color="000000"/>
              <w:right w:val="single" w:sz="10" w:space="0" w:color="000000"/>
            </w:tcBorders>
            <w:tcMar>
              <w:top w:w="0" w:type="dxa"/>
              <w:left w:w="40" w:type="dxa"/>
              <w:bottom w:w="0" w:type="dxa"/>
              <w:right w:w="40" w:type="dxa"/>
            </w:tcMar>
          </w:tcPr>
          <w:p w14:paraId="05A8E8AD" w14:textId="22979EE0" w:rsidR="002F0D23" w:rsidRPr="004F5CF6" w:rsidRDefault="00DE0CFA" w:rsidP="007B7BB2">
            <w:pPr>
              <w:widowControl w:val="0"/>
              <w:spacing w:after="0" w:line="240" w:lineRule="auto"/>
              <w:rPr>
                <w:rFonts w:ascii="Times New Roman" w:eastAsia="Calibri" w:hAnsi="Times New Roman" w:cs="Times New Roman"/>
                <w:sz w:val="18"/>
                <w:szCs w:val="18"/>
              </w:rPr>
            </w:pPr>
            <w:r w:rsidRPr="004F5CF6">
              <w:rPr>
                <w:rFonts w:ascii="Times New Roman" w:eastAsia="Times New Roman" w:hAnsi="Times New Roman" w:cs="Times New Roman"/>
                <w:sz w:val="18"/>
                <w:szCs w:val="18"/>
              </w:rPr>
              <w:t>N/a</w:t>
            </w:r>
          </w:p>
        </w:tc>
      </w:tr>
    </w:tbl>
    <w:p w14:paraId="70088037" w14:textId="77777777" w:rsidR="007B7BB2" w:rsidRDefault="007B7BB2">
      <w:pPr>
        <w:spacing w:after="0" w:line="240" w:lineRule="auto"/>
        <w:rPr>
          <w:rFonts w:ascii="Times New Roman" w:eastAsia="Times New Roman" w:hAnsi="Times New Roman" w:cs="Times New Roman"/>
          <w:sz w:val="24"/>
          <w:szCs w:val="24"/>
        </w:rPr>
      </w:pPr>
    </w:p>
    <w:p w14:paraId="5714B845" w14:textId="77777777" w:rsidR="004F5CF6" w:rsidRDefault="004F5CF6">
      <w:pPr>
        <w:spacing w:after="0" w:line="240" w:lineRule="auto"/>
        <w:rPr>
          <w:rFonts w:ascii="Times New Roman" w:eastAsia="Times New Roman" w:hAnsi="Times New Roman" w:cs="Times New Roman"/>
          <w:sz w:val="24"/>
          <w:szCs w:val="24"/>
        </w:rPr>
      </w:pPr>
    </w:p>
    <w:p w14:paraId="587F0AF1" w14:textId="77777777" w:rsidR="004F5CF6" w:rsidRDefault="004F5CF6">
      <w:pPr>
        <w:spacing w:after="0" w:line="240" w:lineRule="auto"/>
        <w:rPr>
          <w:rFonts w:ascii="Times New Roman" w:eastAsia="Times New Roman" w:hAnsi="Times New Roman" w:cs="Times New Roman"/>
          <w:sz w:val="24"/>
          <w:szCs w:val="24"/>
        </w:rPr>
      </w:pPr>
    </w:p>
    <w:p w14:paraId="7DD2B5EF" w14:textId="77777777" w:rsidR="004F5CF6" w:rsidRDefault="004F5CF6">
      <w:pPr>
        <w:spacing w:after="0" w:line="240" w:lineRule="auto"/>
        <w:rPr>
          <w:rFonts w:ascii="Times New Roman" w:eastAsia="Times New Roman" w:hAnsi="Times New Roman" w:cs="Times New Roman"/>
          <w:sz w:val="24"/>
          <w:szCs w:val="24"/>
        </w:rPr>
      </w:pPr>
    </w:p>
    <w:p w14:paraId="05284FCB" w14:textId="77777777" w:rsidR="004F5CF6" w:rsidRDefault="004F5CF6">
      <w:pPr>
        <w:spacing w:after="0" w:line="240" w:lineRule="auto"/>
        <w:rPr>
          <w:rFonts w:ascii="Times New Roman" w:eastAsia="Times New Roman" w:hAnsi="Times New Roman" w:cs="Times New Roman"/>
          <w:sz w:val="24"/>
          <w:szCs w:val="24"/>
        </w:rPr>
        <w:sectPr w:rsidR="004F5CF6" w:rsidSect="00A90FDE">
          <w:pgSz w:w="16838" w:h="11906" w:orient="landscape"/>
          <w:pgMar w:top="1440" w:right="1440" w:bottom="1440" w:left="1440" w:header="708" w:footer="708" w:gutter="0"/>
          <w:pgNumType w:start="1"/>
          <w:cols w:space="720"/>
          <w:docGrid w:linePitch="299"/>
        </w:sectPr>
      </w:pPr>
    </w:p>
    <w:p w14:paraId="1C730F8D" w14:textId="77777777" w:rsidR="007B7BB2" w:rsidRPr="00DE0CFA" w:rsidRDefault="007B7BB2">
      <w:pPr>
        <w:spacing w:after="0" w:line="240" w:lineRule="auto"/>
        <w:rPr>
          <w:rFonts w:ascii="Times New Roman" w:eastAsia="Times New Roman" w:hAnsi="Times New Roman" w:cs="Times New Roman"/>
          <w:sz w:val="24"/>
          <w:szCs w:val="24"/>
        </w:rPr>
      </w:pPr>
    </w:p>
    <w:p w14:paraId="65DF593D" w14:textId="77777777" w:rsidR="002F0D23" w:rsidRPr="00DE0CFA" w:rsidRDefault="00000000">
      <w:pPr>
        <w:pStyle w:val="Heading2"/>
      </w:pPr>
      <w:bookmarkStart w:id="17" w:name="_x7yfi13tgiaq" w:colFirst="0" w:colLast="0"/>
      <w:bookmarkEnd w:id="17"/>
      <w:r w:rsidRPr="00DE0CFA">
        <w:t>2.11.</w:t>
      </w:r>
      <w:r w:rsidRPr="00DE0CFA">
        <w:tab/>
        <w:t>Risks associated with transparency indicators</w:t>
      </w:r>
    </w:p>
    <w:p w14:paraId="446F6BF3"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018D2D9C" w14:textId="4BCEC26F"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The flipside of international governance rankings based on quantitative indicators and their influence can be illustrated by the World Bank's Global Business Climate Index (</w:t>
      </w:r>
      <w:proofErr w:type="spellStart"/>
      <w:r w:rsidRPr="00DE0CFA">
        <w:rPr>
          <w:rFonts w:ascii="Times New Roman" w:eastAsia="Times New Roman" w:hAnsi="Times New Roman" w:cs="Times New Roman"/>
          <w:sz w:val="24"/>
          <w:szCs w:val="24"/>
        </w:rPr>
        <w:t>EoDB</w:t>
      </w:r>
      <w:proofErr w:type="spellEnd"/>
      <w:r w:rsidRPr="00DE0CFA">
        <w:rPr>
          <w:rFonts w:ascii="Times New Roman" w:eastAsia="Times New Roman" w:hAnsi="Times New Roman" w:cs="Times New Roman"/>
          <w:sz w:val="24"/>
          <w:szCs w:val="24"/>
        </w:rPr>
        <w:t xml:space="preserve">). The indicators have been collected by the IFC, a member of the World Bank Group and the largest global development institution focused exclusively on the private sector in developing countries. In 2020, the World Bank stopped publishing its </w:t>
      </w:r>
      <w:proofErr w:type="spellStart"/>
      <w:r w:rsidRPr="00DE0CFA">
        <w:rPr>
          <w:rFonts w:ascii="Times New Roman" w:eastAsia="Times New Roman" w:hAnsi="Times New Roman" w:cs="Times New Roman"/>
          <w:sz w:val="24"/>
          <w:szCs w:val="24"/>
        </w:rPr>
        <w:t>EoDB</w:t>
      </w:r>
      <w:proofErr w:type="spellEnd"/>
      <w:r w:rsidRPr="00DE0CFA">
        <w:rPr>
          <w:rFonts w:ascii="Times New Roman" w:eastAsia="Times New Roman" w:hAnsi="Times New Roman" w:cs="Times New Roman"/>
          <w:sz w:val="24"/>
          <w:szCs w:val="24"/>
        </w:rPr>
        <w:t xml:space="preserve"> Index after </w:t>
      </w:r>
      <w:r w:rsidRPr="00806820">
        <w:rPr>
          <w:rFonts w:ascii="Times New Roman" w:eastAsia="Times New Roman" w:hAnsi="Times New Roman" w:cs="Times New Roman"/>
          <w:i/>
          <w:iCs/>
          <w:sz w:val="24"/>
          <w:szCs w:val="24"/>
        </w:rPr>
        <w:t xml:space="preserve">'irregularities' </w:t>
      </w:r>
      <w:r w:rsidRPr="00DE0CFA">
        <w:rPr>
          <w:rFonts w:ascii="Times New Roman" w:eastAsia="Times New Roman" w:hAnsi="Times New Roman" w:cs="Times New Roman"/>
          <w:sz w:val="24"/>
          <w:szCs w:val="24"/>
        </w:rPr>
        <w:t xml:space="preserve">were found in the data and the index was suspected of being corrupt. Specifically, the index was criticised for being subject to political influence, which repeatedly resulted in </w:t>
      </w:r>
      <w:r w:rsidR="00806820">
        <w:rPr>
          <w:rFonts w:ascii="Times New Roman" w:eastAsia="Times New Roman" w:hAnsi="Times New Roman" w:cs="Times New Roman"/>
          <w:i/>
          <w:sz w:val="24"/>
          <w:szCs w:val="24"/>
        </w:rPr>
        <w:t>‘</w:t>
      </w:r>
      <w:r w:rsidRPr="00806820">
        <w:rPr>
          <w:rFonts w:ascii="Times New Roman" w:eastAsia="Times New Roman" w:hAnsi="Times New Roman" w:cs="Times New Roman"/>
          <w:i/>
          <w:sz w:val="24"/>
          <w:szCs w:val="24"/>
        </w:rPr>
        <w:t>artefact[s] of methodological changes</w:t>
      </w:r>
      <w:r w:rsidR="00806820">
        <w:rPr>
          <w:rFonts w:ascii="Times New Roman" w:eastAsia="Times New Roman" w:hAnsi="Times New Roman" w:cs="Times New Roman"/>
          <w:i/>
          <w:sz w:val="24"/>
          <w:szCs w:val="24"/>
        </w:rPr>
        <w:t>’</w:t>
      </w:r>
      <w:r w:rsidRPr="00DE0CFA">
        <w:rPr>
          <w:rFonts w:ascii="Times New Roman" w:eastAsia="Times New Roman" w:hAnsi="Times New Roman" w:cs="Times New Roman"/>
          <w:sz w:val="24"/>
          <w:szCs w:val="24"/>
        </w:rPr>
        <w:t xml:space="preserve"> rather than actual development progress (Reisen, 2020). There is therefore a potential risk </w:t>
      </w:r>
      <w:r w:rsidRPr="00DE0CFA">
        <w:rPr>
          <w:rFonts w:ascii="Times New Roman" w:eastAsia="Times New Roman" w:hAnsi="Times New Roman" w:cs="Times New Roman"/>
          <w:i/>
          <w:sz w:val="24"/>
          <w:szCs w:val="24"/>
        </w:rPr>
        <w:t>"to distort and corrupt the social processes it is intended to monitor"</w:t>
      </w:r>
      <w:r w:rsidRPr="00DE0CFA">
        <w:rPr>
          <w:rFonts w:ascii="Times New Roman" w:eastAsia="Times New Roman" w:hAnsi="Times New Roman" w:cs="Times New Roman"/>
          <w:sz w:val="24"/>
          <w:szCs w:val="24"/>
        </w:rPr>
        <w:t xml:space="preserve"> - as postulated in Campbell's Law (Campbell, 1976, p</w:t>
      </w:r>
      <w:r w:rsidR="00806820">
        <w:rPr>
          <w:rFonts w:ascii="Times New Roman" w:eastAsia="Times New Roman" w:hAnsi="Times New Roman" w:cs="Times New Roman"/>
          <w:sz w:val="24"/>
          <w:szCs w:val="24"/>
        </w:rPr>
        <w:t xml:space="preserve">. </w:t>
      </w:r>
      <w:r w:rsidRPr="00DE0CFA">
        <w:rPr>
          <w:rFonts w:ascii="Times New Roman" w:eastAsia="Times New Roman" w:hAnsi="Times New Roman" w:cs="Times New Roman"/>
          <w:sz w:val="24"/>
          <w:szCs w:val="24"/>
        </w:rPr>
        <w:t>49). Despite all the positive impulses that such transparency indicators can have for the economy and society, this aspect must not be lost sight of.</w:t>
      </w:r>
    </w:p>
    <w:p w14:paraId="201B7578"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58762E1F" w14:textId="77777777" w:rsidR="002F0D23" w:rsidRPr="00DE0CFA" w:rsidRDefault="00000000">
      <w:pPr>
        <w:pStyle w:val="Heading2"/>
      </w:pPr>
      <w:bookmarkStart w:id="18" w:name="_em5pmhh38511" w:colFirst="0" w:colLast="0"/>
      <w:bookmarkEnd w:id="18"/>
      <w:r w:rsidRPr="00DE0CFA">
        <w:t>2.12.</w:t>
      </w:r>
      <w:r w:rsidRPr="00DE0CFA">
        <w:tab/>
        <w:t>Formal vs. informal markets</w:t>
      </w:r>
    </w:p>
    <w:p w14:paraId="48D44313"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121E0FF7" w14:textId="030DDF9A"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On a global scale, there has been much more interest in informal and unregistered land and property</w:t>
      </w:r>
      <w:r w:rsidR="00806820">
        <w:rPr>
          <w:rFonts w:ascii="Times New Roman" w:eastAsia="Times New Roman" w:hAnsi="Times New Roman" w:cs="Times New Roman"/>
          <w:sz w:val="24"/>
          <w:szCs w:val="24"/>
        </w:rPr>
        <w:t>.</w:t>
      </w:r>
      <w:r w:rsidRPr="00806820">
        <w:rPr>
          <w:rFonts w:ascii="Times New Roman" w:eastAsia="Times New Roman" w:hAnsi="Times New Roman" w:cs="Times New Roman"/>
          <w:i/>
          <w:iCs/>
          <w:sz w:val="24"/>
          <w:szCs w:val="24"/>
        </w:rPr>
        <w:t>‘70% of global land and property is unregistered’</w:t>
      </w:r>
      <w:r w:rsidRPr="00DE0CFA">
        <w:rPr>
          <w:rFonts w:ascii="Times New Roman" w:eastAsia="Times New Roman" w:hAnsi="Times New Roman" w:cs="Times New Roman"/>
          <w:sz w:val="24"/>
          <w:szCs w:val="24"/>
        </w:rPr>
        <w:t xml:space="preserve"> </w:t>
      </w:r>
      <w:r w:rsidR="00806820">
        <w:rPr>
          <w:rFonts w:ascii="Times New Roman" w:eastAsia="Times New Roman" w:hAnsi="Times New Roman" w:cs="Times New Roman"/>
          <w:sz w:val="24"/>
          <w:szCs w:val="24"/>
        </w:rPr>
        <w:t>(</w:t>
      </w:r>
      <w:r w:rsidR="00806820" w:rsidRPr="00DE0CFA">
        <w:rPr>
          <w:rFonts w:ascii="Times New Roman" w:eastAsia="Times New Roman" w:hAnsi="Times New Roman" w:cs="Times New Roman"/>
          <w:sz w:val="24"/>
          <w:szCs w:val="24"/>
        </w:rPr>
        <w:t>GLTN</w:t>
      </w:r>
      <w:r w:rsidR="00806820">
        <w:rPr>
          <w:rFonts w:ascii="Times New Roman" w:eastAsia="Times New Roman" w:hAnsi="Times New Roman" w:cs="Times New Roman"/>
          <w:sz w:val="24"/>
          <w:szCs w:val="24"/>
        </w:rPr>
        <w:t xml:space="preserve">, </w:t>
      </w:r>
      <w:r w:rsidR="00806820" w:rsidRPr="00DE0CFA">
        <w:rPr>
          <w:rFonts w:ascii="Times New Roman" w:eastAsia="Times New Roman" w:hAnsi="Times New Roman" w:cs="Times New Roman"/>
          <w:sz w:val="24"/>
          <w:szCs w:val="24"/>
        </w:rPr>
        <w:t>2021)</w:t>
      </w:r>
      <w:r w:rsidRPr="00DE0CFA">
        <w:rPr>
          <w:rFonts w:ascii="Times New Roman" w:eastAsia="Times New Roman" w:hAnsi="Times New Roman" w:cs="Times New Roman"/>
          <w:sz w:val="24"/>
          <w:szCs w:val="24"/>
        </w:rPr>
        <w:t>. Research by RICS on unregistered land valuation (Obeng-Odoom and McDermott, 2018), the UN Habitat GLTN policy on the valuation of unregistered land (GLTN</w:t>
      </w:r>
      <w:r w:rsidR="00351AC7">
        <w:rPr>
          <w:rFonts w:ascii="Times New Roman" w:eastAsia="Times New Roman" w:hAnsi="Times New Roman" w:cs="Times New Roman"/>
          <w:sz w:val="24"/>
          <w:szCs w:val="24"/>
        </w:rPr>
        <w:t xml:space="preserve">, </w:t>
      </w:r>
      <w:r w:rsidRPr="00DE0CFA">
        <w:rPr>
          <w:rFonts w:ascii="Times New Roman" w:eastAsia="Times New Roman" w:hAnsi="Times New Roman" w:cs="Times New Roman"/>
          <w:sz w:val="24"/>
          <w:szCs w:val="24"/>
        </w:rPr>
        <w:t xml:space="preserve">2018) and the </w:t>
      </w:r>
      <w:r w:rsidR="00806820" w:rsidRPr="00806820">
        <w:rPr>
          <w:rFonts w:ascii="Times New Roman" w:eastAsia="Times New Roman" w:hAnsi="Times New Roman" w:cs="Times New Roman"/>
          <w:i/>
          <w:iCs/>
          <w:sz w:val="24"/>
          <w:szCs w:val="24"/>
        </w:rPr>
        <w:t>V</w:t>
      </w:r>
      <w:r w:rsidRPr="00806820">
        <w:rPr>
          <w:rFonts w:ascii="Times New Roman" w:eastAsia="Times New Roman" w:hAnsi="Times New Roman" w:cs="Times New Roman"/>
          <w:i/>
          <w:iCs/>
          <w:sz w:val="24"/>
          <w:szCs w:val="24"/>
        </w:rPr>
        <w:t>aluation of unregistered land operational manual</w:t>
      </w:r>
      <w:r w:rsidRPr="00DE0CFA">
        <w:rPr>
          <w:rFonts w:ascii="Times New Roman" w:eastAsia="Times New Roman" w:hAnsi="Times New Roman" w:cs="Times New Roman"/>
          <w:sz w:val="24"/>
          <w:szCs w:val="24"/>
        </w:rPr>
        <w:t xml:space="preserve"> by UN Habitat GLTN/RICS/FIG/IVSC </w:t>
      </w:r>
      <w:r w:rsidR="00351AC7">
        <w:rPr>
          <w:rFonts w:ascii="Times New Roman" w:eastAsia="Times New Roman" w:hAnsi="Times New Roman" w:cs="Times New Roman"/>
          <w:sz w:val="24"/>
          <w:szCs w:val="24"/>
        </w:rPr>
        <w:t>(</w:t>
      </w:r>
      <w:r w:rsidRPr="00DE0CFA">
        <w:rPr>
          <w:rFonts w:ascii="Times New Roman" w:eastAsia="Times New Roman" w:hAnsi="Times New Roman" w:cs="Times New Roman"/>
          <w:sz w:val="24"/>
          <w:szCs w:val="24"/>
        </w:rPr>
        <w:t>GLTN</w:t>
      </w:r>
      <w:r w:rsidR="00351AC7">
        <w:rPr>
          <w:rFonts w:ascii="Times New Roman" w:eastAsia="Times New Roman" w:hAnsi="Times New Roman" w:cs="Times New Roman"/>
          <w:sz w:val="24"/>
          <w:szCs w:val="24"/>
        </w:rPr>
        <w:t xml:space="preserve">, </w:t>
      </w:r>
      <w:r w:rsidRPr="00DE0CFA">
        <w:rPr>
          <w:rFonts w:ascii="Times New Roman" w:eastAsia="Times New Roman" w:hAnsi="Times New Roman" w:cs="Times New Roman"/>
          <w:sz w:val="24"/>
          <w:szCs w:val="24"/>
        </w:rPr>
        <w:t>2021) highlight that land formalisation is not necessary to enable valuation/appraisal of assets and functioning, if inefficient, land and property markets. However, informality is by its very nature opaque and valuation information in particular requires transparency and accessibility if it is to be used as a method for others to use (comparable evidence and hierarchy of evidence).</w:t>
      </w:r>
    </w:p>
    <w:p w14:paraId="265724F7"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7831CDFA" w14:textId="620E1E98"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Informal </w:t>
      </w:r>
      <w:r w:rsidRPr="00806820">
        <w:rPr>
          <w:rFonts w:ascii="Times New Roman" w:eastAsia="Times New Roman" w:hAnsi="Times New Roman" w:cs="Times New Roman"/>
          <w:i/>
          <w:iCs/>
          <w:sz w:val="24"/>
          <w:szCs w:val="24"/>
        </w:rPr>
        <w:t>‘markets’</w:t>
      </w:r>
      <w:r w:rsidRPr="00DE0CFA">
        <w:rPr>
          <w:rFonts w:ascii="Times New Roman" w:eastAsia="Times New Roman" w:hAnsi="Times New Roman" w:cs="Times New Roman"/>
          <w:sz w:val="24"/>
          <w:szCs w:val="24"/>
        </w:rPr>
        <w:t xml:space="preserve"> are outside of government agency control and the </w:t>
      </w:r>
      <w:r w:rsidRPr="00806820">
        <w:rPr>
          <w:rFonts w:ascii="Times New Roman" w:eastAsia="Times New Roman" w:hAnsi="Times New Roman" w:cs="Times New Roman"/>
          <w:i/>
          <w:iCs/>
          <w:sz w:val="24"/>
          <w:szCs w:val="24"/>
        </w:rPr>
        <w:t>‘risk’</w:t>
      </w:r>
      <w:r w:rsidRPr="00DE0CFA">
        <w:rPr>
          <w:rFonts w:ascii="Times New Roman" w:eastAsia="Times New Roman" w:hAnsi="Times New Roman" w:cs="Times New Roman"/>
          <w:sz w:val="24"/>
          <w:szCs w:val="24"/>
        </w:rPr>
        <w:t xml:space="preserve"> associated with informality can lead to all kinds of issues – from enormously high lending rates and skewed banking systems, lack of access to secured lending, the need for continued occupation to maintain tenure rights and legitimacy, a non-existent tax revenue and the maintenance of a power imbalance between local elites and those that rely on their largesse. </w:t>
      </w:r>
      <w:r w:rsidRPr="00351AC7">
        <w:rPr>
          <w:rFonts w:ascii="Times New Roman" w:eastAsia="Times New Roman" w:hAnsi="Times New Roman" w:cs="Times New Roman"/>
          <w:sz w:val="24"/>
          <w:szCs w:val="24"/>
        </w:rPr>
        <w:t>Informal land and property valuation and the resulting lack of comparable valuation data can a</w:t>
      </w:r>
      <w:r w:rsidRPr="00DE0CFA">
        <w:rPr>
          <w:rFonts w:ascii="Times New Roman" w:eastAsia="Times New Roman" w:hAnsi="Times New Roman" w:cs="Times New Roman"/>
          <w:sz w:val="24"/>
          <w:szCs w:val="24"/>
        </w:rPr>
        <w:t>lso lead to the adoption of inappropriate valuation methodologies and in many cases the consistent undervaluation of assets</w:t>
      </w:r>
      <w:r w:rsidR="00351AC7">
        <w:rPr>
          <w:rFonts w:ascii="Times New Roman" w:eastAsia="Times New Roman" w:hAnsi="Times New Roman" w:cs="Times New Roman"/>
          <w:sz w:val="24"/>
          <w:szCs w:val="24"/>
        </w:rPr>
        <w:t xml:space="preserve"> </w:t>
      </w:r>
      <w:r w:rsidR="00351AC7" w:rsidRPr="00DE0CFA">
        <w:rPr>
          <w:rFonts w:ascii="Times New Roman" w:eastAsia="Times New Roman" w:hAnsi="Times New Roman" w:cs="Times New Roman"/>
          <w:sz w:val="24"/>
          <w:szCs w:val="24"/>
        </w:rPr>
        <w:t>(Obeng-Odoom and McDermott, 2018</w:t>
      </w:r>
      <w:r w:rsidRPr="00DE0CFA">
        <w:rPr>
          <w:rFonts w:ascii="Times New Roman" w:eastAsia="Times New Roman" w:hAnsi="Times New Roman" w:cs="Times New Roman"/>
          <w:sz w:val="24"/>
          <w:szCs w:val="24"/>
        </w:rPr>
        <w:t>).</w:t>
      </w:r>
    </w:p>
    <w:p w14:paraId="29B7DD24"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0DAB8885" w14:textId="0A50C20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A land valuation is an estimate of the value of land rights. Usually, it is a financial estimate of the transfer price or market value of land rights. Valuations are often required when land rights are being transferred from one party to another, are being expropriated, are to provide security for a loan or form the basis of assessment for land taxes. Valuations fill a price information gap. The gap is caused by the decentralised nature of the real estate market and the infrequent transaction activity in relation to all assets (a shallow market). In many countries, valuation practice has evolved to meet these requirements. Yet in many other countries, despite acknowledgement of the importance of impartial and objective valuations of land rights, valuation professions have yet to establish themselves and capacity is very limited. Land rights may embody multiple forms of value. For example, land rights may have a value for their existing use, and a different value when allocated to an alternative use. These values depend not only on the supply of and demand for different land uses but also on the regulation of those uses by the State. More fundamentally, land rights may have a market value of their economic </w:t>
      </w:r>
      <w:r w:rsidRPr="00DE0CFA">
        <w:rPr>
          <w:rFonts w:ascii="Times New Roman" w:eastAsia="Times New Roman" w:hAnsi="Times New Roman" w:cs="Times New Roman"/>
          <w:sz w:val="24"/>
          <w:szCs w:val="24"/>
        </w:rPr>
        <w:lastRenderedPageBreak/>
        <w:t xml:space="preserve">capital and a non-market value of their natural capital and sociocultural capital. It is usually possible to express the market value of economic capital in monetary terms, but it may not be possible to express the economic value of all the non-market value of natural and sociocultural capital with any market evidence. In which case, </w:t>
      </w:r>
      <w:r w:rsidRPr="00806820">
        <w:rPr>
          <w:rFonts w:ascii="Times New Roman" w:eastAsia="Times New Roman" w:hAnsi="Times New Roman" w:cs="Times New Roman"/>
          <w:i/>
          <w:iCs/>
          <w:sz w:val="24"/>
          <w:szCs w:val="24"/>
        </w:rPr>
        <w:t>‘value’</w:t>
      </w:r>
      <w:r w:rsidRPr="00DE0CFA">
        <w:rPr>
          <w:rFonts w:ascii="Times New Roman" w:eastAsia="Times New Roman" w:hAnsi="Times New Roman" w:cs="Times New Roman"/>
          <w:sz w:val="24"/>
          <w:szCs w:val="24"/>
        </w:rPr>
        <w:t xml:space="preserve"> ceases to be a monetary amount but a measure of </w:t>
      </w:r>
      <w:r w:rsidRPr="00351AC7">
        <w:rPr>
          <w:rFonts w:ascii="Times New Roman" w:eastAsia="Times New Roman" w:hAnsi="Times New Roman" w:cs="Times New Roman"/>
          <w:i/>
          <w:iCs/>
          <w:sz w:val="24"/>
          <w:szCs w:val="24"/>
        </w:rPr>
        <w:t>‘importance’</w:t>
      </w:r>
      <w:r w:rsidRPr="00DE0CFA">
        <w:rPr>
          <w:rFonts w:ascii="Times New Roman" w:eastAsia="Times New Roman" w:hAnsi="Times New Roman" w:cs="Times New Roman"/>
          <w:sz w:val="24"/>
          <w:szCs w:val="24"/>
        </w:rPr>
        <w:t xml:space="preserve">. The development of the UN GLTN manual has opened a very important debate on this issue of non-market value, initially highlighted with UNFAO VGGTs (FAO, 2022) and </w:t>
      </w:r>
      <w:r w:rsidR="00351AC7">
        <w:rPr>
          <w:rFonts w:ascii="Times New Roman" w:eastAsia="Times New Roman" w:hAnsi="Times New Roman" w:cs="Times New Roman"/>
          <w:sz w:val="24"/>
          <w:szCs w:val="24"/>
        </w:rPr>
        <w:t>Western</w:t>
      </w:r>
      <w:r w:rsidRPr="00DE0CFA">
        <w:rPr>
          <w:rFonts w:ascii="Times New Roman" w:eastAsia="Times New Roman" w:hAnsi="Times New Roman" w:cs="Times New Roman"/>
          <w:sz w:val="24"/>
          <w:szCs w:val="24"/>
        </w:rPr>
        <w:t xml:space="preserve"> economic concepts of market value. The debate on </w:t>
      </w:r>
      <w:r w:rsidRPr="00351AC7">
        <w:rPr>
          <w:rFonts w:ascii="Times New Roman" w:eastAsia="Times New Roman" w:hAnsi="Times New Roman" w:cs="Times New Roman"/>
          <w:i/>
          <w:iCs/>
          <w:sz w:val="24"/>
          <w:szCs w:val="24"/>
        </w:rPr>
        <w:t>‘natural capital value’</w:t>
      </w:r>
      <w:r w:rsidRPr="00DE0CFA">
        <w:rPr>
          <w:rFonts w:ascii="Times New Roman" w:eastAsia="Times New Roman" w:hAnsi="Times New Roman" w:cs="Times New Roman"/>
          <w:sz w:val="24"/>
          <w:szCs w:val="24"/>
        </w:rPr>
        <w:t xml:space="preserve"> (HM Treasury 2021) being just one of many.</w:t>
      </w:r>
    </w:p>
    <w:p w14:paraId="08A11303"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26631283"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Valuation, and its accessibility and transparency, is a key element of a formalised land administration system and should be seen as a key element (along with Land Registration, Mapping and Planning) of any functioning land administration framework.</w:t>
      </w:r>
    </w:p>
    <w:p w14:paraId="41C9FCD0"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7CF48D80" w14:textId="77777777" w:rsidR="002F0D23" w:rsidRPr="00DE0CFA" w:rsidRDefault="00000000">
      <w:pPr>
        <w:pStyle w:val="Heading2"/>
      </w:pPr>
      <w:bookmarkStart w:id="19" w:name="_gxwlxopk2wzk" w:colFirst="0" w:colLast="0"/>
      <w:bookmarkEnd w:id="19"/>
      <w:r w:rsidRPr="00DE0CFA">
        <w:t>2.13.</w:t>
      </w:r>
      <w:r w:rsidRPr="00DE0CFA">
        <w:tab/>
        <w:t>Nature and role of public vs private information</w:t>
      </w:r>
    </w:p>
    <w:p w14:paraId="4CE574D0"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19BF3F95" w14:textId="59AF918B"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England and Wales (the UK operates differing real estate regimes in each constituent nation) may at first glance seem to have quite a transparent informational access regime in </w:t>
      </w:r>
      <w:proofErr w:type="gramStart"/>
      <w:r w:rsidRPr="00DE0CFA">
        <w:rPr>
          <w:rFonts w:ascii="Times New Roman" w:eastAsia="Times New Roman" w:hAnsi="Times New Roman" w:cs="Times New Roman"/>
          <w:sz w:val="24"/>
          <w:szCs w:val="24"/>
        </w:rPr>
        <w:t>place</w:t>
      </w:r>
      <w:proofErr w:type="gramEnd"/>
      <w:r w:rsidRPr="00DE0CFA">
        <w:rPr>
          <w:rFonts w:ascii="Times New Roman" w:eastAsia="Times New Roman" w:hAnsi="Times New Roman" w:cs="Times New Roman"/>
          <w:sz w:val="24"/>
          <w:szCs w:val="24"/>
        </w:rPr>
        <w:t xml:space="preserve"> but transparency of ownership has become an increasingly important issue due to potentially illegal activities (e.g. terrorist financing, money laundering, tax evasion) and primary legislation has now been introduced to increase transparency. The </w:t>
      </w:r>
      <w:r w:rsidRPr="006E366E">
        <w:rPr>
          <w:rFonts w:ascii="Times New Roman" w:eastAsia="Times New Roman" w:hAnsi="Times New Roman" w:cs="Times New Roman"/>
          <w:i/>
          <w:iCs/>
          <w:sz w:val="24"/>
          <w:szCs w:val="24"/>
        </w:rPr>
        <w:t xml:space="preserve">Economic Crime (Transparency and Enforcement) </w:t>
      </w:r>
      <w:hyperlink r:id="rId6">
        <w:r w:rsidRPr="006E366E">
          <w:rPr>
            <w:rFonts w:ascii="Times New Roman" w:eastAsia="Times New Roman" w:hAnsi="Times New Roman" w:cs="Times New Roman"/>
            <w:i/>
            <w:iCs/>
            <w:sz w:val="24"/>
            <w:szCs w:val="24"/>
          </w:rPr>
          <w:t>Bill</w:t>
        </w:r>
      </w:hyperlink>
      <w:r w:rsidRPr="00DE0CFA">
        <w:rPr>
          <w:rFonts w:ascii="Times New Roman" w:eastAsia="Times New Roman" w:hAnsi="Times New Roman" w:cs="Times New Roman"/>
          <w:sz w:val="24"/>
          <w:szCs w:val="24"/>
        </w:rPr>
        <w:t xml:space="preserve"> was introduced to Parliament on 1 March 2022 to increase the transparency of the ownership of UK property by non-UK entities. The </w:t>
      </w:r>
      <w:r w:rsidR="006E366E">
        <w:rPr>
          <w:rFonts w:ascii="Times New Roman" w:eastAsia="Times New Roman" w:hAnsi="Times New Roman" w:cs="Times New Roman"/>
          <w:sz w:val="24"/>
          <w:szCs w:val="24"/>
        </w:rPr>
        <w:t>b</w:t>
      </w:r>
      <w:r w:rsidRPr="00DE0CFA">
        <w:rPr>
          <w:rFonts w:ascii="Times New Roman" w:eastAsia="Times New Roman" w:hAnsi="Times New Roman" w:cs="Times New Roman"/>
          <w:sz w:val="24"/>
          <w:szCs w:val="24"/>
        </w:rPr>
        <w:t xml:space="preserve">ill’s introduction was brought forward in light of Russia’s invasion of Ukraine to help the implementation of the proposed sanctions announced by the Government. The </w:t>
      </w:r>
      <w:r w:rsidR="006E366E">
        <w:rPr>
          <w:rFonts w:ascii="Times New Roman" w:eastAsia="Times New Roman" w:hAnsi="Times New Roman" w:cs="Times New Roman"/>
          <w:sz w:val="24"/>
          <w:szCs w:val="24"/>
        </w:rPr>
        <w:t>b</w:t>
      </w:r>
      <w:r w:rsidRPr="00DE0CFA">
        <w:rPr>
          <w:rFonts w:ascii="Times New Roman" w:eastAsia="Times New Roman" w:hAnsi="Times New Roman" w:cs="Times New Roman"/>
          <w:sz w:val="24"/>
          <w:szCs w:val="24"/>
        </w:rPr>
        <w:t xml:space="preserve">ill has long been in the pipeline, and in 2019, a joint committee of the House of Lords and the House of Commons, the principal legislative bodies in the United Kingdom, released its report on the draft bill. See </w:t>
      </w:r>
      <w:hyperlink r:id="rId7">
        <w:r w:rsidRPr="00DE0CFA">
          <w:rPr>
            <w:rFonts w:ascii="Times New Roman" w:eastAsia="Times New Roman" w:hAnsi="Times New Roman" w:cs="Times New Roman"/>
            <w:sz w:val="24"/>
            <w:szCs w:val="24"/>
          </w:rPr>
          <w:t>Transparency for UK Property</w:t>
        </w:r>
      </w:hyperlink>
      <w:r w:rsidRPr="00DE0CFA">
        <w:rPr>
          <w:rFonts w:ascii="Times New Roman" w:eastAsia="Times New Roman" w:hAnsi="Times New Roman" w:cs="Times New Roman"/>
          <w:sz w:val="24"/>
          <w:szCs w:val="24"/>
        </w:rPr>
        <w:t xml:space="preserve">, for a summary of the key recommendations. It is however clear that this legislation is now going to be prioritised with cross-party political support and we can expect it to be law soon. The </w:t>
      </w:r>
      <w:r w:rsidR="006E366E">
        <w:rPr>
          <w:rFonts w:ascii="Times New Roman" w:eastAsia="Times New Roman" w:hAnsi="Times New Roman" w:cs="Times New Roman"/>
          <w:sz w:val="24"/>
          <w:szCs w:val="24"/>
        </w:rPr>
        <w:t>b</w:t>
      </w:r>
      <w:r w:rsidRPr="00DE0CFA">
        <w:rPr>
          <w:rFonts w:ascii="Times New Roman" w:eastAsia="Times New Roman" w:hAnsi="Times New Roman" w:cs="Times New Roman"/>
          <w:sz w:val="24"/>
          <w:szCs w:val="24"/>
        </w:rPr>
        <w:t xml:space="preserve">ill will create a new register that identifies the beneficial owners of non-UK entities that own UK property. This largely mirrors the current Persons with Significant Control (PSC) regime but whilst the PSC applies only to UK companies, this legislation will have </w:t>
      </w:r>
      <w:r w:rsidR="00351AC7">
        <w:rPr>
          <w:rFonts w:ascii="Times New Roman" w:eastAsia="Times New Roman" w:hAnsi="Times New Roman" w:cs="Times New Roman"/>
          <w:sz w:val="24"/>
          <w:szCs w:val="24"/>
        </w:rPr>
        <w:t xml:space="preserve">a </w:t>
      </w:r>
      <w:r w:rsidRPr="00DE0CFA">
        <w:rPr>
          <w:rFonts w:ascii="Times New Roman" w:eastAsia="Times New Roman" w:hAnsi="Times New Roman" w:cs="Times New Roman"/>
          <w:sz w:val="24"/>
          <w:szCs w:val="24"/>
        </w:rPr>
        <w:t>much wider effect for non-UK corporate entities. Non-compliance with this legislation may be a criminal offence and lead to restrictions over the sale of property.</w:t>
      </w:r>
    </w:p>
    <w:p w14:paraId="58F6FFCF"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16C08962" w14:textId="69D8B7ED"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RICS chartered surveyors are at the forefront of this issue and RICS has made sure to provide its members with appropriate advice and professional standards on bribery, corruption, money laundering and terrorist financing (RICS</w:t>
      </w:r>
      <w:r w:rsidR="00351AC7">
        <w:rPr>
          <w:rFonts w:ascii="Times New Roman" w:eastAsia="Times New Roman" w:hAnsi="Times New Roman" w:cs="Times New Roman"/>
          <w:sz w:val="24"/>
          <w:szCs w:val="24"/>
        </w:rPr>
        <w:t>,</w:t>
      </w:r>
      <w:r w:rsidRPr="00DE0CFA">
        <w:rPr>
          <w:rFonts w:ascii="Times New Roman" w:eastAsia="Times New Roman" w:hAnsi="Times New Roman" w:cs="Times New Roman"/>
          <w:sz w:val="24"/>
          <w:szCs w:val="24"/>
        </w:rPr>
        <w:t xml:space="preserve"> 2023).</w:t>
      </w:r>
    </w:p>
    <w:p w14:paraId="73633EA1"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41669203" w14:textId="4A21F1A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Land ownership is also included in this drive towards increased transparency with Scotland releasing its own national </w:t>
      </w:r>
      <w:r w:rsidRPr="006E366E">
        <w:rPr>
          <w:rFonts w:ascii="Times New Roman" w:eastAsia="Times New Roman" w:hAnsi="Times New Roman" w:cs="Times New Roman"/>
          <w:i/>
          <w:iCs/>
          <w:sz w:val="24"/>
          <w:szCs w:val="24"/>
        </w:rPr>
        <w:t>Register of Persons Holding a Controlled Interest in Land</w:t>
      </w:r>
      <w:r w:rsidRPr="00DE0CFA">
        <w:rPr>
          <w:rFonts w:ascii="Times New Roman" w:eastAsia="Times New Roman" w:hAnsi="Times New Roman" w:cs="Times New Roman"/>
          <w:sz w:val="24"/>
          <w:szCs w:val="24"/>
        </w:rPr>
        <w:t xml:space="preserve"> (</w:t>
      </w:r>
      <w:proofErr w:type="spellStart"/>
      <w:r w:rsidRPr="00DE0CFA">
        <w:rPr>
          <w:rFonts w:ascii="Times New Roman" w:eastAsia="Times New Roman" w:hAnsi="Times New Roman" w:cs="Times New Roman"/>
          <w:sz w:val="24"/>
          <w:szCs w:val="24"/>
        </w:rPr>
        <w:t>RoS</w:t>
      </w:r>
      <w:proofErr w:type="spellEnd"/>
      <w:r w:rsidRPr="00DE0CFA">
        <w:rPr>
          <w:rFonts w:ascii="Times New Roman" w:eastAsia="Times New Roman" w:hAnsi="Times New Roman" w:cs="Times New Roman"/>
          <w:sz w:val="24"/>
          <w:szCs w:val="24"/>
        </w:rPr>
        <w:t xml:space="preserve">, no date) and England and Wales opening policy consultations on Transparency of land ownership involving trusts (HM Treasury, 2023) whilst RICS is producing new standards on </w:t>
      </w:r>
      <w:r w:rsidRPr="00351AC7">
        <w:rPr>
          <w:rFonts w:ascii="Times New Roman" w:eastAsia="Times New Roman" w:hAnsi="Times New Roman" w:cs="Times New Roman"/>
          <w:i/>
          <w:iCs/>
          <w:sz w:val="24"/>
          <w:szCs w:val="24"/>
        </w:rPr>
        <w:t>Land Agreements/Options</w:t>
      </w:r>
      <w:r w:rsidRPr="00DE0CFA">
        <w:rPr>
          <w:rFonts w:ascii="Times New Roman" w:eastAsia="Times New Roman" w:hAnsi="Times New Roman" w:cs="Times New Roman"/>
          <w:sz w:val="24"/>
          <w:szCs w:val="24"/>
        </w:rPr>
        <w:t xml:space="preserve"> for 2024.</w:t>
      </w:r>
    </w:p>
    <w:p w14:paraId="16FC49BF"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67A5D0E4" w14:textId="77777777" w:rsidR="002F0D23" w:rsidRPr="00DE0CFA" w:rsidRDefault="00000000">
      <w:pPr>
        <w:pStyle w:val="Heading2"/>
      </w:pPr>
      <w:bookmarkStart w:id="20" w:name="_9rk2zv1vn0kn" w:colFirst="0" w:colLast="0"/>
      <w:bookmarkEnd w:id="20"/>
      <w:r w:rsidRPr="00DE0CFA">
        <w:t>2.14.</w:t>
      </w:r>
      <w:r w:rsidRPr="00DE0CFA">
        <w:tab/>
        <w:t>Transparency and sustainability</w:t>
      </w:r>
    </w:p>
    <w:p w14:paraId="5F4BB6FC"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76B7BA8F" w14:textId="599762CE"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One example of the methodologically and politically challenging design and protracted coordination of measurement criteria is the transparency of sustainability as part of the ongoing implementation of the EU-Taxonomy. The EU member states are currently engaged in intensive consultations on the design of a legally binding regulation, the so-called EU-</w:t>
      </w:r>
      <w:r w:rsidRPr="00DE0CFA">
        <w:rPr>
          <w:rFonts w:ascii="Times New Roman" w:eastAsia="Times New Roman" w:hAnsi="Times New Roman" w:cs="Times New Roman"/>
          <w:sz w:val="24"/>
          <w:szCs w:val="24"/>
        </w:rPr>
        <w:lastRenderedPageBreak/>
        <w:t xml:space="preserve">Taxonomy, which refers directly and indirectly to the ESG principles (Environmental, Social and Governance), which in turn are derived from the Sustainable Development Goals (SDGs) of the United Nations of 2015. The overarching goal of the EU taxonomy is to direct private capital toward sustainable investments and to provide a competitive advantage, such as more favourable financing options, to companies that demonstrate compliance with sustainability requirements in their reporting. The European Commission's March 2018 Action Plan on </w:t>
      </w:r>
      <w:r w:rsidRPr="00806820">
        <w:rPr>
          <w:rFonts w:ascii="Times New Roman" w:eastAsia="Times New Roman" w:hAnsi="Times New Roman" w:cs="Times New Roman"/>
          <w:i/>
          <w:iCs/>
          <w:sz w:val="24"/>
          <w:szCs w:val="24"/>
        </w:rPr>
        <w:t>Financing Sustainable Growth</w:t>
      </w:r>
      <w:r w:rsidRPr="00DE0CFA">
        <w:rPr>
          <w:rFonts w:ascii="Times New Roman" w:eastAsia="Times New Roman" w:hAnsi="Times New Roman" w:cs="Times New Roman"/>
          <w:sz w:val="24"/>
          <w:szCs w:val="24"/>
        </w:rPr>
        <w:t xml:space="preserve"> states that </w:t>
      </w:r>
      <w:r w:rsidRPr="00806820">
        <w:rPr>
          <w:rFonts w:ascii="Times New Roman" w:eastAsia="Times New Roman" w:hAnsi="Times New Roman" w:cs="Times New Roman"/>
          <w:i/>
          <w:iCs/>
          <w:sz w:val="24"/>
          <w:szCs w:val="24"/>
        </w:rPr>
        <w:t>"A unified EU classification system - or taxonomy - will provide clarity on which activities can be considered 'sustainable</w:t>
      </w:r>
      <w:r w:rsidR="00351AC7" w:rsidRPr="00806820">
        <w:rPr>
          <w:rFonts w:ascii="Times New Roman" w:eastAsia="Times New Roman" w:hAnsi="Times New Roman" w:cs="Times New Roman"/>
          <w:i/>
          <w:iCs/>
          <w:sz w:val="24"/>
          <w:szCs w:val="24"/>
        </w:rPr>
        <w:t>’.”</w:t>
      </w:r>
      <w:r w:rsidRPr="00DE0CFA">
        <w:rPr>
          <w:rFonts w:ascii="Times New Roman" w:eastAsia="Times New Roman" w:hAnsi="Times New Roman" w:cs="Times New Roman"/>
          <w:sz w:val="24"/>
          <w:szCs w:val="24"/>
        </w:rPr>
        <w:t xml:space="preserve"> (European Commission</w:t>
      </w:r>
      <w:r w:rsidR="006E366E">
        <w:rPr>
          <w:rFonts w:ascii="Times New Roman" w:eastAsia="Times New Roman" w:hAnsi="Times New Roman" w:cs="Times New Roman"/>
          <w:sz w:val="24"/>
          <w:szCs w:val="24"/>
        </w:rPr>
        <w:t>,</w:t>
      </w:r>
      <w:r w:rsidRPr="00DE0CFA">
        <w:rPr>
          <w:rFonts w:ascii="Times New Roman" w:eastAsia="Times New Roman" w:hAnsi="Times New Roman" w:cs="Times New Roman"/>
          <w:sz w:val="24"/>
          <w:szCs w:val="24"/>
        </w:rPr>
        <w:t xml:space="preserve"> 2018, p. 4). As of 2022, these regulations will apply to the environmental aspects of 2 of the 6 defined environmental objectives (climate change mitigation, climate change adaptation), and technical assessment criteria with performance thresholds to be achieved must be satisfied. For the S and G of the ESG criteria, it has not yet been possible to define such overall objectives and assessment criteria, and it is expected that implementation will be much more difficult, partly because fewer scientifically unambiguous indicators can be used. In any case, we can expect increasing transparency on sustainability within European real estate markets through indirect and direct mechanisms. Reporting requirements will force companies to collect and present information, making potential </w:t>
      </w:r>
      <w:r w:rsidRPr="00351AC7">
        <w:rPr>
          <w:rFonts w:ascii="Times New Roman" w:eastAsia="Times New Roman" w:hAnsi="Times New Roman" w:cs="Times New Roman"/>
          <w:i/>
          <w:iCs/>
          <w:sz w:val="24"/>
          <w:szCs w:val="24"/>
        </w:rPr>
        <w:t>‘greenwashing’</w:t>
      </w:r>
      <w:r w:rsidRPr="00DE0CFA">
        <w:rPr>
          <w:rFonts w:ascii="Times New Roman" w:eastAsia="Times New Roman" w:hAnsi="Times New Roman" w:cs="Times New Roman"/>
          <w:sz w:val="24"/>
          <w:szCs w:val="24"/>
        </w:rPr>
        <w:t xml:space="preserve"> more difficult. Regulatory and funding frameworks will provide additional incentives and regulations, and debt financing will be subject to risk premiums for non-sustainable businesses/products. Valuers and surveyors will soon have to incorporate issues such as biodiversity net gain (</w:t>
      </w:r>
      <w:r w:rsidR="006E366E">
        <w:rPr>
          <w:rFonts w:ascii="Times New Roman" w:eastAsia="Times New Roman" w:hAnsi="Times New Roman" w:cs="Times New Roman"/>
          <w:sz w:val="24"/>
          <w:szCs w:val="24"/>
        </w:rPr>
        <w:t>HM Treasury, 2021</w:t>
      </w:r>
      <w:r w:rsidRPr="00DE0CFA">
        <w:rPr>
          <w:rFonts w:ascii="Times New Roman" w:eastAsia="Times New Roman" w:hAnsi="Times New Roman" w:cs="Times New Roman"/>
          <w:sz w:val="24"/>
          <w:szCs w:val="24"/>
        </w:rPr>
        <w:t>) into development appraisals, although the valuation methodologies are still in their infancy and there is a severe lack of market transactional information.</w:t>
      </w:r>
    </w:p>
    <w:p w14:paraId="017CF810"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324537E2" w14:textId="77777777" w:rsidR="002F0D23" w:rsidRPr="00DE0CFA" w:rsidRDefault="00000000">
      <w:pPr>
        <w:pStyle w:val="Heading1"/>
      </w:pPr>
      <w:bookmarkStart w:id="21" w:name="_ktq8xl298p1u" w:colFirst="0" w:colLast="0"/>
      <w:bookmarkEnd w:id="21"/>
      <w:r w:rsidRPr="00DE0CFA">
        <w:t>3.</w:t>
      </w:r>
      <w:r w:rsidRPr="00DE0CFA">
        <w:tab/>
        <w:t>RESEARCH DESIGN AND METHODOLOGY</w:t>
      </w:r>
    </w:p>
    <w:p w14:paraId="247DAA2D"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03F653DC" w14:textId="77777777" w:rsidR="002F0D23" w:rsidRPr="00DE0CFA" w:rsidRDefault="00000000">
      <w:pPr>
        <w:pStyle w:val="Heading2"/>
      </w:pPr>
      <w:bookmarkStart w:id="22" w:name="_wmgp3dm9l7qf" w:colFirst="0" w:colLast="0"/>
      <w:bookmarkEnd w:id="22"/>
      <w:r w:rsidRPr="00DE0CFA">
        <w:t>3.1.</w:t>
      </w:r>
      <w:r w:rsidRPr="00DE0CFA">
        <w:tab/>
        <w:t>Data collection</w:t>
      </w:r>
    </w:p>
    <w:p w14:paraId="1BFBD00A"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2668D8CD" w14:textId="0E1E1513"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This research is based on an online survey through which we collected views of a wider range of surveyors operating across the targeted countries, which allows the gathering of first-hand experience. An on-line survey as a research instrument has been selected as it enables data comparison and both qualitative and quantitative analysis and helps boost the response rate needed to collect sufficient evidence from participants across a number of countries. To obtain a rich picture of their understanding and impressions on the real estate market transparency, the survey included qualitative questions (Denzin and Lincoln, 2005).</w:t>
      </w:r>
    </w:p>
    <w:p w14:paraId="1F520568"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28A62935"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A pilot survey among members of Commission 9 of FIG (n=5) was conducted to validate draft questions (Gillham, 2008) and to improve the wording, layout, and design. The final questionnaire comprised six sections:</w:t>
      </w:r>
    </w:p>
    <w:p w14:paraId="146085CF" w14:textId="55FA1BF5" w:rsidR="00351AC7" w:rsidRPr="00351AC7" w:rsidRDefault="00000000" w:rsidP="00351AC7">
      <w:pPr>
        <w:pStyle w:val="ListParagraph"/>
        <w:numPr>
          <w:ilvl w:val="0"/>
          <w:numId w:val="6"/>
        </w:numPr>
        <w:spacing w:after="0" w:line="240" w:lineRule="auto"/>
        <w:jc w:val="both"/>
        <w:rPr>
          <w:rFonts w:ascii="Times New Roman" w:eastAsia="Times New Roman" w:hAnsi="Times New Roman" w:cs="Times New Roman"/>
          <w:sz w:val="24"/>
          <w:szCs w:val="24"/>
        </w:rPr>
      </w:pPr>
      <w:r w:rsidRPr="00351AC7">
        <w:rPr>
          <w:rFonts w:ascii="Times New Roman" w:eastAsia="Times New Roman" w:hAnsi="Times New Roman" w:cs="Times New Roman"/>
          <w:sz w:val="24"/>
          <w:szCs w:val="24"/>
        </w:rPr>
        <w:t>Personal profile (Q1-8): professional membership, profession, years of professional experience, education background, specific interest in the real estate market, market segment of focus, and the country for which transparency is assessed;</w:t>
      </w:r>
    </w:p>
    <w:p w14:paraId="205D7522" w14:textId="177AA3DB" w:rsidR="00351AC7" w:rsidRDefault="00000000" w:rsidP="00351AC7">
      <w:pPr>
        <w:pStyle w:val="ListParagraph"/>
        <w:numPr>
          <w:ilvl w:val="0"/>
          <w:numId w:val="6"/>
        </w:numPr>
        <w:spacing w:after="0" w:line="240" w:lineRule="auto"/>
        <w:jc w:val="both"/>
        <w:rPr>
          <w:rFonts w:ascii="Times New Roman" w:eastAsia="Times New Roman" w:hAnsi="Times New Roman" w:cs="Times New Roman"/>
          <w:sz w:val="24"/>
          <w:szCs w:val="24"/>
        </w:rPr>
      </w:pPr>
      <w:r w:rsidRPr="00351AC7">
        <w:rPr>
          <w:rFonts w:ascii="Times New Roman" w:eastAsia="Times New Roman" w:hAnsi="Times New Roman" w:cs="Times New Roman"/>
          <w:sz w:val="24"/>
          <w:szCs w:val="24"/>
        </w:rPr>
        <w:t xml:space="preserve">Defining </w:t>
      </w:r>
      <w:r w:rsidR="00806820" w:rsidRPr="00806820">
        <w:rPr>
          <w:rFonts w:ascii="Times New Roman" w:eastAsia="Times New Roman" w:hAnsi="Times New Roman" w:cs="Times New Roman"/>
          <w:i/>
          <w:iCs/>
          <w:sz w:val="24"/>
          <w:szCs w:val="24"/>
        </w:rPr>
        <w:t>‘</w:t>
      </w:r>
      <w:r w:rsidRPr="00806820">
        <w:rPr>
          <w:rFonts w:ascii="Times New Roman" w:eastAsia="Times New Roman" w:hAnsi="Times New Roman" w:cs="Times New Roman"/>
          <w:i/>
          <w:iCs/>
          <w:sz w:val="24"/>
          <w:szCs w:val="24"/>
        </w:rPr>
        <w:t>transparency</w:t>
      </w:r>
      <w:r w:rsidR="00806820" w:rsidRPr="00806820">
        <w:rPr>
          <w:rFonts w:ascii="Times New Roman" w:eastAsia="Times New Roman" w:hAnsi="Times New Roman" w:cs="Times New Roman"/>
          <w:i/>
          <w:iCs/>
          <w:sz w:val="24"/>
          <w:szCs w:val="24"/>
        </w:rPr>
        <w:t>’</w:t>
      </w:r>
      <w:r w:rsidRPr="00351AC7">
        <w:rPr>
          <w:rFonts w:ascii="Times New Roman" w:eastAsia="Times New Roman" w:hAnsi="Times New Roman" w:cs="Times New Roman"/>
          <w:sz w:val="24"/>
          <w:szCs w:val="24"/>
        </w:rPr>
        <w:t xml:space="preserve"> (Q9-10): participant’s own view of what is meant by real estate market transparency and what they think is the understanding of the transparency by the wider public;</w:t>
      </w:r>
    </w:p>
    <w:p w14:paraId="6CDF759B" w14:textId="77777777" w:rsidR="00351AC7" w:rsidRDefault="00000000" w:rsidP="00351AC7">
      <w:pPr>
        <w:pStyle w:val="ListParagraph"/>
        <w:numPr>
          <w:ilvl w:val="0"/>
          <w:numId w:val="6"/>
        </w:numPr>
        <w:spacing w:after="0" w:line="240" w:lineRule="auto"/>
        <w:jc w:val="both"/>
        <w:rPr>
          <w:rFonts w:ascii="Times New Roman" w:eastAsia="Times New Roman" w:hAnsi="Times New Roman" w:cs="Times New Roman"/>
          <w:sz w:val="24"/>
          <w:szCs w:val="24"/>
        </w:rPr>
      </w:pPr>
      <w:r w:rsidRPr="00351AC7">
        <w:rPr>
          <w:rFonts w:ascii="Times New Roman" w:eastAsia="Times New Roman" w:hAnsi="Times New Roman" w:cs="Times New Roman"/>
          <w:sz w:val="24"/>
          <w:szCs w:val="24"/>
        </w:rPr>
        <w:t>Legislation and centralisation (Q11-14): existence of national regional and or local regulations, their enforcement, the existence of government-led transaction recording systems, and their level of centralisation;</w:t>
      </w:r>
    </w:p>
    <w:p w14:paraId="2D7B77B4" w14:textId="77777777" w:rsidR="00351AC7" w:rsidRDefault="00000000" w:rsidP="00351AC7">
      <w:pPr>
        <w:pStyle w:val="ListParagraph"/>
        <w:numPr>
          <w:ilvl w:val="0"/>
          <w:numId w:val="6"/>
        </w:numPr>
        <w:spacing w:after="0" w:line="240" w:lineRule="auto"/>
        <w:jc w:val="both"/>
        <w:rPr>
          <w:rFonts w:ascii="Times New Roman" w:eastAsia="Times New Roman" w:hAnsi="Times New Roman" w:cs="Times New Roman"/>
          <w:sz w:val="24"/>
          <w:szCs w:val="24"/>
        </w:rPr>
      </w:pPr>
      <w:r w:rsidRPr="00351AC7">
        <w:rPr>
          <w:rFonts w:ascii="Times New Roman" w:eastAsia="Times New Roman" w:hAnsi="Times New Roman" w:cs="Times New Roman"/>
          <w:sz w:val="24"/>
          <w:szCs w:val="24"/>
        </w:rPr>
        <w:t xml:space="preserve">Government transaction recording (Q15-26): comprehensiveness of the system, types of rights recorded, market sectors for which recording is in place, or is not and should be or is not required, accessibility of data, responsibility for recording, reliability of </w:t>
      </w:r>
      <w:r w:rsidRPr="00351AC7">
        <w:rPr>
          <w:rFonts w:ascii="Times New Roman" w:eastAsia="Times New Roman" w:hAnsi="Times New Roman" w:cs="Times New Roman"/>
          <w:sz w:val="24"/>
          <w:szCs w:val="24"/>
        </w:rPr>
        <w:lastRenderedPageBreak/>
        <w:t>existing systems, dealings with discrepancies between recorded and real transaction prices, strengths and weaknesses of the systems</w:t>
      </w:r>
      <w:r w:rsidR="00351AC7">
        <w:rPr>
          <w:rFonts w:ascii="Times New Roman" w:eastAsia="Times New Roman" w:hAnsi="Times New Roman" w:cs="Times New Roman"/>
          <w:sz w:val="24"/>
          <w:szCs w:val="24"/>
        </w:rPr>
        <w:t>;</w:t>
      </w:r>
    </w:p>
    <w:p w14:paraId="65C38BCF" w14:textId="77777777" w:rsidR="00351AC7" w:rsidRDefault="00000000" w:rsidP="00351AC7">
      <w:pPr>
        <w:pStyle w:val="ListParagraph"/>
        <w:numPr>
          <w:ilvl w:val="0"/>
          <w:numId w:val="6"/>
        </w:numPr>
        <w:spacing w:after="0" w:line="240" w:lineRule="auto"/>
        <w:jc w:val="both"/>
        <w:rPr>
          <w:rFonts w:ascii="Times New Roman" w:eastAsia="Times New Roman" w:hAnsi="Times New Roman" w:cs="Times New Roman"/>
          <w:sz w:val="24"/>
          <w:szCs w:val="24"/>
        </w:rPr>
      </w:pPr>
      <w:r w:rsidRPr="00351AC7">
        <w:rPr>
          <w:rFonts w:ascii="Times New Roman" w:eastAsia="Times New Roman" w:hAnsi="Times New Roman" w:cs="Times New Roman"/>
          <w:sz w:val="24"/>
          <w:szCs w:val="24"/>
        </w:rPr>
        <w:t>Non-government transaction recording (Q27-38): same characteristics as for government transaction recording;</w:t>
      </w:r>
      <w:r w:rsidR="00351AC7">
        <w:rPr>
          <w:rFonts w:ascii="Times New Roman" w:eastAsia="Times New Roman" w:hAnsi="Times New Roman" w:cs="Times New Roman"/>
          <w:sz w:val="24"/>
          <w:szCs w:val="24"/>
        </w:rPr>
        <w:t xml:space="preserve"> and</w:t>
      </w:r>
    </w:p>
    <w:p w14:paraId="405B4750" w14:textId="544E9554" w:rsidR="002F0D23" w:rsidRPr="00351AC7" w:rsidRDefault="00000000" w:rsidP="00351AC7">
      <w:pPr>
        <w:pStyle w:val="ListParagraph"/>
        <w:numPr>
          <w:ilvl w:val="0"/>
          <w:numId w:val="6"/>
        </w:numPr>
        <w:spacing w:after="0" w:line="240" w:lineRule="auto"/>
        <w:jc w:val="both"/>
        <w:rPr>
          <w:rFonts w:ascii="Times New Roman" w:eastAsia="Times New Roman" w:hAnsi="Times New Roman" w:cs="Times New Roman"/>
          <w:sz w:val="24"/>
          <w:szCs w:val="24"/>
        </w:rPr>
      </w:pPr>
      <w:r w:rsidRPr="00351AC7">
        <w:rPr>
          <w:rFonts w:ascii="Times New Roman" w:eastAsia="Times New Roman" w:hAnsi="Times New Roman" w:cs="Times New Roman"/>
          <w:sz w:val="24"/>
          <w:szCs w:val="24"/>
        </w:rPr>
        <w:t>Change orientation (Q39-42): evaluation if the systems in place are good enough to support the reasonable functioning of the real estate market, needs for changes to improve market transparency, news on any recent or ongoing projects to improve transparency, and other thoughts on the real estate market transparency.</w:t>
      </w:r>
    </w:p>
    <w:p w14:paraId="08CB93D2"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hAnsi="Times New Roman" w:cs="Times New Roman"/>
          <w:noProof/>
        </w:rPr>
        <w:drawing>
          <wp:anchor distT="0" distB="0" distL="114300" distR="114300" simplePos="0" relativeHeight="251658240" behindDoc="0" locked="0" layoutInCell="1" hidden="0" allowOverlap="1" wp14:anchorId="3E5207AF" wp14:editId="6BFDAB00">
            <wp:simplePos x="0" y="0"/>
            <wp:positionH relativeFrom="column">
              <wp:posOffset>4442524</wp:posOffset>
            </wp:positionH>
            <wp:positionV relativeFrom="paragraph">
              <wp:posOffset>96520</wp:posOffset>
            </wp:positionV>
            <wp:extent cx="1350010" cy="1350010"/>
            <wp:effectExtent l="0" t="0" r="0" b="0"/>
            <wp:wrapSquare wrapText="bothSides" distT="0" distB="0" distL="114300" distR="114300"/>
            <wp:docPr id="1" name="image1.png" descr="A qr code on a white background&#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A qr code on a white background&#10;&#10;Description automatically generated"/>
                    <pic:cNvPicPr preferRelativeResize="0"/>
                  </pic:nvPicPr>
                  <pic:blipFill>
                    <a:blip r:embed="rId8"/>
                    <a:srcRect/>
                    <a:stretch>
                      <a:fillRect/>
                    </a:stretch>
                  </pic:blipFill>
                  <pic:spPr>
                    <a:xfrm>
                      <a:off x="0" y="0"/>
                      <a:ext cx="1350010" cy="1350010"/>
                    </a:xfrm>
                    <a:prstGeom prst="rect">
                      <a:avLst/>
                    </a:prstGeom>
                    <a:ln/>
                  </pic:spPr>
                </pic:pic>
              </a:graphicData>
            </a:graphic>
          </wp:anchor>
        </w:drawing>
      </w:r>
    </w:p>
    <w:p w14:paraId="04F2905F" w14:textId="580AF92D" w:rsidR="002F0D23" w:rsidRPr="006E366E"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While questions across all survey parts required text responses, several questions used 3- to 6-point Likert scales (parts (3), (4), (5), and (6)) or multiple-choice responses (part (</w:t>
      </w:r>
      <w:r w:rsidRPr="006E366E">
        <w:rPr>
          <w:rFonts w:ascii="Times New Roman" w:eastAsia="Times New Roman" w:hAnsi="Times New Roman" w:cs="Times New Roman"/>
          <w:sz w:val="24"/>
          <w:szCs w:val="24"/>
        </w:rPr>
        <w:t xml:space="preserve">1)). The survey was designed for desktop and mobile use via Qualtrics XM platform. For details see, the full The Global Real Estate Market Transparency Survey: </w:t>
      </w:r>
      <w:hyperlink r:id="rId9" w:history="1">
        <w:r w:rsidR="006E366E" w:rsidRPr="006E366E">
          <w:rPr>
            <w:rStyle w:val="Hyperlink"/>
            <w:rFonts w:ascii="Times New Roman" w:hAnsi="Times New Roman" w:cs="Times New Roman"/>
            <w:sz w:val="24"/>
            <w:szCs w:val="24"/>
          </w:rPr>
          <w:t>https://uwe.eu.qualtrics.com/jfe/form/SV_6zCR9PWpZsuo63A</w:t>
        </w:r>
      </w:hyperlink>
      <w:r w:rsidR="006E366E"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or use the following QR code:</w:t>
      </w:r>
    </w:p>
    <w:p w14:paraId="68993F03" w14:textId="77777777" w:rsidR="002F0D23" w:rsidRPr="006E366E" w:rsidRDefault="002F0D23">
      <w:pPr>
        <w:spacing w:after="0" w:line="240" w:lineRule="auto"/>
        <w:jc w:val="both"/>
        <w:rPr>
          <w:rFonts w:ascii="Times New Roman" w:eastAsia="Times New Roman" w:hAnsi="Times New Roman" w:cs="Times New Roman"/>
          <w:sz w:val="24"/>
          <w:szCs w:val="24"/>
        </w:rPr>
      </w:pPr>
    </w:p>
    <w:p w14:paraId="5A134043" w14:textId="77777777" w:rsidR="002F0D23" w:rsidRPr="00DE0CFA" w:rsidRDefault="00000000">
      <w:pPr>
        <w:pStyle w:val="Heading2"/>
      </w:pPr>
      <w:bookmarkStart w:id="23" w:name="_6rr3fjw8yczm" w:colFirst="0" w:colLast="0"/>
      <w:bookmarkEnd w:id="23"/>
      <w:r w:rsidRPr="00DE0CFA">
        <w:t>3.2.</w:t>
      </w:r>
      <w:r w:rsidRPr="00DE0CFA">
        <w:tab/>
        <w:t>Sampling and sample size</w:t>
      </w:r>
    </w:p>
    <w:p w14:paraId="2F9532F1"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09D010E9" w14:textId="392D1004"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In line with Etikan </w:t>
      </w:r>
      <w:r w:rsidRPr="00DE0CFA">
        <w:rPr>
          <w:rFonts w:ascii="Times New Roman" w:eastAsia="Times New Roman" w:hAnsi="Times New Roman" w:cs="Times New Roman"/>
          <w:i/>
          <w:sz w:val="24"/>
          <w:szCs w:val="24"/>
        </w:rPr>
        <w:t>et al.</w:t>
      </w:r>
      <w:r w:rsidRPr="00DE0CFA">
        <w:rPr>
          <w:rFonts w:ascii="Times New Roman" w:eastAsia="Times New Roman" w:hAnsi="Times New Roman" w:cs="Times New Roman"/>
          <w:sz w:val="24"/>
          <w:szCs w:val="24"/>
        </w:rPr>
        <w:t xml:space="preserve"> (2016), experienced professionals were selected as respondents via purposive expert sampling. These include professionals working in the field of land administration and management and in property surveying across the private and public sector as well as in the higher education sector. Participants were specifically sourced among members of FIG and its member organisations such as RICS, TEGOVA, CASLE and IVSC via communication channels of these organisations, including regular newsletters, conferences</w:t>
      </w:r>
      <w:r w:rsidR="00D92166">
        <w:rPr>
          <w:rFonts w:ascii="Times New Roman" w:eastAsia="Times New Roman" w:hAnsi="Times New Roman" w:cs="Times New Roman"/>
          <w:sz w:val="24"/>
          <w:szCs w:val="24"/>
        </w:rPr>
        <w:t xml:space="preserve"> </w:t>
      </w:r>
      <w:r w:rsidRPr="00DE0CFA">
        <w:rPr>
          <w:rFonts w:ascii="Times New Roman" w:eastAsia="Times New Roman" w:hAnsi="Times New Roman" w:cs="Times New Roman"/>
          <w:sz w:val="24"/>
          <w:szCs w:val="24"/>
        </w:rPr>
        <w:t>and events, etc. Further sampling was enabled by members of the relevant professional bodies distributing the survey via their equivalent communication channels. This method helped us reach a sufficient number of members across multiple countries.</w:t>
      </w:r>
    </w:p>
    <w:p w14:paraId="0E256774"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4BFE9871"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Addressing the survey to participants, who are members of their relevant national professional organisations, ensured that they were all competent to respond to the survey and could be reasonably expected to respond professionally. Across most professional bodies affiliated with FIG, members are bound by strict ethical standards and duty of care to their relevant professional societies. Thus, they can be reasonably expected to provide well informed and factually correct responses to survey questions.</w:t>
      </w:r>
    </w:p>
    <w:p w14:paraId="012B15F3"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6CF5B828" w14:textId="77777777" w:rsidR="002F0D23" w:rsidRPr="00DE0CFA" w:rsidRDefault="00000000">
      <w:pPr>
        <w:spacing w:after="0" w:line="240" w:lineRule="auto"/>
        <w:jc w:val="both"/>
        <w:rPr>
          <w:rFonts w:ascii="Times New Roman" w:eastAsia="Times New Roman" w:hAnsi="Times New Roman" w:cs="Times New Roman"/>
          <w:i/>
          <w:sz w:val="24"/>
          <w:szCs w:val="24"/>
        </w:rPr>
      </w:pPr>
      <w:r w:rsidRPr="00DE0CFA">
        <w:rPr>
          <w:rFonts w:ascii="Times New Roman" w:eastAsia="Times New Roman" w:hAnsi="Times New Roman" w:cs="Times New Roman"/>
          <w:i/>
          <w:sz w:val="24"/>
          <w:szCs w:val="24"/>
        </w:rPr>
        <w:t>Based on experience with similar surveys (e.g. in Germany, BBSR; globally, RICS, IVSC), we are aiming for a minimum number of interviews of approx. 10-20 experts per country; this will ensure a scientific utilisation of the analysis results. If the actual number is lower, the surveys will still be utilised in order to realise a follow-up action based on them.</w:t>
      </w:r>
    </w:p>
    <w:p w14:paraId="29A6CF2B"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7F667491" w14:textId="77777777" w:rsidR="002F0D23" w:rsidRPr="00DE0CFA" w:rsidRDefault="00000000">
      <w:pPr>
        <w:pStyle w:val="Heading2"/>
      </w:pPr>
      <w:bookmarkStart w:id="24" w:name="_rbz62hrjfl30" w:colFirst="0" w:colLast="0"/>
      <w:bookmarkEnd w:id="24"/>
      <w:r w:rsidRPr="00DE0CFA">
        <w:t>3.3.</w:t>
      </w:r>
      <w:r w:rsidRPr="00DE0CFA">
        <w:tab/>
        <w:t>Data analysis</w:t>
      </w:r>
    </w:p>
    <w:p w14:paraId="1892D79D"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54665C1B"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 xml:space="preserve">For statistical analysis, all primary data gathered were imported into Microsoft Excel. Part (1) and all other multiple-choice and Likert scale data was analysed using frequency analysis. Qualitative text responses were examined using the six-step thematic analysis including (1) familiarising with data; (2) generating initial codes; (3) searching for themes by combining codes; (4) reviewing themes; (5) defining themes; and (6) reporting findings (Guest </w:t>
      </w:r>
      <w:r w:rsidRPr="00DE0CFA">
        <w:rPr>
          <w:rFonts w:ascii="Times New Roman" w:eastAsia="Times New Roman" w:hAnsi="Times New Roman" w:cs="Times New Roman"/>
          <w:i/>
          <w:sz w:val="24"/>
          <w:szCs w:val="24"/>
        </w:rPr>
        <w:t>et al.</w:t>
      </w:r>
      <w:r w:rsidRPr="00DE0CFA">
        <w:rPr>
          <w:rFonts w:ascii="Times New Roman" w:eastAsia="Times New Roman" w:hAnsi="Times New Roman" w:cs="Times New Roman"/>
          <w:sz w:val="24"/>
          <w:szCs w:val="24"/>
        </w:rPr>
        <w:t>, 2012; Braun and Clarke, 2022).</w:t>
      </w:r>
    </w:p>
    <w:p w14:paraId="75E848E1"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6B40CE1B" w14:textId="77777777" w:rsidR="002F0D23" w:rsidRPr="00DE0CFA" w:rsidRDefault="00000000">
      <w:pPr>
        <w:pStyle w:val="Heading2"/>
      </w:pPr>
      <w:bookmarkStart w:id="25" w:name="_shuap6e5b1bn" w:colFirst="0" w:colLast="0"/>
      <w:bookmarkEnd w:id="25"/>
      <w:r w:rsidRPr="00DE0CFA">
        <w:lastRenderedPageBreak/>
        <w:t>3.4.</w:t>
      </w:r>
      <w:r w:rsidRPr="00DE0CFA">
        <w:tab/>
        <w:t>Ethical considerations</w:t>
      </w:r>
    </w:p>
    <w:p w14:paraId="302FD114"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3574BC11"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sz w:val="24"/>
          <w:szCs w:val="24"/>
        </w:rPr>
        <w:t>The research was subject to internal ethical approval by the university, ID No. CATE-2223-191 dated 16 October 2023. The authors certify that the study was performed following the ethical standards as laid down in the 1964 Declaration of Helsinki and its later amendments Before commencing the survey, all participants were informed of the nature of the study via a participant information sheet detailing that their consent and involvement were anonymous and entirely voluntary. Following the survey, participants were given a two-week window to allow them (if they desired) to withdraw their responses.</w:t>
      </w:r>
    </w:p>
    <w:p w14:paraId="5A5F9CCF" w14:textId="77777777" w:rsidR="002F0D23" w:rsidRPr="00DE0CFA" w:rsidRDefault="002F0D23">
      <w:pPr>
        <w:spacing w:after="0" w:line="240" w:lineRule="auto"/>
        <w:jc w:val="both"/>
        <w:rPr>
          <w:rFonts w:ascii="Times New Roman" w:eastAsia="Times New Roman" w:hAnsi="Times New Roman" w:cs="Times New Roman"/>
          <w:sz w:val="24"/>
          <w:szCs w:val="24"/>
        </w:rPr>
      </w:pPr>
    </w:p>
    <w:p w14:paraId="210F99BA" w14:textId="77777777" w:rsidR="002F0D23" w:rsidRPr="00DE0CFA" w:rsidRDefault="00000000">
      <w:pPr>
        <w:pStyle w:val="Heading1"/>
      </w:pPr>
      <w:bookmarkStart w:id="26" w:name="_xn1wzi8act2p" w:colFirst="0" w:colLast="0"/>
      <w:bookmarkEnd w:id="26"/>
      <w:r w:rsidRPr="00DE0CFA">
        <w:t>4.</w:t>
      </w:r>
      <w:r w:rsidRPr="00DE0CFA">
        <w:tab/>
        <w:t>RESULTS AND DISCUSSION</w:t>
      </w:r>
    </w:p>
    <w:p w14:paraId="6E8936F4" w14:textId="77777777" w:rsidR="002F0D23" w:rsidRPr="00DE0CFA" w:rsidRDefault="002F0D23">
      <w:pPr>
        <w:spacing w:after="0" w:line="240" w:lineRule="auto"/>
        <w:jc w:val="both"/>
        <w:rPr>
          <w:rFonts w:ascii="Times New Roman" w:eastAsia="Times New Roman" w:hAnsi="Times New Roman" w:cs="Times New Roman"/>
          <w:i/>
          <w:sz w:val="24"/>
          <w:szCs w:val="24"/>
        </w:rPr>
      </w:pPr>
    </w:p>
    <w:p w14:paraId="210E2C4C" w14:textId="77777777" w:rsidR="002F0D23" w:rsidRPr="00DE0CFA" w:rsidRDefault="00000000">
      <w:pPr>
        <w:spacing w:after="0" w:line="240" w:lineRule="auto"/>
        <w:jc w:val="both"/>
        <w:rPr>
          <w:rFonts w:ascii="Times New Roman" w:eastAsia="Times New Roman" w:hAnsi="Times New Roman" w:cs="Times New Roman"/>
          <w:i/>
          <w:sz w:val="24"/>
          <w:szCs w:val="24"/>
        </w:rPr>
      </w:pPr>
      <w:r w:rsidRPr="00DE0CFA">
        <w:rPr>
          <w:rFonts w:ascii="Times New Roman" w:eastAsia="Times New Roman" w:hAnsi="Times New Roman" w:cs="Times New Roman"/>
          <w:i/>
          <w:sz w:val="24"/>
          <w:szCs w:val="24"/>
        </w:rPr>
        <w:t>The Global Real Estate Market Transparency Survey was launched on 4 December 2023 via the FIG website. It is currently distributed to FIG members as well as among RICS, TEGOVA and IVSC members with data collection subject to ongoing monitoring.</w:t>
      </w:r>
    </w:p>
    <w:p w14:paraId="37C62A9D" w14:textId="77777777" w:rsidR="002F0D23" w:rsidRPr="00DE0CFA" w:rsidRDefault="002F0D23">
      <w:pPr>
        <w:spacing w:after="0" w:line="240" w:lineRule="auto"/>
        <w:jc w:val="both"/>
        <w:rPr>
          <w:rFonts w:ascii="Times New Roman" w:eastAsia="Times New Roman" w:hAnsi="Times New Roman" w:cs="Times New Roman"/>
          <w:i/>
          <w:sz w:val="24"/>
          <w:szCs w:val="24"/>
        </w:rPr>
      </w:pPr>
    </w:p>
    <w:p w14:paraId="5221D912" w14:textId="2DB7B370" w:rsidR="002F0D23" w:rsidRPr="00DE0CFA" w:rsidRDefault="00000000">
      <w:pPr>
        <w:spacing w:after="0" w:line="240" w:lineRule="auto"/>
        <w:jc w:val="both"/>
        <w:rPr>
          <w:rFonts w:ascii="Times New Roman" w:eastAsia="Times New Roman" w:hAnsi="Times New Roman" w:cs="Times New Roman"/>
          <w:i/>
          <w:sz w:val="24"/>
          <w:szCs w:val="24"/>
        </w:rPr>
      </w:pPr>
      <w:r w:rsidRPr="00DE0CFA">
        <w:rPr>
          <w:rFonts w:ascii="Times New Roman" w:eastAsia="Times New Roman" w:hAnsi="Times New Roman" w:cs="Times New Roman"/>
          <w:i/>
          <w:sz w:val="24"/>
          <w:szCs w:val="24"/>
        </w:rPr>
        <w:t>By 18 January 2025 we collected 27 valid complete responses from 16 countries in Europe, Africa and South America.</w:t>
      </w:r>
      <w:r w:rsidR="006E366E">
        <w:rPr>
          <w:rFonts w:ascii="Times New Roman" w:eastAsia="Times New Roman" w:hAnsi="Times New Roman" w:cs="Times New Roman"/>
          <w:i/>
          <w:sz w:val="24"/>
          <w:szCs w:val="24"/>
        </w:rPr>
        <w:t xml:space="preserve"> </w:t>
      </w:r>
      <w:r w:rsidRPr="00DE0CFA">
        <w:rPr>
          <w:rFonts w:ascii="Times New Roman" w:eastAsia="Times New Roman" w:hAnsi="Times New Roman" w:cs="Times New Roman"/>
          <w:i/>
          <w:sz w:val="24"/>
          <w:szCs w:val="24"/>
        </w:rPr>
        <w:t>By early May 2025 we expect to collect enough data to present key preliminary observations for at least few selected countries.</w:t>
      </w:r>
      <w:r w:rsidR="006E366E">
        <w:rPr>
          <w:rFonts w:ascii="Times New Roman" w:eastAsia="Times New Roman" w:hAnsi="Times New Roman" w:cs="Times New Roman"/>
          <w:i/>
          <w:sz w:val="24"/>
          <w:szCs w:val="24"/>
        </w:rPr>
        <w:t xml:space="preserve"> </w:t>
      </w:r>
      <w:r w:rsidRPr="00DE0CFA">
        <w:rPr>
          <w:rFonts w:ascii="Times New Roman" w:eastAsia="Times New Roman" w:hAnsi="Times New Roman" w:cs="Times New Roman"/>
          <w:i/>
          <w:sz w:val="24"/>
          <w:szCs w:val="24"/>
        </w:rPr>
        <w:t>At the FIG Working Week we will seek feedback from participants around interpretation of the data collected so far and invite more participants to respond to the survey.</w:t>
      </w:r>
    </w:p>
    <w:p w14:paraId="779155D6" w14:textId="77777777" w:rsidR="002F0D23" w:rsidRPr="00DE0CFA" w:rsidRDefault="002F0D23">
      <w:pPr>
        <w:spacing w:after="0" w:line="240" w:lineRule="auto"/>
        <w:jc w:val="both"/>
        <w:rPr>
          <w:rFonts w:ascii="Times New Roman" w:eastAsia="Times New Roman" w:hAnsi="Times New Roman" w:cs="Times New Roman"/>
          <w:i/>
          <w:sz w:val="24"/>
          <w:szCs w:val="24"/>
        </w:rPr>
      </w:pPr>
    </w:p>
    <w:p w14:paraId="1D96EBD4" w14:textId="77777777" w:rsidR="002F0D23" w:rsidRPr="00DE0CFA" w:rsidRDefault="00000000">
      <w:pPr>
        <w:spacing w:after="0" w:line="240" w:lineRule="auto"/>
        <w:jc w:val="both"/>
        <w:rPr>
          <w:rFonts w:ascii="Times New Roman" w:eastAsia="Times New Roman" w:hAnsi="Times New Roman" w:cs="Times New Roman"/>
          <w:i/>
          <w:sz w:val="24"/>
          <w:szCs w:val="24"/>
        </w:rPr>
      </w:pPr>
      <w:r w:rsidRPr="00DE0CFA">
        <w:rPr>
          <w:rFonts w:ascii="Times New Roman" w:eastAsia="Times New Roman" w:hAnsi="Times New Roman" w:cs="Times New Roman"/>
          <w:i/>
          <w:sz w:val="24"/>
          <w:szCs w:val="24"/>
        </w:rPr>
        <w:t>Based on the data collected, we expect to report on:</w:t>
      </w:r>
    </w:p>
    <w:p w14:paraId="41E1EBDF" w14:textId="6B023926" w:rsidR="002F0D23" w:rsidRPr="00D92166" w:rsidRDefault="00000000" w:rsidP="00D92166">
      <w:pPr>
        <w:pStyle w:val="ListParagraph"/>
        <w:numPr>
          <w:ilvl w:val="0"/>
          <w:numId w:val="8"/>
        </w:numPr>
        <w:pBdr>
          <w:top w:val="nil"/>
          <w:left w:val="nil"/>
          <w:bottom w:val="nil"/>
          <w:right w:val="nil"/>
          <w:between w:val="nil"/>
        </w:pBdr>
        <w:spacing w:after="0" w:line="240" w:lineRule="auto"/>
        <w:jc w:val="both"/>
        <w:rPr>
          <w:rFonts w:ascii="Times New Roman" w:hAnsi="Times New Roman" w:cs="Times New Roman"/>
          <w:i/>
          <w:sz w:val="24"/>
          <w:szCs w:val="24"/>
        </w:rPr>
      </w:pPr>
      <w:r w:rsidRPr="00D92166">
        <w:rPr>
          <w:rFonts w:ascii="Times New Roman" w:eastAsia="Times New Roman" w:hAnsi="Times New Roman" w:cs="Times New Roman"/>
          <w:i/>
          <w:sz w:val="24"/>
          <w:szCs w:val="24"/>
        </w:rPr>
        <w:t xml:space="preserve">The understanding of what is meant by </w:t>
      </w:r>
      <w:r w:rsidR="00806820">
        <w:rPr>
          <w:rFonts w:ascii="Times New Roman" w:eastAsia="Times New Roman" w:hAnsi="Times New Roman" w:cs="Times New Roman"/>
          <w:i/>
          <w:sz w:val="24"/>
          <w:szCs w:val="24"/>
        </w:rPr>
        <w:t>‘</w:t>
      </w:r>
      <w:r w:rsidRPr="00D92166">
        <w:rPr>
          <w:rFonts w:ascii="Times New Roman" w:eastAsia="Times New Roman" w:hAnsi="Times New Roman" w:cs="Times New Roman"/>
          <w:i/>
          <w:sz w:val="24"/>
          <w:szCs w:val="24"/>
        </w:rPr>
        <w:t>transparency in the real estate market</w:t>
      </w:r>
      <w:r w:rsidR="00806820">
        <w:rPr>
          <w:rFonts w:ascii="Times New Roman" w:eastAsia="Times New Roman" w:hAnsi="Times New Roman" w:cs="Times New Roman"/>
          <w:i/>
          <w:sz w:val="24"/>
          <w:szCs w:val="24"/>
        </w:rPr>
        <w:t>’</w:t>
      </w:r>
      <w:r w:rsidRPr="00D92166">
        <w:rPr>
          <w:rFonts w:ascii="Times New Roman" w:eastAsia="Times New Roman" w:hAnsi="Times New Roman" w:cs="Times New Roman"/>
          <w:i/>
          <w:sz w:val="24"/>
          <w:szCs w:val="24"/>
        </w:rPr>
        <w:t xml:space="preserve"> by both the participants as experts and their understanding of how the society members understand transparency.</w:t>
      </w:r>
    </w:p>
    <w:p w14:paraId="1322AB46" w14:textId="77777777" w:rsidR="002F0D23" w:rsidRPr="00D92166" w:rsidRDefault="00000000" w:rsidP="00D92166">
      <w:pPr>
        <w:pStyle w:val="ListParagraph"/>
        <w:numPr>
          <w:ilvl w:val="0"/>
          <w:numId w:val="8"/>
        </w:numPr>
        <w:pBdr>
          <w:top w:val="nil"/>
          <w:left w:val="nil"/>
          <w:bottom w:val="nil"/>
          <w:right w:val="nil"/>
          <w:between w:val="nil"/>
        </w:pBdr>
        <w:spacing w:after="0" w:line="240" w:lineRule="auto"/>
        <w:jc w:val="both"/>
        <w:rPr>
          <w:rFonts w:ascii="Times New Roman" w:hAnsi="Times New Roman" w:cs="Times New Roman"/>
          <w:i/>
          <w:sz w:val="24"/>
          <w:szCs w:val="24"/>
        </w:rPr>
      </w:pPr>
      <w:r w:rsidRPr="00D92166">
        <w:rPr>
          <w:rFonts w:ascii="Times New Roman" w:eastAsia="Times New Roman" w:hAnsi="Times New Roman" w:cs="Times New Roman"/>
          <w:i/>
          <w:sz w:val="24"/>
          <w:szCs w:val="24"/>
        </w:rPr>
        <w:t>Comprehensiveness of the legislation around market transparency and its enforcement.</w:t>
      </w:r>
    </w:p>
    <w:p w14:paraId="34114711" w14:textId="77777777" w:rsidR="002F0D23" w:rsidRPr="00D92166" w:rsidRDefault="00000000" w:rsidP="00D92166">
      <w:pPr>
        <w:pStyle w:val="ListParagraph"/>
        <w:numPr>
          <w:ilvl w:val="0"/>
          <w:numId w:val="8"/>
        </w:numPr>
        <w:pBdr>
          <w:top w:val="nil"/>
          <w:left w:val="nil"/>
          <w:bottom w:val="nil"/>
          <w:right w:val="nil"/>
          <w:between w:val="nil"/>
        </w:pBdr>
        <w:spacing w:after="0" w:line="240" w:lineRule="auto"/>
        <w:jc w:val="both"/>
        <w:rPr>
          <w:rFonts w:ascii="Times New Roman" w:hAnsi="Times New Roman" w:cs="Times New Roman"/>
          <w:i/>
          <w:sz w:val="24"/>
          <w:szCs w:val="24"/>
        </w:rPr>
      </w:pPr>
      <w:r w:rsidRPr="00D92166">
        <w:rPr>
          <w:rFonts w:ascii="Times New Roman" w:eastAsia="Times New Roman" w:hAnsi="Times New Roman" w:cs="Times New Roman"/>
          <w:i/>
          <w:sz w:val="24"/>
          <w:szCs w:val="24"/>
        </w:rPr>
        <w:t>Comprehensiveness of databases.</w:t>
      </w:r>
    </w:p>
    <w:p w14:paraId="15E01837" w14:textId="77777777" w:rsidR="002F0D23" w:rsidRPr="00D92166" w:rsidRDefault="00000000" w:rsidP="00D92166">
      <w:pPr>
        <w:pStyle w:val="ListParagraph"/>
        <w:numPr>
          <w:ilvl w:val="0"/>
          <w:numId w:val="8"/>
        </w:numPr>
        <w:pBdr>
          <w:top w:val="nil"/>
          <w:left w:val="nil"/>
          <w:bottom w:val="nil"/>
          <w:right w:val="nil"/>
          <w:between w:val="nil"/>
        </w:pBdr>
        <w:spacing w:after="0" w:line="240" w:lineRule="auto"/>
        <w:jc w:val="both"/>
        <w:rPr>
          <w:rFonts w:ascii="Times New Roman" w:hAnsi="Times New Roman" w:cs="Times New Roman"/>
          <w:i/>
          <w:sz w:val="24"/>
          <w:szCs w:val="24"/>
        </w:rPr>
      </w:pPr>
      <w:r w:rsidRPr="00D92166">
        <w:rPr>
          <w:rFonts w:ascii="Times New Roman" w:eastAsia="Times New Roman" w:hAnsi="Times New Roman" w:cs="Times New Roman"/>
          <w:i/>
          <w:sz w:val="24"/>
          <w:szCs w:val="24"/>
        </w:rPr>
        <w:t>Reliability of databases.</w:t>
      </w:r>
    </w:p>
    <w:p w14:paraId="510DC2EE" w14:textId="77777777" w:rsidR="002F0D23" w:rsidRPr="00D92166" w:rsidRDefault="00000000" w:rsidP="00D92166">
      <w:pPr>
        <w:pStyle w:val="ListParagraph"/>
        <w:numPr>
          <w:ilvl w:val="0"/>
          <w:numId w:val="8"/>
        </w:numPr>
        <w:pBdr>
          <w:top w:val="nil"/>
          <w:left w:val="nil"/>
          <w:bottom w:val="nil"/>
          <w:right w:val="nil"/>
          <w:between w:val="nil"/>
        </w:pBdr>
        <w:spacing w:after="0" w:line="240" w:lineRule="auto"/>
        <w:jc w:val="both"/>
        <w:rPr>
          <w:rFonts w:ascii="Times New Roman" w:hAnsi="Times New Roman" w:cs="Times New Roman"/>
          <w:i/>
          <w:sz w:val="24"/>
          <w:szCs w:val="24"/>
        </w:rPr>
      </w:pPr>
      <w:r w:rsidRPr="00D92166">
        <w:rPr>
          <w:rFonts w:ascii="Times New Roman" w:eastAsia="Times New Roman" w:hAnsi="Times New Roman" w:cs="Times New Roman"/>
          <w:i/>
          <w:sz w:val="24"/>
          <w:szCs w:val="24"/>
        </w:rPr>
        <w:t>Accessibility of transaction databases.</w:t>
      </w:r>
    </w:p>
    <w:p w14:paraId="17FC1335" w14:textId="77777777" w:rsidR="002F0D23" w:rsidRPr="00D92166" w:rsidRDefault="00000000" w:rsidP="00D92166">
      <w:pPr>
        <w:pStyle w:val="ListParagraph"/>
        <w:numPr>
          <w:ilvl w:val="0"/>
          <w:numId w:val="8"/>
        </w:numPr>
        <w:pBdr>
          <w:top w:val="nil"/>
          <w:left w:val="nil"/>
          <w:bottom w:val="nil"/>
          <w:right w:val="nil"/>
          <w:between w:val="nil"/>
        </w:pBdr>
        <w:spacing w:after="0" w:line="240" w:lineRule="auto"/>
        <w:jc w:val="both"/>
        <w:rPr>
          <w:rFonts w:ascii="Times New Roman" w:hAnsi="Times New Roman" w:cs="Times New Roman"/>
          <w:i/>
          <w:sz w:val="24"/>
          <w:szCs w:val="24"/>
        </w:rPr>
      </w:pPr>
      <w:r w:rsidRPr="00D92166">
        <w:rPr>
          <w:rFonts w:ascii="Times New Roman" w:eastAsia="Times New Roman" w:hAnsi="Times New Roman" w:cs="Times New Roman"/>
          <w:i/>
          <w:sz w:val="24"/>
          <w:szCs w:val="24"/>
        </w:rPr>
        <w:t>Dealing with deficiencies in access to transaction evidence.</w:t>
      </w:r>
    </w:p>
    <w:p w14:paraId="3C799D90" w14:textId="77777777" w:rsidR="002F0D23" w:rsidRPr="00D92166" w:rsidRDefault="00000000" w:rsidP="00D92166">
      <w:pPr>
        <w:pStyle w:val="ListParagraph"/>
        <w:numPr>
          <w:ilvl w:val="0"/>
          <w:numId w:val="8"/>
        </w:numPr>
        <w:pBdr>
          <w:top w:val="nil"/>
          <w:left w:val="nil"/>
          <w:bottom w:val="nil"/>
          <w:right w:val="nil"/>
          <w:between w:val="nil"/>
        </w:pBdr>
        <w:spacing w:after="0" w:line="240" w:lineRule="auto"/>
        <w:jc w:val="both"/>
        <w:rPr>
          <w:rFonts w:ascii="Times New Roman" w:hAnsi="Times New Roman" w:cs="Times New Roman"/>
          <w:i/>
          <w:sz w:val="24"/>
          <w:szCs w:val="24"/>
        </w:rPr>
      </w:pPr>
      <w:r w:rsidRPr="00D92166">
        <w:rPr>
          <w:rFonts w:ascii="Times New Roman" w:eastAsia="Times New Roman" w:hAnsi="Times New Roman" w:cs="Times New Roman"/>
          <w:i/>
          <w:sz w:val="24"/>
          <w:szCs w:val="24"/>
        </w:rPr>
        <w:t>New / ongoing initiatives to improve transparency.</w:t>
      </w:r>
    </w:p>
    <w:p w14:paraId="209E77D4" w14:textId="77777777" w:rsidR="002F0D23" w:rsidRPr="00D92166" w:rsidRDefault="00000000" w:rsidP="00D92166">
      <w:pPr>
        <w:pStyle w:val="ListParagraph"/>
        <w:numPr>
          <w:ilvl w:val="0"/>
          <w:numId w:val="8"/>
        </w:numPr>
        <w:pBdr>
          <w:top w:val="nil"/>
          <w:left w:val="nil"/>
          <w:bottom w:val="nil"/>
          <w:right w:val="nil"/>
          <w:between w:val="nil"/>
        </w:pBdr>
        <w:spacing w:after="0" w:line="240" w:lineRule="auto"/>
        <w:jc w:val="both"/>
        <w:rPr>
          <w:rFonts w:ascii="Times New Roman" w:hAnsi="Times New Roman" w:cs="Times New Roman"/>
          <w:i/>
          <w:sz w:val="24"/>
          <w:szCs w:val="24"/>
        </w:rPr>
      </w:pPr>
      <w:r w:rsidRPr="00D92166">
        <w:rPr>
          <w:rFonts w:ascii="Times New Roman" w:eastAsia="Times New Roman" w:hAnsi="Times New Roman" w:cs="Times New Roman"/>
          <w:i/>
          <w:sz w:val="24"/>
          <w:szCs w:val="24"/>
        </w:rPr>
        <w:t>Recommendations on how to improve transparency.</w:t>
      </w:r>
    </w:p>
    <w:p w14:paraId="7A67C3AC" w14:textId="77777777" w:rsidR="002F0D23" w:rsidRPr="00DE0CFA" w:rsidRDefault="002F0D23">
      <w:pPr>
        <w:spacing w:after="0" w:line="240" w:lineRule="auto"/>
        <w:jc w:val="both"/>
        <w:rPr>
          <w:rFonts w:ascii="Times New Roman" w:eastAsia="Times New Roman" w:hAnsi="Times New Roman" w:cs="Times New Roman"/>
          <w:i/>
          <w:sz w:val="24"/>
          <w:szCs w:val="24"/>
        </w:rPr>
      </w:pPr>
    </w:p>
    <w:p w14:paraId="79CA9E82" w14:textId="77777777" w:rsidR="002F0D23" w:rsidRPr="006E366E" w:rsidRDefault="00000000">
      <w:pPr>
        <w:pStyle w:val="Heading1"/>
        <w:rPr>
          <w:iCs/>
        </w:rPr>
      </w:pPr>
      <w:bookmarkStart w:id="27" w:name="_juclyagu1erk" w:colFirst="0" w:colLast="0"/>
      <w:bookmarkEnd w:id="27"/>
      <w:r w:rsidRPr="006E366E">
        <w:rPr>
          <w:iCs/>
        </w:rPr>
        <w:t>5.</w:t>
      </w:r>
      <w:r w:rsidRPr="006E366E">
        <w:rPr>
          <w:iCs/>
        </w:rPr>
        <w:tab/>
        <w:t>CONCLUSIONS AND RECOMMENDATIONS</w:t>
      </w:r>
    </w:p>
    <w:p w14:paraId="6D2FD956" w14:textId="77777777" w:rsidR="002F0D23" w:rsidRPr="00DE0CFA" w:rsidRDefault="002F0D23">
      <w:pPr>
        <w:spacing w:after="0" w:line="240" w:lineRule="auto"/>
        <w:jc w:val="both"/>
        <w:rPr>
          <w:rFonts w:ascii="Times New Roman" w:eastAsia="Times New Roman" w:hAnsi="Times New Roman" w:cs="Times New Roman"/>
          <w:i/>
          <w:sz w:val="24"/>
          <w:szCs w:val="24"/>
        </w:rPr>
      </w:pPr>
    </w:p>
    <w:p w14:paraId="5FB198AC" w14:textId="77777777" w:rsidR="002F0D23" w:rsidRPr="00DE0CFA" w:rsidRDefault="00000000">
      <w:pPr>
        <w:spacing w:after="0" w:line="240" w:lineRule="auto"/>
        <w:jc w:val="both"/>
        <w:rPr>
          <w:rFonts w:ascii="Times New Roman" w:eastAsia="Times New Roman" w:hAnsi="Times New Roman" w:cs="Times New Roman"/>
          <w:i/>
          <w:sz w:val="24"/>
          <w:szCs w:val="24"/>
        </w:rPr>
      </w:pPr>
      <w:r w:rsidRPr="00DE0CFA">
        <w:rPr>
          <w:rFonts w:ascii="Times New Roman" w:eastAsia="Times New Roman" w:hAnsi="Times New Roman" w:cs="Times New Roman"/>
          <w:i/>
          <w:sz w:val="24"/>
          <w:szCs w:val="24"/>
        </w:rPr>
        <w:t>Transparent real estate markets are expected to better address the challenges of today's society and help to better manage all the virulent changes all over the world.</w:t>
      </w:r>
    </w:p>
    <w:p w14:paraId="3B3AF5FF" w14:textId="77777777" w:rsidR="002F0D23" w:rsidRPr="00DE0CFA" w:rsidRDefault="00000000">
      <w:pPr>
        <w:spacing w:after="0" w:line="240" w:lineRule="auto"/>
        <w:jc w:val="both"/>
        <w:rPr>
          <w:rFonts w:ascii="Times New Roman" w:eastAsia="Times New Roman" w:hAnsi="Times New Roman" w:cs="Times New Roman"/>
          <w:i/>
          <w:sz w:val="24"/>
          <w:szCs w:val="24"/>
        </w:rPr>
      </w:pPr>
      <w:r w:rsidRPr="00DE0CFA">
        <w:rPr>
          <w:rFonts w:ascii="Times New Roman" w:eastAsia="Times New Roman" w:hAnsi="Times New Roman" w:cs="Times New Roman"/>
          <w:i/>
          <w:sz w:val="24"/>
          <w:szCs w:val="24"/>
        </w:rPr>
        <w:t>With this research we expect to inform:</w:t>
      </w:r>
    </w:p>
    <w:p w14:paraId="5FFC069C" w14:textId="77777777" w:rsidR="002F0D23" w:rsidRPr="00D92166" w:rsidRDefault="00000000" w:rsidP="00D92166">
      <w:pPr>
        <w:pStyle w:val="ListParagraph"/>
        <w:numPr>
          <w:ilvl w:val="0"/>
          <w:numId w:val="8"/>
        </w:numPr>
        <w:pBdr>
          <w:top w:val="nil"/>
          <w:left w:val="nil"/>
          <w:bottom w:val="nil"/>
          <w:right w:val="nil"/>
          <w:between w:val="nil"/>
        </w:pBdr>
        <w:spacing w:after="0" w:line="240" w:lineRule="auto"/>
        <w:jc w:val="both"/>
        <w:rPr>
          <w:rFonts w:ascii="Times New Roman" w:eastAsia="Times New Roman" w:hAnsi="Times New Roman" w:cs="Times New Roman"/>
          <w:i/>
          <w:sz w:val="24"/>
          <w:szCs w:val="24"/>
        </w:rPr>
      </w:pPr>
      <w:r w:rsidRPr="00DE0CFA">
        <w:rPr>
          <w:rFonts w:ascii="Times New Roman" w:eastAsia="Times New Roman" w:hAnsi="Times New Roman" w:cs="Times New Roman"/>
          <w:i/>
          <w:sz w:val="24"/>
          <w:szCs w:val="24"/>
        </w:rPr>
        <w:t>develop approaches for the evaluation and observation of real estate market transparency and dealing with low level of transparency; and</w:t>
      </w:r>
    </w:p>
    <w:p w14:paraId="629679BE" w14:textId="77777777" w:rsidR="002F0D23" w:rsidRPr="00DE0CFA" w:rsidRDefault="00000000" w:rsidP="00D92166">
      <w:pPr>
        <w:pStyle w:val="ListParagraph"/>
        <w:numPr>
          <w:ilvl w:val="0"/>
          <w:numId w:val="8"/>
        </w:numPr>
        <w:pBdr>
          <w:top w:val="nil"/>
          <w:left w:val="nil"/>
          <w:bottom w:val="nil"/>
          <w:right w:val="nil"/>
          <w:between w:val="nil"/>
        </w:pBdr>
        <w:spacing w:after="0" w:line="240" w:lineRule="auto"/>
        <w:jc w:val="both"/>
        <w:rPr>
          <w:rFonts w:ascii="Times New Roman" w:hAnsi="Times New Roman" w:cs="Times New Roman"/>
          <w:i/>
          <w:sz w:val="24"/>
          <w:szCs w:val="24"/>
        </w:rPr>
      </w:pPr>
      <w:r w:rsidRPr="00DE0CFA">
        <w:rPr>
          <w:rFonts w:ascii="Times New Roman" w:eastAsia="Times New Roman" w:hAnsi="Times New Roman" w:cs="Times New Roman"/>
          <w:i/>
          <w:sz w:val="24"/>
          <w:szCs w:val="24"/>
        </w:rPr>
        <w:t>suggest improvements to valuation and market monitoring to facilitate more equitable solutions especially to deal with issues such as housing shortage, new land development and compensation in case of eminent domain, and sustainable farming and development given the political, social, economic and environmental uncertainties.</w:t>
      </w:r>
    </w:p>
    <w:p w14:paraId="41C95D84" w14:textId="77777777" w:rsidR="002F0D23" w:rsidRPr="00DE0CFA" w:rsidRDefault="002F0D23">
      <w:pPr>
        <w:spacing w:after="0" w:line="240" w:lineRule="auto"/>
        <w:jc w:val="both"/>
        <w:rPr>
          <w:rFonts w:ascii="Times New Roman" w:eastAsia="Times New Roman" w:hAnsi="Times New Roman" w:cs="Times New Roman"/>
          <w:i/>
          <w:sz w:val="24"/>
          <w:szCs w:val="24"/>
        </w:rPr>
      </w:pPr>
    </w:p>
    <w:p w14:paraId="404AFCBC" w14:textId="35873676" w:rsidR="00B85B93" w:rsidRPr="00DE0CFA" w:rsidRDefault="00000000" w:rsidP="006E366E">
      <w:pPr>
        <w:pStyle w:val="Heading1"/>
      </w:pPr>
      <w:bookmarkStart w:id="28" w:name="_586yj52zps1i" w:colFirst="0" w:colLast="0"/>
      <w:bookmarkEnd w:id="28"/>
      <w:r w:rsidRPr="00DE0CFA">
        <w:lastRenderedPageBreak/>
        <w:t>REFERENCES</w:t>
      </w:r>
    </w:p>
    <w:p w14:paraId="0EE8BC7C" w14:textId="692B0284" w:rsidR="00806820" w:rsidRPr="006E366E" w:rsidRDefault="00806820"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Adair, A., Allen, S., Berry, J. and McGreal, S. (2006) Central and Eastern European property investment markets: issues of data and transparency. </w:t>
      </w:r>
      <w:r w:rsidRPr="006E366E">
        <w:rPr>
          <w:rFonts w:ascii="Times New Roman" w:eastAsia="Times New Roman" w:hAnsi="Times New Roman" w:cs="Times New Roman"/>
          <w:i/>
          <w:sz w:val="24"/>
          <w:szCs w:val="24"/>
        </w:rPr>
        <w:t>Journal of Property Investment &amp; Finance</w:t>
      </w:r>
      <w:r w:rsidRPr="006E366E">
        <w:rPr>
          <w:rFonts w:ascii="Times New Roman" w:eastAsia="Times New Roman" w:hAnsi="Times New Roman" w:cs="Times New Roman"/>
          <w:sz w:val="24"/>
          <w:szCs w:val="24"/>
        </w:rPr>
        <w:t xml:space="preserve">, 24(3), pp. 211-220. </w:t>
      </w:r>
      <w:hyperlink r:id="rId10" w:history="1">
        <w:r w:rsidRPr="006E366E">
          <w:rPr>
            <w:rStyle w:val="Hyperlink"/>
            <w:rFonts w:ascii="Times New Roman" w:hAnsi="Times New Roman" w:cs="Times New Roman"/>
            <w:sz w:val="24"/>
            <w:szCs w:val="24"/>
          </w:rPr>
          <w:t>https://doi.org/10.1108/14635780610659928</w:t>
        </w:r>
      </w:hyperlink>
    </w:p>
    <w:p w14:paraId="17CE979C" w14:textId="706B569A" w:rsidR="00B85B93" w:rsidRPr="006E366E" w:rsidRDefault="00B85B93" w:rsidP="00806820">
      <w:pPr>
        <w:pBdr>
          <w:top w:val="nil"/>
          <w:left w:val="nil"/>
          <w:bottom w:val="nil"/>
          <w:right w:val="nil"/>
          <w:between w:val="nil"/>
        </w:pBd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Adair, A.S., Berry, J.N., </w:t>
      </w:r>
      <w:proofErr w:type="spellStart"/>
      <w:r w:rsidRPr="006E366E">
        <w:rPr>
          <w:rFonts w:ascii="Times New Roman" w:eastAsia="Times New Roman" w:hAnsi="Times New Roman" w:cs="Times New Roman"/>
          <w:sz w:val="24"/>
          <w:szCs w:val="24"/>
        </w:rPr>
        <w:t>Deddis</w:t>
      </w:r>
      <w:proofErr w:type="spellEnd"/>
      <w:r w:rsidRPr="006E366E">
        <w:rPr>
          <w:rFonts w:ascii="Times New Roman" w:eastAsia="Times New Roman" w:hAnsi="Times New Roman" w:cs="Times New Roman"/>
          <w:sz w:val="24"/>
          <w:szCs w:val="24"/>
        </w:rPr>
        <w:t xml:space="preserve">, B., McGreal, W.S., Keogh, G. and Key, T. (1998) Barriers to data sharing in the surveying profession: implications for the commercial property market. </w:t>
      </w:r>
      <w:r w:rsidRPr="006E366E">
        <w:rPr>
          <w:rFonts w:ascii="Times New Roman" w:eastAsia="Times New Roman" w:hAnsi="Times New Roman" w:cs="Times New Roman"/>
          <w:i/>
          <w:sz w:val="24"/>
          <w:szCs w:val="24"/>
        </w:rPr>
        <w:t>Journal of Property Research</w:t>
      </w:r>
      <w:r w:rsidRPr="006E366E">
        <w:rPr>
          <w:rFonts w:ascii="Times New Roman" w:eastAsia="Times New Roman" w:hAnsi="Times New Roman" w:cs="Times New Roman"/>
          <w:sz w:val="24"/>
          <w:szCs w:val="24"/>
        </w:rPr>
        <w:t xml:space="preserve">, 15(4), pp. 331-46. </w:t>
      </w:r>
      <w:hyperlink r:id="rId11" w:history="1">
        <w:r w:rsidRPr="006E366E">
          <w:rPr>
            <w:rStyle w:val="Hyperlink"/>
            <w:rFonts w:ascii="Times New Roman" w:hAnsi="Times New Roman" w:cs="Times New Roman"/>
            <w:sz w:val="24"/>
            <w:szCs w:val="24"/>
          </w:rPr>
          <w:t>https://doi.org/10.1080/095999198368329</w:t>
        </w:r>
      </w:hyperlink>
      <w:r w:rsidRPr="006E366E">
        <w:rPr>
          <w:rFonts w:ascii="Times New Roman" w:hAnsi="Times New Roman" w:cs="Times New Roman"/>
          <w:sz w:val="24"/>
          <w:szCs w:val="24"/>
        </w:rPr>
        <w:t xml:space="preserve"> </w:t>
      </w:r>
    </w:p>
    <w:p w14:paraId="6B9AF0F2"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Angeles, L. (2011) Institutions, Property Rights, and Economic Development in Historical Perspective. </w:t>
      </w:r>
      <w:proofErr w:type="spellStart"/>
      <w:r w:rsidRPr="006E366E">
        <w:rPr>
          <w:rFonts w:ascii="Times New Roman" w:eastAsia="Times New Roman" w:hAnsi="Times New Roman" w:cs="Times New Roman"/>
          <w:i/>
          <w:iCs/>
          <w:sz w:val="24"/>
          <w:szCs w:val="24"/>
        </w:rPr>
        <w:t>Kyklos</w:t>
      </w:r>
      <w:proofErr w:type="spellEnd"/>
      <w:r w:rsidRPr="006E366E">
        <w:rPr>
          <w:rFonts w:ascii="Times New Roman" w:eastAsia="Times New Roman" w:hAnsi="Times New Roman" w:cs="Times New Roman"/>
          <w:sz w:val="24"/>
          <w:szCs w:val="24"/>
        </w:rPr>
        <w:t xml:space="preserve">, 64(2), pp. 157–177. </w:t>
      </w:r>
      <w:hyperlink r:id="rId12" w:history="1">
        <w:r w:rsidRPr="006E366E">
          <w:rPr>
            <w:rStyle w:val="Hyperlink"/>
            <w:rFonts w:ascii="Times New Roman" w:eastAsia="Times New Roman" w:hAnsi="Times New Roman" w:cs="Times New Roman"/>
            <w:sz w:val="24"/>
            <w:szCs w:val="24"/>
          </w:rPr>
          <w:t>https://doi.org/10.1111/j.1467-6435.2011.00500.x</w:t>
        </w:r>
      </w:hyperlink>
      <w:r w:rsidRPr="006E366E">
        <w:rPr>
          <w:rFonts w:ascii="Times New Roman" w:eastAsia="Times New Roman" w:hAnsi="Times New Roman" w:cs="Times New Roman"/>
          <w:sz w:val="24"/>
          <w:szCs w:val="24"/>
        </w:rPr>
        <w:t xml:space="preserve"> </w:t>
      </w:r>
    </w:p>
    <w:p w14:paraId="36FD4D3D"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Bian, X., </w:t>
      </w:r>
      <w:proofErr w:type="spellStart"/>
      <w:r w:rsidRPr="006E366E">
        <w:rPr>
          <w:rFonts w:ascii="Times New Roman" w:eastAsia="Times New Roman" w:hAnsi="Times New Roman" w:cs="Times New Roman"/>
          <w:sz w:val="24"/>
          <w:szCs w:val="24"/>
        </w:rPr>
        <w:t>Contat</w:t>
      </w:r>
      <w:proofErr w:type="spellEnd"/>
      <w:r w:rsidRPr="006E366E">
        <w:rPr>
          <w:rFonts w:ascii="Times New Roman" w:eastAsia="Times New Roman" w:hAnsi="Times New Roman" w:cs="Times New Roman"/>
          <w:sz w:val="24"/>
          <w:szCs w:val="24"/>
        </w:rPr>
        <w:t xml:space="preserve">, J., Wentland, S. and Waller, B. (2021) Why disclose less information: Toward resolving a disclosure puzzle in the housing market. </w:t>
      </w:r>
      <w:r w:rsidRPr="006E366E">
        <w:rPr>
          <w:rFonts w:ascii="Times New Roman" w:eastAsia="Times New Roman" w:hAnsi="Times New Roman" w:cs="Times New Roman"/>
          <w:i/>
          <w:sz w:val="24"/>
          <w:szCs w:val="24"/>
        </w:rPr>
        <w:t>Journal of Real Estate Finance and Economics</w:t>
      </w:r>
      <w:r w:rsidRPr="006E366E">
        <w:rPr>
          <w:rFonts w:ascii="Times New Roman" w:eastAsia="Times New Roman" w:hAnsi="Times New Roman" w:cs="Times New Roman"/>
          <w:sz w:val="24"/>
          <w:szCs w:val="24"/>
        </w:rPr>
        <w:t xml:space="preserve">, 6(2), pp. 443-486. </w:t>
      </w:r>
      <w:hyperlink r:id="rId13" w:history="1">
        <w:r w:rsidRPr="006E366E">
          <w:rPr>
            <w:rStyle w:val="Hyperlink"/>
            <w:rFonts w:ascii="Times New Roman" w:hAnsi="Times New Roman" w:cs="Times New Roman"/>
            <w:sz w:val="24"/>
            <w:szCs w:val="24"/>
          </w:rPr>
          <w:t>https://doi.org/10.1007/s11146-021-09824-6</w:t>
        </w:r>
      </w:hyperlink>
      <w:r w:rsidRPr="006E366E">
        <w:rPr>
          <w:rFonts w:ascii="Times New Roman" w:hAnsi="Times New Roman" w:cs="Times New Roman"/>
          <w:sz w:val="24"/>
          <w:szCs w:val="24"/>
        </w:rPr>
        <w:t xml:space="preserve"> </w:t>
      </w:r>
    </w:p>
    <w:p w14:paraId="2E88DBF4"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Braun, V. and Clarke, V. (2022) </w:t>
      </w:r>
      <w:r w:rsidRPr="006E366E">
        <w:rPr>
          <w:rFonts w:ascii="Times New Roman" w:eastAsia="Times New Roman" w:hAnsi="Times New Roman" w:cs="Times New Roman"/>
          <w:i/>
          <w:sz w:val="24"/>
          <w:szCs w:val="24"/>
        </w:rPr>
        <w:t>Thematic Analysis: A Practical Guide</w:t>
      </w:r>
      <w:r w:rsidRPr="006E366E">
        <w:rPr>
          <w:rFonts w:ascii="Times New Roman" w:eastAsia="Times New Roman" w:hAnsi="Times New Roman" w:cs="Times New Roman"/>
          <w:sz w:val="24"/>
          <w:szCs w:val="24"/>
        </w:rPr>
        <w:t>, Thousand Oaks (CA): SAGE Publications.</w:t>
      </w:r>
    </w:p>
    <w:p w14:paraId="536ADB5C"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Broxterman, D. and Zhou, T. (2023) Information Frictions in Real Estate Markets: Recent Evidence and Issues. </w:t>
      </w:r>
      <w:r w:rsidRPr="006E366E">
        <w:rPr>
          <w:rFonts w:ascii="Times New Roman" w:eastAsia="Times New Roman" w:hAnsi="Times New Roman" w:cs="Times New Roman"/>
          <w:i/>
          <w:sz w:val="24"/>
          <w:szCs w:val="24"/>
        </w:rPr>
        <w:t>The Journal of Real Estate Finance and Economics</w:t>
      </w:r>
      <w:r w:rsidRPr="006E366E">
        <w:rPr>
          <w:rFonts w:ascii="Times New Roman" w:eastAsia="Times New Roman" w:hAnsi="Times New Roman" w:cs="Times New Roman"/>
          <w:sz w:val="24"/>
          <w:szCs w:val="24"/>
        </w:rPr>
        <w:t xml:space="preserve">, 66(2), pp. 203-298. </w:t>
      </w:r>
      <w:hyperlink r:id="rId14" w:history="1">
        <w:r w:rsidRPr="006E366E">
          <w:rPr>
            <w:rStyle w:val="Hyperlink"/>
            <w:rFonts w:ascii="Times New Roman" w:hAnsi="Times New Roman" w:cs="Times New Roman"/>
            <w:sz w:val="24"/>
            <w:szCs w:val="24"/>
          </w:rPr>
          <w:t>https://doi.org/10.1007/s11146-022-09918-9</w:t>
        </w:r>
      </w:hyperlink>
      <w:r w:rsidRPr="006E366E">
        <w:rPr>
          <w:rFonts w:ascii="Times New Roman" w:hAnsi="Times New Roman" w:cs="Times New Roman"/>
          <w:sz w:val="24"/>
          <w:szCs w:val="24"/>
        </w:rPr>
        <w:t xml:space="preserve"> </w:t>
      </w:r>
    </w:p>
    <w:p w14:paraId="456E2958"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Campbell, D.T. (1976) </w:t>
      </w:r>
      <w:r w:rsidRPr="006E366E">
        <w:rPr>
          <w:rFonts w:ascii="Times New Roman" w:eastAsia="Times New Roman" w:hAnsi="Times New Roman" w:cs="Times New Roman"/>
          <w:i/>
          <w:sz w:val="24"/>
          <w:szCs w:val="24"/>
        </w:rPr>
        <w:t>Assessing the impact of planned social change</w:t>
      </w:r>
      <w:r w:rsidRPr="006E366E">
        <w:rPr>
          <w:rFonts w:ascii="Times New Roman" w:eastAsia="Times New Roman" w:hAnsi="Times New Roman" w:cs="Times New Roman"/>
          <w:sz w:val="24"/>
          <w:szCs w:val="24"/>
        </w:rPr>
        <w:t xml:space="preserve">. Hanover, NH: The Public Affairs Center, Dartmouth College, available from: </w:t>
      </w:r>
      <w:hyperlink r:id="rId15" w:history="1">
        <w:r w:rsidRPr="006E366E">
          <w:rPr>
            <w:rStyle w:val="Hyperlink"/>
            <w:rFonts w:ascii="Times New Roman" w:hAnsi="Times New Roman" w:cs="Times New Roman"/>
            <w:sz w:val="24"/>
            <w:szCs w:val="24"/>
          </w:rPr>
          <w:t>https://www.globalhivmeinfo.org/CapacityBuilding/Occasional%20Papers/08%20Assessing%20the%20Impact%20of%20Planned%20Social%20Change.pdf</w:t>
        </w:r>
      </w:hyperlink>
      <w:r w:rsidRPr="006E366E">
        <w:rPr>
          <w:rFonts w:ascii="Times New Roman" w:hAnsi="Times New Roman" w:cs="Times New Roman"/>
          <w:sz w:val="24"/>
          <w:szCs w:val="24"/>
        </w:rPr>
        <w:t xml:space="preserve"> [Accessed 20 January 2024].</w:t>
      </w:r>
    </w:p>
    <w:p w14:paraId="2E34F567"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Companies House (2022) </w:t>
      </w:r>
      <w:r w:rsidRPr="006E366E">
        <w:rPr>
          <w:rFonts w:ascii="Times New Roman" w:eastAsia="Times New Roman" w:hAnsi="Times New Roman" w:cs="Times New Roman"/>
          <w:i/>
          <w:iCs/>
          <w:sz w:val="24"/>
          <w:szCs w:val="24"/>
        </w:rPr>
        <w:t>The new Register of Overseas Entities is live</w:t>
      </w:r>
      <w:r w:rsidRPr="006E366E">
        <w:rPr>
          <w:rFonts w:ascii="Times New Roman" w:eastAsia="Times New Roman" w:hAnsi="Times New Roman" w:cs="Times New Roman"/>
          <w:sz w:val="24"/>
          <w:szCs w:val="24"/>
        </w:rPr>
        <w:t xml:space="preserve">, available from: </w:t>
      </w:r>
      <w:hyperlink r:id="rId16" w:history="1">
        <w:r w:rsidRPr="006E366E">
          <w:rPr>
            <w:rStyle w:val="Hyperlink"/>
            <w:rFonts w:ascii="Times New Roman" w:hAnsi="Times New Roman" w:cs="Times New Roman"/>
            <w:sz w:val="24"/>
            <w:szCs w:val="24"/>
          </w:rPr>
          <w:t>https://www.gov.uk/government/news/the-new-register-of-overseas-entities-is-live</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18 January 2024].</w:t>
      </w:r>
    </w:p>
    <w:p w14:paraId="0F532ED4" w14:textId="77777777" w:rsidR="00806820" w:rsidRPr="006E366E" w:rsidRDefault="00B85B93" w:rsidP="00806820">
      <w:pPr>
        <w:spacing w:after="0" w:line="240" w:lineRule="auto"/>
        <w:jc w:val="both"/>
        <w:rPr>
          <w:rFonts w:ascii="Times New Roman" w:hAnsi="Times New Roman" w:cs="Times New Roman"/>
          <w:sz w:val="24"/>
          <w:szCs w:val="24"/>
        </w:rPr>
      </w:pPr>
      <w:r w:rsidRPr="006E366E">
        <w:rPr>
          <w:rFonts w:ascii="Times New Roman" w:eastAsia="Times New Roman" w:hAnsi="Times New Roman" w:cs="Times New Roman"/>
          <w:sz w:val="24"/>
          <w:szCs w:val="24"/>
        </w:rPr>
        <w:t xml:space="preserve">D’Arcy, E. and Keogh, G. (1998) Territorial competition and property market process: an exploratory analysis. </w:t>
      </w:r>
      <w:r w:rsidRPr="006E366E">
        <w:rPr>
          <w:rFonts w:ascii="Times New Roman" w:eastAsia="Times New Roman" w:hAnsi="Times New Roman" w:cs="Times New Roman"/>
          <w:i/>
          <w:sz w:val="24"/>
          <w:szCs w:val="24"/>
        </w:rPr>
        <w:t>Urban Studies</w:t>
      </w:r>
      <w:r w:rsidRPr="006E366E">
        <w:rPr>
          <w:rFonts w:ascii="Times New Roman" w:eastAsia="Times New Roman" w:hAnsi="Times New Roman" w:cs="Times New Roman"/>
          <w:sz w:val="24"/>
          <w:szCs w:val="24"/>
        </w:rPr>
        <w:t xml:space="preserve">, 35(8), pp. 1215-30. </w:t>
      </w:r>
      <w:hyperlink r:id="rId17" w:history="1">
        <w:r w:rsidRPr="006E366E">
          <w:rPr>
            <w:rStyle w:val="Hyperlink"/>
            <w:rFonts w:ascii="Times New Roman" w:hAnsi="Times New Roman" w:cs="Times New Roman"/>
            <w:sz w:val="24"/>
            <w:szCs w:val="24"/>
          </w:rPr>
          <w:t>https://doi.org/10.1080/004209898433</w:t>
        </w:r>
      </w:hyperlink>
      <w:r w:rsidRPr="006E366E">
        <w:rPr>
          <w:rFonts w:ascii="Times New Roman" w:hAnsi="Times New Roman" w:cs="Times New Roman"/>
          <w:sz w:val="24"/>
          <w:szCs w:val="24"/>
        </w:rPr>
        <w:t xml:space="preserve"> </w:t>
      </w:r>
    </w:p>
    <w:p w14:paraId="515846C7"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De Soto, H. (2000) </w:t>
      </w:r>
      <w:r w:rsidRPr="006E366E">
        <w:rPr>
          <w:rFonts w:ascii="Times New Roman" w:eastAsia="Times New Roman" w:hAnsi="Times New Roman" w:cs="Times New Roman"/>
          <w:i/>
          <w:iCs/>
          <w:sz w:val="24"/>
          <w:szCs w:val="24"/>
        </w:rPr>
        <w:t>The Mystery of Capital: Why Capitalism Triumphs in the West and Fails Everywhere Else</w:t>
      </w:r>
      <w:r w:rsidRPr="006E366E">
        <w:rPr>
          <w:rFonts w:ascii="Times New Roman" w:eastAsia="Times New Roman" w:hAnsi="Times New Roman" w:cs="Times New Roman"/>
          <w:sz w:val="24"/>
          <w:szCs w:val="24"/>
        </w:rPr>
        <w:t>. New York (NY): Basic Books.</w:t>
      </w:r>
    </w:p>
    <w:p w14:paraId="42A02F7D"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Denzin, N. and Lincoln, Y. (2005) </w:t>
      </w:r>
      <w:r w:rsidRPr="006E366E">
        <w:rPr>
          <w:rFonts w:ascii="Times New Roman" w:eastAsia="Times New Roman" w:hAnsi="Times New Roman" w:cs="Times New Roman"/>
          <w:i/>
          <w:sz w:val="24"/>
          <w:szCs w:val="24"/>
        </w:rPr>
        <w:t>The SAGE handbook of qualitative research</w:t>
      </w:r>
      <w:r w:rsidRPr="006E366E">
        <w:rPr>
          <w:rFonts w:ascii="Times New Roman" w:eastAsia="Times New Roman" w:hAnsi="Times New Roman" w:cs="Times New Roman"/>
          <w:sz w:val="24"/>
          <w:szCs w:val="24"/>
        </w:rPr>
        <w:t>. 3rd ed., Thousand Oaks (CA): Sage Publications.</w:t>
      </w:r>
    </w:p>
    <w:p w14:paraId="164A972B"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i/>
          <w:iCs/>
          <w:sz w:val="24"/>
          <w:szCs w:val="24"/>
        </w:rPr>
        <w:t xml:space="preserve">Economic Crime (Transparency and Enforcement) </w:t>
      </w:r>
      <w:hyperlink r:id="rId18">
        <w:r w:rsidRPr="006E366E">
          <w:rPr>
            <w:rFonts w:ascii="Times New Roman" w:eastAsia="Times New Roman" w:hAnsi="Times New Roman" w:cs="Times New Roman"/>
            <w:i/>
            <w:iCs/>
            <w:sz w:val="24"/>
            <w:szCs w:val="24"/>
          </w:rPr>
          <w:t>Bill</w:t>
        </w:r>
      </w:hyperlink>
      <w:r w:rsidRPr="006E366E">
        <w:rPr>
          <w:rFonts w:ascii="Times New Roman" w:eastAsia="Times New Roman" w:hAnsi="Times New Roman" w:cs="Times New Roman"/>
          <w:i/>
          <w:iCs/>
          <w:sz w:val="24"/>
          <w:szCs w:val="24"/>
        </w:rPr>
        <w:t xml:space="preserve"> UK</w:t>
      </w:r>
      <w:r w:rsidRPr="006E366E">
        <w:rPr>
          <w:rFonts w:ascii="Times New Roman" w:eastAsia="Times New Roman" w:hAnsi="Times New Roman" w:cs="Times New Roman"/>
          <w:sz w:val="24"/>
          <w:szCs w:val="24"/>
        </w:rPr>
        <w:t xml:space="preserve">, available from: </w:t>
      </w:r>
      <w:hyperlink r:id="rId19" w:history="1">
        <w:r w:rsidRPr="006E366E">
          <w:rPr>
            <w:rStyle w:val="Hyperlink"/>
            <w:rFonts w:ascii="Times New Roman" w:hAnsi="Times New Roman" w:cs="Times New Roman"/>
            <w:sz w:val="24"/>
            <w:szCs w:val="24"/>
          </w:rPr>
          <w:t>https://bills.parliament.uk/bills/3120</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18 January 2024].</w:t>
      </w:r>
    </w:p>
    <w:p w14:paraId="46960E68" w14:textId="77777777" w:rsidR="00B85B93" w:rsidRPr="006E366E" w:rsidRDefault="00B85B93" w:rsidP="00806820">
      <w:pPr>
        <w:spacing w:after="0" w:line="240" w:lineRule="auto"/>
        <w:jc w:val="both"/>
        <w:rPr>
          <w:rFonts w:ascii="Times New Roman" w:hAnsi="Times New Roman" w:cs="Times New Roman"/>
          <w:sz w:val="24"/>
          <w:szCs w:val="24"/>
        </w:rPr>
      </w:pPr>
      <w:r w:rsidRPr="006E366E">
        <w:rPr>
          <w:rFonts w:ascii="Times New Roman" w:eastAsia="Times New Roman" w:hAnsi="Times New Roman" w:cs="Times New Roman"/>
          <w:sz w:val="24"/>
          <w:szCs w:val="24"/>
        </w:rPr>
        <w:t xml:space="preserve">Etikan, I., Musa, S.A. and Alkassim, R.S. (2016) Comparison of convenience sampling and purposive sampling. </w:t>
      </w:r>
      <w:r w:rsidRPr="006E366E">
        <w:rPr>
          <w:rFonts w:ascii="Times New Roman" w:eastAsia="Times New Roman" w:hAnsi="Times New Roman" w:cs="Times New Roman"/>
          <w:i/>
          <w:sz w:val="24"/>
          <w:szCs w:val="24"/>
        </w:rPr>
        <w:t>American Journal of Theoretical and Applied Statistics</w:t>
      </w:r>
      <w:r w:rsidRPr="006E366E">
        <w:rPr>
          <w:rFonts w:ascii="Times New Roman" w:eastAsia="Times New Roman" w:hAnsi="Times New Roman" w:cs="Times New Roman"/>
          <w:sz w:val="24"/>
          <w:szCs w:val="24"/>
        </w:rPr>
        <w:t xml:space="preserve">, 5(1), pp. 1-4. </w:t>
      </w:r>
      <w:hyperlink r:id="rId20" w:history="1">
        <w:r w:rsidRPr="006E366E">
          <w:rPr>
            <w:rStyle w:val="Hyperlink"/>
            <w:rFonts w:ascii="Times New Roman" w:hAnsi="Times New Roman" w:cs="Times New Roman"/>
            <w:sz w:val="24"/>
            <w:szCs w:val="24"/>
          </w:rPr>
          <w:t>https://doi.org/10.11648/j.ajtas.20160501.11</w:t>
        </w:r>
      </w:hyperlink>
    </w:p>
    <w:p w14:paraId="05B3980E"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European Commission (2018) </w:t>
      </w:r>
      <w:r w:rsidRPr="006E366E">
        <w:rPr>
          <w:rFonts w:ascii="Times New Roman" w:eastAsia="Times New Roman" w:hAnsi="Times New Roman" w:cs="Times New Roman"/>
          <w:i/>
          <w:sz w:val="24"/>
          <w:szCs w:val="24"/>
        </w:rPr>
        <w:t xml:space="preserve">Action Plan: Financing Sustainable Growth, </w:t>
      </w:r>
      <w:r w:rsidRPr="006E366E">
        <w:rPr>
          <w:rFonts w:ascii="Times New Roman" w:eastAsia="Times New Roman" w:hAnsi="Times New Roman" w:cs="Times New Roman"/>
          <w:sz w:val="24"/>
          <w:szCs w:val="24"/>
        </w:rPr>
        <w:t xml:space="preserve">COM(2018) 97 final (8 March 2018), available from: </w:t>
      </w:r>
      <w:hyperlink r:id="rId21" w:history="1">
        <w:r w:rsidRPr="006E366E">
          <w:rPr>
            <w:rStyle w:val="Hyperlink"/>
            <w:rFonts w:ascii="Times New Roman" w:eastAsia="Times New Roman" w:hAnsi="Times New Roman" w:cs="Times New Roman"/>
            <w:sz w:val="24"/>
            <w:szCs w:val="24"/>
          </w:rPr>
          <w:t>https://eur-lex.europa.eu/legal-content/EN/TXT/PDF/?uri=CELEX:52018DC0097</w:t>
        </w:r>
      </w:hyperlink>
      <w:r w:rsidRPr="006E366E">
        <w:rPr>
          <w:rFonts w:ascii="Times New Roman" w:eastAsia="Times New Roman" w:hAnsi="Times New Roman" w:cs="Times New Roman"/>
          <w:sz w:val="24"/>
          <w:szCs w:val="24"/>
        </w:rPr>
        <w:t xml:space="preserve"> [Accessed 18 January 2024].</w:t>
      </w:r>
    </w:p>
    <w:p w14:paraId="55DD169E"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FAO (2022) </w:t>
      </w:r>
      <w:r w:rsidRPr="006E366E">
        <w:rPr>
          <w:rFonts w:ascii="Times New Roman" w:eastAsia="Times New Roman" w:hAnsi="Times New Roman" w:cs="Times New Roman"/>
          <w:i/>
          <w:sz w:val="24"/>
          <w:szCs w:val="24"/>
        </w:rPr>
        <w:t>Voluntary Guidelines on the Responsible Governance of Tenure of Land, Fisheries and Forests in the Context of National Food Security</w:t>
      </w:r>
      <w:r w:rsidRPr="006E366E">
        <w:rPr>
          <w:rFonts w:ascii="Times New Roman" w:eastAsia="Times New Roman" w:hAnsi="Times New Roman" w:cs="Times New Roman"/>
          <w:sz w:val="24"/>
          <w:szCs w:val="24"/>
        </w:rPr>
        <w:t xml:space="preserve">, available from: </w:t>
      </w:r>
      <w:hyperlink r:id="rId22" w:history="1">
        <w:r w:rsidRPr="006E366E">
          <w:rPr>
            <w:rStyle w:val="Hyperlink"/>
            <w:rFonts w:ascii="Times New Roman" w:hAnsi="Times New Roman" w:cs="Times New Roman"/>
            <w:sz w:val="24"/>
            <w:szCs w:val="24"/>
          </w:rPr>
          <w:t>https://www.fao.org/3/i2801e/i2801e.pdf</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17 January 2024].</w:t>
      </w:r>
    </w:p>
    <w:p w14:paraId="74752195" w14:textId="1D315388"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Feder, G.; Feeny, D. (1991) Land Tenure and Property Rights: Theory and Implications for Development Policy. </w:t>
      </w:r>
      <w:r w:rsidRPr="006E366E">
        <w:rPr>
          <w:rFonts w:ascii="Times New Roman" w:eastAsia="Times New Roman" w:hAnsi="Times New Roman" w:cs="Times New Roman"/>
          <w:i/>
          <w:iCs/>
          <w:sz w:val="24"/>
          <w:szCs w:val="24"/>
        </w:rPr>
        <w:t>The World Bank Economic Review</w:t>
      </w:r>
      <w:r w:rsidRPr="006E366E">
        <w:rPr>
          <w:rFonts w:ascii="Times New Roman" w:eastAsia="Times New Roman" w:hAnsi="Times New Roman" w:cs="Times New Roman"/>
          <w:sz w:val="24"/>
          <w:szCs w:val="24"/>
        </w:rPr>
        <w:t xml:space="preserve">, 5(1), pp. 135-153. </w:t>
      </w:r>
      <w:hyperlink r:id="rId23" w:history="1">
        <w:r w:rsidRPr="006E366E">
          <w:rPr>
            <w:rStyle w:val="Hyperlink"/>
            <w:rFonts w:ascii="Times New Roman" w:eastAsia="Times New Roman" w:hAnsi="Times New Roman" w:cs="Times New Roman"/>
            <w:sz w:val="24"/>
            <w:szCs w:val="24"/>
          </w:rPr>
          <w:t>https://doi.org/10.1093/wber/5.1.135</w:t>
        </w:r>
      </w:hyperlink>
      <w:r w:rsidRPr="006E366E">
        <w:rPr>
          <w:rFonts w:ascii="Times New Roman" w:eastAsia="Times New Roman" w:hAnsi="Times New Roman" w:cs="Times New Roman"/>
          <w:sz w:val="24"/>
          <w:szCs w:val="24"/>
        </w:rPr>
        <w:t xml:space="preserve"> </w:t>
      </w:r>
    </w:p>
    <w:p w14:paraId="4C965347" w14:textId="27DDEB25" w:rsidR="00B85B93" w:rsidRPr="006E366E" w:rsidRDefault="00B85B93" w:rsidP="00806820">
      <w:pPr>
        <w:spacing w:after="0" w:line="240" w:lineRule="auto"/>
        <w:jc w:val="both"/>
        <w:rPr>
          <w:rFonts w:ascii="Times New Roman" w:eastAsia="Times New Roman" w:hAnsi="Times New Roman" w:cs="Times New Roman"/>
          <w:i/>
          <w:sz w:val="24"/>
          <w:szCs w:val="24"/>
        </w:rPr>
      </w:pPr>
      <w:r w:rsidRPr="006E366E">
        <w:rPr>
          <w:rFonts w:ascii="Times New Roman" w:eastAsia="Times New Roman" w:hAnsi="Times New Roman" w:cs="Times New Roman"/>
          <w:sz w:val="24"/>
          <w:szCs w:val="24"/>
        </w:rPr>
        <w:t>French, N. (2020)</w:t>
      </w:r>
      <w:r w:rsidRPr="006E366E">
        <w:rPr>
          <w:rFonts w:ascii="Times New Roman" w:eastAsia="Times New Roman" w:hAnsi="Times New Roman" w:cs="Times New Roman"/>
          <w:i/>
          <w:sz w:val="24"/>
          <w:szCs w:val="24"/>
        </w:rPr>
        <w:t xml:space="preserve"> Pricing to Market An Investigation into the use of Comparable Evidence in Property Valuation (TEGOVA Report), </w:t>
      </w:r>
      <w:r w:rsidRPr="006E366E">
        <w:rPr>
          <w:rFonts w:ascii="Times New Roman" w:eastAsia="Times New Roman" w:hAnsi="Times New Roman" w:cs="Times New Roman"/>
          <w:sz w:val="24"/>
          <w:szCs w:val="24"/>
        </w:rPr>
        <w:t xml:space="preserve">available from: </w:t>
      </w:r>
      <w:hyperlink r:id="rId24" w:history="1">
        <w:r w:rsidR="006E366E" w:rsidRPr="006E366E">
          <w:rPr>
            <w:rStyle w:val="Hyperlink"/>
            <w:rFonts w:ascii="Times New Roman" w:eastAsia="Times New Roman" w:hAnsi="Times New Roman" w:cs="Times New Roman"/>
            <w:sz w:val="24"/>
            <w:szCs w:val="24"/>
          </w:rPr>
          <w:t>https://tegova.org/static/062574e026cb01499849ffe9a6d29f00/Pr.%20Nick%20French%20Report%20(296%20KB).pdf</w:t>
        </w:r>
      </w:hyperlink>
      <w:r w:rsidR="006E366E" w:rsidRPr="006E366E">
        <w:rPr>
          <w:rFonts w:ascii="Times New Roman" w:eastAsia="Times New Roman" w:hAnsi="Times New Roman" w:cs="Times New Roman"/>
          <w:sz w:val="24"/>
          <w:szCs w:val="24"/>
        </w:rPr>
        <w:t xml:space="preserve"> [Accessed 17 January 2024].</w:t>
      </w:r>
    </w:p>
    <w:p w14:paraId="3E05B843"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proofErr w:type="spellStart"/>
      <w:r w:rsidRPr="006E366E">
        <w:rPr>
          <w:rFonts w:ascii="Times New Roman" w:eastAsia="Times New Roman" w:hAnsi="Times New Roman" w:cs="Times New Roman"/>
          <w:sz w:val="24"/>
          <w:szCs w:val="24"/>
        </w:rPr>
        <w:lastRenderedPageBreak/>
        <w:t>Garmaise</w:t>
      </w:r>
      <w:proofErr w:type="spellEnd"/>
      <w:r w:rsidRPr="006E366E">
        <w:rPr>
          <w:rFonts w:ascii="Times New Roman" w:eastAsia="Times New Roman" w:hAnsi="Times New Roman" w:cs="Times New Roman"/>
          <w:sz w:val="24"/>
          <w:szCs w:val="24"/>
        </w:rPr>
        <w:t xml:space="preserve">, M.J., and Moskowitz, T.J. (2004) Confronting information asymmetries: Evidence from real estate markets. </w:t>
      </w:r>
      <w:r w:rsidRPr="006E366E">
        <w:rPr>
          <w:rFonts w:ascii="Times New Roman" w:eastAsia="Times New Roman" w:hAnsi="Times New Roman" w:cs="Times New Roman"/>
          <w:i/>
          <w:sz w:val="24"/>
          <w:szCs w:val="24"/>
        </w:rPr>
        <w:t>Review of Financial Studies</w:t>
      </w:r>
      <w:r w:rsidRPr="006E366E">
        <w:rPr>
          <w:rFonts w:ascii="Times New Roman" w:eastAsia="Times New Roman" w:hAnsi="Times New Roman" w:cs="Times New Roman"/>
          <w:sz w:val="24"/>
          <w:szCs w:val="24"/>
        </w:rPr>
        <w:t xml:space="preserve">, 17(2), pp 405-37. </w:t>
      </w:r>
      <w:hyperlink r:id="rId25" w:history="1">
        <w:r w:rsidRPr="006E366E">
          <w:rPr>
            <w:rStyle w:val="Hyperlink"/>
            <w:rFonts w:ascii="Times New Roman" w:hAnsi="Times New Roman" w:cs="Times New Roman"/>
            <w:sz w:val="24"/>
            <w:szCs w:val="24"/>
          </w:rPr>
          <w:t>https://doi.org/10.1093/rfs/hhg037</w:t>
        </w:r>
      </w:hyperlink>
      <w:r w:rsidRPr="006E366E">
        <w:rPr>
          <w:rFonts w:ascii="Times New Roman" w:hAnsi="Times New Roman" w:cs="Times New Roman"/>
          <w:sz w:val="24"/>
          <w:szCs w:val="24"/>
        </w:rPr>
        <w:t xml:space="preserve"> </w:t>
      </w:r>
    </w:p>
    <w:p w14:paraId="0DBCC96D" w14:textId="34A69101"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Gillham, B. (2008) </w:t>
      </w:r>
      <w:r w:rsidRPr="006E366E">
        <w:rPr>
          <w:rFonts w:ascii="Times New Roman" w:eastAsia="Times New Roman" w:hAnsi="Times New Roman" w:cs="Times New Roman"/>
          <w:i/>
          <w:sz w:val="24"/>
          <w:szCs w:val="24"/>
        </w:rPr>
        <w:t>Developing a Questionnaire</w:t>
      </w:r>
      <w:r w:rsidRPr="006E366E">
        <w:rPr>
          <w:rFonts w:ascii="Times New Roman" w:eastAsia="Times New Roman" w:hAnsi="Times New Roman" w:cs="Times New Roman"/>
          <w:sz w:val="24"/>
          <w:szCs w:val="24"/>
        </w:rPr>
        <w:t>, 2nd ed.</w:t>
      </w:r>
      <w:r w:rsidR="006E366E" w:rsidRPr="006E366E">
        <w:rPr>
          <w:rFonts w:ascii="Times New Roman" w:eastAsia="Times New Roman" w:hAnsi="Times New Roman" w:cs="Times New Roman"/>
          <w:sz w:val="24"/>
          <w:szCs w:val="24"/>
        </w:rPr>
        <w:t xml:space="preserve">, </w:t>
      </w:r>
      <w:r w:rsidRPr="006E366E">
        <w:rPr>
          <w:rFonts w:ascii="Times New Roman" w:eastAsia="Times New Roman" w:hAnsi="Times New Roman" w:cs="Times New Roman"/>
          <w:sz w:val="24"/>
          <w:szCs w:val="24"/>
        </w:rPr>
        <w:t>London, UK</w:t>
      </w:r>
      <w:r w:rsidR="006E366E" w:rsidRPr="006E366E">
        <w:rPr>
          <w:rFonts w:ascii="Times New Roman" w:eastAsia="Times New Roman" w:hAnsi="Times New Roman" w:cs="Times New Roman"/>
          <w:sz w:val="24"/>
          <w:szCs w:val="24"/>
        </w:rPr>
        <w:t>: Continuum</w:t>
      </w:r>
      <w:r w:rsidRPr="006E366E">
        <w:rPr>
          <w:rFonts w:ascii="Times New Roman" w:eastAsia="Times New Roman" w:hAnsi="Times New Roman" w:cs="Times New Roman"/>
          <w:sz w:val="24"/>
          <w:szCs w:val="24"/>
        </w:rPr>
        <w:t>.</w:t>
      </w:r>
    </w:p>
    <w:p w14:paraId="1E8817F7"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GLTN (2018) </w:t>
      </w:r>
      <w:r w:rsidRPr="006E366E">
        <w:rPr>
          <w:rFonts w:ascii="Times New Roman" w:eastAsia="Times New Roman" w:hAnsi="Times New Roman" w:cs="Times New Roman"/>
          <w:i/>
          <w:sz w:val="24"/>
          <w:szCs w:val="24"/>
        </w:rPr>
        <w:t>Valuation of Unregistered Lands: A Policy Guide</w:t>
      </w:r>
      <w:r w:rsidRPr="006E366E">
        <w:rPr>
          <w:rFonts w:ascii="Times New Roman" w:eastAsia="Times New Roman" w:hAnsi="Times New Roman" w:cs="Times New Roman"/>
          <w:sz w:val="24"/>
          <w:szCs w:val="24"/>
        </w:rPr>
        <w:t xml:space="preserve">, available from: </w:t>
      </w:r>
      <w:hyperlink r:id="rId26" w:history="1">
        <w:r w:rsidRPr="006E366E">
          <w:rPr>
            <w:rStyle w:val="Hyperlink"/>
            <w:rFonts w:ascii="Times New Roman" w:hAnsi="Times New Roman" w:cs="Times New Roman"/>
            <w:sz w:val="24"/>
            <w:szCs w:val="24"/>
          </w:rPr>
          <w:t>https://gltn.net/download/valuation-of-unregistered-lands-a-policy-guide/</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17 January 2024].</w:t>
      </w:r>
    </w:p>
    <w:p w14:paraId="660C2F80" w14:textId="0042E919"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GLTN (2021) </w:t>
      </w:r>
      <w:r w:rsidRPr="006E366E">
        <w:rPr>
          <w:rFonts w:ascii="Times New Roman" w:eastAsia="Times New Roman" w:hAnsi="Times New Roman" w:cs="Times New Roman"/>
          <w:i/>
          <w:sz w:val="24"/>
          <w:szCs w:val="24"/>
        </w:rPr>
        <w:t>Valuation of Unregistered Land: A Practice Manual</w:t>
      </w:r>
      <w:r w:rsidRPr="006E366E">
        <w:rPr>
          <w:rFonts w:ascii="Times New Roman" w:eastAsia="Times New Roman" w:hAnsi="Times New Roman" w:cs="Times New Roman"/>
          <w:sz w:val="24"/>
          <w:szCs w:val="24"/>
        </w:rPr>
        <w:t xml:space="preserve">, available from: </w:t>
      </w:r>
      <w:hyperlink r:id="rId27" w:history="1">
        <w:r w:rsidRPr="006E366E">
          <w:rPr>
            <w:rStyle w:val="Hyperlink"/>
            <w:rFonts w:ascii="Times New Roman" w:hAnsi="Times New Roman" w:cs="Times New Roman"/>
            <w:sz w:val="24"/>
            <w:szCs w:val="24"/>
          </w:rPr>
          <w:t>https://gltn.net/download/valuation-of-unregistered-land-a-practice-manual/?wpdmdl=17187&amp;ind=1630494931913</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17 January 2024].</w:t>
      </w:r>
    </w:p>
    <w:p w14:paraId="6AD6B4BC" w14:textId="2C3CE811"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Gordon, B.L. and Winkler, D.T. (2019) New house premiums, market conditions, and the decision to purchase a new versus existing house. </w:t>
      </w:r>
      <w:r w:rsidRPr="006E366E">
        <w:rPr>
          <w:rFonts w:ascii="Times New Roman" w:eastAsia="Times New Roman" w:hAnsi="Times New Roman" w:cs="Times New Roman"/>
          <w:i/>
          <w:sz w:val="24"/>
          <w:szCs w:val="24"/>
        </w:rPr>
        <w:t>Journal of Real Estate Research</w:t>
      </w:r>
      <w:r w:rsidRPr="006E366E">
        <w:rPr>
          <w:rFonts w:ascii="Times New Roman" w:eastAsia="Times New Roman" w:hAnsi="Times New Roman" w:cs="Times New Roman"/>
          <w:sz w:val="24"/>
          <w:szCs w:val="24"/>
        </w:rPr>
        <w:t xml:space="preserve">, 41(3), pp. 379-410. </w:t>
      </w:r>
      <w:hyperlink r:id="rId28" w:history="1">
        <w:r w:rsidRPr="006E366E">
          <w:rPr>
            <w:rStyle w:val="Hyperlink"/>
            <w:rFonts w:ascii="Times New Roman" w:hAnsi="Times New Roman" w:cs="Times New Roman"/>
            <w:sz w:val="24"/>
            <w:szCs w:val="24"/>
          </w:rPr>
          <w:t>https://doi.org/10.22300/0896-5803.41.3.379</w:t>
        </w:r>
      </w:hyperlink>
      <w:r w:rsidRPr="006E366E">
        <w:rPr>
          <w:rFonts w:ascii="Times New Roman" w:hAnsi="Times New Roman" w:cs="Times New Roman"/>
          <w:sz w:val="24"/>
          <w:szCs w:val="24"/>
        </w:rPr>
        <w:t xml:space="preserve"> </w:t>
      </w:r>
    </w:p>
    <w:p w14:paraId="49E07DEB" w14:textId="03F592BB"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Granja, J., </w:t>
      </w:r>
      <w:proofErr w:type="spellStart"/>
      <w:r w:rsidRPr="006E366E">
        <w:rPr>
          <w:rFonts w:ascii="Times New Roman" w:eastAsia="Times New Roman" w:hAnsi="Times New Roman" w:cs="Times New Roman"/>
          <w:sz w:val="24"/>
          <w:szCs w:val="24"/>
        </w:rPr>
        <w:t>Matvos</w:t>
      </w:r>
      <w:proofErr w:type="spellEnd"/>
      <w:r w:rsidRPr="006E366E">
        <w:rPr>
          <w:rFonts w:ascii="Times New Roman" w:eastAsia="Times New Roman" w:hAnsi="Times New Roman" w:cs="Times New Roman"/>
          <w:sz w:val="24"/>
          <w:szCs w:val="24"/>
        </w:rPr>
        <w:t xml:space="preserve">, </w:t>
      </w:r>
      <w:r w:rsidR="006E366E" w:rsidRPr="006E366E">
        <w:rPr>
          <w:rFonts w:ascii="Times New Roman" w:eastAsia="Times New Roman" w:hAnsi="Times New Roman" w:cs="Times New Roman"/>
          <w:sz w:val="24"/>
          <w:szCs w:val="24"/>
        </w:rPr>
        <w:t xml:space="preserve">G. </w:t>
      </w:r>
      <w:r w:rsidRPr="006E366E">
        <w:rPr>
          <w:rFonts w:ascii="Times New Roman" w:eastAsia="Times New Roman" w:hAnsi="Times New Roman" w:cs="Times New Roman"/>
          <w:sz w:val="24"/>
          <w:szCs w:val="24"/>
        </w:rPr>
        <w:t>and Seru</w:t>
      </w:r>
      <w:r w:rsidR="006E366E" w:rsidRPr="006E366E">
        <w:rPr>
          <w:rFonts w:ascii="Times New Roman" w:eastAsia="Times New Roman" w:hAnsi="Times New Roman" w:cs="Times New Roman"/>
          <w:sz w:val="24"/>
          <w:szCs w:val="24"/>
        </w:rPr>
        <w:t>, A</w:t>
      </w:r>
      <w:r w:rsidRPr="006E366E">
        <w:rPr>
          <w:rFonts w:ascii="Times New Roman" w:eastAsia="Times New Roman" w:hAnsi="Times New Roman" w:cs="Times New Roman"/>
          <w:sz w:val="24"/>
          <w:szCs w:val="24"/>
        </w:rPr>
        <w:t xml:space="preserve">. (2017) Selling failed banks. </w:t>
      </w:r>
      <w:r w:rsidRPr="006E366E">
        <w:rPr>
          <w:rFonts w:ascii="Times New Roman" w:eastAsia="Times New Roman" w:hAnsi="Times New Roman" w:cs="Times New Roman"/>
          <w:i/>
          <w:iCs/>
          <w:sz w:val="24"/>
          <w:szCs w:val="24"/>
        </w:rPr>
        <w:t>Journal of Finance</w:t>
      </w:r>
      <w:r w:rsidRPr="006E366E">
        <w:rPr>
          <w:rFonts w:ascii="Times New Roman" w:eastAsia="Times New Roman" w:hAnsi="Times New Roman" w:cs="Times New Roman"/>
          <w:sz w:val="24"/>
          <w:szCs w:val="24"/>
        </w:rPr>
        <w:t xml:space="preserve">, 72(4), pp. 1723- 1784. </w:t>
      </w:r>
      <w:hyperlink r:id="rId29" w:history="1">
        <w:r w:rsidRPr="006E366E">
          <w:rPr>
            <w:rStyle w:val="Hyperlink"/>
            <w:rFonts w:ascii="Times New Roman" w:hAnsi="Times New Roman" w:cs="Times New Roman"/>
            <w:sz w:val="24"/>
            <w:szCs w:val="24"/>
          </w:rPr>
          <w:t>https://doi.org/10.1111/jofi.12512</w:t>
        </w:r>
      </w:hyperlink>
      <w:r w:rsidRPr="006E366E">
        <w:rPr>
          <w:rFonts w:ascii="Times New Roman" w:hAnsi="Times New Roman" w:cs="Times New Roman"/>
          <w:sz w:val="24"/>
          <w:szCs w:val="24"/>
        </w:rPr>
        <w:t xml:space="preserve"> </w:t>
      </w:r>
    </w:p>
    <w:p w14:paraId="444B7052"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Grover, R. and Grover, C. (2012) </w:t>
      </w:r>
      <w:r w:rsidRPr="006E366E">
        <w:rPr>
          <w:rFonts w:ascii="Times New Roman" w:eastAsia="Times New Roman" w:hAnsi="Times New Roman" w:cs="Times New Roman"/>
          <w:iCs/>
          <w:sz w:val="24"/>
          <w:szCs w:val="24"/>
        </w:rPr>
        <w:t>Valuation and Land Governance</w:t>
      </w:r>
      <w:r w:rsidRPr="006E366E">
        <w:rPr>
          <w:rFonts w:ascii="Times New Roman" w:eastAsia="Times New Roman" w:hAnsi="Times New Roman" w:cs="Times New Roman"/>
          <w:sz w:val="24"/>
          <w:szCs w:val="24"/>
        </w:rPr>
        <w:t xml:space="preserve">. </w:t>
      </w:r>
      <w:r w:rsidRPr="006E366E">
        <w:rPr>
          <w:rFonts w:ascii="Times New Roman" w:eastAsia="Times New Roman" w:hAnsi="Times New Roman" w:cs="Times New Roman"/>
          <w:i/>
          <w:iCs/>
          <w:sz w:val="24"/>
          <w:szCs w:val="24"/>
        </w:rPr>
        <w:t>Journal of Property Investment and Finance</w:t>
      </w:r>
      <w:r w:rsidRPr="006E366E">
        <w:rPr>
          <w:rFonts w:ascii="Times New Roman" w:eastAsia="Times New Roman" w:hAnsi="Times New Roman" w:cs="Times New Roman"/>
          <w:sz w:val="24"/>
          <w:szCs w:val="24"/>
        </w:rPr>
        <w:t xml:space="preserve">, 30(1), pp. 88-98. </w:t>
      </w:r>
      <w:hyperlink r:id="rId30" w:history="1">
        <w:r w:rsidRPr="006E366E">
          <w:rPr>
            <w:rStyle w:val="Hyperlink"/>
            <w:rFonts w:ascii="Times New Roman" w:hAnsi="Times New Roman" w:cs="Times New Roman"/>
            <w:sz w:val="24"/>
            <w:szCs w:val="24"/>
          </w:rPr>
          <w:t>https://doi.org/10.1108/14635781211194836</w:t>
        </w:r>
      </w:hyperlink>
      <w:r w:rsidRPr="006E366E">
        <w:rPr>
          <w:rFonts w:ascii="Times New Roman" w:hAnsi="Times New Roman" w:cs="Times New Roman"/>
          <w:sz w:val="24"/>
          <w:szCs w:val="24"/>
        </w:rPr>
        <w:t xml:space="preserve"> </w:t>
      </w:r>
    </w:p>
    <w:p w14:paraId="1D20CC5D"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Guest, G., MacQueen, K. M. and Namey, E.E. (2012) </w:t>
      </w:r>
      <w:r w:rsidRPr="006E366E">
        <w:rPr>
          <w:rFonts w:ascii="Times New Roman" w:eastAsia="Times New Roman" w:hAnsi="Times New Roman" w:cs="Times New Roman"/>
          <w:i/>
          <w:sz w:val="24"/>
          <w:szCs w:val="24"/>
        </w:rPr>
        <w:t>Applied Thematic Analysis</w:t>
      </w:r>
      <w:r w:rsidRPr="006E366E">
        <w:rPr>
          <w:rFonts w:ascii="Times New Roman" w:eastAsia="Times New Roman" w:hAnsi="Times New Roman" w:cs="Times New Roman"/>
          <w:sz w:val="24"/>
          <w:szCs w:val="24"/>
        </w:rPr>
        <w:t xml:space="preserve">, SAGE Publications Inc. </w:t>
      </w:r>
      <w:hyperlink r:id="rId31" w:history="1">
        <w:r w:rsidRPr="006E366E">
          <w:rPr>
            <w:rStyle w:val="Hyperlink"/>
            <w:rFonts w:ascii="Times New Roman" w:hAnsi="Times New Roman" w:cs="Times New Roman"/>
            <w:sz w:val="24"/>
            <w:szCs w:val="24"/>
          </w:rPr>
          <w:t>https://doi.org/10.4135/9781483384436</w:t>
        </w:r>
      </w:hyperlink>
      <w:r w:rsidRPr="006E366E">
        <w:rPr>
          <w:rFonts w:ascii="Times New Roman" w:hAnsi="Times New Roman" w:cs="Times New Roman"/>
          <w:sz w:val="24"/>
          <w:szCs w:val="24"/>
        </w:rPr>
        <w:t xml:space="preserve"> </w:t>
      </w:r>
    </w:p>
    <w:p w14:paraId="0E4CC5B5"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HM Treasury (2021) </w:t>
      </w:r>
      <w:r w:rsidRPr="006E366E">
        <w:rPr>
          <w:rFonts w:ascii="Times New Roman" w:eastAsia="Times New Roman" w:hAnsi="Times New Roman" w:cs="Times New Roman"/>
          <w:i/>
          <w:sz w:val="24"/>
          <w:szCs w:val="24"/>
        </w:rPr>
        <w:t>Final Report - The Economics of Biodiversity: The Dasgupta Review</w:t>
      </w:r>
      <w:r w:rsidRPr="006E366E">
        <w:rPr>
          <w:rFonts w:ascii="Times New Roman" w:eastAsia="Times New Roman" w:hAnsi="Times New Roman" w:cs="Times New Roman"/>
          <w:sz w:val="24"/>
          <w:szCs w:val="24"/>
        </w:rPr>
        <w:t xml:space="preserve">, available from: </w:t>
      </w:r>
      <w:hyperlink r:id="rId32" w:history="1">
        <w:r w:rsidRPr="006E366E">
          <w:rPr>
            <w:rStyle w:val="Hyperlink"/>
            <w:rFonts w:ascii="Times New Roman" w:hAnsi="Times New Roman" w:cs="Times New Roman"/>
            <w:sz w:val="24"/>
            <w:szCs w:val="24"/>
          </w:rPr>
          <w:t>https://www.gov.uk/government/publications/final-report-the-economics-of-biodiversity-the-dasgupta-review</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17 January 2024].</w:t>
      </w:r>
    </w:p>
    <w:p w14:paraId="324973E4"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HM Treasury (2023) </w:t>
      </w:r>
      <w:r w:rsidRPr="006E366E">
        <w:rPr>
          <w:rFonts w:ascii="Times New Roman" w:eastAsia="Times New Roman" w:hAnsi="Times New Roman" w:cs="Times New Roman"/>
          <w:i/>
          <w:sz w:val="24"/>
          <w:szCs w:val="24"/>
        </w:rPr>
        <w:t>Transparency of land ownership involving trusts</w:t>
      </w:r>
      <w:r w:rsidRPr="006E366E">
        <w:rPr>
          <w:rFonts w:ascii="Times New Roman" w:eastAsia="Times New Roman" w:hAnsi="Times New Roman" w:cs="Times New Roman"/>
          <w:sz w:val="24"/>
          <w:szCs w:val="24"/>
        </w:rPr>
        <w:t xml:space="preserve">, available from: </w:t>
      </w:r>
      <w:hyperlink r:id="rId33" w:history="1">
        <w:r w:rsidRPr="006E366E">
          <w:rPr>
            <w:rStyle w:val="Hyperlink"/>
            <w:rFonts w:ascii="Times New Roman" w:hAnsi="Times New Roman" w:cs="Times New Roman"/>
            <w:sz w:val="24"/>
            <w:szCs w:val="24"/>
          </w:rPr>
          <w:t>https://www.gov.uk/government/consultations/transparency-of-land-ownership-involving-trusts-consultation/transparency-of-land-ownership-involving-trusts</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17 January 2024]</w:t>
      </w:r>
    </w:p>
    <w:p w14:paraId="46EFC214"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Hofstede, G., Hofstede, G. J. and Minkov, M. (2010) </w:t>
      </w:r>
      <w:r w:rsidRPr="006E366E">
        <w:rPr>
          <w:rFonts w:ascii="Times New Roman" w:eastAsia="Times New Roman" w:hAnsi="Times New Roman" w:cs="Times New Roman"/>
          <w:i/>
          <w:sz w:val="24"/>
          <w:szCs w:val="24"/>
        </w:rPr>
        <w:t>Cultures and organizations: software of the mind : international cooperation and its importance for survival</w:t>
      </w:r>
      <w:r w:rsidRPr="006E366E">
        <w:rPr>
          <w:rFonts w:ascii="Times New Roman" w:eastAsia="Times New Roman" w:hAnsi="Times New Roman" w:cs="Times New Roman"/>
          <w:sz w:val="24"/>
          <w:szCs w:val="24"/>
        </w:rPr>
        <w:t>, 3rd ed, McGraw-Hill.</w:t>
      </w:r>
    </w:p>
    <w:p w14:paraId="76F54158" w14:textId="77777777" w:rsidR="00B85B93" w:rsidRPr="006E366E" w:rsidRDefault="00000000" w:rsidP="00806820">
      <w:pPr>
        <w:spacing w:after="0" w:line="240" w:lineRule="auto"/>
        <w:jc w:val="both"/>
        <w:rPr>
          <w:rFonts w:ascii="Times New Roman" w:eastAsia="Times New Roman" w:hAnsi="Times New Roman" w:cs="Times New Roman"/>
          <w:sz w:val="24"/>
          <w:szCs w:val="24"/>
        </w:rPr>
      </w:pPr>
      <w:hyperlink r:id="rId34" w:history="1">
        <w:r w:rsidR="00B85B93" w:rsidRPr="006E366E">
          <w:rPr>
            <w:rStyle w:val="Hyperlink"/>
            <w:rFonts w:ascii="Times New Roman" w:hAnsi="Times New Roman" w:cs="Times New Roman"/>
            <w:sz w:val="24"/>
            <w:szCs w:val="24"/>
          </w:rPr>
          <w:t>https://tegova.org/static/062574e026cb01499849ffe9a6d29f00/Pr.%20Nick%20French%20Report%20(296%20KB).pdf</w:t>
        </w:r>
      </w:hyperlink>
      <w:r w:rsidR="00B85B93" w:rsidRPr="006E366E">
        <w:rPr>
          <w:rFonts w:ascii="Times New Roman" w:hAnsi="Times New Roman" w:cs="Times New Roman"/>
          <w:sz w:val="24"/>
          <w:szCs w:val="24"/>
        </w:rPr>
        <w:t xml:space="preserve"> </w:t>
      </w:r>
      <w:r w:rsidR="00B85B93" w:rsidRPr="006E366E">
        <w:rPr>
          <w:rFonts w:ascii="Times New Roman" w:eastAsia="Times New Roman" w:hAnsi="Times New Roman" w:cs="Times New Roman"/>
          <w:sz w:val="24"/>
          <w:szCs w:val="24"/>
        </w:rPr>
        <w:t>[Accessed 21 January 2024]</w:t>
      </w:r>
    </w:p>
    <w:p w14:paraId="39D8C322"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IFRS Foundation (2011) </w:t>
      </w:r>
      <w:r w:rsidRPr="006E366E">
        <w:rPr>
          <w:rFonts w:ascii="Times New Roman" w:eastAsia="Times New Roman" w:hAnsi="Times New Roman" w:cs="Times New Roman"/>
          <w:i/>
          <w:sz w:val="24"/>
          <w:szCs w:val="24"/>
        </w:rPr>
        <w:t xml:space="preserve">IFRS 13 Fair Value Measurement, </w:t>
      </w:r>
      <w:r w:rsidRPr="006E366E">
        <w:rPr>
          <w:rFonts w:ascii="Times New Roman" w:eastAsia="Times New Roman" w:hAnsi="Times New Roman" w:cs="Times New Roman"/>
          <w:sz w:val="24"/>
          <w:szCs w:val="24"/>
        </w:rPr>
        <w:t xml:space="preserve">available from: </w:t>
      </w:r>
      <w:hyperlink r:id="rId35" w:history="1">
        <w:r w:rsidRPr="006E366E">
          <w:rPr>
            <w:rStyle w:val="Hyperlink"/>
            <w:rFonts w:ascii="Times New Roman" w:hAnsi="Times New Roman" w:cs="Times New Roman"/>
            <w:sz w:val="24"/>
            <w:szCs w:val="24"/>
          </w:rPr>
          <w:t>https://www.ifrs.org/content/dam/ifrs/publications/pdf-standards/english/2022/issued/part-a/ifrs-13-fair-value-measurement.pdf?bypass=on</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21 January 2024]</w:t>
      </w:r>
    </w:p>
    <w:p w14:paraId="4BC2B40F" w14:textId="77777777" w:rsidR="00B85B93" w:rsidRPr="006E366E" w:rsidRDefault="00B85B93" w:rsidP="00806820">
      <w:pPr>
        <w:spacing w:after="0" w:line="240" w:lineRule="auto"/>
        <w:jc w:val="both"/>
        <w:rPr>
          <w:rFonts w:ascii="Times New Roman" w:hAnsi="Times New Roman" w:cs="Times New Roman"/>
          <w:sz w:val="24"/>
          <w:szCs w:val="24"/>
        </w:rPr>
      </w:pPr>
      <w:proofErr w:type="spellStart"/>
      <w:r w:rsidRPr="006E366E">
        <w:rPr>
          <w:rFonts w:ascii="Times New Roman" w:eastAsia="Times New Roman" w:hAnsi="Times New Roman" w:cs="Times New Roman"/>
          <w:sz w:val="24"/>
          <w:szCs w:val="24"/>
        </w:rPr>
        <w:t>Ionaşcu</w:t>
      </w:r>
      <w:proofErr w:type="spellEnd"/>
      <w:r w:rsidRPr="006E366E">
        <w:rPr>
          <w:rFonts w:ascii="Times New Roman" w:eastAsia="Times New Roman" w:hAnsi="Times New Roman" w:cs="Times New Roman"/>
          <w:sz w:val="24"/>
          <w:szCs w:val="24"/>
        </w:rPr>
        <w:t xml:space="preserve">, E., Mironiuc, M., Anghel, I. (2019) Transparency of Real Estate Markets: Conceptual and Empirical Evidence. </w:t>
      </w:r>
      <w:r w:rsidRPr="006E366E">
        <w:rPr>
          <w:rFonts w:ascii="Times New Roman" w:eastAsia="Times New Roman" w:hAnsi="Times New Roman" w:cs="Times New Roman"/>
          <w:i/>
          <w:sz w:val="24"/>
          <w:szCs w:val="24"/>
        </w:rPr>
        <w:t xml:space="preserve">Audit </w:t>
      </w:r>
      <w:proofErr w:type="spellStart"/>
      <w:r w:rsidRPr="006E366E">
        <w:rPr>
          <w:rFonts w:ascii="Times New Roman" w:eastAsia="Times New Roman" w:hAnsi="Times New Roman" w:cs="Times New Roman"/>
          <w:i/>
          <w:sz w:val="24"/>
          <w:szCs w:val="24"/>
        </w:rPr>
        <w:t>Financiar</w:t>
      </w:r>
      <w:proofErr w:type="spellEnd"/>
      <w:r w:rsidRPr="006E366E">
        <w:rPr>
          <w:rFonts w:ascii="Times New Roman" w:eastAsia="Times New Roman" w:hAnsi="Times New Roman" w:cs="Times New Roman"/>
          <w:sz w:val="24"/>
          <w:szCs w:val="24"/>
        </w:rPr>
        <w:t xml:space="preserve">, 17(154), pp. 306-326. </w:t>
      </w:r>
      <w:hyperlink r:id="rId36" w:history="1">
        <w:r w:rsidRPr="006E366E">
          <w:rPr>
            <w:rStyle w:val="Hyperlink"/>
            <w:rFonts w:ascii="Times New Roman" w:hAnsi="Times New Roman" w:cs="Times New Roman"/>
            <w:sz w:val="24"/>
            <w:szCs w:val="24"/>
          </w:rPr>
          <w:t>https://doi.org/10.20869/AUDITF/2019/154/306</w:t>
        </w:r>
      </w:hyperlink>
      <w:r w:rsidRPr="006E366E">
        <w:rPr>
          <w:rFonts w:ascii="Times New Roman" w:hAnsi="Times New Roman" w:cs="Times New Roman"/>
          <w:sz w:val="24"/>
          <w:szCs w:val="24"/>
        </w:rPr>
        <w:t xml:space="preserve"> </w:t>
      </w:r>
    </w:p>
    <w:p w14:paraId="4F443C88" w14:textId="77777777" w:rsidR="006F5B82" w:rsidRPr="006F5B82" w:rsidRDefault="006F5B82" w:rsidP="006F5B82">
      <w:pPr>
        <w:spacing w:after="0" w:line="240" w:lineRule="auto"/>
        <w:jc w:val="both"/>
        <w:rPr>
          <w:rFonts w:ascii="Times New Roman" w:eastAsia="Times New Roman" w:hAnsi="Times New Roman" w:cs="Times New Roman"/>
          <w:sz w:val="24"/>
          <w:szCs w:val="24"/>
        </w:rPr>
      </w:pPr>
      <w:r w:rsidRPr="006F5B82">
        <w:rPr>
          <w:rFonts w:ascii="Times New Roman" w:eastAsia="Times New Roman" w:hAnsi="Times New Roman" w:cs="Times New Roman"/>
          <w:sz w:val="24"/>
          <w:szCs w:val="24"/>
        </w:rPr>
        <w:t xml:space="preserve">IVSC (2022) International Valuation Standards (IVS), available from: </w:t>
      </w:r>
      <w:hyperlink r:id="rId37" w:history="1">
        <w:r w:rsidRPr="006F5B82">
          <w:rPr>
            <w:rStyle w:val="Hyperlink"/>
            <w:rFonts w:ascii="Times New Roman" w:hAnsi="Times New Roman" w:cs="Times New Roman"/>
            <w:sz w:val="24"/>
            <w:szCs w:val="24"/>
          </w:rPr>
          <w:t>https://viewpoint.pwc.com/dt/gx/en/ivsc/international_valuat/assets/IVS-effective-31-Jan-2022.pdf</w:t>
        </w:r>
      </w:hyperlink>
      <w:r w:rsidRPr="006F5B82">
        <w:rPr>
          <w:rFonts w:ascii="Times New Roman" w:hAnsi="Times New Roman" w:cs="Times New Roman"/>
          <w:sz w:val="24"/>
          <w:szCs w:val="24"/>
        </w:rPr>
        <w:t xml:space="preserve"> </w:t>
      </w:r>
      <w:r w:rsidRPr="006F5B82">
        <w:rPr>
          <w:rFonts w:ascii="Times New Roman" w:eastAsia="Times New Roman" w:hAnsi="Times New Roman" w:cs="Times New Roman"/>
          <w:sz w:val="24"/>
          <w:szCs w:val="24"/>
        </w:rPr>
        <w:t>[Accessed 19 January 2024]</w:t>
      </w:r>
    </w:p>
    <w:p w14:paraId="078292F2" w14:textId="07ED143F" w:rsidR="00B85B93" w:rsidRPr="00A57206"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IVSC (202</w:t>
      </w:r>
      <w:r w:rsidR="00A57206">
        <w:rPr>
          <w:rFonts w:ascii="Times New Roman" w:eastAsia="Times New Roman" w:hAnsi="Times New Roman" w:cs="Times New Roman"/>
          <w:sz w:val="24"/>
          <w:szCs w:val="24"/>
        </w:rPr>
        <w:t>4</w:t>
      </w:r>
      <w:r w:rsidRPr="006E366E">
        <w:rPr>
          <w:rFonts w:ascii="Times New Roman" w:eastAsia="Times New Roman" w:hAnsi="Times New Roman" w:cs="Times New Roman"/>
          <w:sz w:val="24"/>
          <w:szCs w:val="24"/>
        </w:rPr>
        <w:t xml:space="preserve">) International Valuation Standards (IVS), available from: </w:t>
      </w:r>
      <w:hyperlink r:id="rId38" w:history="1">
        <w:r w:rsidR="00A57206" w:rsidRPr="00A57206">
          <w:rPr>
            <w:rStyle w:val="Hyperlink"/>
            <w:rFonts w:ascii="Times New Roman" w:hAnsi="Times New Roman" w:cs="Times New Roman"/>
            <w:sz w:val="24"/>
            <w:szCs w:val="24"/>
          </w:rPr>
          <w:t>https://www.ivsc.org/new-edition-of-the-international-valuation-standards-ivs-published/</w:t>
        </w:r>
      </w:hyperlink>
      <w:r w:rsidR="00A57206" w:rsidRPr="00A57206">
        <w:rPr>
          <w:rFonts w:ascii="Times New Roman" w:hAnsi="Times New Roman" w:cs="Times New Roman"/>
          <w:sz w:val="24"/>
          <w:szCs w:val="24"/>
        </w:rPr>
        <w:t xml:space="preserve"> </w:t>
      </w:r>
      <w:r w:rsidRPr="00A57206">
        <w:rPr>
          <w:rFonts w:ascii="Times New Roman" w:eastAsia="Times New Roman" w:hAnsi="Times New Roman" w:cs="Times New Roman"/>
          <w:sz w:val="24"/>
          <w:szCs w:val="24"/>
        </w:rPr>
        <w:t xml:space="preserve">[Accessed </w:t>
      </w:r>
      <w:r w:rsidR="00A57206" w:rsidRPr="00A57206">
        <w:rPr>
          <w:rFonts w:ascii="Times New Roman" w:eastAsia="Times New Roman" w:hAnsi="Times New Roman" w:cs="Times New Roman"/>
          <w:sz w:val="24"/>
          <w:szCs w:val="24"/>
        </w:rPr>
        <w:t>2 Febr</w:t>
      </w:r>
      <w:r w:rsidRPr="00A57206">
        <w:rPr>
          <w:rFonts w:ascii="Times New Roman" w:eastAsia="Times New Roman" w:hAnsi="Times New Roman" w:cs="Times New Roman"/>
          <w:sz w:val="24"/>
          <w:szCs w:val="24"/>
        </w:rPr>
        <w:t>uary 2024]</w:t>
      </w:r>
    </w:p>
    <w:p w14:paraId="374C0C2E"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JLL (2021) </w:t>
      </w:r>
      <w:proofErr w:type="spellStart"/>
      <w:r w:rsidRPr="006E366E">
        <w:rPr>
          <w:rFonts w:ascii="Times New Roman" w:eastAsia="Times New Roman" w:hAnsi="Times New Roman" w:cs="Times New Roman"/>
          <w:i/>
          <w:sz w:val="24"/>
          <w:szCs w:val="24"/>
        </w:rPr>
        <w:t>Globale</w:t>
      </w:r>
      <w:proofErr w:type="spellEnd"/>
      <w:r w:rsidRPr="006E366E">
        <w:rPr>
          <w:rFonts w:ascii="Times New Roman" w:eastAsia="Times New Roman" w:hAnsi="Times New Roman" w:cs="Times New Roman"/>
          <w:i/>
          <w:sz w:val="24"/>
          <w:szCs w:val="24"/>
        </w:rPr>
        <w:t xml:space="preserve"> </w:t>
      </w:r>
      <w:proofErr w:type="spellStart"/>
      <w:r w:rsidRPr="006E366E">
        <w:rPr>
          <w:rFonts w:ascii="Times New Roman" w:eastAsia="Times New Roman" w:hAnsi="Times New Roman" w:cs="Times New Roman"/>
          <w:i/>
          <w:sz w:val="24"/>
          <w:szCs w:val="24"/>
        </w:rPr>
        <w:t>Immobilienmärkte</w:t>
      </w:r>
      <w:proofErr w:type="spellEnd"/>
      <w:r w:rsidRPr="006E366E">
        <w:rPr>
          <w:rFonts w:ascii="Times New Roman" w:eastAsia="Times New Roman" w:hAnsi="Times New Roman" w:cs="Times New Roman"/>
          <w:i/>
          <w:sz w:val="24"/>
          <w:szCs w:val="24"/>
        </w:rPr>
        <w:t xml:space="preserve"> </w:t>
      </w:r>
      <w:proofErr w:type="spellStart"/>
      <w:r w:rsidRPr="006E366E">
        <w:rPr>
          <w:rFonts w:ascii="Times New Roman" w:eastAsia="Times New Roman" w:hAnsi="Times New Roman" w:cs="Times New Roman"/>
          <w:i/>
          <w:sz w:val="24"/>
          <w:szCs w:val="24"/>
        </w:rPr>
        <w:t>sind</w:t>
      </w:r>
      <w:proofErr w:type="spellEnd"/>
      <w:r w:rsidRPr="006E366E">
        <w:rPr>
          <w:rFonts w:ascii="Times New Roman" w:eastAsia="Times New Roman" w:hAnsi="Times New Roman" w:cs="Times New Roman"/>
          <w:i/>
          <w:sz w:val="24"/>
          <w:szCs w:val="24"/>
        </w:rPr>
        <w:t xml:space="preserve"> Ende 2021 </w:t>
      </w:r>
      <w:proofErr w:type="spellStart"/>
      <w:r w:rsidRPr="006E366E">
        <w:rPr>
          <w:rFonts w:ascii="Times New Roman" w:eastAsia="Times New Roman" w:hAnsi="Times New Roman" w:cs="Times New Roman"/>
          <w:i/>
          <w:sz w:val="24"/>
          <w:szCs w:val="24"/>
        </w:rPr>
        <w:t>im</w:t>
      </w:r>
      <w:proofErr w:type="spellEnd"/>
      <w:r w:rsidRPr="006E366E">
        <w:rPr>
          <w:rFonts w:ascii="Times New Roman" w:eastAsia="Times New Roman" w:hAnsi="Times New Roman" w:cs="Times New Roman"/>
          <w:i/>
          <w:sz w:val="24"/>
          <w:szCs w:val="24"/>
        </w:rPr>
        <w:t xml:space="preserve"> </w:t>
      </w:r>
      <w:proofErr w:type="spellStart"/>
      <w:r w:rsidRPr="006E366E">
        <w:rPr>
          <w:rFonts w:ascii="Times New Roman" w:eastAsia="Times New Roman" w:hAnsi="Times New Roman" w:cs="Times New Roman"/>
          <w:i/>
          <w:sz w:val="24"/>
          <w:szCs w:val="24"/>
        </w:rPr>
        <w:t>Erholungsmodus</w:t>
      </w:r>
      <w:proofErr w:type="spellEnd"/>
      <w:r w:rsidRPr="006E366E">
        <w:rPr>
          <w:rFonts w:ascii="Times New Roman" w:eastAsia="Times New Roman" w:hAnsi="Times New Roman" w:cs="Times New Roman"/>
          <w:sz w:val="24"/>
          <w:szCs w:val="24"/>
        </w:rPr>
        <w:t xml:space="preserve">, available from: </w:t>
      </w:r>
      <w:hyperlink r:id="rId39" w:history="1">
        <w:r w:rsidRPr="006E366E">
          <w:rPr>
            <w:rStyle w:val="Hyperlink"/>
            <w:rFonts w:ascii="Times New Roman" w:hAnsi="Times New Roman" w:cs="Times New Roman"/>
            <w:sz w:val="24"/>
            <w:szCs w:val="24"/>
          </w:rPr>
          <w:t>https://www.jll.de/de/presse/globale-immobilienmaerkte-sind-ende-2021-im-erholungsmodus</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17 January 2024].</w:t>
      </w:r>
    </w:p>
    <w:p w14:paraId="7B7C1860"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JLL (2022) </w:t>
      </w:r>
      <w:r w:rsidRPr="006E366E">
        <w:rPr>
          <w:rFonts w:ascii="Times New Roman" w:eastAsia="Times New Roman" w:hAnsi="Times New Roman" w:cs="Times New Roman"/>
          <w:i/>
          <w:sz w:val="24"/>
          <w:szCs w:val="24"/>
        </w:rPr>
        <w:t>Global Real Estate Transparency Index, 2022 - Transparency in an age of uncertainty</w:t>
      </w:r>
      <w:r w:rsidRPr="006E366E">
        <w:rPr>
          <w:rFonts w:ascii="Times New Roman" w:eastAsia="Times New Roman" w:hAnsi="Times New Roman" w:cs="Times New Roman"/>
          <w:sz w:val="24"/>
          <w:szCs w:val="24"/>
        </w:rPr>
        <w:t xml:space="preserve">, available from: </w:t>
      </w:r>
      <w:hyperlink r:id="rId40" w:history="1">
        <w:r w:rsidRPr="006E366E">
          <w:rPr>
            <w:rStyle w:val="Hyperlink"/>
            <w:rFonts w:ascii="Times New Roman" w:hAnsi="Times New Roman" w:cs="Times New Roman"/>
            <w:sz w:val="24"/>
            <w:szCs w:val="24"/>
          </w:rPr>
          <w:t>https://www.jll.co.uk/content/dam/jll-com/documents/pdf/research/global/jll-global-real-estate-transparency-index-2022.pdf</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17 January 2024].</w:t>
      </w:r>
    </w:p>
    <w:p w14:paraId="62C008A5"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lastRenderedPageBreak/>
        <w:t xml:space="preserve">JLL (2023) </w:t>
      </w:r>
      <w:proofErr w:type="spellStart"/>
      <w:r w:rsidRPr="006E366E">
        <w:rPr>
          <w:rFonts w:ascii="Times New Roman" w:eastAsia="Times New Roman" w:hAnsi="Times New Roman" w:cs="Times New Roman"/>
          <w:i/>
          <w:sz w:val="24"/>
          <w:szCs w:val="24"/>
        </w:rPr>
        <w:t>Globaler</w:t>
      </w:r>
      <w:proofErr w:type="spellEnd"/>
      <w:r w:rsidRPr="006E366E">
        <w:rPr>
          <w:rFonts w:ascii="Times New Roman" w:eastAsia="Times New Roman" w:hAnsi="Times New Roman" w:cs="Times New Roman"/>
          <w:i/>
          <w:sz w:val="24"/>
          <w:szCs w:val="24"/>
        </w:rPr>
        <w:t xml:space="preserve"> </w:t>
      </w:r>
      <w:proofErr w:type="spellStart"/>
      <w:r w:rsidRPr="006E366E">
        <w:rPr>
          <w:rFonts w:ascii="Times New Roman" w:eastAsia="Times New Roman" w:hAnsi="Times New Roman" w:cs="Times New Roman"/>
          <w:i/>
          <w:sz w:val="24"/>
          <w:szCs w:val="24"/>
        </w:rPr>
        <w:t>Immobilienmarkt</w:t>
      </w:r>
      <w:proofErr w:type="spellEnd"/>
      <w:r w:rsidRPr="006E366E">
        <w:rPr>
          <w:rFonts w:ascii="Times New Roman" w:eastAsia="Times New Roman" w:hAnsi="Times New Roman" w:cs="Times New Roman"/>
          <w:i/>
          <w:sz w:val="24"/>
          <w:szCs w:val="24"/>
        </w:rPr>
        <w:t xml:space="preserve"> </w:t>
      </w:r>
      <w:proofErr w:type="spellStart"/>
      <w:r w:rsidRPr="006E366E">
        <w:rPr>
          <w:rFonts w:ascii="Times New Roman" w:eastAsia="Times New Roman" w:hAnsi="Times New Roman" w:cs="Times New Roman"/>
          <w:i/>
          <w:sz w:val="24"/>
          <w:szCs w:val="24"/>
        </w:rPr>
        <w:t>büßt</w:t>
      </w:r>
      <w:proofErr w:type="spellEnd"/>
      <w:r w:rsidRPr="006E366E">
        <w:rPr>
          <w:rFonts w:ascii="Times New Roman" w:eastAsia="Times New Roman" w:hAnsi="Times New Roman" w:cs="Times New Roman"/>
          <w:i/>
          <w:sz w:val="24"/>
          <w:szCs w:val="24"/>
        </w:rPr>
        <w:t xml:space="preserve"> 2023 an </w:t>
      </w:r>
      <w:proofErr w:type="spellStart"/>
      <w:r w:rsidRPr="006E366E">
        <w:rPr>
          <w:rFonts w:ascii="Times New Roman" w:eastAsia="Times New Roman" w:hAnsi="Times New Roman" w:cs="Times New Roman"/>
          <w:i/>
          <w:sz w:val="24"/>
          <w:szCs w:val="24"/>
        </w:rPr>
        <w:t>Transaktionsvolumen</w:t>
      </w:r>
      <w:proofErr w:type="spellEnd"/>
      <w:r w:rsidRPr="006E366E">
        <w:rPr>
          <w:rFonts w:ascii="Times New Roman" w:eastAsia="Times New Roman" w:hAnsi="Times New Roman" w:cs="Times New Roman"/>
          <w:i/>
          <w:sz w:val="24"/>
          <w:szCs w:val="24"/>
        </w:rPr>
        <w:t xml:space="preserve"> </w:t>
      </w:r>
      <w:proofErr w:type="spellStart"/>
      <w:r w:rsidRPr="006E366E">
        <w:rPr>
          <w:rFonts w:ascii="Times New Roman" w:eastAsia="Times New Roman" w:hAnsi="Times New Roman" w:cs="Times New Roman"/>
          <w:i/>
          <w:sz w:val="24"/>
          <w:szCs w:val="24"/>
        </w:rPr>
        <w:t>ein</w:t>
      </w:r>
      <w:proofErr w:type="spellEnd"/>
      <w:r w:rsidRPr="006E366E">
        <w:rPr>
          <w:rFonts w:ascii="Times New Roman" w:eastAsia="Times New Roman" w:hAnsi="Times New Roman" w:cs="Times New Roman"/>
          <w:sz w:val="24"/>
          <w:szCs w:val="24"/>
        </w:rPr>
        <w:t xml:space="preserve">, available from: </w:t>
      </w:r>
      <w:hyperlink r:id="rId41" w:history="1">
        <w:r w:rsidRPr="006E366E">
          <w:rPr>
            <w:rStyle w:val="Hyperlink"/>
            <w:rFonts w:ascii="Times New Roman" w:hAnsi="Times New Roman" w:cs="Times New Roman"/>
            <w:sz w:val="24"/>
            <w:szCs w:val="24"/>
          </w:rPr>
          <w:t>https://www.jll.de/de/presse/Globaler-Immobilienmarkt-buesst-2023-an-Transaktionsvolumen-ein</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17 January 2024].</w:t>
      </w:r>
    </w:p>
    <w:p w14:paraId="7C187FD3" w14:textId="607BDB1C"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Keogh, G. and D’Arcy, E. (1999) Property market efficiency: an institutional economic perspective. </w:t>
      </w:r>
      <w:r w:rsidRPr="006E366E">
        <w:rPr>
          <w:rFonts w:ascii="Times New Roman" w:eastAsia="Times New Roman" w:hAnsi="Times New Roman" w:cs="Times New Roman"/>
          <w:i/>
          <w:sz w:val="24"/>
          <w:szCs w:val="24"/>
        </w:rPr>
        <w:t>Urban Studies</w:t>
      </w:r>
      <w:r w:rsidRPr="006E366E">
        <w:rPr>
          <w:rFonts w:ascii="Times New Roman" w:eastAsia="Times New Roman" w:hAnsi="Times New Roman" w:cs="Times New Roman"/>
          <w:sz w:val="24"/>
          <w:szCs w:val="24"/>
        </w:rPr>
        <w:t xml:space="preserve">, 36(13), pp. 2401-14. </w:t>
      </w:r>
      <w:hyperlink r:id="rId42" w:history="1">
        <w:r w:rsidRPr="006E366E">
          <w:rPr>
            <w:rStyle w:val="Hyperlink"/>
            <w:rFonts w:ascii="Times New Roman" w:hAnsi="Times New Roman" w:cs="Times New Roman"/>
            <w:sz w:val="24"/>
            <w:szCs w:val="24"/>
          </w:rPr>
          <w:t>https://doi.org/10.1080/0042098992485</w:t>
        </w:r>
      </w:hyperlink>
      <w:r w:rsidRPr="006E366E">
        <w:rPr>
          <w:rFonts w:ascii="Times New Roman" w:hAnsi="Times New Roman" w:cs="Times New Roman"/>
          <w:sz w:val="24"/>
          <w:szCs w:val="24"/>
        </w:rPr>
        <w:t xml:space="preserve"> </w:t>
      </w:r>
    </w:p>
    <w:p w14:paraId="2602525E" w14:textId="344BB8C1" w:rsidR="006E366E" w:rsidRPr="006E366E" w:rsidRDefault="006E366E" w:rsidP="006E366E">
      <w:pPr>
        <w:spacing w:after="0" w:line="240" w:lineRule="auto"/>
        <w:jc w:val="both"/>
        <w:rPr>
          <w:rFonts w:ascii="Times New Roman" w:eastAsia="Times New Roman" w:hAnsi="Times New Roman" w:cs="Times New Roman"/>
          <w:sz w:val="24"/>
          <w:szCs w:val="24"/>
        </w:rPr>
      </w:pPr>
      <w:proofErr w:type="spellStart"/>
      <w:r w:rsidRPr="006E366E">
        <w:rPr>
          <w:rFonts w:ascii="Times New Roman" w:eastAsia="Times New Roman" w:hAnsi="Times New Roman" w:cs="Times New Roman"/>
          <w:sz w:val="24"/>
          <w:szCs w:val="24"/>
        </w:rPr>
        <w:t>Kurlat</w:t>
      </w:r>
      <w:proofErr w:type="spellEnd"/>
      <w:r w:rsidRPr="006E366E">
        <w:rPr>
          <w:rFonts w:ascii="Times New Roman" w:eastAsia="Times New Roman" w:hAnsi="Times New Roman" w:cs="Times New Roman"/>
          <w:sz w:val="24"/>
          <w:szCs w:val="24"/>
        </w:rPr>
        <w:t xml:space="preserve">, P., and Stroebel, J. (2015) Testing for information asymmetries in real estate markets. </w:t>
      </w:r>
      <w:r w:rsidRPr="006E366E">
        <w:rPr>
          <w:rFonts w:ascii="Times New Roman" w:eastAsia="Times New Roman" w:hAnsi="Times New Roman" w:cs="Times New Roman"/>
          <w:i/>
          <w:iCs/>
          <w:sz w:val="24"/>
          <w:szCs w:val="24"/>
        </w:rPr>
        <w:t>Review of Financial Studies</w:t>
      </w:r>
      <w:r w:rsidRPr="006E366E">
        <w:rPr>
          <w:rFonts w:ascii="Times New Roman" w:eastAsia="Times New Roman" w:hAnsi="Times New Roman" w:cs="Times New Roman"/>
          <w:sz w:val="24"/>
          <w:szCs w:val="24"/>
        </w:rPr>
        <w:t xml:space="preserve">, 28(8), pp. 2429–2461. </w:t>
      </w:r>
      <w:hyperlink r:id="rId43" w:history="1">
        <w:r w:rsidRPr="006E366E">
          <w:rPr>
            <w:rStyle w:val="Hyperlink"/>
            <w:rFonts w:ascii="Times New Roman" w:eastAsia="Times New Roman" w:hAnsi="Times New Roman" w:cs="Times New Roman"/>
            <w:sz w:val="24"/>
            <w:szCs w:val="24"/>
          </w:rPr>
          <w:t>https://doi.org/10.1093/rfs/hhv028</w:t>
        </w:r>
      </w:hyperlink>
    </w:p>
    <w:p w14:paraId="7B4CD174" w14:textId="01C2B765" w:rsidR="00B85B93" w:rsidRPr="006E366E" w:rsidRDefault="00B85B93" w:rsidP="006E366E">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Li, Y. (2022) </w:t>
      </w:r>
      <w:r w:rsidRPr="006E366E">
        <w:rPr>
          <w:rFonts w:ascii="Times New Roman" w:eastAsia="Times New Roman" w:hAnsi="Times New Roman" w:cs="Times New Roman"/>
          <w:i/>
          <w:iCs/>
          <w:sz w:val="24"/>
          <w:szCs w:val="24"/>
        </w:rPr>
        <w:t>Cross-Cultural Privacy Differences</w:t>
      </w:r>
      <w:r w:rsidRPr="006E366E">
        <w:rPr>
          <w:rFonts w:ascii="Times New Roman" w:eastAsia="Times New Roman" w:hAnsi="Times New Roman" w:cs="Times New Roman"/>
          <w:sz w:val="24"/>
          <w:szCs w:val="24"/>
        </w:rPr>
        <w:t xml:space="preserve">. In: </w:t>
      </w:r>
      <w:proofErr w:type="spellStart"/>
      <w:r w:rsidRPr="006E366E">
        <w:rPr>
          <w:rFonts w:ascii="Times New Roman" w:eastAsia="Times New Roman" w:hAnsi="Times New Roman" w:cs="Times New Roman"/>
          <w:sz w:val="24"/>
          <w:szCs w:val="24"/>
        </w:rPr>
        <w:t>Knijnenburg</w:t>
      </w:r>
      <w:proofErr w:type="spellEnd"/>
      <w:r w:rsidRPr="006E366E">
        <w:rPr>
          <w:rFonts w:ascii="Times New Roman" w:eastAsia="Times New Roman" w:hAnsi="Times New Roman" w:cs="Times New Roman"/>
          <w:sz w:val="24"/>
          <w:szCs w:val="24"/>
        </w:rPr>
        <w:t xml:space="preserve">, B.P., Page, X., Wisniewski, P., Lipford, H.R., </w:t>
      </w:r>
      <w:proofErr w:type="spellStart"/>
      <w:r w:rsidRPr="006E366E">
        <w:rPr>
          <w:rFonts w:ascii="Times New Roman" w:eastAsia="Times New Roman" w:hAnsi="Times New Roman" w:cs="Times New Roman"/>
          <w:sz w:val="24"/>
          <w:szCs w:val="24"/>
        </w:rPr>
        <w:t>Proferes</w:t>
      </w:r>
      <w:proofErr w:type="spellEnd"/>
      <w:r w:rsidRPr="006E366E">
        <w:rPr>
          <w:rFonts w:ascii="Times New Roman" w:eastAsia="Times New Roman" w:hAnsi="Times New Roman" w:cs="Times New Roman"/>
          <w:sz w:val="24"/>
          <w:szCs w:val="24"/>
        </w:rPr>
        <w:t>, N., Romano, J. (eds) Modern Socio-Technical Perspectives on Privacy. Cham</w:t>
      </w:r>
      <w:r w:rsidR="006E366E" w:rsidRPr="006E366E">
        <w:rPr>
          <w:rFonts w:ascii="Times New Roman" w:eastAsia="Times New Roman" w:hAnsi="Times New Roman" w:cs="Times New Roman"/>
          <w:sz w:val="24"/>
          <w:szCs w:val="24"/>
        </w:rPr>
        <w:t>: Springer</w:t>
      </w:r>
      <w:r w:rsidRPr="006E366E">
        <w:rPr>
          <w:rFonts w:ascii="Times New Roman" w:eastAsia="Times New Roman" w:hAnsi="Times New Roman" w:cs="Times New Roman"/>
          <w:sz w:val="24"/>
          <w:szCs w:val="24"/>
        </w:rPr>
        <w:t xml:space="preserve">. </w:t>
      </w:r>
      <w:hyperlink r:id="rId44" w:history="1">
        <w:r w:rsidRPr="006E366E">
          <w:rPr>
            <w:rStyle w:val="Hyperlink"/>
            <w:rFonts w:ascii="Times New Roman" w:hAnsi="Times New Roman" w:cs="Times New Roman"/>
            <w:sz w:val="24"/>
            <w:szCs w:val="24"/>
          </w:rPr>
          <w:t>https://doi.org/10.1007/978-3-030-82786-1_12</w:t>
        </w:r>
      </w:hyperlink>
      <w:r w:rsidRPr="006E366E">
        <w:rPr>
          <w:rFonts w:ascii="Times New Roman" w:hAnsi="Times New Roman" w:cs="Times New Roman"/>
          <w:sz w:val="24"/>
          <w:szCs w:val="24"/>
        </w:rPr>
        <w:t xml:space="preserve"> </w:t>
      </w:r>
    </w:p>
    <w:p w14:paraId="4D0C42E8" w14:textId="2BEB4719"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Liberti, J.M. and Petersen, M. (2019) Information: Hard and Soft. </w:t>
      </w:r>
      <w:r w:rsidRPr="006E366E">
        <w:rPr>
          <w:rFonts w:ascii="Times New Roman" w:eastAsia="Times New Roman" w:hAnsi="Times New Roman" w:cs="Times New Roman"/>
          <w:i/>
          <w:iCs/>
          <w:sz w:val="24"/>
          <w:szCs w:val="24"/>
        </w:rPr>
        <w:t>The Review of Corporate Finance Studies</w:t>
      </w:r>
      <w:r w:rsidRPr="006E366E">
        <w:rPr>
          <w:rFonts w:ascii="Times New Roman" w:eastAsia="Times New Roman" w:hAnsi="Times New Roman" w:cs="Times New Roman"/>
          <w:sz w:val="24"/>
          <w:szCs w:val="24"/>
        </w:rPr>
        <w:t xml:space="preserve">, 8(1), pp. 1–41, </w:t>
      </w:r>
      <w:hyperlink r:id="rId45" w:history="1">
        <w:r w:rsidRPr="006E366E">
          <w:rPr>
            <w:rStyle w:val="Hyperlink"/>
            <w:rFonts w:ascii="Times New Roman" w:hAnsi="Times New Roman" w:cs="Times New Roman"/>
            <w:sz w:val="24"/>
            <w:szCs w:val="24"/>
          </w:rPr>
          <w:t>https://doi.org/10.1093/rcfs/cfy009</w:t>
        </w:r>
      </w:hyperlink>
      <w:r w:rsidRPr="006E366E">
        <w:rPr>
          <w:rFonts w:ascii="Times New Roman" w:hAnsi="Times New Roman" w:cs="Times New Roman"/>
          <w:sz w:val="24"/>
          <w:szCs w:val="24"/>
        </w:rPr>
        <w:t xml:space="preserve"> </w:t>
      </w:r>
    </w:p>
    <w:p w14:paraId="3D96E8DA" w14:textId="0A0876C8" w:rsidR="00B85B93" w:rsidRPr="006E366E" w:rsidRDefault="00B85B93" w:rsidP="00806820">
      <w:pPr>
        <w:spacing w:after="0" w:line="240" w:lineRule="auto"/>
        <w:jc w:val="both"/>
        <w:rPr>
          <w:rFonts w:ascii="Times New Roman" w:hAnsi="Times New Roman" w:cs="Times New Roman"/>
          <w:sz w:val="24"/>
          <w:szCs w:val="24"/>
        </w:rPr>
      </w:pPr>
      <w:r w:rsidRPr="006E366E">
        <w:rPr>
          <w:rFonts w:ascii="Times New Roman" w:eastAsia="Times New Roman" w:hAnsi="Times New Roman" w:cs="Times New Roman"/>
          <w:sz w:val="24"/>
          <w:szCs w:val="24"/>
        </w:rPr>
        <w:t xml:space="preserve">Lieser, K. and Groh, A.P. (2014) The Determinants of International Commercial Real Estate Investment. </w:t>
      </w:r>
      <w:r w:rsidRPr="006E366E">
        <w:rPr>
          <w:rFonts w:ascii="Times New Roman" w:eastAsia="Times New Roman" w:hAnsi="Times New Roman" w:cs="Times New Roman"/>
          <w:i/>
          <w:sz w:val="24"/>
          <w:szCs w:val="24"/>
        </w:rPr>
        <w:t>The Journal of Real Estate Finance and Economics</w:t>
      </w:r>
      <w:r w:rsidRPr="006E366E">
        <w:rPr>
          <w:rFonts w:ascii="Times New Roman" w:eastAsia="Times New Roman" w:hAnsi="Times New Roman" w:cs="Times New Roman"/>
          <w:sz w:val="24"/>
          <w:szCs w:val="24"/>
        </w:rPr>
        <w:t xml:space="preserve">, 48(4), pp. 611-659. </w:t>
      </w:r>
      <w:hyperlink r:id="rId46" w:history="1">
        <w:r w:rsidRPr="006E366E">
          <w:rPr>
            <w:rStyle w:val="Hyperlink"/>
            <w:rFonts w:ascii="Times New Roman" w:hAnsi="Times New Roman" w:cs="Times New Roman"/>
            <w:sz w:val="24"/>
            <w:szCs w:val="24"/>
          </w:rPr>
          <w:t>https://doi.org/10.1007/s11146-012-9401-0</w:t>
        </w:r>
      </w:hyperlink>
      <w:r w:rsidRPr="006E366E">
        <w:rPr>
          <w:rFonts w:ascii="Times New Roman" w:hAnsi="Times New Roman" w:cs="Times New Roman"/>
          <w:sz w:val="24"/>
          <w:szCs w:val="24"/>
        </w:rPr>
        <w:t xml:space="preserve"> </w:t>
      </w:r>
    </w:p>
    <w:p w14:paraId="541506FD" w14:textId="75A45D29"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Milgrom, P. and Stokey, N. (1982) Information, trade and common knowledge. </w:t>
      </w:r>
      <w:r w:rsidRPr="006E366E">
        <w:rPr>
          <w:rFonts w:ascii="Times New Roman" w:eastAsia="Times New Roman" w:hAnsi="Times New Roman" w:cs="Times New Roman"/>
          <w:i/>
          <w:sz w:val="24"/>
          <w:szCs w:val="24"/>
        </w:rPr>
        <w:t>Journal of Economic Theory</w:t>
      </w:r>
      <w:r w:rsidRPr="006E366E">
        <w:rPr>
          <w:rFonts w:ascii="Times New Roman" w:eastAsia="Times New Roman" w:hAnsi="Times New Roman" w:cs="Times New Roman"/>
          <w:sz w:val="24"/>
          <w:szCs w:val="24"/>
        </w:rPr>
        <w:t xml:space="preserve">, 26(1), pp. 17-27. </w:t>
      </w:r>
      <w:hyperlink r:id="rId47" w:history="1">
        <w:r w:rsidRPr="006E366E">
          <w:rPr>
            <w:rStyle w:val="Hyperlink"/>
            <w:rFonts w:ascii="Times New Roman" w:eastAsia="Times New Roman" w:hAnsi="Times New Roman" w:cs="Times New Roman"/>
            <w:sz w:val="24"/>
            <w:szCs w:val="24"/>
          </w:rPr>
          <w:t>https://doi.org/10.1016/0022-0531(82)90046-1</w:t>
        </w:r>
      </w:hyperlink>
      <w:r w:rsidRPr="006E366E">
        <w:rPr>
          <w:rFonts w:ascii="Times New Roman" w:eastAsia="Times New Roman" w:hAnsi="Times New Roman" w:cs="Times New Roman"/>
          <w:sz w:val="24"/>
          <w:szCs w:val="24"/>
        </w:rPr>
        <w:t xml:space="preserve"> </w:t>
      </w:r>
    </w:p>
    <w:p w14:paraId="094E267F" w14:textId="77777777" w:rsidR="00B85B93" w:rsidRPr="006E366E" w:rsidRDefault="00B85B93" w:rsidP="00806820">
      <w:pPr>
        <w:spacing w:after="0" w:line="240" w:lineRule="auto"/>
        <w:jc w:val="both"/>
        <w:rPr>
          <w:rFonts w:ascii="Times New Roman" w:hAnsi="Times New Roman" w:cs="Times New Roman"/>
          <w:sz w:val="24"/>
          <w:szCs w:val="24"/>
        </w:rPr>
      </w:pPr>
      <w:r w:rsidRPr="006E366E">
        <w:rPr>
          <w:rFonts w:ascii="Times New Roman" w:eastAsia="Times New Roman" w:hAnsi="Times New Roman" w:cs="Times New Roman"/>
          <w:sz w:val="24"/>
          <w:szCs w:val="24"/>
        </w:rPr>
        <w:t xml:space="preserve">Newell, G. (2016) </w:t>
      </w:r>
      <w:r w:rsidRPr="006E366E">
        <w:rPr>
          <w:rFonts w:ascii="Times New Roman" w:eastAsia="Times New Roman" w:hAnsi="Times New Roman" w:cs="Times New Roman"/>
          <w:iCs/>
          <w:sz w:val="24"/>
          <w:szCs w:val="24"/>
        </w:rPr>
        <w:t>The changing real estate market transparency in the European real estate markets.</w:t>
      </w:r>
      <w:r w:rsidRPr="006E366E">
        <w:rPr>
          <w:rFonts w:ascii="Times New Roman" w:eastAsia="Times New Roman" w:hAnsi="Times New Roman" w:cs="Times New Roman"/>
          <w:i/>
          <w:sz w:val="24"/>
          <w:szCs w:val="24"/>
        </w:rPr>
        <w:t xml:space="preserve"> </w:t>
      </w:r>
      <w:r w:rsidRPr="006E366E">
        <w:rPr>
          <w:rFonts w:ascii="Times New Roman" w:eastAsia="Times New Roman" w:hAnsi="Times New Roman" w:cs="Times New Roman"/>
          <w:i/>
          <w:iCs/>
          <w:sz w:val="24"/>
          <w:szCs w:val="24"/>
        </w:rPr>
        <w:t>Journal of Property Investment and Finance</w:t>
      </w:r>
      <w:r w:rsidRPr="006E366E">
        <w:rPr>
          <w:rFonts w:ascii="Times New Roman" w:eastAsia="Times New Roman" w:hAnsi="Times New Roman" w:cs="Times New Roman"/>
          <w:sz w:val="24"/>
          <w:szCs w:val="24"/>
        </w:rPr>
        <w:t xml:space="preserve">, 34(4) pp. 407-420. </w:t>
      </w:r>
      <w:hyperlink r:id="rId48" w:history="1">
        <w:r w:rsidRPr="006E366E">
          <w:rPr>
            <w:rStyle w:val="Hyperlink"/>
            <w:rFonts w:ascii="Times New Roman" w:hAnsi="Times New Roman" w:cs="Times New Roman"/>
            <w:sz w:val="24"/>
            <w:szCs w:val="24"/>
          </w:rPr>
          <w:t>https://doi/10.1108/JPIF-07-2015-0053/full/html</w:t>
        </w:r>
      </w:hyperlink>
      <w:r w:rsidRPr="006E366E">
        <w:rPr>
          <w:rFonts w:ascii="Times New Roman" w:hAnsi="Times New Roman" w:cs="Times New Roman"/>
          <w:sz w:val="24"/>
          <w:szCs w:val="24"/>
        </w:rPr>
        <w:t xml:space="preserve"> </w:t>
      </w:r>
    </w:p>
    <w:p w14:paraId="16277E60"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North, D.C. (1981) </w:t>
      </w:r>
      <w:r w:rsidRPr="006E366E">
        <w:rPr>
          <w:rFonts w:ascii="Times New Roman" w:eastAsia="Times New Roman" w:hAnsi="Times New Roman" w:cs="Times New Roman"/>
          <w:i/>
          <w:iCs/>
          <w:sz w:val="24"/>
          <w:szCs w:val="24"/>
        </w:rPr>
        <w:t>Structure and Change in Economic History</w:t>
      </w:r>
      <w:r w:rsidRPr="006E366E">
        <w:rPr>
          <w:rFonts w:ascii="Times New Roman" w:eastAsia="Times New Roman" w:hAnsi="Times New Roman" w:cs="Times New Roman"/>
          <w:sz w:val="24"/>
          <w:szCs w:val="24"/>
        </w:rPr>
        <w:t>, New York: W. W. Norton &amp;Co.</w:t>
      </w:r>
    </w:p>
    <w:p w14:paraId="0427F11C"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North, D.C. (1990) </w:t>
      </w:r>
      <w:r w:rsidRPr="006E366E">
        <w:rPr>
          <w:rFonts w:ascii="Times New Roman" w:eastAsia="Times New Roman" w:hAnsi="Times New Roman" w:cs="Times New Roman"/>
          <w:i/>
          <w:iCs/>
          <w:sz w:val="24"/>
          <w:szCs w:val="24"/>
        </w:rPr>
        <w:t>Institutions, Institutional Change and Economic Performance</w:t>
      </w:r>
      <w:r w:rsidRPr="006E366E">
        <w:rPr>
          <w:rFonts w:ascii="Times New Roman" w:eastAsia="Times New Roman" w:hAnsi="Times New Roman" w:cs="Times New Roman"/>
          <w:sz w:val="24"/>
          <w:szCs w:val="24"/>
        </w:rPr>
        <w:t>, New York: Cambridge University Press.</w:t>
      </w:r>
    </w:p>
    <w:p w14:paraId="6B59C921" w14:textId="77777777" w:rsidR="00806820" w:rsidRPr="006E366E" w:rsidRDefault="00806820"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North, D.C. (2005) </w:t>
      </w:r>
      <w:r w:rsidRPr="006E366E">
        <w:rPr>
          <w:rFonts w:ascii="Times New Roman" w:eastAsia="Times New Roman" w:hAnsi="Times New Roman" w:cs="Times New Roman"/>
          <w:i/>
          <w:iCs/>
          <w:sz w:val="24"/>
          <w:szCs w:val="24"/>
        </w:rPr>
        <w:t>Understanding the Process of Economic Change</w:t>
      </w:r>
      <w:r w:rsidRPr="006E366E">
        <w:rPr>
          <w:rFonts w:ascii="Times New Roman" w:eastAsia="Times New Roman" w:hAnsi="Times New Roman" w:cs="Times New Roman"/>
          <w:sz w:val="24"/>
          <w:szCs w:val="24"/>
        </w:rPr>
        <w:t>, Princeton: Princeton University Press.</w:t>
      </w:r>
    </w:p>
    <w:p w14:paraId="02259541"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Obeng-Odoom, F. and McDermott, M. (2018) </w:t>
      </w:r>
      <w:r w:rsidRPr="006E366E">
        <w:rPr>
          <w:rFonts w:ascii="Times New Roman" w:eastAsia="Times New Roman" w:hAnsi="Times New Roman" w:cs="Times New Roman"/>
          <w:i/>
          <w:sz w:val="24"/>
          <w:szCs w:val="24"/>
        </w:rPr>
        <w:t>Valuing unregistered land</w:t>
      </w:r>
      <w:r w:rsidRPr="006E366E">
        <w:rPr>
          <w:rFonts w:ascii="Times New Roman" w:eastAsia="Times New Roman" w:hAnsi="Times New Roman" w:cs="Times New Roman"/>
          <w:sz w:val="24"/>
          <w:szCs w:val="24"/>
        </w:rPr>
        <w:t xml:space="preserve">, RICS, available from: </w:t>
      </w:r>
      <w:hyperlink r:id="rId49" w:history="1">
        <w:r w:rsidRPr="006E366E">
          <w:rPr>
            <w:rStyle w:val="Hyperlink"/>
            <w:rFonts w:ascii="Times New Roman" w:hAnsi="Times New Roman" w:cs="Times New Roman"/>
            <w:sz w:val="24"/>
            <w:szCs w:val="24"/>
          </w:rPr>
          <w:t>https://www.rics.org/content/dam/ricsglobal/documents/to-be-sorted/valuing-unregistered-land-rics.pdf</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17 January 2024].</w:t>
      </w:r>
    </w:p>
    <w:p w14:paraId="76DBA185" w14:textId="65BC4F89"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OECD (2023) </w:t>
      </w:r>
      <w:r w:rsidRPr="006E366E">
        <w:rPr>
          <w:rFonts w:ascii="Times New Roman" w:eastAsia="Times New Roman" w:hAnsi="Times New Roman" w:cs="Times New Roman"/>
          <w:i/>
          <w:sz w:val="24"/>
          <w:szCs w:val="24"/>
        </w:rPr>
        <w:t>Enhancing International Tax Transparency on Real Estate</w:t>
      </w:r>
      <w:r w:rsidRPr="006E366E">
        <w:rPr>
          <w:rFonts w:ascii="Times New Roman" w:eastAsia="Times New Roman" w:hAnsi="Times New Roman" w:cs="Times New Roman"/>
          <w:sz w:val="24"/>
          <w:szCs w:val="24"/>
        </w:rPr>
        <w:t xml:space="preserve">, available from: </w:t>
      </w:r>
      <w:hyperlink r:id="rId50" w:history="1">
        <w:r w:rsidRPr="006E366E">
          <w:rPr>
            <w:rStyle w:val="Hyperlink"/>
            <w:rFonts w:ascii="Times New Roman" w:hAnsi="Times New Roman" w:cs="Times New Roman"/>
            <w:sz w:val="24"/>
            <w:szCs w:val="24"/>
          </w:rPr>
          <w:t>https://www.oecd-ilibrary.org/taxation/enhancing-international-tax-transparency-on-real-estate_37292361-en</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18 January 2024].</w:t>
      </w:r>
    </w:p>
    <w:p w14:paraId="62D07363" w14:textId="77777777" w:rsidR="00B85B93" w:rsidRPr="006E366E" w:rsidRDefault="00B85B93" w:rsidP="00806820">
      <w:pPr>
        <w:spacing w:after="0" w:line="240" w:lineRule="auto"/>
        <w:jc w:val="both"/>
        <w:rPr>
          <w:rFonts w:ascii="Times New Roman" w:hAnsi="Times New Roman" w:cs="Times New Roman"/>
          <w:sz w:val="24"/>
          <w:szCs w:val="24"/>
        </w:rPr>
      </w:pPr>
      <w:r w:rsidRPr="006E366E">
        <w:rPr>
          <w:rFonts w:ascii="Times New Roman" w:eastAsia="Times New Roman" w:hAnsi="Times New Roman" w:cs="Times New Roman"/>
          <w:sz w:val="24"/>
          <w:szCs w:val="24"/>
        </w:rPr>
        <w:t xml:space="preserve">Pagano, M. and </w:t>
      </w:r>
      <w:proofErr w:type="spellStart"/>
      <w:r w:rsidRPr="006E366E">
        <w:rPr>
          <w:rFonts w:ascii="Times New Roman" w:eastAsia="Times New Roman" w:hAnsi="Times New Roman" w:cs="Times New Roman"/>
          <w:sz w:val="24"/>
          <w:szCs w:val="24"/>
        </w:rPr>
        <w:t>Röell</w:t>
      </w:r>
      <w:proofErr w:type="spellEnd"/>
      <w:r w:rsidRPr="006E366E">
        <w:rPr>
          <w:rFonts w:ascii="Times New Roman" w:eastAsia="Times New Roman" w:hAnsi="Times New Roman" w:cs="Times New Roman"/>
          <w:sz w:val="24"/>
          <w:szCs w:val="24"/>
        </w:rPr>
        <w:t xml:space="preserve">, A. (1996) Transparency and Liquidity: A Comparison of Auction and Dealer Markets with Informed Trading. </w:t>
      </w:r>
      <w:r w:rsidRPr="006E366E">
        <w:rPr>
          <w:rFonts w:ascii="Times New Roman" w:eastAsia="Times New Roman" w:hAnsi="Times New Roman" w:cs="Times New Roman"/>
          <w:i/>
          <w:sz w:val="24"/>
          <w:szCs w:val="24"/>
        </w:rPr>
        <w:t>The Journal of Finance</w:t>
      </w:r>
      <w:r w:rsidRPr="006E366E">
        <w:rPr>
          <w:rFonts w:ascii="Times New Roman" w:eastAsia="Times New Roman" w:hAnsi="Times New Roman" w:cs="Times New Roman"/>
          <w:sz w:val="24"/>
          <w:szCs w:val="24"/>
        </w:rPr>
        <w:t xml:space="preserve">, 51(2), pp. 579-611. </w:t>
      </w:r>
      <w:hyperlink r:id="rId51" w:history="1">
        <w:r w:rsidRPr="006E366E">
          <w:rPr>
            <w:rStyle w:val="Hyperlink"/>
            <w:rFonts w:ascii="Times New Roman" w:hAnsi="Times New Roman" w:cs="Times New Roman"/>
            <w:sz w:val="24"/>
            <w:szCs w:val="24"/>
          </w:rPr>
          <w:t>https://doi.org/10.1111/j.1540-6261.1996.tb02695.x</w:t>
        </w:r>
      </w:hyperlink>
      <w:r w:rsidRPr="006E366E">
        <w:rPr>
          <w:rFonts w:ascii="Times New Roman" w:hAnsi="Times New Roman" w:cs="Times New Roman"/>
          <w:sz w:val="24"/>
          <w:szCs w:val="24"/>
        </w:rPr>
        <w:t xml:space="preserve"> </w:t>
      </w:r>
    </w:p>
    <w:p w14:paraId="71E7887C" w14:textId="0469D0AB"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Polanyi, K. (1944/2001) </w:t>
      </w:r>
      <w:r w:rsidRPr="006E366E">
        <w:rPr>
          <w:rFonts w:ascii="Times New Roman" w:eastAsia="Times New Roman" w:hAnsi="Times New Roman" w:cs="Times New Roman"/>
          <w:i/>
          <w:sz w:val="24"/>
          <w:szCs w:val="24"/>
        </w:rPr>
        <w:t>The great transformation: The political and economic origins of our time</w:t>
      </w:r>
      <w:r w:rsidRPr="006E366E">
        <w:rPr>
          <w:rFonts w:ascii="Times New Roman" w:eastAsia="Times New Roman" w:hAnsi="Times New Roman" w:cs="Times New Roman"/>
          <w:sz w:val="24"/>
          <w:szCs w:val="24"/>
        </w:rPr>
        <w:t>, 2</w:t>
      </w:r>
      <w:r w:rsidRPr="006E366E">
        <w:rPr>
          <w:rFonts w:ascii="Times New Roman" w:eastAsia="Times New Roman" w:hAnsi="Times New Roman" w:cs="Times New Roman"/>
          <w:sz w:val="24"/>
          <w:szCs w:val="24"/>
          <w:vertAlign w:val="superscript"/>
        </w:rPr>
        <w:t>nd</w:t>
      </w:r>
      <w:r w:rsidRPr="006E366E">
        <w:rPr>
          <w:rFonts w:ascii="Times New Roman" w:eastAsia="Times New Roman" w:hAnsi="Times New Roman" w:cs="Times New Roman"/>
          <w:sz w:val="24"/>
          <w:szCs w:val="24"/>
        </w:rPr>
        <w:t xml:space="preserve"> ed., Boston (MA): Beacon Press.</w:t>
      </w:r>
    </w:p>
    <w:p w14:paraId="5A6BEFFC" w14:textId="7D4A2C7A"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Reisen, H. (2020) </w:t>
      </w:r>
      <w:r w:rsidRPr="006E366E">
        <w:rPr>
          <w:rFonts w:ascii="Times New Roman" w:eastAsia="Times New Roman" w:hAnsi="Times New Roman" w:cs="Times New Roman"/>
          <w:i/>
          <w:sz w:val="24"/>
          <w:szCs w:val="24"/>
        </w:rPr>
        <w:t xml:space="preserve">Die </w:t>
      </w:r>
      <w:proofErr w:type="spellStart"/>
      <w:r w:rsidRPr="006E366E">
        <w:rPr>
          <w:rFonts w:ascii="Times New Roman" w:eastAsia="Times New Roman" w:hAnsi="Times New Roman" w:cs="Times New Roman"/>
          <w:i/>
          <w:sz w:val="24"/>
          <w:szCs w:val="24"/>
        </w:rPr>
        <w:t>Weltbank</w:t>
      </w:r>
      <w:proofErr w:type="spellEnd"/>
      <w:r w:rsidRPr="006E366E">
        <w:rPr>
          <w:rFonts w:ascii="Times New Roman" w:eastAsia="Times New Roman" w:hAnsi="Times New Roman" w:cs="Times New Roman"/>
          <w:i/>
          <w:sz w:val="24"/>
          <w:szCs w:val="24"/>
        </w:rPr>
        <w:t xml:space="preserve"> </w:t>
      </w:r>
      <w:proofErr w:type="spellStart"/>
      <w:r w:rsidRPr="006E366E">
        <w:rPr>
          <w:rFonts w:ascii="Times New Roman" w:eastAsia="Times New Roman" w:hAnsi="Times New Roman" w:cs="Times New Roman"/>
          <w:i/>
          <w:sz w:val="24"/>
          <w:szCs w:val="24"/>
        </w:rPr>
        <w:t>setzt</w:t>
      </w:r>
      <w:proofErr w:type="spellEnd"/>
      <w:r w:rsidRPr="006E366E">
        <w:rPr>
          <w:rFonts w:ascii="Times New Roman" w:eastAsia="Times New Roman" w:hAnsi="Times New Roman" w:cs="Times New Roman"/>
          <w:i/>
          <w:sz w:val="24"/>
          <w:szCs w:val="24"/>
        </w:rPr>
        <w:t xml:space="preserve"> </w:t>
      </w:r>
      <w:proofErr w:type="spellStart"/>
      <w:r w:rsidRPr="006E366E">
        <w:rPr>
          <w:rFonts w:ascii="Times New Roman" w:eastAsia="Times New Roman" w:hAnsi="Times New Roman" w:cs="Times New Roman"/>
          <w:i/>
          <w:sz w:val="24"/>
          <w:szCs w:val="24"/>
        </w:rPr>
        <w:t>ihren</w:t>
      </w:r>
      <w:proofErr w:type="spellEnd"/>
      <w:r w:rsidRPr="006E366E">
        <w:rPr>
          <w:rFonts w:ascii="Times New Roman" w:eastAsia="Times New Roman" w:hAnsi="Times New Roman" w:cs="Times New Roman"/>
          <w:i/>
          <w:sz w:val="24"/>
          <w:szCs w:val="24"/>
        </w:rPr>
        <w:t xml:space="preserve"> ‚Doing Business‘-Index </w:t>
      </w:r>
      <w:proofErr w:type="spellStart"/>
      <w:r w:rsidRPr="006E366E">
        <w:rPr>
          <w:rFonts w:ascii="Times New Roman" w:eastAsia="Times New Roman" w:hAnsi="Times New Roman" w:cs="Times New Roman"/>
          <w:i/>
          <w:sz w:val="24"/>
          <w:szCs w:val="24"/>
        </w:rPr>
        <w:t>aus</w:t>
      </w:r>
      <w:proofErr w:type="spellEnd"/>
      <w:r w:rsidRPr="006E366E">
        <w:rPr>
          <w:rFonts w:ascii="Times New Roman" w:eastAsia="Times New Roman" w:hAnsi="Times New Roman" w:cs="Times New Roman"/>
          <w:i/>
          <w:sz w:val="24"/>
          <w:szCs w:val="24"/>
        </w:rPr>
        <w:t>,</w:t>
      </w:r>
      <w:r w:rsidRPr="006E366E">
        <w:rPr>
          <w:rFonts w:ascii="Times New Roman" w:eastAsia="Times New Roman" w:hAnsi="Times New Roman" w:cs="Times New Roman"/>
          <w:sz w:val="24"/>
          <w:szCs w:val="24"/>
        </w:rPr>
        <w:t xml:space="preserve"> available from: </w:t>
      </w:r>
      <w:hyperlink r:id="rId52" w:history="1">
        <w:r w:rsidRPr="006E366E">
          <w:rPr>
            <w:rStyle w:val="Hyperlink"/>
            <w:rFonts w:ascii="Times New Roman" w:hAnsi="Times New Roman" w:cs="Times New Roman"/>
            <w:sz w:val="24"/>
            <w:szCs w:val="24"/>
          </w:rPr>
          <w:t>https://weltneuvermessung.wordpress.com/2020/09/13/die-weltbank-setzt-ihren-doing-business-index-aus/</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17 January 2024].</w:t>
      </w:r>
    </w:p>
    <w:p w14:paraId="79E288F6" w14:textId="3BC352D2"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Reydon, B.P. (1992) </w:t>
      </w:r>
      <w:r w:rsidRPr="006E366E">
        <w:rPr>
          <w:rFonts w:ascii="Times New Roman" w:eastAsia="Times New Roman" w:hAnsi="Times New Roman" w:cs="Times New Roman"/>
          <w:i/>
          <w:iCs/>
          <w:sz w:val="24"/>
          <w:szCs w:val="24"/>
        </w:rPr>
        <w:t xml:space="preserve">Mercados de </w:t>
      </w:r>
      <w:proofErr w:type="spellStart"/>
      <w:r w:rsidRPr="006E366E">
        <w:rPr>
          <w:rFonts w:ascii="Times New Roman" w:eastAsia="Times New Roman" w:hAnsi="Times New Roman" w:cs="Times New Roman"/>
          <w:i/>
          <w:iCs/>
          <w:sz w:val="24"/>
          <w:szCs w:val="24"/>
        </w:rPr>
        <w:t>terras</w:t>
      </w:r>
      <w:proofErr w:type="spellEnd"/>
      <w:r w:rsidRPr="006E366E">
        <w:rPr>
          <w:rFonts w:ascii="Times New Roman" w:eastAsia="Times New Roman" w:hAnsi="Times New Roman" w:cs="Times New Roman"/>
          <w:i/>
          <w:iCs/>
          <w:sz w:val="24"/>
          <w:szCs w:val="24"/>
        </w:rPr>
        <w:t xml:space="preserve"> </w:t>
      </w:r>
      <w:proofErr w:type="spellStart"/>
      <w:r w:rsidRPr="006E366E">
        <w:rPr>
          <w:rFonts w:ascii="Times New Roman" w:eastAsia="Times New Roman" w:hAnsi="Times New Roman" w:cs="Times New Roman"/>
          <w:i/>
          <w:iCs/>
          <w:sz w:val="24"/>
          <w:szCs w:val="24"/>
        </w:rPr>
        <w:t>agrícolas</w:t>
      </w:r>
      <w:proofErr w:type="spellEnd"/>
      <w:r w:rsidRPr="006E366E">
        <w:rPr>
          <w:rFonts w:ascii="Times New Roman" w:eastAsia="Times New Roman" w:hAnsi="Times New Roman" w:cs="Times New Roman"/>
          <w:i/>
          <w:iCs/>
          <w:sz w:val="24"/>
          <w:szCs w:val="24"/>
        </w:rPr>
        <w:t xml:space="preserve"> e </w:t>
      </w:r>
      <w:proofErr w:type="spellStart"/>
      <w:r w:rsidRPr="006E366E">
        <w:rPr>
          <w:rFonts w:ascii="Times New Roman" w:eastAsia="Times New Roman" w:hAnsi="Times New Roman" w:cs="Times New Roman"/>
          <w:i/>
          <w:iCs/>
          <w:sz w:val="24"/>
          <w:szCs w:val="24"/>
        </w:rPr>
        <w:t>determinantes</w:t>
      </w:r>
      <w:proofErr w:type="spellEnd"/>
      <w:r w:rsidRPr="006E366E">
        <w:rPr>
          <w:rFonts w:ascii="Times New Roman" w:eastAsia="Times New Roman" w:hAnsi="Times New Roman" w:cs="Times New Roman"/>
          <w:i/>
          <w:iCs/>
          <w:sz w:val="24"/>
          <w:szCs w:val="24"/>
        </w:rPr>
        <w:t xml:space="preserve"> de </w:t>
      </w:r>
      <w:proofErr w:type="spellStart"/>
      <w:r w:rsidRPr="006E366E">
        <w:rPr>
          <w:rFonts w:ascii="Times New Roman" w:eastAsia="Times New Roman" w:hAnsi="Times New Roman" w:cs="Times New Roman"/>
          <w:i/>
          <w:iCs/>
          <w:sz w:val="24"/>
          <w:szCs w:val="24"/>
        </w:rPr>
        <w:t>seus</w:t>
      </w:r>
      <w:proofErr w:type="spellEnd"/>
      <w:r w:rsidRPr="006E366E">
        <w:rPr>
          <w:rFonts w:ascii="Times New Roman" w:eastAsia="Times New Roman" w:hAnsi="Times New Roman" w:cs="Times New Roman"/>
          <w:i/>
          <w:iCs/>
          <w:sz w:val="24"/>
          <w:szCs w:val="24"/>
        </w:rPr>
        <w:t xml:space="preserve"> </w:t>
      </w:r>
      <w:proofErr w:type="spellStart"/>
      <w:r w:rsidRPr="006E366E">
        <w:rPr>
          <w:rFonts w:ascii="Times New Roman" w:eastAsia="Times New Roman" w:hAnsi="Times New Roman" w:cs="Times New Roman"/>
          <w:i/>
          <w:iCs/>
          <w:sz w:val="24"/>
          <w:szCs w:val="24"/>
        </w:rPr>
        <w:t>preços</w:t>
      </w:r>
      <w:proofErr w:type="spellEnd"/>
      <w:r w:rsidRPr="006E366E">
        <w:rPr>
          <w:rFonts w:ascii="Times New Roman" w:eastAsia="Times New Roman" w:hAnsi="Times New Roman" w:cs="Times New Roman"/>
          <w:i/>
          <w:iCs/>
          <w:sz w:val="24"/>
          <w:szCs w:val="24"/>
        </w:rPr>
        <w:t xml:space="preserve"> no </w:t>
      </w:r>
      <w:proofErr w:type="spellStart"/>
      <w:r w:rsidRPr="006E366E">
        <w:rPr>
          <w:rFonts w:ascii="Times New Roman" w:eastAsia="Times New Roman" w:hAnsi="Times New Roman" w:cs="Times New Roman"/>
          <w:i/>
          <w:iCs/>
          <w:sz w:val="24"/>
          <w:szCs w:val="24"/>
        </w:rPr>
        <w:t>Brasil</w:t>
      </w:r>
      <w:proofErr w:type="spellEnd"/>
      <w:r w:rsidRPr="006E366E">
        <w:rPr>
          <w:rFonts w:ascii="Times New Roman" w:eastAsia="Times New Roman" w:hAnsi="Times New Roman" w:cs="Times New Roman"/>
          <w:i/>
          <w:iCs/>
          <w:sz w:val="24"/>
          <w:szCs w:val="24"/>
        </w:rPr>
        <w:t xml:space="preserve">: um </w:t>
      </w:r>
      <w:proofErr w:type="spellStart"/>
      <w:r w:rsidRPr="006E366E">
        <w:rPr>
          <w:rFonts w:ascii="Times New Roman" w:eastAsia="Times New Roman" w:hAnsi="Times New Roman" w:cs="Times New Roman"/>
          <w:i/>
          <w:iCs/>
          <w:sz w:val="24"/>
          <w:szCs w:val="24"/>
        </w:rPr>
        <w:t>estudo</w:t>
      </w:r>
      <w:proofErr w:type="spellEnd"/>
      <w:r w:rsidRPr="006E366E">
        <w:rPr>
          <w:rFonts w:ascii="Times New Roman" w:eastAsia="Times New Roman" w:hAnsi="Times New Roman" w:cs="Times New Roman"/>
          <w:i/>
          <w:iCs/>
          <w:sz w:val="24"/>
          <w:szCs w:val="24"/>
        </w:rPr>
        <w:t xml:space="preserve"> de </w:t>
      </w:r>
      <w:proofErr w:type="spellStart"/>
      <w:r w:rsidRPr="006E366E">
        <w:rPr>
          <w:rFonts w:ascii="Times New Roman" w:eastAsia="Times New Roman" w:hAnsi="Times New Roman" w:cs="Times New Roman"/>
          <w:i/>
          <w:iCs/>
          <w:sz w:val="24"/>
          <w:szCs w:val="24"/>
        </w:rPr>
        <w:t>casos</w:t>
      </w:r>
      <w:proofErr w:type="spellEnd"/>
      <w:r w:rsidRPr="006E366E">
        <w:rPr>
          <w:rFonts w:ascii="Times New Roman" w:eastAsia="Times New Roman" w:hAnsi="Times New Roman" w:cs="Times New Roman"/>
          <w:sz w:val="24"/>
          <w:szCs w:val="24"/>
        </w:rPr>
        <w:t xml:space="preserve">. Ph.D. Thesis, Campinas (SP): Instituto de Economia da </w:t>
      </w:r>
      <w:proofErr w:type="spellStart"/>
      <w:r w:rsidRPr="006E366E">
        <w:rPr>
          <w:rFonts w:ascii="Times New Roman" w:eastAsia="Times New Roman" w:hAnsi="Times New Roman" w:cs="Times New Roman"/>
          <w:sz w:val="24"/>
          <w:szCs w:val="24"/>
        </w:rPr>
        <w:t>Unicamp</w:t>
      </w:r>
      <w:proofErr w:type="spellEnd"/>
      <w:r w:rsidRPr="006E366E">
        <w:rPr>
          <w:rFonts w:ascii="Times New Roman" w:eastAsia="Times New Roman" w:hAnsi="Times New Roman" w:cs="Times New Roman"/>
          <w:sz w:val="24"/>
          <w:szCs w:val="24"/>
        </w:rPr>
        <w:t>.</w:t>
      </w:r>
    </w:p>
    <w:p w14:paraId="02AD2D39" w14:textId="43F9EE41"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Reydon, B.P</w:t>
      </w:r>
      <w:r w:rsidR="006E366E" w:rsidRPr="006E366E">
        <w:rPr>
          <w:rFonts w:ascii="Times New Roman" w:eastAsia="Times New Roman" w:hAnsi="Times New Roman" w:cs="Times New Roman"/>
          <w:sz w:val="24"/>
          <w:szCs w:val="24"/>
        </w:rPr>
        <w:t>.</w:t>
      </w:r>
      <w:r w:rsidRPr="006E366E">
        <w:rPr>
          <w:rFonts w:ascii="Times New Roman" w:eastAsia="Times New Roman" w:hAnsi="Times New Roman" w:cs="Times New Roman"/>
          <w:sz w:val="24"/>
          <w:szCs w:val="24"/>
        </w:rPr>
        <w:t xml:space="preserve"> (1994) </w:t>
      </w:r>
      <w:proofErr w:type="spellStart"/>
      <w:r w:rsidRPr="006E366E">
        <w:rPr>
          <w:rFonts w:ascii="Times New Roman" w:eastAsia="Times New Roman" w:hAnsi="Times New Roman" w:cs="Times New Roman"/>
          <w:i/>
          <w:iCs/>
          <w:sz w:val="24"/>
          <w:szCs w:val="24"/>
        </w:rPr>
        <w:t>Especulação</w:t>
      </w:r>
      <w:proofErr w:type="spellEnd"/>
      <w:r w:rsidRPr="006E366E">
        <w:rPr>
          <w:rFonts w:ascii="Times New Roman" w:eastAsia="Times New Roman" w:hAnsi="Times New Roman" w:cs="Times New Roman"/>
          <w:i/>
          <w:iCs/>
          <w:sz w:val="24"/>
          <w:szCs w:val="24"/>
        </w:rPr>
        <w:t xml:space="preserve"> com </w:t>
      </w:r>
      <w:proofErr w:type="spellStart"/>
      <w:r w:rsidRPr="006E366E">
        <w:rPr>
          <w:rFonts w:ascii="Times New Roman" w:eastAsia="Times New Roman" w:hAnsi="Times New Roman" w:cs="Times New Roman"/>
          <w:i/>
          <w:iCs/>
          <w:sz w:val="24"/>
          <w:szCs w:val="24"/>
        </w:rPr>
        <w:t>terras</w:t>
      </w:r>
      <w:proofErr w:type="spellEnd"/>
      <w:r w:rsidRPr="006E366E">
        <w:rPr>
          <w:rFonts w:ascii="Times New Roman" w:eastAsia="Times New Roman" w:hAnsi="Times New Roman" w:cs="Times New Roman"/>
          <w:i/>
          <w:iCs/>
          <w:sz w:val="24"/>
          <w:szCs w:val="24"/>
        </w:rPr>
        <w:t xml:space="preserve"> </w:t>
      </w:r>
      <w:proofErr w:type="spellStart"/>
      <w:r w:rsidRPr="006E366E">
        <w:rPr>
          <w:rFonts w:ascii="Times New Roman" w:eastAsia="Times New Roman" w:hAnsi="Times New Roman" w:cs="Times New Roman"/>
          <w:i/>
          <w:iCs/>
          <w:sz w:val="24"/>
          <w:szCs w:val="24"/>
        </w:rPr>
        <w:t>agrícolas</w:t>
      </w:r>
      <w:proofErr w:type="spellEnd"/>
      <w:r w:rsidRPr="006E366E">
        <w:rPr>
          <w:rFonts w:ascii="Times New Roman" w:eastAsia="Times New Roman" w:hAnsi="Times New Roman" w:cs="Times New Roman"/>
          <w:i/>
          <w:iCs/>
          <w:sz w:val="24"/>
          <w:szCs w:val="24"/>
        </w:rPr>
        <w:t xml:space="preserve">: </w:t>
      </w:r>
      <w:proofErr w:type="spellStart"/>
      <w:r w:rsidRPr="006E366E">
        <w:rPr>
          <w:rFonts w:ascii="Times New Roman" w:eastAsia="Times New Roman" w:hAnsi="Times New Roman" w:cs="Times New Roman"/>
          <w:i/>
          <w:iCs/>
          <w:sz w:val="24"/>
          <w:szCs w:val="24"/>
        </w:rPr>
        <w:t>uma</w:t>
      </w:r>
      <w:proofErr w:type="spellEnd"/>
      <w:r w:rsidRPr="006E366E">
        <w:rPr>
          <w:rFonts w:ascii="Times New Roman" w:eastAsia="Times New Roman" w:hAnsi="Times New Roman" w:cs="Times New Roman"/>
          <w:i/>
          <w:iCs/>
          <w:sz w:val="24"/>
          <w:szCs w:val="24"/>
        </w:rPr>
        <w:t xml:space="preserve"> </w:t>
      </w:r>
      <w:proofErr w:type="spellStart"/>
      <w:r w:rsidRPr="006E366E">
        <w:rPr>
          <w:rFonts w:ascii="Times New Roman" w:eastAsia="Times New Roman" w:hAnsi="Times New Roman" w:cs="Times New Roman"/>
          <w:i/>
          <w:iCs/>
          <w:sz w:val="24"/>
          <w:szCs w:val="24"/>
        </w:rPr>
        <w:t>interpretação</w:t>
      </w:r>
      <w:proofErr w:type="spellEnd"/>
      <w:r w:rsidRPr="006E366E">
        <w:rPr>
          <w:rFonts w:ascii="Times New Roman" w:eastAsia="Times New Roman" w:hAnsi="Times New Roman" w:cs="Times New Roman"/>
          <w:i/>
          <w:iCs/>
          <w:sz w:val="24"/>
          <w:szCs w:val="24"/>
        </w:rPr>
        <w:t xml:space="preserve"> a </w:t>
      </w:r>
      <w:proofErr w:type="spellStart"/>
      <w:r w:rsidRPr="006E366E">
        <w:rPr>
          <w:rFonts w:ascii="Times New Roman" w:eastAsia="Times New Roman" w:hAnsi="Times New Roman" w:cs="Times New Roman"/>
          <w:i/>
          <w:iCs/>
          <w:sz w:val="24"/>
          <w:szCs w:val="24"/>
        </w:rPr>
        <w:t>partir</w:t>
      </w:r>
      <w:proofErr w:type="spellEnd"/>
      <w:r w:rsidRPr="006E366E">
        <w:rPr>
          <w:rFonts w:ascii="Times New Roman" w:eastAsia="Times New Roman" w:hAnsi="Times New Roman" w:cs="Times New Roman"/>
          <w:i/>
          <w:iCs/>
          <w:sz w:val="24"/>
          <w:szCs w:val="24"/>
        </w:rPr>
        <w:t xml:space="preserve"> do </w:t>
      </w:r>
      <w:proofErr w:type="spellStart"/>
      <w:r w:rsidRPr="006E366E">
        <w:rPr>
          <w:rFonts w:ascii="Times New Roman" w:eastAsia="Times New Roman" w:hAnsi="Times New Roman" w:cs="Times New Roman"/>
          <w:i/>
          <w:iCs/>
          <w:sz w:val="24"/>
          <w:szCs w:val="24"/>
        </w:rPr>
        <w:t>referencial</w:t>
      </w:r>
      <w:proofErr w:type="spellEnd"/>
      <w:r w:rsidRPr="006E366E">
        <w:rPr>
          <w:rFonts w:ascii="Times New Roman" w:eastAsia="Times New Roman" w:hAnsi="Times New Roman" w:cs="Times New Roman"/>
          <w:i/>
          <w:iCs/>
          <w:sz w:val="24"/>
          <w:szCs w:val="24"/>
        </w:rPr>
        <w:t xml:space="preserve"> </w:t>
      </w:r>
      <w:proofErr w:type="spellStart"/>
      <w:r w:rsidRPr="006E366E">
        <w:rPr>
          <w:rFonts w:ascii="Times New Roman" w:eastAsia="Times New Roman" w:hAnsi="Times New Roman" w:cs="Times New Roman"/>
          <w:i/>
          <w:iCs/>
          <w:sz w:val="24"/>
          <w:szCs w:val="24"/>
        </w:rPr>
        <w:t>teórico</w:t>
      </w:r>
      <w:proofErr w:type="spellEnd"/>
      <w:r w:rsidRPr="006E366E">
        <w:rPr>
          <w:rFonts w:ascii="Times New Roman" w:eastAsia="Times New Roman" w:hAnsi="Times New Roman" w:cs="Times New Roman"/>
          <w:i/>
          <w:iCs/>
          <w:sz w:val="24"/>
          <w:szCs w:val="24"/>
        </w:rPr>
        <w:t xml:space="preserve"> Pós-</w:t>
      </w:r>
      <w:proofErr w:type="spellStart"/>
      <w:r w:rsidRPr="006E366E">
        <w:rPr>
          <w:rFonts w:ascii="Times New Roman" w:eastAsia="Times New Roman" w:hAnsi="Times New Roman" w:cs="Times New Roman"/>
          <w:i/>
          <w:iCs/>
          <w:sz w:val="24"/>
          <w:szCs w:val="24"/>
        </w:rPr>
        <w:t>Keynesiano</w:t>
      </w:r>
      <w:proofErr w:type="spellEnd"/>
      <w:r w:rsidRPr="006E366E">
        <w:rPr>
          <w:rFonts w:ascii="Times New Roman" w:eastAsia="Times New Roman" w:hAnsi="Times New Roman" w:cs="Times New Roman"/>
          <w:sz w:val="24"/>
          <w:szCs w:val="24"/>
        </w:rPr>
        <w:t>. Campinas, SP: UNICAMP. IE (</w:t>
      </w:r>
      <w:proofErr w:type="spellStart"/>
      <w:r w:rsidRPr="006E366E">
        <w:rPr>
          <w:rFonts w:ascii="Times New Roman" w:eastAsia="Times New Roman" w:hAnsi="Times New Roman" w:cs="Times New Roman"/>
          <w:sz w:val="24"/>
          <w:szCs w:val="24"/>
        </w:rPr>
        <w:t>Texto</w:t>
      </w:r>
      <w:proofErr w:type="spellEnd"/>
      <w:r w:rsidRPr="006E366E">
        <w:rPr>
          <w:rFonts w:ascii="Times New Roman" w:eastAsia="Times New Roman" w:hAnsi="Times New Roman" w:cs="Times New Roman"/>
          <w:sz w:val="24"/>
          <w:szCs w:val="24"/>
        </w:rPr>
        <w:t xml:space="preserve"> para </w:t>
      </w:r>
      <w:proofErr w:type="spellStart"/>
      <w:r w:rsidRPr="006E366E">
        <w:rPr>
          <w:rFonts w:ascii="Times New Roman" w:eastAsia="Times New Roman" w:hAnsi="Times New Roman" w:cs="Times New Roman"/>
          <w:sz w:val="24"/>
          <w:szCs w:val="24"/>
        </w:rPr>
        <w:t>Discussão</w:t>
      </w:r>
      <w:proofErr w:type="spellEnd"/>
      <w:r w:rsidRPr="006E366E">
        <w:rPr>
          <w:rFonts w:ascii="Times New Roman" w:eastAsia="Times New Roman" w:hAnsi="Times New Roman" w:cs="Times New Roman"/>
          <w:sz w:val="24"/>
          <w:szCs w:val="24"/>
        </w:rPr>
        <w:t>, n. 34).</w:t>
      </w:r>
    </w:p>
    <w:p w14:paraId="1ECC47CA" w14:textId="77777777" w:rsidR="00B85B93" w:rsidRPr="006E366E" w:rsidRDefault="00B85B93" w:rsidP="00806820">
      <w:pPr>
        <w:spacing w:after="0" w:line="240" w:lineRule="auto"/>
        <w:jc w:val="both"/>
        <w:rPr>
          <w:rFonts w:ascii="Times New Roman" w:eastAsia="Times New Roman" w:hAnsi="Times New Roman" w:cs="Times New Roman"/>
          <w:i/>
          <w:sz w:val="24"/>
          <w:szCs w:val="24"/>
        </w:rPr>
      </w:pPr>
      <w:r w:rsidRPr="006E366E">
        <w:rPr>
          <w:rFonts w:ascii="Times New Roman" w:eastAsia="Times New Roman" w:hAnsi="Times New Roman" w:cs="Times New Roman"/>
          <w:sz w:val="24"/>
          <w:szCs w:val="24"/>
        </w:rPr>
        <w:t>RICS (2019)</w:t>
      </w:r>
      <w:r w:rsidRPr="006E366E">
        <w:rPr>
          <w:rFonts w:ascii="Times New Roman" w:eastAsia="Times New Roman" w:hAnsi="Times New Roman" w:cs="Times New Roman"/>
          <w:i/>
          <w:sz w:val="24"/>
          <w:szCs w:val="24"/>
        </w:rPr>
        <w:t xml:space="preserve"> Comparable evidence in real estate valuation, </w:t>
      </w:r>
      <w:r w:rsidRPr="006E366E">
        <w:rPr>
          <w:rFonts w:ascii="Times New Roman" w:eastAsia="Times New Roman" w:hAnsi="Times New Roman" w:cs="Times New Roman"/>
          <w:sz w:val="24"/>
          <w:szCs w:val="24"/>
        </w:rPr>
        <w:t>RICS Professional Standard. Global</w:t>
      </w:r>
      <w:r w:rsidRPr="006E366E">
        <w:rPr>
          <w:rFonts w:ascii="Times New Roman" w:eastAsia="Times New Roman" w:hAnsi="Times New Roman" w:cs="Times New Roman"/>
          <w:i/>
          <w:sz w:val="24"/>
          <w:szCs w:val="24"/>
        </w:rPr>
        <w:t xml:space="preserve"> </w:t>
      </w:r>
      <w:r w:rsidRPr="006E366E">
        <w:rPr>
          <w:rFonts w:ascii="Times New Roman" w:eastAsia="Times New Roman" w:hAnsi="Times New Roman" w:cs="Times New Roman"/>
          <w:sz w:val="24"/>
          <w:szCs w:val="24"/>
        </w:rPr>
        <w:t>1</w:t>
      </w:r>
      <w:r w:rsidRPr="006E366E">
        <w:rPr>
          <w:rFonts w:ascii="Times New Roman" w:eastAsia="Times New Roman" w:hAnsi="Times New Roman" w:cs="Times New Roman"/>
          <w:sz w:val="24"/>
          <w:szCs w:val="24"/>
          <w:vertAlign w:val="superscript"/>
        </w:rPr>
        <w:t>st</w:t>
      </w:r>
      <w:r w:rsidRPr="006E366E">
        <w:rPr>
          <w:rFonts w:ascii="Times New Roman" w:eastAsia="Times New Roman" w:hAnsi="Times New Roman" w:cs="Times New Roman"/>
          <w:sz w:val="24"/>
          <w:szCs w:val="24"/>
        </w:rPr>
        <w:t xml:space="preserve"> ed,</w:t>
      </w:r>
      <w:r w:rsidRPr="006E366E">
        <w:rPr>
          <w:rFonts w:ascii="Times New Roman" w:eastAsia="Times New Roman" w:hAnsi="Times New Roman" w:cs="Times New Roman"/>
          <w:i/>
          <w:sz w:val="24"/>
          <w:szCs w:val="24"/>
        </w:rPr>
        <w:t xml:space="preserve"> </w:t>
      </w:r>
      <w:r w:rsidRPr="006E366E">
        <w:rPr>
          <w:rFonts w:ascii="Times New Roman" w:eastAsia="Times New Roman" w:hAnsi="Times New Roman" w:cs="Times New Roman"/>
          <w:sz w:val="24"/>
          <w:szCs w:val="24"/>
        </w:rPr>
        <w:t xml:space="preserve">available from: </w:t>
      </w:r>
      <w:hyperlink r:id="rId53" w:history="1">
        <w:r w:rsidRPr="006E366E">
          <w:rPr>
            <w:rStyle w:val="Hyperlink"/>
            <w:rFonts w:ascii="Times New Roman" w:hAnsi="Times New Roman" w:cs="Times New Roman"/>
            <w:sz w:val="24"/>
            <w:szCs w:val="24"/>
          </w:rPr>
          <w:t>https://www.rics.org/content/dam/ricsglobal/documents/standards/Comparable%20evidence%20in%20real%20estate%20valuation.pdf</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21 January 2024]</w:t>
      </w:r>
    </w:p>
    <w:p w14:paraId="1DEAC057" w14:textId="6531355F"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lastRenderedPageBreak/>
        <w:t xml:space="preserve">RICS (2022) </w:t>
      </w:r>
      <w:r w:rsidRPr="006E366E">
        <w:rPr>
          <w:rFonts w:ascii="Times New Roman" w:eastAsia="Times New Roman" w:hAnsi="Times New Roman" w:cs="Times New Roman"/>
          <w:i/>
          <w:iCs/>
          <w:sz w:val="24"/>
          <w:szCs w:val="24"/>
        </w:rPr>
        <w:t>RICS Valuation – Global Standards</w:t>
      </w:r>
      <w:r w:rsidRPr="006E366E">
        <w:rPr>
          <w:rFonts w:ascii="Times New Roman" w:eastAsia="Times New Roman" w:hAnsi="Times New Roman" w:cs="Times New Roman"/>
          <w:sz w:val="24"/>
          <w:szCs w:val="24"/>
        </w:rPr>
        <w:t xml:space="preserve">, available from: </w:t>
      </w:r>
      <w:hyperlink r:id="rId54" w:history="1">
        <w:r w:rsidRPr="006E366E">
          <w:rPr>
            <w:rStyle w:val="Hyperlink"/>
            <w:rFonts w:ascii="Times New Roman" w:hAnsi="Times New Roman" w:cs="Times New Roman"/>
            <w:sz w:val="24"/>
            <w:szCs w:val="24"/>
          </w:rPr>
          <w:t>https://www.rics.org/content/dam/ricsglobal/documents/standards/2021_11_25_rics_valuation_global_standards_effective_2022.pdf</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19 January 2024]</w:t>
      </w:r>
    </w:p>
    <w:p w14:paraId="51E186AC"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highlight w:val="white"/>
        </w:rPr>
        <w:t xml:space="preserve">RICS (2023) </w:t>
      </w:r>
      <w:r w:rsidRPr="006E366E">
        <w:rPr>
          <w:rFonts w:ascii="Times New Roman" w:eastAsia="Times New Roman" w:hAnsi="Times New Roman" w:cs="Times New Roman"/>
          <w:i/>
          <w:iCs/>
          <w:sz w:val="24"/>
          <w:szCs w:val="24"/>
          <w:highlight w:val="white"/>
        </w:rPr>
        <w:t>Countering Bribery and Corruption, Money Laundering and Terrorist Financing</w:t>
      </w:r>
      <w:r w:rsidRPr="006E366E">
        <w:rPr>
          <w:rFonts w:ascii="Times New Roman" w:eastAsia="Times New Roman" w:hAnsi="Times New Roman" w:cs="Times New Roman"/>
          <w:sz w:val="24"/>
          <w:szCs w:val="24"/>
          <w:highlight w:val="white"/>
        </w:rPr>
        <w:t>, available from:</w:t>
      </w:r>
      <w:r w:rsidRPr="006E366E">
        <w:rPr>
          <w:rFonts w:ascii="Times New Roman" w:eastAsia="Tahoma" w:hAnsi="Times New Roman" w:cs="Times New Roman"/>
          <w:sz w:val="24"/>
          <w:szCs w:val="24"/>
          <w:highlight w:val="white"/>
        </w:rPr>
        <w:t xml:space="preserve"> </w:t>
      </w:r>
      <w:hyperlink r:id="rId55" w:history="1">
        <w:r w:rsidRPr="006E366E">
          <w:rPr>
            <w:rStyle w:val="Hyperlink"/>
            <w:rFonts w:ascii="Times New Roman" w:hAnsi="Times New Roman" w:cs="Times New Roman"/>
            <w:sz w:val="24"/>
            <w:szCs w:val="24"/>
          </w:rPr>
          <w:t>https://www.rics.org/content/dam/ricsglobal/documents/standards/Conflicts%20of%20interest_global_July23%20(1).pdf</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18 January 2024].</w:t>
      </w:r>
    </w:p>
    <w:p w14:paraId="7818355D"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proofErr w:type="spellStart"/>
      <w:r w:rsidRPr="006E366E">
        <w:rPr>
          <w:rFonts w:ascii="Times New Roman" w:eastAsia="Times New Roman" w:hAnsi="Times New Roman" w:cs="Times New Roman"/>
          <w:sz w:val="24"/>
          <w:szCs w:val="24"/>
        </w:rPr>
        <w:t>RoS</w:t>
      </w:r>
      <w:proofErr w:type="spellEnd"/>
      <w:r w:rsidRPr="006E366E">
        <w:rPr>
          <w:rFonts w:ascii="Times New Roman" w:eastAsia="Times New Roman" w:hAnsi="Times New Roman" w:cs="Times New Roman"/>
          <w:sz w:val="24"/>
          <w:szCs w:val="24"/>
        </w:rPr>
        <w:t xml:space="preserve"> (no date) </w:t>
      </w:r>
      <w:r w:rsidRPr="006E366E">
        <w:rPr>
          <w:rFonts w:ascii="Times New Roman" w:eastAsia="Times New Roman" w:hAnsi="Times New Roman" w:cs="Times New Roman"/>
          <w:i/>
          <w:sz w:val="24"/>
          <w:szCs w:val="24"/>
        </w:rPr>
        <w:t>Register of Persons Holding a Controlled Interest in Land</w:t>
      </w:r>
      <w:r w:rsidRPr="006E366E">
        <w:rPr>
          <w:rFonts w:ascii="Times New Roman" w:eastAsia="Times New Roman" w:hAnsi="Times New Roman" w:cs="Times New Roman"/>
          <w:sz w:val="24"/>
          <w:szCs w:val="24"/>
        </w:rPr>
        <w:t xml:space="preserve">, available from: </w:t>
      </w:r>
      <w:hyperlink r:id="rId56" w:history="1">
        <w:r w:rsidRPr="006E366E">
          <w:rPr>
            <w:rStyle w:val="Hyperlink"/>
            <w:rFonts w:ascii="Times New Roman" w:hAnsi="Times New Roman" w:cs="Times New Roman"/>
            <w:sz w:val="24"/>
            <w:szCs w:val="24"/>
          </w:rPr>
          <w:t>https://www.ros.gov.uk/our-registers/rci</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17 January 2024]</w:t>
      </w:r>
    </w:p>
    <w:p w14:paraId="53C42EF7" w14:textId="77777777" w:rsidR="00B85B93" w:rsidRPr="006E366E" w:rsidRDefault="00B85B93" w:rsidP="00806820">
      <w:pPr>
        <w:spacing w:after="0" w:line="240" w:lineRule="auto"/>
        <w:jc w:val="both"/>
        <w:rPr>
          <w:rFonts w:ascii="Times New Roman" w:hAnsi="Times New Roman" w:cs="Times New Roman"/>
          <w:sz w:val="24"/>
          <w:szCs w:val="24"/>
        </w:rPr>
      </w:pPr>
      <w:r w:rsidRPr="006E366E">
        <w:rPr>
          <w:rFonts w:ascii="Times New Roman" w:eastAsia="Times New Roman" w:hAnsi="Times New Roman" w:cs="Times New Roman"/>
          <w:sz w:val="24"/>
          <w:szCs w:val="24"/>
        </w:rPr>
        <w:t xml:space="preserve">Schulte, K., </w:t>
      </w:r>
      <w:proofErr w:type="spellStart"/>
      <w:r w:rsidRPr="006E366E">
        <w:rPr>
          <w:rFonts w:ascii="Times New Roman" w:eastAsia="Times New Roman" w:hAnsi="Times New Roman" w:cs="Times New Roman"/>
          <w:sz w:val="24"/>
          <w:szCs w:val="24"/>
        </w:rPr>
        <w:t>Rottke</w:t>
      </w:r>
      <w:proofErr w:type="spellEnd"/>
      <w:r w:rsidRPr="006E366E">
        <w:rPr>
          <w:rFonts w:ascii="Times New Roman" w:eastAsia="Times New Roman" w:hAnsi="Times New Roman" w:cs="Times New Roman"/>
          <w:sz w:val="24"/>
          <w:szCs w:val="24"/>
        </w:rPr>
        <w:t xml:space="preserve">, N. and Pitschke, C. (2005) Transparency in the German real estate market. </w:t>
      </w:r>
      <w:r w:rsidRPr="006E366E">
        <w:rPr>
          <w:rFonts w:ascii="Times New Roman" w:eastAsia="Times New Roman" w:hAnsi="Times New Roman" w:cs="Times New Roman"/>
          <w:i/>
          <w:iCs/>
          <w:sz w:val="24"/>
          <w:szCs w:val="24"/>
        </w:rPr>
        <w:t>Journal of Property Investment &amp; Finance</w:t>
      </w:r>
      <w:r w:rsidRPr="006E366E">
        <w:rPr>
          <w:rFonts w:ascii="Times New Roman" w:eastAsia="Times New Roman" w:hAnsi="Times New Roman" w:cs="Times New Roman"/>
          <w:sz w:val="24"/>
          <w:szCs w:val="24"/>
        </w:rPr>
        <w:t xml:space="preserve">, 23(1), pp. 90-108. </w:t>
      </w:r>
      <w:hyperlink r:id="rId57" w:history="1">
        <w:r w:rsidRPr="006E366E">
          <w:rPr>
            <w:rStyle w:val="Hyperlink"/>
            <w:rFonts w:ascii="Times New Roman" w:hAnsi="Times New Roman" w:cs="Times New Roman"/>
            <w:sz w:val="24"/>
            <w:szCs w:val="24"/>
          </w:rPr>
          <w:t>https://doi.org/10.1108/14635780510575111</w:t>
        </w:r>
      </w:hyperlink>
      <w:r w:rsidRPr="006E366E">
        <w:rPr>
          <w:rFonts w:ascii="Times New Roman" w:hAnsi="Times New Roman" w:cs="Times New Roman"/>
          <w:sz w:val="24"/>
          <w:szCs w:val="24"/>
        </w:rPr>
        <w:t xml:space="preserve"> </w:t>
      </w:r>
    </w:p>
    <w:p w14:paraId="4F5FA178" w14:textId="77777777" w:rsidR="00B85B93" w:rsidRPr="006E366E" w:rsidRDefault="00B85B93" w:rsidP="00806820">
      <w:pPr>
        <w:spacing w:after="0" w:line="240" w:lineRule="auto"/>
        <w:jc w:val="both"/>
        <w:rPr>
          <w:rFonts w:ascii="Times New Roman" w:hAnsi="Times New Roman" w:cs="Times New Roman"/>
          <w:sz w:val="24"/>
          <w:szCs w:val="24"/>
        </w:rPr>
      </w:pPr>
      <w:r w:rsidRPr="006E366E">
        <w:rPr>
          <w:rFonts w:ascii="Times New Roman" w:eastAsia="Times New Roman" w:hAnsi="Times New Roman" w:cs="Times New Roman"/>
          <w:sz w:val="24"/>
          <w:szCs w:val="24"/>
        </w:rPr>
        <w:t xml:space="preserve">Wiejak-Roy, G.A. (2023) Strategic vendor due diligence in real estate transactions. </w:t>
      </w:r>
      <w:r w:rsidRPr="006E366E">
        <w:rPr>
          <w:rFonts w:ascii="Times New Roman" w:eastAsia="Times New Roman" w:hAnsi="Times New Roman" w:cs="Times New Roman"/>
          <w:i/>
          <w:sz w:val="24"/>
          <w:szCs w:val="24"/>
        </w:rPr>
        <w:t>Journal of European Real Estate Research</w:t>
      </w:r>
      <w:r w:rsidRPr="006E366E">
        <w:rPr>
          <w:rFonts w:ascii="Times New Roman" w:eastAsia="Times New Roman" w:hAnsi="Times New Roman" w:cs="Times New Roman"/>
          <w:sz w:val="24"/>
          <w:szCs w:val="24"/>
        </w:rPr>
        <w:t xml:space="preserve">, 16(1), pp. 78-91. </w:t>
      </w:r>
      <w:hyperlink r:id="rId58" w:history="1">
        <w:r w:rsidRPr="006E366E">
          <w:rPr>
            <w:rStyle w:val="Hyperlink"/>
            <w:rFonts w:ascii="Times New Roman" w:hAnsi="Times New Roman" w:cs="Times New Roman"/>
            <w:sz w:val="24"/>
            <w:szCs w:val="24"/>
          </w:rPr>
          <w:t>https://doi.org/10.1108/JERER-04-2022-0012</w:t>
        </w:r>
      </w:hyperlink>
      <w:r w:rsidRPr="006E366E">
        <w:rPr>
          <w:rFonts w:ascii="Times New Roman" w:hAnsi="Times New Roman" w:cs="Times New Roman"/>
          <w:sz w:val="24"/>
          <w:szCs w:val="24"/>
        </w:rPr>
        <w:t xml:space="preserve"> </w:t>
      </w:r>
    </w:p>
    <w:p w14:paraId="22C26312" w14:textId="77777777" w:rsidR="00B85B93" w:rsidRPr="006E366E" w:rsidRDefault="00B85B93" w:rsidP="00806820">
      <w:pPr>
        <w:spacing w:after="0" w:line="240" w:lineRule="auto"/>
        <w:jc w:val="both"/>
        <w:rPr>
          <w:rFonts w:ascii="Times New Roman" w:eastAsia="Times New Roman" w:hAnsi="Times New Roman" w:cs="Times New Roman"/>
          <w:sz w:val="24"/>
          <w:szCs w:val="24"/>
        </w:rPr>
      </w:pPr>
      <w:r w:rsidRPr="006E366E">
        <w:rPr>
          <w:rFonts w:ascii="Times New Roman" w:eastAsia="Times New Roman" w:hAnsi="Times New Roman" w:cs="Times New Roman"/>
          <w:sz w:val="24"/>
          <w:szCs w:val="24"/>
        </w:rPr>
        <w:t xml:space="preserve">World Bank (2020) </w:t>
      </w:r>
      <w:r w:rsidRPr="006E366E">
        <w:rPr>
          <w:rFonts w:ascii="Times New Roman" w:eastAsia="Times New Roman" w:hAnsi="Times New Roman" w:cs="Times New Roman"/>
          <w:i/>
          <w:sz w:val="24"/>
          <w:szCs w:val="24"/>
        </w:rPr>
        <w:t>Doing Business 2020</w:t>
      </w:r>
      <w:r w:rsidRPr="006E366E">
        <w:rPr>
          <w:rFonts w:ascii="Times New Roman" w:eastAsia="Times New Roman" w:hAnsi="Times New Roman" w:cs="Times New Roman"/>
          <w:sz w:val="24"/>
          <w:szCs w:val="24"/>
        </w:rPr>
        <w:t xml:space="preserve">, available from: </w:t>
      </w:r>
      <w:hyperlink r:id="rId59" w:history="1">
        <w:r w:rsidRPr="006E366E">
          <w:rPr>
            <w:rStyle w:val="Hyperlink"/>
            <w:rFonts w:ascii="Times New Roman" w:hAnsi="Times New Roman" w:cs="Times New Roman"/>
            <w:sz w:val="24"/>
            <w:szCs w:val="24"/>
          </w:rPr>
          <w:t>https://openknowledge.worldbank.org/server/api/core/bitstreams/75ea67f9-4bcb-5766-ada6-6963a992d64c/content</w:t>
        </w:r>
      </w:hyperlink>
      <w:r w:rsidRPr="006E366E">
        <w:rPr>
          <w:rFonts w:ascii="Times New Roman" w:hAnsi="Times New Roman" w:cs="Times New Roman"/>
          <w:sz w:val="24"/>
          <w:szCs w:val="24"/>
        </w:rPr>
        <w:t xml:space="preserve"> </w:t>
      </w:r>
      <w:r w:rsidRPr="006E366E">
        <w:rPr>
          <w:rFonts w:ascii="Times New Roman" w:eastAsia="Times New Roman" w:hAnsi="Times New Roman" w:cs="Times New Roman"/>
          <w:sz w:val="24"/>
          <w:szCs w:val="24"/>
        </w:rPr>
        <w:t>[Accessed 18 January 2024].</w:t>
      </w:r>
    </w:p>
    <w:p w14:paraId="6A82F6AC" w14:textId="77777777" w:rsidR="002F0D23" w:rsidRPr="006E366E" w:rsidRDefault="002F0D23">
      <w:pPr>
        <w:spacing w:after="0" w:line="240" w:lineRule="auto"/>
        <w:jc w:val="both"/>
        <w:rPr>
          <w:rFonts w:ascii="Times New Roman" w:eastAsia="Times New Roman" w:hAnsi="Times New Roman" w:cs="Times New Roman"/>
          <w:sz w:val="24"/>
          <w:szCs w:val="24"/>
        </w:rPr>
      </w:pPr>
    </w:p>
    <w:p w14:paraId="0F411D18" w14:textId="2E97A2A2" w:rsidR="002F0D23" w:rsidRPr="00DE0CFA" w:rsidRDefault="00000000">
      <w:pPr>
        <w:pStyle w:val="Heading1"/>
      </w:pPr>
      <w:bookmarkStart w:id="29" w:name="_h4x964p0bus7" w:colFirst="0" w:colLast="0"/>
      <w:bookmarkEnd w:id="29"/>
      <w:r w:rsidRPr="00DE0CFA">
        <w:t>BIOGRAPHICAL NOTES</w:t>
      </w:r>
    </w:p>
    <w:p w14:paraId="5005D7F7" w14:textId="77777777" w:rsidR="002F0D23" w:rsidRPr="00DE0CFA" w:rsidRDefault="002F0D23">
      <w:pPr>
        <w:spacing w:after="0" w:line="240" w:lineRule="auto"/>
        <w:jc w:val="both"/>
        <w:rPr>
          <w:rFonts w:ascii="Times New Roman" w:eastAsia="Times New Roman" w:hAnsi="Times New Roman" w:cs="Times New Roman"/>
          <w:b/>
          <w:sz w:val="24"/>
          <w:szCs w:val="24"/>
        </w:rPr>
      </w:pPr>
    </w:p>
    <w:p w14:paraId="0B3B0C0E" w14:textId="22315583" w:rsidR="002F0D23" w:rsidRPr="00D92166"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b/>
          <w:sz w:val="24"/>
          <w:szCs w:val="24"/>
        </w:rPr>
        <w:t>Grazyna Wiejak-Roy</w:t>
      </w:r>
      <w:r w:rsidRPr="00DE0CFA">
        <w:rPr>
          <w:rFonts w:ascii="Times New Roman" w:eastAsia="Times New Roman" w:hAnsi="Times New Roman" w:cs="Times New Roman"/>
          <w:sz w:val="24"/>
          <w:szCs w:val="24"/>
        </w:rPr>
        <w:t xml:space="preserve"> is a Senior Lecturer in Urban Economics and Real Estate. Her research is on investment strategies, transaction risk, the changing nature of the retail real estate market, and land management. Grazyna is a Fellow of the Royal Institution of Chartered Surveyors, Chartered </w:t>
      </w:r>
      <w:r w:rsidRPr="00D92166">
        <w:rPr>
          <w:rFonts w:ascii="Times New Roman" w:eastAsia="Times New Roman" w:hAnsi="Times New Roman" w:cs="Times New Roman"/>
          <w:sz w:val="24"/>
          <w:szCs w:val="24"/>
        </w:rPr>
        <w:t xml:space="preserve">Valuation Surveyor and a Senior Fellow of the Higher Education Academy. Grazyna is a co-founder of </w:t>
      </w:r>
      <w:hyperlink r:id="rId60" w:history="1">
        <w:r w:rsidR="00D92166" w:rsidRPr="00D92166">
          <w:rPr>
            <w:rStyle w:val="Hyperlink"/>
            <w:rFonts w:ascii="Times New Roman" w:hAnsi="Times New Roman" w:cs="Times New Roman"/>
            <w:sz w:val="24"/>
            <w:szCs w:val="24"/>
          </w:rPr>
          <w:t>LINK – Land – International Network for Knowledge (landinternational.network)</w:t>
        </w:r>
      </w:hyperlink>
      <w:r w:rsidRPr="00D92166">
        <w:rPr>
          <w:rFonts w:ascii="Times New Roman" w:eastAsia="Tahoma" w:hAnsi="Times New Roman" w:cs="Times New Roman"/>
          <w:sz w:val="24"/>
          <w:szCs w:val="24"/>
        </w:rPr>
        <w:t>.</w:t>
      </w:r>
    </w:p>
    <w:p w14:paraId="734A2915" w14:textId="77777777" w:rsidR="002F0D23" w:rsidRPr="00DE0CFA" w:rsidRDefault="002F0D23">
      <w:pPr>
        <w:spacing w:after="0" w:line="240" w:lineRule="auto"/>
        <w:jc w:val="both"/>
        <w:rPr>
          <w:rFonts w:ascii="Times New Roman" w:eastAsia="Times New Roman" w:hAnsi="Times New Roman" w:cs="Times New Roman"/>
          <w:b/>
          <w:sz w:val="24"/>
          <w:szCs w:val="24"/>
          <w:highlight w:val="magenta"/>
        </w:rPr>
      </w:pPr>
    </w:p>
    <w:p w14:paraId="7F170D13" w14:textId="6156211C"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b/>
          <w:sz w:val="24"/>
          <w:szCs w:val="24"/>
        </w:rPr>
        <w:t xml:space="preserve">Bastiaan Reydon </w:t>
      </w:r>
      <w:r w:rsidRPr="00DE0CFA">
        <w:rPr>
          <w:rFonts w:ascii="Times New Roman" w:eastAsia="Times New Roman" w:hAnsi="Times New Roman" w:cs="Times New Roman"/>
          <w:sz w:val="24"/>
          <w:szCs w:val="24"/>
        </w:rPr>
        <w:t xml:space="preserve">is a Senior Advisor at </w:t>
      </w:r>
      <w:proofErr w:type="spellStart"/>
      <w:r w:rsidRPr="00DE0CFA">
        <w:rPr>
          <w:rFonts w:ascii="Times New Roman" w:eastAsia="Times New Roman" w:hAnsi="Times New Roman" w:cs="Times New Roman"/>
          <w:sz w:val="24"/>
          <w:szCs w:val="24"/>
        </w:rPr>
        <w:t>Kadaster</w:t>
      </w:r>
      <w:proofErr w:type="spellEnd"/>
      <w:r w:rsidRPr="00DE0CFA">
        <w:rPr>
          <w:rFonts w:ascii="Times New Roman" w:eastAsia="Times New Roman" w:hAnsi="Times New Roman" w:cs="Times New Roman"/>
          <w:sz w:val="24"/>
          <w:szCs w:val="24"/>
        </w:rPr>
        <w:t xml:space="preserve"> International since 2019, and has been working with Land Administration improvements in Brazil, Colombia, Perú, Mozambique, Kazakhstan and is taking part in several projects inside the </w:t>
      </w:r>
      <w:proofErr w:type="spellStart"/>
      <w:r w:rsidRPr="00DE0CFA">
        <w:rPr>
          <w:rFonts w:ascii="Times New Roman" w:eastAsia="Times New Roman" w:hAnsi="Times New Roman" w:cs="Times New Roman"/>
          <w:sz w:val="24"/>
          <w:szCs w:val="24"/>
        </w:rPr>
        <w:t>Kadaster</w:t>
      </w:r>
      <w:proofErr w:type="spellEnd"/>
      <w:r w:rsidRPr="00DE0CFA">
        <w:rPr>
          <w:rFonts w:ascii="Times New Roman" w:eastAsia="Times New Roman" w:hAnsi="Times New Roman" w:cs="Times New Roman"/>
          <w:sz w:val="24"/>
          <w:szCs w:val="24"/>
        </w:rPr>
        <w:t>. He is a retired Professor from the Economics Institute from UNICAMP (Campinas, Brazil). Besides obtaining his Doctoral degree at UNICAMP, has done postdoctoral studies at: in Land Management at the University Wisconsin (USA) and ITC - University of Twente (The Netherlands). He has been giving classes at the University of Utrecht, ITC Twente, Leiden on Land Governance and Land Administration. He is also professor at the ICLPST- Taiwan where he teaches a course on Agricultural Economic and Land Governance.</w:t>
      </w:r>
    </w:p>
    <w:p w14:paraId="325D9B3F" w14:textId="77777777" w:rsidR="002F0D23" w:rsidRPr="00DE0CFA" w:rsidRDefault="002F0D23">
      <w:pPr>
        <w:spacing w:after="0" w:line="240" w:lineRule="auto"/>
        <w:jc w:val="both"/>
        <w:rPr>
          <w:rFonts w:ascii="Times New Roman" w:eastAsia="Times New Roman" w:hAnsi="Times New Roman" w:cs="Times New Roman"/>
          <w:b/>
          <w:sz w:val="24"/>
          <w:szCs w:val="24"/>
        </w:rPr>
      </w:pPr>
    </w:p>
    <w:p w14:paraId="4C1997C7" w14:textId="6490C6A5"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b/>
          <w:sz w:val="24"/>
          <w:szCs w:val="24"/>
        </w:rPr>
        <w:t>Peter Ache</w:t>
      </w:r>
      <w:r w:rsidRPr="00DE0CFA">
        <w:rPr>
          <w:rFonts w:ascii="Times New Roman" w:eastAsia="Times New Roman" w:hAnsi="Times New Roman" w:cs="Times New Roman"/>
          <w:sz w:val="24"/>
          <w:szCs w:val="24"/>
        </w:rPr>
        <w:t xml:space="preserve"> is Chair of FIG Commission 9 since 2023 and Chair of the working group </w:t>
      </w:r>
      <w:r w:rsidRPr="00D92166">
        <w:rPr>
          <w:rFonts w:ascii="Times New Roman" w:eastAsia="Times New Roman" w:hAnsi="Times New Roman" w:cs="Times New Roman"/>
          <w:i/>
          <w:iCs/>
          <w:sz w:val="24"/>
          <w:szCs w:val="24"/>
        </w:rPr>
        <w:t>Real Estate Valuation</w:t>
      </w:r>
      <w:r w:rsidRPr="00DE0CFA">
        <w:rPr>
          <w:rFonts w:ascii="Times New Roman" w:eastAsia="Times New Roman" w:hAnsi="Times New Roman" w:cs="Times New Roman"/>
          <w:sz w:val="24"/>
          <w:szCs w:val="24"/>
        </w:rPr>
        <w:t xml:space="preserve"> of DVW - German Association for Geodesy, Geoinformation and Land Management. For many years, he has headed the office of the governmental upper committee of experts for property values in Lower Saxony, Germany. He is a speaker, host and moderator and the editor in chief for the Real Estate Market Report for Germany of state expert committees in Germany.</w:t>
      </w:r>
    </w:p>
    <w:p w14:paraId="0CE0899C" w14:textId="77777777" w:rsidR="002F0D23" w:rsidRPr="00DE0CFA" w:rsidRDefault="002F0D23">
      <w:pPr>
        <w:spacing w:after="0" w:line="240" w:lineRule="auto"/>
        <w:jc w:val="both"/>
        <w:rPr>
          <w:rFonts w:ascii="Times New Roman" w:eastAsia="Times New Roman" w:hAnsi="Times New Roman" w:cs="Times New Roman"/>
          <w:b/>
          <w:sz w:val="24"/>
          <w:szCs w:val="24"/>
        </w:rPr>
      </w:pPr>
    </w:p>
    <w:p w14:paraId="1D0BD0C2"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b/>
          <w:sz w:val="24"/>
          <w:szCs w:val="24"/>
        </w:rPr>
        <w:t>Eva Katharina Neubrand</w:t>
      </w:r>
      <w:r w:rsidRPr="00DE0CFA">
        <w:rPr>
          <w:rFonts w:ascii="Times New Roman" w:eastAsia="Times New Roman" w:hAnsi="Times New Roman" w:cs="Times New Roman"/>
          <w:sz w:val="24"/>
          <w:szCs w:val="24"/>
        </w:rPr>
        <w:t xml:space="preserve"> is Senior Research Consultant with a qualified background in geography and real estate economics. She has been monitoring residential and commercial real estate markets for the German Federal Institute for Research on Building, Urban Affairs and Spatial Development (BBSR) for many years. Her research interest is on the interdependencies </w:t>
      </w:r>
      <w:r w:rsidRPr="00DE0CFA">
        <w:rPr>
          <w:rFonts w:ascii="Times New Roman" w:eastAsia="Times New Roman" w:hAnsi="Times New Roman" w:cs="Times New Roman"/>
          <w:sz w:val="24"/>
          <w:szCs w:val="24"/>
        </w:rPr>
        <w:lastRenderedPageBreak/>
        <w:t>of real estate markets, their influence on urban development, office and retail property, and the contribution of the real estate sector to greater transparency and sustainability.</w:t>
      </w:r>
    </w:p>
    <w:p w14:paraId="695466F5" w14:textId="77777777" w:rsidR="002F0D23" w:rsidRPr="00DE0CFA" w:rsidRDefault="002F0D23">
      <w:pPr>
        <w:spacing w:after="0" w:line="240" w:lineRule="auto"/>
        <w:jc w:val="both"/>
        <w:rPr>
          <w:rFonts w:ascii="Times New Roman" w:eastAsia="Times New Roman" w:hAnsi="Times New Roman" w:cs="Times New Roman"/>
          <w:b/>
          <w:sz w:val="24"/>
          <w:szCs w:val="24"/>
        </w:rPr>
      </w:pPr>
    </w:p>
    <w:p w14:paraId="65FEC5F4" w14:textId="77777777" w:rsidR="002F0D23" w:rsidRPr="00DE0CFA" w:rsidRDefault="00000000">
      <w:pPr>
        <w:spacing w:after="0" w:line="240" w:lineRule="auto"/>
        <w:jc w:val="both"/>
        <w:rPr>
          <w:rFonts w:ascii="Times New Roman" w:eastAsia="Times New Roman" w:hAnsi="Times New Roman" w:cs="Times New Roman"/>
          <w:sz w:val="24"/>
          <w:szCs w:val="24"/>
        </w:rPr>
      </w:pPr>
      <w:r w:rsidRPr="00DE0CFA">
        <w:rPr>
          <w:rFonts w:ascii="Times New Roman" w:eastAsia="Times New Roman" w:hAnsi="Times New Roman" w:cs="Times New Roman"/>
          <w:b/>
          <w:sz w:val="24"/>
          <w:szCs w:val="24"/>
        </w:rPr>
        <w:t>James Kavanagh</w:t>
      </w:r>
      <w:r w:rsidRPr="00DE0CFA">
        <w:rPr>
          <w:rFonts w:ascii="Times New Roman" w:eastAsia="Times New Roman" w:hAnsi="Times New Roman" w:cs="Times New Roman"/>
          <w:sz w:val="24"/>
          <w:szCs w:val="24"/>
        </w:rPr>
        <w:t>, MRICS C.Geog is a Chartered Surveyor &amp; Chartered Geographer. James is head of Land &amp; Resources with The Royal Institution of Chartered Surveyors (RICS). James is chair of the International Land Standard (ILMS) Coalition, Secretary General of CASLE (Commonwealth Association of Surveyors and Land Economists) and vice chair of FIG Commission 9. James is working on further research, insight, and standards on issues of valuation within informal settlements, on customary land issues, land acquisition and compensation, and the process of land and property rights formalisation.</w:t>
      </w:r>
    </w:p>
    <w:p w14:paraId="79FD12A1" w14:textId="77777777" w:rsidR="002F0D23" w:rsidRPr="00DE0CFA" w:rsidRDefault="002F0D23">
      <w:pPr>
        <w:spacing w:after="0" w:line="240" w:lineRule="auto"/>
        <w:rPr>
          <w:rFonts w:ascii="Times New Roman" w:eastAsia="Times New Roman" w:hAnsi="Times New Roman" w:cs="Times New Roman"/>
          <w:sz w:val="24"/>
          <w:szCs w:val="24"/>
        </w:rPr>
      </w:pPr>
    </w:p>
    <w:p w14:paraId="7CC0A764" w14:textId="4C67BC51" w:rsidR="002F0D23" w:rsidRPr="00DE0CFA" w:rsidRDefault="00000000">
      <w:pPr>
        <w:pStyle w:val="Heading1"/>
      </w:pPr>
      <w:bookmarkStart w:id="30" w:name="_cgl0qadwqqjg" w:colFirst="0" w:colLast="0"/>
      <w:bookmarkEnd w:id="30"/>
      <w:r w:rsidRPr="00DE0CFA">
        <w:t>CONTACTS</w:t>
      </w:r>
    </w:p>
    <w:p w14:paraId="05E29FBE" w14:textId="77777777" w:rsidR="002F0D23" w:rsidRPr="00D92166" w:rsidRDefault="002F0D23">
      <w:pPr>
        <w:spacing w:after="0" w:line="240" w:lineRule="auto"/>
        <w:jc w:val="both"/>
        <w:rPr>
          <w:rFonts w:ascii="Times New Roman" w:eastAsia="Tahoma" w:hAnsi="Times New Roman" w:cs="Times New Roman"/>
          <w:sz w:val="24"/>
          <w:szCs w:val="24"/>
        </w:rPr>
      </w:pPr>
    </w:p>
    <w:p w14:paraId="6216EB9A" w14:textId="77777777" w:rsidR="002F0D23" w:rsidRPr="00D92166" w:rsidRDefault="00000000">
      <w:pPr>
        <w:spacing w:after="0" w:line="240" w:lineRule="auto"/>
        <w:jc w:val="both"/>
        <w:rPr>
          <w:rFonts w:ascii="Times New Roman" w:eastAsia="Times New Roman" w:hAnsi="Times New Roman" w:cs="Times New Roman"/>
          <w:b/>
          <w:sz w:val="24"/>
          <w:szCs w:val="24"/>
        </w:rPr>
      </w:pPr>
      <w:r w:rsidRPr="00D92166">
        <w:rPr>
          <w:rFonts w:ascii="Times New Roman" w:eastAsia="Times New Roman" w:hAnsi="Times New Roman" w:cs="Times New Roman"/>
          <w:b/>
          <w:sz w:val="24"/>
          <w:szCs w:val="24"/>
        </w:rPr>
        <w:t>Grazyna Wiejak-Roy</w:t>
      </w:r>
    </w:p>
    <w:p w14:paraId="12DA9610" w14:textId="415050EA" w:rsidR="002F0D23" w:rsidRPr="00D92166" w:rsidRDefault="00000000">
      <w:pPr>
        <w:spacing w:after="0" w:line="240" w:lineRule="auto"/>
        <w:jc w:val="both"/>
        <w:rPr>
          <w:rFonts w:ascii="Times New Roman" w:eastAsia="Times New Roman" w:hAnsi="Times New Roman" w:cs="Times New Roman"/>
          <w:sz w:val="24"/>
          <w:szCs w:val="24"/>
        </w:rPr>
      </w:pPr>
      <w:r w:rsidRPr="00D92166">
        <w:rPr>
          <w:rFonts w:ascii="Times New Roman" w:eastAsia="Times New Roman" w:hAnsi="Times New Roman" w:cs="Times New Roman"/>
          <w:sz w:val="24"/>
          <w:szCs w:val="24"/>
        </w:rPr>
        <w:t>Centre for Architecture and Built Environment Research</w:t>
      </w:r>
      <w:r w:rsidR="00A10218">
        <w:rPr>
          <w:rFonts w:ascii="Times New Roman" w:eastAsia="Times New Roman" w:hAnsi="Times New Roman" w:cs="Times New Roman"/>
          <w:sz w:val="24"/>
          <w:szCs w:val="24"/>
        </w:rPr>
        <w:t xml:space="preserve">, </w:t>
      </w:r>
      <w:r w:rsidRPr="00D92166">
        <w:rPr>
          <w:rFonts w:ascii="Times New Roman" w:eastAsia="Times New Roman" w:hAnsi="Times New Roman" w:cs="Times New Roman"/>
          <w:sz w:val="24"/>
          <w:szCs w:val="24"/>
        </w:rPr>
        <w:t>University of the West of England</w:t>
      </w:r>
    </w:p>
    <w:p w14:paraId="66BB9E8E" w14:textId="77777777" w:rsidR="002F0D23" w:rsidRPr="00D92166" w:rsidRDefault="00000000">
      <w:pPr>
        <w:spacing w:after="0" w:line="240" w:lineRule="auto"/>
        <w:jc w:val="both"/>
        <w:rPr>
          <w:rFonts w:ascii="Times New Roman" w:eastAsia="Times New Roman" w:hAnsi="Times New Roman" w:cs="Times New Roman"/>
          <w:sz w:val="24"/>
          <w:szCs w:val="24"/>
        </w:rPr>
      </w:pPr>
      <w:r w:rsidRPr="00D92166">
        <w:rPr>
          <w:rFonts w:ascii="Times New Roman" w:eastAsia="Times New Roman" w:hAnsi="Times New Roman" w:cs="Times New Roman"/>
          <w:sz w:val="24"/>
          <w:szCs w:val="24"/>
        </w:rPr>
        <w:t>Frenchay Campus, Coldharbour Lane, BS16 1QY, Bristol, United Kingdom</w:t>
      </w:r>
    </w:p>
    <w:p w14:paraId="140C80AE" w14:textId="77777777" w:rsidR="00D92166" w:rsidRDefault="00000000">
      <w:pPr>
        <w:spacing w:after="0" w:line="240" w:lineRule="auto"/>
        <w:jc w:val="both"/>
        <w:rPr>
          <w:rFonts w:ascii="Times New Roman" w:hAnsi="Times New Roman" w:cs="Times New Roman"/>
          <w:sz w:val="24"/>
          <w:szCs w:val="24"/>
        </w:rPr>
      </w:pPr>
      <w:hyperlink r:id="rId61" w:history="1">
        <w:r w:rsidR="00D92166" w:rsidRPr="006279AC">
          <w:rPr>
            <w:rStyle w:val="Hyperlink"/>
            <w:rFonts w:ascii="Times New Roman" w:hAnsi="Times New Roman" w:cs="Times New Roman"/>
            <w:sz w:val="24"/>
            <w:szCs w:val="24"/>
          </w:rPr>
          <w:t>grazyna.wiejak-roy@uwe.ac.uk</w:t>
        </w:r>
      </w:hyperlink>
      <w:r w:rsidR="00D92166">
        <w:rPr>
          <w:rFonts w:ascii="Times New Roman" w:hAnsi="Times New Roman" w:cs="Times New Roman"/>
          <w:sz w:val="24"/>
          <w:szCs w:val="24"/>
        </w:rPr>
        <w:t xml:space="preserve"> </w:t>
      </w:r>
    </w:p>
    <w:p w14:paraId="18B4175F" w14:textId="4CA24084" w:rsidR="002F0D23" w:rsidRPr="00D92166" w:rsidRDefault="00000000">
      <w:pPr>
        <w:spacing w:after="0" w:line="240" w:lineRule="auto"/>
        <w:jc w:val="both"/>
        <w:rPr>
          <w:rFonts w:ascii="Times New Roman" w:eastAsia="Times New Roman" w:hAnsi="Times New Roman" w:cs="Times New Roman"/>
          <w:sz w:val="24"/>
          <w:szCs w:val="24"/>
        </w:rPr>
      </w:pPr>
      <w:r w:rsidRPr="00D92166">
        <w:rPr>
          <w:rFonts w:ascii="Times New Roman" w:eastAsia="Times New Roman" w:hAnsi="Times New Roman" w:cs="Times New Roman"/>
          <w:sz w:val="24"/>
          <w:szCs w:val="24"/>
        </w:rPr>
        <w:t>Ph. +44</w:t>
      </w:r>
      <w:r w:rsidR="00D92166">
        <w:rPr>
          <w:rFonts w:ascii="Times New Roman" w:eastAsia="Times New Roman" w:hAnsi="Times New Roman" w:cs="Times New Roman"/>
          <w:sz w:val="24"/>
          <w:szCs w:val="24"/>
        </w:rPr>
        <w:t xml:space="preserve"> </w:t>
      </w:r>
      <w:r w:rsidRPr="00D92166">
        <w:rPr>
          <w:rFonts w:ascii="Times New Roman" w:eastAsia="Times New Roman" w:hAnsi="Times New Roman" w:cs="Times New Roman"/>
          <w:sz w:val="24"/>
          <w:szCs w:val="24"/>
        </w:rPr>
        <w:t>11732 84385</w:t>
      </w:r>
    </w:p>
    <w:p w14:paraId="7A8B32E7" w14:textId="06308002" w:rsidR="002F0D23" w:rsidRDefault="00000000">
      <w:pPr>
        <w:spacing w:after="0" w:line="240" w:lineRule="auto"/>
        <w:jc w:val="both"/>
        <w:rPr>
          <w:rFonts w:ascii="Times New Roman" w:hAnsi="Times New Roman" w:cs="Times New Roman"/>
          <w:sz w:val="24"/>
          <w:szCs w:val="24"/>
        </w:rPr>
      </w:pPr>
      <w:hyperlink r:id="rId62" w:history="1">
        <w:r w:rsidR="00D92166" w:rsidRPr="006279AC">
          <w:rPr>
            <w:rStyle w:val="Hyperlink"/>
            <w:rFonts w:ascii="Times New Roman" w:hAnsi="Times New Roman" w:cs="Times New Roman"/>
            <w:sz w:val="24"/>
            <w:szCs w:val="24"/>
          </w:rPr>
          <w:t>https://www.uwe.ac.uk/</w:t>
        </w:r>
      </w:hyperlink>
      <w:r w:rsidR="00D92166">
        <w:rPr>
          <w:rFonts w:ascii="Times New Roman" w:hAnsi="Times New Roman" w:cs="Times New Roman"/>
          <w:sz w:val="24"/>
          <w:szCs w:val="24"/>
        </w:rPr>
        <w:t xml:space="preserve"> </w:t>
      </w:r>
    </w:p>
    <w:p w14:paraId="077BFB67" w14:textId="77777777" w:rsidR="00D92166" w:rsidRPr="00D92166" w:rsidRDefault="00D92166">
      <w:pPr>
        <w:spacing w:after="0" w:line="240" w:lineRule="auto"/>
        <w:jc w:val="both"/>
        <w:rPr>
          <w:rFonts w:ascii="Times New Roman" w:eastAsia="Times New Roman" w:hAnsi="Times New Roman" w:cs="Times New Roman"/>
          <w:b/>
          <w:sz w:val="24"/>
          <w:szCs w:val="24"/>
          <w:highlight w:val="yellow"/>
        </w:rPr>
      </w:pPr>
    </w:p>
    <w:p w14:paraId="492CB670" w14:textId="77777777" w:rsidR="002F0D23" w:rsidRPr="00D92166" w:rsidRDefault="00000000">
      <w:pPr>
        <w:spacing w:after="0" w:line="240" w:lineRule="auto"/>
        <w:jc w:val="both"/>
        <w:rPr>
          <w:rFonts w:ascii="Times New Roman" w:eastAsia="Times New Roman" w:hAnsi="Times New Roman" w:cs="Times New Roman"/>
          <w:b/>
          <w:sz w:val="24"/>
          <w:szCs w:val="24"/>
        </w:rPr>
      </w:pPr>
      <w:r w:rsidRPr="00D92166">
        <w:rPr>
          <w:rFonts w:ascii="Times New Roman" w:eastAsia="Times New Roman" w:hAnsi="Times New Roman" w:cs="Times New Roman"/>
          <w:b/>
          <w:sz w:val="24"/>
          <w:szCs w:val="24"/>
        </w:rPr>
        <w:t>Bastiaan Reydon </w:t>
      </w:r>
    </w:p>
    <w:p w14:paraId="535FBD87" w14:textId="77777777" w:rsidR="002F0D23" w:rsidRPr="00D92166" w:rsidRDefault="00000000">
      <w:pPr>
        <w:spacing w:after="0" w:line="240" w:lineRule="auto"/>
        <w:jc w:val="both"/>
        <w:rPr>
          <w:rFonts w:ascii="Times New Roman" w:eastAsia="Times New Roman" w:hAnsi="Times New Roman" w:cs="Times New Roman"/>
          <w:sz w:val="24"/>
          <w:szCs w:val="24"/>
        </w:rPr>
      </w:pPr>
      <w:r w:rsidRPr="00D92166">
        <w:rPr>
          <w:rFonts w:ascii="Times New Roman" w:eastAsia="Times New Roman" w:hAnsi="Times New Roman" w:cs="Times New Roman"/>
          <w:sz w:val="24"/>
          <w:szCs w:val="24"/>
        </w:rPr>
        <w:t>Cadastre, Land Registry and Mapping Agency (</w:t>
      </w:r>
      <w:proofErr w:type="spellStart"/>
      <w:r w:rsidRPr="00D92166">
        <w:rPr>
          <w:rFonts w:ascii="Times New Roman" w:eastAsia="Times New Roman" w:hAnsi="Times New Roman" w:cs="Times New Roman"/>
          <w:sz w:val="24"/>
          <w:szCs w:val="24"/>
        </w:rPr>
        <w:t>Kadaster</w:t>
      </w:r>
      <w:proofErr w:type="spellEnd"/>
      <w:r w:rsidRPr="00D92166">
        <w:rPr>
          <w:rFonts w:ascii="Times New Roman" w:eastAsia="Times New Roman" w:hAnsi="Times New Roman" w:cs="Times New Roman"/>
          <w:sz w:val="24"/>
          <w:szCs w:val="24"/>
        </w:rPr>
        <w:t>)</w:t>
      </w:r>
    </w:p>
    <w:p w14:paraId="1AF6D1E4" w14:textId="77777777" w:rsidR="002F0D23" w:rsidRPr="00D92166" w:rsidRDefault="00000000">
      <w:pPr>
        <w:spacing w:after="0" w:line="240" w:lineRule="auto"/>
        <w:jc w:val="both"/>
        <w:rPr>
          <w:rFonts w:ascii="Times New Roman" w:eastAsia="Times New Roman" w:hAnsi="Times New Roman" w:cs="Times New Roman"/>
          <w:sz w:val="24"/>
          <w:szCs w:val="24"/>
        </w:rPr>
      </w:pPr>
      <w:proofErr w:type="spellStart"/>
      <w:r w:rsidRPr="00D92166">
        <w:rPr>
          <w:rFonts w:ascii="Times New Roman" w:eastAsia="Times New Roman" w:hAnsi="Times New Roman" w:cs="Times New Roman"/>
          <w:sz w:val="24"/>
          <w:szCs w:val="24"/>
        </w:rPr>
        <w:t>Hofstraat</w:t>
      </w:r>
      <w:proofErr w:type="spellEnd"/>
      <w:r w:rsidRPr="00D92166">
        <w:rPr>
          <w:rFonts w:ascii="Times New Roman" w:eastAsia="Times New Roman" w:hAnsi="Times New Roman" w:cs="Times New Roman"/>
          <w:sz w:val="24"/>
          <w:szCs w:val="24"/>
        </w:rPr>
        <w:t xml:space="preserve"> 110, 7311 KZ Apeldoorn, The Netherlands</w:t>
      </w:r>
    </w:p>
    <w:p w14:paraId="1E261085" w14:textId="77777777" w:rsidR="00D92166" w:rsidRDefault="00000000">
      <w:pPr>
        <w:spacing w:after="0" w:line="240" w:lineRule="auto"/>
        <w:jc w:val="both"/>
        <w:rPr>
          <w:rFonts w:ascii="Times New Roman" w:hAnsi="Times New Roman" w:cs="Times New Roman"/>
          <w:sz w:val="24"/>
          <w:szCs w:val="24"/>
        </w:rPr>
      </w:pPr>
      <w:hyperlink r:id="rId63" w:history="1">
        <w:r w:rsidR="00D92166" w:rsidRPr="006279AC">
          <w:rPr>
            <w:rStyle w:val="Hyperlink"/>
            <w:rFonts w:ascii="Times New Roman" w:hAnsi="Times New Roman" w:cs="Times New Roman"/>
            <w:sz w:val="24"/>
            <w:szCs w:val="24"/>
          </w:rPr>
          <w:t>bastiaan.reydon@kadaster.nl</w:t>
        </w:r>
      </w:hyperlink>
      <w:r w:rsidR="00D92166">
        <w:rPr>
          <w:rFonts w:ascii="Times New Roman" w:hAnsi="Times New Roman" w:cs="Times New Roman"/>
          <w:sz w:val="24"/>
          <w:szCs w:val="24"/>
        </w:rPr>
        <w:t xml:space="preserve"> </w:t>
      </w:r>
    </w:p>
    <w:p w14:paraId="44CDEE20" w14:textId="0775C8BA" w:rsidR="002F0D23" w:rsidRPr="00D92166" w:rsidRDefault="00D92166">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Ph</w:t>
      </w:r>
      <w:r w:rsidRPr="00D92166">
        <w:rPr>
          <w:rFonts w:ascii="Times New Roman" w:eastAsia="Times New Roman" w:hAnsi="Times New Roman" w:cs="Times New Roman"/>
          <w:sz w:val="24"/>
          <w:szCs w:val="24"/>
        </w:rPr>
        <w:t>: +31</w:t>
      </w:r>
      <w:r>
        <w:rPr>
          <w:rFonts w:ascii="Times New Roman" w:eastAsia="Times New Roman" w:hAnsi="Times New Roman" w:cs="Times New Roman"/>
          <w:sz w:val="24"/>
          <w:szCs w:val="24"/>
        </w:rPr>
        <w:t xml:space="preserve"> </w:t>
      </w:r>
      <w:r w:rsidRPr="00D92166">
        <w:rPr>
          <w:rFonts w:ascii="Times New Roman" w:eastAsia="Times New Roman" w:hAnsi="Times New Roman" w:cs="Times New Roman"/>
          <w:sz w:val="24"/>
          <w:szCs w:val="24"/>
        </w:rPr>
        <w:t>650085311</w:t>
      </w:r>
    </w:p>
    <w:p w14:paraId="312BE1BB" w14:textId="427CBAF8" w:rsidR="002F0D23" w:rsidRDefault="00000000">
      <w:pPr>
        <w:spacing w:after="0" w:line="240" w:lineRule="auto"/>
        <w:jc w:val="both"/>
        <w:rPr>
          <w:rFonts w:ascii="Times New Roman" w:hAnsi="Times New Roman" w:cs="Times New Roman"/>
          <w:sz w:val="24"/>
          <w:szCs w:val="24"/>
        </w:rPr>
      </w:pPr>
      <w:hyperlink r:id="rId64" w:history="1">
        <w:r w:rsidR="00D92166" w:rsidRPr="006279AC">
          <w:rPr>
            <w:rStyle w:val="Hyperlink"/>
            <w:rFonts w:ascii="Times New Roman" w:hAnsi="Times New Roman" w:cs="Times New Roman"/>
            <w:sz w:val="24"/>
            <w:szCs w:val="24"/>
          </w:rPr>
          <w:t>https://www.kadaster.com/</w:t>
        </w:r>
      </w:hyperlink>
      <w:r w:rsidR="00D92166">
        <w:rPr>
          <w:rFonts w:ascii="Times New Roman" w:hAnsi="Times New Roman" w:cs="Times New Roman"/>
          <w:sz w:val="24"/>
          <w:szCs w:val="24"/>
        </w:rPr>
        <w:t xml:space="preserve"> </w:t>
      </w:r>
    </w:p>
    <w:p w14:paraId="797AD312" w14:textId="77777777" w:rsidR="00D92166" w:rsidRPr="00D92166" w:rsidRDefault="00D92166">
      <w:pPr>
        <w:spacing w:after="0" w:line="240" w:lineRule="auto"/>
        <w:jc w:val="both"/>
        <w:rPr>
          <w:rFonts w:ascii="Times New Roman" w:eastAsia="Times New Roman" w:hAnsi="Times New Roman" w:cs="Times New Roman"/>
          <w:sz w:val="24"/>
          <w:szCs w:val="24"/>
        </w:rPr>
      </w:pPr>
    </w:p>
    <w:p w14:paraId="7B7F7F3F" w14:textId="77777777" w:rsidR="002F0D23" w:rsidRPr="00D92166" w:rsidRDefault="00000000">
      <w:pPr>
        <w:spacing w:after="0" w:line="240" w:lineRule="auto"/>
        <w:jc w:val="both"/>
        <w:rPr>
          <w:rFonts w:ascii="Times New Roman" w:eastAsia="Times New Roman" w:hAnsi="Times New Roman" w:cs="Times New Roman"/>
          <w:b/>
          <w:sz w:val="24"/>
          <w:szCs w:val="24"/>
        </w:rPr>
      </w:pPr>
      <w:r w:rsidRPr="00D92166">
        <w:rPr>
          <w:rFonts w:ascii="Times New Roman" w:eastAsia="Times New Roman" w:hAnsi="Times New Roman" w:cs="Times New Roman"/>
          <w:b/>
          <w:sz w:val="24"/>
          <w:szCs w:val="24"/>
        </w:rPr>
        <w:t>Peter Ache</w:t>
      </w:r>
    </w:p>
    <w:p w14:paraId="65419C8E" w14:textId="77777777" w:rsidR="002F0D23" w:rsidRPr="00D92166" w:rsidRDefault="00000000">
      <w:pPr>
        <w:spacing w:after="0" w:line="240" w:lineRule="auto"/>
        <w:jc w:val="both"/>
        <w:rPr>
          <w:rFonts w:ascii="Times New Roman" w:eastAsia="Times New Roman" w:hAnsi="Times New Roman" w:cs="Times New Roman"/>
          <w:sz w:val="24"/>
          <w:szCs w:val="24"/>
        </w:rPr>
      </w:pPr>
      <w:r w:rsidRPr="00D92166">
        <w:rPr>
          <w:rFonts w:ascii="Times New Roman" w:eastAsia="Times New Roman" w:hAnsi="Times New Roman" w:cs="Times New Roman"/>
          <w:sz w:val="24"/>
          <w:szCs w:val="24"/>
        </w:rPr>
        <w:t>International Federation of Surveyors – FIG</w:t>
      </w:r>
    </w:p>
    <w:p w14:paraId="211FD96A" w14:textId="77777777" w:rsidR="002F0D23" w:rsidRPr="00D92166" w:rsidRDefault="00000000">
      <w:pPr>
        <w:spacing w:after="0" w:line="240" w:lineRule="auto"/>
        <w:jc w:val="both"/>
        <w:rPr>
          <w:rFonts w:ascii="Times New Roman" w:eastAsia="Times New Roman" w:hAnsi="Times New Roman" w:cs="Times New Roman"/>
          <w:sz w:val="24"/>
          <w:szCs w:val="24"/>
        </w:rPr>
      </w:pPr>
      <w:proofErr w:type="spellStart"/>
      <w:r w:rsidRPr="00D92166">
        <w:rPr>
          <w:rFonts w:ascii="Times New Roman" w:eastAsia="Times New Roman" w:hAnsi="Times New Roman" w:cs="Times New Roman"/>
          <w:sz w:val="24"/>
          <w:szCs w:val="24"/>
        </w:rPr>
        <w:t>Kalvebod</w:t>
      </w:r>
      <w:proofErr w:type="spellEnd"/>
      <w:r w:rsidRPr="00D92166">
        <w:rPr>
          <w:rFonts w:ascii="Times New Roman" w:eastAsia="Times New Roman" w:hAnsi="Times New Roman" w:cs="Times New Roman"/>
          <w:sz w:val="24"/>
          <w:szCs w:val="24"/>
        </w:rPr>
        <w:t xml:space="preserve"> Brygge 31-33</w:t>
      </w:r>
    </w:p>
    <w:p w14:paraId="5DE48B93" w14:textId="77777777" w:rsidR="002F0D23" w:rsidRPr="00D92166" w:rsidRDefault="00000000">
      <w:pPr>
        <w:spacing w:after="0" w:line="240" w:lineRule="auto"/>
        <w:jc w:val="both"/>
        <w:rPr>
          <w:rFonts w:ascii="Times New Roman" w:eastAsia="Times New Roman" w:hAnsi="Times New Roman" w:cs="Times New Roman"/>
          <w:sz w:val="24"/>
          <w:szCs w:val="24"/>
        </w:rPr>
      </w:pPr>
      <w:r w:rsidRPr="00D92166">
        <w:rPr>
          <w:rFonts w:ascii="Times New Roman" w:eastAsia="Times New Roman" w:hAnsi="Times New Roman" w:cs="Times New Roman"/>
          <w:sz w:val="24"/>
          <w:szCs w:val="24"/>
        </w:rPr>
        <w:t>DK-1780 Copenhagen V, Denmark</w:t>
      </w:r>
    </w:p>
    <w:p w14:paraId="23CB7EF7" w14:textId="3CE1B213" w:rsidR="002F0D23" w:rsidRPr="00D92166" w:rsidRDefault="00000000">
      <w:pPr>
        <w:spacing w:after="0" w:line="240" w:lineRule="auto"/>
        <w:jc w:val="both"/>
        <w:rPr>
          <w:rFonts w:ascii="Times New Roman" w:eastAsia="Times New Roman" w:hAnsi="Times New Roman" w:cs="Times New Roman"/>
          <w:sz w:val="24"/>
          <w:szCs w:val="24"/>
        </w:rPr>
      </w:pPr>
      <w:hyperlink r:id="rId65" w:history="1">
        <w:r w:rsidR="00D92166" w:rsidRPr="006279AC">
          <w:rPr>
            <w:rStyle w:val="Hyperlink"/>
            <w:rFonts w:ascii="Times New Roman" w:hAnsi="Times New Roman" w:cs="Times New Roman"/>
            <w:sz w:val="24"/>
            <w:szCs w:val="24"/>
          </w:rPr>
          <w:t>figcommission9@fig.net</w:t>
        </w:r>
      </w:hyperlink>
      <w:r w:rsidR="00D92166">
        <w:rPr>
          <w:rFonts w:ascii="Times New Roman" w:hAnsi="Times New Roman" w:cs="Times New Roman"/>
          <w:sz w:val="24"/>
          <w:szCs w:val="24"/>
        </w:rPr>
        <w:t xml:space="preserve"> </w:t>
      </w:r>
      <w:r w:rsidR="00D92166" w:rsidRPr="00D92166">
        <w:rPr>
          <w:rFonts w:ascii="Times New Roman" w:hAnsi="Times New Roman" w:cs="Times New Roman"/>
          <w:sz w:val="24"/>
          <w:szCs w:val="24"/>
        </w:rPr>
        <w:t xml:space="preserve">or </w:t>
      </w:r>
      <w:hyperlink r:id="rId66" w:history="1">
        <w:r w:rsidR="00D92166" w:rsidRPr="006279AC">
          <w:rPr>
            <w:rStyle w:val="Hyperlink"/>
            <w:rFonts w:ascii="Times New Roman" w:hAnsi="Times New Roman" w:cs="Times New Roman"/>
            <w:sz w:val="24"/>
            <w:szCs w:val="24"/>
          </w:rPr>
          <w:t>peter.ache@outlook.de</w:t>
        </w:r>
      </w:hyperlink>
      <w:r w:rsidR="00D92166">
        <w:rPr>
          <w:rFonts w:ascii="Times New Roman" w:hAnsi="Times New Roman" w:cs="Times New Roman"/>
          <w:sz w:val="24"/>
          <w:szCs w:val="24"/>
        </w:rPr>
        <w:t xml:space="preserve"> </w:t>
      </w:r>
    </w:p>
    <w:p w14:paraId="50D2872C" w14:textId="11190231" w:rsidR="002F0D23" w:rsidRPr="00D92166" w:rsidRDefault="00000000">
      <w:pPr>
        <w:spacing w:after="0" w:line="240" w:lineRule="auto"/>
        <w:jc w:val="both"/>
        <w:rPr>
          <w:rFonts w:ascii="Times New Roman" w:eastAsia="Times New Roman" w:hAnsi="Times New Roman" w:cs="Times New Roman"/>
          <w:sz w:val="24"/>
          <w:szCs w:val="24"/>
        </w:rPr>
      </w:pPr>
      <w:r w:rsidRPr="00D92166">
        <w:rPr>
          <w:rFonts w:ascii="Times New Roman" w:eastAsia="Times New Roman" w:hAnsi="Times New Roman" w:cs="Times New Roman"/>
          <w:sz w:val="24"/>
          <w:szCs w:val="24"/>
        </w:rPr>
        <w:t>Ph. +49</w:t>
      </w:r>
      <w:r w:rsidR="00D92166">
        <w:rPr>
          <w:rFonts w:ascii="Times New Roman" w:eastAsia="Times New Roman" w:hAnsi="Times New Roman" w:cs="Times New Roman"/>
          <w:sz w:val="24"/>
          <w:szCs w:val="24"/>
        </w:rPr>
        <w:t xml:space="preserve"> </w:t>
      </w:r>
      <w:r w:rsidRPr="00D92166">
        <w:rPr>
          <w:rFonts w:ascii="Times New Roman" w:eastAsia="Times New Roman" w:hAnsi="Times New Roman" w:cs="Times New Roman"/>
          <w:sz w:val="24"/>
          <w:szCs w:val="24"/>
        </w:rPr>
        <w:t>1739309148</w:t>
      </w:r>
    </w:p>
    <w:p w14:paraId="6FA8FFF1" w14:textId="5CF61CE8" w:rsidR="002F0D23" w:rsidRDefault="00000000">
      <w:pPr>
        <w:spacing w:after="0" w:line="240" w:lineRule="auto"/>
        <w:jc w:val="both"/>
        <w:rPr>
          <w:rFonts w:ascii="Times New Roman" w:hAnsi="Times New Roman" w:cs="Times New Roman"/>
          <w:sz w:val="24"/>
          <w:szCs w:val="24"/>
        </w:rPr>
      </w:pPr>
      <w:hyperlink r:id="rId67" w:history="1">
        <w:r w:rsidR="00D92166" w:rsidRPr="006279AC">
          <w:rPr>
            <w:rStyle w:val="Hyperlink"/>
            <w:rFonts w:ascii="Times New Roman" w:hAnsi="Times New Roman" w:cs="Times New Roman"/>
            <w:sz w:val="24"/>
            <w:szCs w:val="24"/>
          </w:rPr>
          <w:t>https://www.fig.net/organisation/comm/9/</w:t>
        </w:r>
      </w:hyperlink>
      <w:r w:rsidR="00D92166">
        <w:rPr>
          <w:rFonts w:ascii="Times New Roman" w:hAnsi="Times New Roman" w:cs="Times New Roman"/>
          <w:sz w:val="24"/>
          <w:szCs w:val="24"/>
        </w:rPr>
        <w:t xml:space="preserve"> </w:t>
      </w:r>
    </w:p>
    <w:p w14:paraId="257CA21A" w14:textId="77777777" w:rsidR="00D92166" w:rsidRPr="00D92166" w:rsidRDefault="00D92166">
      <w:pPr>
        <w:spacing w:after="0" w:line="240" w:lineRule="auto"/>
        <w:jc w:val="both"/>
        <w:rPr>
          <w:rFonts w:ascii="Times New Roman" w:eastAsia="Times New Roman" w:hAnsi="Times New Roman" w:cs="Times New Roman"/>
          <w:sz w:val="24"/>
          <w:szCs w:val="24"/>
        </w:rPr>
      </w:pPr>
    </w:p>
    <w:p w14:paraId="416FC09A" w14:textId="77777777" w:rsidR="002F0D23" w:rsidRPr="00D92166" w:rsidRDefault="00000000">
      <w:pPr>
        <w:spacing w:after="0" w:line="240" w:lineRule="auto"/>
        <w:jc w:val="both"/>
        <w:rPr>
          <w:rFonts w:ascii="Times New Roman" w:eastAsia="Times New Roman" w:hAnsi="Times New Roman" w:cs="Times New Roman"/>
          <w:b/>
          <w:sz w:val="24"/>
          <w:szCs w:val="24"/>
        </w:rPr>
      </w:pPr>
      <w:r w:rsidRPr="00D92166">
        <w:rPr>
          <w:rFonts w:ascii="Times New Roman" w:eastAsia="Times New Roman" w:hAnsi="Times New Roman" w:cs="Times New Roman"/>
          <w:b/>
          <w:sz w:val="24"/>
          <w:szCs w:val="24"/>
        </w:rPr>
        <w:t>Eva Katharina Neubrand</w:t>
      </w:r>
    </w:p>
    <w:p w14:paraId="773CBE1E" w14:textId="77777777" w:rsidR="002F0D23" w:rsidRPr="00D92166" w:rsidRDefault="00000000">
      <w:pPr>
        <w:spacing w:after="0" w:line="240" w:lineRule="auto"/>
        <w:jc w:val="both"/>
        <w:rPr>
          <w:rFonts w:ascii="Times New Roman" w:eastAsia="Times New Roman" w:hAnsi="Times New Roman" w:cs="Times New Roman"/>
          <w:sz w:val="24"/>
          <w:szCs w:val="24"/>
        </w:rPr>
      </w:pPr>
      <w:r w:rsidRPr="00D92166">
        <w:rPr>
          <w:rFonts w:ascii="Times New Roman" w:eastAsia="Times New Roman" w:hAnsi="Times New Roman" w:cs="Times New Roman"/>
          <w:sz w:val="24"/>
          <w:szCs w:val="24"/>
        </w:rPr>
        <w:t>Federal Institute for Research on Building, Urban Affairs and Spatial Development (BBSR)</w:t>
      </w:r>
    </w:p>
    <w:p w14:paraId="70566D7F" w14:textId="77777777" w:rsidR="002F0D23" w:rsidRPr="00D92166" w:rsidRDefault="00000000">
      <w:pPr>
        <w:spacing w:after="0" w:line="240" w:lineRule="auto"/>
        <w:jc w:val="both"/>
        <w:rPr>
          <w:rFonts w:ascii="Times New Roman" w:eastAsia="Times New Roman" w:hAnsi="Times New Roman" w:cs="Times New Roman"/>
          <w:sz w:val="24"/>
          <w:szCs w:val="24"/>
        </w:rPr>
      </w:pPr>
      <w:proofErr w:type="spellStart"/>
      <w:r w:rsidRPr="00D92166">
        <w:rPr>
          <w:rFonts w:ascii="Times New Roman" w:eastAsia="Times New Roman" w:hAnsi="Times New Roman" w:cs="Times New Roman"/>
          <w:sz w:val="24"/>
          <w:szCs w:val="24"/>
        </w:rPr>
        <w:t>Deichmanns</w:t>
      </w:r>
      <w:proofErr w:type="spellEnd"/>
      <w:r w:rsidRPr="00D92166">
        <w:rPr>
          <w:rFonts w:ascii="Times New Roman" w:eastAsia="Times New Roman" w:hAnsi="Times New Roman" w:cs="Times New Roman"/>
          <w:sz w:val="24"/>
          <w:szCs w:val="24"/>
        </w:rPr>
        <w:t xml:space="preserve"> Aue 31-37</w:t>
      </w:r>
    </w:p>
    <w:p w14:paraId="3EB390DB" w14:textId="77777777" w:rsidR="002F0D23" w:rsidRPr="00D92166" w:rsidRDefault="00000000">
      <w:pPr>
        <w:spacing w:after="0" w:line="240" w:lineRule="auto"/>
        <w:jc w:val="both"/>
        <w:rPr>
          <w:rFonts w:ascii="Times New Roman" w:eastAsia="Times New Roman" w:hAnsi="Times New Roman" w:cs="Times New Roman"/>
          <w:sz w:val="24"/>
          <w:szCs w:val="24"/>
        </w:rPr>
      </w:pPr>
      <w:r w:rsidRPr="00D92166">
        <w:rPr>
          <w:rFonts w:ascii="Times New Roman" w:eastAsia="Times New Roman" w:hAnsi="Times New Roman" w:cs="Times New Roman"/>
          <w:sz w:val="24"/>
          <w:szCs w:val="24"/>
        </w:rPr>
        <w:t>53179 Bonn, Germany</w:t>
      </w:r>
    </w:p>
    <w:p w14:paraId="21987DE5" w14:textId="402769AA" w:rsidR="00D92166" w:rsidRPr="00D92166" w:rsidRDefault="00000000" w:rsidP="00D92166">
      <w:pPr>
        <w:spacing w:after="0" w:line="240" w:lineRule="auto"/>
        <w:jc w:val="both"/>
        <w:rPr>
          <w:rFonts w:ascii="Times New Roman" w:hAnsi="Times New Roman" w:cs="Times New Roman"/>
          <w:sz w:val="24"/>
          <w:szCs w:val="24"/>
        </w:rPr>
      </w:pPr>
      <w:hyperlink r:id="rId68" w:history="1">
        <w:r w:rsidR="00D92166" w:rsidRPr="006279AC">
          <w:rPr>
            <w:rStyle w:val="Hyperlink"/>
            <w:rFonts w:ascii="Times New Roman" w:hAnsi="Times New Roman" w:cs="Times New Roman"/>
            <w:sz w:val="24"/>
            <w:szCs w:val="24"/>
          </w:rPr>
          <w:t>evakatharina.neubrand@bbr.bund.de</w:t>
        </w:r>
      </w:hyperlink>
    </w:p>
    <w:p w14:paraId="72228079" w14:textId="77777777" w:rsidR="00D92166" w:rsidRPr="00D92166" w:rsidRDefault="00D92166" w:rsidP="00D92166">
      <w:pPr>
        <w:spacing w:after="0" w:line="240" w:lineRule="auto"/>
        <w:jc w:val="both"/>
        <w:rPr>
          <w:rFonts w:ascii="Times New Roman" w:hAnsi="Times New Roman" w:cs="Times New Roman"/>
          <w:sz w:val="24"/>
          <w:szCs w:val="24"/>
        </w:rPr>
      </w:pPr>
      <w:r w:rsidRPr="00D92166">
        <w:rPr>
          <w:rFonts w:ascii="Times New Roman" w:hAnsi="Times New Roman" w:cs="Times New Roman"/>
          <w:sz w:val="24"/>
          <w:szCs w:val="24"/>
        </w:rPr>
        <w:t>Ph. +49 228994011614</w:t>
      </w:r>
    </w:p>
    <w:p w14:paraId="665842D2" w14:textId="37E7E4D6" w:rsidR="002F0D23" w:rsidRDefault="00000000" w:rsidP="00D92166">
      <w:pPr>
        <w:spacing w:after="0" w:line="240" w:lineRule="auto"/>
        <w:jc w:val="both"/>
        <w:rPr>
          <w:rFonts w:ascii="Times New Roman" w:hAnsi="Times New Roman" w:cs="Times New Roman"/>
          <w:sz w:val="24"/>
          <w:szCs w:val="24"/>
        </w:rPr>
      </w:pPr>
      <w:hyperlink r:id="rId69" w:history="1">
        <w:r w:rsidR="00D92166" w:rsidRPr="006279AC">
          <w:rPr>
            <w:rStyle w:val="Hyperlink"/>
            <w:rFonts w:ascii="Times New Roman" w:hAnsi="Times New Roman" w:cs="Times New Roman"/>
            <w:sz w:val="24"/>
            <w:szCs w:val="24"/>
          </w:rPr>
          <w:t>www.bbsr.bund.de</w:t>
        </w:r>
      </w:hyperlink>
    </w:p>
    <w:p w14:paraId="1A4D7AB5" w14:textId="77777777" w:rsidR="00D92166" w:rsidRPr="00D92166" w:rsidRDefault="00D92166" w:rsidP="00D92166">
      <w:pPr>
        <w:spacing w:after="0" w:line="240" w:lineRule="auto"/>
        <w:jc w:val="both"/>
        <w:rPr>
          <w:rFonts w:ascii="Times New Roman" w:eastAsia="Times New Roman" w:hAnsi="Times New Roman" w:cs="Times New Roman"/>
          <w:sz w:val="24"/>
          <w:szCs w:val="24"/>
        </w:rPr>
      </w:pPr>
    </w:p>
    <w:p w14:paraId="63086E5E" w14:textId="77777777" w:rsidR="002F0D23" w:rsidRPr="00D92166" w:rsidRDefault="00000000">
      <w:pPr>
        <w:spacing w:after="0" w:line="240" w:lineRule="auto"/>
        <w:jc w:val="both"/>
        <w:rPr>
          <w:rFonts w:ascii="Times New Roman" w:eastAsia="Times New Roman" w:hAnsi="Times New Roman" w:cs="Times New Roman"/>
          <w:b/>
          <w:sz w:val="24"/>
          <w:szCs w:val="24"/>
        </w:rPr>
      </w:pPr>
      <w:r w:rsidRPr="00D92166">
        <w:rPr>
          <w:rFonts w:ascii="Times New Roman" w:eastAsia="Times New Roman" w:hAnsi="Times New Roman" w:cs="Times New Roman"/>
          <w:b/>
          <w:sz w:val="24"/>
          <w:szCs w:val="24"/>
        </w:rPr>
        <w:t>James Kavanagh</w:t>
      </w:r>
    </w:p>
    <w:p w14:paraId="557F048F" w14:textId="77777777" w:rsidR="002F0D23" w:rsidRPr="00D92166" w:rsidRDefault="00000000">
      <w:pPr>
        <w:spacing w:after="0" w:line="240" w:lineRule="auto"/>
        <w:jc w:val="both"/>
        <w:rPr>
          <w:rFonts w:ascii="Times New Roman" w:eastAsia="Times New Roman" w:hAnsi="Times New Roman" w:cs="Times New Roman"/>
          <w:sz w:val="24"/>
          <w:szCs w:val="24"/>
        </w:rPr>
      </w:pPr>
      <w:r w:rsidRPr="00D92166">
        <w:rPr>
          <w:rFonts w:ascii="Times New Roman" w:eastAsia="Times New Roman" w:hAnsi="Times New Roman" w:cs="Times New Roman"/>
          <w:sz w:val="24"/>
          <w:szCs w:val="24"/>
        </w:rPr>
        <w:t>Royal Institution of Chartered Surveyors - RICS</w:t>
      </w:r>
    </w:p>
    <w:p w14:paraId="04DEB7D2" w14:textId="77777777" w:rsidR="002F0D23" w:rsidRPr="00D92166" w:rsidRDefault="00000000">
      <w:pPr>
        <w:spacing w:after="0" w:line="240" w:lineRule="auto"/>
        <w:jc w:val="both"/>
        <w:rPr>
          <w:rFonts w:ascii="Times New Roman" w:eastAsia="Times New Roman" w:hAnsi="Times New Roman" w:cs="Times New Roman"/>
          <w:sz w:val="24"/>
          <w:szCs w:val="24"/>
        </w:rPr>
      </w:pPr>
      <w:r w:rsidRPr="00D92166">
        <w:rPr>
          <w:rFonts w:ascii="Times New Roman" w:eastAsia="Times New Roman" w:hAnsi="Times New Roman" w:cs="Times New Roman"/>
          <w:sz w:val="24"/>
          <w:szCs w:val="24"/>
        </w:rPr>
        <w:t>12 Great George Street</w:t>
      </w:r>
    </w:p>
    <w:p w14:paraId="527C3445" w14:textId="64983200" w:rsidR="002F0D23" w:rsidRPr="00D92166" w:rsidRDefault="00000000">
      <w:pPr>
        <w:spacing w:after="0" w:line="240" w:lineRule="auto"/>
        <w:jc w:val="both"/>
        <w:rPr>
          <w:rFonts w:ascii="Times New Roman" w:eastAsia="Times New Roman" w:hAnsi="Times New Roman" w:cs="Times New Roman"/>
          <w:sz w:val="24"/>
          <w:szCs w:val="24"/>
        </w:rPr>
      </w:pPr>
      <w:r w:rsidRPr="00D92166">
        <w:rPr>
          <w:rFonts w:ascii="Times New Roman" w:eastAsia="Times New Roman" w:hAnsi="Times New Roman" w:cs="Times New Roman"/>
          <w:sz w:val="24"/>
          <w:szCs w:val="24"/>
        </w:rPr>
        <w:t>Westminster London SW1P 3AD</w:t>
      </w:r>
      <w:r w:rsidR="00D92166">
        <w:rPr>
          <w:rFonts w:ascii="Times New Roman" w:eastAsia="Times New Roman" w:hAnsi="Times New Roman" w:cs="Times New Roman"/>
          <w:sz w:val="24"/>
          <w:szCs w:val="24"/>
        </w:rPr>
        <w:t xml:space="preserve">, </w:t>
      </w:r>
      <w:r w:rsidRPr="00D92166">
        <w:rPr>
          <w:rFonts w:ascii="Times New Roman" w:eastAsia="Times New Roman" w:hAnsi="Times New Roman" w:cs="Times New Roman"/>
          <w:sz w:val="24"/>
          <w:szCs w:val="24"/>
        </w:rPr>
        <w:t>UK</w:t>
      </w:r>
    </w:p>
    <w:p w14:paraId="6F129944" w14:textId="462E7ED6" w:rsidR="00D92166" w:rsidRPr="00D92166" w:rsidRDefault="00000000" w:rsidP="00D92166">
      <w:pPr>
        <w:spacing w:after="0" w:line="240" w:lineRule="auto"/>
        <w:jc w:val="both"/>
        <w:rPr>
          <w:rFonts w:ascii="Times New Roman" w:hAnsi="Times New Roman" w:cs="Times New Roman"/>
          <w:sz w:val="24"/>
          <w:szCs w:val="24"/>
        </w:rPr>
      </w:pPr>
      <w:hyperlink r:id="rId70" w:history="1">
        <w:r w:rsidR="00D92166" w:rsidRPr="006279AC">
          <w:rPr>
            <w:rStyle w:val="Hyperlink"/>
            <w:rFonts w:ascii="Times New Roman" w:hAnsi="Times New Roman" w:cs="Times New Roman"/>
            <w:sz w:val="24"/>
            <w:szCs w:val="24"/>
          </w:rPr>
          <w:t>jkavanagh@rics.org</w:t>
        </w:r>
      </w:hyperlink>
      <w:r w:rsidR="00D92166">
        <w:rPr>
          <w:rFonts w:ascii="Times New Roman" w:hAnsi="Times New Roman" w:cs="Times New Roman"/>
          <w:sz w:val="24"/>
          <w:szCs w:val="24"/>
        </w:rPr>
        <w:t xml:space="preserve"> </w:t>
      </w:r>
    </w:p>
    <w:p w14:paraId="378EA8E9" w14:textId="77777777" w:rsidR="00D92166" w:rsidRPr="00D92166" w:rsidRDefault="00D92166" w:rsidP="00D92166">
      <w:pPr>
        <w:spacing w:after="0" w:line="240" w:lineRule="auto"/>
        <w:jc w:val="both"/>
        <w:rPr>
          <w:rFonts w:ascii="Times New Roman" w:hAnsi="Times New Roman" w:cs="Times New Roman"/>
          <w:sz w:val="24"/>
          <w:szCs w:val="24"/>
        </w:rPr>
      </w:pPr>
      <w:r w:rsidRPr="00D92166">
        <w:rPr>
          <w:rFonts w:ascii="Times New Roman" w:hAnsi="Times New Roman" w:cs="Times New Roman"/>
          <w:sz w:val="24"/>
          <w:szCs w:val="24"/>
        </w:rPr>
        <w:t>Ph. +44764119409</w:t>
      </w:r>
    </w:p>
    <w:p w14:paraId="345C965A" w14:textId="7193B599" w:rsidR="002F0D23" w:rsidRPr="00D92166" w:rsidRDefault="00000000" w:rsidP="00D92166">
      <w:pPr>
        <w:spacing w:after="0" w:line="240" w:lineRule="auto"/>
        <w:jc w:val="both"/>
        <w:rPr>
          <w:rFonts w:ascii="Times New Roman" w:eastAsia="Times New Roman" w:hAnsi="Times New Roman" w:cs="Times New Roman"/>
          <w:b/>
          <w:sz w:val="24"/>
          <w:szCs w:val="24"/>
        </w:rPr>
      </w:pPr>
      <w:hyperlink r:id="rId71" w:history="1">
        <w:r w:rsidR="00D92166" w:rsidRPr="006279AC">
          <w:rPr>
            <w:rStyle w:val="Hyperlink"/>
            <w:rFonts w:ascii="Times New Roman" w:hAnsi="Times New Roman" w:cs="Times New Roman"/>
            <w:sz w:val="24"/>
            <w:szCs w:val="24"/>
          </w:rPr>
          <w:t>www.rics.org</w:t>
        </w:r>
      </w:hyperlink>
      <w:r w:rsidR="00D92166">
        <w:rPr>
          <w:rFonts w:ascii="Times New Roman" w:hAnsi="Times New Roman" w:cs="Times New Roman"/>
          <w:sz w:val="24"/>
          <w:szCs w:val="24"/>
        </w:rPr>
        <w:t xml:space="preserve"> </w:t>
      </w:r>
    </w:p>
    <w:sectPr w:rsidR="002F0D23" w:rsidRPr="00D92166">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4F01D7"/>
    <w:multiLevelType w:val="hybridMultilevel"/>
    <w:tmpl w:val="ABC4E8E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221F49DA"/>
    <w:multiLevelType w:val="multilevel"/>
    <w:tmpl w:val="D12E720A"/>
    <w:lvl w:ilvl="0">
      <w:start w:val="1"/>
      <w:numFmt w:val="decimal"/>
      <w:lvlText w:val="%1."/>
      <w:lvlJc w:val="left"/>
      <w:pPr>
        <w:ind w:left="720" w:hanging="360"/>
      </w:pPr>
      <w:rPr>
        <w:rFont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C167722"/>
    <w:multiLevelType w:val="multilevel"/>
    <w:tmpl w:val="D12E720A"/>
    <w:lvl w:ilvl="0">
      <w:start w:val="1"/>
      <w:numFmt w:val="decimal"/>
      <w:lvlText w:val="%1."/>
      <w:lvlJc w:val="left"/>
      <w:pPr>
        <w:ind w:left="720" w:hanging="360"/>
      </w:pPr>
      <w:rPr>
        <w:rFont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0625E37"/>
    <w:multiLevelType w:val="multilevel"/>
    <w:tmpl w:val="DCFE954E"/>
    <w:lvl w:ilvl="0">
      <w:start w:val="6"/>
      <w:numFmt w:val="bullet"/>
      <w:lvlText w:val="-"/>
      <w:lvlJc w:val="left"/>
      <w:pPr>
        <w:ind w:left="720" w:hanging="360"/>
      </w:pPr>
      <w:rPr>
        <w:rFonts w:ascii="Segoe UI" w:eastAsia="Times New Roman" w:hAnsi="Segoe UI" w:cs="Segoe UI"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5EB63CF1"/>
    <w:multiLevelType w:val="hybridMultilevel"/>
    <w:tmpl w:val="454CBFD2"/>
    <w:lvl w:ilvl="0" w:tplc="9AE0F188">
      <w:start w:val="6"/>
      <w:numFmt w:val="bullet"/>
      <w:lvlText w:val="-"/>
      <w:lvlJc w:val="left"/>
      <w:pPr>
        <w:ind w:left="1080" w:hanging="360"/>
      </w:pPr>
      <w:rPr>
        <w:rFonts w:ascii="Segoe UI" w:eastAsia="Times New Roman" w:hAnsi="Segoe UI" w:cs="Segoe UI"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6A564476"/>
    <w:multiLevelType w:val="multilevel"/>
    <w:tmpl w:val="257E98B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705B29E3"/>
    <w:multiLevelType w:val="multilevel"/>
    <w:tmpl w:val="41909BF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73EA3BF6"/>
    <w:multiLevelType w:val="hybridMultilevel"/>
    <w:tmpl w:val="4F783EA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27584402">
    <w:abstractNumId w:val="5"/>
  </w:num>
  <w:num w:numId="2" w16cid:durableId="546337561">
    <w:abstractNumId w:val="2"/>
  </w:num>
  <w:num w:numId="3" w16cid:durableId="615020807">
    <w:abstractNumId w:val="1"/>
  </w:num>
  <w:num w:numId="4" w16cid:durableId="673992327">
    <w:abstractNumId w:val="6"/>
  </w:num>
  <w:num w:numId="5" w16cid:durableId="692997411">
    <w:abstractNumId w:val="3"/>
  </w:num>
  <w:num w:numId="6" w16cid:durableId="1475684762">
    <w:abstractNumId w:val="7"/>
  </w:num>
  <w:num w:numId="7" w16cid:durableId="653488212">
    <w:abstractNumId w:val="0"/>
  </w:num>
  <w:num w:numId="8" w16cid:durableId="48000055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TSwNDMwNTM1NzQyNzFT0lEKTi0uzszPAykwqwUASanIbywAAAA="/>
  </w:docVars>
  <w:rsids>
    <w:rsidRoot w:val="002F0D23"/>
    <w:rsid w:val="00047DA4"/>
    <w:rsid w:val="0010644E"/>
    <w:rsid w:val="002F0D23"/>
    <w:rsid w:val="003047CB"/>
    <w:rsid w:val="00351AC7"/>
    <w:rsid w:val="004C1341"/>
    <w:rsid w:val="004F5CF6"/>
    <w:rsid w:val="0055498E"/>
    <w:rsid w:val="005C4D69"/>
    <w:rsid w:val="00671AD4"/>
    <w:rsid w:val="006E366E"/>
    <w:rsid w:val="006F5B82"/>
    <w:rsid w:val="007B7BB2"/>
    <w:rsid w:val="00806820"/>
    <w:rsid w:val="008427C8"/>
    <w:rsid w:val="008526D4"/>
    <w:rsid w:val="00890217"/>
    <w:rsid w:val="00A10218"/>
    <w:rsid w:val="00A57206"/>
    <w:rsid w:val="00A90FDE"/>
    <w:rsid w:val="00B03B6F"/>
    <w:rsid w:val="00B85B93"/>
    <w:rsid w:val="00C04704"/>
    <w:rsid w:val="00D92166"/>
    <w:rsid w:val="00DE0CFA"/>
    <w:rsid w:val="00E55F5A"/>
    <w:rsid w:val="00EA11A4"/>
    <w:rsid w:val="00EB35EF"/>
    <w:rsid w:val="00F22E2C"/>
    <w:rsid w:val="00F75F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874797"/>
  <w15:docId w15:val="{58040B81-07F0-4E2D-83AD-B419E1F3A4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ptos" w:eastAsia="Aptos" w:hAnsi="Aptos" w:cs="Aptos"/>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qFormat/>
    <w:pPr>
      <w:keepNext/>
      <w:keepLines/>
      <w:spacing w:after="0" w:line="240" w:lineRule="auto"/>
      <w:jc w:val="both"/>
      <w:outlineLvl w:val="0"/>
    </w:pPr>
    <w:rPr>
      <w:rFonts w:ascii="Times New Roman" w:eastAsia="Times New Roman" w:hAnsi="Times New Roman" w:cs="Times New Roman"/>
      <w:b/>
      <w:sz w:val="24"/>
      <w:szCs w:val="24"/>
    </w:rPr>
  </w:style>
  <w:style w:type="paragraph" w:styleId="Heading2">
    <w:name w:val="heading 2"/>
    <w:basedOn w:val="Normal"/>
    <w:next w:val="Normal"/>
    <w:uiPriority w:val="9"/>
    <w:unhideWhenUsed/>
    <w:qFormat/>
    <w:pPr>
      <w:keepNext/>
      <w:keepLines/>
      <w:spacing w:after="0" w:line="240" w:lineRule="auto"/>
      <w:jc w:val="both"/>
      <w:outlineLvl w:val="1"/>
    </w:pPr>
    <w:rPr>
      <w:rFonts w:ascii="Times New Roman" w:eastAsia="Times New Roman" w:hAnsi="Times New Roman" w:cs="Times New Roman"/>
      <w:b/>
      <w:sz w:val="24"/>
      <w:szCs w:val="24"/>
    </w:rPr>
  </w:style>
  <w:style w:type="paragraph" w:styleId="Heading3">
    <w:name w:val="heading 3"/>
    <w:basedOn w:val="Normal"/>
    <w:next w:val="Normal"/>
    <w:uiPriority w:val="9"/>
    <w:semiHidden/>
    <w:unhideWhenUsed/>
    <w:qFormat/>
    <w:pPr>
      <w:keepNext/>
      <w:keepLines/>
      <w:spacing w:before="160" w:after="80"/>
      <w:outlineLvl w:val="2"/>
    </w:pPr>
    <w:rPr>
      <w:color w:val="0F4761"/>
      <w:sz w:val="28"/>
      <w:szCs w:val="28"/>
    </w:rPr>
  </w:style>
  <w:style w:type="paragraph" w:styleId="Heading4">
    <w:name w:val="heading 4"/>
    <w:basedOn w:val="Normal"/>
    <w:next w:val="Normal"/>
    <w:uiPriority w:val="9"/>
    <w:semiHidden/>
    <w:unhideWhenUsed/>
    <w:qFormat/>
    <w:pPr>
      <w:keepNext/>
      <w:keepLines/>
      <w:spacing w:before="80" w:after="40"/>
      <w:outlineLvl w:val="3"/>
    </w:pPr>
    <w:rPr>
      <w:i/>
      <w:color w:val="0F4761"/>
    </w:rPr>
  </w:style>
  <w:style w:type="paragraph" w:styleId="Heading5">
    <w:name w:val="heading 5"/>
    <w:basedOn w:val="Normal"/>
    <w:next w:val="Normal"/>
    <w:uiPriority w:val="9"/>
    <w:semiHidden/>
    <w:unhideWhenUsed/>
    <w:qFormat/>
    <w:pPr>
      <w:keepNext/>
      <w:keepLines/>
      <w:spacing w:before="80" w:after="40"/>
      <w:outlineLvl w:val="4"/>
    </w:pPr>
    <w:rPr>
      <w:color w:val="0F4761"/>
    </w:rPr>
  </w:style>
  <w:style w:type="paragraph" w:styleId="Heading6">
    <w:name w:val="heading 6"/>
    <w:basedOn w:val="Normal"/>
    <w:next w:val="Normal"/>
    <w:uiPriority w:val="9"/>
    <w:semiHidden/>
    <w:unhideWhenUsed/>
    <w:qFormat/>
    <w:pPr>
      <w:keepNext/>
      <w:keepLines/>
      <w:spacing w:before="40" w:after="0"/>
      <w:outlineLvl w:val="5"/>
    </w:pPr>
    <w:rPr>
      <w:i/>
      <w:color w:val="59595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before="240" w:after="60" w:line="240" w:lineRule="auto"/>
      <w:ind w:left="720" w:hanging="360"/>
      <w:jc w:val="center"/>
    </w:pPr>
    <w:rPr>
      <w:rFonts w:ascii="Times New Roman" w:eastAsia="Times New Roman" w:hAnsi="Times New Roman" w:cs="Times New Roman"/>
      <w:b/>
      <w:sz w:val="48"/>
      <w:szCs w:val="48"/>
    </w:rPr>
  </w:style>
  <w:style w:type="paragraph" w:styleId="Subtitle">
    <w:name w:val="Subtitle"/>
    <w:basedOn w:val="Normal"/>
    <w:next w:val="Normal"/>
    <w:uiPriority w:val="11"/>
    <w:qFormat/>
    <w:pPr>
      <w:spacing w:before="240" w:after="60" w:line="240" w:lineRule="auto"/>
      <w:ind w:left="720" w:hanging="360"/>
      <w:jc w:val="center"/>
    </w:pPr>
    <w:rPr>
      <w:rFonts w:ascii="Times New Roman" w:eastAsia="Times New Roman" w:hAnsi="Times New Roman" w:cs="Times New Roman"/>
      <w:b/>
      <w:color w:val="666666"/>
      <w:sz w:val="40"/>
      <w:szCs w:val="40"/>
    </w:rPr>
  </w:style>
  <w:style w:type="table" w:customStyle="1" w:styleId="a">
    <w:basedOn w:val="TableNormal"/>
    <w:tblPr>
      <w:tblStyleRowBandSize w:val="1"/>
      <w:tblStyleColBandSize w:val="1"/>
      <w:tblCellMar>
        <w:top w:w="15" w:type="dxa"/>
        <w:left w:w="15" w:type="dxa"/>
        <w:bottom w:w="15" w:type="dxa"/>
        <w:right w:w="15"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ListParagraph">
    <w:name w:val="List Paragraph"/>
    <w:basedOn w:val="Normal"/>
    <w:uiPriority w:val="34"/>
    <w:qFormat/>
    <w:rsid w:val="00351AC7"/>
    <w:pPr>
      <w:ind w:left="720"/>
      <w:contextualSpacing/>
    </w:pPr>
  </w:style>
  <w:style w:type="character" w:styleId="Hyperlink">
    <w:name w:val="Hyperlink"/>
    <w:basedOn w:val="DefaultParagraphFont"/>
    <w:uiPriority w:val="99"/>
    <w:unhideWhenUsed/>
    <w:rsid w:val="00D92166"/>
    <w:rPr>
      <w:color w:val="0000FF" w:themeColor="hyperlink"/>
      <w:u w:val="single"/>
    </w:rPr>
  </w:style>
  <w:style w:type="character" w:styleId="UnresolvedMention">
    <w:name w:val="Unresolved Mention"/>
    <w:basedOn w:val="DefaultParagraphFont"/>
    <w:uiPriority w:val="99"/>
    <w:semiHidden/>
    <w:unhideWhenUsed/>
    <w:rsid w:val="00D9216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26" Type="http://schemas.openxmlformats.org/officeDocument/2006/relationships/hyperlink" Target="https://gltn.net/download/valuation-of-unregistered-lands-a-policy-guide/" TargetMode="External"/><Relationship Id="rId21" Type="http://schemas.openxmlformats.org/officeDocument/2006/relationships/hyperlink" Target="https://eur-lex.europa.eu/legal-content/EN/TXT/PDF/?uri=CELEX:52018DC0097" TargetMode="External"/><Relationship Id="rId42" Type="http://schemas.openxmlformats.org/officeDocument/2006/relationships/hyperlink" Target="https://doi.org/10.1080/0042098992485" TargetMode="External"/><Relationship Id="rId47" Type="http://schemas.openxmlformats.org/officeDocument/2006/relationships/hyperlink" Target="https://doi.org/10.1016/0022-0531(82)90046-1" TargetMode="External"/><Relationship Id="rId63" Type="http://schemas.openxmlformats.org/officeDocument/2006/relationships/hyperlink" Target="mailto:bastiaan.reydon@kadaster.nl" TargetMode="External"/><Relationship Id="rId68" Type="http://schemas.openxmlformats.org/officeDocument/2006/relationships/hyperlink" Target="mailto:evakatharina.neubrand@bbr.bund.de" TargetMode="External"/><Relationship Id="rId2" Type="http://schemas.openxmlformats.org/officeDocument/2006/relationships/styles" Target="styles.xml"/><Relationship Id="rId16" Type="http://schemas.openxmlformats.org/officeDocument/2006/relationships/hyperlink" Target="https://www.gov.uk/government/news/the-new-register-of-overseas-entities-is-live" TargetMode="External"/><Relationship Id="rId29" Type="http://schemas.openxmlformats.org/officeDocument/2006/relationships/hyperlink" Target="https://doi.org/10.1111/jofi.12512" TargetMode="External"/><Relationship Id="rId11" Type="http://schemas.openxmlformats.org/officeDocument/2006/relationships/hyperlink" Target="https://doi.org/10.1080/095999198368329" TargetMode="External"/><Relationship Id="rId24" Type="http://schemas.openxmlformats.org/officeDocument/2006/relationships/hyperlink" Target="https://tegova.org/static/062574e026cb01499849ffe9a6d29f00/Pr.%20Nick%20French%20Report%20(296%20KB).pdf" TargetMode="External"/><Relationship Id="rId32" Type="http://schemas.openxmlformats.org/officeDocument/2006/relationships/hyperlink" Target="https://www.gov.uk/government/publications/final-report-the-economics-of-biodiversity-the-dasgupta-review" TargetMode="External"/><Relationship Id="rId37" Type="http://schemas.openxmlformats.org/officeDocument/2006/relationships/hyperlink" Target="https://viewpoint.pwc.com/dt/gx/en/ivsc/international_valuat/assets/IVS-effective-31-Jan-2022.pdf" TargetMode="External"/><Relationship Id="rId40" Type="http://schemas.openxmlformats.org/officeDocument/2006/relationships/hyperlink" Target="https://www.jll.co.uk/content/dam/jll-com/documents/pdf/research/global/jll-global-real-estate-transparency-index-2022.pdf" TargetMode="External"/><Relationship Id="rId45" Type="http://schemas.openxmlformats.org/officeDocument/2006/relationships/hyperlink" Target="https://doi.org/10.1093/rcfs/cfy009" TargetMode="External"/><Relationship Id="rId53" Type="http://schemas.openxmlformats.org/officeDocument/2006/relationships/hyperlink" Target="https://www.rics.org/content/dam/ricsglobal/documents/standards/Comparable%20evidence%20in%20real%20estate%20valuation.pdf" TargetMode="External"/><Relationship Id="rId58" Type="http://schemas.openxmlformats.org/officeDocument/2006/relationships/hyperlink" Target="https://doi.org/10.1108/JERER-04-2022-0012" TargetMode="External"/><Relationship Id="rId66" Type="http://schemas.openxmlformats.org/officeDocument/2006/relationships/hyperlink" Target="mailto:peter.ache@outlook.de" TargetMode="External"/><Relationship Id="rId5" Type="http://schemas.openxmlformats.org/officeDocument/2006/relationships/hyperlink" Target="https://www.zotero.org/google-docs/?aEZbnk" TargetMode="External"/><Relationship Id="rId61" Type="http://schemas.openxmlformats.org/officeDocument/2006/relationships/hyperlink" Target="mailto:grazyna.wiejak-roy@uwe.ac.uk" TargetMode="External"/><Relationship Id="rId19" Type="http://schemas.openxmlformats.org/officeDocument/2006/relationships/hyperlink" Target="https://bills.parliament.uk/bills/3120" TargetMode="External"/><Relationship Id="rId14" Type="http://schemas.openxmlformats.org/officeDocument/2006/relationships/hyperlink" Target="https://doi.org/10.1007/s11146-022-09918-9" TargetMode="External"/><Relationship Id="rId22" Type="http://schemas.openxmlformats.org/officeDocument/2006/relationships/hyperlink" Target="https://www.fao.org/3/i2801e/i2801e.pdf" TargetMode="External"/><Relationship Id="rId27" Type="http://schemas.openxmlformats.org/officeDocument/2006/relationships/hyperlink" Target="https://gltn.net/download/valuation-of-unregistered-land-a-practice-manual/?wpdmdl=17187&amp;ind=1630494931913" TargetMode="External"/><Relationship Id="rId30" Type="http://schemas.openxmlformats.org/officeDocument/2006/relationships/hyperlink" Target="https://doi.org/10.1108/14635781211194836" TargetMode="External"/><Relationship Id="rId35" Type="http://schemas.openxmlformats.org/officeDocument/2006/relationships/hyperlink" Target="https://www.ifrs.org/content/dam/ifrs/publications/pdf-standards/english/2022/issued/part-a/ifrs-13-fair-value-measurement.pdf?bypass=on" TargetMode="External"/><Relationship Id="rId43" Type="http://schemas.openxmlformats.org/officeDocument/2006/relationships/hyperlink" Target="https://doi.org/10.1093/rfs/hhv028" TargetMode="External"/><Relationship Id="rId48" Type="http://schemas.openxmlformats.org/officeDocument/2006/relationships/hyperlink" Target="https://doi/10.1108/JPIF-07-2015-0053/full/html" TargetMode="External"/><Relationship Id="rId56" Type="http://schemas.openxmlformats.org/officeDocument/2006/relationships/hyperlink" Target="https://www.ros.gov.uk/our-registers/rci" TargetMode="External"/><Relationship Id="rId64" Type="http://schemas.openxmlformats.org/officeDocument/2006/relationships/hyperlink" Target="https://www.kadaster.com/" TargetMode="External"/><Relationship Id="rId69" Type="http://schemas.openxmlformats.org/officeDocument/2006/relationships/hyperlink" Target="http://www.bbsr.bund.de" TargetMode="External"/><Relationship Id="rId8" Type="http://schemas.openxmlformats.org/officeDocument/2006/relationships/image" Target="media/image1.png"/><Relationship Id="rId51" Type="http://schemas.openxmlformats.org/officeDocument/2006/relationships/hyperlink" Target="https://doi.org/10.1111/j.1540-6261.1996.tb02695.x"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s://doi.org/10.1111/j.1467-6435.2011.00500.x" TargetMode="External"/><Relationship Id="rId17" Type="http://schemas.openxmlformats.org/officeDocument/2006/relationships/hyperlink" Target="https://doi.org/10.1080/004209898433" TargetMode="External"/><Relationship Id="rId25" Type="http://schemas.openxmlformats.org/officeDocument/2006/relationships/hyperlink" Target="https://doi.org/10.1093/rfs/hhg037" TargetMode="External"/><Relationship Id="rId33" Type="http://schemas.openxmlformats.org/officeDocument/2006/relationships/hyperlink" Target="https://www.gov.uk/government/consultations/transparency-of-land-ownership-involving-trusts-consultation/transparency-of-land-ownership-involving-trusts" TargetMode="External"/><Relationship Id="rId38" Type="http://schemas.openxmlformats.org/officeDocument/2006/relationships/hyperlink" Target="https://www.ivsc.org/new-edition-of-the-international-valuation-standards-ivs-published/" TargetMode="External"/><Relationship Id="rId46" Type="http://schemas.openxmlformats.org/officeDocument/2006/relationships/hyperlink" Target="https://doi.org/10.1007/s11146-012-9401-0" TargetMode="External"/><Relationship Id="rId59" Type="http://schemas.openxmlformats.org/officeDocument/2006/relationships/hyperlink" Target="https://openknowledge.worldbank.org/server/api/core/bitstreams/75ea67f9-4bcb-5766-ada6-6963a992d64c/content" TargetMode="External"/><Relationship Id="rId67" Type="http://schemas.openxmlformats.org/officeDocument/2006/relationships/hyperlink" Target="https://www.fig.net/organisation/comm/9/" TargetMode="External"/><Relationship Id="rId20" Type="http://schemas.openxmlformats.org/officeDocument/2006/relationships/hyperlink" Target="https://doi.org/10.11648/j.ajtas.20160501.11" TargetMode="External"/><Relationship Id="rId41" Type="http://schemas.openxmlformats.org/officeDocument/2006/relationships/hyperlink" Target="https://www.jll.de/de/presse/Globaler-Immobilienmarkt-buesst-2023-an-Transaktionsvolumen-ein" TargetMode="External"/><Relationship Id="rId54" Type="http://schemas.openxmlformats.org/officeDocument/2006/relationships/hyperlink" Target="https://www.rics.org/content/dam/ricsglobal/documents/standards/2021_11_25_rics_valuation_global_standards_effective_2022.pdf" TargetMode="External"/><Relationship Id="rId62" Type="http://schemas.openxmlformats.org/officeDocument/2006/relationships/hyperlink" Target="https://www.uwe.ac.uk/" TargetMode="External"/><Relationship Id="rId70" Type="http://schemas.openxmlformats.org/officeDocument/2006/relationships/hyperlink" Target="mailto:jkavanagh@rics.org" TargetMode="External"/><Relationship Id="rId1" Type="http://schemas.openxmlformats.org/officeDocument/2006/relationships/numbering" Target="numbering.xml"/><Relationship Id="rId6" Type="http://schemas.openxmlformats.org/officeDocument/2006/relationships/hyperlink" Target="https://assets.publishing.service.gov.uk/government/uploads/system/uploads/attachment_data/file/1057822/DRAFT_Economic_Crime_Transparency_and_Enforcement_Bill.pdf" TargetMode="External"/><Relationship Id="rId15" Type="http://schemas.openxmlformats.org/officeDocument/2006/relationships/hyperlink" Target="https://www.globalhivmeinfo.org/CapacityBuilding/Occasional%20Papers/08%20Assessing%20the%20Impact%20of%20Planned%20Social%20Change.pdf" TargetMode="External"/><Relationship Id="rId23" Type="http://schemas.openxmlformats.org/officeDocument/2006/relationships/hyperlink" Target="https://doi.org/10.1093/wber/5.1.135" TargetMode="External"/><Relationship Id="rId28" Type="http://schemas.openxmlformats.org/officeDocument/2006/relationships/hyperlink" Target="https://doi.org/10.22300/0896-5803.41.3.379" TargetMode="External"/><Relationship Id="rId36" Type="http://schemas.openxmlformats.org/officeDocument/2006/relationships/hyperlink" Target="https://doi.org/10.20869/AUDITF/2019/154/306" TargetMode="External"/><Relationship Id="rId49" Type="http://schemas.openxmlformats.org/officeDocument/2006/relationships/hyperlink" Target="https://www.rics.org/content/dam/ricsglobal/documents/to-be-sorted/valuing-unregistered-land-rics.pdf" TargetMode="External"/><Relationship Id="rId57" Type="http://schemas.openxmlformats.org/officeDocument/2006/relationships/hyperlink" Target="https://doi.org/10.1108/14635780510575111" TargetMode="External"/><Relationship Id="rId10" Type="http://schemas.openxmlformats.org/officeDocument/2006/relationships/hyperlink" Target="https://doi.org/10.1108/14635780610659928" TargetMode="External"/><Relationship Id="rId31" Type="http://schemas.openxmlformats.org/officeDocument/2006/relationships/hyperlink" Target="https://doi.org/10.4135/9781483384436" TargetMode="External"/><Relationship Id="rId44" Type="http://schemas.openxmlformats.org/officeDocument/2006/relationships/hyperlink" Target="https://doi.org/10.1007/978-3-030-82786-1_12" TargetMode="External"/><Relationship Id="rId52" Type="http://schemas.openxmlformats.org/officeDocument/2006/relationships/hyperlink" Target="https://weltneuvermessung.wordpress.com/2020/09/13/die-weltbank-setzt-ihren-doing-business-index-aus/" TargetMode="External"/><Relationship Id="rId60" Type="http://schemas.openxmlformats.org/officeDocument/2006/relationships/hyperlink" Target="https://landinternational.network/" TargetMode="External"/><Relationship Id="rId65" Type="http://schemas.openxmlformats.org/officeDocument/2006/relationships/hyperlink" Target="mailto:figcommission9@fig.net" TargetMode="Externa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uwe.eu.qualtrics.com/jfe/form/SV_6zCR9PWpZsuo63A" TargetMode="External"/><Relationship Id="rId13" Type="http://schemas.openxmlformats.org/officeDocument/2006/relationships/hyperlink" Target="https://doi.org/10.1007/s11146-021-09824-6" TargetMode="External"/><Relationship Id="rId18" Type="http://schemas.openxmlformats.org/officeDocument/2006/relationships/hyperlink" Target="https://assets.publishing.service.gov.uk/government/uploads/system/uploads/attachment_data/file/1057822/DRAFT_Economic_Crime_Transparency_and_Enforcement_Bill.pdf" TargetMode="External"/><Relationship Id="rId39" Type="http://schemas.openxmlformats.org/officeDocument/2006/relationships/hyperlink" Target="https://www.jll.de/de/presse/globale-immobilienmaerkte-sind-ende-2021-im-erholungsmodus" TargetMode="External"/><Relationship Id="rId34" Type="http://schemas.openxmlformats.org/officeDocument/2006/relationships/hyperlink" Target="https://tegova.org/static/062574e026cb01499849ffe9a6d29f00/Pr.%20Nick%20French%20Report%20(296%20KB).pdf" TargetMode="External"/><Relationship Id="rId50" Type="http://schemas.openxmlformats.org/officeDocument/2006/relationships/hyperlink" Target="https://www.oecd-ilibrary.org/taxation/enhancing-international-tax-transparency-on-real-estate_37292361-en" TargetMode="External"/><Relationship Id="rId55" Type="http://schemas.openxmlformats.org/officeDocument/2006/relationships/hyperlink" Target="https://www.rics.org/content/dam/ricsglobal/documents/standards/Conflicts%20of%20interest_global_July23%20(1).pdf" TargetMode="External"/><Relationship Id="rId7" Type="http://schemas.openxmlformats.org/officeDocument/2006/relationships/hyperlink" Target="https://www.farrer.co.uk/news-and-insights/transparency-for-uk-property2/" TargetMode="External"/><Relationship Id="rId71" Type="http://schemas.openxmlformats.org/officeDocument/2006/relationships/hyperlink" Target="http://www.ric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25</Pages>
  <Words>12534</Words>
  <Characters>71446</Characters>
  <Application>Microsoft Office Word</Application>
  <DocSecurity>0</DocSecurity>
  <Lines>595</Lines>
  <Paragraphs>167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Grazyna Wiejak-Roy</dc:creator>
  <cp:lastModifiedBy>Lisa Hacker</cp:lastModifiedBy>
  <cp:revision>2</cp:revision>
  <cp:lastPrinted>2024-03-05T10:23:00Z</cp:lastPrinted>
  <dcterms:created xsi:type="dcterms:W3CDTF">2024-05-29T13:02:00Z</dcterms:created>
  <dcterms:modified xsi:type="dcterms:W3CDTF">2024-05-29T13:02:00Z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ca452997-c737-4f61-b1e6-94eeea8a369a</vt:lpwstr>
  </property>
</Properties>
</file>