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F81C" w14:textId="74DE7BED" w:rsidR="00F17E4E" w:rsidRPr="00F17E4E" w:rsidRDefault="00F17E4E" w:rsidP="00F17E4E">
      <w:pPr>
        <w:pStyle w:val="paragraph"/>
        <w:spacing w:before="0" w:beforeAutospacing="0" w:after="0" w:afterAutospacing="0"/>
        <w:textAlignment w:val="baseline"/>
        <w:rPr>
          <w:rStyle w:val="eop"/>
          <w:rFonts w:ascii="Calibri" w:hAnsi="Calibri" w:cs="Calibri"/>
          <w:color w:val="000000" w:themeColor="text1"/>
        </w:rPr>
      </w:pPr>
      <w:r w:rsidRPr="00F17E4E">
        <w:rPr>
          <w:rStyle w:val="normaltextrun"/>
          <w:rFonts w:ascii="Calibri" w:hAnsi="Calibri" w:cs="Calibri"/>
          <w:b/>
          <w:bCs/>
          <w:color w:val="000000" w:themeColor="text1"/>
        </w:rPr>
        <w:t>Title page </w:t>
      </w:r>
      <w:r w:rsidRPr="00F17E4E">
        <w:rPr>
          <w:rStyle w:val="eop"/>
          <w:rFonts w:ascii="Calibri" w:hAnsi="Calibri" w:cs="Calibri"/>
          <w:color w:val="000000" w:themeColor="text1"/>
        </w:rPr>
        <w:t> </w:t>
      </w:r>
    </w:p>
    <w:p w14:paraId="17997306" w14:textId="77777777" w:rsidR="00F17E4E" w:rsidRDefault="00F17E4E" w:rsidP="00F17E4E">
      <w:pPr>
        <w:pStyle w:val="paragraph"/>
        <w:spacing w:before="0" w:beforeAutospacing="0" w:after="0" w:afterAutospacing="0"/>
        <w:textAlignment w:val="baseline"/>
        <w:rPr>
          <w:rFonts w:ascii="Segoe UI" w:hAnsi="Segoe UI" w:cs="Segoe UI"/>
          <w:sz w:val="18"/>
          <w:szCs w:val="18"/>
        </w:rPr>
      </w:pPr>
    </w:p>
    <w:p w14:paraId="22A81866" w14:textId="77777777" w:rsidR="00F17E4E" w:rsidRDefault="00F17E4E" w:rsidP="00F17E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Title: Development of online cancer resources to support pre-registration nurses and allied health professionals to increase their knowledge and understanding of cancer care</w:t>
      </w:r>
      <w:r>
        <w:rPr>
          <w:rStyle w:val="eop"/>
          <w:rFonts w:ascii="Calibri" w:hAnsi="Calibri" w:cs="Calibri"/>
        </w:rPr>
        <w:t> </w:t>
      </w:r>
    </w:p>
    <w:p w14:paraId="4AE6A4D3" w14:textId="77777777" w:rsidR="00F17E4E" w:rsidRPr="001A2956" w:rsidRDefault="00F17E4E" w:rsidP="00F17E4E">
      <w:pPr>
        <w:pStyle w:val="paragraph"/>
        <w:spacing w:before="0" w:beforeAutospacing="0" w:after="0" w:afterAutospacing="0"/>
        <w:textAlignment w:val="baseline"/>
        <w:rPr>
          <w:rStyle w:val="normaltextrun"/>
          <w:rFonts w:asciiTheme="minorHAnsi" w:hAnsiTheme="minorHAnsi" w:cstheme="minorHAnsi"/>
          <w:b/>
          <w:bCs/>
        </w:rPr>
      </w:pPr>
    </w:p>
    <w:p w14:paraId="25BCCCCF" w14:textId="6F882291" w:rsidR="00F17E4E" w:rsidRPr="001A2956" w:rsidRDefault="00F17E4E" w:rsidP="6573D7FA">
      <w:pPr>
        <w:pStyle w:val="paragraph"/>
        <w:spacing w:before="0" w:beforeAutospacing="0" w:after="0" w:afterAutospacing="0"/>
        <w:textAlignment w:val="baseline"/>
        <w:rPr>
          <w:rStyle w:val="eop"/>
          <w:rFonts w:asciiTheme="minorHAnsi" w:hAnsiTheme="minorHAnsi" w:cstheme="minorHAnsi"/>
        </w:rPr>
      </w:pPr>
      <w:bookmarkStart w:id="0" w:name="_Hlk136872439"/>
      <w:r w:rsidRPr="001A2956">
        <w:rPr>
          <w:rStyle w:val="normaltextrun"/>
          <w:rFonts w:asciiTheme="minorHAnsi" w:hAnsiTheme="minorHAnsi" w:cstheme="minorHAnsi"/>
          <w:b/>
          <w:bCs/>
        </w:rPr>
        <w:t>Authors</w:t>
      </w:r>
      <w:r w:rsidRPr="001A2956">
        <w:rPr>
          <w:rStyle w:val="normaltextrun"/>
          <w:rFonts w:asciiTheme="minorHAnsi" w:hAnsiTheme="minorHAnsi" w:cstheme="minorHAnsi"/>
        </w:rPr>
        <w:t>: Julie Armoogum</w:t>
      </w:r>
      <w:r w:rsidRPr="001A2956">
        <w:rPr>
          <w:rStyle w:val="normaltextrun"/>
          <w:rFonts w:asciiTheme="minorHAnsi" w:hAnsiTheme="minorHAnsi" w:cstheme="minorHAnsi"/>
          <w:vertAlign w:val="superscript"/>
        </w:rPr>
        <w:t>1</w:t>
      </w:r>
      <w:r w:rsidRPr="001A2956">
        <w:rPr>
          <w:rStyle w:val="normaltextrun"/>
          <w:rFonts w:asciiTheme="minorHAnsi" w:hAnsiTheme="minorHAnsi" w:cstheme="minorHAnsi"/>
        </w:rPr>
        <w:t>, Vanessa Taylor</w:t>
      </w:r>
      <w:r w:rsidRPr="001A2956">
        <w:rPr>
          <w:rStyle w:val="normaltextrun"/>
          <w:rFonts w:asciiTheme="minorHAnsi" w:hAnsiTheme="minorHAnsi" w:cstheme="minorHAnsi"/>
          <w:vertAlign w:val="superscript"/>
        </w:rPr>
        <w:t>2</w:t>
      </w:r>
      <w:r w:rsidRPr="001A2956">
        <w:rPr>
          <w:rStyle w:val="normaltextrun"/>
          <w:rFonts w:asciiTheme="minorHAnsi" w:hAnsiTheme="minorHAnsi" w:cstheme="minorHAnsi"/>
        </w:rPr>
        <w:t>, Susanne Cruickshank</w:t>
      </w:r>
      <w:r w:rsidRPr="001A2956">
        <w:rPr>
          <w:rStyle w:val="normaltextrun"/>
          <w:rFonts w:asciiTheme="minorHAnsi" w:hAnsiTheme="minorHAnsi" w:cstheme="minorHAnsi"/>
          <w:vertAlign w:val="superscript"/>
        </w:rPr>
        <w:t xml:space="preserve">3, </w:t>
      </w:r>
      <w:r w:rsidRPr="001A2956">
        <w:rPr>
          <w:rStyle w:val="normaltextrun"/>
          <w:rFonts w:asciiTheme="minorHAnsi" w:hAnsiTheme="minorHAnsi" w:cstheme="minorHAnsi"/>
        </w:rPr>
        <w:t>Jayne Donaldson</w:t>
      </w:r>
      <w:r w:rsidRPr="001A2956">
        <w:rPr>
          <w:rStyle w:val="normaltextrun"/>
          <w:rFonts w:asciiTheme="minorHAnsi" w:hAnsiTheme="minorHAnsi" w:cstheme="minorHAnsi"/>
          <w:vertAlign w:val="superscript"/>
        </w:rPr>
        <w:t>4</w:t>
      </w:r>
      <w:r w:rsidRPr="001A2956">
        <w:rPr>
          <w:rStyle w:val="normaltextrun"/>
          <w:rFonts w:asciiTheme="minorHAnsi" w:hAnsiTheme="minorHAnsi" w:cstheme="minorHAnsi"/>
        </w:rPr>
        <w:t>, Debbie Wyatt</w:t>
      </w:r>
      <w:r w:rsidRPr="001A2956">
        <w:rPr>
          <w:rStyle w:val="normaltextrun"/>
          <w:rFonts w:asciiTheme="minorHAnsi" w:hAnsiTheme="minorHAnsi" w:cstheme="minorHAnsi"/>
          <w:vertAlign w:val="superscript"/>
        </w:rPr>
        <w:t>5 </w:t>
      </w:r>
      <w:r w:rsidRPr="001A2956">
        <w:rPr>
          <w:rStyle w:val="normaltextrun"/>
          <w:rFonts w:asciiTheme="minorHAnsi" w:hAnsiTheme="minorHAnsi" w:cstheme="minorHAnsi"/>
        </w:rPr>
        <w:t xml:space="preserve"> Mary Tanay</w:t>
      </w:r>
      <w:r w:rsidRPr="001A2956">
        <w:rPr>
          <w:rStyle w:val="normaltextrun"/>
          <w:rFonts w:asciiTheme="minorHAnsi" w:hAnsiTheme="minorHAnsi" w:cstheme="minorHAnsi"/>
          <w:vertAlign w:val="superscript"/>
        </w:rPr>
        <w:t>6</w:t>
      </w:r>
      <w:r w:rsidRPr="001A2956">
        <w:rPr>
          <w:rStyle w:val="normaltextrun"/>
          <w:rFonts w:asciiTheme="minorHAnsi" w:hAnsiTheme="minorHAnsi" w:cstheme="minorHAnsi"/>
        </w:rPr>
        <w:t xml:space="preserve"> </w:t>
      </w:r>
      <w:r w:rsidR="0E526A1A" w:rsidRPr="001A2956">
        <w:rPr>
          <w:rStyle w:val="normaltextrun"/>
          <w:rFonts w:asciiTheme="minorHAnsi" w:hAnsiTheme="minorHAnsi" w:cstheme="minorHAnsi"/>
        </w:rPr>
        <w:t>Fiona Holdsworth</w:t>
      </w:r>
      <w:r w:rsidR="1860D143" w:rsidRPr="001A2956">
        <w:rPr>
          <w:rStyle w:val="normaltextrun"/>
          <w:rFonts w:asciiTheme="minorHAnsi" w:hAnsiTheme="minorHAnsi" w:cstheme="minorHAnsi"/>
          <w:vertAlign w:val="superscript"/>
        </w:rPr>
        <w:t>7</w:t>
      </w:r>
      <w:r w:rsidR="0E526A1A" w:rsidRPr="001A2956">
        <w:rPr>
          <w:rStyle w:val="normaltextrun"/>
          <w:rFonts w:asciiTheme="minorHAnsi" w:hAnsiTheme="minorHAnsi" w:cstheme="minorHAnsi"/>
        </w:rPr>
        <w:t xml:space="preserve"> </w:t>
      </w:r>
      <w:r w:rsidRPr="001A2956">
        <w:rPr>
          <w:rStyle w:val="normaltextrun"/>
          <w:rFonts w:asciiTheme="minorHAnsi" w:hAnsiTheme="minorHAnsi" w:cstheme="minorHAnsi"/>
        </w:rPr>
        <w:t>Florence Cook</w:t>
      </w:r>
      <w:r w:rsidR="01905E91" w:rsidRPr="001A2956">
        <w:rPr>
          <w:rStyle w:val="normaltextrun"/>
          <w:rFonts w:asciiTheme="minorHAnsi" w:hAnsiTheme="minorHAnsi" w:cstheme="minorHAnsi"/>
        </w:rPr>
        <w:t>8</w:t>
      </w:r>
      <w:r w:rsidRPr="001A2956">
        <w:rPr>
          <w:rStyle w:val="normaltextrun"/>
          <w:rFonts w:asciiTheme="minorHAnsi" w:hAnsiTheme="minorHAnsi" w:cstheme="minorHAnsi"/>
          <w:vertAlign w:val="superscript"/>
        </w:rPr>
        <w:t> </w:t>
      </w:r>
      <w:r w:rsidRPr="001A2956">
        <w:rPr>
          <w:rStyle w:val="normaltextrun"/>
          <w:rFonts w:asciiTheme="minorHAnsi" w:hAnsiTheme="minorHAnsi" w:cstheme="minorHAnsi"/>
        </w:rPr>
        <w:t xml:space="preserve"> Joanna</w:t>
      </w:r>
      <w:r w:rsidR="00D22F0F">
        <w:rPr>
          <w:rStyle w:val="normaltextrun"/>
          <w:rFonts w:asciiTheme="minorHAnsi" w:hAnsiTheme="minorHAnsi" w:cstheme="minorHAnsi"/>
        </w:rPr>
        <w:t xml:space="preserve"> McNamara</w:t>
      </w:r>
      <w:r w:rsidR="6DAB1F4C" w:rsidRPr="001A2956">
        <w:rPr>
          <w:rStyle w:val="normaltextrun"/>
          <w:rFonts w:asciiTheme="minorHAnsi" w:hAnsiTheme="minorHAnsi" w:cstheme="minorHAnsi"/>
          <w:vertAlign w:val="superscript"/>
        </w:rPr>
        <w:t>9</w:t>
      </w:r>
      <w:r w:rsidRPr="001A2956">
        <w:rPr>
          <w:rStyle w:val="normaltextrun"/>
          <w:rFonts w:asciiTheme="minorHAnsi" w:hAnsiTheme="minorHAnsi" w:cstheme="minorHAnsi"/>
        </w:rPr>
        <w:t>Claire Job</w:t>
      </w:r>
      <w:r w:rsidR="6749678D" w:rsidRPr="001A2956">
        <w:rPr>
          <w:rStyle w:val="normaltextrun"/>
          <w:rFonts w:asciiTheme="minorHAnsi" w:hAnsiTheme="minorHAnsi" w:cstheme="minorHAnsi"/>
        </w:rPr>
        <w:t>10</w:t>
      </w:r>
      <w:r w:rsidRPr="001A2956">
        <w:rPr>
          <w:rStyle w:val="normaltextrun"/>
          <w:rFonts w:asciiTheme="minorHAnsi" w:hAnsiTheme="minorHAnsi" w:cstheme="minorHAnsi"/>
        </w:rPr>
        <w:t xml:space="preserve"> Tracy Rees</w:t>
      </w:r>
      <w:r w:rsidRPr="001A2956">
        <w:rPr>
          <w:rStyle w:val="normaltextrun"/>
          <w:rFonts w:asciiTheme="minorHAnsi" w:hAnsiTheme="minorHAnsi" w:cstheme="minorHAnsi"/>
          <w:vertAlign w:val="superscript"/>
        </w:rPr>
        <w:t>1</w:t>
      </w:r>
      <w:r w:rsidR="470C0214" w:rsidRPr="001A2956">
        <w:rPr>
          <w:rStyle w:val="normaltextrun"/>
          <w:rFonts w:asciiTheme="minorHAnsi" w:hAnsiTheme="minorHAnsi" w:cstheme="minorHAnsi"/>
          <w:vertAlign w:val="superscript"/>
        </w:rPr>
        <w:t>1</w:t>
      </w:r>
      <w:r w:rsidRPr="001A2956">
        <w:rPr>
          <w:rStyle w:val="normaltextrun"/>
          <w:rFonts w:asciiTheme="minorHAnsi" w:hAnsiTheme="minorHAnsi" w:cstheme="minorHAnsi"/>
        </w:rPr>
        <w:t xml:space="preserve"> Laura Pope</w:t>
      </w:r>
      <w:r w:rsidRPr="001A2956">
        <w:rPr>
          <w:rStyle w:val="normaltextrun"/>
          <w:rFonts w:asciiTheme="minorHAnsi" w:hAnsiTheme="minorHAnsi" w:cstheme="minorHAnsi"/>
          <w:vertAlign w:val="superscript"/>
        </w:rPr>
        <w:t>1</w:t>
      </w:r>
      <w:r w:rsidR="3B49BF74" w:rsidRPr="001A2956">
        <w:rPr>
          <w:rStyle w:val="normaltextrun"/>
          <w:rFonts w:asciiTheme="minorHAnsi" w:hAnsiTheme="minorHAnsi" w:cstheme="minorHAnsi"/>
          <w:vertAlign w:val="superscript"/>
        </w:rPr>
        <w:t>2</w:t>
      </w:r>
      <w:r w:rsidRPr="001A2956">
        <w:rPr>
          <w:rStyle w:val="normaltextrun"/>
          <w:rFonts w:asciiTheme="minorHAnsi" w:hAnsiTheme="minorHAnsi" w:cstheme="minorHAnsi"/>
          <w:vertAlign w:val="superscript"/>
        </w:rPr>
        <w:t xml:space="preserve"> </w:t>
      </w:r>
      <w:r w:rsidRPr="001A2956">
        <w:rPr>
          <w:rStyle w:val="normaltextrun"/>
          <w:rFonts w:asciiTheme="minorHAnsi" w:hAnsiTheme="minorHAnsi" w:cstheme="minorHAnsi"/>
        </w:rPr>
        <w:t>Charlotte Howell</w:t>
      </w:r>
      <w:r w:rsidRPr="001A2956">
        <w:rPr>
          <w:rStyle w:val="normaltextrun"/>
          <w:rFonts w:asciiTheme="minorHAnsi" w:hAnsiTheme="minorHAnsi" w:cstheme="minorHAnsi"/>
          <w:vertAlign w:val="superscript"/>
        </w:rPr>
        <w:t>1</w:t>
      </w:r>
      <w:r w:rsidR="489E1C3A" w:rsidRPr="001A2956">
        <w:rPr>
          <w:rStyle w:val="normaltextrun"/>
          <w:rFonts w:asciiTheme="minorHAnsi" w:hAnsiTheme="minorHAnsi" w:cstheme="minorHAnsi"/>
          <w:vertAlign w:val="superscript"/>
        </w:rPr>
        <w:t>3</w:t>
      </w:r>
      <w:r w:rsidRPr="001A2956">
        <w:rPr>
          <w:rStyle w:val="normaltextrun"/>
          <w:rFonts w:asciiTheme="minorHAnsi" w:hAnsiTheme="minorHAnsi" w:cstheme="minorHAnsi"/>
        </w:rPr>
        <w:t>,</w:t>
      </w:r>
      <w:r w:rsidR="00D22F0F">
        <w:rPr>
          <w:rStyle w:val="normaltextrun"/>
          <w:rFonts w:asciiTheme="minorHAnsi" w:hAnsiTheme="minorHAnsi" w:cstheme="minorHAnsi"/>
        </w:rPr>
        <w:t xml:space="preserve"> Lowri </w:t>
      </w:r>
      <w:r w:rsidR="00F13B99">
        <w:rPr>
          <w:rStyle w:val="normaltextrun"/>
          <w:rFonts w:asciiTheme="minorHAnsi" w:hAnsiTheme="minorHAnsi" w:cstheme="minorHAnsi"/>
        </w:rPr>
        <w:t>Sira-Parfitt</w:t>
      </w:r>
      <w:r w:rsidR="009E332E">
        <w:rPr>
          <w:rStyle w:val="normaltextrun"/>
          <w:rFonts w:asciiTheme="minorHAnsi" w:hAnsiTheme="minorHAnsi" w:cstheme="minorHAnsi"/>
          <w:vertAlign w:val="superscript"/>
        </w:rPr>
        <w:t>14</w:t>
      </w:r>
      <w:r w:rsidRPr="001A2956">
        <w:rPr>
          <w:rStyle w:val="normaltextrun"/>
          <w:rFonts w:asciiTheme="minorHAnsi" w:hAnsiTheme="minorHAnsi" w:cstheme="minorHAnsi"/>
        </w:rPr>
        <w:t xml:space="preserve"> Libby Potter</w:t>
      </w:r>
      <w:r w:rsidRPr="001A2956">
        <w:rPr>
          <w:rStyle w:val="normaltextrun"/>
          <w:rFonts w:asciiTheme="minorHAnsi" w:hAnsiTheme="minorHAnsi" w:cstheme="minorHAnsi"/>
          <w:vertAlign w:val="superscript"/>
        </w:rPr>
        <w:t>1</w:t>
      </w:r>
      <w:r w:rsidR="00897DD4">
        <w:rPr>
          <w:rStyle w:val="normaltextrun"/>
          <w:rFonts w:asciiTheme="minorHAnsi" w:hAnsiTheme="minorHAnsi" w:cstheme="minorHAnsi"/>
          <w:vertAlign w:val="superscript"/>
        </w:rPr>
        <w:t>5</w:t>
      </w:r>
    </w:p>
    <w:p w14:paraId="055EF9AA" w14:textId="77777777" w:rsidR="00F17E4E" w:rsidRPr="001A2956" w:rsidRDefault="00F17E4E" w:rsidP="00F17E4E">
      <w:pPr>
        <w:pStyle w:val="paragraph"/>
        <w:spacing w:before="0" w:beforeAutospacing="0" w:after="0" w:afterAutospacing="0"/>
        <w:textAlignment w:val="baseline"/>
        <w:rPr>
          <w:rFonts w:asciiTheme="minorHAnsi" w:hAnsiTheme="minorHAnsi" w:cstheme="minorHAnsi"/>
        </w:rPr>
      </w:pPr>
    </w:p>
    <w:p w14:paraId="5709ED2D" w14:textId="77777777" w:rsidR="00F17E4E" w:rsidRPr="001A2956" w:rsidRDefault="00F17E4E" w:rsidP="00F17E4E">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 xml:space="preserve">1 </w:t>
      </w:r>
      <w:r w:rsidRPr="001A2956">
        <w:rPr>
          <w:rStyle w:val="normaltextrun"/>
          <w:rFonts w:asciiTheme="minorHAnsi" w:hAnsiTheme="minorHAnsi" w:cstheme="minorHAnsi"/>
        </w:rPr>
        <w:t>Macmillan Senior Lecturer, University of the West of England, Bristol</w:t>
      </w:r>
      <w:r w:rsidRPr="001A2956">
        <w:rPr>
          <w:rStyle w:val="eop"/>
          <w:rFonts w:asciiTheme="minorHAnsi" w:hAnsiTheme="minorHAnsi" w:cstheme="minorHAnsi"/>
        </w:rPr>
        <w:t> </w:t>
      </w:r>
    </w:p>
    <w:p w14:paraId="32DCB83B" w14:textId="77777777" w:rsidR="00F17E4E" w:rsidRPr="001A2956" w:rsidRDefault="00F17E4E" w:rsidP="00F17E4E">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 xml:space="preserve">2 </w:t>
      </w:r>
      <w:r w:rsidRPr="001A2956">
        <w:rPr>
          <w:rStyle w:val="normaltextrun"/>
          <w:rFonts w:asciiTheme="minorHAnsi" w:hAnsiTheme="minorHAnsi" w:cstheme="minorHAnsi"/>
        </w:rPr>
        <w:t>Director of Practice and Care Partnerships/Professor of Cancer and Palliative Care, University of Huddersfield, Huddersfield</w:t>
      </w:r>
      <w:r w:rsidRPr="001A2956">
        <w:rPr>
          <w:rStyle w:val="eop"/>
          <w:rFonts w:asciiTheme="minorHAnsi" w:hAnsiTheme="minorHAnsi" w:cstheme="minorHAnsi"/>
        </w:rPr>
        <w:t> </w:t>
      </w:r>
    </w:p>
    <w:p w14:paraId="589483F4" w14:textId="49D3AD83" w:rsidR="00F17E4E" w:rsidRPr="001A2956" w:rsidRDefault="00F17E4E" w:rsidP="001A2956">
      <w:pPr>
        <w:pStyle w:val="Heading2"/>
        <w:spacing w:before="0"/>
        <w:textAlignment w:val="baseline"/>
        <w:rPr>
          <w:rStyle w:val="eop"/>
          <w:rFonts w:asciiTheme="minorHAnsi" w:hAnsiTheme="minorHAnsi" w:cstheme="minorHAnsi"/>
          <w:color w:val="auto"/>
          <w:sz w:val="24"/>
          <w:szCs w:val="24"/>
        </w:rPr>
      </w:pPr>
      <w:r w:rsidRPr="001A2956">
        <w:rPr>
          <w:rStyle w:val="normaltextrun"/>
          <w:rFonts w:asciiTheme="minorHAnsi" w:hAnsiTheme="minorHAnsi" w:cstheme="minorHAnsi"/>
          <w:color w:val="auto"/>
          <w:sz w:val="24"/>
          <w:szCs w:val="24"/>
          <w:vertAlign w:val="superscript"/>
        </w:rPr>
        <w:t>3</w:t>
      </w:r>
      <w:r w:rsidRPr="001A2956">
        <w:rPr>
          <w:rStyle w:val="eop"/>
          <w:rFonts w:asciiTheme="minorHAnsi" w:hAnsiTheme="minorHAnsi" w:cstheme="minorHAnsi"/>
          <w:color w:val="auto"/>
          <w:sz w:val="24"/>
          <w:szCs w:val="24"/>
        </w:rPr>
        <w:t> </w:t>
      </w:r>
      <w:r w:rsidR="4E400D83" w:rsidRPr="001A2956">
        <w:rPr>
          <w:rFonts w:asciiTheme="minorHAnsi" w:eastAsia="system-ui" w:hAnsiTheme="minorHAnsi" w:cstheme="minorHAnsi"/>
          <w:color w:val="auto"/>
          <w:sz w:val="24"/>
          <w:szCs w:val="24"/>
        </w:rPr>
        <w:t xml:space="preserve"> Strategic Lead for Applied Health Research, The Royal Marsden NHS Foundation Trust, London</w:t>
      </w:r>
    </w:p>
    <w:p w14:paraId="5496FD48" w14:textId="58B451E1" w:rsidR="00F17E4E" w:rsidRPr="001A2956" w:rsidRDefault="00F17E4E" w:rsidP="001A2956">
      <w:pPr>
        <w:pStyle w:val="paragraph"/>
        <w:spacing w:before="0" w:beforeAutospacing="0" w:after="0" w:afterAutospacing="0"/>
        <w:textAlignment w:val="baseline"/>
        <w:rPr>
          <w:rFonts w:asciiTheme="minorHAnsi" w:eastAsia="Open Sans" w:hAnsiTheme="minorHAnsi" w:cstheme="minorHAnsi"/>
        </w:rPr>
      </w:pPr>
      <w:r w:rsidRPr="001A2956">
        <w:rPr>
          <w:rStyle w:val="normaltextrun"/>
          <w:rFonts w:asciiTheme="minorHAnsi" w:hAnsiTheme="minorHAnsi" w:cstheme="minorHAnsi"/>
          <w:vertAlign w:val="superscript"/>
        </w:rPr>
        <w:t>4</w:t>
      </w:r>
      <w:r w:rsidRPr="001A2956">
        <w:rPr>
          <w:rStyle w:val="eop"/>
          <w:rFonts w:asciiTheme="minorHAnsi" w:hAnsiTheme="minorHAnsi" w:cstheme="minorHAnsi"/>
        </w:rPr>
        <w:t> </w:t>
      </w:r>
      <w:r w:rsidR="49520FC3" w:rsidRPr="001A2956">
        <w:rPr>
          <w:rFonts w:asciiTheme="minorHAnsi" w:eastAsia="Open Sans" w:hAnsiTheme="minorHAnsi" w:cstheme="minorHAnsi"/>
        </w:rPr>
        <w:t>Dean of Faculty Health Sciences &amp; Sport, University of Stirling</w:t>
      </w:r>
    </w:p>
    <w:p w14:paraId="3F7FA499" w14:textId="4A6E79D5" w:rsidR="00F17E4E" w:rsidRPr="001A2956" w:rsidRDefault="00F17E4E" w:rsidP="6573D7FA">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5</w:t>
      </w:r>
      <w:r w:rsidRPr="001A2956">
        <w:rPr>
          <w:rStyle w:val="eop"/>
          <w:rFonts w:asciiTheme="minorHAnsi" w:hAnsiTheme="minorHAnsi" w:cstheme="minorHAnsi"/>
        </w:rPr>
        <w:t> </w:t>
      </w:r>
      <w:r w:rsidR="2B570C5A" w:rsidRPr="001A2956">
        <w:rPr>
          <w:rStyle w:val="eop"/>
          <w:rFonts w:asciiTheme="minorHAnsi" w:hAnsiTheme="minorHAnsi" w:cstheme="minorHAnsi"/>
        </w:rPr>
        <w:t>Senior Lecturer, University of Chester</w:t>
      </w:r>
    </w:p>
    <w:p w14:paraId="1EDA5B93" w14:textId="65897898" w:rsidR="00F17E4E" w:rsidRPr="001A2956" w:rsidRDefault="00F17E4E" w:rsidP="1FC77FF4">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6</w:t>
      </w:r>
      <w:r w:rsidRPr="001A2956">
        <w:rPr>
          <w:rStyle w:val="eop"/>
          <w:rFonts w:asciiTheme="minorHAnsi" w:hAnsiTheme="minorHAnsi" w:cstheme="minorHAnsi"/>
        </w:rPr>
        <w:t> </w:t>
      </w:r>
      <w:r w:rsidR="336EDADD" w:rsidRPr="001A2956">
        <w:rPr>
          <w:rStyle w:val="eop"/>
          <w:rFonts w:asciiTheme="minorHAnsi" w:hAnsiTheme="minorHAnsi" w:cstheme="minorHAnsi"/>
        </w:rPr>
        <w:t>Lecturer, Florence Nightingale Faculty of Nursing, Midwifery and Palliative Care, King’s College London</w:t>
      </w:r>
    </w:p>
    <w:p w14:paraId="5B5532EE" w14:textId="48DBAE70" w:rsidR="0B85ECDA" w:rsidRPr="001A2956" w:rsidRDefault="38CF5C74" w:rsidP="6573D7FA">
      <w:pPr>
        <w:pStyle w:val="paragraph"/>
        <w:spacing w:before="0" w:beforeAutospacing="0" w:after="0" w:afterAutospacing="0"/>
        <w:rPr>
          <w:rStyle w:val="eop"/>
          <w:rFonts w:asciiTheme="minorHAnsi" w:hAnsiTheme="minorHAnsi" w:cstheme="minorHAnsi"/>
        </w:rPr>
      </w:pPr>
      <w:r w:rsidRPr="001A2956">
        <w:rPr>
          <w:rStyle w:val="eop"/>
          <w:rFonts w:asciiTheme="minorHAnsi" w:hAnsiTheme="minorHAnsi" w:cstheme="minorHAnsi"/>
          <w:vertAlign w:val="superscript"/>
        </w:rPr>
        <w:t xml:space="preserve">7 </w:t>
      </w:r>
      <w:r w:rsidR="0B85ECDA" w:rsidRPr="001A2956">
        <w:rPr>
          <w:rStyle w:val="eop"/>
          <w:rFonts w:asciiTheme="minorHAnsi" w:hAnsiTheme="minorHAnsi" w:cstheme="minorHAnsi"/>
        </w:rPr>
        <w:t xml:space="preserve">Senior Lecturer, Faculty of Nursing and Health Sciences, </w:t>
      </w:r>
      <w:r w:rsidR="084B851B" w:rsidRPr="001A2956">
        <w:rPr>
          <w:rStyle w:val="eop"/>
          <w:rFonts w:asciiTheme="minorHAnsi" w:hAnsiTheme="minorHAnsi" w:cstheme="minorHAnsi"/>
        </w:rPr>
        <w:t>The University of Sunderland</w:t>
      </w:r>
    </w:p>
    <w:p w14:paraId="39F7CFA6" w14:textId="18B61608" w:rsidR="00F17E4E" w:rsidRPr="001A2956" w:rsidRDefault="54615175" w:rsidP="0F4F76B8">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8</w:t>
      </w:r>
      <w:r w:rsidR="00F17E4E" w:rsidRPr="001A2956">
        <w:rPr>
          <w:rStyle w:val="normaltextrun"/>
          <w:rFonts w:asciiTheme="minorHAnsi" w:hAnsiTheme="minorHAnsi" w:cstheme="minorHAnsi"/>
          <w:vertAlign w:val="superscript"/>
        </w:rPr>
        <w:t xml:space="preserve"> </w:t>
      </w:r>
      <w:r w:rsidR="00F17E4E" w:rsidRPr="001A2956">
        <w:rPr>
          <w:rStyle w:val="normaltextrun"/>
          <w:rFonts w:asciiTheme="minorHAnsi" w:hAnsiTheme="minorHAnsi" w:cstheme="minorHAnsi"/>
        </w:rPr>
        <w:t>Head and Neck Oncology Dietitian, University College London Hospital NHS Foundation Trust</w:t>
      </w:r>
      <w:r w:rsidR="00F17E4E" w:rsidRPr="001A2956">
        <w:rPr>
          <w:rStyle w:val="eop"/>
          <w:rFonts w:asciiTheme="minorHAnsi" w:hAnsiTheme="minorHAnsi" w:cstheme="minorHAnsi"/>
        </w:rPr>
        <w:t> </w:t>
      </w:r>
    </w:p>
    <w:p w14:paraId="72E5E473" w14:textId="1C77FCF6" w:rsidR="00F17E4E" w:rsidRPr="001A2956" w:rsidRDefault="1C102518" w:rsidP="7D4B8C68">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9</w:t>
      </w:r>
      <w:r w:rsidR="00F17E4E" w:rsidRPr="001A2956">
        <w:rPr>
          <w:rStyle w:val="eop"/>
          <w:rFonts w:asciiTheme="minorHAnsi" w:hAnsiTheme="minorHAnsi" w:cstheme="minorHAnsi"/>
        </w:rPr>
        <w:t> </w:t>
      </w:r>
      <w:r w:rsidR="0ECF04AB" w:rsidRPr="001A2956">
        <w:rPr>
          <w:rStyle w:val="eop"/>
          <w:rFonts w:asciiTheme="minorHAnsi" w:hAnsiTheme="minorHAnsi" w:cstheme="minorHAnsi"/>
        </w:rPr>
        <w:t>Senior Lecturer, College of Health and Wellbeing, Sheffield Hallam University</w:t>
      </w:r>
    </w:p>
    <w:p w14:paraId="787A051D" w14:textId="42302ADB" w:rsidR="00F17E4E" w:rsidRPr="001A2956" w:rsidRDefault="149D568E" w:rsidP="0F4F76B8">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10</w:t>
      </w:r>
      <w:r w:rsidR="00F17E4E" w:rsidRPr="001A2956">
        <w:rPr>
          <w:rStyle w:val="normaltextrun"/>
          <w:rFonts w:asciiTheme="minorHAnsi" w:hAnsiTheme="minorHAnsi" w:cstheme="minorHAnsi"/>
          <w:vertAlign w:val="superscript"/>
        </w:rPr>
        <w:t xml:space="preserve"> </w:t>
      </w:r>
      <w:r w:rsidR="00F17E4E" w:rsidRPr="001A2956">
        <w:rPr>
          <w:rStyle w:val="normaltextrun"/>
          <w:rFonts w:asciiTheme="minorHAnsi" w:hAnsiTheme="minorHAnsi" w:cstheme="minorHAnsi"/>
        </w:rPr>
        <w:t>Senior Lecturer, School of Healthcare Sciences, Cardiff University.</w:t>
      </w:r>
      <w:r w:rsidR="00F17E4E" w:rsidRPr="001A2956">
        <w:rPr>
          <w:rStyle w:val="eop"/>
          <w:rFonts w:asciiTheme="minorHAnsi" w:hAnsiTheme="minorHAnsi" w:cstheme="minorHAnsi"/>
        </w:rPr>
        <w:t> </w:t>
      </w:r>
    </w:p>
    <w:p w14:paraId="7C2314C1" w14:textId="4CE8E3F5" w:rsidR="00F17E4E" w:rsidRPr="001A2956" w:rsidRDefault="00F17E4E" w:rsidP="0F4F76B8">
      <w:pPr>
        <w:pStyle w:val="paragraph"/>
        <w:spacing w:before="0" w:beforeAutospacing="0" w:after="0" w:afterAutospacing="0"/>
        <w:textAlignment w:val="baseline"/>
        <w:rPr>
          <w:rFonts w:asciiTheme="minorHAnsi" w:hAnsiTheme="minorHAnsi" w:cstheme="minorHAnsi"/>
        </w:rPr>
      </w:pPr>
      <w:r w:rsidRPr="001A2956">
        <w:rPr>
          <w:rStyle w:val="normaltextrun"/>
          <w:rFonts w:asciiTheme="minorHAnsi" w:hAnsiTheme="minorHAnsi" w:cstheme="minorHAnsi"/>
          <w:vertAlign w:val="superscript"/>
        </w:rPr>
        <w:t>1</w:t>
      </w:r>
      <w:r w:rsidR="498D29B5" w:rsidRPr="001A2956">
        <w:rPr>
          <w:rStyle w:val="normaltextrun"/>
          <w:rFonts w:asciiTheme="minorHAnsi" w:hAnsiTheme="minorHAnsi" w:cstheme="minorHAnsi"/>
          <w:vertAlign w:val="superscript"/>
        </w:rPr>
        <w:t>1</w:t>
      </w:r>
      <w:r w:rsidRPr="001A2956">
        <w:rPr>
          <w:rStyle w:val="normaltextrun"/>
          <w:rFonts w:asciiTheme="minorHAnsi" w:hAnsiTheme="minorHAnsi" w:cstheme="minorHAnsi"/>
          <w:vertAlign w:val="superscript"/>
        </w:rPr>
        <w:t xml:space="preserve"> </w:t>
      </w:r>
      <w:r w:rsidRPr="001A2956">
        <w:rPr>
          <w:rStyle w:val="normaltextrun"/>
          <w:rFonts w:asciiTheme="minorHAnsi" w:hAnsiTheme="minorHAnsi" w:cstheme="minorHAnsi"/>
        </w:rPr>
        <w:t>Lecturer, School of Healthcare Sciences, Cardiff University.</w:t>
      </w:r>
      <w:r w:rsidRPr="001A2956">
        <w:rPr>
          <w:rStyle w:val="eop"/>
          <w:rFonts w:asciiTheme="minorHAnsi" w:hAnsiTheme="minorHAnsi" w:cstheme="minorHAnsi"/>
        </w:rPr>
        <w:t> </w:t>
      </w:r>
    </w:p>
    <w:p w14:paraId="734F6832" w14:textId="715B80AD" w:rsidR="0027463C" w:rsidRPr="001A2956" w:rsidRDefault="7CA24063" w:rsidP="001A2956">
      <w:pPr>
        <w:pStyle w:val="paragraph"/>
        <w:spacing w:before="0" w:beforeAutospacing="0" w:after="0" w:afterAutospacing="0"/>
        <w:textAlignment w:val="baseline"/>
        <w:rPr>
          <w:rFonts w:asciiTheme="minorHAnsi" w:eastAsia="Arial" w:hAnsiTheme="minorHAnsi" w:cstheme="minorHAnsi"/>
        </w:rPr>
      </w:pPr>
      <w:r w:rsidRPr="001A2956">
        <w:rPr>
          <w:rStyle w:val="normaltextrun"/>
          <w:rFonts w:asciiTheme="minorHAnsi" w:hAnsiTheme="minorHAnsi" w:cstheme="minorHAnsi"/>
          <w:vertAlign w:val="superscript"/>
        </w:rPr>
        <w:t>1</w:t>
      </w:r>
      <w:r w:rsidR="001A2956" w:rsidRPr="001A2956">
        <w:rPr>
          <w:rStyle w:val="normaltextrun"/>
          <w:rFonts w:asciiTheme="minorHAnsi" w:hAnsiTheme="minorHAnsi" w:cstheme="minorHAnsi"/>
          <w:vertAlign w:val="superscript"/>
        </w:rPr>
        <w:t>2</w:t>
      </w:r>
      <w:r w:rsidRPr="001A2956">
        <w:rPr>
          <w:rStyle w:val="normaltextrun"/>
          <w:rFonts w:asciiTheme="minorHAnsi" w:hAnsiTheme="minorHAnsi" w:cstheme="minorHAnsi"/>
          <w:vertAlign w:val="superscript"/>
        </w:rPr>
        <w:t xml:space="preserve"> </w:t>
      </w:r>
      <w:r w:rsidR="5521B807" w:rsidRPr="001A2956">
        <w:rPr>
          <w:rFonts w:asciiTheme="minorHAnsi" w:eastAsia="Arial" w:hAnsiTheme="minorHAnsi" w:cstheme="minorHAnsi"/>
        </w:rPr>
        <w:t xml:space="preserve"> Senior Project Manager, Technology Enhanced Learning</w:t>
      </w:r>
      <w:r w:rsidR="00F17E4E" w:rsidRPr="001A2956">
        <w:rPr>
          <w:rFonts w:asciiTheme="minorHAnsi" w:hAnsiTheme="minorHAnsi" w:cstheme="minorHAnsi"/>
        </w:rPr>
        <w:br/>
      </w:r>
      <w:r w:rsidR="5521B807" w:rsidRPr="001A2956">
        <w:rPr>
          <w:rFonts w:asciiTheme="minorHAnsi" w:eastAsia="Arial" w:hAnsiTheme="minorHAnsi" w:cstheme="minorHAnsi"/>
        </w:rPr>
        <w:t xml:space="preserve"> NHS </w:t>
      </w:r>
      <w:r w:rsidR="001A2956" w:rsidRPr="001A2956">
        <w:rPr>
          <w:rFonts w:asciiTheme="minorHAnsi" w:eastAsia="Arial" w:hAnsiTheme="minorHAnsi" w:cstheme="minorHAnsi"/>
        </w:rPr>
        <w:t>England</w:t>
      </w:r>
    </w:p>
    <w:p w14:paraId="617BAC42" w14:textId="77777777" w:rsidR="001A2956" w:rsidRDefault="001A2956" w:rsidP="001A2956">
      <w:pPr>
        <w:pStyle w:val="paragraph"/>
        <w:spacing w:before="0" w:beforeAutospacing="0" w:after="0" w:afterAutospacing="0"/>
        <w:textAlignment w:val="baseline"/>
        <w:rPr>
          <w:rFonts w:asciiTheme="minorHAnsi" w:eastAsia="Arial" w:hAnsiTheme="minorHAnsi" w:cstheme="minorHAnsi"/>
        </w:rPr>
      </w:pPr>
      <w:r w:rsidRPr="001A2956">
        <w:rPr>
          <w:rFonts w:asciiTheme="minorHAnsi" w:eastAsia="Arial" w:hAnsiTheme="minorHAnsi" w:cstheme="minorHAnsi"/>
          <w:vertAlign w:val="superscript"/>
        </w:rPr>
        <w:t xml:space="preserve">13 </w:t>
      </w:r>
      <w:r w:rsidRPr="001A2956">
        <w:rPr>
          <w:rStyle w:val="normaltextrun"/>
          <w:rFonts w:asciiTheme="minorHAnsi" w:hAnsiTheme="minorHAnsi" w:cstheme="minorHAnsi"/>
        </w:rPr>
        <w:t xml:space="preserve">Learning designer, </w:t>
      </w:r>
      <w:r w:rsidRPr="001A2956">
        <w:rPr>
          <w:rFonts w:asciiTheme="minorHAnsi" w:eastAsia="Arial" w:hAnsiTheme="minorHAnsi" w:cstheme="minorHAnsi"/>
        </w:rPr>
        <w:t>Technology Enhanced Learning</w:t>
      </w:r>
      <w:r w:rsidRPr="001A2956">
        <w:rPr>
          <w:rFonts w:asciiTheme="minorHAnsi" w:hAnsiTheme="minorHAnsi" w:cstheme="minorHAnsi"/>
        </w:rPr>
        <w:br/>
      </w:r>
      <w:r w:rsidRPr="001A2956">
        <w:rPr>
          <w:rFonts w:asciiTheme="minorHAnsi" w:eastAsia="Arial" w:hAnsiTheme="minorHAnsi" w:cstheme="minorHAnsi"/>
        </w:rPr>
        <w:t xml:space="preserve"> NHS England</w:t>
      </w:r>
    </w:p>
    <w:p w14:paraId="543D81BF" w14:textId="61131EA2" w:rsidR="009E332E" w:rsidRPr="009E332E" w:rsidRDefault="009E332E" w:rsidP="001A2956">
      <w:pPr>
        <w:pStyle w:val="paragraph"/>
        <w:spacing w:before="0" w:beforeAutospacing="0" w:after="0" w:afterAutospacing="0"/>
        <w:textAlignment w:val="baseline"/>
        <w:rPr>
          <w:rFonts w:asciiTheme="minorHAnsi" w:eastAsia="Arial" w:hAnsiTheme="minorHAnsi" w:cstheme="minorHAnsi"/>
        </w:rPr>
      </w:pPr>
      <w:r>
        <w:rPr>
          <w:rFonts w:asciiTheme="minorHAnsi" w:eastAsia="Arial" w:hAnsiTheme="minorHAnsi" w:cstheme="minorHAnsi"/>
          <w:vertAlign w:val="superscript"/>
        </w:rPr>
        <w:t>14</w:t>
      </w:r>
      <w:r w:rsidR="00897DD4">
        <w:rPr>
          <w:rFonts w:asciiTheme="minorHAnsi" w:eastAsia="Arial" w:hAnsiTheme="minorHAnsi" w:cstheme="minorHAnsi"/>
        </w:rPr>
        <w:t>Programme Manager, ACCEND</w:t>
      </w:r>
    </w:p>
    <w:p w14:paraId="7B42E9D3" w14:textId="36B3EA9D" w:rsidR="00F17E4E" w:rsidRPr="00F17E4E" w:rsidRDefault="001A2956" w:rsidP="001A2956">
      <w:pPr>
        <w:rPr>
          <w:rFonts w:ascii="Segoe UI" w:hAnsi="Segoe UI" w:cs="Segoe UI"/>
        </w:rPr>
      </w:pPr>
      <w:r w:rsidRPr="001A2956">
        <w:rPr>
          <w:rFonts w:eastAsia="Arial"/>
          <w:vertAlign w:val="superscript"/>
        </w:rPr>
        <w:t>1</w:t>
      </w:r>
      <w:r w:rsidR="00897DD4">
        <w:rPr>
          <w:rFonts w:eastAsia="Arial"/>
          <w:vertAlign w:val="superscript"/>
        </w:rPr>
        <w:t>5</w:t>
      </w:r>
      <w:r w:rsidRPr="001A2956">
        <w:rPr>
          <w:rFonts w:eastAsia="Arial"/>
          <w:vertAlign w:val="superscript"/>
        </w:rPr>
        <w:t xml:space="preserve"> </w:t>
      </w:r>
      <w:r w:rsidRPr="001A2956">
        <w:rPr>
          <w:lang w:eastAsia="en-GB"/>
        </w:rPr>
        <w:t>Head of Portfolio for national teams, Workforce, Training and Education (WT&amp;E) at NHSE</w:t>
      </w:r>
    </w:p>
    <w:p w14:paraId="51114547" w14:textId="769F0BE0" w:rsidR="00F17E4E" w:rsidRDefault="00F17E4E" w:rsidP="00F17E4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Acknowledgment: </w:t>
      </w:r>
      <w:r>
        <w:rPr>
          <w:rStyle w:val="normaltextrun"/>
          <w:rFonts w:ascii="Calibri" w:hAnsi="Calibri" w:cs="Calibri"/>
        </w:rPr>
        <w:t>With thanks to the pre-registration students and allied health professionals who participated in the peer review of the online cancer resources.  We would like to acknowledge University of the West of England and the Aspirant Cancer Career and Education Development programme (ACCEND) for funding the development of these modules. </w:t>
      </w:r>
      <w:r>
        <w:rPr>
          <w:rStyle w:val="eop"/>
          <w:rFonts w:ascii="Calibri" w:hAnsi="Calibri" w:cs="Calibri"/>
        </w:rPr>
        <w:t> </w:t>
      </w:r>
    </w:p>
    <w:bookmarkEnd w:id="0"/>
    <w:p w14:paraId="4E977FB8" w14:textId="77777777" w:rsidR="0027463C" w:rsidRDefault="0027463C" w:rsidP="00F17E4E">
      <w:pPr>
        <w:pStyle w:val="paragraph"/>
        <w:spacing w:before="0" w:beforeAutospacing="0" w:after="0" w:afterAutospacing="0"/>
        <w:textAlignment w:val="baseline"/>
        <w:rPr>
          <w:rFonts w:ascii="Segoe UI" w:hAnsi="Segoe UI" w:cs="Segoe UI"/>
          <w:sz w:val="18"/>
          <w:szCs w:val="18"/>
        </w:rPr>
      </w:pPr>
    </w:p>
    <w:p w14:paraId="1E9B97ED" w14:textId="250B8CB0" w:rsidR="00F17E4E" w:rsidRDefault="00F17E4E" w:rsidP="00F17E4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Conflict of interest</w:t>
      </w:r>
      <w:r>
        <w:rPr>
          <w:rStyle w:val="normaltextrun"/>
          <w:rFonts w:ascii="Calibri" w:hAnsi="Calibri" w:cs="Calibri"/>
        </w:rPr>
        <w:t>: None. </w:t>
      </w:r>
    </w:p>
    <w:p w14:paraId="4721036B" w14:textId="77777777" w:rsidR="0027463C" w:rsidRDefault="0027463C" w:rsidP="00F17E4E">
      <w:pPr>
        <w:pStyle w:val="paragraph"/>
        <w:spacing w:before="0" w:beforeAutospacing="0" w:after="0" w:afterAutospacing="0"/>
        <w:textAlignment w:val="baseline"/>
        <w:rPr>
          <w:rFonts w:ascii="Segoe UI" w:hAnsi="Segoe UI" w:cs="Segoe UI"/>
          <w:sz w:val="18"/>
          <w:szCs w:val="18"/>
        </w:rPr>
      </w:pPr>
    </w:p>
    <w:p w14:paraId="588D04A6" w14:textId="77777777" w:rsidR="0027463C" w:rsidRDefault="0027463C" w:rsidP="00422E32">
      <w:pPr>
        <w:rPr>
          <w:rFonts w:cstheme="minorBidi"/>
          <w:b/>
          <w:bCs/>
          <w:color w:val="FF0000"/>
        </w:rPr>
        <w:sectPr w:rsidR="0027463C">
          <w:pgSz w:w="11906" w:h="16838"/>
          <w:pgMar w:top="1440" w:right="1440" w:bottom="1440" w:left="1440" w:header="708" w:footer="708" w:gutter="0"/>
          <w:cols w:space="708"/>
          <w:docGrid w:linePitch="360"/>
        </w:sectPr>
      </w:pPr>
    </w:p>
    <w:p w14:paraId="200DB973" w14:textId="22545297" w:rsidR="00422E32" w:rsidRDefault="00422E32" w:rsidP="00422E32">
      <w:pPr>
        <w:rPr>
          <w:rFonts w:cstheme="minorBidi"/>
          <w:b/>
          <w:bCs/>
          <w:color w:val="FF0000"/>
        </w:rPr>
      </w:pPr>
      <w:r>
        <w:rPr>
          <w:rFonts w:cstheme="minorBidi"/>
          <w:b/>
          <w:bCs/>
          <w:color w:val="FF0000"/>
        </w:rPr>
        <w:lastRenderedPageBreak/>
        <w:t>Abstract</w:t>
      </w:r>
    </w:p>
    <w:p w14:paraId="3BA8CDD1" w14:textId="2E55C84C" w:rsidR="00422E32" w:rsidRDefault="00422E32" w:rsidP="28DD7E7E">
      <w:pPr>
        <w:spacing w:line="360" w:lineRule="auto"/>
        <w:rPr>
          <w:rFonts w:cstheme="minorBidi"/>
          <w:sz w:val="22"/>
          <w:szCs w:val="22"/>
        </w:rPr>
      </w:pPr>
      <w:r w:rsidRPr="6573D7FA">
        <w:rPr>
          <w:rFonts w:cstheme="minorBidi"/>
          <w:sz w:val="22"/>
          <w:szCs w:val="22"/>
        </w:rPr>
        <w:t>Cancer rates are increasing, and more people are living with cancer and its consequences.  Healthcare students will be caring for people affected by cancer in all clinical contexts.  However, pre-registration programmes can include limited cancer education</w:t>
      </w:r>
      <w:r w:rsidR="00096E1C" w:rsidRPr="6573D7FA">
        <w:rPr>
          <w:rFonts w:cstheme="minorBidi"/>
          <w:sz w:val="22"/>
          <w:szCs w:val="22"/>
        </w:rPr>
        <w:t xml:space="preserve"> </w:t>
      </w:r>
      <w:r w:rsidR="2488D429" w:rsidRPr="6573D7FA">
        <w:rPr>
          <w:rFonts w:cstheme="minorBidi"/>
          <w:sz w:val="22"/>
          <w:szCs w:val="22"/>
        </w:rPr>
        <w:t>and</w:t>
      </w:r>
      <w:r w:rsidR="00096E1C" w:rsidRPr="6573D7FA">
        <w:rPr>
          <w:rFonts w:cstheme="minorBidi"/>
          <w:sz w:val="22"/>
          <w:szCs w:val="22"/>
        </w:rPr>
        <w:t xml:space="preserve"> not all students will have </w:t>
      </w:r>
      <w:r w:rsidR="4E874874" w:rsidRPr="6573D7FA">
        <w:rPr>
          <w:rFonts w:cstheme="minorBidi"/>
          <w:sz w:val="22"/>
          <w:szCs w:val="22"/>
        </w:rPr>
        <w:t xml:space="preserve">the </w:t>
      </w:r>
      <w:r w:rsidR="00096E1C" w:rsidRPr="6573D7FA">
        <w:rPr>
          <w:rFonts w:cstheme="minorBidi"/>
          <w:sz w:val="22"/>
          <w:szCs w:val="22"/>
        </w:rPr>
        <w:t>opportunity for a clinical placement in a cancer setting.  T</w:t>
      </w:r>
      <w:r w:rsidRPr="6573D7FA">
        <w:rPr>
          <w:rFonts w:cstheme="minorBidi"/>
          <w:sz w:val="22"/>
          <w:szCs w:val="22"/>
        </w:rPr>
        <w:t xml:space="preserve">his can result in healthcare students feeling unprepared to care for people </w:t>
      </w:r>
      <w:r w:rsidR="00907BE7" w:rsidRPr="6573D7FA">
        <w:rPr>
          <w:rFonts w:cstheme="minorBidi"/>
          <w:sz w:val="22"/>
          <w:szCs w:val="22"/>
        </w:rPr>
        <w:t>affected by</w:t>
      </w:r>
      <w:r w:rsidRPr="6573D7FA">
        <w:rPr>
          <w:rFonts w:cstheme="minorBidi"/>
          <w:sz w:val="22"/>
          <w:szCs w:val="22"/>
        </w:rPr>
        <w:t xml:space="preserve"> cancer.  </w:t>
      </w:r>
      <w:r w:rsidR="009E0026" w:rsidRPr="6573D7FA">
        <w:rPr>
          <w:rFonts w:cstheme="minorBidi"/>
          <w:sz w:val="22"/>
          <w:szCs w:val="22"/>
        </w:rPr>
        <w:t>To address this need, n</w:t>
      </w:r>
      <w:r w:rsidR="005A2AF6" w:rsidRPr="6573D7FA">
        <w:rPr>
          <w:rFonts w:cstheme="minorBidi"/>
          <w:sz w:val="22"/>
          <w:szCs w:val="22"/>
        </w:rPr>
        <w:t>in</w:t>
      </w:r>
      <w:r w:rsidRPr="6573D7FA">
        <w:rPr>
          <w:rFonts w:cstheme="minorBidi"/>
          <w:sz w:val="22"/>
          <w:szCs w:val="22"/>
        </w:rPr>
        <w:t>e</w:t>
      </w:r>
      <w:r w:rsidR="0017041E" w:rsidRPr="6573D7FA">
        <w:rPr>
          <w:rFonts w:cstheme="minorBidi"/>
          <w:sz w:val="22"/>
          <w:szCs w:val="22"/>
        </w:rPr>
        <w:t xml:space="preserve"> e-</w:t>
      </w:r>
      <w:r w:rsidRPr="6573D7FA">
        <w:rPr>
          <w:rFonts w:cstheme="minorBidi"/>
          <w:sz w:val="22"/>
          <w:szCs w:val="22"/>
        </w:rPr>
        <w:t>learning modules</w:t>
      </w:r>
      <w:r w:rsidR="008C360E" w:rsidRPr="6573D7FA">
        <w:rPr>
          <w:rFonts w:cstheme="minorBidi"/>
          <w:sz w:val="22"/>
          <w:szCs w:val="22"/>
        </w:rPr>
        <w:t xml:space="preserve">, collectively called the Foundations of Cancer Care, </w:t>
      </w:r>
      <w:r w:rsidRPr="6573D7FA">
        <w:rPr>
          <w:rFonts w:cstheme="minorBidi"/>
          <w:sz w:val="22"/>
          <w:szCs w:val="22"/>
        </w:rPr>
        <w:t>have been developed</w:t>
      </w:r>
      <w:r w:rsidR="005A2AF6" w:rsidRPr="6573D7FA">
        <w:rPr>
          <w:rFonts w:cstheme="minorBidi"/>
          <w:sz w:val="22"/>
          <w:szCs w:val="22"/>
        </w:rPr>
        <w:t xml:space="preserve"> to support students’ knowledge, understanding and confidence about cancer</w:t>
      </w:r>
      <w:r w:rsidR="00096E1C" w:rsidRPr="6573D7FA">
        <w:rPr>
          <w:rFonts w:cstheme="minorBidi"/>
          <w:sz w:val="22"/>
          <w:szCs w:val="22"/>
        </w:rPr>
        <w:t xml:space="preserve">.   This paper outlines the development and peer review of the </w:t>
      </w:r>
      <w:r w:rsidR="008C360E" w:rsidRPr="6573D7FA">
        <w:rPr>
          <w:rFonts w:cstheme="minorBidi"/>
          <w:sz w:val="22"/>
          <w:szCs w:val="22"/>
        </w:rPr>
        <w:t>Foundations of Cancer Care</w:t>
      </w:r>
      <w:r w:rsidR="00096E1C" w:rsidRPr="6573D7FA">
        <w:rPr>
          <w:rFonts w:cstheme="minorBidi"/>
          <w:sz w:val="22"/>
          <w:szCs w:val="22"/>
        </w:rPr>
        <w:t>. The resultant modules will be freely available to all those with an Open Athens account or NHS or UK university email address via the NHS Learning Hub (</w:t>
      </w:r>
      <w:hyperlink r:id="rId9">
        <w:r w:rsidR="00096E1C" w:rsidRPr="6573D7FA">
          <w:rPr>
            <w:rStyle w:val="Hyperlink"/>
            <w:rFonts w:cstheme="minorBidi"/>
            <w:sz w:val="22"/>
            <w:szCs w:val="22"/>
          </w:rPr>
          <w:t>https://learninghub.nhs.uk/</w:t>
        </w:r>
      </w:hyperlink>
      <w:r w:rsidR="00096E1C" w:rsidRPr="6573D7FA">
        <w:rPr>
          <w:rFonts w:cstheme="minorBidi"/>
          <w:sz w:val="22"/>
          <w:szCs w:val="22"/>
        </w:rPr>
        <w:t>) from Spring 2023.</w:t>
      </w:r>
    </w:p>
    <w:p w14:paraId="3E747E12" w14:textId="42863CB5" w:rsidR="00AD690B" w:rsidRDefault="00AD690B" w:rsidP="00AD690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FF0000"/>
        </w:rPr>
        <w:t xml:space="preserve">Key words </w:t>
      </w:r>
      <w:r w:rsidRPr="00AD690B">
        <w:rPr>
          <w:rStyle w:val="normaltextrun"/>
          <w:rFonts w:ascii="Calibri" w:hAnsi="Calibri" w:cs="Calibri"/>
          <w:i/>
          <w:iCs/>
          <w:sz w:val="22"/>
          <w:szCs w:val="22"/>
        </w:rPr>
        <w:t>Please provide 5–6 searchable terms.</w:t>
      </w:r>
      <w:r>
        <w:rPr>
          <w:rStyle w:val="eop"/>
          <w:rFonts w:ascii="Calibri" w:hAnsi="Calibri" w:cs="Calibri"/>
          <w:sz w:val="22"/>
          <w:szCs w:val="22"/>
        </w:rPr>
        <w:t> </w:t>
      </w:r>
    </w:p>
    <w:p w14:paraId="32D3D661" w14:textId="77777777" w:rsidR="00AD690B" w:rsidRDefault="00AD690B" w:rsidP="00AD690B">
      <w:pPr>
        <w:pStyle w:val="paragraph"/>
        <w:spacing w:before="0" w:beforeAutospacing="0" w:after="0" w:afterAutospacing="0"/>
        <w:textAlignment w:val="baseline"/>
        <w:rPr>
          <w:rFonts w:ascii="Segoe UI" w:hAnsi="Segoe UI" w:cs="Segoe UI"/>
          <w:sz w:val="18"/>
          <w:szCs w:val="18"/>
        </w:rPr>
      </w:pPr>
    </w:p>
    <w:p w14:paraId="16154D70" w14:textId="64393CD8" w:rsidR="00AD690B" w:rsidRDefault="00AD690B" w:rsidP="7D4B8C68">
      <w:pPr>
        <w:pStyle w:val="paragraph"/>
        <w:spacing w:before="0" w:beforeAutospacing="0" w:after="0" w:afterAutospacing="0"/>
        <w:textAlignment w:val="baseline"/>
        <w:rPr>
          <w:rFonts w:ascii="Segoe UI" w:hAnsi="Segoe UI" w:cs="Segoe UI"/>
          <w:sz w:val="18"/>
          <w:szCs w:val="18"/>
        </w:rPr>
      </w:pPr>
      <w:r w:rsidRPr="6573D7FA">
        <w:rPr>
          <w:rStyle w:val="normaltextrun"/>
          <w:rFonts w:ascii="Calibri" w:hAnsi="Calibri" w:cs="Calibri"/>
          <w:sz w:val="22"/>
          <w:szCs w:val="22"/>
        </w:rPr>
        <w:t xml:space="preserve">Cancer, student, pre-registration, e-learning, evaluation, </w:t>
      </w:r>
      <w:r w:rsidR="00AE1191">
        <w:rPr>
          <w:rStyle w:val="normaltextrun"/>
          <w:rFonts w:ascii="Calibri" w:hAnsi="Calibri" w:cs="Calibri"/>
          <w:sz w:val="22"/>
          <w:szCs w:val="22"/>
        </w:rPr>
        <w:t xml:space="preserve">education </w:t>
      </w:r>
      <w:r w:rsidRPr="6573D7FA">
        <w:rPr>
          <w:rStyle w:val="normaltextrun"/>
          <w:rFonts w:ascii="Calibri" w:hAnsi="Calibri" w:cs="Calibri"/>
          <w:sz w:val="22"/>
          <w:szCs w:val="22"/>
        </w:rPr>
        <w:t>peer review</w:t>
      </w:r>
      <w:r w:rsidRPr="6573D7FA">
        <w:rPr>
          <w:rStyle w:val="eop"/>
          <w:rFonts w:ascii="Calibri" w:hAnsi="Calibri" w:cs="Calibri"/>
          <w:sz w:val="22"/>
          <w:szCs w:val="22"/>
        </w:rPr>
        <w:t> </w:t>
      </w:r>
    </w:p>
    <w:p w14:paraId="4929F8AE" w14:textId="07097680" w:rsidR="00AD690B" w:rsidRDefault="00AD690B" w:rsidP="00422E32">
      <w:pPr>
        <w:spacing w:line="360" w:lineRule="auto"/>
        <w:rPr>
          <w:rFonts w:cstheme="minorBidi"/>
          <w:sz w:val="22"/>
          <w:szCs w:val="22"/>
        </w:rPr>
      </w:pPr>
    </w:p>
    <w:p w14:paraId="1113C719" w14:textId="66FC9578" w:rsidR="00AD690B" w:rsidRPr="00216497" w:rsidRDefault="00AD690B" w:rsidP="00422E32">
      <w:pPr>
        <w:spacing w:line="360" w:lineRule="auto"/>
        <w:rPr>
          <w:rFonts w:cstheme="minorBidi"/>
          <w:b/>
          <w:bCs/>
          <w:color w:val="FF0000"/>
          <w:sz w:val="22"/>
          <w:szCs w:val="22"/>
        </w:rPr>
      </w:pPr>
      <w:r w:rsidRPr="00216497">
        <w:rPr>
          <w:rFonts w:cstheme="minorBidi"/>
          <w:b/>
          <w:bCs/>
          <w:color w:val="FF0000"/>
          <w:sz w:val="22"/>
          <w:szCs w:val="22"/>
        </w:rPr>
        <w:t xml:space="preserve">Key </w:t>
      </w:r>
      <w:r w:rsidR="00216497" w:rsidRPr="00216497">
        <w:rPr>
          <w:rFonts w:cstheme="minorBidi"/>
          <w:b/>
          <w:bCs/>
          <w:color w:val="FF0000"/>
          <w:sz w:val="22"/>
          <w:szCs w:val="22"/>
        </w:rPr>
        <w:t>points</w:t>
      </w:r>
    </w:p>
    <w:p w14:paraId="02FEFA42" w14:textId="15EF25A0" w:rsidR="00216497" w:rsidRPr="005020BF" w:rsidRDefault="00216497" w:rsidP="005020BF">
      <w:pPr>
        <w:pStyle w:val="ListParagraph"/>
        <w:numPr>
          <w:ilvl w:val="0"/>
          <w:numId w:val="5"/>
        </w:numPr>
        <w:spacing w:line="360" w:lineRule="auto"/>
      </w:pPr>
      <w:r>
        <w:t xml:space="preserve">Pre-registration healthcare students can </w:t>
      </w:r>
      <w:r w:rsidR="00FB0AD3">
        <w:t xml:space="preserve">have </w:t>
      </w:r>
      <w:r w:rsidR="00ED7615">
        <w:t>limited access to specialist cancer e</w:t>
      </w:r>
      <w:r w:rsidR="0063200A">
        <w:t xml:space="preserve">ducation and cancer clinical placements </w:t>
      </w:r>
      <w:r w:rsidR="004A4DBA">
        <w:t>during</w:t>
      </w:r>
      <w:r w:rsidR="0063200A">
        <w:t xml:space="preserve"> their pre-</w:t>
      </w:r>
      <w:r w:rsidR="00267DA4">
        <w:t xml:space="preserve">registration </w:t>
      </w:r>
      <w:r w:rsidR="0063200A">
        <w:t>programmes</w:t>
      </w:r>
      <w:r w:rsidR="00267DA4">
        <w:t xml:space="preserve"> and  can</w:t>
      </w:r>
      <w:r w:rsidR="614A89A7">
        <w:t>, therefore,</w:t>
      </w:r>
      <w:r w:rsidR="00267DA4">
        <w:t xml:space="preserve"> feel</w:t>
      </w:r>
      <w:r w:rsidR="0063200A">
        <w:t xml:space="preserve"> </w:t>
      </w:r>
      <w:r>
        <w:t xml:space="preserve">unprepared to care </w:t>
      </w:r>
      <w:r w:rsidR="62F601DB">
        <w:t>for</w:t>
      </w:r>
      <w:r>
        <w:t xml:space="preserve"> people affected by cancer</w:t>
      </w:r>
    </w:p>
    <w:p w14:paraId="6AF94FDB" w14:textId="77777777" w:rsidR="00940A61" w:rsidRDefault="00216497" w:rsidP="00422E32">
      <w:pPr>
        <w:pStyle w:val="ListParagraph"/>
        <w:numPr>
          <w:ilvl w:val="0"/>
          <w:numId w:val="5"/>
        </w:numPr>
        <w:spacing w:line="360" w:lineRule="auto"/>
      </w:pPr>
      <w:r w:rsidRPr="005020BF">
        <w:t>E-learning modules can be an effective method to increase students’ knowledge and understanding of cancer</w:t>
      </w:r>
    </w:p>
    <w:p w14:paraId="56C457D4" w14:textId="12832CFD" w:rsidR="00216497" w:rsidRPr="008912CD" w:rsidRDefault="005868BE" w:rsidP="00422E32">
      <w:pPr>
        <w:pStyle w:val="ListParagraph"/>
        <w:numPr>
          <w:ilvl w:val="0"/>
          <w:numId w:val="5"/>
        </w:numPr>
        <w:spacing w:line="360" w:lineRule="auto"/>
      </w:pPr>
      <w:r>
        <w:t>The use of e-learning</w:t>
      </w:r>
      <w:r w:rsidR="00940A61">
        <w:t xml:space="preserve"> in </w:t>
      </w:r>
      <w:r w:rsidR="005020BF">
        <w:t xml:space="preserve">conjunction with additional </w:t>
      </w:r>
      <w:r>
        <w:t xml:space="preserve">learning </w:t>
      </w:r>
      <w:r w:rsidR="00F765B1">
        <w:t xml:space="preserve">opportunities, such as </w:t>
      </w:r>
      <w:r w:rsidR="73FA1AB1">
        <w:t>supplementary</w:t>
      </w:r>
      <w:r w:rsidR="001F5355">
        <w:t xml:space="preserve"> reading</w:t>
      </w:r>
      <w:r w:rsidR="00D01AAA">
        <w:t xml:space="preserve">, </w:t>
      </w:r>
      <w:r w:rsidR="004816FD">
        <w:t>face to face sessions, discussion</w:t>
      </w:r>
      <w:r w:rsidR="00F933DD">
        <w:t>s</w:t>
      </w:r>
      <w:r w:rsidR="004816FD">
        <w:t>, action learning sets and mentorship are advocated</w:t>
      </w:r>
      <w:r w:rsidR="00F933DD">
        <w:t xml:space="preserve"> to deepen student</w:t>
      </w:r>
      <w:r w:rsidR="1B1BC430">
        <w:t>s’ knowledge and</w:t>
      </w:r>
      <w:r w:rsidR="00F933DD">
        <w:t xml:space="preserve"> understanding.</w:t>
      </w:r>
    </w:p>
    <w:p w14:paraId="4E5B128A" w14:textId="17F129CC" w:rsidR="008912CD" w:rsidRDefault="008912CD" w:rsidP="00422E32">
      <w:pPr>
        <w:rPr>
          <w:rFonts w:cstheme="minorBidi"/>
          <w:b/>
          <w:bCs/>
          <w:color w:val="FF0000"/>
        </w:rPr>
      </w:pPr>
      <w:r>
        <w:rPr>
          <w:rFonts w:cstheme="minorBidi"/>
          <w:b/>
          <w:bCs/>
          <w:color w:val="FF0000"/>
        </w:rPr>
        <w:t xml:space="preserve">Manuscript </w:t>
      </w:r>
    </w:p>
    <w:p w14:paraId="5EB3CEDF" w14:textId="16E31160" w:rsidR="00422E32" w:rsidRPr="00EC4275" w:rsidRDefault="00422E32" w:rsidP="00422E32">
      <w:pPr>
        <w:rPr>
          <w:rFonts w:cstheme="minorBidi"/>
          <w:b/>
          <w:bCs/>
          <w:color w:val="FF0000"/>
        </w:rPr>
      </w:pPr>
      <w:r w:rsidRPr="00EC4275">
        <w:rPr>
          <w:rFonts w:cstheme="minorBidi"/>
          <w:b/>
          <w:bCs/>
          <w:color w:val="FF0000"/>
        </w:rPr>
        <w:t xml:space="preserve">Background </w:t>
      </w:r>
    </w:p>
    <w:p w14:paraId="3314366D" w14:textId="78B8BA22" w:rsidR="00422E32" w:rsidRPr="00EC4275" w:rsidRDefault="00422E32" w:rsidP="00422E32">
      <w:pPr>
        <w:spacing w:line="360" w:lineRule="auto"/>
        <w:rPr>
          <w:rFonts w:ascii="Calibri" w:eastAsia="Calibri" w:hAnsi="Calibri" w:cs="Calibri"/>
          <w:sz w:val="22"/>
          <w:szCs w:val="22"/>
        </w:rPr>
      </w:pPr>
      <w:r w:rsidRPr="7D4B8C68">
        <w:rPr>
          <w:rFonts w:ascii="Calibri" w:eastAsia="Calibri" w:hAnsi="Calibri" w:cs="Calibri"/>
          <w:sz w:val="22"/>
          <w:szCs w:val="22"/>
        </w:rPr>
        <w:t xml:space="preserve">Cancer is the one of the leading causes of death worldwide and in the United Kingdom (Global Burden of Disease 2019, Cancer Collaboration et al., 2022).  Projections forecast the global disease burden of cancer will continue to rise over the next two decades (Foreman et al., 2018).  To sustain and secure the cancer care workforce, it is vital pre-registration programmes prepare healthcare students to care for people affected by cancer.  However, provision of cancer and end of life care education can be limited in nursing and allied health </w:t>
      </w:r>
      <w:r w:rsidR="417A67DE" w:rsidRPr="7D4B8C68">
        <w:rPr>
          <w:rFonts w:ascii="Calibri" w:eastAsia="Calibri" w:hAnsi="Calibri" w:cs="Calibri"/>
          <w:sz w:val="22"/>
          <w:szCs w:val="22"/>
        </w:rPr>
        <w:t>professionals'</w:t>
      </w:r>
      <w:r w:rsidRPr="7D4B8C68">
        <w:rPr>
          <w:rFonts w:ascii="Calibri" w:eastAsia="Calibri" w:hAnsi="Calibri" w:cs="Calibri"/>
          <w:sz w:val="22"/>
          <w:szCs w:val="22"/>
        </w:rPr>
        <w:t xml:space="preserve"> programmes </w:t>
      </w:r>
      <w:r w:rsidRPr="7D4B8C68">
        <w:rPr>
          <w:rFonts w:ascii="Calibri" w:eastAsia="Calibri" w:hAnsi="Calibri" w:cs="Calibri"/>
          <w:sz w:val="22"/>
          <w:szCs w:val="22"/>
        </w:rPr>
        <w:fldChar w:fldCharType="begin" w:fldLock="1"/>
      </w:r>
      <w:r w:rsidRPr="7D4B8C68">
        <w:rPr>
          <w:rFonts w:ascii="Calibri" w:eastAsia="Calibri" w:hAnsi="Calibri" w:cs="Calibri"/>
          <w:sz w:val="22"/>
          <w:szCs w:val="22"/>
        </w:rPr>
        <w:instrText>ADDIN CSL_CITATION {"citationItems":[{"id":"ITEM-1","itemData":{"DOI":"10.1016/j.xjep.2021.100453","ISSN":"24054526","abstract":"Aim: To identify if there are shortcomings in the current oncology knowledge being provided in allied health professional (AHP) training programmes, that could be influencing referral patterns to support services in cancer care. Methodology: A narrative review was conducted using the databases OVID Medline, Embase, AMED, APA PsycInfo and APA PsycArticles. Using relevant keywords, 54 publications were reviewed of which 24 were considered relevant and a further 15 publications were identified based on the dominant emerging themes. A total of 39 publications are included in the review. Results: Gaps in knowledge influencing referral were identified in five specific areas; Cancer-related fatigue; Nutrition; Psychosocial Wellbeing; Physical functionality and Palliative Care. Conclusion: A lack of cancer-specific education is a common reason cited for lack of referral to support services. Cancer-specific education, including focus on the five identified areas in this review, could be easily integrated into existing interprofessional education (IPE) curricula. Standardisation of this oncology IPE at a national and international level is recommended to enable evaluation of its impact on referral patterns to supportive services.","author":[{"dropping-particle":"","family":"Flood","given":"Terri","non-dropping-particle":"","parse-names":false,"suffix":""},{"dropping-particle":"","family":"Shepherd","given":"Paul","non-dropping-particle":"","parse-names":false,"suffix":""}],"container-title":"Journal of Interprofessional Education and Practice","id":"ITEM-1","issue":"June","issued":{"date-parts":[["2021"]]},"page":"100453","publisher":"Elsevier Inc.","title":"A narrative review exploring whether the standardisation of interprofessional oncology education in allied health professional (AHP) training programmes could improve referral rates to supportive services","type":"article-journal","volume":"24"},"uris":["http://www.mendeley.com/documents/?uuid=545728b3-2070-4415-835c-47d7a3321c69"]},{"id":"ITEM-2","itemData":{"DOI":"10.1016/j.nepr.2022.103447","ISSN":"14715953","PMID":"36099725","abstract":"Background: Clinicians delivering palliative care require the specific knowledge, skill and understanding to meet the needs of the dying. Research shows that undergraduate nursing students report feeling inadequately prepared to provide safe and effective palliative care. Objectives: To identify existing empirical evidence on generalist palliative care content within international undergraduate nursing curricula and to synthesize existing generalist palliative care topics. Design: An integrative systematic review was conducted and reported in accordance with Preferred Reporting Items for Systematic Reviews and Meta-Analysis (PRISMA) guidelines and registered with the International Prospective Register of Systematic Reviews (PROSPERO). Data sources: Keywords were searched in six electronic databases CINAHL, Medline, APA PsycINFO, SCOPUS, Cochran Library and ProQuest Nursing &amp; Allied Health Database, between January 2000 and February 2022. Review methods: Studies were selected as per a pre-determined inclusion and exclusion criteria. Methodological quality was appraised using the Mixed Methods Appraisal Tool (MMAT). Tabulation of the author, year, country, aim, participants and setting, method, generalist palliative care content topics, additional findings and limitations were compiled. A thematic analysis of the data was conducted to organise and categorise generalist palliative care topics into an additional table followed by a narrative synthesis. Results: Of the n = 1014 papers retrieved, n = 13 studies of varying methodological quality were included in the analysis (n = 8 quantitative descriptive, n = 5 mixed method). Most studies were published in high income countries with developed economies. Methods used to obtain data include survey, extraction of secondary data and expert consensus. Generalist palliative care topics were presented as a list reporting frequency taught/discussed/cited (n = 10), recommended competencies (n = 2), and teaching modules (n = 1). A large variety of topics were identified with differing levels of detail and clear differences in topics identified globally. Overall, the most frequently mentioned generalist palliative care topics were pain and symptom management (n = 12), grief loss &amp; bereavement (n = 12) and communication (n = 11). Conclusions: This review demonstrates for the first time that international primary research evidence on generalist palliative care content in undergraduate nursing curriculum is minimal, of va…","author":[{"dropping-particle":"","family":"Nilsson","given":"Sylvia","non-dropping-particle":"","parse-names":false,"suffix":""},{"dropping-particle":"","family":"Gibson","given":"Jo","non-dropping-particle":"","parse-names":false,"suffix":""},{"dropping-particle":"","family":"Paterson","given":"Catherine","non-dropping-particle":"","parse-names":false,"suffix":""},{"dropping-particle":"","family":"Crookes","given":"Patrick","non-dropping-particle":"","parse-names":false,"suffix":""}],"container-title":"Nurse Education in Practice","id":"ITEM-2","issue":"September","issued":{"date-parts":[["2022"]]},"page":"103447","publisher":"Elsevier Ltd","title":"Evidence informed generalist palliative care content for undergraduate nursing curriculum: An integrative review","type":"article-journal","volume":"64"},"uris":["http://www.mendeley.com/documents/?uuid=dbc5d9b0-233d-4fbd-89f3-72199372ce73"]}],"mendeley":{"formattedCitation":"(Nilsson &lt;i&gt;et al.&lt;/i&gt;, 2022; Flood and Shepherd, 2021)","plainTextFormattedCitation":"(Nilsson et al., 2022; Flood and Shepherd, 2021)","previouslyFormattedCitation":"(Nilsson &lt;i&gt;et al.&lt;/i&gt;, 2022; Flood and Shepherd, 2021)"},"properties":{"noteIndex":0},"schema":"https://github.com/citation-style-language/schema/raw/master/csl-citation.json"}</w:instrText>
      </w:r>
      <w:r w:rsidRPr="7D4B8C68">
        <w:rPr>
          <w:rFonts w:ascii="Calibri" w:eastAsia="Calibri" w:hAnsi="Calibri" w:cs="Calibri"/>
          <w:sz w:val="22"/>
          <w:szCs w:val="22"/>
        </w:rPr>
        <w:fldChar w:fldCharType="separate"/>
      </w:r>
      <w:r w:rsidRPr="7D4B8C68">
        <w:rPr>
          <w:rFonts w:ascii="Calibri" w:eastAsia="Calibri" w:hAnsi="Calibri" w:cs="Calibri"/>
          <w:noProof/>
          <w:sz w:val="22"/>
          <w:szCs w:val="22"/>
        </w:rPr>
        <w:t xml:space="preserve">(Nilsson </w:t>
      </w:r>
      <w:r w:rsidRPr="7D4B8C68">
        <w:rPr>
          <w:rFonts w:ascii="Calibri" w:eastAsia="Calibri" w:hAnsi="Calibri" w:cs="Calibri"/>
          <w:i/>
          <w:iCs/>
          <w:noProof/>
          <w:sz w:val="22"/>
          <w:szCs w:val="22"/>
        </w:rPr>
        <w:t>et al.</w:t>
      </w:r>
      <w:r w:rsidRPr="7D4B8C68">
        <w:rPr>
          <w:rFonts w:ascii="Calibri" w:eastAsia="Calibri" w:hAnsi="Calibri" w:cs="Calibri"/>
          <w:noProof/>
          <w:sz w:val="22"/>
          <w:szCs w:val="22"/>
        </w:rPr>
        <w:t>, 2022; Flood and Shepherd, 2021)</w:t>
      </w:r>
      <w:r w:rsidRPr="7D4B8C68">
        <w:rPr>
          <w:rFonts w:ascii="Calibri" w:eastAsia="Calibri" w:hAnsi="Calibri" w:cs="Calibri"/>
          <w:sz w:val="22"/>
          <w:szCs w:val="22"/>
        </w:rPr>
        <w:fldChar w:fldCharType="end"/>
      </w:r>
      <w:r w:rsidRPr="7D4B8C68">
        <w:rPr>
          <w:rFonts w:ascii="Calibri" w:eastAsia="Calibri" w:hAnsi="Calibri" w:cs="Calibri"/>
          <w:sz w:val="22"/>
          <w:szCs w:val="22"/>
        </w:rPr>
        <w:t xml:space="preserve">. </w:t>
      </w:r>
    </w:p>
    <w:p w14:paraId="2978BF47" w14:textId="4D61B2C9" w:rsidR="00422E32" w:rsidRPr="00EC4275" w:rsidRDefault="00422E32" w:rsidP="00422E32">
      <w:pPr>
        <w:spacing w:line="360" w:lineRule="auto"/>
        <w:rPr>
          <w:rFonts w:ascii="Calibri" w:eastAsia="Calibri" w:hAnsi="Calibri" w:cs="Calibri"/>
          <w:sz w:val="22"/>
          <w:szCs w:val="22"/>
        </w:rPr>
      </w:pPr>
      <w:r w:rsidRPr="28DD7E7E">
        <w:rPr>
          <w:rFonts w:ascii="Calibri" w:eastAsia="Calibri" w:hAnsi="Calibri" w:cs="Calibri"/>
          <w:sz w:val="22"/>
          <w:szCs w:val="22"/>
        </w:rPr>
        <w:lastRenderedPageBreak/>
        <w:t>In the UK, the Aspirant Cancer Career and Education Development programme (ACCEND) Framework outlines nationally agreed</w:t>
      </w:r>
      <w:r w:rsidRPr="28DD7E7E">
        <w:rPr>
          <w:rFonts w:cs="Arial"/>
          <w:sz w:val="22"/>
          <w:szCs w:val="22"/>
        </w:rPr>
        <w:t xml:space="preserve"> cancer </w:t>
      </w:r>
      <w:r w:rsidR="7F41E171" w:rsidRPr="28DD7E7E">
        <w:rPr>
          <w:rFonts w:cs="Arial"/>
          <w:sz w:val="22"/>
          <w:szCs w:val="22"/>
        </w:rPr>
        <w:t>focused</w:t>
      </w:r>
      <w:r w:rsidRPr="28DD7E7E">
        <w:rPr>
          <w:rFonts w:cs="Arial"/>
          <w:sz w:val="22"/>
          <w:szCs w:val="22"/>
        </w:rPr>
        <w:t xml:space="preserve"> learning outcomes and core cancer capabilities in practice (</w:t>
      </w:r>
      <w:proofErr w:type="spellStart"/>
      <w:r w:rsidRPr="28DD7E7E">
        <w:rPr>
          <w:rFonts w:cs="Arial"/>
          <w:sz w:val="22"/>
          <w:szCs w:val="22"/>
        </w:rPr>
        <w:t>CiPs</w:t>
      </w:r>
      <w:proofErr w:type="spellEnd"/>
      <w:r w:rsidRPr="28DD7E7E">
        <w:rPr>
          <w:rFonts w:cs="Arial"/>
          <w:sz w:val="22"/>
          <w:szCs w:val="22"/>
        </w:rPr>
        <w:t xml:space="preserve">) for pre-registration healthcare students </w:t>
      </w:r>
      <w:r w:rsidRPr="28DD7E7E">
        <w:rPr>
          <w:rFonts w:cs="Arial"/>
          <w:sz w:val="22"/>
          <w:szCs w:val="22"/>
        </w:rPr>
        <w:fldChar w:fldCharType="begin" w:fldLock="1"/>
      </w:r>
      <w:r w:rsidRPr="28DD7E7E">
        <w:rPr>
          <w:rFonts w:cs="Arial"/>
          <w:sz w:val="22"/>
          <w:szCs w:val="22"/>
        </w:rPr>
        <w:instrText>ADDIN CSL_CITATION {"citationItems":[{"id":"ITEM-1","itemData":{"DOI":"10.12968/bjon.2022.31.5.S3","ISSN":"20522819","PMID":"35271366","author":[{"dropping-particle":"","family":"Potter","given":"Libby","non-dropping-particle":"","parse-names":false,"suffix":""},{"dropping-particle":"","family":"Taylor","given":"Vanessa","non-dropping-particle":"","parse-names":false,"suffix":""}],"container-title":"British Journal of Nursing","id":"ITEM-1","issue":"5","issued":{"date-parts":[["2022"]]},"page":"S3","title":"Securing future cancer care","type":"article-journal","volume":"31"},"uris":["http://www.mendeley.com/documents/?uuid=5e634948-67be-4a88-ae4d-597d6477a2f3"]},{"id":"ITEM-2","itemData":{"author":[{"dropping-particle":"","family":"ACCEND","given":"","non-dropping-particle":"","parse-names":false,"suffix":""}],"id":"ITEM-2","issued":{"date-parts":[["2023"]]},"number-of-pages":"1-98","title":"The Aspirant Cancer Career and Education Development programme (ACCEND) Career Pathway , Core Cancer Capabilities and Education Framework for the Supportive , Assistive and Registered Nursing and Allied Health Professions Workforce","type":"report"},"uris":["http://www.mendeley.com/documents/?uuid=d03bdffa-9b3b-46db-821e-f2f9befcac85"]}],"mendeley":{"formattedCitation":"(ACCEND, 2023; Potter and Taylor, 2022)","plainTextFormattedCitation":"(ACCEND, 2023; Potter and Taylor, 2022)","previouslyFormattedCitation":"(ACCEND, 2023; Potter and Taylor, 2022)"},"properties":{"noteIndex":0},"schema":"https://github.com/citation-style-language/schema/raw/master/csl-citation.json"}</w:instrText>
      </w:r>
      <w:r w:rsidRPr="28DD7E7E">
        <w:rPr>
          <w:rFonts w:cs="Arial"/>
          <w:sz w:val="22"/>
          <w:szCs w:val="22"/>
        </w:rPr>
        <w:fldChar w:fldCharType="separate"/>
      </w:r>
      <w:r w:rsidRPr="28DD7E7E">
        <w:rPr>
          <w:rFonts w:cs="Arial"/>
          <w:noProof/>
          <w:sz w:val="22"/>
          <w:szCs w:val="22"/>
        </w:rPr>
        <w:t>(ACCEND, 2023; Potter and Taylor, 2022)</w:t>
      </w:r>
      <w:r w:rsidRPr="28DD7E7E">
        <w:rPr>
          <w:rFonts w:cs="Arial"/>
          <w:sz w:val="22"/>
          <w:szCs w:val="22"/>
        </w:rPr>
        <w:fldChar w:fldCharType="end"/>
      </w:r>
      <w:r w:rsidRPr="28DD7E7E">
        <w:rPr>
          <w:rFonts w:ascii="Calibri" w:eastAsia="Calibri" w:hAnsi="Calibri" w:cs="Calibri"/>
          <w:sz w:val="22"/>
          <w:szCs w:val="22"/>
        </w:rPr>
        <w:t xml:space="preserve">. To increase access to cancer education for pre-registration healthcare students, </w:t>
      </w:r>
      <w:r w:rsidR="005D2738" w:rsidRPr="28DD7E7E">
        <w:rPr>
          <w:rFonts w:ascii="Calibri" w:eastAsia="Calibri" w:hAnsi="Calibri" w:cs="Calibri"/>
          <w:sz w:val="22"/>
          <w:szCs w:val="22"/>
        </w:rPr>
        <w:t xml:space="preserve">and support implementation of the ACCEND framework, </w:t>
      </w:r>
      <w:r w:rsidRPr="28DD7E7E">
        <w:rPr>
          <w:rFonts w:ascii="Calibri" w:eastAsia="Calibri" w:hAnsi="Calibri" w:cs="Calibri"/>
          <w:sz w:val="22"/>
          <w:szCs w:val="22"/>
        </w:rPr>
        <w:t>nine e-learning modules, collectively called ‘The Foundations of Cancer Care’, have been developed.</w:t>
      </w:r>
      <w:r w:rsidR="003B7EE7" w:rsidRPr="28DD7E7E">
        <w:rPr>
          <w:rFonts w:ascii="Calibri" w:eastAsia="Calibri" w:hAnsi="Calibri" w:cs="Calibri"/>
          <w:sz w:val="22"/>
          <w:szCs w:val="22"/>
        </w:rPr>
        <w:t xml:space="preserve"> </w:t>
      </w:r>
      <w:r w:rsidRPr="28DD7E7E">
        <w:rPr>
          <w:rFonts w:ascii="Calibri" w:eastAsia="Calibri" w:hAnsi="Calibri" w:cs="Calibri"/>
          <w:sz w:val="22"/>
          <w:szCs w:val="22"/>
        </w:rPr>
        <w:t xml:space="preserve"> This paper outlines the development and peer review evaluation of the modules.</w:t>
      </w:r>
    </w:p>
    <w:p w14:paraId="184ECBCE" w14:textId="77777777" w:rsidR="00422E32" w:rsidRPr="00EC4275" w:rsidRDefault="00422E32" w:rsidP="00422E32">
      <w:pPr>
        <w:spacing w:line="360" w:lineRule="auto"/>
        <w:rPr>
          <w:rFonts w:cstheme="minorBidi"/>
          <w:b/>
          <w:bCs/>
          <w:color w:val="FF0000"/>
          <w:sz w:val="22"/>
          <w:szCs w:val="22"/>
        </w:rPr>
      </w:pPr>
      <w:r w:rsidRPr="00EC4275">
        <w:rPr>
          <w:rFonts w:cstheme="minorBidi"/>
          <w:b/>
          <w:bCs/>
          <w:color w:val="FF0000"/>
          <w:sz w:val="22"/>
          <w:szCs w:val="22"/>
        </w:rPr>
        <w:t xml:space="preserve">Development </w:t>
      </w:r>
    </w:p>
    <w:p w14:paraId="21ED5C7A" w14:textId="2736D0AD" w:rsidR="00422E32" w:rsidRPr="00EC4275" w:rsidRDefault="00422E32" w:rsidP="00422E32">
      <w:pPr>
        <w:spacing w:line="360" w:lineRule="auto"/>
        <w:rPr>
          <w:rFonts w:ascii="Calibri" w:eastAsia="Calibri" w:hAnsi="Calibri" w:cs="Calibri"/>
          <w:color w:val="000000" w:themeColor="text1"/>
          <w:sz w:val="22"/>
          <w:szCs w:val="22"/>
        </w:rPr>
      </w:pPr>
      <w:r w:rsidRPr="2BBA1E4C">
        <w:rPr>
          <w:rFonts w:ascii="Calibri" w:eastAsia="Calibri" w:hAnsi="Calibri" w:cs="Calibri"/>
          <w:color w:val="000000" w:themeColor="text1"/>
          <w:sz w:val="22"/>
          <w:szCs w:val="22"/>
        </w:rPr>
        <w:t xml:space="preserve">Following review of existing e-learning resources, </w:t>
      </w:r>
      <w:r w:rsidR="008B2B78" w:rsidRPr="2BBA1E4C">
        <w:rPr>
          <w:rFonts w:ascii="Calibri" w:eastAsia="Calibri" w:hAnsi="Calibri" w:cs="Calibri"/>
          <w:color w:val="000000" w:themeColor="text1"/>
          <w:sz w:val="22"/>
          <w:szCs w:val="22"/>
        </w:rPr>
        <w:t>a</w:t>
      </w:r>
      <w:r w:rsidRPr="2BBA1E4C">
        <w:rPr>
          <w:rFonts w:ascii="Calibri" w:eastAsia="Calibri" w:hAnsi="Calibri" w:cs="Calibri"/>
          <w:color w:val="000000" w:themeColor="text1"/>
          <w:sz w:val="22"/>
          <w:szCs w:val="22"/>
        </w:rPr>
        <w:t xml:space="preserve"> programme called Cancer Nursing Careers was identified on the Health Education England (HEE) e-Learning for Healthcare (e-</w:t>
      </w:r>
      <w:proofErr w:type="spellStart"/>
      <w:r w:rsidRPr="2BBA1E4C">
        <w:rPr>
          <w:rFonts w:ascii="Calibri" w:eastAsia="Calibri" w:hAnsi="Calibri" w:cs="Calibri"/>
          <w:color w:val="000000" w:themeColor="text1"/>
          <w:sz w:val="22"/>
          <w:szCs w:val="22"/>
        </w:rPr>
        <w:t>LfH</w:t>
      </w:r>
      <w:proofErr w:type="spellEnd"/>
      <w:r w:rsidRPr="2BBA1E4C">
        <w:rPr>
          <w:rFonts w:ascii="Calibri" w:eastAsia="Calibri" w:hAnsi="Calibri" w:cs="Calibri"/>
          <w:color w:val="000000" w:themeColor="text1"/>
          <w:sz w:val="22"/>
          <w:szCs w:val="22"/>
        </w:rPr>
        <w:t>) platform.  Cancer Nursing Careers consists of eight modules aligned to the Royal College of Nursing (2017) Career and Education Framework for Cancer Nursing.  With permission from the original authors, the Cancer Nursing Careers module</w:t>
      </w:r>
      <w:r w:rsidR="62034E82" w:rsidRPr="2BBA1E4C">
        <w:rPr>
          <w:rFonts w:ascii="Calibri" w:eastAsia="Calibri" w:hAnsi="Calibri" w:cs="Calibri"/>
          <w:color w:val="000000" w:themeColor="text1"/>
          <w:sz w:val="22"/>
          <w:szCs w:val="22"/>
        </w:rPr>
        <w:t>s</w:t>
      </w:r>
      <w:r w:rsidRPr="2BBA1E4C">
        <w:rPr>
          <w:rFonts w:ascii="Calibri" w:eastAsia="Calibri" w:hAnsi="Calibri" w:cs="Calibri"/>
          <w:color w:val="000000" w:themeColor="text1"/>
          <w:sz w:val="22"/>
          <w:szCs w:val="22"/>
        </w:rPr>
        <w:t xml:space="preserve"> were revised, renewed and rewritten for a pre-registration audience to meet the learning outcomes outlined in the ACCEND Framework (</w:t>
      </w:r>
      <w:r w:rsidR="00AE1191">
        <w:rPr>
          <w:rFonts w:ascii="Calibri" w:eastAsia="Calibri" w:hAnsi="Calibri" w:cs="Calibri"/>
          <w:color w:val="000000" w:themeColor="text1"/>
          <w:sz w:val="22"/>
          <w:szCs w:val="22"/>
        </w:rPr>
        <w:t>Health Education England</w:t>
      </w:r>
      <w:r w:rsidRPr="2BBA1E4C">
        <w:rPr>
          <w:rFonts w:ascii="Calibri" w:eastAsia="Calibri" w:hAnsi="Calibri" w:cs="Calibri"/>
          <w:color w:val="000000" w:themeColor="text1"/>
          <w:sz w:val="22"/>
          <w:szCs w:val="22"/>
        </w:rPr>
        <w:t xml:space="preserve">, 2023).  This was undertaken by a team of UK nurses and allied health professionals who work in Higher Education Institutions (HEIs) and are cancer specialists in pre-registration curricula and pedagogy.    </w:t>
      </w:r>
    </w:p>
    <w:p w14:paraId="2A018877" w14:textId="77777777" w:rsidR="00422E32" w:rsidRPr="00EC4275" w:rsidRDefault="00422E32" w:rsidP="00422E32">
      <w:p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Modules were adapted to</w:t>
      </w:r>
      <w:r w:rsidRPr="00EC4275">
        <w:rPr>
          <w:rFonts w:ascii="Calibri" w:eastAsia="Calibri" w:hAnsi="Calibri" w:cs="Calibri"/>
          <w:color w:val="000000" w:themeColor="text1"/>
          <w:sz w:val="22"/>
          <w:szCs w:val="22"/>
        </w:rPr>
        <w:t xml:space="preserve"> include perspectives of nursing and allied health professionals </w:t>
      </w:r>
      <w:r>
        <w:rPr>
          <w:rFonts w:ascii="Calibri" w:eastAsia="Calibri" w:hAnsi="Calibri" w:cs="Calibri"/>
          <w:color w:val="000000" w:themeColor="text1"/>
          <w:sz w:val="22"/>
          <w:szCs w:val="22"/>
        </w:rPr>
        <w:t>and</w:t>
      </w:r>
      <w:r w:rsidRPr="00EC4275">
        <w:rPr>
          <w:rFonts w:ascii="Calibri" w:eastAsia="Calibri" w:hAnsi="Calibri" w:cs="Calibri"/>
          <w:color w:val="000000" w:themeColor="text1"/>
          <w:sz w:val="22"/>
          <w:szCs w:val="22"/>
        </w:rPr>
        <w:t xml:space="preserve"> to develop learning at an appropriate level for pre-registration students.   This included the development of reflective questions and recommended workplace learning scenarios to help students understand how they could link theory to practice.    </w:t>
      </w:r>
    </w:p>
    <w:p w14:paraId="17DD1666"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b/>
          <w:bCs/>
          <w:color w:val="FF0000"/>
          <w:sz w:val="22"/>
          <w:szCs w:val="22"/>
        </w:rPr>
        <w:t>Peer review method</w:t>
      </w:r>
      <w:r w:rsidRPr="00EC4275">
        <w:rPr>
          <w:rFonts w:ascii="Calibri" w:eastAsia="Calibri" w:hAnsi="Calibri" w:cs="Calibri"/>
          <w:color w:val="FF0000"/>
          <w:sz w:val="22"/>
          <w:szCs w:val="22"/>
        </w:rPr>
        <w:t xml:space="preserve"> </w:t>
      </w:r>
    </w:p>
    <w:p w14:paraId="17B10061" w14:textId="77777777" w:rsidR="00422E32" w:rsidRPr="00EC4275" w:rsidRDefault="00422E32" w:rsidP="00422E32">
      <w:pPr>
        <w:spacing w:line="360" w:lineRule="auto"/>
        <w:rPr>
          <w:rFonts w:ascii="Calibri" w:eastAsia="Calibri" w:hAnsi="Calibri" w:cs="Calibri"/>
          <w:sz w:val="22"/>
          <w:szCs w:val="22"/>
        </w:rPr>
      </w:pPr>
      <w:r>
        <w:rPr>
          <w:rFonts w:ascii="Calibri" w:eastAsia="Calibri" w:hAnsi="Calibri" w:cs="Calibri"/>
          <w:sz w:val="22"/>
          <w:szCs w:val="22"/>
        </w:rPr>
        <w:t xml:space="preserve">Peer review and quality assurance was undertaken with students, healthcare professionals and technology enhanced learning experts to </w:t>
      </w:r>
      <w:r w:rsidRPr="00DC6E3E">
        <w:rPr>
          <w:rFonts w:ascii="Calibri" w:eastAsia="Calibri" w:hAnsi="Calibri" w:cs="Calibri"/>
          <w:sz w:val="22"/>
          <w:szCs w:val="22"/>
        </w:rPr>
        <w:t>ensure th</w:t>
      </w:r>
      <w:r>
        <w:rPr>
          <w:rFonts w:ascii="Calibri" w:eastAsia="Calibri" w:hAnsi="Calibri" w:cs="Calibri"/>
          <w:sz w:val="22"/>
          <w:szCs w:val="22"/>
        </w:rPr>
        <w:t>e</w:t>
      </w:r>
      <w:r w:rsidRPr="00DC6E3E">
        <w:rPr>
          <w:rFonts w:ascii="Calibri" w:eastAsia="Calibri" w:hAnsi="Calibri" w:cs="Calibri"/>
          <w:sz w:val="22"/>
          <w:szCs w:val="22"/>
        </w:rPr>
        <w:t xml:space="preserve"> </w:t>
      </w:r>
      <w:r>
        <w:rPr>
          <w:rFonts w:ascii="Calibri" w:eastAsia="Calibri" w:hAnsi="Calibri" w:cs="Calibri"/>
          <w:sz w:val="22"/>
          <w:szCs w:val="22"/>
        </w:rPr>
        <w:t>learning</w:t>
      </w:r>
      <w:r w:rsidRPr="00DC6E3E">
        <w:rPr>
          <w:rFonts w:ascii="Calibri" w:eastAsia="Calibri" w:hAnsi="Calibri" w:cs="Calibri"/>
          <w:sz w:val="22"/>
          <w:szCs w:val="22"/>
        </w:rPr>
        <w:t xml:space="preserve"> was relevant and fit for purpose.  </w:t>
      </w:r>
    </w:p>
    <w:p w14:paraId="7C683AFD" w14:textId="0CCF4B8B" w:rsidR="00422E32" w:rsidRPr="00EC4275" w:rsidRDefault="00422E32" w:rsidP="7D4B8C68">
      <w:pPr>
        <w:spacing w:line="360" w:lineRule="auto"/>
        <w:rPr>
          <w:rFonts w:cstheme="minorBidi"/>
          <w:sz w:val="22"/>
          <w:szCs w:val="22"/>
        </w:rPr>
      </w:pPr>
      <w:r w:rsidRPr="28DD7E7E">
        <w:rPr>
          <w:rFonts w:ascii="Calibri" w:eastAsia="Calibri" w:hAnsi="Calibri" w:cs="Calibri"/>
          <w:sz w:val="22"/>
          <w:szCs w:val="22"/>
        </w:rPr>
        <w:t xml:space="preserve">Twenty-five third year pre-registration nursing BSc nursing students at one English university were invited to complete the first three modules and an evaluation e-survey.  Ethical advice was obtained from the university Ethics Committee and the Chair confirmed that no ethical approval was required, and the evaluation could take place within standard module evaluation procedures.   The evaluation e-survey consisted of eight questions, adapted from the Kirkpatrick model of evaluation </w:t>
      </w:r>
      <w:r w:rsidRPr="28DD7E7E">
        <w:rPr>
          <w:rFonts w:ascii="Calibri" w:eastAsia="Calibri" w:hAnsi="Calibri" w:cs="Calibri"/>
          <w:sz w:val="22"/>
          <w:szCs w:val="22"/>
        </w:rPr>
        <w:fldChar w:fldCharType="begin" w:fldLock="1"/>
      </w:r>
      <w:r w:rsidRPr="28DD7E7E">
        <w:rPr>
          <w:rFonts w:ascii="Calibri" w:eastAsia="Calibri" w:hAnsi="Calibri" w:cs="Calibri"/>
          <w:sz w:val="22"/>
          <w:szCs w:val="22"/>
        </w:rPr>
        <w:instrText>ADDIN CSL_CITATION {"citationItems":[{"id":"ITEM-1","itemData":{"abstract":"Around the world, training and development is in a state of crisis. Training budgets are among the first to be cut when economic times get tough. Whether you're one of the in-house survivors or a struggling consultant, you can no longer coast on lofty notions about continuous learning and employee development. You need to provide compelling evidence that training delivers bottom-line results and contributes to mission accomplishment. Training must reinvent itself and transcend the classroom to earn its budget and maintain its existence. Savvy business professionals and enlightened organizations know that training has no value unless what is learned gets applied on the job, and the subsequent on-the-job performance contributes to key organizational outcomes.","author":[{"dropping-particle":"","family":"Kirkpatrick","given":"Jim","non-dropping-particle":"","parse-names":false,"suffix":""},{"dropping-particle":"","family":"Kirkpatrick","given":"Wendy","non-dropping-particle":"","parse-names":false,"suffix":""}],"container-title":"Krikpatrick Partners","id":"ITEM-1","issued":{"date-parts":[["2019"]]},"page":"1-13","title":"An introduction to the new world Kirkpatrick model","type":"article-journal"},"uris":["http://www.mendeley.com/documents/?uuid=a1761ac0-31cf-4a8b-a2d2-9dd0a2062b00"]}],"mendeley":{"formattedCitation":"(Kirkpatrick and Kirkpatrick, 2019)","plainTextFormattedCitation":"(Kirkpatrick and Kirkpatrick, 2019)"},"properties":{"noteIndex":0},"schema":"https://github.com/citation-style-language/schema/raw/master/csl-citation.json"}</w:instrText>
      </w:r>
      <w:r w:rsidRPr="28DD7E7E">
        <w:rPr>
          <w:rFonts w:ascii="Calibri" w:eastAsia="Calibri" w:hAnsi="Calibri" w:cs="Calibri"/>
          <w:sz w:val="22"/>
          <w:szCs w:val="22"/>
        </w:rPr>
        <w:fldChar w:fldCharType="separate"/>
      </w:r>
      <w:r w:rsidRPr="28DD7E7E">
        <w:rPr>
          <w:rFonts w:ascii="Calibri" w:eastAsia="Calibri" w:hAnsi="Calibri" w:cs="Calibri"/>
          <w:noProof/>
          <w:sz w:val="22"/>
          <w:szCs w:val="22"/>
        </w:rPr>
        <w:t>(Kirkpatrick and Kirkpatrick, 2019)</w:t>
      </w:r>
      <w:r w:rsidRPr="28DD7E7E">
        <w:rPr>
          <w:rFonts w:ascii="Calibri" w:eastAsia="Calibri" w:hAnsi="Calibri" w:cs="Calibri"/>
          <w:sz w:val="22"/>
          <w:szCs w:val="22"/>
        </w:rPr>
        <w:fldChar w:fldCharType="end"/>
      </w:r>
      <w:r w:rsidRPr="28DD7E7E">
        <w:rPr>
          <w:rFonts w:ascii="Calibri" w:eastAsia="Calibri" w:hAnsi="Calibri" w:cs="Calibri"/>
          <w:sz w:val="22"/>
          <w:szCs w:val="22"/>
        </w:rPr>
        <w:t>. This included Likert scale response</w:t>
      </w:r>
      <w:r w:rsidR="1421BA5C" w:rsidRPr="28DD7E7E">
        <w:rPr>
          <w:rFonts w:ascii="Calibri" w:eastAsia="Calibri" w:hAnsi="Calibri" w:cs="Calibri"/>
          <w:sz w:val="22"/>
          <w:szCs w:val="22"/>
        </w:rPr>
        <w:t>s</w:t>
      </w:r>
      <w:r w:rsidRPr="28DD7E7E">
        <w:rPr>
          <w:rFonts w:ascii="Calibri" w:eastAsia="Calibri" w:hAnsi="Calibri" w:cs="Calibri"/>
          <w:sz w:val="22"/>
          <w:szCs w:val="22"/>
        </w:rPr>
        <w:t xml:space="preserve"> to elicit views on the modules and free text responses about what participants liked and thought could be improved.  Finally, participants were asked to rate their overall opinion of the modules from very poor, poor, neutral, good, very good. </w:t>
      </w:r>
    </w:p>
    <w:p w14:paraId="45ABED20" w14:textId="77777777" w:rsidR="00422E32" w:rsidRPr="00EC4275" w:rsidRDefault="00422E32" w:rsidP="6573D7FA">
      <w:pPr>
        <w:spacing w:line="360" w:lineRule="auto"/>
        <w:rPr>
          <w:rFonts w:cstheme="minorBidi"/>
          <w:sz w:val="22"/>
          <w:szCs w:val="22"/>
        </w:rPr>
      </w:pPr>
      <w:r w:rsidRPr="6573D7FA">
        <w:rPr>
          <w:rFonts w:ascii="Calibri" w:eastAsia="Calibri" w:hAnsi="Calibri" w:cs="Calibri"/>
          <w:sz w:val="22"/>
          <w:szCs w:val="22"/>
        </w:rPr>
        <w:lastRenderedPageBreak/>
        <w:t xml:space="preserve">Healthcare professionals with an interest in cancer care and pre-registration education were also asked to review the modules.  The healthcare professionals were sent links to the modules and the evaluation e-survey.        </w:t>
      </w:r>
    </w:p>
    <w:p w14:paraId="6FB4D025"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b/>
          <w:bCs/>
          <w:color w:val="FF0000"/>
          <w:sz w:val="22"/>
          <w:szCs w:val="22"/>
        </w:rPr>
        <w:t xml:space="preserve">Peer review results </w:t>
      </w:r>
    </w:p>
    <w:p w14:paraId="06A20E63" w14:textId="1444248C" w:rsidR="00422E32" w:rsidRPr="00EC4275" w:rsidRDefault="00422E32" w:rsidP="6573D7FA">
      <w:pPr>
        <w:spacing w:line="360" w:lineRule="auto"/>
        <w:jc w:val="both"/>
        <w:rPr>
          <w:rFonts w:ascii="Calibri" w:eastAsia="Calibri" w:hAnsi="Calibri" w:cs="Calibri"/>
          <w:sz w:val="22"/>
          <w:szCs w:val="22"/>
        </w:rPr>
      </w:pPr>
      <w:r w:rsidRPr="6573D7FA">
        <w:rPr>
          <w:rFonts w:ascii="Calibri" w:eastAsia="Calibri" w:hAnsi="Calibri" w:cs="Calibri"/>
          <w:sz w:val="22"/>
          <w:szCs w:val="22"/>
        </w:rPr>
        <w:t xml:space="preserve">In total, 19 students completed the survey.  Seven (36.8%) indicated no clinical experience of cancer care and seven (36.8%) had experienced a clinical placement in a cancer setting (table 1). </w:t>
      </w:r>
    </w:p>
    <w:p w14:paraId="120E91A8"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Table 1. Student nurse participant characteristics</w:t>
      </w:r>
    </w:p>
    <w:tbl>
      <w:tblPr>
        <w:tblStyle w:val="TableGrid"/>
        <w:tblW w:w="0" w:type="auto"/>
        <w:tblLayout w:type="fixed"/>
        <w:tblLook w:val="04A0" w:firstRow="1" w:lastRow="0" w:firstColumn="1" w:lastColumn="0" w:noHBand="0" w:noVBand="1"/>
      </w:tblPr>
      <w:tblGrid>
        <w:gridCol w:w="2115"/>
        <w:gridCol w:w="5385"/>
        <w:gridCol w:w="705"/>
        <w:gridCol w:w="705"/>
      </w:tblGrid>
      <w:tr w:rsidR="00422E32" w:rsidRPr="00EC4275" w14:paraId="3B70250F" w14:textId="77777777" w:rsidTr="0006358C">
        <w:trPr>
          <w:trHeight w:val="300"/>
        </w:trPr>
        <w:tc>
          <w:tcPr>
            <w:tcW w:w="75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F69B85" w14:textId="77777777" w:rsidR="00422E32" w:rsidRPr="00EC4275" w:rsidRDefault="00422E32" w:rsidP="0006358C">
            <w:pPr>
              <w:jc w:val="both"/>
            </w:pPr>
            <w:r w:rsidRPr="00EC4275">
              <w:rPr>
                <w:rFonts w:ascii="Calibri" w:eastAsia="Calibri" w:hAnsi="Calibri" w:cs="Calibri"/>
                <w:b/>
                <w:bCs/>
              </w:rPr>
              <w:t>Descriptors</w:t>
            </w:r>
          </w:p>
        </w:tc>
        <w:tc>
          <w:tcPr>
            <w:tcW w:w="705" w:type="dxa"/>
            <w:tcBorders>
              <w:top w:val="single" w:sz="8" w:space="0" w:color="auto"/>
              <w:left w:val="nil"/>
              <w:bottom w:val="single" w:sz="8" w:space="0" w:color="auto"/>
              <w:right w:val="single" w:sz="8" w:space="0" w:color="auto"/>
            </w:tcBorders>
            <w:tcMar>
              <w:left w:w="108" w:type="dxa"/>
              <w:right w:w="108" w:type="dxa"/>
            </w:tcMar>
          </w:tcPr>
          <w:p w14:paraId="36B90DB7" w14:textId="77777777" w:rsidR="00422E32" w:rsidRPr="00EC4275" w:rsidRDefault="00422E32" w:rsidP="0006358C">
            <w:pPr>
              <w:jc w:val="both"/>
            </w:pPr>
            <w:r w:rsidRPr="00EC4275">
              <w:rPr>
                <w:rFonts w:ascii="Calibri" w:eastAsia="Calibri" w:hAnsi="Calibri" w:cs="Calibri"/>
                <w:b/>
                <w:bCs/>
              </w:rPr>
              <w:t xml:space="preserve">n </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744FFB7F" w14:textId="77777777" w:rsidR="00422E32" w:rsidRPr="00EC4275" w:rsidRDefault="00422E32" w:rsidP="0006358C">
            <w:pPr>
              <w:jc w:val="both"/>
            </w:pPr>
            <w:r w:rsidRPr="00EC4275">
              <w:rPr>
                <w:rFonts w:ascii="Calibri" w:eastAsia="Calibri" w:hAnsi="Calibri" w:cs="Calibri"/>
                <w:b/>
                <w:bCs/>
              </w:rPr>
              <w:t>%</w:t>
            </w:r>
          </w:p>
        </w:tc>
      </w:tr>
      <w:tr w:rsidR="00422E32" w:rsidRPr="00EC4275" w14:paraId="062E26C0" w14:textId="77777777" w:rsidTr="0006358C">
        <w:trPr>
          <w:trHeight w:val="300"/>
        </w:trPr>
        <w:tc>
          <w:tcPr>
            <w:tcW w:w="211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84A75E8" w14:textId="77777777" w:rsidR="00422E32" w:rsidRPr="00EC4275" w:rsidRDefault="00422E32" w:rsidP="0006358C">
            <w:r w:rsidRPr="00EC4275">
              <w:rPr>
                <w:rFonts w:ascii="Calibri" w:eastAsia="Calibri" w:hAnsi="Calibri" w:cs="Calibri"/>
              </w:rPr>
              <w:t xml:space="preserve">Clinical experience of cancer care </w:t>
            </w:r>
            <w:r w:rsidRPr="00EC4275">
              <w:rPr>
                <w:rFonts w:ascii="Calibri" w:eastAsia="Calibri" w:hAnsi="Calibri" w:cs="Calibri"/>
                <w:i/>
                <w:iCs/>
              </w:rPr>
              <w:t>(participants were allowed to check more than one option)</w:t>
            </w:r>
          </w:p>
        </w:tc>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3B9A2DBB" w14:textId="77777777" w:rsidR="00422E32" w:rsidRPr="00EC4275" w:rsidRDefault="00422E32" w:rsidP="0006358C">
            <w:pPr>
              <w:jc w:val="both"/>
            </w:pPr>
            <w:r w:rsidRPr="00EC4275">
              <w:rPr>
                <w:rFonts w:ascii="Calibri" w:eastAsia="Calibri" w:hAnsi="Calibri" w:cs="Calibri"/>
              </w:rPr>
              <w:t>None</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24D940B8" w14:textId="77777777" w:rsidR="00422E32" w:rsidRPr="00EC4275" w:rsidRDefault="00422E32" w:rsidP="0006358C">
            <w:pPr>
              <w:jc w:val="both"/>
            </w:pPr>
            <w:r w:rsidRPr="00EC4275">
              <w:rPr>
                <w:rFonts w:ascii="Calibri" w:eastAsia="Calibri" w:hAnsi="Calibri" w:cs="Calibri"/>
              </w:rPr>
              <w:t>7</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3D9487E5" w14:textId="77777777" w:rsidR="00422E32" w:rsidRPr="00EC4275" w:rsidRDefault="00422E32" w:rsidP="0006358C">
            <w:pPr>
              <w:jc w:val="both"/>
            </w:pPr>
            <w:r w:rsidRPr="00EC4275">
              <w:rPr>
                <w:rFonts w:ascii="Calibri" w:eastAsia="Calibri" w:hAnsi="Calibri" w:cs="Calibri"/>
              </w:rPr>
              <w:t>36.8</w:t>
            </w:r>
          </w:p>
        </w:tc>
      </w:tr>
      <w:tr w:rsidR="00422E32" w:rsidRPr="00EC4275" w14:paraId="15C48980" w14:textId="77777777" w:rsidTr="0006358C">
        <w:trPr>
          <w:trHeight w:val="300"/>
        </w:trPr>
        <w:tc>
          <w:tcPr>
            <w:tcW w:w="2115" w:type="dxa"/>
            <w:vMerge/>
            <w:vAlign w:val="center"/>
          </w:tcPr>
          <w:p w14:paraId="33913CF6" w14:textId="77777777" w:rsidR="00422E32" w:rsidRPr="00EC4275" w:rsidRDefault="00422E32" w:rsidP="0006358C"/>
        </w:tc>
        <w:tc>
          <w:tcPr>
            <w:tcW w:w="5385" w:type="dxa"/>
            <w:tcBorders>
              <w:top w:val="single" w:sz="8" w:space="0" w:color="auto"/>
              <w:left w:val="nil"/>
              <w:bottom w:val="single" w:sz="8" w:space="0" w:color="auto"/>
              <w:right w:val="single" w:sz="8" w:space="0" w:color="auto"/>
            </w:tcBorders>
            <w:tcMar>
              <w:left w:w="108" w:type="dxa"/>
              <w:right w:w="108" w:type="dxa"/>
            </w:tcMar>
          </w:tcPr>
          <w:p w14:paraId="65DC7F75" w14:textId="77777777" w:rsidR="00422E32" w:rsidRPr="00EC4275" w:rsidRDefault="00422E32" w:rsidP="0006358C">
            <w:pPr>
              <w:jc w:val="both"/>
            </w:pPr>
            <w:r w:rsidRPr="00EC4275">
              <w:rPr>
                <w:rFonts w:ascii="Calibri" w:eastAsia="Calibri" w:hAnsi="Calibri" w:cs="Calibri"/>
                <w:color w:val="222222"/>
              </w:rPr>
              <w:t>I have had a clinical placement in a cancer service setting during my course</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5712A064" w14:textId="77777777" w:rsidR="00422E32" w:rsidRPr="00EC4275" w:rsidRDefault="00422E32" w:rsidP="0006358C">
            <w:pPr>
              <w:jc w:val="both"/>
            </w:pPr>
            <w:r w:rsidRPr="00EC4275">
              <w:rPr>
                <w:rFonts w:ascii="Calibri" w:eastAsia="Calibri" w:hAnsi="Calibri" w:cs="Calibri"/>
              </w:rPr>
              <w:t>7</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00A003F5" w14:textId="77777777" w:rsidR="00422E32" w:rsidRPr="00EC4275" w:rsidRDefault="00422E32" w:rsidP="0006358C">
            <w:pPr>
              <w:jc w:val="both"/>
            </w:pPr>
            <w:r w:rsidRPr="00EC4275">
              <w:rPr>
                <w:rFonts w:ascii="Calibri" w:eastAsia="Calibri" w:hAnsi="Calibri" w:cs="Calibri"/>
              </w:rPr>
              <w:t>36.8</w:t>
            </w:r>
          </w:p>
        </w:tc>
      </w:tr>
      <w:tr w:rsidR="00422E32" w:rsidRPr="00EC4275" w14:paraId="0CF835FE" w14:textId="77777777" w:rsidTr="0006358C">
        <w:trPr>
          <w:trHeight w:val="300"/>
        </w:trPr>
        <w:tc>
          <w:tcPr>
            <w:tcW w:w="2115" w:type="dxa"/>
            <w:vMerge/>
            <w:vAlign w:val="center"/>
          </w:tcPr>
          <w:p w14:paraId="2FDBAF85" w14:textId="77777777" w:rsidR="00422E32" w:rsidRPr="00EC4275" w:rsidRDefault="00422E32" w:rsidP="0006358C"/>
        </w:tc>
        <w:tc>
          <w:tcPr>
            <w:tcW w:w="5385" w:type="dxa"/>
            <w:tcBorders>
              <w:top w:val="single" w:sz="8" w:space="0" w:color="auto"/>
              <w:left w:val="nil"/>
              <w:bottom w:val="single" w:sz="8" w:space="0" w:color="auto"/>
              <w:right w:val="single" w:sz="8" w:space="0" w:color="auto"/>
            </w:tcBorders>
            <w:tcMar>
              <w:left w:w="108" w:type="dxa"/>
              <w:right w:w="108" w:type="dxa"/>
            </w:tcMar>
          </w:tcPr>
          <w:p w14:paraId="19E95341" w14:textId="77777777" w:rsidR="00422E32" w:rsidRPr="00EC4275" w:rsidRDefault="00422E32" w:rsidP="0006358C">
            <w:pPr>
              <w:jc w:val="both"/>
            </w:pPr>
            <w:r w:rsidRPr="00EC4275">
              <w:rPr>
                <w:rFonts w:ascii="Calibri" w:eastAsia="Calibri" w:hAnsi="Calibri" w:cs="Calibri"/>
                <w:color w:val="222222"/>
              </w:rPr>
              <w:t>I have not had a cancer specific placement during my course, but I have cared for people with cancer during my clinical placements</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272B9CD9" w14:textId="77777777" w:rsidR="00422E32" w:rsidRPr="00EC4275" w:rsidRDefault="00422E32" w:rsidP="0006358C">
            <w:pPr>
              <w:jc w:val="both"/>
            </w:pPr>
            <w:r w:rsidRPr="00EC4275">
              <w:rPr>
                <w:rFonts w:ascii="Calibri" w:eastAsia="Calibri" w:hAnsi="Calibri" w:cs="Calibri"/>
              </w:rPr>
              <w:t>7</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4F2D03D1" w14:textId="77777777" w:rsidR="00422E32" w:rsidRPr="00EC4275" w:rsidRDefault="00422E32" w:rsidP="0006358C">
            <w:pPr>
              <w:jc w:val="both"/>
            </w:pPr>
            <w:r w:rsidRPr="00EC4275">
              <w:rPr>
                <w:rFonts w:ascii="Calibri" w:eastAsia="Calibri" w:hAnsi="Calibri" w:cs="Calibri"/>
              </w:rPr>
              <w:t>36.8</w:t>
            </w:r>
          </w:p>
        </w:tc>
      </w:tr>
      <w:tr w:rsidR="00422E32" w:rsidRPr="00EC4275" w14:paraId="20A69EF9" w14:textId="77777777" w:rsidTr="0006358C">
        <w:trPr>
          <w:trHeight w:val="300"/>
        </w:trPr>
        <w:tc>
          <w:tcPr>
            <w:tcW w:w="2115" w:type="dxa"/>
            <w:vMerge/>
            <w:vAlign w:val="center"/>
          </w:tcPr>
          <w:p w14:paraId="293C10F7" w14:textId="77777777" w:rsidR="00422E32" w:rsidRPr="00EC4275" w:rsidRDefault="00422E32" w:rsidP="0006358C"/>
        </w:tc>
        <w:tc>
          <w:tcPr>
            <w:tcW w:w="5385" w:type="dxa"/>
            <w:tcBorders>
              <w:top w:val="single" w:sz="8" w:space="0" w:color="auto"/>
              <w:left w:val="nil"/>
              <w:bottom w:val="single" w:sz="8" w:space="0" w:color="auto"/>
              <w:right w:val="single" w:sz="8" w:space="0" w:color="auto"/>
            </w:tcBorders>
            <w:tcMar>
              <w:left w:w="108" w:type="dxa"/>
              <w:right w:w="108" w:type="dxa"/>
            </w:tcMar>
          </w:tcPr>
          <w:p w14:paraId="00639659" w14:textId="77777777" w:rsidR="00422E32" w:rsidRPr="00EC4275" w:rsidRDefault="00422E32" w:rsidP="0006358C">
            <w:pPr>
              <w:jc w:val="both"/>
            </w:pPr>
            <w:r w:rsidRPr="00EC4275">
              <w:rPr>
                <w:rFonts w:ascii="Calibri" w:eastAsia="Calibri" w:hAnsi="Calibri" w:cs="Calibri"/>
                <w:color w:val="222222"/>
              </w:rPr>
              <w:t>I have worked as a health care assistant in cancer services</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078B73CE" w14:textId="77777777" w:rsidR="00422E32" w:rsidRPr="00EC4275" w:rsidRDefault="00422E32" w:rsidP="0006358C">
            <w:pPr>
              <w:jc w:val="both"/>
            </w:pPr>
            <w:r w:rsidRPr="00EC4275">
              <w:rPr>
                <w:rFonts w:ascii="Calibri" w:eastAsia="Calibri" w:hAnsi="Calibri" w:cs="Calibri"/>
              </w:rPr>
              <w:t>2</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0BE66468" w14:textId="77777777" w:rsidR="00422E32" w:rsidRPr="00EC4275" w:rsidRDefault="00422E32" w:rsidP="0006358C">
            <w:pPr>
              <w:jc w:val="both"/>
            </w:pPr>
            <w:r w:rsidRPr="00EC4275">
              <w:rPr>
                <w:rFonts w:ascii="Calibri" w:eastAsia="Calibri" w:hAnsi="Calibri" w:cs="Calibri"/>
              </w:rPr>
              <w:t>10.5</w:t>
            </w:r>
          </w:p>
        </w:tc>
      </w:tr>
      <w:tr w:rsidR="00422E32" w:rsidRPr="00EC4275" w14:paraId="4086875C" w14:textId="77777777" w:rsidTr="0006358C">
        <w:trPr>
          <w:trHeight w:val="300"/>
        </w:trPr>
        <w:tc>
          <w:tcPr>
            <w:tcW w:w="2115" w:type="dxa"/>
            <w:vMerge/>
            <w:vAlign w:val="center"/>
          </w:tcPr>
          <w:p w14:paraId="332D7FB1" w14:textId="77777777" w:rsidR="00422E32" w:rsidRPr="00EC4275" w:rsidRDefault="00422E32" w:rsidP="0006358C"/>
        </w:tc>
        <w:tc>
          <w:tcPr>
            <w:tcW w:w="5385" w:type="dxa"/>
            <w:tcBorders>
              <w:top w:val="single" w:sz="8" w:space="0" w:color="auto"/>
              <w:left w:val="nil"/>
              <w:bottom w:val="single" w:sz="8" w:space="0" w:color="auto"/>
              <w:right w:val="single" w:sz="8" w:space="0" w:color="auto"/>
            </w:tcBorders>
            <w:tcMar>
              <w:left w:w="108" w:type="dxa"/>
              <w:right w:w="108" w:type="dxa"/>
            </w:tcMar>
          </w:tcPr>
          <w:p w14:paraId="738875F3" w14:textId="77777777" w:rsidR="00422E32" w:rsidRPr="00EC4275" w:rsidRDefault="00422E32" w:rsidP="0006358C">
            <w:pPr>
              <w:jc w:val="both"/>
            </w:pPr>
            <w:r w:rsidRPr="00EC4275">
              <w:rPr>
                <w:rFonts w:ascii="Calibri" w:eastAsia="Calibri" w:hAnsi="Calibri" w:cs="Calibri"/>
                <w:color w:val="222222"/>
              </w:rPr>
              <w:t>I have cared for people with cancer whilst working as a health care assistant in a non- cancer setting</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5521E483" w14:textId="77777777" w:rsidR="00422E32" w:rsidRPr="00EC4275" w:rsidRDefault="00422E32" w:rsidP="0006358C">
            <w:pPr>
              <w:jc w:val="both"/>
            </w:pPr>
            <w:r w:rsidRPr="00EC4275">
              <w:rPr>
                <w:rFonts w:ascii="Calibri" w:eastAsia="Calibri" w:hAnsi="Calibri" w:cs="Calibri"/>
              </w:rPr>
              <w:t>3</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10484B89" w14:textId="77777777" w:rsidR="00422E32" w:rsidRPr="00EC4275" w:rsidRDefault="00422E32" w:rsidP="0006358C">
            <w:pPr>
              <w:jc w:val="both"/>
            </w:pPr>
            <w:r w:rsidRPr="00EC4275">
              <w:rPr>
                <w:rFonts w:ascii="Calibri" w:eastAsia="Calibri" w:hAnsi="Calibri" w:cs="Calibri"/>
              </w:rPr>
              <w:t>15.8</w:t>
            </w:r>
          </w:p>
        </w:tc>
      </w:tr>
    </w:tbl>
    <w:p w14:paraId="04039DEE"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b/>
          <w:bCs/>
          <w:sz w:val="22"/>
          <w:szCs w:val="22"/>
          <w:highlight w:val="yellow"/>
        </w:rPr>
        <w:t xml:space="preserve"> </w:t>
      </w:r>
    </w:p>
    <w:p w14:paraId="19CE6E35" w14:textId="0791C746" w:rsidR="00422E32" w:rsidRPr="00EC4275" w:rsidRDefault="00422E32" w:rsidP="00422E32">
      <w:pPr>
        <w:spacing w:line="360" w:lineRule="auto"/>
        <w:rPr>
          <w:rFonts w:ascii="Calibri" w:eastAsia="Calibri" w:hAnsi="Calibri" w:cs="Calibri"/>
          <w:sz w:val="22"/>
          <w:szCs w:val="22"/>
        </w:rPr>
      </w:pPr>
      <w:r w:rsidRPr="6573D7FA">
        <w:rPr>
          <w:rFonts w:ascii="Calibri" w:eastAsia="Calibri" w:hAnsi="Calibri" w:cs="Calibri"/>
          <w:sz w:val="22"/>
          <w:szCs w:val="22"/>
        </w:rPr>
        <w:t>Overall, 18 (94.7%) students rated the modules as very good (n-10, 52.6%) or good (n-8, 42</w:t>
      </w:r>
      <w:r w:rsidR="430F3A73" w:rsidRPr="6573D7FA">
        <w:rPr>
          <w:rFonts w:ascii="Calibri" w:eastAsia="Calibri" w:hAnsi="Calibri" w:cs="Calibri"/>
          <w:sz w:val="22"/>
          <w:szCs w:val="22"/>
        </w:rPr>
        <w:t>.</w:t>
      </w:r>
      <w:r w:rsidRPr="6573D7FA">
        <w:rPr>
          <w:rFonts w:ascii="Calibri" w:eastAsia="Calibri" w:hAnsi="Calibri" w:cs="Calibri"/>
          <w:sz w:val="22"/>
          <w:szCs w:val="22"/>
        </w:rPr>
        <w:t>1%) and one (5.3%) did not answer.  Almost all (n-18, 94.7%) agreed or strongly agreed the modules could increase pre-registration healthcare students’ knowledge and understanding of cancer and its treatment and could increase pre-registration healthcare students’ confidence about cancer care in practice (table 2). All students (n-19, 100%) agreed or strongly agreed the learning objectives were relevant to pre-registration healthcare students.  Almost three quarters (n-14, 73.7%) agreed or strongly agreed the content was written at the right level for pre- registration healthcare students, two (10.5%) disagreed and four (21.1 %) did not agree or disagree (table 3).</w:t>
      </w:r>
    </w:p>
    <w:p w14:paraId="1F66AA51" w14:textId="77777777" w:rsidR="00422E32" w:rsidRPr="00EC4275" w:rsidRDefault="00422E32" w:rsidP="00422E32">
      <w:pPr>
        <w:spacing w:line="360" w:lineRule="auto"/>
        <w:rPr>
          <w:rFonts w:cstheme="minorBidi"/>
          <w:sz w:val="22"/>
          <w:szCs w:val="22"/>
        </w:rPr>
        <w:sectPr w:rsidR="00422E32" w:rsidRPr="00EC4275">
          <w:pgSz w:w="11906" w:h="16838"/>
          <w:pgMar w:top="1440" w:right="1440" w:bottom="1440" w:left="1440" w:header="708" w:footer="708" w:gutter="0"/>
          <w:cols w:space="708"/>
          <w:docGrid w:linePitch="360"/>
        </w:sectPr>
      </w:pPr>
    </w:p>
    <w:p w14:paraId="40A0AEB5" w14:textId="77777777" w:rsidR="00422E32" w:rsidRPr="00EC4275" w:rsidRDefault="00422E32" w:rsidP="00422E32">
      <w:pPr>
        <w:spacing w:line="360" w:lineRule="auto"/>
        <w:rPr>
          <w:rFonts w:cstheme="minorBidi"/>
          <w:sz w:val="22"/>
          <w:szCs w:val="22"/>
        </w:rPr>
      </w:pPr>
    </w:p>
    <w:p w14:paraId="6F5B21F4"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b/>
          <w:bCs/>
          <w:sz w:val="22"/>
          <w:szCs w:val="22"/>
        </w:rPr>
        <w:t>Table 2: Levels of student agreement regarding modules</w:t>
      </w:r>
      <w:r>
        <w:rPr>
          <w:rFonts w:ascii="Calibri" w:eastAsia="Calibri" w:hAnsi="Calibri" w:cs="Calibri"/>
          <w:b/>
          <w:bCs/>
          <w:sz w:val="22"/>
          <w:szCs w:val="22"/>
        </w:rPr>
        <w:t xml:space="preserve"> content</w:t>
      </w:r>
    </w:p>
    <w:tbl>
      <w:tblPr>
        <w:tblStyle w:val="TableGrid"/>
        <w:tblW w:w="14449" w:type="dxa"/>
        <w:tblLayout w:type="fixed"/>
        <w:tblLook w:val="04A0" w:firstRow="1" w:lastRow="0" w:firstColumn="1" w:lastColumn="0" w:noHBand="0" w:noVBand="1"/>
      </w:tblPr>
      <w:tblGrid>
        <w:gridCol w:w="5093"/>
        <w:gridCol w:w="779"/>
        <w:gridCol w:w="780"/>
        <w:gridCol w:w="780"/>
        <w:gridCol w:w="779"/>
        <w:gridCol w:w="780"/>
        <w:gridCol w:w="780"/>
        <w:gridCol w:w="779"/>
        <w:gridCol w:w="780"/>
        <w:gridCol w:w="780"/>
        <w:gridCol w:w="779"/>
        <w:gridCol w:w="780"/>
        <w:gridCol w:w="780"/>
      </w:tblGrid>
      <w:tr w:rsidR="00422E32" w:rsidRPr="00EC4275" w14:paraId="029334A3" w14:textId="77777777" w:rsidTr="1FC77FF4">
        <w:trPr>
          <w:trHeight w:val="40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1632836E" w14:textId="77777777" w:rsidR="00422E32" w:rsidRPr="00EC4275" w:rsidRDefault="00422E32" w:rsidP="0006358C">
            <w:pPr>
              <w:jc w:val="both"/>
              <w:rPr>
                <w:sz w:val="18"/>
                <w:szCs w:val="18"/>
              </w:rPr>
            </w:pPr>
            <w:r w:rsidRPr="00EC4275">
              <w:rPr>
                <w:rFonts w:ascii="Calibri" w:eastAsia="Calibri" w:hAnsi="Calibri" w:cs="Calibri"/>
                <w:sz w:val="18"/>
                <w:szCs w:val="18"/>
              </w:rPr>
              <w:t xml:space="preserve"> </w:t>
            </w:r>
          </w:p>
        </w:tc>
        <w:tc>
          <w:tcPr>
            <w:tcW w:w="4678"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AE8DB1E" w14:textId="77777777" w:rsidR="00422E32" w:rsidRPr="00EC4275" w:rsidRDefault="00422E32" w:rsidP="0006358C">
            <w:pPr>
              <w:rPr>
                <w:sz w:val="18"/>
                <w:szCs w:val="18"/>
              </w:rPr>
            </w:pPr>
            <w:r w:rsidRPr="00EC4275">
              <w:rPr>
                <w:rFonts w:ascii="Calibri" w:eastAsia="Calibri" w:hAnsi="Calibri" w:cs="Calibri"/>
                <w:b/>
                <w:bCs/>
                <w:sz w:val="18"/>
                <w:szCs w:val="18"/>
              </w:rPr>
              <w:t>Pre-registration students</w:t>
            </w:r>
          </w:p>
        </w:tc>
        <w:tc>
          <w:tcPr>
            <w:tcW w:w="4678" w:type="dxa"/>
            <w:gridSpan w:val="6"/>
            <w:tcBorders>
              <w:top w:val="single" w:sz="8" w:space="0" w:color="auto"/>
              <w:left w:val="nil"/>
              <w:bottom w:val="single" w:sz="8" w:space="0" w:color="auto"/>
              <w:right w:val="single" w:sz="8" w:space="0" w:color="auto"/>
            </w:tcBorders>
            <w:tcMar>
              <w:left w:w="108" w:type="dxa"/>
              <w:right w:w="108" w:type="dxa"/>
            </w:tcMar>
          </w:tcPr>
          <w:p w14:paraId="422AE4AA" w14:textId="77777777" w:rsidR="00422E32" w:rsidRPr="00EC4275" w:rsidRDefault="00422E32" w:rsidP="0006358C">
            <w:pPr>
              <w:rPr>
                <w:sz w:val="18"/>
                <w:szCs w:val="18"/>
              </w:rPr>
            </w:pPr>
            <w:r w:rsidRPr="00EC4275">
              <w:rPr>
                <w:rFonts w:ascii="Calibri" w:eastAsia="Calibri" w:hAnsi="Calibri" w:cs="Calibri"/>
                <w:b/>
                <w:bCs/>
                <w:sz w:val="18"/>
                <w:szCs w:val="18"/>
              </w:rPr>
              <w:t>Healthcare professionals</w:t>
            </w:r>
          </w:p>
        </w:tc>
      </w:tr>
      <w:tr w:rsidR="00422E32" w:rsidRPr="00EC4275" w14:paraId="211E5097" w14:textId="77777777" w:rsidTr="1FC77FF4">
        <w:trPr>
          <w:trHeight w:val="85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645713C0" w14:textId="77777777" w:rsidR="00422E32" w:rsidRPr="00EC4275" w:rsidRDefault="00422E32" w:rsidP="0006358C">
            <w:pPr>
              <w:jc w:val="both"/>
              <w:rPr>
                <w:sz w:val="18"/>
                <w:szCs w:val="18"/>
              </w:rPr>
            </w:pPr>
            <w:r w:rsidRPr="00EC4275">
              <w:rPr>
                <w:rFonts w:ascii="Calibri" w:eastAsia="Calibri" w:hAnsi="Calibri" w:cs="Calibri"/>
                <w:sz w:val="18"/>
                <w:szCs w:val="18"/>
              </w:rPr>
              <w:t xml:space="preserve">Please state your level of agreement with the following statements. Do you think these modules could support pre-registration healthcare students to........ </w:t>
            </w:r>
          </w:p>
        </w:tc>
        <w:tc>
          <w:tcPr>
            <w:tcW w:w="155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9D91FA" w14:textId="77777777" w:rsidR="00422E32" w:rsidRPr="00EC4275" w:rsidRDefault="00422E32" w:rsidP="0006358C">
            <w:pPr>
              <w:rPr>
                <w:sz w:val="18"/>
                <w:szCs w:val="18"/>
              </w:rPr>
            </w:pPr>
            <w:r w:rsidRPr="00EC4275">
              <w:rPr>
                <w:rFonts w:ascii="Calibri" w:eastAsia="Calibri" w:hAnsi="Calibri" w:cs="Calibri"/>
                <w:sz w:val="18"/>
                <w:szCs w:val="18"/>
              </w:rPr>
              <w:t>Strongly disagree/</w:t>
            </w:r>
          </w:p>
          <w:p w14:paraId="66F623DF" w14:textId="77777777" w:rsidR="00422E32" w:rsidRPr="00EC4275" w:rsidRDefault="00422E32" w:rsidP="0006358C">
            <w:pPr>
              <w:rPr>
                <w:sz w:val="18"/>
                <w:szCs w:val="18"/>
              </w:rPr>
            </w:pPr>
            <w:r w:rsidRPr="00EC4275">
              <w:rPr>
                <w:rFonts w:ascii="Calibri" w:eastAsia="Calibri" w:hAnsi="Calibri" w:cs="Calibri"/>
                <w:sz w:val="18"/>
                <w:szCs w:val="18"/>
              </w:rPr>
              <w:t>disagree</w:t>
            </w:r>
          </w:p>
        </w:tc>
        <w:tc>
          <w:tcPr>
            <w:tcW w:w="1559" w:type="dxa"/>
            <w:gridSpan w:val="2"/>
            <w:tcBorders>
              <w:top w:val="nil"/>
              <w:left w:val="nil"/>
              <w:bottom w:val="single" w:sz="8" w:space="0" w:color="auto"/>
              <w:right w:val="single" w:sz="8" w:space="0" w:color="auto"/>
            </w:tcBorders>
            <w:tcMar>
              <w:left w:w="108" w:type="dxa"/>
              <w:right w:w="108" w:type="dxa"/>
            </w:tcMar>
          </w:tcPr>
          <w:p w14:paraId="0BCB0C30" w14:textId="77777777" w:rsidR="00422E32" w:rsidRPr="00EC4275" w:rsidRDefault="00422E32" w:rsidP="0006358C">
            <w:pPr>
              <w:rPr>
                <w:sz w:val="18"/>
                <w:szCs w:val="18"/>
              </w:rPr>
            </w:pPr>
            <w:r w:rsidRPr="00EC4275">
              <w:rPr>
                <w:rFonts w:ascii="Calibri" w:eastAsia="Calibri" w:hAnsi="Calibri" w:cs="Calibri"/>
                <w:sz w:val="18"/>
                <w:szCs w:val="18"/>
              </w:rPr>
              <w:t>Neither agree or</w:t>
            </w:r>
          </w:p>
          <w:p w14:paraId="079F4FAE" w14:textId="77777777" w:rsidR="00422E32" w:rsidRPr="00EC4275" w:rsidRDefault="00422E32" w:rsidP="0006358C">
            <w:pPr>
              <w:rPr>
                <w:sz w:val="18"/>
                <w:szCs w:val="18"/>
              </w:rPr>
            </w:pPr>
            <w:r w:rsidRPr="00EC4275">
              <w:rPr>
                <w:rFonts w:ascii="Calibri" w:eastAsia="Calibri" w:hAnsi="Calibri" w:cs="Calibri"/>
                <w:sz w:val="18"/>
                <w:szCs w:val="18"/>
              </w:rPr>
              <w:t xml:space="preserve"> disagree</w:t>
            </w:r>
          </w:p>
        </w:tc>
        <w:tc>
          <w:tcPr>
            <w:tcW w:w="1560" w:type="dxa"/>
            <w:gridSpan w:val="2"/>
            <w:tcBorders>
              <w:top w:val="nil"/>
              <w:left w:val="nil"/>
              <w:bottom w:val="single" w:sz="8" w:space="0" w:color="auto"/>
              <w:right w:val="single" w:sz="8" w:space="0" w:color="auto"/>
            </w:tcBorders>
            <w:tcMar>
              <w:left w:w="108" w:type="dxa"/>
              <w:right w:w="108" w:type="dxa"/>
            </w:tcMar>
          </w:tcPr>
          <w:p w14:paraId="05C06935" w14:textId="77777777" w:rsidR="00422E32" w:rsidRPr="00EC4275" w:rsidRDefault="00422E32" w:rsidP="0006358C">
            <w:pPr>
              <w:rPr>
                <w:sz w:val="18"/>
                <w:szCs w:val="18"/>
              </w:rPr>
            </w:pPr>
            <w:r w:rsidRPr="00EC4275">
              <w:rPr>
                <w:rFonts w:ascii="Calibri" w:eastAsia="Calibri" w:hAnsi="Calibri" w:cs="Calibri"/>
                <w:sz w:val="18"/>
                <w:szCs w:val="18"/>
              </w:rPr>
              <w:t>Strongly agree/</w:t>
            </w:r>
          </w:p>
          <w:p w14:paraId="4190C310" w14:textId="77777777" w:rsidR="00422E32" w:rsidRPr="00EC4275" w:rsidRDefault="00422E32" w:rsidP="0006358C">
            <w:pPr>
              <w:rPr>
                <w:sz w:val="18"/>
                <w:szCs w:val="18"/>
              </w:rPr>
            </w:pPr>
            <w:r w:rsidRPr="00EC4275">
              <w:rPr>
                <w:rFonts w:ascii="Calibri" w:eastAsia="Calibri" w:hAnsi="Calibri" w:cs="Calibri"/>
                <w:sz w:val="18"/>
                <w:szCs w:val="18"/>
              </w:rPr>
              <w:t>agree</w:t>
            </w:r>
          </w:p>
        </w:tc>
        <w:tc>
          <w:tcPr>
            <w:tcW w:w="1559" w:type="dxa"/>
            <w:gridSpan w:val="2"/>
            <w:tcBorders>
              <w:top w:val="single" w:sz="8" w:space="0" w:color="auto"/>
              <w:left w:val="nil"/>
              <w:bottom w:val="single" w:sz="8" w:space="0" w:color="auto"/>
              <w:right w:val="single" w:sz="8" w:space="0" w:color="auto"/>
            </w:tcBorders>
            <w:tcMar>
              <w:left w:w="108" w:type="dxa"/>
              <w:right w:w="108" w:type="dxa"/>
            </w:tcMar>
          </w:tcPr>
          <w:p w14:paraId="6998081D" w14:textId="77777777" w:rsidR="00422E32" w:rsidRPr="00EC4275" w:rsidRDefault="00422E32" w:rsidP="0006358C">
            <w:pPr>
              <w:rPr>
                <w:sz w:val="18"/>
                <w:szCs w:val="18"/>
              </w:rPr>
            </w:pPr>
            <w:r w:rsidRPr="00EC4275">
              <w:rPr>
                <w:rFonts w:ascii="Calibri" w:eastAsia="Calibri" w:hAnsi="Calibri" w:cs="Calibri"/>
                <w:sz w:val="18"/>
                <w:szCs w:val="18"/>
              </w:rPr>
              <w:t>Strongly disagree/</w:t>
            </w:r>
          </w:p>
          <w:p w14:paraId="087C2F6F" w14:textId="77777777" w:rsidR="00422E32" w:rsidRPr="00EC4275" w:rsidRDefault="00422E32" w:rsidP="0006358C">
            <w:pPr>
              <w:rPr>
                <w:sz w:val="18"/>
                <w:szCs w:val="18"/>
              </w:rPr>
            </w:pPr>
            <w:r w:rsidRPr="00EC4275">
              <w:rPr>
                <w:rFonts w:ascii="Calibri" w:eastAsia="Calibri" w:hAnsi="Calibri" w:cs="Calibri"/>
                <w:sz w:val="18"/>
                <w:szCs w:val="18"/>
              </w:rPr>
              <w:t>disagree</w:t>
            </w:r>
          </w:p>
        </w:tc>
        <w:tc>
          <w:tcPr>
            <w:tcW w:w="1559" w:type="dxa"/>
            <w:gridSpan w:val="2"/>
            <w:tcBorders>
              <w:top w:val="nil"/>
              <w:left w:val="nil"/>
              <w:bottom w:val="single" w:sz="8" w:space="0" w:color="auto"/>
              <w:right w:val="single" w:sz="8" w:space="0" w:color="auto"/>
            </w:tcBorders>
            <w:tcMar>
              <w:left w:w="108" w:type="dxa"/>
              <w:right w:w="108" w:type="dxa"/>
            </w:tcMar>
          </w:tcPr>
          <w:p w14:paraId="1F346235" w14:textId="77777777" w:rsidR="00422E32" w:rsidRPr="00EC4275" w:rsidRDefault="00422E32" w:rsidP="0006358C">
            <w:pPr>
              <w:rPr>
                <w:sz w:val="18"/>
                <w:szCs w:val="18"/>
              </w:rPr>
            </w:pPr>
            <w:r w:rsidRPr="00EC4275">
              <w:rPr>
                <w:rFonts w:ascii="Calibri" w:eastAsia="Calibri" w:hAnsi="Calibri" w:cs="Calibri"/>
                <w:sz w:val="18"/>
                <w:szCs w:val="18"/>
              </w:rPr>
              <w:t>Neither agree or</w:t>
            </w:r>
          </w:p>
          <w:p w14:paraId="37A85D87" w14:textId="77777777" w:rsidR="00422E32" w:rsidRPr="00EC4275" w:rsidRDefault="00422E32" w:rsidP="0006358C">
            <w:pPr>
              <w:rPr>
                <w:sz w:val="18"/>
                <w:szCs w:val="18"/>
              </w:rPr>
            </w:pPr>
            <w:r w:rsidRPr="00EC4275">
              <w:rPr>
                <w:rFonts w:ascii="Calibri" w:eastAsia="Calibri" w:hAnsi="Calibri" w:cs="Calibri"/>
                <w:sz w:val="18"/>
                <w:szCs w:val="18"/>
              </w:rPr>
              <w:t xml:space="preserve"> disagree</w:t>
            </w:r>
          </w:p>
        </w:tc>
        <w:tc>
          <w:tcPr>
            <w:tcW w:w="1560" w:type="dxa"/>
            <w:gridSpan w:val="2"/>
            <w:tcBorders>
              <w:top w:val="nil"/>
              <w:left w:val="nil"/>
              <w:bottom w:val="single" w:sz="8" w:space="0" w:color="auto"/>
              <w:right w:val="single" w:sz="8" w:space="0" w:color="auto"/>
            </w:tcBorders>
            <w:tcMar>
              <w:left w:w="108" w:type="dxa"/>
              <w:right w:w="108" w:type="dxa"/>
            </w:tcMar>
          </w:tcPr>
          <w:p w14:paraId="5118C874" w14:textId="77777777" w:rsidR="00422E32" w:rsidRPr="00EC4275" w:rsidRDefault="00422E32" w:rsidP="0006358C">
            <w:pPr>
              <w:rPr>
                <w:sz w:val="18"/>
                <w:szCs w:val="18"/>
              </w:rPr>
            </w:pPr>
            <w:r w:rsidRPr="00EC4275">
              <w:rPr>
                <w:rFonts w:ascii="Calibri" w:eastAsia="Calibri" w:hAnsi="Calibri" w:cs="Calibri"/>
                <w:sz w:val="18"/>
                <w:szCs w:val="18"/>
              </w:rPr>
              <w:t>Strongly agree/</w:t>
            </w:r>
          </w:p>
          <w:p w14:paraId="3ECEDDC3" w14:textId="77777777" w:rsidR="00422E32" w:rsidRPr="00EC4275" w:rsidRDefault="00422E32" w:rsidP="0006358C">
            <w:pPr>
              <w:rPr>
                <w:sz w:val="18"/>
                <w:szCs w:val="18"/>
              </w:rPr>
            </w:pPr>
            <w:r w:rsidRPr="00EC4275">
              <w:rPr>
                <w:rFonts w:ascii="Calibri" w:eastAsia="Calibri" w:hAnsi="Calibri" w:cs="Calibri"/>
                <w:sz w:val="18"/>
                <w:szCs w:val="18"/>
              </w:rPr>
              <w:t>agree</w:t>
            </w:r>
          </w:p>
        </w:tc>
      </w:tr>
      <w:tr w:rsidR="00422E32" w:rsidRPr="00EC4275" w14:paraId="265CAF17"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23068706" w14:textId="77777777" w:rsidR="00422E32" w:rsidRPr="00EC4275" w:rsidRDefault="00422E32" w:rsidP="0006358C">
            <w:pPr>
              <w:rPr>
                <w:sz w:val="18"/>
                <w:szCs w:val="18"/>
              </w:rPr>
            </w:pP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C76C6AC" w14:textId="77777777" w:rsidR="00422E32" w:rsidRPr="00EC4275" w:rsidRDefault="00422E32" w:rsidP="0006358C">
            <w:pPr>
              <w:jc w:val="center"/>
              <w:rPr>
                <w:sz w:val="18"/>
                <w:szCs w:val="18"/>
              </w:rPr>
            </w:pPr>
            <w:r w:rsidRPr="00EC4275">
              <w:rPr>
                <w:rFonts w:ascii="Calibri" w:eastAsia="Calibri" w:hAnsi="Calibri" w:cs="Calibri"/>
                <w:sz w:val="18"/>
                <w:szCs w:val="18"/>
              </w:rPr>
              <w:t>n</w:t>
            </w:r>
          </w:p>
        </w:tc>
        <w:tc>
          <w:tcPr>
            <w:tcW w:w="780" w:type="dxa"/>
            <w:tcBorders>
              <w:top w:val="nil"/>
              <w:left w:val="single" w:sz="8" w:space="0" w:color="auto"/>
              <w:bottom w:val="single" w:sz="8" w:space="0" w:color="auto"/>
              <w:right w:val="single" w:sz="8" w:space="0" w:color="auto"/>
            </w:tcBorders>
            <w:tcMar>
              <w:left w:w="108" w:type="dxa"/>
              <w:right w:w="108" w:type="dxa"/>
            </w:tcMar>
          </w:tcPr>
          <w:p w14:paraId="03B097FE"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c>
          <w:tcPr>
            <w:tcW w:w="780" w:type="dxa"/>
            <w:tcBorders>
              <w:top w:val="nil"/>
              <w:left w:val="nil"/>
              <w:bottom w:val="single" w:sz="8" w:space="0" w:color="auto"/>
              <w:right w:val="single" w:sz="8" w:space="0" w:color="auto"/>
            </w:tcBorders>
            <w:tcMar>
              <w:left w:w="108" w:type="dxa"/>
              <w:right w:w="108" w:type="dxa"/>
            </w:tcMar>
          </w:tcPr>
          <w:p w14:paraId="28C3A725" w14:textId="77777777" w:rsidR="00422E32" w:rsidRPr="00EC4275" w:rsidRDefault="00422E32" w:rsidP="0006358C">
            <w:pPr>
              <w:jc w:val="center"/>
              <w:rPr>
                <w:sz w:val="18"/>
                <w:szCs w:val="18"/>
              </w:rPr>
            </w:pPr>
            <w:r w:rsidRPr="00EC4275">
              <w:rPr>
                <w:rFonts w:ascii="Calibri" w:eastAsia="Calibri" w:hAnsi="Calibri" w:cs="Calibri"/>
                <w:sz w:val="18"/>
                <w:szCs w:val="18"/>
              </w:rPr>
              <w:t>n</w:t>
            </w:r>
          </w:p>
        </w:tc>
        <w:tc>
          <w:tcPr>
            <w:tcW w:w="779" w:type="dxa"/>
            <w:tcBorders>
              <w:top w:val="nil"/>
              <w:left w:val="single" w:sz="8" w:space="0" w:color="auto"/>
              <w:bottom w:val="single" w:sz="8" w:space="0" w:color="auto"/>
              <w:right w:val="single" w:sz="8" w:space="0" w:color="auto"/>
            </w:tcBorders>
            <w:tcMar>
              <w:left w:w="108" w:type="dxa"/>
              <w:right w:w="108" w:type="dxa"/>
            </w:tcMar>
          </w:tcPr>
          <w:p w14:paraId="74EFEEEF"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c>
          <w:tcPr>
            <w:tcW w:w="780" w:type="dxa"/>
            <w:tcBorders>
              <w:top w:val="nil"/>
              <w:left w:val="nil"/>
              <w:bottom w:val="single" w:sz="8" w:space="0" w:color="auto"/>
              <w:right w:val="single" w:sz="8" w:space="0" w:color="auto"/>
            </w:tcBorders>
            <w:tcMar>
              <w:left w:w="108" w:type="dxa"/>
              <w:right w:w="108" w:type="dxa"/>
            </w:tcMar>
          </w:tcPr>
          <w:p w14:paraId="33AE4561" w14:textId="77777777" w:rsidR="00422E32" w:rsidRPr="00EC4275" w:rsidRDefault="00422E32" w:rsidP="0006358C">
            <w:pPr>
              <w:jc w:val="center"/>
              <w:rPr>
                <w:sz w:val="18"/>
                <w:szCs w:val="18"/>
              </w:rPr>
            </w:pPr>
            <w:r w:rsidRPr="00EC4275">
              <w:rPr>
                <w:rFonts w:ascii="Calibri" w:eastAsia="Calibri" w:hAnsi="Calibri" w:cs="Calibri"/>
                <w:sz w:val="18"/>
                <w:szCs w:val="18"/>
              </w:rPr>
              <w:t>n</w:t>
            </w:r>
          </w:p>
        </w:tc>
        <w:tc>
          <w:tcPr>
            <w:tcW w:w="780" w:type="dxa"/>
            <w:tcBorders>
              <w:top w:val="nil"/>
              <w:left w:val="single" w:sz="8" w:space="0" w:color="auto"/>
              <w:bottom w:val="single" w:sz="8" w:space="0" w:color="auto"/>
              <w:right w:val="single" w:sz="8" w:space="0" w:color="auto"/>
            </w:tcBorders>
            <w:tcMar>
              <w:left w:w="108" w:type="dxa"/>
              <w:right w:w="108" w:type="dxa"/>
            </w:tcMar>
          </w:tcPr>
          <w:p w14:paraId="3FA86C23"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c>
          <w:tcPr>
            <w:tcW w:w="779" w:type="dxa"/>
            <w:tcBorders>
              <w:top w:val="nil"/>
              <w:left w:val="nil"/>
              <w:bottom w:val="single" w:sz="8" w:space="0" w:color="auto"/>
              <w:right w:val="single" w:sz="8" w:space="0" w:color="auto"/>
            </w:tcBorders>
            <w:tcMar>
              <w:left w:w="108" w:type="dxa"/>
              <w:right w:w="108" w:type="dxa"/>
            </w:tcMar>
          </w:tcPr>
          <w:p w14:paraId="3B4942A6" w14:textId="79ED460B" w:rsidR="00422E32" w:rsidRPr="00EC4275" w:rsidRDefault="1F72AD69" w:rsidP="1FC77FF4">
            <w:pPr>
              <w:spacing w:line="259" w:lineRule="auto"/>
              <w:jc w:val="center"/>
            </w:pPr>
            <w:r w:rsidRPr="1FC77FF4">
              <w:rPr>
                <w:rFonts w:ascii="Calibri" w:eastAsia="Calibri" w:hAnsi="Calibri" w:cs="Calibri"/>
                <w:sz w:val="18"/>
                <w:szCs w:val="18"/>
              </w:rPr>
              <w:t>n</w:t>
            </w:r>
          </w:p>
        </w:tc>
        <w:tc>
          <w:tcPr>
            <w:tcW w:w="780" w:type="dxa"/>
            <w:tcBorders>
              <w:top w:val="nil"/>
              <w:left w:val="single" w:sz="8" w:space="0" w:color="auto"/>
              <w:bottom w:val="single" w:sz="8" w:space="0" w:color="auto"/>
              <w:right w:val="single" w:sz="8" w:space="0" w:color="auto"/>
            </w:tcBorders>
            <w:tcMar>
              <w:left w:w="108" w:type="dxa"/>
              <w:right w:w="108" w:type="dxa"/>
            </w:tcMar>
          </w:tcPr>
          <w:p w14:paraId="048E9C2C"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c>
          <w:tcPr>
            <w:tcW w:w="780" w:type="dxa"/>
            <w:tcBorders>
              <w:top w:val="nil"/>
              <w:left w:val="nil"/>
              <w:bottom w:val="single" w:sz="8" w:space="0" w:color="auto"/>
              <w:right w:val="single" w:sz="8" w:space="0" w:color="auto"/>
            </w:tcBorders>
            <w:tcMar>
              <w:left w:w="108" w:type="dxa"/>
              <w:right w:w="108" w:type="dxa"/>
            </w:tcMar>
          </w:tcPr>
          <w:p w14:paraId="6E09EA7F" w14:textId="77777777" w:rsidR="00422E32" w:rsidRPr="00EC4275" w:rsidRDefault="00422E32" w:rsidP="0006358C">
            <w:pPr>
              <w:jc w:val="center"/>
              <w:rPr>
                <w:sz w:val="18"/>
                <w:szCs w:val="18"/>
              </w:rPr>
            </w:pPr>
            <w:r w:rsidRPr="00EC4275">
              <w:rPr>
                <w:rFonts w:ascii="Calibri" w:eastAsia="Calibri" w:hAnsi="Calibri" w:cs="Calibri"/>
                <w:sz w:val="18"/>
                <w:szCs w:val="18"/>
              </w:rPr>
              <w:t>n</w:t>
            </w:r>
          </w:p>
        </w:tc>
        <w:tc>
          <w:tcPr>
            <w:tcW w:w="779" w:type="dxa"/>
            <w:tcBorders>
              <w:top w:val="nil"/>
              <w:left w:val="single" w:sz="8" w:space="0" w:color="auto"/>
              <w:bottom w:val="single" w:sz="8" w:space="0" w:color="auto"/>
              <w:right w:val="single" w:sz="8" w:space="0" w:color="auto"/>
            </w:tcBorders>
            <w:tcMar>
              <w:left w:w="108" w:type="dxa"/>
              <w:right w:w="108" w:type="dxa"/>
            </w:tcMar>
          </w:tcPr>
          <w:p w14:paraId="0D75F1EA"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c>
          <w:tcPr>
            <w:tcW w:w="780" w:type="dxa"/>
            <w:tcBorders>
              <w:top w:val="nil"/>
              <w:left w:val="nil"/>
              <w:bottom w:val="single" w:sz="8" w:space="0" w:color="auto"/>
              <w:right w:val="single" w:sz="8" w:space="0" w:color="auto"/>
            </w:tcBorders>
            <w:tcMar>
              <w:left w:w="108" w:type="dxa"/>
              <w:right w:w="108" w:type="dxa"/>
            </w:tcMar>
          </w:tcPr>
          <w:p w14:paraId="00CE6784" w14:textId="77777777" w:rsidR="00422E32" w:rsidRPr="00EC4275" w:rsidRDefault="00422E32" w:rsidP="0006358C">
            <w:pPr>
              <w:jc w:val="center"/>
              <w:rPr>
                <w:sz w:val="18"/>
                <w:szCs w:val="18"/>
              </w:rPr>
            </w:pPr>
            <w:r w:rsidRPr="00EC4275">
              <w:rPr>
                <w:rFonts w:ascii="Calibri" w:eastAsia="Calibri" w:hAnsi="Calibri" w:cs="Calibri"/>
                <w:sz w:val="18"/>
                <w:szCs w:val="18"/>
              </w:rPr>
              <w:t>n</w:t>
            </w:r>
          </w:p>
        </w:tc>
        <w:tc>
          <w:tcPr>
            <w:tcW w:w="780" w:type="dxa"/>
            <w:tcBorders>
              <w:top w:val="nil"/>
              <w:left w:val="single" w:sz="8" w:space="0" w:color="auto"/>
              <w:bottom w:val="single" w:sz="8" w:space="0" w:color="auto"/>
              <w:right w:val="single" w:sz="8" w:space="0" w:color="auto"/>
            </w:tcBorders>
            <w:tcMar>
              <w:left w:w="108" w:type="dxa"/>
              <w:right w:w="108" w:type="dxa"/>
            </w:tcMar>
          </w:tcPr>
          <w:p w14:paraId="0965EDB3" w14:textId="77777777" w:rsidR="00422E32" w:rsidRPr="00EC4275" w:rsidRDefault="00422E32" w:rsidP="0006358C">
            <w:pPr>
              <w:jc w:val="center"/>
              <w:rPr>
                <w:sz w:val="18"/>
                <w:szCs w:val="18"/>
              </w:rPr>
            </w:pPr>
            <w:r w:rsidRPr="00EC4275">
              <w:rPr>
                <w:rFonts w:ascii="Calibri" w:eastAsia="Calibri" w:hAnsi="Calibri" w:cs="Calibri"/>
                <w:sz w:val="18"/>
                <w:szCs w:val="18"/>
              </w:rPr>
              <w:t>%</w:t>
            </w:r>
          </w:p>
        </w:tc>
      </w:tr>
      <w:tr w:rsidR="00422E32" w:rsidRPr="00EC4275" w14:paraId="5E7F243E"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4CB5DA23" w14:textId="77777777" w:rsidR="00422E32" w:rsidRPr="00EC4275" w:rsidRDefault="00422E32" w:rsidP="0006358C">
            <w:pPr>
              <w:jc w:val="both"/>
              <w:rPr>
                <w:sz w:val="18"/>
                <w:szCs w:val="18"/>
              </w:rPr>
            </w:pPr>
            <w:r w:rsidRPr="00EC4275">
              <w:rPr>
                <w:rFonts w:ascii="Calibri" w:eastAsia="Calibri" w:hAnsi="Calibri" w:cs="Calibri"/>
                <w:sz w:val="18"/>
                <w:szCs w:val="18"/>
              </w:rPr>
              <w:t>Increase knowledge and understanding of cancer and its treatment</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777E4B90"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325C98D"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1BB1F1FA" w14:textId="77777777" w:rsidR="00422E32" w:rsidRPr="00EC4275" w:rsidRDefault="00422E32" w:rsidP="0006358C">
            <w:pPr>
              <w:jc w:val="center"/>
              <w:rPr>
                <w:sz w:val="18"/>
                <w:szCs w:val="18"/>
              </w:rPr>
            </w:pPr>
            <w:r w:rsidRPr="00EC4275">
              <w:rPr>
                <w:rFonts w:ascii="Calibri" w:eastAsia="Calibri" w:hAnsi="Calibri" w:cs="Calibri"/>
                <w:sz w:val="18"/>
                <w:szCs w:val="18"/>
              </w:rPr>
              <w:t>1</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49CCFCD" w14:textId="77777777" w:rsidR="00422E32" w:rsidRPr="00EC4275" w:rsidRDefault="00422E32" w:rsidP="0006358C">
            <w:pPr>
              <w:jc w:val="center"/>
              <w:rPr>
                <w:sz w:val="18"/>
                <w:szCs w:val="18"/>
              </w:rPr>
            </w:pPr>
            <w:r w:rsidRPr="00EC4275">
              <w:rPr>
                <w:rFonts w:ascii="Calibri" w:eastAsia="Calibri" w:hAnsi="Calibri" w:cs="Calibri"/>
                <w:sz w:val="18"/>
                <w:szCs w:val="18"/>
              </w:rPr>
              <w:t>5.3</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EDCA5FD" w14:textId="77777777" w:rsidR="00422E32" w:rsidRPr="00EC4275" w:rsidRDefault="00422E32" w:rsidP="0006358C">
            <w:pPr>
              <w:jc w:val="center"/>
              <w:rPr>
                <w:sz w:val="18"/>
                <w:szCs w:val="18"/>
              </w:rPr>
            </w:pPr>
            <w:r w:rsidRPr="00EC4275">
              <w:rPr>
                <w:rFonts w:ascii="Calibri" w:eastAsia="Calibri" w:hAnsi="Calibri" w:cs="Calibri"/>
                <w:sz w:val="18"/>
                <w:szCs w:val="18"/>
              </w:rPr>
              <w:t>18</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51D8D5CB" w14:textId="77777777" w:rsidR="00422E32" w:rsidRPr="00EC4275" w:rsidRDefault="00422E32" w:rsidP="0006358C">
            <w:pPr>
              <w:jc w:val="center"/>
              <w:rPr>
                <w:sz w:val="18"/>
                <w:szCs w:val="18"/>
              </w:rPr>
            </w:pPr>
            <w:r w:rsidRPr="00EC4275">
              <w:rPr>
                <w:rFonts w:ascii="Calibri" w:eastAsia="Calibri" w:hAnsi="Calibri" w:cs="Calibri"/>
                <w:sz w:val="18"/>
                <w:szCs w:val="18"/>
              </w:rPr>
              <w:t>94.7</w:t>
            </w:r>
          </w:p>
        </w:tc>
        <w:tc>
          <w:tcPr>
            <w:tcW w:w="779" w:type="dxa"/>
            <w:tcBorders>
              <w:top w:val="single" w:sz="8" w:space="0" w:color="auto"/>
              <w:left w:val="nil"/>
              <w:bottom w:val="single" w:sz="8" w:space="0" w:color="auto"/>
              <w:right w:val="single" w:sz="8" w:space="0" w:color="auto"/>
            </w:tcBorders>
            <w:tcMar>
              <w:left w:w="108" w:type="dxa"/>
              <w:right w:w="108" w:type="dxa"/>
            </w:tcMar>
          </w:tcPr>
          <w:p w14:paraId="068EA26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8F8A168"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554ECC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60C212E"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1A618C7F"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B57B31D"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7683748A"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4E9E4E04" w14:textId="77777777" w:rsidR="00422E32" w:rsidRPr="00EC4275" w:rsidRDefault="00422E32" w:rsidP="0006358C">
            <w:pPr>
              <w:jc w:val="both"/>
              <w:rPr>
                <w:sz w:val="18"/>
                <w:szCs w:val="18"/>
              </w:rPr>
            </w:pPr>
            <w:r w:rsidRPr="00EC4275">
              <w:rPr>
                <w:rFonts w:ascii="Calibri" w:eastAsia="Calibri" w:hAnsi="Calibri" w:cs="Calibri"/>
                <w:sz w:val="18"/>
                <w:szCs w:val="18"/>
              </w:rPr>
              <w:t>Examine current national policies, guidance and local healthcare processes influencing organisation of cancer services and care for people affected by cancer</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2A23D41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B8C014C"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051A8805" w14:textId="77777777" w:rsidR="00422E32" w:rsidRPr="00EC4275" w:rsidRDefault="00422E32" w:rsidP="0006358C">
            <w:pPr>
              <w:jc w:val="center"/>
              <w:rPr>
                <w:sz w:val="18"/>
                <w:szCs w:val="18"/>
              </w:rPr>
            </w:pPr>
            <w:r w:rsidRPr="00EC4275">
              <w:rPr>
                <w:rFonts w:ascii="Calibri" w:eastAsia="Calibri" w:hAnsi="Calibri" w:cs="Calibri"/>
                <w:sz w:val="18"/>
                <w:szCs w:val="18"/>
              </w:rPr>
              <w:t>2</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5E0DF43" w14:textId="77777777" w:rsidR="00422E32" w:rsidRPr="00EC4275" w:rsidRDefault="00422E32" w:rsidP="0006358C">
            <w:pPr>
              <w:jc w:val="center"/>
              <w:rPr>
                <w:sz w:val="18"/>
                <w:szCs w:val="18"/>
              </w:rPr>
            </w:pPr>
            <w:r w:rsidRPr="00EC4275">
              <w:rPr>
                <w:rFonts w:ascii="Calibri" w:eastAsia="Calibri" w:hAnsi="Calibri" w:cs="Calibri"/>
                <w:sz w:val="18"/>
                <w:szCs w:val="18"/>
              </w:rPr>
              <w:t>10.5</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EE1F70F" w14:textId="77777777" w:rsidR="00422E32" w:rsidRPr="00EC4275" w:rsidRDefault="00422E32" w:rsidP="0006358C">
            <w:pPr>
              <w:jc w:val="center"/>
              <w:rPr>
                <w:sz w:val="18"/>
                <w:szCs w:val="18"/>
              </w:rPr>
            </w:pPr>
            <w:r w:rsidRPr="00EC4275">
              <w:rPr>
                <w:rFonts w:ascii="Calibri" w:eastAsia="Calibri" w:hAnsi="Calibri" w:cs="Calibri"/>
                <w:sz w:val="18"/>
                <w:szCs w:val="18"/>
              </w:rPr>
              <w:t>17</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DD005F7" w14:textId="77777777" w:rsidR="00422E32" w:rsidRPr="00EC4275" w:rsidRDefault="00422E32" w:rsidP="0006358C">
            <w:pPr>
              <w:jc w:val="center"/>
              <w:rPr>
                <w:sz w:val="18"/>
                <w:szCs w:val="18"/>
              </w:rPr>
            </w:pPr>
            <w:r w:rsidRPr="00EC4275">
              <w:rPr>
                <w:rFonts w:ascii="Calibri" w:eastAsia="Calibri" w:hAnsi="Calibri" w:cs="Calibri"/>
                <w:sz w:val="18"/>
                <w:szCs w:val="18"/>
              </w:rPr>
              <w:t>89.5</w:t>
            </w:r>
          </w:p>
        </w:tc>
        <w:tc>
          <w:tcPr>
            <w:tcW w:w="779" w:type="dxa"/>
            <w:tcBorders>
              <w:top w:val="single" w:sz="8" w:space="0" w:color="auto"/>
              <w:left w:val="nil"/>
              <w:bottom w:val="single" w:sz="8" w:space="0" w:color="auto"/>
              <w:right w:val="single" w:sz="8" w:space="0" w:color="auto"/>
            </w:tcBorders>
            <w:tcMar>
              <w:left w:w="108" w:type="dxa"/>
              <w:right w:w="108" w:type="dxa"/>
            </w:tcMar>
          </w:tcPr>
          <w:p w14:paraId="7081B6F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B54DA3A"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144BB6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4D68AE8"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59B9F01"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E2FB019"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00AE21BA"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2C1ABA96" w14:textId="77777777" w:rsidR="00422E32" w:rsidRPr="00EC4275" w:rsidRDefault="00422E32" w:rsidP="0006358C">
            <w:pPr>
              <w:jc w:val="both"/>
              <w:rPr>
                <w:sz w:val="18"/>
                <w:szCs w:val="18"/>
              </w:rPr>
            </w:pPr>
            <w:r w:rsidRPr="00EC4275">
              <w:rPr>
                <w:rFonts w:ascii="Calibri" w:eastAsia="Calibri" w:hAnsi="Calibri" w:cs="Calibri"/>
                <w:sz w:val="18"/>
                <w:szCs w:val="18"/>
              </w:rPr>
              <w:t>Explore public and professional attitudes to cancer</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874C810"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532BD0CC"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2F60AC9" w14:textId="77777777" w:rsidR="00422E32" w:rsidRPr="00EC4275" w:rsidRDefault="00422E32" w:rsidP="0006358C">
            <w:pPr>
              <w:jc w:val="center"/>
              <w:rPr>
                <w:sz w:val="18"/>
                <w:szCs w:val="18"/>
              </w:rPr>
            </w:pPr>
            <w:r w:rsidRPr="00EC4275">
              <w:rPr>
                <w:rFonts w:ascii="Calibri" w:eastAsia="Calibri" w:hAnsi="Calibri" w:cs="Calibri"/>
                <w:sz w:val="18"/>
                <w:szCs w:val="18"/>
              </w:rPr>
              <w:t>3</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4089158" w14:textId="77777777" w:rsidR="00422E32" w:rsidRPr="00EC4275" w:rsidRDefault="00422E32" w:rsidP="0006358C">
            <w:pPr>
              <w:jc w:val="center"/>
              <w:rPr>
                <w:sz w:val="18"/>
                <w:szCs w:val="18"/>
              </w:rPr>
            </w:pPr>
            <w:r w:rsidRPr="00EC4275">
              <w:rPr>
                <w:rFonts w:ascii="Calibri" w:eastAsia="Calibri" w:hAnsi="Calibri" w:cs="Calibri"/>
                <w:sz w:val="18"/>
                <w:szCs w:val="18"/>
              </w:rPr>
              <w:t>15.8</w:t>
            </w:r>
          </w:p>
        </w:tc>
        <w:tc>
          <w:tcPr>
            <w:tcW w:w="780" w:type="dxa"/>
            <w:tcBorders>
              <w:top w:val="single" w:sz="8" w:space="0" w:color="auto"/>
              <w:left w:val="nil"/>
              <w:bottom w:val="single" w:sz="8" w:space="0" w:color="auto"/>
              <w:right w:val="single" w:sz="8" w:space="0" w:color="auto"/>
            </w:tcBorders>
            <w:tcMar>
              <w:left w:w="108" w:type="dxa"/>
              <w:right w:w="108" w:type="dxa"/>
            </w:tcMar>
          </w:tcPr>
          <w:p w14:paraId="17BCAC05" w14:textId="77777777" w:rsidR="00422E32" w:rsidRPr="00EC4275" w:rsidRDefault="00422E32" w:rsidP="0006358C">
            <w:pPr>
              <w:jc w:val="center"/>
              <w:rPr>
                <w:sz w:val="18"/>
                <w:szCs w:val="18"/>
              </w:rPr>
            </w:pPr>
            <w:r w:rsidRPr="00EC4275">
              <w:rPr>
                <w:rFonts w:ascii="Calibri" w:eastAsia="Calibri" w:hAnsi="Calibri" w:cs="Calibri"/>
                <w:sz w:val="18"/>
                <w:szCs w:val="18"/>
              </w:rPr>
              <w:t>16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C20077F" w14:textId="77777777" w:rsidR="00422E32" w:rsidRPr="00EC4275" w:rsidRDefault="00422E32" w:rsidP="0006358C">
            <w:pPr>
              <w:jc w:val="center"/>
              <w:rPr>
                <w:sz w:val="18"/>
                <w:szCs w:val="18"/>
              </w:rPr>
            </w:pPr>
            <w:r w:rsidRPr="00EC4275">
              <w:rPr>
                <w:rFonts w:ascii="Calibri" w:eastAsia="Calibri" w:hAnsi="Calibri" w:cs="Calibri"/>
                <w:sz w:val="18"/>
                <w:szCs w:val="18"/>
              </w:rPr>
              <w:t>84.2</w:t>
            </w:r>
          </w:p>
        </w:tc>
        <w:tc>
          <w:tcPr>
            <w:tcW w:w="779" w:type="dxa"/>
            <w:tcBorders>
              <w:top w:val="single" w:sz="8" w:space="0" w:color="auto"/>
              <w:left w:val="nil"/>
              <w:bottom w:val="single" w:sz="8" w:space="0" w:color="auto"/>
              <w:right w:val="single" w:sz="8" w:space="0" w:color="auto"/>
            </w:tcBorders>
            <w:tcMar>
              <w:left w:w="108" w:type="dxa"/>
              <w:right w:w="108" w:type="dxa"/>
            </w:tcMar>
          </w:tcPr>
          <w:p w14:paraId="33CC5826"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15E6872"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DD9B18F"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37D941E"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03A7FC39"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5E83C875"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7808FA07"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33507B4B" w14:textId="77777777" w:rsidR="00422E32" w:rsidRPr="00EC4275" w:rsidRDefault="00422E32" w:rsidP="0006358C">
            <w:pPr>
              <w:jc w:val="both"/>
              <w:rPr>
                <w:sz w:val="18"/>
                <w:szCs w:val="18"/>
              </w:rPr>
            </w:pPr>
            <w:r w:rsidRPr="00EC4275">
              <w:rPr>
                <w:rFonts w:ascii="Calibri" w:eastAsia="Calibri" w:hAnsi="Calibri" w:cs="Calibri"/>
                <w:sz w:val="18"/>
                <w:szCs w:val="18"/>
              </w:rPr>
              <w:t>Describe the biological basis of cancer and examine how this informs practices relating to risk reduction, early detection, screening, diagnosis, staging and grading of cancer, personalised treatment decisions.</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196B1DB"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D31FA1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0153DFD2"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9BE319E"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08221F6" w14:textId="77777777" w:rsidR="00422E32" w:rsidRPr="00EC4275" w:rsidRDefault="00422E32" w:rsidP="0006358C">
            <w:pPr>
              <w:jc w:val="center"/>
              <w:rPr>
                <w:sz w:val="18"/>
                <w:szCs w:val="18"/>
              </w:rPr>
            </w:pPr>
            <w:r w:rsidRPr="00EC4275">
              <w:rPr>
                <w:rFonts w:ascii="Calibri" w:eastAsia="Calibri" w:hAnsi="Calibri" w:cs="Calibri"/>
                <w:sz w:val="18"/>
                <w:szCs w:val="18"/>
              </w:rPr>
              <w:t>19</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B5DBC1C"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c>
          <w:tcPr>
            <w:tcW w:w="779" w:type="dxa"/>
            <w:tcBorders>
              <w:top w:val="single" w:sz="8" w:space="0" w:color="auto"/>
              <w:left w:val="nil"/>
              <w:bottom w:val="single" w:sz="8" w:space="0" w:color="auto"/>
              <w:right w:val="single" w:sz="8" w:space="0" w:color="auto"/>
            </w:tcBorders>
            <w:tcMar>
              <w:left w:w="108" w:type="dxa"/>
              <w:right w:w="108" w:type="dxa"/>
            </w:tcMar>
          </w:tcPr>
          <w:p w14:paraId="56066951"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F033F0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A962AB7"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7DF17E47"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48654CB"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06FB1E9"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1F49DFA1"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0B6CDC34" w14:textId="77777777" w:rsidR="00422E32" w:rsidRPr="00EC4275" w:rsidRDefault="00422E32" w:rsidP="0006358C">
            <w:pPr>
              <w:jc w:val="both"/>
              <w:rPr>
                <w:sz w:val="18"/>
                <w:szCs w:val="18"/>
              </w:rPr>
            </w:pPr>
            <w:r w:rsidRPr="00EC4275">
              <w:rPr>
                <w:rFonts w:ascii="Calibri" w:eastAsia="Calibri" w:hAnsi="Calibri" w:cs="Calibri"/>
                <w:sz w:val="18"/>
                <w:szCs w:val="18"/>
              </w:rPr>
              <w:t>Analyse the physical, psychological, emotional and social impact of cancer and its treatment across the spectrum of cancer care.</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A485B87"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4EC436D"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26E39054" w14:textId="77777777" w:rsidR="00422E32" w:rsidRPr="00EC4275" w:rsidRDefault="00422E32" w:rsidP="0006358C">
            <w:pPr>
              <w:jc w:val="center"/>
              <w:rPr>
                <w:sz w:val="18"/>
                <w:szCs w:val="18"/>
              </w:rPr>
            </w:pPr>
            <w:r w:rsidRPr="00EC4275">
              <w:rPr>
                <w:rFonts w:ascii="Calibri" w:eastAsia="Calibri" w:hAnsi="Calibri" w:cs="Calibri"/>
                <w:sz w:val="18"/>
                <w:szCs w:val="18"/>
              </w:rPr>
              <w:t>2</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324B75E" w14:textId="77777777" w:rsidR="00422E32" w:rsidRPr="00EC4275" w:rsidRDefault="00422E32" w:rsidP="0006358C">
            <w:pPr>
              <w:jc w:val="center"/>
              <w:rPr>
                <w:sz w:val="18"/>
                <w:szCs w:val="18"/>
              </w:rPr>
            </w:pPr>
            <w:r w:rsidRPr="00EC4275">
              <w:rPr>
                <w:rFonts w:ascii="Calibri" w:eastAsia="Calibri" w:hAnsi="Calibri" w:cs="Calibri"/>
                <w:sz w:val="18"/>
                <w:szCs w:val="18"/>
              </w:rPr>
              <w:t>10.5</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29B4440" w14:textId="77777777" w:rsidR="00422E32" w:rsidRPr="00EC4275" w:rsidRDefault="00422E32" w:rsidP="0006358C">
            <w:pPr>
              <w:jc w:val="center"/>
              <w:rPr>
                <w:sz w:val="18"/>
                <w:szCs w:val="18"/>
              </w:rPr>
            </w:pPr>
            <w:r w:rsidRPr="00EC4275">
              <w:rPr>
                <w:rFonts w:ascii="Calibri" w:eastAsia="Calibri" w:hAnsi="Calibri" w:cs="Calibri"/>
                <w:sz w:val="18"/>
                <w:szCs w:val="18"/>
              </w:rPr>
              <w:t>17</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9962073" w14:textId="77777777" w:rsidR="00422E32" w:rsidRPr="00EC4275" w:rsidRDefault="00422E32" w:rsidP="0006358C">
            <w:pPr>
              <w:jc w:val="center"/>
              <w:rPr>
                <w:sz w:val="18"/>
                <w:szCs w:val="18"/>
              </w:rPr>
            </w:pPr>
            <w:r w:rsidRPr="00EC4275">
              <w:rPr>
                <w:rFonts w:ascii="Calibri" w:eastAsia="Calibri" w:hAnsi="Calibri" w:cs="Calibri"/>
                <w:sz w:val="18"/>
                <w:szCs w:val="18"/>
              </w:rPr>
              <w:t>89.5</w:t>
            </w:r>
          </w:p>
        </w:tc>
        <w:tc>
          <w:tcPr>
            <w:tcW w:w="779" w:type="dxa"/>
            <w:tcBorders>
              <w:top w:val="single" w:sz="8" w:space="0" w:color="auto"/>
              <w:left w:val="nil"/>
              <w:bottom w:val="single" w:sz="8" w:space="0" w:color="auto"/>
              <w:right w:val="single" w:sz="8" w:space="0" w:color="auto"/>
            </w:tcBorders>
            <w:tcMar>
              <w:left w:w="108" w:type="dxa"/>
              <w:right w:w="108" w:type="dxa"/>
            </w:tcMar>
          </w:tcPr>
          <w:p w14:paraId="5F67940C"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3A77A03"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B007CE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CC4DCDA"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7594160"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62E0A32"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70BB570E"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7014F78E" w14:textId="77777777" w:rsidR="00422E32" w:rsidRPr="00EC4275" w:rsidRDefault="00422E32" w:rsidP="0006358C">
            <w:pPr>
              <w:jc w:val="both"/>
              <w:rPr>
                <w:sz w:val="18"/>
                <w:szCs w:val="18"/>
              </w:rPr>
            </w:pPr>
            <w:r w:rsidRPr="00EC4275">
              <w:rPr>
                <w:rFonts w:ascii="Calibri" w:eastAsia="Calibri" w:hAnsi="Calibri" w:cs="Calibri"/>
                <w:sz w:val="18"/>
                <w:szCs w:val="18"/>
              </w:rPr>
              <w:t>Examine the range of support (a) informational, (b) emotional, (c) esteem, (d) social network support, and (e) tangible support needs of people living with and beyond cancer, palliative and end of life care.</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F69FB25"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FD49E52"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2ACA8E93" w14:textId="77777777" w:rsidR="00422E32" w:rsidRPr="00EC4275" w:rsidRDefault="00422E32" w:rsidP="0006358C">
            <w:pPr>
              <w:jc w:val="center"/>
              <w:rPr>
                <w:sz w:val="18"/>
                <w:szCs w:val="18"/>
              </w:rPr>
            </w:pPr>
            <w:r w:rsidRPr="00EC4275">
              <w:rPr>
                <w:rFonts w:ascii="Calibri" w:eastAsia="Calibri" w:hAnsi="Calibri" w:cs="Calibri"/>
                <w:sz w:val="18"/>
                <w:szCs w:val="18"/>
              </w:rPr>
              <w:t>1</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7CC6EA0" w14:textId="77777777" w:rsidR="00422E32" w:rsidRPr="00EC4275" w:rsidRDefault="00422E32" w:rsidP="0006358C">
            <w:pPr>
              <w:jc w:val="center"/>
              <w:rPr>
                <w:sz w:val="18"/>
                <w:szCs w:val="18"/>
              </w:rPr>
            </w:pPr>
            <w:r w:rsidRPr="00EC4275">
              <w:rPr>
                <w:rFonts w:ascii="Calibri" w:eastAsia="Calibri" w:hAnsi="Calibri" w:cs="Calibri"/>
                <w:sz w:val="18"/>
                <w:szCs w:val="18"/>
              </w:rPr>
              <w:t>5.3</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8BCC612" w14:textId="77777777" w:rsidR="00422E32" w:rsidRPr="00EC4275" w:rsidRDefault="00422E32" w:rsidP="0006358C">
            <w:pPr>
              <w:jc w:val="center"/>
              <w:rPr>
                <w:sz w:val="18"/>
                <w:szCs w:val="18"/>
              </w:rPr>
            </w:pPr>
            <w:r w:rsidRPr="00EC4275">
              <w:rPr>
                <w:rFonts w:ascii="Calibri" w:eastAsia="Calibri" w:hAnsi="Calibri" w:cs="Calibri"/>
                <w:sz w:val="18"/>
                <w:szCs w:val="18"/>
              </w:rPr>
              <w:t>18</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D076121" w14:textId="77777777" w:rsidR="00422E32" w:rsidRPr="00EC4275" w:rsidRDefault="00422E32" w:rsidP="0006358C">
            <w:pPr>
              <w:jc w:val="center"/>
              <w:rPr>
                <w:sz w:val="18"/>
                <w:szCs w:val="18"/>
              </w:rPr>
            </w:pPr>
            <w:r w:rsidRPr="00EC4275">
              <w:rPr>
                <w:rFonts w:ascii="Calibri" w:eastAsia="Calibri" w:hAnsi="Calibri" w:cs="Calibri"/>
                <w:sz w:val="18"/>
                <w:szCs w:val="18"/>
              </w:rPr>
              <w:t>94.7</w:t>
            </w:r>
          </w:p>
        </w:tc>
        <w:tc>
          <w:tcPr>
            <w:tcW w:w="779" w:type="dxa"/>
            <w:tcBorders>
              <w:top w:val="single" w:sz="8" w:space="0" w:color="auto"/>
              <w:left w:val="nil"/>
              <w:bottom w:val="single" w:sz="8" w:space="0" w:color="auto"/>
              <w:right w:val="single" w:sz="8" w:space="0" w:color="auto"/>
            </w:tcBorders>
            <w:tcMar>
              <w:left w:w="108" w:type="dxa"/>
              <w:right w:w="108" w:type="dxa"/>
            </w:tcMar>
          </w:tcPr>
          <w:p w14:paraId="5F25F87E"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EBADAE1"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16BD32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5090BB8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B77697C"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F169769"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22DA76EC"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5E07B1F7" w14:textId="77777777" w:rsidR="00422E32" w:rsidRPr="00EC4275" w:rsidRDefault="00422E32" w:rsidP="0006358C">
            <w:pPr>
              <w:jc w:val="both"/>
              <w:rPr>
                <w:sz w:val="18"/>
                <w:szCs w:val="18"/>
              </w:rPr>
            </w:pPr>
            <w:r w:rsidRPr="00EC4275">
              <w:rPr>
                <w:rFonts w:ascii="Calibri" w:eastAsia="Calibri" w:hAnsi="Calibri" w:cs="Calibri"/>
                <w:sz w:val="18"/>
                <w:szCs w:val="18"/>
              </w:rPr>
              <w:t>Analyse models of communication and psychological support for addressing the emotional concerns of patients and/or their caregivers.</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8433090"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4AAEA5D"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BEDDAC2" w14:textId="77777777" w:rsidR="00422E32" w:rsidRPr="00EC4275" w:rsidRDefault="00422E32" w:rsidP="0006358C">
            <w:pPr>
              <w:jc w:val="center"/>
              <w:rPr>
                <w:sz w:val="18"/>
                <w:szCs w:val="18"/>
              </w:rPr>
            </w:pPr>
            <w:r w:rsidRPr="00EC4275">
              <w:rPr>
                <w:rFonts w:ascii="Calibri" w:eastAsia="Calibri" w:hAnsi="Calibri" w:cs="Calibri"/>
                <w:sz w:val="18"/>
                <w:szCs w:val="18"/>
              </w:rPr>
              <w:t>1</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EEE30BF" w14:textId="77777777" w:rsidR="00422E32" w:rsidRPr="00EC4275" w:rsidRDefault="00422E32" w:rsidP="0006358C">
            <w:pPr>
              <w:jc w:val="center"/>
              <w:rPr>
                <w:sz w:val="18"/>
                <w:szCs w:val="18"/>
              </w:rPr>
            </w:pPr>
            <w:r w:rsidRPr="00EC4275">
              <w:rPr>
                <w:rFonts w:ascii="Calibri" w:eastAsia="Calibri" w:hAnsi="Calibri" w:cs="Calibri"/>
                <w:sz w:val="18"/>
                <w:szCs w:val="18"/>
              </w:rPr>
              <w:t>5.3</w:t>
            </w:r>
          </w:p>
        </w:tc>
        <w:tc>
          <w:tcPr>
            <w:tcW w:w="780" w:type="dxa"/>
            <w:tcBorders>
              <w:top w:val="single" w:sz="8" w:space="0" w:color="auto"/>
              <w:left w:val="nil"/>
              <w:bottom w:val="single" w:sz="8" w:space="0" w:color="auto"/>
              <w:right w:val="single" w:sz="8" w:space="0" w:color="auto"/>
            </w:tcBorders>
            <w:tcMar>
              <w:left w:w="108" w:type="dxa"/>
              <w:right w:w="108" w:type="dxa"/>
            </w:tcMar>
          </w:tcPr>
          <w:p w14:paraId="22D0FB49" w14:textId="77777777" w:rsidR="00422E32" w:rsidRPr="00EC4275" w:rsidRDefault="00422E32" w:rsidP="0006358C">
            <w:pPr>
              <w:jc w:val="center"/>
              <w:rPr>
                <w:sz w:val="18"/>
                <w:szCs w:val="18"/>
              </w:rPr>
            </w:pPr>
            <w:r w:rsidRPr="00EC4275">
              <w:rPr>
                <w:rFonts w:ascii="Calibri" w:eastAsia="Calibri" w:hAnsi="Calibri" w:cs="Calibri"/>
                <w:sz w:val="18"/>
                <w:szCs w:val="18"/>
              </w:rPr>
              <w:t>18</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644E893" w14:textId="77777777" w:rsidR="00422E32" w:rsidRPr="00EC4275" w:rsidRDefault="00422E32" w:rsidP="0006358C">
            <w:pPr>
              <w:jc w:val="center"/>
              <w:rPr>
                <w:sz w:val="18"/>
                <w:szCs w:val="18"/>
              </w:rPr>
            </w:pPr>
            <w:r w:rsidRPr="00EC4275">
              <w:rPr>
                <w:rFonts w:ascii="Calibri" w:eastAsia="Calibri" w:hAnsi="Calibri" w:cs="Calibri"/>
                <w:sz w:val="18"/>
                <w:szCs w:val="18"/>
              </w:rPr>
              <w:t>94.7</w:t>
            </w:r>
          </w:p>
        </w:tc>
        <w:tc>
          <w:tcPr>
            <w:tcW w:w="779" w:type="dxa"/>
            <w:tcBorders>
              <w:top w:val="single" w:sz="8" w:space="0" w:color="auto"/>
              <w:left w:val="nil"/>
              <w:bottom w:val="single" w:sz="8" w:space="0" w:color="auto"/>
              <w:right w:val="single" w:sz="8" w:space="0" w:color="auto"/>
            </w:tcBorders>
            <w:tcMar>
              <w:left w:w="108" w:type="dxa"/>
              <w:right w:w="108" w:type="dxa"/>
            </w:tcMar>
          </w:tcPr>
          <w:p w14:paraId="5C9B2D10"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81C9A99"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0C63CCFB"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BBB7426"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1163D423"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DCDFFC8"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479D515E"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3210F85A" w14:textId="77777777" w:rsidR="00422E32" w:rsidRPr="00EC4275" w:rsidRDefault="00422E32" w:rsidP="0006358C">
            <w:pPr>
              <w:jc w:val="both"/>
              <w:rPr>
                <w:sz w:val="18"/>
                <w:szCs w:val="18"/>
              </w:rPr>
            </w:pPr>
            <w:r w:rsidRPr="00EC4275">
              <w:rPr>
                <w:rFonts w:ascii="Calibri" w:eastAsia="Calibri" w:hAnsi="Calibri" w:cs="Calibri"/>
                <w:sz w:val="18"/>
                <w:szCs w:val="18"/>
              </w:rPr>
              <w:t>Examine own professional role as part of multi-professional team contributing to person-centred assessment and care for people affected by cancer including self-care, self-management and rehabilitation/reablement.</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50146C83"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A93B2EF"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F445064" w14:textId="77777777" w:rsidR="00422E32" w:rsidRPr="00EC4275" w:rsidRDefault="00422E32" w:rsidP="0006358C">
            <w:pPr>
              <w:jc w:val="center"/>
              <w:rPr>
                <w:sz w:val="18"/>
                <w:szCs w:val="18"/>
              </w:rPr>
            </w:pPr>
            <w:r w:rsidRPr="00EC4275">
              <w:rPr>
                <w:rFonts w:ascii="Calibri" w:eastAsia="Calibri" w:hAnsi="Calibri" w:cs="Calibri"/>
                <w:sz w:val="18"/>
                <w:szCs w:val="18"/>
              </w:rPr>
              <w:t>1</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ACCF6CE" w14:textId="77777777" w:rsidR="00422E32" w:rsidRPr="00EC4275" w:rsidRDefault="00422E32" w:rsidP="0006358C">
            <w:pPr>
              <w:jc w:val="center"/>
              <w:rPr>
                <w:sz w:val="18"/>
                <w:szCs w:val="18"/>
              </w:rPr>
            </w:pPr>
            <w:r w:rsidRPr="00EC4275">
              <w:rPr>
                <w:rFonts w:ascii="Calibri" w:eastAsia="Calibri" w:hAnsi="Calibri" w:cs="Calibri"/>
                <w:sz w:val="18"/>
                <w:szCs w:val="18"/>
              </w:rPr>
              <w:t>5.3</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424F494" w14:textId="77777777" w:rsidR="00422E32" w:rsidRPr="00EC4275" w:rsidRDefault="00422E32" w:rsidP="0006358C">
            <w:pPr>
              <w:jc w:val="center"/>
              <w:rPr>
                <w:sz w:val="18"/>
                <w:szCs w:val="18"/>
              </w:rPr>
            </w:pPr>
            <w:r w:rsidRPr="00EC4275">
              <w:rPr>
                <w:rFonts w:ascii="Calibri" w:eastAsia="Calibri" w:hAnsi="Calibri" w:cs="Calibri"/>
                <w:sz w:val="18"/>
                <w:szCs w:val="18"/>
              </w:rPr>
              <w:t>18</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8C7D75D" w14:textId="77777777" w:rsidR="00422E32" w:rsidRPr="00EC4275" w:rsidRDefault="00422E32" w:rsidP="0006358C">
            <w:pPr>
              <w:jc w:val="center"/>
              <w:rPr>
                <w:sz w:val="18"/>
                <w:szCs w:val="18"/>
              </w:rPr>
            </w:pPr>
            <w:r w:rsidRPr="00EC4275">
              <w:rPr>
                <w:rFonts w:ascii="Calibri" w:eastAsia="Calibri" w:hAnsi="Calibri" w:cs="Calibri"/>
                <w:sz w:val="18"/>
                <w:szCs w:val="18"/>
              </w:rPr>
              <w:t>94.7</w:t>
            </w:r>
          </w:p>
        </w:tc>
        <w:tc>
          <w:tcPr>
            <w:tcW w:w="779" w:type="dxa"/>
            <w:tcBorders>
              <w:top w:val="single" w:sz="8" w:space="0" w:color="auto"/>
              <w:left w:val="nil"/>
              <w:bottom w:val="single" w:sz="8" w:space="0" w:color="auto"/>
              <w:right w:val="single" w:sz="8" w:space="0" w:color="auto"/>
            </w:tcBorders>
            <w:tcMar>
              <w:left w:w="108" w:type="dxa"/>
              <w:right w:w="108" w:type="dxa"/>
            </w:tcMar>
          </w:tcPr>
          <w:p w14:paraId="359DDF88"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4952898"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9430DEE"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C7A64F0"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0E7F203C"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E04577E"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r w:rsidR="00422E32" w:rsidRPr="00EC4275" w14:paraId="3D6ED622" w14:textId="77777777" w:rsidTr="1FC77FF4">
        <w:trPr>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79475FC2" w14:textId="77777777" w:rsidR="00422E32" w:rsidRPr="00EC4275" w:rsidRDefault="00422E32" w:rsidP="0006358C">
            <w:pPr>
              <w:jc w:val="both"/>
              <w:rPr>
                <w:sz w:val="18"/>
                <w:szCs w:val="18"/>
              </w:rPr>
            </w:pPr>
            <w:r w:rsidRPr="00EC4275">
              <w:rPr>
                <w:rFonts w:ascii="Calibri" w:eastAsia="Calibri" w:hAnsi="Calibri" w:cs="Calibri"/>
                <w:sz w:val="18"/>
                <w:szCs w:val="18"/>
              </w:rPr>
              <w:t>Explore own support and development needs and identifying opportunities for clinical supervision, support and development.</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23182CC"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073A68D"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FC92BE9" w14:textId="77777777" w:rsidR="00422E32" w:rsidRPr="00EC4275" w:rsidRDefault="00422E32" w:rsidP="0006358C">
            <w:pPr>
              <w:jc w:val="center"/>
              <w:rPr>
                <w:sz w:val="18"/>
                <w:szCs w:val="18"/>
              </w:rPr>
            </w:pPr>
            <w:r w:rsidRPr="00EC4275">
              <w:rPr>
                <w:rFonts w:ascii="Calibri" w:eastAsia="Calibri" w:hAnsi="Calibri" w:cs="Calibri"/>
                <w:sz w:val="18"/>
                <w:szCs w:val="18"/>
              </w:rPr>
              <w:t>2</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3A68ECC" w14:textId="77777777" w:rsidR="00422E32" w:rsidRPr="00EC4275" w:rsidRDefault="00422E32" w:rsidP="0006358C">
            <w:pPr>
              <w:jc w:val="center"/>
              <w:rPr>
                <w:sz w:val="18"/>
                <w:szCs w:val="18"/>
              </w:rPr>
            </w:pPr>
            <w:r w:rsidRPr="00EC4275">
              <w:rPr>
                <w:rFonts w:ascii="Calibri" w:eastAsia="Calibri" w:hAnsi="Calibri" w:cs="Calibri"/>
                <w:sz w:val="18"/>
                <w:szCs w:val="18"/>
              </w:rPr>
              <w:t>10.5</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7C0DE94" w14:textId="77777777" w:rsidR="00422E32" w:rsidRPr="00EC4275" w:rsidRDefault="00422E32" w:rsidP="0006358C">
            <w:pPr>
              <w:jc w:val="center"/>
              <w:rPr>
                <w:sz w:val="18"/>
                <w:szCs w:val="18"/>
              </w:rPr>
            </w:pPr>
            <w:r w:rsidRPr="00EC4275">
              <w:rPr>
                <w:rFonts w:ascii="Calibri" w:eastAsia="Calibri" w:hAnsi="Calibri" w:cs="Calibri"/>
                <w:sz w:val="18"/>
                <w:szCs w:val="18"/>
              </w:rPr>
              <w:t>17</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3D27D5FE" w14:textId="77777777" w:rsidR="00422E32" w:rsidRPr="00EC4275" w:rsidRDefault="00422E32" w:rsidP="0006358C">
            <w:pPr>
              <w:jc w:val="center"/>
              <w:rPr>
                <w:sz w:val="18"/>
                <w:szCs w:val="18"/>
              </w:rPr>
            </w:pPr>
            <w:r w:rsidRPr="00EC4275">
              <w:rPr>
                <w:rFonts w:ascii="Calibri" w:eastAsia="Calibri" w:hAnsi="Calibri" w:cs="Calibri"/>
                <w:sz w:val="18"/>
                <w:szCs w:val="18"/>
              </w:rPr>
              <w:t>89.5</w:t>
            </w:r>
          </w:p>
        </w:tc>
        <w:tc>
          <w:tcPr>
            <w:tcW w:w="779" w:type="dxa"/>
            <w:tcBorders>
              <w:top w:val="single" w:sz="8" w:space="0" w:color="auto"/>
              <w:left w:val="nil"/>
              <w:bottom w:val="single" w:sz="8" w:space="0" w:color="auto"/>
              <w:right w:val="single" w:sz="8" w:space="0" w:color="auto"/>
            </w:tcBorders>
            <w:tcMar>
              <w:left w:w="108" w:type="dxa"/>
              <w:right w:w="108" w:type="dxa"/>
            </w:tcMar>
          </w:tcPr>
          <w:p w14:paraId="3C493F6D"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6112FD61"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08F68B4"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8B07B8A" w14:textId="77777777" w:rsidR="00422E32" w:rsidRPr="00EC4275" w:rsidRDefault="00422E32" w:rsidP="0006358C">
            <w:pPr>
              <w:jc w:val="center"/>
              <w:rPr>
                <w:sz w:val="18"/>
                <w:szCs w:val="18"/>
              </w:rPr>
            </w:pPr>
            <w:r w:rsidRPr="00EC4275">
              <w:rPr>
                <w:rFonts w:ascii="Calibri" w:eastAsia="Calibri" w:hAnsi="Calibri" w:cs="Calibri"/>
                <w:sz w:val="18"/>
                <w:szCs w:val="18"/>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75800ECF" w14:textId="77777777" w:rsidR="00422E32" w:rsidRPr="00EC4275" w:rsidRDefault="00422E32" w:rsidP="0006358C">
            <w:pPr>
              <w:jc w:val="center"/>
              <w:rPr>
                <w:sz w:val="18"/>
                <w:szCs w:val="18"/>
              </w:rPr>
            </w:pPr>
            <w:r w:rsidRPr="00EC4275">
              <w:rPr>
                <w:rFonts w:ascii="Calibri" w:eastAsia="Calibri" w:hAnsi="Calibri" w:cs="Calibri"/>
                <w:sz w:val="18"/>
                <w:szCs w:val="18"/>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4CC50572" w14:textId="77777777" w:rsidR="00422E32" w:rsidRPr="00EC4275" w:rsidRDefault="00422E32" w:rsidP="0006358C">
            <w:pPr>
              <w:jc w:val="center"/>
              <w:rPr>
                <w:sz w:val="18"/>
                <w:szCs w:val="18"/>
              </w:rPr>
            </w:pPr>
            <w:r w:rsidRPr="00EC4275">
              <w:rPr>
                <w:rFonts w:ascii="Calibri" w:eastAsia="Calibri" w:hAnsi="Calibri" w:cs="Calibri"/>
                <w:sz w:val="18"/>
                <w:szCs w:val="18"/>
              </w:rPr>
              <w:t>100</w:t>
            </w:r>
          </w:p>
        </w:tc>
      </w:tr>
    </w:tbl>
    <w:p w14:paraId="6019A985" w14:textId="77777777" w:rsidR="00422E32" w:rsidRDefault="00422E32" w:rsidP="00422E32"/>
    <w:p w14:paraId="538944FB" w14:textId="77777777" w:rsidR="00422E32" w:rsidRDefault="00422E32" w:rsidP="00422E32">
      <w:r>
        <w:lastRenderedPageBreak/>
        <w:t>Table 3:</w:t>
      </w:r>
      <w:r w:rsidRPr="00984B8C">
        <w:t xml:space="preserve"> Levels of student agreement regarding modules </w:t>
      </w:r>
      <w:r>
        <w:t>level</w:t>
      </w:r>
    </w:p>
    <w:tbl>
      <w:tblPr>
        <w:tblStyle w:val="TableGrid"/>
        <w:tblW w:w="15333" w:type="dxa"/>
        <w:tblLayout w:type="fixed"/>
        <w:tblLook w:val="04A0" w:firstRow="1" w:lastRow="0" w:firstColumn="1" w:lastColumn="0" w:noHBand="0" w:noVBand="1"/>
      </w:tblPr>
      <w:tblGrid>
        <w:gridCol w:w="5093"/>
        <w:gridCol w:w="236"/>
        <w:gridCol w:w="439"/>
        <w:gridCol w:w="104"/>
        <w:gridCol w:w="132"/>
        <w:gridCol w:w="449"/>
        <w:gridCol w:w="199"/>
        <w:gridCol w:w="240"/>
        <w:gridCol w:w="236"/>
        <w:gridCol w:w="304"/>
        <w:gridCol w:w="145"/>
        <w:gridCol w:w="439"/>
        <w:gridCol w:w="195"/>
        <w:gridCol w:w="41"/>
        <w:gridCol w:w="451"/>
        <w:gridCol w:w="288"/>
        <w:gridCol w:w="78"/>
        <w:gridCol w:w="236"/>
        <w:gridCol w:w="449"/>
        <w:gridCol w:w="17"/>
        <w:gridCol w:w="223"/>
        <w:gridCol w:w="236"/>
        <w:gridCol w:w="320"/>
        <w:gridCol w:w="129"/>
        <w:gridCol w:w="651"/>
        <w:gridCol w:w="780"/>
        <w:gridCol w:w="779"/>
        <w:gridCol w:w="780"/>
        <w:gridCol w:w="780"/>
        <w:gridCol w:w="568"/>
        <w:gridCol w:w="316"/>
      </w:tblGrid>
      <w:tr w:rsidR="00422E32" w:rsidRPr="00EC4275" w14:paraId="3948CBB2" w14:textId="77777777" w:rsidTr="0006358C">
        <w:trPr>
          <w:gridAfter w:val="2"/>
          <w:wAfter w:w="884" w:type="dxa"/>
          <w:trHeight w:val="40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54284014" w14:textId="77777777" w:rsidR="00422E32" w:rsidRPr="00EC4275" w:rsidRDefault="00422E32" w:rsidP="0006358C">
            <w:pPr>
              <w:jc w:val="both"/>
              <w:rPr>
                <w:sz w:val="18"/>
                <w:szCs w:val="18"/>
              </w:rPr>
            </w:pPr>
          </w:p>
        </w:tc>
        <w:tc>
          <w:tcPr>
            <w:tcW w:w="4678" w:type="dxa"/>
            <w:gridSpan w:val="19"/>
            <w:tcBorders>
              <w:top w:val="single" w:sz="8" w:space="0" w:color="auto"/>
              <w:left w:val="single" w:sz="8" w:space="0" w:color="auto"/>
              <w:bottom w:val="single" w:sz="8" w:space="0" w:color="auto"/>
              <w:right w:val="single" w:sz="8" w:space="0" w:color="auto"/>
            </w:tcBorders>
            <w:tcMar>
              <w:left w:w="108" w:type="dxa"/>
              <w:right w:w="108" w:type="dxa"/>
            </w:tcMar>
          </w:tcPr>
          <w:p w14:paraId="272F1283" w14:textId="77777777" w:rsidR="00422E32" w:rsidRPr="00EC4275" w:rsidRDefault="00422E32" w:rsidP="0006358C">
            <w:pPr>
              <w:rPr>
                <w:sz w:val="18"/>
                <w:szCs w:val="18"/>
              </w:rPr>
            </w:pPr>
            <w:r w:rsidRPr="00EC4275">
              <w:rPr>
                <w:rFonts w:ascii="Calibri" w:eastAsia="Calibri" w:hAnsi="Calibri" w:cs="Calibri"/>
                <w:b/>
                <w:bCs/>
                <w:sz w:val="18"/>
                <w:szCs w:val="18"/>
              </w:rPr>
              <w:t>Pre-registration students</w:t>
            </w:r>
          </w:p>
        </w:tc>
        <w:tc>
          <w:tcPr>
            <w:tcW w:w="4678" w:type="dxa"/>
            <w:gridSpan w:val="9"/>
            <w:tcBorders>
              <w:top w:val="single" w:sz="8" w:space="0" w:color="auto"/>
              <w:left w:val="nil"/>
              <w:bottom w:val="single" w:sz="8" w:space="0" w:color="auto"/>
              <w:right w:val="single" w:sz="8" w:space="0" w:color="auto"/>
            </w:tcBorders>
            <w:tcMar>
              <w:left w:w="108" w:type="dxa"/>
              <w:right w:w="108" w:type="dxa"/>
            </w:tcMar>
          </w:tcPr>
          <w:p w14:paraId="53E5FDDC" w14:textId="77777777" w:rsidR="00422E32" w:rsidRPr="00EC4275" w:rsidRDefault="00422E32" w:rsidP="0006358C">
            <w:pPr>
              <w:rPr>
                <w:sz w:val="18"/>
                <w:szCs w:val="18"/>
              </w:rPr>
            </w:pPr>
            <w:r w:rsidRPr="00EC4275">
              <w:rPr>
                <w:rFonts w:ascii="Calibri" w:eastAsia="Calibri" w:hAnsi="Calibri" w:cs="Calibri"/>
                <w:b/>
                <w:bCs/>
                <w:sz w:val="18"/>
                <w:szCs w:val="18"/>
              </w:rPr>
              <w:t>Healthcare professionals</w:t>
            </w:r>
          </w:p>
        </w:tc>
      </w:tr>
      <w:tr w:rsidR="00422E32" w:rsidRPr="00EC4275" w14:paraId="289894A5" w14:textId="77777777" w:rsidTr="0006358C">
        <w:trPr>
          <w:gridAfter w:val="2"/>
          <w:wAfter w:w="884" w:type="dxa"/>
          <w:trHeight w:val="40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38BB3F49" w14:textId="77777777" w:rsidR="00422E32" w:rsidRPr="00EC4275" w:rsidRDefault="00422E32" w:rsidP="0006358C">
            <w:pPr>
              <w:jc w:val="both"/>
              <w:rPr>
                <w:sz w:val="18"/>
                <w:szCs w:val="18"/>
              </w:rPr>
            </w:pPr>
            <w:r w:rsidRPr="00EC4275">
              <w:rPr>
                <w:rFonts w:ascii="Calibri" w:eastAsia="Calibri" w:hAnsi="Calibri" w:cs="Calibri"/>
                <w:sz w:val="18"/>
                <w:szCs w:val="18"/>
              </w:rPr>
              <w:t xml:space="preserve">Please state your level of agreement with the following statements. Do you think these modules could support pre-registration healthcare students to........ </w:t>
            </w:r>
          </w:p>
        </w:tc>
        <w:tc>
          <w:tcPr>
            <w:tcW w:w="1559"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277A246" w14:textId="77777777" w:rsidR="00422E32" w:rsidRPr="00EC4275" w:rsidRDefault="00422E32" w:rsidP="0006358C">
            <w:pPr>
              <w:rPr>
                <w:sz w:val="18"/>
                <w:szCs w:val="18"/>
              </w:rPr>
            </w:pPr>
            <w:r w:rsidRPr="00EC4275">
              <w:rPr>
                <w:rFonts w:ascii="Calibri" w:eastAsia="Calibri" w:hAnsi="Calibri" w:cs="Calibri"/>
                <w:sz w:val="18"/>
                <w:szCs w:val="18"/>
              </w:rPr>
              <w:t>Strongly disagree/</w:t>
            </w:r>
          </w:p>
          <w:p w14:paraId="4299073C"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disagree</w:t>
            </w:r>
          </w:p>
        </w:tc>
        <w:tc>
          <w:tcPr>
            <w:tcW w:w="1559" w:type="dxa"/>
            <w:gridSpan w:val="6"/>
            <w:tcBorders>
              <w:top w:val="nil"/>
              <w:left w:val="nil"/>
              <w:bottom w:val="single" w:sz="8" w:space="0" w:color="auto"/>
              <w:right w:val="single" w:sz="8" w:space="0" w:color="auto"/>
            </w:tcBorders>
          </w:tcPr>
          <w:p w14:paraId="03B75E4C" w14:textId="77777777" w:rsidR="00422E32" w:rsidRPr="00EC4275" w:rsidRDefault="00422E32" w:rsidP="0006358C">
            <w:pPr>
              <w:rPr>
                <w:sz w:val="18"/>
                <w:szCs w:val="18"/>
              </w:rPr>
            </w:pPr>
            <w:r w:rsidRPr="00EC4275">
              <w:rPr>
                <w:rFonts w:ascii="Calibri" w:eastAsia="Calibri" w:hAnsi="Calibri" w:cs="Calibri"/>
                <w:sz w:val="18"/>
                <w:szCs w:val="18"/>
              </w:rPr>
              <w:t>Neither agree or</w:t>
            </w:r>
          </w:p>
          <w:p w14:paraId="2CA93764"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 xml:space="preserve"> disagree</w:t>
            </w:r>
          </w:p>
        </w:tc>
        <w:tc>
          <w:tcPr>
            <w:tcW w:w="1560" w:type="dxa"/>
            <w:gridSpan w:val="7"/>
            <w:tcBorders>
              <w:top w:val="nil"/>
              <w:left w:val="nil"/>
              <w:bottom w:val="single" w:sz="8" w:space="0" w:color="auto"/>
              <w:right w:val="single" w:sz="8" w:space="0" w:color="auto"/>
            </w:tcBorders>
          </w:tcPr>
          <w:p w14:paraId="72BED07D" w14:textId="77777777" w:rsidR="00422E32" w:rsidRPr="00EC4275" w:rsidRDefault="00422E32" w:rsidP="0006358C">
            <w:pPr>
              <w:rPr>
                <w:sz w:val="18"/>
                <w:szCs w:val="18"/>
              </w:rPr>
            </w:pPr>
            <w:r w:rsidRPr="00EC4275">
              <w:rPr>
                <w:rFonts w:ascii="Calibri" w:eastAsia="Calibri" w:hAnsi="Calibri" w:cs="Calibri"/>
                <w:sz w:val="18"/>
                <w:szCs w:val="18"/>
              </w:rPr>
              <w:t>Strongly agree/</w:t>
            </w:r>
          </w:p>
          <w:p w14:paraId="1D515176"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agree</w:t>
            </w:r>
          </w:p>
        </w:tc>
        <w:tc>
          <w:tcPr>
            <w:tcW w:w="1559" w:type="dxa"/>
            <w:gridSpan w:val="5"/>
            <w:tcBorders>
              <w:top w:val="single" w:sz="8" w:space="0" w:color="auto"/>
              <w:left w:val="nil"/>
              <w:bottom w:val="single" w:sz="8" w:space="0" w:color="auto"/>
              <w:right w:val="single" w:sz="8" w:space="0" w:color="auto"/>
            </w:tcBorders>
            <w:tcMar>
              <w:left w:w="108" w:type="dxa"/>
              <w:right w:w="108" w:type="dxa"/>
            </w:tcMar>
          </w:tcPr>
          <w:p w14:paraId="53AECDB2" w14:textId="77777777" w:rsidR="00422E32" w:rsidRPr="00EC4275" w:rsidRDefault="00422E32" w:rsidP="0006358C">
            <w:pPr>
              <w:rPr>
                <w:sz w:val="18"/>
                <w:szCs w:val="18"/>
              </w:rPr>
            </w:pPr>
            <w:r w:rsidRPr="00EC4275">
              <w:rPr>
                <w:rFonts w:ascii="Calibri" w:eastAsia="Calibri" w:hAnsi="Calibri" w:cs="Calibri"/>
                <w:sz w:val="18"/>
                <w:szCs w:val="18"/>
              </w:rPr>
              <w:t>Strongly disagree/</w:t>
            </w:r>
          </w:p>
          <w:p w14:paraId="7415F77C"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disagree</w:t>
            </w:r>
          </w:p>
        </w:tc>
        <w:tc>
          <w:tcPr>
            <w:tcW w:w="1559" w:type="dxa"/>
            <w:gridSpan w:val="2"/>
            <w:tcBorders>
              <w:top w:val="nil"/>
              <w:left w:val="nil"/>
              <w:bottom w:val="single" w:sz="8" w:space="0" w:color="auto"/>
              <w:right w:val="single" w:sz="8" w:space="0" w:color="auto"/>
            </w:tcBorders>
          </w:tcPr>
          <w:p w14:paraId="09C43760" w14:textId="77777777" w:rsidR="00422E32" w:rsidRPr="00EC4275" w:rsidRDefault="00422E32" w:rsidP="0006358C">
            <w:pPr>
              <w:rPr>
                <w:sz w:val="18"/>
                <w:szCs w:val="18"/>
              </w:rPr>
            </w:pPr>
            <w:r w:rsidRPr="00EC4275">
              <w:rPr>
                <w:rFonts w:ascii="Calibri" w:eastAsia="Calibri" w:hAnsi="Calibri" w:cs="Calibri"/>
                <w:sz w:val="18"/>
                <w:szCs w:val="18"/>
              </w:rPr>
              <w:t>Neither agree or</w:t>
            </w:r>
          </w:p>
          <w:p w14:paraId="478D23EF"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 xml:space="preserve"> disagree</w:t>
            </w:r>
          </w:p>
        </w:tc>
        <w:tc>
          <w:tcPr>
            <w:tcW w:w="1560" w:type="dxa"/>
            <w:gridSpan w:val="2"/>
            <w:tcBorders>
              <w:top w:val="nil"/>
              <w:left w:val="nil"/>
              <w:bottom w:val="single" w:sz="8" w:space="0" w:color="auto"/>
              <w:right w:val="single" w:sz="8" w:space="0" w:color="auto"/>
            </w:tcBorders>
          </w:tcPr>
          <w:p w14:paraId="0CA85B4C" w14:textId="77777777" w:rsidR="00422E32" w:rsidRPr="00EC4275" w:rsidRDefault="00422E32" w:rsidP="0006358C">
            <w:pPr>
              <w:rPr>
                <w:sz w:val="18"/>
                <w:szCs w:val="18"/>
              </w:rPr>
            </w:pPr>
            <w:r w:rsidRPr="00EC4275">
              <w:rPr>
                <w:rFonts w:ascii="Calibri" w:eastAsia="Calibri" w:hAnsi="Calibri" w:cs="Calibri"/>
                <w:sz w:val="18"/>
                <w:szCs w:val="18"/>
              </w:rPr>
              <w:t>Strongly agree/</w:t>
            </w:r>
          </w:p>
          <w:p w14:paraId="31C3336C" w14:textId="77777777" w:rsidR="00422E32" w:rsidRPr="00EC4275" w:rsidRDefault="00422E32" w:rsidP="0006358C">
            <w:pPr>
              <w:rPr>
                <w:rFonts w:ascii="Calibri" w:eastAsia="Calibri" w:hAnsi="Calibri" w:cs="Calibri"/>
                <w:b/>
                <w:bCs/>
                <w:sz w:val="18"/>
                <w:szCs w:val="18"/>
              </w:rPr>
            </w:pPr>
            <w:r w:rsidRPr="00EC4275">
              <w:rPr>
                <w:rFonts w:ascii="Calibri" w:eastAsia="Calibri" w:hAnsi="Calibri" w:cs="Calibri"/>
                <w:sz w:val="18"/>
                <w:szCs w:val="18"/>
              </w:rPr>
              <w:t>agree</w:t>
            </w:r>
          </w:p>
        </w:tc>
      </w:tr>
      <w:tr w:rsidR="00422E32" w:rsidRPr="00EC4275" w14:paraId="701152F5"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008B52B1" w14:textId="77777777" w:rsidR="00422E32" w:rsidRPr="00EC4275" w:rsidRDefault="00422E32" w:rsidP="0006358C">
            <w:pPr>
              <w:jc w:val="both"/>
            </w:pPr>
            <w:r w:rsidRPr="00EC4275">
              <w:rPr>
                <w:rFonts w:ascii="Calibri" w:eastAsia="Calibri" w:hAnsi="Calibri" w:cs="Calibri"/>
              </w:rPr>
              <w:t>The learning objectives are relevant to pre-registration healthcare students</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EFEE1E"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E8F0057"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0F0CF056" w14:textId="77777777" w:rsidR="00422E32" w:rsidRPr="00EC4275" w:rsidRDefault="00422E32" w:rsidP="0006358C">
            <w:pPr>
              <w:jc w:val="center"/>
            </w:pPr>
            <w:r w:rsidRPr="00EC4275">
              <w:rPr>
                <w:rFonts w:ascii="Calibri" w:eastAsia="Calibri" w:hAnsi="Calibri" w:cs="Calibri"/>
              </w:rPr>
              <w:t>0</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E6CC7D7"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2E3B7094" w14:textId="77777777" w:rsidR="00422E32" w:rsidRPr="00EC4275" w:rsidRDefault="00422E32" w:rsidP="0006358C">
            <w:pPr>
              <w:jc w:val="center"/>
            </w:pPr>
            <w:r w:rsidRPr="00EC4275">
              <w:rPr>
                <w:rFonts w:ascii="Calibri" w:eastAsia="Calibri" w:hAnsi="Calibri" w:cs="Calibri"/>
              </w:rPr>
              <w:t>19</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95A9FC7" w14:textId="77777777" w:rsidR="00422E32" w:rsidRPr="00EC4275" w:rsidRDefault="00422E32" w:rsidP="0006358C">
            <w:pPr>
              <w:jc w:val="center"/>
            </w:pPr>
            <w:r w:rsidRPr="00EC4275">
              <w:rPr>
                <w:rFonts w:ascii="Calibri" w:eastAsia="Calibri" w:hAnsi="Calibri" w:cs="Calibri"/>
              </w:rPr>
              <w:t>100</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64B0701B" w14:textId="77777777" w:rsidR="00422E32" w:rsidRPr="00EC4275" w:rsidRDefault="00422E32" w:rsidP="0006358C">
            <w:pPr>
              <w:jc w:val="center"/>
            </w:pPr>
            <w:r w:rsidRPr="00EC4275">
              <w:rPr>
                <w:rFonts w:ascii="Calibri" w:eastAsia="Calibri" w:hAnsi="Calibri" w:cs="Calibri"/>
              </w:rPr>
              <w:t>0</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C99B57"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54594926"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05809E8"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C80A741" w14:textId="77777777" w:rsidR="00422E32" w:rsidRPr="00EC4275" w:rsidRDefault="00422E32" w:rsidP="0006358C">
            <w:pPr>
              <w:jc w:val="center"/>
            </w:pPr>
            <w:r w:rsidRPr="00EC4275">
              <w:rPr>
                <w:rFonts w:ascii="Calibri" w:eastAsia="Calibri" w:hAnsi="Calibri" w:cs="Calibri"/>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E9D3543" w14:textId="77777777" w:rsidR="00422E32" w:rsidRPr="00EC4275" w:rsidRDefault="00422E32" w:rsidP="0006358C">
            <w:pPr>
              <w:jc w:val="center"/>
            </w:pPr>
            <w:r w:rsidRPr="00EC4275">
              <w:rPr>
                <w:rFonts w:ascii="Calibri" w:eastAsia="Calibri" w:hAnsi="Calibri" w:cs="Calibri"/>
              </w:rPr>
              <w:t>100</w:t>
            </w:r>
          </w:p>
        </w:tc>
      </w:tr>
      <w:tr w:rsidR="00422E32" w:rsidRPr="00EC4275" w14:paraId="7482B960"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63A87883" w14:textId="77777777" w:rsidR="00422E32" w:rsidRPr="00EC4275" w:rsidRDefault="00422E32" w:rsidP="0006358C">
            <w:pPr>
              <w:jc w:val="both"/>
            </w:pPr>
            <w:r w:rsidRPr="00EC4275">
              <w:rPr>
                <w:rFonts w:ascii="Calibri" w:eastAsia="Calibri" w:hAnsi="Calibri" w:cs="Calibri"/>
              </w:rPr>
              <w:t>The content is written at the right level for pre- registration healthcare students</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1242F00" w14:textId="77777777" w:rsidR="00422E32" w:rsidRPr="00EC4275" w:rsidRDefault="00422E32" w:rsidP="0006358C">
            <w:pPr>
              <w:jc w:val="center"/>
            </w:pPr>
            <w:r w:rsidRPr="00EC4275">
              <w:rPr>
                <w:rFonts w:ascii="Calibri" w:eastAsia="Calibri" w:hAnsi="Calibri" w:cs="Calibri"/>
              </w:rPr>
              <w:t>2</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42C050A" w14:textId="77777777" w:rsidR="00422E32" w:rsidRPr="00EC4275" w:rsidRDefault="00422E32" w:rsidP="0006358C">
            <w:pPr>
              <w:jc w:val="center"/>
            </w:pPr>
            <w:r w:rsidRPr="00EC4275">
              <w:rPr>
                <w:rFonts w:ascii="Calibri" w:eastAsia="Calibri" w:hAnsi="Calibri" w:cs="Calibri"/>
              </w:rPr>
              <w:t>10.5</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57CA3C01" w14:textId="77777777" w:rsidR="00422E32" w:rsidRPr="00EC4275" w:rsidRDefault="00422E32" w:rsidP="0006358C">
            <w:pPr>
              <w:jc w:val="center"/>
            </w:pPr>
            <w:r w:rsidRPr="00EC4275">
              <w:rPr>
                <w:rFonts w:ascii="Calibri" w:eastAsia="Calibri" w:hAnsi="Calibri" w:cs="Calibri"/>
              </w:rPr>
              <w:t>3</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46CD772" w14:textId="77777777" w:rsidR="00422E32" w:rsidRPr="00EC4275" w:rsidRDefault="00422E32" w:rsidP="0006358C">
            <w:pPr>
              <w:jc w:val="center"/>
            </w:pPr>
            <w:r w:rsidRPr="00EC4275">
              <w:rPr>
                <w:rFonts w:ascii="Calibri" w:eastAsia="Calibri" w:hAnsi="Calibri" w:cs="Calibri"/>
              </w:rPr>
              <w:t>15.8</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5E91E529" w14:textId="77777777" w:rsidR="00422E32" w:rsidRPr="00EC4275" w:rsidRDefault="00422E32" w:rsidP="0006358C">
            <w:pPr>
              <w:jc w:val="center"/>
            </w:pPr>
            <w:r w:rsidRPr="00EC4275">
              <w:rPr>
                <w:rFonts w:ascii="Calibri" w:eastAsia="Calibri" w:hAnsi="Calibri" w:cs="Calibri"/>
              </w:rPr>
              <w:t>14</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E11514E" w14:textId="77777777" w:rsidR="00422E32" w:rsidRPr="00EC4275" w:rsidRDefault="00422E32" w:rsidP="0006358C">
            <w:pPr>
              <w:jc w:val="center"/>
            </w:pPr>
            <w:r w:rsidRPr="00EC4275">
              <w:rPr>
                <w:rFonts w:ascii="Calibri" w:eastAsia="Calibri" w:hAnsi="Calibri" w:cs="Calibri"/>
              </w:rPr>
              <w:t>73.7</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1968D709" w14:textId="77777777" w:rsidR="00422E32" w:rsidRPr="00EC4275" w:rsidRDefault="00422E32" w:rsidP="0006358C">
            <w:pPr>
              <w:jc w:val="center"/>
            </w:pPr>
            <w:r w:rsidRPr="00EC4275">
              <w:rPr>
                <w:rFonts w:ascii="Calibri" w:eastAsia="Calibri" w:hAnsi="Calibri" w:cs="Calibri"/>
              </w:rPr>
              <w:t>0</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0E2280"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74E651C"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2589D07F"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3104C23" w14:textId="77777777" w:rsidR="00422E32" w:rsidRPr="00EC4275" w:rsidRDefault="00422E32" w:rsidP="0006358C">
            <w:pPr>
              <w:jc w:val="center"/>
            </w:pPr>
            <w:r w:rsidRPr="00EC4275">
              <w:rPr>
                <w:rFonts w:ascii="Calibri" w:eastAsia="Calibri" w:hAnsi="Calibri" w:cs="Calibri"/>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1345B6CE" w14:textId="77777777" w:rsidR="00422E32" w:rsidRPr="00EC4275" w:rsidRDefault="00422E32" w:rsidP="0006358C">
            <w:pPr>
              <w:jc w:val="center"/>
            </w:pPr>
            <w:r w:rsidRPr="00EC4275">
              <w:rPr>
                <w:rFonts w:ascii="Calibri" w:eastAsia="Calibri" w:hAnsi="Calibri" w:cs="Calibri"/>
              </w:rPr>
              <w:t>100</w:t>
            </w:r>
          </w:p>
        </w:tc>
      </w:tr>
      <w:tr w:rsidR="00422E32" w:rsidRPr="00EC4275" w14:paraId="68326B91"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560E8F16" w14:textId="77777777" w:rsidR="00422E32" w:rsidRPr="00EC4275" w:rsidRDefault="00422E32" w:rsidP="0006358C">
            <w:pPr>
              <w:jc w:val="both"/>
            </w:pPr>
            <w:r w:rsidRPr="00EC4275">
              <w:rPr>
                <w:rFonts w:ascii="Calibri" w:eastAsia="Calibri" w:hAnsi="Calibri" w:cs="Calibri"/>
              </w:rPr>
              <w:t>The content is appropriately challenging for pre-registration healthcare students</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7941889" w14:textId="77777777" w:rsidR="00422E32" w:rsidRPr="00EC4275" w:rsidRDefault="00422E32" w:rsidP="0006358C">
            <w:pPr>
              <w:jc w:val="center"/>
            </w:pPr>
            <w:r w:rsidRPr="00EC4275">
              <w:rPr>
                <w:rFonts w:ascii="Calibri" w:eastAsia="Calibri" w:hAnsi="Calibri" w:cs="Calibri"/>
              </w:rPr>
              <w:t>1</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77DF591" w14:textId="77777777" w:rsidR="00422E32" w:rsidRPr="00EC4275" w:rsidRDefault="00422E32" w:rsidP="0006358C">
            <w:pPr>
              <w:jc w:val="center"/>
            </w:pPr>
            <w:r w:rsidRPr="00EC4275">
              <w:rPr>
                <w:rFonts w:ascii="Calibri" w:eastAsia="Calibri" w:hAnsi="Calibri" w:cs="Calibri"/>
              </w:rPr>
              <w:t>5.3</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1642A58D" w14:textId="77777777" w:rsidR="00422E32" w:rsidRPr="00EC4275" w:rsidRDefault="00422E32" w:rsidP="0006358C">
            <w:pPr>
              <w:jc w:val="center"/>
            </w:pPr>
            <w:r w:rsidRPr="00EC4275">
              <w:rPr>
                <w:rFonts w:ascii="Calibri" w:eastAsia="Calibri" w:hAnsi="Calibri" w:cs="Calibri"/>
              </w:rPr>
              <w:t>4</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5D5DEF4" w14:textId="77777777" w:rsidR="00422E32" w:rsidRPr="00EC4275" w:rsidRDefault="00422E32" w:rsidP="0006358C">
            <w:pPr>
              <w:jc w:val="center"/>
            </w:pPr>
            <w:r w:rsidRPr="00EC4275">
              <w:rPr>
                <w:rFonts w:ascii="Calibri" w:eastAsia="Calibri" w:hAnsi="Calibri" w:cs="Calibri"/>
              </w:rPr>
              <w:t>21.1</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48D6EA1E" w14:textId="77777777" w:rsidR="00422E32" w:rsidRPr="00EC4275" w:rsidRDefault="00422E32" w:rsidP="0006358C">
            <w:pPr>
              <w:jc w:val="center"/>
            </w:pPr>
            <w:r w:rsidRPr="00EC4275">
              <w:rPr>
                <w:rFonts w:ascii="Calibri" w:eastAsia="Calibri" w:hAnsi="Calibri" w:cs="Calibri"/>
              </w:rPr>
              <w:t>14</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E05291" w14:textId="77777777" w:rsidR="00422E32" w:rsidRPr="00EC4275" w:rsidRDefault="00422E32" w:rsidP="0006358C">
            <w:pPr>
              <w:jc w:val="center"/>
            </w:pPr>
            <w:r w:rsidRPr="00EC4275">
              <w:rPr>
                <w:rFonts w:ascii="Calibri" w:eastAsia="Calibri" w:hAnsi="Calibri" w:cs="Calibri"/>
              </w:rPr>
              <w:t>73.7</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73CC846D" w14:textId="77777777" w:rsidR="00422E32" w:rsidRPr="00EC4275" w:rsidRDefault="00422E32" w:rsidP="0006358C">
            <w:pPr>
              <w:jc w:val="center"/>
            </w:pPr>
            <w:r w:rsidRPr="00EC4275">
              <w:rPr>
                <w:rFonts w:ascii="Calibri" w:eastAsia="Calibri" w:hAnsi="Calibri" w:cs="Calibri"/>
              </w:rPr>
              <w:t>0</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013E44"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2BE6323"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CEE048A"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6230FF44" w14:textId="77777777" w:rsidR="00422E32" w:rsidRPr="00EC4275" w:rsidRDefault="00422E32" w:rsidP="0006358C">
            <w:pPr>
              <w:jc w:val="center"/>
            </w:pPr>
            <w:r w:rsidRPr="00EC4275">
              <w:rPr>
                <w:rFonts w:ascii="Calibri" w:eastAsia="Calibri" w:hAnsi="Calibri" w:cs="Calibri"/>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0CBDCB71" w14:textId="77777777" w:rsidR="00422E32" w:rsidRPr="00EC4275" w:rsidRDefault="00422E32" w:rsidP="0006358C">
            <w:pPr>
              <w:jc w:val="center"/>
            </w:pPr>
            <w:r w:rsidRPr="00EC4275">
              <w:rPr>
                <w:rFonts w:ascii="Calibri" w:eastAsia="Calibri" w:hAnsi="Calibri" w:cs="Calibri"/>
              </w:rPr>
              <w:t>100</w:t>
            </w:r>
          </w:p>
        </w:tc>
      </w:tr>
      <w:tr w:rsidR="00422E32" w:rsidRPr="00EC4275" w14:paraId="419FB36B"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71557862" w14:textId="77777777" w:rsidR="00422E32" w:rsidRPr="00EC4275" w:rsidRDefault="00422E32" w:rsidP="0006358C">
            <w:pPr>
              <w:jc w:val="both"/>
            </w:pPr>
            <w:r w:rsidRPr="00EC4275">
              <w:rPr>
                <w:rFonts w:ascii="Calibri" w:eastAsia="Calibri" w:hAnsi="Calibri" w:cs="Calibri"/>
              </w:rPr>
              <w:t>The content is too basic for pre-registration healthcare students</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6F83837" w14:textId="77777777" w:rsidR="00422E32" w:rsidRPr="00EC4275" w:rsidRDefault="00422E32" w:rsidP="0006358C">
            <w:pPr>
              <w:jc w:val="center"/>
            </w:pPr>
            <w:r w:rsidRPr="00EC4275">
              <w:rPr>
                <w:rFonts w:ascii="Calibri" w:eastAsia="Calibri" w:hAnsi="Calibri" w:cs="Calibri"/>
              </w:rPr>
              <w:t>16</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B91967C" w14:textId="77777777" w:rsidR="00422E32" w:rsidRPr="00EC4275" w:rsidRDefault="00422E32" w:rsidP="0006358C">
            <w:pPr>
              <w:jc w:val="center"/>
            </w:pPr>
            <w:r w:rsidRPr="00EC4275">
              <w:rPr>
                <w:rFonts w:ascii="Calibri" w:eastAsia="Calibri" w:hAnsi="Calibri" w:cs="Calibri"/>
              </w:rPr>
              <w:t>84.2</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0B46DA4F" w14:textId="77777777" w:rsidR="00422E32" w:rsidRPr="00EC4275" w:rsidRDefault="00422E32" w:rsidP="0006358C">
            <w:pPr>
              <w:jc w:val="center"/>
            </w:pPr>
            <w:r w:rsidRPr="00EC4275">
              <w:rPr>
                <w:rFonts w:ascii="Calibri" w:eastAsia="Calibri" w:hAnsi="Calibri" w:cs="Calibri"/>
              </w:rPr>
              <w:t>2</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831B236" w14:textId="77777777" w:rsidR="00422E32" w:rsidRPr="00EC4275" w:rsidRDefault="00422E32" w:rsidP="0006358C">
            <w:pPr>
              <w:jc w:val="center"/>
            </w:pPr>
            <w:r w:rsidRPr="00EC4275">
              <w:rPr>
                <w:rFonts w:ascii="Calibri" w:eastAsia="Calibri" w:hAnsi="Calibri" w:cs="Calibri"/>
              </w:rPr>
              <w:t>10.5</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658E8D38" w14:textId="77777777" w:rsidR="00422E32" w:rsidRPr="00EC4275" w:rsidRDefault="00422E32" w:rsidP="0006358C">
            <w:pPr>
              <w:jc w:val="center"/>
            </w:pPr>
            <w:r w:rsidRPr="00EC4275">
              <w:rPr>
                <w:rFonts w:ascii="Calibri" w:eastAsia="Calibri" w:hAnsi="Calibri" w:cs="Calibri"/>
              </w:rPr>
              <w:t>1</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8CC81C0" w14:textId="77777777" w:rsidR="00422E32" w:rsidRPr="00EC4275" w:rsidRDefault="00422E32" w:rsidP="0006358C">
            <w:pPr>
              <w:jc w:val="center"/>
            </w:pPr>
            <w:r w:rsidRPr="00EC4275">
              <w:rPr>
                <w:rFonts w:ascii="Calibri" w:eastAsia="Calibri" w:hAnsi="Calibri" w:cs="Calibri"/>
              </w:rPr>
              <w:t>5.3</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489A6583" w14:textId="77777777" w:rsidR="00422E32" w:rsidRPr="00EC4275" w:rsidRDefault="00422E32" w:rsidP="0006358C">
            <w:pPr>
              <w:jc w:val="center"/>
            </w:pPr>
            <w:r w:rsidRPr="00EC4275">
              <w:rPr>
                <w:rFonts w:ascii="Calibri" w:eastAsia="Calibri" w:hAnsi="Calibri" w:cs="Calibri"/>
              </w:rPr>
              <w:t>6</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35265C" w14:textId="77777777" w:rsidR="00422E32" w:rsidRPr="00EC4275" w:rsidRDefault="00422E32" w:rsidP="0006358C">
            <w:pPr>
              <w:jc w:val="center"/>
            </w:pPr>
            <w:r w:rsidRPr="00EC4275">
              <w:rPr>
                <w:rFonts w:ascii="Calibri" w:eastAsia="Calibri" w:hAnsi="Calibri" w:cs="Calibri"/>
              </w:rPr>
              <w:t>100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200D741C"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F2C2419"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1B71A954"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279B19C" w14:textId="77777777" w:rsidR="00422E32" w:rsidRPr="00EC4275" w:rsidRDefault="00422E32" w:rsidP="0006358C">
            <w:pPr>
              <w:jc w:val="center"/>
            </w:pPr>
            <w:r w:rsidRPr="00EC4275">
              <w:rPr>
                <w:rFonts w:ascii="Calibri" w:eastAsia="Calibri" w:hAnsi="Calibri" w:cs="Calibri"/>
              </w:rPr>
              <w:t>0</w:t>
            </w:r>
          </w:p>
        </w:tc>
      </w:tr>
      <w:tr w:rsidR="00422E32" w:rsidRPr="00EC4275" w14:paraId="11C38BA2"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26B2F28E" w14:textId="77777777" w:rsidR="00422E32" w:rsidRPr="00EC4275" w:rsidRDefault="00422E32" w:rsidP="0006358C">
            <w:pPr>
              <w:jc w:val="both"/>
            </w:pPr>
            <w:r w:rsidRPr="00EC4275">
              <w:rPr>
                <w:rFonts w:ascii="Calibri" w:eastAsia="Calibri" w:hAnsi="Calibri" w:cs="Calibri"/>
              </w:rPr>
              <w:t>The suggested workplace activities are helpful and relevant to pre-registration healthcare students</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A0FED87"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1839E0"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0C70F416" w14:textId="77777777" w:rsidR="00422E32" w:rsidRPr="00EC4275" w:rsidRDefault="00422E32" w:rsidP="0006358C">
            <w:pPr>
              <w:jc w:val="center"/>
            </w:pPr>
            <w:r w:rsidRPr="00EC4275">
              <w:rPr>
                <w:rFonts w:ascii="Calibri" w:eastAsia="Calibri" w:hAnsi="Calibri" w:cs="Calibri"/>
              </w:rPr>
              <w:t>2</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509BD3" w14:textId="77777777" w:rsidR="00422E32" w:rsidRPr="00EC4275" w:rsidRDefault="00422E32" w:rsidP="0006358C">
            <w:pPr>
              <w:jc w:val="center"/>
            </w:pPr>
            <w:r w:rsidRPr="00EC4275">
              <w:rPr>
                <w:rFonts w:ascii="Calibri" w:eastAsia="Calibri" w:hAnsi="Calibri" w:cs="Calibri"/>
              </w:rPr>
              <w:t>10.5</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0376D176" w14:textId="77777777" w:rsidR="00422E32" w:rsidRPr="00EC4275" w:rsidRDefault="00422E32" w:rsidP="0006358C">
            <w:pPr>
              <w:jc w:val="center"/>
            </w:pPr>
            <w:r w:rsidRPr="00EC4275">
              <w:rPr>
                <w:rFonts w:ascii="Calibri" w:eastAsia="Calibri" w:hAnsi="Calibri" w:cs="Calibri"/>
              </w:rPr>
              <w:t>17</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04E4D40" w14:textId="77777777" w:rsidR="00422E32" w:rsidRPr="00EC4275" w:rsidRDefault="00422E32" w:rsidP="0006358C">
            <w:pPr>
              <w:jc w:val="center"/>
            </w:pPr>
            <w:r w:rsidRPr="00EC4275">
              <w:rPr>
                <w:rFonts w:ascii="Calibri" w:eastAsia="Calibri" w:hAnsi="Calibri" w:cs="Calibri"/>
              </w:rPr>
              <w:t>89.5</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56F63843" w14:textId="77777777" w:rsidR="00422E32" w:rsidRPr="00EC4275" w:rsidRDefault="00422E32" w:rsidP="0006358C">
            <w:pPr>
              <w:jc w:val="center"/>
            </w:pPr>
            <w:r w:rsidRPr="00EC4275">
              <w:rPr>
                <w:rFonts w:ascii="Calibri" w:eastAsia="Calibri" w:hAnsi="Calibri" w:cs="Calibri"/>
              </w:rPr>
              <w:t>0</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D93C08"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2EE0D107"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1BFD662"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3790231A" w14:textId="77777777" w:rsidR="00422E32" w:rsidRPr="00EC4275" w:rsidRDefault="00422E32" w:rsidP="0006358C">
            <w:pPr>
              <w:jc w:val="center"/>
            </w:pPr>
            <w:r w:rsidRPr="00EC4275">
              <w:rPr>
                <w:rFonts w:ascii="Calibri" w:eastAsia="Calibri" w:hAnsi="Calibri" w:cs="Calibri"/>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2F9F6A73" w14:textId="77777777" w:rsidR="00422E32" w:rsidRPr="00EC4275" w:rsidRDefault="00422E32" w:rsidP="0006358C">
            <w:pPr>
              <w:jc w:val="center"/>
            </w:pPr>
            <w:r w:rsidRPr="00EC4275">
              <w:rPr>
                <w:rFonts w:ascii="Calibri" w:eastAsia="Calibri" w:hAnsi="Calibri" w:cs="Calibri"/>
              </w:rPr>
              <w:t>100</w:t>
            </w:r>
          </w:p>
        </w:tc>
      </w:tr>
      <w:tr w:rsidR="00422E32" w:rsidRPr="00EC4275" w14:paraId="715D7630" w14:textId="77777777" w:rsidTr="0006358C">
        <w:trPr>
          <w:gridAfter w:val="2"/>
          <w:wAfter w:w="884" w:type="dxa"/>
          <w:trHeight w:val="285"/>
        </w:trPr>
        <w:tc>
          <w:tcPr>
            <w:tcW w:w="5093" w:type="dxa"/>
            <w:tcBorders>
              <w:top w:val="single" w:sz="8" w:space="0" w:color="auto"/>
              <w:left w:val="single" w:sz="8" w:space="0" w:color="auto"/>
              <w:bottom w:val="single" w:sz="8" w:space="0" w:color="auto"/>
              <w:right w:val="single" w:sz="8" w:space="0" w:color="auto"/>
            </w:tcBorders>
            <w:tcMar>
              <w:left w:w="108" w:type="dxa"/>
              <w:right w:w="108" w:type="dxa"/>
            </w:tcMar>
          </w:tcPr>
          <w:p w14:paraId="15D06EC4" w14:textId="77777777" w:rsidR="00422E32" w:rsidRPr="00EC4275" w:rsidRDefault="00422E32" w:rsidP="0006358C">
            <w:pPr>
              <w:jc w:val="both"/>
            </w:pPr>
            <w:r w:rsidRPr="00EC4275">
              <w:rPr>
                <w:rFonts w:ascii="Calibri" w:eastAsia="Calibri" w:hAnsi="Calibri" w:cs="Calibri"/>
              </w:rPr>
              <w:t>These modules could increase pre-registration healthcare students' confidence about cancer care in practice</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0F6B"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FA813E" w14:textId="77777777" w:rsidR="00422E32" w:rsidRPr="00EC4275" w:rsidRDefault="00422E32" w:rsidP="0006358C">
            <w:pPr>
              <w:jc w:val="center"/>
            </w:pPr>
            <w:r w:rsidRPr="00EC4275">
              <w:rPr>
                <w:rFonts w:ascii="Calibri" w:eastAsia="Calibri" w:hAnsi="Calibri" w:cs="Calibri"/>
              </w:rPr>
              <w:t>0</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413D0DA7" w14:textId="77777777" w:rsidR="00422E32" w:rsidRPr="00EC4275" w:rsidRDefault="00422E32" w:rsidP="0006358C">
            <w:pPr>
              <w:jc w:val="center"/>
            </w:pPr>
            <w:r w:rsidRPr="00EC4275">
              <w:rPr>
                <w:rFonts w:ascii="Calibri" w:eastAsia="Calibri" w:hAnsi="Calibri" w:cs="Calibri"/>
              </w:rPr>
              <w:t>1</w:t>
            </w:r>
          </w:p>
        </w:tc>
        <w:tc>
          <w:tcPr>
            <w:tcW w:w="7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E41893F" w14:textId="77777777" w:rsidR="00422E32" w:rsidRPr="00EC4275" w:rsidRDefault="00422E32" w:rsidP="0006358C">
            <w:pPr>
              <w:jc w:val="center"/>
            </w:pPr>
            <w:r w:rsidRPr="00EC4275">
              <w:rPr>
                <w:rFonts w:ascii="Calibri" w:eastAsia="Calibri" w:hAnsi="Calibri" w:cs="Calibri"/>
              </w:rPr>
              <w:t>5.3</w:t>
            </w:r>
          </w:p>
        </w:tc>
        <w:tc>
          <w:tcPr>
            <w:tcW w:w="780" w:type="dxa"/>
            <w:gridSpan w:val="3"/>
            <w:tcBorders>
              <w:top w:val="single" w:sz="8" w:space="0" w:color="auto"/>
              <w:left w:val="nil"/>
              <w:bottom w:val="single" w:sz="8" w:space="0" w:color="auto"/>
              <w:right w:val="single" w:sz="8" w:space="0" w:color="auto"/>
            </w:tcBorders>
            <w:tcMar>
              <w:left w:w="108" w:type="dxa"/>
              <w:right w:w="108" w:type="dxa"/>
            </w:tcMar>
          </w:tcPr>
          <w:p w14:paraId="133B1DF7" w14:textId="77777777" w:rsidR="00422E32" w:rsidRPr="00EC4275" w:rsidRDefault="00422E32" w:rsidP="0006358C">
            <w:pPr>
              <w:jc w:val="center"/>
            </w:pPr>
            <w:r w:rsidRPr="00EC4275">
              <w:rPr>
                <w:rFonts w:ascii="Calibri" w:eastAsia="Calibri" w:hAnsi="Calibri" w:cs="Calibri"/>
              </w:rPr>
              <w:t>18</w:t>
            </w:r>
          </w:p>
        </w:tc>
        <w:tc>
          <w:tcPr>
            <w:tcW w:w="7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DF94BAB" w14:textId="77777777" w:rsidR="00422E32" w:rsidRPr="00EC4275" w:rsidRDefault="00422E32" w:rsidP="0006358C">
            <w:pPr>
              <w:jc w:val="center"/>
            </w:pPr>
            <w:r w:rsidRPr="00EC4275">
              <w:rPr>
                <w:rFonts w:ascii="Calibri" w:eastAsia="Calibri" w:hAnsi="Calibri" w:cs="Calibri"/>
              </w:rPr>
              <w:t>94.7</w:t>
            </w:r>
          </w:p>
        </w:tc>
        <w:tc>
          <w:tcPr>
            <w:tcW w:w="779" w:type="dxa"/>
            <w:gridSpan w:val="3"/>
            <w:tcBorders>
              <w:top w:val="single" w:sz="8" w:space="0" w:color="auto"/>
              <w:left w:val="nil"/>
              <w:bottom w:val="single" w:sz="8" w:space="0" w:color="auto"/>
              <w:right w:val="single" w:sz="8" w:space="0" w:color="auto"/>
            </w:tcBorders>
            <w:tcMar>
              <w:left w:w="108" w:type="dxa"/>
              <w:right w:w="108" w:type="dxa"/>
            </w:tcMar>
          </w:tcPr>
          <w:p w14:paraId="3FD8CF24" w14:textId="77777777" w:rsidR="00422E32" w:rsidRPr="00EC4275" w:rsidRDefault="00422E32" w:rsidP="0006358C">
            <w:pPr>
              <w:jc w:val="center"/>
            </w:pPr>
            <w:r w:rsidRPr="00EC4275">
              <w:rPr>
                <w:rFonts w:ascii="Calibri" w:eastAsia="Calibri" w:hAnsi="Calibri" w:cs="Calibri"/>
              </w:rPr>
              <w:t>0</w:t>
            </w:r>
          </w:p>
        </w:tc>
        <w:tc>
          <w:tcPr>
            <w:tcW w:w="7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8F60C1"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67FD3A9" w14:textId="77777777" w:rsidR="00422E32" w:rsidRPr="00EC4275" w:rsidRDefault="00422E32" w:rsidP="0006358C">
            <w:pPr>
              <w:jc w:val="center"/>
            </w:pPr>
            <w:r w:rsidRPr="00EC4275">
              <w:rPr>
                <w:rFonts w:ascii="Calibri" w:eastAsia="Calibri" w:hAnsi="Calibri" w:cs="Calibri"/>
              </w:rPr>
              <w:t>0</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0E7C480" w14:textId="77777777" w:rsidR="00422E32" w:rsidRPr="00EC4275" w:rsidRDefault="00422E32" w:rsidP="0006358C">
            <w:pPr>
              <w:jc w:val="center"/>
            </w:pPr>
            <w:r w:rsidRPr="00EC4275">
              <w:rPr>
                <w:rFonts w:ascii="Calibri" w:eastAsia="Calibri" w:hAnsi="Calibri" w:cs="Calibri"/>
              </w:rPr>
              <w:t>0</w:t>
            </w:r>
          </w:p>
        </w:tc>
        <w:tc>
          <w:tcPr>
            <w:tcW w:w="780" w:type="dxa"/>
            <w:tcBorders>
              <w:top w:val="single" w:sz="8" w:space="0" w:color="auto"/>
              <w:left w:val="nil"/>
              <w:bottom w:val="single" w:sz="8" w:space="0" w:color="auto"/>
              <w:right w:val="single" w:sz="8" w:space="0" w:color="auto"/>
            </w:tcBorders>
            <w:tcMar>
              <w:left w:w="108" w:type="dxa"/>
              <w:right w:w="108" w:type="dxa"/>
            </w:tcMar>
          </w:tcPr>
          <w:p w14:paraId="466A2EA1" w14:textId="77777777" w:rsidR="00422E32" w:rsidRPr="00EC4275" w:rsidRDefault="00422E32" w:rsidP="0006358C">
            <w:pPr>
              <w:jc w:val="center"/>
            </w:pPr>
            <w:r w:rsidRPr="00EC4275">
              <w:rPr>
                <w:rFonts w:ascii="Calibri" w:eastAsia="Calibri" w:hAnsi="Calibri" w:cs="Calibri"/>
              </w:rPr>
              <w:t>6</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tcPr>
          <w:p w14:paraId="728B9EF1" w14:textId="77777777" w:rsidR="00422E32" w:rsidRPr="00EC4275" w:rsidRDefault="00422E32" w:rsidP="0006358C">
            <w:pPr>
              <w:jc w:val="center"/>
            </w:pPr>
            <w:r w:rsidRPr="00EC4275">
              <w:rPr>
                <w:rFonts w:ascii="Calibri" w:eastAsia="Calibri" w:hAnsi="Calibri" w:cs="Calibri"/>
              </w:rPr>
              <w:t>100</w:t>
            </w:r>
          </w:p>
        </w:tc>
      </w:tr>
      <w:tr w:rsidR="00422E32" w:rsidRPr="00EC4275" w14:paraId="58313E50" w14:textId="77777777" w:rsidTr="0006358C">
        <w:trPr>
          <w:trHeight w:val="300"/>
        </w:trPr>
        <w:tc>
          <w:tcPr>
            <w:tcW w:w="5093" w:type="dxa"/>
            <w:tcBorders>
              <w:top w:val="single" w:sz="8" w:space="0" w:color="auto"/>
              <w:left w:val="nil"/>
              <w:bottom w:val="nil"/>
              <w:right w:val="nil"/>
            </w:tcBorders>
            <w:vAlign w:val="center"/>
          </w:tcPr>
          <w:p w14:paraId="298C0C58" w14:textId="77777777" w:rsidR="00422E32" w:rsidRPr="00EC4275" w:rsidRDefault="00422E32" w:rsidP="0006358C"/>
        </w:tc>
        <w:tc>
          <w:tcPr>
            <w:tcW w:w="236" w:type="dxa"/>
            <w:tcBorders>
              <w:top w:val="single" w:sz="8" w:space="0" w:color="auto"/>
              <w:left w:val="nil"/>
              <w:bottom w:val="nil"/>
              <w:right w:val="nil"/>
            </w:tcBorders>
            <w:vAlign w:val="center"/>
          </w:tcPr>
          <w:p w14:paraId="7CC25E03" w14:textId="77777777" w:rsidR="00422E32" w:rsidRPr="00EC4275" w:rsidRDefault="00422E32" w:rsidP="0006358C"/>
        </w:tc>
        <w:tc>
          <w:tcPr>
            <w:tcW w:w="439" w:type="dxa"/>
            <w:tcBorders>
              <w:top w:val="single" w:sz="8" w:space="0" w:color="auto"/>
              <w:left w:val="nil"/>
              <w:bottom w:val="nil"/>
              <w:right w:val="nil"/>
            </w:tcBorders>
            <w:vAlign w:val="center"/>
          </w:tcPr>
          <w:p w14:paraId="479D9552" w14:textId="77777777" w:rsidR="00422E32" w:rsidRPr="00EC4275" w:rsidRDefault="00422E32" w:rsidP="0006358C"/>
        </w:tc>
        <w:tc>
          <w:tcPr>
            <w:tcW w:w="236" w:type="dxa"/>
            <w:gridSpan w:val="2"/>
            <w:tcBorders>
              <w:top w:val="nil"/>
              <w:left w:val="nil"/>
              <w:bottom w:val="nil"/>
              <w:right w:val="nil"/>
            </w:tcBorders>
            <w:vAlign w:val="center"/>
          </w:tcPr>
          <w:p w14:paraId="03764AED" w14:textId="77777777" w:rsidR="00422E32" w:rsidRPr="00EC4275" w:rsidRDefault="00422E32" w:rsidP="0006358C"/>
        </w:tc>
        <w:tc>
          <w:tcPr>
            <w:tcW w:w="449" w:type="dxa"/>
            <w:tcBorders>
              <w:top w:val="single" w:sz="8" w:space="0" w:color="auto"/>
              <w:left w:val="nil"/>
              <w:bottom w:val="nil"/>
              <w:right w:val="nil"/>
            </w:tcBorders>
            <w:vAlign w:val="center"/>
          </w:tcPr>
          <w:p w14:paraId="6C251B4B" w14:textId="77777777" w:rsidR="00422E32" w:rsidRPr="00EC4275" w:rsidRDefault="00422E32" w:rsidP="0006358C"/>
        </w:tc>
        <w:tc>
          <w:tcPr>
            <w:tcW w:w="439" w:type="dxa"/>
            <w:gridSpan w:val="2"/>
            <w:tcBorders>
              <w:top w:val="single" w:sz="8" w:space="0" w:color="auto"/>
              <w:left w:val="nil"/>
              <w:bottom w:val="nil"/>
              <w:right w:val="nil"/>
            </w:tcBorders>
            <w:vAlign w:val="center"/>
          </w:tcPr>
          <w:p w14:paraId="66950B19" w14:textId="77777777" w:rsidR="00422E32" w:rsidRPr="00EC4275" w:rsidRDefault="00422E32" w:rsidP="0006358C"/>
        </w:tc>
        <w:tc>
          <w:tcPr>
            <w:tcW w:w="236" w:type="dxa"/>
            <w:tcBorders>
              <w:top w:val="nil"/>
              <w:left w:val="nil"/>
              <w:bottom w:val="nil"/>
              <w:right w:val="nil"/>
            </w:tcBorders>
            <w:vAlign w:val="center"/>
          </w:tcPr>
          <w:p w14:paraId="7ED7ABD9" w14:textId="77777777" w:rsidR="00422E32" w:rsidRPr="00EC4275" w:rsidRDefault="00422E32" w:rsidP="0006358C"/>
        </w:tc>
        <w:tc>
          <w:tcPr>
            <w:tcW w:w="449" w:type="dxa"/>
            <w:gridSpan w:val="2"/>
            <w:tcBorders>
              <w:top w:val="single" w:sz="8" w:space="0" w:color="auto"/>
              <w:left w:val="nil"/>
              <w:bottom w:val="nil"/>
              <w:right w:val="nil"/>
            </w:tcBorders>
            <w:vAlign w:val="center"/>
          </w:tcPr>
          <w:p w14:paraId="32E8A802" w14:textId="77777777" w:rsidR="00422E32" w:rsidRPr="00EC4275" w:rsidRDefault="00422E32" w:rsidP="0006358C"/>
        </w:tc>
        <w:tc>
          <w:tcPr>
            <w:tcW w:w="439" w:type="dxa"/>
            <w:tcBorders>
              <w:top w:val="single" w:sz="8" w:space="0" w:color="auto"/>
              <w:left w:val="nil"/>
              <w:bottom w:val="nil"/>
              <w:right w:val="nil"/>
            </w:tcBorders>
            <w:vAlign w:val="center"/>
          </w:tcPr>
          <w:p w14:paraId="22821817" w14:textId="77777777" w:rsidR="00422E32" w:rsidRPr="00EC4275" w:rsidRDefault="00422E32" w:rsidP="0006358C"/>
        </w:tc>
        <w:tc>
          <w:tcPr>
            <w:tcW w:w="236" w:type="dxa"/>
            <w:gridSpan w:val="2"/>
            <w:tcBorders>
              <w:top w:val="nil"/>
              <w:left w:val="nil"/>
              <w:bottom w:val="nil"/>
              <w:right w:val="nil"/>
            </w:tcBorders>
            <w:vAlign w:val="center"/>
          </w:tcPr>
          <w:p w14:paraId="73E2E924" w14:textId="77777777" w:rsidR="00422E32" w:rsidRPr="00EC4275" w:rsidRDefault="00422E32" w:rsidP="0006358C"/>
        </w:tc>
        <w:tc>
          <w:tcPr>
            <w:tcW w:w="451" w:type="dxa"/>
            <w:tcBorders>
              <w:top w:val="single" w:sz="8" w:space="0" w:color="auto"/>
              <w:left w:val="nil"/>
              <w:bottom w:val="nil"/>
              <w:right w:val="nil"/>
            </w:tcBorders>
            <w:vAlign w:val="center"/>
          </w:tcPr>
          <w:p w14:paraId="63171285" w14:textId="77777777" w:rsidR="00422E32" w:rsidRPr="00EC4275" w:rsidRDefault="00422E32" w:rsidP="0006358C"/>
        </w:tc>
        <w:tc>
          <w:tcPr>
            <w:tcW w:w="366" w:type="dxa"/>
            <w:gridSpan w:val="2"/>
            <w:tcBorders>
              <w:top w:val="single" w:sz="8" w:space="0" w:color="auto"/>
              <w:left w:val="nil"/>
              <w:bottom w:val="nil"/>
              <w:right w:val="nil"/>
            </w:tcBorders>
            <w:vAlign w:val="center"/>
          </w:tcPr>
          <w:p w14:paraId="072E6FAE" w14:textId="77777777" w:rsidR="00422E32" w:rsidRPr="00EC4275" w:rsidRDefault="00422E32" w:rsidP="0006358C"/>
        </w:tc>
        <w:tc>
          <w:tcPr>
            <w:tcW w:w="236" w:type="dxa"/>
            <w:tcBorders>
              <w:top w:val="nil"/>
              <w:left w:val="nil"/>
              <w:bottom w:val="nil"/>
              <w:right w:val="nil"/>
            </w:tcBorders>
            <w:vAlign w:val="center"/>
          </w:tcPr>
          <w:p w14:paraId="1B7F2740" w14:textId="77777777" w:rsidR="00422E32" w:rsidRPr="00EC4275" w:rsidRDefault="00422E32" w:rsidP="0006358C"/>
        </w:tc>
        <w:tc>
          <w:tcPr>
            <w:tcW w:w="449" w:type="dxa"/>
            <w:tcBorders>
              <w:top w:val="single" w:sz="8" w:space="0" w:color="auto"/>
              <w:left w:val="nil"/>
              <w:bottom w:val="nil"/>
              <w:right w:val="nil"/>
            </w:tcBorders>
            <w:vAlign w:val="center"/>
          </w:tcPr>
          <w:p w14:paraId="78118F33" w14:textId="77777777" w:rsidR="00422E32" w:rsidRPr="00EC4275" w:rsidRDefault="00422E32" w:rsidP="0006358C"/>
        </w:tc>
        <w:tc>
          <w:tcPr>
            <w:tcW w:w="240" w:type="dxa"/>
            <w:gridSpan w:val="2"/>
            <w:tcBorders>
              <w:top w:val="single" w:sz="8" w:space="0" w:color="auto"/>
              <w:left w:val="nil"/>
              <w:bottom w:val="nil"/>
              <w:right w:val="nil"/>
            </w:tcBorders>
            <w:vAlign w:val="center"/>
          </w:tcPr>
          <w:p w14:paraId="54AF8645" w14:textId="77777777" w:rsidR="00422E32" w:rsidRPr="00EC4275" w:rsidRDefault="00422E32" w:rsidP="0006358C"/>
        </w:tc>
        <w:tc>
          <w:tcPr>
            <w:tcW w:w="236" w:type="dxa"/>
            <w:tcBorders>
              <w:top w:val="nil"/>
              <w:left w:val="nil"/>
              <w:bottom w:val="nil"/>
              <w:right w:val="nil"/>
            </w:tcBorders>
            <w:vAlign w:val="center"/>
          </w:tcPr>
          <w:p w14:paraId="6CBEF0E3" w14:textId="77777777" w:rsidR="00422E32" w:rsidRPr="00EC4275" w:rsidRDefault="00422E32" w:rsidP="0006358C"/>
        </w:tc>
        <w:tc>
          <w:tcPr>
            <w:tcW w:w="449" w:type="dxa"/>
            <w:gridSpan w:val="2"/>
            <w:tcBorders>
              <w:top w:val="single" w:sz="8" w:space="0" w:color="auto"/>
              <w:left w:val="nil"/>
              <w:bottom w:val="nil"/>
              <w:right w:val="nil"/>
            </w:tcBorders>
            <w:vAlign w:val="center"/>
          </w:tcPr>
          <w:p w14:paraId="742C1CE9" w14:textId="77777777" w:rsidR="00422E32" w:rsidRPr="00EC4275" w:rsidRDefault="00422E32" w:rsidP="0006358C"/>
        </w:tc>
        <w:tc>
          <w:tcPr>
            <w:tcW w:w="4338" w:type="dxa"/>
            <w:gridSpan w:val="6"/>
            <w:tcBorders>
              <w:top w:val="single" w:sz="8" w:space="0" w:color="auto"/>
              <w:left w:val="nil"/>
              <w:bottom w:val="nil"/>
              <w:right w:val="nil"/>
            </w:tcBorders>
            <w:vAlign w:val="center"/>
          </w:tcPr>
          <w:p w14:paraId="5B5E1EF0" w14:textId="77777777" w:rsidR="00422E32" w:rsidRPr="00EC4275" w:rsidRDefault="00422E32" w:rsidP="0006358C"/>
        </w:tc>
        <w:tc>
          <w:tcPr>
            <w:tcW w:w="316" w:type="dxa"/>
            <w:tcBorders>
              <w:top w:val="nil"/>
              <w:left w:val="nil"/>
              <w:bottom w:val="nil"/>
              <w:right w:val="nil"/>
            </w:tcBorders>
            <w:vAlign w:val="center"/>
          </w:tcPr>
          <w:p w14:paraId="44D5C69D" w14:textId="77777777" w:rsidR="00422E32" w:rsidRPr="00EC4275" w:rsidRDefault="00422E32" w:rsidP="0006358C"/>
        </w:tc>
      </w:tr>
    </w:tbl>
    <w:p w14:paraId="743075A0" w14:textId="77777777" w:rsidR="00422E32" w:rsidRPr="00EC4275" w:rsidRDefault="00422E32" w:rsidP="00422E32">
      <w:pPr>
        <w:spacing w:line="360" w:lineRule="auto"/>
        <w:rPr>
          <w:rFonts w:cstheme="minorBidi"/>
          <w:sz w:val="22"/>
          <w:szCs w:val="22"/>
        </w:rPr>
        <w:sectPr w:rsidR="00422E32" w:rsidRPr="00EC4275" w:rsidSect="004068B1">
          <w:pgSz w:w="16838" w:h="11906" w:orient="landscape"/>
          <w:pgMar w:top="1440" w:right="1440" w:bottom="1440" w:left="1440" w:header="708" w:footer="708" w:gutter="0"/>
          <w:cols w:space="708"/>
          <w:docGrid w:linePitch="360"/>
        </w:sectPr>
      </w:pPr>
    </w:p>
    <w:p w14:paraId="021D70EB"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sz w:val="22"/>
          <w:szCs w:val="22"/>
        </w:rPr>
        <w:lastRenderedPageBreak/>
        <w:t xml:space="preserve">From the qualitative comments, when asked what they liked about the modules, students highlighted (1) modules are interactive, informative, and easy to navigate; (2) helpful for learning about cancer and cancer care; (3) perceived link and continuity with post-registration resources; and (4) pitched correctly at learner’s level.  Exemplar quotes are presented on Table 3. </w:t>
      </w:r>
    </w:p>
    <w:p w14:paraId="3E81892A"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Table 3. What students liked about the modules</w:t>
      </w:r>
    </w:p>
    <w:tbl>
      <w:tblPr>
        <w:tblStyle w:val="TableGrid"/>
        <w:tblW w:w="0" w:type="auto"/>
        <w:tblLayout w:type="fixed"/>
        <w:tblLook w:val="04A0" w:firstRow="1" w:lastRow="0" w:firstColumn="1" w:lastColumn="0" w:noHBand="0" w:noVBand="1"/>
      </w:tblPr>
      <w:tblGrid>
        <w:gridCol w:w="1845"/>
        <w:gridCol w:w="7170"/>
      </w:tblGrid>
      <w:tr w:rsidR="00422E32" w:rsidRPr="00EC4275" w14:paraId="15A25249" w14:textId="77777777" w:rsidTr="0006358C">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A77E708" w14:textId="77777777" w:rsidR="00422E32" w:rsidRPr="00EC4275" w:rsidRDefault="00422E32" w:rsidP="0006358C">
            <w:pPr>
              <w:spacing w:line="360" w:lineRule="auto"/>
              <w:jc w:val="both"/>
            </w:pPr>
            <w:r w:rsidRPr="00EC4275">
              <w:rPr>
                <w:rFonts w:ascii="Calibri" w:eastAsia="Calibri" w:hAnsi="Calibri" w:cs="Calibri"/>
                <w:b/>
                <w:bCs/>
              </w:rPr>
              <w:t>Area</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34E6CF0F" w14:textId="77777777" w:rsidR="00422E32" w:rsidRPr="00EC4275" w:rsidRDefault="00422E32" w:rsidP="0006358C">
            <w:pPr>
              <w:spacing w:line="360" w:lineRule="auto"/>
              <w:jc w:val="both"/>
            </w:pPr>
            <w:r w:rsidRPr="00EC4275">
              <w:rPr>
                <w:rFonts w:ascii="Calibri" w:eastAsia="Calibri" w:hAnsi="Calibri" w:cs="Calibri"/>
                <w:b/>
                <w:bCs/>
              </w:rPr>
              <w:t>Exemplar quotes</w:t>
            </w:r>
          </w:p>
        </w:tc>
      </w:tr>
      <w:tr w:rsidR="00422E32" w:rsidRPr="00EC4275" w14:paraId="15894EFF" w14:textId="77777777" w:rsidTr="0006358C">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F3B7A36" w14:textId="77777777" w:rsidR="00422E32" w:rsidRPr="00EC4275" w:rsidRDefault="00422E32" w:rsidP="0006358C">
            <w:pPr>
              <w:spacing w:line="360" w:lineRule="auto"/>
            </w:pPr>
            <w:r w:rsidRPr="00EC4275">
              <w:rPr>
                <w:rFonts w:ascii="Calibri" w:eastAsia="Calibri" w:hAnsi="Calibri" w:cs="Calibri"/>
              </w:rPr>
              <w:t>Modules are interactive, informative, and easy to navigate</w:t>
            </w:r>
          </w:p>
          <w:p w14:paraId="77CC2C3A" w14:textId="77777777" w:rsidR="00422E32" w:rsidRPr="00EC4275" w:rsidRDefault="00422E32" w:rsidP="0006358C">
            <w:pPr>
              <w:spacing w:line="360" w:lineRule="auto"/>
            </w:pPr>
            <w:r w:rsidRPr="00EC4275">
              <w:rPr>
                <w:rFonts w:ascii="Calibri" w:eastAsia="Calibri" w:hAnsi="Calibri" w:cs="Calibri"/>
              </w:rPr>
              <w:t xml:space="preserve"> </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6EC99944" w14:textId="77777777" w:rsidR="00422E32" w:rsidRPr="00EC4275" w:rsidRDefault="00422E32" w:rsidP="0006358C">
            <w:pPr>
              <w:spacing w:line="360" w:lineRule="auto"/>
              <w:jc w:val="both"/>
            </w:pPr>
            <w:r w:rsidRPr="00EC4275">
              <w:rPr>
                <w:rFonts w:ascii="Calibri" w:eastAsia="Calibri" w:hAnsi="Calibri" w:cs="Calibri"/>
              </w:rPr>
              <w:t>‘The revision activities were helpful’</w:t>
            </w:r>
          </w:p>
          <w:p w14:paraId="4709AAA2" w14:textId="77777777" w:rsidR="00422E32" w:rsidRPr="00EC4275" w:rsidRDefault="00422E32" w:rsidP="0006358C">
            <w:pPr>
              <w:spacing w:line="360" w:lineRule="auto"/>
              <w:jc w:val="both"/>
            </w:pPr>
            <w:r w:rsidRPr="00EC4275">
              <w:rPr>
                <w:rFonts w:ascii="Calibri" w:eastAsia="Calibri" w:hAnsi="Calibri" w:cs="Calibri"/>
              </w:rPr>
              <w:t>‘They are engaging and go into just the right amount of detail. I like how the information is delivered, its interactive and so keeps me engaged.’</w:t>
            </w:r>
          </w:p>
          <w:p w14:paraId="58E3D61A" w14:textId="77777777" w:rsidR="00422E32" w:rsidRPr="00EC4275" w:rsidRDefault="00422E32" w:rsidP="0006358C">
            <w:pPr>
              <w:spacing w:line="360" w:lineRule="auto"/>
              <w:jc w:val="both"/>
            </w:pPr>
            <w:r w:rsidRPr="00EC4275">
              <w:rPr>
                <w:rFonts w:ascii="Calibri" w:eastAsia="Calibri" w:hAnsi="Calibri" w:cs="Calibri"/>
              </w:rPr>
              <w:t>‘They were engaging and informative. Easy to navigate and follow-up</w:t>
            </w:r>
          </w:p>
          <w:p w14:paraId="379987B3" w14:textId="77777777" w:rsidR="00422E32" w:rsidRPr="00EC4275" w:rsidRDefault="00422E32" w:rsidP="0006358C">
            <w:pPr>
              <w:spacing w:line="360" w:lineRule="auto"/>
              <w:jc w:val="both"/>
            </w:pPr>
            <w:r w:rsidRPr="00EC4275">
              <w:rPr>
                <w:rFonts w:ascii="Calibri" w:eastAsia="Calibri" w:hAnsi="Calibri" w:cs="Calibri"/>
              </w:rPr>
              <w:t>information is relevant, and information is separated into different categories to be understandable.’</w:t>
            </w:r>
          </w:p>
          <w:p w14:paraId="17F7B938" w14:textId="77777777" w:rsidR="00422E32" w:rsidRPr="00EC4275" w:rsidRDefault="00422E32" w:rsidP="0006358C">
            <w:pPr>
              <w:spacing w:line="360" w:lineRule="auto"/>
              <w:jc w:val="both"/>
            </w:pPr>
            <w:r w:rsidRPr="00EC4275">
              <w:rPr>
                <w:rFonts w:ascii="Calibri" w:eastAsia="Calibri" w:hAnsi="Calibri" w:cs="Calibri"/>
              </w:rPr>
              <w:t>‘I like that they have interactive parts to them to keep you interested and involved.’</w:t>
            </w:r>
          </w:p>
        </w:tc>
      </w:tr>
      <w:tr w:rsidR="00422E32" w:rsidRPr="00EC4275" w14:paraId="08AEDF68" w14:textId="77777777" w:rsidTr="0006358C">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FA84236" w14:textId="77777777" w:rsidR="00422E32" w:rsidRPr="00EC4275" w:rsidRDefault="00422E32" w:rsidP="0006358C">
            <w:pPr>
              <w:spacing w:line="360" w:lineRule="auto"/>
            </w:pPr>
            <w:r w:rsidRPr="00EC4275">
              <w:rPr>
                <w:rFonts w:ascii="Calibri" w:eastAsia="Calibri" w:hAnsi="Calibri" w:cs="Calibri"/>
              </w:rPr>
              <w:t>Helpful for learning about cancer and cancer care</w:t>
            </w:r>
          </w:p>
          <w:p w14:paraId="0500E697" w14:textId="77777777" w:rsidR="00422E32" w:rsidRPr="00EC4275" w:rsidRDefault="00422E32" w:rsidP="0006358C">
            <w:pPr>
              <w:spacing w:line="360" w:lineRule="auto"/>
            </w:pPr>
            <w:r w:rsidRPr="00EC4275">
              <w:rPr>
                <w:rFonts w:ascii="Calibri" w:eastAsia="Calibri" w:hAnsi="Calibri" w:cs="Calibri"/>
              </w:rPr>
              <w:t xml:space="preserve"> </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0E9AE196" w14:textId="77777777" w:rsidR="00422E32" w:rsidRPr="00EC4275" w:rsidRDefault="00422E32" w:rsidP="0006358C">
            <w:pPr>
              <w:spacing w:line="360" w:lineRule="auto"/>
              <w:jc w:val="both"/>
            </w:pPr>
            <w:r>
              <w:rPr>
                <w:rFonts w:ascii="Calibri" w:eastAsia="Calibri" w:hAnsi="Calibri" w:cs="Calibri"/>
              </w:rPr>
              <w:t>‘</w:t>
            </w:r>
            <w:r w:rsidRPr="00EC4275">
              <w:rPr>
                <w:rFonts w:ascii="Calibri" w:eastAsia="Calibri" w:hAnsi="Calibri" w:cs="Calibri"/>
              </w:rPr>
              <w:t>I liked that they provided lots of useful information surrounding the topic</w:t>
            </w:r>
            <w:r>
              <w:rPr>
                <w:rFonts w:ascii="Calibri" w:eastAsia="Calibri" w:hAnsi="Calibri" w:cs="Calibri"/>
              </w:rPr>
              <w:t>’</w:t>
            </w:r>
          </w:p>
          <w:p w14:paraId="66CCE9D8" w14:textId="77777777" w:rsidR="00422E32" w:rsidRPr="00EC4275" w:rsidRDefault="00422E32" w:rsidP="0006358C">
            <w:pPr>
              <w:spacing w:line="360" w:lineRule="auto"/>
              <w:jc w:val="both"/>
            </w:pPr>
            <w:r w:rsidRPr="00EC4275">
              <w:rPr>
                <w:rFonts w:ascii="Calibri" w:eastAsia="Calibri" w:hAnsi="Calibri" w:cs="Calibri"/>
              </w:rPr>
              <w:t>‘It increased my knowledge around cancer vastly and I found it an effective way of learning.’</w:t>
            </w:r>
          </w:p>
          <w:p w14:paraId="5E33DFB4" w14:textId="77777777" w:rsidR="00422E32" w:rsidRPr="00EC4275" w:rsidRDefault="00422E32" w:rsidP="0006358C">
            <w:pPr>
              <w:spacing w:line="360" w:lineRule="auto"/>
              <w:jc w:val="both"/>
            </w:pPr>
            <w:r w:rsidRPr="00EC4275">
              <w:rPr>
                <w:rFonts w:ascii="Calibri" w:eastAsia="Calibri" w:hAnsi="Calibri" w:cs="Calibri"/>
              </w:rPr>
              <w:t>‘They cover cancer care in all aspects and the assessment section is very helpful in recounting what you've learnt.’</w:t>
            </w:r>
          </w:p>
          <w:p w14:paraId="0719ED3D" w14:textId="77777777" w:rsidR="00422E32" w:rsidRPr="00EC4275" w:rsidRDefault="00422E32" w:rsidP="0006358C">
            <w:pPr>
              <w:spacing w:line="360" w:lineRule="auto"/>
              <w:jc w:val="both"/>
            </w:pPr>
            <w:r w:rsidRPr="00EC4275">
              <w:rPr>
                <w:rFonts w:ascii="Calibri" w:eastAsia="Calibri" w:hAnsi="Calibri" w:cs="Calibri"/>
              </w:rPr>
              <w:t>‘I enjoyed learning about cancer care.’</w:t>
            </w:r>
          </w:p>
        </w:tc>
      </w:tr>
      <w:tr w:rsidR="00422E32" w:rsidRPr="00EC4275" w14:paraId="31603826" w14:textId="77777777" w:rsidTr="0006358C">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7BD4CA2" w14:textId="77777777" w:rsidR="00422E32" w:rsidRPr="00EC4275" w:rsidRDefault="00422E32" w:rsidP="0006358C">
            <w:pPr>
              <w:spacing w:line="360" w:lineRule="auto"/>
            </w:pPr>
            <w:r w:rsidRPr="00EC4275">
              <w:rPr>
                <w:rFonts w:ascii="Calibri" w:eastAsia="Calibri" w:hAnsi="Calibri" w:cs="Calibri"/>
              </w:rPr>
              <w:t>Perceived link and continuity with post-registration resources</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7431B100" w14:textId="77777777" w:rsidR="00422E32" w:rsidRPr="00EC4275" w:rsidRDefault="00422E32" w:rsidP="0006358C">
            <w:pPr>
              <w:spacing w:line="360" w:lineRule="auto"/>
              <w:jc w:val="both"/>
            </w:pPr>
            <w:r w:rsidRPr="00EC4275">
              <w:rPr>
                <w:rFonts w:ascii="Calibri" w:eastAsia="Calibri" w:hAnsi="Calibri" w:cs="Calibri"/>
                <w:b/>
                <w:bCs/>
              </w:rPr>
              <w:t>‘</w:t>
            </w:r>
            <w:r w:rsidRPr="00EC4275">
              <w:rPr>
                <w:rFonts w:ascii="Calibri" w:eastAsia="Calibri" w:hAnsi="Calibri" w:cs="Calibri"/>
              </w:rPr>
              <w:t>Provides good basic overall grounding of context. I also feel that if the post-reg training is similar then it would be very useful to review again once qualified and working in practice.’</w:t>
            </w:r>
          </w:p>
        </w:tc>
      </w:tr>
      <w:tr w:rsidR="00422E32" w:rsidRPr="00EC4275" w14:paraId="0E8FDC2D" w14:textId="77777777" w:rsidTr="0006358C">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356DA0D" w14:textId="77777777" w:rsidR="00422E32" w:rsidRPr="00EC4275" w:rsidRDefault="00422E32" w:rsidP="0006358C">
            <w:pPr>
              <w:spacing w:line="360" w:lineRule="auto"/>
            </w:pPr>
            <w:r w:rsidRPr="00EC4275">
              <w:rPr>
                <w:rFonts w:ascii="Calibri" w:eastAsia="Calibri" w:hAnsi="Calibri" w:cs="Calibri"/>
              </w:rPr>
              <w:t>Pitched correctly at learner’s level</w:t>
            </w:r>
          </w:p>
          <w:p w14:paraId="45F8132B" w14:textId="77777777" w:rsidR="00422E32" w:rsidRPr="00EC4275" w:rsidRDefault="00422E32" w:rsidP="0006358C">
            <w:pPr>
              <w:spacing w:line="360" w:lineRule="auto"/>
            </w:pPr>
            <w:r w:rsidRPr="00EC4275">
              <w:rPr>
                <w:rFonts w:ascii="Calibri" w:eastAsia="Calibri" w:hAnsi="Calibri" w:cs="Calibri"/>
              </w:rPr>
              <w:t xml:space="preserve"> </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5904286B" w14:textId="77777777" w:rsidR="00422E32" w:rsidRPr="00EC4275" w:rsidRDefault="00422E32" w:rsidP="0006358C">
            <w:pPr>
              <w:spacing w:line="360" w:lineRule="auto"/>
              <w:jc w:val="both"/>
            </w:pPr>
            <w:r w:rsidRPr="00EC4275">
              <w:rPr>
                <w:rFonts w:ascii="Calibri" w:eastAsia="Calibri" w:hAnsi="Calibri" w:cs="Calibri"/>
              </w:rPr>
              <w:t>‘I liked that they were written in a way that allowed me to understand the science and complexity of cancer in the body but also explained in a way that made it easy to follow.’</w:t>
            </w:r>
          </w:p>
          <w:p w14:paraId="0F8F7BDF" w14:textId="77777777" w:rsidR="00422E32" w:rsidRPr="00EC4275" w:rsidRDefault="00422E32" w:rsidP="0006358C">
            <w:pPr>
              <w:spacing w:line="360" w:lineRule="auto"/>
              <w:jc w:val="both"/>
            </w:pPr>
            <w:r w:rsidRPr="00EC4275">
              <w:rPr>
                <w:rFonts w:ascii="Calibri" w:eastAsia="Calibri" w:hAnsi="Calibri" w:cs="Calibri"/>
              </w:rPr>
              <w:t>‘I thought the content was well laid out. It provided a lot of information which was all broken down making it easier to comprehend as a pre-reg nurse. I also really liked how there was a good chunk of detail on each subject, not just a one-line definition.’</w:t>
            </w:r>
          </w:p>
        </w:tc>
      </w:tr>
    </w:tbl>
    <w:p w14:paraId="3FFE6CBC"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 xml:space="preserve"> </w:t>
      </w:r>
    </w:p>
    <w:p w14:paraId="1E9E3F97" w14:textId="77777777" w:rsidR="00422E32" w:rsidRPr="00EC4275" w:rsidRDefault="00422E32" w:rsidP="00422E32">
      <w:pPr>
        <w:spacing w:line="360" w:lineRule="auto"/>
        <w:rPr>
          <w:rFonts w:cstheme="minorBidi"/>
          <w:sz w:val="22"/>
          <w:szCs w:val="22"/>
        </w:rPr>
      </w:pPr>
      <w:r>
        <w:rPr>
          <w:rFonts w:ascii="Calibri" w:eastAsia="Calibri" w:hAnsi="Calibri" w:cs="Calibri"/>
          <w:sz w:val="22"/>
          <w:szCs w:val="22"/>
        </w:rPr>
        <w:lastRenderedPageBreak/>
        <w:t>A</w:t>
      </w:r>
      <w:r w:rsidRPr="00EC4275">
        <w:rPr>
          <w:rFonts w:ascii="Calibri" w:eastAsia="Calibri" w:hAnsi="Calibri" w:cs="Calibri"/>
          <w:sz w:val="22"/>
          <w:szCs w:val="22"/>
        </w:rPr>
        <w:t xml:space="preserve">reas of improvement were identified by students in the free text comments. These include (1) reinforce on-line learning with live lectures, (2) simplify the science of cancer module, (3) </w:t>
      </w:r>
      <w:r>
        <w:rPr>
          <w:rFonts w:ascii="Calibri" w:eastAsia="Calibri" w:hAnsi="Calibri" w:cs="Calibri"/>
          <w:sz w:val="22"/>
          <w:szCs w:val="22"/>
        </w:rPr>
        <w:t xml:space="preserve">a lot of new information to learn and </w:t>
      </w:r>
      <w:r w:rsidRPr="00EC4275">
        <w:rPr>
          <w:rFonts w:ascii="Calibri" w:eastAsia="Calibri" w:hAnsi="Calibri" w:cs="Calibri"/>
          <w:sz w:val="22"/>
          <w:szCs w:val="22"/>
        </w:rPr>
        <w:t>(4) improve navigation of virtual platform</w:t>
      </w:r>
      <w:r>
        <w:rPr>
          <w:rFonts w:ascii="Calibri" w:eastAsia="Calibri" w:hAnsi="Calibri" w:cs="Calibri"/>
          <w:sz w:val="22"/>
          <w:szCs w:val="22"/>
        </w:rPr>
        <w:t xml:space="preserve">. </w:t>
      </w:r>
      <w:r w:rsidRPr="00EC4275">
        <w:rPr>
          <w:rFonts w:ascii="Calibri" w:eastAsia="Calibri" w:hAnsi="Calibri" w:cs="Calibri"/>
          <w:sz w:val="22"/>
          <w:szCs w:val="22"/>
        </w:rPr>
        <w:t xml:space="preserve"> These are listed on Table 4 with exemplar quotes provided. </w:t>
      </w:r>
    </w:p>
    <w:p w14:paraId="37FA4EC9"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Table 4. Areas of improvement identified by students</w:t>
      </w:r>
    </w:p>
    <w:tbl>
      <w:tblPr>
        <w:tblStyle w:val="TableGrid"/>
        <w:tblW w:w="9015" w:type="dxa"/>
        <w:tblLayout w:type="fixed"/>
        <w:tblLook w:val="04A0" w:firstRow="1" w:lastRow="0" w:firstColumn="1" w:lastColumn="0" w:noHBand="0" w:noVBand="1"/>
      </w:tblPr>
      <w:tblGrid>
        <w:gridCol w:w="1845"/>
        <w:gridCol w:w="7170"/>
      </w:tblGrid>
      <w:tr w:rsidR="00422E32" w:rsidRPr="00EC4275" w14:paraId="08A7C7BB" w14:textId="77777777" w:rsidTr="28DD7E7E">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8AD4113" w14:textId="77777777" w:rsidR="00422E32" w:rsidRPr="00EC4275" w:rsidRDefault="00422E32" w:rsidP="0006358C">
            <w:pPr>
              <w:spacing w:line="360" w:lineRule="auto"/>
              <w:jc w:val="both"/>
            </w:pPr>
            <w:r w:rsidRPr="00EC4275">
              <w:rPr>
                <w:rFonts w:ascii="Calibri" w:eastAsia="Calibri" w:hAnsi="Calibri" w:cs="Calibri"/>
                <w:b/>
                <w:bCs/>
              </w:rPr>
              <w:t>Area</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49A63764" w14:textId="77777777" w:rsidR="00422E32" w:rsidRPr="00EC4275" w:rsidRDefault="00422E32" w:rsidP="0006358C">
            <w:pPr>
              <w:spacing w:line="360" w:lineRule="auto"/>
              <w:jc w:val="both"/>
            </w:pPr>
            <w:r w:rsidRPr="00EC4275">
              <w:rPr>
                <w:rFonts w:ascii="Calibri" w:eastAsia="Calibri" w:hAnsi="Calibri" w:cs="Calibri"/>
                <w:b/>
                <w:bCs/>
              </w:rPr>
              <w:t>Exemplar quotes</w:t>
            </w:r>
          </w:p>
        </w:tc>
      </w:tr>
      <w:tr w:rsidR="00422E32" w:rsidRPr="00EC4275" w14:paraId="36345F50" w14:textId="77777777" w:rsidTr="28DD7E7E">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7A60097" w14:textId="77777777" w:rsidR="00422E32" w:rsidRPr="00EC4275" w:rsidRDefault="00422E32" w:rsidP="0006358C">
            <w:pPr>
              <w:spacing w:line="360" w:lineRule="auto"/>
            </w:pPr>
            <w:r w:rsidRPr="00EC4275">
              <w:rPr>
                <w:rFonts w:ascii="Calibri" w:eastAsia="Calibri" w:hAnsi="Calibri" w:cs="Calibri"/>
              </w:rPr>
              <w:t>Reinforce on-line learning with live lectures</w:t>
            </w:r>
          </w:p>
          <w:p w14:paraId="2671686A" w14:textId="77777777" w:rsidR="00422E32" w:rsidRPr="00EC4275" w:rsidRDefault="00422E32" w:rsidP="0006358C">
            <w:pPr>
              <w:spacing w:line="360" w:lineRule="auto"/>
            </w:pPr>
            <w:r w:rsidRPr="00EC4275">
              <w:rPr>
                <w:rFonts w:ascii="Calibri" w:eastAsia="Calibri" w:hAnsi="Calibri" w:cs="Calibri"/>
              </w:rPr>
              <w:t xml:space="preserve"> </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67BF6FE4" w14:textId="77777777" w:rsidR="00422E32" w:rsidRPr="00EC4275" w:rsidRDefault="00422E32" w:rsidP="0006358C">
            <w:pPr>
              <w:spacing w:line="360" w:lineRule="auto"/>
              <w:jc w:val="both"/>
            </w:pPr>
            <w:r w:rsidRPr="00EC4275">
              <w:rPr>
                <w:rFonts w:ascii="Calibri" w:eastAsia="Calibri" w:hAnsi="Calibri" w:cs="Calibri"/>
              </w:rPr>
              <w:t>‘I think the e-learning modules are useful, but I also feel that some of that content should be taught in the live teaching sessions….. As for someone who's not had any experience with cancer care, it would have been nice to have this information at the start.’</w:t>
            </w:r>
          </w:p>
        </w:tc>
      </w:tr>
      <w:tr w:rsidR="00422E32" w:rsidRPr="00EC4275" w14:paraId="674B7DF0" w14:textId="77777777" w:rsidTr="28DD7E7E">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2393F9B" w14:textId="77777777" w:rsidR="00422E32" w:rsidRPr="00EC4275" w:rsidRDefault="00422E32" w:rsidP="0006358C">
            <w:pPr>
              <w:spacing w:line="360" w:lineRule="auto"/>
            </w:pPr>
            <w:r w:rsidRPr="00EC4275">
              <w:rPr>
                <w:rFonts w:ascii="Calibri" w:eastAsia="Calibri" w:hAnsi="Calibri" w:cs="Calibri"/>
              </w:rPr>
              <w:t>Simplify the science of cancer module</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3949D1FC" w14:textId="77777777" w:rsidR="00422E32" w:rsidRPr="00EC4275" w:rsidRDefault="00422E32" w:rsidP="0006358C">
            <w:pPr>
              <w:spacing w:line="360" w:lineRule="auto"/>
              <w:jc w:val="both"/>
            </w:pPr>
            <w:r w:rsidRPr="00EC4275">
              <w:rPr>
                <w:rFonts w:ascii="Calibri" w:eastAsia="Calibri" w:hAnsi="Calibri" w:cs="Calibri"/>
              </w:rPr>
              <w:t>‘The scientific side was a lot to learn in a short period of time although it was well explained.’</w:t>
            </w:r>
          </w:p>
          <w:p w14:paraId="60097E9F" w14:textId="625F8103" w:rsidR="00422E32" w:rsidRPr="00EC4275" w:rsidRDefault="00422E32" w:rsidP="0006358C">
            <w:pPr>
              <w:spacing w:line="360" w:lineRule="auto"/>
              <w:jc w:val="both"/>
            </w:pPr>
            <w:r w:rsidRPr="28DD7E7E">
              <w:rPr>
                <w:rFonts w:ascii="Calibri" w:eastAsia="Calibri" w:hAnsi="Calibri" w:cs="Calibri"/>
              </w:rPr>
              <w:t>‘The science of cancer module was exceptional</w:t>
            </w:r>
            <w:r w:rsidR="6DD000BA" w:rsidRPr="28DD7E7E">
              <w:rPr>
                <w:rFonts w:ascii="Calibri" w:eastAsia="Calibri" w:hAnsi="Calibri" w:cs="Calibri"/>
              </w:rPr>
              <w:t>,</w:t>
            </w:r>
            <w:r w:rsidRPr="28DD7E7E">
              <w:rPr>
                <w:rFonts w:ascii="Calibri" w:eastAsia="Calibri" w:hAnsi="Calibri" w:cs="Calibri"/>
              </w:rPr>
              <w:t xml:space="preserve"> rich in medical information; it was quite hard to fully take in.’</w:t>
            </w:r>
          </w:p>
        </w:tc>
      </w:tr>
      <w:tr w:rsidR="00422E32" w:rsidRPr="00EC4275" w14:paraId="1AE723AB" w14:textId="77777777" w:rsidTr="28DD7E7E">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62B5AC5" w14:textId="77777777" w:rsidR="00422E32" w:rsidRPr="00EC4275" w:rsidRDefault="00422E32" w:rsidP="0006358C">
            <w:pPr>
              <w:spacing w:line="360" w:lineRule="auto"/>
            </w:pPr>
            <w:r>
              <w:rPr>
                <w:rFonts w:ascii="Calibri" w:eastAsia="Calibri" w:hAnsi="Calibri" w:cs="Calibri"/>
              </w:rPr>
              <w:t>A lot of new information to learn</w:t>
            </w:r>
            <w:r w:rsidRPr="00EC4275">
              <w:rPr>
                <w:rFonts w:ascii="Calibri" w:eastAsia="Calibri" w:hAnsi="Calibri" w:cs="Calibri"/>
              </w:rPr>
              <w:t xml:space="preserve"> </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584617B3" w14:textId="77777777" w:rsidR="00422E32" w:rsidRPr="00EC4275" w:rsidRDefault="00422E32" w:rsidP="0006358C">
            <w:pPr>
              <w:spacing w:line="360" w:lineRule="auto"/>
              <w:jc w:val="both"/>
            </w:pPr>
            <w:r w:rsidRPr="00EC4275">
              <w:rPr>
                <w:rFonts w:ascii="Calibri" w:eastAsia="Calibri" w:hAnsi="Calibri" w:cs="Calibri"/>
              </w:rPr>
              <w:t>‘</w:t>
            </w:r>
            <w:r>
              <w:rPr>
                <w:rFonts w:ascii="Calibri" w:eastAsia="Calibri" w:hAnsi="Calibri" w:cs="Calibri"/>
              </w:rPr>
              <w:t>Unsure</w:t>
            </w:r>
            <w:r w:rsidRPr="00EC4275">
              <w:rPr>
                <w:rFonts w:ascii="Calibri" w:eastAsia="Calibri" w:hAnsi="Calibri" w:cs="Calibri"/>
              </w:rPr>
              <w:t xml:space="preserve"> if I will remember any of this content before being able to use it within practice.’</w:t>
            </w:r>
          </w:p>
          <w:p w14:paraId="14080998" w14:textId="77777777" w:rsidR="00422E32" w:rsidRPr="00EC4275" w:rsidRDefault="00422E32" w:rsidP="0006358C">
            <w:pPr>
              <w:spacing w:line="360" w:lineRule="auto"/>
              <w:jc w:val="both"/>
            </w:pPr>
            <w:r w:rsidRPr="00EC4275">
              <w:rPr>
                <w:rFonts w:ascii="Calibri" w:eastAsia="Calibri" w:hAnsi="Calibri" w:cs="Calibri"/>
              </w:rPr>
              <w:t>‘I thought it was quite hard to remember a range of difficult information.’</w:t>
            </w:r>
          </w:p>
          <w:p w14:paraId="1364BE59" w14:textId="77777777" w:rsidR="00422E32" w:rsidRPr="00EC4275" w:rsidRDefault="00422E32" w:rsidP="0006358C">
            <w:pPr>
              <w:spacing w:line="360" w:lineRule="auto"/>
              <w:jc w:val="both"/>
            </w:pPr>
            <w:r w:rsidRPr="00EC4275">
              <w:rPr>
                <w:rFonts w:ascii="Calibri" w:eastAsia="Calibri" w:hAnsi="Calibri" w:cs="Calibri"/>
              </w:rPr>
              <w:t>‘There is a lot of information to take in, so if this was given as an optional module with no credits assigned to it students may find it overwhelming.’</w:t>
            </w:r>
          </w:p>
        </w:tc>
      </w:tr>
      <w:tr w:rsidR="00422E32" w:rsidRPr="00EC4275" w14:paraId="1E7F5B03" w14:textId="77777777" w:rsidTr="28DD7E7E">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050079A" w14:textId="77777777" w:rsidR="00422E32" w:rsidRPr="00EC4275" w:rsidRDefault="00422E32" w:rsidP="0006358C">
            <w:pPr>
              <w:spacing w:line="360" w:lineRule="auto"/>
            </w:pPr>
            <w:r w:rsidRPr="00EC4275">
              <w:rPr>
                <w:rFonts w:ascii="Calibri" w:eastAsia="Calibri" w:hAnsi="Calibri" w:cs="Calibri"/>
              </w:rPr>
              <w:t xml:space="preserve">Improve navigation </w:t>
            </w:r>
          </w:p>
          <w:p w14:paraId="0940666E" w14:textId="77777777" w:rsidR="00422E32" w:rsidRPr="00EC4275" w:rsidRDefault="00422E32" w:rsidP="0006358C">
            <w:pPr>
              <w:spacing w:line="360" w:lineRule="auto"/>
            </w:pPr>
            <w:r w:rsidRPr="00EC4275">
              <w:rPr>
                <w:rFonts w:ascii="Calibri" w:eastAsia="Calibri" w:hAnsi="Calibri" w:cs="Calibri"/>
              </w:rPr>
              <w:t>of virtual platform</w:t>
            </w:r>
          </w:p>
        </w:tc>
        <w:tc>
          <w:tcPr>
            <w:tcW w:w="7170" w:type="dxa"/>
            <w:tcBorders>
              <w:top w:val="single" w:sz="8" w:space="0" w:color="auto"/>
              <w:left w:val="single" w:sz="8" w:space="0" w:color="auto"/>
              <w:bottom w:val="single" w:sz="8" w:space="0" w:color="auto"/>
              <w:right w:val="single" w:sz="8" w:space="0" w:color="auto"/>
            </w:tcBorders>
            <w:tcMar>
              <w:left w:w="108" w:type="dxa"/>
              <w:right w:w="108" w:type="dxa"/>
            </w:tcMar>
          </w:tcPr>
          <w:p w14:paraId="06A64861" w14:textId="77777777" w:rsidR="00422E32" w:rsidRPr="00EC4275" w:rsidRDefault="00422E32" w:rsidP="0006358C">
            <w:pPr>
              <w:spacing w:line="360" w:lineRule="auto"/>
              <w:jc w:val="both"/>
            </w:pPr>
            <w:r w:rsidRPr="00EC4275">
              <w:rPr>
                <w:rFonts w:ascii="Calibri" w:eastAsia="Calibri" w:hAnsi="Calibri" w:cs="Calibri"/>
              </w:rPr>
              <w:t>‘The registering of the answers didn’t always work, but the modules were very good.’</w:t>
            </w:r>
          </w:p>
          <w:p w14:paraId="3433707B" w14:textId="77777777" w:rsidR="00422E32" w:rsidRPr="00EC4275" w:rsidRDefault="00422E32" w:rsidP="0006358C">
            <w:pPr>
              <w:spacing w:line="360" w:lineRule="auto"/>
              <w:jc w:val="both"/>
            </w:pPr>
            <w:r w:rsidRPr="00EC4275">
              <w:rPr>
                <w:rFonts w:ascii="Calibri" w:eastAsia="Calibri" w:hAnsi="Calibri" w:cs="Calibri"/>
              </w:rPr>
              <w:t>‘Key words or important information should be in bold or colour.’</w:t>
            </w:r>
          </w:p>
          <w:p w14:paraId="346EDDD9" w14:textId="77777777" w:rsidR="00422E32" w:rsidRDefault="00422E32" w:rsidP="0006358C">
            <w:pPr>
              <w:spacing w:line="360" w:lineRule="auto"/>
              <w:jc w:val="both"/>
              <w:rPr>
                <w:rFonts w:ascii="Calibri" w:eastAsia="Calibri" w:hAnsi="Calibri" w:cs="Calibri"/>
              </w:rPr>
            </w:pPr>
            <w:r w:rsidRPr="00EC4275">
              <w:rPr>
                <w:rFonts w:ascii="Calibri" w:eastAsia="Calibri" w:hAnsi="Calibri" w:cs="Calibri"/>
              </w:rPr>
              <w:t>‘Maybe make it a bit easier to navigate.’</w:t>
            </w:r>
          </w:p>
          <w:p w14:paraId="1C41AC65" w14:textId="77777777" w:rsidR="00422E32" w:rsidRPr="00EC4275" w:rsidRDefault="00422E32" w:rsidP="0006358C">
            <w:pPr>
              <w:spacing w:line="360" w:lineRule="auto"/>
              <w:jc w:val="both"/>
            </w:pPr>
            <w:r>
              <w:rPr>
                <w:rFonts w:ascii="Calibri" w:eastAsia="Calibri" w:hAnsi="Calibri" w:cs="Calibri"/>
              </w:rPr>
              <w:t>‘Reflections and typing answers took too long’</w:t>
            </w:r>
          </w:p>
        </w:tc>
      </w:tr>
    </w:tbl>
    <w:p w14:paraId="16D33E09"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color w:val="FF0000"/>
          <w:sz w:val="22"/>
          <w:szCs w:val="22"/>
        </w:rPr>
        <w:t xml:space="preserve"> </w:t>
      </w:r>
    </w:p>
    <w:p w14:paraId="40FF9EBC"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b/>
          <w:bCs/>
          <w:sz w:val="22"/>
          <w:szCs w:val="22"/>
        </w:rPr>
        <w:t>Health care professional survey</w:t>
      </w:r>
    </w:p>
    <w:p w14:paraId="2979665E"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 xml:space="preserve">In total, six HCP participants </w:t>
      </w:r>
      <w:r w:rsidRPr="00EC4275">
        <w:rPr>
          <w:rFonts w:ascii="Calibri" w:eastAsia="Calibri" w:hAnsi="Calibri" w:cs="Calibri"/>
          <w:i/>
          <w:iCs/>
          <w:sz w:val="22"/>
          <w:szCs w:val="22"/>
        </w:rPr>
        <w:t>i.e.</w:t>
      </w:r>
      <w:r w:rsidRPr="00EC4275">
        <w:rPr>
          <w:rFonts w:ascii="Calibri" w:eastAsia="Calibri" w:hAnsi="Calibri" w:cs="Calibri"/>
          <w:sz w:val="22"/>
          <w:szCs w:val="22"/>
        </w:rPr>
        <w:t>, four allied health professionals (AHP) and two nurses, completed the evaluation questionnaire</w:t>
      </w:r>
      <w:r>
        <w:rPr>
          <w:rFonts w:ascii="Calibri" w:eastAsia="Calibri" w:hAnsi="Calibri" w:cs="Calibri"/>
          <w:sz w:val="22"/>
          <w:szCs w:val="22"/>
        </w:rPr>
        <w:t xml:space="preserve"> (t</w:t>
      </w:r>
      <w:r w:rsidRPr="00EC4275">
        <w:rPr>
          <w:rFonts w:ascii="Calibri" w:eastAsia="Calibri" w:hAnsi="Calibri" w:cs="Calibri"/>
          <w:sz w:val="22"/>
          <w:szCs w:val="22"/>
        </w:rPr>
        <w:t>able 5</w:t>
      </w:r>
      <w:r>
        <w:rPr>
          <w:rFonts w:ascii="Calibri" w:eastAsia="Calibri" w:hAnsi="Calibri" w:cs="Calibri"/>
          <w:sz w:val="22"/>
          <w:szCs w:val="22"/>
        </w:rPr>
        <w:t>).</w:t>
      </w:r>
    </w:p>
    <w:p w14:paraId="3158F659"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Table 5. HCP participant characteristics</w:t>
      </w:r>
    </w:p>
    <w:tbl>
      <w:tblPr>
        <w:tblStyle w:val="TableGrid"/>
        <w:tblW w:w="0" w:type="auto"/>
        <w:tblLayout w:type="fixed"/>
        <w:tblLook w:val="04A0" w:firstRow="1" w:lastRow="0" w:firstColumn="1" w:lastColumn="0" w:noHBand="0" w:noVBand="1"/>
      </w:tblPr>
      <w:tblGrid>
        <w:gridCol w:w="3120"/>
        <w:gridCol w:w="3540"/>
        <w:gridCol w:w="690"/>
      </w:tblGrid>
      <w:tr w:rsidR="00422E32" w:rsidRPr="00EC4275" w14:paraId="3676E4DC" w14:textId="77777777" w:rsidTr="0006358C">
        <w:trPr>
          <w:trHeight w:val="300"/>
        </w:trPr>
        <w:tc>
          <w:tcPr>
            <w:tcW w:w="66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EF71C6" w14:textId="77777777" w:rsidR="00422E32" w:rsidRPr="00EC4275" w:rsidRDefault="00422E32" w:rsidP="0006358C">
            <w:pPr>
              <w:spacing w:line="360" w:lineRule="auto"/>
              <w:jc w:val="both"/>
            </w:pPr>
            <w:r w:rsidRPr="00EC4275">
              <w:rPr>
                <w:rFonts w:ascii="Calibri" w:eastAsia="Calibri" w:hAnsi="Calibri" w:cs="Calibri"/>
                <w:b/>
                <w:bCs/>
              </w:rPr>
              <w:t>Descriptors</w:t>
            </w:r>
          </w:p>
        </w:tc>
        <w:tc>
          <w:tcPr>
            <w:tcW w:w="690" w:type="dxa"/>
            <w:tcBorders>
              <w:top w:val="single" w:sz="8" w:space="0" w:color="auto"/>
              <w:left w:val="nil"/>
              <w:bottom w:val="single" w:sz="8" w:space="0" w:color="auto"/>
              <w:right w:val="single" w:sz="8" w:space="0" w:color="auto"/>
            </w:tcBorders>
            <w:tcMar>
              <w:left w:w="108" w:type="dxa"/>
              <w:right w:w="108" w:type="dxa"/>
            </w:tcMar>
          </w:tcPr>
          <w:p w14:paraId="48EC90AC" w14:textId="77777777" w:rsidR="00422E32" w:rsidRPr="00EC4275" w:rsidRDefault="00422E32" w:rsidP="0006358C">
            <w:pPr>
              <w:spacing w:line="360" w:lineRule="auto"/>
              <w:jc w:val="both"/>
            </w:pPr>
            <w:r w:rsidRPr="00EC4275">
              <w:rPr>
                <w:rFonts w:ascii="Calibri" w:eastAsia="Calibri" w:hAnsi="Calibri" w:cs="Calibri"/>
                <w:b/>
                <w:bCs/>
              </w:rPr>
              <w:t xml:space="preserve">n </w:t>
            </w:r>
          </w:p>
        </w:tc>
      </w:tr>
      <w:tr w:rsidR="00422E32" w:rsidRPr="00EC4275" w14:paraId="48444908" w14:textId="77777777" w:rsidTr="0006358C">
        <w:trPr>
          <w:trHeight w:val="300"/>
        </w:trPr>
        <w:tc>
          <w:tcPr>
            <w:tcW w:w="312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A36A59D" w14:textId="77777777" w:rsidR="00422E32" w:rsidRPr="00EC4275" w:rsidRDefault="00422E32" w:rsidP="0006358C">
            <w:pPr>
              <w:spacing w:line="360" w:lineRule="auto"/>
              <w:jc w:val="both"/>
            </w:pPr>
            <w:r w:rsidRPr="00EC4275">
              <w:rPr>
                <w:rFonts w:ascii="Calibri" w:eastAsia="Calibri" w:hAnsi="Calibri" w:cs="Calibri"/>
              </w:rPr>
              <w:t xml:space="preserve">Role of HCP </w:t>
            </w:r>
          </w:p>
          <w:p w14:paraId="6D7C3BC5" w14:textId="77777777" w:rsidR="00422E32" w:rsidRPr="00EC4275" w:rsidRDefault="00422E32" w:rsidP="0006358C">
            <w:pPr>
              <w:spacing w:line="360" w:lineRule="auto"/>
              <w:jc w:val="both"/>
            </w:pPr>
            <w:r w:rsidRPr="00EC4275">
              <w:rPr>
                <w:rFonts w:ascii="Calibri" w:eastAsia="Calibri" w:hAnsi="Calibri" w:cs="Calibri"/>
              </w:rPr>
              <w:lastRenderedPageBreak/>
              <w:t xml:space="preserve"> </w:t>
            </w:r>
          </w:p>
        </w:tc>
        <w:tc>
          <w:tcPr>
            <w:tcW w:w="3540" w:type="dxa"/>
            <w:tcBorders>
              <w:top w:val="nil"/>
              <w:left w:val="single" w:sz="8" w:space="0" w:color="auto"/>
              <w:bottom w:val="single" w:sz="8" w:space="0" w:color="auto"/>
              <w:right w:val="single" w:sz="8" w:space="0" w:color="auto"/>
            </w:tcBorders>
            <w:tcMar>
              <w:left w:w="108" w:type="dxa"/>
              <w:right w:w="108" w:type="dxa"/>
            </w:tcMar>
          </w:tcPr>
          <w:p w14:paraId="520DD632" w14:textId="77777777" w:rsidR="00422E32" w:rsidRPr="00EC4275" w:rsidRDefault="00422E32" w:rsidP="0006358C">
            <w:pPr>
              <w:spacing w:line="360" w:lineRule="auto"/>
              <w:jc w:val="both"/>
            </w:pPr>
            <w:r w:rsidRPr="00EC4275">
              <w:rPr>
                <w:rFonts w:ascii="Calibri" w:eastAsia="Calibri" w:hAnsi="Calibri" w:cs="Calibri"/>
              </w:rPr>
              <w:lastRenderedPageBreak/>
              <w:t>Nurse</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77DF3013" w14:textId="77777777" w:rsidR="00422E32" w:rsidRPr="00EC4275" w:rsidRDefault="00422E32" w:rsidP="0006358C">
            <w:pPr>
              <w:spacing w:line="360" w:lineRule="auto"/>
              <w:jc w:val="both"/>
            </w:pPr>
            <w:r w:rsidRPr="00EC4275">
              <w:rPr>
                <w:rFonts w:ascii="Calibri" w:eastAsia="Calibri" w:hAnsi="Calibri" w:cs="Calibri"/>
              </w:rPr>
              <w:t xml:space="preserve">2 </w:t>
            </w:r>
          </w:p>
        </w:tc>
      </w:tr>
      <w:tr w:rsidR="00422E32" w:rsidRPr="00EC4275" w14:paraId="525B6385" w14:textId="77777777" w:rsidTr="0006358C">
        <w:trPr>
          <w:trHeight w:val="300"/>
        </w:trPr>
        <w:tc>
          <w:tcPr>
            <w:tcW w:w="3120" w:type="dxa"/>
            <w:vMerge/>
            <w:tcBorders>
              <w:left w:val="single" w:sz="0" w:space="0" w:color="auto"/>
              <w:bottom w:val="single" w:sz="0" w:space="0" w:color="auto"/>
              <w:right w:val="single" w:sz="0" w:space="0" w:color="auto"/>
            </w:tcBorders>
            <w:vAlign w:val="center"/>
          </w:tcPr>
          <w:p w14:paraId="7EB282C2"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214F37ED" w14:textId="77777777" w:rsidR="00422E32" w:rsidRPr="00EC4275" w:rsidRDefault="00422E32" w:rsidP="0006358C">
            <w:pPr>
              <w:spacing w:line="360" w:lineRule="auto"/>
              <w:jc w:val="both"/>
            </w:pPr>
            <w:r w:rsidRPr="00EC4275">
              <w:rPr>
                <w:rFonts w:ascii="Calibri" w:eastAsia="Calibri" w:hAnsi="Calibri" w:cs="Calibri"/>
              </w:rPr>
              <w:t xml:space="preserve">Allied Health Professional </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772144DA" w14:textId="77777777" w:rsidR="00422E32" w:rsidRPr="00EC4275" w:rsidRDefault="00422E32" w:rsidP="0006358C">
            <w:pPr>
              <w:spacing w:line="360" w:lineRule="auto"/>
              <w:jc w:val="both"/>
            </w:pPr>
            <w:r w:rsidRPr="00EC4275">
              <w:rPr>
                <w:rFonts w:ascii="Calibri" w:eastAsia="Calibri" w:hAnsi="Calibri" w:cs="Calibri"/>
              </w:rPr>
              <w:t xml:space="preserve">4 </w:t>
            </w:r>
          </w:p>
        </w:tc>
      </w:tr>
      <w:tr w:rsidR="00422E32" w:rsidRPr="00EC4275" w14:paraId="0E903D08" w14:textId="77777777" w:rsidTr="0006358C">
        <w:trPr>
          <w:trHeight w:val="300"/>
        </w:trPr>
        <w:tc>
          <w:tcPr>
            <w:tcW w:w="3120" w:type="dxa"/>
            <w:vMerge w:val="restart"/>
            <w:tcBorders>
              <w:top w:val="nil"/>
              <w:left w:val="single" w:sz="8" w:space="0" w:color="auto"/>
              <w:bottom w:val="single" w:sz="8" w:space="0" w:color="auto"/>
              <w:right w:val="single" w:sz="8" w:space="0" w:color="auto"/>
            </w:tcBorders>
            <w:tcMar>
              <w:left w:w="108" w:type="dxa"/>
              <w:right w:w="108" w:type="dxa"/>
            </w:tcMar>
          </w:tcPr>
          <w:p w14:paraId="1705B6C4" w14:textId="77777777" w:rsidR="00422E32" w:rsidRPr="00EC4275" w:rsidRDefault="00422E32" w:rsidP="0006358C">
            <w:pPr>
              <w:spacing w:line="360" w:lineRule="auto"/>
              <w:jc w:val="both"/>
            </w:pPr>
            <w:r w:rsidRPr="00EC4275">
              <w:rPr>
                <w:rFonts w:ascii="Calibri" w:eastAsia="Calibri" w:hAnsi="Calibri" w:cs="Calibri"/>
              </w:rPr>
              <w:t xml:space="preserve">Percentage of role involving patients living with and beyond cancer </w:t>
            </w:r>
          </w:p>
          <w:p w14:paraId="514141B0" w14:textId="77777777" w:rsidR="00422E32" w:rsidRPr="00EC4275" w:rsidRDefault="00422E32" w:rsidP="0006358C">
            <w:pPr>
              <w:spacing w:line="360" w:lineRule="auto"/>
              <w:jc w:val="both"/>
            </w:pPr>
            <w:r w:rsidRPr="00EC4275">
              <w:rPr>
                <w:rFonts w:ascii="Calibri" w:eastAsia="Calibri" w:hAnsi="Calibri" w:cs="Calibri"/>
              </w:rPr>
              <w:t xml:space="preserve"> </w:t>
            </w:r>
          </w:p>
        </w:tc>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F81D786" w14:textId="77777777" w:rsidR="00422E32" w:rsidRPr="00EC4275" w:rsidRDefault="00422E32" w:rsidP="0006358C">
            <w:pPr>
              <w:spacing w:line="360" w:lineRule="auto"/>
              <w:jc w:val="both"/>
            </w:pPr>
            <w:r w:rsidRPr="00EC4275">
              <w:rPr>
                <w:rFonts w:ascii="Calibri" w:eastAsia="Calibri" w:hAnsi="Calibri" w:cs="Calibri"/>
              </w:rPr>
              <w:t>More than 75%</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433620AC" w14:textId="77777777" w:rsidR="00422E32" w:rsidRPr="00EC4275" w:rsidRDefault="00422E32" w:rsidP="0006358C">
            <w:pPr>
              <w:spacing w:line="360" w:lineRule="auto"/>
              <w:jc w:val="both"/>
            </w:pPr>
            <w:r w:rsidRPr="00EC4275">
              <w:rPr>
                <w:rFonts w:ascii="Calibri" w:eastAsia="Calibri" w:hAnsi="Calibri" w:cs="Calibri"/>
              </w:rPr>
              <w:t xml:space="preserve">3 </w:t>
            </w:r>
          </w:p>
        </w:tc>
      </w:tr>
      <w:tr w:rsidR="00422E32" w:rsidRPr="00EC4275" w14:paraId="66353339" w14:textId="77777777" w:rsidTr="0006358C">
        <w:trPr>
          <w:trHeight w:val="300"/>
        </w:trPr>
        <w:tc>
          <w:tcPr>
            <w:tcW w:w="3120" w:type="dxa"/>
            <w:vMerge/>
            <w:tcBorders>
              <w:left w:val="single" w:sz="0" w:space="0" w:color="auto"/>
              <w:bottom w:val="single" w:sz="0" w:space="0" w:color="auto"/>
              <w:right w:val="single" w:sz="0" w:space="0" w:color="auto"/>
            </w:tcBorders>
            <w:vAlign w:val="center"/>
          </w:tcPr>
          <w:p w14:paraId="4E820784"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6D6721DA" w14:textId="77777777" w:rsidR="00422E32" w:rsidRPr="00EC4275" w:rsidRDefault="00422E32" w:rsidP="0006358C">
            <w:pPr>
              <w:spacing w:line="360" w:lineRule="auto"/>
              <w:jc w:val="both"/>
            </w:pPr>
            <w:r w:rsidRPr="00EC4275">
              <w:rPr>
                <w:rFonts w:ascii="Calibri" w:eastAsia="Calibri" w:hAnsi="Calibri" w:cs="Calibri"/>
              </w:rPr>
              <w:t>Between 50 and 75%</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288A8C4D" w14:textId="77777777" w:rsidR="00422E32" w:rsidRPr="00EC4275" w:rsidRDefault="00422E32" w:rsidP="0006358C">
            <w:pPr>
              <w:spacing w:line="360" w:lineRule="auto"/>
              <w:jc w:val="both"/>
            </w:pPr>
            <w:r w:rsidRPr="00EC4275">
              <w:rPr>
                <w:rFonts w:ascii="Calibri" w:eastAsia="Calibri" w:hAnsi="Calibri" w:cs="Calibri"/>
              </w:rPr>
              <w:t>1</w:t>
            </w:r>
          </w:p>
        </w:tc>
      </w:tr>
      <w:tr w:rsidR="00422E32" w:rsidRPr="00EC4275" w14:paraId="06ECC186" w14:textId="77777777" w:rsidTr="0006358C">
        <w:trPr>
          <w:trHeight w:val="300"/>
        </w:trPr>
        <w:tc>
          <w:tcPr>
            <w:tcW w:w="3120" w:type="dxa"/>
            <w:vMerge/>
            <w:tcBorders>
              <w:left w:val="single" w:sz="0" w:space="0" w:color="auto"/>
              <w:right w:val="single" w:sz="0" w:space="0" w:color="auto"/>
            </w:tcBorders>
            <w:vAlign w:val="center"/>
          </w:tcPr>
          <w:p w14:paraId="21FAF5F7"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33BAB98E" w14:textId="77777777" w:rsidR="00422E32" w:rsidRPr="00EC4275" w:rsidRDefault="00422E32" w:rsidP="0006358C">
            <w:pPr>
              <w:spacing w:line="360" w:lineRule="auto"/>
              <w:jc w:val="both"/>
            </w:pPr>
            <w:r w:rsidRPr="00EC4275">
              <w:rPr>
                <w:rFonts w:ascii="Calibri" w:eastAsia="Calibri" w:hAnsi="Calibri" w:cs="Calibri"/>
              </w:rPr>
              <w:t>About 50%</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1D6D589A" w14:textId="77777777" w:rsidR="00422E32" w:rsidRPr="00EC4275" w:rsidRDefault="00422E32" w:rsidP="0006358C">
            <w:pPr>
              <w:spacing w:line="360" w:lineRule="auto"/>
              <w:jc w:val="both"/>
            </w:pPr>
            <w:r w:rsidRPr="00EC4275">
              <w:rPr>
                <w:rFonts w:ascii="Calibri" w:eastAsia="Calibri" w:hAnsi="Calibri" w:cs="Calibri"/>
              </w:rPr>
              <w:t>1</w:t>
            </w:r>
          </w:p>
        </w:tc>
      </w:tr>
      <w:tr w:rsidR="00422E32" w:rsidRPr="00EC4275" w14:paraId="05B89835" w14:textId="77777777" w:rsidTr="0006358C">
        <w:trPr>
          <w:trHeight w:val="300"/>
        </w:trPr>
        <w:tc>
          <w:tcPr>
            <w:tcW w:w="3120" w:type="dxa"/>
            <w:vMerge/>
            <w:tcBorders>
              <w:left w:val="single" w:sz="0" w:space="0" w:color="auto"/>
              <w:right w:val="single" w:sz="0" w:space="0" w:color="auto"/>
            </w:tcBorders>
            <w:vAlign w:val="center"/>
          </w:tcPr>
          <w:p w14:paraId="43C8E049"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0C51299D" w14:textId="77777777" w:rsidR="00422E32" w:rsidRPr="00EC4275" w:rsidRDefault="00422E32" w:rsidP="0006358C">
            <w:pPr>
              <w:spacing w:line="360" w:lineRule="auto"/>
              <w:jc w:val="both"/>
            </w:pPr>
            <w:r w:rsidRPr="00EC4275">
              <w:rPr>
                <w:rFonts w:ascii="Calibri" w:eastAsia="Calibri" w:hAnsi="Calibri" w:cs="Calibri"/>
              </w:rPr>
              <w:t>Between 25% and 50%</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20B61E64" w14:textId="77777777" w:rsidR="00422E32" w:rsidRPr="00EC4275" w:rsidRDefault="00422E32" w:rsidP="0006358C">
            <w:pPr>
              <w:spacing w:line="360" w:lineRule="auto"/>
              <w:jc w:val="both"/>
            </w:pPr>
            <w:r w:rsidRPr="00EC4275">
              <w:rPr>
                <w:rFonts w:ascii="Calibri" w:eastAsia="Calibri" w:hAnsi="Calibri" w:cs="Calibri"/>
              </w:rPr>
              <w:t>1</w:t>
            </w:r>
          </w:p>
        </w:tc>
      </w:tr>
      <w:tr w:rsidR="00422E32" w:rsidRPr="00EC4275" w14:paraId="552769AF" w14:textId="77777777" w:rsidTr="0006358C">
        <w:trPr>
          <w:trHeight w:val="300"/>
        </w:trPr>
        <w:tc>
          <w:tcPr>
            <w:tcW w:w="3120" w:type="dxa"/>
            <w:vMerge/>
            <w:tcBorders>
              <w:left w:val="single" w:sz="0" w:space="0" w:color="auto"/>
              <w:bottom w:val="single" w:sz="0" w:space="0" w:color="auto"/>
              <w:right w:val="single" w:sz="0" w:space="0" w:color="auto"/>
            </w:tcBorders>
            <w:vAlign w:val="center"/>
          </w:tcPr>
          <w:p w14:paraId="15B3CD5F"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2DDA7E1E" w14:textId="77777777" w:rsidR="00422E32" w:rsidRPr="00EC4275" w:rsidRDefault="00422E32" w:rsidP="0006358C">
            <w:pPr>
              <w:spacing w:line="360" w:lineRule="auto"/>
              <w:jc w:val="both"/>
            </w:pPr>
            <w:r w:rsidRPr="00EC4275">
              <w:rPr>
                <w:rFonts w:ascii="Calibri" w:eastAsia="Calibri" w:hAnsi="Calibri" w:cs="Calibri"/>
              </w:rPr>
              <w:t>Less than 25%</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32251F1D" w14:textId="77777777" w:rsidR="00422E32" w:rsidRPr="00EC4275" w:rsidRDefault="00422E32" w:rsidP="0006358C">
            <w:pPr>
              <w:spacing w:line="360" w:lineRule="auto"/>
              <w:jc w:val="both"/>
            </w:pPr>
            <w:r w:rsidRPr="00EC4275">
              <w:rPr>
                <w:rFonts w:ascii="Calibri" w:eastAsia="Calibri" w:hAnsi="Calibri" w:cs="Calibri"/>
              </w:rPr>
              <w:t>0</w:t>
            </w:r>
          </w:p>
        </w:tc>
      </w:tr>
      <w:tr w:rsidR="00422E32" w:rsidRPr="00EC4275" w14:paraId="57C18482" w14:textId="77777777" w:rsidTr="0006358C">
        <w:trPr>
          <w:trHeight w:val="300"/>
        </w:trPr>
        <w:tc>
          <w:tcPr>
            <w:tcW w:w="3120" w:type="dxa"/>
            <w:vMerge w:val="restart"/>
            <w:tcBorders>
              <w:top w:val="nil"/>
              <w:left w:val="single" w:sz="8" w:space="0" w:color="auto"/>
              <w:bottom w:val="single" w:sz="8" w:space="0" w:color="auto"/>
              <w:right w:val="single" w:sz="8" w:space="0" w:color="auto"/>
            </w:tcBorders>
            <w:tcMar>
              <w:left w:w="108" w:type="dxa"/>
              <w:right w:w="108" w:type="dxa"/>
            </w:tcMar>
          </w:tcPr>
          <w:p w14:paraId="640E49B8" w14:textId="77777777" w:rsidR="00422E32" w:rsidRPr="00EC4275" w:rsidRDefault="00422E32" w:rsidP="0006358C">
            <w:pPr>
              <w:spacing w:line="360" w:lineRule="auto"/>
              <w:jc w:val="both"/>
            </w:pPr>
            <w:r w:rsidRPr="00EC4275">
              <w:rPr>
                <w:rFonts w:ascii="Calibri" w:eastAsia="Calibri" w:hAnsi="Calibri" w:cs="Calibri"/>
              </w:rPr>
              <w:t xml:space="preserve">Length of experience working with </w:t>
            </w:r>
            <w:r w:rsidRPr="00EC4275">
              <w:rPr>
                <w:rFonts w:ascii="Calibri" w:eastAsia="Calibri" w:hAnsi="Calibri" w:cs="Calibri"/>
                <w:lang w:val="en-US"/>
              </w:rPr>
              <w:t>people who may be living with or beyond cancer</w:t>
            </w:r>
          </w:p>
        </w:tc>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32F0E4F" w14:textId="77777777" w:rsidR="00422E32" w:rsidRPr="00EC4275" w:rsidRDefault="00422E32" w:rsidP="0006358C">
            <w:pPr>
              <w:spacing w:line="360" w:lineRule="auto"/>
              <w:jc w:val="both"/>
            </w:pPr>
            <w:r w:rsidRPr="00EC4275">
              <w:rPr>
                <w:rFonts w:ascii="Calibri" w:eastAsia="Calibri" w:hAnsi="Calibri" w:cs="Calibri"/>
              </w:rPr>
              <w:t>Up to a year</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0F44A6D9" w14:textId="77777777" w:rsidR="00422E32" w:rsidRPr="00EC4275" w:rsidRDefault="00422E32" w:rsidP="0006358C">
            <w:pPr>
              <w:spacing w:line="360" w:lineRule="auto"/>
              <w:jc w:val="both"/>
            </w:pPr>
            <w:r w:rsidRPr="00EC4275">
              <w:rPr>
                <w:rFonts w:ascii="Calibri" w:eastAsia="Calibri" w:hAnsi="Calibri" w:cs="Calibri"/>
              </w:rPr>
              <w:t>0</w:t>
            </w:r>
          </w:p>
        </w:tc>
      </w:tr>
      <w:tr w:rsidR="00422E32" w:rsidRPr="00EC4275" w14:paraId="5CA88D56" w14:textId="77777777" w:rsidTr="0006358C">
        <w:trPr>
          <w:trHeight w:val="300"/>
        </w:trPr>
        <w:tc>
          <w:tcPr>
            <w:tcW w:w="3120" w:type="dxa"/>
            <w:vMerge/>
            <w:tcBorders>
              <w:left w:val="single" w:sz="0" w:space="0" w:color="auto"/>
              <w:right w:val="single" w:sz="0" w:space="0" w:color="auto"/>
            </w:tcBorders>
            <w:vAlign w:val="center"/>
          </w:tcPr>
          <w:p w14:paraId="3605597A"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06466687" w14:textId="77777777" w:rsidR="00422E32" w:rsidRPr="00EC4275" w:rsidRDefault="00422E32" w:rsidP="0006358C">
            <w:pPr>
              <w:spacing w:line="360" w:lineRule="auto"/>
              <w:jc w:val="both"/>
            </w:pPr>
            <w:r w:rsidRPr="00EC4275">
              <w:rPr>
                <w:rFonts w:ascii="Calibri" w:eastAsia="Calibri" w:hAnsi="Calibri" w:cs="Calibri"/>
              </w:rPr>
              <w:t>Between one and five years</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55D80E47" w14:textId="77777777" w:rsidR="00422E32" w:rsidRPr="00EC4275" w:rsidRDefault="00422E32" w:rsidP="0006358C">
            <w:pPr>
              <w:spacing w:line="360" w:lineRule="auto"/>
              <w:jc w:val="both"/>
            </w:pPr>
            <w:r w:rsidRPr="00EC4275">
              <w:rPr>
                <w:rFonts w:ascii="Calibri" w:eastAsia="Calibri" w:hAnsi="Calibri" w:cs="Calibri"/>
              </w:rPr>
              <w:t>1</w:t>
            </w:r>
          </w:p>
        </w:tc>
      </w:tr>
      <w:tr w:rsidR="00422E32" w:rsidRPr="00EC4275" w14:paraId="61D458F5" w14:textId="77777777" w:rsidTr="0006358C">
        <w:trPr>
          <w:trHeight w:val="300"/>
        </w:trPr>
        <w:tc>
          <w:tcPr>
            <w:tcW w:w="3120" w:type="dxa"/>
            <w:vMerge/>
            <w:tcBorders>
              <w:left w:val="single" w:sz="0" w:space="0" w:color="auto"/>
              <w:right w:val="single" w:sz="0" w:space="0" w:color="auto"/>
            </w:tcBorders>
            <w:vAlign w:val="center"/>
          </w:tcPr>
          <w:p w14:paraId="49430A63"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2BF25241" w14:textId="77777777" w:rsidR="00422E32" w:rsidRPr="00EC4275" w:rsidRDefault="00422E32" w:rsidP="0006358C">
            <w:pPr>
              <w:spacing w:line="360" w:lineRule="auto"/>
              <w:jc w:val="both"/>
            </w:pPr>
            <w:r w:rsidRPr="00EC4275">
              <w:rPr>
                <w:rFonts w:ascii="Calibri" w:eastAsia="Calibri" w:hAnsi="Calibri" w:cs="Calibri"/>
              </w:rPr>
              <w:t>Between one and ten years</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0A4A5CBC" w14:textId="77777777" w:rsidR="00422E32" w:rsidRPr="00EC4275" w:rsidRDefault="00422E32" w:rsidP="0006358C">
            <w:pPr>
              <w:spacing w:line="360" w:lineRule="auto"/>
              <w:jc w:val="both"/>
            </w:pPr>
            <w:r w:rsidRPr="00EC4275">
              <w:rPr>
                <w:rFonts w:ascii="Calibri" w:eastAsia="Calibri" w:hAnsi="Calibri" w:cs="Calibri"/>
              </w:rPr>
              <w:t>1</w:t>
            </w:r>
          </w:p>
        </w:tc>
      </w:tr>
      <w:tr w:rsidR="00422E32" w:rsidRPr="00EC4275" w14:paraId="6376E64A" w14:textId="77777777" w:rsidTr="0006358C">
        <w:trPr>
          <w:trHeight w:val="300"/>
        </w:trPr>
        <w:tc>
          <w:tcPr>
            <w:tcW w:w="3120" w:type="dxa"/>
            <w:vMerge/>
            <w:tcBorders>
              <w:left w:val="single" w:sz="0" w:space="0" w:color="auto"/>
              <w:right w:val="single" w:sz="0" w:space="0" w:color="auto"/>
            </w:tcBorders>
            <w:vAlign w:val="center"/>
          </w:tcPr>
          <w:p w14:paraId="2A65A5D8"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18980618" w14:textId="77777777" w:rsidR="00422E32" w:rsidRPr="00EC4275" w:rsidRDefault="00422E32" w:rsidP="0006358C">
            <w:pPr>
              <w:spacing w:line="360" w:lineRule="auto"/>
              <w:jc w:val="both"/>
            </w:pPr>
            <w:r w:rsidRPr="00EC4275">
              <w:rPr>
                <w:rFonts w:ascii="Calibri" w:eastAsia="Calibri" w:hAnsi="Calibri" w:cs="Calibri"/>
              </w:rPr>
              <w:t>Between 11 and 20 years</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1B2E8A28" w14:textId="77777777" w:rsidR="00422E32" w:rsidRPr="00EC4275" w:rsidRDefault="00422E32" w:rsidP="0006358C">
            <w:pPr>
              <w:spacing w:line="360" w:lineRule="auto"/>
              <w:jc w:val="both"/>
            </w:pPr>
            <w:r w:rsidRPr="00EC4275">
              <w:rPr>
                <w:rFonts w:ascii="Calibri" w:eastAsia="Calibri" w:hAnsi="Calibri" w:cs="Calibri"/>
              </w:rPr>
              <w:t>2</w:t>
            </w:r>
          </w:p>
        </w:tc>
      </w:tr>
      <w:tr w:rsidR="00422E32" w:rsidRPr="00EC4275" w14:paraId="2631785E" w14:textId="77777777" w:rsidTr="0006358C">
        <w:trPr>
          <w:trHeight w:val="300"/>
        </w:trPr>
        <w:tc>
          <w:tcPr>
            <w:tcW w:w="3120" w:type="dxa"/>
            <w:vMerge/>
            <w:tcBorders>
              <w:left w:val="single" w:sz="0" w:space="0" w:color="auto"/>
              <w:bottom w:val="single" w:sz="0" w:space="0" w:color="auto"/>
              <w:right w:val="single" w:sz="0" w:space="0" w:color="auto"/>
            </w:tcBorders>
            <w:vAlign w:val="center"/>
          </w:tcPr>
          <w:p w14:paraId="636D82D7" w14:textId="77777777" w:rsidR="00422E32" w:rsidRPr="00EC4275" w:rsidRDefault="00422E32" w:rsidP="0006358C"/>
        </w:tc>
        <w:tc>
          <w:tcPr>
            <w:tcW w:w="3540" w:type="dxa"/>
            <w:tcBorders>
              <w:top w:val="single" w:sz="8" w:space="0" w:color="auto"/>
              <w:left w:val="nil"/>
              <w:bottom w:val="single" w:sz="8" w:space="0" w:color="auto"/>
              <w:right w:val="single" w:sz="8" w:space="0" w:color="auto"/>
            </w:tcBorders>
            <w:tcMar>
              <w:left w:w="108" w:type="dxa"/>
              <w:right w:w="108" w:type="dxa"/>
            </w:tcMar>
          </w:tcPr>
          <w:p w14:paraId="7B4169C3" w14:textId="77777777" w:rsidR="00422E32" w:rsidRPr="00EC4275" w:rsidRDefault="00422E32" w:rsidP="0006358C">
            <w:pPr>
              <w:spacing w:line="360" w:lineRule="auto"/>
              <w:jc w:val="both"/>
            </w:pPr>
            <w:r w:rsidRPr="00EC4275">
              <w:rPr>
                <w:rFonts w:ascii="Calibri" w:eastAsia="Calibri" w:hAnsi="Calibri" w:cs="Calibri"/>
              </w:rPr>
              <w:t>Over 20 years</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1783611E" w14:textId="77777777" w:rsidR="00422E32" w:rsidRPr="00EC4275" w:rsidRDefault="00422E32" w:rsidP="0006358C">
            <w:pPr>
              <w:spacing w:line="360" w:lineRule="auto"/>
              <w:jc w:val="both"/>
            </w:pPr>
            <w:r w:rsidRPr="00EC4275">
              <w:rPr>
                <w:rFonts w:ascii="Calibri" w:eastAsia="Calibri" w:hAnsi="Calibri" w:cs="Calibri"/>
              </w:rPr>
              <w:t>2</w:t>
            </w:r>
          </w:p>
        </w:tc>
      </w:tr>
    </w:tbl>
    <w:p w14:paraId="52E37807"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 xml:space="preserve">   </w:t>
      </w:r>
    </w:p>
    <w:p w14:paraId="7B808220" w14:textId="77777777" w:rsidR="00422E32" w:rsidRPr="00EC4275" w:rsidRDefault="00422E32" w:rsidP="7D4B8C68">
      <w:pPr>
        <w:spacing w:line="360" w:lineRule="auto"/>
        <w:jc w:val="both"/>
        <w:rPr>
          <w:rFonts w:cstheme="minorBidi"/>
          <w:sz w:val="22"/>
          <w:szCs w:val="22"/>
        </w:rPr>
      </w:pPr>
      <w:r w:rsidRPr="6573D7FA">
        <w:rPr>
          <w:rFonts w:ascii="Calibri" w:eastAsia="Calibri" w:hAnsi="Calibri" w:cs="Calibri"/>
          <w:sz w:val="22"/>
          <w:szCs w:val="22"/>
        </w:rPr>
        <w:t xml:space="preserve">Overall, HCP participants found the modules either very good (n=5) or good (n=1).  All healthcare professionals agreed or strongly agreed the learning objectives were relevant to pre-registration healthcare students and written at the right level (table 3).  All agreed or strongly agreed the modules could: increase pre-registration healthcare students’ knowledge and understanding of cancer and its treatment, increase confidence about cancer care in practice, support students to describe the biological basis of cancer, support students to examine the range of support for people living with and beyond cancer, analyse models of communication and psychological support and examine own professional role (table 2). </w:t>
      </w:r>
    </w:p>
    <w:p w14:paraId="0C0D00D0" w14:textId="77777777" w:rsidR="00422E32" w:rsidRPr="00EC4275" w:rsidRDefault="00422E32" w:rsidP="00422E32">
      <w:pPr>
        <w:spacing w:line="360" w:lineRule="auto"/>
        <w:jc w:val="both"/>
        <w:rPr>
          <w:rFonts w:cstheme="minorBidi"/>
          <w:sz w:val="22"/>
          <w:szCs w:val="22"/>
        </w:rPr>
      </w:pPr>
      <w:r w:rsidRPr="00EC4275">
        <w:rPr>
          <w:rFonts w:ascii="Calibri" w:eastAsia="Calibri" w:hAnsi="Calibri" w:cs="Calibri"/>
          <w:sz w:val="22"/>
          <w:szCs w:val="22"/>
        </w:rPr>
        <w:t xml:space="preserve">HCPs particularly liked the </w:t>
      </w:r>
      <w:r w:rsidRPr="00EC4275">
        <w:rPr>
          <w:rFonts w:ascii="Calibri" w:eastAsia="Calibri" w:hAnsi="Calibri" w:cs="Calibri"/>
          <w:i/>
          <w:iCs/>
          <w:sz w:val="22"/>
          <w:szCs w:val="22"/>
        </w:rPr>
        <w:t>‘interactive nature’</w:t>
      </w:r>
      <w:r w:rsidRPr="00EC4275">
        <w:rPr>
          <w:rFonts w:ascii="Calibri" w:eastAsia="Calibri" w:hAnsi="Calibri" w:cs="Calibri"/>
          <w:sz w:val="22"/>
          <w:szCs w:val="22"/>
        </w:rPr>
        <w:t xml:space="preserve"> of the module with </w:t>
      </w:r>
      <w:r w:rsidRPr="00EC4275">
        <w:rPr>
          <w:rFonts w:ascii="Calibri" w:eastAsia="Calibri" w:hAnsi="Calibri" w:cs="Calibri"/>
          <w:i/>
          <w:iCs/>
          <w:sz w:val="22"/>
          <w:szCs w:val="22"/>
        </w:rPr>
        <w:t>‘work activities’</w:t>
      </w:r>
      <w:r w:rsidRPr="00EC4275">
        <w:rPr>
          <w:rFonts w:ascii="Calibri" w:eastAsia="Calibri" w:hAnsi="Calibri" w:cs="Calibri"/>
          <w:sz w:val="22"/>
          <w:szCs w:val="22"/>
        </w:rPr>
        <w:t xml:space="preserve"> for the learner. They also highlighted the importance of providing a </w:t>
      </w:r>
      <w:r w:rsidRPr="00EC4275">
        <w:rPr>
          <w:rFonts w:ascii="Calibri" w:eastAsia="Calibri" w:hAnsi="Calibri" w:cs="Calibri"/>
          <w:i/>
          <w:iCs/>
          <w:sz w:val="22"/>
          <w:szCs w:val="22"/>
        </w:rPr>
        <w:t>‘range of relevant resources’</w:t>
      </w:r>
      <w:r w:rsidRPr="00EC4275">
        <w:rPr>
          <w:rFonts w:ascii="Calibri" w:eastAsia="Calibri" w:hAnsi="Calibri" w:cs="Calibri"/>
          <w:sz w:val="22"/>
          <w:szCs w:val="22"/>
        </w:rPr>
        <w:t xml:space="preserve"> with links for </w:t>
      </w:r>
      <w:r w:rsidRPr="00EC4275">
        <w:rPr>
          <w:rFonts w:ascii="Calibri" w:eastAsia="Calibri" w:hAnsi="Calibri" w:cs="Calibri"/>
          <w:i/>
          <w:iCs/>
          <w:sz w:val="22"/>
          <w:szCs w:val="22"/>
        </w:rPr>
        <w:t>‘further evidence searching’</w:t>
      </w:r>
      <w:r w:rsidRPr="00EC4275">
        <w:rPr>
          <w:rFonts w:ascii="Calibri" w:eastAsia="Calibri" w:hAnsi="Calibri" w:cs="Calibri"/>
          <w:sz w:val="22"/>
          <w:szCs w:val="22"/>
        </w:rPr>
        <w:t xml:space="preserve">. They particularly found the </w:t>
      </w:r>
      <w:r w:rsidRPr="00EC4275">
        <w:rPr>
          <w:rFonts w:ascii="Calibri" w:eastAsia="Calibri" w:hAnsi="Calibri" w:cs="Calibri"/>
          <w:i/>
          <w:iCs/>
          <w:sz w:val="22"/>
          <w:szCs w:val="22"/>
        </w:rPr>
        <w:t>‘workplace questions’</w:t>
      </w:r>
      <w:r w:rsidRPr="00EC4275">
        <w:rPr>
          <w:rFonts w:ascii="Calibri" w:eastAsia="Calibri" w:hAnsi="Calibri" w:cs="Calibri"/>
          <w:sz w:val="22"/>
          <w:szCs w:val="22"/>
        </w:rPr>
        <w:t xml:space="preserve"> and </w:t>
      </w:r>
      <w:r w:rsidRPr="00EC4275">
        <w:rPr>
          <w:rFonts w:ascii="Calibri" w:eastAsia="Calibri" w:hAnsi="Calibri" w:cs="Calibri"/>
          <w:i/>
          <w:iCs/>
          <w:sz w:val="22"/>
          <w:szCs w:val="22"/>
        </w:rPr>
        <w:t>‘overview of policy context’</w:t>
      </w:r>
      <w:r w:rsidRPr="00EC4275">
        <w:rPr>
          <w:rFonts w:ascii="Calibri" w:eastAsia="Calibri" w:hAnsi="Calibri" w:cs="Calibri"/>
          <w:sz w:val="22"/>
          <w:szCs w:val="22"/>
        </w:rPr>
        <w:t xml:space="preserve"> very good and useful for students. They mentioned that the module was an </w:t>
      </w:r>
      <w:r w:rsidRPr="00EC4275">
        <w:rPr>
          <w:rFonts w:ascii="Calibri" w:eastAsia="Calibri" w:hAnsi="Calibri" w:cs="Calibri"/>
          <w:i/>
          <w:iCs/>
          <w:sz w:val="22"/>
          <w:szCs w:val="22"/>
        </w:rPr>
        <w:t xml:space="preserve">‘excellent resource’ </w:t>
      </w:r>
      <w:r w:rsidRPr="00EC4275">
        <w:rPr>
          <w:rFonts w:ascii="Calibri" w:eastAsia="Calibri" w:hAnsi="Calibri" w:cs="Calibri"/>
          <w:sz w:val="22"/>
          <w:szCs w:val="22"/>
        </w:rPr>
        <w:t xml:space="preserve">that was </w:t>
      </w:r>
      <w:r w:rsidRPr="00EC4275">
        <w:rPr>
          <w:rFonts w:ascii="Calibri" w:eastAsia="Calibri" w:hAnsi="Calibri" w:cs="Calibri"/>
          <w:i/>
          <w:iCs/>
          <w:sz w:val="22"/>
          <w:szCs w:val="22"/>
        </w:rPr>
        <w:t>‘logical and easy to follow’</w:t>
      </w:r>
      <w:r w:rsidRPr="00EC4275">
        <w:rPr>
          <w:rFonts w:ascii="Calibri" w:eastAsia="Calibri" w:hAnsi="Calibri" w:cs="Calibri"/>
          <w:sz w:val="22"/>
          <w:szCs w:val="22"/>
        </w:rPr>
        <w:t>.</w:t>
      </w:r>
    </w:p>
    <w:p w14:paraId="69E4D05A" w14:textId="77777777" w:rsidR="00422E32" w:rsidRPr="00EC4275" w:rsidRDefault="00422E32" w:rsidP="00422E32">
      <w:pPr>
        <w:spacing w:line="360" w:lineRule="auto"/>
        <w:jc w:val="both"/>
        <w:rPr>
          <w:rFonts w:cstheme="minorBidi"/>
          <w:sz w:val="22"/>
          <w:szCs w:val="22"/>
        </w:rPr>
      </w:pPr>
      <w:r>
        <w:rPr>
          <w:rFonts w:ascii="Calibri" w:eastAsia="Calibri" w:hAnsi="Calibri" w:cs="Calibri"/>
          <w:sz w:val="22"/>
          <w:szCs w:val="22"/>
        </w:rPr>
        <w:t>A</w:t>
      </w:r>
      <w:r w:rsidRPr="00EC4275">
        <w:rPr>
          <w:rFonts w:ascii="Calibri" w:eastAsia="Calibri" w:hAnsi="Calibri" w:cs="Calibri"/>
          <w:sz w:val="22"/>
          <w:szCs w:val="22"/>
        </w:rPr>
        <w:t xml:space="preserve">reas for improvement </w:t>
      </w:r>
      <w:r w:rsidRPr="00490C80">
        <w:rPr>
          <w:rFonts w:ascii="Calibri" w:eastAsia="Calibri" w:hAnsi="Calibri" w:cs="Calibri"/>
          <w:sz w:val="22"/>
          <w:szCs w:val="22"/>
        </w:rPr>
        <w:t>included</w:t>
      </w:r>
      <w:r w:rsidRPr="00EC4275">
        <w:rPr>
          <w:rFonts w:ascii="Calibri" w:eastAsia="Calibri" w:hAnsi="Calibri" w:cs="Calibri"/>
          <w:sz w:val="22"/>
          <w:szCs w:val="22"/>
        </w:rPr>
        <w:t xml:space="preserve">: </w:t>
      </w:r>
    </w:p>
    <w:p w14:paraId="0A19EDA8" w14:textId="77777777" w:rsidR="00422E32" w:rsidRPr="00EC4275" w:rsidRDefault="00422E32" w:rsidP="00422E32">
      <w:pPr>
        <w:numPr>
          <w:ilvl w:val="0"/>
          <w:numId w:val="3"/>
        </w:numPr>
        <w:contextualSpacing/>
        <w:rPr>
          <w:rFonts w:ascii="Calibri" w:eastAsia="Calibri" w:hAnsi="Calibri" w:cs="Calibri"/>
          <w:sz w:val="22"/>
          <w:szCs w:val="22"/>
        </w:rPr>
      </w:pPr>
      <w:r w:rsidRPr="00EC4275">
        <w:rPr>
          <w:rFonts w:ascii="Calibri" w:eastAsia="Calibri" w:hAnsi="Calibri" w:cs="Calibri"/>
          <w:sz w:val="22"/>
          <w:szCs w:val="22"/>
        </w:rPr>
        <w:t>to simplify the science of cancer module</w:t>
      </w:r>
    </w:p>
    <w:p w14:paraId="1FBEFB28" w14:textId="77777777" w:rsidR="00422E32" w:rsidRPr="00EC4275" w:rsidRDefault="00422E32" w:rsidP="00422E32">
      <w:pPr>
        <w:numPr>
          <w:ilvl w:val="0"/>
          <w:numId w:val="3"/>
        </w:numPr>
        <w:contextualSpacing/>
        <w:rPr>
          <w:rFonts w:ascii="Calibri" w:eastAsia="Calibri" w:hAnsi="Calibri" w:cs="Calibri"/>
          <w:sz w:val="22"/>
          <w:szCs w:val="22"/>
        </w:rPr>
      </w:pPr>
      <w:r w:rsidRPr="00EC4275">
        <w:rPr>
          <w:rFonts w:ascii="Calibri" w:eastAsia="Calibri" w:hAnsi="Calibri" w:cs="Calibri"/>
          <w:sz w:val="22"/>
          <w:szCs w:val="22"/>
        </w:rPr>
        <w:t>to improve site navigation</w:t>
      </w:r>
    </w:p>
    <w:p w14:paraId="7CB5FF0D" w14:textId="77777777" w:rsidR="00422E32" w:rsidRPr="00EC4275" w:rsidRDefault="00422E32" w:rsidP="00422E32">
      <w:pPr>
        <w:numPr>
          <w:ilvl w:val="0"/>
          <w:numId w:val="3"/>
        </w:numPr>
        <w:contextualSpacing/>
        <w:rPr>
          <w:rFonts w:ascii="Calibri" w:eastAsia="Calibri" w:hAnsi="Calibri" w:cs="Calibri"/>
          <w:sz w:val="22"/>
          <w:szCs w:val="22"/>
        </w:rPr>
      </w:pPr>
      <w:r w:rsidRPr="00EC4275">
        <w:rPr>
          <w:rFonts w:ascii="Calibri" w:eastAsia="Calibri" w:hAnsi="Calibri" w:cs="Calibri"/>
          <w:sz w:val="22"/>
          <w:szCs w:val="22"/>
        </w:rPr>
        <w:t>to review representation e.g., genders of case examples</w:t>
      </w:r>
    </w:p>
    <w:p w14:paraId="6D068789" w14:textId="77777777" w:rsidR="00422E32" w:rsidRPr="00EC4275" w:rsidRDefault="00422E32" w:rsidP="00422E32">
      <w:pPr>
        <w:numPr>
          <w:ilvl w:val="0"/>
          <w:numId w:val="3"/>
        </w:numPr>
        <w:contextualSpacing/>
        <w:rPr>
          <w:rFonts w:ascii="Calibri" w:eastAsia="Calibri" w:hAnsi="Calibri" w:cs="Calibri"/>
          <w:sz w:val="22"/>
          <w:szCs w:val="22"/>
          <w:lang w:val="en-US"/>
        </w:rPr>
      </w:pPr>
      <w:r w:rsidRPr="00EC4275">
        <w:rPr>
          <w:rFonts w:ascii="Calibri" w:eastAsia="Calibri" w:hAnsi="Calibri" w:cs="Calibri"/>
          <w:sz w:val="22"/>
          <w:szCs w:val="22"/>
          <w:lang w:val="en-US"/>
        </w:rPr>
        <w:t xml:space="preserve">to include an assessment at the end of the </w:t>
      </w:r>
      <w:proofErr w:type="spellStart"/>
      <w:r w:rsidRPr="00EC4275">
        <w:rPr>
          <w:rFonts w:ascii="Calibri" w:eastAsia="Calibri" w:hAnsi="Calibri" w:cs="Calibri"/>
          <w:sz w:val="22"/>
          <w:szCs w:val="22"/>
          <w:lang w:val="en-US"/>
        </w:rPr>
        <w:t>personali</w:t>
      </w:r>
      <w:r>
        <w:rPr>
          <w:rFonts w:ascii="Calibri" w:eastAsia="Calibri" w:hAnsi="Calibri" w:cs="Calibri"/>
          <w:sz w:val="22"/>
          <w:szCs w:val="22"/>
          <w:lang w:val="en-US"/>
        </w:rPr>
        <w:t>s</w:t>
      </w:r>
      <w:r w:rsidRPr="00EC4275">
        <w:rPr>
          <w:rFonts w:ascii="Calibri" w:eastAsia="Calibri" w:hAnsi="Calibri" w:cs="Calibri"/>
          <w:sz w:val="22"/>
          <w:szCs w:val="22"/>
          <w:lang w:val="en-US"/>
        </w:rPr>
        <w:t>ed</w:t>
      </w:r>
      <w:proofErr w:type="spellEnd"/>
      <w:r w:rsidRPr="00EC4275">
        <w:rPr>
          <w:rFonts w:ascii="Calibri" w:eastAsia="Calibri" w:hAnsi="Calibri" w:cs="Calibri"/>
          <w:sz w:val="22"/>
          <w:szCs w:val="22"/>
          <w:lang w:val="en-US"/>
        </w:rPr>
        <w:t xml:space="preserve"> treatment section</w:t>
      </w:r>
    </w:p>
    <w:p w14:paraId="2E8A8FAD" w14:textId="77777777" w:rsidR="00422E32" w:rsidRPr="00EC4275" w:rsidRDefault="00422E32" w:rsidP="00422E32">
      <w:pPr>
        <w:numPr>
          <w:ilvl w:val="0"/>
          <w:numId w:val="3"/>
        </w:numPr>
        <w:contextualSpacing/>
        <w:rPr>
          <w:rFonts w:ascii="Calibri" w:eastAsia="Calibri" w:hAnsi="Calibri" w:cs="Calibri"/>
          <w:sz w:val="22"/>
          <w:szCs w:val="22"/>
          <w:lang w:val="en-US"/>
        </w:rPr>
      </w:pPr>
      <w:r w:rsidRPr="00EC4275">
        <w:rPr>
          <w:rFonts w:ascii="Calibri" w:eastAsia="Calibri" w:hAnsi="Calibri" w:cs="Calibri"/>
          <w:sz w:val="22"/>
          <w:szCs w:val="22"/>
          <w:lang w:val="en-US"/>
        </w:rPr>
        <w:t>to ensure acronyms are spelled out or avoide</w:t>
      </w:r>
      <w:r>
        <w:rPr>
          <w:rFonts w:ascii="Calibri" w:eastAsia="Calibri" w:hAnsi="Calibri" w:cs="Calibri"/>
          <w:sz w:val="22"/>
          <w:szCs w:val="22"/>
          <w:lang w:val="en-US"/>
        </w:rPr>
        <w:t>d</w:t>
      </w:r>
    </w:p>
    <w:p w14:paraId="14B6B1E6" w14:textId="77777777" w:rsidR="00422E32" w:rsidRPr="00EC4275" w:rsidRDefault="00422E32" w:rsidP="00422E32">
      <w:pPr>
        <w:numPr>
          <w:ilvl w:val="0"/>
          <w:numId w:val="3"/>
        </w:numPr>
        <w:contextualSpacing/>
        <w:rPr>
          <w:rFonts w:ascii="Calibri" w:eastAsia="Calibri" w:hAnsi="Calibri" w:cs="Calibri"/>
          <w:sz w:val="22"/>
          <w:szCs w:val="22"/>
          <w:lang w:val="en-US"/>
        </w:rPr>
      </w:pPr>
      <w:r w:rsidRPr="00EC4275">
        <w:rPr>
          <w:rFonts w:ascii="Calibri" w:eastAsia="Calibri" w:hAnsi="Calibri" w:cs="Calibri"/>
          <w:sz w:val="22"/>
          <w:szCs w:val="22"/>
          <w:lang w:val="en-US"/>
        </w:rPr>
        <w:t>to ensure links and data are recent</w:t>
      </w:r>
    </w:p>
    <w:p w14:paraId="3FD3740F" w14:textId="77777777" w:rsidR="00422E32" w:rsidRPr="00EC4275" w:rsidRDefault="00422E32" w:rsidP="00422E32">
      <w:pPr>
        <w:ind w:left="720"/>
        <w:contextualSpacing/>
        <w:rPr>
          <w:rFonts w:ascii="Calibri" w:eastAsia="Calibri" w:hAnsi="Calibri" w:cs="Calibri"/>
          <w:sz w:val="22"/>
          <w:szCs w:val="22"/>
          <w:lang w:val="en-US"/>
        </w:rPr>
      </w:pPr>
    </w:p>
    <w:p w14:paraId="2E18436F"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b/>
          <w:bCs/>
          <w:sz w:val="22"/>
          <w:szCs w:val="22"/>
        </w:rPr>
        <w:t>Actions from evaluations</w:t>
      </w:r>
    </w:p>
    <w:p w14:paraId="73DFC6F2" w14:textId="77777777" w:rsidR="00422E32" w:rsidRPr="00EC4275" w:rsidRDefault="00422E32" w:rsidP="00422E32">
      <w:pPr>
        <w:spacing w:line="360" w:lineRule="auto"/>
        <w:rPr>
          <w:rFonts w:ascii="Calibri" w:eastAsia="Calibri" w:hAnsi="Calibri" w:cs="Calibri"/>
          <w:sz w:val="22"/>
          <w:szCs w:val="22"/>
        </w:rPr>
      </w:pPr>
      <w:r>
        <w:rPr>
          <w:rFonts w:ascii="Calibri" w:eastAsia="Calibri" w:hAnsi="Calibri" w:cs="Calibri"/>
          <w:sz w:val="22"/>
          <w:szCs w:val="22"/>
        </w:rPr>
        <w:lastRenderedPageBreak/>
        <w:t>Actions</w:t>
      </w:r>
      <w:r w:rsidRPr="00EC4275">
        <w:rPr>
          <w:rFonts w:ascii="Calibri" w:eastAsia="Calibri" w:hAnsi="Calibri" w:cs="Calibri"/>
          <w:sz w:val="22"/>
          <w:szCs w:val="22"/>
        </w:rPr>
        <w:t xml:space="preserve"> taken following the review are highlighted in Box 1.  </w:t>
      </w:r>
    </w:p>
    <w:p w14:paraId="6AE03902" w14:textId="77777777" w:rsidR="00422E32" w:rsidRPr="00EC4275" w:rsidRDefault="00422E32" w:rsidP="00422E32">
      <w:pPr>
        <w:spacing w:line="360" w:lineRule="auto"/>
        <w:rPr>
          <w:rFonts w:ascii="Calibri" w:eastAsia="Calibri" w:hAnsi="Calibri" w:cs="Calibri"/>
          <w:sz w:val="22"/>
          <w:szCs w:val="22"/>
        </w:rPr>
      </w:pPr>
      <w:r w:rsidRPr="00EC4275">
        <w:rPr>
          <w:rFonts w:ascii="Calibri" w:eastAsia="Calibri" w:hAnsi="Calibri" w:cs="Calibri"/>
          <w:sz w:val="22"/>
          <w:szCs w:val="22"/>
        </w:rPr>
        <w:t>Box 1: Modifications following evaluation and peer review</w:t>
      </w:r>
    </w:p>
    <w:tbl>
      <w:tblPr>
        <w:tblStyle w:val="TableGrid"/>
        <w:tblW w:w="0" w:type="auto"/>
        <w:tblLook w:val="04A0" w:firstRow="1" w:lastRow="0" w:firstColumn="1" w:lastColumn="0" w:noHBand="0" w:noVBand="1"/>
      </w:tblPr>
      <w:tblGrid>
        <w:gridCol w:w="4508"/>
        <w:gridCol w:w="4508"/>
      </w:tblGrid>
      <w:tr w:rsidR="00422E32" w:rsidRPr="00EC4275" w14:paraId="6825C29A" w14:textId="77777777" w:rsidTr="6573D7FA">
        <w:tc>
          <w:tcPr>
            <w:tcW w:w="4508" w:type="dxa"/>
          </w:tcPr>
          <w:p w14:paraId="36F7EEC0" w14:textId="77777777" w:rsidR="00422E32" w:rsidRPr="00EC4275" w:rsidRDefault="00422E32" w:rsidP="0006358C">
            <w:pPr>
              <w:spacing w:line="360" w:lineRule="auto"/>
              <w:rPr>
                <w:b/>
                <w:bCs/>
              </w:rPr>
            </w:pPr>
            <w:r w:rsidRPr="00EC4275">
              <w:rPr>
                <w:b/>
                <w:bCs/>
              </w:rPr>
              <w:t>Suggestion</w:t>
            </w:r>
          </w:p>
        </w:tc>
        <w:tc>
          <w:tcPr>
            <w:tcW w:w="4508" w:type="dxa"/>
          </w:tcPr>
          <w:p w14:paraId="608EFA50" w14:textId="77777777" w:rsidR="00422E32" w:rsidRPr="00EC4275" w:rsidRDefault="00422E32" w:rsidP="0006358C">
            <w:pPr>
              <w:spacing w:line="360" w:lineRule="auto"/>
              <w:rPr>
                <w:b/>
                <w:bCs/>
              </w:rPr>
            </w:pPr>
            <w:r w:rsidRPr="00EC4275">
              <w:rPr>
                <w:b/>
                <w:bCs/>
              </w:rPr>
              <w:t>Actions taken</w:t>
            </w:r>
          </w:p>
        </w:tc>
      </w:tr>
      <w:tr w:rsidR="00422E32" w:rsidRPr="00EC4275" w14:paraId="408275A9" w14:textId="77777777" w:rsidTr="6573D7FA">
        <w:tc>
          <w:tcPr>
            <w:tcW w:w="4508" w:type="dxa"/>
          </w:tcPr>
          <w:p w14:paraId="0BA76B3C" w14:textId="77777777" w:rsidR="00422E32" w:rsidRPr="00EC4275" w:rsidRDefault="00422E32" w:rsidP="0006358C">
            <w:pPr>
              <w:spacing w:line="360" w:lineRule="auto"/>
            </w:pPr>
            <w:r w:rsidRPr="00EC4275">
              <w:t>Some content too advanced for pre-registration students</w:t>
            </w:r>
          </w:p>
        </w:tc>
        <w:tc>
          <w:tcPr>
            <w:tcW w:w="4508" w:type="dxa"/>
          </w:tcPr>
          <w:p w14:paraId="30C995BE" w14:textId="77777777" w:rsidR="00422E32" w:rsidRPr="00EC4275" w:rsidRDefault="00422E32" w:rsidP="0006358C">
            <w:pPr>
              <w:spacing w:line="360" w:lineRule="auto"/>
            </w:pPr>
            <w:r w:rsidRPr="00EC4275">
              <w:t xml:space="preserve">All content reviewed to ensure appropriate for pre-registration audience.  The Science of Cancer module was simplified.  </w:t>
            </w:r>
          </w:p>
        </w:tc>
      </w:tr>
      <w:tr w:rsidR="00422E32" w:rsidRPr="00EC4275" w14:paraId="2D8CABC9" w14:textId="77777777" w:rsidTr="6573D7FA">
        <w:tc>
          <w:tcPr>
            <w:tcW w:w="4508" w:type="dxa"/>
          </w:tcPr>
          <w:p w14:paraId="67E8B3DA" w14:textId="77777777" w:rsidR="00422E32" w:rsidRPr="00EC4275" w:rsidRDefault="00422E32" w:rsidP="0006358C">
            <w:pPr>
              <w:spacing w:line="360" w:lineRule="auto"/>
            </w:pPr>
            <w:r w:rsidRPr="00EC4275">
              <w:t>Include self-assessment within each module</w:t>
            </w:r>
          </w:p>
        </w:tc>
        <w:tc>
          <w:tcPr>
            <w:tcW w:w="4508" w:type="dxa"/>
          </w:tcPr>
          <w:p w14:paraId="65489BC4" w14:textId="541F6992" w:rsidR="00422E32" w:rsidRPr="00EC4275" w:rsidRDefault="00422E32" w:rsidP="0006358C">
            <w:pPr>
              <w:spacing w:line="360" w:lineRule="auto"/>
            </w:pPr>
            <w:r>
              <w:t>Self</w:t>
            </w:r>
            <w:r w:rsidR="331D0F64">
              <w:t>-</w:t>
            </w:r>
            <w:r>
              <w:t xml:space="preserve">assessment and reflective questions have been included </w:t>
            </w:r>
            <w:r w:rsidR="0C8D1DBB">
              <w:t>in</w:t>
            </w:r>
            <w:r w:rsidR="00AE1191">
              <w:t xml:space="preserve"> </w:t>
            </w:r>
            <w:r>
              <w:t>all modules</w:t>
            </w:r>
          </w:p>
        </w:tc>
      </w:tr>
      <w:tr w:rsidR="00422E32" w:rsidRPr="00EC4275" w14:paraId="4E76EC89" w14:textId="77777777" w:rsidTr="6573D7FA">
        <w:tc>
          <w:tcPr>
            <w:tcW w:w="4508" w:type="dxa"/>
          </w:tcPr>
          <w:p w14:paraId="08A701FC" w14:textId="77777777" w:rsidR="00422E32" w:rsidRPr="00EC4275" w:rsidRDefault="00422E32" w:rsidP="0006358C">
            <w:pPr>
              <w:spacing w:line="360" w:lineRule="auto"/>
            </w:pPr>
            <w:r w:rsidRPr="00EC4275">
              <w:t>Review gender representation</w:t>
            </w:r>
          </w:p>
        </w:tc>
        <w:tc>
          <w:tcPr>
            <w:tcW w:w="4508" w:type="dxa"/>
          </w:tcPr>
          <w:p w14:paraId="0A03CA5C" w14:textId="77777777" w:rsidR="00422E32" w:rsidRPr="00EC4275" w:rsidRDefault="00422E32" w:rsidP="0006358C">
            <w:pPr>
              <w:spacing w:line="360" w:lineRule="auto"/>
            </w:pPr>
            <w:r w:rsidRPr="00EC4275">
              <w:t xml:space="preserve">All representation reviewed by team and by </w:t>
            </w:r>
            <w:r>
              <w:t>Technology enhanced learning</w:t>
            </w:r>
            <w:r w:rsidRPr="00EC4275">
              <w:t xml:space="preserve"> Quality Assurance Team</w:t>
            </w:r>
          </w:p>
        </w:tc>
      </w:tr>
      <w:tr w:rsidR="00422E32" w:rsidRPr="00EC4275" w14:paraId="14764B00" w14:textId="77777777" w:rsidTr="6573D7FA">
        <w:tc>
          <w:tcPr>
            <w:tcW w:w="4508" w:type="dxa"/>
          </w:tcPr>
          <w:p w14:paraId="435D17B0" w14:textId="77777777" w:rsidR="00422E32" w:rsidRPr="00EC4275" w:rsidRDefault="00422E32" w:rsidP="0006358C">
            <w:pPr>
              <w:spacing w:line="360" w:lineRule="auto"/>
            </w:pPr>
            <w:r w:rsidRPr="00EC4275">
              <w:t>Avoid acronyms</w:t>
            </w:r>
          </w:p>
        </w:tc>
        <w:tc>
          <w:tcPr>
            <w:tcW w:w="4508" w:type="dxa"/>
          </w:tcPr>
          <w:p w14:paraId="6562A58F" w14:textId="77777777" w:rsidR="00422E32" w:rsidRPr="00EC4275" w:rsidRDefault="00422E32" w:rsidP="0006358C">
            <w:pPr>
              <w:spacing w:line="360" w:lineRule="auto"/>
            </w:pPr>
            <w:r w:rsidRPr="00EC4275">
              <w:t>All acronyms removed where appropriate or full explanations given</w:t>
            </w:r>
          </w:p>
        </w:tc>
      </w:tr>
      <w:tr w:rsidR="00422E32" w:rsidRPr="00EC4275" w14:paraId="00C848D2" w14:textId="77777777" w:rsidTr="6573D7FA">
        <w:tc>
          <w:tcPr>
            <w:tcW w:w="4508" w:type="dxa"/>
          </w:tcPr>
          <w:p w14:paraId="1927EFA2" w14:textId="77777777" w:rsidR="00422E32" w:rsidRPr="00EC4275" w:rsidRDefault="00422E32" w:rsidP="0006358C">
            <w:pPr>
              <w:spacing w:line="360" w:lineRule="auto"/>
            </w:pPr>
            <w:r w:rsidRPr="00EC4275">
              <w:t>Ensure links and references are up to date</w:t>
            </w:r>
          </w:p>
        </w:tc>
        <w:tc>
          <w:tcPr>
            <w:tcW w:w="4508" w:type="dxa"/>
          </w:tcPr>
          <w:p w14:paraId="2C20C8E8" w14:textId="77777777" w:rsidR="00422E32" w:rsidRPr="00EC4275" w:rsidRDefault="00422E32" w:rsidP="0006358C">
            <w:pPr>
              <w:spacing w:line="360" w:lineRule="auto"/>
            </w:pPr>
            <w:r w:rsidRPr="00EC4275">
              <w:t>All links checked to ensure accuracy and relevance.  All references updated to within five years unless seminal work.</w:t>
            </w:r>
          </w:p>
        </w:tc>
      </w:tr>
      <w:tr w:rsidR="00422E32" w:rsidRPr="00EC4275" w14:paraId="07272503" w14:textId="77777777" w:rsidTr="6573D7FA">
        <w:tc>
          <w:tcPr>
            <w:tcW w:w="4508" w:type="dxa"/>
          </w:tcPr>
          <w:p w14:paraId="1E9E6048" w14:textId="77777777" w:rsidR="00422E32" w:rsidRPr="00EC4275" w:rsidRDefault="00422E32" w:rsidP="0006358C">
            <w:pPr>
              <w:spacing w:line="360" w:lineRule="auto"/>
            </w:pPr>
            <w:r w:rsidRPr="00EC4275">
              <w:t>Improve site navigation</w:t>
            </w:r>
          </w:p>
        </w:tc>
        <w:tc>
          <w:tcPr>
            <w:tcW w:w="4508" w:type="dxa"/>
          </w:tcPr>
          <w:p w14:paraId="3CE06247" w14:textId="77777777" w:rsidR="00422E32" w:rsidRPr="00EC4275" w:rsidRDefault="00422E32" w:rsidP="0006358C">
            <w:pPr>
              <w:spacing w:line="360" w:lineRule="auto"/>
            </w:pPr>
            <w:r w:rsidRPr="00EC4275">
              <w:t xml:space="preserve">Digital platform </w:t>
            </w:r>
            <w:r>
              <w:t>has migrated to a revised platform with improved navigation</w:t>
            </w:r>
          </w:p>
        </w:tc>
      </w:tr>
    </w:tbl>
    <w:p w14:paraId="03C38C68" w14:textId="77777777" w:rsidR="00422E32" w:rsidRPr="00EC4275" w:rsidRDefault="00422E32" w:rsidP="00422E32">
      <w:pPr>
        <w:spacing w:line="360" w:lineRule="auto"/>
        <w:rPr>
          <w:rFonts w:cstheme="minorBidi"/>
          <w:sz w:val="22"/>
          <w:szCs w:val="22"/>
        </w:rPr>
      </w:pPr>
    </w:p>
    <w:p w14:paraId="7FEE1A9D"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b/>
          <w:bCs/>
          <w:color w:val="FF0000"/>
          <w:sz w:val="22"/>
          <w:szCs w:val="22"/>
        </w:rPr>
        <w:t xml:space="preserve">Final online modules </w:t>
      </w:r>
    </w:p>
    <w:p w14:paraId="6C7FF903" w14:textId="77777777" w:rsidR="00422E32" w:rsidRPr="009B0476" w:rsidRDefault="00422E32" w:rsidP="00422E32">
      <w:pPr>
        <w:spacing w:line="360" w:lineRule="auto"/>
        <w:rPr>
          <w:rFonts w:eastAsia="Times New Roman"/>
          <w:sz w:val="22"/>
          <w:szCs w:val="22"/>
        </w:rPr>
      </w:pPr>
      <w:r>
        <w:rPr>
          <w:rFonts w:ascii="Calibri" w:eastAsia="Calibri" w:hAnsi="Calibri" w:cs="Calibri"/>
          <w:sz w:val="22"/>
          <w:szCs w:val="22"/>
        </w:rPr>
        <w:t>From Spring 2023, the</w:t>
      </w:r>
      <w:r w:rsidRPr="009140CC">
        <w:rPr>
          <w:rFonts w:ascii="Calibri" w:eastAsia="Calibri" w:hAnsi="Calibri" w:cs="Calibri"/>
          <w:sz w:val="22"/>
          <w:szCs w:val="22"/>
        </w:rPr>
        <w:t xml:space="preserve"> </w:t>
      </w:r>
      <w:r>
        <w:rPr>
          <w:rFonts w:ascii="Calibri" w:eastAsia="Calibri" w:hAnsi="Calibri" w:cs="Calibri"/>
          <w:sz w:val="22"/>
          <w:szCs w:val="22"/>
        </w:rPr>
        <w:t>Foundations of Cancer Care online modules will be able</w:t>
      </w:r>
      <w:r w:rsidRPr="009140CC">
        <w:rPr>
          <w:rFonts w:ascii="Calibri" w:eastAsia="Calibri" w:hAnsi="Calibri" w:cs="Calibri"/>
          <w:sz w:val="22"/>
          <w:szCs w:val="22"/>
        </w:rPr>
        <w:t xml:space="preserve"> on the </w:t>
      </w:r>
      <w:r>
        <w:rPr>
          <w:rFonts w:ascii="Calibri" w:eastAsia="Calibri" w:hAnsi="Calibri" w:cs="Calibri"/>
          <w:sz w:val="22"/>
          <w:szCs w:val="22"/>
        </w:rPr>
        <w:t xml:space="preserve">UK </w:t>
      </w:r>
      <w:r w:rsidRPr="009140CC">
        <w:rPr>
          <w:rFonts w:ascii="Calibri" w:eastAsia="Calibri" w:hAnsi="Calibri" w:cs="Calibri"/>
          <w:sz w:val="22"/>
          <w:szCs w:val="22"/>
        </w:rPr>
        <w:t>NHS Learning Hub (</w:t>
      </w:r>
      <w:hyperlink r:id="rId10" w:history="1">
        <w:r w:rsidRPr="002D5B42">
          <w:rPr>
            <w:rStyle w:val="Hyperlink"/>
            <w:rFonts w:ascii="Calibri" w:eastAsia="Calibri" w:hAnsi="Calibri" w:cs="Calibri"/>
            <w:sz w:val="22"/>
            <w:szCs w:val="22"/>
          </w:rPr>
          <w:t>https://learninghub.nhs.uk/</w:t>
        </w:r>
      </w:hyperlink>
      <w:r w:rsidRPr="009140CC">
        <w:rPr>
          <w:rFonts w:ascii="Calibri" w:eastAsia="Calibri" w:hAnsi="Calibri" w:cs="Calibri"/>
          <w:sz w:val="22"/>
          <w:szCs w:val="22"/>
        </w:rPr>
        <w:t>)</w:t>
      </w:r>
      <w:r>
        <w:rPr>
          <w:rFonts w:ascii="Calibri" w:eastAsia="Calibri" w:hAnsi="Calibri" w:cs="Calibri"/>
          <w:sz w:val="22"/>
          <w:szCs w:val="22"/>
        </w:rPr>
        <w:t xml:space="preserve"> and</w:t>
      </w:r>
      <w:r w:rsidRPr="009140CC">
        <w:rPr>
          <w:rFonts w:ascii="Calibri" w:eastAsia="Calibri" w:hAnsi="Calibri" w:cs="Calibri"/>
          <w:sz w:val="22"/>
          <w:szCs w:val="22"/>
        </w:rPr>
        <w:t xml:space="preserve"> will be freely accessible to all those with an NHS</w:t>
      </w:r>
      <w:r>
        <w:rPr>
          <w:rFonts w:ascii="Calibri" w:eastAsia="Calibri" w:hAnsi="Calibri" w:cs="Calibri"/>
          <w:sz w:val="22"/>
          <w:szCs w:val="22"/>
        </w:rPr>
        <w:t xml:space="preserve">, UK </w:t>
      </w:r>
      <w:r w:rsidRPr="009140CC">
        <w:rPr>
          <w:rFonts w:ascii="Calibri" w:eastAsia="Calibri" w:hAnsi="Calibri" w:cs="Calibri"/>
          <w:sz w:val="22"/>
          <w:szCs w:val="22"/>
        </w:rPr>
        <w:t xml:space="preserve">university email address, or with an Open Athens </w:t>
      </w:r>
      <w:r w:rsidRPr="009B0476">
        <w:rPr>
          <w:rFonts w:ascii="Calibri" w:eastAsia="Calibri" w:hAnsi="Calibri" w:cs="Calibri"/>
          <w:sz w:val="22"/>
          <w:szCs w:val="22"/>
        </w:rPr>
        <w:t xml:space="preserve">account.  </w:t>
      </w:r>
      <w:r w:rsidRPr="009B0476">
        <w:rPr>
          <w:rFonts w:eastAsia="Times New Roman"/>
          <w:sz w:val="22"/>
          <w:szCs w:val="22"/>
        </w:rPr>
        <w:t>Modules include:</w:t>
      </w:r>
    </w:p>
    <w:p w14:paraId="0480CB39"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The context of cancer</w:t>
      </w:r>
    </w:p>
    <w:p w14:paraId="5C01092B"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The science of cancer</w:t>
      </w:r>
    </w:p>
    <w:p w14:paraId="2EC9B10E"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 xml:space="preserve">Personalised treatment and care for cancer </w:t>
      </w:r>
    </w:p>
    <w:p w14:paraId="0A9A3849"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Understanding the impact of cancer on the individual, families and healthcare professionals</w:t>
      </w:r>
    </w:p>
    <w:p w14:paraId="596E05F6"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Living with and beyond cancer</w:t>
      </w:r>
    </w:p>
    <w:p w14:paraId="6CE7861B"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t>-</w:t>
      </w:r>
      <w:r w:rsidRPr="009B0476">
        <w:rPr>
          <w:rFonts w:eastAsia="Times New Roman"/>
          <w:sz w:val="22"/>
          <w:szCs w:val="22"/>
        </w:rPr>
        <w:tab/>
        <w:t>Palliative and end of life care</w:t>
      </w:r>
    </w:p>
    <w:p w14:paraId="0910AE8D" w14:textId="438C2C68" w:rsidR="00422E32" w:rsidRPr="009B0476" w:rsidRDefault="00422E32" w:rsidP="00422E32">
      <w:pPr>
        <w:spacing w:line="360" w:lineRule="auto"/>
        <w:rPr>
          <w:rFonts w:eastAsia="Times New Roman"/>
          <w:sz w:val="22"/>
          <w:szCs w:val="22"/>
        </w:rPr>
      </w:pPr>
      <w:r w:rsidRPr="6573D7FA">
        <w:rPr>
          <w:rFonts w:eastAsia="Times New Roman"/>
          <w:sz w:val="22"/>
          <w:szCs w:val="22"/>
        </w:rPr>
        <w:t>-</w:t>
      </w:r>
      <w:r>
        <w:tab/>
      </w:r>
      <w:r w:rsidRPr="6573D7FA">
        <w:rPr>
          <w:rFonts w:eastAsia="Times New Roman"/>
          <w:sz w:val="22"/>
          <w:szCs w:val="22"/>
        </w:rPr>
        <w:t>Selfcare, ethics and clinical leadership in cancer</w:t>
      </w:r>
    </w:p>
    <w:p w14:paraId="60050AB2" w14:textId="77777777" w:rsidR="00422E32" w:rsidRPr="009B0476" w:rsidRDefault="00422E32" w:rsidP="00422E32">
      <w:pPr>
        <w:spacing w:line="360" w:lineRule="auto"/>
        <w:rPr>
          <w:rFonts w:eastAsia="Times New Roman"/>
          <w:sz w:val="22"/>
          <w:szCs w:val="22"/>
        </w:rPr>
      </w:pPr>
      <w:r w:rsidRPr="009B0476">
        <w:rPr>
          <w:rFonts w:eastAsia="Times New Roman"/>
          <w:sz w:val="22"/>
          <w:szCs w:val="22"/>
        </w:rPr>
        <w:lastRenderedPageBreak/>
        <w:t>-</w:t>
      </w:r>
      <w:r w:rsidRPr="009B0476">
        <w:rPr>
          <w:rFonts w:eastAsia="Times New Roman"/>
          <w:sz w:val="22"/>
          <w:szCs w:val="22"/>
        </w:rPr>
        <w:tab/>
        <w:t>Communication and team working in cancer care</w:t>
      </w:r>
    </w:p>
    <w:p w14:paraId="3C7846B3" w14:textId="03FC8147" w:rsidR="00422E32" w:rsidRPr="00EC4275" w:rsidRDefault="00422E32" w:rsidP="00422E32">
      <w:pPr>
        <w:spacing w:line="360" w:lineRule="auto"/>
        <w:rPr>
          <w:rFonts w:eastAsia="Times New Roman"/>
          <w:sz w:val="22"/>
          <w:szCs w:val="22"/>
        </w:rPr>
      </w:pPr>
      <w:r w:rsidRPr="6573D7FA">
        <w:rPr>
          <w:rFonts w:eastAsia="Times New Roman"/>
          <w:sz w:val="22"/>
          <w:szCs w:val="22"/>
        </w:rPr>
        <w:t>-</w:t>
      </w:r>
      <w:r>
        <w:tab/>
      </w:r>
      <w:r w:rsidRPr="6573D7FA">
        <w:rPr>
          <w:rFonts w:eastAsia="Times New Roman"/>
          <w:sz w:val="22"/>
          <w:szCs w:val="22"/>
        </w:rPr>
        <w:t xml:space="preserve">Evidenced based practice and applied research in cancer care     </w:t>
      </w:r>
      <w:commentRangeStart w:id="1"/>
      <w:commentRangeStart w:id="2"/>
      <w:commentRangeEnd w:id="1"/>
      <w:r>
        <w:rPr>
          <w:rStyle w:val="CommentReference"/>
        </w:rPr>
        <w:commentReference w:id="1"/>
      </w:r>
      <w:commentRangeEnd w:id="2"/>
      <w:r>
        <w:rPr>
          <w:rStyle w:val="CommentReference"/>
        </w:rPr>
        <w:commentReference w:id="2"/>
      </w:r>
    </w:p>
    <w:p w14:paraId="6D3D1A6A"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sz w:val="22"/>
          <w:szCs w:val="22"/>
        </w:rPr>
        <w:t xml:space="preserve">Modules include factual content which is supported by suggested workplace activities, reflective practices and self-assessments.  Each incorporates text, figures, diagrams, links to patient experience videos, podcasts, policies and charity websites.  Every module summarises the key points and students are signposted to additional e-learning opportunities and further reading. </w:t>
      </w:r>
    </w:p>
    <w:p w14:paraId="5C2B4918" w14:textId="77777777" w:rsidR="00422E32" w:rsidRPr="00EC4275" w:rsidRDefault="00422E32" w:rsidP="00422E32">
      <w:pPr>
        <w:spacing w:line="360" w:lineRule="auto"/>
        <w:rPr>
          <w:rFonts w:ascii="Calibri" w:eastAsia="Calibri" w:hAnsi="Calibri" w:cs="Calibri"/>
          <w:b/>
          <w:bCs/>
          <w:color w:val="FF0000"/>
          <w:sz w:val="22"/>
          <w:szCs w:val="22"/>
        </w:rPr>
      </w:pPr>
      <w:r w:rsidRPr="00EC4275">
        <w:rPr>
          <w:rFonts w:ascii="Calibri" w:eastAsia="Calibri" w:hAnsi="Calibri" w:cs="Calibri"/>
          <w:b/>
          <w:bCs/>
          <w:color w:val="FF0000"/>
          <w:sz w:val="22"/>
          <w:szCs w:val="22"/>
        </w:rPr>
        <w:t xml:space="preserve">Discussion </w:t>
      </w:r>
    </w:p>
    <w:p w14:paraId="03A00FD7" w14:textId="77777777" w:rsidR="00422E32" w:rsidRPr="00EC4275" w:rsidRDefault="00422E32" w:rsidP="00422E32">
      <w:pPr>
        <w:spacing w:line="360" w:lineRule="auto"/>
        <w:rPr>
          <w:rFonts w:ascii="Calibri" w:eastAsia="Calibri" w:hAnsi="Calibri" w:cs="Calibri"/>
          <w:sz w:val="22"/>
          <w:szCs w:val="22"/>
        </w:rPr>
      </w:pPr>
      <w:r w:rsidRPr="7D4B8C68">
        <w:rPr>
          <w:rFonts w:ascii="Calibri" w:eastAsia="Calibri" w:hAnsi="Calibri" w:cs="Calibri"/>
          <w:sz w:val="22"/>
          <w:szCs w:val="22"/>
        </w:rPr>
        <w:t xml:space="preserve">Over a third of students in this review had no cancer experience at all and almost two thirds had not experienced a clinical placement in a cancer setting.  Lack of clinical placements is a recognised issue and </w:t>
      </w:r>
      <w:r w:rsidRPr="7D4B8C68">
        <w:rPr>
          <w:rFonts w:cstheme="minorBidi"/>
          <w:color w:val="222222"/>
          <w:sz w:val="22"/>
          <w:szCs w:val="22"/>
        </w:rPr>
        <w:t xml:space="preserve">novel approaches, such as simulation and virtual placements have been adopted in cancer with good effect </w:t>
      </w:r>
      <w:r w:rsidRPr="7D4B8C68">
        <w:rPr>
          <w:rFonts w:cstheme="minorBidi"/>
          <w:color w:val="222222"/>
          <w:sz w:val="22"/>
          <w:szCs w:val="22"/>
        </w:rPr>
        <w:fldChar w:fldCharType="begin" w:fldLock="1"/>
      </w:r>
      <w:r w:rsidRPr="7D4B8C68">
        <w:rPr>
          <w:rFonts w:cstheme="minorBidi"/>
          <w:color w:val="222222"/>
          <w:sz w:val="22"/>
          <w:szCs w:val="22"/>
        </w:rPr>
        <w:instrText>ADDIN CSL_CITATION {"citationItems":[{"id":"ITEM-1","itemData":{"DOI":"10.1259/bjro.20210054","abstract":"… Christie Proton School quantitative and qualitative feedback, we propose potential solutions for challenges to online learning to optimise the learning experience (Table 2). …","author":[{"dropping-particle":"","family":"Croxford","given":"William","non-dropping-particle":"","parse-names":false,"suffix":""},{"dropping-particle":"","family":"France","given":"Anna","non-dropping-particle":"","parse-names":false,"suffix":""},{"dropping-particle":"","family":"Clarke","given":"Matthew","non-dropping-particle":"","parse-names":false,"suffix":""},{"dropping-particle":"","family":"Hewitt","given":"Lauren","non-dropping-particle":"","parse-names":false,"suffix":""},{"dropping-particle":"","family":"Kirkby","given":"Karen","non-dropping-particle":"","parse-names":false,"suffix":""},{"dropping-particle":"","family":"Mackay","given":"Ranald","non-dropping-particle":"","parse-names":false,"suffix":""},{"dropping-particle":"","family":"Miller","given":"Jane","non-dropping-particle":"","parse-names":false,"suffix":""},{"dropping-particle":"","family":"Radhakrishna","given":"Ganesh","non-dropping-particle":"","parse-names":false,"suffix":""},{"dropping-particle":"","family":"Sanneh","given":"Alison","non-dropping-particle":"","parse-names":false,"suffix":""},{"dropping-particle":"","family":"Smith","given":"Ed","non-dropping-particle":"","parse-names":false,"suffix":""},{"dropping-particle":"","family":"Pan","given":"Shermaine","non-dropping-particle":"","parse-names":false,"suffix":""}],"container-title":"BJR|Open","id":"ITEM-1","issue":"1","issued":{"date-parts":[["2021"]]},"title":"Online learning in proton radiation therapy: the future in the post-Covid-19 pandemic era?","type":"article-journal","volume":"3"},"uris":["http://www.mendeley.com/documents/?uuid=a16f6990-e313-4ddb-8222-2451ef411508"]}],"mendeley":{"formattedCitation":"(Croxford &lt;i&gt;et al.&lt;/i&gt;, 2021)","plainTextFormattedCitation":"(Croxford et al., 2021)","previouslyFormattedCitation":"(Croxford &lt;i&gt;et al.&lt;/i&gt;, 2021)"},"properties":{"noteIndex":0},"schema":"https://github.com/citation-style-language/schema/raw/master/csl-citation.json"}</w:instrText>
      </w:r>
      <w:r w:rsidRPr="7D4B8C68">
        <w:rPr>
          <w:rFonts w:cstheme="minorBidi"/>
          <w:color w:val="222222"/>
          <w:sz w:val="22"/>
          <w:szCs w:val="22"/>
        </w:rPr>
        <w:fldChar w:fldCharType="separate"/>
      </w:r>
      <w:r w:rsidRPr="7D4B8C68">
        <w:rPr>
          <w:rFonts w:cstheme="minorBidi"/>
          <w:noProof/>
          <w:color w:val="222222"/>
          <w:sz w:val="22"/>
          <w:szCs w:val="22"/>
        </w:rPr>
        <w:t xml:space="preserve">(Croxford </w:t>
      </w:r>
      <w:r w:rsidRPr="7D4B8C68">
        <w:rPr>
          <w:rFonts w:cstheme="minorBidi"/>
          <w:i/>
          <w:iCs/>
          <w:noProof/>
          <w:color w:val="222222"/>
          <w:sz w:val="22"/>
          <w:szCs w:val="22"/>
        </w:rPr>
        <w:t>et al.</w:t>
      </w:r>
      <w:r w:rsidRPr="7D4B8C68">
        <w:rPr>
          <w:rFonts w:cstheme="minorBidi"/>
          <w:noProof/>
          <w:color w:val="222222"/>
          <w:sz w:val="22"/>
          <w:szCs w:val="22"/>
        </w:rPr>
        <w:t>, 2021)</w:t>
      </w:r>
      <w:r w:rsidRPr="7D4B8C68">
        <w:rPr>
          <w:rFonts w:cstheme="minorBidi"/>
          <w:color w:val="222222"/>
          <w:sz w:val="22"/>
          <w:szCs w:val="22"/>
        </w:rPr>
        <w:fldChar w:fldCharType="end"/>
      </w:r>
      <w:r w:rsidRPr="7D4B8C68">
        <w:rPr>
          <w:rFonts w:cstheme="minorBidi"/>
          <w:color w:val="222222"/>
          <w:sz w:val="22"/>
          <w:szCs w:val="22"/>
        </w:rPr>
        <w:t xml:space="preserve">.  However, access to such placements remains limited.  In addition, due to pressures to meet all standards set out by Professional Regulatory and Statutory Bodies (PSRB’s) </w:t>
      </w:r>
      <w:r w:rsidRPr="7D4B8C68">
        <w:rPr>
          <w:rFonts w:ascii="Calibri" w:eastAsia="Calibri" w:hAnsi="Calibri" w:cs="Calibri"/>
          <w:sz w:val="22"/>
          <w:szCs w:val="22"/>
        </w:rPr>
        <w:t xml:space="preserve">pre-registration curricula can include limited opportunity for in-depth study of any speciality </w:t>
      </w:r>
      <w:r w:rsidRPr="7D4B8C68">
        <w:rPr>
          <w:rFonts w:ascii="Calibri" w:eastAsia="Calibri" w:hAnsi="Calibri" w:cs="Calibri"/>
          <w:sz w:val="22"/>
          <w:szCs w:val="22"/>
        </w:rPr>
        <w:fldChar w:fldCharType="begin" w:fldLock="1"/>
      </w:r>
      <w:r w:rsidRPr="7D4B8C68">
        <w:rPr>
          <w:rFonts w:ascii="Calibri" w:eastAsia="Calibri" w:hAnsi="Calibri" w:cs="Calibri"/>
          <w:sz w:val="22"/>
          <w:szCs w:val="22"/>
        </w:rPr>
        <w:instrText>ADDIN CSL_CITATION {"citationItems":[{"id":"ITEM-1","itemData":{"DOI":"10.1016/j.nedt.2023.105782","ISSN":"15322793","abstract":"This paper explores the inherent contradiction between the purpose of nurse education – to produce critical thinking, autonomous and accountable future nurses – and the prescription of standards and competencies to realize this goal. Drawing on examples from the United Kingdom's Nursing and Midwifery Council's (NMC) ‘Future Nurse’ standards, we argue that standards and competencies offer little more than a veneer of protection to the public and that, fundamentally, educational approaches based on ‘dot point’ formulations are antithetical to conditions in which genuinely critical-thinking, autonomous and accountable practitioners can develop. The purpose of this paper is to raise debate about the hegemony of competencies and standards. For the sake of academic health and the future of the nursing profession, the ubiquity of competency-based education must be critiqued and challenged.","author":[{"dropping-particle":"","family":"Collier-Sewell","given":"Freya","non-dropping-particle":"","parse-names":false,"suffix":""},{"dropping-particle":"","family":"Atherton","given":"Iain","non-dropping-particle":"","parse-names":false,"suffix":""},{"dropping-particle":"","family":"Mahoney","given":"Catherine","non-dropping-particle":"","parse-names":false,"suffix":""},{"dropping-particle":"","family":"Kyle","given":"Richard G.","non-dropping-particle":"","parse-names":false,"suffix":""},{"dropping-particle":"","family":"Hughes","given":"Emma","non-dropping-particle":"","parse-names":false,"suffix":""},{"dropping-particle":"","family":"Lasater","given":"Kathie","non-dropping-particle":"","parse-names":false,"suffix":""}],"container-title":"Nurse Education Today","id":"ITEM-1","issue":"March","issued":{"date-parts":[["2023"]]},"page":"105782","publisher":"Elsevier Ltd","title":"Competencies and standards in nurse education: The irresolvable tensions","type":"article-journal","volume":"125"},"uris":["http://www.mendeley.com/documents/?uuid=561bf097-26b4-4a78-b8ad-7c93bb29c088"]}],"mendeley":{"formattedCitation":"(Collier-Sewell &lt;i&gt;et al.&lt;/i&gt;, 2023)","plainTextFormattedCitation":"(Collier-Sewell et al., 2023)","previouslyFormattedCitation":"(Collier-Sewell &lt;i&gt;et al.&lt;/i&gt;, 2023)"},"properties":{"noteIndex":0},"schema":"https://github.com/citation-style-language/schema/raw/master/csl-citation.json"}</w:instrText>
      </w:r>
      <w:r w:rsidRPr="7D4B8C68">
        <w:rPr>
          <w:rFonts w:ascii="Calibri" w:eastAsia="Calibri" w:hAnsi="Calibri" w:cs="Calibri"/>
          <w:sz w:val="22"/>
          <w:szCs w:val="22"/>
        </w:rPr>
        <w:fldChar w:fldCharType="separate"/>
      </w:r>
      <w:r w:rsidRPr="7D4B8C68">
        <w:rPr>
          <w:rFonts w:ascii="Calibri" w:eastAsia="Calibri" w:hAnsi="Calibri" w:cs="Calibri"/>
          <w:noProof/>
          <w:sz w:val="22"/>
          <w:szCs w:val="22"/>
        </w:rPr>
        <w:t xml:space="preserve">(Collier-Sewell </w:t>
      </w:r>
      <w:r w:rsidRPr="7D4B8C68">
        <w:rPr>
          <w:rFonts w:ascii="Calibri" w:eastAsia="Calibri" w:hAnsi="Calibri" w:cs="Calibri"/>
          <w:i/>
          <w:iCs/>
          <w:noProof/>
          <w:sz w:val="22"/>
          <w:szCs w:val="22"/>
        </w:rPr>
        <w:t>et al.</w:t>
      </w:r>
      <w:r w:rsidRPr="7D4B8C68">
        <w:rPr>
          <w:rFonts w:ascii="Calibri" w:eastAsia="Calibri" w:hAnsi="Calibri" w:cs="Calibri"/>
          <w:noProof/>
          <w:sz w:val="22"/>
          <w:szCs w:val="22"/>
        </w:rPr>
        <w:t>, 2023)</w:t>
      </w:r>
      <w:r w:rsidRPr="7D4B8C68">
        <w:rPr>
          <w:rFonts w:ascii="Calibri" w:eastAsia="Calibri" w:hAnsi="Calibri" w:cs="Calibri"/>
          <w:sz w:val="22"/>
          <w:szCs w:val="22"/>
        </w:rPr>
        <w:fldChar w:fldCharType="end"/>
      </w:r>
      <w:r w:rsidRPr="7D4B8C68">
        <w:rPr>
          <w:rFonts w:ascii="Calibri" w:eastAsia="Calibri" w:hAnsi="Calibri" w:cs="Calibri"/>
          <w:sz w:val="22"/>
          <w:szCs w:val="22"/>
        </w:rPr>
        <w:t xml:space="preserve">, including cancer.  </w:t>
      </w:r>
      <w:r w:rsidRPr="7D4B8C68">
        <w:rPr>
          <w:rFonts w:cstheme="minorBidi"/>
          <w:color w:val="222222"/>
          <w:sz w:val="22"/>
          <w:szCs w:val="22"/>
        </w:rPr>
        <w:t>This lack of exposure to cancer during pre-registration programmes can lead to students feeling ill prepared to care for people affected by cancer.  This reinforces the need for resources such as the Foundations of Cancer Care.</w:t>
      </w:r>
    </w:p>
    <w:p w14:paraId="2E8C50B9" w14:textId="7623E104" w:rsidR="00422E32" w:rsidRDefault="00422E32" w:rsidP="2BBA1E4C">
      <w:pPr>
        <w:spacing w:line="360" w:lineRule="auto"/>
        <w:rPr>
          <w:rFonts w:cstheme="minorBidi"/>
          <w:color w:val="2E2E2E"/>
          <w:sz w:val="22"/>
          <w:szCs w:val="22"/>
        </w:rPr>
      </w:pPr>
      <w:r w:rsidRPr="2BBA1E4C">
        <w:rPr>
          <w:rFonts w:ascii="Calibri" w:eastAsia="Calibri" w:hAnsi="Calibri" w:cs="Calibri"/>
          <w:sz w:val="22"/>
          <w:szCs w:val="22"/>
        </w:rPr>
        <w:t xml:space="preserve">Feedback from both students and the healthcare professionals suggested simplifying the Science of Cancer module.  Globally, there are recognised challenges of teaching biosciences and pathophysiology in healthcare.  Whilst nursing students recognise the need to understand bioscience  </w:t>
      </w:r>
      <w:r w:rsidRPr="2BBA1E4C">
        <w:rPr>
          <w:rFonts w:ascii="Calibri" w:eastAsia="Calibri" w:hAnsi="Calibri" w:cs="Calibri"/>
          <w:sz w:val="22"/>
          <w:szCs w:val="22"/>
        </w:rPr>
        <w:fldChar w:fldCharType="begin" w:fldLock="1"/>
      </w:r>
      <w:r w:rsidRPr="2BBA1E4C">
        <w:rPr>
          <w:rFonts w:ascii="Calibri" w:eastAsia="Calibri" w:hAnsi="Calibri" w:cs="Calibri"/>
          <w:sz w:val="22"/>
          <w:szCs w:val="22"/>
        </w:rPr>
        <w:instrText>ADDIN CSL_CITATION {"citationItems":[{"id":"ITEM-1","itemData":{"DOI":"10.1016/j.nedt.2021.104767","ISSN":"15322793","PMID":"33571929","abstract":"Background: Bioscience in nursing education covers a broad range of disciplinary areas (anatomy, physiology, pathophysiology and pharmacology) and underpins clinical assessment and critical thinking in nursing practice. This is imperative for patient safety and favourable patient outcomes. In nursing programs for registration, most bioscience content is taught during the early phases of the program and little incorporated into postgraduate nursing programs. Objectives: The aim of this study was to explore student's perceived relationship between clinical relevance and engagement (attention and time) with bioscience content, by surveying undergraduates and postgraduate nursing students. Design: This sequential mixed methods study included two phases. Methods: The first phase comprised of focus group interviews from one Australian University. Thematic analysis of these data, coupled with existing literature, informed the second study phase; a quantitative questionnaire. Participants: Focus group interviews included N = 30 students from one tertiary site; 10 from each year level. The questionnaire was administered to nursing students undertaking undergraduate nursing studies (1st, 2nd &amp; 3rd years), and postgraduate nursing studies. Results: Nursing students (n = 406) across three Australian universities (four programmes) completed the questionnaire. The clinical relevance of bioscience was widely appreciated; 91.6% of undergraduate nursing students and 98.5% of postgraduate nursing students indicated that every nurse must have a good understanding of bioscience. However, there was an inverse relationship between engagement with bioscience and timing in the curriculum, as 50% of undergraduate nursing students indicated that bioscience content took up too much of their time, compared to only 20% of postgraduate nurses (odds ratio 0.27 [0.16–0.46], p &lt; 0.001). Conclusion: Nursing students' perceptions of the clinical relevance of bioscience for their career strongly corresponds with their progression through their studies. Unfortunately, as students progress to the later years of their nursing education, their engagement with formal bioscience education decreases. This poses the question ‘Are we delivering bioscience content to nursing students at the appropriate time?’","author":[{"dropping-particle":"","family":"Barton","given":"Matthew J.","non-dropping-particle":"","parse-names":false,"suffix":""},{"dropping-particle":"","family":"Bentley","given":"Steven","non-dropping-particle":"","parse-names":false,"suffix":""},{"dropping-particle":"","family":"Craft","given":"Judy","non-dropping-particle":"","parse-names":false,"suffix":""},{"dropping-particle":"","family":"Dupen","given":"Oliver","non-dropping-particle":"","parse-names":false,"suffix":""},{"dropping-particle":"","family":"Gordon","given":"Christopher","non-dropping-particle":"","parse-names":false,"suffix":""},{"dropping-particle":"","family":"Cayanan","given":"Elizabeth A.","non-dropping-particle":"","parse-names":false,"suffix":""},{"dropping-particle":"","family":"Kunst","given":"Elicia","non-dropping-particle":"","parse-names":false,"suffix":""},{"dropping-particle":"","family":"Connors","given":"Amanda","non-dropping-particle":"","parse-names":false,"suffix":""},{"dropping-particle":"","family":"Todorovic","given":"Michael","non-dropping-particle":"","parse-names":false,"suffix":""},{"dropping-particle":"","family":"Johnston","given":"Amy NB","non-dropping-particle":"","parse-names":false,"suffix":""}],"container-title":"Nurse Education Today","id":"ITEM-1","issue":"December 2020","issued":{"date-parts":[["2021"]]},"page":"104767","publisher":"Elsevier Ltd","title":"Nursing students' perceptions of clinical relevance and engagement with bioscience education: A cross-sectional study of undergraduate and postgraduate nursing students","type":"article-journal","volume":"99"},"uris":["http://www.mendeley.com/documents/?uuid=49e05d6c-d9a6-4e79-9198-be430040a98b"]}],"mendeley":{"formattedCitation":"(Barton &lt;i&gt;et al.&lt;/i&gt;, 2021)","manualFormatting":"(Taylor et al., 2015, Barton et al., 2021)","plainTextFormattedCitation":"(Barton et al., 2021)","previouslyFormattedCitation":"(Barton &lt;i&gt;et al.&lt;/i&gt;, 2021)"},"properties":{"noteIndex":0},"schema":"https://github.com/citation-style-language/schema/raw/master/csl-citation.json"}</w:instrText>
      </w:r>
      <w:r w:rsidRPr="2BBA1E4C">
        <w:rPr>
          <w:rFonts w:ascii="Calibri" w:eastAsia="Calibri" w:hAnsi="Calibri" w:cs="Calibri"/>
          <w:sz w:val="22"/>
          <w:szCs w:val="22"/>
        </w:rPr>
        <w:fldChar w:fldCharType="separate"/>
      </w:r>
      <w:r w:rsidRPr="2BBA1E4C">
        <w:rPr>
          <w:rFonts w:ascii="Calibri" w:eastAsia="Calibri" w:hAnsi="Calibri" w:cs="Calibri"/>
          <w:noProof/>
          <w:sz w:val="22"/>
          <w:szCs w:val="22"/>
        </w:rPr>
        <w:t xml:space="preserve">(Taylor </w:t>
      </w:r>
      <w:r w:rsidRPr="2BBA1E4C">
        <w:rPr>
          <w:rFonts w:ascii="Calibri" w:eastAsia="Calibri" w:hAnsi="Calibri" w:cs="Calibri"/>
          <w:i/>
          <w:iCs/>
          <w:noProof/>
          <w:sz w:val="22"/>
          <w:szCs w:val="22"/>
        </w:rPr>
        <w:t>et al.,</w:t>
      </w:r>
      <w:r w:rsidRPr="2BBA1E4C">
        <w:rPr>
          <w:rFonts w:ascii="Calibri" w:eastAsia="Calibri" w:hAnsi="Calibri" w:cs="Calibri"/>
          <w:noProof/>
          <w:sz w:val="22"/>
          <w:szCs w:val="22"/>
        </w:rPr>
        <w:t xml:space="preserve"> 2015, Barton </w:t>
      </w:r>
      <w:r w:rsidRPr="2BBA1E4C">
        <w:rPr>
          <w:rFonts w:ascii="Calibri" w:eastAsia="Calibri" w:hAnsi="Calibri" w:cs="Calibri"/>
          <w:i/>
          <w:iCs/>
          <w:noProof/>
          <w:sz w:val="22"/>
          <w:szCs w:val="22"/>
        </w:rPr>
        <w:t>et al.</w:t>
      </w:r>
      <w:r w:rsidRPr="2BBA1E4C">
        <w:rPr>
          <w:rFonts w:ascii="Calibri" w:eastAsia="Calibri" w:hAnsi="Calibri" w:cs="Calibri"/>
          <w:noProof/>
          <w:sz w:val="22"/>
          <w:szCs w:val="22"/>
        </w:rPr>
        <w:t>, 2021)</w:t>
      </w:r>
      <w:r w:rsidRPr="2BBA1E4C">
        <w:rPr>
          <w:rFonts w:ascii="Calibri" w:eastAsia="Calibri" w:hAnsi="Calibri" w:cs="Calibri"/>
          <w:sz w:val="22"/>
          <w:szCs w:val="22"/>
        </w:rPr>
        <w:fldChar w:fldCharType="end"/>
      </w:r>
      <w:r w:rsidRPr="2BBA1E4C">
        <w:rPr>
          <w:rFonts w:ascii="Calibri" w:eastAsia="Calibri" w:hAnsi="Calibri" w:cs="Calibri"/>
          <w:sz w:val="22"/>
          <w:szCs w:val="22"/>
        </w:rPr>
        <w:t xml:space="preserve"> it can be perceived as harder and more difficult to learn and apply than other aspects of healthcare knowledge </w:t>
      </w:r>
      <w:r w:rsidRPr="2BBA1E4C">
        <w:rPr>
          <w:rFonts w:ascii="Calibri" w:eastAsia="Calibri" w:hAnsi="Calibri" w:cs="Calibri"/>
          <w:sz w:val="22"/>
          <w:szCs w:val="22"/>
        </w:rPr>
        <w:fldChar w:fldCharType="begin" w:fldLock="1"/>
      </w:r>
      <w:r w:rsidRPr="2BBA1E4C">
        <w:rPr>
          <w:rFonts w:ascii="Calibri" w:eastAsia="Calibri" w:hAnsi="Calibri" w:cs="Calibri"/>
          <w:sz w:val="22"/>
          <w:szCs w:val="22"/>
        </w:rPr>
        <w:instrText>ADDIN CSL_CITATION {"citationItems":[{"id":"ITEM-1","itemData":{"DOI":"10.1016/j.nedt.2012.10.020","ISSN":"02606917","PMID":"23182891","abstract":"It is known that bioscience is perceived to be difficult and causes anxiety within undergraduate nursing students; yet, commencing students' perceptions of bioscience is not known. Therefore, the aim of this study was to ascertain incoming students' perceptions, knowledge and approaches to learning bioscience. Incoming students to the Bachelor of Nursing completed a questionnaire prior to undertaking bioscience. Two hundred and seventy three students completed the questionnaire that explored their expectations, preconceptions of bioscience content, approaches to learning bioscience, and relationship to clinical practice in the context of biosciences. Participant ages ranged from 17 to 53 (mean 23. years), and 78% of students had completed at least one secondary school science subject, of which 60% had studied biology. Overall, students' preconceptions included anxiety about studying bioscience, bioscience being difficult and harder than nursing subjects, and that more content will be required for bioscience than nursing subjects. Analysis using ANOVA revealed the relationships for secondary school science and age on student responses. A significant effect of secondary school science was found for science in school being advantageous for bioscience (p = 0.010), understanding what bioscience entails (p = 0.002), needing to study science prior to the start of the semester (p = 0.009), and that bioscience is considered difficult (p = 0.029). A significant effect of age was found for exams being more difficult than other assessments (p = 0.000) and for being able to see the relevance of nursing when reaching the workplace (p = 0.011). The findings also indicated that perceptions and associated anxieties related to bioscience were present in commencing students, similar to those which have been reported previously in established student groups. This strongly suggests that the faculty should attempt to dispel preconceptions about bioscience and target improved supports to facilitate the transition of students into the commencement of bioscience for nursing students. © 2012 Elsevier Ltd.","author":[{"dropping-particle":"","family":"Craft","given":"Judy","non-dropping-particle":"","parse-names":false,"suffix":""},{"dropping-particle":"","family":"Hudson","given":"Peter","non-dropping-particle":"","parse-names":false,"suffix":""},{"dropping-particle":"","family":"Plenderleith","given":"Mark","non-dropping-particle":"","parse-names":false,"suffix":""},{"dropping-particle":"","family":"Wirihana","given":"Lisa","non-dropping-particle":"","parse-names":false,"suffix":""},{"dropping-particle":"","family":"Gordon","given":"Christopher","non-dropping-particle":"","parse-names":false,"suffix":""}],"container-title":"Nurse Education Today","id":"ITEM-1","issue":"11","issued":{"date-parts":[["2013"]]},"page":"1399-1405","publisher":"Elsevier Ltd","title":"Commencing nursing students' perceptions and anxiety of bioscience","type":"article-journal","volume":"33"},"uris":["http://www.mendeley.com/documents/?uuid=18210321-feab-4349-a57d-1c3c750bcc10"]},{"id":"ITEM-2","itemData":{"DOI":"10.1016/j.nedt.2021.104767","ISSN":"15322793","PMID":"33571929","abstract":"Background: Bioscience in nursing education covers a broad range of disciplinary areas (anatomy, physiology, pathophysiology and pharmacology) and underpins clinical assessment and critical thinking in nursing practice. This is imperative for patient safety and favourable patient outcomes. In nursing programs for registration, most bioscience content is taught during the early phases of the program and little incorporated into postgraduate nursing programs. Objectives: The aim of this study was to explore student's perceived relationship between clinical relevance and engagement (attention and time) with bioscience content, by surveying undergraduates and postgraduate nursing students. Design: This sequential mixed methods study included two phases. Methods: The first phase comprised of focus group interviews from one Australian University. Thematic analysis of these data, coupled with existing literature, informed the second study phase; a quantitative questionnaire. Participants: Focus group interviews included N = 30 students from one tertiary site; 10 from each year level. The questionnaire was administered to nursing students undertaking undergraduate nursing studies (1st, 2nd &amp; 3rd years), and postgraduate nursing studies. Results: Nursing students (n = 406) across three Australian universities (four programmes) completed the questionnaire. The clinical relevance of bioscience was widely appreciated; 91.6% of undergraduate nursing students and 98.5% of postgraduate nursing students indicated that every nurse must have a good understanding of bioscience. However, there was an inverse relationship between engagement with bioscience and timing in the curriculum, as 50% of undergraduate nursing students indicated that bioscience content took up too much of their time, compared to only 20% of postgraduate nurses (odds ratio 0.27 [0.16–0.46], p &lt; 0.001). Conclusion: Nursing students' perceptions of the clinical relevance of bioscience for their career strongly corresponds with their progression through their studies. Unfortunately, as students progress to the later years of their nursing education, their engagement with formal bioscience education decreases. This poses the question ‘Are we delivering bioscience content to nursing students at the appropriate time?’","author":[{"dropping-particle":"","family":"Barton","given":"Matthew J.","non-dropping-particle":"","parse-names":false,"suffix":""},{"dropping-particle":"","family":"Bentley","given":"Steven","non-dropping-particle":"","parse-names":false,"suffix":""},{"dropping-particle":"","family":"Craft","given":"Judy","non-dropping-particle":"","parse-names":false,"suffix":""},{"dropping-particle":"","family":"Dupen","given":"Oliver","non-dropping-particle":"","parse-names":false,"suffix":""},{"dropping-particle":"","family":"Gordon","given":"Christopher","non-dropping-particle":"","parse-names":false,"suffix":""},{"dropping-particle":"","family":"Cayanan","given":"Elizabeth A.","non-dropping-particle":"","parse-names":false,"suffix":""},{"dropping-particle":"","family":"Kunst","given":"Elicia","non-dropping-particle":"","parse-names":false,"suffix":""},{"dropping-particle":"","family":"Connors","given":"Amanda","non-dropping-particle":"","parse-names":false,"suffix":""},{"dropping-particle":"","family":"Todorovic","given":"Michael","non-dropping-particle":"","parse-names":false,"suffix":""},{"dropping-particle":"","family":"Johnston","given":"Amy NB","non-dropping-particle":"","parse-names":false,"suffix":""}],"container-title":"Nurse Education Today","id":"ITEM-2","issue":"December 2020","issued":{"date-parts":[["2021"]]},"page":"104767","publisher":"Elsevier Ltd","title":"Nursing students' perceptions of clinical relevance and engagement with bioscience education: A cross-sectional study of undergraduate and postgraduate nursing students","type":"article-journal","volume":"99"},"uris":["http://www.mendeley.com/documents/?uuid=49e05d6c-d9a6-4e79-9198-be430040a98b"]}],"mendeley":{"formattedCitation":"(Barton &lt;i&gt;et al.&lt;/i&gt;, 2021; Craft &lt;i&gt;et al.&lt;/i&gt;, 2013)","plainTextFormattedCitation":"(Barton et al., 2021; Craft et al., 2013)","previouslyFormattedCitation":"(Barton &lt;i&gt;et al.&lt;/i&gt;, 2021; Craft &lt;i&gt;et al.&lt;/i&gt;, 2013)"},"properties":{"noteIndex":0},"schema":"https://github.com/citation-style-language/schema/raw/master/csl-citation.json"}</w:instrText>
      </w:r>
      <w:r w:rsidRPr="2BBA1E4C">
        <w:rPr>
          <w:rFonts w:ascii="Calibri" w:eastAsia="Calibri" w:hAnsi="Calibri" w:cs="Calibri"/>
          <w:sz w:val="22"/>
          <w:szCs w:val="22"/>
        </w:rPr>
        <w:fldChar w:fldCharType="separate"/>
      </w:r>
      <w:r w:rsidRPr="2BBA1E4C">
        <w:rPr>
          <w:rFonts w:ascii="Calibri" w:eastAsia="Calibri" w:hAnsi="Calibri" w:cs="Calibri"/>
          <w:noProof/>
          <w:sz w:val="22"/>
          <w:szCs w:val="22"/>
        </w:rPr>
        <w:t xml:space="preserve">(Barton </w:t>
      </w:r>
      <w:r w:rsidRPr="2BBA1E4C">
        <w:rPr>
          <w:rFonts w:ascii="Calibri" w:eastAsia="Calibri" w:hAnsi="Calibri" w:cs="Calibri"/>
          <w:i/>
          <w:iCs/>
          <w:noProof/>
          <w:sz w:val="22"/>
          <w:szCs w:val="22"/>
        </w:rPr>
        <w:t>et al.</w:t>
      </w:r>
      <w:r w:rsidRPr="2BBA1E4C">
        <w:rPr>
          <w:rFonts w:ascii="Calibri" w:eastAsia="Calibri" w:hAnsi="Calibri" w:cs="Calibri"/>
          <w:noProof/>
          <w:sz w:val="22"/>
          <w:szCs w:val="22"/>
        </w:rPr>
        <w:t xml:space="preserve">, 2021; Craft </w:t>
      </w:r>
      <w:r w:rsidRPr="2BBA1E4C">
        <w:rPr>
          <w:rFonts w:ascii="Calibri" w:eastAsia="Calibri" w:hAnsi="Calibri" w:cs="Calibri"/>
          <w:i/>
          <w:iCs/>
          <w:noProof/>
          <w:sz w:val="22"/>
          <w:szCs w:val="22"/>
        </w:rPr>
        <w:t>et al.</w:t>
      </w:r>
      <w:r w:rsidRPr="2BBA1E4C">
        <w:rPr>
          <w:rFonts w:ascii="Calibri" w:eastAsia="Calibri" w:hAnsi="Calibri" w:cs="Calibri"/>
          <w:noProof/>
          <w:sz w:val="22"/>
          <w:szCs w:val="22"/>
        </w:rPr>
        <w:t>, 2013)</w:t>
      </w:r>
      <w:r w:rsidRPr="2BBA1E4C">
        <w:rPr>
          <w:rFonts w:ascii="Calibri" w:eastAsia="Calibri" w:hAnsi="Calibri" w:cs="Calibri"/>
          <w:sz w:val="22"/>
          <w:szCs w:val="22"/>
        </w:rPr>
        <w:fldChar w:fldCharType="end"/>
      </w:r>
      <w:r w:rsidRPr="2BBA1E4C">
        <w:rPr>
          <w:rFonts w:ascii="Calibri" w:eastAsia="Calibri" w:hAnsi="Calibri" w:cs="Calibri"/>
          <w:sz w:val="22"/>
          <w:szCs w:val="22"/>
        </w:rPr>
        <w:t xml:space="preserve">. Further, education providers can find it challenging to convey the significance of learning about anatomy and physiology </w:t>
      </w:r>
      <w:r w:rsidRPr="2BBA1E4C">
        <w:rPr>
          <w:rFonts w:eastAsia="Calibri" w:cstheme="minorBidi"/>
          <w:sz w:val="22"/>
          <w:szCs w:val="22"/>
        </w:rPr>
        <w:fldChar w:fldCharType="begin" w:fldLock="1"/>
      </w:r>
      <w:r w:rsidRPr="2BBA1E4C">
        <w:rPr>
          <w:rFonts w:eastAsia="Calibri" w:cstheme="minorBidi"/>
          <w:sz w:val="22"/>
          <w:szCs w:val="22"/>
        </w:rPr>
        <w:instrText>ADDIN CSL_CITATION {"citationItems":[{"id":"ITEM-1","itemData":{"DOI":"10.1016/j.nepr.2023.103551","ISSN":"14715953","abstract":"Aim: This study aimed to clarify the difficulties and innovations in anatomy and physiology education from the perspective of faculty members in charge of anatomy and physiology education in Japanese nursing universities. Background: Many nursing students have difficulty acquiring anatomy and physiology knowledge and applying it in clinical situations; therefore, effective teaching and learning methods for anatomy and physiology must be provided in nursing education. Design: This study followed a cross-sectional observational design using a web-based self-administered questionnaire. Methods: A web-based self-administered open-ended survey regarding the difficulties and innovations in teaching anatomy and physiology in nursing was conducted involving nursing faculty members at universities in Japan. After inviting 280 nursing universities to participate in the survey, 37 completed questionnaires were collected and descriptively analyzed. Results: In approximately 30% of the universities, multiple professions were involved in collaboratively teaching anatomy and physiology. Furthermore, 59.5% of the universities offered a combination of didactic lectures and laboratory learning. Difficulties in teaching anatomy and physiology included the limitations of the physical teaching environment, the difficulty of teaching the importance of anatomy and physiology in nursing practice, the difficulty of adjusting educational content to learner readiness, and the difficulty of terminology and concepts specific to anatomy and physiology. Innovations used in teaching anatomy and physiology from a nursing perspective included integrating anatomy and physiology with related disciplines, encouraging students to visualize human anatomy in three dimensions, and linking anatomy and physiology to clinical nursing practice. Conclusion: Despite some difficulties in teaching the subjects, faculty members have implemented effective educational methods on their own. Due to the various constraints of the learning environment, it is difficult for students to learn anatomy and physiology on campus in depth and acquire a deep understanding of its significance in clinical practice. Therefore, educational involvement that fosters students’ self-directed learning skills and encourages flexible learning is expected. In addition, by collaborating with multiple disciplines to provide anatomy and physiology education, the participants of this study innovated pedagogies for teaching nursing s…","author":[{"dropping-particle":"","family":"Satoh","given":"Miho","non-dropping-particle":"","parse-names":false,"suffix":""},{"dropping-particle":"","family":"Fujimura","given":"Akiko","non-dropping-particle":"","parse-names":false,"suffix":""},{"dropping-particle":"","family":"Miyagawa","given":"Shoko","non-dropping-particle":"","parse-names":false,"suffix":""}],"container-title":"Nurse Education in Practice","id":"ITEM-1","issue":"November 2022","issued":{"date-parts":[["2023"]]},"page":"103551","publisher":"Elsevier Ltd","title":"Difficulties and innovations in teaching anatomy and physiology in nursing","type":"article-journal","volume":"67"},"uris":["http://www.mendeley.com/documents/?uuid=69229dbf-ba26-47c3-914d-f2524787f50b"]}],"mendeley":{"formattedCitation":"(Satoh, Fujimura and Miyagawa, 2023)","plainTextFormattedCitation":"(Satoh, Fujimura and Miyagawa, 2023)","previouslyFormattedCitation":"(Satoh, Fujimura and Miyagawa, 2023)"},"properties":{"noteIndex":0},"schema":"https://github.com/citation-style-language/schema/raw/master/csl-citation.json"}</w:instrText>
      </w:r>
      <w:r w:rsidRPr="2BBA1E4C">
        <w:rPr>
          <w:rFonts w:eastAsia="Calibri" w:cstheme="minorBidi"/>
          <w:sz w:val="22"/>
          <w:szCs w:val="22"/>
        </w:rPr>
        <w:fldChar w:fldCharType="separate"/>
      </w:r>
      <w:r w:rsidRPr="2BBA1E4C">
        <w:rPr>
          <w:rFonts w:eastAsia="Calibri" w:cstheme="minorBidi"/>
          <w:noProof/>
          <w:sz w:val="22"/>
          <w:szCs w:val="22"/>
        </w:rPr>
        <w:t>(Satoh, Fujimura and Miyagawa, 2023)</w:t>
      </w:r>
      <w:r w:rsidRPr="2BBA1E4C">
        <w:rPr>
          <w:rFonts w:eastAsia="Calibri" w:cstheme="minorBidi"/>
          <w:sz w:val="22"/>
          <w:szCs w:val="22"/>
        </w:rPr>
        <w:fldChar w:fldCharType="end"/>
      </w:r>
      <w:r w:rsidRPr="2BBA1E4C">
        <w:rPr>
          <w:rFonts w:eastAsia="Calibri" w:cstheme="minorBidi"/>
          <w:sz w:val="22"/>
          <w:szCs w:val="22"/>
        </w:rPr>
        <w:t xml:space="preserve">. However, </w:t>
      </w:r>
      <w:r w:rsidRPr="2BBA1E4C">
        <w:rPr>
          <w:rFonts w:cstheme="minorBidi"/>
          <w:color w:val="2E2E2E"/>
          <w:sz w:val="22"/>
          <w:szCs w:val="22"/>
        </w:rPr>
        <w:t>bioscience knowledge can help to contextualise and tailor </w:t>
      </w:r>
      <w:hyperlink r:id="rId15">
        <w:r w:rsidRPr="2BBA1E4C">
          <w:rPr>
            <w:rFonts w:cstheme="minorBidi"/>
            <w:color w:val="2E2E2E"/>
            <w:sz w:val="22"/>
            <w:szCs w:val="22"/>
          </w:rPr>
          <w:t>holistic nursing</w:t>
        </w:r>
      </w:hyperlink>
      <w:r w:rsidRPr="2BBA1E4C">
        <w:rPr>
          <w:rFonts w:cstheme="minorBidi"/>
          <w:color w:val="2E2E2E"/>
          <w:sz w:val="22"/>
          <w:szCs w:val="22"/>
        </w:rPr>
        <w:t xml:space="preserve"> care to individual patient needs </w:t>
      </w:r>
      <w:r w:rsidRPr="2BBA1E4C">
        <w:rPr>
          <w:rFonts w:cstheme="minorBidi"/>
          <w:color w:val="2E2E2E"/>
          <w:sz w:val="22"/>
          <w:szCs w:val="22"/>
        </w:rPr>
        <w:fldChar w:fldCharType="begin" w:fldLock="1"/>
      </w:r>
      <w:r w:rsidRPr="2BBA1E4C">
        <w:rPr>
          <w:rFonts w:cstheme="minorBidi"/>
          <w:color w:val="2E2E2E"/>
          <w:sz w:val="22"/>
          <w:szCs w:val="22"/>
        </w:rPr>
        <w:instrText>ADDIN CSL_CITATION {"citationItems":[{"id":"ITEM-1","itemData":{"DOI":"10.1016/j.nedt.2020.104729","ISSN":"15322793","PMID":"33360317","abstract":"Background: Little is known regarding the transfer of bioscience knowledge gained during undergraduate nursing studies into clinical practice. Objective: To explore the experiences of new registered nurses in applying bioscience concepts in their day-to-day nursing practice. Design: Descriptive qualitative design. Participants: Fifteen recently graduated registered nurses (RNs) who were working in acute care settings participated in the study. Methods: Semi-structured, face-to-face individual interviews were conducted. Interview data were audio-recorded and thematically analysed. Results: Four themes were identified from the qualitative interviews. The first and second themes demonstrated nurses' realisation of the relevance of theoretical bioscience knowledge learnt within the classroom to their practice and how this evidence-based knowledge translated into confidence in decisions made. The third and fourth themes revealed the impact bioscience knowledge had on RNs' relationships with patients and family members, which was viewed as providing compassionate care. Conclusions: The application of knowledge in biosciences gained during their undergraduate years, provided the basis for RNs to trust in their own clinical judgment and to speak with conviction. ‘Connecting the dots’ between bioscience knowledge and clinical practice provided the platform for RNs to gain and build trust with their patients. The practical utility of bioscience knowledge in everyday practice allowed RNs to contextualise their nursing care regimen and tailor holistic nursing care delivery to individual patient needs.","author":[{"dropping-particle":"","family":"Montayre","given":"Jed","non-dropping-particle":"","parse-names":false,"suffix":""},{"dropping-particle":"","family":"Ramjan","given":"Lucie M.","non-dropping-particle":"","parse-names":false,"suffix":""},{"dropping-particle":"","family":"Maneze","given":"Della","non-dropping-particle":"","parse-names":false,"suffix":""},{"dropping-particle":"","family":"Ho","given":"Mu Hsing","non-dropping-particle":"","parse-names":false,"suffix":""},{"dropping-particle":"","family":"Maceri","given":"Anna","non-dropping-particle":"","parse-names":false,"suffix":""},{"dropping-particle":"","family":"Salamonson","given":"Yenna","non-dropping-particle":"","parse-names":false,"suffix":""}],"container-title":"Nurse Education Today","id":"ITEM-1","issue":"September 2020","issued":{"date-parts":[["2021"]]},"page":"104729","publisher":"Elsevier Ltd","title":"“Connecting the dots” – The transfer of bioscience knowledge by new graduate nurses to the clinical setting: A qualitative study","type":"article-journal","volume":"97"},"uris":["http://www.mendeley.com/documents/?uuid=af02afcc-3d19-4a65-be82-4b022b405415"]}],"mendeley":{"formattedCitation":"(Montayre &lt;i&gt;et al.&lt;/i&gt;, 2021)","plainTextFormattedCitation":"(Montayre et al., 2021)","previouslyFormattedCitation":"(Montayre &lt;i&gt;et al.&lt;/i&gt;, 2021)"},"properties":{"noteIndex":0},"schema":"https://github.com/citation-style-language/schema/raw/master/csl-citation.json"}</w:instrText>
      </w:r>
      <w:r w:rsidRPr="2BBA1E4C">
        <w:rPr>
          <w:rFonts w:cstheme="minorBidi"/>
          <w:color w:val="2E2E2E"/>
          <w:sz w:val="22"/>
          <w:szCs w:val="22"/>
        </w:rPr>
        <w:fldChar w:fldCharType="separate"/>
      </w:r>
      <w:r w:rsidRPr="2BBA1E4C">
        <w:rPr>
          <w:rFonts w:cstheme="minorBidi"/>
          <w:noProof/>
          <w:color w:val="2E2E2E"/>
          <w:sz w:val="22"/>
          <w:szCs w:val="22"/>
        </w:rPr>
        <w:t xml:space="preserve">(Montayre </w:t>
      </w:r>
      <w:r w:rsidRPr="2BBA1E4C">
        <w:rPr>
          <w:rFonts w:cstheme="minorBidi"/>
          <w:i/>
          <w:iCs/>
          <w:noProof/>
          <w:color w:val="2E2E2E"/>
          <w:sz w:val="22"/>
          <w:szCs w:val="22"/>
        </w:rPr>
        <w:t>et al.</w:t>
      </w:r>
      <w:r w:rsidRPr="2BBA1E4C">
        <w:rPr>
          <w:rFonts w:cstheme="minorBidi"/>
          <w:noProof/>
          <w:color w:val="2E2E2E"/>
          <w:sz w:val="22"/>
          <w:szCs w:val="22"/>
        </w:rPr>
        <w:t>, 2021)</w:t>
      </w:r>
      <w:r w:rsidRPr="2BBA1E4C">
        <w:rPr>
          <w:rFonts w:cstheme="minorBidi"/>
          <w:color w:val="2E2E2E"/>
          <w:sz w:val="22"/>
          <w:szCs w:val="22"/>
        </w:rPr>
        <w:fldChar w:fldCharType="end"/>
      </w:r>
      <w:r w:rsidRPr="2BBA1E4C">
        <w:rPr>
          <w:rFonts w:cstheme="minorBidi"/>
          <w:color w:val="2E2E2E"/>
          <w:sz w:val="22"/>
          <w:szCs w:val="22"/>
        </w:rPr>
        <w:t xml:space="preserve">.   In response to the feedback on Science of Cancer module, we felt it was appropriate to simplify the content, especially as the module may be used as stand-alone learning by students and students may not have opportunity to ask questions to deepen their understanding.  </w:t>
      </w:r>
    </w:p>
    <w:p w14:paraId="580183BA" w14:textId="77777777" w:rsidR="00422E32" w:rsidRPr="00EC4275" w:rsidRDefault="00422E32" w:rsidP="00422E32">
      <w:pPr>
        <w:spacing w:line="360" w:lineRule="auto"/>
        <w:rPr>
          <w:rFonts w:cstheme="minorBidi"/>
          <w:sz w:val="22"/>
          <w:szCs w:val="22"/>
        </w:rPr>
      </w:pPr>
      <w:r w:rsidRPr="00EC4275">
        <w:rPr>
          <w:rFonts w:ascii="Calibri" w:eastAsia="Calibri" w:hAnsi="Calibri" w:cs="Calibri"/>
          <w:b/>
          <w:bCs/>
          <w:color w:val="FF0000"/>
          <w:sz w:val="22"/>
          <w:szCs w:val="22"/>
        </w:rPr>
        <w:t xml:space="preserve">Conclusions </w:t>
      </w:r>
    </w:p>
    <w:p w14:paraId="4D274B17" w14:textId="247B90C2" w:rsidR="00422E32" w:rsidRPr="00EC4275" w:rsidRDefault="00422E32" w:rsidP="28DD7E7E">
      <w:pPr>
        <w:spacing w:line="360" w:lineRule="auto"/>
        <w:rPr>
          <w:rFonts w:cstheme="minorBidi"/>
          <w:sz w:val="22"/>
          <w:szCs w:val="22"/>
        </w:rPr>
      </w:pPr>
      <w:r w:rsidRPr="6573D7FA">
        <w:rPr>
          <w:sz w:val="22"/>
          <w:szCs w:val="22"/>
        </w:rPr>
        <w:t xml:space="preserve">Peer review has demonstrated the Foundations of Cancer Care </w:t>
      </w:r>
      <w:r w:rsidR="09E2E43D" w:rsidRPr="6573D7FA">
        <w:rPr>
          <w:sz w:val="22"/>
          <w:szCs w:val="22"/>
        </w:rPr>
        <w:t xml:space="preserve">e-learning </w:t>
      </w:r>
      <w:r w:rsidRPr="6573D7FA">
        <w:rPr>
          <w:sz w:val="22"/>
          <w:szCs w:val="22"/>
        </w:rPr>
        <w:t>provide</w:t>
      </w:r>
      <w:r w:rsidR="188592DD" w:rsidRPr="6573D7FA">
        <w:rPr>
          <w:sz w:val="22"/>
          <w:szCs w:val="22"/>
        </w:rPr>
        <w:t>s</w:t>
      </w:r>
      <w:r w:rsidRPr="6573D7FA">
        <w:rPr>
          <w:sz w:val="22"/>
          <w:szCs w:val="22"/>
        </w:rPr>
        <w:t xml:space="preserve"> a useful resource for pre-registration healthcare students to learn about cancer care.  </w:t>
      </w:r>
      <w:r w:rsidRPr="6573D7FA">
        <w:rPr>
          <w:rFonts w:cstheme="minorBidi"/>
          <w:sz w:val="22"/>
          <w:szCs w:val="22"/>
        </w:rPr>
        <w:t>The review was limited by the small number of student participants and</w:t>
      </w:r>
      <w:r w:rsidR="29270201" w:rsidRPr="6573D7FA">
        <w:rPr>
          <w:rFonts w:cstheme="minorBidi"/>
          <w:sz w:val="22"/>
          <w:szCs w:val="22"/>
        </w:rPr>
        <w:t>,</w:t>
      </w:r>
      <w:r w:rsidRPr="6573D7FA">
        <w:rPr>
          <w:rFonts w:cstheme="minorBidi"/>
          <w:sz w:val="22"/>
          <w:szCs w:val="22"/>
        </w:rPr>
        <w:t xml:space="preserve"> if repeated, it would be advantageous to include allied </w:t>
      </w:r>
      <w:r w:rsidRPr="6573D7FA">
        <w:rPr>
          <w:rFonts w:cstheme="minorBidi"/>
          <w:sz w:val="22"/>
          <w:szCs w:val="22"/>
        </w:rPr>
        <w:lastRenderedPageBreak/>
        <w:t xml:space="preserve">health professionals and students from more than one HEI.  However, it provided opportunity for the modules to be modified in response to the feedback ahead to </w:t>
      </w:r>
      <w:r w:rsidR="00D66C3F" w:rsidRPr="6573D7FA">
        <w:rPr>
          <w:rFonts w:cstheme="minorBidi"/>
          <w:sz w:val="22"/>
          <w:szCs w:val="22"/>
        </w:rPr>
        <w:t xml:space="preserve">final </w:t>
      </w:r>
      <w:r w:rsidRPr="6573D7FA">
        <w:rPr>
          <w:rFonts w:cstheme="minorBidi"/>
          <w:sz w:val="22"/>
          <w:szCs w:val="22"/>
        </w:rPr>
        <w:t xml:space="preserve">release to students.  </w:t>
      </w:r>
    </w:p>
    <w:p w14:paraId="65DFD614" w14:textId="08F8322D" w:rsidR="00422E32" w:rsidRDefault="00422E32" w:rsidP="00422E32">
      <w:pPr>
        <w:spacing w:line="360" w:lineRule="auto"/>
        <w:rPr>
          <w:sz w:val="22"/>
          <w:szCs w:val="22"/>
        </w:rPr>
      </w:pPr>
      <w:r w:rsidRPr="28DD7E7E">
        <w:rPr>
          <w:rFonts w:cstheme="minorBidi"/>
          <w:color w:val="2E2E2E"/>
          <w:sz w:val="22"/>
          <w:szCs w:val="22"/>
        </w:rPr>
        <w:t xml:space="preserve">Whilst these modules provide a comprehensive foundation for cancer education, students would benefit if they were used in conjunction with additional reading, face to face sessions, and specialist cancer education to </w:t>
      </w:r>
      <w:r w:rsidR="378F4A51" w:rsidRPr="28DD7E7E">
        <w:rPr>
          <w:rFonts w:cstheme="minorBidi"/>
          <w:color w:val="2E2E2E"/>
          <w:sz w:val="22"/>
          <w:szCs w:val="22"/>
        </w:rPr>
        <w:t xml:space="preserve">facilitate </w:t>
      </w:r>
      <w:r w:rsidRPr="28DD7E7E">
        <w:rPr>
          <w:rFonts w:cstheme="minorBidi"/>
          <w:color w:val="2E2E2E"/>
          <w:sz w:val="22"/>
          <w:szCs w:val="22"/>
        </w:rPr>
        <w:t xml:space="preserve"> their learning and understanding.  </w:t>
      </w:r>
      <w:r w:rsidRPr="28DD7E7E">
        <w:rPr>
          <w:sz w:val="22"/>
          <w:szCs w:val="22"/>
        </w:rPr>
        <w:t>Guidelines to support HEIs to increase cancer education into their programmes would be helpful.  Evaluation of the impact of the modules on students</w:t>
      </w:r>
      <w:r w:rsidR="15E40A12" w:rsidRPr="28DD7E7E">
        <w:rPr>
          <w:sz w:val="22"/>
          <w:szCs w:val="22"/>
        </w:rPr>
        <w:t>’</w:t>
      </w:r>
      <w:r w:rsidRPr="28DD7E7E">
        <w:rPr>
          <w:sz w:val="22"/>
          <w:szCs w:val="22"/>
        </w:rPr>
        <w:t xml:space="preserve"> learning and clinical practice is underway.  </w:t>
      </w:r>
    </w:p>
    <w:p w14:paraId="21B31132" w14:textId="22BF2F6F" w:rsidR="00F707BB" w:rsidRPr="00F707BB" w:rsidRDefault="00F707BB" w:rsidP="00F707BB">
      <w:pPr>
        <w:spacing w:line="360" w:lineRule="auto"/>
        <w:rPr>
          <w:rFonts w:cstheme="minorBidi"/>
          <w:sz w:val="22"/>
          <w:szCs w:val="22"/>
        </w:rPr>
      </w:pPr>
      <w:r w:rsidRPr="00F707BB">
        <w:rPr>
          <w:rFonts w:ascii="Calibri" w:eastAsia="Calibri" w:hAnsi="Calibri" w:cs="Calibri"/>
          <w:b/>
          <w:bCs/>
          <w:color w:val="FF0000"/>
          <w:sz w:val="22"/>
          <w:szCs w:val="22"/>
        </w:rPr>
        <w:t xml:space="preserve">Reflective questions </w:t>
      </w:r>
    </w:p>
    <w:p w14:paraId="6DA76EAC" w14:textId="77777777" w:rsidR="00F707BB" w:rsidRPr="00F707BB" w:rsidRDefault="00F707BB" w:rsidP="00F707BB">
      <w:pPr>
        <w:spacing w:line="360" w:lineRule="auto"/>
        <w:rPr>
          <w:rFonts w:cstheme="minorBidi"/>
          <w:sz w:val="22"/>
          <w:szCs w:val="22"/>
        </w:rPr>
      </w:pPr>
      <w:r w:rsidRPr="00F707BB">
        <w:rPr>
          <w:rFonts w:ascii="Calibri" w:eastAsia="Calibri" w:hAnsi="Calibri" w:cs="Calibri"/>
          <w:sz w:val="22"/>
          <w:szCs w:val="22"/>
        </w:rPr>
        <w:t>Please supply 3–5 questions based on your article that readers can use for reflective notes or discussion, which may be used to count towards their NMC revalidation. These should be open-ended questions.</w:t>
      </w:r>
    </w:p>
    <w:p w14:paraId="4B4DAF93" w14:textId="77777777" w:rsidR="00F707BB" w:rsidRPr="00F707BB" w:rsidRDefault="00F707BB" w:rsidP="00F707BB">
      <w:pPr>
        <w:numPr>
          <w:ilvl w:val="0"/>
          <w:numId w:val="2"/>
        </w:numPr>
        <w:contextualSpacing/>
        <w:rPr>
          <w:rFonts w:ascii="Calibri" w:eastAsia="Calibri" w:hAnsi="Calibri" w:cs="Calibri"/>
        </w:rPr>
      </w:pPr>
      <w:r w:rsidRPr="00F707BB">
        <w:rPr>
          <w:rFonts w:ascii="Calibri" w:eastAsia="Calibri" w:hAnsi="Calibri" w:cs="Calibri"/>
        </w:rPr>
        <w:t>How is cancer education delivered in your pre-registration programme and how does this align to the Foundations of Cancer Care module in the ACCEND Framework?</w:t>
      </w:r>
    </w:p>
    <w:p w14:paraId="7E55743D" w14:textId="77777777" w:rsidR="00F707BB" w:rsidRPr="00F707BB" w:rsidRDefault="00F707BB" w:rsidP="00F707BB">
      <w:pPr>
        <w:numPr>
          <w:ilvl w:val="0"/>
          <w:numId w:val="2"/>
        </w:numPr>
        <w:contextualSpacing/>
        <w:rPr>
          <w:rFonts w:ascii="Calibri" w:eastAsia="Calibri" w:hAnsi="Calibri" w:cs="Calibri"/>
        </w:rPr>
      </w:pPr>
      <w:r w:rsidRPr="00F707BB">
        <w:rPr>
          <w:rFonts w:ascii="Calibri" w:eastAsia="Calibri" w:hAnsi="Calibri" w:cs="Calibri"/>
        </w:rPr>
        <w:t>How can this learning enhance your practice to support the care you deliver to people affected by cancer?</w:t>
      </w:r>
    </w:p>
    <w:p w14:paraId="2F594032" w14:textId="77777777" w:rsidR="00F707BB" w:rsidRPr="00F707BB" w:rsidRDefault="00F707BB" w:rsidP="00F707BB">
      <w:pPr>
        <w:numPr>
          <w:ilvl w:val="0"/>
          <w:numId w:val="2"/>
        </w:numPr>
        <w:contextualSpacing/>
        <w:rPr>
          <w:rFonts w:ascii="Calibri" w:eastAsia="Calibri" w:hAnsi="Calibri" w:cs="Calibri"/>
        </w:rPr>
      </w:pPr>
      <w:r w:rsidRPr="00F707BB">
        <w:rPr>
          <w:rFonts w:ascii="Calibri" w:eastAsia="Calibri" w:hAnsi="Calibri" w:cs="Calibri"/>
        </w:rPr>
        <w:t>What are the challenges of integrating this learning in your delivery of cancer care education?</w:t>
      </w:r>
    </w:p>
    <w:p w14:paraId="0E0097B5" w14:textId="77777777" w:rsidR="00F707BB" w:rsidRPr="00F707BB" w:rsidRDefault="00F707BB" w:rsidP="00F707BB">
      <w:pPr>
        <w:numPr>
          <w:ilvl w:val="0"/>
          <w:numId w:val="2"/>
        </w:numPr>
        <w:contextualSpacing/>
        <w:rPr>
          <w:rFonts w:ascii="Calibri" w:eastAsia="Calibri" w:hAnsi="Calibri" w:cs="Calibri"/>
        </w:rPr>
      </w:pPr>
      <w:r w:rsidRPr="00F707BB">
        <w:rPr>
          <w:rFonts w:ascii="Calibri" w:eastAsia="Calibri" w:hAnsi="Calibri" w:cs="Calibri"/>
        </w:rPr>
        <w:t>How could this eLearning support experiential and/or reflective learning for students?</w:t>
      </w:r>
    </w:p>
    <w:p w14:paraId="47C8B08D" w14:textId="34A9905C" w:rsidR="00F707BB" w:rsidRPr="00F707BB" w:rsidRDefault="00F707BB" w:rsidP="00F707BB">
      <w:pPr>
        <w:numPr>
          <w:ilvl w:val="0"/>
          <w:numId w:val="2"/>
        </w:numPr>
        <w:contextualSpacing/>
        <w:rPr>
          <w:rFonts w:ascii="Calibri" w:eastAsia="Calibri" w:hAnsi="Calibri" w:cs="Calibri"/>
        </w:rPr>
      </w:pPr>
      <w:r w:rsidRPr="28DD7E7E">
        <w:rPr>
          <w:rFonts w:ascii="Calibri" w:eastAsia="Calibri" w:hAnsi="Calibri" w:cs="Calibri"/>
        </w:rPr>
        <w:t xml:space="preserve">How can awareness of the ACCEND Career pathway, core capabilities in practice and education framework be introduced as a development framework for those students considering </w:t>
      </w:r>
      <w:r w:rsidR="0E5BB453" w:rsidRPr="28DD7E7E">
        <w:rPr>
          <w:rFonts w:ascii="Calibri" w:eastAsia="Calibri" w:hAnsi="Calibri" w:cs="Calibri"/>
        </w:rPr>
        <w:t>a career in cancer care</w:t>
      </w:r>
      <w:r w:rsidRPr="28DD7E7E">
        <w:rPr>
          <w:rFonts w:ascii="Calibri" w:eastAsia="Calibri" w:hAnsi="Calibri" w:cs="Calibri"/>
        </w:rPr>
        <w:t>?</w:t>
      </w:r>
    </w:p>
    <w:p w14:paraId="27F06FD0" w14:textId="77777777" w:rsidR="00F707BB" w:rsidRDefault="00F707BB" w:rsidP="00422E32">
      <w:pPr>
        <w:spacing w:line="360" w:lineRule="auto"/>
        <w:rPr>
          <w:sz w:val="22"/>
          <w:szCs w:val="22"/>
        </w:rPr>
      </w:pPr>
    </w:p>
    <w:p w14:paraId="57249767" w14:textId="77777777" w:rsidR="00422E32" w:rsidRPr="009E7AA9" w:rsidRDefault="00422E32" w:rsidP="00422E32">
      <w:pPr>
        <w:spacing w:line="360" w:lineRule="auto"/>
        <w:rPr>
          <w:b/>
          <w:bCs/>
        </w:rPr>
      </w:pPr>
      <w:r w:rsidRPr="009E7AA9">
        <w:rPr>
          <w:b/>
          <w:bCs/>
        </w:rPr>
        <w:t>References</w:t>
      </w:r>
    </w:p>
    <w:p w14:paraId="31D137F7" w14:textId="47659729" w:rsidR="00422E32" w:rsidRPr="00B53E48" w:rsidRDefault="00422E32" w:rsidP="00422E32">
      <w:pPr>
        <w:widowControl w:val="0"/>
        <w:autoSpaceDE w:val="0"/>
        <w:autoSpaceDN w:val="0"/>
        <w:adjustRightInd w:val="0"/>
        <w:spacing w:line="360" w:lineRule="auto"/>
        <w:rPr>
          <w:rFonts w:ascii="Calibri" w:hAnsi="Calibri" w:cs="Calibri"/>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p>
    <w:p w14:paraId="425CC7A3"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Barton, M.J. </w:t>
      </w:r>
      <w:r w:rsidRPr="00B53E48">
        <w:rPr>
          <w:rFonts w:ascii="Calibri" w:hAnsi="Calibri" w:cs="Calibri"/>
          <w:i/>
          <w:iCs/>
          <w:noProof/>
          <w:sz w:val="22"/>
        </w:rPr>
        <w:t>et al.</w:t>
      </w:r>
      <w:r w:rsidRPr="00B53E48">
        <w:rPr>
          <w:rFonts w:ascii="Calibri" w:hAnsi="Calibri" w:cs="Calibri"/>
          <w:noProof/>
          <w:sz w:val="22"/>
        </w:rPr>
        <w:t xml:space="preserve"> (2021) Nursing students’ perceptions of clinical relevance and engagement with bioscience education: A cross-sectional study of undergraduate and postgraduate nursing students. </w:t>
      </w:r>
      <w:r w:rsidRPr="00B53E48">
        <w:rPr>
          <w:rFonts w:ascii="Calibri" w:hAnsi="Calibri" w:cs="Calibri"/>
          <w:i/>
          <w:iCs/>
          <w:noProof/>
          <w:sz w:val="22"/>
        </w:rPr>
        <w:t>Nurse Education Today</w:t>
      </w:r>
      <w:r w:rsidRPr="00B53E48">
        <w:rPr>
          <w:rFonts w:ascii="Calibri" w:hAnsi="Calibri" w:cs="Calibri"/>
          <w:noProof/>
          <w:sz w:val="22"/>
        </w:rPr>
        <w:t>. [online].  99 (December 2020), Elsevier Ltd, p.104767. Available from: https://doi.org/10.1016/j.nedt.2021.104767.</w:t>
      </w:r>
    </w:p>
    <w:p w14:paraId="7C6387EF"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Collier-Sewell, F., Atherton, I., Mahoney, C., Kyle, R.G., Hughes, E. and Lasater, K. (2023) Competencies and standards in nurse education: The irresolvable tensions. </w:t>
      </w:r>
      <w:r w:rsidRPr="00B53E48">
        <w:rPr>
          <w:rFonts w:ascii="Calibri" w:hAnsi="Calibri" w:cs="Calibri"/>
          <w:i/>
          <w:iCs/>
          <w:noProof/>
          <w:sz w:val="22"/>
        </w:rPr>
        <w:t>Nurse Education Today</w:t>
      </w:r>
      <w:r w:rsidRPr="00B53E48">
        <w:rPr>
          <w:rFonts w:ascii="Calibri" w:hAnsi="Calibri" w:cs="Calibri"/>
          <w:noProof/>
          <w:sz w:val="22"/>
        </w:rPr>
        <w:t>. [online].  125 (March), Elsevier Ltd, p.105782. Available from: https://doi.org/10.1016/j.nedt.2023.105782.</w:t>
      </w:r>
    </w:p>
    <w:p w14:paraId="1162E638"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lastRenderedPageBreak/>
        <w:t xml:space="preserve">Craft, J., Hudson, P., Plenderleith, M., Wirihana, L. and Gordon, C. (2013) Commencing nursing students’ perceptions and anxiety of bioscience. </w:t>
      </w:r>
      <w:r w:rsidRPr="00B53E48">
        <w:rPr>
          <w:rFonts w:ascii="Calibri" w:hAnsi="Calibri" w:cs="Calibri"/>
          <w:i/>
          <w:iCs/>
          <w:noProof/>
          <w:sz w:val="22"/>
        </w:rPr>
        <w:t>Nurse Education Today</w:t>
      </w:r>
      <w:r w:rsidRPr="00B53E48">
        <w:rPr>
          <w:rFonts w:ascii="Calibri" w:hAnsi="Calibri" w:cs="Calibri"/>
          <w:noProof/>
          <w:sz w:val="22"/>
        </w:rPr>
        <w:t>. [online].  33 (11), Elsevier Ltd, pp.1399–1405. Available from: http://dx.doi.org/10.1016/j.nedt.2012.10.020.</w:t>
      </w:r>
    </w:p>
    <w:p w14:paraId="1A26B8B4"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Croxford, W. </w:t>
      </w:r>
      <w:r w:rsidRPr="00B53E48">
        <w:rPr>
          <w:rFonts w:ascii="Calibri" w:hAnsi="Calibri" w:cs="Calibri"/>
          <w:i/>
          <w:iCs/>
          <w:noProof/>
          <w:sz w:val="22"/>
        </w:rPr>
        <w:t>et al.</w:t>
      </w:r>
      <w:r w:rsidRPr="00B53E48">
        <w:rPr>
          <w:rFonts w:ascii="Calibri" w:hAnsi="Calibri" w:cs="Calibri"/>
          <w:noProof/>
          <w:sz w:val="22"/>
        </w:rPr>
        <w:t xml:space="preserve"> (2021) Online learning in proton radiation therapy: the future in the post-Covid-19 pandemic era? </w:t>
      </w:r>
      <w:r w:rsidRPr="00B53E48">
        <w:rPr>
          <w:rFonts w:ascii="Calibri" w:hAnsi="Calibri" w:cs="Calibri"/>
          <w:i/>
          <w:iCs/>
          <w:noProof/>
          <w:sz w:val="22"/>
        </w:rPr>
        <w:t>BJR|Open</w:t>
      </w:r>
      <w:r w:rsidRPr="00B53E48">
        <w:rPr>
          <w:rFonts w:ascii="Calibri" w:hAnsi="Calibri" w:cs="Calibri"/>
          <w:noProof/>
          <w:sz w:val="22"/>
        </w:rPr>
        <w:t>. [online].  3 (1).</w:t>
      </w:r>
    </w:p>
    <w:p w14:paraId="5A889A5F" w14:textId="77777777" w:rsidR="00422E32"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Flood, T. and Shepherd, P. (2021) A narrative review exploring whether the standardisation of interprofessional oncology education in allied health professional (AHP) training programmes could improve referral rates to supportive services. </w:t>
      </w:r>
      <w:r w:rsidRPr="00B53E48">
        <w:rPr>
          <w:rFonts w:ascii="Calibri" w:hAnsi="Calibri" w:cs="Calibri"/>
          <w:i/>
          <w:iCs/>
          <w:noProof/>
          <w:sz w:val="22"/>
        </w:rPr>
        <w:t>Journal of Interprofessional Education and Practice</w:t>
      </w:r>
      <w:r w:rsidRPr="00B53E48">
        <w:rPr>
          <w:rFonts w:ascii="Calibri" w:hAnsi="Calibri" w:cs="Calibri"/>
          <w:noProof/>
          <w:sz w:val="22"/>
        </w:rPr>
        <w:t>. [online].  24 (June), Elsevier Inc., p.100453. Available from: https://doi.org/10.1016/j.xjep.2021.100453.</w:t>
      </w:r>
    </w:p>
    <w:p w14:paraId="7D073BB0" w14:textId="54DCC0D8" w:rsidR="00AE1191" w:rsidRPr="00B53E48" w:rsidRDefault="00AE1191" w:rsidP="00422E32">
      <w:pPr>
        <w:widowControl w:val="0"/>
        <w:autoSpaceDE w:val="0"/>
        <w:autoSpaceDN w:val="0"/>
        <w:adjustRightInd w:val="0"/>
        <w:spacing w:line="360" w:lineRule="auto"/>
        <w:rPr>
          <w:rFonts w:ascii="Calibri" w:hAnsi="Calibri" w:cs="Calibri"/>
          <w:noProof/>
          <w:sz w:val="22"/>
        </w:rPr>
      </w:pPr>
      <w:r>
        <w:rPr>
          <w:rFonts w:ascii="Calibri" w:hAnsi="Calibri" w:cs="Calibri"/>
          <w:noProof/>
          <w:sz w:val="22"/>
        </w:rPr>
        <w:t>Health Education England</w:t>
      </w:r>
      <w:r w:rsidRPr="00B53E48">
        <w:rPr>
          <w:rFonts w:ascii="Calibri" w:hAnsi="Calibri" w:cs="Calibri"/>
          <w:noProof/>
          <w:sz w:val="22"/>
        </w:rPr>
        <w:t xml:space="preserve"> (2023) </w:t>
      </w:r>
      <w:r w:rsidRPr="00B53E48">
        <w:rPr>
          <w:rFonts w:ascii="Calibri" w:hAnsi="Calibri" w:cs="Calibri"/>
          <w:i/>
          <w:iCs/>
          <w:noProof/>
          <w:sz w:val="22"/>
        </w:rPr>
        <w:t>The Aspirant Cancer Career and Education Development programme (ACCEND) Career Pathway , Core Cancer Capabilities and Education Framework for the Supportive , Assistive and Registered Nursing and Allied Health Professions Workforce</w:t>
      </w:r>
    </w:p>
    <w:p w14:paraId="45970534"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Kirkpatrick, J. and Kirkpatrick, W. (2019) An introduction to the new world Kirkpatrick model. </w:t>
      </w:r>
      <w:r w:rsidRPr="00B53E48">
        <w:rPr>
          <w:rFonts w:ascii="Calibri" w:hAnsi="Calibri" w:cs="Calibri"/>
          <w:i/>
          <w:iCs/>
          <w:noProof/>
          <w:sz w:val="22"/>
        </w:rPr>
        <w:t>Krikpatrick Partners</w:t>
      </w:r>
      <w:r w:rsidRPr="00B53E48">
        <w:rPr>
          <w:rFonts w:ascii="Calibri" w:hAnsi="Calibri" w:cs="Calibri"/>
          <w:noProof/>
          <w:sz w:val="22"/>
        </w:rPr>
        <w:t>. [online].  pp.1–13. Available from: http://www.kirkpatrickpartners.com/Portals/0/Resources/White Papers/Introduction to the Kirkpatrick New World Model.pdf.</w:t>
      </w:r>
    </w:p>
    <w:p w14:paraId="4DAF7BCC"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Montayre, J., Ramjan, L.M., Maneze, D., Ho, M.H., Maceri, A. and Salamonson, Y. (2021) “Connecting the dots” – The transfer of bioscience knowledge by new graduate nurses to the clinical setting: A qualitative study. </w:t>
      </w:r>
      <w:r w:rsidRPr="00B53E48">
        <w:rPr>
          <w:rFonts w:ascii="Calibri" w:hAnsi="Calibri" w:cs="Calibri"/>
          <w:i/>
          <w:iCs/>
          <w:noProof/>
          <w:sz w:val="22"/>
        </w:rPr>
        <w:t>Nurse Education Today</w:t>
      </w:r>
      <w:r w:rsidRPr="00B53E48">
        <w:rPr>
          <w:rFonts w:ascii="Calibri" w:hAnsi="Calibri" w:cs="Calibri"/>
          <w:noProof/>
          <w:sz w:val="22"/>
        </w:rPr>
        <w:t>. [online].  97 (September 2020), Elsevier Ltd, p.104729. Available from: https://doi.org/10.1016/j.nedt.2020.104729.</w:t>
      </w:r>
    </w:p>
    <w:p w14:paraId="602D2E21"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Nilsson, S., Gibson, J., Paterson, C. and Crookes, P. (2022) Evidence informed generalist palliative care content for undergraduate nursing curriculum: An integrative review. </w:t>
      </w:r>
      <w:r w:rsidRPr="00B53E48">
        <w:rPr>
          <w:rFonts w:ascii="Calibri" w:hAnsi="Calibri" w:cs="Calibri"/>
          <w:i/>
          <w:iCs/>
          <w:noProof/>
          <w:sz w:val="22"/>
        </w:rPr>
        <w:t>Nurse Education in Practice</w:t>
      </w:r>
      <w:r w:rsidRPr="00B53E48">
        <w:rPr>
          <w:rFonts w:ascii="Calibri" w:hAnsi="Calibri" w:cs="Calibri"/>
          <w:noProof/>
          <w:sz w:val="22"/>
        </w:rPr>
        <w:t>. [online].  64 (September), Elsevier Ltd, p.103447. Available from: https://doi.org/10.1016/j.nepr.2022.103447.</w:t>
      </w:r>
    </w:p>
    <w:p w14:paraId="404F8CD8"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Potter, L. and Taylor, V. (2022) Securing future cancer care. </w:t>
      </w:r>
      <w:r w:rsidRPr="00B53E48">
        <w:rPr>
          <w:rFonts w:ascii="Calibri" w:hAnsi="Calibri" w:cs="Calibri"/>
          <w:i/>
          <w:iCs/>
          <w:noProof/>
          <w:sz w:val="22"/>
        </w:rPr>
        <w:t>British Journal of Nursing</w:t>
      </w:r>
      <w:r w:rsidRPr="00B53E48">
        <w:rPr>
          <w:rFonts w:ascii="Calibri" w:hAnsi="Calibri" w:cs="Calibri"/>
          <w:noProof/>
          <w:sz w:val="22"/>
        </w:rPr>
        <w:t>. [online].  31 (5), p.S3.</w:t>
      </w:r>
    </w:p>
    <w:p w14:paraId="46DB00AD" w14:textId="77777777" w:rsidR="00422E32" w:rsidRPr="00B53E48" w:rsidRDefault="00422E32" w:rsidP="00422E32">
      <w:pPr>
        <w:widowControl w:val="0"/>
        <w:autoSpaceDE w:val="0"/>
        <w:autoSpaceDN w:val="0"/>
        <w:adjustRightInd w:val="0"/>
        <w:spacing w:line="360" w:lineRule="auto"/>
        <w:rPr>
          <w:rFonts w:ascii="Calibri" w:hAnsi="Calibri" w:cs="Calibri"/>
          <w:noProof/>
          <w:sz w:val="22"/>
        </w:rPr>
      </w:pPr>
      <w:r w:rsidRPr="00B53E48">
        <w:rPr>
          <w:rFonts w:ascii="Calibri" w:hAnsi="Calibri" w:cs="Calibri"/>
          <w:noProof/>
          <w:sz w:val="22"/>
        </w:rPr>
        <w:t xml:space="preserve">Satoh, M., Fujimura, A. and Miyagawa, S. (2023) Difficulties and innovations in teaching anatomy and physiology in nursing. </w:t>
      </w:r>
      <w:r w:rsidRPr="00B53E48">
        <w:rPr>
          <w:rFonts w:ascii="Calibri" w:hAnsi="Calibri" w:cs="Calibri"/>
          <w:i/>
          <w:iCs/>
          <w:noProof/>
          <w:sz w:val="22"/>
        </w:rPr>
        <w:t>Nurse Education in Practice</w:t>
      </w:r>
      <w:r w:rsidRPr="00B53E48">
        <w:rPr>
          <w:rFonts w:ascii="Calibri" w:hAnsi="Calibri" w:cs="Calibri"/>
          <w:noProof/>
          <w:sz w:val="22"/>
        </w:rPr>
        <w:t>. [online].  67 (November 2022), Elsevier Ltd, p.103551. Available from: https://doi.org/10.1016/j.nepr.2023.103551.</w:t>
      </w:r>
    </w:p>
    <w:p w14:paraId="2BCFA36C" w14:textId="5AB5CE41" w:rsidR="00B53E48" w:rsidRPr="00DE58F2" w:rsidRDefault="00422E32" w:rsidP="00422E32">
      <w:pPr>
        <w:spacing w:line="360" w:lineRule="auto"/>
        <w:rPr>
          <w:sz w:val="22"/>
          <w:szCs w:val="22"/>
        </w:rPr>
      </w:pPr>
      <w:r>
        <w:rPr>
          <w:sz w:val="22"/>
          <w:szCs w:val="22"/>
        </w:rPr>
        <w:fldChar w:fldCharType="end"/>
      </w:r>
    </w:p>
    <w:sectPr w:rsidR="00B53E48" w:rsidRPr="00DE58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lorence.cook" w:date="2023-04-27T12:23:00Z" w:initials="fl">
    <w:p w14:paraId="4A3747BF" w14:textId="7E7731D9" w:rsidR="7D4B8C68" w:rsidRDefault="7D4B8C68">
      <w:pPr>
        <w:pStyle w:val="CommentText"/>
      </w:pPr>
      <w:r>
        <w:t>?remove full stop here</w:t>
      </w:r>
      <w:r>
        <w:rPr>
          <w:rStyle w:val="CommentReference"/>
        </w:rPr>
        <w:annotationRef/>
      </w:r>
    </w:p>
  </w:comment>
  <w:comment w:id="2" w:author="Tanay, Mary" w:date="2023-05-25T09:47:00Z" w:initials="TM">
    <w:p w14:paraId="2E555CBB" w14:textId="5DE3896B" w:rsidR="6573D7FA" w:rsidRDefault="6573D7FA">
      <w:pPr>
        <w:pStyle w:val="CommentText"/>
      </w:pPr>
      <w:r>
        <w:t>done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747BF" w15:done="1"/>
  <w15:commentEx w15:paraId="2E555CBB" w15:paraIdParent="4A3747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07E684" w16cex:dateUtc="2023-04-27T11:23:00Z"/>
  <w16cex:commentExtensible w16cex:durableId="46CDA1A5" w16cex:dateUtc="2023-05-25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747BF" w16cid:durableId="0E07E684"/>
  <w16cid:commentId w16cid:paraId="2E555CBB" w16cid:durableId="46CDA1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Arial&quot;,sans-serif&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87F"/>
    <w:multiLevelType w:val="hybridMultilevel"/>
    <w:tmpl w:val="482404CA"/>
    <w:lvl w:ilvl="0" w:tplc="1F22B63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3ACC2"/>
    <w:multiLevelType w:val="hybridMultilevel"/>
    <w:tmpl w:val="9B8262B0"/>
    <w:lvl w:ilvl="0" w:tplc="75DCDFD2">
      <w:start w:val="1"/>
      <w:numFmt w:val="bullet"/>
      <w:lvlText w:val="·"/>
      <w:lvlJc w:val="left"/>
      <w:pPr>
        <w:ind w:left="720" w:hanging="360"/>
      </w:pPr>
      <w:rPr>
        <w:rFonts w:ascii="Symbol" w:hAnsi="Symbol" w:hint="default"/>
      </w:rPr>
    </w:lvl>
    <w:lvl w:ilvl="1" w:tplc="14BCC7DE">
      <w:start w:val="1"/>
      <w:numFmt w:val="bullet"/>
      <w:lvlText w:val="o"/>
      <w:lvlJc w:val="left"/>
      <w:pPr>
        <w:ind w:left="1440" w:hanging="360"/>
      </w:pPr>
      <w:rPr>
        <w:rFonts w:ascii="Courier New" w:hAnsi="Courier New" w:hint="default"/>
      </w:rPr>
    </w:lvl>
    <w:lvl w:ilvl="2" w:tplc="074069A4">
      <w:start w:val="1"/>
      <w:numFmt w:val="bullet"/>
      <w:lvlText w:val=""/>
      <w:lvlJc w:val="left"/>
      <w:pPr>
        <w:ind w:left="2160" w:hanging="360"/>
      </w:pPr>
      <w:rPr>
        <w:rFonts w:ascii="Wingdings" w:hAnsi="Wingdings" w:hint="default"/>
      </w:rPr>
    </w:lvl>
    <w:lvl w:ilvl="3" w:tplc="56903A26">
      <w:start w:val="1"/>
      <w:numFmt w:val="bullet"/>
      <w:lvlText w:val=""/>
      <w:lvlJc w:val="left"/>
      <w:pPr>
        <w:ind w:left="2880" w:hanging="360"/>
      </w:pPr>
      <w:rPr>
        <w:rFonts w:ascii="Symbol" w:hAnsi="Symbol" w:hint="default"/>
      </w:rPr>
    </w:lvl>
    <w:lvl w:ilvl="4" w:tplc="24D0AC3C">
      <w:start w:val="1"/>
      <w:numFmt w:val="bullet"/>
      <w:lvlText w:val="o"/>
      <w:lvlJc w:val="left"/>
      <w:pPr>
        <w:ind w:left="3600" w:hanging="360"/>
      </w:pPr>
      <w:rPr>
        <w:rFonts w:ascii="Courier New" w:hAnsi="Courier New" w:hint="default"/>
      </w:rPr>
    </w:lvl>
    <w:lvl w:ilvl="5" w:tplc="2A2E72A8">
      <w:start w:val="1"/>
      <w:numFmt w:val="bullet"/>
      <w:lvlText w:val=""/>
      <w:lvlJc w:val="left"/>
      <w:pPr>
        <w:ind w:left="4320" w:hanging="360"/>
      </w:pPr>
      <w:rPr>
        <w:rFonts w:ascii="Wingdings" w:hAnsi="Wingdings" w:hint="default"/>
      </w:rPr>
    </w:lvl>
    <w:lvl w:ilvl="6" w:tplc="17600BBE">
      <w:start w:val="1"/>
      <w:numFmt w:val="bullet"/>
      <w:lvlText w:val=""/>
      <w:lvlJc w:val="left"/>
      <w:pPr>
        <w:ind w:left="5040" w:hanging="360"/>
      </w:pPr>
      <w:rPr>
        <w:rFonts w:ascii="Symbol" w:hAnsi="Symbol" w:hint="default"/>
      </w:rPr>
    </w:lvl>
    <w:lvl w:ilvl="7" w:tplc="ED00D318">
      <w:start w:val="1"/>
      <w:numFmt w:val="bullet"/>
      <w:lvlText w:val="o"/>
      <w:lvlJc w:val="left"/>
      <w:pPr>
        <w:ind w:left="5760" w:hanging="360"/>
      </w:pPr>
      <w:rPr>
        <w:rFonts w:ascii="Courier New" w:hAnsi="Courier New" w:hint="default"/>
      </w:rPr>
    </w:lvl>
    <w:lvl w:ilvl="8" w:tplc="E5B01FB4">
      <w:start w:val="1"/>
      <w:numFmt w:val="bullet"/>
      <w:lvlText w:val=""/>
      <w:lvlJc w:val="left"/>
      <w:pPr>
        <w:ind w:left="6480" w:hanging="360"/>
      </w:pPr>
      <w:rPr>
        <w:rFonts w:ascii="Wingdings" w:hAnsi="Wingdings" w:hint="default"/>
      </w:rPr>
    </w:lvl>
  </w:abstractNum>
  <w:abstractNum w:abstractNumId="2" w15:restartNumberingAfterBreak="0">
    <w:nsid w:val="2398B5A9"/>
    <w:multiLevelType w:val="hybridMultilevel"/>
    <w:tmpl w:val="A3FEE2D2"/>
    <w:lvl w:ilvl="0" w:tplc="3C38B986">
      <w:start w:val="1"/>
      <w:numFmt w:val="bullet"/>
      <w:lvlText w:val="-"/>
      <w:lvlJc w:val="left"/>
      <w:pPr>
        <w:ind w:left="720" w:hanging="360"/>
      </w:pPr>
      <w:rPr>
        <w:rFonts w:ascii="&quot;&quot;Arial&quot;,sans-serif&quot;,serif" w:hAnsi="&quot;&quot;Arial&quot;,sans-serif&quot;,serif" w:hint="default"/>
      </w:rPr>
    </w:lvl>
    <w:lvl w:ilvl="1" w:tplc="EA3A6E32">
      <w:start w:val="1"/>
      <w:numFmt w:val="bullet"/>
      <w:lvlText w:val="o"/>
      <w:lvlJc w:val="left"/>
      <w:pPr>
        <w:ind w:left="1440" w:hanging="360"/>
      </w:pPr>
      <w:rPr>
        <w:rFonts w:ascii="Courier New" w:hAnsi="Courier New" w:hint="default"/>
      </w:rPr>
    </w:lvl>
    <w:lvl w:ilvl="2" w:tplc="0EB45EEC">
      <w:start w:val="1"/>
      <w:numFmt w:val="bullet"/>
      <w:lvlText w:val=""/>
      <w:lvlJc w:val="left"/>
      <w:pPr>
        <w:ind w:left="2160" w:hanging="360"/>
      </w:pPr>
      <w:rPr>
        <w:rFonts w:ascii="Wingdings" w:hAnsi="Wingdings" w:hint="default"/>
      </w:rPr>
    </w:lvl>
    <w:lvl w:ilvl="3" w:tplc="EB50DFA6">
      <w:start w:val="1"/>
      <w:numFmt w:val="bullet"/>
      <w:lvlText w:val=""/>
      <w:lvlJc w:val="left"/>
      <w:pPr>
        <w:ind w:left="2880" w:hanging="360"/>
      </w:pPr>
      <w:rPr>
        <w:rFonts w:ascii="Symbol" w:hAnsi="Symbol" w:hint="default"/>
      </w:rPr>
    </w:lvl>
    <w:lvl w:ilvl="4" w:tplc="5DCA9358">
      <w:start w:val="1"/>
      <w:numFmt w:val="bullet"/>
      <w:lvlText w:val="o"/>
      <w:lvlJc w:val="left"/>
      <w:pPr>
        <w:ind w:left="3600" w:hanging="360"/>
      </w:pPr>
      <w:rPr>
        <w:rFonts w:ascii="Courier New" w:hAnsi="Courier New" w:hint="default"/>
      </w:rPr>
    </w:lvl>
    <w:lvl w:ilvl="5" w:tplc="02F0F6F6">
      <w:start w:val="1"/>
      <w:numFmt w:val="bullet"/>
      <w:lvlText w:val=""/>
      <w:lvlJc w:val="left"/>
      <w:pPr>
        <w:ind w:left="4320" w:hanging="360"/>
      </w:pPr>
      <w:rPr>
        <w:rFonts w:ascii="Wingdings" w:hAnsi="Wingdings" w:hint="default"/>
      </w:rPr>
    </w:lvl>
    <w:lvl w:ilvl="6" w:tplc="C980B912">
      <w:start w:val="1"/>
      <w:numFmt w:val="bullet"/>
      <w:lvlText w:val=""/>
      <w:lvlJc w:val="left"/>
      <w:pPr>
        <w:ind w:left="5040" w:hanging="360"/>
      </w:pPr>
      <w:rPr>
        <w:rFonts w:ascii="Symbol" w:hAnsi="Symbol" w:hint="default"/>
      </w:rPr>
    </w:lvl>
    <w:lvl w:ilvl="7" w:tplc="55A4E66A">
      <w:start w:val="1"/>
      <w:numFmt w:val="bullet"/>
      <w:lvlText w:val="o"/>
      <w:lvlJc w:val="left"/>
      <w:pPr>
        <w:ind w:left="5760" w:hanging="360"/>
      </w:pPr>
      <w:rPr>
        <w:rFonts w:ascii="Courier New" w:hAnsi="Courier New" w:hint="default"/>
      </w:rPr>
    </w:lvl>
    <w:lvl w:ilvl="8" w:tplc="03680E3C">
      <w:start w:val="1"/>
      <w:numFmt w:val="bullet"/>
      <w:lvlText w:val=""/>
      <w:lvlJc w:val="left"/>
      <w:pPr>
        <w:ind w:left="6480" w:hanging="360"/>
      </w:pPr>
      <w:rPr>
        <w:rFonts w:ascii="Wingdings" w:hAnsi="Wingdings" w:hint="default"/>
      </w:rPr>
    </w:lvl>
  </w:abstractNum>
  <w:abstractNum w:abstractNumId="3" w15:restartNumberingAfterBreak="0">
    <w:nsid w:val="4B3AB146"/>
    <w:multiLevelType w:val="hybridMultilevel"/>
    <w:tmpl w:val="D138CF92"/>
    <w:lvl w:ilvl="0" w:tplc="9A9A8BC0">
      <w:start w:val="1"/>
      <w:numFmt w:val="bullet"/>
      <w:lvlText w:val="·"/>
      <w:lvlJc w:val="left"/>
      <w:pPr>
        <w:ind w:left="720" w:hanging="360"/>
      </w:pPr>
      <w:rPr>
        <w:rFonts w:ascii="Symbol" w:hAnsi="Symbol" w:hint="default"/>
      </w:rPr>
    </w:lvl>
    <w:lvl w:ilvl="1" w:tplc="F14CAA96">
      <w:start w:val="1"/>
      <w:numFmt w:val="bullet"/>
      <w:lvlText w:val="o"/>
      <w:lvlJc w:val="left"/>
      <w:pPr>
        <w:ind w:left="1440" w:hanging="360"/>
      </w:pPr>
      <w:rPr>
        <w:rFonts w:ascii="Courier New" w:hAnsi="Courier New" w:hint="default"/>
      </w:rPr>
    </w:lvl>
    <w:lvl w:ilvl="2" w:tplc="D8B6720C">
      <w:start w:val="1"/>
      <w:numFmt w:val="bullet"/>
      <w:lvlText w:val=""/>
      <w:lvlJc w:val="left"/>
      <w:pPr>
        <w:ind w:left="2160" w:hanging="360"/>
      </w:pPr>
      <w:rPr>
        <w:rFonts w:ascii="Wingdings" w:hAnsi="Wingdings" w:hint="default"/>
      </w:rPr>
    </w:lvl>
    <w:lvl w:ilvl="3" w:tplc="CFFECF34">
      <w:start w:val="1"/>
      <w:numFmt w:val="bullet"/>
      <w:lvlText w:val=""/>
      <w:lvlJc w:val="left"/>
      <w:pPr>
        <w:ind w:left="2880" w:hanging="360"/>
      </w:pPr>
      <w:rPr>
        <w:rFonts w:ascii="Symbol" w:hAnsi="Symbol" w:hint="default"/>
      </w:rPr>
    </w:lvl>
    <w:lvl w:ilvl="4" w:tplc="80D625CA">
      <w:start w:val="1"/>
      <w:numFmt w:val="bullet"/>
      <w:lvlText w:val="o"/>
      <w:lvlJc w:val="left"/>
      <w:pPr>
        <w:ind w:left="3600" w:hanging="360"/>
      </w:pPr>
      <w:rPr>
        <w:rFonts w:ascii="Courier New" w:hAnsi="Courier New" w:hint="default"/>
      </w:rPr>
    </w:lvl>
    <w:lvl w:ilvl="5" w:tplc="2E6C6136">
      <w:start w:val="1"/>
      <w:numFmt w:val="bullet"/>
      <w:lvlText w:val=""/>
      <w:lvlJc w:val="left"/>
      <w:pPr>
        <w:ind w:left="4320" w:hanging="360"/>
      </w:pPr>
      <w:rPr>
        <w:rFonts w:ascii="Wingdings" w:hAnsi="Wingdings" w:hint="default"/>
      </w:rPr>
    </w:lvl>
    <w:lvl w:ilvl="6" w:tplc="BBDA1002">
      <w:start w:val="1"/>
      <w:numFmt w:val="bullet"/>
      <w:lvlText w:val=""/>
      <w:lvlJc w:val="left"/>
      <w:pPr>
        <w:ind w:left="5040" w:hanging="360"/>
      </w:pPr>
      <w:rPr>
        <w:rFonts w:ascii="Symbol" w:hAnsi="Symbol" w:hint="default"/>
      </w:rPr>
    </w:lvl>
    <w:lvl w:ilvl="7" w:tplc="5DF4EF4E">
      <w:start w:val="1"/>
      <w:numFmt w:val="bullet"/>
      <w:lvlText w:val="o"/>
      <w:lvlJc w:val="left"/>
      <w:pPr>
        <w:ind w:left="5760" w:hanging="360"/>
      </w:pPr>
      <w:rPr>
        <w:rFonts w:ascii="Courier New" w:hAnsi="Courier New" w:hint="default"/>
      </w:rPr>
    </w:lvl>
    <w:lvl w:ilvl="8" w:tplc="115663F0">
      <w:start w:val="1"/>
      <w:numFmt w:val="bullet"/>
      <w:lvlText w:val=""/>
      <w:lvlJc w:val="left"/>
      <w:pPr>
        <w:ind w:left="6480" w:hanging="360"/>
      </w:pPr>
      <w:rPr>
        <w:rFonts w:ascii="Wingdings" w:hAnsi="Wingdings" w:hint="default"/>
      </w:rPr>
    </w:lvl>
  </w:abstractNum>
  <w:abstractNum w:abstractNumId="4" w15:restartNumberingAfterBreak="0">
    <w:nsid w:val="4E880606"/>
    <w:multiLevelType w:val="hybridMultilevel"/>
    <w:tmpl w:val="B8901CAA"/>
    <w:lvl w:ilvl="0" w:tplc="18F850D8">
      <w:start w:val="1"/>
      <w:numFmt w:val="bullet"/>
      <w:lvlText w:val=""/>
      <w:lvlJc w:val="left"/>
      <w:pPr>
        <w:ind w:left="720" w:hanging="360"/>
      </w:pPr>
      <w:rPr>
        <w:rFonts w:ascii="Symbol" w:hAnsi="Symbol" w:hint="default"/>
      </w:rPr>
    </w:lvl>
    <w:lvl w:ilvl="1" w:tplc="D2D6DEF0">
      <w:start w:val="1"/>
      <w:numFmt w:val="bullet"/>
      <w:lvlText w:val="o"/>
      <w:lvlJc w:val="left"/>
      <w:pPr>
        <w:ind w:left="1440" w:hanging="360"/>
      </w:pPr>
      <w:rPr>
        <w:rFonts w:ascii="Courier New" w:hAnsi="Courier New" w:hint="default"/>
      </w:rPr>
    </w:lvl>
    <w:lvl w:ilvl="2" w:tplc="35D0D480">
      <w:start w:val="1"/>
      <w:numFmt w:val="bullet"/>
      <w:lvlText w:val=""/>
      <w:lvlJc w:val="left"/>
      <w:pPr>
        <w:ind w:left="2160" w:hanging="360"/>
      </w:pPr>
      <w:rPr>
        <w:rFonts w:ascii="Wingdings" w:hAnsi="Wingdings" w:hint="default"/>
      </w:rPr>
    </w:lvl>
    <w:lvl w:ilvl="3" w:tplc="D8FE080E">
      <w:start w:val="1"/>
      <w:numFmt w:val="bullet"/>
      <w:lvlText w:val=""/>
      <w:lvlJc w:val="left"/>
      <w:pPr>
        <w:ind w:left="2880" w:hanging="360"/>
      </w:pPr>
      <w:rPr>
        <w:rFonts w:ascii="Symbol" w:hAnsi="Symbol" w:hint="default"/>
      </w:rPr>
    </w:lvl>
    <w:lvl w:ilvl="4" w:tplc="56C65CB0">
      <w:start w:val="1"/>
      <w:numFmt w:val="bullet"/>
      <w:lvlText w:val="o"/>
      <w:lvlJc w:val="left"/>
      <w:pPr>
        <w:ind w:left="3600" w:hanging="360"/>
      </w:pPr>
      <w:rPr>
        <w:rFonts w:ascii="Courier New" w:hAnsi="Courier New" w:hint="default"/>
      </w:rPr>
    </w:lvl>
    <w:lvl w:ilvl="5" w:tplc="65B65CA0">
      <w:start w:val="1"/>
      <w:numFmt w:val="bullet"/>
      <w:lvlText w:val=""/>
      <w:lvlJc w:val="left"/>
      <w:pPr>
        <w:ind w:left="4320" w:hanging="360"/>
      </w:pPr>
      <w:rPr>
        <w:rFonts w:ascii="Wingdings" w:hAnsi="Wingdings" w:hint="default"/>
      </w:rPr>
    </w:lvl>
    <w:lvl w:ilvl="6" w:tplc="FFCE3724">
      <w:start w:val="1"/>
      <w:numFmt w:val="bullet"/>
      <w:lvlText w:val=""/>
      <w:lvlJc w:val="left"/>
      <w:pPr>
        <w:ind w:left="5040" w:hanging="360"/>
      </w:pPr>
      <w:rPr>
        <w:rFonts w:ascii="Symbol" w:hAnsi="Symbol" w:hint="default"/>
      </w:rPr>
    </w:lvl>
    <w:lvl w:ilvl="7" w:tplc="E034E0DC">
      <w:start w:val="1"/>
      <w:numFmt w:val="bullet"/>
      <w:lvlText w:val="o"/>
      <w:lvlJc w:val="left"/>
      <w:pPr>
        <w:ind w:left="5760" w:hanging="360"/>
      </w:pPr>
      <w:rPr>
        <w:rFonts w:ascii="Courier New" w:hAnsi="Courier New" w:hint="default"/>
      </w:rPr>
    </w:lvl>
    <w:lvl w:ilvl="8" w:tplc="FBC6A31A">
      <w:start w:val="1"/>
      <w:numFmt w:val="bullet"/>
      <w:lvlText w:val=""/>
      <w:lvlJc w:val="left"/>
      <w:pPr>
        <w:ind w:left="6480" w:hanging="360"/>
      </w:pPr>
      <w:rPr>
        <w:rFonts w:ascii="Wingdings" w:hAnsi="Wingdings" w:hint="default"/>
      </w:rPr>
    </w:lvl>
  </w:abstractNum>
  <w:num w:numId="1" w16cid:durableId="2017342453">
    <w:abstractNumId w:val="1"/>
  </w:num>
  <w:num w:numId="2" w16cid:durableId="2134791133">
    <w:abstractNumId w:val="3"/>
  </w:num>
  <w:num w:numId="3" w16cid:durableId="366682282">
    <w:abstractNumId w:val="2"/>
  </w:num>
  <w:num w:numId="4" w16cid:durableId="1461072779">
    <w:abstractNumId w:val="4"/>
  </w:num>
  <w:num w:numId="5" w16cid:durableId="1518499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ce.cook">
    <w15:presenceInfo w15:providerId="AD" w15:userId="S::florence.cook_nhs.net#ext#@uweacuk.onmicrosoft.com::abc38540-d1c0-43e5-b442-9704655693f3"/>
  </w15:person>
  <w15:person w15:author="Tanay, Mary">
    <w15:presenceInfo w15:providerId="AD" w15:userId="S::mary.tanay_kcl.ac.uk#ext#@uweacuk.onmicrosoft.com::c50cd60c-43e5-4193-a732-53d287d9b4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75"/>
    <w:rsid w:val="00003DFC"/>
    <w:rsid w:val="00075CE6"/>
    <w:rsid w:val="00096E1C"/>
    <w:rsid w:val="0017041E"/>
    <w:rsid w:val="001A2956"/>
    <w:rsid w:val="001F5355"/>
    <w:rsid w:val="00216497"/>
    <w:rsid w:val="00267DA4"/>
    <w:rsid w:val="0027463C"/>
    <w:rsid w:val="002D55B4"/>
    <w:rsid w:val="003262B9"/>
    <w:rsid w:val="003A13A8"/>
    <w:rsid w:val="003B7EE7"/>
    <w:rsid w:val="00417D5F"/>
    <w:rsid w:val="00422E32"/>
    <w:rsid w:val="004816FD"/>
    <w:rsid w:val="00490C80"/>
    <w:rsid w:val="004A47C6"/>
    <w:rsid w:val="004A4DBA"/>
    <w:rsid w:val="004B5897"/>
    <w:rsid w:val="00502009"/>
    <w:rsid w:val="005020BF"/>
    <w:rsid w:val="0051B8AC"/>
    <w:rsid w:val="005868BE"/>
    <w:rsid w:val="005971DE"/>
    <w:rsid w:val="005A2AF6"/>
    <w:rsid w:val="005D2738"/>
    <w:rsid w:val="005D3EFA"/>
    <w:rsid w:val="00623350"/>
    <w:rsid w:val="0063200A"/>
    <w:rsid w:val="00697CB7"/>
    <w:rsid w:val="006D372F"/>
    <w:rsid w:val="006E4A0A"/>
    <w:rsid w:val="00708C5F"/>
    <w:rsid w:val="007A26FF"/>
    <w:rsid w:val="008356DA"/>
    <w:rsid w:val="008912CD"/>
    <w:rsid w:val="00897DD4"/>
    <w:rsid w:val="008B2B78"/>
    <w:rsid w:val="008C360E"/>
    <w:rsid w:val="008E2E68"/>
    <w:rsid w:val="00907BE7"/>
    <w:rsid w:val="009140CC"/>
    <w:rsid w:val="00940A61"/>
    <w:rsid w:val="00984B8C"/>
    <w:rsid w:val="00985B5F"/>
    <w:rsid w:val="009B0476"/>
    <w:rsid w:val="009B6CDB"/>
    <w:rsid w:val="009E0026"/>
    <w:rsid w:val="009E332E"/>
    <w:rsid w:val="009E7AA9"/>
    <w:rsid w:val="00AD690B"/>
    <w:rsid w:val="00AE1191"/>
    <w:rsid w:val="00B114F2"/>
    <w:rsid w:val="00B53E48"/>
    <w:rsid w:val="00BB1E7C"/>
    <w:rsid w:val="00C25A57"/>
    <w:rsid w:val="00CF6136"/>
    <w:rsid w:val="00D01AAA"/>
    <w:rsid w:val="00D22F0F"/>
    <w:rsid w:val="00D36570"/>
    <w:rsid w:val="00D47E2E"/>
    <w:rsid w:val="00D66C3F"/>
    <w:rsid w:val="00DC6E3E"/>
    <w:rsid w:val="00DE58F2"/>
    <w:rsid w:val="00EB44BA"/>
    <w:rsid w:val="00EC4275"/>
    <w:rsid w:val="00ED7615"/>
    <w:rsid w:val="00EE5857"/>
    <w:rsid w:val="00F13B99"/>
    <w:rsid w:val="00F17E4E"/>
    <w:rsid w:val="00F57D04"/>
    <w:rsid w:val="00F707BB"/>
    <w:rsid w:val="00F765B1"/>
    <w:rsid w:val="00F933DD"/>
    <w:rsid w:val="00FB0AD3"/>
    <w:rsid w:val="01905E91"/>
    <w:rsid w:val="05E3386C"/>
    <w:rsid w:val="073DF163"/>
    <w:rsid w:val="084B851B"/>
    <w:rsid w:val="09E2E43D"/>
    <w:rsid w:val="0B85ECDA"/>
    <w:rsid w:val="0C8D1DBB"/>
    <w:rsid w:val="0E526A1A"/>
    <w:rsid w:val="0E5BB453"/>
    <w:rsid w:val="0ECF04AB"/>
    <w:rsid w:val="0F4F76B8"/>
    <w:rsid w:val="106919CA"/>
    <w:rsid w:val="133F4B82"/>
    <w:rsid w:val="137D8B94"/>
    <w:rsid w:val="1421BA5C"/>
    <w:rsid w:val="149D568E"/>
    <w:rsid w:val="14DB1BE3"/>
    <w:rsid w:val="1528C9A6"/>
    <w:rsid w:val="15E40A12"/>
    <w:rsid w:val="1860D143"/>
    <w:rsid w:val="188592DD"/>
    <w:rsid w:val="18B936AB"/>
    <w:rsid w:val="1938EA7E"/>
    <w:rsid w:val="19FCA1A4"/>
    <w:rsid w:val="1AC88EE5"/>
    <w:rsid w:val="1B1BC430"/>
    <w:rsid w:val="1C102518"/>
    <w:rsid w:val="1E0C5BA1"/>
    <w:rsid w:val="1E536D10"/>
    <w:rsid w:val="1EE9B8BE"/>
    <w:rsid w:val="1F72AD69"/>
    <w:rsid w:val="1FC77FF4"/>
    <w:rsid w:val="22E41CD2"/>
    <w:rsid w:val="24461AA5"/>
    <w:rsid w:val="2488D429"/>
    <w:rsid w:val="25B669D5"/>
    <w:rsid w:val="28DD7E7E"/>
    <w:rsid w:val="29270201"/>
    <w:rsid w:val="2B570C5A"/>
    <w:rsid w:val="2BBA1E4C"/>
    <w:rsid w:val="2C050988"/>
    <w:rsid w:val="2CA33B03"/>
    <w:rsid w:val="2DEB6EC6"/>
    <w:rsid w:val="2E035261"/>
    <w:rsid w:val="3004324B"/>
    <w:rsid w:val="331D0F64"/>
    <w:rsid w:val="336EDADD"/>
    <w:rsid w:val="344F125C"/>
    <w:rsid w:val="35131A3B"/>
    <w:rsid w:val="356AE7D2"/>
    <w:rsid w:val="356F1E0C"/>
    <w:rsid w:val="378F4A51"/>
    <w:rsid w:val="38CF5C74"/>
    <w:rsid w:val="38D4BBAD"/>
    <w:rsid w:val="3AD1624E"/>
    <w:rsid w:val="3B49BF74"/>
    <w:rsid w:val="3B8FC1DE"/>
    <w:rsid w:val="3E5827C4"/>
    <w:rsid w:val="41599CF5"/>
    <w:rsid w:val="417A4BFD"/>
    <w:rsid w:val="417A67DE"/>
    <w:rsid w:val="430F3A73"/>
    <w:rsid w:val="4381AB66"/>
    <w:rsid w:val="4568B91B"/>
    <w:rsid w:val="470C0214"/>
    <w:rsid w:val="489E1C3A"/>
    <w:rsid w:val="49520FC3"/>
    <w:rsid w:val="498D29B5"/>
    <w:rsid w:val="4E400D83"/>
    <w:rsid w:val="4E682BCA"/>
    <w:rsid w:val="4E874874"/>
    <w:rsid w:val="526F3842"/>
    <w:rsid w:val="54615175"/>
    <w:rsid w:val="5521B807"/>
    <w:rsid w:val="56D75D78"/>
    <w:rsid w:val="5721C4F0"/>
    <w:rsid w:val="58DA4BE1"/>
    <w:rsid w:val="598D4420"/>
    <w:rsid w:val="5BC03C1A"/>
    <w:rsid w:val="5DB6A284"/>
    <w:rsid w:val="60E2D129"/>
    <w:rsid w:val="614A89A7"/>
    <w:rsid w:val="62034E82"/>
    <w:rsid w:val="62F601DB"/>
    <w:rsid w:val="6392E592"/>
    <w:rsid w:val="644550D9"/>
    <w:rsid w:val="6573D7FA"/>
    <w:rsid w:val="6749678D"/>
    <w:rsid w:val="68D7AE29"/>
    <w:rsid w:val="6DAB1F4C"/>
    <w:rsid w:val="6DD000BA"/>
    <w:rsid w:val="6E75AA64"/>
    <w:rsid w:val="6F9E8ACC"/>
    <w:rsid w:val="70117AC5"/>
    <w:rsid w:val="705BCF65"/>
    <w:rsid w:val="71AA4D94"/>
    <w:rsid w:val="730ACE7F"/>
    <w:rsid w:val="73CB4EB0"/>
    <w:rsid w:val="73FA1AB1"/>
    <w:rsid w:val="7CA24063"/>
    <w:rsid w:val="7D4B8C68"/>
    <w:rsid w:val="7F41E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3E6C"/>
  <w15:chartTrackingRefBased/>
  <w15:docId w15:val="{E87E5473-E48E-413C-95F0-83168C97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4275"/>
  </w:style>
  <w:style w:type="table" w:styleId="TableGrid">
    <w:name w:val="Table Grid"/>
    <w:basedOn w:val="TableNormal"/>
    <w:uiPriority w:val="39"/>
    <w:rsid w:val="00EC4275"/>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275"/>
    <w:pPr>
      <w:ind w:left="720"/>
      <w:contextualSpacing/>
    </w:pPr>
    <w:rPr>
      <w:rFonts w:cstheme="minorBidi"/>
      <w:sz w:val="22"/>
      <w:szCs w:val="22"/>
    </w:rPr>
  </w:style>
  <w:style w:type="character" w:styleId="CommentReference">
    <w:name w:val="annotation reference"/>
    <w:basedOn w:val="DefaultParagraphFont"/>
    <w:uiPriority w:val="99"/>
    <w:semiHidden/>
    <w:unhideWhenUsed/>
    <w:rsid w:val="00EC4275"/>
    <w:rPr>
      <w:sz w:val="16"/>
      <w:szCs w:val="16"/>
    </w:rPr>
  </w:style>
  <w:style w:type="paragraph" w:styleId="CommentText">
    <w:name w:val="annotation text"/>
    <w:basedOn w:val="Normal"/>
    <w:link w:val="CommentTextChar"/>
    <w:uiPriority w:val="99"/>
    <w:unhideWhenUsed/>
    <w:rsid w:val="00EC4275"/>
    <w:pPr>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EC4275"/>
    <w:rPr>
      <w:rFonts w:cstheme="minorBidi"/>
      <w:sz w:val="20"/>
      <w:szCs w:val="20"/>
    </w:rPr>
  </w:style>
  <w:style w:type="paragraph" w:styleId="CommentSubject">
    <w:name w:val="annotation subject"/>
    <w:basedOn w:val="CommentText"/>
    <w:next w:val="CommentText"/>
    <w:link w:val="CommentSubjectChar"/>
    <w:uiPriority w:val="99"/>
    <w:semiHidden/>
    <w:unhideWhenUsed/>
    <w:rsid w:val="00EC4275"/>
    <w:rPr>
      <w:b/>
      <w:bCs/>
    </w:rPr>
  </w:style>
  <w:style w:type="character" w:customStyle="1" w:styleId="CommentSubjectChar">
    <w:name w:val="Comment Subject Char"/>
    <w:basedOn w:val="CommentTextChar"/>
    <w:link w:val="CommentSubject"/>
    <w:uiPriority w:val="99"/>
    <w:semiHidden/>
    <w:rsid w:val="00EC4275"/>
    <w:rPr>
      <w:rFonts w:cstheme="minorBidi"/>
      <w:b/>
      <w:bCs/>
      <w:sz w:val="20"/>
      <w:szCs w:val="20"/>
    </w:rPr>
  </w:style>
  <w:style w:type="character" w:styleId="Hyperlink">
    <w:name w:val="Hyperlink"/>
    <w:basedOn w:val="DefaultParagraphFont"/>
    <w:uiPriority w:val="99"/>
    <w:unhideWhenUsed/>
    <w:rsid w:val="00EC4275"/>
    <w:rPr>
      <w:color w:val="0563C1" w:themeColor="hyperlink"/>
      <w:u w:val="single"/>
    </w:rPr>
  </w:style>
  <w:style w:type="character" w:styleId="UnresolvedMention">
    <w:name w:val="Unresolved Mention"/>
    <w:basedOn w:val="DefaultParagraphFont"/>
    <w:uiPriority w:val="99"/>
    <w:semiHidden/>
    <w:unhideWhenUsed/>
    <w:rsid w:val="009140CC"/>
    <w:rPr>
      <w:color w:val="605E5C"/>
      <w:shd w:val="clear" w:color="auto" w:fill="E1DFDD"/>
    </w:rPr>
  </w:style>
  <w:style w:type="paragraph" w:customStyle="1" w:styleId="paragraph">
    <w:name w:val="paragraph"/>
    <w:basedOn w:val="Normal"/>
    <w:rsid w:val="00F17E4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17E4E"/>
  </w:style>
  <w:style w:type="character" w:customStyle="1" w:styleId="eop">
    <w:name w:val="eop"/>
    <w:basedOn w:val="DefaultParagraphFont"/>
    <w:rsid w:val="00F17E4E"/>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A2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3303">
      <w:bodyDiv w:val="1"/>
      <w:marLeft w:val="0"/>
      <w:marRight w:val="0"/>
      <w:marTop w:val="0"/>
      <w:marBottom w:val="0"/>
      <w:divBdr>
        <w:top w:val="none" w:sz="0" w:space="0" w:color="auto"/>
        <w:left w:val="none" w:sz="0" w:space="0" w:color="auto"/>
        <w:bottom w:val="none" w:sz="0" w:space="0" w:color="auto"/>
        <w:right w:val="none" w:sz="0" w:space="0" w:color="auto"/>
      </w:divBdr>
    </w:div>
    <w:div w:id="1243445488">
      <w:bodyDiv w:val="1"/>
      <w:marLeft w:val="0"/>
      <w:marRight w:val="0"/>
      <w:marTop w:val="0"/>
      <w:marBottom w:val="0"/>
      <w:divBdr>
        <w:top w:val="none" w:sz="0" w:space="0" w:color="auto"/>
        <w:left w:val="none" w:sz="0" w:space="0" w:color="auto"/>
        <w:bottom w:val="none" w:sz="0" w:space="0" w:color="auto"/>
        <w:right w:val="none" w:sz="0" w:space="0" w:color="auto"/>
      </w:divBdr>
      <w:divsChild>
        <w:div w:id="124350922">
          <w:marLeft w:val="0"/>
          <w:marRight w:val="0"/>
          <w:marTop w:val="0"/>
          <w:marBottom w:val="0"/>
          <w:divBdr>
            <w:top w:val="none" w:sz="0" w:space="0" w:color="auto"/>
            <w:left w:val="none" w:sz="0" w:space="0" w:color="auto"/>
            <w:bottom w:val="none" w:sz="0" w:space="0" w:color="auto"/>
            <w:right w:val="none" w:sz="0" w:space="0" w:color="auto"/>
          </w:divBdr>
        </w:div>
        <w:div w:id="1912806879">
          <w:marLeft w:val="0"/>
          <w:marRight w:val="0"/>
          <w:marTop w:val="0"/>
          <w:marBottom w:val="0"/>
          <w:divBdr>
            <w:top w:val="none" w:sz="0" w:space="0" w:color="auto"/>
            <w:left w:val="none" w:sz="0" w:space="0" w:color="auto"/>
            <w:bottom w:val="none" w:sz="0" w:space="0" w:color="auto"/>
            <w:right w:val="none" w:sz="0" w:space="0" w:color="auto"/>
          </w:divBdr>
        </w:div>
        <w:div w:id="2029333501">
          <w:marLeft w:val="0"/>
          <w:marRight w:val="0"/>
          <w:marTop w:val="0"/>
          <w:marBottom w:val="0"/>
          <w:divBdr>
            <w:top w:val="none" w:sz="0" w:space="0" w:color="auto"/>
            <w:left w:val="none" w:sz="0" w:space="0" w:color="auto"/>
            <w:bottom w:val="none" w:sz="0" w:space="0" w:color="auto"/>
            <w:right w:val="none" w:sz="0" w:space="0" w:color="auto"/>
          </w:divBdr>
        </w:div>
        <w:div w:id="638000808">
          <w:marLeft w:val="0"/>
          <w:marRight w:val="0"/>
          <w:marTop w:val="0"/>
          <w:marBottom w:val="0"/>
          <w:divBdr>
            <w:top w:val="none" w:sz="0" w:space="0" w:color="auto"/>
            <w:left w:val="none" w:sz="0" w:space="0" w:color="auto"/>
            <w:bottom w:val="none" w:sz="0" w:space="0" w:color="auto"/>
            <w:right w:val="none" w:sz="0" w:space="0" w:color="auto"/>
          </w:divBdr>
        </w:div>
        <w:div w:id="910771367">
          <w:marLeft w:val="0"/>
          <w:marRight w:val="0"/>
          <w:marTop w:val="0"/>
          <w:marBottom w:val="0"/>
          <w:divBdr>
            <w:top w:val="none" w:sz="0" w:space="0" w:color="auto"/>
            <w:left w:val="none" w:sz="0" w:space="0" w:color="auto"/>
            <w:bottom w:val="none" w:sz="0" w:space="0" w:color="auto"/>
            <w:right w:val="none" w:sz="0" w:space="0" w:color="auto"/>
          </w:divBdr>
        </w:div>
        <w:div w:id="1473016104">
          <w:marLeft w:val="0"/>
          <w:marRight w:val="0"/>
          <w:marTop w:val="0"/>
          <w:marBottom w:val="0"/>
          <w:divBdr>
            <w:top w:val="none" w:sz="0" w:space="0" w:color="auto"/>
            <w:left w:val="none" w:sz="0" w:space="0" w:color="auto"/>
            <w:bottom w:val="none" w:sz="0" w:space="0" w:color="auto"/>
            <w:right w:val="none" w:sz="0" w:space="0" w:color="auto"/>
          </w:divBdr>
        </w:div>
        <w:div w:id="994068266">
          <w:marLeft w:val="0"/>
          <w:marRight w:val="0"/>
          <w:marTop w:val="0"/>
          <w:marBottom w:val="0"/>
          <w:divBdr>
            <w:top w:val="none" w:sz="0" w:space="0" w:color="auto"/>
            <w:left w:val="none" w:sz="0" w:space="0" w:color="auto"/>
            <w:bottom w:val="none" w:sz="0" w:space="0" w:color="auto"/>
            <w:right w:val="none" w:sz="0" w:space="0" w:color="auto"/>
          </w:divBdr>
        </w:div>
        <w:div w:id="1096483863">
          <w:marLeft w:val="0"/>
          <w:marRight w:val="0"/>
          <w:marTop w:val="0"/>
          <w:marBottom w:val="0"/>
          <w:divBdr>
            <w:top w:val="none" w:sz="0" w:space="0" w:color="auto"/>
            <w:left w:val="none" w:sz="0" w:space="0" w:color="auto"/>
            <w:bottom w:val="none" w:sz="0" w:space="0" w:color="auto"/>
            <w:right w:val="none" w:sz="0" w:space="0" w:color="auto"/>
          </w:divBdr>
        </w:div>
        <w:div w:id="1691836409">
          <w:marLeft w:val="0"/>
          <w:marRight w:val="0"/>
          <w:marTop w:val="0"/>
          <w:marBottom w:val="0"/>
          <w:divBdr>
            <w:top w:val="none" w:sz="0" w:space="0" w:color="auto"/>
            <w:left w:val="none" w:sz="0" w:space="0" w:color="auto"/>
            <w:bottom w:val="none" w:sz="0" w:space="0" w:color="auto"/>
            <w:right w:val="none" w:sz="0" w:space="0" w:color="auto"/>
          </w:divBdr>
        </w:div>
        <w:div w:id="1780249600">
          <w:marLeft w:val="0"/>
          <w:marRight w:val="0"/>
          <w:marTop w:val="0"/>
          <w:marBottom w:val="0"/>
          <w:divBdr>
            <w:top w:val="none" w:sz="0" w:space="0" w:color="auto"/>
            <w:left w:val="none" w:sz="0" w:space="0" w:color="auto"/>
            <w:bottom w:val="none" w:sz="0" w:space="0" w:color="auto"/>
            <w:right w:val="none" w:sz="0" w:space="0" w:color="auto"/>
          </w:divBdr>
        </w:div>
        <w:div w:id="1575123689">
          <w:marLeft w:val="0"/>
          <w:marRight w:val="0"/>
          <w:marTop w:val="0"/>
          <w:marBottom w:val="0"/>
          <w:divBdr>
            <w:top w:val="none" w:sz="0" w:space="0" w:color="auto"/>
            <w:left w:val="none" w:sz="0" w:space="0" w:color="auto"/>
            <w:bottom w:val="none" w:sz="0" w:space="0" w:color="auto"/>
            <w:right w:val="none" w:sz="0" w:space="0" w:color="auto"/>
          </w:divBdr>
        </w:div>
        <w:div w:id="2052876780">
          <w:marLeft w:val="0"/>
          <w:marRight w:val="0"/>
          <w:marTop w:val="0"/>
          <w:marBottom w:val="0"/>
          <w:divBdr>
            <w:top w:val="none" w:sz="0" w:space="0" w:color="auto"/>
            <w:left w:val="none" w:sz="0" w:space="0" w:color="auto"/>
            <w:bottom w:val="none" w:sz="0" w:space="0" w:color="auto"/>
            <w:right w:val="none" w:sz="0" w:space="0" w:color="auto"/>
          </w:divBdr>
        </w:div>
        <w:div w:id="783622509">
          <w:marLeft w:val="0"/>
          <w:marRight w:val="0"/>
          <w:marTop w:val="0"/>
          <w:marBottom w:val="0"/>
          <w:divBdr>
            <w:top w:val="none" w:sz="0" w:space="0" w:color="auto"/>
            <w:left w:val="none" w:sz="0" w:space="0" w:color="auto"/>
            <w:bottom w:val="none" w:sz="0" w:space="0" w:color="auto"/>
            <w:right w:val="none" w:sz="0" w:space="0" w:color="auto"/>
          </w:divBdr>
        </w:div>
        <w:div w:id="1462260412">
          <w:marLeft w:val="0"/>
          <w:marRight w:val="0"/>
          <w:marTop w:val="0"/>
          <w:marBottom w:val="0"/>
          <w:divBdr>
            <w:top w:val="none" w:sz="0" w:space="0" w:color="auto"/>
            <w:left w:val="none" w:sz="0" w:space="0" w:color="auto"/>
            <w:bottom w:val="none" w:sz="0" w:space="0" w:color="auto"/>
            <w:right w:val="none" w:sz="0" w:space="0" w:color="auto"/>
          </w:divBdr>
        </w:div>
        <w:div w:id="475951537">
          <w:marLeft w:val="0"/>
          <w:marRight w:val="0"/>
          <w:marTop w:val="0"/>
          <w:marBottom w:val="0"/>
          <w:divBdr>
            <w:top w:val="none" w:sz="0" w:space="0" w:color="auto"/>
            <w:left w:val="none" w:sz="0" w:space="0" w:color="auto"/>
            <w:bottom w:val="none" w:sz="0" w:space="0" w:color="auto"/>
            <w:right w:val="none" w:sz="0" w:space="0" w:color="auto"/>
          </w:divBdr>
        </w:div>
        <w:div w:id="879363031">
          <w:marLeft w:val="0"/>
          <w:marRight w:val="0"/>
          <w:marTop w:val="0"/>
          <w:marBottom w:val="0"/>
          <w:divBdr>
            <w:top w:val="none" w:sz="0" w:space="0" w:color="auto"/>
            <w:left w:val="none" w:sz="0" w:space="0" w:color="auto"/>
            <w:bottom w:val="none" w:sz="0" w:space="0" w:color="auto"/>
            <w:right w:val="none" w:sz="0" w:space="0" w:color="auto"/>
          </w:divBdr>
        </w:div>
        <w:div w:id="1508204129">
          <w:marLeft w:val="0"/>
          <w:marRight w:val="0"/>
          <w:marTop w:val="0"/>
          <w:marBottom w:val="0"/>
          <w:divBdr>
            <w:top w:val="none" w:sz="0" w:space="0" w:color="auto"/>
            <w:left w:val="none" w:sz="0" w:space="0" w:color="auto"/>
            <w:bottom w:val="none" w:sz="0" w:space="0" w:color="auto"/>
            <w:right w:val="none" w:sz="0" w:space="0" w:color="auto"/>
          </w:divBdr>
        </w:div>
      </w:divsChild>
    </w:div>
    <w:div w:id="1900507325">
      <w:bodyDiv w:val="1"/>
      <w:marLeft w:val="0"/>
      <w:marRight w:val="0"/>
      <w:marTop w:val="0"/>
      <w:marBottom w:val="0"/>
      <w:divBdr>
        <w:top w:val="none" w:sz="0" w:space="0" w:color="auto"/>
        <w:left w:val="none" w:sz="0" w:space="0" w:color="auto"/>
        <w:bottom w:val="none" w:sz="0" w:space="0" w:color="auto"/>
        <w:right w:val="none" w:sz="0" w:space="0" w:color="auto"/>
      </w:divBdr>
      <w:divsChild>
        <w:div w:id="739257674">
          <w:marLeft w:val="0"/>
          <w:marRight w:val="0"/>
          <w:marTop w:val="0"/>
          <w:marBottom w:val="0"/>
          <w:divBdr>
            <w:top w:val="none" w:sz="0" w:space="0" w:color="auto"/>
            <w:left w:val="none" w:sz="0" w:space="0" w:color="auto"/>
            <w:bottom w:val="none" w:sz="0" w:space="0" w:color="auto"/>
            <w:right w:val="none" w:sz="0" w:space="0" w:color="auto"/>
          </w:divBdr>
        </w:div>
        <w:div w:id="21863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ciencedirect.com/topics/nursing-and-health-professions/holistic-nursing" TargetMode="External"/><Relationship Id="rId10" Type="http://schemas.openxmlformats.org/officeDocument/2006/relationships/hyperlink" Target="https://learninghub.nhs.uk/" TargetMode="External"/><Relationship Id="rId4" Type="http://schemas.openxmlformats.org/officeDocument/2006/relationships/customXml" Target="../customXml/item4.xml"/><Relationship Id="rId9" Type="http://schemas.openxmlformats.org/officeDocument/2006/relationships/hyperlink" Target="https://learninghub.nhs.uk/"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BF572C42317F4695B34E1E11B9A841" ma:contentTypeVersion="8" ma:contentTypeDescription="Create a new document." ma:contentTypeScope="" ma:versionID="c3aa2993e5ee2e02b1311da376c7e281">
  <xsd:schema xmlns:xsd="http://www.w3.org/2001/XMLSchema" xmlns:xs="http://www.w3.org/2001/XMLSchema" xmlns:p="http://schemas.microsoft.com/office/2006/metadata/properties" xmlns:ns2="076a5559-6231-4fb5-b8b6-94eb26e85057" xmlns:ns3="09afdf88-0b7d-4471-a373-430fb4a075ff" targetNamespace="http://schemas.microsoft.com/office/2006/metadata/properties" ma:root="true" ma:fieldsID="fce2ce996a5593f650bf9558c4f0a368" ns2:_="" ns3:_="">
    <xsd:import namespace="076a5559-6231-4fb5-b8b6-94eb26e85057"/>
    <xsd:import namespace="09afdf88-0b7d-4471-a373-430fb4a075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a5559-6231-4fb5-b8b6-94eb26e85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afdf88-0b7d-4471-a373-430fb4a075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FED2-AC49-49B8-B75A-B069605AC7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0754B-BD61-4D89-9D52-51A2942BAA40}">
  <ds:schemaRefs>
    <ds:schemaRef ds:uri="http://schemas.microsoft.com/sharepoint/v3/contenttype/forms"/>
  </ds:schemaRefs>
</ds:datastoreItem>
</file>

<file path=customXml/itemProps3.xml><?xml version="1.0" encoding="utf-8"?>
<ds:datastoreItem xmlns:ds="http://schemas.openxmlformats.org/officeDocument/2006/customXml" ds:itemID="{DFA671A9-A01C-4FAE-92E2-D67911EEAE98}">
  <ds:schemaRefs>
    <ds:schemaRef ds:uri="http://schemas.openxmlformats.org/officeDocument/2006/bibliography"/>
  </ds:schemaRefs>
</ds:datastoreItem>
</file>

<file path=customXml/itemProps4.xml><?xml version="1.0" encoding="utf-8"?>
<ds:datastoreItem xmlns:ds="http://schemas.openxmlformats.org/officeDocument/2006/customXml" ds:itemID="{0DB1E262-90A7-4ADD-A327-33D4DEC0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a5559-6231-4fb5-b8b6-94eb26e85057"/>
    <ds:schemaRef ds:uri="09afdf88-0b7d-4471-a373-430fb4a0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8967</Words>
  <Characters>51118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59966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Armoogum</dc:creator>
  <cp:keywords/>
  <dc:description/>
  <cp:lastModifiedBy>Julie Armoogum</cp:lastModifiedBy>
  <cp:revision>7</cp:revision>
  <dcterms:created xsi:type="dcterms:W3CDTF">2023-06-05T15:02:00Z</dcterms:created>
  <dcterms:modified xsi:type="dcterms:W3CDTF">2023-08-18T09:39:00Z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http://www.zotero.org/styles/harvard-university-of-the-west-of-england</vt:lpwstr>
  </property>
  <property fmtid="{D5CDD505-2E9C-101B-9397-08002B2CF9AE}" pid="19" name="Mendeley Recent Style Name 8_1">
    <vt:lpwstr>University of the West of England (Bristol)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b9797d56-37d8-3006-8632-e68e9e94d5f4</vt:lpwstr>
  </property>
  <property fmtid="{D5CDD505-2E9C-101B-9397-08002B2CF9AE}" pid="24" name="Mendeley Citation Style_1">
    <vt:lpwstr>http://www.zotero.org/styles/harvard-university-of-the-west-of-england</vt:lpwstr>
  </property>
  <property fmtid="{D5CDD505-2E9C-101B-9397-08002B2CF9AE}" pid="25" name="ContentTypeId">
    <vt:lpwstr>0x010100A6BF572C42317F4695B34E1E11B9A841</vt:lpwstr>
  </property>
</Properties>
</file>