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28639"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 xml:space="preserve">Fertile or Futile Grounds for Excluding Criminal Responsibility? A Critical Analysis of the </w:t>
      </w:r>
      <w:r>
        <w:rPr>
          <w:rFonts w:ascii="Times New Roman" w:eastAsia="Times New Roman" w:hAnsi="Times New Roman" w:cs="Times New Roman"/>
          <w:b/>
          <w:i/>
          <w:sz w:val="24"/>
          <w:szCs w:val="24"/>
        </w:rPr>
        <w:t xml:space="preserve">Ongwen </w:t>
      </w:r>
      <w:r>
        <w:rPr>
          <w:rFonts w:ascii="Times New Roman" w:eastAsia="Times New Roman" w:hAnsi="Times New Roman" w:cs="Times New Roman"/>
          <w:b/>
          <w:sz w:val="24"/>
          <w:szCs w:val="24"/>
          <w:highlight w:val="white"/>
        </w:rPr>
        <w:t>Judgment in Relation to the Claim of Coercive Environment</w:t>
      </w:r>
    </w:p>
    <w:p w14:paraId="55CC4FBE" w14:textId="77777777" w:rsidR="00FF6696" w:rsidRDefault="00FF6696" w:rsidP="004F3B74">
      <w:pPr>
        <w:shd w:val="clear" w:color="auto" w:fill="FFFFFF"/>
        <w:tabs>
          <w:tab w:val="left" w:pos="357"/>
        </w:tabs>
        <w:spacing w:line="480" w:lineRule="auto"/>
        <w:rPr>
          <w:rFonts w:ascii="Times New Roman" w:eastAsia="Times New Roman" w:hAnsi="Times New Roman" w:cs="Times New Roman"/>
          <w:iCs/>
          <w:sz w:val="24"/>
          <w:szCs w:val="24"/>
          <w:highlight w:val="white"/>
        </w:rPr>
      </w:pPr>
    </w:p>
    <w:p w14:paraId="65128643" w14:textId="77777777" w:rsidR="00B32260" w:rsidRDefault="00B32260" w:rsidP="004F3B74">
      <w:pPr>
        <w:shd w:val="clear" w:color="auto" w:fill="FFFFFF"/>
        <w:tabs>
          <w:tab w:val="left" w:pos="357"/>
        </w:tabs>
        <w:spacing w:line="480" w:lineRule="auto"/>
        <w:rPr>
          <w:rFonts w:ascii="Times New Roman" w:eastAsia="Times New Roman" w:hAnsi="Times New Roman" w:cs="Times New Roman"/>
          <w:sz w:val="24"/>
          <w:szCs w:val="24"/>
        </w:rPr>
      </w:pPr>
    </w:p>
    <w:p w14:paraId="65128644" w14:textId="77777777" w:rsidR="00B32260" w:rsidRDefault="00190020" w:rsidP="004F3B74">
      <w:pPr>
        <w:shd w:val="clear" w:color="auto" w:fill="FFFFFF"/>
        <w:tabs>
          <w:tab w:val="left" w:pos="357"/>
        </w:tabs>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1 </w:t>
      </w:r>
      <w:r>
        <w:rPr>
          <w:rFonts w:ascii="Times New Roman" w:eastAsia="Times New Roman" w:hAnsi="Times New Roman" w:cs="Times New Roman"/>
          <w:b/>
          <w:sz w:val="24"/>
          <w:szCs w:val="24"/>
        </w:rPr>
        <w:tab/>
        <w:t>Introduction</w:t>
      </w:r>
    </w:p>
    <w:p w14:paraId="65128645"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46" w14:textId="0AD31598"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Children growing up in a war context suffer immensely and child soldiers even more as they must learn to survive amongst the violence and terror inflicted upon, around and by them. The recent judgment</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 xml:space="preserve"> and sentencing</w:t>
      </w:r>
      <w:r>
        <w:rPr>
          <w:rFonts w:ascii="Times New Roman" w:eastAsia="Times New Roman" w:hAnsi="Times New Roman" w:cs="Times New Roman"/>
          <w:sz w:val="24"/>
          <w:szCs w:val="24"/>
          <w:vertAlign w:val="superscript"/>
        </w:rPr>
        <w:footnoteReference w:id="2"/>
      </w:r>
      <w:r>
        <w:rPr>
          <w:rFonts w:ascii="Times New Roman" w:eastAsia="Times New Roman" w:hAnsi="Times New Roman" w:cs="Times New Roman"/>
          <w:sz w:val="24"/>
          <w:szCs w:val="24"/>
        </w:rPr>
        <w:t xml:space="preserve"> by the International Criminal Court (ICC) of Dominic Ongwen, a former child soldier turned warlord in the LRA in Uganda, has put a face on this myriad of child soldiers. Assuredly, he might not be representative of all child soldiers, but he certainly is one of them. He was found guilty of </w:t>
      </w:r>
      <w:r>
        <w:rPr>
          <w:rFonts w:ascii="Times New Roman" w:eastAsia="Times New Roman" w:hAnsi="Times New Roman" w:cs="Times New Roman"/>
          <w:color w:val="212529"/>
          <w:sz w:val="24"/>
          <w:szCs w:val="24"/>
        </w:rPr>
        <w:t>61 crimes comprising crimes against humanity and war crimes and sentenced to 25 years imprisonment. Judgment and sentencing were confirmed on appeal.</w:t>
      </w:r>
      <w:r>
        <w:rPr>
          <w:rFonts w:ascii="Times New Roman" w:eastAsia="Times New Roman" w:hAnsi="Times New Roman" w:cs="Times New Roman"/>
          <w:color w:val="212529"/>
          <w:sz w:val="24"/>
          <w:szCs w:val="24"/>
          <w:vertAlign w:val="superscript"/>
        </w:rPr>
        <w:footnoteReference w:id="3"/>
      </w:r>
      <w:r>
        <w:rPr>
          <w:rFonts w:ascii="Times New Roman" w:eastAsia="Times New Roman" w:hAnsi="Times New Roman" w:cs="Times New Roman"/>
          <w:color w:val="212529"/>
          <w:sz w:val="24"/>
          <w:szCs w:val="24"/>
        </w:rPr>
        <w:t xml:space="preserve"> Throughout the trial, his Defence argued that he should not be held responsible for these crimes. Yet, none of the grounds for excluding responsibility advanced by the Defence</w:t>
      </w:r>
      <w:r w:rsidR="00294914">
        <w:rPr>
          <w:rFonts w:ascii="Times New Roman" w:eastAsia="Times New Roman" w:hAnsi="Times New Roman" w:cs="Times New Roman"/>
          <w:color w:val="212529"/>
          <w:sz w:val="24"/>
          <w:szCs w:val="24"/>
        </w:rPr>
        <w:t xml:space="preserve"> – </w:t>
      </w:r>
      <w:r>
        <w:rPr>
          <w:rFonts w:ascii="Times New Roman" w:eastAsia="Times New Roman" w:hAnsi="Times New Roman" w:cs="Times New Roman"/>
          <w:color w:val="212529"/>
          <w:sz w:val="24"/>
          <w:szCs w:val="24"/>
        </w:rPr>
        <w:t>duress and mental defect</w:t>
      </w:r>
      <w:r w:rsidR="00294914">
        <w:rPr>
          <w:rFonts w:ascii="Times New Roman" w:eastAsia="Times New Roman" w:hAnsi="Times New Roman" w:cs="Times New Roman"/>
          <w:color w:val="212529"/>
          <w:sz w:val="24"/>
          <w:szCs w:val="24"/>
        </w:rPr>
        <w:t xml:space="preserve"> – were</w:t>
      </w:r>
      <w:r>
        <w:rPr>
          <w:rFonts w:ascii="Times New Roman" w:eastAsia="Times New Roman" w:hAnsi="Times New Roman" w:cs="Times New Roman"/>
          <w:color w:val="212529"/>
          <w:sz w:val="24"/>
          <w:szCs w:val="24"/>
        </w:rPr>
        <w:t xml:space="preserve"> accepted. </w:t>
      </w:r>
    </w:p>
    <w:p w14:paraId="65128647" w14:textId="18B41301"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Duress, a ground for excluding responsibility listed in Article 31(1)(d) ICC Statute,</w:t>
      </w:r>
      <w:r w:rsidR="00190020">
        <w:rPr>
          <w:rFonts w:ascii="Times New Roman" w:eastAsia="Times New Roman" w:hAnsi="Times New Roman" w:cs="Times New Roman"/>
          <w:sz w:val="24"/>
          <w:szCs w:val="24"/>
          <w:vertAlign w:val="superscript"/>
        </w:rPr>
        <w:footnoteReference w:id="4"/>
      </w:r>
      <w:r w:rsidR="00190020">
        <w:rPr>
          <w:rFonts w:ascii="Times New Roman" w:eastAsia="Times New Roman" w:hAnsi="Times New Roman" w:cs="Times New Roman"/>
          <w:sz w:val="24"/>
          <w:szCs w:val="24"/>
        </w:rPr>
        <w:t xml:space="preserve"> was </w:t>
      </w:r>
      <w:r w:rsidR="00C42A22">
        <w:rPr>
          <w:rFonts w:ascii="Times New Roman" w:eastAsia="Times New Roman" w:hAnsi="Times New Roman" w:cs="Times New Roman"/>
          <w:sz w:val="24"/>
          <w:szCs w:val="24"/>
        </w:rPr>
        <w:t xml:space="preserve">used </w:t>
      </w:r>
      <w:r w:rsidR="00190020">
        <w:rPr>
          <w:rFonts w:ascii="Times New Roman" w:eastAsia="Times New Roman" w:hAnsi="Times New Roman" w:cs="Times New Roman"/>
          <w:sz w:val="24"/>
          <w:szCs w:val="24"/>
        </w:rPr>
        <w:t xml:space="preserve">to absolve Ongwen of his crimes whilst his Defence team </w:t>
      </w:r>
      <w:r w:rsidR="00C42A22">
        <w:rPr>
          <w:rFonts w:ascii="Times New Roman" w:eastAsia="Times New Roman" w:hAnsi="Times New Roman" w:cs="Times New Roman"/>
          <w:sz w:val="24"/>
          <w:szCs w:val="24"/>
        </w:rPr>
        <w:t xml:space="preserve">repeatedly </w:t>
      </w:r>
      <w:r w:rsidR="00190020">
        <w:rPr>
          <w:rFonts w:ascii="Times New Roman" w:eastAsia="Times New Roman" w:hAnsi="Times New Roman" w:cs="Times New Roman"/>
          <w:sz w:val="24"/>
          <w:szCs w:val="24"/>
        </w:rPr>
        <w:t xml:space="preserve">and unsuccessfully </w:t>
      </w:r>
      <w:r w:rsidR="00190020">
        <w:rPr>
          <w:rFonts w:ascii="Times New Roman" w:eastAsia="Times New Roman" w:hAnsi="Times New Roman" w:cs="Times New Roman"/>
          <w:sz w:val="24"/>
          <w:szCs w:val="24"/>
        </w:rPr>
        <w:lastRenderedPageBreak/>
        <w:t xml:space="preserve">stressed the coercive environment in which he grew up and lived: ‘throughout the turns and twists in the armed conflicts between the government of Uganda and the LRA, [Ongwen] lived his life under </w:t>
      </w:r>
      <w:r w:rsidR="00190020">
        <w:rPr>
          <w:rFonts w:ascii="Times New Roman" w:eastAsia="Times New Roman" w:hAnsi="Times New Roman" w:cs="Times New Roman"/>
          <w:i/>
          <w:sz w:val="24"/>
          <w:szCs w:val="24"/>
        </w:rPr>
        <w:t>duress’</w:t>
      </w:r>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5"/>
      </w:r>
      <w:r w:rsidR="00190020">
        <w:rPr>
          <w:rFonts w:ascii="Times New Roman" w:eastAsia="Times New Roman" w:hAnsi="Times New Roman" w:cs="Times New Roman"/>
          <w:sz w:val="24"/>
          <w:szCs w:val="24"/>
        </w:rPr>
        <w:t xml:space="preserve"> ‘the environment of </w:t>
      </w:r>
      <w:r w:rsidR="00190020">
        <w:rPr>
          <w:rFonts w:ascii="Times New Roman" w:eastAsia="Times New Roman" w:hAnsi="Times New Roman" w:cs="Times New Roman"/>
          <w:i/>
          <w:sz w:val="24"/>
          <w:szCs w:val="24"/>
        </w:rPr>
        <w:t xml:space="preserve">duress </w:t>
      </w:r>
      <w:r w:rsidR="00190020">
        <w:rPr>
          <w:rFonts w:ascii="Times New Roman" w:eastAsia="Times New Roman" w:hAnsi="Times New Roman" w:cs="Times New Roman"/>
          <w:sz w:val="24"/>
          <w:szCs w:val="24"/>
        </w:rPr>
        <w:t xml:space="preserve">never dissipated as Dominic remained in the rebel group. His so-called promotions in the rebel ranks were demonstrative of one thing; development of a higher survival instinct than others while under </w:t>
      </w:r>
      <w:r w:rsidR="00190020">
        <w:rPr>
          <w:rFonts w:ascii="Times New Roman" w:eastAsia="Times New Roman" w:hAnsi="Times New Roman" w:cs="Times New Roman"/>
          <w:i/>
          <w:sz w:val="24"/>
          <w:szCs w:val="24"/>
        </w:rPr>
        <w:t xml:space="preserve">duress </w:t>
      </w:r>
      <w:r w:rsidR="00190020">
        <w:rPr>
          <w:rFonts w:ascii="Times New Roman" w:eastAsia="Times New Roman" w:hAnsi="Times New Roman" w:cs="Times New Roman"/>
          <w:sz w:val="24"/>
          <w:szCs w:val="24"/>
        </w:rPr>
        <w:t>in the bush.’</w:t>
      </w:r>
      <w:r w:rsidR="00190020">
        <w:rPr>
          <w:rFonts w:ascii="Times New Roman" w:eastAsia="Times New Roman" w:hAnsi="Times New Roman" w:cs="Times New Roman"/>
          <w:sz w:val="24"/>
          <w:szCs w:val="24"/>
          <w:vertAlign w:val="superscript"/>
        </w:rPr>
        <w:footnoteReference w:id="6"/>
      </w:r>
      <w:r w:rsidR="00190020">
        <w:rPr>
          <w:rFonts w:ascii="Times New Roman" w:eastAsia="Times New Roman" w:hAnsi="Times New Roman" w:cs="Times New Roman"/>
          <w:sz w:val="24"/>
          <w:szCs w:val="24"/>
        </w:rPr>
        <w:t xml:space="preserve"> The </w:t>
      </w:r>
      <w:r w:rsidR="00294914">
        <w:rPr>
          <w:rFonts w:ascii="Times New Roman" w:eastAsia="Times New Roman" w:hAnsi="Times New Roman" w:cs="Times New Roman"/>
          <w:sz w:val="24"/>
          <w:szCs w:val="24"/>
        </w:rPr>
        <w:t xml:space="preserve">central aspect of such characterisations </w:t>
      </w:r>
      <w:r w:rsidR="00190020">
        <w:rPr>
          <w:rFonts w:ascii="Times New Roman" w:eastAsia="Times New Roman" w:hAnsi="Times New Roman" w:cs="Times New Roman"/>
          <w:sz w:val="24"/>
          <w:szCs w:val="24"/>
        </w:rPr>
        <w:t xml:space="preserve">was that Ongwen had carried out these acts because he had no choice; external factors were forcing him to act in such a manner. </w:t>
      </w:r>
    </w:p>
    <w:p w14:paraId="65128648" w14:textId="3552D20A"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One of the basic tenets of criminal justice is </w:t>
      </w:r>
      <w:r w:rsidR="00190020">
        <w:rPr>
          <w:rFonts w:ascii="Times New Roman" w:eastAsia="Times New Roman" w:hAnsi="Times New Roman" w:cs="Times New Roman"/>
          <w:i/>
          <w:sz w:val="24"/>
          <w:szCs w:val="24"/>
        </w:rPr>
        <w:t xml:space="preserve">actus me </w:t>
      </w:r>
      <w:proofErr w:type="spellStart"/>
      <w:r w:rsidR="00190020">
        <w:rPr>
          <w:rFonts w:ascii="Times New Roman" w:eastAsia="Times New Roman" w:hAnsi="Times New Roman" w:cs="Times New Roman"/>
          <w:i/>
          <w:sz w:val="24"/>
          <w:szCs w:val="24"/>
        </w:rPr>
        <w:t>invito</w:t>
      </w:r>
      <w:proofErr w:type="spellEnd"/>
      <w:r w:rsidR="00190020">
        <w:rPr>
          <w:rFonts w:ascii="Times New Roman" w:eastAsia="Times New Roman" w:hAnsi="Times New Roman" w:cs="Times New Roman"/>
          <w:i/>
          <w:sz w:val="24"/>
          <w:szCs w:val="24"/>
        </w:rPr>
        <w:t xml:space="preserve"> </w:t>
      </w:r>
      <w:proofErr w:type="spellStart"/>
      <w:r w:rsidR="00190020">
        <w:rPr>
          <w:rFonts w:ascii="Times New Roman" w:eastAsia="Times New Roman" w:hAnsi="Times New Roman" w:cs="Times New Roman"/>
          <w:i/>
          <w:sz w:val="24"/>
          <w:szCs w:val="24"/>
        </w:rPr>
        <w:t>factus</w:t>
      </w:r>
      <w:proofErr w:type="spellEnd"/>
      <w:r w:rsidR="00190020">
        <w:rPr>
          <w:rFonts w:ascii="Times New Roman" w:eastAsia="Times New Roman" w:hAnsi="Times New Roman" w:cs="Times New Roman"/>
          <w:i/>
          <w:sz w:val="24"/>
          <w:szCs w:val="24"/>
        </w:rPr>
        <w:t xml:space="preserve"> non </w:t>
      </w:r>
      <w:proofErr w:type="spellStart"/>
      <w:r w:rsidR="00190020">
        <w:rPr>
          <w:rFonts w:ascii="Times New Roman" w:eastAsia="Times New Roman" w:hAnsi="Times New Roman" w:cs="Times New Roman"/>
          <w:i/>
          <w:sz w:val="24"/>
          <w:szCs w:val="24"/>
        </w:rPr>
        <w:t>est</w:t>
      </w:r>
      <w:proofErr w:type="spellEnd"/>
      <w:r w:rsidR="00190020">
        <w:rPr>
          <w:rFonts w:ascii="Times New Roman" w:eastAsia="Times New Roman" w:hAnsi="Times New Roman" w:cs="Times New Roman"/>
          <w:i/>
          <w:sz w:val="24"/>
          <w:szCs w:val="24"/>
        </w:rPr>
        <w:t xml:space="preserve"> meus actus</w:t>
      </w:r>
      <w:r w:rsidR="00190020">
        <w:rPr>
          <w:rFonts w:ascii="Times New Roman" w:eastAsia="Times New Roman" w:hAnsi="Times New Roman" w:cs="Times New Roman"/>
          <w:sz w:val="24"/>
          <w:szCs w:val="24"/>
        </w:rPr>
        <w:t>, an act done by me against my will is not my act.</w:t>
      </w:r>
      <w:r w:rsidR="00190020">
        <w:rPr>
          <w:rFonts w:ascii="Times New Roman" w:eastAsia="Times New Roman" w:hAnsi="Times New Roman" w:cs="Times New Roman"/>
          <w:sz w:val="24"/>
          <w:szCs w:val="24"/>
          <w:vertAlign w:val="superscript"/>
        </w:rPr>
        <w:footnoteReference w:id="7"/>
      </w:r>
      <w:r w:rsidR="00190020">
        <w:rPr>
          <w:rFonts w:ascii="Times New Roman" w:eastAsia="Times New Roman" w:hAnsi="Times New Roman" w:cs="Times New Roman"/>
          <w:sz w:val="24"/>
          <w:szCs w:val="24"/>
        </w:rPr>
        <w:t xml:space="preserve"> Ongwen argued that he did not choose a life of crime; rather life chose it for him. The Defence provided ample evidence of the coercive environment that he endured, noting that the same harsh environment with devastating long-term effects on child soldiers had been previously acknowledged by the ICC. Yet, the Court dismissed the defence of duress </w:t>
      </w:r>
      <w:proofErr w:type="gramStart"/>
      <w:r w:rsidR="00B01B15">
        <w:rPr>
          <w:rFonts w:ascii="Times New Roman" w:eastAsia="Times New Roman" w:hAnsi="Times New Roman" w:cs="Times New Roman"/>
          <w:sz w:val="24"/>
          <w:szCs w:val="24"/>
        </w:rPr>
        <w:t>on the basis of</w:t>
      </w:r>
      <w:proofErr w:type="gramEnd"/>
      <w:r w:rsidR="00B01B15">
        <w:rPr>
          <w:rFonts w:ascii="Times New Roman" w:eastAsia="Times New Roman" w:hAnsi="Times New Roman" w:cs="Times New Roman"/>
          <w:sz w:val="24"/>
          <w:szCs w:val="24"/>
        </w:rPr>
        <w:t xml:space="preserve"> </w:t>
      </w:r>
      <w:r w:rsidR="00190020">
        <w:rPr>
          <w:rFonts w:ascii="Times New Roman" w:eastAsia="Times New Roman" w:hAnsi="Times New Roman" w:cs="Times New Roman"/>
          <w:sz w:val="24"/>
          <w:szCs w:val="24"/>
        </w:rPr>
        <w:t xml:space="preserve">a coercive environment and its long-term effects. </w:t>
      </w:r>
    </w:p>
    <w:p w14:paraId="65128649" w14:textId="4550A86B"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This paper argues that the Court rejected the defence correctly because duress cannot be applied in a coercive environment. As Article 31(3) ICC Statute does not expressly recognise a coercive environment-related defence</w:t>
      </w:r>
      <w:r w:rsidR="00B01B15">
        <w:rPr>
          <w:rFonts w:ascii="Times New Roman" w:eastAsia="Times New Roman" w:hAnsi="Times New Roman" w:cs="Times New Roman"/>
          <w:sz w:val="24"/>
          <w:szCs w:val="24"/>
        </w:rPr>
        <w:t>, albeit that it</w:t>
      </w:r>
      <w:r w:rsidR="00190020">
        <w:rPr>
          <w:rFonts w:ascii="Times New Roman" w:eastAsia="Times New Roman" w:hAnsi="Times New Roman" w:cs="Times New Roman"/>
          <w:sz w:val="24"/>
          <w:szCs w:val="24"/>
        </w:rPr>
        <w:t xml:space="preserve"> considers the possibility </w:t>
      </w:r>
      <w:r w:rsidR="00B01B15">
        <w:rPr>
          <w:rFonts w:ascii="Times New Roman" w:eastAsia="Times New Roman" w:hAnsi="Times New Roman" w:cs="Times New Roman"/>
          <w:sz w:val="24"/>
          <w:szCs w:val="24"/>
        </w:rPr>
        <w:t xml:space="preserve">of </w:t>
      </w:r>
      <w:r w:rsidR="00190020">
        <w:rPr>
          <w:rFonts w:ascii="Times New Roman" w:eastAsia="Times New Roman" w:hAnsi="Times New Roman" w:cs="Times New Roman"/>
          <w:sz w:val="24"/>
          <w:szCs w:val="24"/>
        </w:rPr>
        <w:t>us</w:t>
      </w:r>
      <w:r w:rsidR="00B01B15">
        <w:rPr>
          <w:rFonts w:ascii="Times New Roman" w:eastAsia="Times New Roman" w:hAnsi="Times New Roman" w:cs="Times New Roman"/>
          <w:sz w:val="24"/>
          <w:szCs w:val="24"/>
        </w:rPr>
        <w:t>ing</w:t>
      </w:r>
      <w:r w:rsidR="00190020">
        <w:rPr>
          <w:rFonts w:ascii="Times New Roman" w:eastAsia="Times New Roman" w:hAnsi="Times New Roman" w:cs="Times New Roman"/>
          <w:sz w:val="24"/>
          <w:szCs w:val="24"/>
        </w:rPr>
        <w:t xml:space="preserve"> other defences, this article scrutinises alternative defences grounded in national law. Whilst not claiming to be representative of defences worldwide, this unprecedented overview reveals that it is highly unlikely that such an alternative defence exists. The article contends that, </w:t>
      </w:r>
      <w:r w:rsidR="00190020">
        <w:rPr>
          <w:rFonts w:ascii="Times New Roman" w:eastAsia="Times New Roman" w:hAnsi="Times New Roman" w:cs="Times New Roman"/>
          <w:sz w:val="24"/>
          <w:szCs w:val="24"/>
        </w:rPr>
        <w:lastRenderedPageBreak/>
        <w:t xml:space="preserve">even if the Court were </w:t>
      </w:r>
      <w:r w:rsidR="00B01B15">
        <w:rPr>
          <w:rFonts w:ascii="Times New Roman" w:eastAsia="Times New Roman" w:hAnsi="Times New Roman" w:cs="Times New Roman"/>
          <w:sz w:val="24"/>
          <w:szCs w:val="24"/>
        </w:rPr>
        <w:t xml:space="preserve">to have been </w:t>
      </w:r>
      <w:r w:rsidR="00190020">
        <w:rPr>
          <w:rFonts w:ascii="Times New Roman" w:eastAsia="Times New Roman" w:hAnsi="Times New Roman" w:cs="Times New Roman"/>
          <w:sz w:val="24"/>
          <w:szCs w:val="24"/>
        </w:rPr>
        <w:t xml:space="preserve">creative, it would not have been able to fathom an accepted coercive environment-related defence. </w:t>
      </w:r>
    </w:p>
    <w:p w14:paraId="6512864A" w14:textId="4259E218"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Using the example of Ongwen, after sketching the coercive environment in which child soldiers grow up and live, this article analyses the ICC’s decision to reject duress as a ground for excluding responsibility in </w:t>
      </w:r>
      <w:r w:rsidR="00190020">
        <w:rPr>
          <w:rFonts w:ascii="Times New Roman" w:eastAsia="Times New Roman" w:hAnsi="Times New Roman" w:cs="Times New Roman"/>
          <w:i/>
          <w:sz w:val="24"/>
          <w:szCs w:val="24"/>
        </w:rPr>
        <w:t>Ongwen</w:t>
      </w:r>
      <w:r w:rsidR="00190020">
        <w:rPr>
          <w:rFonts w:ascii="Times New Roman" w:eastAsia="Times New Roman" w:hAnsi="Times New Roman" w:cs="Times New Roman"/>
          <w:sz w:val="24"/>
          <w:szCs w:val="24"/>
        </w:rPr>
        <w:t xml:space="preserve">. After contending that the ICC Statute allows for broadening the range of grounds for excluding responsibility, it offers an </w:t>
      </w:r>
      <w:r w:rsidR="00190020">
        <w:rPr>
          <w:rFonts w:ascii="Times New Roman" w:eastAsia="Times New Roman" w:hAnsi="Times New Roman" w:cs="Times New Roman"/>
          <w:i/>
          <w:sz w:val="24"/>
          <w:szCs w:val="24"/>
        </w:rPr>
        <w:t xml:space="preserve">aperçu </w:t>
      </w:r>
      <w:r w:rsidR="00190020">
        <w:rPr>
          <w:rFonts w:ascii="Times New Roman" w:eastAsia="Times New Roman" w:hAnsi="Times New Roman" w:cs="Times New Roman"/>
          <w:sz w:val="24"/>
          <w:szCs w:val="24"/>
        </w:rPr>
        <w:t>of alternative defences found in national law, first focusing on defences based on the fact that the criminal act was caused by external factors and then examining defences in a detention context. It concludes that presently no ground for excluding responsibility is available to (former) child soldiers like Ongwen.</w:t>
      </w:r>
    </w:p>
    <w:p w14:paraId="6512864B" w14:textId="77777777" w:rsidR="00B32260" w:rsidRDefault="00B32260" w:rsidP="004F3B74">
      <w:pPr>
        <w:shd w:val="clear" w:color="auto" w:fill="FFFFFF"/>
        <w:tabs>
          <w:tab w:val="left" w:pos="357"/>
        </w:tabs>
        <w:spacing w:line="480" w:lineRule="auto"/>
        <w:rPr>
          <w:rFonts w:ascii="Times New Roman" w:eastAsia="Times New Roman" w:hAnsi="Times New Roman" w:cs="Times New Roman"/>
          <w:sz w:val="24"/>
          <w:szCs w:val="24"/>
        </w:rPr>
      </w:pPr>
    </w:p>
    <w:p w14:paraId="72DEA258" w14:textId="77777777" w:rsidR="004F3B74" w:rsidRDefault="004F3B74" w:rsidP="004F3B74">
      <w:pPr>
        <w:shd w:val="clear" w:color="auto" w:fill="FFFFFF"/>
        <w:tabs>
          <w:tab w:val="left" w:pos="357"/>
        </w:tabs>
        <w:spacing w:line="480" w:lineRule="auto"/>
        <w:rPr>
          <w:rFonts w:ascii="Times New Roman" w:eastAsia="Times New Roman" w:hAnsi="Times New Roman" w:cs="Times New Roman"/>
          <w:sz w:val="24"/>
          <w:szCs w:val="24"/>
        </w:rPr>
      </w:pPr>
    </w:p>
    <w:p w14:paraId="6512864C" w14:textId="044AA79A" w:rsidR="00B32260" w:rsidRDefault="00190020" w:rsidP="004F3B74">
      <w:pPr>
        <w:shd w:val="clear" w:color="auto" w:fill="FFFFFF"/>
        <w:tabs>
          <w:tab w:val="left" w:pos="357"/>
        </w:tabs>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r>
        <w:rPr>
          <w:rFonts w:ascii="Times New Roman" w:eastAsia="Times New Roman" w:hAnsi="Times New Roman" w:cs="Times New Roman"/>
          <w:b/>
          <w:sz w:val="24"/>
          <w:szCs w:val="24"/>
        </w:rPr>
        <w:tab/>
        <w:t>Child Soldiers, Ongwen and Coercive Environment</w:t>
      </w:r>
      <w:r w:rsidR="00C42A22">
        <w:rPr>
          <w:rFonts w:ascii="Times New Roman" w:eastAsia="Times New Roman" w:hAnsi="Times New Roman" w:cs="Times New Roman"/>
          <w:b/>
          <w:sz w:val="24"/>
          <w:szCs w:val="24"/>
        </w:rPr>
        <w:t>s</w:t>
      </w:r>
    </w:p>
    <w:p w14:paraId="6512864D"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4E" w14:textId="7585B0FC"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Child soldiers undergo a process of brutalisation and indoctrination that ensures their obedience and normalises violence as a method of interaction. Trapped in that coercive environment, they are obliged to act in a certain manner. Even as adults, they suffer from their experiences. Taking Dominic Ongwen as an example of </w:t>
      </w:r>
      <w:r w:rsidR="00B01B15">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child soldier, this section defines the concept of a ‘coercive environment’ in the context of child soldering and sets out the long-term consequences of child soldiering.</w:t>
      </w:r>
    </w:p>
    <w:p w14:paraId="6512864F" w14:textId="77777777" w:rsidR="00B32260" w:rsidRDefault="00B32260" w:rsidP="004F3B74">
      <w:pPr>
        <w:tabs>
          <w:tab w:val="left" w:pos="357"/>
        </w:tabs>
        <w:spacing w:line="480" w:lineRule="auto"/>
        <w:jc w:val="both"/>
        <w:rPr>
          <w:rFonts w:ascii="Times New Roman" w:eastAsia="Times New Roman" w:hAnsi="Times New Roman" w:cs="Times New Roman"/>
          <w:b/>
          <w:sz w:val="24"/>
          <w:szCs w:val="24"/>
        </w:rPr>
      </w:pPr>
    </w:p>
    <w:p w14:paraId="65128650" w14:textId="69232E69" w:rsidR="00B32260" w:rsidRDefault="00190020" w:rsidP="004F3B74">
      <w:pPr>
        <w:tabs>
          <w:tab w:val="left" w:pos="357"/>
        </w:tabs>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2.1</w:t>
      </w:r>
      <w:r>
        <w:rPr>
          <w:rFonts w:ascii="Times New Roman" w:eastAsia="Times New Roman" w:hAnsi="Times New Roman" w:cs="Times New Roman"/>
          <w:b/>
          <w:i/>
          <w:sz w:val="24"/>
          <w:szCs w:val="24"/>
        </w:rPr>
        <w:t xml:space="preserve"> </w:t>
      </w:r>
      <w:r>
        <w:rPr>
          <w:rFonts w:ascii="Times New Roman" w:eastAsia="Times New Roman" w:hAnsi="Times New Roman" w:cs="Times New Roman"/>
          <w:sz w:val="24"/>
          <w:szCs w:val="24"/>
        </w:rPr>
        <w:t xml:space="preserve">     </w:t>
      </w:r>
      <w:r>
        <w:rPr>
          <w:rFonts w:ascii="Times New Roman" w:eastAsia="Times New Roman" w:hAnsi="Times New Roman" w:cs="Times New Roman"/>
          <w:b/>
          <w:i/>
          <w:sz w:val="24"/>
          <w:szCs w:val="24"/>
        </w:rPr>
        <w:t>Child Soldiers, Coercive Environment</w:t>
      </w:r>
      <w:r w:rsidR="00C42A22">
        <w:rPr>
          <w:rFonts w:ascii="Times New Roman" w:eastAsia="Times New Roman" w:hAnsi="Times New Roman" w:cs="Times New Roman"/>
          <w:b/>
          <w:i/>
          <w:sz w:val="24"/>
          <w:szCs w:val="24"/>
        </w:rPr>
        <w:t>s</w:t>
      </w:r>
      <w:r>
        <w:rPr>
          <w:rFonts w:ascii="Times New Roman" w:eastAsia="Times New Roman" w:hAnsi="Times New Roman" w:cs="Times New Roman"/>
          <w:b/>
          <w:i/>
          <w:sz w:val="24"/>
          <w:szCs w:val="24"/>
        </w:rPr>
        <w:t xml:space="preserve"> and Ongwen, the ‘Child’ Soldier </w:t>
      </w:r>
    </w:p>
    <w:p w14:paraId="65128651" w14:textId="363BB72D" w:rsidR="00B32260" w:rsidRDefault="00190020" w:rsidP="004F3B74">
      <w:pPr>
        <w:tabs>
          <w:tab w:val="left" w:pos="357"/>
        </w:tabs>
        <w:spacing w:line="480" w:lineRule="auto"/>
        <w:jc w:val="both"/>
        <w:rPr>
          <w:rFonts w:ascii="Times New Roman" w:eastAsia="Times New Roman" w:hAnsi="Times New Roman" w:cs="Times New Roman"/>
          <w:sz w:val="24"/>
          <w:szCs w:val="24"/>
          <w:vertAlign w:val="superscript"/>
        </w:rPr>
      </w:pPr>
      <w:r>
        <w:rPr>
          <w:rFonts w:ascii="Times New Roman" w:eastAsia="Times New Roman" w:hAnsi="Times New Roman" w:cs="Times New Roman"/>
          <w:sz w:val="24"/>
          <w:szCs w:val="24"/>
        </w:rPr>
        <w:lastRenderedPageBreak/>
        <w:t xml:space="preserve">Child soldiers live in a coercive environment from the moment they enter the group until they leave it. </w:t>
      </w:r>
      <w:bookmarkStart w:id="0" w:name="_Hlk138495852"/>
      <w:r>
        <w:rPr>
          <w:rFonts w:ascii="Times New Roman" w:eastAsia="Times New Roman" w:hAnsi="Times New Roman" w:cs="Times New Roman"/>
          <w:sz w:val="24"/>
          <w:szCs w:val="24"/>
        </w:rPr>
        <w:t xml:space="preserve">The ICC has recognised this situation in relation to child soldiers as victims. </w:t>
      </w:r>
      <w:bookmarkEnd w:id="0"/>
      <w:r>
        <w:rPr>
          <w:rFonts w:ascii="Times New Roman" w:eastAsia="Times New Roman" w:hAnsi="Times New Roman" w:cs="Times New Roman"/>
          <w:sz w:val="24"/>
          <w:szCs w:val="24"/>
        </w:rPr>
        <w:t>Their experience remains extremely traumatic and violent.</w:t>
      </w:r>
      <w:r>
        <w:rPr>
          <w:rFonts w:ascii="Times New Roman" w:eastAsia="Times New Roman" w:hAnsi="Times New Roman" w:cs="Times New Roman"/>
          <w:sz w:val="24"/>
          <w:szCs w:val="24"/>
          <w:vertAlign w:val="superscript"/>
        </w:rPr>
        <w:footnoteReference w:id="8"/>
      </w:r>
      <w:r>
        <w:rPr>
          <w:rFonts w:ascii="Times New Roman" w:eastAsia="Times New Roman" w:hAnsi="Times New Roman" w:cs="Times New Roman"/>
          <w:sz w:val="24"/>
          <w:szCs w:val="24"/>
        </w:rPr>
        <w:t xml:space="preserve"> Besides, ‘the … serious trauma that can accompany recruitment including separating children from their families, interrupting or disrupting their schooling and exposing them to an environment of violence and fear,’</w:t>
      </w:r>
      <w:r>
        <w:rPr>
          <w:rFonts w:ascii="Times New Roman" w:eastAsia="Times New Roman" w:hAnsi="Times New Roman" w:cs="Times New Roman"/>
          <w:sz w:val="24"/>
          <w:szCs w:val="24"/>
          <w:vertAlign w:val="superscript"/>
        </w:rPr>
        <w:footnoteReference w:id="9"/>
      </w:r>
      <w:r>
        <w:rPr>
          <w:rFonts w:ascii="Times New Roman" w:eastAsia="Times New Roman" w:hAnsi="Times New Roman" w:cs="Times New Roman"/>
          <w:sz w:val="24"/>
          <w:szCs w:val="24"/>
        </w:rPr>
        <w:t xml:space="preserve"> children are confronted with physical and mental violence. First, they are threatened that they will be killed</w:t>
      </w:r>
      <w:r w:rsidR="00C42A22" w:rsidRPr="00C42A22">
        <w:rPr>
          <w:rFonts w:ascii="Times New Roman" w:eastAsia="Times New Roman" w:hAnsi="Times New Roman" w:cs="Times New Roman"/>
          <w:sz w:val="24"/>
          <w:szCs w:val="24"/>
        </w:rPr>
        <w:t xml:space="preserve"> </w:t>
      </w:r>
      <w:r w:rsidR="00C42A22">
        <w:rPr>
          <w:rFonts w:ascii="Times New Roman" w:eastAsia="Times New Roman" w:hAnsi="Times New Roman" w:cs="Times New Roman"/>
          <w:sz w:val="24"/>
          <w:szCs w:val="24"/>
        </w:rPr>
        <w:t>if they try to flee</w:t>
      </w:r>
      <w:r>
        <w:rPr>
          <w:rFonts w:ascii="Times New Roman" w:eastAsia="Times New Roman" w:hAnsi="Times New Roman" w:cs="Times New Roman"/>
          <w:sz w:val="24"/>
          <w:szCs w:val="24"/>
        </w:rPr>
        <w:t>,</w:t>
      </w:r>
      <w:r>
        <w:rPr>
          <w:rFonts w:ascii="Times New Roman" w:eastAsia="Times New Roman" w:hAnsi="Times New Roman" w:cs="Times New Roman"/>
          <w:sz w:val="24"/>
          <w:szCs w:val="24"/>
          <w:vertAlign w:val="superscript"/>
        </w:rPr>
        <w:footnoteReference w:id="10"/>
      </w:r>
      <w:r>
        <w:rPr>
          <w:rFonts w:ascii="Times New Roman" w:eastAsia="Times New Roman" w:hAnsi="Times New Roman" w:cs="Times New Roman"/>
          <w:sz w:val="24"/>
          <w:szCs w:val="24"/>
        </w:rPr>
        <w:t xml:space="preserve"> and such threats are executed.</w:t>
      </w:r>
      <w:r>
        <w:rPr>
          <w:rFonts w:ascii="Times New Roman" w:eastAsia="Times New Roman" w:hAnsi="Times New Roman" w:cs="Times New Roman"/>
          <w:sz w:val="24"/>
          <w:szCs w:val="24"/>
          <w:vertAlign w:val="superscript"/>
        </w:rPr>
        <w:footnoteReference w:id="11"/>
      </w:r>
      <w:r>
        <w:rPr>
          <w:rFonts w:ascii="Times New Roman" w:eastAsia="Times New Roman" w:hAnsi="Times New Roman" w:cs="Times New Roman"/>
          <w:sz w:val="24"/>
          <w:szCs w:val="24"/>
          <w:vertAlign w:val="superscript"/>
        </w:rPr>
        <w:t xml:space="preserve"> </w:t>
      </w:r>
    </w:p>
    <w:p w14:paraId="65128652" w14:textId="6206F9D6"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Second, military training is carried out brutally. The Prosecution in </w:t>
      </w:r>
      <w:r w:rsidR="00190020">
        <w:rPr>
          <w:rFonts w:ascii="Times New Roman" w:eastAsia="Times New Roman" w:hAnsi="Times New Roman" w:cs="Times New Roman"/>
          <w:i/>
          <w:sz w:val="24"/>
          <w:szCs w:val="24"/>
        </w:rPr>
        <w:t xml:space="preserve">Lubanga </w:t>
      </w:r>
      <w:r w:rsidR="00190020">
        <w:rPr>
          <w:rFonts w:ascii="Times New Roman" w:eastAsia="Times New Roman" w:hAnsi="Times New Roman" w:cs="Times New Roman"/>
          <w:sz w:val="24"/>
          <w:szCs w:val="24"/>
        </w:rPr>
        <w:t>explained that children ‘were beaten, whipped, imprisoned and inadequately fed, and young girls were raped.’</w:t>
      </w:r>
      <w:r w:rsidR="00190020">
        <w:rPr>
          <w:rFonts w:ascii="Times New Roman" w:eastAsia="Times New Roman" w:hAnsi="Times New Roman" w:cs="Times New Roman"/>
          <w:sz w:val="24"/>
          <w:szCs w:val="24"/>
          <w:vertAlign w:val="superscript"/>
        </w:rPr>
        <w:footnoteReference w:id="12"/>
      </w:r>
      <w:r w:rsidR="00190020">
        <w:rPr>
          <w:rFonts w:ascii="Times New Roman" w:eastAsia="Times New Roman" w:hAnsi="Times New Roman" w:cs="Times New Roman"/>
          <w:sz w:val="24"/>
          <w:szCs w:val="24"/>
        </w:rPr>
        <w:t xml:space="preserve"> If they disobey orders, they are punished,</w:t>
      </w:r>
      <w:r w:rsidR="00190020">
        <w:rPr>
          <w:rFonts w:ascii="Times New Roman" w:eastAsia="Times New Roman" w:hAnsi="Times New Roman" w:cs="Times New Roman"/>
          <w:sz w:val="24"/>
          <w:szCs w:val="24"/>
          <w:vertAlign w:val="superscript"/>
        </w:rPr>
        <w:footnoteReference w:id="13"/>
      </w:r>
      <w:r w:rsidR="00190020">
        <w:rPr>
          <w:rFonts w:ascii="Times New Roman" w:eastAsia="Times New Roman" w:hAnsi="Times New Roman" w:cs="Times New Roman"/>
          <w:sz w:val="24"/>
          <w:szCs w:val="24"/>
        </w:rPr>
        <w:t xml:space="preserve"> beaten,</w:t>
      </w:r>
      <w:r w:rsidR="00190020">
        <w:rPr>
          <w:rFonts w:ascii="Times New Roman" w:eastAsia="Times New Roman" w:hAnsi="Times New Roman" w:cs="Times New Roman"/>
          <w:sz w:val="24"/>
          <w:szCs w:val="24"/>
          <w:vertAlign w:val="superscript"/>
        </w:rPr>
        <w:footnoteReference w:id="14"/>
      </w:r>
      <w:r w:rsidR="00190020">
        <w:rPr>
          <w:rFonts w:ascii="Times New Roman" w:eastAsia="Times New Roman" w:hAnsi="Times New Roman" w:cs="Times New Roman"/>
          <w:sz w:val="24"/>
          <w:szCs w:val="24"/>
        </w:rPr>
        <w:t xml:space="preserve"> and violence is exercised in full view of others</w:t>
      </w:r>
      <w:r w:rsidR="00190020">
        <w:rPr>
          <w:rFonts w:ascii="Times New Roman" w:eastAsia="Times New Roman" w:hAnsi="Times New Roman" w:cs="Times New Roman"/>
          <w:sz w:val="24"/>
          <w:szCs w:val="24"/>
          <w:vertAlign w:val="superscript"/>
        </w:rPr>
        <w:footnoteReference w:id="15"/>
      </w:r>
      <w:r w:rsidR="00190020">
        <w:rPr>
          <w:rFonts w:ascii="Times New Roman" w:eastAsia="Times New Roman" w:hAnsi="Times New Roman" w:cs="Times New Roman"/>
          <w:sz w:val="24"/>
          <w:szCs w:val="24"/>
        </w:rPr>
        <w:t xml:space="preserve"> for deterrence purposes. In </w:t>
      </w:r>
      <w:r w:rsidR="00190020">
        <w:rPr>
          <w:rFonts w:ascii="Times New Roman" w:eastAsia="Times New Roman" w:hAnsi="Times New Roman" w:cs="Times New Roman"/>
          <w:i/>
          <w:sz w:val="24"/>
          <w:szCs w:val="24"/>
        </w:rPr>
        <w:t>Ntaganda</w:t>
      </w:r>
      <w:r w:rsidR="00190020">
        <w:rPr>
          <w:rFonts w:ascii="Times New Roman" w:eastAsia="Times New Roman" w:hAnsi="Times New Roman" w:cs="Times New Roman"/>
          <w:sz w:val="24"/>
          <w:szCs w:val="24"/>
        </w:rPr>
        <w:t xml:space="preserve">, the ICC refers to the acts committed in the training camps for child (and other) soldiers as ‘acts … alleged to have been committed in the </w:t>
      </w:r>
      <w:r w:rsidR="00190020">
        <w:rPr>
          <w:rFonts w:ascii="Times New Roman" w:eastAsia="Times New Roman" w:hAnsi="Times New Roman" w:cs="Times New Roman"/>
          <w:i/>
          <w:sz w:val="24"/>
          <w:szCs w:val="24"/>
        </w:rPr>
        <w:t>institutionalised coercive environment</w:t>
      </w:r>
      <w:r w:rsidR="00190020">
        <w:rPr>
          <w:rFonts w:ascii="Times New Roman" w:eastAsia="Times New Roman" w:hAnsi="Times New Roman" w:cs="Times New Roman"/>
          <w:sz w:val="24"/>
          <w:szCs w:val="24"/>
        </w:rPr>
        <w:t xml:space="preserve"> of the UPC/FPLC’.</w:t>
      </w:r>
      <w:r w:rsidR="00190020">
        <w:rPr>
          <w:rFonts w:ascii="Times New Roman" w:eastAsia="Times New Roman" w:hAnsi="Times New Roman" w:cs="Times New Roman"/>
          <w:sz w:val="24"/>
          <w:szCs w:val="24"/>
          <w:vertAlign w:val="superscript"/>
        </w:rPr>
        <w:footnoteReference w:id="16"/>
      </w:r>
      <w:r w:rsidR="00190020">
        <w:rPr>
          <w:rFonts w:ascii="Times New Roman" w:eastAsia="Times New Roman" w:hAnsi="Times New Roman" w:cs="Times New Roman"/>
          <w:sz w:val="24"/>
          <w:szCs w:val="24"/>
        </w:rPr>
        <w:t xml:space="preserve"> The Court adds that ‘with regard specifically to these children, Mr Ntaganda [and commanders] … were taking advantage of the </w:t>
      </w:r>
      <w:r w:rsidR="00190020">
        <w:rPr>
          <w:rFonts w:ascii="Times New Roman" w:eastAsia="Times New Roman" w:hAnsi="Times New Roman" w:cs="Times New Roman"/>
          <w:i/>
          <w:sz w:val="24"/>
          <w:szCs w:val="24"/>
        </w:rPr>
        <w:t>coercive environment</w:t>
      </w:r>
      <w:r w:rsidR="00190020">
        <w:rPr>
          <w:rFonts w:ascii="Times New Roman" w:eastAsia="Times New Roman" w:hAnsi="Times New Roman" w:cs="Times New Roman"/>
          <w:sz w:val="24"/>
          <w:szCs w:val="24"/>
        </w:rPr>
        <w:t xml:space="preserve"> in which they were at the time.’</w:t>
      </w:r>
      <w:r w:rsidR="00190020">
        <w:rPr>
          <w:rFonts w:ascii="Times New Roman" w:eastAsia="Times New Roman" w:hAnsi="Times New Roman" w:cs="Times New Roman"/>
          <w:sz w:val="24"/>
          <w:szCs w:val="24"/>
          <w:vertAlign w:val="superscript"/>
        </w:rPr>
        <w:footnoteReference w:id="17"/>
      </w:r>
      <w:r w:rsidR="00190020">
        <w:rPr>
          <w:rFonts w:ascii="Times New Roman" w:eastAsia="Times New Roman" w:hAnsi="Times New Roman" w:cs="Times New Roman"/>
          <w:sz w:val="24"/>
          <w:szCs w:val="24"/>
        </w:rPr>
        <w:t xml:space="preserve"> Although this statement is limited to a specific context, the conditions described in the camps in </w:t>
      </w:r>
      <w:r w:rsidR="00190020">
        <w:rPr>
          <w:rFonts w:ascii="Times New Roman" w:eastAsia="Times New Roman" w:hAnsi="Times New Roman" w:cs="Times New Roman"/>
          <w:i/>
          <w:sz w:val="24"/>
          <w:szCs w:val="24"/>
        </w:rPr>
        <w:t xml:space="preserve">Ntaganda </w:t>
      </w:r>
      <w:r w:rsidR="00190020">
        <w:rPr>
          <w:rFonts w:ascii="Times New Roman" w:eastAsia="Times New Roman" w:hAnsi="Times New Roman" w:cs="Times New Roman"/>
          <w:sz w:val="24"/>
          <w:szCs w:val="24"/>
        </w:rPr>
        <w:t xml:space="preserve">are typical of those to which child soldiers are subjected. The Prosecution in </w:t>
      </w:r>
      <w:r w:rsidR="00190020">
        <w:rPr>
          <w:rFonts w:ascii="Times New Roman" w:eastAsia="Times New Roman" w:hAnsi="Times New Roman" w:cs="Times New Roman"/>
          <w:i/>
          <w:sz w:val="24"/>
          <w:szCs w:val="24"/>
        </w:rPr>
        <w:lastRenderedPageBreak/>
        <w:t xml:space="preserve">Lubanga </w:t>
      </w:r>
      <w:r w:rsidR="00190020">
        <w:rPr>
          <w:rFonts w:ascii="Times New Roman" w:eastAsia="Times New Roman" w:hAnsi="Times New Roman" w:cs="Times New Roman"/>
          <w:sz w:val="24"/>
          <w:szCs w:val="24"/>
        </w:rPr>
        <w:t>acknowledged the existence of this coercive environment, referring to the omnipresent ‘environment of terror’.</w:t>
      </w:r>
      <w:r w:rsidR="00190020">
        <w:rPr>
          <w:rFonts w:ascii="Times New Roman" w:eastAsia="Times New Roman" w:hAnsi="Times New Roman" w:cs="Times New Roman"/>
          <w:sz w:val="24"/>
          <w:szCs w:val="24"/>
          <w:vertAlign w:val="superscript"/>
        </w:rPr>
        <w:footnoteReference w:id="18"/>
      </w:r>
      <w:r w:rsidR="00190020">
        <w:rPr>
          <w:rFonts w:ascii="Times New Roman" w:eastAsia="Times New Roman" w:hAnsi="Times New Roman" w:cs="Times New Roman"/>
          <w:sz w:val="24"/>
          <w:szCs w:val="24"/>
        </w:rPr>
        <w:t xml:space="preserve"> ‘The children were terrorised’, said Chief Prosecutor Moreno-Ocampo in his opening statement of the </w:t>
      </w:r>
      <w:r w:rsidR="00190020">
        <w:rPr>
          <w:rFonts w:ascii="Times New Roman" w:eastAsia="Times New Roman" w:hAnsi="Times New Roman" w:cs="Times New Roman"/>
          <w:i/>
          <w:sz w:val="24"/>
          <w:szCs w:val="24"/>
        </w:rPr>
        <w:t xml:space="preserve">Lubanga </w:t>
      </w:r>
      <w:r w:rsidR="00190020">
        <w:rPr>
          <w:rFonts w:ascii="Times New Roman" w:eastAsia="Times New Roman" w:hAnsi="Times New Roman" w:cs="Times New Roman"/>
          <w:sz w:val="24"/>
          <w:szCs w:val="24"/>
        </w:rPr>
        <w:t>trial.</w:t>
      </w:r>
      <w:r w:rsidR="00190020">
        <w:rPr>
          <w:rFonts w:ascii="Times New Roman" w:eastAsia="Times New Roman" w:hAnsi="Times New Roman" w:cs="Times New Roman"/>
          <w:sz w:val="24"/>
          <w:szCs w:val="24"/>
          <w:vertAlign w:val="superscript"/>
        </w:rPr>
        <w:footnoteReference w:id="19"/>
      </w:r>
    </w:p>
    <w:p w14:paraId="65128653" w14:textId="40AB67ED"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Third, their young age and underdeveloped morality make them susceptible to indoctrination and other psychological abuse aimed at turning them into killers.</w:t>
      </w:r>
      <w:r w:rsidR="00190020">
        <w:rPr>
          <w:rFonts w:ascii="Times New Roman" w:eastAsia="Times New Roman" w:hAnsi="Times New Roman" w:cs="Times New Roman"/>
          <w:sz w:val="24"/>
          <w:szCs w:val="24"/>
          <w:vertAlign w:val="superscript"/>
        </w:rPr>
        <w:footnoteReference w:id="20"/>
      </w:r>
      <w:r w:rsidR="00190020">
        <w:rPr>
          <w:rFonts w:ascii="Times New Roman" w:eastAsia="Times New Roman" w:hAnsi="Times New Roman" w:cs="Times New Roman"/>
          <w:sz w:val="24"/>
          <w:szCs w:val="24"/>
          <w:vertAlign w:val="superscript"/>
        </w:rPr>
        <w:t xml:space="preserve"> </w:t>
      </w:r>
      <w:r w:rsidR="00190020">
        <w:rPr>
          <w:rFonts w:ascii="Times New Roman" w:eastAsia="Times New Roman" w:hAnsi="Times New Roman" w:cs="Times New Roman"/>
          <w:sz w:val="24"/>
          <w:szCs w:val="24"/>
        </w:rPr>
        <w:t xml:space="preserve">In </w:t>
      </w:r>
      <w:r w:rsidR="00190020">
        <w:rPr>
          <w:rFonts w:ascii="Times New Roman" w:eastAsia="Times New Roman" w:hAnsi="Times New Roman" w:cs="Times New Roman"/>
          <w:i/>
          <w:sz w:val="24"/>
          <w:szCs w:val="24"/>
        </w:rPr>
        <w:t>Ntaganda</w:t>
      </w:r>
      <w:r w:rsidR="00190020">
        <w:rPr>
          <w:rFonts w:ascii="Times New Roman" w:eastAsia="Times New Roman" w:hAnsi="Times New Roman" w:cs="Times New Roman"/>
          <w:sz w:val="24"/>
          <w:szCs w:val="24"/>
        </w:rPr>
        <w:t>, the ICC found that child soldiers, as ‘vulnerable soldiers were subjected to conditions of living and training which could only have the impact of increasing their vulnerability and making them even more docile and submissive to their commanders.’</w:t>
      </w:r>
      <w:r w:rsidR="00190020">
        <w:rPr>
          <w:rFonts w:ascii="Times New Roman" w:eastAsia="Times New Roman" w:hAnsi="Times New Roman" w:cs="Times New Roman"/>
          <w:sz w:val="24"/>
          <w:szCs w:val="24"/>
          <w:vertAlign w:val="superscript"/>
        </w:rPr>
        <w:footnoteReference w:id="21"/>
      </w:r>
      <w:r w:rsidR="00190020">
        <w:rPr>
          <w:rFonts w:ascii="Times New Roman" w:eastAsia="Times New Roman" w:hAnsi="Times New Roman" w:cs="Times New Roman"/>
          <w:sz w:val="24"/>
          <w:szCs w:val="24"/>
        </w:rPr>
        <w:t xml:space="preserve"> It observed that such ‘conditions of living, training and service’ ‘were, beyond reasonable doubt, of such a nature that the soldiers reliably acted in complete obedience in the execution of orders’, further adding that ‘the will of the individual soldiers was irrelevant for the execution of a given order.’</w:t>
      </w:r>
      <w:r w:rsidR="00190020">
        <w:rPr>
          <w:rFonts w:ascii="Times New Roman" w:eastAsia="Times New Roman" w:hAnsi="Times New Roman" w:cs="Times New Roman"/>
          <w:sz w:val="24"/>
          <w:szCs w:val="24"/>
          <w:vertAlign w:val="superscript"/>
        </w:rPr>
        <w:footnoteReference w:id="22"/>
      </w:r>
      <w:r w:rsidR="00190020">
        <w:rPr>
          <w:rFonts w:ascii="Times New Roman" w:eastAsia="Times New Roman" w:hAnsi="Times New Roman" w:cs="Times New Roman"/>
          <w:sz w:val="24"/>
          <w:szCs w:val="24"/>
        </w:rPr>
        <w:t xml:space="preserve"> Even, if they do not adhere to the values of the group, they see no choice but to comply.</w:t>
      </w:r>
      <w:r w:rsidR="00190020">
        <w:rPr>
          <w:rFonts w:ascii="Times New Roman" w:eastAsia="Times New Roman" w:hAnsi="Times New Roman" w:cs="Times New Roman"/>
          <w:sz w:val="24"/>
          <w:szCs w:val="24"/>
          <w:vertAlign w:val="superscript"/>
        </w:rPr>
        <w:footnoteReference w:id="23"/>
      </w:r>
      <w:r w:rsidR="00190020">
        <w:rPr>
          <w:rFonts w:ascii="Times New Roman" w:eastAsia="Times New Roman" w:hAnsi="Times New Roman" w:cs="Times New Roman"/>
          <w:sz w:val="24"/>
          <w:szCs w:val="24"/>
        </w:rPr>
        <w:t xml:space="preserve"> Research reveals that child soldiering does not destroy </w:t>
      </w:r>
      <w:r w:rsidR="00190020">
        <w:rPr>
          <w:rFonts w:ascii="Times New Roman" w:eastAsia="Times New Roman" w:hAnsi="Times New Roman" w:cs="Times New Roman"/>
          <w:i/>
          <w:sz w:val="24"/>
          <w:szCs w:val="24"/>
        </w:rPr>
        <w:t xml:space="preserve">per se </w:t>
      </w:r>
      <w:r w:rsidR="00190020">
        <w:rPr>
          <w:rFonts w:ascii="Times New Roman" w:eastAsia="Times New Roman" w:hAnsi="Times New Roman" w:cs="Times New Roman"/>
          <w:sz w:val="24"/>
          <w:szCs w:val="24"/>
        </w:rPr>
        <w:t>the capacities of moral agency, but creates considerable risks of harm to moral development in the sense that child soldiers apply moral concepts in a problematic way, i.e. consistent with the values and the notions of right and wrong as known in the group.</w:t>
      </w:r>
      <w:r w:rsidR="00190020">
        <w:rPr>
          <w:rFonts w:ascii="Times New Roman" w:eastAsia="Times New Roman" w:hAnsi="Times New Roman" w:cs="Times New Roman"/>
          <w:sz w:val="24"/>
          <w:szCs w:val="24"/>
          <w:vertAlign w:val="superscript"/>
        </w:rPr>
        <w:footnoteReference w:id="24"/>
      </w:r>
      <w:r w:rsidR="00190020">
        <w:rPr>
          <w:rFonts w:ascii="Times New Roman" w:eastAsia="Times New Roman" w:hAnsi="Times New Roman" w:cs="Times New Roman"/>
          <w:sz w:val="24"/>
          <w:szCs w:val="24"/>
        </w:rPr>
        <w:t xml:space="preserve"> </w:t>
      </w:r>
    </w:p>
    <w:p w14:paraId="65128654" w14:textId="51D0EC25"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sidR="00190020">
        <w:rPr>
          <w:rFonts w:ascii="Times New Roman" w:eastAsia="Times New Roman" w:hAnsi="Times New Roman" w:cs="Times New Roman"/>
          <w:sz w:val="24"/>
          <w:szCs w:val="24"/>
        </w:rPr>
        <w:t>Fourth, violence becomes normal, child soldiers being ‘empty vessels into which the capacity for violence has been poured’</w:t>
      </w:r>
      <w:r w:rsidR="00190020">
        <w:rPr>
          <w:rFonts w:ascii="Times New Roman" w:eastAsia="Times New Roman" w:hAnsi="Times New Roman" w:cs="Times New Roman"/>
          <w:sz w:val="24"/>
          <w:szCs w:val="24"/>
          <w:vertAlign w:val="superscript"/>
        </w:rPr>
        <w:footnoteReference w:id="25"/>
      </w:r>
      <w:r w:rsidR="00190020">
        <w:rPr>
          <w:rFonts w:ascii="Times New Roman" w:eastAsia="Times New Roman" w:hAnsi="Times New Roman" w:cs="Times New Roman"/>
          <w:sz w:val="24"/>
          <w:szCs w:val="24"/>
        </w:rPr>
        <w:t xml:space="preserve"> and they, willingly, partake in the commission of crimes.</w:t>
      </w:r>
      <w:r w:rsidR="00190020">
        <w:rPr>
          <w:rFonts w:ascii="Times New Roman" w:eastAsia="Times New Roman" w:hAnsi="Times New Roman" w:cs="Times New Roman"/>
          <w:sz w:val="24"/>
          <w:szCs w:val="24"/>
          <w:vertAlign w:val="superscript"/>
        </w:rPr>
        <w:footnoteReference w:id="26"/>
      </w:r>
      <w:r w:rsidR="00190020">
        <w:rPr>
          <w:rFonts w:ascii="Times New Roman" w:eastAsia="Times New Roman" w:hAnsi="Times New Roman" w:cs="Times New Roman"/>
          <w:sz w:val="24"/>
          <w:szCs w:val="24"/>
        </w:rPr>
        <w:t xml:space="preserve"> </w:t>
      </w:r>
    </w:p>
    <w:p w14:paraId="65128655" w14:textId="0ABEB921" w:rsidR="00B32260" w:rsidRDefault="004F3B74" w:rsidP="004F3B74">
      <w:pPr>
        <w:tabs>
          <w:tab w:val="left" w:pos="357"/>
        </w:tabs>
        <w:spacing w:line="48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Ongwen was brutally abducted on his way to school in 1987 when he was nine years old.</w:t>
      </w:r>
      <w:r w:rsidR="00190020">
        <w:rPr>
          <w:rFonts w:ascii="Times New Roman" w:eastAsia="Times New Roman" w:hAnsi="Times New Roman" w:cs="Times New Roman"/>
          <w:sz w:val="24"/>
          <w:szCs w:val="24"/>
          <w:vertAlign w:val="superscript"/>
        </w:rPr>
        <w:footnoteReference w:id="27"/>
      </w:r>
      <w:r w:rsidR="00190020">
        <w:rPr>
          <w:rFonts w:ascii="Times New Roman" w:eastAsia="Times New Roman" w:hAnsi="Times New Roman" w:cs="Times New Roman"/>
          <w:sz w:val="24"/>
          <w:szCs w:val="24"/>
        </w:rPr>
        <w:t xml:space="preserve"> During the first four days of his abduction, he was initiated, taught how to assemble and fire a gun and witnessed the killing of recaptured escapees.</w:t>
      </w:r>
      <w:r w:rsidR="00190020">
        <w:rPr>
          <w:rFonts w:ascii="Times New Roman" w:eastAsia="Times New Roman" w:hAnsi="Times New Roman" w:cs="Times New Roman"/>
          <w:sz w:val="24"/>
          <w:szCs w:val="24"/>
          <w:vertAlign w:val="superscript"/>
        </w:rPr>
        <w:footnoteReference w:id="28"/>
      </w:r>
      <w:r w:rsidR="00190020">
        <w:rPr>
          <w:rFonts w:ascii="Times New Roman" w:eastAsia="Times New Roman" w:hAnsi="Times New Roman" w:cs="Times New Roman"/>
          <w:sz w:val="24"/>
          <w:szCs w:val="24"/>
          <w:vertAlign w:val="superscript"/>
        </w:rPr>
        <w:t xml:space="preserve"> </w:t>
      </w:r>
      <w:r w:rsidR="00190020">
        <w:rPr>
          <w:rFonts w:ascii="Times New Roman" w:eastAsia="Times New Roman" w:hAnsi="Times New Roman" w:cs="Times New Roman"/>
          <w:sz w:val="24"/>
          <w:szCs w:val="24"/>
        </w:rPr>
        <w:t>LRA members were forced to obey the rules, as they were placed in constant surveillance, and closely monitored, making it hard to escape.</w:t>
      </w:r>
      <w:r w:rsidR="00190020">
        <w:rPr>
          <w:rFonts w:ascii="Times New Roman" w:eastAsia="Times New Roman" w:hAnsi="Times New Roman" w:cs="Times New Roman"/>
          <w:sz w:val="24"/>
          <w:szCs w:val="24"/>
          <w:vertAlign w:val="superscript"/>
        </w:rPr>
        <w:footnoteReference w:id="29"/>
      </w:r>
      <w:r w:rsidR="00190020">
        <w:rPr>
          <w:rFonts w:ascii="Times New Roman" w:eastAsia="Times New Roman" w:hAnsi="Times New Roman" w:cs="Times New Roman"/>
          <w:sz w:val="24"/>
          <w:szCs w:val="24"/>
        </w:rPr>
        <w:t xml:space="preserve"> Ongwen felt permanently watched.</w:t>
      </w:r>
      <w:r w:rsidR="00190020">
        <w:rPr>
          <w:rFonts w:ascii="Times New Roman" w:eastAsia="Times New Roman" w:hAnsi="Times New Roman" w:cs="Times New Roman"/>
          <w:sz w:val="24"/>
          <w:szCs w:val="24"/>
          <w:vertAlign w:val="superscript"/>
        </w:rPr>
        <w:footnoteReference w:id="30"/>
      </w:r>
      <w:r w:rsidR="00190020">
        <w:rPr>
          <w:rFonts w:ascii="Times New Roman" w:eastAsia="Times New Roman" w:hAnsi="Times New Roman" w:cs="Times New Roman"/>
          <w:sz w:val="24"/>
          <w:szCs w:val="24"/>
        </w:rPr>
        <w:t xml:space="preserve"> The ICC avowed </w:t>
      </w:r>
      <w:r w:rsidR="00EF0D1C">
        <w:rPr>
          <w:rFonts w:ascii="Times New Roman" w:eastAsia="Times New Roman" w:hAnsi="Times New Roman" w:cs="Times New Roman"/>
          <w:sz w:val="24"/>
          <w:szCs w:val="24"/>
        </w:rPr>
        <w:t xml:space="preserve">that </w:t>
      </w:r>
      <w:r w:rsidR="00190020">
        <w:rPr>
          <w:rFonts w:ascii="Times New Roman" w:eastAsia="Times New Roman" w:hAnsi="Times New Roman" w:cs="Times New Roman"/>
          <w:sz w:val="24"/>
          <w:szCs w:val="24"/>
        </w:rPr>
        <w:t>the LRA adopted ‘a disciplinary system to ensure compliance, and it noted that its effect was heightened by the living conditions to which its members were subjected.’</w:t>
      </w:r>
      <w:r w:rsidR="00190020">
        <w:rPr>
          <w:rFonts w:ascii="Times New Roman" w:eastAsia="Times New Roman" w:hAnsi="Times New Roman" w:cs="Times New Roman"/>
          <w:sz w:val="24"/>
          <w:szCs w:val="24"/>
          <w:vertAlign w:val="superscript"/>
        </w:rPr>
        <w:footnoteReference w:id="31"/>
      </w:r>
      <w:r w:rsidR="00190020">
        <w:rPr>
          <w:rFonts w:ascii="Times New Roman" w:eastAsia="Times New Roman" w:hAnsi="Times New Roman" w:cs="Times New Roman"/>
          <w:sz w:val="24"/>
          <w:szCs w:val="24"/>
        </w:rPr>
        <w:t xml:space="preserve"> This compounded the suffering and emotional strain Ongwen was under owing to living in a coercive environment based on apprehension and constant fear making him susceptible to the authority of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who was able to control him.</w:t>
      </w:r>
      <w:r w:rsidR="00190020">
        <w:rPr>
          <w:rFonts w:ascii="Times New Roman" w:eastAsia="Times New Roman" w:hAnsi="Times New Roman" w:cs="Times New Roman"/>
          <w:sz w:val="24"/>
          <w:szCs w:val="24"/>
          <w:vertAlign w:val="superscript"/>
        </w:rPr>
        <w:footnoteReference w:id="32"/>
      </w:r>
      <w:r w:rsidR="00190020">
        <w:rPr>
          <w:rFonts w:ascii="Times New Roman" w:eastAsia="Times New Roman" w:hAnsi="Times New Roman" w:cs="Times New Roman"/>
          <w:sz w:val="24"/>
          <w:szCs w:val="24"/>
        </w:rPr>
        <w:t xml:space="preserve"> The Defence argued that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created a coercive environment where survival depended on following the rules of the LRA.</w:t>
      </w:r>
      <w:r w:rsidR="00190020">
        <w:rPr>
          <w:rFonts w:ascii="Times New Roman" w:eastAsia="Times New Roman" w:hAnsi="Times New Roman" w:cs="Times New Roman"/>
          <w:sz w:val="24"/>
          <w:szCs w:val="24"/>
          <w:vertAlign w:val="superscript"/>
        </w:rPr>
        <w:footnoteReference w:id="33"/>
      </w:r>
      <w:r w:rsidR="00190020">
        <w:rPr>
          <w:rFonts w:ascii="Times New Roman" w:eastAsia="Times New Roman" w:hAnsi="Times New Roman" w:cs="Times New Roman"/>
          <w:sz w:val="24"/>
          <w:szCs w:val="24"/>
        </w:rPr>
        <w:t xml:space="preserve"> Moreover, indoctrination and constant death threats for disobeying the rules created a coercive environment in which any pre-LRA teachings were suppressed.</w:t>
      </w:r>
      <w:r w:rsidR="00190020">
        <w:rPr>
          <w:rFonts w:ascii="Times New Roman" w:eastAsia="Times New Roman" w:hAnsi="Times New Roman" w:cs="Times New Roman"/>
          <w:sz w:val="24"/>
          <w:szCs w:val="24"/>
          <w:vertAlign w:val="superscript"/>
        </w:rPr>
        <w:footnoteReference w:id="34"/>
      </w:r>
      <w:r w:rsidR="00190020">
        <w:rPr>
          <w:rFonts w:ascii="Times New Roman" w:eastAsia="Times New Roman" w:hAnsi="Times New Roman" w:cs="Times New Roman"/>
          <w:sz w:val="24"/>
          <w:szCs w:val="24"/>
        </w:rPr>
        <w:t xml:space="preserve"> This type of abuse </w:t>
      </w:r>
      <w:r w:rsidR="00190020">
        <w:rPr>
          <w:rFonts w:ascii="Times New Roman" w:eastAsia="Times New Roman" w:hAnsi="Times New Roman" w:cs="Times New Roman"/>
          <w:sz w:val="24"/>
          <w:szCs w:val="24"/>
        </w:rPr>
        <w:lastRenderedPageBreak/>
        <w:t>was compounded by the ‘use of witchcraft to intimidate recruits and to magnify perception of the group’s power throughout the indoctrination process.’</w:t>
      </w:r>
      <w:r w:rsidR="00190020">
        <w:rPr>
          <w:rFonts w:ascii="Times New Roman" w:eastAsia="Times New Roman" w:hAnsi="Times New Roman" w:cs="Times New Roman"/>
          <w:sz w:val="24"/>
          <w:szCs w:val="24"/>
          <w:vertAlign w:val="superscript"/>
        </w:rPr>
        <w:footnoteReference w:id="35"/>
      </w:r>
      <w:r w:rsidR="00190020">
        <w:rPr>
          <w:rFonts w:ascii="Times New Roman" w:eastAsia="Times New Roman" w:hAnsi="Times New Roman" w:cs="Times New Roman"/>
          <w:sz w:val="24"/>
          <w:szCs w:val="24"/>
        </w:rPr>
        <w:t xml:space="preserve"> As the Defence claimed, Ongwen ‘</w:t>
      </w:r>
      <w:r w:rsidR="00190020">
        <w:rPr>
          <w:rFonts w:ascii="Times New Roman" w:eastAsia="Times New Roman" w:hAnsi="Times New Roman" w:cs="Times New Roman"/>
          <w:sz w:val="24"/>
          <w:szCs w:val="24"/>
          <w:highlight w:val="white"/>
        </w:rPr>
        <w:t>held his ranks under duress through a methodological process of spiritual indoctrination.’</w:t>
      </w:r>
      <w:r w:rsidR="00190020">
        <w:rPr>
          <w:rFonts w:ascii="Times New Roman" w:eastAsia="Times New Roman" w:hAnsi="Times New Roman" w:cs="Times New Roman"/>
          <w:sz w:val="24"/>
          <w:szCs w:val="24"/>
          <w:highlight w:val="white"/>
          <w:vertAlign w:val="superscript"/>
        </w:rPr>
        <w:footnoteReference w:id="36"/>
      </w:r>
    </w:p>
    <w:p w14:paraId="65128656" w14:textId="77777777" w:rsidR="00B32260" w:rsidRDefault="00B32260" w:rsidP="004F3B74">
      <w:pPr>
        <w:shd w:val="clear" w:color="auto" w:fill="FFFFFF"/>
        <w:tabs>
          <w:tab w:val="left" w:pos="357"/>
        </w:tabs>
        <w:spacing w:line="480" w:lineRule="auto"/>
        <w:rPr>
          <w:rFonts w:ascii="Times New Roman" w:eastAsia="Times New Roman" w:hAnsi="Times New Roman" w:cs="Times New Roman"/>
          <w:sz w:val="24"/>
          <w:szCs w:val="24"/>
        </w:rPr>
      </w:pPr>
    </w:p>
    <w:p w14:paraId="65128657" w14:textId="77777777" w:rsidR="00B32260" w:rsidRDefault="00190020" w:rsidP="004F3B74">
      <w:pPr>
        <w:shd w:val="clear" w:color="auto" w:fill="FFFFFF"/>
        <w:tabs>
          <w:tab w:val="left" w:pos="357"/>
        </w:tabs>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2.2 </w:t>
      </w:r>
      <w:r>
        <w:rPr>
          <w:rFonts w:ascii="Times New Roman" w:eastAsia="Times New Roman" w:hAnsi="Times New Roman" w:cs="Times New Roman"/>
          <w:b/>
          <w:sz w:val="24"/>
          <w:szCs w:val="24"/>
        </w:rPr>
        <w:tab/>
      </w:r>
      <w:r>
        <w:rPr>
          <w:rFonts w:ascii="Times New Roman" w:eastAsia="Times New Roman" w:hAnsi="Times New Roman" w:cs="Times New Roman"/>
          <w:b/>
          <w:i/>
          <w:sz w:val="24"/>
          <w:szCs w:val="24"/>
        </w:rPr>
        <w:t>Long-Term Effects of Child Soldiering and Ongwen, the ‘Adult’ Soldier</w:t>
      </w:r>
    </w:p>
    <w:p w14:paraId="65128658" w14:textId="0C72791D"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Although the crime of enlisting and conscripting children ‘ends only when the child reaches 15 years of age or leaves the force or group’,</w:t>
      </w:r>
      <w:r>
        <w:rPr>
          <w:rFonts w:ascii="Times New Roman" w:eastAsia="Times New Roman" w:hAnsi="Times New Roman" w:cs="Times New Roman"/>
          <w:sz w:val="24"/>
          <w:szCs w:val="24"/>
          <w:vertAlign w:val="superscript"/>
        </w:rPr>
        <w:footnoteReference w:id="37"/>
      </w:r>
      <w:r>
        <w:rPr>
          <w:rFonts w:ascii="Times New Roman" w:eastAsia="Times New Roman" w:hAnsi="Times New Roman" w:cs="Times New Roman"/>
          <w:sz w:val="24"/>
          <w:szCs w:val="24"/>
        </w:rPr>
        <w:t xml:space="preserve"> child soldiering has long-term effects. In brief, former child soldiers suffer from a lack of education and social upbringing, PTSD, physical and mental disabilities and disorders, ongoing aggressiveness, depression and dissociation, social stigmas, etc.</w:t>
      </w:r>
      <w:r>
        <w:rPr>
          <w:rFonts w:ascii="Times New Roman" w:eastAsia="Times New Roman" w:hAnsi="Times New Roman" w:cs="Times New Roman"/>
          <w:sz w:val="24"/>
          <w:szCs w:val="24"/>
          <w:vertAlign w:val="superscript"/>
        </w:rPr>
        <w:footnoteReference w:id="38"/>
      </w:r>
      <w:r>
        <w:rPr>
          <w:rFonts w:ascii="Times New Roman" w:eastAsia="Times New Roman" w:hAnsi="Times New Roman" w:cs="Times New Roman"/>
          <w:sz w:val="24"/>
          <w:szCs w:val="24"/>
        </w:rPr>
        <w:t xml:space="preserve"> The ICC in </w:t>
      </w:r>
      <w:r>
        <w:rPr>
          <w:rFonts w:ascii="Times New Roman" w:eastAsia="Times New Roman" w:hAnsi="Times New Roman" w:cs="Times New Roman"/>
          <w:i/>
          <w:sz w:val="24"/>
          <w:szCs w:val="24"/>
        </w:rPr>
        <w:t xml:space="preserve">Lubanga </w:t>
      </w:r>
      <w:r>
        <w:rPr>
          <w:rFonts w:ascii="Times New Roman" w:eastAsia="Times New Roman" w:hAnsi="Times New Roman" w:cs="Times New Roman"/>
          <w:sz w:val="24"/>
          <w:szCs w:val="24"/>
        </w:rPr>
        <w:t>upheld testimonies by expert witnesses who emphasised the ‘devastating long-term consequences’ of child soldiers who have ‘experienced or witnessed acts of violence’.</w:t>
      </w:r>
      <w:r>
        <w:rPr>
          <w:rFonts w:ascii="Times New Roman" w:eastAsia="Times New Roman" w:hAnsi="Times New Roman" w:cs="Times New Roman"/>
          <w:sz w:val="24"/>
          <w:szCs w:val="24"/>
          <w:vertAlign w:val="superscript"/>
        </w:rPr>
        <w:footnoteReference w:id="39"/>
      </w:r>
      <w:r>
        <w:rPr>
          <w:rFonts w:ascii="Times New Roman" w:eastAsia="Times New Roman" w:hAnsi="Times New Roman" w:cs="Times New Roman"/>
          <w:sz w:val="24"/>
          <w:szCs w:val="24"/>
        </w:rPr>
        <w:t xml:space="preserve"> The Prosecutor, commenting on Lubanga’s sentencing, </w:t>
      </w:r>
      <w:r w:rsidR="00C42A22">
        <w:rPr>
          <w:rFonts w:ascii="Times New Roman" w:eastAsia="Times New Roman" w:hAnsi="Times New Roman" w:cs="Times New Roman"/>
          <w:sz w:val="24"/>
          <w:szCs w:val="24"/>
        </w:rPr>
        <w:t xml:space="preserve">also </w:t>
      </w:r>
      <w:r>
        <w:rPr>
          <w:rFonts w:ascii="Times New Roman" w:eastAsia="Times New Roman" w:hAnsi="Times New Roman" w:cs="Times New Roman"/>
          <w:sz w:val="24"/>
          <w:szCs w:val="24"/>
        </w:rPr>
        <w:t xml:space="preserve">stressed </w:t>
      </w:r>
      <w:r w:rsidR="00C42A22">
        <w:rPr>
          <w:rFonts w:ascii="Times New Roman" w:eastAsia="Times New Roman" w:hAnsi="Times New Roman" w:cs="Times New Roman"/>
          <w:sz w:val="24"/>
          <w:szCs w:val="24"/>
        </w:rPr>
        <w:t>the physical and psychological scars of child soldiering.</w:t>
      </w:r>
      <w:r>
        <w:rPr>
          <w:rFonts w:ascii="Times New Roman" w:eastAsia="Times New Roman" w:hAnsi="Times New Roman" w:cs="Times New Roman"/>
          <w:sz w:val="24"/>
          <w:szCs w:val="24"/>
          <w:vertAlign w:val="superscript"/>
        </w:rPr>
        <w:footnoteReference w:id="40"/>
      </w:r>
      <w:r>
        <w:rPr>
          <w:rFonts w:ascii="Times New Roman" w:eastAsia="Times New Roman" w:hAnsi="Times New Roman" w:cs="Times New Roman"/>
          <w:sz w:val="24"/>
          <w:szCs w:val="24"/>
        </w:rPr>
        <w:t xml:space="preserve"> In Ongwen the ICC repeated that ‘[</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]t is clear that the impact of the crime on the victims was devastating’.</w:t>
      </w:r>
      <w:r>
        <w:rPr>
          <w:rFonts w:ascii="Times New Roman" w:eastAsia="Times New Roman" w:hAnsi="Times New Roman" w:cs="Times New Roman"/>
          <w:sz w:val="24"/>
          <w:szCs w:val="24"/>
          <w:vertAlign w:val="superscript"/>
        </w:rPr>
        <w:footnoteReference w:id="41"/>
      </w:r>
      <w:r>
        <w:rPr>
          <w:rFonts w:ascii="Times New Roman" w:eastAsia="Times New Roman" w:hAnsi="Times New Roman" w:cs="Times New Roman"/>
          <w:sz w:val="24"/>
          <w:szCs w:val="24"/>
        </w:rPr>
        <w:t xml:space="preserve"> The long-term consequences of child soldiering have thus been acknowledged by the Court.</w:t>
      </w:r>
    </w:p>
    <w:p w14:paraId="65128659" w14:textId="7AAA38C3"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sidR="00190020">
        <w:rPr>
          <w:rFonts w:ascii="Times New Roman" w:eastAsia="Times New Roman" w:hAnsi="Times New Roman" w:cs="Times New Roman"/>
          <w:sz w:val="24"/>
          <w:szCs w:val="24"/>
        </w:rPr>
        <w:t xml:space="preserve">It can thus be safely stated that Ongwen, as a child soldier, suffered the same fate and that his life after he reached the age of 15 years old, even if he had left the group, was still </w:t>
      </w:r>
      <w:r w:rsidR="00C42A22">
        <w:rPr>
          <w:rFonts w:ascii="Times New Roman" w:eastAsia="Times New Roman" w:hAnsi="Times New Roman" w:cs="Times New Roman"/>
          <w:sz w:val="24"/>
          <w:szCs w:val="24"/>
        </w:rPr>
        <w:t xml:space="preserve">affected </w:t>
      </w:r>
      <w:r w:rsidR="00190020">
        <w:rPr>
          <w:rFonts w:ascii="Times New Roman" w:eastAsia="Times New Roman" w:hAnsi="Times New Roman" w:cs="Times New Roman"/>
          <w:sz w:val="24"/>
          <w:szCs w:val="24"/>
        </w:rPr>
        <w:t>by his experience. Whilst the physicality of the coercive environment might have disappeared once child soldiers have left the group, the group’s values and beliefs linger: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values and beliefs were </w:t>
      </w:r>
      <w:proofErr w:type="spellStart"/>
      <w:r w:rsidR="00190020">
        <w:rPr>
          <w:rFonts w:ascii="Times New Roman" w:eastAsia="Times New Roman" w:hAnsi="Times New Roman" w:cs="Times New Roman"/>
          <w:sz w:val="24"/>
          <w:szCs w:val="24"/>
        </w:rPr>
        <w:t>molded</w:t>
      </w:r>
      <w:proofErr w:type="spellEnd"/>
      <w:r w:rsidR="00190020">
        <w:rPr>
          <w:rFonts w:ascii="Times New Roman" w:eastAsia="Times New Roman" w:hAnsi="Times New Roman" w:cs="Times New Roman"/>
          <w:sz w:val="24"/>
          <w:szCs w:val="24"/>
        </w:rPr>
        <w:t xml:space="preserve"> by his environment while he was a child soldier’.</w:t>
      </w:r>
      <w:r w:rsidR="00190020">
        <w:rPr>
          <w:rFonts w:ascii="Times New Roman" w:eastAsia="Times New Roman" w:hAnsi="Times New Roman" w:cs="Times New Roman"/>
          <w:sz w:val="24"/>
          <w:szCs w:val="24"/>
          <w:vertAlign w:val="superscript"/>
        </w:rPr>
        <w:footnoteReference w:id="42"/>
      </w:r>
      <w:r w:rsidR="00190020">
        <w:rPr>
          <w:rFonts w:ascii="Times New Roman" w:eastAsia="Times New Roman" w:hAnsi="Times New Roman" w:cs="Times New Roman"/>
          <w:sz w:val="24"/>
          <w:szCs w:val="24"/>
        </w:rPr>
        <w:t xml:space="preserve"> As Drumbl explains, such an environment ‘rendered the children as victims damage</w:t>
      </w:r>
      <w:r w:rsidR="00C42A22">
        <w:rPr>
          <w:rFonts w:ascii="Times New Roman" w:eastAsia="Times New Roman" w:hAnsi="Times New Roman" w:cs="Times New Roman"/>
          <w:sz w:val="24"/>
          <w:szCs w:val="24"/>
        </w:rPr>
        <w:t>d</w:t>
      </w:r>
      <w:r w:rsidR="00190020">
        <w:rPr>
          <w:rFonts w:ascii="Times New Roman" w:eastAsia="Times New Roman" w:hAnsi="Times New Roman" w:cs="Times New Roman"/>
          <w:sz w:val="24"/>
          <w:szCs w:val="24"/>
        </w:rPr>
        <w:t xml:space="preserve"> for life, with their reality today as deriving from their previous suffering. </w:t>
      </w:r>
      <w:r w:rsidR="00190020">
        <w:rPr>
          <w:rFonts w:ascii="Times New Roman" w:eastAsia="Times New Roman" w:hAnsi="Times New Roman" w:cs="Times New Roman"/>
          <w:sz w:val="24"/>
          <w:szCs w:val="24"/>
          <w:highlight w:val="white"/>
        </w:rPr>
        <w:t>Once a child soldier in fact, always a child soldier in mind, body, and soul.</w:t>
      </w:r>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43"/>
      </w:r>
      <w:r w:rsidR="00190020">
        <w:rPr>
          <w:rFonts w:ascii="Times New Roman" w:eastAsia="Times New Roman" w:hAnsi="Times New Roman" w:cs="Times New Roman"/>
          <w:sz w:val="24"/>
          <w:szCs w:val="24"/>
        </w:rPr>
        <w:t xml:space="preserve"> As </w:t>
      </w:r>
      <w:proofErr w:type="spellStart"/>
      <w:r w:rsidR="00190020">
        <w:rPr>
          <w:rFonts w:ascii="Times New Roman" w:eastAsia="Times New Roman" w:hAnsi="Times New Roman" w:cs="Times New Roman"/>
          <w:sz w:val="24"/>
          <w:szCs w:val="24"/>
        </w:rPr>
        <w:t>Aguiling</w:t>
      </w:r>
      <w:proofErr w:type="spellEnd"/>
      <w:r w:rsidR="00190020">
        <w:rPr>
          <w:rFonts w:ascii="Times New Roman" w:eastAsia="Times New Roman" w:hAnsi="Times New Roman" w:cs="Times New Roman"/>
          <w:sz w:val="24"/>
          <w:szCs w:val="24"/>
        </w:rPr>
        <w:t xml:space="preserve"> </w:t>
      </w:r>
      <w:proofErr w:type="spellStart"/>
      <w:r w:rsidR="00190020">
        <w:rPr>
          <w:rFonts w:ascii="Times New Roman" w:eastAsia="Times New Roman" w:hAnsi="Times New Roman" w:cs="Times New Roman"/>
          <w:sz w:val="24"/>
          <w:szCs w:val="24"/>
        </w:rPr>
        <w:t>Pangalangan</w:t>
      </w:r>
      <w:proofErr w:type="spellEnd"/>
      <w:r w:rsidR="00190020">
        <w:rPr>
          <w:rFonts w:ascii="Times New Roman" w:eastAsia="Times New Roman" w:hAnsi="Times New Roman" w:cs="Times New Roman"/>
          <w:sz w:val="24"/>
          <w:szCs w:val="24"/>
        </w:rPr>
        <w:t xml:space="preserve"> poignantly states, ‘Ongwen, the Brigadier General, carries with him the same traumas and values formed by Ongwen the child soldier.’</w:t>
      </w:r>
      <w:r w:rsidR="00190020">
        <w:rPr>
          <w:rFonts w:ascii="Times New Roman" w:eastAsia="Times New Roman" w:hAnsi="Times New Roman" w:cs="Times New Roman"/>
          <w:sz w:val="24"/>
          <w:szCs w:val="24"/>
          <w:vertAlign w:val="superscript"/>
        </w:rPr>
        <w:footnoteReference w:id="44"/>
      </w:r>
      <w:r w:rsidR="00190020">
        <w:rPr>
          <w:rFonts w:ascii="Times New Roman" w:eastAsia="Times New Roman" w:hAnsi="Times New Roman" w:cs="Times New Roman"/>
          <w:sz w:val="24"/>
          <w:szCs w:val="24"/>
        </w:rPr>
        <w:t xml:space="preserve"> The Defence maintained that although Ongwen was an adult when he committed the offences, the ICC should have contemplated the long-term effects of living in a coercive environment where his mental, physical and emotional development was severely impeded.</w:t>
      </w:r>
      <w:r w:rsidR="00190020">
        <w:rPr>
          <w:rFonts w:ascii="Times New Roman" w:eastAsia="Times New Roman" w:hAnsi="Times New Roman" w:cs="Times New Roman"/>
          <w:sz w:val="24"/>
          <w:szCs w:val="24"/>
          <w:vertAlign w:val="superscript"/>
        </w:rPr>
        <w:footnoteReference w:id="45"/>
      </w:r>
      <w:r w:rsidR="00190020">
        <w:rPr>
          <w:rFonts w:ascii="Times New Roman" w:eastAsia="Times New Roman" w:hAnsi="Times New Roman" w:cs="Times New Roman"/>
          <w:sz w:val="24"/>
          <w:szCs w:val="24"/>
        </w:rPr>
        <w:t xml:space="preserve"> </w:t>
      </w:r>
    </w:p>
    <w:p w14:paraId="6512865A" w14:textId="6F508E0B"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If child soldiers who have left the group suffer from such devastating effects, one might assume that staying in the group has an even more pervasive effect on them. When child soldiers stay in the group as adults, the coercive environment might seem ‘normal’ to them as they have integrated all the values, principles, and habits of the group. The physical coerciveness might at times be felt though it has been internalised.</w:t>
      </w:r>
      <w:r w:rsidR="00190020">
        <w:rPr>
          <w:rFonts w:ascii="Times New Roman" w:eastAsia="Times New Roman" w:hAnsi="Times New Roman" w:cs="Times New Roman"/>
          <w:sz w:val="24"/>
          <w:szCs w:val="24"/>
          <w:vertAlign w:val="superscript"/>
        </w:rPr>
        <w:footnoteReference w:id="46"/>
      </w:r>
      <w:r w:rsidR="00190020">
        <w:rPr>
          <w:rFonts w:ascii="Times New Roman" w:eastAsia="Times New Roman" w:hAnsi="Times New Roman" w:cs="Times New Roman"/>
          <w:sz w:val="24"/>
          <w:szCs w:val="24"/>
        </w:rPr>
        <w:t xml:space="preserve"> To the outsider, it does not seem that the former child soldier is coerced. Yet, as the Defence essentially argued that </w:t>
      </w:r>
      <w:proofErr w:type="spellStart"/>
      <w:r w:rsidR="00190020">
        <w:rPr>
          <w:rFonts w:ascii="Times New Roman" w:eastAsia="Times New Roman" w:hAnsi="Times New Roman" w:cs="Times New Roman"/>
          <w:sz w:val="24"/>
          <w:szCs w:val="24"/>
        </w:rPr>
        <w:lastRenderedPageBreak/>
        <w:t>Kony</w:t>
      </w:r>
      <w:proofErr w:type="spellEnd"/>
      <w:r w:rsidR="00190020">
        <w:rPr>
          <w:rFonts w:ascii="Times New Roman" w:eastAsia="Times New Roman" w:hAnsi="Times New Roman" w:cs="Times New Roman"/>
          <w:sz w:val="24"/>
          <w:szCs w:val="24"/>
        </w:rPr>
        <w:t xml:space="preserve"> created a permanent coercive environment. We agree that Ongwen remained under the apprehension of fear of imminent death throughout his entire stay in the LRA as the constant environment of duress or, better phrased, the coercive environment never dissipated.</w:t>
      </w:r>
      <w:r w:rsidR="00190020">
        <w:rPr>
          <w:rFonts w:ascii="Times New Roman" w:eastAsia="Times New Roman" w:hAnsi="Times New Roman" w:cs="Times New Roman"/>
          <w:sz w:val="24"/>
          <w:szCs w:val="24"/>
          <w:vertAlign w:val="superscript"/>
        </w:rPr>
        <w:footnoteReference w:id="47"/>
      </w:r>
      <w:r w:rsidR="00190020">
        <w:rPr>
          <w:rFonts w:ascii="Times New Roman" w:eastAsia="Times New Roman" w:hAnsi="Times New Roman" w:cs="Times New Roman"/>
          <w:sz w:val="24"/>
          <w:szCs w:val="24"/>
        </w:rPr>
        <w:t xml:space="preserve"> </w:t>
      </w:r>
    </w:p>
    <w:p w14:paraId="6512865B" w14:textId="77777777" w:rsidR="00B32260" w:rsidRDefault="00B32260" w:rsidP="004F3B74">
      <w:pPr>
        <w:shd w:val="clear" w:color="auto" w:fill="FFFFFF"/>
        <w:tabs>
          <w:tab w:val="left" w:pos="357"/>
        </w:tabs>
        <w:spacing w:line="480" w:lineRule="auto"/>
        <w:rPr>
          <w:rFonts w:ascii="Times New Roman" w:eastAsia="Times New Roman" w:hAnsi="Times New Roman" w:cs="Times New Roman"/>
          <w:sz w:val="24"/>
          <w:szCs w:val="24"/>
        </w:rPr>
      </w:pPr>
    </w:p>
    <w:p w14:paraId="6A62E1D4" w14:textId="77777777" w:rsidR="004F3B74" w:rsidRDefault="004F3B74" w:rsidP="004F3B74">
      <w:pPr>
        <w:shd w:val="clear" w:color="auto" w:fill="FFFFFF"/>
        <w:tabs>
          <w:tab w:val="left" w:pos="357"/>
        </w:tabs>
        <w:spacing w:line="480" w:lineRule="auto"/>
        <w:rPr>
          <w:rFonts w:ascii="Times New Roman" w:eastAsia="Times New Roman" w:hAnsi="Times New Roman" w:cs="Times New Roman"/>
          <w:sz w:val="24"/>
          <w:szCs w:val="24"/>
        </w:rPr>
      </w:pPr>
    </w:p>
    <w:p w14:paraId="6512865C"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w:t>
      </w:r>
      <w:r>
        <w:rPr>
          <w:rFonts w:ascii="Times New Roman" w:eastAsia="Times New Roman" w:hAnsi="Times New Roman" w:cs="Times New Roman"/>
          <w:b/>
          <w:sz w:val="24"/>
          <w:szCs w:val="24"/>
        </w:rPr>
        <w:tab/>
        <w:t xml:space="preserve">Use of Duress as a Ground for Excluding Responsibility in Relation to a Coercive Environment </w:t>
      </w:r>
    </w:p>
    <w:p w14:paraId="6512865D" w14:textId="77777777" w:rsidR="00B32260" w:rsidRDefault="00B32260" w:rsidP="004F3B74">
      <w:pPr>
        <w:shd w:val="clear" w:color="auto" w:fill="FFFFFF"/>
        <w:tabs>
          <w:tab w:val="left" w:pos="357"/>
        </w:tabs>
        <w:spacing w:line="480" w:lineRule="auto"/>
        <w:jc w:val="both"/>
        <w:rPr>
          <w:rFonts w:ascii="Times New Roman" w:eastAsia="Times New Roman" w:hAnsi="Times New Roman" w:cs="Times New Roman"/>
          <w:sz w:val="24"/>
          <w:szCs w:val="24"/>
        </w:rPr>
      </w:pPr>
    </w:p>
    <w:p w14:paraId="6512865E" w14:textId="0811A74C" w:rsidR="00B32260" w:rsidRDefault="00190020" w:rsidP="004F3B74">
      <w:pPr>
        <w:shd w:val="clear" w:color="auto" w:fill="FFFFFF"/>
        <w:tabs>
          <w:tab w:val="left" w:pos="357"/>
        </w:tabs>
        <w:spacing w:line="48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Ongwen’s</w:t>
      </w:r>
      <w:proofErr w:type="spellEnd"/>
      <w:r>
        <w:rPr>
          <w:rFonts w:ascii="Times New Roman" w:eastAsia="Times New Roman" w:hAnsi="Times New Roman" w:cs="Times New Roman"/>
          <w:sz w:val="24"/>
          <w:szCs w:val="24"/>
        </w:rPr>
        <w:t xml:space="preserve"> Defence raised several times the issue of the coercive environment in which he grew up and lived, even as an adult. To this effect, it used duress as a ground for excluding responsibility for crimes Ongwen committed as an adult; yet the Court rejected this ground. After briefly explaining duress as a ground for excluding criminal responsibility under the ICC Statute and case law, </w:t>
      </w:r>
      <w:r w:rsidR="00C42A22">
        <w:rPr>
          <w:rFonts w:ascii="Times New Roman" w:eastAsia="Times New Roman" w:hAnsi="Times New Roman" w:cs="Times New Roman"/>
          <w:sz w:val="24"/>
          <w:szCs w:val="24"/>
        </w:rPr>
        <w:t xml:space="preserve">the following sections </w:t>
      </w:r>
      <w:r>
        <w:rPr>
          <w:rFonts w:ascii="Times New Roman" w:eastAsia="Times New Roman" w:hAnsi="Times New Roman" w:cs="Times New Roman"/>
          <w:sz w:val="24"/>
          <w:szCs w:val="24"/>
        </w:rPr>
        <w:t xml:space="preserve">examine in detail its application in </w:t>
      </w:r>
      <w:r>
        <w:rPr>
          <w:rFonts w:ascii="Times New Roman" w:eastAsia="Times New Roman" w:hAnsi="Times New Roman" w:cs="Times New Roman"/>
          <w:i/>
          <w:sz w:val="24"/>
          <w:szCs w:val="24"/>
        </w:rPr>
        <w:t>Ongwen</w:t>
      </w:r>
      <w:r>
        <w:rPr>
          <w:rFonts w:ascii="Times New Roman" w:eastAsia="Times New Roman" w:hAnsi="Times New Roman" w:cs="Times New Roman"/>
          <w:sz w:val="24"/>
          <w:szCs w:val="24"/>
        </w:rPr>
        <w:t>.</w:t>
      </w:r>
    </w:p>
    <w:p w14:paraId="6512865F" w14:textId="77777777" w:rsidR="00B32260" w:rsidRDefault="00B32260" w:rsidP="004F3B74">
      <w:pPr>
        <w:shd w:val="clear" w:color="auto" w:fill="FFFFFF"/>
        <w:tabs>
          <w:tab w:val="left" w:pos="357"/>
        </w:tabs>
        <w:spacing w:line="480" w:lineRule="auto"/>
        <w:jc w:val="both"/>
        <w:rPr>
          <w:rFonts w:ascii="Times New Roman" w:eastAsia="Times New Roman" w:hAnsi="Times New Roman" w:cs="Times New Roman"/>
          <w:color w:val="0A0A0A"/>
          <w:sz w:val="24"/>
          <w:szCs w:val="24"/>
        </w:rPr>
      </w:pPr>
    </w:p>
    <w:p w14:paraId="65128660"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3.1</w:t>
      </w:r>
      <w:r>
        <w:rPr>
          <w:rFonts w:ascii="Times New Roman" w:eastAsia="Times New Roman" w:hAnsi="Times New Roman" w:cs="Times New Roman"/>
          <w:b/>
          <w:sz w:val="24"/>
          <w:szCs w:val="24"/>
        </w:rPr>
        <w:tab/>
      </w:r>
      <w:r>
        <w:rPr>
          <w:rFonts w:ascii="Times New Roman" w:eastAsia="Times New Roman" w:hAnsi="Times New Roman" w:cs="Times New Roman"/>
          <w:b/>
          <w:i/>
          <w:sz w:val="24"/>
          <w:szCs w:val="24"/>
        </w:rPr>
        <w:t>Duress as a Ground for Excluding Criminal Responsibility under the ICC Statute</w:t>
      </w:r>
    </w:p>
    <w:p w14:paraId="65128661" w14:textId="284BD605" w:rsidR="00B32260" w:rsidRDefault="00190020" w:rsidP="004F3B74">
      <w:pPr>
        <w:shd w:val="clear" w:color="auto" w:fill="FFFFFF"/>
        <w:tabs>
          <w:tab w:val="left" w:pos="357"/>
        </w:tabs>
        <w:spacing w:line="480" w:lineRule="auto"/>
        <w:jc w:val="both"/>
        <w:rPr>
          <w:rFonts w:ascii="Times New Roman" w:eastAsia="Times New Roman" w:hAnsi="Times New Roman" w:cs="Times New Roman"/>
          <w:color w:val="0A0A0A"/>
          <w:sz w:val="24"/>
          <w:szCs w:val="24"/>
          <w:vertAlign w:val="superscript"/>
        </w:rPr>
      </w:pPr>
      <w:r>
        <w:rPr>
          <w:rFonts w:ascii="Times New Roman" w:eastAsia="Times New Roman" w:hAnsi="Times New Roman" w:cs="Times New Roman"/>
          <w:sz w:val="24"/>
          <w:szCs w:val="24"/>
        </w:rPr>
        <w:t>Article 31 ICC Statute lists admissible ‘grounds for excluding criminal responsibility’</w:t>
      </w:r>
      <w:r>
        <w:rPr>
          <w:rFonts w:ascii="Times New Roman" w:eastAsia="Times New Roman" w:hAnsi="Times New Roman" w:cs="Times New Roman"/>
          <w:sz w:val="24"/>
          <w:szCs w:val="24"/>
          <w:vertAlign w:val="superscript"/>
        </w:rPr>
        <w:footnoteReference w:id="48"/>
      </w:r>
      <w:r>
        <w:rPr>
          <w:rFonts w:ascii="Times New Roman" w:eastAsia="Times New Roman" w:hAnsi="Times New Roman" w:cs="Times New Roman"/>
          <w:sz w:val="24"/>
          <w:szCs w:val="24"/>
        </w:rPr>
        <w:t xml:space="preserve"> that can be classed as grounds relating either </w:t>
      </w:r>
      <w:r w:rsidR="009837C9">
        <w:rPr>
          <w:rFonts w:ascii="Times New Roman" w:eastAsia="Times New Roman" w:hAnsi="Times New Roman" w:cs="Times New Roman"/>
          <w:sz w:val="24"/>
          <w:szCs w:val="24"/>
        </w:rPr>
        <w:t xml:space="preserve">to </w:t>
      </w:r>
      <w:r>
        <w:rPr>
          <w:rFonts w:ascii="Times New Roman" w:eastAsia="Times New Roman" w:hAnsi="Times New Roman" w:cs="Times New Roman"/>
          <w:sz w:val="24"/>
          <w:szCs w:val="24"/>
        </w:rPr>
        <w:t>the individual’s qualities (affecting the capacity to act autonomously) or the circumstances of the act (impeding the freedom of choice): mental disease or defect, intoxication, self-defence, and duress.</w:t>
      </w:r>
      <w:r>
        <w:rPr>
          <w:rFonts w:ascii="Times New Roman" w:eastAsia="Times New Roman" w:hAnsi="Times New Roman" w:cs="Times New Roman"/>
          <w:color w:val="0A0A0A"/>
          <w:sz w:val="24"/>
          <w:szCs w:val="24"/>
          <w:vertAlign w:val="superscript"/>
        </w:rPr>
        <w:footnoteReference w:id="49"/>
      </w:r>
    </w:p>
    <w:p w14:paraId="65128662" w14:textId="6E7E6A77"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sidR="00190020">
        <w:rPr>
          <w:rFonts w:ascii="Times New Roman" w:eastAsia="Times New Roman" w:hAnsi="Times New Roman" w:cs="Times New Roman"/>
          <w:sz w:val="24"/>
          <w:szCs w:val="24"/>
        </w:rPr>
        <w:t>Article 31(1)(d) ICC Statute identifies duress as a ground for excluding responsibility and specifies that three requirements must be met for this ground to be successful.</w:t>
      </w:r>
      <w:r w:rsidR="00190020">
        <w:rPr>
          <w:rFonts w:ascii="Times New Roman" w:eastAsia="Times New Roman" w:hAnsi="Times New Roman" w:cs="Times New Roman"/>
          <w:sz w:val="24"/>
          <w:szCs w:val="24"/>
          <w:vertAlign w:val="superscript"/>
        </w:rPr>
        <w:footnoteReference w:id="50"/>
      </w:r>
      <w:r w:rsidR="00190020">
        <w:rPr>
          <w:rFonts w:ascii="Times New Roman" w:eastAsia="Times New Roman" w:hAnsi="Times New Roman" w:cs="Times New Roman"/>
          <w:sz w:val="24"/>
          <w:szCs w:val="24"/>
        </w:rPr>
        <w:t xml:space="preserve"> First, the defendant must prove that he committed the crime because of a threat of imminent death or of continuing or imminent or serious bodily harm.</w:t>
      </w:r>
      <w:r w:rsidR="00190020">
        <w:rPr>
          <w:rFonts w:ascii="Times New Roman" w:eastAsia="Times New Roman" w:hAnsi="Times New Roman" w:cs="Times New Roman"/>
          <w:sz w:val="24"/>
          <w:szCs w:val="24"/>
          <w:vertAlign w:val="superscript"/>
        </w:rPr>
        <w:footnoteReference w:id="51"/>
      </w:r>
      <w:r w:rsidR="00190020">
        <w:rPr>
          <w:rFonts w:ascii="Times New Roman" w:eastAsia="Times New Roman" w:hAnsi="Times New Roman" w:cs="Times New Roman"/>
          <w:sz w:val="24"/>
          <w:szCs w:val="24"/>
        </w:rPr>
        <w:t xml:space="preserve"> Moreover his criminal conduct ‘must have been in response to a threat of death or serious bodily harm that was aimed at either the actor herself or a third party’</w:t>
      </w:r>
      <w:r w:rsidR="00190020">
        <w:rPr>
          <w:rFonts w:ascii="Times New Roman" w:eastAsia="Times New Roman" w:hAnsi="Times New Roman" w:cs="Times New Roman"/>
          <w:sz w:val="24"/>
          <w:szCs w:val="24"/>
          <w:vertAlign w:val="superscript"/>
        </w:rPr>
        <w:footnoteReference w:id="52"/>
      </w:r>
      <w:r w:rsidR="00190020">
        <w:rPr>
          <w:rFonts w:ascii="Times New Roman" w:eastAsia="Times New Roman" w:hAnsi="Times New Roman" w:cs="Times New Roman"/>
          <w:sz w:val="24"/>
          <w:szCs w:val="24"/>
        </w:rPr>
        <w:t xml:space="preserve"> and the threat ‘may either be: (1) made by other persons or (ii) constituted by other circumstances beyond that person’s control’.</w:t>
      </w:r>
      <w:r w:rsidR="00190020">
        <w:rPr>
          <w:rFonts w:ascii="Times New Roman" w:eastAsia="Times New Roman" w:hAnsi="Times New Roman" w:cs="Times New Roman"/>
          <w:sz w:val="24"/>
          <w:szCs w:val="24"/>
          <w:vertAlign w:val="superscript"/>
        </w:rPr>
        <w:footnoteReference w:id="53"/>
      </w:r>
      <w:r w:rsidR="00190020">
        <w:rPr>
          <w:rFonts w:ascii="Times New Roman" w:eastAsia="Times New Roman" w:hAnsi="Times New Roman" w:cs="Times New Roman"/>
          <w:sz w:val="24"/>
          <w:szCs w:val="24"/>
        </w:rPr>
        <w:t xml:space="preserve"> Moreover, it is not the threat to his life or body that must be immediate but rather the harm itself that is imminent (in case of death) and continuing or imminent (in case of serious bodily harm).</w:t>
      </w:r>
      <w:r w:rsidR="00190020">
        <w:rPr>
          <w:rFonts w:ascii="Times New Roman" w:eastAsia="Times New Roman" w:hAnsi="Times New Roman" w:cs="Times New Roman"/>
          <w:sz w:val="24"/>
          <w:szCs w:val="24"/>
          <w:vertAlign w:val="superscript"/>
        </w:rPr>
        <w:footnoteReference w:id="54"/>
      </w:r>
      <w:r w:rsidR="00190020">
        <w:rPr>
          <w:rFonts w:ascii="Times New Roman" w:eastAsia="Times New Roman" w:hAnsi="Times New Roman" w:cs="Times New Roman"/>
          <w:sz w:val="24"/>
          <w:szCs w:val="24"/>
        </w:rPr>
        <w:t xml:space="preserve"> ‘When imminence is mentioned in duress, the question dealt with by the court or tribunal is really whether the individual had any freedom to choose.’</w:t>
      </w:r>
      <w:r w:rsidR="00190020">
        <w:rPr>
          <w:rFonts w:ascii="Times New Roman" w:eastAsia="Times New Roman" w:hAnsi="Times New Roman" w:cs="Times New Roman"/>
          <w:sz w:val="24"/>
          <w:szCs w:val="24"/>
          <w:vertAlign w:val="superscript"/>
        </w:rPr>
        <w:footnoteReference w:id="55"/>
      </w:r>
      <w:r w:rsidR="00190020">
        <w:rPr>
          <w:rFonts w:ascii="Times New Roman" w:eastAsia="Times New Roman" w:hAnsi="Times New Roman" w:cs="Times New Roman"/>
          <w:sz w:val="24"/>
          <w:szCs w:val="24"/>
        </w:rPr>
        <w:t xml:space="preserve"> The threat must also be considered real since an elevated probability of danger or a mere abstract danger would not suffice.</w:t>
      </w:r>
      <w:r w:rsidR="00190020">
        <w:rPr>
          <w:rFonts w:ascii="Times New Roman" w:eastAsia="Times New Roman" w:hAnsi="Times New Roman" w:cs="Times New Roman"/>
          <w:sz w:val="24"/>
          <w:szCs w:val="24"/>
          <w:vertAlign w:val="superscript"/>
        </w:rPr>
        <w:footnoteReference w:id="56"/>
      </w:r>
      <w:r w:rsidR="00190020">
        <w:rPr>
          <w:rFonts w:ascii="Times New Roman" w:eastAsia="Times New Roman" w:hAnsi="Times New Roman" w:cs="Times New Roman"/>
          <w:sz w:val="24"/>
          <w:szCs w:val="24"/>
        </w:rPr>
        <w:t xml:space="preserve"> There must be an ‘actual bona fide belief’ on the defendant’s part that a threat existed at the time, which requires the court to determine whether the defendant subjectively foresaw that the </w:t>
      </w:r>
      <w:r w:rsidR="00190020">
        <w:rPr>
          <w:rFonts w:ascii="Times New Roman" w:eastAsia="Times New Roman" w:hAnsi="Times New Roman" w:cs="Times New Roman"/>
          <w:sz w:val="24"/>
          <w:szCs w:val="24"/>
        </w:rPr>
        <w:lastRenderedPageBreak/>
        <w:t>harm was immediate and present.</w:t>
      </w:r>
      <w:r w:rsidR="00190020">
        <w:rPr>
          <w:rFonts w:ascii="Times New Roman" w:eastAsia="Times New Roman" w:hAnsi="Times New Roman" w:cs="Times New Roman"/>
          <w:sz w:val="24"/>
          <w:szCs w:val="24"/>
          <w:vertAlign w:val="superscript"/>
        </w:rPr>
        <w:footnoteReference w:id="57"/>
      </w:r>
      <w:r w:rsidR="00190020">
        <w:rPr>
          <w:rFonts w:ascii="Times New Roman" w:eastAsia="Times New Roman" w:hAnsi="Times New Roman" w:cs="Times New Roman"/>
          <w:sz w:val="24"/>
          <w:szCs w:val="24"/>
        </w:rPr>
        <w:t xml:space="preserve"> A causal link between the threat and the conduct must be established to determine how the threat impacted the defendant’s conduct.</w:t>
      </w:r>
      <w:r w:rsidR="00190020">
        <w:rPr>
          <w:rFonts w:ascii="Times New Roman" w:eastAsia="Times New Roman" w:hAnsi="Times New Roman" w:cs="Times New Roman"/>
          <w:sz w:val="24"/>
          <w:szCs w:val="24"/>
          <w:vertAlign w:val="superscript"/>
        </w:rPr>
        <w:footnoteReference w:id="58"/>
      </w:r>
      <w:r w:rsidR="00190020">
        <w:rPr>
          <w:rFonts w:ascii="Times New Roman" w:eastAsia="Times New Roman" w:hAnsi="Times New Roman" w:cs="Times New Roman"/>
          <w:sz w:val="24"/>
          <w:szCs w:val="24"/>
        </w:rPr>
        <w:t xml:space="preserve"> </w:t>
      </w:r>
    </w:p>
    <w:p w14:paraId="65128663" w14:textId="02C74767"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The second requirement is that the defendant must prove that he intended to avert the threat and acted necessarily and reasonably in doing so.</w:t>
      </w:r>
      <w:r w:rsidR="00190020">
        <w:rPr>
          <w:rFonts w:ascii="Times New Roman" w:eastAsia="Times New Roman" w:hAnsi="Times New Roman" w:cs="Times New Roman"/>
          <w:sz w:val="24"/>
          <w:szCs w:val="24"/>
          <w:vertAlign w:val="superscript"/>
        </w:rPr>
        <w:footnoteReference w:id="59"/>
      </w:r>
      <w:r w:rsidR="00190020">
        <w:rPr>
          <w:rFonts w:ascii="Times New Roman" w:eastAsia="Times New Roman" w:hAnsi="Times New Roman" w:cs="Times New Roman"/>
          <w:sz w:val="24"/>
          <w:szCs w:val="24"/>
        </w:rPr>
        <w:t xml:space="preserve"> This is a subjective and objective test. It is subjective because it determines whether the defendant, in his unique position, showed some resistance to avert the danger, taking into account ‘the totality of the circumstances in which the person found themselves’.</w:t>
      </w:r>
      <w:r w:rsidR="00190020">
        <w:rPr>
          <w:rFonts w:ascii="Times New Roman" w:eastAsia="Times New Roman" w:hAnsi="Times New Roman" w:cs="Times New Roman"/>
          <w:sz w:val="24"/>
          <w:szCs w:val="24"/>
          <w:vertAlign w:val="superscript"/>
        </w:rPr>
        <w:footnoteReference w:id="60"/>
      </w:r>
      <w:r w:rsidR="00190020">
        <w:rPr>
          <w:rFonts w:ascii="Times New Roman" w:eastAsia="Times New Roman" w:hAnsi="Times New Roman" w:cs="Times New Roman"/>
          <w:sz w:val="24"/>
          <w:szCs w:val="24"/>
        </w:rPr>
        <w:t xml:space="preserve"> It also adopts an objective approach ‘which includes the question whether a reasonable person would have given in to the threat.’</w:t>
      </w:r>
      <w:r w:rsidR="00190020">
        <w:rPr>
          <w:rFonts w:ascii="Times New Roman" w:eastAsia="Times New Roman" w:hAnsi="Times New Roman" w:cs="Times New Roman"/>
          <w:sz w:val="24"/>
          <w:szCs w:val="24"/>
          <w:vertAlign w:val="superscript"/>
        </w:rPr>
        <w:footnoteReference w:id="61"/>
      </w:r>
      <w:r w:rsidR="00190020">
        <w:rPr>
          <w:rFonts w:ascii="Times New Roman" w:eastAsia="Times New Roman" w:hAnsi="Times New Roman" w:cs="Times New Roman"/>
          <w:sz w:val="24"/>
          <w:szCs w:val="24"/>
        </w:rPr>
        <w:t xml:space="preserve"> This objective test determines whether a person in a similar position to the defendant’s would have acted in the same manner:</w:t>
      </w:r>
      <w:r w:rsidR="00190020">
        <w:rPr>
          <w:rFonts w:ascii="Times New Roman" w:eastAsia="Times New Roman" w:hAnsi="Times New Roman" w:cs="Times New Roman"/>
          <w:sz w:val="24"/>
          <w:szCs w:val="24"/>
          <w:vertAlign w:val="superscript"/>
        </w:rPr>
        <w:footnoteReference w:id="62"/>
      </w:r>
      <w:r w:rsidR="00190020">
        <w:rPr>
          <w:rFonts w:ascii="Times New Roman" w:eastAsia="Times New Roman" w:hAnsi="Times New Roman" w:cs="Times New Roman"/>
          <w:sz w:val="24"/>
          <w:szCs w:val="24"/>
        </w:rPr>
        <w:t xml:space="preserve"> ‘whether others in comparable circumstances were able to necessarily and reasonably avoid the same threat’.</w:t>
      </w:r>
      <w:r w:rsidR="00190020">
        <w:rPr>
          <w:rFonts w:ascii="Times New Roman" w:eastAsia="Times New Roman" w:hAnsi="Times New Roman" w:cs="Times New Roman"/>
          <w:sz w:val="24"/>
          <w:szCs w:val="24"/>
          <w:vertAlign w:val="superscript"/>
        </w:rPr>
        <w:footnoteReference w:id="63"/>
      </w:r>
      <w:r w:rsidR="00190020">
        <w:rPr>
          <w:rFonts w:ascii="Times New Roman" w:eastAsia="Times New Roman" w:hAnsi="Times New Roman" w:cs="Times New Roman"/>
          <w:sz w:val="24"/>
          <w:szCs w:val="24"/>
        </w:rPr>
        <w:t xml:space="preserve"> If he had any reasonable opportunity to remove himself from the coercive situation, such as escaping or resisting the coercer, then the defence is unsupportable.</w:t>
      </w:r>
      <w:r w:rsidR="00190020">
        <w:rPr>
          <w:rFonts w:ascii="Times New Roman" w:eastAsia="Times New Roman" w:hAnsi="Times New Roman" w:cs="Times New Roman"/>
          <w:sz w:val="24"/>
          <w:szCs w:val="24"/>
          <w:vertAlign w:val="superscript"/>
        </w:rPr>
        <w:footnoteReference w:id="64"/>
      </w:r>
      <w:r w:rsidR="00190020">
        <w:rPr>
          <w:rFonts w:ascii="Times New Roman" w:eastAsia="Times New Roman" w:hAnsi="Times New Roman" w:cs="Times New Roman"/>
          <w:sz w:val="24"/>
          <w:szCs w:val="24"/>
        </w:rPr>
        <w:t xml:space="preserve"> </w:t>
      </w:r>
    </w:p>
    <w:p w14:paraId="65128664" w14:textId="320AEABF" w:rsidR="00B32260" w:rsidRDefault="004F3B74" w:rsidP="004F3B74">
      <w:pPr>
        <w:tabs>
          <w:tab w:val="left" w:pos="357"/>
        </w:tabs>
        <w:autoSpaceDE w:val="0"/>
        <w:autoSpaceDN w:val="0"/>
        <w:adjustRightInd w:val="0"/>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The final requirement is that the defendant ‘does not intend to cause a greater harm than the one sought to be avoided.’</w:t>
      </w:r>
      <w:r w:rsidR="00190020">
        <w:rPr>
          <w:rFonts w:ascii="Times New Roman" w:eastAsia="Times New Roman" w:hAnsi="Times New Roman" w:cs="Times New Roman"/>
          <w:sz w:val="24"/>
          <w:szCs w:val="24"/>
          <w:vertAlign w:val="superscript"/>
        </w:rPr>
        <w:footnoteReference w:id="65"/>
      </w:r>
      <w:r w:rsidR="003B02F0">
        <w:rPr>
          <w:rFonts w:ascii="Times New Roman" w:eastAsia="Times New Roman" w:hAnsi="Times New Roman" w:cs="Times New Roman"/>
          <w:sz w:val="24"/>
          <w:szCs w:val="24"/>
        </w:rPr>
        <w:t xml:space="preserve"> As the Court explained, ‘</w:t>
      </w:r>
      <w:r w:rsidR="003B02F0">
        <w:rPr>
          <w:rFonts w:ascii="Times New Roman" w:hAnsi="Times New Roman" w:cs="Times New Roman"/>
          <w:sz w:val="24"/>
          <w:szCs w:val="24"/>
        </w:rPr>
        <w:t xml:space="preserve">[t]his is a subjective element </w:t>
      </w:r>
      <w:r w:rsidR="003B02F0">
        <w:rPr>
          <w:rFonts w:ascii="TimesNewRomanPSMT" w:hAnsi="TimesNewRomanPSMT" w:cs="TimesNewRomanPSMT"/>
          <w:sz w:val="24"/>
          <w:szCs w:val="24"/>
        </w:rPr>
        <w:t xml:space="preserve">– </w:t>
      </w:r>
      <w:r w:rsidR="003B02F0">
        <w:rPr>
          <w:rFonts w:ascii="Times New Roman" w:hAnsi="Times New Roman" w:cs="Times New Roman"/>
          <w:sz w:val="24"/>
          <w:szCs w:val="24"/>
        </w:rPr>
        <w:t xml:space="preserve">it is not required that the person actually avoided the greater harm, only that he/she intended to </w:t>
      </w:r>
      <w:r w:rsidR="003B02F0">
        <w:rPr>
          <w:rFonts w:ascii="Times New Roman" w:hAnsi="Times New Roman" w:cs="Times New Roman"/>
          <w:sz w:val="24"/>
          <w:szCs w:val="24"/>
        </w:rPr>
        <w:lastRenderedPageBreak/>
        <w:t>do so.’</w:t>
      </w:r>
      <w:r w:rsidR="003B02F0">
        <w:rPr>
          <w:rStyle w:val="FootnoteReference"/>
          <w:rFonts w:ascii="Times New Roman" w:hAnsi="Times New Roman" w:cs="Times New Roman"/>
          <w:sz w:val="24"/>
          <w:szCs w:val="24"/>
        </w:rPr>
        <w:footnoteReference w:id="66"/>
      </w:r>
      <w:r w:rsidR="003B02F0">
        <w:rPr>
          <w:rFonts w:ascii="Times New Roman" w:eastAsia="Times New Roman" w:hAnsi="Times New Roman" w:cs="Times New Roman"/>
          <w:sz w:val="24"/>
          <w:szCs w:val="24"/>
        </w:rPr>
        <w:t xml:space="preserve"> To determine whether the harm is greater, the Court is obliged to compare the harms and in doing so it examines the character of the harms.</w:t>
      </w:r>
      <w:r w:rsidR="003B02F0">
        <w:rPr>
          <w:rStyle w:val="FootnoteReference"/>
          <w:rFonts w:ascii="Times New Roman" w:eastAsia="Times New Roman" w:hAnsi="Times New Roman" w:cs="Times New Roman"/>
          <w:sz w:val="24"/>
          <w:szCs w:val="24"/>
        </w:rPr>
        <w:footnoteReference w:id="67"/>
      </w:r>
      <w:r w:rsidR="00190020">
        <w:rPr>
          <w:rFonts w:ascii="Times New Roman" w:eastAsia="Times New Roman" w:hAnsi="Times New Roman" w:cs="Times New Roman"/>
          <w:sz w:val="24"/>
          <w:szCs w:val="24"/>
        </w:rPr>
        <w:t xml:space="preserve"> </w:t>
      </w:r>
    </w:p>
    <w:p w14:paraId="65128665" w14:textId="77777777" w:rsidR="00B32260" w:rsidRDefault="00B32260" w:rsidP="004F3B74">
      <w:pPr>
        <w:shd w:val="clear" w:color="auto" w:fill="FFFFFF"/>
        <w:tabs>
          <w:tab w:val="left" w:pos="357"/>
        </w:tabs>
        <w:spacing w:line="480" w:lineRule="auto"/>
        <w:jc w:val="both"/>
        <w:rPr>
          <w:rFonts w:ascii="Times New Roman" w:eastAsia="Times New Roman" w:hAnsi="Times New Roman" w:cs="Times New Roman"/>
          <w:sz w:val="24"/>
          <w:szCs w:val="24"/>
        </w:rPr>
      </w:pPr>
    </w:p>
    <w:p w14:paraId="65128666"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3.2</w:t>
      </w:r>
      <w:r>
        <w:rPr>
          <w:rFonts w:ascii="Times New Roman" w:eastAsia="Times New Roman" w:hAnsi="Times New Roman" w:cs="Times New Roman"/>
          <w:b/>
          <w:sz w:val="24"/>
          <w:szCs w:val="24"/>
        </w:rPr>
        <w:tab/>
      </w:r>
      <w:r>
        <w:rPr>
          <w:rFonts w:ascii="Times New Roman" w:eastAsia="Times New Roman" w:hAnsi="Times New Roman" w:cs="Times New Roman"/>
          <w:b/>
          <w:i/>
          <w:sz w:val="24"/>
          <w:szCs w:val="24"/>
        </w:rPr>
        <w:t>Duress as a Ground for Excluding Criminal Responsibility in the Ongwen Case</w:t>
      </w:r>
    </w:p>
    <w:p w14:paraId="65128667" w14:textId="1EC212E1" w:rsidR="00B32260" w:rsidRDefault="00190020" w:rsidP="004F3B74">
      <w:pPr>
        <w:shd w:val="clear" w:color="auto" w:fill="FFFFFF"/>
        <w:tabs>
          <w:tab w:val="left" w:pos="357"/>
        </w:tabs>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sz w:val="24"/>
          <w:szCs w:val="24"/>
        </w:rPr>
        <w:t>Duress was analysed</w:t>
      </w:r>
      <w:r w:rsidR="003B02F0">
        <w:rPr>
          <w:rFonts w:ascii="Times New Roman" w:eastAsia="Times New Roman" w:hAnsi="Times New Roman" w:cs="Times New Roman"/>
          <w:sz w:val="24"/>
          <w:szCs w:val="24"/>
        </w:rPr>
        <w:t xml:space="preserve"> and applied</w:t>
      </w:r>
      <w:r>
        <w:rPr>
          <w:rFonts w:ascii="Times New Roman" w:eastAsia="Times New Roman" w:hAnsi="Times New Roman" w:cs="Times New Roman"/>
          <w:sz w:val="24"/>
          <w:szCs w:val="24"/>
        </w:rPr>
        <w:t xml:space="preserve"> in both the judgment and appeal judgments and was dismissed accordingly. From the outset, it should be noted that the Court did not apply the above-mentioned requirements in a rigorous manner. In the Judgment it boldly ascertained that since ‘the first element of duress [...] is not met [...] it is not necessary, or even possible, to consider its remaining elements’,</w:t>
      </w:r>
      <w:r>
        <w:rPr>
          <w:rFonts w:ascii="Times New Roman" w:eastAsia="Times New Roman" w:hAnsi="Times New Roman" w:cs="Times New Roman"/>
          <w:sz w:val="24"/>
          <w:szCs w:val="24"/>
          <w:vertAlign w:val="superscript"/>
        </w:rPr>
        <w:footnoteReference w:id="68"/>
      </w:r>
      <w:r>
        <w:rPr>
          <w:rFonts w:ascii="Times New Roman" w:eastAsia="Times New Roman" w:hAnsi="Times New Roman" w:cs="Times New Roman"/>
          <w:sz w:val="24"/>
          <w:szCs w:val="24"/>
        </w:rPr>
        <w:t xml:space="preserve"> eventually concluding ‘that there is no basis in the evidence to hold that Dominic Ongwen was subjected to a threat of imminent death or imminent or continuing serious bodily harm to himself or another person at the time of his conduct underlying the charged crimes.’</w:t>
      </w:r>
      <w:r>
        <w:rPr>
          <w:rFonts w:ascii="Times New Roman" w:eastAsia="Times New Roman" w:hAnsi="Times New Roman" w:cs="Times New Roman"/>
          <w:sz w:val="24"/>
          <w:szCs w:val="24"/>
          <w:vertAlign w:val="superscript"/>
        </w:rPr>
        <w:footnoteReference w:id="69"/>
      </w:r>
      <w:r>
        <w:rPr>
          <w:rFonts w:ascii="Times New Roman" w:eastAsia="Times New Roman" w:hAnsi="Times New Roman" w:cs="Times New Roman"/>
          <w:b/>
          <w:i/>
          <w:sz w:val="24"/>
          <w:szCs w:val="24"/>
        </w:rPr>
        <w:t xml:space="preserve"> </w:t>
      </w:r>
      <w:r>
        <w:rPr>
          <w:rFonts w:ascii="Times New Roman" w:eastAsia="Times New Roman" w:hAnsi="Times New Roman" w:cs="Times New Roman"/>
          <w:sz w:val="24"/>
          <w:szCs w:val="24"/>
        </w:rPr>
        <w:t xml:space="preserve">Although the Court was right to reject </w:t>
      </w:r>
      <w:proofErr w:type="spellStart"/>
      <w:r>
        <w:rPr>
          <w:rFonts w:ascii="Times New Roman" w:eastAsia="Times New Roman" w:hAnsi="Times New Roman" w:cs="Times New Roman"/>
          <w:sz w:val="24"/>
          <w:szCs w:val="24"/>
        </w:rPr>
        <w:t>Ongwen’s</w:t>
      </w:r>
      <w:proofErr w:type="spellEnd"/>
      <w:r>
        <w:rPr>
          <w:rFonts w:ascii="Times New Roman" w:eastAsia="Times New Roman" w:hAnsi="Times New Roman" w:cs="Times New Roman"/>
          <w:sz w:val="24"/>
          <w:szCs w:val="24"/>
        </w:rPr>
        <w:t xml:space="preserve"> defence of duress as a ground to exclude criminal responsibility, it is submitted that it should have applied all the Article 31(1)(d) requirements.</w:t>
      </w:r>
      <w:r>
        <w:rPr>
          <w:rFonts w:ascii="Times New Roman" w:eastAsia="Times New Roman" w:hAnsi="Times New Roman" w:cs="Times New Roman"/>
          <w:sz w:val="24"/>
          <w:szCs w:val="24"/>
          <w:vertAlign w:val="superscript"/>
        </w:rPr>
        <w:footnoteReference w:id="70"/>
      </w:r>
      <w:r>
        <w:rPr>
          <w:rFonts w:ascii="Times New Roman" w:eastAsia="Times New Roman" w:hAnsi="Times New Roman" w:cs="Times New Roman"/>
          <w:b/>
          <w:i/>
          <w:sz w:val="24"/>
          <w:szCs w:val="24"/>
        </w:rPr>
        <w:t xml:space="preserve"> </w:t>
      </w:r>
      <w:r w:rsidR="00296DFB">
        <w:rPr>
          <w:rFonts w:ascii="Times New Roman" w:eastAsia="Times New Roman" w:hAnsi="Times New Roman" w:cs="Times New Roman"/>
          <w:sz w:val="24"/>
          <w:szCs w:val="24"/>
        </w:rPr>
        <w:t xml:space="preserve">Concentrating </w:t>
      </w:r>
      <w:r>
        <w:rPr>
          <w:rFonts w:ascii="Times New Roman" w:eastAsia="Times New Roman" w:hAnsi="Times New Roman" w:cs="Times New Roman"/>
          <w:sz w:val="24"/>
          <w:szCs w:val="24"/>
        </w:rPr>
        <w:t>on the first element</w:t>
      </w:r>
      <w:r w:rsidR="00296DFB">
        <w:rPr>
          <w:rFonts w:ascii="Times New Roman" w:eastAsia="Times New Roman" w:hAnsi="Times New Roman" w:cs="Times New Roman"/>
          <w:sz w:val="24"/>
          <w:szCs w:val="24"/>
        </w:rPr>
        <w:t xml:space="preserve">, given it </w:t>
      </w:r>
      <w:r>
        <w:rPr>
          <w:rFonts w:ascii="Times New Roman" w:eastAsia="Times New Roman" w:hAnsi="Times New Roman" w:cs="Times New Roman"/>
          <w:sz w:val="24"/>
          <w:szCs w:val="24"/>
        </w:rPr>
        <w:t>consider</w:t>
      </w:r>
      <w:r w:rsidR="00296DFB">
        <w:rPr>
          <w:rFonts w:ascii="Times New Roman" w:eastAsia="Times New Roman" w:hAnsi="Times New Roman" w:cs="Times New Roman"/>
          <w:sz w:val="24"/>
          <w:szCs w:val="24"/>
        </w:rPr>
        <w:t>ed</w:t>
      </w:r>
      <w:r>
        <w:rPr>
          <w:rFonts w:ascii="Times New Roman" w:eastAsia="Times New Roman" w:hAnsi="Times New Roman" w:cs="Times New Roman"/>
          <w:sz w:val="24"/>
          <w:szCs w:val="24"/>
        </w:rPr>
        <w:t xml:space="preserve"> the two other elements irrelevant</w:t>
      </w:r>
      <w:r w:rsidR="00296DFB">
        <w:rPr>
          <w:rFonts w:ascii="Times New Roman" w:eastAsia="Times New Roman" w:hAnsi="Times New Roman" w:cs="Times New Roman"/>
          <w:sz w:val="24"/>
          <w:szCs w:val="24"/>
        </w:rPr>
        <w:t>,</w:t>
      </w:r>
      <w:r>
        <w:rPr>
          <w:rFonts w:ascii="Times New Roman" w:eastAsia="Times New Roman" w:hAnsi="Times New Roman" w:cs="Times New Roman"/>
          <w:sz w:val="24"/>
          <w:szCs w:val="24"/>
          <w:vertAlign w:val="superscript"/>
        </w:rPr>
        <w:footnoteReference w:id="71"/>
      </w:r>
      <w:r>
        <w:rPr>
          <w:rFonts w:ascii="Times New Roman" w:eastAsia="Times New Roman" w:hAnsi="Times New Roman" w:cs="Times New Roman"/>
          <w:sz w:val="24"/>
          <w:szCs w:val="24"/>
        </w:rPr>
        <w:t xml:space="preserve"> the Court </w:t>
      </w:r>
      <w:r w:rsidR="00296DFB">
        <w:rPr>
          <w:rFonts w:ascii="Times New Roman" w:eastAsia="Times New Roman" w:hAnsi="Times New Roman" w:cs="Times New Roman"/>
          <w:sz w:val="24"/>
          <w:szCs w:val="24"/>
        </w:rPr>
        <w:t xml:space="preserve">focused </w:t>
      </w:r>
      <w:r>
        <w:rPr>
          <w:rFonts w:ascii="Times New Roman" w:eastAsia="Times New Roman" w:hAnsi="Times New Roman" w:cs="Times New Roman"/>
          <w:sz w:val="24"/>
          <w:szCs w:val="24"/>
        </w:rPr>
        <w:t xml:space="preserve">on some relevant issues which included (1) </w:t>
      </w:r>
      <w:proofErr w:type="spellStart"/>
      <w:r>
        <w:rPr>
          <w:rFonts w:ascii="Times New Roman" w:eastAsia="Times New Roman" w:hAnsi="Times New Roman" w:cs="Times New Roman"/>
          <w:sz w:val="24"/>
          <w:szCs w:val="24"/>
        </w:rPr>
        <w:t>Ongwen’s</w:t>
      </w:r>
      <w:proofErr w:type="spellEnd"/>
      <w:r>
        <w:rPr>
          <w:rFonts w:ascii="Times New Roman" w:eastAsia="Times New Roman" w:hAnsi="Times New Roman" w:cs="Times New Roman"/>
          <w:sz w:val="24"/>
          <w:szCs w:val="24"/>
        </w:rPr>
        <w:t xml:space="preserve"> position in the hierarchy of the LRA; (2) the execution of </w:t>
      </w:r>
      <w:proofErr w:type="spellStart"/>
      <w:r>
        <w:rPr>
          <w:rFonts w:ascii="Times New Roman" w:eastAsia="Times New Roman" w:hAnsi="Times New Roman" w:cs="Times New Roman"/>
          <w:sz w:val="24"/>
          <w:szCs w:val="24"/>
        </w:rPr>
        <w:t>Ongwen’s</w:t>
      </w:r>
      <w:proofErr w:type="spellEnd"/>
      <w:r>
        <w:rPr>
          <w:rFonts w:ascii="Times New Roman" w:eastAsia="Times New Roman" w:hAnsi="Times New Roman" w:cs="Times New Roman"/>
          <w:sz w:val="24"/>
          <w:szCs w:val="24"/>
        </w:rPr>
        <w:t xml:space="preserve"> fellow commanders; (3) the possibility </w:t>
      </w:r>
      <w:r w:rsidR="00296DFB">
        <w:rPr>
          <w:rFonts w:ascii="Times New Roman" w:eastAsia="Times New Roman" w:hAnsi="Times New Roman" w:cs="Times New Roman"/>
          <w:sz w:val="24"/>
          <w:szCs w:val="24"/>
        </w:rPr>
        <w:t xml:space="preserve">of </w:t>
      </w:r>
      <w:r>
        <w:rPr>
          <w:rFonts w:ascii="Times New Roman" w:eastAsia="Times New Roman" w:hAnsi="Times New Roman" w:cs="Times New Roman"/>
          <w:sz w:val="24"/>
          <w:szCs w:val="24"/>
        </w:rPr>
        <w:t xml:space="preserve">escape; (4) </w:t>
      </w:r>
      <w:proofErr w:type="spellStart"/>
      <w:r>
        <w:rPr>
          <w:rFonts w:ascii="Times New Roman" w:eastAsia="Times New Roman" w:hAnsi="Times New Roman" w:cs="Times New Roman"/>
          <w:sz w:val="24"/>
          <w:szCs w:val="24"/>
        </w:rPr>
        <w:t>Kony’s</w:t>
      </w:r>
      <w:proofErr w:type="spellEnd"/>
      <w:r>
        <w:rPr>
          <w:rFonts w:ascii="Times New Roman" w:eastAsia="Times New Roman" w:hAnsi="Times New Roman" w:cs="Times New Roman"/>
          <w:sz w:val="24"/>
          <w:szCs w:val="24"/>
        </w:rPr>
        <w:t xml:space="preserve"> alleged spiritual powers; (5) loyalty and career advancement and (6) private acts.</w:t>
      </w:r>
    </w:p>
    <w:p w14:paraId="65128668" w14:textId="67DC814C"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sidR="00190020">
        <w:rPr>
          <w:rFonts w:ascii="Times New Roman" w:eastAsia="Times New Roman" w:hAnsi="Times New Roman" w:cs="Times New Roman"/>
          <w:sz w:val="24"/>
          <w:szCs w:val="24"/>
        </w:rPr>
        <w:t>First, the Court held that, as a senior commander in the LRA, Ongwen did not receive the same threats to his life as low-level commanders</w:t>
      </w:r>
      <w:r w:rsidR="00190020">
        <w:rPr>
          <w:rFonts w:ascii="Times New Roman" w:eastAsia="Times New Roman" w:hAnsi="Times New Roman" w:cs="Times New Roman"/>
          <w:sz w:val="24"/>
          <w:szCs w:val="24"/>
          <w:vertAlign w:val="superscript"/>
        </w:rPr>
        <w:footnoteReference w:id="72"/>
      </w:r>
      <w:r w:rsidR="00190020">
        <w:rPr>
          <w:rFonts w:ascii="Times New Roman" w:eastAsia="Times New Roman" w:hAnsi="Times New Roman" w:cs="Times New Roman"/>
          <w:sz w:val="24"/>
          <w:szCs w:val="24"/>
        </w:rPr>
        <w:t xml:space="preserve"> and, in fact, personally made death threats to low-level commanders and abductees.</w:t>
      </w:r>
      <w:r w:rsidR="00190020">
        <w:rPr>
          <w:rFonts w:ascii="Times New Roman" w:eastAsia="Times New Roman" w:hAnsi="Times New Roman" w:cs="Times New Roman"/>
          <w:sz w:val="24"/>
          <w:szCs w:val="24"/>
          <w:vertAlign w:val="superscript"/>
        </w:rPr>
        <w:footnoteReference w:id="73"/>
      </w:r>
      <w:r w:rsidR="00190020">
        <w:rPr>
          <w:rFonts w:ascii="Times New Roman" w:eastAsia="Times New Roman" w:hAnsi="Times New Roman" w:cs="Times New Roman"/>
          <w:sz w:val="24"/>
          <w:szCs w:val="24"/>
        </w:rPr>
        <w:t xml:space="preserve"> The Trial Chamber also heard and accepted numerous witness testimonies explaining that Ongwen was a confident commander who made his own decisions, hence negating the Defence’s argument that Ongwen religiously followed </w:t>
      </w:r>
      <w:proofErr w:type="spellStart"/>
      <w:r w:rsidR="00190020">
        <w:rPr>
          <w:rFonts w:ascii="Times New Roman" w:eastAsia="Times New Roman" w:hAnsi="Times New Roman" w:cs="Times New Roman"/>
          <w:sz w:val="24"/>
          <w:szCs w:val="24"/>
        </w:rPr>
        <w:t>Kony’s</w:t>
      </w:r>
      <w:proofErr w:type="spellEnd"/>
      <w:r w:rsidR="00190020">
        <w:rPr>
          <w:rFonts w:ascii="Times New Roman" w:eastAsia="Times New Roman" w:hAnsi="Times New Roman" w:cs="Times New Roman"/>
          <w:sz w:val="24"/>
          <w:szCs w:val="24"/>
        </w:rPr>
        <w:t xml:space="preserve"> orders or was threatened to do so.</w:t>
      </w:r>
      <w:r w:rsidR="00190020">
        <w:rPr>
          <w:rFonts w:ascii="Times New Roman" w:eastAsia="Times New Roman" w:hAnsi="Times New Roman" w:cs="Times New Roman"/>
          <w:sz w:val="24"/>
          <w:szCs w:val="24"/>
          <w:vertAlign w:val="superscript"/>
        </w:rPr>
        <w:footnoteReference w:id="74"/>
      </w:r>
      <w:r w:rsidR="00190020">
        <w:rPr>
          <w:rFonts w:ascii="Times New Roman" w:eastAsia="Times New Roman" w:hAnsi="Times New Roman" w:cs="Times New Roman"/>
          <w:sz w:val="24"/>
          <w:szCs w:val="24"/>
        </w:rPr>
        <w:t xml:space="preserve"> The Court held ‘that the relationship between Joseph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and Dominic Ongwen was not characterised by the complete dominance of the former and subjection of the latter’,</w:t>
      </w:r>
      <w:r w:rsidR="00190020">
        <w:rPr>
          <w:rFonts w:ascii="Times New Roman" w:eastAsia="Times New Roman" w:hAnsi="Times New Roman" w:cs="Times New Roman"/>
          <w:sz w:val="24"/>
          <w:szCs w:val="24"/>
          <w:vertAlign w:val="superscript"/>
        </w:rPr>
        <w:footnoteReference w:id="75"/>
      </w:r>
      <w:r w:rsidR="00190020">
        <w:rPr>
          <w:rFonts w:ascii="Times New Roman" w:eastAsia="Times New Roman" w:hAnsi="Times New Roman" w:cs="Times New Roman"/>
          <w:sz w:val="24"/>
          <w:szCs w:val="24"/>
        </w:rPr>
        <w:t xml:space="preserve"> a point echoed by the Appeals Chamber that claimed that the LRA was a functioning hierarchy with several layers and should not be equated to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76"/>
      </w:r>
      <w:r w:rsidR="00190020">
        <w:rPr>
          <w:rFonts w:ascii="Times New Roman" w:eastAsia="Times New Roman" w:hAnsi="Times New Roman" w:cs="Times New Roman"/>
          <w:sz w:val="24"/>
          <w:szCs w:val="24"/>
        </w:rPr>
        <w:t xml:space="preserve"> The ICC also rejected for lack of evidence the Defence’s argument that Ongwen and others were forced to participate in sexual acts.</w:t>
      </w:r>
      <w:r w:rsidR="00190020">
        <w:rPr>
          <w:rFonts w:ascii="Times New Roman" w:eastAsia="Times New Roman" w:hAnsi="Times New Roman" w:cs="Times New Roman"/>
          <w:sz w:val="24"/>
          <w:szCs w:val="24"/>
          <w:vertAlign w:val="superscript"/>
        </w:rPr>
        <w:footnoteReference w:id="77"/>
      </w:r>
      <w:r w:rsidR="00190020">
        <w:rPr>
          <w:rFonts w:ascii="Times New Roman" w:eastAsia="Times New Roman" w:hAnsi="Times New Roman" w:cs="Times New Roman"/>
          <w:sz w:val="24"/>
          <w:szCs w:val="24"/>
          <w:vertAlign w:val="superscript"/>
        </w:rPr>
        <w:t xml:space="preserve"> </w:t>
      </w:r>
    </w:p>
    <w:p w14:paraId="65128669" w14:textId="11591E46"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Second, the Court rejected the Defence’s claim that the killings by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of other high-ranking commanders like </w:t>
      </w:r>
      <w:proofErr w:type="spellStart"/>
      <w:r w:rsidR="00190020">
        <w:rPr>
          <w:rFonts w:ascii="Times New Roman" w:eastAsia="Times New Roman" w:hAnsi="Times New Roman" w:cs="Times New Roman"/>
          <w:sz w:val="24"/>
          <w:szCs w:val="24"/>
        </w:rPr>
        <w:t>Otti</w:t>
      </w:r>
      <w:proofErr w:type="spellEnd"/>
      <w:r w:rsidR="00190020">
        <w:rPr>
          <w:rFonts w:ascii="Times New Roman" w:eastAsia="Times New Roman" w:hAnsi="Times New Roman" w:cs="Times New Roman"/>
          <w:sz w:val="24"/>
          <w:szCs w:val="24"/>
        </w:rPr>
        <w:t xml:space="preserve"> </w:t>
      </w:r>
      <w:proofErr w:type="spellStart"/>
      <w:r w:rsidR="00190020">
        <w:rPr>
          <w:rFonts w:ascii="Times New Roman" w:eastAsia="Times New Roman" w:hAnsi="Times New Roman" w:cs="Times New Roman"/>
          <w:sz w:val="24"/>
          <w:szCs w:val="24"/>
        </w:rPr>
        <w:t>Lagony</w:t>
      </w:r>
      <w:proofErr w:type="spellEnd"/>
      <w:r w:rsidR="00190020">
        <w:rPr>
          <w:rFonts w:ascii="Times New Roman" w:eastAsia="Times New Roman" w:hAnsi="Times New Roman" w:cs="Times New Roman"/>
          <w:sz w:val="24"/>
          <w:szCs w:val="24"/>
        </w:rPr>
        <w:t xml:space="preserve"> and Okello Can </w:t>
      </w:r>
      <w:proofErr w:type="spellStart"/>
      <w:r w:rsidR="00190020">
        <w:rPr>
          <w:rFonts w:ascii="Times New Roman" w:eastAsia="Times New Roman" w:hAnsi="Times New Roman" w:cs="Times New Roman"/>
          <w:sz w:val="24"/>
          <w:szCs w:val="24"/>
        </w:rPr>
        <w:t>Odonga</w:t>
      </w:r>
      <w:proofErr w:type="spellEnd"/>
      <w:r w:rsidR="00190020">
        <w:rPr>
          <w:rFonts w:ascii="Times New Roman" w:eastAsia="Times New Roman" w:hAnsi="Times New Roman" w:cs="Times New Roman"/>
          <w:sz w:val="24"/>
          <w:szCs w:val="24"/>
        </w:rPr>
        <w:t xml:space="preserve"> were indicative of a threat to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life.</w:t>
      </w:r>
      <w:r w:rsidR="00190020">
        <w:rPr>
          <w:rFonts w:ascii="Times New Roman" w:eastAsia="Times New Roman" w:hAnsi="Times New Roman" w:cs="Times New Roman"/>
          <w:sz w:val="24"/>
          <w:szCs w:val="24"/>
          <w:vertAlign w:val="superscript"/>
        </w:rPr>
        <w:footnoteReference w:id="78"/>
      </w:r>
      <w:r w:rsidR="00190020">
        <w:rPr>
          <w:rFonts w:ascii="Times New Roman" w:eastAsia="Times New Roman" w:hAnsi="Times New Roman" w:cs="Times New Roman"/>
          <w:sz w:val="24"/>
          <w:szCs w:val="24"/>
        </w:rPr>
        <w:t xml:space="preserve"> The Court retorted that </w:t>
      </w:r>
      <w:proofErr w:type="spellStart"/>
      <w:r w:rsidR="00190020">
        <w:rPr>
          <w:rFonts w:ascii="Times New Roman" w:eastAsia="Times New Roman" w:hAnsi="Times New Roman" w:cs="Times New Roman"/>
          <w:sz w:val="24"/>
          <w:szCs w:val="24"/>
        </w:rPr>
        <w:t>Lagony</w:t>
      </w:r>
      <w:proofErr w:type="spellEnd"/>
      <w:r w:rsidR="00190020">
        <w:rPr>
          <w:rFonts w:ascii="Times New Roman" w:eastAsia="Times New Roman" w:hAnsi="Times New Roman" w:cs="Times New Roman"/>
          <w:sz w:val="24"/>
          <w:szCs w:val="24"/>
        </w:rPr>
        <w:t xml:space="preserve"> and </w:t>
      </w:r>
      <w:proofErr w:type="spellStart"/>
      <w:r w:rsidR="00190020">
        <w:rPr>
          <w:rFonts w:ascii="Times New Roman" w:eastAsia="Times New Roman" w:hAnsi="Times New Roman" w:cs="Times New Roman"/>
          <w:sz w:val="24"/>
          <w:szCs w:val="24"/>
        </w:rPr>
        <w:t>Odonga</w:t>
      </w:r>
      <w:proofErr w:type="spellEnd"/>
      <w:r w:rsidR="00190020">
        <w:rPr>
          <w:rFonts w:ascii="Times New Roman" w:eastAsia="Times New Roman" w:hAnsi="Times New Roman" w:cs="Times New Roman"/>
          <w:sz w:val="24"/>
          <w:szCs w:val="24"/>
        </w:rPr>
        <w:t xml:space="preserve"> were killed for politically challenging </w:t>
      </w:r>
      <w:proofErr w:type="spellStart"/>
      <w:r w:rsidR="00190020">
        <w:rPr>
          <w:rFonts w:ascii="Times New Roman" w:eastAsia="Times New Roman" w:hAnsi="Times New Roman" w:cs="Times New Roman"/>
          <w:sz w:val="24"/>
          <w:szCs w:val="24"/>
        </w:rPr>
        <w:t>Kony’s</w:t>
      </w:r>
      <w:proofErr w:type="spellEnd"/>
      <w:r w:rsidR="00190020">
        <w:rPr>
          <w:rFonts w:ascii="Times New Roman" w:eastAsia="Times New Roman" w:hAnsi="Times New Roman" w:cs="Times New Roman"/>
          <w:sz w:val="24"/>
          <w:szCs w:val="24"/>
        </w:rPr>
        <w:t xml:space="preserve"> rule</w:t>
      </w:r>
      <w:r w:rsidR="00296DFB">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79"/>
      </w:r>
      <w:r w:rsidR="00190020">
        <w:rPr>
          <w:rFonts w:ascii="Times New Roman" w:eastAsia="Times New Roman" w:hAnsi="Times New Roman" w:cs="Times New Roman"/>
          <w:sz w:val="24"/>
          <w:szCs w:val="24"/>
        </w:rPr>
        <w:t xml:space="preserve"> wh</w:t>
      </w:r>
      <w:r w:rsidR="00296DFB">
        <w:rPr>
          <w:rFonts w:ascii="Times New Roman" w:eastAsia="Times New Roman" w:hAnsi="Times New Roman" w:cs="Times New Roman"/>
          <w:sz w:val="24"/>
          <w:szCs w:val="24"/>
        </w:rPr>
        <w:t>ich</w:t>
      </w:r>
      <w:r w:rsidR="00190020">
        <w:rPr>
          <w:rFonts w:ascii="Times New Roman" w:eastAsia="Times New Roman" w:hAnsi="Times New Roman" w:cs="Times New Roman"/>
          <w:sz w:val="24"/>
          <w:szCs w:val="24"/>
        </w:rPr>
        <w:t xml:space="preserve"> Ongwen was not.</w:t>
      </w:r>
      <w:r w:rsidR="00190020">
        <w:rPr>
          <w:rFonts w:ascii="Times New Roman" w:eastAsia="Times New Roman" w:hAnsi="Times New Roman" w:cs="Times New Roman"/>
          <w:sz w:val="24"/>
          <w:szCs w:val="24"/>
          <w:vertAlign w:val="superscript"/>
        </w:rPr>
        <w:footnoteReference w:id="80"/>
      </w:r>
      <w:r w:rsidR="00190020">
        <w:rPr>
          <w:rFonts w:ascii="Times New Roman" w:eastAsia="Times New Roman" w:hAnsi="Times New Roman" w:cs="Times New Roman"/>
          <w:sz w:val="24"/>
          <w:szCs w:val="24"/>
        </w:rPr>
        <w:t xml:space="preserve"> The Appeals Chamber held that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at most demoted or threatened to demote commanders not executing his orders.</w:t>
      </w:r>
      <w:r w:rsidR="00190020">
        <w:rPr>
          <w:rFonts w:ascii="Times New Roman" w:eastAsia="Times New Roman" w:hAnsi="Times New Roman" w:cs="Times New Roman"/>
          <w:sz w:val="24"/>
          <w:szCs w:val="24"/>
          <w:vertAlign w:val="superscript"/>
        </w:rPr>
        <w:footnoteReference w:id="81"/>
      </w:r>
      <w:r w:rsidR="00190020">
        <w:rPr>
          <w:rFonts w:ascii="Times New Roman" w:eastAsia="Times New Roman" w:hAnsi="Times New Roman" w:cs="Times New Roman"/>
          <w:sz w:val="24"/>
          <w:szCs w:val="24"/>
        </w:rPr>
        <w:t xml:space="preserve"> To illustrate </w:t>
      </w:r>
      <w:r w:rsidR="00296DFB">
        <w:rPr>
          <w:rFonts w:ascii="Times New Roman" w:eastAsia="Times New Roman" w:hAnsi="Times New Roman" w:cs="Times New Roman"/>
          <w:sz w:val="24"/>
          <w:szCs w:val="24"/>
        </w:rPr>
        <w:t>this</w:t>
      </w:r>
      <w:r w:rsidR="00190020">
        <w:rPr>
          <w:rFonts w:ascii="Times New Roman" w:eastAsia="Times New Roman" w:hAnsi="Times New Roman" w:cs="Times New Roman"/>
          <w:sz w:val="24"/>
          <w:szCs w:val="24"/>
        </w:rPr>
        <w:t xml:space="preserve">, the Appeals Chamber noted that Ongwen was once reprimanded by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for being a </w:t>
      </w:r>
      <w:r w:rsidR="00190020">
        <w:rPr>
          <w:rFonts w:ascii="Times New Roman" w:eastAsia="Times New Roman" w:hAnsi="Times New Roman" w:cs="Times New Roman"/>
          <w:sz w:val="24"/>
          <w:szCs w:val="24"/>
        </w:rPr>
        <w:lastRenderedPageBreak/>
        <w:t>weak commander and threatened to demote him.</w:t>
      </w:r>
      <w:r w:rsidR="00190020">
        <w:rPr>
          <w:rFonts w:ascii="Times New Roman" w:eastAsia="Times New Roman" w:hAnsi="Times New Roman" w:cs="Times New Roman"/>
          <w:sz w:val="24"/>
          <w:szCs w:val="24"/>
          <w:vertAlign w:val="superscript"/>
        </w:rPr>
        <w:footnoteReference w:id="82"/>
      </w:r>
      <w:r w:rsidR="00190020">
        <w:rPr>
          <w:rFonts w:ascii="Times New Roman" w:eastAsia="Times New Roman" w:hAnsi="Times New Roman" w:cs="Times New Roman"/>
          <w:sz w:val="24"/>
          <w:szCs w:val="24"/>
        </w:rPr>
        <w:t xml:space="preserve"> </w:t>
      </w:r>
      <w:r w:rsidR="008F3FC9">
        <w:rPr>
          <w:rFonts w:ascii="Times New Roman" w:eastAsia="Times New Roman" w:hAnsi="Times New Roman" w:cs="Times New Roman"/>
          <w:sz w:val="24"/>
          <w:szCs w:val="24"/>
        </w:rPr>
        <w:t>T</w:t>
      </w:r>
      <w:r w:rsidR="00190020">
        <w:rPr>
          <w:rFonts w:ascii="Times New Roman" w:eastAsia="Times New Roman" w:hAnsi="Times New Roman" w:cs="Times New Roman"/>
          <w:sz w:val="24"/>
          <w:szCs w:val="24"/>
        </w:rPr>
        <w:t xml:space="preserve">he Appeals Chamber accepted the Prosecution’s argument that </w:t>
      </w:r>
      <w:r w:rsidR="008F3FC9">
        <w:rPr>
          <w:rFonts w:ascii="Times New Roman" w:eastAsia="Times New Roman" w:hAnsi="Times New Roman" w:cs="Times New Roman"/>
          <w:sz w:val="24"/>
          <w:szCs w:val="24"/>
        </w:rPr>
        <w:t xml:space="preserve">the commanders </w:t>
      </w:r>
      <w:r w:rsidR="00190020">
        <w:rPr>
          <w:rFonts w:ascii="Times New Roman" w:eastAsia="Times New Roman" w:hAnsi="Times New Roman" w:cs="Times New Roman"/>
          <w:sz w:val="24"/>
          <w:szCs w:val="24"/>
        </w:rPr>
        <w:t xml:space="preserve">were </w:t>
      </w:r>
      <w:r w:rsidR="00296DFB">
        <w:rPr>
          <w:rFonts w:ascii="Times New Roman" w:eastAsia="Times New Roman" w:hAnsi="Times New Roman" w:cs="Times New Roman"/>
          <w:sz w:val="24"/>
          <w:szCs w:val="24"/>
        </w:rPr>
        <w:t xml:space="preserve">killed </w:t>
      </w:r>
      <w:r w:rsidR="00190020">
        <w:rPr>
          <w:rFonts w:ascii="Times New Roman" w:eastAsia="Times New Roman" w:hAnsi="Times New Roman" w:cs="Times New Roman"/>
          <w:sz w:val="24"/>
          <w:szCs w:val="24"/>
        </w:rPr>
        <w:t xml:space="preserve">for attempting to overthrow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83"/>
      </w:r>
    </w:p>
    <w:p w14:paraId="6512866A" w14:textId="30255098"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Third, the Court investigated whether Ongwen could escape.</w:t>
      </w:r>
      <w:r w:rsidR="00190020">
        <w:rPr>
          <w:rFonts w:ascii="Times New Roman" w:eastAsia="Times New Roman" w:hAnsi="Times New Roman" w:cs="Times New Roman"/>
          <w:sz w:val="24"/>
          <w:szCs w:val="24"/>
          <w:vertAlign w:val="superscript"/>
        </w:rPr>
        <w:footnoteReference w:id="84"/>
      </w:r>
      <w:r w:rsidR="00190020">
        <w:rPr>
          <w:rFonts w:ascii="Times New Roman" w:eastAsia="Times New Roman" w:hAnsi="Times New Roman" w:cs="Times New Roman"/>
          <w:sz w:val="24"/>
          <w:szCs w:val="24"/>
        </w:rPr>
        <w:t xml:space="preserve"> The Court held that various other high-ranking officials escaped between 2002 and 2004, yet Ongwen remained.</w:t>
      </w:r>
      <w:r w:rsidR="00190020">
        <w:rPr>
          <w:rFonts w:ascii="Times New Roman" w:eastAsia="Times New Roman" w:hAnsi="Times New Roman" w:cs="Times New Roman"/>
          <w:sz w:val="24"/>
          <w:szCs w:val="24"/>
          <w:vertAlign w:val="superscript"/>
        </w:rPr>
        <w:footnoteReference w:id="85"/>
      </w:r>
      <w:r w:rsidR="00190020">
        <w:rPr>
          <w:rFonts w:ascii="Times New Roman" w:eastAsia="Times New Roman" w:hAnsi="Times New Roman" w:cs="Times New Roman"/>
          <w:sz w:val="24"/>
          <w:szCs w:val="24"/>
        </w:rPr>
        <w:t xml:space="preserve"> The Appeals Chamber further accepted the evidence that several senior commanders, in a similar position as Ongwen, were able to escape the LRA.</w:t>
      </w:r>
      <w:r w:rsidR="00190020">
        <w:rPr>
          <w:rFonts w:ascii="Times New Roman" w:eastAsia="Times New Roman" w:hAnsi="Times New Roman" w:cs="Times New Roman"/>
          <w:sz w:val="24"/>
          <w:szCs w:val="24"/>
          <w:vertAlign w:val="superscript"/>
        </w:rPr>
        <w:footnoteReference w:id="86"/>
      </w:r>
      <w:r w:rsidR="00190020">
        <w:rPr>
          <w:rFonts w:ascii="Times New Roman" w:eastAsia="Times New Roman" w:hAnsi="Times New Roman" w:cs="Times New Roman"/>
          <w:sz w:val="24"/>
          <w:szCs w:val="24"/>
        </w:rPr>
        <w:t xml:space="preserve"> Low-level LRA officials also testified that they managed to escape.</w:t>
      </w:r>
      <w:r w:rsidR="00190020">
        <w:rPr>
          <w:rFonts w:ascii="Times New Roman" w:eastAsia="Times New Roman" w:hAnsi="Times New Roman" w:cs="Times New Roman"/>
          <w:sz w:val="24"/>
          <w:szCs w:val="24"/>
          <w:vertAlign w:val="superscript"/>
        </w:rPr>
        <w:footnoteReference w:id="87"/>
      </w:r>
      <w:r w:rsidR="00190020">
        <w:rPr>
          <w:rFonts w:ascii="Times New Roman" w:eastAsia="Times New Roman" w:hAnsi="Times New Roman" w:cs="Times New Roman"/>
          <w:sz w:val="24"/>
          <w:szCs w:val="24"/>
        </w:rPr>
        <w:t xml:space="preserve"> The ICC agreed with the Prosecution’s argument that, because of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high-ranking position, he was in a better position to escape as opposed to a low-ranking official.</w:t>
      </w:r>
      <w:r w:rsidR="00190020">
        <w:rPr>
          <w:rFonts w:ascii="Times New Roman" w:eastAsia="Times New Roman" w:hAnsi="Times New Roman" w:cs="Times New Roman"/>
          <w:sz w:val="24"/>
          <w:szCs w:val="24"/>
          <w:vertAlign w:val="superscript"/>
        </w:rPr>
        <w:footnoteReference w:id="88"/>
      </w:r>
      <w:r w:rsidR="00190020">
        <w:rPr>
          <w:rFonts w:ascii="Times New Roman" w:eastAsia="Times New Roman" w:hAnsi="Times New Roman" w:cs="Times New Roman"/>
          <w:sz w:val="24"/>
          <w:szCs w:val="24"/>
        </w:rPr>
        <w:t xml:space="preserve"> The Prosecution further maintained that ‘Dominic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claim that he could have never escaped are an insult to the thousands of adults and children who showed great courage and resilience in braving the escape from the LRA captors.’</w:t>
      </w:r>
      <w:r w:rsidR="00190020">
        <w:rPr>
          <w:rFonts w:ascii="Times New Roman" w:eastAsia="Times New Roman" w:hAnsi="Times New Roman" w:cs="Times New Roman"/>
          <w:sz w:val="24"/>
          <w:szCs w:val="24"/>
          <w:vertAlign w:val="superscript"/>
        </w:rPr>
        <w:footnoteReference w:id="89"/>
      </w:r>
      <w:r w:rsidR="00190020">
        <w:rPr>
          <w:rFonts w:ascii="Times New Roman" w:eastAsia="Times New Roman" w:hAnsi="Times New Roman" w:cs="Times New Roman"/>
          <w:sz w:val="24"/>
          <w:szCs w:val="24"/>
        </w:rPr>
        <w:t xml:space="preserve"> Moreover, approximately 21,000 LRA rebels took Uganda’s offer for an amnesty in 2000.</w:t>
      </w:r>
      <w:r w:rsidR="00190020">
        <w:rPr>
          <w:rFonts w:ascii="Times New Roman" w:eastAsia="Times New Roman" w:hAnsi="Times New Roman" w:cs="Times New Roman"/>
          <w:sz w:val="24"/>
          <w:szCs w:val="24"/>
          <w:vertAlign w:val="superscript"/>
        </w:rPr>
        <w:footnoteReference w:id="90"/>
      </w:r>
      <w:r w:rsidR="00190020">
        <w:rPr>
          <w:rFonts w:ascii="Times New Roman" w:eastAsia="Times New Roman" w:hAnsi="Times New Roman" w:cs="Times New Roman"/>
          <w:sz w:val="24"/>
          <w:szCs w:val="24"/>
        </w:rPr>
        <w:t xml:space="preserve"> Ongwen failed to take that opportunity. The Court held that escaping was a realistic option for Ongwen. Since he did not take this option, it meant he was under no serious threat from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91"/>
      </w:r>
      <w:r w:rsidR="00190020">
        <w:rPr>
          <w:rFonts w:ascii="Times New Roman" w:eastAsia="Times New Roman" w:hAnsi="Times New Roman" w:cs="Times New Roman"/>
          <w:sz w:val="24"/>
          <w:szCs w:val="24"/>
        </w:rPr>
        <w:t xml:space="preserve"> The Appeals Chamber held that it was not unreasonable for the Trial Chamber to determine that Ongwen had various opportunities to escape.</w:t>
      </w:r>
      <w:r w:rsidR="00190020">
        <w:rPr>
          <w:rFonts w:ascii="Times New Roman" w:eastAsia="Times New Roman" w:hAnsi="Times New Roman" w:cs="Times New Roman"/>
          <w:sz w:val="24"/>
          <w:szCs w:val="24"/>
          <w:vertAlign w:val="superscript"/>
        </w:rPr>
        <w:footnoteReference w:id="92"/>
      </w:r>
      <w:r w:rsidR="00190020">
        <w:rPr>
          <w:rFonts w:ascii="Times New Roman" w:eastAsia="Times New Roman" w:hAnsi="Times New Roman" w:cs="Times New Roman"/>
          <w:sz w:val="24"/>
          <w:szCs w:val="24"/>
        </w:rPr>
        <w:t xml:space="preserve"> The Defence, moreover, criticised the Trial Chamber by averting that it cherry-picked several cases of escape based on opportunity and by selecting commanders apparently on the same level as </w:t>
      </w:r>
      <w:r w:rsidR="00190020">
        <w:rPr>
          <w:rFonts w:ascii="Times New Roman" w:eastAsia="Times New Roman" w:hAnsi="Times New Roman" w:cs="Times New Roman"/>
          <w:sz w:val="24"/>
          <w:szCs w:val="24"/>
        </w:rPr>
        <w:lastRenderedPageBreak/>
        <w:t>Ongwen,</w:t>
      </w:r>
      <w:r w:rsidR="00190020">
        <w:rPr>
          <w:rFonts w:ascii="Times New Roman" w:eastAsia="Times New Roman" w:hAnsi="Times New Roman" w:cs="Times New Roman"/>
          <w:sz w:val="24"/>
          <w:szCs w:val="24"/>
          <w:vertAlign w:val="superscript"/>
        </w:rPr>
        <w:footnoteReference w:id="93"/>
      </w:r>
      <w:r w:rsidR="00190020">
        <w:rPr>
          <w:rFonts w:ascii="Times New Roman" w:eastAsia="Times New Roman" w:hAnsi="Times New Roman" w:cs="Times New Roman"/>
          <w:sz w:val="24"/>
          <w:szCs w:val="24"/>
        </w:rPr>
        <w:t xml:space="preserve"> a claim the Appeals Chamber dismissed.</w:t>
      </w:r>
      <w:r w:rsidR="00190020">
        <w:rPr>
          <w:rFonts w:ascii="Times New Roman" w:eastAsia="Times New Roman" w:hAnsi="Times New Roman" w:cs="Times New Roman"/>
          <w:sz w:val="24"/>
          <w:szCs w:val="24"/>
          <w:vertAlign w:val="superscript"/>
        </w:rPr>
        <w:footnoteReference w:id="94"/>
      </w:r>
      <w:r w:rsidR="00190020">
        <w:rPr>
          <w:rFonts w:ascii="Times New Roman" w:eastAsia="Times New Roman" w:hAnsi="Times New Roman" w:cs="Times New Roman"/>
          <w:sz w:val="24"/>
          <w:szCs w:val="24"/>
        </w:rPr>
        <w:t xml:space="preserve"> This narrative is</w:t>
      </w:r>
      <w:r w:rsidR="008F3FC9">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rPr>
        <w:t xml:space="preserve"> however</w:t>
      </w:r>
      <w:r w:rsidR="008F3FC9">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rPr>
        <w:t xml:space="preserve"> an oversimplification of the situation. The fear and shame of returning to his community and the fact that he already bought into the ideologies of the LRA through indoctrination and brainwashing further complicates any agency to </w:t>
      </w:r>
      <w:r w:rsidR="008F3FC9">
        <w:rPr>
          <w:rFonts w:ascii="Times New Roman" w:eastAsia="Times New Roman" w:hAnsi="Times New Roman" w:cs="Times New Roman"/>
          <w:sz w:val="24"/>
          <w:szCs w:val="24"/>
        </w:rPr>
        <w:t>flee</w:t>
      </w:r>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95"/>
      </w:r>
      <w:r w:rsidR="00190020">
        <w:rPr>
          <w:rFonts w:ascii="Times New Roman" w:eastAsia="Times New Roman" w:hAnsi="Times New Roman" w:cs="Times New Roman"/>
          <w:sz w:val="24"/>
          <w:szCs w:val="24"/>
        </w:rPr>
        <w:t xml:space="preserve"> That he could not have run away is not argued, but such a decision was more difficult to take than presented by the Court. </w:t>
      </w:r>
    </w:p>
    <w:p w14:paraId="6512866B" w14:textId="22919230"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Fourth, the Court probed the role of </w:t>
      </w:r>
      <w:proofErr w:type="spellStart"/>
      <w:r w:rsidR="00190020">
        <w:rPr>
          <w:rFonts w:ascii="Times New Roman" w:eastAsia="Times New Roman" w:hAnsi="Times New Roman" w:cs="Times New Roman"/>
          <w:sz w:val="24"/>
          <w:szCs w:val="24"/>
        </w:rPr>
        <w:t>Kony’s</w:t>
      </w:r>
      <w:proofErr w:type="spellEnd"/>
      <w:r w:rsidR="00190020">
        <w:rPr>
          <w:rFonts w:ascii="Times New Roman" w:eastAsia="Times New Roman" w:hAnsi="Times New Roman" w:cs="Times New Roman"/>
          <w:sz w:val="24"/>
          <w:szCs w:val="24"/>
        </w:rPr>
        <w:t xml:space="preserve"> </w:t>
      </w:r>
      <w:r w:rsidR="00436912">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rPr>
        <w:t xml:space="preserve">spiritual </w:t>
      </w:r>
      <w:proofErr w:type="gramStart"/>
      <w:r w:rsidR="00190020">
        <w:rPr>
          <w:rFonts w:ascii="Times New Roman" w:eastAsia="Times New Roman" w:hAnsi="Times New Roman" w:cs="Times New Roman"/>
          <w:sz w:val="24"/>
          <w:szCs w:val="24"/>
        </w:rPr>
        <w:t>powers</w:t>
      </w:r>
      <w:r w:rsidR="00436912">
        <w:rPr>
          <w:rFonts w:ascii="Times New Roman" w:eastAsia="Times New Roman" w:hAnsi="Times New Roman" w:cs="Times New Roman"/>
          <w:sz w:val="24"/>
          <w:szCs w:val="24"/>
        </w:rPr>
        <w:t>’</w:t>
      </w:r>
      <w:proofErr w:type="gramEnd"/>
      <w:r w:rsidR="00190020">
        <w:rPr>
          <w:rFonts w:ascii="Times New Roman" w:eastAsia="Times New Roman" w:hAnsi="Times New Roman" w:cs="Times New Roman"/>
          <w:sz w:val="24"/>
          <w:szCs w:val="24"/>
        </w:rPr>
        <w:t xml:space="preserve">. The Defence asserted that </w:t>
      </w:r>
      <w:r w:rsidR="00190020">
        <w:rPr>
          <w:rFonts w:ascii="Times New Roman" w:eastAsia="Times New Roman" w:hAnsi="Times New Roman" w:cs="Times New Roman"/>
          <w:sz w:val="24"/>
          <w:szCs w:val="24"/>
          <w:highlight w:val="white"/>
        </w:rPr>
        <w:t xml:space="preserve">‘[t]he indoctrination into </w:t>
      </w:r>
      <w:proofErr w:type="spellStart"/>
      <w:r w:rsidR="00190020">
        <w:rPr>
          <w:rFonts w:ascii="Times New Roman" w:eastAsia="Times New Roman" w:hAnsi="Times New Roman" w:cs="Times New Roman"/>
          <w:sz w:val="24"/>
          <w:szCs w:val="24"/>
          <w:highlight w:val="white"/>
        </w:rPr>
        <w:t>Kony’s</w:t>
      </w:r>
      <w:proofErr w:type="spellEnd"/>
      <w:r w:rsidR="00190020">
        <w:rPr>
          <w:rFonts w:ascii="Times New Roman" w:eastAsia="Times New Roman" w:hAnsi="Times New Roman" w:cs="Times New Roman"/>
          <w:sz w:val="24"/>
          <w:szCs w:val="24"/>
          <w:highlight w:val="white"/>
        </w:rPr>
        <w:t xml:space="preserve"> perverted version of spiritualism created a coercive environment …. [that] compelled people to follow rules by preying on their fears of death or severe punishment.’</w:t>
      </w:r>
      <w:r w:rsidR="00190020">
        <w:rPr>
          <w:rFonts w:ascii="Times New Roman" w:eastAsia="Times New Roman" w:hAnsi="Times New Roman" w:cs="Times New Roman"/>
          <w:sz w:val="24"/>
          <w:szCs w:val="24"/>
          <w:highlight w:val="white"/>
          <w:vertAlign w:val="superscript"/>
        </w:rPr>
        <w:footnoteReference w:id="96"/>
      </w:r>
      <w:r w:rsidR="00190020">
        <w:rPr>
          <w:rFonts w:ascii="Times New Roman" w:eastAsia="Times New Roman" w:hAnsi="Times New Roman" w:cs="Times New Roman"/>
          <w:sz w:val="24"/>
          <w:szCs w:val="24"/>
          <w:highlight w:val="white"/>
        </w:rPr>
        <w:t xml:space="preserve"> </w:t>
      </w:r>
      <w:r w:rsidR="00190020">
        <w:rPr>
          <w:rFonts w:ascii="Times New Roman" w:eastAsia="Times New Roman" w:hAnsi="Times New Roman" w:cs="Times New Roman"/>
          <w:sz w:val="24"/>
          <w:szCs w:val="24"/>
        </w:rPr>
        <w:t>The Court dismissed such an account and, in</w:t>
      </w:r>
      <w:r w:rsidR="00436912">
        <w:rPr>
          <w:rFonts w:ascii="Times New Roman" w:eastAsia="Times New Roman" w:hAnsi="Times New Roman" w:cs="Times New Roman"/>
          <w:sz w:val="24"/>
          <w:szCs w:val="24"/>
        </w:rPr>
        <w:t>stead</w:t>
      </w:r>
      <w:r w:rsidR="00190020">
        <w:rPr>
          <w:rFonts w:ascii="Times New Roman" w:eastAsia="Times New Roman" w:hAnsi="Times New Roman" w:cs="Times New Roman"/>
          <w:sz w:val="24"/>
          <w:szCs w:val="24"/>
        </w:rPr>
        <w:t xml:space="preserve">, accepted the testimony of other LRA members maintaining that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did not possess spiritual powers, and evidence indicating that Ongwen defied </w:t>
      </w:r>
      <w:proofErr w:type="spellStart"/>
      <w:r w:rsidR="00190020">
        <w:rPr>
          <w:rFonts w:ascii="Times New Roman" w:eastAsia="Times New Roman" w:hAnsi="Times New Roman" w:cs="Times New Roman"/>
          <w:sz w:val="24"/>
          <w:szCs w:val="24"/>
        </w:rPr>
        <w:t>Kony’s</w:t>
      </w:r>
      <w:proofErr w:type="spellEnd"/>
      <w:r w:rsidR="00190020">
        <w:rPr>
          <w:rFonts w:ascii="Times New Roman" w:eastAsia="Times New Roman" w:hAnsi="Times New Roman" w:cs="Times New Roman"/>
          <w:sz w:val="24"/>
          <w:szCs w:val="24"/>
        </w:rPr>
        <w:t xml:space="preserve"> orders at times, all refuting </w:t>
      </w:r>
      <w:proofErr w:type="spellStart"/>
      <w:r w:rsidR="00190020">
        <w:rPr>
          <w:rFonts w:ascii="Times New Roman" w:eastAsia="Times New Roman" w:hAnsi="Times New Roman" w:cs="Times New Roman"/>
          <w:sz w:val="24"/>
          <w:szCs w:val="24"/>
        </w:rPr>
        <w:t>Kony’s</w:t>
      </w:r>
      <w:proofErr w:type="spellEnd"/>
      <w:r w:rsidR="00190020">
        <w:rPr>
          <w:rFonts w:ascii="Times New Roman" w:eastAsia="Times New Roman" w:hAnsi="Times New Roman" w:cs="Times New Roman"/>
          <w:sz w:val="24"/>
          <w:szCs w:val="24"/>
        </w:rPr>
        <w:t xml:space="preserve"> spiritual influence on Ongwen.</w:t>
      </w:r>
      <w:r w:rsidR="00190020">
        <w:rPr>
          <w:rFonts w:ascii="Times New Roman" w:eastAsia="Times New Roman" w:hAnsi="Times New Roman" w:cs="Times New Roman"/>
          <w:sz w:val="24"/>
          <w:szCs w:val="24"/>
          <w:vertAlign w:val="superscript"/>
        </w:rPr>
        <w:footnoteReference w:id="97"/>
      </w:r>
      <w:r w:rsidR="00190020">
        <w:rPr>
          <w:rFonts w:ascii="Times New Roman" w:eastAsia="Times New Roman" w:hAnsi="Times New Roman" w:cs="Times New Roman"/>
          <w:sz w:val="24"/>
          <w:szCs w:val="24"/>
        </w:rPr>
        <w:t xml:space="preserve"> On Appeal, the Defence argued</w:t>
      </w:r>
      <w:r w:rsidR="00436912">
        <w:rPr>
          <w:rFonts w:ascii="Times New Roman" w:eastAsia="Times New Roman" w:hAnsi="Times New Roman" w:cs="Times New Roman"/>
          <w:sz w:val="24"/>
          <w:szCs w:val="24"/>
        </w:rPr>
        <w:t xml:space="preserve">, </w:t>
      </w:r>
      <w:r w:rsidR="00436912" w:rsidRPr="003B02F0">
        <w:rPr>
          <w:rFonts w:ascii="Times New Roman" w:eastAsia="Times New Roman" w:hAnsi="Times New Roman" w:cs="Times New Roman"/>
          <w:i/>
          <w:iCs/>
          <w:sz w:val="24"/>
          <w:szCs w:val="24"/>
        </w:rPr>
        <w:t>inter alia</w:t>
      </w:r>
      <w:r w:rsidR="00436912">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rPr>
        <w:t xml:space="preserve"> that spiritualism in the LRA was ‘inextricably interwoven’ with duress and that the Trial Chamber did not consider </w:t>
      </w:r>
      <w:r w:rsidR="00436912">
        <w:rPr>
          <w:rFonts w:ascii="Times New Roman" w:eastAsia="Times New Roman" w:hAnsi="Times New Roman" w:cs="Times New Roman"/>
          <w:sz w:val="24"/>
          <w:szCs w:val="24"/>
        </w:rPr>
        <w:t xml:space="preserve">its </w:t>
      </w:r>
      <w:r w:rsidR="00190020">
        <w:rPr>
          <w:rFonts w:ascii="Times New Roman" w:eastAsia="Times New Roman" w:hAnsi="Times New Roman" w:cs="Times New Roman"/>
          <w:sz w:val="24"/>
          <w:szCs w:val="24"/>
        </w:rPr>
        <w:t>effects on abducted child soldiers.</w:t>
      </w:r>
      <w:r w:rsidR="00190020">
        <w:rPr>
          <w:rFonts w:ascii="Times New Roman" w:eastAsia="Times New Roman" w:hAnsi="Times New Roman" w:cs="Times New Roman"/>
          <w:sz w:val="24"/>
          <w:szCs w:val="24"/>
          <w:vertAlign w:val="superscript"/>
        </w:rPr>
        <w:footnoteReference w:id="98"/>
      </w:r>
      <w:r w:rsidR="00190020">
        <w:rPr>
          <w:rFonts w:ascii="Times New Roman" w:eastAsia="Times New Roman" w:hAnsi="Times New Roman" w:cs="Times New Roman"/>
          <w:sz w:val="24"/>
          <w:szCs w:val="24"/>
        </w:rPr>
        <w:t xml:space="preserve"> It held further that the assessment of spiritualism required an in-depth analysis of the subjective belief of Ongwen </w:t>
      </w:r>
      <w:r w:rsidR="00190020" w:rsidRPr="003B02F0">
        <w:rPr>
          <w:rFonts w:ascii="Times New Roman" w:eastAsia="Times New Roman" w:hAnsi="Times New Roman" w:cs="Times New Roman"/>
          <w:i/>
          <w:iCs/>
          <w:sz w:val="24"/>
          <w:szCs w:val="24"/>
        </w:rPr>
        <w:t>at the time</w:t>
      </w:r>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99"/>
      </w:r>
      <w:r w:rsidR="00190020">
        <w:rPr>
          <w:rFonts w:ascii="Times New Roman" w:eastAsia="Times New Roman" w:hAnsi="Times New Roman" w:cs="Times New Roman"/>
          <w:sz w:val="24"/>
          <w:szCs w:val="24"/>
        </w:rPr>
        <w:t xml:space="preserve"> The Appeals Chamber disagreed and held that the Trial Chamber did not err in holding that the evidence showed that spiritualism subsided once the abducted child grew older.</w:t>
      </w:r>
      <w:r w:rsidR="00190020">
        <w:rPr>
          <w:rFonts w:ascii="Times New Roman" w:eastAsia="Times New Roman" w:hAnsi="Times New Roman" w:cs="Times New Roman"/>
          <w:sz w:val="24"/>
          <w:szCs w:val="24"/>
          <w:vertAlign w:val="superscript"/>
        </w:rPr>
        <w:footnoteReference w:id="100"/>
      </w:r>
      <w:r w:rsidR="00190020">
        <w:rPr>
          <w:rFonts w:ascii="Times New Roman" w:eastAsia="Times New Roman" w:hAnsi="Times New Roman" w:cs="Times New Roman"/>
          <w:sz w:val="24"/>
          <w:szCs w:val="24"/>
        </w:rPr>
        <w:t xml:space="preserve"> Put simply, only children are susceptible to these beliefs and as an adult, it was not possible that Ongwen held such beliefs.</w:t>
      </w:r>
    </w:p>
    <w:p w14:paraId="6512866C" w14:textId="45A21367"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sidR="00190020">
        <w:rPr>
          <w:rFonts w:ascii="Times New Roman" w:eastAsia="Times New Roman" w:hAnsi="Times New Roman" w:cs="Times New Roman"/>
          <w:sz w:val="24"/>
          <w:szCs w:val="24"/>
        </w:rPr>
        <w:t xml:space="preserve">Fifth, in analysing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career advancement and his positions in the LRA, the Court whilst acknowledging that these were held for having followed many of </w:t>
      </w:r>
      <w:proofErr w:type="spellStart"/>
      <w:r w:rsidR="00190020">
        <w:rPr>
          <w:rFonts w:ascii="Times New Roman" w:eastAsia="Times New Roman" w:hAnsi="Times New Roman" w:cs="Times New Roman"/>
          <w:sz w:val="24"/>
          <w:szCs w:val="24"/>
        </w:rPr>
        <w:t>Kony’s</w:t>
      </w:r>
      <w:proofErr w:type="spellEnd"/>
      <w:r w:rsidR="00190020">
        <w:rPr>
          <w:rFonts w:ascii="Times New Roman" w:eastAsia="Times New Roman" w:hAnsi="Times New Roman" w:cs="Times New Roman"/>
          <w:sz w:val="24"/>
          <w:szCs w:val="24"/>
        </w:rPr>
        <w:t xml:space="preserve"> orders, also submitted that much of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conduct resulted from his own initiative, free from any fear or threats.</w:t>
      </w:r>
      <w:r w:rsidR="00190020">
        <w:rPr>
          <w:rFonts w:ascii="Times New Roman" w:eastAsia="Times New Roman" w:hAnsi="Times New Roman" w:cs="Times New Roman"/>
          <w:sz w:val="24"/>
          <w:szCs w:val="24"/>
          <w:vertAlign w:val="superscript"/>
        </w:rPr>
        <w:footnoteReference w:id="101"/>
      </w:r>
      <w:r w:rsidR="00190020">
        <w:rPr>
          <w:rFonts w:ascii="Times New Roman" w:eastAsia="Times New Roman" w:hAnsi="Times New Roman" w:cs="Times New Roman"/>
          <w:sz w:val="24"/>
          <w:szCs w:val="24"/>
        </w:rPr>
        <w:t xml:space="preserve"> The Trial Chamber noted that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conduct was regularly praised by </w:t>
      </w:r>
      <w:proofErr w:type="spellStart"/>
      <w:r w:rsidR="00190020">
        <w:rPr>
          <w:rFonts w:ascii="Times New Roman" w:eastAsia="Times New Roman" w:hAnsi="Times New Roman" w:cs="Times New Roman"/>
          <w:sz w:val="24"/>
          <w:szCs w:val="24"/>
        </w:rPr>
        <w:t>Kony</w:t>
      </w:r>
      <w:proofErr w:type="spellEnd"/>
      <w:r w:rsidR="00190020">
        <w:rPr>
          <w:rFonts w:ascii="Times New Roman" w:eastAsia="Times New Roman" w:hAnsi="Times New Roman" w:cs="Times New Roman"/>
          <w:sz w:val="24"/>
          <w:szCs w:val="24"/>
        </w:rPr>
        <w:t xml:space="preserve"> and held that Ongwen resembled ‘a commander in control of his unit, directing its organisation and its actions according to his own planning.’</w:t>
      </w:r>
      <w:r w:rsidR="00190020">
        <w:rPr>
          <w:rFonts w:ascii="Times New Roman" w:eastAsia="Times New Roman" w:hAnsi="Times New Roman" w:cs="Times New Roman"/>
          <w:sz w:val="24"/>
          <w:szCs w:val="24"/>
          <w:vertAlign w:val="superscript"/>
        </w:rPr>
        <w:footnoteReference w:id="102"/>
      </w:r>
      <w:r w:rsidR="00190020">
        <w:rPr>
          <w:rFonts w:ascii="Times New Roman" w:eastAsia="Times New Roman" w:hAnsi="Times New Roman" w:cs="Times New Roman"/>
          <w:sz w:val="24"/>
          <w:szCs w:val="24"/>
        </w:rPr>
        <w:t xml:space="preserve"> The Appeals Chamber dismissed the Defence’s argument that the Trial Chamber erred in its assessment of intercepted LRA communications since the Defence did not provide any evidence of this.</w:t>
      </w:r>
      <w:r w:rsidR="00190020">
        <w:rPr>
          <w:rFonts w:ascii="Times New Roman" w:eastAsia="Times New Roman" w:hAnsi="Times New Roman" w:cs="Times New Roman"/>
          <w:sz w:val="24"/>
          <w:szCs w:val="24"/>
          <w:vertAlign w:val="superscript"/>
        </w:rPr>
        <w:footnoteReference w:id="103"/>
      </w:r>
    </w:p>
    <w:p w14:paraId="6512866D"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Last but not least, to hammer in the point that Ongwen was not under duress when committing the crimes, the Court examined his behaviour in private, i.e., away from all external pressures. The Trial Chamber held that Ongwen never told the young girls he raped in his tent that they could simply pretend to have sex, thereby pleasing </w:t>
      </w:r>
      <w:proofErr w:type="spellStart"/>
      <w:r>
        <w:rPr>
          <w:rFonts w:ascii="Times New Roman" w:eastAsia="Times New Roman" w:hAnsi="Times New Roman" w:cs="Times New Roman"/>
          <w:sz w:val="24"/>
          <w:szCs w:val="24"/>
        </w:rPr>
        <w:t>Kony’s</w:t>
      </w:r>
      <w:proofErr w:type="spellEnd"/>
      <w:r>
        <w:rPr>
          <w:rFonts w:ascii="Times New Roman" w:eastAsia="Times New Roman" w:hAnsi="Times New Roman" w:cs="Times New Roman"/>
          <w:sz w:val="24"/>
          <w:szCs w:val="24"/>
        </w:rPr>
        <w:t xml:space="preserve"> orders for them to have sex.</w:t>
      </w:r>
      <w:r>
        <w:rPr>
          <w:rFonts w:ascii="Times New Roman" w:eastAsia="Times New Roman" w:hAnsi="Times New Roman" w:cs="Times New Roman"/>
          <w:sz w:val="24"/>
          <w:szCs w:val="24"/>
          <w:vertAlign w:val="superscript"/>
        </w:rPr>
        <w:footnoteReference w:id="104"/>
      </w:r>
      <w:r>
        <w:rPr>
          <w:rFonts w:ascii="Times New Roman" w:eastAsia="Times New Roman" w:hAnsi="Times New Roman" w:cs="Times New Roman"/>
          <w:sz w:val="24"/>
          <w:szCs w:val="24"/>
        </w:rPr>
        <w:t xml:space="preserve"> Ongwen never protected the girls from sex, and this was enough evidence for the Trial Chamber to hold that Ongwen could have prevented sexual offences from occurring in private. On Appeal, the Defence held that the Trial Chamber erred in holding that the commission of sexual offences was ‘in private’ and ‘indicative’ of the fact that Ongwen was not under duress when he committed these offences.</w:t>
      </w:r>
      <w:r>
        <w:rPr>
          <w:rFonts w:ascii="Times New Roman" w:eastAsia="Times New Roman" w:hAnsi="Times New Roman" w:cs="Times New Roman"/>
          <w:sz w:val="24"/>
          <w:szCs w:val="24"/>
          <w:vertAlign w:val="superscript"/>
        </w:rPr>
        <w:footnoteReference w:id="105"/>
      </w:r>
      <w:r>
        <w:rPr>
          <w:rFonts w:ascii="Times New Roman" w:eastAsia="Times New Roman" w:hAnsi="Times New Roman" w:cs="Times New Roman"/>
          <w:sz w:val="24"/>
          <w:szCs w:val="24"/>
        </w:rPr>
        <w:t xml:space="preserve"> The Appeals Chamber agreed that Ongwen committed sexual offences in his sleeping place where no threats made to him could have any effect.</w:t>
      </w:r>
      <w:r>
        <w:rPr>
          <w:rFonts w:ascii="Times New Roman" w:eastAsia="Times New Roman" w:hAnsi="Times New Roman" w:cs="Times New Roman"/>
          <w:sz w:val="24"/>
          <w:szCs w:val="24"/>
          <w:vertAlign w:val="superscript"/>
        </w:rPr>
        <w:footnoteReference w:id="106"/>
      </w:r>
    </w:p>
    <w:p w14:paraId="6512866E" w14:textId="77777777" w:rsidR="00B32260" w:rsidRDefault="00B32260" w:rsidP="004F3B74">
      <w:pPr>
        <w:shd w:val="clear" w:color="auto" w:fill="FFFFFF"/>
        <w:tabs>
          <w:tab w:val="left" w:pos="357"/>
        </w:tabs>
        <w:spacing w:line="480" w:lineRule="auto"/>
        <w:jc w:val="both"/>
        <w:rPr>
          <w:rFonts w:ascii="Times New Roman" w:eastAsia="Times New Roman" w:hAnsi="Times New Roman" w:cs="Times New Roman"/>
          <w:sz w:val="24"/>
          <w:szCs w:val="24"/>
        </w:rPr>
      </w:pPr>
    </w:p>
    <w:p w14:paraId="6512866F"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3.3 </w:t>
      </w:r>
      <w:r>
        <w:rPr>
          <w:rFonts w:ascii="Times New Roman" w:eastAsia="Times New Roman" w:hAnsi="Times New Roman" w:cs="Times New Roman"/>
          <w:b/>
          <w:sz w:val="24"/>
          <w:szCs w:val="24"/>
        </w:rPr>
        <w:tab/>
      </w:r>
      <w:r>
        <w:rPr>
          <w:rFonts w:ascii="Times New Roman" w:eastAsia="Times New Roman" w:hAnsi="Times New Roman" w:cs="Times New Roman"/>
          <w:b/>
          <w:i/>
          <w:sz w:val="24"/>
          <w:szCs w:val="24"/>
        </w:rPr>
        <w:t>Duress and the Coercive Environment</w:t>
      </w:r>
    </w:p>
    <w:p w14:paraId="65128670"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Applying duress to Ongwen as a possible ground for excluding criminal responsibility was always going to be challenging for the Defence. </w:t>
      </w:r>
      <w:bookmarkStart w:id="1" w:name="_Hlk138496831"/>
      <w:r>
        <w:rPr>
          <w:rFonts w:ascii="Times New Roman" w:eastAsia="Times New Roman" w:hAnsi="Times New Roman" w:cs="Times New Roman"/>
          <w:sz w:val="24"/>
          <w:szCs w:val="24"/>
        </w:rPr>
        <w:t xml:space="preserve">The problem, we submit, is that the past coercive environment of child soldiers (and especially their experience) and the present coercive environment of former child soldiers who stayed in the armed forces or group cannot </w:t>
      </w:r>
      <w:r>
        <w:rPr>
          <w:rFonts w:ascii="Times New Roman" w:eastAsia="Times New Roman" w:hAnsi="Times New Roman" w:cs="Times New Roman"/>
          <w:i/>
          <w:sz w:val="24"/>
          <w:szCs w:val="24"/>
        </w:rPr>
        <w:t>as such</w:t>
      </w:r>
      <w:r>
        <w:rPr>
          <w:rFonts w:ascii="Times New Roman" w:eastAsia="Times New Roman" w:hAnsi="Times New Roman" w:cs="Times New Roman"/>
          <w:sz w:val="24"/>
          <w:szCs w:val="24"/>
        </w:rPr>
        <w:t xml:space="preserve"> be equated with duress. </w:t>
      </w:r>
      <w:bookmarkEnd w:id="1"/>
      <w:r>
        <w:rPr>
          <w:rFonts w:ascii="Times New Roman" w:eastAsia="Times New Roman" w:hAnsi="Times New Roman" w:cs="Times New Roman"/>
          <w:sz w:val="24"/>
          <w:szCs w:val="24"/>
        </w:rPr>
        <w:t xml:space="preserve">This is obvious when examining how the Trial and Appeals Chambers deal with the Defence’s reliance on 1) </w:t>
      </w:r>
      <w:proofErr w:type="spellStart"/>
      <w:r>
        <w:rPr>
          <w:rFonts w:ascii="Times New Roman" w:eastAsia="Times New Roman" w:hAnsi="Times New Roman" w:cs="Times New Roman"/>
          <w:sz w:val="24"/>
          <w:szCs w:val="24"/>
        </w:rPr>
        <w:t>Ongwen’s</w:t>
      </w:r>
      <w:proofErr w:type="spellEnd"/>
      <w:r>
        <w:rPr>
          <w:rFonts w:ascii="Times New Roman" w:eastAsia="Times New Roman" w:hAnsi="Times New Roman" w:cs="Times New Roman"/>
          <w:sz w:val="24"/>
          <w:szCs w:val="24"/>
        </w:rPr>
        <w:t xml:space="preserve"> past status as a victim of child soldiering growing up in a coercive environment and 2) the continuous spiritualism, ingrained </w:t>
      </w:r>
      <w:proofErr w:type="gramStart"/>
      <w:r>
        <w:rPr>
          <w:rFonts w:ascii="Times New Roman" w:eastAsia="Times New Roman" w:hAnsi="Times New Roman" w:cs="Times New Roman"/>
          <w:sz w:val="24"/>
          <w:szCs w:val="24"/>
        </w:rPr>
        <w:t>indoctrination</w:t>
      </w:r>
      <w:proofErr w:type="gramEnd"/>
      <w:r>
        <w:rPr>
          <w:rFonts w:ascii="Times New Roman" w:eastAsia="Times New Roman" w:hAnsi="Times New Roman" w:cs="Times New Roman"/>
          <w:sz w:val="24"/>
          <w:szCs w:val="24"/>
        </w:rPr>
        <w:t xml:space="preserve"> and a continuous coercive environment within the LRA, which it argued created an environment conducive to duress.</w:t>
      </w:r>
      <w:r>
        <w:rPr>
          <w:rFonts w:ascii="Times New Roman" w:eastAsia="Times New Roman" w:hAnsi="Times New Roman" w:cs="Times New Roman"/>
          <w:sz w:val="24"/>
          <w:szCs w:val="24"/>
          <w:vertAlign w:val="superscript"/>
        </w:rPr>
        <w:footnoteReference w:id="107"/>
      </w:r>
      <w:r>
        <w:rPr>
          <w:rFonts w:ascii="Times New Roman" w:eastAsia="Times New Roman" w:hAnsi="Times New Roman" w:cs="Times New Roman"/>
          <w:sz w:val="24"/>
          <w:szCs w:val="24"/>
        </w:rPr>
        <w:t xml:space="preserve"> </w:t>
      </w:r>
    </w:p>
    <w:p w14:paraId="65128671" w14:textId="75CF39B2"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The Trial and Appeals Chambers stressed on numerous occasions that his experience as a victim of child soldiering himself could not exclude his criminal accountability as an adult.</w:t>
      </w:r>
      <w:r w:rsidR="00190020">
        <w:rPr>
          <w:rFonts w:ascii="Times New Roman" w:eastAsia="Times New Roman" w:hAnsi="Times New Roman" w:cs="Times New Roman"/>
          <w:sz w:val="24"/>
          <w:szCs w:val="24"/>
          <w:vertAlign w:val="superscript"/>
        </w:rPr>
        <w:footnoteReference w:id="108"/>
      </w:r>
      <w:r w:rsidR="00190020">
        <w:rPr>
          <w:rFonts w:ascii="Times New Roman" w:eastAsia="Times New Roman" w:hAnsi="Times New Roman" w:cs="Times New Roman"/>
          <w:sz w:val="24"/>
          <w:szCs w:val="24"/>
        </w:rPr>
        <w:t xml:space="preserve"> No doubt simply being a former child soldier does not absolve one from crimes committed later in life. However, it is the link between the experience as a child soldier growing up in a coercive environment and the adult that ought to be examined carefully. In Ongwen the ICC clearly illustrated the fact that duress is an unsuitable ground for excluding criminal responsibility when an individual has grown up in a coercive environment. To the Defence’s argument that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childhood abduction and death threats he received as a child were central to the duress defence, the ICC </w:t>
      </w:r>
      <w:r w:rsidR="00436912">
        <w:rPr>
          <w:rFonts w:ascii="Times New Roman" w:eastAsia="Times New Roman" w:hAnsi="Times New Roman" w:cs="Times New Roman"/>
          <w:sz w:val="24"/>
          <w:szCs w:val="24"/>
        </w:rPr>
        <w:t xml:space="preserve">responded </w:t>
      </w:r>
      <w:r w:rsidR="00190020">
        <w:rPr>
          <w:rFonts w:ascii="Times New Roman" w:eastAsia="Times New Roman" w:hAnsi="Times New Roman" w:cs="Times New Roman"/>
          <w:sz w:val="24"/>
          <w:szCs w:val="24"/>
        </w:rPr>
        <w:t>that those threats were too far removed from his conduct as an adult.</w:t>
      </w:r>
      <w:r w:rsidR="00190020">
        <w:rPr>
          <w:rFonts w:ascii="Times New Roman" w:eastAsia="Times New Roman" w:hAnsi="Times New Roman" w:cs="Times New Roman"/>
          <w:sz w:val="24"/>
          <w:szCs w:val="24"/>
          <w:vertAlign w:val="superscript"/>
        </w:rPr>
        <w:footnoteReference w:id="109"/>
      </w:r>
      <w:r w:rsidR="00190020">
        <w:rPr>
          <w:rFonts w:ascii="Times New Roman" w:eastAsia="Times New Roman" w:hAnsi="Times New Roman" w:cs="Times New Roman"/>
          <w:sz w:val="24"/>
          <w:szCs w:val="24"/>
        </w:rPr>
        <w:t xml:space="preserve"> At the Appeal, the Defence insisted that a human cannot be separated from his past and that it was ‘pathetic, insensitive and factually and </w:t>
      </w:r>
      <w:r w:rsidR="00190020">
        <w:rPr>
          <w:rFonts w:ascii="Times New Roman" w:eastAsia="Times New Roman" w:hAnsi="Times New Roman" w:cs="Times New Roman"/>
          <w:sz w:val="24"/>
          <w:szCs w:val="24"/>
        </w:rPr>
        <w:lastRenderedPageBreak/>
        <w:t xml:space="preserve">legally erroneous’ for the Trial Chamber to focus solely on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situation as a commander and mostly ignoring his history as a child soldier.</w:t>
      </w:r>
      <w:r w:rsidR="00190020">
        <w:rPr>
          <w:rFonts w:ascii="Times New Roman" w:eastAsia="Times New Roman" w:hAnsi="Times New Roman" w:cs="Times New Roman"/>
          <w:sz w:val="24"/>
          <w:szCs w:val="24"/>
          <w:vertAlign w:val="superscript"/>
        </w:rPr>
        <w:footnoteReference w:id="110"/>
      </w:r>
      <w:r w:rsidR="00190020">
        <w:rPr>
          <w:rFonts w:ascii="Times New Roman" w:eastAsia="Times New Roman" w:hAnsi="Times New Roman" w:cs="Times New Roman"/>
          <w:sz w:val="24"/>
          <w:szCs w:val="24"/>
        </w:rPr>
        <w:t xml:space="preserve"> The Defence contended that the Trial Chamber should have considered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(1) ‘childhood immediately before and after his abduction’; (2) the ‘vicissitudes and vacillations of his life under the coercive environment’; and (3) the special attention he was given leading to his expedited rise in rank.</w:t>
      </w:r>
      <w:r w:rsidR="00190020">
        <w:rPr>
          <w:rFonts w:ascii="Times New Roman" w:eastAsia="Times New Roman" w:hAnsi="Times New Roman" w:cs="Times New Roman"/>
          <w:sz w:val="24"/>
          <w:szCs w:val="24"/>
          <w:vertAlign w:val="superscript"/>
        </w:rPr>
        <w:footnoteReference w:id="111"/>
      </w:r>
      <w:r w:rsidR="00190020">
        <w:rPr>
          <w:rFonts w:ascii="Times New Roman" w:eastAsia="Times New Roman" w:hAnsi="Times New Roman" w:cs="Times New Roman"/>
          <w:sz w:val="24"/>
          <w:szCs w:val="24"/>
        </w:rPr>
        <w:t xml:space="preserve"> The ICC entertained</w:t>
      </w:r>
      <w:r w:rsidR="00436912">
        <w:rPr>
          <w:rFonts w:ascii="Times New Roman" w:eastAsia="Times New Roman" w:hAnsi="Times New Roman" w:cs="Times New Roman"/>
          <w:sz w:val="24"/>
          <w:szCs w:val="24"/>
        </w:rPr>
        <w:t>, but dismissed,</w:t>
      </w:r>
      <w:r w:rsidR="00190020">
        <w:rPr>
          <w:rFonts w:ascii="Times New Roman" w:eastAsia="Times New Roman" w:hAnsi="Times New Roman" w:cs="Times New Roman"/>
          <w:sz w:val="24"/>
          <w:szCs w:val="24"/>
        </w:rPr>
        <w:t xml:space="preserve"> the claim that there was a link between Ongwen, the child soldier, and Ongwen, the defendant. Both chambers held that the lack of evidence by the Defence to prove that this coercive environment as a child soldier led to him being in a state of duress as an adult, was one of the main reasons why the defence could not apply in this context.</w:t>
      </w:r>
      <w:r w:rsidR="00190020">
        <w:rPr>
          <w:rFonts w:ascii="Times New Roman" w:eastAsia="Times New Roman" w:hAnsi="Times New Roman" w:cs="Times New Roman"/>
          <w:sz w:val="24"/>
          <w:szCs w:val="24"/>
          <w:vertAlign w:val="superscript"/>
        </w:rPr>
        <w:footnoteReference w:id="112"/>
      </w:r>
      <w:r w:rsidR="00190020">
        <w:rPr>
          <w:rFonts w:ascii="Times New Roman" w:eastAsia="Times New Roman" w:hAnsi="Times New Roman" w:cs="Times New Roman"/>
          <w:sz w:val="24"/>
          <w:szCs w:val="24"/>
        </w:rPr>
        <w:t xml:space="preserve"> In particular, the Appeals Chamber held that there was no evidence that the indoctrination and childhood experience of Ongwen had the effect of bringing about the circumstances identified in Article 31(1)(d).</w:t>
      </w:r>
      <w:r w:rsidR="00190020">
        <w:rPr>
          <w:rFonts w:ascii="Times New Roman" w:eastAsia="Times New Roman" w:hAnsi="Times New Roman" w:cs="Times New Roman"/>
          <w:sz w:val="24"/>
          <w:szCs w:val="24"/>
          <w:vertAlign w:val="superscript"/>
        </w:rPr>
        <w:footnoteReference w:id="113"/>
      </w:r>
      <w:r w:rsidR="00190020">
        <w:rPr>
          <w:rFonts w:ascii="Times New Roman" w:eastAsia="Times New Roman" w:hAnsi="Times New Roman" w:cs="Times New Roman"/>
          <w:sz w:val="24"/>
          <w:szCs w:val="24"/>
        </w:rPr>
        <w:t xml:space="preserve"> The Appeals Chamber added that the Trial Chamber had ‘considered his childhood experiences in its holistic assessment of the evidence relevant to [...] mental disease or defect’.</w:t>
      </w:r>
      <w:r w:rsidR="00190020">
        <w:rPr>
          <w:rFonts w:ascii="Times New Roman" w:eastAsia="Times New Roman" w:hAnsi="Times New Roman" w:cs="Times New Roman"/>
          <w:sz w:val="24"/>
          <w:szCs w:val="24"/>
          <w:vertAlign w:val="superscript"/>
        </w:rPr>
        <w:footnoteReference w:id="114"/>
      </w:r>
      <w:r w:rsidR="00190020">
        <w:rPr>
          <w:rFonts w:ascii="Times New Roman" w:eastAsia="Times New Roman" w:hAnsi="Times New Roman" w:cs="Times New Roman"/>
          <w:sz w:val="24"/>
          <w:szCs w:val="24"/>
        </w:rPr>
        <w:t xml:space="preserve"> From the perspective of duress as a ground excluding criminal responsibility, the ICC rightfully dismissed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dreadful and tragic past, background and experience and the devastating consequences this had on his behaviour as an adult.   </w:t>
      </w:r>
    </w:p>
    <w:p w14:paraId="65128672" w14:textId="29E5555B" w:rsidR="00B32260" w:rsidRDefault="004F3B74" w:rsidP="004F3B74">
      <w:pPr>
        <w:shd w:val="clear" w:color="auto" w:fill="FFFFFF"/>
        <w:tabs>
          <w:tab w:val="left" w:pos="357"/>
        </w:tabs>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The ICC also correctly did not accept that duress covered situations of a continuing, implied, latent coercive environment. The Defence averred that Ongwen, throughout his entire time in the LRA, ‘was always under apprehension of continuing imminent serious </w:t>
      </w:r>
      <w:r w:rsidR="00190020">
        <w:rPr>
          <w:rFonts w:ascii="Times New Roman" w:eastAsia="Times New Roman" w:hAnsi="Times New Roman" w:cs="Times New Roman"/>
          <w:sz w:val="24"/>
          <w:szCs w:val="24"/>
        </w:rPr>
        <w:lastRenderedPageBreak/>
        <w:t>bodily harm.’,</w:t>
      </w:r>
      <w:r w:rsidR="00190020">
        <w:rPr>
          <w:rFonts w:ascii="Times New Roman" w:eastAsia="Times New Roman" w:hAnsi="Times New Roman" w:cs="Times New Roman"/>
          <w:sz w:val="24"/>
          <w:szCs w:val="24"/>
          <w:vertAlign w:val="superscript"/>
        </w:rPr>
        <w:footnoteReference w:id="115"/>
      </w:r>
      <w:r w:rsidR="00190020">
        <w:rPr>
          <w:rFonts w:ascii="Times New Roman" w:eastAsia="Times New Roman" w:hAnsi="Times New Roman" w:cs="Times New Roman"/>
          <w:sz w:val="24"/>
          <w:szCs w:val="24"/>
        </w:rPr>
        <w:t xml:space="preserve"> arguing ‘that the threat should be interpreted to include a threat to be killed at a later point in time, and that the threat may emanate from the “perpetual hostile and violent environment” which ruled Mr </w:t>
      </w:r>
      <w:proofErr w:type="spellStart"/>
      <w:r w:rsidR="00190020">
        <w:rPr>
          <w:rFonts w:ascii="Times New Roman" w:eastAsia="Times New Roman" w:hAnsi="Times New Roman" w:cs="Times New Roman"/>
          <w:sz w:val="24"/>
          <w:szCs w:val="24"/>
        </w:rPr>
        <w:t>Ongwen’s</w:t>
      </w:r>
      <w:proofErr w:type="spellEnd"/>
      <w:r w:rsidR="00190020">
        <w:rPr>
          <w:rFonts w:ascii="Times New Roman" w:eastAsia="Times New Roman" w:hAnsi="Times New Roman" w:cs="Times New Roman"/>
          <w:sz w:val="24"/>
          <w:szCs w:val="24"/>
        </w:rPr>
        <w:t xml:space="preserve"> life at the relevant time of the charges.’</w:t>
      </w:r>
      <w:r w:rsidR="00190020">
        <w:rPr>
          <w:rFonts w:ascii="Times New Roman" w:eastAsia="Times New Roman" w:hAnsi="Times New Roman" w:cs="Times New Roman"/>
          <w:sz w:val="24"/>
          <w:szCs w:val="24"/>
          <w:vertAlign w:val="superscript"/>
        </w:rPr>
        <w:footnoteReference w:id="116"/>
      </w:r>
      <w:r w:rsidR="00190020">
        <w:rPr>
          <w:rFonts w:ascii="Times New Roman" w:eastAsia="Times New Roman" w:hAnsi="Times New Roman" w:cs="Times New Roman"/>
          <w:sz w:val="24"/>
          <w:szCs w:val="24"/>
        </w:rPr>
        <w:t xml:space="preserve"> The Defence essentially contended that Ongwen should have been able to claim duress due to the coercive environment and that the immediacy of the harm was interpreted too strictly by the Trial Chamber. The Appeals Chamber, however, held that the threat must be present and real at the time of the commission of the offence and ‘cannot lie too far in the future.’</w:t>
      </w:r>
      <w:r w:rsidR="00190020">
        <w:rPr>
          <w:rFonts w:ascii="Times New Roman" w:eastAsia="Times New Roman" w:hAnsi="Times New Roman" w:cs="Times New Roman"/>
          <w:sz w:val="24"/>
          <w:szCs w:val="24"/>
          <w:vertAlign w:val="superscript"/>
        </w:rPr>
        <w:footnoteReference w:id="117"/>
      </w:r>
      <w:r w:rsidR="00190020">
        <w:rPr>
          <w:rFonts w:ascii="Times New Roman" w:eastAsia="Times New Roman" w:hAnsi="Times New Roman" w:cs="Times New Roman"/>
          <w:sz w:val="24"/>
          <w:szCs w:val="24"/>
        </w:rPr>
        <w:t xml:space="preserve"> The Appeals Chamber confirmed the assessment by the Trial Chamber by agreeing that duress is not available where the defendant is threatened with serious bodily harm that is not materialising sufficiently soon.</w:t>
      </w:r>
      <w:r w:rsidR="00190020">
        <w:rPr>
          <w:rFonts w:ascii="Times New Roman" w:eastAsia="Times New Roman" w:hAnsi="Times New Roman" w:cs="Times New Roman"/>
          <w:sz w:val="24"/>
          <w:szCs w:val="24"/>
          <w:vertAlign w:val="superscript"/>
        </w:rPr>
        <w:footnoteReference w:id="118"/>
      </w:r>
      <w:r w:rsidR="00190020">
        <w:rPr>
          <w:rFonts w:ascii="Times New Roman" w:eastAsia="Times New Roman" w:hAnsi="Times New Roman" w:cs="Times New Roman"/>
          <w:sz w:val="24"/>
          <w:szCs w:val="24"/>
        </w:rPr>
        <w:t xml:space="preserve"> This is one of the main reasons why the Defence failed in raising duress in such a coercive environment which Ongwen found himself in - at the time of the commission of the offences the coercive environment was simply not dangerous and immediate enough to excuse his abhorrent conduct. The Appeals Chamber also agreed with the Trial Chamber’s decision that Ongwen was not under an immediate threat of death considering that he made his own decisions and even spared the lives of some victims.</w:t>
      </w:r>
      <w:r w:rsidR="00190020">
        <w:rPr>
          <w:rFonts w:ascii="Times New Roman" w:eastAsia="Times New Roman" w:hAnsi="Times New Roman" w:cs="Times New Roman"/>
          <w:sz w:val="24"/>
          <w:szCs w:val="24"/>
          <w:vertAlign w:val="superscript"/>
        </w:rPr>
        <w:footnoteReference w:id="119"/>
      </w:r>
      <w:r w:rsidR="00190020">
        <w:rPr>
          <w:rFonts w:ascii="Times New Roman" w:eastAsia="Times New Roman" w:hAnsi="Times New Roman" w:cs="Times New Roman"/>
          <w:sz w:val="24"/>
          <w:szCs w:val="24"/>
        </w:rPr>
        <w:t xml:space="preserve"> </w:t>
      </w:r>
    </w:p>
    <w:p w14:paraId="65128673" w14:textId="5E0848EB" w:rsidR="00B32260" w:rsidRDefault="004F3B74" w:rsidP="004F3B74">
      <w:pPr>
        <w:shd w:val="clear" w:color="auto" w:fill="FFFFFF"/>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In conclusion, duress, as a ground for excluding criminal responsibility, cannot be raised in relation to a person’s past, </w:t>
      </w:r>
      <w:proofErr w:type="gramStart"/>
      <w:r w:rsidR="00190020">
        <w:rPr>
          <w:rFonts w:ascii="Times New Roman" w:eastAsia="Times New Roman" w:hAnsi="Times New Roman" w:cs="Times New Roman"/>
          <w:sz w:val="24"/>
          <w:szCs w:val="24"/>
        </w:rPr>
        <w:t>background</w:t>
      </w:r>
      <w:proofErr w:type="gramEnd"/>
      <w:r w:rsidR="00190020">
        <w:rPr>
          <w:rFonts w:ascii="Times New Roman" w:eastAsia="Times New Roman" w:hAnsi="Times New Roman" w:cs="Times New Roman"/>
          <w:sz w:val="24"/>
          <w:szCs w:val="24"/>
        </w:rPr>
        <w:t xml:space="preserve"> and experience in a coercive environment nor in the situation of a coercive environment where the harm is not immediate or continuing and/or based on a defendant’s (real or perceived) apprehension based on their past experience.</w:t>
      </w:r>
    </w:p>
    <w:p w14:paraId="65128674" w14:textId="77777777" w:rsidR="00B32260" w:rsidRDefault="00B32260" w:rsidP="004F3B74">
      <w:pPr>
        <w:shd w:val="clear" w:color="auto" w:fill="FFFFFF"/>
        <w:tabs>
          <w:tab w:val="left" w:pos="357"/>
        </w:tabs>
        <w:spacing w:line="480" w:lineRule="auto"/>
        <w:jc w:val="both"/>
        <w:rPr>
          <w:rFonts w:ascii="Times New Roman" w:eastAsia="Times New Roman" w:hAnsi="Times New Roman" w:cs="Times New Roman"/>
          <w:b/>
          <w:sz w:val="24"/>
          <w:szCs w:val="24"/>
        </w:rPr>
      </w:pPr>
    </w:p>
    <w:p w14:paraId="65128675" w14:textId="77777777" w:rsidR="00B32260" w:rsidRDefault="00B32260" w:rsidP="004F3B74">
      <w:pPr>
        <w:shd w:val="clear" w:color="auto" w:fill="FFFFFF"/>
        <w:tabs>
          <w:tab w:val="left" w:pos="357"/>
        </w:tabs>
        <w:spacing w:line="480" w:lineRule="auto"/>
        <w:jc w:val="both"/>
        <w:rPr>
          <w:rFonts w:ascii="Times New Roman" w:eastAsia="Times New Roman" w:hAnsi="Times New Roman" w:cs="Times New Roman"/>
          <w:sz w:val="24"/>
          <w:szCs w:val="24"/>
        </w:rPr>
      </w:pPr>
    </w:p>
    <w:p w14:paraId="65128676" w14:textId="77777777" w:rsidR="00B32260" w:rsidRDefault="00190020" w:rsidP="004F3B74">
      <w:pPr>
        <w:shd w:val="clear" w:color="auto" w:fill="FFFFFF"/>
        <w:tabs>
          <w:tab w:val="left" w:pos="357"/>
        </w:tabs>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4 </w:t>
      </w:r>
      <w:r>
        <w:rPr>
          <w:rFonts w:ascii="Times New Roman" w:eastAsia="Times New Roman" w:hAnsi="Times New Roman" w:cs="Times New Roman"/>
          <w:b/>
          <w:sz w:val="24"/>
          <w:szCs w:val="24"/>
        </w:rPr>
        <w:tab/>
        <w:t xml:space="preserve">Broadening the Range of Grounds for Excluding Responsibility in a Coercive Environment </w:t>
      </w:r>
    </w:p>
    <w:p w14:paraId="65128677"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78" w14:textId="02DBBA93"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Since the defence of duress is inadequate to exclude responsibility for crimes committed in a coercive environment, </w:t>
      </w:r>
      <w:r w:rsidR="002F4FFD">
        <w:rPr>
          <w:rFonts w:ascii="Times New Roman" w:eastAsia="Times New Roman" w:hAnsi="Times New Roman" w:cs="Times New Roman"/>
          <w:sz w:val="24"/>
          <w:szCs w:val="24"/>
        </w:rPr>
        <w:t xml:space="preserve">a defendant might seek to explore alternative </w:t>
      </w:r>
      <w:r>
        <w:rPr>
          <w:rFonts w:ascii="Times New Roman" w:eastAsia="Times New Roman" w:hAnsi="Times New Roman" w:cs="Times New Roman"/>
          <w:sz w:val="24"/>
          <w:szCs w:val="24"/>
        </w:rPr>
        <w:t>defences</w:t>
      </w:r>
      <w:r w:rsidR="002F4FFD">
        <w:rPr>
          <w:rFonts w:ascii="Times New Roman" w:eastAsia="Times New Roman" w:hAnsi="Times New Roman" w:cs="Times New Roman"/>
          <w:sz w:val="24"/>
          <w:szCs w:val="24"/>
        </w:rPr>
        <w:t>.</w:t>
      </w:r>
    </w:p>
    <w:p w14:paraId="65128679" w14:textId="7EE2366F"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According to Article 31(3) ICC Statute, the ICC is not limited to the defences expressly listed therein but can also use other defences: ‘where such a ground is derived from applicable law as set forth in article 21.’ Article 21(1) </w:t>
      </w:r>
      <w:proofErr w:type="gramStart"/>
      <w:r w:rsidR="00190020">
        <w:rPr>
          <w:rFonts w:ascii="Times New Roman" w:eastAsia="Times New Roman" w:hAnsi="Times New Roman" w:cs="Times New Roman"/>
          <w:sz w:val="24"/>
          <w:szCs w:val="24"/>
        </w:rPr>
        <w:t>in particular specifies</w:t>
      </w:r>
      <w:proofErr w:type="gramEnd"/>
      <w:r w:rsidR="00190020">
        <w:rPr>
          <w:rFonts w:ascii="Times New Roman" w:eastAsia="Times New Roman" w:hAnsi="Times New Roman" w:cs="Times New Roman"/>
          <w:sz w:val="24"/>
          <w:szCs w:val="24"/>
        </w:rPr>
        <w:t xml:space="preserve"> the order in which the Court ought to use the applicable law. First, the Court must refer to the ‘Statute, Elements of Crimes and its Rules of Procedure and Evidence’.</w:t>
      </w:r>
      <w:r w:rsidR="00190020">
        <w:rPr>
          <w:rFonts w:ascii="Times New Roman" w:eastAsia="Times New Roman" w:hAnsi="Times New Roman" w:cs="Times New Roman"/>
          <w:sz w:val="24"/>
          <w:szCs w:val="24"/>
          <w:vertAlign w:val="superscript"/>
        </w:rPr>
        <w:footnoteReference w:id="120"/>
      </w:r>
      <w:r w:rsidR="00190020">
        <w:rPr>
          <w:rFonts w:ascii="Times New Roman" w:eastAsia="Times New Roman" w:hAnsi="Times New Roman" w:cs="Times New Roman"/>
          <w:sz w:val="24"/>
          <w:szCs w:val="24"/>
        </w:rPr>
        <w:t xml:space="preserve"> As seen, the Statute and the Rules of Procedure and Evidence are not useful. Second, the Court should turn towards ‘applicable treaties and the principles and rules of international law, including the established principles of the international law of armed conflict’.</w:t>
      </w:r>
      <w:r w:rsidR="00190020">
        <w:rPr>
          <w:rFonts w:ascii="Times New Roman" w:eastAsia="Times New Roman" w:hAnsi="Times New Roman" w:cs="Times New Roman"/>
          <w:sz w:val="24"/>
          <w:szCs w:val="24"/>
          <w:vertAlign w:val="superscript"/>
        </w:rPr>
        <w:footnoteReference w:id="121"/>
      </w:r>
      <w:r w:rsidR="00190020">
        <w:rPr>
          <w:rFonts w:ascii="Times New Roman" w:eastAsia="Times New Roman" w:hAnsi="Times New Roman" w:cs="Times New Roman"/>
          <w:sz w:val="24"/>
          <w:szCs w:val="24"/>
        </w:rPr>
        <w:t xml:space="preserve"> As there are no treaties on grounds for excluding responsibility and the established principles and rules of international law are limited to referring to duress, this source is again of limited use. The third and last resort potential source of ICC law</w:t>
      </w:r>
      <w:r w:rsidR="00190020">
        <w:rPr>
          <w:rFonts w:ascii="Times New Roman" w:eastAsia="Times New Roman" w:hAnsi="Times New Roman" w:cs="Times New Roman"/>
          <w:sz w:val="24"/>
          <w:szCs w:val="24"/>
          <w:vertAlign w:val="superscript"/>
        </w:rPr>
        <w:footnoteReference w:id="122"/>
      </w:r>
      <w:r w:rsidR="00190020">
        <w:rPr>
          <w:rFonts w:ascii="Times New Roman" w:eastAsia="Times New Roman" w:hAnsi="Times New Roman" w:cs="Times New Roman"/>
          <w:sz w:val="24"/>
          <w:szCs w:val="24"/>
        </w:rPr>
        <w:t xml:space="preserve"> </w:t>
      </w:r>
      <w:proofErr w:type="gramStart"/>
      <w:r w:rsidR="00190020">
        <w:rPr>
          <w:rFonts w:ascii="Times New Roman" w:eastAsia="Times New Roman" w:hAnsi="Times New Roman" w:cs="Times New Roman"/>
          <w:sz w:val="24"/>
          <w:szCs w:val="24"/>
        </w:rPr>
        <w:t>is</w:t>
      </w:r>
      <w:proofErr w:type="gramEnd"/>
      <w:r w:rsidR="00190020">
        <w:rPr>
          <w:rFonts w:ascii="Times New Roman" w:eastAsia="Times New Roman" w:hAnsi="Times New Roman" w:cs="Times New Roman"/>
          <w:sz w:val="24"/>
          <w:szCs w:val="24"/>
        </w:rPr>
        <w:t xml:space="preserve"> </w:t>
      </w:r>
    </w:p>
    <w:p w14:paraId="5F4C14EA" w14:textId="77777777" w:rsidR="00FF6696" w:rsidRDefault="00FF6696" w:rsidP="004F3B74">
      <w:pPr>
        <w:tabs>
          <w:tab w:val="left" w:pos="357"/>
        </w:tabs>
        <w:spacing w:line="480" w:lineRule="auto"/>
        <w:ind w:firstLine="720"/>
        <w:jc w:val="both"/>
        <w:rPr>
          <w:rFonts w:ascii="Times New Roman" w:eastAsia="Times New Roman" w:hAnsi="Times New Roman" w:cs="Times New Roman"/>
          <w:sz w:val="24"/>
          <w:szCs w:val="24"/>
        </w:rPr>
      </w:pPr>
    </w:p>
    <w:p w14:paraId="6512867A" w14:textId="77777777" w:rsidR="00B32260" w:rsidRDefault="00190020" w:rsidP="004F3B74">
      <w:pPr>
        <w:tabs>
          <w:tab w:val="left" w:pos="357"/>
        </w:tabs>
        <w:spacing w:line="48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gramStart"/>
      <w:r>
        <w:rPr>
          <w:rFonts w:ascii="Times New Roman" w:eastAsia="Times New Roman" w:hAnsi="Times New Roman" w:cs="Times New Roman"/>
          <w:sz w:val="24"/>
          <w:szCs w:val="24"/>
        </w:rPr>
        <w:t>general</w:t>
      </w:r>
      <w:proofErr w:type="gramEnd"/>
      <w:r>
        <w:rPr>
          <w:rFonts w:ascii="Times New Roman" w:eastAsia="Times New Roman" w:hAnsi="Times New Roman" w:cs="Times New Roman"/>
          <w:sz w:val="24"/>
          <w:szCs w:val="24"/>
        </w:rPr>
        <w:t xml:space="preserve"> principles of law derived by the Court from national laws of legal systems of the world including, as appropriate, the national laws of States that would normally exercise jurisdiction over the crime, provided that those principles are not inconsistent </w:t>
      </w:r>
      <w:r>
        <w:rPr>
          <w:rFonts w:ascii="Times New Roman" w:eastAsia="Times New Roman" w:hAnsi="Times New Roman" w:cs="Times New Roman"/>
          <w:sz w:val="24"/>
          <w:szCs w:val="24"/>
        </w:rPr>
        <w:lastRenderedPageBreak/>
        <w:t>with this Statute and with international law and internationally recognized norms and standards.’</w:t>
      </w:r>
      <w:r>
        <w:rPr>
          <w:rFonts w:ascii="Times New Roman" w:eastAsia="Times New Roman" w:hAnsi="Times New Roman" w:cs="Times New Roman"/>
          <w:sz w:val="24"/>
          <w:szCs w:val="24"/>
          <w:vertAlign w:val="superscript"/>
        </w:rPr>
        <w:footnoteReference w:id="123"/>
      </w:r>
      <w:r>
        <w:rPr>
          <w:rFonts w:ascii="Times New Roman" w:eastAsia="Times New Roman" w:hAnsi="Times New Roman" w:cs="Times New Roman"/>
          <w:sz w:val="24"/>
          <w:szCs w:val="24"/>
        </w:rPr>
        <w:t xml:space="preserve"> </w:t>
      </w:r>
    </w:p>
    <w:p w14:paraId="05ADE005" w14:textId="77777777" w:rsidR="00FF6696" w:rsidRDefault="00FF6696" w:rsidP="004F3B74">
      <w:pPr>
        <w:tabs>
          <w:tab w:val="left" w:pos="357"/>
        </w:tabs>
        <w:spacing w:line="480" w:lineRule="auto"/>
        <w:ind w:left="720"/>
        <w:jc w:val="both"/>
        <w:rPr>
          <w:rFonts w:ascii="Times New Roman" w:eastAsia="Times New Roman" w:hAnsi="Times New Roman" w:cs="Times New Roman"/>
          <w:sz w:val="24"/>
          <w:szCs w:val="24"/>
        </w:rPr>
      </w:pPr>
    </w:p>
    <w:p w14:paraId="6512867B" w14:textId="66087E2C"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Whilst the ICC can thus use alternative defences grounded in national legal systems, several caveats must be stressed. As Ambos explains, any such principle ‘must be based on comparative criminal law and not on one legal tradition alone’ and ‘must be comprehensible and accessible not only to those limited experts from a specific legal tradition but also to lawyers from all legal traditions’.</w:t>
      </w:r>
      <w:r>
        <w:rPr>
          <w:rFonts w:ascii="Times New Roman" w:eastAsia="Times New Roman" w:hAnsi="Times New Roman" w:cs="Times New Roman"/>
          <w:sz w:val="24"/>
          <w:szCs w:val="24"/>
          <w:vertAlign w:val="superscript"/>
        </w:rPr>
        <w:footnoteReference w:id="124"/>
      </w:r>
      <w:r>
        <w:rPr>
          <w:rFonts w:ascii="Times New Roman" w:eastAsia="Times New Roman" w:hAnsi="Times New Roman" w:cs="Times New Roman"/>
          <w:sz w:val="24"/>
          <w:szCs w:val="24"/>
        </w:rPr>
        <w:t xml:space="preserve"> Cognizant of the difficulty to undertake such a comparative survey</w:t>
      </w:r>
      <w:r>
        <w:rPr>
          <w:rFonts w:ascii="Times New Roman" w:eastAsia="Times New Roman" w:hAnsi="Times New Roman" w:cs="Times New Roman"/>
          <w:sz w:val="24"/>
          <w:szCs w:val="24"/>
          <w:vertAlign w:val="superscript"/>
        </w:rPr>
        <w:footnoteReference w:id="125"/>
      </w:r>
      <w:r>
        <w:rPr>
          <w:rFonts w:ascii="Times New Roman" w:eastAsia="Times New Roman" w:hAnsi="Times New Roman" w:cs="Times New Roman"/>
          <w:sz w:val="24"/>
          <w:szCs w:val="24"/>
        </w:rPr>
        <w:t xml:space="preserve"> within the constraints of this paper, its focus is on the most relevant national defences</w:t>
      </w:r>
      <w:r w:rsidR="00A45C66">
        <w:rPr>
          <w:rFonts w:ascii="Times New Roman" w:eastAsia="Times New Roman" w:hAnsi="Times New Roman" w:cs="Times New Roman"/>
          <w:sz w:val="24"/>
          <w:szCs w:val="24"/>
        </w:rPr>
        <w:t xml:space="preserve"> mentioned in English-language literature </w:t>
      </w:r>
      <w:r>
        <w:rPr>
          <w:rFonts w:ascii="Times New Roman" w:eastAsia="Times New Roman" w:hAnsi="Times New Roman" w:cs="Times New Roman"/>
          <w:sz w:val="24"/>
          <w:szCs w:val="24"/>
        </w:rPr>
        <w:t xml:space="preserve"> and then on ascertaining whether they were used in other jurisdictions. Moreover, it must be stressed that defences are fundamentally value-laden; they irresistibly depend on which acts society condemns, </w:t>
      </w:r>
      <w:proofErr w:type="gramStart"/>
      <w:r>
        <w:rPr>
          <w:rFonts w:ascii="Times New Roman" w:eastAsia="Times New Roman" w:hAnsi="Times New Roman" w:cs="Times New Roman"/>
          <w:sz w:val="24"/>
          <w:szCs w:val="24"/>
        </w:rPr>
        <w:t>permits</w:t>
      </w:r>
      <w:proofErr w:type="gramEnd"/>
      <w:r>
        <w:rPr>
          <w:rFonts w:ascii="Times New Roman" w:eastAsia="Times New Roman" w:hAnsi="Times New Roman" w:cs="Times New Roman"/>
          <w:sz w:val="24"/>
          <w:szCs w:val="24"/>
        </w:rPr>
        <w:t xml:space="preserve"> and tolerates.</w:t>
      </w:r>
      <w:r>
        <w:rPr>
          <w:rFonts w:ascii="Times New Roman" w:eastAsia="Times New Roman" w:hAnsi="Times New Roman" w:cs="Times New Roman"/>
          <w:sz w:val="24"/>
          <w:szCs w:val="24"/>
          <w:vertAlign w:val="superscript"/>
        </w:rPr>
        <w:footnoteReference w:id="126"/>
      </w:r>
      <w:r>
        <w:rPr>
          <w:rFonts w:ascii="Times New Roman" w:eastAsia="Times New Roman" w:hAnsi="Times New Roman" w:cs="Times New Roman"/>
          <w:sz w:val="24"/>
          <w:szCs w:val="24"/>
        </w:rPr>
        <w:t xml:space="preserve"> Also, in importing national law into international criminal law the specificity, context and scope of international crimes, in contrast to ‘common’ crimes, must be given due consideration. </w:t>
      </w:r>
    </w:p>
    <w:p w14:paraId="6512867C" w14:textId="474F4313"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Whether specific national defences might be suitable to the situation of individuals in a coercive environment and, more specifically, to (former) child soldiers, must be determined on the basis that defendants 1) claim that external factors were at play and 2) they have engaged in unlawful activities against the general public and not against the person who has </w:t>
      </w:r>
      <w:r w:rsidR="00190020">
        <w:rPr>
          <w:rFonts w:ascii="Times New Roman" w:eastAsia="Times New Roman" w:hAnsi="Times New Roman" w:cs="Times New Roman"/>
          <w:sz w:val="24"/>
          <w:szCs w:val="24"/>
        </w:rPr>
        <w:lastRenderedPageBreak/>
        <w:t>established and is maintaining the coercive environment.</w:t>
      </w:r>
      <w:r w:rsidR="00190020">
        <w:rPr>
          <w:rFonts w:ascii="Times New Roman" w:eastAsia="Times New Roman" w:hAnsi="Times New Roman" w:cs="Times New Roman"/>
          <w:sz w:val="24"/>
          <w:szCs w:val="24"/>
          <w:vertAlign w:val="superscript"/>
        </w:rPr>
        <w:footnoteReference w:id="127"/>
      </w:r>
      <w:r w:rsidR="00190020">
        <w:rPr>
          <w:rFonts w:ascii="Times New Roman" w:eastAsia="Times New Roman" w:hAnsi="Times New Roman" w:cs="Times New Roman"/>
          <w:sz w:val="24"/>
          <w:szCs w:val="24"/>
        </w:rPr>
        <w:t xml:space="preserve"> Consequently, the following defences are considered: the rotten social background defence and the brainwashing or indoctrination defence. The reasons for focusing on these defences are that they have already been suggested by academics (see below) and whilst it is acknowledged that they all or mostly stem from the American legal system (in a legal system that allows for a wider range of defences to be mounted) they have been chosen for explorative purposes rather than to provide a full picture of all potential alternative defences available worldwide. Moreover, mindful of the context in which international crimes are committed and the specificity of such crimes as well as the need to understand better the impact of the coercive environment on an individual through the prism of detention which is </w:t>
      </w:r>
      <w:r w:rsidR="00190020">
        <w:rPr>
          <w:rFonts w:ascii="Times New Roman" w:eastAsia="Times New Roman" w:hAnsi="Times New Roman" w:cs="Times New Roman"/>
          <w:i/>
          <w:sz w:val="24"/>
          <w:szCs w:val="24"/>
        </w:rPr>
        <w:t>per se</w:t>
      </w:r>
      <w:r w:rsidR="00190020">
        <w:rPr>
          <w:rFonts w:ascii="Times New Roman" w:eastAsia="Times New Roman" w:hAnsi="Times New Roman" w:cs="Times New Roman"/>
          <w:sz w:val="24"/>
          <w:szCs w:val="24"/>
        </w:rPr>
        <w:t xml:space="preserve"> a coercive environment, defences raised in two specific situations are scrutinised: the prosecution of 1) individuals held as prisoners in the context of an armed conflict and 2) ‘</w:t>
      </w:r>
      <w:proofErr w:type="spellStart"/>
      <w:r w:rsidR="00190020">
        <w:rPr>
          <w:rFonts w:ascii="Times New Roman" w:eastAsia="Times New Roman" w:hAnsi="Times New Roman" w:cs="Times New Roman"/>
          <w:sz w:val="24"/>
          <w:szCs w:val="24"/>
        </w:rPr>
        <w:t>Kapos</w:t>
      </w:r>
      <w:proofErr w:type="spellEnd"/>
      <w:r w:rsidR="00190020">
        <w:rPr>
          <w:rFonts w:ascii="Times New Roman" w:eastAsia="Times New Roman" w:hAnsi="Times New Roman" w:cs="Times New Roman"/>
          <w:sz w:val="24"/>
          <w:szCs w:val="24"/>
        </w:rPr>
        <w:t xml:space="preserve">’ of concentration and labour camps during WWII. </w:t>
      </w:r>
      <w:bookmarkStart w:id="2" w:name="_Hlk138497542"/>
      <w:r w:rsidR="00190020">
        <w:rPr>
          <w:rFonts w:ascii="Times New Roman" w:eastAsia="Times New Roman" w:hAnsi="Times New Roman" w:cs="Times New Roman"/>
          <w:sz w:val="24"/>
          <w:szCs w:val="24"/>
        </w:rPr>
        <w:t xml:space="preserve">It should also be borne in mind that this paper cannot provide an exhaustive analysis of all the cases where these defences were raised and thus uses the most prominent and representative (in relation to a coercive environment) cases for illustrative purposes. </w:t>
      </w:r>
    </w:p>
    <w:bookmarkEnd w:id="2"/>
    <w:p w14:paraId="6512867D"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7E"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7F" w14:textId="28D7532B" w:rsidR="00B32260" w:rsidRDefault="00190020" w:rsidP="004F3B74">
      <w:pPr>
        <w:tabs>
          <w:tab w:val="left" w:pos="357"/>
        </w:tabs>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w:t>
      </w:r>
      <w:r>
        <w:rPr>
          <w:rFonts w:ascii="Times New Roman" w:eastAsia="Times New Roman" w:hAnsi="Times New Roman" w:cs="Times New Roman"/>
          <w:b/>
          <w:sz w:val="24"/>
          <w:szCs w:val="24"/>
        </w:rPr>
        <w:tab/>
        <w:t>Defences Based on Criminal Act</w:t>
      </w:r>
      <w:r w:rsidR="002F4FFD">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Caused by External Factors</w:t>
      </w:r>
    </w:p>
    <w:p w14:paraId="65128680"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81" w14:textId="5145EC7E" w:rsidR="00B32260" w:rsidRDefault="00190020" w:rsidP="004F3B74">
      <w:pPr>
        <w:tabs>
          <w:tab w:val="left" w:pos="357"/>
        </w:tabs>
        <w:spacing w:line="480"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 xml:space="preserve">Duress is a ground for excluding responsibility based on individuals claiming that external factors constrained their choice to such a level that they had no choice. The defences of rotten </w:t>
      </w:r>
      <w:r>
        <w:rPr>
          <w:rFonts w:ascii="Times New Roman" w:eastAsia="Times New Roman" w:hAnsi="Times New Roman" w:cs="Times New Roman"/>
          <w:sz w:val="24"/>
          <w:szCs w:val="24"/>
        </w:rPr>
        <w:lastRenderedPageBreak/>
        <w:t>social background</w:t>
      </w:r>
      <w:r w:rsidR="002F4FFD">
        <w:rPr>
          <w:rFonts w:ascii="Times New Roman" w:eastAsia="Times New Roman" w:hAnsi="Times New Roman" w:cs="Times New Roman"/>
          <w:sz w:val="24"/>
          <w:szCs w:val="24"/>
        </w:rPr>
        <w:t xml:space="preserve"> (that has only been raised in US courts)</w:t>
      </w:r>
      <w:r>
        <w:rPr>
          <w:rFonts w:ascii="Times New Roman" w:eastAsia="Times New Roman" w:hAnsi="Times New Roman" w:cs="Times New Roman"/>
          <w:sz w:val="24"/>
          <w:szCs w:val="24"/>
        </w:rPr>
        <w:t xml:space="preserve"> and brainwashing/indoctrination work on a similar basis as in both instances the defendants’ criminal behaviour is caused by external factors beyond their control.</w:t>
      </w:r>
      <w:r>
        <w:rPr>
          <w:rFonts w:ascii="Times New Roman" w:eastAsia="Times New Roman" w:hAnsi="Times New Roman" w:cs="Times New Roman"/>
          <w:sz w:val="24"/>
          <w:szCs w:val="24"/>
          <w:vertAlign w:val="superscript"/>
        </w:rPr>
        <w:footnoteReference w:id="128"/>
      </w:r>
      <w:r>
        <w:rPr>
          <w:rFonts w:ascii="Times New Roman" w:eastAsia="Times New Roman" w:hAnsi="Times New Roman" w:cs="Times New Roman"/>
          <w:sz w:val="24"/>
          <w:szCs w:val="24"/>
        </w:rPr>
        <w:t xml:space="preserve"> They are thus defences that could be reckoned with by the ICC, should they meet the requirements of being recognised as defences and general principles of law.</w:t>
      </w:r>
    </w:p>
    <w:p w14:paraId="65128682"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83" w14:textId="77777777" w:rsidR="00B32260" w:rsidRDefault="00190020" w:rsidP="004F3B74">
      <w:pPr>
        <w:tabs>
          <w:tab w:val="left" w:pos="357"/>
        </w:tabs>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5.1</w:t>
      </w:r>
      <w:r>
        <w:rPr>
          <w:rFonts w:ascii="Times New Roman" w:eastAsia="Times New Roman" w:hAnsi="Times New Roman" w:cs="Times New Roman"/>
          <w:b/>
          <w:sz w:val="24"/>
          <w:szCs w:val="24"/>
        </w:rPr>
        <w:tab/>
      </w:r>
      <w:r>
        <w:rPr>
          <w:rFonts w:ascii="Times New Roman" w:eastAsia="Times New Roman" w:hAnsi="Times New Roman" w:cs="Times New Roman"/>
          <w:b/>
          <w:i/>
          <w:sz w:val="24"/>
          <w:szCs w:val="24"/>
        </w:rPr>
        <w:t>The Rotten Social Background Defence</w:t>
      </w:r>
    </w:p>
    <w:p w14:paraId="65128684" w14:textId="77777777"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rotten social background defence recognises ‘the relationship between environmental adversity and criminal propensity,’</w:t>
      </w:r>
      <w:r>
        <w:rPr>
          <w:rFonts w:ascii="Times New Roman" w:eastAsia="Times New Roman" w:hAnsi="Times New Roman" w:cs="Times New Roman"/>
          <w:sz w:val="24"/>
          <w:szCs w:val="24"/>
          <w:vertAlign w:val="superscript"/>
        </w:rPr>
        <w:footnoteReference w:id="129"/>
      </w:r>
      <w:r>
        <w:rPr>
          <w:rFonts w:ascii="Times New Roman" w:eastAsia="Times New Roman" w:hAnsi="Times New Roman" w:cs="Times New Roman"/>
          <w:sz w:val="24"/>
          <w:szCs w:val="24"/>
        </w:rPr>
        <w:t xml:space="preserve"> thus acknowledging that an individual’s criminal behaviour might be explained by environmental, external factors. Consequently, ‘when environmental tensions create a predisposition to commit a crime, it would be an injustice to adjudge culpability’.</w:t>
      </w:r>
      <w:r>
        <w:rPr>
          <w:rFonts w:ascii="Times New Roman" w:eastAsia="Times New Roman" w:hAnsi="Times New Roman" w:cs="Times New Roman"/>
          <w:sz w:val="24"/>
          <w:szCs w:val="24"/>
          <w:vertAlign w:val="superscript"/>
        </w:rPr>
        <w:footnoteReference w:id="130"/>
      </w:r>
      <w:r>
        <w:rPr>
          <w:rFonts w:ascii="Times New Roman" w:eastAsia="Times New Roman" w:hAnsi="Times New Roman" w:cs="Times New Roman"/>
          <w:sz w:val="24"/>
          <w:szCs w:val="24"/>
        </w:rPr>
        <w:t xml:space="preserve"> As Harris bluntly enounces, ‘[</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]f society has failed to be responsible to its citizens, those citizens cannot justly be held “responsible” for their crimes against that society.’</w:t>
      </w:r>
      <w:r>
        <w:rPr>
          <w:rFonts w:ascii="Times New Roman" w:eastAsia="Times New Roman" w:hAnsi="Times New Roman" w:cs="Times New Roman"/>
          <w:sz w:val="24"/>
          <w:szCs w:val="24"/>
          <w:vertAlign w:val="superscript"/>
        </w:rPr>
        <w:footnoteReference w:id="131"/>
      </w:r>
      <w:r>
        <w:rPr>
          <w:rFonts w:ascii="Times New Roman" w:eastAsia="Times New Roman" w:hAnsi="Times New Roman" w:cs="Times New Roman"/>
          <w:sz w:val="24"/>
          <w:szCs w:val="24"/>
        </w:rPr>
        <w:t xml:space="preserve"> The possibility of using this defence in relation to child soldiers has already been mounted by </w:t>
      </w:r>
      <w:proofErr w:type="spellStart"/>
      <w:r>
        <w:rPr>
          <w:rFonts w:ascii="Times New Roman" w:eastAsia="Times New Roman" w:hAnsi="Times New Roman" w:cs="Times New Roman"/>
          <w:sz w:val="24"/>
          <w:szCs w:val="24"/>
        </w:rPr>
        <w:t>Aguiling</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Pangalangan</w:t>
      </w:r>
      <w:proofErr w:type="spellEnd"/>
      <w:r>
        <w:rPr>
          <w:rFonts w:ascii="Times New Roman" w:eastAsia="Times New Roman" w:hAnsi="Times New Roman" w:cs="Times New Roman"/>
          <w:sz w:val="24"/>
          <w:szCs w:val="24"/>
          <w:vertAlign w:val="superscript"/>
        </w:rPr>
        <w:footnoteReference w:id="132"/>
      </w:r>
      <w:r>
        <w:rPr>
          <w:rFonts w:ascii="Times New Roman" w:eastAsia="Times New Roman" w:hAnsi="Times New Roman" w:cs="Times New Roman"/>
          <w:sz w:val="24"/>
          <w:szCs w:val="24"/>
        </w:rPr>
        <w:t xml:space="preserve"> and Brown</w:t>
      </w:r>
      <w:r>
        <w:rPr>
          <w:rFonts w:ascii="Times New Roman" w:eastAsia="Times New Roman" w:hAnsi="Times New Roman" w:cs="Times New Roman"/>
          <w:sz w:val="24"/>
          <w:szCs w:val="24"/>
          <w:vertAlign w:val="superscript"/>
        </w:rPr>
        <w:footnoteReference w:id="133"/>
      </w:r>
      <w:r>
        <w:rPr>
          <w:rFonts w:ascii="Times New Roman" w:eastAsia="Times New Roman" w:hAnsi="Times New Roman" w:cs="Times New Roman"/>
          <w:sz w:val="24"/>
          <w:szCs w:val="24"/>
        </w:rPr>
        <w:t xml:space="preserve"> and was used, though not expressly, by </w:t>
      </w:r>
      <w:proofErr w:type="spellStart"/>
      <w:r>
        <w:rPr>
          <w:rFonts w:ascii="Times New Roman" w:eastAsia="Times New Roman" w:hAnsi="Times New Roman" w:cs="Times New Roman"/>
          <w:sz w:val="24"/>
          <w:szCs w:val="24"/>
        </w:rPr>
        <w:t>Ongwen’s</w:t>
      </w:r>
      <w:proofErr w:type="spellEnd"/>
      <w:r>
        <w:rPr>
          <w:rFonts w:ascii="Times New Roman" w:eastAsia="Times New Roman" w:hAnsi="Times New Roman" w:cs="Times New Roman"/>
          <w:sz w:val="24"/>
          <w:szCs w:val="24"/>
        </w:rPr>
        <w:t xml:space="preserve"> Defence</w:t>
      </w:r>
      <w:r>
        <w:rPr>
          <w:rFonts w:ascii="Times New Roman" w:eastAsia="Times New Roman" w:hAnsi="Times New Roman" w:cs="Times New Roman"/>
          <w:sz w:val="24"/>
          <w:szCs w:val="24"/>
          <w:vertAlign w:val="superscript"/>
        </w:rPr>
        <w:footnoteReference w:id="134"/>
      </w:r>
      <w:r>
        <w:rPr>
          <w:rFonts w:ascii="Times New Roman" w:eastAsia="Times New Roman" w:hAnsi="Times New Roman" w:cs="Times New Roman"/>
          <w:sz w:val="24"/>
          <w:szCs w:val="24"/>
        </w:rPr>
        <w:t xml:space="preserve"> and flatly rejected by the Court.</w:t>
      </w:r>
      <w:r>
        <w:rPr>
          <w:rFonts w:ascii="Times New Roman" w:eastAsia="Times New Roman" w:hAnsi="Times New Roman" w:cs="Times New Roman"/>
          <w:sz w:val="24"/>
          <w:szCs w:val="24"/>
          <w:vertAlign w:val="superscript"/>
        </w:rPr>
        <w:footnoteReference w:id="135"/>
      </w:r>
      <w:r>
        <w:rPr>
          <w:rFonts w:ascii="Times New Roman" w:eastAsia="Times New Roman" w:hAnsi="Times New Roman" w:cs="Times New Roman"/>
          <w:sz w:val="24"/>
          <w:szCs w:val="24"/>
        </w:rPr>
        <w:t xml:space="preserve"> </w:t>
      </w:r>
    </w:p>
    <w:p w14:paraId="65128685" w14:textId="46CD0864"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sidR="00190020">
        <w:rPr>
          <w:rFonts w:ascii="Times New Roman" w:eastAsia="Times New Roman" w:hAnsi="Times New Roman" w:cs="Times New Roman"/>
          <w:sz w:val="24"/>
          <w:szCs w:val="24"/>
        </w:rPr>
        <w:t xml:space="preserve">This defence emerged for the first time in the dissenting opinion of Judge Bazelon in </w:t>
      </w:r>
      <w:r w:rsidR="00190020">
        <w:rPr>
          <w:rFonts w:ascii="Times New Roman" w:eastAsia="Times New Roman" w:hAnsi="Times New Roman" w:cs="Times New Roman"/>
          <w:i/>
          <w:sz w:val="24"/>
          <w:szCs w:val="24"/>
        </w:rPr>
        <w:t xml:space="preserve">US v. Alexander, </w:t>
      </w:r>
      <w:r w:rsidR="00190020">
        <w:rPr>
          <w:rFonts w:ascii="Times New Roman" w:eastAsia="Times New Roman" w:hAnsi="Times New Roman" w:cs="Times New Roman"/>
          <w:sz w:val="24"/>
          <w:szCs w:val="24"/>
        </w:rPr>
        <w:t>a case that dealt with Murdock who had shot and killed a Marine who called him a ‘black bastard’. Judge Bazelon explained that the rotten social background evidence should not have been dismissed and that ‘</w:t>
      </w:r>
      <w:r w:rsidR="00190020">
        <w:rPr>
          <w:rFonts w:ascii="Times New Roman" w:eastAsia="Times New Roman" w:hAnsi="Times New Roman" w:cs="Times New Roman"/>
          <w:sz w:val="24"/>
          <w:szCs w:val="24"/>
          <w:highlight w:val="white"/>
        </w:rPr>
        <w:t>[t]</w:t>
      </w:r>
      <w:proofErr w:type="gramStart"/>
      <w:r w:rsidR="00190020">
        <w:rPr>
          <w:rFonts w:ascii="Times New Roman" w:eastAsia="Times New Roman" w:hAnsi="Times New Roman" w:cs="Times New Roman"/>
          <w:sz w:val="24"/>
          <w:szCs w:val="24"/>
          <w:highlight w:val="white"/>
        </w:rPr>
        <w:t>he</w:t>
      </w:r>
      <w:proofErr w:type="gramEnd"/>
      <w:r w:rsidR="00190020">
        <w:rPr>
          <w:rFonts w:ascii="Times New Roman" w:eastAsia="Times New Roman" w:hAnsi="Times New Roman" w:cs="Times New Roman"/>
          <w:sz w:val="24"/>
          <w:szCs w:val="24"/>
          <w:highlight w:val="white"/>
        </w:rPr>
        <w:t xml:space="preserve"> thrust of Murdock’s </w:t>
      </w:r>
      <w:proofErr w:type="spellStart"/>
      <w:r w:rsidR="00190020">
        <w:rPr>
          <w:rFonts w:ascii="Times New Roman" w:eastAsia="Times New Roman" w:hAnsi="Times New Roman" w:cs="Times New Roman"/>
          <w:sz w:val="24"/>
          <w:szCs w:val="24"/>
          <w:highlight w:val="white"/>
        </w:rPr>
        <w:t>defense</w:t>
      </w:r>
      <w:proofErr w:type="spellEnd"/>
      <w:r w:rsidR="00190020">
        <w:rPr>
          <w:rFonts w:ascii="Times New Roman" w:eastAsia="Times New Roman" w:hAnsi="Times New Roman" w:cs="Times New Roman"/>
          <w:sz w:val="24"/>
          <w:szCs w:val="24"/>
          <w:highlight w:val="white"/>
        </w:rPr>
        <w:t xml:space="preserve"> was that the environment in which he was raised - his “rotten social background”- conditioned him to respond to certain stimuli in a manner most of us would consider flagrantly inappropriate. Because of his early conditioning, he argued, he was denied any meaningful choice when the racial insult triggered the explosion in the restaurant.’</w:t>
      </w:r>
      <w:r w:rsidR="00190020">
        <w:rPr>
          <w:rFonts w:ascii="Times New Roman" w:eastAsia="Times New Roman" w:hAnsi="Times New Roman" w:cs="Times New Roman"/>
          <w:sz w:val="24"/>
          <w:szCs w:val="24"/>
          <w:highlight w:val="white"/>
          <w:vertAlign w:val="superscript"/>
        </w:rPr>
        <w:footnoteReference w:id="136"/>
      </w:r>
      <w:r w:rsidR="00190020">
        <w:rPr>
          <w:rFonts w:ascii="Times New Roman" w:eastAsia="Times New Roman" w:hAnsi="Times New Roman" w:cs="Times New Roman"/>
          <w:sz w:val="24"/>
          <w:szCs w:val="24"/>
          <w:highlight w:val="white"/>
        </w:rPr>
        <w:t xml:space="preserve"> Delgado championed that defence, maintaining that external factors create a propensity to perpetrate crimes; he argues that persons who grow grown up in sociall</w:t>
      </w:r>
      <w:r w:rsidR="00190020">
        <w:rPr>
          <w:rFonts w:ascii="Times New Roman" w:eastAsia="Times New Roman" w:hAnsi="Times New Roman" w:cs="Times New Roman"/>
          <w:sz w:val="24"/>
          <w:szCs w:val="24"/>
        </w:rPr>
        <w:t>y deprived environments do not have the same chances to absorb the majority’s legal and moral norms’.</w:t>
      </w:r>
      <w:r w:rsidR="00190020">
        <w:rPr>
          <w:rFonts w:ascii="Times New Roman" w:eastAsia="Times New Roman" w:hAnsi="Times New Roman" w:cs="Times New Roman"/>
          <w:sz w:val="24"/>
          <w:szCs w:val="24"/>
          <w:highlight w:val="white"/>
          <w:vertAlign w:val="superscript"/>
        </w:rPr>
        <w:footnoteReference w:id="137"/>
      </w:r>
      <w:r w:rsidR="00190020">
        <w:rPr>
          <w:rFonts w:ascii="Times New Roman" w:eastAsia="Times New Roman" w:hAnsi="Times New Roman" w:cs="Times New Roman"/>
          <w:sz w:val="24"/>
          <w:szCs w:val="24"/>
        </w:rPr>
        <w:t xml:space="preserve"> The defence appears best acknowledged in relation to children who have grown up in such an environment,</w:t>
      </w:r>
      <w:r w:rsidR="00190020">
        <w:rPr>
          <w:rFonts w:ascii="Times New Roman" w:eastAsia="Times New Roman" w:hAnsi="Times New Roman" w:cs="Times New Roman"/>
          <w:sz w:val="24"/>
          <w:szCs w:val="24"/>
          <w:vertAlign w:val="superscript"/>
        </w:rPr>
        <w:footnoteReference w:id="138"/>
      </w:r>
      <w:r w:rsidR="00190020">
        <w:rPr>
          <w:rFonts w:ascii="Times New Roman" w:eastAsia="Times New Roman" w:hAnsi="Times New Roman" w:cs="Times New Roman"/>
          <w:sz w:val="24"/>
          <w:szCs w:val="24"/>
        </w:rPr>
        <w:t xml:space="preserve"> notably because developmental psychology supports the view that ‘developmental trajectories are established in early childhood’.</w:t>
      </w:r>
      <w:r w:rsidR="00190020">
        <w:rPr>
          <w:rFonts w:ascii="Times New Roman" w:eastAsia="Times New Roman" w:hAnsi="Times New Roman" w:cs="Times New Roman"/>
          <w:sz w:val="24"/>
          <w:szCs w:val="24"/>
          <w:vertAlign w:val="superscript"/>
        </w:rPr>
        <w:footnoteReference w:id="139"/>
      </w:r>
      <w:r w:rsidR="00190020">
        <w:rPr>
          <w:rFonts w:ascii="Times New Roman" w:eastAsia="Times New Roman" w:hAnsi="Times New Roman" w:cs="Times New Roman"/>
          <w:sz w:val="24"/>
          <w:szCs w:val="24"/>
        </w:rPr>
        <w:t xml:space="preserve"> </w:t>
      </w:r>
    </w:p>
    <w:p w14:paraId="65128686" w14:textId="42C7D206"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Using this defence is undoubtedly controversial since many issues can be raised at a practical, theoretical and policy level. First, the defence has never been successfully pleaded as a stand-alone defence in American courts</w:t>
      </w:r>
      <w:r w:rsidR="00190020">
        <w:rPr>
          <w:rFonts w:ascii="Times New Roman" w:eastAsia="Times New Roman" w:hAnsi="Times New Roman" w:cs="Times New Roman"/>
          <w:sz w:val="24"/>
          <w:szCs w:val="24"/>
          <w:vertAlign w:val="superscript"/>
        </w:rPr>
        <w:footnoteReference w:id="140"/>
      </w:r>
      <w:r w:rsidR="00190020">
        <w:rPr>
          <w:rFonts w:ascii="Times New Roman" w:eastAsia="Times New Roman" w:hAnsi="Times New Roman" w:cs="Times New Roman"/>
          <w:sz w:val="24"/>
          <w:szCs w:val="24"/>
        </w:rPr>
        <w:t xml:space="preserve"> and ‘has failed utterly to gain any real world </w:t>
      </w:r>
      <w:r w:rsidR="00190020">
        <w:rPr>
          <w:rFonts w:ascii="Times New Roman" w:eastAsia="Times New Roman" w:hAnsi="Times New Roman" w:cs="Times New Roman"/>
          <w:sz w:val="24"/>
          <w:szCs w:val="24"/>
        </w:rPr>
        <w:lastRenderedPageBreak/>
        <w:t>traction’.</w:t>
      </w:r>
      <w:r w:rsidR="00190020">
        <w:rPr>
          <w:rFonts w:ascii="Times New Roman" w:eastAsia="Times New Roman" w:hAnsi="Times New Roman" w:cs="Times New Roman"/>
          <w:sz w:val="24"/>
          <w:szCs w:val="24"/>
          <w:vertAlign w:val="superscript"/>
        </w:rPr>
        <w:footnoteReference w:id="141"/>
      </w:r>
      <w:r w:rsidR="00190020">
        <w:rPr>
          <w:rFonts w:ascii="Times New Roman" w:eastAsia="Times New Roman" w:hAnsi="Times New Roman" w:cs="Times New Roman"/>
          <w:sz w:val="24"/>
          <w:szCs w:val="24"/>
        </w:rPr>
        <w:t xml:space="preserve"> If a person’s social background was used to negate legal responsibility, it was linked to a defence of insanity.</w:t>
      </w:r>
      <w:r w:rsidR="00190020">
        <w:rPr>
          <w:rFonts w:ascii="Times New Roman" w:eastAsia="Times New Roman" w:hAnsi="Times New Roman" w:cs="Times New Roman"/>
          <w:sz w:val="24"/>
          <w:szCs w:val="24"/>
          <w:vertAlign w:val="superscript"/>
        </w:rPr>
        <w:footnoteReference w:id="142"/>
      </w:r>
      <w:r w:rsidR="00190020">
        <w:rPr>
          <w:rFonts w:ascii="Times New Roman" w:eastAsia="Times New Roman" w:hAnsi="Times New Roman" w:cs="Times New Roman"/>
          <w:sz w:val="24"/>
          <w:szCs w:val="24"/>
        </w:rPr>
        <w:t xml:space="preserve"> In other jurisdictions such as Australia and Canada, it was only raised as a mitigating factor.</w:t>
      </w:r>
      <w:r w:rsidR="00190020">
        <w:rPr>
          <w:rFonts w:ascii="Times New Roman" w:eastAsia="Times New Roman" w:hAnsi="Times New Roman" w:cs="Times New Roman"/>
          <w:sz w:val="24"/>
          <w:szCs w:val="24"/>
          <w:vertAlign w:val="superscript"/>
        </w:rPr>
        <w:footnoteReference w:id="143"/>
      </w:r>
      <w:r w:rsidR="00190020">
        <w:rPr>
          <w:rFonts w:ascii="Times New Roman" w:eastAsia="Times New Roman" w:hAnsi="Times New Roman" w:cs="Times New Roman"/>
          <w:sz w:val="24"/>
          <w:szCs w:val="24"/>
        </w:rPr>
        <w:t xml:space="preserve"> Second, as Delgado himself avows, the relationship between deprivation and criminal responsibility ‘while intuitive and compelling, still has yet to be determined’.</w:t>
      </w:r>
      <w:r w:rsidR="00190020">
        <w:rPr>
          <w:rFonts w:ascii="Times New Roman" w:eastAsia="Times New Roman" w:hAnsi="Times New Roman" w:cs="Times New Roman"/>
          <w:sz w:val="24"/>
          <w:szCs w:val="24"/>
          <w:vertAlign w:val="superscript"/>
        </w:rPr>
        <w:footnoteReference w:id="144"/>
      </w:r>
      <w:r w:rsidR="00190020">
        <w:rPr>
          <w:rFonts w:ascii="Times New Roman" w:eastAsia="Times New Roman" w:hAnsi="Times New Roman" w:cs="Times New Roman"/>
          <w:sz w:val="24"/>
          <w:szCs w:val="24"/>
        </w:rPr>
        <w:t xml:space="preserve"> Moreover, many people with a rotten social background do not become criminals.</w:t>
      </w:r>
      <w:r w:rsidR="00190020">
        <w:rPr>
          <w:rFonts w:ascii="Times New Roman" w:eastAsia="Times New Roman" w:hAnsi="Times New Roman" w:cs="Times New Roman"/>
          <w:sz w:val="24"/>
          <w:szCs w:val="24"/>
          <w:vertAlign w:val="superscript"/>
        </w:rPr>
        <w:footnoteReference w:id="145"/>
      </w:r>
      <w:r w:rsidR="00190020">
        <w:rPr>
          <w:rFonts w:ascii="Times New Roman" w:eastAsia="Times New Roman" w:hAnsi="Times New Roman" w:cs="Times New Roman"/>
          <w:sz w:val="24"/>
          <w:szCs w:val="24"/>
        </w:rPr>
        <w:t xml:space="preserve"> Third, as Morse explains, ‘all environments affect choice, making some choices easy and others hard’.</w:t>
      </w:r>
      <w:r w:rsidR="00190020">
        <w:rPr>
          <w:rFonts w:ascii="Times New Roman" w:eastAsia="Times New Roman" w:hAnsi="Times New Roman" w:cs="Times New Roman"/>
          <w:sz w:val="24"/>
          <w:szCs w:val="24"/>
          <w:vertAlign w:val="superscript"/>
        </w:rPr>
        <w:footnoteReference w:id="146"/>
      </w:r>
      <w:r w:rsidR="00190020">
        <w:rPr>
          <w:rFonts w:ascii="Times New Roman" w:eastAsia="Times New Roman" w:hAnsi="Times New Roman" w:cs="Times New Roman"/>
          <w:sz w:val="24"/>
          <w:szCs w:val="24"/>
        </w:rPr>
        <w:t xml:space="preserve"> And whilst there might be a correlation (though not necessarily a causal relationship</w:t>
      </w:r>
      <w:r w:rsidR="00190020">
        <w:rPr>
          <w:rFonts w:ascii="Times New Roman" w:eastAsia="Times New Roman" w:hAnsi="Times New Roman" w:cs="Times New Roman"/>
          <w:sz w:val="24"/>
          <w:szCs w:val="24"/>
          <w:vertAlign w:val="superscript"/>
        </w:rPr>
        <w:footnoteReference w:id="147"/>
      </w:r>
      <w:r w:rsidR="00190020">
        <w:rPr>
          <w:rFonts w:ascii="Times New Roman" w:eastAsia="Times New Roman" w:hAnsi="Times New Roman" w:cs="Times New Roman"/>
          <w:sz w:val="24"/>
          <w:szCs w:val="24"/>
        </w:rPr>
        <w:t>) between the environment and a propensity to commit a crime, an element of personal choice remains.</w:t>
      </w:r>
      <w:r w:rsidR="00190020">
        <w:rPr>
          <w:rFonts w:ascii="Times New Roman" w:eastAsia="Times New Roman" w:hAnsi="Times New Roman" w:cs="Times New Roman"/>
          <w:sz w:val="24"/>
          <w:szCs w:val="24"/>
          <w:vertAlign w:val="superscript"/>
        </w:rPr>
        <w:footnoteReference w:id="148"/>
      </w:r>
      <w:r w:rsidR="00190020">
        <w:rPr>
          <w:rFonts w:ascii="Times New Roman" w:eastAsia="Times New Roman" w:hAnsi="Times New Roman" w:cs="Times New Roman"/>
          <w:sz w:val="24"/>
          <w:szCs w:val="24"/>
        </w:rPr>
        <w:t xml:space="preserve"> Furthermore, as Jayaraman explains, ‘the cognitive requirement of “knowledge” or right and wrong will usually be met as well because, despite a rough childhood, the defendant usually knows that killing is wrong’.</w:t>
      </w:r>
      <w:r w:rsidR="00190020">
        <w:rPr>
          <w:rFonts w:ascii="Times New Roman" w:eastAsia="Times New Roman" w:hAnsi="Times New Roman" w:cs="Times New Roman"/>
          <w:sz w:val="24"/>
          <w:szCs w:val="24"/>
          <w:vertAlign w:val="superscript"/>
        </w:rPr>
        <w:footnoteReference w:id="149"/>
      </w:r>
      <w:r w:rsidR="00190020">
        <w:rPr>
          <w:rFonts w:ascii="Times New Roman" w:eastAsia="Times New Roman" w:hAnsi="Times New Roman" w:cs="Times New Roman"/>
          <w:sz w:val="24"/>
          <w:szCs w:val="24"/>
        </w:rPr>
        <w:t xml:space="preserve"> Fourth, as the defence works on the basis of social determinism, an entire class of individuals could be viewed as criminals or at least viewed in the same brushstroke. Whilst criminologists involved in international criminal justice have argued that ‘certain social environments may be inherently “criminogenic”, producing cultures of criminality’,</w:t>
      </w:r>
      <w:r w:rsidR="00190020">
        <w:rPr>
          <w:rFonts w:ascii="Times New Roman" w:eastAsia="Times New Roman" w:hAnsi="Times New Roman" w:cs="Times New Roman"/>
          <w:sz w:val="24"/>
          <w:szCs w:val="24"/>
          <w:vertAlign w:val="superscript"/>
        </w:rPr>
        <w:footnoteReference w:id="150"/>
      </w:r>
      <w:r w:rsidR="00190020">
        <w:rPr>
          <w:rFonts w:ascii="Times New Roman" w:eastAsia="Times New Roman" w:hAnsi="Times New Roman" w:cs="Times New Roman"/>
          <w:sz w:val="24"/>
          <w:szCs w:val="24"/>
        </w:rPr>
        <w:t xml:space="preserve"> accepting such social </w:t>
      </w:r>
      <w:r w:rsidR="00190020">
        <w:rPr>
          <w:rFonts w:ascii="Times New Roman" w:eastAsia="Times New Roman" w:hAnsi="Times New Roman" w:cs="Times New Roman"/>
          <w:sz w:val="24"/>
          <w:szCs w:val="24"/>
        </w:rPr>
        <w:lastRenderedPageBreak/>
        <w:t xml:space="preserve">determinism would at a policy level open the floodgates and, as </w:t>
      </w:r>
      <w:proofErr w:type="spellStart"/>
      <w:r w:rsidR="00190020">
        <w:rPr>
          <w:rFonts w:ascii="Times New Roman" w:eastAsia="Times New Roman" w:hAnsi="Times New Roman" w:cs="Times New Roman"/>
          <w:sz w:val="24"/>
          <w:szCs w:val="24"/>
        </w:rPr>
        <w:t>Aguiling</w:t>
      </w:r>
      <w:proofErr w:type="spellEnd"/>
      <w:r w:rsidR="00190020">
        <w:rPr>
          <w:rFonts w:ascii="Times New Roman" w:eastAsia="Times New Roman" w:hAnsi="Times New Roman" w:cs="Times New Roman"/>
          <w:sz w:val="24"/>
          <w:szCs w:val="24"/>
        </w:rPr>
        <w:t xml:space="preserve"> </w:t>
      </w:r>
      <w:proofErr w:type="spellStart"/>
      <w:r w:rsidR="00190020">
        <w:rPr>
          <w:rFonts w:ascii="Times New Roman" w:eastAsia="Times New Roman" w:hAnsi="Times New Roman" w:cs="Times New Roman"/>
          <w:sz w:val="24"/>
          <w:szCs w:val="24"/>
        </w:rPr>
        <w:t>Pangalangan</w:t>
      </w:r>
      <w:proofErr w:type="spellEnd"/>
      <w:r w:rsidR="00190020">
        <w:rPr>
          <w:rFonts w:ascii="Times New Roman" w:eastAsia="Times New Roman" w:hAnsi="Times New Roman" w:cs="Times New Roman"/>
          <w:sz w:val="24"/>
          <w:szCs w:val="24"/>
        </w:rPr>
        <w:t xml:space="preserve"> explains, would, in line with ICC </w:t>
      </w:r>
      <w:r w:rsidR="00190020">
        <w:rPr>
          <w:rFonts w:ascii="Times New Roman" w:eastAsia="Times New Roman" w:hAnsi="Times New Roman" w:cs="Times New Roman"/>
          <w:i/>
          <w:sz w:val="24"/>
          <w:szCs w:val="24"/>
        </w:rPr>
        <w:t>ratio decidendi</w:t>
      </w:r>
      <w:r w:rsidR="00190020">
        <w:rPr>
          <w:rFonts w:ascii="Times New Roman" w:eastAsia="Times New Roman" w:hAnsi="Times New Roman" w:cs="Times New Roman"/>
          <w:sz w:val="24"/>
          <w:szCs w:val="24"/>
        </w:rPr>
        <w:t xml:space="preserve"> in relation to duress, ‘provide blanket immunity to members of criminal organisations which have brutal systems of ensuring discipline as soon as they can establish that their membership was not voluntary.’</w:t>
      </w:r>
      <w:r w:rsidR="00190020">
        <w:rPr>
          <w:rFonts w:ascii="Times New Roman" w:eastAsia="Times New Roman" w:hAnsi="Times New Roman" w:cs="Times New Roman"/>
          <w:sz w:val="24"/>
          <w:szCs w:val="24"/>
          <w:vertAlign w:val="superscript"/>
        </w:rPr>
        <w:footnoteReference w:id="151"/>
      </w:r>
      <w:r w:rsidR="00190020">
        <w:rPr>
          <w:rFonts w:ascii="Times New Roman" w:eastAsia="Times New Roman" w:hAnsi="Times New Roman" w:cs="Times New Roman"/>
          <w:sz w:val="24"/>
          <w:szCs w:val="24"/>
        </w:rPr>
        <w:t xml:space="preserve"> </w:t>
      </w:r>
    </w:p>
    <w:p w14:paraId="65128687" w14:textId="5C05C92B"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Overall, the rotten social background defence does not work as an alternative defence because 1) it is not established as a defence in (US) national law</w:t>
      </w:r>
      <w:r w:rsidR="002F4FFD">
        <w:rPr>
          <w:rFonts w:ascii="Times New Roman" w:eastAsia="Times New Roman" w:hAnsi="Times New Roman" w:cs="Times New Roman"/>
          <w:sz w:val="24"/>
          <w:szCs w:val="24"/>
        </w:rPr>
        <w:t xml:space="preserve"> and there is no evidence that it has been used in other jurisdictions;</w:t>
      </w:r>
      <w:r w:rsidR="00190020">
        <w:rPr>
          <w:rFonts w:ascii="Times New Roman" w:eastAsia="Times New Roman" w:hAnsi="Times New Roman" w:cs="Times New Roman"/>
          <w:sz w:val="24"/>
          <w:szCs w:val="24"/>
        </w:rPr>
        <w:t xml:space="preserve"> </w:t>
      </w:r>
      <w:proofErr w:type="gramStart"/>
      <w:r w:rsidR="00190020">
        <w:rPr>
          <w:rFonts w:ascii="Times New Roman" w:eastAsia="Times New Roman" w:hAnsi="Times New Roman" w:cs="Times New Roman"/>
          <w:sz w:val="24"/>
          <w:szCs w:val="24"/>
        </w:rPr>
        <w:t>thus</w:t>
      </w:r>
      <w:proofErr w:type="gramEnd"/>
      <w:r w:rsidR="00190020">
        <w:rPr>
          <w:rFonts w:ascii="Times New Roman" w:eastAsia="Times New Roman" w:hAnsi="Times New Roman" w:cs="Times New Roman"/>
          <w:sz w:val="24"/>
          <w:szCs w:val="24"/>
        </w:rPr>
        <w:t xml:space="preserve"> </w:t>
      </w:r>
      <w:r w:rsidR="002F4FFD">
        <w:rPr>
          <w:rFonts w:ascii="Times New Roman" w:eastAsia="Times New Roman" w:hAnsi="Times New Roman" w:cs="Times New Roman"/>
          <w:sz w:val="24"/>
          <w:szCs w:val="24"/>
        </w:rPr>
        <w:t xml:space="preserve">it </w:t>
      </w:r>
      <w:r w:rsidR="00190020">
        <w:rPr>
          <w:rFonts w:ascii="Times New Roman" w:eastAsia="Times New Roman" w:hAnsi="Times New Roman" w:cs="Times New Roman"/>
          <w:sz w:val="24"/>
          <w:szCs w:val="24"/>
        </w:rPr>
        <w:t xml:space="preserve">cannot be </w:t>
      </w:r>
      <w:r>
        <w:rPr>
          <w:rFonts w:ascii="Times New Roman" w:eastAsia="Times New Roman" w:hAnsi="Times New Roman" w:cs="Times New Roman"/>
          <w:sz w:val="24"/>
          <w:szCs w:val="24"/>
        </w:rPr>
        <w:t>considered as</w:t>
      </w:r>
      <w:r w:rsidR="00190020">
        <w:rPr>
          <w:rFonts w:ascii="Times New Roman" w:eastAsia="Times New Roman" w:hAnsi="Times New Roman" w:cs="Times New Roman"/>
          <w:sz w:val="24"/>
          <w:szCs w:val="24"/>
        </w:rPr>
        <w:t xml:space="preserve"> a general principle of law, and 2) it suffers from several critical flaws at theoretical and policy level. </w:t>
      </w:r>
    </w:p>
    <w:p w14:paraId="65128688" w14:textId="77777777" w:rsidR="00B32260" w:rsidRDefault="00B32260" w:rsidP="004F3B74">
      <w:pPr>
        <w:tabs>
          <w:tab w:val="left" w:pos="357"/>
        </w:tabs>
        <w:spacing w:line="480" w:lineRule="auto"/>
        <w:rPr>
          <w:rFonts w:ascii="Times New Roman" w:eastAsia="Times New Roman" w:hAnsi="Times New Roman" w:cs="Times New Roman"/>
          <w:sz w:val="24"/>
          <w:szCs w:val="24"/>
        </w:rPr>
      </w:pPr>
    </w:p>
    <w:p w14:paraId="65128689" w14:textId="77777777" w:rsidR="00B32260" w:rsidRDefault="00190020" w:rsidP="004F3B74">
      <w:pPr>
        <w:tabs>
          <w:tab w:val="left" w:pos="357"/>
        </w:tabs>
        <w:spacing w:line="480" w:lineRule="auto"/>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 xml:space="preserve">5.2 </w:t>
      </w:r>
      <w:r>
        <w:rPr>
          <w:rFonts w:ascii="Times New Roman" w:eastAsia="Times New Roman" w:hAnsi="Times New Roman" w:cs="Times New Roman"/>
          <w:b/>
          <w:sz w:val="24"/>
          <w:szCs w:val="24"/>
        </w:rPr>
        <w:tab/>
      </w:r>
      <w:r>
        <w:rPr>
          <w:rFonts w:ascii="Times New Roman" w:eastAsia="Times New Roman" w:hAnsi="Times New Roman" w:cs="Times New Roman"/>
          <w:b/>
          <w:i/>
          <w:sz w:val="24"/>
          <w:szCs w:val="24"/>
        </w:rPr>
        <w:t xml:space="preserve">Brainwashing and Indoctrination </w:t>
      </w:r>
    </w:p>
    <w:p w14:paraId="6512868A" w14:textId="77777777"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defences of brainwashing and indoctrination</w:t>
      </w:r>
      <w:r>
        <w:rPr>
          <w:rFonts w:ascii="Times New Roman" w:eastAsia="Times New Roman" w:hAnsi="Times New Roman" w:cs="Times New Roman"/>
          <w:sz w:val="24"/>
          <w:szCs w:val="24"/>
          <w:vertAlign w:val="superscript"/>
        </w:rPr>
        <w:footnoteReference w:id="152"/>
      </w:r>
      <w:r>
        <w:rPr>
          <w:rFonts w:ascii="Times New Roman" w:eastAsia="Times New Roman" w:hAnsi="Times New Roman" w:cs="Times New Roman"/>
          <w:sz w:val="24"/>
          <w:szCs w:val="24"/>
        </w:rPr>
        <w:t xml:space="preserve"> work on the basis that individuals’ minds have been influenced to such a level that their acts are not theirs anymore. Whilst they are ‘free’ in their decision-making, including the possibility to leave the coercive environment, that freedom has been withdrawn from them by an elaborate manipulation mechanism. Defendants ‘argue that they should not be held responsible because their criminal actions were a consequence of mind control’.</w:t>
      </w:r>
      <w:r>
        <w:rPr>
          <w:rFonts w:ascii="Times New Roman" w:eastAsia="Times New Roman" w:hAnsi="Times New Roman" w:cs="Times New Roman"/>
          <w:sz w:val="24"/>
          <w:szCs w:val="24"/>
          <w:vertAlign w:val="superscript"/>
        </w:rPr>
        <w:footnoteReference w:id="153"/>
      </w:r>
      <w:r>
        <w:rPr>
          <w:rFonts w:ascii="Times New Roman" w:eastAsia="Times New Roman" w:hAnsi="Times New Roman" w:cs="Times New Roman"/>
          <w:sz w:val="24"/>
          <w:szCs w:val="24"/>
        </w:rPr>
        <w:t xml:space="preserve"> The appositeness of this defence for child soldiers has been highlighted by Brown</w:t>
      </w:r>
      <w:r>
        <w:rPr>
          <w:rFonts w:ascii="Times New Roman" w:eastAsia="Times New Roman" w:hAnsi="Times New Roman" w:cs="Times New Roman"/>
          <w:sz w:val="24"/>
          <w:szCs w:val="24"/>
          <w:vertAlign w:val="superscript"/>
        </w:rPr>
        <w:footnoteReference w:id="154"/>
      </w:r>
      <w:r>
        <w:rPr>
          <w:rFonts w:ascii="Times New Roman" w:eastAsia="Times New Roman" w:hAnsi="Times New Roman" w:cs="Times New Roman"/>
          <w:sz w:val="24"/>
          <w:szCs w:val="24"/>
        </w:rPr>
        <w:t xml:space="preserve"> and was used by </w:t>
      </w:r>
      <w:proofErr w:type="spellStart"/>
      <w:r>
        <w:rPr>
          <w:rFonts w:ascii="Times New Roman" w:eastAsia="Times New Roman" w:hAnsi="Times New Roman" w:cs="Times New Roman"/>
          <w:sz w:val="24"/>
          <w:szCs w:val="24"/>
        </w:rPr>
        <w:t>Ongwen’s</w:t>
      </w:r>
      <w:proofErr w:type="spellEnd"/>
      <w:r>
        <w:rPr>
          <w:rFonts w:ascii="Times New Roman" w:eastAsia="Times New Roman" w:hAnsi="Times New Roman" w:cs="Times New Roman"/>
          <w:sz w:val="24"/>
          <w:szCs w:val="24"/>
        </w:rPr>
        <w:t xml:space="preserve"> Defence</w:t>
      </w:r>
      <w:r>
        <w:rPr>
          <w:rFonts w:ascii="Times New Roman" w:eastAsia="Times New Roman" w:hAnsi="Times New Roman" w:cs="Times New Roman"/>
          <w:sz w:val="24"/>
          <w:szCs w:val="24"/>
          <w:vertAlign w:val="superscript"/>
        </w:rPr>
        <w:footnoteReference w:id="155"/>
      </w:r>
      <w:r>
        <w:rPr>
          <w:rFonts w:ascii="Times New Roman" w:eastAsia="Times New Roman" w:hAnsi="Times New Roman" w:cs="Times New Roman"/>
          <w:sz w:val="24"/>
          <w:szCs w:val="24"/>
        </w:rPr>
        <w:t xml:space="preserve"> as it referred to the </w:t>
      </w:r>
      <w:r>
        <w:rPr>
          <w:rFonts w:ascii="Times New Roman" w:eastAsia="Times New Roman" w:hAnsi="Times New Roman" w:cs="Times New Roman"/>
          <w:sz w:val="24"/>
          <w:szCs w:val="24"/>
        </w:rPr>
        <w:lastRenderedPageBreak/>
        <w:t xml:space="preserve">impact of the LRA’s spiritual indoctrination on the child soldiers whose beliefs and perceptions of right and wrong were shaped by such indoctrination. </w:t>
      </w:r>
    </w:p>
    <w:p w14:paraId="6512868B" w14:textId="650358DA"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Brainwashing works on the basis that an individual is ‘a relatively passive subject under the control of all-powerful ... external agents who use coercive and manipulative techniques’.</w:t>
      </w:r>
      <w:r w:rsidR="00190020">
        <w:rPr>
          <w:rFonts w:ascii="Times New Roman" w:eastAsia="Times New Roman" w:hAnsi="Times New Roman" w:cs="Times New Roman"/>
          <w:sz w:val="24"/>
          <w:szCs w:val="24"/>
          <w:vertAlign w:val="superscript"/>
        </w:rPr>
        <w:footnoteReference w:id="156"/>
      </w:r>
      <w:r w:rsidR="00190020">
        <w:rPr>
          <w:rFonts w:ascii="Times New Roman" w:eastAsia="Times New Roman" w:hAnsi="Times New Roman" w:cs="Times New Roman"/>
          <w:sz w:val="24"/>
          <w:szCs w:val="24"/>
        </w:rPr>
        <w:t xml:space="preserve"> Delgado explains that individuals have undergone ‘a forcible indoctrination process designed to induce the subject to abandon existing political, religious, or social beliefs in </w:t>
      </w:r>
      <w:proofErr w:type="spellStart"/>
      <w:r w:rsidR="00190020">
        <w:rPr>
          <w:rFonts w:ascii="Times New Roman" w:eastAsia="Times New Roman" w:hAnsi="Times New Roman" w:cs="Times New Roman"/>
          <w:sz w:val="24"/>
          <w:szCs w:val="24"/>
        </w:rPr>
        <w:t>favor</w:t>
      </w:r>
      <w:proofErr w:type="spellEnd"/>
      <w:r w:rsidR="00190020">
        <w:rPr>
          <w:rFonts w:ascii="Times New Roman" w:eastAsia="Times New Roman" w:hAnsi="Times New Roman" w:cs="Times New Roman"/>
          <w:sz w:val="24"/>
          <w:szCs w:val="24"/>
        </w:rPr>
        <w:t xml:space="preserve"> of a rigid system imposed by the indoctrinator.’</w:t>
      </w:r>
      <w:r w:rsidR="00190020">
        <w:rPr>
          <w:rFonts w:ascii="Times New Roman" w:eastAsia="Times New Roman" w:hAnsi="Times New Roman" w:cs="Times New Roman"/>
          <w:sz w:val="24"/>
          <w:szCs w:val="24"/>
          <w:vertAlign w:val="superscript"/>
        </w:rPr>
        <w:footnoteReference w:id="157"/>
      </w:r>
      <w:r w:rsidR="00190020">
        <w:rPr>
          <w:rFonts w:ascii="Times New Roman" w:eastAsia="Times New Roman" w:hAnsi="Times New Roman" w:cs="Times New Roman"/>
          <w:sz w:val="24"/>
          <w:szCs w:val="24"/>
        </w:rPr>
        <w:t xml:space="preserve"> Not only the individuals’ identity is disrupted but they also appear to have surrendered their will and autonomy and lost their ability to think independently.</w:t>
      </w:r>
      <w:r w:rsidR="00190020">
        <w:rPr>
          <w:rFonts w:ascii="Times New Roman" w:eastAsia="Times New Roman" w:hAnsi="Times New Roman" w:cs="Times New Roman"/>
          <w:sz w:val="24"/>
          <w:szCs w:val="24"/>
          <w:vertAlign w:val="superscript"/>
        </w:rPr>
        <w:footnoteReference w:id="158"/>
      </w:r>
      <w:r w:rsidR="00190020">
        <w:rPr>
          <w:rFonts w:ascii="Times New Roman" w:eastAsia="Times New Roman" w:hAnsi="Times New Roman" w:cs="Times New Roman"/>
          <w:sz w:val="24"/>
          <w:szCs w:val="24"/>
        </w:rPr>
        <w:t xml:space="preserve"> The intent to commit the crime is superimposed by another person.</w:t>
      </w:r>
      <w:r w:rsidR="00190020">
        <w:rPr>
          <w:rFonts w:ascii="Times New Roman" w:eastAsia="Times New Roman" w:hAnsi="Times New Roman" w:cs="Times New Roman"/>
          <w:sz w:val="24"/>
          <w:szCs w:val="24"/>
          <w:vertAlign w:val="superscript"/>
        </w:rPr>
        <w:footnoteReference w:id="159"/>
      </w:r>
    </w:p>
    <w:p w14:paraId="6512868C" w14:textId="4C74820E" w:rsidR="00B32260" w:rsidRDefault="004F3B74" w:rsidP="004F3B74">
      <w:pPr>
        <w:tabs>
          <w:tab w:val="left" w:pos="357"/>
        </w:tabs>
        <w:spacing w:line="480"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In contrast, indoctrination aims to instil a ‘doctrine and an ideology, a vision and a programme on how to create a better world’.</w:t>
      </w:r>
      <w:r w:rsidR="00190020">
        <w:rPr>
          <w:rFonts w:ascii="Times New Roman" w:eastAsia="Times New Roman" w:hAnsi="Times New Roman" w:cs="Times New Roman"/>
          <w:sz w:val="24"/>
          <w:szCs w:val="24"/>
          <w:vertAlign w:val="superscript"/>
        </w:rPr>
        <w:footnoteReference w:id="160"/>
      </w:r>
      <w:r w:rsidR="00190020">
        <w:rPr>
          <w:rFonts w:ascii="Times New Roman" w:eastAsia="Times New Roman" w:hAnsi="Times New Roman" w:cs="Times New Roman"/>
          <w:sz w:val="24"/>
          <w:szCs w:val="24"/>
        </w:rPr>
        <w:t xml:space="preserve"> As such, indoctrination is a social process by which an individual’s beliefs are altered, one step at a time.</w:t>
      </w:r>
      <w:r w:rsidR="00190020">
        <w:rPr>
          <w:rFonts w:ascii="Times New Roman" w:eastAsia="Times New Roman" w:hAnsi="Times New Roman" w:cs="Times New Roman"/>
          <w:sz w:val="24"/>
          <w:szCs w:val="24"/>
          <w:vertAlign w:val="superscript"/>
        </w:rPr>
        <w:footnoteReference w:id="161"/>
      </w:r>
      <w:r w:rsidR="00190020">
        <w:rPr>
          <w:rFonts w:ascii="Times New Roman" w:eastAsia="Times New Roman" w:hAnsi="Times New Roman" w:cs="Times New Roman"/>
          <w:sz w:val="24"/>
          <w:szCs w:val="24"/>
        </w:rPr>
        <w:t xml:space="preserve"> ‘[I]</w:t>
      </w:r>
      <w:proofErr w:type="spellStart"/>
      <w:r w:rsidR="00190020">
        <w:rPr>
          <w:rFonts w:ascii="Times New Roman" w:eastAsia="Times New Roman" w:hAnsi="Times New Roman" w:cs="Times New Roman"/>
          <w:sz w:val="24"/>
          <w:szCs w:val="24"/>
        </w:rPr>
        <w:t>ndoctrination</w:t>
      </w:r>
      <w:proofErr w:type="spellEnd"/>
      <w:r w:rsidR="00190020">
        <w:rPr>
          <w:rFonts w:ascii="Times New Roman" w:eastAsia="Times New Roman" w:hAnsi="Times New Roman" w:cs="Times New Roman"/>
          <w:sz w:val="24"/>
          <w:szCs w:val="24"/>
        </w:rPr>
        <w:t xml:space="preserve"> is not an on-off switch rather a continuum of depth and control. Even after one is initially indoctrinated, a well-organized program will continue to work to deepen and “consolidate” the indoctrination.’</w:t>
      </w:r>
      <w:r w:rsidR="00190020">
        <w:rPr>
          <w:rFonts w:ascii="Times New Roman" w:eastAsia="Times New Roman" w:hAnsi="Times New Roman" w:cs="Times New Roman"/>
          <w:sz w:val="24"/>
          <w:szCs w:val="24"/>
          <w:vertAlign w:val="superscript"/>
        </w:rPr>
        <w:footnoteReference w:id="162"/>
      </w:r>
      <w:r w:rsidR="00190020">
        <w:rPr>
          <w:rFonts w:ascii="Times New Roman" w:eastAsia="Times New Roman" w:hAnsi="Times New Roman" w:cs="Times New Roman"/>
          <w:sz w:val="24"/>
          <w:szCs w:val="24"/>
        </w:rPr>
        <w:t xml:space="preserve"> Eventually, individuals are unable to resist or even question the demands </w:t>
      </w:r>
      <w:r w:rsidR="00190020">
        <w:rPr>
          <w:rFonts w:ascii="Times New Roman" w:eastAsia="Times New Roman" w:hAnsi="Times New Roman" w:cs="Times New Roman"/>
          <w:sz w:val="24"/>
          <w:szCs w:val="24"/>
        </w:rPr>
        <w:lastRenderedPageBreak/>
        <w:t>and orders of the indoctrinators. The grave impact brainwashing and indoctrination have on children has been highlighted on many occasions: ‘There is a common view among psychologists that children’s minds are so impressionable that merely teaching youth a certain ideology can steer their later intentions and motivations towards that ideology.’</w:t>
      </w:r>
      <w:r w:rsidR="00190020">
        <w:rPr>
          <w:rFonts w:ascii="Times New Roman" w:eastAsia="Times New Roman" w:hAnsi="Times New Roman" w:cs="Times New Roman"/>
          <w:sz w:val="24"/>
          <w:szCs w:val="24"/>
          <w:vertAlign w:val="superscript"/>
        </w:rPr>
        <w:footnoteReference w:id="163"/>
      </w:r>
      <w:r w:rsidR="00190020">
        <w:rPr>
          <w:rFonts w:ascii="Times New Roman" w:eastAsia="Times New Roman" w:hAnsi="Times New Roman" w:cs="Times New Roman"/>
          <w:sz w:val="24"/>
          <w:szCs w:val="24"/>
        </w:rPr>
        <w:t xml:space="preserve"> </w:t>
      </w:r>
    </w:p>
    <w:p w14:paraId="6512868D" w14:textId="2CAE2B47"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These defences appear particularly relevant in international criminal law. After all, as ‘[p]</w:t>
      </w:r>
      <w:proofErr w:type="spellStart"/>
      <w:r w:rsidR="00190020">
        <w:rPr>
          <w:rFonts w:ascii="Times New Roman" w:eastAsia="Times New Roman" w:hAnsi="Times New Roman" w:cs="Times New Roman"/>
          <w:sz w:val="24"/>
          <w:szCs w:val="24"/>
        </w:rPr>
        <w:t>eople</w:t>
      </w:r>
      <w:proofErr w:type="spellEnd"/>
      <w:r w:rsidR="00190020">
        <w:rPr>
          <w:rFonts w:ascii="Times New Roman" w:eastAsia="Times New Roman" w:hAnsi="Times New Roman" w:cs="Times New Roman"/>
          <w:sz w:val="24"/>
          <w:szCs w:val="24"/>
        </w:rPr>
        <w:t xml:space="preserve"> are social beings and conformity research has shown how susceptible people are to social influence such as peer pressure and how eager they are to show that they are good group members’,</w:t>
      </w:r>
      <w:r w:rsidR="00190020">
        <w:rPr>
          <w:rFonts w:ascii="Times New Roman" w:eastAsia="Times New Roman" w:hAnsi="Times New Roman" w:cs="Times New Roman"/>
          <w:sz w:val="24"/>
          <w:szCs w:val="24"/>
          <w:vertAlign w:val="superscript"/>
        </w:rPr>
        <w:footnoteReference w:id="164"/>
      </w:r>
      <w:r w:rsidR="00190020">
        <w:rPr>
          <w:rFonts w:ascii="Times New Roman" w:eastAsia="Times New Roman" w:hAnsi="Times New Roman" w:cs="Times New Roman"/>
          <w:sz w:val="24"/>
          <w:szCs w:val="24"/>
        </w:rPr>
        <w:t xml:space="preserve"> indoctrination is far more successful in a collective setting, a point to remember in the context of international crimes as they are committed by obedient masses.</w:t>
      </w:r>
      <w:r w:rsidR="00190020">
        <w:rPr>
          <w:rFonts w:ascii="Times New Roman" w:eastAsia="Times New Roman" w:hAnsi="Times New Roman" w:cs="Times New Roman"/>
          <w:sz w:val="24"/>
          <w:szCs w:val="24"/>
          <w:vertAlign w:val="superscript"/>
        </w:rPr>
        <w:footnoteReference w:id="165"/>
      </w:r>
      <w:r w:rsidR="00190020">
        <w:rPr>
          <w:rFonts w:ascii="Times New Roman" w:eastAsia="Times New Roman" w:hAnsi="Times New Roman" w:cs="Times New Roman"/>
          <w:sz w:val="24"/>
          <w:szCs w:val="24"/>
        </w:rPr>
        <w:t xml:space="preserve"> As </w:t>
      </w:r>
      <w:proofErr w:type="spellStart"/>
      <w:r w:rsidR="00190020">
        <w:rPr>
          <w:rFonts w:ascii="Times New Roman" w:eastAsia="Times New Roman" w:hAnsi="Times New Roman" w:cs="Times New Roman"/>
          <w:sz w:val="24"/>
          <w:szCs w:val="24"/>
        </w:rPr>
        <w:t>Stahn</w:t>
      </w:r>
      <w:proofErr w:type="spellEnd"/>
      <w:r w:rsidR="00190020">
        <w:rPr>
          <w:rFonts w:ascii="Times New Roman" w:eastAsia="Times New Roman" w:hAnsi="Times New Roman" w:cs="Times New Roman"/>
          <w:sz w:val="24"/>
          <w:szCs w:val="24"/>
        </w:rPr>
        <w:t xml:space="preserve"> articulates, ‘[c]rimes are part of ‘group dynamics, conformity pressures and reward schemes that create incentives to follow and “obey”’</w:t>
      </w:r>
      <w:r w:rsidR="00190020">
        <w:rPr>
          <w:rFonts w:ascii="Times New Roman" w:eastAsia="Times New Roman" w:hAnsi="Times New Roman" w:cs="Times New Roman"/>
          <w:sz w:val="24"/>
          <w:szCs w:val="24"/>
          <w:vertAlign w:val="superscript"/>
        </w:rPr>
        <w:footnoteReference w:id="166"/>
      </w:r>
      <w:r w:rsidR="00190020">
        <w:rPr>
          <w:rFonts w:ascii="Times New Roman" w:eastAsia="Times New Roman" w:hAnsi="Times New Roman" w:cs="Times New Roman"/>
          <w:sz w:val="24"/>
          <w:szCs w:val="24"/>
        </w:rPr>
        <w:t xml:space="preserve"> and so indoctrination has an important role to play in the commission of crimes. </w:t>
      </w:r>
    </w:p>
    <w:p w14:paraId="6512868E" w14:textId="30BF149E"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Brainwashing and indoctrination seem </w:t>
      </w:r>
      <w:r w:rsidR="00190020">
        <w:rPr>
          <w:rFonts w:ascii="Times New Roman" w:eastAsia="Times New Roman" w:hAnsi="Times New Roman" w:cs="Times New Roman"/>
          <w:i/>
          <w:sz w:val="24"/>
          <w:szCs w:val="24"/>
        </w:rPr>
        <w:t xml:space="preserve">prima facie </w:t>
      </w:r>
      <w:r w:rsidR="00190020">
        <w:rPr>
          <w:rFonts w:ascii="Times New Roman" w:eastAsia="Times New Roman" w:hAnsi="Times New Roman" w:cs="Times New Roman"/>
          <w:sz w:val="24"/>
          <w:szCs w:val="24"/>
        </w:rPr>
        <w:t>useful defences for those who commit crimes having been subjected to a coercive environment. However, two issues must be underlined. First, those defences are essentially deployed in relation to ‘new’ religious groups or cults.</w:t>
      </w:r>
      <w:r w:rsidR="00190020">
        <w:rPr>
          <w:rFonts w:ascii="Times New Roman" w:eastAsia="Times New Roman" w:hAnsi="Times New Roman" w:cs="Times New Roman"/>
          <w:sz w:val="24"/>
          <w:szCs w:val="24"/>
          <w:vertAlign w:val="superscript"/>
        </w:rPr>
        <w:footnoteReference w:id="167"/>
      </w:r>
      <w:r w:rsidR="00190020">
        <w:rPr>
          <w:rFonts w:ascii="Times New Roman" w:eastAsia="Times New Roman" w:hAnsi="Times New Roman" w:cs="Times New Roman"/>
          <w:sz w:val="24"/>
          <w:szCs w:val="24"/>
        </w:rPr>
        <w:t xml:space="preserve"> Penners </w:t>
      </w:r>
      <w:proofErr w:type="spellStart"/>
      <w:r w:rsidR="00190020">
        <w:rPr>
          <w:rFonts w:ascii="Times New Roman" w:eastAsia="Times New Roman" w:hAnsi="Times New Roman" w:cs="Times New Roman"/>
          <w:sz w:val="24"/>
          <w:szCs w:val="24"/>
        </w:rPr>
        <w:t>Wrosch</w:t>
      </w:r>
      <w:proofErr w:type="spellEnd"/>
      <w:r w:rsidR="00190020">
        <w:rPr>
          <w:rFonts w:ascii="Times New Roman" w:eastAsia="Times New Roman" w:hAnsi="Times New Roman" w:cs="Times New Roman"/>
          <w:sz w:val="24"/>
          <w:szCs w:val="24"/>
        </w:rPr>
        <w:t xml:space="preserve"> warns against comparing brainwashing in religious cults and in other contexts such as criminal defendants and prisoners of war, pointing out that since the latter’s behaviour significantly deviates from acceptable social norms, there must be further </w:t>
      </w:r>
      <w:r w:rsidR="00190020">
        <w:rPr>
          <w:rFonts w:ascii="Times New Roman" w:eastAsia="Times New Roman" w:hAnsi="Times New Roman" w:cs="Times New Roman"/>
          <w:sz w:val="24"/>
          <w:szCs w:val="24"/>
        </w:rPr>
        <w:lastRenderedPageBreak/>
        <w:t>compelling reasons, such as (threats of) the use of physical violence, to excuse such acts.</w:t>
      </w:r>
      <w:r w:rsidR="00190020">
        <w:rPr>
          <w:rFonts w:ascii="Times New Roman" w:eastAsia="Times New Roman" w:hAnsi="Times New Roman" w:cs="Times New Roman"/>
          <w:sz w:val="24"/>
          <w:szCs w:val="24"/>
          <w:vertAlign w:val="superscript"/>
        </w:rPr>
        <w:footnoteReference w:id="168"/>
      </w:r>
      <w:r w:rsidR="00190020">
        <w:rPr>
          <w:rFonts w:ascii="Times New Roman" w:eastAsia="Times New Roman" w:hAnsi="Times New Roman" w:cs="Times New Roman"/>
          <w:sz w:val="24"/>
          <w:szCs w:val="24"/>
        </w:rPr>
        <w:t xml:space="preserve"> Recent discussions suggesting that brainwashing and indoctrination are normal processes of socialisation, albeit in a more controlling environment,</w:t>
      </w:r>
      <w:r w:rsidR="00190020">
        <w:rPr>
          <w:rFonts w:ascii="Times New Roman" w:eastAsia="Times New Roman" w:hAnsi="Times New Roman" w:cs="Times New Roman"/>
          <w:sz w:val="24"/>
          <w:szCs w:val="24"/>
          <w:vertAlign w:val="superscript"/>
        </w:rPr>
        <w:footnoteReference w:id="169"/>
      </w:r>
      <w:r w:rsidR="00190020">
        <w:rPr>
          <w:rFonts w:ascii="Times New Roman" w:eastAsia="Times New Roman" w:hAnsi="Times New Roman" w:cs="Times New Roman"/>
          <w:sz w:val="24"/>
          <w:szCs w:val="24"/>
        </w:rPr>
        <w:t xml:space="preserve"> warrant such a cautious approach. Second, </w:t>
      </w:r>
      <w:r w:rsidR="00907D74">
        <w:rPr>
          <w:rFonts w:ascii="Times New Roman" w:eastAsia="Times New Roman" w:hAnsi="Times New Roman" w:cs="Times New Roman"/>
          <w:sz w:val="24"/>
          <w:szCs w:val="24"/>
        </w:rPr>
        <w:t xml:space="preserve">these defences </w:t>
      </w:r>
      <w:r w:rsidR="00190020">
        <w:rPr>
          <w:rFonts w:ascii="Times New Roman" w:eastAsia="Times New Roman" w:hAnsi="Times New Roman" w:cs="Times New Roman"/>
          <w:sz w:val="24"/>
          <w:szCs w:val="24"/>
        </w:rPr>
        <w:t xml:space="preserve">were used successfully in civil cases but not in criminal ones. In fact, they </w:t>
      </w:r>
      <w:r w:rsidR="00907D74">
        <w:rPr>
          <w:rFonts w:ascii="Times New Roman" w:eastAsia="Times New Roman" w:hAnsi="Times New Roman" w:cs="Times New Roman"/>
          <w:sz w:val="24"/>
          <w:szCs w:val="24"/>
        </w:rPr>
        <w:t xml:space="preserve">have </w:t>
      </w:r>
      <w:r w:rsidR="00190020">
        <w:rPr>
          <w:rFonts w:ascii="Times New Roman" w:eastAsia="Times New Roman" w:hAnsi="Times New Roman" w:cs="Times New Roman"/>
          <w:sz w:val="24"/>
          <w:szCs w:val="24"/>
        </w:rPr>
        <w:t>never</w:t>
      </w:r>
      <w:r w:rsidR="00907D74">
        <w:rPr>
          <w:rFonts w:ascii="Times New Roman" w:eastAsia="Times New Roman" w:hAnsi="Times New Roman" w:cs="Times New Roman"/>
          <w:sz w:val="24"/>
          <w:szCs w:val="24"/>
        </w:rPr>
        <w:t xml:space="preserve"> been</w:t>
      </w:r>
      <w:r w:rsidR="00190020">
        <w:rPr>
          <w:rFonts w:ascii="Times New Roman" w:eastAsia="Times New Roman" w:hAnsi="Times New Roman" w:cs="Times New Roman"/>
          <w:sz w:val="24"/>
          <w:szCs w:val="24"/>
        </w:rPr>
        <w:t xml:space="preserve"> raised in criminal cases as standalone defences. Remarkably, many such cases involved young adults or children, the most famous case being </w:t>
      </w:r>
      <w:r w:rsidR="00190020">
        <w:rPr>
          <w:rFonts w:ascii="Times New Roman" w:eastAsia="Times New Roman" w:hAnsi="Times New Roman" w:cs="Times New Roman"/>
          <w:i/>
          <w:sz w:val="24"/>
          <w:szCs w:val="24"/>
        </w:rPr>
        <w:t xml:space="preserve">U.S. </w:t>
      </w:r>
      <w:r w:rsidR="00190020">
        <w:rPr>
          <w:rFonts w:ascii="Times New Roman" w:eastAsia="Times New Roman" w:hAnsi="Times New Roman" w:cs="Times New Roman"/>
          <w:sz w:val="24"/>
          <w:szCs w:val="24"/>
        </w:rPr>
        <w:t>v.</w:t>
      </w:r>
      <w:r w:rsidR="00190020">
        <w:rPr>
          <w:rFonts w:ascii="Times New Roman" w:eastAsia="Times New Roman" w:hAnsi="Times New Roman" w:cs="Times New Roman"/>
          <w:i/>
          <w:sz w:val="24"/>
          <w:szCs w:val="24"/>
        </w:rPr>
        <w:t xml:space="preserve"> Hearst </w:t>
      </w:r>
      <w:r w:rsidR="00190020">
        <w:rPr>
          <w:rFonts w:ascii="Times New Roman" w:eastAsia="Times New Roman" w:hAnsi="Times New Roman" w:cs="Times New Roman"/>
          <w:sz w:val="24"/>
          <w:szCs w:val="24"/>
        </w:rPr>
        <w:t>which dealt with a teenage girl who had been kidnapped, ill-treated and then embraced the views of her captors and eventually took part in a bank robbery.</w:t>
      </w:r>
      <w:r w:rsidR="00190020">
        <w:rPr>
          <w:rFonts w:ascii="Times New Roman" w:eastAsia="Times New Roman" w:hAnsi="Times New Roman" w:cs="Times New Roman"/>
          <w:sz w:val="24"/>
          <w:szCs w:val="24"/>
          <w:vertAlign w:val="superscript"/>
        </w:rPr>
        <w:footnoteReference w:id="170"/>
      </w:r>
      <w:r w:rsidR="00190020">
        <w:rPr>
          <w:rFonts w:ascii="Times New Roman" w:eastAsia="Times New Roman" w:hAnsi="Times New Roman" w:cs="Times New Roman"/>
          <w:sz w:val="24"/>
          <w:szCs w:val="24"/>
        </w:rPr>
        <w:t xml:space="preserve"> Her lawyers did not raise the defence of brainwashing </w:t>
      </w:r>
      <w:r w:rsidR="00190020">
        <w:rPr>
          <w:rFonts w:ascii="Times New Roman" w:eastAsia="Times New Roman" w:hAnsi="Times New Roman" w:cs="Times New Roman"/>
          <w:i/>
          <w:sz w:val="24"/>
          <w:szCs w:val="24"/>
        </w:rPr>
        <w:t>per se</w:t>
      </w:r>
      <w:r w:rsidR="00907D74">
        <w:rPr>
          <w:rFonts w:ascii="Times New Roman" w:eastAsia="Times New Roman" w:hAnsi="Times New Roman" w:cs="Times New Roman"/>
          <w:iCs/>
          <w:sz w:val="24"/>
          <w:szCs w:val="24"/>
        </w:rPr>
        <w:t>,</w:t>
      </w:r>
      <w:r w:rsidR="00190020">
        <w:rPr>
          <w:rFonts w:ascii="Times New Roman" w:eastAsia="Times New Roman" w:hAnsi="Times New Roman" w:cs="Times New Roman"/>
          <w:sz w:val="24"/>
          <w:szCs w:val="24"/>
          <w:vertAlign w:val="superscript"/>
        </w:rPr>
        <w:footnoteReference w:id="171"/>
      </w:r>
      <w:r w:rsidR="00190020">
        <w:rPr>
          <w:rFonts w:ascii="Times New Roman" w:eastAsia="Times New Roman" w:hAnsi="Times New Roman" w:cs="Times New Roman"/>
          <w:sz w:val="24"/>
          <w:szCs w:val="24"/>
        </w:rPr>
        <w:t xml:space="preserve"> but relied on the coercion theory which failed.</w:t>
      </w:r>
      <w:r w:rsidR="00190020">
        <w:rPr>
          <w:rFonts w:ascii="Times New Roman" w:eastAsia="Times New Roman" w:hAnsi="Times New Roman" w:cs="Times New Roman"/>
          <w:sz w:val="24"/>
          <w:szCs w:val="24"/>
          <w:vertAlign w:val="superscript"/>
        </w:rPr>
        <w:footnoteReference w:id="172"/>
      </w:r>
      <w:r w:rsidR="00190020">
        <w:rPr>
          <w:rFonts w:ascii="Times New Roman" w:eastAsia="Times New Roman" w:hAnsi="Times New Roman" w:cs="Times New Roman"/>
          <w:sz w:val="24"/>
          <w:szCs w:val="24"/>
        </w:rPr>
        <w:t xml:space="preserve"> Cases from the 1980s to nowadays show that even in combination with a defence of insanity, indoctrination has not been accepted as a defence.</w:t>
      </w:r>
      <w:r w:rsidR="00190020">
        <w:rPr>
          <w:rFonts w:ascii="Times New Roman" w:eastAsia="Times New Roman" w:hAnsi="Times New Roman" w:cs="Times New Roman"/>
          <w:sz w:val="24"/>
          <w:szCs w:val="24"/>
          <w:vertAlign w:val="superscript"/>
        </w:rPr>
        <w:footnoteReference w:id="173"/>
      </w:r>
      <w:r w:rsidR="00190020">
        <w:rPr>
          <w:rFonts w:ascii="Times New Roman" w:eastAsia="Times New Roman" w:hAnsi="Times New Roman" w:cs="Times New Roman"/>
          <w:sz w:val="24"/>
          <w:szCs w:val="24"/>
        </w:rPr>
        <w:t xml:space="preserve"> </w:t>
      </w:r>
    </w:p>
    <w:p w14:paraId="6512868F" w14:textId="2D86B25D" w:rsidR="00B32260" w:rsidRDefault="004F3B74" w:rsidP="004F3B74">
      <w:pPr>
        <w:tabs>
          <w:tab w:val="left" w:pos="357"/>
        </w:tabs>
        <w:spacing w:line="480"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In conclusion, indoctrination and brainwashing do not work as alternative defences because 1) they are not well established in (US) national law and certainly not in criminal law; and 2) </w:t>
      </w:r>
      <w:r w:rsidR="002F4FFD">
        <w:rPr>
          <w:rFonts w:ascii="Times New Roman" w:eastAsia="Times New Roman" w:hAnsi="Times New Roman" w:cs="Times New Roman"/>
          <w:sz w:val="24"/>
          <w:szCs w:val="24"/>
        </w:rPr>
        <w:t xml:space="preserve">resultantly </w:t>
      </w:r>
      <w:r w:rsidR="00190020">
        <w:rPr>
          <w:rFonts w:ascii="Times New Roman" w:eastAsia="Times New Roman" w:hAnsi="Times New Roman" w:cs="Times New Roman"/>
          <w:sz w:val="24"/>
          <w:szCs w:val="24"/>
        </w:rPr>
        <w:t xml:space="preserve">cannot be viewed as general principles of law. </w:t>
      </w:r>
    </w:p>
    <w:p w14:paraId="65128690" w14:textId="77777777" w:rsidR="00B32260" w:rsidRDefault="00B32260" w:rsidP="004F3B74">
      <w:pPr>
        <w:tabs>
          <w:tab w:val="left" w:pos="357"/>
        </w:tabs>
        <w:spacing w:line="480" w:lineRule="auto"/>
        <w:ind w:left="1440"/>
        <w:jc w:val="both"/>
        <w:rPr>
          <w:rFonts w:ascii="Times New Roman" w:eastAsia="Times New Roman" w:hAnsi="Times New Roman" w:cs="Times New Roman"/>
          <w:sz w:val="24"/>
          <w:szCs w:val="24"/>
        </w:rPr>
      </w:pPr>
    </w:p>
    <w:p w14:paraId="68E7D511" w14:textId="77777777" w:rsidR="004F3B74" w:rsidRDefault="004F3B74" w:rsidP="004F3B74">
      <w:pPr>
        <w:tabs>
          <w:tab w:val="left" w:pos="357"/>
        </w:tabs>
        <w:spacing w:line="480" w:lineRule="auto"/>
        <w:ind w:left="1440"/>
        <w:jc w:val="both"/>
        <w:rPr>
          <w:rFonts w:ascii="Times New Roman" w:eastAsia="Times New Roman" w:hAnsi="Times New Roman" w:cs="Times New Roman"/>
          <w:sz w:val="24"/>
          <w:szCs w:val="24"/>
        </w:rPr>
      </w:pPr>
    </w:p>
    <w:p w14:paraId="65128691" w14:textId="77777777" w:rsidR="00B32260" w:rsidRDefault="00190020" w:rsidP="004F3B74">
      <w:pPr>
        <w:tabs>
          <w:tab w:val="left" w:pos="357"/>
        </w:tabs>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 </w:t>
      </w:r>
      <w:r>
        <w:rPr>
          <w:rFonts w:ascii="Times New Roman" w:eastAsia="Times New Roman" w:hAnsi="Times New Roman" w:cs="Times New Roman"/>
          <w:b/>
          <w:sz w:val="24"/>
          <w:szCs w:val="24"/>
        </w:rPr>
        <w:tab/>
        <w:t>Detention and Coercive Environment</w:t>
      </w:r>
    </w:p>
    <w:p w14:paraId="65128692"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rPr>
      </w:pPr>
    </w:p>
    <w:p w14:paraId="65128693" w14:textId="03DB223A" w:rsidR="00B32260" w:rsidRDefault="00190020" w:rsidP="004F3B74">
      <w:pPr>
        <w:tabs>
          <w:tab w:val="left" w:pos="357"/>
        </w:tabs>
        <w:spacing w:line="480"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 xml:space="preserve">Probably the most incisive way to understand the defences related to coercive environment is to investigate those raised by detainees – since detention is </w:t>
      </w:r>
      <w:r>
        <w:rPr>
          <w:rFonts w:ascii="Times New Roman" w:eastAsia="Times New Roman" w:hAnsi="Times New Roman" w:cs="Times New Roman"/>
          <w:i/>
          <w:sz w:val="24"/>
          <w:szCs w:val="24"/>
        </w:rPr>
        <w:t xml:space="preserve">per se </w:t>
      </w:r>
      <w:r>
        <w:rPr>
          <w:rFonts w:ascii="Times New Roman" w:eastAsia="Times New Roman" w:hAnsi="Times New Roman" w:cs="Times New Roman"/>
          <w:sz w:val="24"/>
          <w:szCs w:val="24"/>
        </w:rPr>
        <w:t xml:space="preserve">a coercive environment – in a situation where international crimes are rife. When detention occurs between groups opposing each other or looking to subjugate one another, the animosity leads to a heightened level of coerciveness driving detainees into committing crimes against their peers. </w:t>
      </w:r>
    </w:p>
    <w:p w14:paraId="65128694"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highlight w:val="yellow"/>
        </w:rPr>
      </w:pPr>
    </w:p>
    <w:p w14:paraId="65128695" w14:textId="77777777" w:rsidR="00B32260" w:rsidRDefault="00190020" w:rsidP="004F3B74">
      <w:pPr>
        <w:tabs>
          <w:tab w:val="left" w:pos="357"/>
        </w:tabs>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6.1</w:t>
      </w:r>
      <w:r>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rPr>
        <w:tab/>
        <w:t>Prisoners in Armed Conflict</w:t>
      </w:r>
    </w:p>
    <w:p w14:paraId="65128696" w14:textId="77777777"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some instances, prisoners of war associate with their captors and engage in unlawful activities, some of them of a criminal nature. Throughout history, the defence most raised in such cases was coercion.</w:t>
      </w:r>
      <w:r>
        <w:rPr>
          <w:rFonts w:ascii="Times New Roman" w:eastAsia="Times New Roman" w:hAnsi="Times New Roman" w:cs="Times New Roman"/>
          <w:sz w:val="24"/>
          <w:szCs w:val="24"/>
          <w:vertAlign w:val="superscript"/>
        </w:rPr>
        <w:footnoteReference w:id="174"/>
      </w:r>
      <w:r>
        <w:rPr>
          <w:rFonts w:ascii="Times New Roman" w:eastAsia="Times New Roman" w:hAnsi="Times New Roman" w:cs="Times New Roman"/>
          <w:sz w:val="24"/>
          <w:szCs w:val="24"/>
        </w:rPr>
        <w:t xml:space="preserve"> Later, the terms ‘coercive persuasion’,</w:t>
      </w:r>
      <w:r>
        <w:rPr>
          <w:rFonts w:ascii="Times New Roman" w:eastAsia="Times New Roman" w:hAnsi="Times New Roman" w:cs="Times New Roman"/>
          <w:sz w:val="24"/>
          <w:szCs w:val="24"/>
          <w:vertAlign w:val="superscript"/>
        </w:rPr>
        <w:footnoteReference w:id="175"/>
      </w:r>
      <w:r>
        <w:rPr>
          <w:rFonts w:ascii="Times New Roman" w:eastAsia="Times New Roman" w:hAnsi="Times New Roman" w:cs="Times New Roman"/>
          <w:sz w:val="24"/>
          <w:szCs w:val="24"/>
        </w:rPr>
        <w:t xml:space="preserve"> ‘brainwashing’,</w:t>
      </w:r>
      <w:r>
        <w:rPr>
          <w:rFonts w:ascii="Times New Roman" w:eastAsia="Times New Roman" w:hAnsi="Times New Roman" w:cs="Times New Roman"/>
          <w:sz w:val="24"/>
          <w:szCs w:val="24"/>
          <w:vertAlign w:val="superscript"/>
        </w:rPr>
        <w:footnoteReference w:id="176"/>
      </w:r>
      <w:r>
        <w:rPr>
          <w:rFonts w:ascii="Times New Roman" w:eastAsia="Times New Roman" w:hAnsi="Times New Roman" w:cs="Times New Roman"/>
          <w:sz w:val="24"/>
          <w:szCs w:val="24"/>
        </w:rPr>
        <w:t xml:space="preserve"> and ‘thought reform’</w:t>
      </w:r>
      <w:r>
        <w:rPr>
          <w:rFonts w:ascii="Times New Roman" w:eastAsia="Times New Roman" w:hAnsi="Times New Roman" w:cs="Times New Roman"/>
          <w:sz w:val="24"/>
          <w:szCs w:val="24"/>
          <w:vertAlign w:val="superscript"/>
        </w:rPr>
        <w:footnoteReference w:id="177"/>
      </w:r>
      <w:r>
        <w:rPr>
          <w:rFonts w:ascii="Times New Roman" w:eastAsia="Times New Roman" w:hAnsi="Times New Roman" w:cs="Times New Roman"/>
          <w:sz w:val="24"/>
          <w:szCs w:val="24"/>
        </w:rPr>
        <w:t xml:space="preserve"> gained traction in academic circles, especially concerning the experience of American, British, and French soldiers in East Asia. </w:t>
      </w:r>
    </w:p>
    <w:p w14:paraId="65128697" w14:textId="20E5D87A"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During the Korean War, American POWs were subjected to what can be described as highly sophisticated methods of coercive indoctrination to the effect that ‘the subject does not feel manipulated and comes to truly hold the beliefs of his captors’.</w:t>
      </w:r>
      <w:r w:rsidR="00190020">
        <w:rPr>
          <w:rFonts w:ascii="Times New Roman" w:eastAsia="Times New Roman" w:hAnsi="Times New Roman" w:cs="Times New Roman"/>
          <w:sz w:val="24"/>
          <w:szCs w:val="24"/>
          <w:vertAlign w:val="superscript"/>
        </w:rPr>
        <w:footnoteReference w:id="178"/>
      </w:r>
      <w:r w:rsidR="00190020">
        <w:rPr>
          <w:rFonts w:ascii="Times New Roman" w:eastAsia="Times New Roman" w:hAnsi="Times New Roman" w:cs="Times New Roman"/>
          <w:sz w:val="24"/>
          <w:szCs w:val="24"/>
        </w:rPr>
        <w:t xml:space="preserve"> Korean prison </w:t>
      </w:r>
      <w:r w:rsidR="00190020">
        <w:rPr>
          <w:rFonts w:ascii="Times New Roman" w:eastAsia="Times New Roman" w:hAnsi="Times New Roman" w:cs="Times New Roman"/>
          <w:sz w:val="24"/>
          <w:szCs w:val="24"/>
        </w:rPr>
        <w:lastRenderedPageBreak/>
        <w:t>camps and conditions were so set up that many POWs collaborated with their captors,</w:t>
      </w:r>
      <w:r w:rsidR="00190020">
        <w:rPr>
          <w:rFonts w:ascii="Times New Roman" w:eastAsia="Times New Roman" w:hAnsi="Times New Roman" w:cs="Times New Roman"/>
          <w:sz w:val="24"/>
          <w:szCs w:val="24"/>
          <w:vertAlign w:val="superscript"/>
        </w:rPr>
        <w:footnoteReference w:id="179"/>
      </w:r>
      <w:r w:rsidR="00190020">
        <w:rPr>
          <w:rFonts w:ascii="Times New Roman" w:eastAsia="Times New Roman" w:hAnsi="Times New Roman" w:cs="Times New Roman"/>
          <w:sz w:val="24"/>
          <w:szCs w:val="24"/>
        </w:rPr>
        <w:t xml:space="preserve"> some staying behind.</w:t>
      </w:r>
      <w:r w:rsidR="00190020">
        <w:rPr>
          <w:rFonts w:ascii="Times New Roman" w:eastAsia="Times New Roman" w:hAnsi="Times New Roman" w:cs="Times New Roman"/>
          <w:sz w:val="24"/>
          <w:szCs w:val="24"/>
          <w:vertAlign w:val="superscript"/>
        </w:rPr>
        <w:footnoteReference w:id="180"/>
      </w:r>
      <w:r w:rsidR="00190020">
        <w:rPr>
          <w:rFonts w:ascii="Times New Roman" w:eastAsia="Times New Roman" w:hAnsi="Times New Roman" w:cs="Times New Roman"/>
          <w:sz w:val="24"/>
          <w:szCs w:val="24"/>
        </w:rPr>
        <w:t xml:space="preserve"> British POWs in Korea</w:t>
      </w:r>
      <w:r w:rsidR="00190020">
        <w:rPr>
          <w:rFonts w:ascii="Times New Roman" w:eastAsia="Times New Roman" w:hAnsi="Times New Roman" w:cs="Times New Roman"/>
          <w:sz w:val="24"/>
          <w:szCs w:val="24"/>
          <w:vertAlign w:val="superscript"/>
        </w:rPr>
        <w:footnoteReference w:id="181"/>
      </w:r>
      <w:r w:rsidR="00190020">
        <w:rPr>
          <w:rFonts w:ascii="Times New Roman" w:eastAsia="Times New Roman" w:hAnsi="Times New Roman" w:cs="Times New Roman"/>
          <w:sz w:val="24"/>
          <w:szCs w:val="24"/>
        </w:rPr>
        <w:t xml:space="preserve"> and French soldiers in Indochina</w:t>
      </w:r>
      <w:r w:rsidR="00190020">
        <w:rPr>
          <w:rFonts w:ascii="Times New Roman" w:eastAsia="Times New Roman" w:hAnsi="Times New Roman" w:cs="Times New Roman"/>
          <w:sz w:val="24"/>
          <w:szCs w:val="24"/>
          <w:vertAlign w:val="superscript"/>
        </w:rPr>
        <w:footnoteReference w:id="182"/>
      </w:r>
      <w:r w:rsidR="00190020">
        <w:rPr>
          <w:rFonts w:ascii="Times New Roman" w:eastAsia="Times New Roman" w:hAnsi="Times New Roman" w:cs="Times New Roman"/>
          <w:sz w:val="24"/>
          <w:szCs w:val="24"/>
        </w:rPr>
        <w:t xml:space="preserve"> were also indoctrinated though it is unclear whether they collaborated with their captors and mistreated their fellow prisoners.</w:t>
      </w:r>
      <w:r w:rsidR="00190020">
        <w:rPr>
          <w:rFonts w:ascii="Times New Roman" w:eastAsia="Times New Roman" w:hAnsi="Times New Roman" w:cs="Times New Roman"/>
          <w:sz w:val="24"/>
          <w:szCs w:val="24"/>
          <w:vertAlign w:val="superscript"/>
        </w:rPr>
        <w:footnoteReference w:id="183"/>
      </w:r>
      <w:r w:rsidR="00190020">
        <w:rPr>
          <w:rFonts w:ascii="Times New Roman" w:eastAsia="Times New Roman" w:hAnsi="Times New Roman" w:cs="Times New Roman"/>
          <w:sz w:val="24"/>
          <w:szCs w:val="24"/>
        </w:rPr>
        <w:t xml:space="preserve"> In Vietnam, American POWs were subjected to similar treatment.</w:t>
      </w:r>
      <w:r w:rsidR="00190020">
        <w:rPr>
          <w:rFonts w:ascii="Times New Roman" w:eastAsia="Times New Roman" w:hAnsi="Times New Roman" w:cs="Times New Roman"/>
          <w:sz w:val="24"/>
          <w:szCs w:val="24"/>
          <w:vertAlign w:val="superscript"/>
        </w:rPr>
        <w:footnoteReference w:id="184"/>
      </w:r>
      <w:r w:rsidR="00190020">
        <w:rPr>
          <w:rFonts w:ascii="Times New Roman" w:eastAsia="Times New Roman" w:hAnsi="Times New Roman" w:cs="Times New Roman"/>
          <w:sz w:val="24"/>
          <w:szCs w:val="24"/>
        </w:rPr>
        <w:t xml:space="preserve"> Several individuals were prosecuted in the US for acts committed in Korea</w:t>
      </w:r>
      <w:r w:rsidR="00190020">
        <w:rPr>
          <w:rFonts w:ascii="Times New Roman" w:eastAsia="Times New Roman" w:hAnsi="Times New Roman" w:cs="Times New Roman"/>
          <w:sz w:val="24"/>
          <w:szCs w:val="24"/>
          <w:vertAlign w:val="superscript"/>
        </w:rPr>
        <w:footnoteReference w:id="185"/>
      </w:r>
      <w:r w:rsidR="00190020">
        <w:rPr>
          <w:rFonts w:ascii="Times New Roman" w:eastAsia="Times New Roman" w:hAnsi="Times New Roman" w:cs="Times New Roman"/>
          <w:sz w:val="24"/>
          <w:szCs w:val="24"/>
        </w:rPr>
        <w:t xml:space="preserve"> though much fewer for acts perpetrated during the Vietnam War.</w:t>
      </w:r>
      <w:r w:rsidR="00190020">
        <w:rPr>
          <w:rFonts w:ascii="Times New Roman" w:eastAsia="Times New Roman" w:hAnsi="Times New Roman" w:cs="Times New Roman"/>
          <w:sz w:val="24"/>
          <w:szCs w:val="24"/>
          <w:vertAlign w:val="superscript"/>
        </w:rPr>
        <w:footnoteReference w:id="186"/>
      </w:r>
      <w:r w:rsidR="00190020">
        <w:rPr>
          <w:rFonts w:ascii="Times New Roman" w:eastAsia="Times New Roman" w:hAnsi="Times New Roman" w:cs="Times New Roman"/>
          <w:sz w:val="24"/>
          <w:szCs w:val="24"/>
        </w:rPr>
        <w:t xml:space="preserve"> </w:t>
      </w:r>
    </w:p>
    <w:p w14:paraId="65128698" w14:textId="2CAE77FE"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Much can be learned from these cases about alternative defences.</w:t>
      </w:r>
      <w:r w:rsidR="00190020">
        <w:rPr>
          <w:rFonts w:ascii="Times New Roman" w:eastAsia="Times New Roman" w:hAnsi="Times New Roman" w:cs="Times New Roman"/>
          <w:sz w:val="24"/>
          <w:szCs w:val="24"/>
          <w:vertAlign w:val="superscript"/>
        </w:rPr>
        <w:footnoteReference w:id="187"/>
      </w:r>
      <w:r w:rsidR="00190020">
        <w:rPr>
          <w:rFonts w:ascii="Times New Roman" w:eastAsia="Times New Roman" w:hAnsi="Times New Roman" w:cs="Times New Roman"/>
          <w:sz w:val="24"/>
          <w:szCs w:val="24"/>
        </w:rPr>
        <w:t xml:space="preserve"> The defence of individual mental and psychological duress was only successfully used by </w:t>
      </w:r>
      <w:proofErr w:type="spellStart"/>
      <w:r w:rsidR="00190020">
        <w:rPr>
          <w:rFonts w:ascii="Times New Roman" w:eastAsia="Times New Roman" w:hAnsi="Times New Roman" w:cs="Times New Roman"/>
          <w:sz w:val="24"/>
          <w:szCs w:val="24"/>
        </w:rPr>
        <w:t>Schwable</w:t>
      </w:r>
      <w:proofErr w:type="spellEnd"/>
      <w:r w:rsidR="00190020">
        <w:rPr>
          <w:rFonts w:ascii="Times New Roman" w:eastAsia="Times New Roman" w:hAnsi="Times New Roman" w:cs="Times New Roman"/>
          <w:sz w:val="24"/>
          <w:szCs w:val="24"/>
        </w:rPr>
        <w:t xml:space="preserve"> (Korea) because he tried to resist as much as he could.</w:t>
      </w:r>
      <w:r w:rsidR="00190020">
        <w:rPr>
          <w:rFonts w:ascii="Times New Roman" w:eastAsia="Times New Roman" w:hAnsi="Times New Roman" w:cs="Times New Roman"/>
          <w:sz w:val="24"/>
          <w:szCs w:val="24"/>
          <w:vertAlign w:val="superscript"/>
        </w:rPr>
        <w:footnoteReference w:id="188"/>
      </w:r>
      <w:r w:rsidR="00190020">
        <w:rPr>
          <w:rFonts w:ascii="Times New Roman" w:eastAsia="Times New Roman" w:hAnsi="Times New Roman" w:cs="Times New Roman"/>
          <w:sz w:val="24"/>
          <w:szCs w:val="24"/>
        </w:rPr>
        <w:t xml:space="preserve"> All other cases were dismissed.</w:t>
      </w:r>
      <w:r w:rsidR="00190020">
        <w:rPr>
          <w:rFonts w:ascii="Times New Roman" w:eastAsia="Times New Roman" w:hAnsi="Times New Roman" w:cs="Times New Roman"/>
          <w:sz w:val="24"/>
          <w:szCs w:val="24"/>
          <w:vertAlign w:val="superscript"/>
        </w:rPr>
        <w:footnoteReference w:id="189"/>
      </w:r>
      <w:r w:rsidR="00190020">
        <w:rPr>
          <w:rFonts w:ascii="Times New Roman" w:eastAsia="Times New Roman" w:hAnsi="Times New Roman" w:cs="Times New Roman"/>
          <w:sz w:val="24"/>
          <w:szCs w:val="24"/>
        </w:rPr>
        <w:t xml:space="preserve"> General duress raised in many cases relating to Korean camps was only accepted on a perjury charge.</w:t>
      </w:r>
      <w:r w:rsidR="00190020">
        <w:rPr>
          <w:rFonts w:ascii="Times New Roman" w:eastAsia="Times New Roman" w:hAnsi="Times New Roman" w:cs="Times New Roman"/>
          <w:sz w:val="24"/>
          <w:szCs w:val="24"/>
          <w:vertAlign w:val="superscript"/>
        </w:rPr>
        <w:footnoteReference w:id="190"/>
      </w:r>
      <w:r w:rsidR="00190020">
        <w:rPr>
          <w:rFonts w:ascii="Times New Roman" w:eastAsia="Times New Roman" w:hAnsi="Times New Roman" w:cs="Times New Roman"/>
          <w:sz w:val="24"/>
          <w:szCs w:val="24"/>
        </w:rPr>
        <w:t xml:space="preserve"> Many tried to fit what they had endured into an insanity plea but failed.</w:t>
      </w:r>
      <w:r w:rsidR="00190020">
        <w:rPr>
          <w:rFonts w:ascii="Times New Roman" w:eastAsia="Times New Roman" w:hAnsi="Times New Roman" w:cs="Times New Roman"/>
          <w:sz w:val="24"/>
          <w:szCs w:val="24"/>
          <w:vertAlign w:val="superscript"/>
        </w:rPr>
        <w:footnoteReference w:id="191"/>
      </w:r>
      <w:r w:rsidR="00190020">
        <w:rPr>
          <w:rFonts w:ascii="Times New Roman" w:eastAsia="Times New Roman" w:hAnsi="Times New Roman" w:cs="Times New Roman"/>
          <w:sz w:val="24"/>
          <w:szCs w:val="24"/>
        </w:rPr>
        <w:t xml:space="preserve"> The defence of indoctrination was completely rejected by military courts in cases arising from </w:t>
      </w:r>
      <w:r w:rsidR="00190020">
        <w:rPr>
          <w:rFonts w:ascii="Times New Roman" w:eastAsia="Times New Roman" w:hAnsi="Times New Roman" w:cs="Times New Roman"/>
          <w:sz w:val="24"/>
          <w:szCs w:val="24"/>
        </w:rPr>
        <w:lastRenderedPageBreak/>
        <w:t>the Korean and Vietnam conflicts.</w:t>
      </w:r>
      <w:r w:rsidR="00190020">
        <w:rPr>
          <w:rFonts w:ascii="Times New Roman" w:eastAsia="Times New Roman" w:hAnsi="Times New Roman" w:cs="Times New Roman"/>
          <w:sz w:val="24"/>
          <w:szCs w:val="24"/>
          <w:vertAlign w:val="superscript"/>
        </w:rPr>
        <w:footnoteReference w:id="192"/>
      </w:r>
      <w:r w:rsidR="00190020">
        <w:rPr>
          <w:rFonts w:ascii="Times New Roman" w:eastAsia="Times New Roman" w:hAnsi="Times New Roman" w:cs="Times New Roman"/>
          <w:sz w:val="24"/>
          <w:szCs w:val="24"/>
        </w:rPr>
        <w:t xml:space="preserve"> Garwood’s (Vietnam) defence essentially centred upon his lack of mental responsibility owing to the brutality of his initial captivity,</w:t>
      </w:r>
      <w:r w:rsidR="00190020">
        <w:rPr>
          <w:rFonts w:ascii="Times New Roman" w:eastAsia="Times New Roman" w:hAnsi="Times New Roman" w:cs="Times New Roman"/>
          <w:sz w:val="24"/>
          <w:szCs w:val="24"/>
          <w:vertAlign w:val="superscript"/>
        </w:rPr>
        <w:footnoteReference w:id="193"/>
      </w:r>
      <w:r w:rsidR="00190020">
        <w:rPr>
          <w:rFonts w:ascii="Times New Roman" w:eastAsia="Times New Roman" w:hAnsi="Times New Roman" w:cs="Times New Roman"/>
          <w:sz w:val="24"/>
          <w:szCs w:val="24"/>
        </w:rPr>
        <w:t xml:space="preserve"> contending that as ‘a victim of coercive persuasion [he] could not be held responsible for [the acts]’.</w:t>
      </w:r>
      <w:r w:rsidR="00190020">
        <w:rPr>
          <w:rFonts w:ascii="Times New Roman" w:eastAsia="Times New Roman" w:hAnsi="Times New Roman" w:cs="Times New Roman"/>
          <w:sz w:val="24"/>
          <w:szCs w:val="24"/>
          <w:vertAlign w:val="superscript"/>
        </w:rPr>
        <w:footnoteReference w:id="194"/>
      </w:r>
      <w:r w:rsidR="00190020">
        <w:rPr>
          <w:rFonts w:ascii="Times New Roman" w:eastAsia="Times New Roman" w:hAnsi="Times New Roman" w:cs="Times New Roman"/>
          <w:sz w:val="24"/>
          <w:szCs w:val="24"/>
        </w:rPr>
        <w:t xml:space="preserve"> Reference was made to the rotten social defence, explaining that, when enlisted, Garwood was ‘a shy and immature teenager temporarily placed in a detention home for juveniles’ and that, as a 19-year-old person, he was particularly vulnerable to indoctrination.</w:t>
      </w:r>
      <w:r w:rsidR="00190020">
        <w:rPr>
          <w:rFonts w:ascii="Times New Roman" w:eastAsia="Times New Roman" w:hAnsi="Times New Roman" w:cs="Times New Roman"/>
          <w:sz w:val="24"/>
          <w:szCs w:val="24"/>
          <w:vertAlign w:val="superscript"/>
        </w:rPr>
        <w:footnoteReference w:id="195"/>
      </w:r>
      <w:r w:rsidR="00190020">
        <w:rPr>
          <w:rFonts w:ascii="Times New Roman" w:eastAsia="Times New Roman" w:hAnsi="Times New Roman" w:cs="Times New Roman"/>
          <w:sz w:val="24"/>
          <w:szCs w:val="24"/>
        </w:rPr>
        <w:t xml:space="preserve"> Dubbed the White VC, he had not only participated in the guarding, indoctrination and questioning of American POWs</w:t>
      </w:r>
      <w:r w:rsidR="00190020">
        <w:rPr>
          <w:rFonts w:ascii="Times New Roman" w:eastAsia="Times New Roman" w:hAnsi="Times New Roman" w:cs="Times New Roman"/>
          <w:sz w:val="24"/>
          <w:szCs w:val="24"/>
          <w:vertAlign w:val="superscript"/>
        </w:rPr>
        <w:footnoteReference w:id="196"/>
      </w:r>
      <w:r w:rsidR="00190020">
        <w:rPr>
          <w:rFonts w:ascii="Times New Roman" w:eastAsia="Times New Roman" w:hAnsi="Times New Roman" w:cs="Times New Roman"/>
          <w:sz w:val="24"/>
          <w:szCs w:val="24"/>
        </w:rPr>
        <w:t xml:space="preserve"> but also taken part in combat against American forces.</w:t>
      </w:r>
      <w:r w:rsidR="00190020">
        <w:rPr>
          <w:rFonts w:ascii="Times New Roman" w:eastAsia="Times New Roman" w:hAnsi="Times New Roman" w:cs="Times New Roman"/>
          <w:sz w:val="24"/>
          <w:szCs w:val="24"/>
          <w:vertAlign w:val="superscript"/>
        </w:rPr>
        <w:footnoteReference w:id="197"/>
      </w:r>
      <w:r w:rsidR="00190020">
        <w:rPr>
          <w:rFonts w:ascii="Times New Roman" w:eastAsia="Times New Roman" w:hAnsi="Times New Roman" w:cs="Times New Roman"/>
          <w:sz w:val="24"/>
          <w:szCs w:val="24"/>
        </w:rPr>
        <w:t xml:space="preserve"> Even when allowed to leave, he did not. His trial revealed the long-lasting effects of coercive persuasion in such settings.</w:t>
      </w:r>
      <w:r w:rsidR="00190020">
        <w:rPr>
          <w:rFonts w:ascii="Times New Roman" w:eastAsia="Times New Roman" w:hAnsi="Times New Roman" w:cs="Times New Roman"/>
          <w:sz w:val="24"/>
          <w:szCs w:val="24"/>
          <w:vertAlign w:val="superscript"/>
        </w:rPr>
        <w:footnoteReference w:id="198"/>
      </w:r>
      <w:r w:rsidR="00190020">
        <w:rPr>
          <w:rFonts w:ascii="Times New Roman" w:eastAsia="Times New Roman" w:hAnsi="Times New Roman" w:cs="Times New Roman"/>
          <w:sz w:val="24"/>
          <w:szCs w:val="24"/>
        </w:rPr>
        <w:t xml:space="preserve"> </w:t>
      </w:r>
    </w:p>
    <w:p w14:paraId="65128699" w14:textId="3C3E238A"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However, these cases are of limited use to drafting a new coercive-environment-based defence in international criminal law. First, the majority of cases did not involve criminal acts of the type found in international criminal law.</w:t>
      </w:r>
      <w:r w:rsidR="00190020">
        <w:rPr>
          <w:rFonts w:ascii="Times New Roman" w:eastAsia="Times New Roman" w:hAnsi="Times New Roman" w:cs="Times New Roman"/>
          <w:sz w:val="24"/>
          <w:szCs w:val="24"/>
          <w:vertAlign w:val="superscript"/>
        </w:rPr>
        <w:footnoteReference w:id="199"/>
      </w:r>
      <w:r w:rsidR="00190020">
        <w:rPr>
          <w:rFonts w:ascii="Times New Roman" w:eastAsia="Times New Roman" w:hAnsi="Times New Roman" w:cs="Times New Roman"/>
          <w:sz w:val="24"/>
          <w:szCs w:val="24"/>
        </w:rPr>
        <w:t xml:space="preserve"> Only two POWs</w:t>
      </w:r>
      <w:r w:rsidR="00190020">
        <w:rPr>
          <w:rFonts w:ascii="Times New Roman" w:eastAsia="Times New Roman" w:hAnsi="Times New Roman" w:cs="Times New Roman"/>
          <w:sz w:val="24"/>
          <w:szCs w:val="24"/>
          <w:vertAlign w:val="superscript"/>
        </w:rPr>
        <w:footnoteReference w:id="200"/>
      </w:r>
      <w:r w:rsidR="00190020">
        <w:rPr>
          <w:rFonts w:ascii="Times New Roman" w:eastAsia="Times New Roman" w:hAnsi="Times New Roman" w:cs="Times New Roman"/>
          <w:sz w:val="24"/>
          <w:szCs w:val="24"/>
        </w:rPr>
        <w:t xml:space="preserve"> held in Korea were prosecuted for such types of crimes: Gallagher was found guilty of mistreating two fellow prisoners but acquitted on another similar charge,</w:t>
      </w:r>
      <w:r w:rsidR="00190020">
        <w:rPr>
          <w:rFonts w:ascii="Times New Roman" w:eastAsia="Times New Roman" w:hAnsi="Times New Roman" w:cs="Times New Roman"/>
          <w:sz w:val="24"/>
          <w:szCs w:val="24"/>
          <w:vertAlign w:val="superscript"/>
        </w:rPr>
        <w:footnoteReference w:id="201"/>
      </w:r>
      <w:r w:rsidR="00190020">
        <w:rPr>
          <w:rFonts w:ascii="Times New Roman" w:eastAsia="Times New Roman" w:hAnsi="Times New Roman" w:cs="Times New Roman"/>
          <w:sz w:val="24"/>
          <w:szCs w:val="24"/>
        </w:rPr>
        <w:t xml:space="preserve"> and Floyd was found guilty of assaulting </w:t>
      </w:r>
      <w:r w:rsidR="00190020">
        <w:rPr>
          <w:rFonts w:ascii="Times New Roman" w:eastAsia="Times New Roman" w:hAnsi="Times New Roman" w:cs="Times New Roman"/>
          <w:sz w:val="24"/>
          <w:szCs w:val="24"/>
        </w:rPr>
        <w:lastRenderedPageBreak/>
        <w:t>fellow prisoners but acquitted of the murder of another prisoner.</w:t>
      </w:r>
      <w:r w:rsidR="00190020">
        <w:rPr>
          <w:rFonts w:ascii="Times New Roman" w:eastAsia="Times New Roman" w:hAnsi="Times New Roman" w:cs="Times New Roman"/>
          <w:sz w:val="24"/>
          <w:szCs w:val="24"/>
          <w:vertAlign w:val="superscript"/>
        </w:rPr>
        <w:footnoteReference w:id="202"/>
      </w:r>
      <w:r w:rsidR="00190020">
        <w:rPr>
          <w:rFonts w:ascii="Times New Roman" w:eastAsia="Times New Roman" w:hAnsi="Times New Roman" w:cs="Times New Roman"/>
          <w:sz w:val="24"/>
          <w:szCs w:val="24"/>
        </w:rPr>
        <w:t xml:space="preserve"> Garwood was convicted of communicating with the enemy and assaulting a POW,</w:t>
      </w:r>
      <w:r w:rsidR="00190020">
        <w:rPr>
          <w:rFonts w:ascii="Times New Roman" w:eastAsia="Times New Roman" w:hAnsi="Times New Roman" w:cs="Times New Roman"/>
          <w:sz w:val="24"/>
          <w:szCs w:val="24"/>
          <w:vertAlign w:val="superscript"/>
        </w:rPr>
        <w:footnoteReference w:id="203"/>
      </w:r>
      <w:r w:rsidR="00190020">
        <w:rPr>
          <w:rFonts w:ascii="Times New Roman" w:eastAsia="Times New Roman" w:hAnsi="Times New Roman" w:cs="Times New Roman"/>
          <w:sz w:val="24"/>
          <w:szCs w:val="24"/>
        </w:rPr>
        <w:t xml:space="preserve"> the assault being ‘a backhanded slap to the ribs of one man’.</w:t>
      </w:r>
      <w:r w:rsidR="00190020">
        <w:rPr>
          <w:rFonts w:ascii="Times New Roman" w:eastAsia="Times New Roman" w:hAnsi="Times New Roman" w:cs="Times New Roman"/>
          <w:sz w:val="24"/>
          <w:szCs w:val="24"/>
          <w:vertAlign w:val="superscript"/>
        </w:rPr>
        <w:footnoteReference w:id="204"/>
      </w:r>
      <w:r w:rsidR="00190020">
        <w:rPr>
          <w:rFonts w:ascii="Times New Roman" w:eastAsia="Times New Roman" w:hAnsi="Times New Roman" w:cs="Times New Roman"/>
          <w:sz w:val="24"/>
          <w:szCs w:val="24"/>
        </w:rPr>
        <w:t xml:space="preserve"> Second, the great variety of defences attempted (and rejected)</w:t>
      </w:r>
      <w:r w:rsidR="00190020">
        <w:rPr>
          <w:rFonts w:ascii="Times New Roman" w:eastAsia="Times New Roman" w:hAnsi="Times New Roman" w:cs="Times New Roman"/>
          <w:sz w:val="24"/>
          <w:szCs w:val="24"/>
          <w:vertAlign w:val="superscript"/>
        </w:rPr>
        <w:footnoteReference w:id="205"/>
      </w:r>
      <w:r w:rsidR="00190020">
        <w:rPr>
          <w:rFonts w:ascii="Times New Roman" w:eastAsia="Times New Roman" w:hAnsi="Times New Roman" w:cs="Times New Roman"/>
          <w:sz w:val="24"/>
          <w:szCs w:val="24"/>
        </w:rPr>
        <w:t xml:space="preserve"> does not enable ascertaining the contour of a single defence. Moreover, the common denominator would be close to the defence of mental disease as most defendants seemed to rely solely on the mental element of the coercive environment. Third, even in the case of Garwood, the coercive persuasion defence was not accepted either as a standalone defence or in combination with a plea of insanity. </w:t>
      </w:r>
    </w:p>
    <w:p w14:paraId="6512869A" w14:textId="36E63DEC"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In conclusion, as the coercive persuasion defence did not work for American prisoners who perpetrated crimes against their fellow prisoners, it cannot be classed as an established defence under national law, let alone a general principle of law. </w:t>
      </w:r>
    </w:p>
    <w:p w14:paraId="6512869B" w14:textId="77777777" w:rsidR="00B32260" w:rsidRDefault="00B32260" w:rsidP="004F3B74">
      <w:pPr>
        <w:tabs>
          <w:tab w:val="left" w:pos="357"/>
        </w:tabs>
        <w:spacing w:line="480" w:lineRule="auto"/>
        <w:ind w:left="720"/>
        <w:jc w:val="both"/>
        <w:rPr>
          <w:rFonts w:ascii="Times New Roman" w:eastAsia="Times New Roman" w:hAnsi="Times New Roman" w:cs="Times New Roman"/>
          <w:sz w:val="24"/>
          <w:szCs w:val="24"/>
        </w:rPr>
      </w:pPr>
    </w:p>
    <w:p w14:paraId="6512869C" w14:textId="77777777" w:rsidR="00B32260" w:rsidRDefault="00190020" w:rsidP="004F3B74">
      <w:pPr>
        <w:tabs>
          <w:tab w:val="left" w:pos="357"/>
        </w:tabs>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6.2</w:t>
      </w:r>
      <w:r>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rPr>
        <w:tab/>
      </w:r>
      <w:proofErr w:type="spellStart"/>
      <w:r>
        <w:rPr>
          <w:rFonts w:ascii="Times New Roman" w:eastAsia="Times New Roman" w:hAnsi="Times New Roman" w:cs="Times New Roman"/>
          <w:b/>
          <w:i/>
          <w:sz w:val="24"/>
          <w:szCs w:val="24"/>
        </w:rPr>
        <w:t>Kapos</w:t>
      </w:r>
      <w:proofErr w:type="spellEnd"/>
    </w:p>
    <w:p w14:paraId="6512869D" w14:textId="74A14D44"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Another potential source for a defence against criminal acts committed in</w:t>
      </w:r>
      <w:r w:rsidR="00FF669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coercive environments is the trials of </w:t>
      </w:r>
      <w:proofErr w:type="spellStart"/>
      <w:r>
        <w:rPr>
          <w:rFonts w:ascii="Times New Roman" w:eastAsia="Times New Roman" w:hAnsi="Times New Roman" w:cs="Times New Roman"/>
          <w:sz w:val="24"/>
          <w:szCs w:val="24"/>
        </w:rPr>
        <w:t>Kapos</w:t>
      </w:r>
      <w:proofErr w:type="spellEnd"/>
      <w:r>
        <w:rPr>
          <w:rFonts w:ascii="Times New Roman" w:eastAsia="Times New Roman" w:hAnsi="Times New Roman" w:cs="Times New Roman"/>
          <w:sz w:val="24"/>
          <w:szCs w:val="24"/>
          <w:vertAlign w:val="superscript"/>
        </w:rPr>
        <w:footnoteReference w:id="206"/>
      </w:r>
      <w:r>
        <w:rPr>
          <w:rFonts w:ascii="Times New Roman" w:eastAsia="Times New Roman" w:hAnsi="Times New Roman" w:cs="Times New Roman"/>
          <w:sz w:val="24"/>
          <w:szCs w:val="24"/>
        </w:rPr>
        <w:t xml:space="preserve"> who were prisoners in concentration or labour camps and given supervisory functions by the Nazi administration of the camps.</w:t>
      </w:r>
      <w:r>
        <w:rPr>
          <w:rFonts w:ascii="Times New Roman" w:eastAsia="Times New Roman" w:hAnsi="Times New Roman" w:cs="Times New Roman"/>
          <w:sz w:val="24"/>
          <w:szCs w:val="24"/>
          <w:vertAlign w:val="superscript"/>
        </w:rPr>
        <w:footnoteReference w:id="207"/>
      </w:r>
      <w:r>
        <w:rPr>
          <w:rFonts w:ascii="Times New Roman" w:eastAsia="Times New Roman" w:hAnsi="Times New Roman" w:cs="Times New Roman"/>
          <w:sz w:val="24"/>
          <w:szCs w:val="24"/>
        </w:rPr>
        <w:t xml:space="preserve"> They were given various tasks, including taking part in the ‘selection of prisoners for extermination, beatings, </w:t>
      </w:r>
      <w:r>
        <w:rPr>
          <w:rFonts w:ascii="Times New Roman" w:eastAsia="Times New Roman" w:hAnsi="Times New Roman" w:cs="Times New Roman"/>
          <w:sz w:val="24"/>
          <w:szCs w:val="24"/>
        </w:rPr>
        <w:lastRenderedPageBreak/>
        <w:t>theft, humiliation’,</w:t>
      </w:r>
      <w:r>
        <w:rPr>
          <w:rFonts w:ascii="Times New Roman" w:eastAsia="Times New Roman" w:hAnsi="Times New Roman" w:cs="Times New Roman"/>
          <w:sz w:val="24"/>
          <w:szCs w:val="24"/>
          <w:vertAlign w:val="superscript"/>
        </w:rPr>
        <w:footnoteReference w:id="208"/>
      </w:r>
      <w:r>
        <w:rPr>
          <w:rFonts w:ascii="Times New Roman" w:eastAsia="Times New Roman" w:hAnsi="Times New Roman" w:cs="Times New Roman"/>
          <w:sz w:val="24"/>
          <w:szCs w:val="24"/>
        </w:rPr>
        <w:t xml:space="preserve"> ‘escorting condemned prisoners to execution sites, or killing them’,</w:t>
      </w:r>
      <w:r>
        <w:rPr>
          <w:rFonts w:ascii="Times New Roman" w:eastAsia="Times New Roman" w:hAnsi="Times New Roman" w:cs="Times New Roman"/>
          <w:sz w:val="24"/>
          <w:szCs w:val="24"/>
          <w:vertAlign w:val="superscript"/>
        </w:rPr>
        <w:footnoteReference w:id="209"/>
      </w:r>
      <w:r>
        <w:rPr>
          <w:rFonts w:ascii="Times New Roman" w:eastAsia="Times New Roman" w:hAnsi="Times New Roman" w:cs="Times New Roman"/>
          <w:sz w:val="24"/>
          <w:szCs w:val="24"/>
        </w:rPr>
        <w:t xml:space="preserve"> in exchange for which they received increased portions of food, better accommodation and warmer clothes.</w:t>
      </w:r>
      <w:r>
        <w:rPr>
          <w:rFonts w:ascii="Times New Roman" w:eastAsia="Times New Roman" w:hAnsi="Times New Roman" w:cs="Times New Roman"/>
          <w:sz w:val="24"/>
          <w:szCs w:val="24"/>
          <w:vertAlign w:val="superscript"/>
        </w:rPr>
        <w:footnoteReference w:id="210"/>
      </w:r>
      <w:r>
        <w:rPr>
          <w:rFonts w:ascii="Times New Roman" w:eastAsia="Times New Roman" w:hAnsi="Times New Roman" w:cs="Times New Roman"/>
          <w:sz w:val="24"/>
          <w:szCs w:val="24"/>
        </w:rPr>
        <w:t xml:space="preserve"> Even in that ‘privileged’ position, they were under immense pressure.</w:t>
      </w:r>
      <w:r>
        <w:rPr>
          <w:rFonts w:ascii="Times New Roman" w:eastAsia="Times New Roman" w:hAnsi="Times New Roman" w:cs="Times New Roman"/>
          <w:sz w:val="24"/>
          <w:szCs w:val="24"/>
          <w:vertAlign w:val="superscript"/>
        </w:rPr>
        <w:footnoteReference w:id="211"/>
      </w:r>
      <w:r>
        <w:rPr>
          <w:rFonts w:ascii="Times New Roman" w:eastAsia="Times New Roman" w:hAnsi="Times New Roman" w:cs="Times New Roman"/>
          <w:sz w:val="24"/>
          <w:szCs w:val="24"/>
        </w:rPr>
        <w:t xml:space="preserve"> Whilst some mistreated their fellow prisoners as a survival strategy, others used their position to help them.</w:t>
      </w:r>
      <w:r>
        <w:rPr>
          <w:rFonts w:ascii="Times New Roman" w:eastAsia="Times New Roman" w:hAnsi="Times New Roman" w:cs="Times New Roman"/>
          <w:sz w:val="24"/>
          <w:szCs w:val="24"/>
          <w:vertAlign w:val="superscript"/>
        </w:rPr>
        <w:footnoteReference w:id="212"/>
      </w:r>
      <w:r>
        <w:rPr>
          <w:rFonts w:ascii="Times New Roman" w:eastAsia="Times New Roman" w:hAnsi="Times New Roman" w:cs="Times New Roman"/>
          <w:sz w:val="24"/>
          <w:szCs w:val="24"/>
        </w:rPr>
        <w:t xml:space="preserve"> </w:t>
      </w:r>
    </w:p>
    <w:p w14:paraId="6512869E" w14:textId="39E269F1"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After World War II, several </w:t>
      </w:r>
      <w:proofErr w:type="spellStart"/>
      <w:r w:rsidR="00190020">
        <w:rPr>
          <w:rFonts w:ascii="Times New Roman" w:eastAsia="Times New Roman" w:hAnsi="Times New Roman" w:cs="Times New Roman"/>
          <w:sz w:val="24"/>
          <w:szCs w:val="24"/>
        </w:rPr>
        <w:t>Kapos</w:t>
      </w:r>
      <w:proofErr w:type="spellEnd"/>
      <w:r w:rsidR="00190020">
        <w:rPr>
          <w:rFonts w:ascii="Times New Roman" w:eastAsia="Times New Roman" w:hAnsi="Times New Roman" w:cs="Times New Roman"/>
          <w:sz w:val="24"/>
          <w:szCs w:val="24"/>
        </w:rPr>
        <w:t xml:space="preserve"> were prosecuted in various States.</w:t>
      </w:r>
      <w:r w:rsidR="00190020">
        <w:rPr>
          <w:rFonts w:ascii="Times New Roman" w:eastAsia="Times New Roman" w:hAnsi="Times New Roman" w:cs="Times New Roman"/>
          <w:sz w:val="24"/>
          <w:szCs w:val="24"/>
          <w:vertAlign w:val="superscript"/>
        </w:rPr>
        <w:footnoteReference w:id="213"/>
      </w:r>
      <w:r w:rsidR="00190020">
        <w:rPr>
          <w:rFonts w:ascii="Times New Roman" w:eastAsia="Times New Roman" w:hAnsi="Times New Roman" w:cs="Times New Roman"/>
          <w:sz w:val="24"/>
          <w:szCs w:val="24"/>
        </w:rPr>
        <w:t xml:space="preserve"> Israel’s 1950 Nazi and Nazi Collaborators (Punishment) Law Israel allowed for the prosecution of Jews accused of persecution of their Jewish brethren,</w:t>
      </w:r>
      <w:r w:rsidR="00190020">
        <w:rPr>
          <w:rFonts w:ascii="Times New Roman" w:eastAsia="Times New Roman" w:hAnsi="Times New Roman" w:cs="Times New Roman"/>
          <w:sz w:val="24"/>
          <w:szCs w:val="24"/>
          <w:vertAlign w:val="superscript"/>
        </w:rPr>
        <w:footnoteReference w:id="214"/>
      </w:r>
      <w:r w:rsidR="00190020">
        <w:rPr>
          <w:rFonts w:ascii="Times New Roman" w:eastAsia="Times New Roman" w:hAnsi="Times New Roman" w:cs="Times New Roman"/>
          <w:sz w:val="24"/>
          <w:szCs w:val="24"/>
        </w:rPr>
        <w:t xml:space="preserve"> allegations mostly ‘concern[</w:t>
      </w:r>
      <w:proofErr w:type="spellStart"/>
      <w:r w:rsidR="00190020">
        <w:rPr>
          <w:rFonts w:ascii="Times New Roman" w:eastAsia="Times New Roman" w:hAnsi="Times New Roman" w:cs="Times New Roman"/>
          <w:sz w:val="24"/>
          <w:szCs w:val="24"/>
        </w:rPr>
        <w:t>ing</w:t>
      </w:r>
      <w:proofErr w:type="spellEnd"/>
      <w:r w:rsidR="00190020">
        <w:rPr>
          <w:rFonts w:ascii="Times New Roman" w:eastAsia="Times New Roman" w:hAnsi="Times New Roman" w:cs="Times New Roman"/>
          <w:sz w:val="24"/>
          <w:szCs w:val="24"/>
        </w:rPr>
        <w:t>] the excessive use of violence and cruelty in exercising their disciplinary functions’,</w:t>
      </w:r>
      <w:r w:rsidR="00190020">
        <w:rPr>
          <w:rFonts w:ascii="Times New Roman" w:eastAsia="Times New Roman" w:hAnsi="Times New Roman" w:cs="Times New Roman"/>
          <w:sz w:val="24"/>
          <w:szCs w:val="24"/>
          <w:vertAlign w:val="superscript"/>
        </w:rPr>
        <w:footnoteReference w:id="215"/>
      </w:r>
      <w:r w:rsidR="00190020">
        <w:rPr>
          <w:rFonts w:ascii="Times New Roman" w:eastAsia="Times New Roman" w:hAnsi="Times New Roman" w:cs="Times New Roman"/>
          <w:sz w:val="24"/>
          <w:szCs w:val="24"/>
        </w:rPr>
        <w:t xml:space="preserve"> though no one was charged with or found guilty of causing death.</w:t>
      </w:r>
      <w:r w:rsidR="00190020">
        <w:rPr>
          <w:rFonts w:ascii="Times New Roman" w:eastAsia="Times New Roman" w:hAnsi="Times New Roman" w:cs="Times New Roman"/>
          <w:sz w:val="24"/>
          <w:szCs w:val="24"/>
          <w:vertAlign w:val="superscript"/>
        </w:rPr>
        <w:footnoteReference w:id="216"/>
      </w:r>
      <w:r w:rsidR="00190020">
        <w:rPr>
          <w:rFonts w:ascii="Times New Roman" w:eastAsia="Times New Roman" w:hAnsi="Times New Roman" w:cs="Times New Roman"/>
          <w:sz w:val="24"/>
          <w:szCs w:val="24"/>
        </w:rPr>
        <w:t xml:space="preserve"> For example, </w:t>
      </w:r>
      <w:proofErr w:type="spellStart"/>
      <w:r w:rsidR="00190020">
        <w:rPr>
          <w:rFonts w:ascii="Times New Roman" w:eastAsia="Times New Roman" w:hAnsi="Times New Roman" w:cs="Times New Roman"/>
          <w:sz w:val="24"/>
          <w:szCs w:val="24"/>
        </w:rPr>
        <w:t>Tarnek</w:t>
      </w:r>
      <w:proofErr w:type="spellEnd"/>
      <w:r w:rsidR="00190020">
        <w:rPr>
          <w:rFonts w:ascii="Times New Roman" w:eastAsia="Times New Roman" w:hAnsi="Times New Roman" w:cs="Times New Roman"/>
          <w:sz w:val="24"/>
          <w:szCs w:val="24"/>
        </w:rPr>
        <w:t xml:space="preserve"> who hit female inmates with her hands and forced prisoners to kneel was found guilty of assault and battery.</w:t>
      </w:r>
      <w:r w:rsidR="00190020">
        <w:rPr>
          <w:rFonts w:ascii="Times New Roman" w:eastAsia="Times New Roman" w:hAnsi="Times New Roman" w:cs="Times New Roman"/>
          <w:sz w:val="24"/>
          <w:szCs w:val="24"/>
          <w:vertAlign w:val="superscript"/>
        </w:rPr>
        <w:footnoteReference w:id="217"/>
      </w:r>
      <w:r w:rsidR="00190020">
        <w:rPr>
          <w:rFonts w:ascii="Times New Roman" w:eastAsia="Times New Roman" w:hAnsi="Times New Roman" w:cs="Times New Roman"/>
          <w:sz w:val="24"/>
          <w:szCs w:val="24"/>
        </w:rPr>
        <w:t xml:space="preserve"> </w:t>
      </w:r>
      <w:proofErr w:type="spellStart"/>
      <w:r w:rsidR="00190020">
        <w:rPr>
          <w:rFonts w:ascii="Times New Roman" w:eastAsia="Times New Roman" w:hAnsi="Times New Roman" w:cs="Times New Roman"/>
          <w:sz w:val="24"/>
          <w:szCs w:val="24"/>
        </w:rPr>
        <w:t>Enigster</w:t>
      </w:r>
      <w:proofErr w:type="spellEnd"/>
      <w:r w:rsidR="00190020">
        <w:rPr>
          <w:rFonts w:ascii="Times New Roman" w:eastAsia="Times New Roman" w:hAnsi="Times New Roman" w:cs="Times New Roman"/>
          <w:sz w:val="24"/>
          <w:szCs w:val="24"/>
        </w:rPr>
        <w:t xml:space="preserve"> who was violent towards inmates</w:t>
      </w:r>
      <w:r w:rsidR="00190020">
        <w:rPr>
          <w:rFonts w:ascii="Times New Roman" w:eastAsia="Times New Roman" w:hAnsi="Times New Roman" w:cs="Times New Roman"/>
          <w:sz w:val="24"/>
          <w:szCs w:val="24"/>
          <w:vertAlign w:val="superscript"/>
        </w:rPr>
        <w:footnoteReference w:id="218"/>
      </w:r>
      <w:r w:rsidR="00190020">
        <w:rPr>
          <w:rFonts w:ascii="Times New Roman" w:eastAsia="Times New Roman" w:hAnsi="Times New Roman" w:cs="Times New Roman"/>
          <w:sz w:val="24"/>
          <w:szCs w:val="24"/>
        </w:rPr>
        <w:t xml:space="preserve"> was charged with grave and </w:t>
      </w:r>
      <w:r w:rsidR="00190020">
        <w:rPr>
          <w:rFonts w:ascii="Times New Roman" w:eastAsia="Times New Roman" w:hAnsi="Times New Roman" w:cs="Times New Roman"/>
          <w:sz w:val="24"/>
          <w:szCs w:val="24"/>
        </w:rPr>
        <w:lastRenderedPageBreak/>
        <w:t>deliberate bodily harm.</w:t>
      </w:r>
      <w:r w:rsidR="00190020">
        <w:rPr>
          <w:rFonts w:ascii="Times New Roman" w:eastAsia="Times New Roman" w:hAnsi="Times New Roman" w:cs="Times New Roman"/>
          <w:sz w:val="24"/>
          <w:szCs w:val="24"/>
          <w:vertAlign w:val="superscript"/>
        </w:rPr>
        <w:footnoteReference w:id="219"/>
      </w:r>
      <w:r w:rsidR="00190020">
        <w:rPr>
          <w:rFonts w:ascii="Times New Roman" w:eastAsia="Times New Roman" w:hAnsi="Times New Roman" w:cs="Times New Roman"/>
          <w:sz w:val="24"/>
          <w:szCs w:val="24"/>
        </w:rPr>
        <w:t xml:space="preserve"> His claim for duress, based on Article 10 of the Law,</w:t>
      </w:r>
      <w:r w:rsidR="00190020">
        <w:rPr>
          <w:rFonts w:ascii="Times New Roman" w:eastAsia="Times New Roman" w:hAnsi="Times New Roman" w:cs="Times New Roman"/>
          <w:sz w:val="24"/>
          <w:szCs w:val="24"/>
          <w:vertAlign w:val="superscript"/>
        </w:rPr>
        <w:footnoteReference w:id="220"/>
      </w:r>
      <w:r w:rsidR="00190020">
        <w:rPr>
          <w:rFonts w:ascii="Times New Roman" w:eastAsia="Times New Roman" w:hAnsi="Times New Roman" w:cs="Times New Roman"/>
          <w:sz w:val="24"/>
          <w:szCs w:val="24"/>
        </w:rPr>
        <w:t xml:space="preserve"> was rejected because there was no threat of immediate death, the position had not been forced upon him and the judges found it difficult to believe that he thought he was averting more serious consequences.</w:t>
      </w:r>
      <w:r w:rsidR="00190020">
        <w:rPr>
          <w:rFonts w:ascii="Times New Roman" w:eastAsia="Times New Roman" w:hAnsi="Times New Roman" w:cs="Times New Roman"/>
          <w:sz w:val="24"/>
          <w:szCs w:val="24"/>
          <w:vertAlign w:val="superscript"/>
        </w:rPr>
        <w:footnoteReference w:id="221"/>
      </w:r>
      <w:r w:rsidR="00190020">
        <w:rPr>
          <w:rFonts w:ascii="Times New Roman" w:eastAsia="Times New Roman" w:hAnsi="Times New Roman" w:cs="Times New Roman"/>
          <w:sz w:val="24"/>
          <w:szCs w:val="24"/>
        </w:rPr>
        <w:t xml:space="preserve"> As </w:t>
      </w:r>
      <w:proofErr w:type="spellStart"/>
      <w:r w:rsidR="00190020">
        <w:rPr>
          <w:rFonts w:ascii="Times New Roman" w:eastAsia="Times New Roman" w:hAnsi="Times New Roman" w:cs="Times New Roman"/>
          <w:sz w:val="24"/>
          <w:szCs w:val="24"/>
        </w:rPr>
        <w:t>Segev</w:t>
      </w:r>
      <w:proofErr w:type="spellEnd"/>
      <w:r w:rsidR="00190020">
        <w:rPr>
          <w:rFonts w:ascii="Times New Roman" w:eastAsia="Times New Roman" w:hAnsi="Times New Roman" w:cs="Times New Roman"/>
          <w:sz w:val="24"/>
          <w:szCs w:val="24"/>
        </w:rPr>
        <w:t xml:space="preserve"> explains, judges ‘had to decide whether a man could refuse to accept the post of </w:t>
      </w:r>
      <w:proofErr w:type="spellStart"/>
      <w:r w:rsidR="00190020">
        <w:rPr>
          <w:rFonts w:ascii="Times New Roman" w:eastAsia="Times New Roman" w:hAnsi="Times New Roman" w:cs="Times New Roman"/>
          <w:i/>
          <w:sz w:val="24"/>
          <w:szCs w:val="24"/>
        </w:rPr>
        <w:t>kapo</w:t>
      </w:r>
      <w:proofErr w:type="spellEnd"/>
      <w:r w:rsidR="00190020">
        <w:rPr>
          <w:rFonts w:ascii="Times New Roman" w:eastAsia="Times New Roman" w:hAnsi="Times New Roman" w:cs="Times New Roman"/>
          <w:i/>
          <w:sz w:val="24"/>
          <w:szCs w:val="24"/>
        </w:rPr>
        <w:t xml:space="preserve"> </w:t>
      </w:r>
      <w:r w:rsidR="00190020">
        <w:rPr>
          <w:rFonts w:ascii="Times New Roman" w:eastAsia="Times New Roman" w:hAnsi="Times New Roman" w:cs="Times New Roman"/>
          <w:sz w:val="24"/>
          <w:szCs w:val="24"/>
        </w:rPr>
        <w:t xml:space="preserve">and to what extent the job required cruelty. They tended not to punish a person for simply being a </w:t>
      </w:r>
      <w:proofErr w:type="spellStart"/>
      <w:r w:rsidR="00190020">
        <w:rPr>
          <w:rFonts w:ascii="Times New Roman" w:eastAsia="Times New Roman" w:hAnsi="Times New Roman" w:cs="Times New Roman"/>
          <w:sz w:val="24"/>
          <w:szCs w:val="24"/>
        </w:rPr>
        <w:t>k</w:t>
      </w:r>
      <w:r w:rsidR="00190020">
        <w:rPr>
          <w:rFonts w:ascii="Times New Roman" w:eastAsia="Times New Roman" w:hAnsi="Times New Roman" w:cs="Times New Roman"/>
          <w:i/>
          <w:sz w:val="24"/>
          <w:szCs w:val="24"/>
        </w:rPr>
        <w:t>apo</w:t>
      </w:r>
      <w:proofErr w:type="spellEnd"/>
      <w:r w:rsidR="00190020">
        <w:rPr>
          <w:rFonts w:ascii="Times New Roman" w:eastAsia="Times New Roman" w:hAnsi="Times New Roman" w:cs="Times New Roman"/>
          <w:i/>
          <w:sz w:val="24"/>
          <w:szCs w:val="24"/>
        </w:rPr>
        <w:t xml:space="preserve">, </w:t>
      </w:r>
      <w:r w:rsidR="00190020">
        <w:rPr>
          <w:rFonts w:ascii="Times New Roman" w:eastAsia="Times New Roman" w:hAnsi="Times New Roman" w:cs="Times New Roman"/>
          <w:sz w:val="24"/>
          <w:szCs w:val="24"/>
        </w:rPr>
        <w:t>only for not having been a decent one.’</w:t>
      </w:r>
      <w:r w:rsidR="00190020">
        <w:rPr>
          <w:rFonts w:ascii="Times New Roman" w:eastAsia="Times New Roman" w:hAnsi="Times New Roman" w:cs="Times New Roman"/>
          <w:sz w:val="24"/>
          <w:szCs w:val="24"/>
          <w:vertAlign w:val="superscript"/>
        </w:rPr>
        <w:footnoteReference w:id="222"/>
      </w:r>
      <w:r w:rsidR="00190020">
        <w:rPr>
          <w:rFonts w:ascii="Times New Roman" w:eastAsia="Times New Roman" w:hAnsi="Times New Roman" w:cs="Times New Roman"/>
          <w:sz w:val="24"/>
          <w:szCs w:val="24"/>
        </w:rPr>
        <w:t xml:space="preserve"> The court stressed that Tarek was placed in charge, did not volunteer</w:t>
      </w:r>
      <w:r w:rsidR="00190020">
        <w:rPr>
          <w:rFonts w:ascii="Times New Roman" w:eastAsia="Times New Roman" w:hAnsi="Times New Roman" w:cs="Times New Roman"/>
          <w:sz w:val="24"/>
          <w:szCs w:val="24"/>
          <w:vertAlign w:val="superscript"/>
        </w:rPr>
        <w:footnoteReference w:id="223"/>
      </w:r>
      <w:r w:rsidR="00190020">
        <w:rPr>
          <w:rFonts w:ascii="Times New Roman" w:eastAsia="Times New Roman" w:hAnsi="Times New Roman" w:cs="Times New Roman"/>
          <w:sz w:val="24"/>
          <w:szCs w:val="24"/>
        </w:rPr>
        <w:t xml:space="preserve"> and did not identify with the Germans;</w:t>
      </w:r>
      <w:r w:rsidR="00190020">
        <w:rPr>
          <w:rFonts w:ascii="Times New Roman" w:eastAsia="Times New Roman" w:hAnsi="Times New Roman" w:cs="Times New Roman"/>
          <w:sz w:val="24"/>
          <w:szCs w:val="24"/>
          <w:vertAlign w:val="superscript"/>
        </w:rPr>
        <w:footnoteReference w:id="224"/>
      </w:r>
      <w:r w:rsidR="00190020">
        <w:rPr>
          <w:rFonts w:ascii="Times New Roman" w:eastAsia="Times New Roman" w:hAnsi="Times New Roman" w:cs="Times New Roman"/>
          <w:sz w:val="24"/>
          <w:szCs w:val="24"/>
        </w:rPr>
        <w:t xml:space="preserve"> she was, in Ben-Naftali and </w:t>
      </w:r>
      <w:proofErr w:type="spellStart"/>
      <w:r w:rsidR="00190020">
        <w:rPr>
          <w:rFonts w:ascii="Times New Roman" w:eastAsia="Times New Roman" w:hAnsi="Times New Roman" w:cs="Times New Roman"/>
          <w:sz w:val="24"/>
          <w:szCs w:val="24"/>
        </w:rPr>
        <w:t>Yuva’s</w:t>
      </w:r>
      <w:proofErr w:type="spellEnd"/>
      <w:r w:rsidR="00190020">
        <w:rPr>
          <w:rFonts w:ascii="Times New Roman" w:eastAsia="Times New Roman" w:hAnsi="Times New Roman" w:cs="Times New Roman"/>
          <w:sz w:val="24"/>
          <w:szCs w:val="24"/>
        </w:rPr>
        <w:t xml:space="preserve"> words, a ‘reasonable </w:t>
      </w:r>
      <w:proofErr w:type="spellStart"/>
      <w:r w:rsidR="00190020">
        <w:rPr>
          <w:rFonts w:ascii="Times New Roman" w:eastAsia="Times New Roman" w:hAnsi="Times New Roman" w:cs="Times New Roman"/>
          <w:sz w:val="24"/>
          <w:szCs w:val="24"/>
        </w:rPr>
        <w:t>kapo</w:t>
      </w:r>
      <w:proofErr w:type="spellEnd"/>
      <w:r w:rsidR="00190020">
        <w:rPr>
          <w:rFonts w:ascii="Times New Roman" w:eastAsia="Times New Roman" w:hAnsi="Times New Roman" w:cs="Times New Roman"/>
          <w:sz w:val="24"/>
          <w:szCs w:val="24"/>
        </w:rPr>
        <w:t>’.</w:t>
      </w:r>
      <w:r w:rsidR="00190020">
        <w:rPr>
          <w:rFonts w:ascii="Times New Roman" w:eastAsia="Times New Roman" w:hAnsi="Times New Roman" w:cs="Times New Roman"/>
          <w:sz w:val="24"/>
          <w:szCs w:val="24"/>
          <w:vertAlign w:val="superscript"/>
        </w:rPr>
        <w:footnoteReference w:id="225"/>
      </w:r>
      <w:r w:rsidR="00190020">
        <w:rPr>
          <w:rFonts w:ascii="Times New Roman" w:eastAsia="Times New Roman" w:hAnsi="Times New Roman" w:cs="Times New Roman"/>
          <w:sz w:val="24"/>
          <w:szCs w:val="24"/>
        </w:rPr>
        <w:t xml:space="preserve"> Even in the case of </w:t>
      </w:r>
      <w:proofErr w:type="spellStart"/>
      <w:r w:rsidR="00190020">
        <w:rPr>
          <w:rFonts w:ascii="Times New Roman" w:eastAsia="Times New Roman" w:hAnsi="Times New Roman" w:cs="Times New Roman"/>
          <w:sz w:val="24"/>
          <w:szCs w:val="24"/>
        </w:rPr>
        <w:t>Enigster</w:t>
      </w:r>
      <w:proofErr w:type="spellEnd"/>
      <w:r w:rsidR="00190020">
        <w:rPr>
          <w:rFonts w:ascii="Times New Roman" w:eastAsia="Times New Roman" w:hAnsi="Times New Roman" w:cs="Times New Roman"/>
          <w:sz w:val="24"/>
          <w:szCs w:val="24"/>
        </w:rPr>
        <w:t>, who had not been coerced into the post,</w:t>
      </w:r>
      <w:r w:rsidR="00190020">
        <w:rPr>
          <w:rFonts w:ascii="Times New Roman" w:eastAsia="Times New Roman" w:hAnsi="Times New Roman" w:cs="Times New Roman"/>
          <w:sz w:val="24"/>
          <w:szCs w:val="24"/>
          <w:vertAlign w:val="superscript"/>
        </w:rPr>
        <w:footnoteReference w:id="226"/>
      </w:r>
      <w:r w:rsidR="00190020">
        <w:rPr>
          <w:rFonts w:ascii="Times New Roman" w:eastAsia="Times New Roman" w:hAnsi="Times New Roman" w:cs="Times New Roman"/>
          <w:sz w:val="24"/>
          <w:szCs w:val="24"/>
        </w:rPr>
        <w:t xml:space="preserve"> the court found that, as he did not identify with the Nazis,</w:t>
      </w:r>
      <w:r w:rsidR="00190020">
        <w:rPr>
          <w:rFonts w:ascii="Times New Roman" w:eastAsia="Times New Roman" w:hAnsi="Times New Roman" w:cs="Times New Roman"/>
          <w:sz w:val="24"/>
          <w:szCs w:val="24"/>
          <w:vertAlign w:val="superscript"/>
        </w:rPr>
        <w:footnoteReference w:id="227"/>
      </w:r>
      <w:r w:rsidR="00190020">
        <w:rPr>
          <w:rFonts w:ascii="Times New Roman" w:eastAsia="Times New Roman" w:hAnsi="Times New Roman" w:cs="Times New Roman"/>
          <w:sz w:val="24"/>
          <w:szCs w:val="24"/>
        </w:rPr>
        <w:t xml:space="preserve"> a line had to be drawn between the Germans and the Jewish prison-functionary.</w:t>
      </w:r>
      <w:r w:rsidR="00190020">
        <w:rPr>
          <w:rFonts w:ascii="Times New Roman" w:eastAsia="Times New Roman" w:hAnsi="Times New Roman" w:cs="Times New Roman"/>
          <w:sz w:val="24"/>
          <w:szCs w:val="24"/>
          <w:vertAlign w:val="superscript"/>
        </w:rPr>
        <w:footnoteReference w:id="228"/>
      </w:r>
      <w:r w:rsidR="00190020">
        <w:rPr>
          <w:rFonts w:ascii="Times New Roman" w:eastAsia="Times New Roman" w:hAnsi="Times New Roman" w:cs="Times New Roman"/>
          <w:sz w:val="24"/>
          <w:szCs w:val="24"/>
        </w:rPr>
        <w:t xml:space="preserve"> Whether other defences were used in these trials is unknown.</w:t>
      </w:r>
    </w:p>
    <w:p w14:paraId="6512869F" w14:textId="3E0708E9"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Other States also prosecuted </w:t>
      </w:r>
      <w:proofErr w:type="spellStart"/>
      <w:r w:rsidR="00190020">
        <w:rPr>
          <w:rFonts w:ascii="Times New Roman" w:eastAsia="Times New Roman" w:hAnsi="Times New Roman" w:cs="Times New Roman"/>
          <w:sz w:val="24"/>
          <w:szCs w:val="24"/>
        </w:rPr>
        <w:t>Kapos</w:t>
      </w:r>
      <w:proofErr w:type="spellEnd"/>
      <w:r w:rsidR="00190020">
        <w:rPr>
          <w:rFonts w:ascii="Times New Roman" w:eastAsia="Times New Roman" w:hAnsi="Times New Roman" w:cs="Times New Roman"/>
          <w:sz w:val="24"/>
          <w:szCs w:val="24"/>
        </w:rPr>
        <w:t xml:space="preserve"> but information on defences raised is very sparse.</w:t>
      </w:r>
      <w:r w:rsidR="00190020">
        <w:rPr>
          <w:rFonts w:ascii="Times New Roman" w:eastAsia="Times New Roman" w:hAnsi="Times New Roman" w:cs="Times New Roman"/>
          <w:sz w:val="24"/>
          <w:szCs w:val="24"/>
          <w:vertAlign w:val="superscript"/>
        </w:rPr>
        <w:footnoteReference w:id="229"/>
      </w:r>
      <w:r w:rsidR="00190020">
        <w:rPr>
          <w:rFonts w:ascii="Times New Roman" w:eastAsia="Times New Roman" w:hAnsi="Times New Roman" w:cs="Times New Roman"/>
          <w:sz w:val="24"/>
          <w:szCs w:val="24"/>
        </w:rPr>
        <w:t xml:space="preserve"> One of the few publicly available trials is that of five Spanish </w:t>
      </w:r>
      <w:proofErr w:type="spellStart"/>
      <w:r w:rsidR="00190020">
        <w:rPr>
          <w:rFonts w:ascii="Times New Roman" w:eastAsia="Times New Roman" w:hAnsi="Times New Roman" w:cs="Times New Roman"/>
          <w:sz w:val="24"/>
          <w:szCs w:val="24"/>
        </w:rPr>
        <w:t>Kapos</w:t>
      </w:r>
      <w:proofErr w:type="spellEnd"/>
      <w:r w:rsidR="00190020">
        <w:rPr>
          <w:rFonts w:ascii="Times New Roman" w:eastAsia="Times New Roman" w:hAnsi="Times New Roman" w:cs="Times New Roman"/>
          <w:sz w:val="24"/>
          <w:szCs w:val="24"/>
        </w:rPr>
        <w:t xml:space="preserve"> taken prisoners by Germany.</w:t>
      </w:r>
      <w:r w:rsidR="00190020">
        <w:rPr>
          <w:rFonts w:ascii="Times New Roman" w:eastAsia="Times New Roman" w:hAnsi="Times New Roman" w:cs="Times New Roman"/>
          <w:sz w:val="24"/>
          <w:szCs w:val="24"/>
          <w:vertAlign w:val="superscript"/>
        </w:rPr>
        <w:footnoteReference w:id="230"/>
      </w:r>
      <w:r w:rsidR="00190020">
        <w:rPr>
          <w:rFonts w:ascii="Times New Roman" w:eastAsia="Times New Roman" w:hAnsi="Times New Roman" w:cs="Times New Roman"/>
          <w:sz w:val="24"/>
          <w:szCs w:val="24"/>
        </w:rPr>
        <w:t xml:space="preserve"> All were accused of a range of instances of ill-treatment of prisoners, often leading to the death of their fellow prisoners.</w:t>
      </w:r>
      <w:r w:rsidR="00190020">
        <w:rPr>
          <w:rFonts w:ascii="Times New Roman" w:eastAsia="Times New Roman" w:hAnsi="Times New Roman" w:cs="Times New Roman"/>
          <w:sz w:val="24"/>
          <w:szCs w:val="24"/>
          <w:vertAlign w:val="superscript"/>
        </w:rPr>
        <w:footnoteReference w:id="231"/>
      </w:r>
      <w:r w:rsidR="00190020">
        <w:rPr>
          <w:rFonts w:ascii="Times New Roman" w:eastAsia="Times New Roman" w:hAnsi="Times New Roman" w:cs="Times New Roman"/>
          <w:sz w:val="24"/>
          <w:szCs w:val="24"/>
        </w:rPr>
        <w:t xml:space="preserve"> Their defences included denying being </w:t>
      </w:r>
      <w:r w:rsidR="00190020">
        <w:rPr>
          <w:rFonts w:ascii="Times New Roman" w:eastAsia="Times New Roman" w:hAnsi="Times New Roman" w:cs="Times New Roman"/>
          <w:sz w:val="24"/>
          <w:szCs w:val="24"/>
        </w:rPr>
        <w:lastRenderedPageBreak/>
        <w:t>present or having committed the said acts</w:t>
      </w:r>
      <w:r w:rsidR="00190020">
        <w:rPr>
          <w:rFonts w:ascii="Times New Roman" w:eastAsia="Times New Roman" w:hAnsi="Times New Roman" w:cs="Times New Roman"/>
          <w:sz w:val="24"/>
          <w:szCs w:val="24"/>
          <w:vertAlign w:val="superscript"/>
        </w:rPr>
        <w:footnoteReference w:id="232"/>
      </w:r>
      <w:r w:rsidR="00190020">
        <w:rPr>
          <w:rFonts w:ascii="Times New Roman" w:eastAsia="Times New Roman" w:hAnsi="Times New Roman" w:cs="Times New Roman"/>
          <w:sz w:val="24"/>
          <w:szCs w:val="24"/>
        </w:rPr>
        <w:t xml:space="preserve"> and having themselves suffered ill-treatment.</w:t>
      </w:r>
      <w:r w:rsidR="00190020">
        <w:rPr>
          <w:rFonts w:ascii="Times New Roman" w:eastAsia="Times New Roman" w:hAnsi="Times New Roman" w:cs="Times New Roman"/>
          <w:sz w:val="24"/>
          <w:szCs w:val="24"/>
          <w:vertAlign w:val="superscript"/>
        </w:rPr>
        <w:footnoteReference w:id="233"/>
      </w:r>
      <w:r w:rsidR="00190020">
        <w:rPr>
          <w:rFonts w:ascii="Times New Roman" w:eastAsia="Times New Roman" w:hAnsi="Times New Roman" w:cs="Times New Roman"/>
          <w:sz w:val="24"/>
          <w:szCs w:val="24"/>
        </w:rPr>
        <w:t xml:space="preserve"> The latter could be understood as a form of defence relating to the coercive environment. </w:t>
      </w:r>
      <w:proofErr w:type="spellStart"/>
      <w:r w:rsidR="00190020">
        <w:rPr>
          <w:rFonts w:ascii="Times New Roman" w:eastAsia="Times New Roman" w:hAnsi="Times New Roman" w:cs="Times New Roman"/>
          <w:sz w:val="24"/>
          <w:szCs w:val="24"/>
        </w:rPr>
        <w:t>Alija</w:t>
      </w:r>
      <w:proofErr w:type="spellEnd"/>
      <w:r w:rsidR="00190020">
        <w:rPr>
          <w:rFonts w:ascii="Times New Roman" w:eastAsia="Times New Roman" w:hAnsi="Times New Roman" w:cs="Times New Roman"/>
          <w:sz w:val="24"/>
          <w:szCs w:val="24"/>
        </w:rPr>
        <w:t>-Fernández states that the judgment did not contemplate the fact that ‘their conduct was arguably the result of a combination of self-preservation and brutalization’.</w:t>
      </w:r>
      <w:r w:rsidR="00190020">
        <w:rPr>
          <w:rFonts w:ascii="Times New Roman" w:eastAsia="Times New Roman" w:hAnsi="Times New Roman" w:cs="Times New Roman"/>
          <w:sz w:val="24"/>
          <w:szCs w:val="24"/>
          <w:vertAlign w:val="superscript"/>
        </w:rPr>
        <w:footnoteReference w:id="234"/>
      </w:r>
      <w:r w:rsidR="00190020">
        <w:rPr>
          <w:rFonts w:ascii="Times New Roman" w:eastAsia="Times New Roman" w:hAnsi="Times New Roman" w:cs="Times New Roman"/>
          <w:sz w:val="24"/>
          <w:szCs w:val="24"/>
        </w:rPr>
        <w:t xml:space="preserve"> </w:t>
      </w:r>
    </w:p>
    <w:p w14:paraId="651286A0" w14:textId="2EED9BA0"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In conclusion, Kapo trials do not uncover much about alternative defences relating to crimes committed in a coercive environment. </w:t>
      </w:r>
    </w:p>
    <w:p w14:paraId="651286A1" w14:textId="77777777" w:rsidR="00B32260" w:rsidRDefault="00B32260" w:rsidP="004F3B74">
      <w:pPr>
        <w:tabs>
          <w:tab w:val="left" w:pos="357"/>
        </w:tabs>
        <w:spacing w:line="480" w:lineRule="auto"/>
        <w:jc w:val="both"/>
        <w:rPr>
          <w:rFonts w:ascii="Times New Roman" w:eastAsia="Times New Roman" w:hAnsi="Times New Roman" w:cs="Times New Roman"/>
          <w:sz w:val="24"/>
          <w:szCs w:val="24"/>
          <w:highlight w:val="yellow"/>
        </w:rPr>
      </w:pPr>
    </w:p>
    <w:p w14:paraId="576974D5" w14:textId="77777777" w:rsidR="004F3B74" w:rsidRDefault="004F3B74" w:rsidP="004F3B74">
      <w:pPr>
        <w:tabs>
          <w:tab w:val="left" w:pos="357"/>
        </w:tabs>
        <w:spacing w:line="480" w:lineRule="auto"/>
        <w:jc w:val="both"/>
        <w:rPr>
          <w:rFonts w:ascii="Times New Roman" w:eastAsia="Times New Roman" w:hAnsi="Times New Roman" w:cs="Times New Roman"/>
          <w:sz w:val="24"/>
          <w:szCs w:val="24"/>
          <w:highlight w:val="yellow"/>
        </w:rPr>
      </w:pPr>
    </w:p>
    <w:p w14:paraId="651286A2" w14:textId="77777777" w:rsidR="00B32260" w:rsidRDefault="00190020" w:rsidP="004F3B74">
      <w:pPr>
        <w:tabs>
          <w:tab w:val="left" w:pos="357"/>
        </w:tabs>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7 </w:t>
      </w:r>
      <w:r>
        <w:rPr>
          <w:rFonts w:ascii="Times New Roman" w:eastAsia="Times New Roman" w:hAnsi="Times New Roman" w:cs="Times New Roman"/>
          <w:b/>
          <w:sz w:val="24"/>
          <w:szCs w:val="24"/>
        </w:rPr>
        <w:tab/>
        <w:t>Conclusion</w:t>
      </w:r>
    </w:p>
    <w:p w14:paraId="2AE6B9E9" w14:textId="77777777" w:rsidR="004F3B74" w:rsidRDefault="004F3B74" w:rsidP="004F3B74">
      <w:pPr>
        <w:tabs>
          <w:tab w:val="left" w:pos="357"/>
        </w:tabs>
        <w:spacing w:line="480" w:lineRule="auto"/>
        <w:jc w:val="both"/>
        <w:rPr>
          <w:rFonts w:ascii="Times New Roman" w:eastAsia="Times New Roman" w:hAnsi="Times New Roman" w:cs="Times New Roman"/>
          <w:sz w:val="24"/>
          <w:szCs w:val="24"/>
        </w:rPr>
      </w:pPr>
    </w:p>
    <w:p w14:paraId="651286A3" w14:textId="03B3FC67" w:rsidR="00B32260" w:rsidRDefault="00190020"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 much as it is well recognised that child soldiers grow up and live in a coercive environment and that child soldiering has long-term effects on them, the crimes they commit cannot be exculpated on the ground of duress under the ICC Statute. It is clear that a person’s traumatic experience in a coercive environment cannot be raised as a ground for excluding criminal responsibility. Further, situations of a ‘general’ coercive environment where the harm is not immediate or continuing and/or based on a defendant’s (real or perceived) apprehension based on their past experience do not constitute duress either.</w:t>
      </w:r>
    </w:p>
    <w:p w14:paraId="651286A4" w14:textId="7076E5DA"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Moreover, the analysis of alternative defences indicates that none of them is well-anchored in national law, notably because they are highly controversial in society. This brief survey reveals that neither the law nor society excuses or justifies crimes committed in such a situation. The law only allows a defence that falls within a clearly defined category in which </w:t>
      </w:r>
      <w:r w:rsidR="00190020">
        <w:rPr>
          <w:rFonts w:ascii="Times New Roman" w:eastAsia="Times New Roman" w:hAnsi="Times New Roman" w:cs="Times New Roman"/>
          <w:sz w:val="24"/>
          <w:szCs w:val="24"/>
        </w:rPr>
        <w:lastRenderedPageBreak/>
        <w:t>choice is virtually inexistent. It is expected that, when faced with adverse conditions, humans will stand by the society’s principles and moral precepts. They cannot flinch. Some form of heroism is demanded as the bar has been set rather high. One would have expected some understanding (i.e., an excuse) for crimes perpetrated in a coercive environment like a POW or a concentration camp when individuals are at the hands of the enemy and the survival rate is very low. Yet, none was shown. These alternative defences are not accepted as defences in law and thus cannot even be considered to qualify as general principles of law to become eventually a source of ICC law. Whether explicitly or implicitly, the ICC Statute does not recognise a defence for crimes committed in a coercive environment.</w:t>
      </w:r>
    </w:p>
    <w:p w14:paraId="651286A6" w14:textId="2CE29BE2" w:rsidR="00B32260" w:rsidRDefault="004F3B74" w:rsidP="004F3B74">
      <w:pPr>
        <w:tabs>
          <w:tab w:val="left" w:pos="357"/>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190020">
        <w:rPr>
          <w:rFonts w:ascii="Times New Roman" w:eastAsia="Times New Roman" w:hAnsi="Times New Roman" w:cs="Times New Roman"/>
          <w:sz w:val="24"/>
          <w:szCs w:val="24"/>
        </w:rPr>
        <w:t xml:space="preserve">Nonetheless, this article has importantly highlighted the fact that defendants have put forward such claims, often in conjunction with established claims such as duress and insanity and that courts have grappled and even struggled with such claims. Verdicts often squirm with disquiet about the task given to judges. The crime cannot be excused or justified but at the same time, human frailty is acknowledged. Feeling somehow uncomfortable with the situation, national courts have pushed the discussion into the realm of mitigation. And that is probably where claims relating to the coercive environment sit better in international criminal law too. </w:t>
      </w:r>
    </w:p>
    <w:sectPr w:rsidR="00B32260">
      <w:footerReference w:type="default" r:id="rId8"/>
      <w:pgSz w:w="12240" w:h="15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2005A3" w14:textId="77777777" w:rsidR="004D0437" w:rsidRDefault="004D0437">
      <w:pPr>
        <w:spacing w:line="240" w:lineRule="auto"/>
      </w:pPr>
      <w:r>
        <w:separator/>
      </w:r>
    </w:p>
  </w:endnote>
  <w:endnote w:type="continuationSeparator" w:id="0">
    <w:p w14:paraId="6F6A19CB" w14:textId="77777777" w:rsidR="004D0437" w:rsidRDefault="004D04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286A7" w14:textId="77777777" w:rsidR="00B32260" w:rsidRDefault="00B32260">
    <w:pPr>
      <w:jc w:val="both"/>
    </w:pPr>
  </w:p>
  <w:p w14:paraId="651286A8" w14:textId="3D7D9EBF" w:rsidR="00B32260" w:rsidRDefault="00B32260">
    <w:pPr>
      <w:rPr>
        <w:rFonts w:ascii="Times New Roman" w:eastAsia="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8CA8D" w14:textId="77777777" w:rsidR="004D0437" w:rsidRDefault="004D0437">
      <w:pPr>
        <w:spacing w:line="240" w:lineRule="auto"/>
      </w:pPr>
      <w:r>
        <w:separator/>
      </w:r>
    </w:p>
  </w:footnote>
  <w:footnote w:type="continuationSeparator" w:id="0">
    <w:p w14:paraId="5F5D9AEC" w14:textId="77777777" w:rsidR="004D0437" w:rsidRDefault="004D0437">
      <w:pPr>
        <w:spacing w:line="240" w:lineRule="auto"/>
      </w:pPr>
      <w:r>
        <w:continuationSeparator/>
      </w:r>
    </w:p>
  </w:footnote>
  <w:footnote w:id="1">
    <w:p w14:paraId="651286AA" w14:textId="1BBEAC1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Ongwen</w:t>
      </w:r>
      <w:r w:rsidRPr="00727139">
        <w:rPr>
          <w:rFonts w:ascii="Times New Roman" w:eastAsia="Times New Roman" w:hAnsi="Times New Roman" w:cs="Times New Roman"/>
          <w:sz w:val="20"/>
          <w:szCs w:val="20"/>
        </w:rPr>
        <w:t xml:space="preserve">, ICC-02/04-01/15, Trial Chamber, Judgment, 4 February 2021 (ICC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Judgment).</w:t>
      </w:r>
    </w:p>
  </w:footnote>
  <w:footnote w:id="2">
    <w:p w14:paraId="651286AB" w14:textId="7CDDD76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Ongwen</w:t>
      </w:r>
      <w:r w:rsidRPr="00727139">
        <w:rPr>
          <w:rFonts w:ascii="Times New Roman" w:eastAsia="Times New Roman" w:hAnsi="Times New Roman" w:cs="Times New Roman"/>
          <w:sz w:val="20"/>
          <w:szCs w:val="20"/>
        </w:rPr>
        <w:t xml:space="preserve">, ICC-02/04-01/15, Trial Chamber, Sentencing Judgment, 6 May 2021 (ICC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Sentencing).</w:t>
      </w:r>
    </w:p>
  </w:footnote>
  <w:footnote w:id="3">
    <w:p w14:paraId="651286AC" w14:textId="659EA3A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xml:space="preserve">, ICC-02/04-01/15, Appeals Chamber, Judgment on the Appeal of Mr Ongwen against the Decision of Trial Chamber IX of 4 February 2021 Entitled “Trial Judgment”, 15 December 2022 (ICC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Appeal Judgment); 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xml:space="preserve">, ICC-02/04-01/15, Appeals Chamber, Judgment on the Appeal of Mr Dominic Ongwen against the Decision of Trial Chamber IX of 6 May 2021 entitled “Sentence”, 15 December 2022 (ICC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Appeal Sentencing).</w:t>
      </w:r>
    </w:p>
  </w:footnote>
  <w:footnote w:id="4">
    <w:p w14:paraId="651286AD" w14:textId="708A3B8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highlight w:val="yellow"/>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Rome Statute of the International Criminal Court, 1998, 2187 UNTS 90 (ICC Statute).</w:t>
      </w:r>
    </w:p>
  </w:footnote>
  <w:footnote w:id="5">
    <w:p w14:paraId="651286AE" w14:textId="021A4B0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ICC-02/04-01/15-T-22-ENG, Transcript of the Confirmation of Charges, 57, lines 3–4 (emphasis added).</w:t>
      </w:r>
    </w:p>
  </w:footnote>
  <w:footnote w:id="6">
    <w:p w14:paraId="651286AF" w14:textId="45BC88E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lines 19–22 (emphasis added).</w:t>
      </w:r>
    </w:p>
  </w:footnote>
  <w:footnote w:id="7">
    <w:p w14:paraId="651286B0" w14:textId="6CDE004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Raphael Lorenzo </w:t>
      </w:r>
      <w:proofErr w:type="spellStart"/>
      <w:r w:rsidRPr="00727139">
        <w:rPr>
          <w:rFonts w:ascii="Times New Roman" w:eastAsia="Times New Roman" w:hAnsi="Times New Roman" w:cs="Times New Roman"/>
          <w:sz w:val="20"/>
          <w:szCs w:val="20"/>
        </w:rPr>
        <w:t>Aguiling</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Pangalangan</w:t>
      </w:r>
      <w:proofErr w:type="spellEnd"/>
      <w:r w:rsidRPr="00727139">
        <w:rPr>
          <w:rFonts w:ascii="Times New Roman" w:eastAsia="Times New Roman" w:hAnsi="Times New Roman" w:cs="Times New Roman"/>
          <w:sz w:val="20"/>
          <w:szCs w:val="20"/>
        </w:rPr>
        <w:t xml:space="preserve">, ‘Dominic Ongwen and the Rotten Social Background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The Criminal Culpability of Child Soldiers Turned War Criminals’, 33(3) </w:t>
      </w:r>
      <w:r w:rsidRPr="00727139">
        <w:rPr>
          <w:rFonts w:ascii="Times New Roman" w:eastAsia="Times New Roman" w:hAnsi="Times New Roman" w:cs="Times New Roman"/>
          <w:i/>
          <w:sz w:val="20"/>
          <w:szCs w:val="20"/>
        </w:rPr>
        <w:t xml:space="preserve">Am. U. Int’l L. Rev. </w:t>
      </w:r>
      <w:r w:rsidRPr="00727139">
        <w:rPr>
          <w:rFonts w:ascii="Times New Roman" w:eastAsia="Times New Roman" w:hAnsi="Times New Roman" w:cs="Times New Roman"/>
          <w:sz w:val="20"/>
          <w:szCs w:val="20"/>
        </w:rPr>
        <w:t>(2018)</w:t>
      </w:r>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 xml:space="preserve">605–635, p. 608.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Dusting Byrd, </w:t>
      </w:r>
      <w:r w:rsidRPr="00727139">
        <w:rPr>
          <w:rFonts w:ascii="Times New Roman" w:eastAsia="Times New Roman" w:hAnsi="Times New Roman" w:cs="Times New Roman"/>
          <w:i/>
          <w:sz w:val="20"/>
          <w:szCs w:val="20"/>
        </w:rPr>
        <w:t xml:space="preserve">Islam in a Post-Secular Society: </w:t>
      </w:r>
      <w:r w:rsidRPr="00727139">
        <w:rPr>
          <w:rFonts w:ascii="Times New Roman" w:eastAsia="Times New Roman" w:hAnsi="Times New Roman" w:cs="Times New Roman"/>
          <w:i/>
          <w:sz w:val="20"/>
          <w:szCs w:val="20"/>
          <w:highlight w:val="white"/>
        </w:rPr>
        <w:t xml:space="preserve">Religion, </w:t>
      </w:r>
      <w:proofErr w:type="gramStart"/>
      <w:r w:rsidRPr="00727139">
        <w:rPr>
          <w:rFonts w:ascii="Times New Roman" w:eastAsia="Times New Roman" w:hAnsi="Times New Roman" w:cs="Times New Roman"/>
          <w:i/>
          <w:sz w:val="20"/>
          <w:szCs w:val="20"/>
          <w:highlight w:val="white"/>
        </w:rPr>
        <w:t>Secularity</w:t>
      </w:r>
      <w:proofErr w:type="gramEnd"/>
      <w:r w:rsidRPr="00727139">
        <w:rPr>
          <w:rFonts w:ascii="Times New Roman" w:eastAsia="Times New Roman" w:hAnsi="Times New Roman" w:cs="Times New Roman"/>
          <w:i/>
          <w:sz w:val="20"/>
          <w:szCs w:val="20"/>
          <w:highlight w:val="white"/>
        </w:rPr>
        <w:t xml:space="preserve"> and the Antagonism of Recalcitrant Faith</w:t>
      </w:r>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(The Hague, Brill, 2017) p. 297.</w:t>
      </w:r>
    </w:p>
  </w:footnote>
  <w:footnote w:id="8">
    <w:p w14:paraId="651286B1" w14:textId="7E1D34A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Rachel Brett, ‘Adolescents Volunteering for Armed Forces or Armed Groups’, 85(852) </w:t>
      </w:r>
      <w:r w:rsidRPr="00727139">
        <w:rPr>
          <w:rFonts w:ascii="Times New Roman" w:eastAsia="Times New Roman" w:hAnsi="Times New Roman" w:cs="Times New Roman"/>
          <w:i/>
          <w:sz w:val="20"/>
          <w:szCs w:val="20"/>
        </w:rPr>
        <w:t>Int’l Rev. Red Cross</w:t>
      </w:r>
      <w:r w:rsidRPr="00727139">
        <w:rPr>
          <w:rFonts w:ascii="Times New Roman" w:eastAsia="Times New Roman" w:hAnsi="Times New Roman" w:cs="Times New Roman"/>
          <w:sz w:val="20"/>
          <w:szCs w:val="20"/>
        </w:rPr>
        <w:t xml:space="preserve"> (2003) 857–866.</w:t>
      </w:r>
    </w:p>
  </w:footnote>
  <w:footnote w:id="9">
    <w:p w14:paraId="651286B2" w14:textId="4179DD1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Lubanga </w:t>
      </w:r>
      <w:proofErr w:type="spellStart"/>
      <w:r w:rsidRPr="00727139">
        <w:rPr>
          <w:rFonts w:ascii="Times New Roman" w:eastAsia="Times New Roman" w:hAnsi="Times New Roman" w:cs="Times New Roman"/>
          <w:i/>
          <w:sz w:val="20"/>
          <w:szCs w:val="20"/>
        </w:rPr>
        <w:t>Dyilo</w:t>
      </w:r>
      <w:proofErr w:type="spellEnd"/>
      <w:r w:rsidRPr="00727139">
        <w:rPr>
          <w:rFonts w:ascii="Times New Roman" w:eastAsia="Times New Roman" w:hAnsi="Times New Roman" w:cs="Times New Roman"/>
          <w:sz w:val="20"/>
          <w:szCs w:val="20"/>
        </w:rPr>
        <w:t xml:space="preserve">, ICC-01/04-01/06, Trial Chamber I, Judgment Pursuant to Article 74 of the Statute, 14 March 2012, para. 605 (ICC </w:t>
      </w:r>
      <w:r w:rsidRPr="00727139">
        <w:rPr>
          <w:rFonts w:ascii="Times New Roman" w:eastAsia="Times New Roman" w:hAnsi="Times New Roman" w:cs="Times New Roman"/>
          <w:i/>
          <w:sz w:val="20"/>
          <w:szCs w:val="20"/>
        </w:rPr>
        <w:t xml:space="preserve">Lubanga </w:t>
      </w:r>
      <w:r w:rsidRPr="00727139">
        <w:rPr>
          <w:rFonts w:ascii="Times New Roman" w:eastAsia="Times New Roman" w:hAnsi="Times New Roman" w:cs="Times New Roman"/>
          <w:sz w:val="20"/>
          <w:szCs w:val="20"/>
        </w:rPr>
        <w:t>Judgment).</w:t>
      </w:r>
    </w:p>
  </w:footnote>
  <w:footnote w:id="10">
    <w:p w14:paraId="651286B3" w14:textId="7B23568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Ntaganda, </w:t>
      </w:r>
      <w:r w:rsidRPr="00727139">
        <w:rPr>
          <w:rFonts w:ascii="Times New Roman" w:eastAsia="Times New Roman" w:hAnsi="Times New Roman" w:cs="Times New Roman"/>
          <w:sz w:val="20"/>
          <w:szCs w:val="20"/>
        </w:rPr>
        <w:t xml:space="preserve">ICC-01/4-02/06, Trial Chamber VI, Judgment, 8 July 2019, para. 376 (ICC </w:t>
      </w:r>
      <w:r w:rsidRPr="00727139">
        <w:rPr>
          <w:rFonts w:ascii="Times New Roman" w:eastAsia="Times New Roman" w:hAnsi="Times New Roman" w:cs="Times New Roman"/>
          <w:i/>
          <w:sz w:val="20"/>
          <w:szCs w:val="20"/>
        </w:rPr>
        <w:t xml:space="preserve">Ntaganda </w:t>
      </w:r>
      <w:r w:rsidRPr="00727139">
        <w:rPr>
          <w:rFonts w:ascii="Times New Roman" w:eastAsia="Times New Roman" w:hAnsi="Times New Roman" w:cs="Times New Roman"/>
          <w:sz w:val="20"/>
          <w:szCs w:val="20"/>
        </w:rPr>
        <w:t>Judgment).</w:t>
      </w:r>
    </w:p>
  </w:footnote>
  <w:footnote w:id="11">
    <w:p w14:paraId="651286B4" w14:textId="15BC5CF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w:t>
      </w:r>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para. 376.</w:t>
      </w:r>
    </w:p>
  </w:footnote>
  <w:footnote w:id="12">
    <w:p w14:paraId="651286B5" w14:textId="7646CEA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Lubanga </w:t>
      </w:r>
      <w:r w:rsidRPr="00727139">
        <w:rPr>
          <w:rFonts w:ascii="Times New Roman" w:eastAsia="Times New Roman" w:hAnsi="Times New Roman" w:cs="Times New Roman"/>
          <w:sz w:val="20"/>
          <w:szCs w:val="20"/>
        </w:rPr>
        <w:t xml:space="preserve">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9, para. 32.</w:t>
      </w:r>
    </w:p>
  </w:footnote>
  <w:footnote w:id="13">
    <w:p w14:paraId="651286B6" w14:textId="15740BC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Ntaganda </w:t>
      </w:r>
      <w:r w:rsidRPr="00727139">
        <w:rPr>
          <w:rFonts w:ascii="Times New Roman" w:eastAsia="Times New Roman" w:hAnsi="Times New Roman" w:cs="Times New Roman"/>
          <w:sz w:val="20"/>
          <w:szCs w:val="20"/>
        </w:rPr>
        <w:t xml:space="preserve">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10, para. 377. </w:t>
      </w:r>
      <w:r w:rsidRPr="00727139">
        <w:rPr>
          <w:rFonts w:ascii="Times New Roman" w:eastAsia="Times New Roman" w:hAnsi="Times New Roman" w:cs="Times New Roman"/>
          <w:i/>
          <w:sz w:val="20"/>
          <w:szCs w:val="20"/>
        </w:rPr>
        <w:t>See also ibid.</w:t>
      </w:r>
      <w:r w:rsidRPr="00727139">
        <w:rPr>
          <w:rFonts w:ascii="Times New Roman" w:eastAsia="Times New Roman" w:hAnsi="Times New Roman" w:cs="Times New Roman"/>
          <w:sz w:val="20"/>
          <w:szCs w:val="20"/>
        </w:rPr>
        <w:t>, paras. 883–889.</w:t>
      </w:r>
    </w:p>
  </w:footnote>
  <w:footnote w:id="14">
    <w:p w14:paraId="651286B7" w14:textId="1FF5BDF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Ntaganda </w:t>
      </w:r>
      <w:r w:rsidRPr="00727139">
        <w:rPr>
          <w:rFonts w:ascii="Times New Roman" w:eastAsia="Times New Roman" w:hAnsi="Times New Roman" w:cs="Times New Roman"/>
          <w:sz w:val="20"/>
          <w:szCs w:val="20"/>
        </w:rPr>
        <w:t xml:space="preserve">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10, para 377.</w:t>
      </w:r>
    </w:p>
  </w:footnote>
  <w:footnote w:id="15">
    <w:p w14:paraId="651286B8" w14:textId="3185AEA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818.</w:t>
      </w:r>
    </w:p>
  </w:footnote>
  <w:footnote w:id="16">
    <w:p w14:paraId="651286B9" w14:textId="324BA45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1112 (emphasis added).</w:t>
      </w:r>
    </w:p>
  </w:footnote>
  <w:footnote w:id="17">
    <w:p w14:paraId="651286BA" w14:textId="1AEC1F2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1195 (emphasis added).</w:t>
      </w:r>
    </w:p>
  </w:footnote>
  <w:footnote w:id="18">
    <w:p w14:paraId="651286BB" w14:textId="6F738A7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i/>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xml:space="preserve">, ICC-01/04-01/06, Opening Statement of Moreno-Ocampo, 26 January 2009, p. 6 lines 8-11. </w:t>
      </w:r>
    </w:p>
  </w:footnote>
  <w:footnote w:id="19">
    <w:p w14:paraId="651286BC" w14:textId="3E95073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 xml:space="preserve">p. 7 line 10. </w:t>
      </w:r>
    </w:p>
  </w:footnote>
  <w:footnote w:id="20">
    <w:p w14:paraId="651286BD" w14:textId="764369F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Jonathan Kwik, ‘The Road to Ongwen: Consolidating Contradictory Child Soldiering Narratives in International Criminal Law’, 1 </w:t>
      </w:r>
      <w:r w:rsidRPr="00727139">
        <w:rPr>
          <w:rFonts w:ascii="Times New Roman" w:eastAsia="Times New Roman" w:hAnsi="Times New Roman" w:cs="Times New Roman"/>
          <w:i/>
          <w:sz w:val="20"/>
          <w:szCs w:val="20"/>
        </w:rPr>
        <w:t xml:space="preserve">A. P. J. I. H. L. </w:t>
      </w:r>
      <w:r w:rsidRPr="00727139">
        <w:rPr>
          <w:rFonts w:ascii="Times New Roman" w:eastAsia="Times New Roman" w:hAnsi="Times New Roman" w:cs="Times New Roman"/>
          <w:sz w:val="20"/>
          <w:szCs w:val="20"/>
        </w:rPr>
        <w:t xml:space="preserve">(2020) 135–163, pp. 154–155. </w:t>
      </w:r>
      <w:r w:rsidRPr="00727139">
        <w:rPr>
          <w:rFonts w:ascii="Times New Roman" w:eastAsia="Times New Roman" w:hAnsi="Times New Roman" w:cs="Times New Roman"/>
          <w:i/>
          <w:sz w:val="20"/>
          <w:szCs w:val="20"/>
        </w:rPr>
        <w:t xml:space="preserve">See also </w:t>
      </w:r>
      <w:r w:rsidRPr="00727139">
        <w:rPr>
          <w:rFonts w:ascii="Times New Roman" w:eastAsia="Times New Roman" w:hAnsi="Times New Roman" w:cs="Times New Roman"/>
          <w:sz w:val="20"/>
          <w:szCs w:val="20"/>
        </w:rPr>
        <w:t xml:space="preserve">SCSL,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w:t>
      </w:r>
      <w:proofErr w:type="spellStart"/>
      <w:r w:rsidRPr="00727139">
        <w:rPr>
          <w:rFonts w:ascii="Times New Roman" w:eastAsia="Times New Roman" w:hAnsi="Times New Roman" w:cs="Times New Roman"/>
          <w:i/>
          <w:sz w:val="20"/>
          <w:szCs w:val="20"/>
        </w:rPr>
        <w:t>Brima</w:t>
      </w:r>
      <w:proofErr w:type="spellEnd"/>
      <w:r w:rsidRPr="00727139">
        <w:rPr>
          <w:rFonts w:ascii="Times New Roman" w:eastAsia="Times New Roman" w:hAnsi="Times New Roman" w:cs="Times New Roman"/>
          <w:i/>
          <w:sz w:val="20"/>
          <w:szCs w:val="20"/>
        </w:rPr>
        <w:t>, Kamara and Kanu</w:t>
      </w:r>
      <w:r w:rsidRPr="00727139">
        <w:rPr>
          <w:rFonts w:ascii="Times New Roman" w:eastAsia="Times New Roman" w:hAnsi="Times New Roman" w:cs="Times New Roman"/>
          <w:sz w:val="20"/>
          <w:szCs w:val="20"/>
        </w:rPr>
        <w:t xml:space="preserve">, SCSL-2004-16-T, Trial Chamber II, Judgment, 20 June 2007, para. 1275 and SCSL, </w:t>
      </w:r>
      <w:r w:rsidRPr="00727139">
        <w:rPr>
          <w:rFonts w:ascii="Times New Roman" w:eastAsia="Times New Roman" w:hAnsi="Times New Roman" w:cs="Times New Roman"/>
          <w:i/>
          <w:sz w:val="20"/>
          <w:szCs w:val="20"/>
          <w:highlight w:val="white"/>
        </w:rPr>
        <w:t xml:space="preserve">Prosecutor </w:t>
      </w:r>
      <w:r w:rsidRPr="00727139">
        <w:rPr>
          <w:rFonts w:ascii="Times New Roman" w:eastAsia="Times New Roman" w:hAnsi="Times New Roman" w:cs="Times New Roman"/>
          <w:sz w:val="20"/>
          <w:szCs w:val="20"/>
          <w:highlight w:val="white"/>
        </w:rPr>
        <w:t>v.</w:t>
      </w:r>
      <w:r w:rsidRPr="00727139">
        <w:rPr>
          <w:rFonts w:ascii="Times New Roman" w:eastAsia="Times New Roman" w:hAnsi="Times New Roman" w:cs="Times New Roman"/>
          <w:i/>
          <w:sz w:val="20"/>
          <w:szCs w:val="20"/>
          <w:highlight w:val="white"/>
        </w:rPr>
        <w:t xml:space="preserve"> Sesay, Kallon and </w:t>
      </w:r>
      <w:proofErr w:type="spellStart"/>
      <w:r w:rsidRPr="00727139">
        <w:rPr>
          <w:rFonts w:ascii="Times New Roman" w:eastAsia="Times New Roman" w:hAnsi="Times New Roman" w:cs="Times New Roman"/>
          <w:i/>
          <w:sz w:val="20"/>
          <w:szCs w:val="20"/>
          <w:highlight w:val="white"/>
        </w:rPr>
        <w:t>Gbao</w:t>
      </w:r>
      <w:proofErr w:type="spellEnd"/>
      <w:r w:rsidRPr="00727139">
        <w:rPr>
          <w:rFonts w:ascii="Times New Roman" w:eastAsia="Times New Roman" w:hAnsi="Times New Roman" w:cs="Times New Roman"/>
          <w:i/>
          <w:sz w:val="20"/>
          <w:szCs w:val="20"/>
          <w:highlight w:val="white"/>
        </w:rPr>
        <w:t>,</w:t>
      </w:r>
      <w:r w:rsidRPr="00727139">
        <w:rPr>
          <w:rFonts w:ascii="Times New Roman" w:eastAsia="Times New Roman" w:hAnsi="Times New Roman" w:cs="Times New Roman"/>
          <w:sz w:val="20"/>
          <w:szCs w:val="20"/>
          <w:highlight w:val="white"/>
        </w:rPr>
        <w:t xml:space="preserve"> SCSL-04-15-T, Trial Chamber I, Judgment, 2 March 2009, para. </w:t>
      </w:r>
      <w:r w:rsidRPr="00727139">
        <w:rPr>
          <w:rFonts w:ascii="Times New Roman" w:eastAsia="Times New Roman" w:hAnsi="Times New Roman" w:cs="Times New Roman"/>
          <w:sz w:val="20"/>
          <w:szCs w:val="20"/>
        </w:rPr>
        <w:t xml:space="preserve">1616. </w:t>
      </w:r>
    </w:p>
  </w:footnote>
  <w:footnote w:id="21">
    <w:p w14:paraId="651286BE" w14:textId="13458C3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Ntaganda </w:t>
      </w:r>
      <w:r w:rsidRPr="00727139">
        <w:rPr>
          <w:rFonts w:ascii="Times New Roman" w:eastAsia="Times New Roman" w:hAnsi="Times New Roman" w:cs="Times New Roman"/>
          <w:sz w:val="20"/>
          <w:szCs w:val="20"/>
        </w:rPr>
        <w:t xml:space="preserve">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10, para. 818.</w:t>
      </w:r>
    </w:p>
  </w:footnote>
  <w:footnote w:id="22">
    <w:p w14:paraId="651286BF" w14:textId="6E20DF2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819.</w:t>
      </w:r>
    </w:p>
  </w:footnote>
  <w:footnote w:id="23">
    <w:p w14:paraId="651286C0" w14:textId="0D4D34F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Gamaliel Kan, ‘The Prosecution of a Child Victim and a Brutal Warlord: The Competing Narrative of Dominic Ongwen’, 5 </w:t>
      </w:r>
      <w:r w:rsidRPr="00727139">
        <w:rPr>
          <w:rFonts w:ascii="Times New Roman" w:eastAsia="Times New Roman" w:hAnsi="Times New Roman" w:cs="Times New Roman"/>
          <w:i/>
          <w:sz w:val="20"/>
          <w:szCs w:val="20"/>
        </w:rPr>
        <w:t>SOAS L. J.</w:t>
      </w:r>
      <w:r w:rsidRPr="00727139">
        <w:rPr>
          <w:rFonts w:ascii="Times New Roman" w:eastAsia="Times New Roman" w:hAnsi="Times New Roman" w:cs="Times New Roman"/>
          <w:sz w:val="20"/>
          <w:szCs w:val="20"/>
        </w:rPr>
        <w:t xml:space="preserve"> (2018) 70–86, p. 80-81.</w:t>
      </w:r>
    </w:p>
  </w:footnote>
  <w:footnote w:id="24">
    <w:p w14:paraId="651286C1" w14:textId="65F4A36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Renée N. Souris, ‘Child Soldiering on Trial: An Interdisciplinary Analysis of Responsibility in the Lords’ Resistance Army’, 13(3) </w:t>
      </w:r>
      <w:r w:rsidRPr="00727139">
        <w:rPr>
          <w:rFonts w:ascii="Times New Roman" w:eastAsia="Times New Roman" w:hAnsi="Times New Roman" w:cs="Times New Roman"/>
          <w:i/>
          <w:sz w:val="20"/>
          <w:szCs w:val="20"/>
        </w:rPr>
        <w:t xml:space="preserve">Int. J. L. C. </w:t>
      </w:r>
      <w:r w:rsidRPr="00727139">
        <w:rPr>
          <w:rFonts w:ascii="Times New Roman" w:eastAsia="Times New Roman" w:hAnsi="Times New Roman" w:cs="Times New Roman"/>
          <w:sz w:val="20"/>
          <w:szCs w:val="20"/>
        </w:rPr>
        <w:t>(2017) 316–335, pp. 323–324.</w:t>
      </w:r>
    </w:p>
  </w:footnote>
  <w:footnote w:id="25">
    <w:p w14:paraId="651286C2" w14:textId="752E1D9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Alcinda</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Honwana</w:t>
      </w:r>
      <w:proofErr w:type="spellEnd"/>
      <w:r w:rsidRPr="00727139">
        <w:rPr>
          <w:rFonts w:ascii="Times New Roman" w:eastAsia="Times New Roman" w:hAnsi="Times New Roman" w:cs="Times New Roman"/>
          <w:sz w:val="20"/>
          <w:szCs w:val="20"/>
        </w:rPr>
        <w:t xml:space="preserve">, ‘Innocent and Guilty: Child-Soldiers as Interstitial and Tactical Agents’, in </w:t>
      </w:r>
      <w:proofErr w:type="spellStart"/>
      <w:r w:rsidRPr="00727139">
        <w:rPr>
          <w:rFonts w:ascii="Times New Roman" w:eastAsia="Times New Roman" w:hAnsi="Times New Roman" w:cs="Times New Roman"/>
          <w:sz w:val="20"/>
          <w:szCs w:val="20"/>
        </w:rPr>
        <w:t>Alcinda</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Honwana</w:t>
      </w:r>
      <w:proofErr w:type="spellEnd"/>
      <w:r w:rsidRPr="00727139">
        <w:rPr>
          <w:rFonts w:ascii="Times New Roman" w:eastAsia="Times New Roman" w:hAnsi="Times New Roman" w:cs="Times New Roman"/>
          <w:sz w:val="20"/>
          <w:szCs w:val="20"/>
        </w:rPr>
        <w:t xml:space="preserve"> and Filip de </w:t>
      </w:r>
      <w:proofErr w:type="spellStart"/>
      <w:r w:rsidRPr="00727139">
        <w:rPr>
          <w:rFonts w:ascii="Times New Roman" w:eastAsia="Times New Roman" w:hAnsi="Times New Roman" w:cs="Times New Roman"/>
          <w:sz w:val="20"/>
          <w:szCs w:val="20"/>
        </w:rPr>
        <w:t>Boeck</w:t>
      </w:r>
      <w:proofErr w:type="spellEnd"/>
      <w:r w:rsidRPr="00727139">
        <w:rPr>
          <w:rFonts w:ascii="Times New Roman" w:eastAsia="Times New Roman" w:hAnsi="Times New Roman" w:cs="Times New Roman"/>
          <w:sz w:val="20"/>
          <w:szCs w:val="20"/>
        </w:rPr>
        <w:t xml:space="preserve"> (eds), </w:t>
      </w:r>
      <w:r w:rsidRPr="00727139">
        <w:rPr>
          <w:rFonts w:ascii="Times New Roman" w:eastAsia="Times New Roman" w:hAnsi="Times New Roman" w:cs="Times New Roman"/>
          <w:i/>
          <w:sz w:val="20"/>
          <w:szCs w:val="20"/>
        </w:rPr>
        <w:t xml:space="preserve">Makers and Breakers: Children and Youth in Postcolonial Africa </w:t>
      </w:r>
      <w:r w:rsidRPr="00727139">
        <w:rPr>
          <w:rFonts w:ascii="Times New Roman" w:eastAsia="Times New Roman" w:hAnsi="Times New Roman" w:cs="Times New Roman"/>
          <w:sz w:val="20"/>
          <w:szCs w:val="20"/>
        </w:rPr>
        <w:t>(Africa World Press, Trenton, NY, 2005) 31, p. 48.</w:t>
      </w:r>
    </w:p>
  </w:footnote>
  <w:footnote w:id="26">
    <w:p w14:paraId="651286C3" w14:textId="0532A61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Souris,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24, p. 320.</w:t>
      </w:r>
    </w:p>
  </w:footnote>
  <w:footnote w:id="27">
    <w:p w14:paraId="651286C4" w14:textId="03199D3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Sentencing,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 para. 67.</w:t>
      </w:r>
    </w:p>
  </w:footnote>
  <w:footnote w:id="28">
    <w:p w14:paraId="651286C5" w14:textId="08B1F67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72.</w:t>
      </w:r>
    </w:p>
  </w:footnote>
  <w:footnote w:id="29">
    <w:p w14:paraId="651286C6" w14:textId="2E48194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Ongwen</w:t>
      </w:r>
      <w:r w:rsidRPr="00727139">
        <w:rPr>
          <w:rFonts w:ascii="Times New Roman" w:eastAsia="Times New Roman" w:hAnsi="Times New Roman" w:cs="Times New Roman"/>
          <w:sz w:val="20"/>
          <w:szCs w:val="20"/>
        </w:rPr>
        <w:t xml:space="preserve">, ICC-02/04-01/15, Appeals Chamber, Defence Appeal Brief Against the Convictions in the Judgment of 4 February 2021, 21 July 2021, paras. 556 and 595 (ICC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Defence Appeal Brief).</w:t>
      </w:r>
    </w:p>
  </w:footnote>
  <w:footnote w:id="30">
    <w:p w14:paraId="651286C7" w14:textId="1EFDB90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595.</w:t>
      </w:r>
    </w:p>
  </w:footnote>
  <w:footnote w:id="31">
    <w:p w14:paraId="651286C8" w14:textId="06B03E1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689.</w:t>
      </w:r>
    </w:p>
  </w:footnote>
  <w:footnote w:id="32">
    <w:p w14:paraId="651286C9" w14:textId="74094DE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Kan,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23, p. 79.</w:t>
      </w:r>
    </w:p>
  </w:footnote>
  <w:footnote w:id="33">
    <w:p w14:paraId="651286CA" w14:textId="23FF48C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xml:space="preserve">, ICC-02/04-01/15, Trial Chamber IX, Defence Closing Brief, 24 February 2020, para. 475 (ICC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Defence Closing Brief).</w:t>
      </w:r>
    </w:p>
  </w:footnote>
  <w:footnote w:id="34">
    <w:p w14:paraId="651286CB" w14:textId="1397BF7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576.</w:t>
      </w:r>
    </w:p>
  </w:footnote>
  <w:footnote w:id="35">
    <w:p w14:paraId="651286CC" w14:textId="3F9891B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Jocelyn T.D. Kelly, Lindsay </w:t>
      </w:r>
      <w:proofErr w:type="gramStart"/>
      <w:r w:rsidRPr="00727139">
        <w:rPr>
          <w:rFonts w:ascii="Times New Roman" w:eastAsia="Times New Roman" w:hAnsi="Times New Roman" w:cs="Times New Roman"/>
          <w:sz w:val="20"/>
          <w:szCs w:val="20"/>
        </w:rPr>
        <w:t>Branham</w:t>
      </w:r>
      <w:proofErr w:type="gramEnd"/>
      <w:r w:rsidRPr="00727139">
        <w:rPr>
          <w:rFonts w:ascii="Times New Roman" w:eastAsia="Times New Roman" w:hAnsi="Times New Roman" w:cs="Times New Roman"/>
          <w:sz w:val="20"/>
          <w:szCs w:val="20"/>
        </w:rPr>
        <w:t xml:space="preserve"> and Michele R Decker, ‘Abducted Children and Youth in Lord’s Resistance Army in Northeastern Democratic Republic of the Congo (DRC): Mechanisms of Indoctrination and Control’, 10 </w:t>
      </w:r>
      <w:r w:rsidRPr="00727139">
        <w:rPr>
          <w:rFonts w:ascii="Times New Roman" w:eastAsia="Times New Roman" w:hAnsi="Times New Roman" w:cs="Times New Roman"/>
          <w:i/>
          <w:sz w:val="20"/>
          <w:szCs w:val="20"/>
        </w:rPr>
        <w:t xml:space="preserve">Conflict and Health </w:t>
      </w:r>
      <w:r w:rsidRPr="00727139">
        <w:rPr>
          <w:rFonts w:ascii="Times New Roman" w:eastAsia="Times New Roman" w:hAnsi="Times New Roman" w:cs="Times New Roman"/>
          <w:sz w:val="20"/>
          <w:szCs w:val="20"/>
        </w:rPr>
        <w:t>(2016) 1–11, p. 4.</w:t>
      </w:r>
    </w:p>
  </w:footnote>
  <w:footnote w:id="36">
    <w:p w14:paraId="651286CD" w14:textId="5B1B0BB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highlight w:val="white"/>
        </w:rPr>
        <w:t xml:space="preserve">ICC, </w:t>
      </w:r>
      <w:r w:rsidRPr="00727139">
        <w:rPr>
          <w:rFonts w:ascii="Times New Roman" w:eastAsia="Times New Roman" w:hAnsi="Times New Roman" w:cs="Times New Roman"/>
          <w:i/>
          <w:sz w:val="20"/>
          <w:szCs w:val="20"/>
          <w:highlight w:val="white"/>
        </w:rPr>
        <w:t xml:space="preserve">Prosecutor </w:t>
      </w:r>
      <w:r w:rsidRPr="00727139">
        <w:rPr>
          <w:rFonts w:ascii="Times New Roman" w:eastAsia="Times New Roman" w:hAnsi="Times New Roman" w:cs="Times New Roman"/>
          <w:sz w:val="20"/>
          <w:szCs w:val="20"/>
          <w:highlight w:val="white"/>
        </w:rPr>
        <w:t>v.</w:t>
      </w:r>
      <w:r w:rsidRPr="00727139">
        <w:rPr>
          <w:rFonts w:ascii="Times New Roman" w:eastAsia="Times New Roman" w:hAnsi="Times New Roman" w:cs="Times New Roman"/>
          <w:i/>
          <w:sz w:val="20"/>
          <w:szCs w:val="20"/>
          <w:highlight w:val="white"/>
        </w:rPr>
        <w:t xml:space="preserve"> Ongwen</w:t>
      </w:r>
      <w:r w:rsidRPr="00727139">
        <w:rPr>
          <w:rFonts w:ascii="Times New Roman" w:eastAsia="Times New Roman" w:hAnsi="Times New Roman" w:cs="Times New Roman"/>
          <w:sz w:val="20"/>
          <w:szCs w:val="20"/>
          <w:highlight w:val="white"/>
        </w:rPr>
        <w:t>, ICC-02/04-01/15, Trial Chamber II, Defence Brief for the Confirmation of Charges Hearing, 18 January 2016, para. 106 (</w:t>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Defence Brief Confirmation of Charges)</w:t>
      </w:r>
      <w:r w:rsidRPr="00727139">
        <w:rPr>
          <w:rFonts w:ascii="Times New Roman" w:eastAsia="Times New Roman" w:hAnsi="Times New Roman" w:cs="Times New Roman"/>
          <w:sz w:val="20"/>
          <w:szCs w:val="20"/>
          <w:highlight w:val="white"/>
        </w:rPr>
        <w:t>.</w:t>
      </w:r>
    </w:p>
  </w:footnote>
  <w:footnote w:id="37">
    <w:p w14:paraId="651286CE" w14:textId="379E784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Lubanga </w:t>
      </w:r>
      <w:r w:rsidRPr="00727139">
        <w:rPr>
          <w:rFonts w:ascii="Times New Roman" w:eastAsia="Times New Roman" w:hAnsi="Times New Roman" w:cs="Times New Roman"/>
          <w:sz w:val="20"/>
          <w:szCs w:val="20"/>
        </w:rPr>
        <w:t xml:space="preserve">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9, para. 618.</w:t>
      </w:r>
    </w:p>
  </w:footnote>
  <w:footnote w:id="38">
    <w:p w14:paraId="651286CF" w14:textId="5579FA9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Kwik,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20, pp. 153–154; 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Lubanga </w:t>
      </w:r>
      <w:proofErr w:type="spellStart"/>
      <w:r w:rsidRPr="00727139">
        <w:rPr>
          <w:rFonts w:ascii="Times New Roman" w:eastAsia="Times New Roman" w:hAnsi="Times New Roman" w:cs="Times New Roman"/>
          <w:i/>
          <w:sz w:val="20"/>
          <w:szCs w:val="20"/>
        </w:rPr>
        <w:t>Dyilo</w:t>
      </w:r>
      <w:proofErr w:type="spellEnd"/>
      <w:r w:rsidRPr="00727139">
        <w:rPr>
          <w:rFonts w:ascii="Times New Roman" w:eastAsia="Times New Roman" w:hAnsi="Times New Roman" w:cs="Times New Roman"/>
          <w:sz w:val="20"/>
          <w:szCs w:val="20"/>
        </w:rPr>
        <w:t xml:space="preserve">, ICC-01/04-01/06, Trial Chamber I, Decision on Sentence Pursuant to Article 76 of the Statute, 10 July 2012, paras. 40–41 referring to Schauer (expert witness) (ICC </w:t>
      </w:r>
      <w:r w:rsidRPr="00727139">
        <w:rPr>
          <w:rFonts w:ascii="Times New Roman" w:eastAsia="Times New Roman" w:hAnsi="Times New Roman" w:cs="Times New Roman"/>
          <w:i/>
          <w:sz w:val="20"/>
          <w:szCs w:val="20"/>
        </w:rPr>
        <w:t xml:space="preserve">Lubanga </w:t>
      </w:r>
      <w:r w:rsidRPr="00727139">
        <w:rPr>
          <w:rFonts w:ascii="Times New Roman" w:eastAsia="Times New Roman" w:hAnsi="Times New Roman" w:cs="Times New Roman"/>
          <w:sz w:val="20"/>
          <w:szCs w:val="20"/>
        </w:rPr>
        <w:t xml:space="preserve">Sentencing). </w:t>
      </w:r>
    </w:p>
  </w:footnote>
  <w:footnote w:id="39">
    <w:p w14:paraId="651286D0" w14:textId="43902E4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xml:space="preserve">, para. 39.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Kan,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23, p. 77.</w:t>
      </w:r>
    </w:p>
  </w:footnote>
  <w:footnote w:id="40">
    <w:p w14:paraId="651286D1" w14:textId="5F63260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Statement of the Office of the Prosecutor, ICC Prosecutor’s Address on the Sentencing of Thomas Lubanga, 13 June 2012, &lt;</w:t>
      </w:r>
      <w:hyperlink r:id="rId1">
        <w:r w:rsidRPr="00727139">
          <w:rPr>
            <w:rFonts w:ascii="Times New Roman" w:eastAsia="Times New Roman" w:hAnsi="Times New Roman" w:cs="Times New Roman"/>
            <w:color w:val="0000FF"/>
            <w:sz w:val="20"/>
            <w:szCs w:val="20"/>
            <w:u w:val="single"/>
          </w:rPr>
          <w:t>www.icc-cpi.int/news/icc-prosecutors-address-sentencing-thomas-lubanga</w:t>
        </w:r>
      </w:hyperlink>
      <w:r w:rsidRPr="00727139">
        <w:rPr>
          <w:rFonts w:ascii="Times New Roman" w:eastAsia="Times New Roman" w:hAnsi="Times New Roman" w:cs="Times New Roman"/>
          <w:sz w:val="20"/>
          <w:szCs w:val="20"/>
        </w:rPr>
        <w:t xml:space="preserve">&gt;, accessed 2 May 2023. </w:t>
      </w:r>
    </w:p>
  </w:footnote>
  <w:footnote w:id="41">
    <w:p w14:paraId="651286D2" w14:textId="1EAF8F1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Sentencing,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 para. 366.</w:t>
      </w:r>
    </w:p>
  </w:footnote>
  <w:footnote w:id="42">
    <w:p w14:paraId="651286D3" w14:textId="50122D7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Aguiling</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Pangalangan</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7, p. 629.</w:t>
      </w:r>
    </w:p>
  </w:footnote>
  <w:footnote w:id="43">
    <w:p w14:paraId="651286D4" w14:textId="6467179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Mark A. Drumbl, ‘Shifting Narratives: Ongwen and Lubanga on the Effects of Child Soldiering’, 20 April 2016, &lt;</w:t>
      </w:r>
      <w:hyperlink r:id="rId2">
        <w:r w:rsidRPr="00727139">
          <w:rPr>
            <w:rFonts w:ascii="Times New Roman" w:eastAsia="Times New Roman" w:hAnsi="Times New Roman" w:cs="Times New Roman"/>
            <w:color w:val="0000FF"/>
            <w:sz w:val="20"/>
            <w:szCs w:val="20"/>
            <w:u w:val="single"/>
          </w:rPr>
          <w:t>justiceinconflict.org/2016/04/20/shifting-narratives-ongwen-and-lubanga-on-the-effects-of-child-soldiering/</w:t>
        </w:r>
      </w:hyperlink>
      <w:r w:rsidRPr="00727139">
        <w:rPr>
          <w:rFonts w:ascii="Times New Roman" w:eastAsia="Times New Roman" w:hAnsi="Times New Roman" w:cs="Times New Roman"/>
          <w:sz w:val="20"/>
          <w:szCs w:val="20"/>
        </w:rPr>
        <w:t>&gt;, accessed 2 May 2023.</w:t>
      </w:r>
      <w:r w:rsidRPr="00727139">
        <w:rPr>
          <w:rFonts w:ascii="Times New Roman" w:eastAsia="Times New Roman" w:hAnsi="Times New Roman" w:cs="Times New Roman"/>
          <w:sz w:val="20"/>
          <w:szCs w:val="20"/>
          <w:u w:val="single"/>
        </w:rPr>
        <w:t xml:space="preserve"> </w:t>
      </w:r>
      <w:r w:rsidRPr="00727139">
        <w:rPr>
          <w:rFonts w:ascii="Times New Roman" w:eastAsia="Times New Roman" w:hAnsi="Times New Roman" w:cs="Times New Roman"/>
          <w:sz w:val="20"/>
          <w:szCs w:val="20"/>
        </w:rPr>
        <w:t xml:space="preserve"> </w:t>
      </w:r>
    </w:p>
  </w:footnote>
  <w:footnote w:id="44">
    <w:p w14:paraId="651286D5" w14:textId="6200717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Aguiling</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Pangalangan</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7, p. 629.</w:t>
      </w:r>
    </w:p>
  </w:footnote>
  <w:footnote w:id="45">
    <w:p w14:paraId="651286D6" w14:textId="460CCC6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Defence Appeal Brief,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29, para. 697.</w:t>
      </w:r>
    </w:p>
  </w:footnote>
  <w:footnote w:id="46">
    <w:p w14:paraId="651286D7" w14:textId="1D8440B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highlight w:val="yellow"/>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proofErr w:type="spellStart"/>
      <w:r w:rsidRPr="00727139">
        <w:rPr>
          <w:rFonts w:ascii="Times New Roman" w:eastAsia="Times New Roman" w:hAnsi="Times New Roman" w:cs="Times New Roman"/>
          <w:sz w:val="20"/>
          <w:szCs w:val="20"/>
        </w:rPr>
        <w:t>Everisto</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Benyera</w:t>
      </w:r>
      <w:proofErr w:type="spellEnd"/>
      <w:r w:rsidRPr="00727139">
        <w:rPr>
          <w:rFonts w:ascii="Times New Roman" w:eastAsia="Times New Roman" w:hAnsi="Times New Roman" w:cs="Times New Roman"/>
          <w:sz w:val="20"/>
          <w:szCs w:val="20"/>
        </w:rPr>
        <w:t xml:space="preserve">, ‘Child Victim, Loyal War Spirit Medium or War Criminal: Shifting the Geography and Logic of Historical Accountability in Dominic </w:t>
      </w:r>
      <w:proofErr w:type="spellStart"/>
      <w:r w:rsidRPr="00727139">
        <w:rPr>
          <w:rFonts w:ascii="Times New Roman" w:eastAsia="Times New Roman" w:hAnsi="Times New Roman" w:cs="Times New Roman"/>
          <w:sz w:val="20"/>
          <w:szCs w:val="20"/>
        </w:rPr>
        <w:t>Ongwen’s</w:t>
      </w:r>
      <w:proofErr w:type="spellEnd"/>
      <w:r w:rsidRPr="00727139">
        <w:rPr>
          <w:rFonts w:ascii="Times New Roman" w:eastAsia="Times New Roman" w:hAnsi="Times New Roman" w:cs="Times New Roman"/>
          <w:sz w:val="20"/>
          <w:szCs w:val="20"/>
        </w:rPr>
        <w:t xml:space="preserve"> ICC Trial’, </w:t>
      </w:r>
      <w:r w:rsidRPr="00727139">
        <w:rPr>
          <w:rFonts w:ascii="Times New Roman" w:eastAsia="Times New Roman" w:hAnsi="Times New Roman" w:cs="Times New Roman"/>
          <w:i/>
          <w:sz w:val="20"/>
          <w:szCs w:val="20"/>
        </w:rPr>
        <w:t xml:space="preserve">African Identities </w:t>
      </w:r>
      <w:r w:rsidRPr="00727139">
        <w:rPr>
          <w:rFonts w:ascii="Times New Roman" w:eastAsia="Times New Roman" w:hAnsi="Times New Roman" w:cs="Times New Roman"/>
          <w:sz w:val="20"/>
          <w:szCs w:val="20"/>
        </w:rPr>
        <w:t>(2021) 1-16, p. 12.</w:t>
      </w:r>
    </w:p>
  </w:footnote>
  <w:footnote w:id="47">
    <w:p w14:paraId="651286D8" w14:textId="75B2974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Defence Brief Confirmation of Charges,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36, para. 4.</w:t>
      </w:r>
    </w:p>
  </w:footnote>
  <w:footnote w:id="48">
    <w:p w14:paraId="651286D9" w14:textId="465A1BF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ICC Statute,</w:t>
      </w:r>
      <w:r w:rsidRPr="00727139">
        <w:rPr>
          <w:rFonts w:ascii="Times New Roman" w:eastAsia="Times New Roman" w:hAnsi="Times New Roman" w:cs="Times New Roman"/>
          <w:i/>
          <w:sz w:val="20"/>
          <w:szCs w:val="20"/>
        </w:rPr>
        <w:t xml:space="preserve"> supra </w:t>
      </w:r>
      <w:r w:rsidRPr="00727139">
        <w:rPr>
          <w:rFonts w:ascii="Times New Roman" w:eastAsia="Times New Roman" w:hAnsi="Times New Roman" w:cs="Times New Roman"/>
          <w:sz w:val="20"/>
          <w:szCs w:val="20"/>
        </w:rPr>
        <w:t>note 4, Arts. 31–33.</w:t>
      </w:r>
    </w:p>
  </w:footnote>
  <w:footnote w:id="49">
    <w:p w14:paraId="651286DA" w14:textId="09EFFCE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highlight w:val="yellow"/>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As a non-</w:t>
      </w:r>
      <w:r w:rsidRPr="00727139">
        <w:rPr>
          <w:rFonts w:ascii="Times New Roman" w:eastAsia="Times New Roman" w:hAnsi="Times New Roman" w:cs="Times New Roman"/>
          <w:color w:val="0A0A0A"/>
          <w:sz w:val="20"/>
          <w:szCs w:val="20"/>
        </w:rPr>
        <w:t xml:space="preserve">exhaustive list, other grounds include abandonment (Art. 25(3)(f)), exclusion of jurisdiction because the individual is under the age of 18 years old (Art. 26), </w:t>
      </w:r>
      <w:r w:rsidRPr="00727139">
        <w:rPr>
          <w:rFonts w:ascii="Times New Roman" w:eastAsia="Times New Roman" w:hAnsi="Times New Roman" w:cs="Times New Roman"/>
          <w:sz w:val="20"/>
          <w:szCs w:val="20"/>
        </w:rPr>
        <w:t>mistake of fact or mistake of law (Art. 32), and superiors order and prescription of law (Art. 33)</w:t>
      </w:r>
      <w:r w:rsidRPr="00727139">
        <w:rPr>
          <w:rFonts w:ascii="Times New Roman" w:eastAsia="Times New Roman" w:hAnsi="Times New Roman" w:cs="Times New Roman"/>
          <w:i/>
          <w:sz w:val="20"/>
          <w:szCs w:val="20"/>
        </w:rPr>
        <w:t>.</w:t>
      </w:r>
    </w:p>
  </w:footnote>
  <w:footnote w:id="50">
    <w:p w14:paraId="651286DB" w14:textId="56C5A41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iCs/>
          <w:sz w:val="20"/>
          <w:szCs w:val="20"/>
        </w:rPr>
        <w:t>supra</w:t>
      </w:r>
      <w:r w:rsidRPr="00727139">
        <w:rPr>
          <w:rFonts w:ascii="Times New Roman" w:eastAsia="Times New Roman" w:hAnsi="Times New Roman" w:cs="Times New Roman"/>
          <w:sz w:val="20"/>
          <w:szCs w:val="20"/>
        </w:rPr>
        <w:t xml:space="preserve"> note 1, para. 2581. Prior to the case, some scholars (authors included) considered that there were four requirements. </w:t>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Clare F. Moran, ‘A Perspective on the Rome Statute’s Defence of Duress: The Role of Imminence’, 18 </w:t>
      </w:r>
      <w:r w:rsidRPr="00727139">
        <w:rPr>
          <w:rFonts w:ascii="Times New Roman" w:eastAsia="Times New Roman" w:hAnsi="Times New Roman" w:cs="Times New Roman"/>
          <w:i/>
          <w:sz w:val="20"/>
          <w:szCs w:val="20"/>
        </w:rPr>
        <w:t xml:space="preserve">I. C. L. R. </w:t>
      </w:r>
      <w:r w:rsidRPr="00727139">
        <w:rPr>
          <w:rFonts w:ascii="Times New Roman" w:eastAsia="Times New Roman" w:hAnsi="Times New Roman" w:cs="Times New Roman"/>
          <w:sz w:val="20"/>
          <w:szCs w:val="20"/>
        </w:rPr>
        <w:t xml:space="preserve">(2018) 154–177, p. 155; Windell Nortje and </w:t>
      </w:r>
      <w:proofErr w:type="spellStart"/>
      <w:r w:rsidRPr="00727139">
        <w:rPr>
          <w:rFonts w:ascii="Times New Roman" w:eastAsia="Times New Roman" w:hAnsi="Times New Roman" w:cs="Times New Roman"/>
          <w:sz w:val="20"/>
          <w:szCs w:val="20"/>
        </w:rPr>
        <w:t>Noëlle</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Child Soldiers and the Defence of Duress in International Criminal Law </w:t>
      </w:r>
      <w:r w:rsidRPr="00727139">
        <w:rPr>
          <w:rFonts w:ascii="Times New Roman" w:eastAsia="Times New Roman" w:hAnsi="Times New Roman" w:cs="Times New Roman"/>
          <w:sz w:val="20"/>
          <w:szCs w:val="20"/>
        </w:rPr>
        <w:t>(Palgrave, Cham, 2020), p. 50.</w:t>
      </w:r>
    </w:p>
  </w:footnote>
  <w:footnote w:id="51">
    <w:p w14:paraId="651286DC" w14:textId="7734404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Statute,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4, Art 31(1)(d). </w:t>
      </w:r>
      <w:r w:rsidRPr="00727139">
        <w:rPr>
          <w:rFonts w:ascii="Times New Roman" w:eastAsia="Times New Roman" w:hAnsi="Times New Roman" w:cs="Times New Roman"/>
          <w:i/>
          <w:sz w:val="20"/>
          <w:szCs w:val="20"/>
        </w:rPr>
        <w:t>See also</w:t>
      </w:r>
      <w:r w:rsidRPr="00727139">
        <w:rPr>
          <w:rFonts w:ascii="Times New Roman" w:eastAsia="Times New Roman" w:hAnsi="Times New Roman" w:cs="Times New Roman"/>
          <w:sz w:val="20"/>
          <w:szCs w:val="20"/>
        </w:rPr>
        <w:t xml:space="preserve"> Nortje and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50, p. 52.</w:t>
      </w:r>
    </w:p>
  </w:footnote>
  <w:footnote w:id="52">
    <w:p w14:paraId="651286DD" w14:textId="2A9383D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1, para. 2581. See Jennifer Bond and Meghan </w:t>
      </w:r>
      <w:proofErr w:type="spellStart"/>
      <w:r w:rsidRPr="00727139">
        <w:rPr>
          <w:rFonts w:ascii="Times New Roman" w:eastAsia="Times New Roman" w:hAnsi="Times New Roman" w:cs="Times New Roman"/>
          <w:sz w:val="20"/>
          <w:szCs w:val="20"/>
        </w:rPr>
        <w:t>Fougere</w:t>
      </w:r>
      <w:proofErr w:type="spellEnd"/>
      <w:r w:rsidRPr="00727139">
        <w:rPr>
          <w:rFonts w:ascii="Times New Roman" w:eastAsia="Times New Roman" w:hAnsi="Times New Roman" w:cs="Times New Roman"/>
          <w:sz w:val="20"/>
          <w:szCs w:val="20"/>
        </w:rPr>
        <w:t xml:space="preserve">, ‘Omnipresent Threats: A Comment on the Defence of Duress in International Criminal Law’, 14 </w:t>
      </w:r>
      <w:r w:rsidRPr="00727139">
        <w:rPr>
          <w:rFonts w:ascii="Times New Roman" w:eastAsia="Times New Roman" w:hAnsi="Times New Roman" w:cs="Times New Roman"/>
          <w:i/>
          <w:sz w:val="20"/>
          <w:szCs w:val="20"/>
        </w:rPr>
        <w:t xml:space="preserve">I. C. L. R. </w:t>
      </w:r>
      <w:r w:rsidRPr="00727139">
        <w:rPr>
          <w:rFonts w:ascii="Times New Roman" w:eastAsia="Times New Roman" w:hAnsi="Times New Roman" w:cs="Times New Roman"/>
          <w:sz w:val="20"/>
          <w:szCs w:val="20"/>
        </w:rPr>
        <w:t>(2014) 471–512, p. 492.</w:t>
      </w:r>
    </w:p>
  </w:footnote>
  <w:footnote w:id="53">
    <w:p w14:paraId="651286DE" w14:textId="7834CB7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1, para. 2581.</w:t>
      </w:r>
    </w:p>
  </w:footnote>
  <w:footnote w:id="54">
    <w:p w14:paraId="651286DF" w14:textId="1C6E1BE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xml:space="preserve"> para. 2582.</w:t>
      </w:r>
    </w:p>
  </w:footnote>
  <w:footnote w:id="55">
    <w:p w14:paraId="651286E0" w14:textId="4730283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Moran,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50, p. 175.</w:t>
      </w:r>
    </w:p>
  </w:footnote>
  <w:footnote w:id="56">
    <w:p w14:paraId="651286E1" w14:textId="5F434E6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iCs/>
          <w:sz w:val="20"/>
          <w:szCs w:val="20"/>
        </w:rPr>
        <w:t>supra</w:t>
      </w:r>
      <w:r w:rsidRPr="00727139">
        <w:rPr>
          <w:rFonts w:ascii="Times New Roman" w:eastAsia="Times New Roman" w:hAnsi="Times New Roman" w:cs="Times New Roman"/>
          <w:sz w:val="20"/>
          <w:szCs w:val="20"/>
        </w:rPr>
        <w:t xml:space="preserve"> note 1, para. 2582. See Albin </w:t>
      </w:r>
      <w:proofErr w:type="spellStart"/>
      <w:r w:rsidRPr="00727139">
        <w:rPr>
          <w:rFonts w:ascii="Times New Roman" w:eastAsia="Times New Roman" w:hAnsi="Times New Roman" w:cs="Times New Roman"/>
          <w:sz w:val="20"/>
          <w:szCs w:val="20"/>
        </w:rPr>
        <w:t>Eser</w:t>
      </w:r>
      <w:proofErr w:type="spellEnd"/>
      <w:r w:rsidRPr="00727139">
        <w:rPr>
          <w:rFonts w:ascii="Times New Roman" w:eastAsia="Times New Roman" w:hAnsi="Times New Roman" w:cs="Times New Roman"/>
          <w:sz w:val="20"/>
          <w:szCs w:val="20"/>
        </w:rPr>
        <w:t xml:space="preserve">, ‘Article 31: Grounds for Excluding Criminal Responsibility’, in Otto </w:t>
      </w:r>
      <w:proofErr w:type="spellStart"/>
      <w:r w:rsidRPr="00727139">
        <w:rPr>
          <w:rFonts w:ascii="Times New Roman" w:eastAsia="Times New Roman" w:hAnsi="Times New Roman" w:cs="Times New Roman"/>
          <w:sz w:val="20"/>
          <w:szCs w:val="20"/>
        </w:rPr>
        <w:t>Triffterer</w:t>
      </w:r>
      <w:proofErr w:type="spellEnd"/>
      <w:r w:rsidRPr="00727139">
        <w:rPr>
          <w:rFonts w:ascii="Times New Roman" w:eastAsia="Times New Roman" w:hAnsi="Times New Roman" w:cs="Times New Roman"/>
          <w:sz w:val="20"/>
          <w:szCs w:val="20"/>
        </w:rPr>
        <w:t xml:space="preserve"> and Kai Ambos (eds), </w:t>
      </w:r>
      <w:r w:rsidRPr="00727139">
        <w:rPr>
          <w:rFonts w:ascii="Times New Roman" w:eastAsia="Times New Roman" w:hAnsi="Times New Roman" w:cs="Times New Roman"/>
          <w:i/>
          <w:sz w:val="20"/>
          <w:szCs w:val="20"/>
        </w:rPr>
        <w:t>The Rome Statute of the International Criminal Court: A Commentary,</w:t>
      </w:r>
      <w:r w:rsidRPr="00727139">
        <w:rPr>
          <w:rFonts w:ascii="Times New Roman" w:eastAsia="Times New Roman" w:hAnsi="Times New Roman" w:cs="Times New Roman"/>
          <w:sz w:val="20"/>
          <w:szCs w:val="20"/>
        </w:rPr>
        <w:t xml:space="preserve"> 3rd </w:t>
      </w:r>
      <w:proofErr w:type="spellStart"/>
      <w:r w:rsidRPr="00727139">
        <w:rPr>
          <w:rFonts w:ascii="Times New Roman" w:eastAsia="Times New Roman" w:hAnsi="Times New Roman" w:cs="Times New Roman"/>
          <w:sz w:val="20"/>
          <w:szCs w:val="20"/>
        </w:rPr>
        <w:t>edn</w:t>
      </w:r>
      <w:proofErr w:type="spellEnd"/>
      <w:r w:rsidRPr="00727139">
        <w:rPr>
          <w:rFonts w:ascii="Times New Roman" w:eastAsia="Times New Roman" w:hAnsi="Times New Roman" w:cs="Times New Roman"/>
          <w:sz w:val="20"/>
          <w:szCs w:val="20"/>
        </w:rPr>
        <w:t xml:space="preserve"> (Beck, Munich, 2016), 1125–1160, pp. 1149–1150. </w:t>
      </w:r>
      <w:r w:rsidRPr="00727139">
        <w:rPr>
          <w:rFonts w:ascii="Times New Roman" w:eastAsia="Times New Roman" w:hAnsi="Times New Roman" w:cs="Times New Roman"/>
          <w:i/>
          <w:sz w:val="20"/>
          <w:szCs w:val="20"/>
        </w:rPr>
        <w:t>See also</w:t>
      </w:r>
      <w:r w:rsidRPr="00727139">
        <w:rPr>
          <w:rFonts w:ascii="Times New Roman" w:eastAsia="Times New Roman" w:hAnsi="Times New Roman" w:cs="Times New Roman"/>
          <w:sz w:val="20"/>
          <w:szCs w:val="20"/>
        </w:rPr>
        <w:t xml:space="preserve"> Nortje and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50, p. 54.</w:t>
      </w:r>
    </w:p>
  </w:footnote>
  <w:footnote w:id="57">
    <w:p w14:paraId="651286E2" w14:textId="34241A1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Nortje and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50, p. 54.</w:t>
      </w:r>
    </w:p>
  </w:footnote>
  <w:footnote w:id="58">
    <w:p w14:paraId="651286E3" w14:textId="6808C4A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 54.</w:t>
      </w:r>
    </w:p>
  </w:footnote>
  <w:footnote w:id="59">
    <w:p w14:paraId="651286E4" w14:textId="336E447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Statute,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4, Art. 31(1)(d).</w:t>
      </w:r>
    </w:p>
  </w:footnote>
  <w:footnote w:id="60">
    <w:p w14:paraId="651286E5" w14:textId="2846643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iCs/>
          <w:sz w:val="20"/>
          <w:szCs w:val="20"/>
        </w:rPr>
        <w:t>supra</w:t>
      </w:r>
      <w:r w:rsidRPr="00727139">
        <w:rPr>
          <w:rFonts w:ascii="Times New Roman" w:eastAsia="Times New Roman" w:hAnsi="Times New Roman" w:cs="Times New Roman"/>
          <w:sz w:val="20"/>
          <w:szCs w:val="20"/>
        </w:rPr>
        <w:t xml:space="preserve"> note 1, para. 2583.</w:t>
      </w:r>
    </w:p>
  </w:footnote>
  <w:footnote w:id="61">
    <w:p w14:paraId="651286E6" w14:textId="0BD772D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Kai Ambos, </w:t>
      </w:r>
      <w:r w:rsidRPr="00727139">
        <w:rPr>
          <w:rFonts w:ascii="Times New Roman" w:eastAsia="Times New Roman" w:hAnsi="Times New Roman" w:cs="Times New Roman"/>
          <w:i/>
          <w:sz w:val="20"/>
          <w:szCs w:val="20"/>
        </w:rPr>
        <w:t>Treatise on International Criminal Law: Volume I: Foundations and General Part</w:t>
      </w:r>
      <w:r w:rsidRPr="00727139">
        <w:rPr>
          <w:rFonts w:ascii="Times New Roman" w:eastAsia="Times New Roman" w:hAnsi="Times New Roman" w:cs="Times New Roman"/>
          <w:sz w:val="20"/>
          <w:szCs w:val="20"/>
        </w:rPr>
        <w:t xml:space="preserve"> (Oxford University Press, Oxford, 2013),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58, p. 359; Nortje and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iCs/>
          <w:sz w:val="20"/>
          <w:szCs w:val="20"/>
        </w:rPr>
        <w:t>supra</w:t>
      </w:r>
      <w:r w:rsidRPr="00727139">
        <w:rPr>
          <w:rFonts w:ascii="Times New Roman" w:eastAsia="Times New Roman" w:hAnsi="Times New Roman" w:cs="Times New Roman"/>
          <w:sz w:val="20"/>
          <w:szCs w:val="20"/>
        </w:rPr>
        <w:t xml:space="preserve"> note 50, p. 64.</w:t>
      </w:r>
    </w:p>
  </w:footnote>
  <w:footnote w:id="62">
    <w:p w14:paraId="651286E7" w14:textId="635DB8C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Beatrice Krebs, ‘Justification and Excuse in Article 31(1) of the Rome Statute’, 2(3) C. J. I. C. L. (2013) 382–410, pp. 408–409; Nortje and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50, p. 64.</w:t>
      </w:r>
    </w:p>
  </w:footnote>
  <w:footnote w:id="63">
    <w:p w14:paraId="651286E8" w14:textId="1D86DB9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iCs/>
          <w:sz w:val="20"/>
          <w:szCs w:val="20"/>
        </w:rPr>
        <w:t>supra</w:t>
      </w:r>
      <w:r w:rsidRPr="00727139">
        <w:rPr>
          <w:rFonts w:ascii="Times New Roman" w:eastAsia="Times New Roman" w:hAnsi="Times New Roman" w:cs="Times New Roman"/>
          <w:sz w:val="20"/>
          <w:szCs w:val="20"/>
        </w:rPr>
        <w:t xml:space="preserve"> note 1, para. 2583.</w:t>
      </w:r>
    </w:p>
  </w:footnote>
  <w:footnote w:id="64">
    <w:p w14:paraId="651286E9" w14:textId="59A2671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Eser</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56, p. 1150; Nortje and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iCs/>
          <w:sz w:val="20"/>
          <w:szCs w:val="20"/>
        </w:rPr>
        <w:t>supra</w:t>
      </w:r>
      <w:r w:rsidRPr="00727139">
        <w:rPr>
          <w:rFonts w:ascii="Times New Roman" w:eastAsia="Times New Roman" w:hAnsi="Times New Roman" w:cs="Times New Roman"/>
          <w:sz w:val="20"/>
          <w:szCs w:val="20"/>
        </w:rPr>
        <w:t xml:space="preserve"> note 50, pp. 58-59.</w:t>
      </w:r>
    </w:p>
  </w:footnote>
  <w:footnote w:id="65">
    <w:p w14:paraId="651286EA" w14:textId="4F530F8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Statute,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4, Art. 31(1)(d). </w:t>
      </w:r>
      <w:r w:rsidRPr="00727139">
        <w:rPr>
          <w:rFonts w:ascii="Times New Roman" w:eastAsia="Times New Roman" w:hAnsi="Times New Roman" w:cs="Times New Roman"/>
          <w:i/>
          <w:sz w:val="20"/>
          <w:szCs w:val="20"/>
        </w:rPr>
        <w:t>See also,</w:t>
      </w:r>
      <w:r w:rsidRPr="00727139">
        <w:rPr>
          <w:rFonts w:ascii="Times New Roman" w:eastAsia="Times New Roman" w:hAnsi="Times New Roman" w:cs="Times New Roman"/>
          <w:sz w:val="20"/>
          <w:szCs w:val="20"/>
        </w:rPr>
        <w:t xml:space="preserve"> Nortje and </w:t>
      </w:r>
      <w:proofErr w:type="spellStart"/>
      <w:r w:rsidRPr="00727139">
        <w:rPr>
          <w:rFonts w:ascii="Times New Roman" w:eastAsia="Times New Roman" w:hAnsi="Times New Roman" w:cs="Times New Roman"/>
          <w:sz w:val="20"/>
          <w:szCs w:val="20"/>
        </w:rPr>
        <w:t>Quénivet</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50, p. 64.</w:t>
      </w:r>
    </w:p>
  </w:footnote>
  <w:footnote w:id="66">
    <w:p w14:paraId="5390054C" w14:textId="4086BEB3" w:rsidR="003B02F0" w:rsidRPr="00727139" w:rsidRDefault="003B02F0" w:rsidP="004F3B74">
      <w:pPr>
        <w:pStyle w:val="FootnoteText"/>
        <w:tabs>
          <w:tab w:val="left" w:pos="357"/>
        </w:tabs>
        <w:ind w:left="357" w:hanging="357"/>
        <w:contextualSpacing/>
        <w:jc w:val="both"/>
        <w:rPr>
          <w:rFonts w:ascii="Times New Roman" w:hAnsi="Times New Roman" w:cs="Times New Roman"/>
        </w:rPr>
      </w:pPr>
      <w:r w:rsidRPr="00727139">
        <w:rPr>
          <w:rStyle w:val="FootnoteReference"/>
          <w:rFonts w:ascii="Times New Roman" w:hAnsi="Times New Roman" w:cs="Times New Roman"/>
        </w:rPr>
        <w:footnoteRef/>
      </w:r>
      <w:r w:rsidRPr="00727139">
        <w:rPr>
          <w:rFonts w:ascii="Times New Roman" w:hAnsi="Times New Roman" w:cs="Times New Roman"/>
        </w:rPr>
        <w:t xml:space="preserve"> </w:t>
      </w:r>
      <w:r w:rsidR="004F3B74">
        <w:rPr>
          <w:rFonts w:ascii="Times New Roman" w:hAnsi="Times New Roman" w:cs="Times New Roman"/>
        </w:rPr>
        <w:tab/>
      </w:r>
      <w:r w:rsidRPr="00727139">
        <w:rPr>
          <w:rFonts w:ascii="Times New Roman" w:eastAsia="Times New Roman" w:hAnsi="Times New Roman" w:cs="Times New Roman"/>
        </w:rPr>
        <w:t xml:space="preserve">ICC </w:t>
      </w:r>
      <w:r w:rsidRPr="00727139">
        <w:rPr>
          <w:rFonts w:ascii="Times New Roman" w:eastAsia="Times New Roman" w:hAnsi="Times New Roman" w:cs="Times New Roman"/>
          <w:i/>
        </w:rPr>
        <w:t>Ongwen</w:t>
      </w:r>
      <w:r w:rsidRPr="00727139">
        <w:rPr>
          <w:rFonts w:ascii="Times New Roman" w:eastAsia="Times New Roman" w:hAnsi="Times New Roman" w:cs="Times New Roman"/>
        </w:rPr>
        <w:t xml:space="preserve"> Judgment, </w:t>
      </w:r>
      <w:r w:rsidRPr="00727139">
        <w:rPr>
          <w:rFonts w:ascii="Times New Roman" w:eastAsia="Times New Roman" w:hAnsi="Times New Roman" w:cs="Times New Roman"/>
          <w:i/>
          <w:iCs/>
        </w:rPr>
        <w:t>supra</w:t>
      </w:r>
      <w:r w:rsidRPr="00727139">
        <w:rPr>
          <w:rFonts w:ascii="Times New Roman" w:eastAsia="Times New Roman" w:hAnsi="Times New Roman" w:cs="Times New Roman"/>
        </w:rPr>
        <w:t xml:space="preserve"> note 1, para. 2584.</w:t>
      </w:r>
    </w:p>
  </w:footnote>
  <w:footnote w:id="67">
    <w:p w14:paraId="4F9AF89F" w14:textId="0C4EB604" w:rsidR="003B02F0" w:rsidRPr="00727139" w:rsidRDefault="003B02F0" w:rsidP="004F3B74">
      <w:pPr>
        <w:pStyle w:val="FootnoteText"/>
        <w:tabs>
          <w:tab w:val="left" w:pos="357"/>
        </w:tabs>
        <w:ind w:left="357" w:hanging="357"/>
        <w:contextualSpacing/>
        <w:jc w:val="both"/>
        <w:rPr>
          <w:rFonts w:ascii="Times New Roman" w:hAnsi="Times New Roman" w:cs="Times New Roman"/>
        </w:rPr>
      </w:pPr>
      <w:r w:rsidRPr="00727139">
        <w:rPr>
          <w:rStyle w:val="FootnoteReference"/>
          <w:rFonts w:ascii="Times New Roman" w:hAnsi="Times New Roman" w:cs="Times New Roman"/>
        </w:rPr>
        <w:footnoteRef/>
      </w:r>
      <w:r w:rsidRPr="00727139">
        <w:rPr>
          <w:rFonts w:ascii="Times New Roman" w:hAnsi="Times New Roman" w:cs="Times New Roman"/>
        </w:rPr>
        <w:t xml:space="preserve"> </w:t>
      </w:r>
      <w:r w:rsidR="004F3B74">
        <w:rPr>
          <w:rFonts w:ascii="Times New Roman" w:hAnsi="Times New Roman" w:cs="Times New Roman"/>
        </w:rPr>
        <w:tab/>
      </w:r>
      <w:r w:rsidRPr="00727139">
        <w:rPr>
          <w:rFonts w:ascii="Times New Roman" w:hAnsi="Times New Roman" w:cs="Times New Roman"/>
          <w:i/>
          <w:iCs/>
        </w:rPr>
        <w:t>Ibidem.</w:t>
      </w:r>
    </w:p>
  </w:footnote>
  <w:footnote w:id="68">
    <w:p w14:paraId="651286ED" w14:textId="42A97AE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00727139">
        <w:rPr>
          <w:rFonts w:ascii="Times New Roman" w:eastAsia="Times New Roman" w:hAnsi="Times New Roman" w:cs="Times New Roman"/>
          <w:i/>
          <w:iCs/>
          <w:sz w:val="20"/>
          <w:szCs w:val="20"/>
        </w:rPr>
        <w:t>Ibid.</w:t>
      </w:r>
      <w:r w:rsidRPr="00727139">
        <w:rPr>
          <w:rFonts w:ascii="Times New Roman" w:eastAsia="Times New Roman" w:hAnsi="Times New Roman" w:cs="Times New Roman"/>
          <w:sz w:val="20"/>
          <w:szCs w:val="20"/>
        </w:rPr>
        <w:t>, para. 2585</w:t>
      </w:r>
    </w:p>
  </w:footnote>
  <w:footnote w:id="69">
    <w:p w14:paraId="651286EE" w14:textId="7ADC429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2668.</w:t>
      </w:r>
    </w:p>
  </w:footnote>
  <w:footnote w:id="70">
    <w:p w14:paraId="651286EF" w14:textId="6EF3527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Ongwen’s</w:t>
      </w:r>
      <w:proofErr w:type="spellEnd"/>
      <w:r w:rsidRPr="00727139">
        <w:rPr>
          <w:rFonts w:ascii="Times New Roman" w:eastAsia="Times New Roman" w:hAnsi="Times New Roman" w:cs="Times New Roman"/>
          <w:sz w:val="20"/>
          <w:szCs w:val="20"/>
        </w:rPr>
        <w:t xml:space="preserve"> situation as a former child soldier turned warlord remains poorly understood and subject to simplistic thinking. Mark A. Drumbl, ‘Victims’, 4 </w:t>
      </w:r>
      <w:r w:rsidRPr="00727139">
        <w:rPr>
          <w:rFonts w:ascii="Times New Roman" w:eastAsia="Times New Roman" w:hAnsi="Times New Roman" w:cs="Times New Roman"/>
          <w:i/>
          <w:sz w:val="20"/>
          <w:szCs w:val="20"/>
        </w:rPr>
        <w:t>London Rev. Int’l L.</w:t>
      </w:r>
      <w:r w:rsidRPr="00727139">
        <w:rPr>
          <w:rFonts w:ascii="Times New Roman" w:eastAsia="Times New Roman" w:hAnsi="Times New Roman" w:cs="Times New Roman"/>
          <w:sz w:val="20"/>
          <w:szCs w:val="20"/>
        </w:rPr>
        <w:t xml:space="preserve"> (2016) 217–246, p. 217; Kan,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23, p. 77.</w:t>
      </w:r>
    </w:p>
  </w:footnote>
  <w:footnote w:id="71">
    <w:p w14:paraId="651286F0" w14:textId="07AEFD9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1, para. 2669.</w:t>
      </w:r>
    </w:p>
  </w:footnote>
  <w:footnote w:id="72">
    <w:p w14:paraId="651286F1" w14:textId="1A5D307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2591.</w:t>
      </w:r>
    </w:p>
  </w:footnote>
  <w:footnote w:id="73">
    <w:p w14:paraId="651286F2" w14:textId="041987A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2591.</w:t>
      </w:r>
    </w:p>
  </w:footnote>
  <w:footnote w:id="74">
    <w:p w14:paraId="651286F3" w14:textId="627692A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paras. 2594 and 2602.</w:t>
      </w:r>
    </w:p>
  </w:footnote>
  <w:footnote w:id="75">
    <w:p w14:paraId="651286F4" w14:textId="79E5AB5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2602.</w:t>
      </w:r>
    </w:p>
  </w:footnote>
  <w:footnote w:id="76">
    <w:p w14:paraId="651286F5" w14:textId="7AEC420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 735.</w:t>
      </w:r>
    </w:p>
  </w:footnote>
  <w:footnote w:id="77">
    <w:p w14:paraId="651286F6" w14:textId="54AD598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1, para. 2608.</w:t>
      </w:r>
    </w:p>
  </w:footnote>
  <w:footnote w:id="78">
    <w:p w14:paraId="651286F7" w14:textId="194FCA2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2609.</w:t>
      </w:r>
    </w:p>
  </w:footnote>
  <w:footnote w:id="79">
    <w:p w14:paraId="651286F8" w14:textId="250A688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 735.</w:t>
      </w:r>
    </w:p>
  </w:footnote>
  <w:footnote w:id="80">
    <w:p w14:paraId="651286F9" w14:textId="1B57AA6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1, paras. 2613 and 2614.</w:t>
      </w:r>
    </w:p>
  </w:footnote>
  <w:footnote w:id="81">
    <w:p w14:paraId="651286FA" w14:textId="0D31ECB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paras. 1488–1489.</w:t>
      </w:r>
    </w:p>
  </w:footnote>
  <w:footnote w:id="82">
    <w:p w14:paraId="651286FB" w14:textId="3A6DA3C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para. 1489.</w:t>
      </w:r>
    </w:p>
  </w:footnote>
  <w:footnote w:id="83">
    <w:p w14:paraId="651286FC" w14:textId="1B30ED2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para.1487.</w:t>
      </w:r>
    </w:p>
  </w:footnote>
  <w:footnote w:id="84">
    <w:p w14:paraId="651286FD" w14:textId="3F078FB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2619.</w:t>
      </w:r>
    </w:p>
  </w:footnote>
  <w:footnote w:id="85">
    <w:p w14:paraId="651286FE" w14:textId="202069E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paras. 2621–2628.</w:t>
      </w:r>
    </w:p>
  </w:footnote>
  <w:footnote w:id="86">
    <w:p w14:paraId="651286FF" w14:textId="168C367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 1531.</w:t>
      </w:r>
    </w:p>
  </w:footnote>
  <w:footnote w:id="87">
    <w:p w14:paraId="65128700" w14:textId="1C1126E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2632.</w:t>
      </w:r>
    </w:p>
  </w:footnote>
  <w:footnote w:id="88">
    <w:p w14:paraId="65128701" w14:textId="590E38F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2634.</w:t>
      </w:r>
    </w:p>
  </w:footnote>
  <w:footnote w:id="89">
    <w:p w14:paraId="65128702" w14:textId="11AB6B4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highlight w:val="green"/>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ICC-02/04-01/15, Pre-Trial Chamber II, Confirmation of Charges, Open Session, 25 January 2016, p. 35.</w:t>
      </w:r>
    </w:p>
  </w:footnote>
  <w:footnote w:id="90">
    <w:p w14:paraId="65128703" w14:textId="783ED0E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p.35.</w:t>
      </w:r>
    </w:p>
  </w:footnote>
  <w:footnote w:id="91">
    <w:p w14:paraId="65128704" w14:textId="1CE095B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 para. 2635.</w:t>
      </w:r>
    </w:p>
  </w:footnote>
  <w:footnote w:id="92">
    <w:p w14:paraId="65128705" w14:textId="6EDC740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para.1520.</w:t>
      </w:r>
    </w:p>
  </w:footnote>
  <w:footnote w:id="93">
    <w:p w14:paraId="65128706" w14:textId="7AB0C4D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para. 1530.</w:t>
      </w:r>
    </w:p>
  </w:footnote>
  <w:footnote w:id="94">
    <w:p w14:paraId="65128707" w14:textId="6A7D3C4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para. 1531.</w:t>
      </w:r>
    </w:p>
  </w:footnote>
  <w:footnote w:id="95">
    <w:p w14:paraId="65128708" w14:textId="617F7D7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Kan,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23, p. 80.</w:t>
      </w:r>
    </w:p>
  </w:footnote>
  <w:footnote w:id="96">
    <w:p w14:paraId="65128709" w14:textId="72FC0A4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Defence Closing Brief,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33, para. 477.</w:t>
      </w:r>
    </w:p>
  </w:footnote>
  <w:footnote w:id="97">
    <w:p w14:paraId="6512870A" w14:textId="4A222DE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 para. 2658.</w:t>
      </w:r>
    </w:p>
  </w:footnote>
  <w:footnote w:id="98">
    <w:p w14:paraId="6512870B" w14:textId="1C483CC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para. 1540.</w:t>
      </w:r>
    </w:p>
  </w:footnote>
  <w:footnote w:id="99">
    <w:p w14:paraId="6512870C" w14:textId="1A5179A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p>
  </w:footnote>
  <w:footnote w:id="100">
    <w:p w14:paraId="6512870D" w14:textId="42B5258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1554.</w:t>
      </w:r>
    </w:p>
  </w:footnote>
  <w:footnote w:id="101">
    <w:p w14:paraId="6512870E" w14:textId="7F98401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2665.</w:t>
      </w:r>
    </w:p>
  </w:footnote>
  <w:footnote w:id="102">
    <w:p w14:paraId="6512870F" w14:textId="0EDF012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w:t>
      </w:r>
    </w:p>
  </w:footnote>
  <w:footnote w:id="103">
    <w:p w14:paraId="65128710" w14:textId="1C3B1BF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 1529.</w:t>
      </w:r>
    </w:p>
  </w:footnote>
  <w:footnote w:id="104">
    <w:p w14:paraId="65128711" w14:textId="22ABB4E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1, paras. 2666–2667.</w:t>
      </w:r>
    </w:p>
  </w:footnote>
  <w:footnote w:id="105">
    <w:p w14:paraId="65128712" w14:textId="3048FA2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3, para. 1563.</w:t>
      </w:r>
    </w:p>
  </w:footnote>
  <w:footnote w:id="106">
    <w:p w14:paraId="65128713" w14:textId="2A74C73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1, para. 1570.</w:t>
      </w:r>
    </w:p>
  </w:footnote>
  <w:footnote w:id="107">
    <w:p w14:paraId="65128714" w14:textId="5D0A5B7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3, para. 1396.</w:t>
      </w:r>
    </w:p>
  </w:footnote>
  <w:footnote w:id="108">
    <w:p w14:paraId="65128715" w14:textId="71630A8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w:t>
      </w:r>
      <w:r w:rsidRPr="004F3B74">
        <w:rPr>
          <w:rFonts w:ascii="Times New Roman" w:eastAsia="Times New Roman" w:hAnsi="Times New Roman" w:cs="Times New Roman"/>
          <w:i/>
          <w:iCs/>
          <w:sz w:val="20"/>
          <w:szCs w:val="20"/>
        </w:rPr>
        <w:t>e.g.</w:t>
      </w:r>
      <w:r w:rsidRPr="00727139">
        <w:rPr>
          <w:rFonts w:ascii="Times New Roman" w:eastAsia="Times New Roman" w:hAnsi="Times New Roman" w:cs="Times New Roman"/>
          <w:sz w:val="20"/>
          <w:szCs w:val="20"/>
        </w:rPr>
        <w:t xml:space="preserve">, 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3, paras. 706, 708, 1383, 1471.</w:t>
      </w:r>
    </w:p>
  </w:footnote>
  <w:footnote w:id="109">
    <w:p w14:paraId="65128716" w14:textId="7186AC3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3, para. 2592.</w:t>
      </w:r>
    </w:p>
  </w:footnote>
  <w:footnote w:id="110">
    <w:p w14:paraId="65128717" w14:textId="5689C29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para. 1466.</w:t>
      </w:r>
    </w:p>
  </w:footnote>
  <w:footnote w:id="111">
    <w:p w14:paraId="65128718" w14:textId="7DFA605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Ibid., </w:t>
      </w:r>
      <w:r w:rsidRPr="00727139">
        <w:rPr>
          <w:rFonts w:ascii="Times New Roman" w:eastAsia="Times New Roman" w:hAnsi="Times New Roman" w:cs="Times New Roman"/>
          <w:sz w:val="20"/>
          <w:szCs w:val="20"/>
        </w:rPr>
        <w:t>para. 1467.</w:t>
      </w:r>
    </w:p>
  </w:footnote>
  <w:footnote w:id="112">
    <w:p w14:paraId="65128719" w14:textId="094EA26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4F3B74">
        <w:rPr>
          <w:rFonts w:ascii="Times New Roman" w:eastAsia="Times New Roman" w:hAnsi="Times New Roman" w:cs="Times New Roman"/>
          <w:i/>
          <w:iCs/>
          <w:sz w:val="20"/>
          <w:szCs w:val="20"/>
        </w:rPr>
        <w:t>See</w:t>
      </w:r>
      <w:r w:rsidRPr="00727139">
        <w:rPr>
          <w:rFonts w:ascii="Times New Roman" w:eastAsia="Times New Roman" w:hAnsi="Times New Roman" w:cs="Times New Roman"/>
          <w:sz w:val="20"/>
          <w:szCs w:val="20"/>
        </w:rPr>
        <w:t xml:space="preserve"> ICC Ongwen Judgment, </w:t>
      </w:r>
      <w:r w:rsidRPr="00727139">
        <w:rPr>
          <w:rFonts w:ascii="Times New Roman" w:eastAsia="Times New Roman" w:hAnsi="Times New Roman" w:cs="Times New Roman"/>
          <w:i/>
          <w:iCs/>
          <w:sz w:val="20"/>
          <w:szCs w:val="20"/>
        </w:rPr>
        <w:t>supra</w:t>
      </w:r>
      <w:r w:rsidRPr="00727139">
        <w:rPr>
          <w:rFonts w:ascii="Times New Roman" w:eastAsia="Times New Roman" w:hAnsi="Times New Roman" w:cs="Times New Roman"/>
          <w:sz w:val="20"/>
          <w:szCs w:val="20"/>
        </w:rPr>
        <w:t xml:space="preserve"> note 1, paras. 2606, 2614, 2658, 2668; ICC Ongwen Appeal Judgment, ibid., paras. 1389, 1414, 1434, </w:t>
      </w:r>
    </w:p>
  </w:footnote>
  <w:footnote w:id="113">
    <w:p w14:paraId="6512871A" w14:textId="28B9174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Ongwen</w:t>
      </w:r>
      <w:r w:rsidRPr="00727139">
        <w:rPr>
          <w:rFonts w:ascii="Times New Roman" w:eastAsia="Times New Roman" w:hAnsi="Times New Roman" w:cs="Times New Roman"/>
          <w:sz w:val="20"/>
          <w:szCs w:val="20"/>
        </w:rPr>
        <w:t xml:space="preserve"> Appeal Judgment, </w:t>
      </w:r>
      <w:r w:rsidRPr="00727139">
        <w:rPr>
          <w:rFonts w:ascii="Times New Roman" w:eastAsia="Times New Roman" w:hAnsi="Times New Roman" w:cs="Times New Roman"/>
          <w:i/>
          <w:sz w:val="20"/>
          <w:szCs w:val="20"/>
        </w:rPr>
        <w:t>supra</w:t>
      </w:r>
      <w:r w:rsidRPr="00727139">
        <w:rPr>
          <w:rFonts w:ascii="Times New Roman" w:eastAsia="Times New Roman" w:hAnsi="Times New Roman" w:cs="Times New Roman"/>
          <w:sz w:val="20"/>
          <w:szCs w:val="20"/>
        </w:rPr>
        <w:t xml:space="preserve"> note 3, para. 1434.</w:t>
      </w:r>
    </w:p>
  </w:footnote>
  <w:footnote w:id="114">
    <w:p w14:paraId="6512871B" w14:textId="5FBE815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highlight w:val="yellow"/>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xml:space="preserve"> para. 1472.</w:t>
      </w:r>
    </w:p>
  </w:footnote>
  <w:footnote w:id="115">
    <w:p w14:paraId="6512871C" w14:textId="03A2EB0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xml:space="preserve"> para. 1398.</w:t>
      </w:r>
    </w:p>
  </w:footnote>
  <w:footnote w:id="116">
    <w:p w14:paraId="6512871D" w14:textId="1C1E2CB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xml:space="preserve"> para. 1422.</w:t>
      </w:r>
    </w:p>
  </w:footnote>
  <w:footnote w:id="117">
    <w:p w14:paraId="6512871E" w14:textId="4CA5B6B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1423.</w:t>
      </w:r>
    </w:p>
  </w:footnote>
  <w:footnote w:id="118">
    <w:p w14:paraId="6512871F" w14:textId="3A76ED7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1423.</w:t>
      </w:r>
    </w:p>
  </w:footnote>
  <w:footnote w:id="119">
    <w:p w14:paraId="65128720" w14:textId="7F80213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para. 1452.</w:t>
      </w:r>
    </w:p>
  </w:footnote>
  <w:footnote w:id="120">
    <w:p w14:paraId="65128721" w14:textId="7C9CE3A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Statute,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4, Art. 21(1)(a).</w:t>
      </w:r>
    </w:p>
  </w:footnote>
  <w:footnote w:id="121">
    <w:p w14:paraId="65128722" w14:textId="29D71EE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i/>
          <w:sz w:val="20"/>
          <w:szCs w:val="20"/>
        </w:rPr>
        <w:t xml:space="preserve"> </w:t>
      </w:r>
      <w:r w:rsidR="004F3B74">
        <w:rPr>
          <w:rFonts w:ascii="Times New Roman" w:eastAsia="Times New Roman" w:hAnsi="Times New Roman" w:cs="Times New Roman"/>
          <w:i/>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Art. 21(1)(b).</w:t>
      </w:r>
    </w:p>
  </w:footnote>
  <w:footnote w:id="122">
    <w:p w14:paraId="65128723" w14:textId="3CC8EFC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M. </w:t>
      </w:r>
      <w:proofErr w:type="spellStart"/>
      <w:r w:rsidRPr="00727139">
        <w:rPr>
          <w:rFonts w:ascii="Times New Roman" w:eastAsia="Times New Roman" w:hAnsi="Times New Roman" w:cs="Times New Roman"/>
          <w:sz w:val="20"/>
          <w:szCs w:val="20"/>
        </w:rPr>
        <w:t>Boumghar</w:t>
      </w:r>
      <w:proofErr w:type="spellEnd"/>
      <w:r w:rsidRPr="00727139">
        <w:rPr>
          <w:rFonts w:ascii="Times New Roman" w:eastAsia="Times New Roman" w:hAnsi="Times New Roman" w:cs="Times New Roman"/>
          <w:sz w:val="20"/>
          <w:szCs w:val="20"/>
        </w:rPr>
        <w:t>, ‘</w:t>
      </w:r>
      <w:proofErr w:type="spellStart"/>
      <w:r w:rsidRPr="00727139">
        <w:rPr>
          <w:rFonts w:ascii="Times New Roman" w:eastAsia="Times New Roman" w:hAnsi="Times New Roman" w:cs="Times New Roman"/>
          <w:sz w:val="20"/>
          <w:szCs w:val="20"/>
        </w:rPr>
        <w:t>Quelques</w:t>
      </w:r>
      <w:proofErr w:type="spellEnd"/>
      <w:r w:rsidRPr="00727139">
        <w:rPr>
          <w:rFonts w:ascii="Times New Roman" w:eastAsia="Times New Roman" w:hAnsi="Times New Roman" w:cs="Times New Roman"/>
          <w:sz w:val="20"/>
          <w:szCs w:val="20"/>
        </w:rPr>
        <w:t xml:space="preserve"> utilisations des </w:t>
      </w:r>
      <w:proofErr w:type="spellStart"/>
      <w:r w:rsidRPr="00727139">
        <w:rPr>
          <w:rFonts w:ascii="Times New Roman" w:eastAsia="Times New Roman" w:hAnsi="Times New Roman" w:cs="Times New Roman"/>
          <w:sz w:val="20"/>
          <w:szCs w:val="20"/>
        </w:rPr>
        <w:t>principes</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généraux</w:t>
      </w:r>
      <w:proofErr w:type="spellEnd"/>
      <w:r w:rsidRPr="00727139">
        <w:rPr>
          <w:rFonts w:ascii="Times New Roman" w:eastAsia="Times New Roman" w:hAnsi="Times New Roman" w:cs="Times New Roman"/>
          <w:sz w:val="20"/>
          <w:szCs w:val="20"/>
        </w:rPr>
        <w:t xml:space="preserve"> du droit international et des </w:t>
      </w:r>
      <w:proofErr w:type="spellStart"/>
      <w:r w:rsidRPr="00727139">
        <w:rPr>
          <w:rFonts w:ascii="Times New Roman" w:eastAsia="Times New Roman" w:hAnsi="Times New Roman" w:cs="Times New Roman"/>
          <w:sz w:val="20"/>
          <w:szCs w:val="20"/>
        </w:rPr>
        <w:t>principes</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généraux</w:t>
      </w:r>
      <w:proofErr w:type="spellEnd"/>
      <w:r w:rsidRPr="00727139">
        <w:rPr>
          <w:rFonts w:ascii="Times New Roman" w:eastAsia="Times New Roman" w:hAnsi="Times New Roman" w:cs="Times New Roman"/>
          <w:sz w:val="20"/>
          <w:szCs w:val="20"/>
        </w:rPr>
        <w:t xml:space="preserve"> de droit </w:t>
      </w:r>
      <w:proofErr w:type="spellStart"/>
      <w:r w:rsidRPr="00727139">
        <w:rPr>
          <w:rFonts w:ascii="Times New Roman" w:eastAsia="Times New Roman" w:hAnsi="Times New Roman" w:cs="Times New Roman"/>
          <w:sz w:val="20"/>
          <w:szCs w:val="20"/>
        </w:rPr>
        <w:t>en</w:t>
      </w:r>
      <w:proofErr w:type="spellEnd"/>
      <w:r w:rsidRPr="00727139">
        <w:rPr>
          <w:rFonts w:ascii="Times New Roman" w:eastAsia="Times New Roman" w:hAnsi="Times New Roman" w:cs="Times New Roman"/>
          <w:sz w:val="20"/>
          <w:szCs w:val="20"/>
        </w:rPr>
        <w:t xml:space="preserve"> droit international </w:t>
      </w:r>
      <w:proofErr w:type="spellStart"/>
      <w:r w:rsidRPr="00727139">
        <w:rPr>
          <w:rFonts w:ascii="Times New Roman" w:eastAsia="Times New Roman" w:hAnsi="Times New Roman" w:cs="Times New Roman"/>
          <w:sz w:val="20"/>
          <w:szCs w:val="20"/>
        </w:rPr>
        <w:t>pénal</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Afr. </w:t>
      </w:r>
      <w:proofErr w:type="spellStart"/>
      <w:r w:rsidRPr="00727139">
        <w:rPr>
          <w:rFonts w:ascii="Times New Roman" w:eastAsia="Times New Roman" w:hAnsi="Times New Roman" w:cs="Times New Roman"/>
          <w:i/>
          <w:sz w:val="20"/>
          <w:szCs w:val="20"/>
        </w:rPr>
        <w:t>Yrbk</w:t>
      </w:r>
      <w:proofErr w:type="spellEnd"/>
      <w:r w:rsidRPr="00727139">
        <w:rPr>
          <w:rFonts w:ascii="Times New Roman" w:eastAsia="Times New Roman" w:hAnsi="Times New Roman" w:cs="Times New Roman"/>
          <w:i/>
          <w:sz w:val="20"/>
          <w:szCs w:val="20"/>
        </w:rPr>
        <w:t xml:space="preserve"> Intl L. </w:t>
      </w:r>
      <w:r w:rsidRPr="00727139">
        <w:rPr>
          <w:rFonts w:ascii="Times New Roman" w:eastAsia="Times New Roman" w:hAnsi="Times New Roman" w:cs="Times New Roman"/>
          <w:sz w:val="20"/>
          <w:szCs w:val="20"/>
        </w:rPr>
        <w:t>(2012) 97–137, pp. 117–119.</w:t>
      </w:r>
    </w:p>
  </w:footnote>
  <w:footnote w:id="123">
    <w:p w14:paraId="65128724" w14:textId="1083270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Statute,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4, Art. 21(1)(c).</w:t>
      </w:r>
    </w:p>
  </w:footnote>
  <w:footnote w:id="124">
    <w:p w14:paraId="65128725" w14:textId="127C7E0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Kai Ambos, ‘Remarks on the General Part of International Criminal Law’, 4 </w:t>
      </w:r>
      <w:r w:rsidRPr="00727139">
        <w:rPr>
          <w:rFonts w:ascii="Times New Roman" w:eastAsia="Times New Roman" w:hAnsi="Times New Roman" w:cs="Times New Roman"/>
          <w:i/>
          <w:sz w:val="20"/>
          <w:szCs w:val="20"/>
        </w:rPr>
        <w:t xml:space="preserve">J.I.C.J </w:t>
      </w:r>
      <w:r w:rsidRPr="00727139">
        <w:rPr>
          <w:rFonts w:ascii="Times New Roman" w:eastAsia="Times New Roman" w:hAnsi="Times New Roman" w:cs="Times New Roman"/>
          <w:sz w:val="20"/>
          <w:szCs w:val="20"/>
        </w:rPr>
        <w:t xml:space="preserve">(2006) 660–673, p. 662. </w:t>
      </w:r>
      <w:r w:rsidRPr="00727139">
        <w:rPr>
          <w:rFonts w:ascii="Times New Roman" w:eastAsia="Times New Roman" w:hAnsi="Times New Roman" w:cs="Times New Roman"/>
          <w:i/>
          <w:sz w:val="20"/>
          <w:szCs w:val="20"/>
        </w:rPr>
        <w:t>See also</w:t>
      </w:r>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Boumghar</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122, p. 126.</w:t>
      </w:r>
    </w:p>
  </w:footnote>
  <w:footnote w:id="125">
    <w:p w14:paraId="65128726" w14:textId="4CFA8CA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Ottavio</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Quirico</w:t>
      </w:r>
      <w:proofErr w:type="spellEnd"/>
      <w:r w:rsidRPr="00727139">
        <w:rPr>
          <w:rFonts w:ascii="Times New Roman" w:eastAsia="Times New Roman" w:hAnsi="Times New Roman" w:cs="Times New Roman"/>
          <w:sz w:val="20"/>
          <w:szCs w:val="20"/>
        </w:rPr>
        <w:t xml:space="preserve">, ‘General Principles of International Criminal Law and their Relevant to Africa’, </w:t>
      </w:r>
      <w:r w:rsidRPr="00727139">
        <w:rPr>
          <w:rFonts w:ascii="Times New Roman" w:eastAsia="Times New Roman" w:hAnsi="Times New Roman" w:cs="Times New Roman"/>
          <w:i/>
          <w:sz w:val="20"/>
          <w:szCs w:val="20"/>
        </w:rPr>
        <w:t xml:space="preserve">Afr. </w:t>
      </w:r>
      <w:proofErr w:type="spellStart"/>
      <w:r w:rsidRPr="00727139">
        <w:rPr>
          <w:rFonts w:ascii="Times New Roman" w:eastAsia="Times New Roman" w:hAnsi="Times New Roman" w:cs="Times New Roman"/>
          <w:i/>
          <w:sz w:val="20"/>
          <w:szCs w:val="20"/>
        </w:rPr>
        <w:t>Yrbk</w:t>
      </w:r>
      <w:proofErr w:type="spellEnd"/>
      <w:r w:rsidRPr="00727139">
        <w:rPr>
          <w:rFonts w:ascii="Times New Roman" w:eastAsia="Times New Roman" w:hAnsi="Times New Roman" w:cs="Times New Roman"/>
          <w:i/>
          <w:sz w:val="20"/>
          <w:szCs w:val="20"/>
        </w:rPr>
        <w:t xml:space="preserve"> Intl L. </w:t>
      </w:r>
      <w:r w:rsidRPr="00727139">
        <w:rPr>
          <w:rFonts w:ascii="Times New Roman" w:eastAsia="Times New Roman" w:hAnsi="Times New Roman" w:cs="Times New Roman"/>
          <w:sz w:val="20"/>
          <w:szCs w:val="20"/>
        </w:rPr>
        <w:t>(2012) 139–163, p. 160.</w:t>
      </w:r>
    </w:p>
  </w:footnote>
  <w:footnote w:id="126">
    <w:p w14:paraId="65128727" w14:textId="42F2EDE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 </w:t>
      </w:r>
      <w:proofErr w:type="spellStart"/>
      <w:r w:rsidRPr="00727139">
        <w:rPr>
          <w:rFonts w:ascii="Times New Roman" w:eastAsia="Times New Roman" w:hAnsi="Times New Roman" w:cs="Times New Roman"/>
          <w:sz w:val="20"/>
          <w:szCs w:val="20"/>
        </w:rPr>
        <w:t>Cherif</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Bassiouni</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Introduction to International Criminal Law </w:t>
      </w:r>
      <w:r w:rsidRPr="00727139">
        <w:rPr>
          <w:rFonts w:ascii="Times New Roman" w:eastAsia="Times New Roman" w:hAnsi="Times New Roman" w:cs="Times New Roman"/>
          <w:sz w:val="20"/>
          <w:szCs w:val="20"/>
        </w:rPr>
        <w:t>(2</w:t>
      </w:r>
      <w:r w:rsidRPr="00727139">
        <w:rPr>
          <w:rFonts w:ascii="Times New Roman" w:eastAsia="Times New Roman" w:hAnsi="Times New Roman" w:cs="Times New Roman"/>
          <w:sz w:val="20"/>
          <w:szCs w:val="20"/>
          <w:vertAlign w:val="superscript"/>
        </w:rPr>
        <w:t>nd</w:t>
      </w:r>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edn</w:t>
      </w:r>
      <w:proofErr w:type="spellEnd"/>
      <w:r w:rsidRPr="00727139">
        <w:rPr>
          <w:rFonts w:ascii="Times New Roman" w:eastAsia="Times New Roman" w:hAnsi="Times New Roman" w:cs="Times New Roman"/>
          <w:sz w:val="20"/>
          <w:szCs w:val="20"/>
        </w:rPr>
        <w:t xml:space="preserve">., Martinus </w:t>
      </w:r>
      <w:proofErr w:type="spellStart"/>
      <w:r w:rsidRPr="00727139">
        <w:rPr>
          <w:rFonts w:ascii="Times New Roman" w:eastAsia="Times New Roman" w:hAnsi="Times New Roman" w:cs="Times New Roman"/>
          <w:sz w:val="20"/>
          <w:szCs w:val="20"/>
        </w:rPr>
        <w:t>Nijhoff</w:t>
      </w:r>
      <w:proofErr w:type="spellEnd"/>
      <w:r w:rsidRPr="00727139">
        <w:rPr>
          <w:rFonts w:ascii="Times New Roman" w:eastAsia="Times New Roman" w:hAnsi="Times New Roman" w:cs="Times New Roman"/>
          <w:sz w:val="20"/>
          <w:szCs w:val="20"/>
        </w:rPr>
        <w:t>, Leiden, 2013), p. 285.</w:t>
      </w:r>
    </w:p>
  </w:footnote>
  <w:footnote w:id="127">
    <w:p w14:paraId="65128728" w14:textId="3BA3A87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This sets aside defences relating to victims of abuse at home who commit crimes against their abusers, and the battered woman’s syndrome.</w:t>
      </w:r>
    </w:p>
  </w:footnote>
  <w:footnote w:id="128">
    <w:p w14:paraId="65128729" w14:textId="45B5934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Aguiling</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Pangalangan</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7, p. 627.</w:t>
      </w:r>
    </w:p>
  </w:footnote>
  <w:footnote w:id="129">
    <w:p w14:paraId="6512872A" w14:textId="61DF707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 609.</w:t>
      </w:r>
    </w:p>
  </w:footnote>
  <w:footnote w:id="130">
    <w:p w14:paraId="6512872B" w14:textId="53EB74F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p>
  </w:footnote>
  <w:footnote w:id="131">
    <w:p w14:paraId="6512872C" w14:textId="0AF3878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Angela P. Harris, ‘Rotten Social Background and the Temper of the Times’, 2(1) </w:t>
      </w:r>
      <w:r w:rsidRPr="00727139">
        <w:rPr>
          <w:rFonts w:ascii="Times New Roman" w:eastAsia="Times New Roman" w:hAnsi="Times New Roman" w:cs="Times New Roman"/>
          <w:i/>
          <w:sz w:val="20"/>
          <w:szCs w:val="20"/>
        </w:rPr>
        <w:t xml:space="preserve">Ala. C. R. &amp; C. L. L. Rev. </w:t>
      </w:r>
      <w:r w:rsidRPr="00727139">
        <w:rPr>
          <w:rFonts w:ascii="Times New Roman" w:eastAsia="Times New Roman" w:hAnsi="Times New Roman" w:cs="Times New Roman"/>
          <w:sz w:val="20"/>
          <w:szCs w:val="20"/>
        </w:rPr>
        <w:t xml:space="preserve"> (2011) 131–146, p. 134.</w:t>
      </w:r>
    </w:p>
  </w:footnote>
  <w:footnote w:id="132">
    <w:p w14:paraId="6512872D" w14:textId="7D729A9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Aguiling</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Pangalangan</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7, p. 605.</w:t>
      </w:r>
    </w:p>
  </w:footnote>
  <w:footnote w:id="133">
    <w:p w14:paraId="6512872E" w14:textId="30A1B16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Julia Brown, ‘When Children Are Trained to Kill: A Look at the Victim-Perpetrator Debate in the United States and Uganda’, 38(3) </w:t>
      </w:r>
      <w:r w:rsidRPr="00727139">
        <w:rPr>
          <w:rFonts w:ascii="Times New Roman" w:eastAsia="Times New Roman" w:hAnsi="Times New Roman" w:cs="Times New Roman"/>
          <w:i/>
          <w:sz w:val="20"/>
          <w:szCs w:val="20"/>
        </w:rPr>
        <w:t xml:space="preserve">Ariz. J. Int’l &amp; Comp. L. </w:t>
      </w:r>
      <w:r w:rsidRPr="00727139">
        <w:rPr>
          <w:rFonts w:ascii="Times New Roman" w:eastAsia="Times New Roman" w:hAnsi="Times New Roman" w:cs="Times New Roman"/>
          <w:sz w:val="20"/>
          <w:szCs w:val="20"/>
        </w:rPr>
        <w:t>(2022) 375–401, p. 375.</w:t>
      </w:r>
    </w:p>
  </w:footnote>
  <w:footnote w:id="134">
    <w:p w14:paraId="6512872F" w14:textId="461FA3B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xml:space="preserve">, ICC-02/04-01/15, Pre-Trial Chamber II, Further Redacted Version of “Defence Brief for the Confirmation of Charges Hearing”, filed on 18 January 2016, 3 March 2016, paras. 36–49.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also discussion above.</w:t>
      </w:r>
    </w:p>
  </w:footnote>
  <w:footnote w:id="135">
    <w:p w14:paraId="65128730" w14:textId="46D99C5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xml:space="preserve">, ICC-02/04-01/15, Pre-Trial Chamber II, Decision on the Confirmation of Charges against Dominic Ongwen, 23 March 2016, para. 150 (ICC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Confirmation of Charges).</w:t>
      </w:r>
    </w:p>
  </w:footnote>
  <w:footnote w:id="136">
    <w:p w14:paraId="65128731" w14:textId="2550B50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Alexander, </w:t>
      </w:r>
      <w:r w:rsidRPr="00727139">
        <w:rPr>
          <w:rFonts w:ascii="Times New Roman" w:eastAsia="Times New Roman" w:hAnsi="Times New Roman" w:cs="Times New Roman"/>
          <w:sz w:val="20"/>
          <w:szCs w:val="20"/>
        </w:rPr>
        <w:t xml:space="preserve">471 F.2d 923, 960 (D.C. Cir. 1973). </w:t>
      </w:r>
      <w:r w:rsidRPr="00727139">
        <w:rPr>
          <w:rFonts w:ascii="Times New Roman" w:eastAsia="Times New Roman" w:hAnsi="Times New Roman" w:cs="Times New Roman"/>
          <w:i/>
          <w:sz w:val="20"/>
          <w:szCs w:val="20"/>
        </w:rPr>
        <w:t xml:space="preserve">See </w:t>
      </w:r>
      <w:proofErr w:type="spellStart"/>
      <w:r w:rsidRPr="00727139">
        <w:rPr>
          <w:rFonts w:ascii="Times New Roman" w:eastAsia="Times New Roman" w:hAnsi="Times New Roman" w:cs="Times New Roman"/>
          <w:sz w:val="20"/>
          <w:szCs w:val="20"/>
        </w:rPr>
        <w:t>Mythri</w:t>
      </w:r>
      <w:proofErr w:type="spellEnd"/>
      <w:r w:rsidRPr="00727139">
        <w:rPr>
          <w:rFonts w:ascii="Times New Roman" w:eastAsia="Times New Roman" w:hAnsi="Times New Roman" w:cs="Times New Roman"/>
          <w:sz w:val="20"/>
          <w:szCs w:val="20"/>
        </w:rPr>
        <w:t xml:space="preserve"> A. Jayaraman, ‘Rotten Social Background Revisited’, 14(2) </w:t>
      </w:r>
      <w:r w:rsidRPr="00727139">
        <w:rPr>
          <w:rFonts w:ascii="Times New Roman" w:eastAsia="Times New Roman" w:hAnsi="Times New Roman" w:cs="Times New Roman"/>
          <w:i/>
          <w:sz w:val="20"/>
          <w:szCs w:val="20"/>
        </w:rPr>
        <w:t xml:space="preserve">Cap. Def. J. </w:t>
      </w:r>
      <w:r w:rsidRPr="00727139">
        <w:rPr>
          <w:rFonts w:ascii="Times New Roman" w:eastAsia="Times New Roman" w:hAnsi="Times New Roman" w:cs="Times New Roman"/>
          <w:sz w:val="20"/>
          <w:szCs w:val="20"/>
        </w:rPr>
        <w:t>(2002) 327–348, pp. 327–329.</w:t>
      </w:r>
    </w:p>
  </w:footnote>
  <w:footnote w:id="137">
    <w:p w14:paraId="65128732" w14:textId="243D1F6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Richard Delgado, ‘Rotten Social Background: Should the Criminal Law Recognize a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of Severe Environmental Deprivation?’, 3 </w:t>
      </w:r>
      <w:r w:rsidRPr="00727139">
        <w:rPr>
          <w:rFonts w:ascii="Times New Roman" w:eastAsia="Times New Roman" w:hAnsi="Times New Roman" w:cs="Times New Roman"/>
          <w:i/>
          <w:sz w:val="20"/>
          <w:szCs w:val="20"/>
        </w:rPr>
        <w:t xml:space="preserve">Law and Inequality </w:t>
      </w:r>
      <w:r w:rsidRPr="00727139">
        <w:rPr>
          <w:rFonts w:ascii="Times New Roman" w:eastAsia="Times New Roman" w:hAnsi="Times New Roman" w:cs="Times New Roman"/>
          <w:sz w:val="20"/>
          <w:szCs w:val="20"/>
        </w:rPr>
        <w:t xml:space="preserve">(1985) 9–90, pp. 55–56. </w:t>
      </w:r>
      <w:r w:rsidRPr="00727139">
        <w:rPr>
          <w:rFonts w:ascii="Times New Roman" w:eastAsia="Times New Roman" w:hAnsi="Times New Roman" w:cs="Times New Roman"/>
          <w:i/>
          <w:sz w:val="20"/>
          <w:szCs w:val="20"/>
        </w:rPr>
        <w:t>See also</w:t>
      </w:r>
      <w:r w:rsidRPr="00727139">
        <w:rPr>
          <w:rFonts w:ascii="Times New Roman" w:eastAsia="Times New Roman" w:hAnsi="Times New Roman" w:cs="Times New Roman"/>
          <w:sz w:val="20"/>
          <w:szCs w:val="20"/>
        </w:rPr>
        <w:t xml:space="preserve"> Erik Luna, ‘Spoiled Rotten Social Background’, (2011) 2 </w:t>
      </w:r>
      <w:r w:rsidRPr="00727139">
        <w:rPr>
          <w:rFonts w:ascii="Times New Roman" w:eastAsia="Times New Roman" w:hAnsi="Times New Roman" w:cs="Times New Roman"/>
          <w:i/>
          <w:sz w:val="20"/>
          <w:szCs w:val="20"/>
        </w:rPr>
        <w:t xml:space="preserve">Ala. C. R. &amp; C. L. L. Rev. </w:t>
      </w:r>
      <w:r w:rsidRPr="00727139">
        <w:rPr>
          <w:rFonts w:ascii="Times New Roman" w:eastAsia="Times New Roman" w:hAnsi="Times New Roman" w:cs="Times New Roman"/>
          <w:sz w:val="20"/>
          <w:szCs w:val="20"/>
        </w:rPr>
        <w:t>23–51, p. 45.</w:t>
      </w:r>
    </w:p>
  </w:footnote>
  <w:footnote w:id="138">
    <w:p w14:paraId="65128733" w14:textId="57E9F70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Paul Robinson, ‘Are we Responsible for Who we Are? The Challenge for Criminal Law Theory in the </w:t>
      </w:r>
      <w:proofErr w:type="spellStart"/>
      <w:r w:rsidRPr="00727139">
        <w:rPr>
          <w:rFonts w:ascii="Times New Roman" w:eastAsia="Times New Roman" w:hAnsi="Times New Roman" w:cs="Times New Roman"/>
          <w:sz w:val="20"/>
          <w:szCs w:val="20"/>
        </w:rPr>
        <w:t>Defenses</w:t>
      </w:r>
      <w:proofErr w:type="spellEnd"/>
      <w:r w:rsidRPr="00727139">
        <w:rPr>
          <w:rFonts w:ascii="Times New Roman" w:eastAsia="Times New Roman" w:hAnsi="Times New Roman" w:cs="Times New Roman"/>
          <w:sz w:val="20"/>
          <w:szCs w:val="20"/>
        </w:rPr>
        <w:t xml:space="preserve"> of Coercive Indoctrination and “Rotten Social Background”’, 2 </w:t>
      </w:r>
      <w:r w:rsidRPr="00727139">
        <w:rPr>
          <w:rFonts w:ascii="Times New Roman" w:eastAsia="Times New Roman" w:hAnsi="Times New Roman" w:cs="Times New Roman"/>
          <w:i/>
          <w:sz w:val="20"/>
          <w:szCs w:val="20"/>
        </w:rPr>
        <w:t xml:space="preserve">Ala. C. R. &amp; C. L. L. Rev. </w:t>
      </w:r>
      <w:r w:rsidRPr="00727139">
        <w:rPr>
          <w:rFonts w:ascii="Times New Roman" w:eastAsia="Times New Roman" w:hAnsi="Times New Roman" w:cs="Times New Roman"/>
          <w:sz w:val="20"/>
          <w:szCs w:val="20"/>
        </w:rPr>
        <w:t xml:space="preserve">(2011) 53–77, pp. 54 and 69–74 referring to </w:t>
      </w:r>
      <w:proofErr w:type="spellStart"/>
      <w:r w:rsidRPr="00727139">
        <w:rPr>
          <w:rFonts w:ascii="Times New Roman" w:eastAsia="Times New Roman" w:hAnsi="Times New Roman" w:cs="Times New Roman"/>
          <w:sz w:val="20"/>
          <w:szCs w:val="20"/>
        </w:rPr>
        <w:t>Cabarga</w:t>
      </w:r>
      <w:proofErr w:type="spellEnd"/>
      <w:r w:rsidRPr="00727139">
        <w:rPr>
          <w:rFonts w:ascii="Times New Roman" w:eastAsia="Times New Roman" w:hAnsi="Times New Roman" w:cs="Times New Roman"/>
          <w:sz w:val="20"/>
          <w:szCs w:val="20"/>
        </w:rPr>
        <w:t xml:space="preserve">, a boy who suffered abuse and indoctrination at the hands of a sexual predator after a rather disturbed youth and helped his abuser groom children.  </w:t>
      </w:r>
    </w:p>
  </w:footnote>
  <w:footnote w:id="139">
    <w:p w14:paraId="65128734" w14:textId="79730BF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Michael </w:t>
      </w:r>
      <w:proofErr w:type="spellStart"/>
      <w:r w:rsidRPr="00727139">
        <w:rPr>
          <w:rFonts w:ascii="Times New Roman" w:eastAsia="Times New Roman" w:hAnsi="Times New Roman" w:cs="Times New Roman"/>
          <w:sz w:val="20"/>
          <w:szCs w:val="20"/>
        </w:rPr>
        <w:t>Tonry</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Doing Justice, Preventing Crime </w:t>
      </w:r>
      <w:r w:rsidRPr="00727139">
        <w:rPr>
          <w:rFonts w:ascii="Times New Roman" w:eastAsia="Times New Roman" w:hAnsi="Times New Roman" w:cs="Times New Roman"/>
          <w:sz w:val="20"/>
          <w:szCs w:val="20"/>
        </w:rPr>
        <w:t xml:space="preserve">(Oxford University Press, Oxford, 2020), p. 81. </w:t>
      </w:r>
    </w:p>
  </w:footnote>
  <w:footnote w:id="140">
    <w:p w14:paraId="65128735" w14:textId="4D9F2A3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Jayaraman,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136, p. 330; Brown,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133, p. 386.</w:t>
      </w:r>
    </w:p>
  </w:footnote>
  <w:footnote w:id="141">
    <w:p w14:paraId="65128736" w14:textId="6E2298C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Elisabeth Winston Lambert, ‘A Way out of the “Rotten Social Background” Stalemate: “Scarcity” and Stephen Morse’s Proposed Generic Partial Excuse’, 21 </w:t>
      </w:r>
      <w:r w:rsidRPr="00727139">
        <w:rPr>
          <w:rFonts w:ascii="Times New Roman" w:eastAsia="Times New Roman" w:hAnsi="Times New Roman" w:cs="Times New Roman"/>
          <w:i/>
          <w:sz w:val="20"/>
          <w:szCs w:val="20"/>
        </w:rPr>
        <w:t xml:space="preserve">U. Pa. J. L. &amp; Soc. Change </w:t>
      </w:r>
      <w:r w:rsidRPr="00727139">
        <w:rPr>
          <w:rFonts w:ascii="Times New Roman" w:eastAsia="Times New Roman" w:hAnsi="Times New Roman" w:cs="Times New Roman"/>
          <w:sz w:val="20"/>
          <w:szCs w:val="20"/>
        </w:rPr>
        <w:t>(2018) 297–338, p. 299.</w:t>
      </w:r>
    </w:p>
  </w:footnote>
  <w:footnote w:id="142">
    <w:p w14:paraId="65128737" w14:textId="404CEC1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Peter </w:t>
      </w:r>
      <w:proofErr w:type="spellStart"/>
      <w:r w:rsidRPr="00727139">
        <w:rPr>
          <w:rFonts w:ascii="Times New Roman" w:eastAsia="Times New Roman" w:hAnsi="Times New Roman" w:cs="Times New Roman"/>
          <w:sz w:val="20"/>
          <w:szCs w:val="20"/>
        </w:rPr>
        <w:t>Arenella</w:t>
      </w:r>
      <w:proofErr w:type="spellEnd"/>
      <w:r w:rsidRPr="00727139">
        <w:rPr>
          <w:rFonts w:ascii="Times New Roman" w:eastAsia="Times New Roman" w:hAnsi="Times New Roman" w:cs="Times New Roman"/>
          <w:sz w:val="20"/>
          <w:szCs w:val="20"/>
        </w:rPr>
        <w:t xml:space="preserve">, ‘Demystifying Abuse Excuse: Is There One?’, 19 </w:t>
      </w:r>
      <w:r w:rsidRPr="00727139">
        <w:rPr>
          <w:rFonts w:ascii="Times New Roman" w:eastAsia="Times New Roman" w:hAnsi="Times New Roman" w:cs="Times New Roman"/>
          <w:i/>
          <w:sz w:val="20"/>
          <w:szCs w:val="20"/>
        </w:rPr>
        <w:t xml:space="preserve">Harv. J. L. &amp; Pub. </w:t>
      </w:r>
      <w:proofErr w:type="spellStart"/>
      <w:r w:rsidRPr="00727139">
        <w:rPr>
          <w:rFonts w:ascii="Times New Roman" w:eastAsia="Times New Roman" w:hAnsi="Times New Roman" w:cs="Times New Roman"/>
          <w:i/>
          <w:sz w:val="20"/>
          <w:szCs w:val="20"/>
        </w:rPr>
        <w:t>Pol’y</w:t>
      </w:r>
      <w:proofErr w:type="spellEnd"/>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(1996) 703–710, p. 704.</w:t>
      </w:r>
    </w:p>
  </w:footnote>
  <w:footnote w:id="143">
    <w:p w14:paraId="65128738" w14:textId="620A968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proofErr w:type="spellStart"/>
      <w:r w:rsidRPr="00727139">
        <w:rPr>
          <w:rFonts w:ascii="Times New Roman" w:eastAsia="Times New Roman" w:hAnsi="Times New Roman" w:cs="Times New Roman"/>
          <w:sz w:val="20"/>
          <w:szCs w:val="20"/>
        </w:rPr>
        <w:t>Tonry</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139, p. 93.</w:t>
      </w:r>
    </w:p>
  </w:footnote>
  <w:footnote w:id="144">
    <w:p w14:paraId="65128739" w14:textId="4B3EC21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Richard Delgado, ‘The Wretched of the Earth’ (2011) 2 </w:t>
      </w:r>
      <w:r w:rsidRPr="00727139">
        <w:rPr>
          <w:rFonts w:ascii="Times New Roman" w:eastAsia="Times New Roman" w:hAnsi="Times New Roman" w:cs="Times New Roman"/>
          <w:i/>
          <w:sz w:val="20"/>
          <w:szCs w:val="20"/>
        </w:rPr>
        <w:t xml:space="preserve">Ala. C. R. &amp; C. L. L. Rev. </w:t>
      </w:r>
      <w:r w:rsidRPr="00727139">
        <w:rPr>
          <w:rFonts w:ascii="Times New Roman" w:eastAsia="Times New Roman" w:hAnsi="Times New Roman" w:cs="Times New Roman"/>
          <w:sz w:val="20"/>
          <w:szCs w:val="20"/>
        </w:rPr>
        <w:t xml:space="preserve">1–22, 5. </w:t>
      </w:r>
      <w:r w:rsidRPr="00727139">
        <w:rPr>
          <w:rFonts w:ascii="Times New Roman" w:eastAsia="Times New Roman" w:hAnsi="Times New Roman" w:cs="Times New Roman"/>
          <w:i/>
          <w:sz w:val="20"/>
          <w:szCs w:val="20"/>
        </w:rPr>
        <w:t>See also</w:t>
      </w:r>
      <w:r w:rsidRPr="00727139">
        <w:rPr>
          <w:rFonts w:ascii="Times New Roman" w:eastAsia="Times New Roman" w:hAnsi="Times New Roman" w:cs="Times New Roman"/>
          <w:sz w:val="20"/>
          <w:szCs w:val="20"/>
        </w:rPr>
        <w:t xml:space="preserve"> Luna,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137, p. 45; Robinson,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138, pp. 58-59. </w:t>
      </w:r>
    </w:p>
  </w:footnote>
  <w:footnote w:id="145">
    <w:p w14:paraId="6512873A" w14:textId="41A9CE6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Robinson,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138, p. 75; Stephen Morse, ‘The Twilight of Welfare Criminology: A Reply to Judge Bazelon’, 49 </w:t>
      </w:r>
      <w:proofErr w:type="spellStart"/>
      <w:r w:rsidRPr="00727139">
        <w:rPr>
          <w:rFonts w:ascii="Times New Roman" w:eastAsia="Times New Roman" w:hAnsi="Times New Roman" w:cs="Times New Roman"/>
          <w:i/>
          <w:sz w:val="20"/>
          <w:szCs w:val="20"/>
        </w:rPr>
        <w:t>So.</w:t>
      </w:r>
      <w:proofErr w:type="spellEnd"/>
      <w:r w:rsidRPr="00727139">
        <w:rPr>
          <w:rFonts w:ascii="Times New Roman" w:eastAsia="Times New Roman" w:hAnsi="Times New Roman" w:cs="Times New Roman"/>
          <w:i/>
          <w:sz w:val="20"/>
          <w:szCs w:val="20"/>
        </w:rPr>
        <w:t xml:space="preserve"> Ca. L. Rev.</w:t>
      </w:r>
      <w:r w:rsidRPr="00727139">
        <w:rPr>
          <w:rFonts w:ascii="Times New Roman" w:eastAsia="Times New Roman" w:hAnsi="Times New Roman" w:cs="Times New Roman"/>
          <w:sz w:val="20"/>
          <w:szCs w:val="20"/>
        </w:rPr>
        <w:t xml:space="preserve"> (1976) 1247–1268, pp. 1252 and 1259.</w:t>
      </w:r>
    </w:p>
  </w:footnote>
  <w:footnote w:id="146">
    <w:p w14:paraId="6512873B" w14:textId="2A5FB5D6"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Morse,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145, p. 1252.</w:t>
      </w:r>
    </w:p>
  </w:footnote>
  <w:footnote w:id="147">
    <w:p w14:paraId="6512873C" w14:textId="34CF8E9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Robinson,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138, p. 59.</w:t>
      </w:r>
    </w:p>
  </w:footnote>
  <w:footnote w:id="148">
    <w:p w14:paraId="6512873D" w14:textId="199ED58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Morse,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145, p. 1259.</w:t>
      </w:r>
      <w:r w:rsidRPr="00727139">
        <w:rPr>
          <w:rFonts w:ascii="Times New Roman" w:eastAsia="Times New Roman" w:hAnsi="Times New Roman" w:cs="Times New Roman"/>
          <w:i/>
          <w:sz w:val="20"/>
          <w:szCs w:val="20"/>
        </w:rPr>
        <w:t xml:space="preserve"> See also</w:t>
      </w:r>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Tonry</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139, pp. 80–84. </w:t>
      </w:r>
    </w:p>
  </w:footnote>
  <w:footnote w:id="149">
    <w:p w14:paraId="6512873E" w14:textId="457B272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Jayaraman,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136, p. 343. </w:t>
      </w:r>
      <w:r w:rsidRPr="00727139">
        <w:rPr>
          <w:rFonts w:ascii="Times New Roman" w:eastAsia="Times New Roman" w:hAnsi="Times New Roman" w:cs="Times New Roman"/>
          <w:i/>
          <w:sz w:val="20"/>
          <w:szCs w:val="20"/>
        </w:rPr>
        <w:t>See also,</w:t>
      </w:r>
      <w:r w:rsidRPr="00727139">
        <w:rPr>
          <w:rFonts w:ascii="Times New Roman" w:eastAsia="Times New Roman" w:hAnsi="Times New Roman" w:cs="Times New Roman"/>
          <w:sz w:val="20"/>
          <w:szCs w:val="20"/>
        </w:rPr>
        <w:t xml:space="preserve"> Sanford </w:t>
      </w:r>
      <w:proofErr w:type="spellStart"/>
      <w:r w:rsidRPr="00727139">
        <w:rPr>
          <w:rFonts w:ascii="Times New Roman" w:eastAsia="Times New Roman" w:hAnsi="Times New Roman" w:cs="Times New Roman"/>
          <w:sz w:val="20"/>
          <w:szCs w:val="20"/>
        </w:rPr>
        <w:t>Kadish</w:t>
      </w:r>
      <w:proofErr w:type="spellEnd"/>
      <w:r w:rsidRPr="00727139">
        <w:rPr>
          <w:rFonts w:ascii="Times New Roman" w:eastAsia="Times New Roman" w:hAnsi="Times New Roman" w:cs="Times New Roman"/>
          <w:sz w:val="20"/>
          <w:szCs w:val="20"/>
        </w:rPr>
        <w:t xml:space="preserve">, ‘Excusing Crime’, 75 </w:t>
      </w:r>
      <w:r w:rsidRPr="00727139">
        <w:rPr>
          <w:rFonts w:ascii="Times New Roman" w:eastAsia="Times New Roman" w:hAnsi="Times New Roman" w:cs="Times New Roman"/>
          <w:i/>
          <w:sz w:val="20"/>
          <w:szCs w:val="20"/>
        </w:rPr>
        <w:t xml:space="preserve">Cal. L. Rev. </w:t>
      </w:r>
      <w:r w:rsidRPr="00727139">
        <w:rPr>
          <w:rFonts w:ascii="Times New Roman" w:eastAsia="Times New Roman" w:hAnsi="Times New Roman" w:cs="Times New Roman"/>
          <w:sz w:val="20"/>
          <w:szCs w:val="20"/>
        </w:rPr>
        <w:t xml:space="preserve">(1987) 257–289, pp. 284–285 and Joshua Dressler, ‘Some Very Modest Reflections on Excusing Criminal Wrongdoers’, 42 </w:t>
      </w:r>
      <w:r w:rsidRPr="00727139">
        <w:rPr>
          <w:rFonts w:ascii="Times New Roman" w:eastAsia="Times New Roman" w:hAnsi="Times New Roman" w:cs="Times New Roman"/>
          <w:i/>
          <w:sz w:val="20"/>
          <w:szCs w:val="20"/>
        </w:rPr>
        <w:t xml:space="preserve">Texas Tech L. Rev. </w:t>
      </w:r>
      <w:r w:rsidRPr="00727139">
        <w:rPr>
          <w:rFonts w:ascii="Times New Roman" w:eastAsia="Times New Roman" w:hAnsi="Times New Roman" w:cs="Times New Roman"/>
          <w:sz w:val="20"/>
          <w:szCs w:val="20"/>
        </w:rPr>
        <w:t>(2009) 247–258, p. 253.</w:t>
      </w:r>
    </w:p>
  </w:footnote>
  <w:footnote w:id="150">
    <w:p w14:paraId="6512873F" w14:textId="209948F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Paul Roberts and </w:t>
      </w:r>
      <w:proofErr w:type="spellStart"/>
      <w:r w:rsidRPr="00727139">
        <w:rPr>
          <w:rFonts w:ascii="Times New Roman" w:eastAsia="Times New Roman" w:hAnsi="Times New Roman" w:cs="Times New Roman"/>
          <w:sz w:val="20"/>
          <w:szCs w:val="20"/>
        </w:rPr>
        <w:t>Nesam</w:t>
      </w:r>
      <w:proofErr w:type="spellEnd"/>
      <w:r w:rsidRPr="00727139">
        <w:rPr>
          <w:rFonts w:ascii="Times New Roman" w:eastAsia="Times New Roman" w:hAnsi="Times New Roman" w:cs="Times New Roman"/>
          <w:sz w:val="20"/>
          <w:szCs w:val="20"/>
        </w:rPr>
        <w:t xml:space="preserve"> McMillan, ‘For Criminology in International Criminal Justice’, 1 </w:t>
      </w:r>
      <w:r w:rsidRPr="00727139">
        <w:rPr>
          <w:rFonts w:ascii="Times New Roman" w:eastAsia="Times New Roman" w:hAnsi="Times New Roman" w:cs="Times New Roman"/>
          <w:i/>
          <w:sz w:val="20"/>
          <w:szCs w:val="20"/>
        </w:rPr>
        <w:t xml:space="preserve">J. I. C. J. </w:t>
      </w:r>
      <w:r w:rsidRPr="00727139">
        <w:rPr>
          <w:rFonts w:ascii="Times New Roman" w:eastAsia="Times New Roman" w:hAnsi="Times New Roman" w:cs="Times New Roman"/>
          <w:sz w:val="20"/>
          <w:szCs w:val="20"/>
        </w:rPr>
        <w:t>(2003) 315–338, p. 323.</w:t>
      </w:r>
    </w:p>
  </w:footnote>
  <w:footnote w:id="151">
    <w:p w14:paraId="65128740" w14:textId="339066F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Ongwen </w:t>
      </w:r>
      <w:r w:rsidRPr="00727139">
        <w:rPr>
          <w:rFonts w:ascii="Times New Roman" w:eastAsia="Times New Roman" w:hAnsi="Times New Roman" w:cs="Times New Roman"/>
          <w:sz w:val="20"/>
          <w:szCs w:val="20"/>
        </w:rPr>
        <w:t xml:space="preserve">Confirmation of Charges,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109, para. 153. The California Supreme Court also stated: ‘If duress is recognized as a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to the killing of innocents, then a street or prison gang need only create an internal reign of terror and murder can be justified’. </w:t>
      </w:r>
      <w:r w:rsidRPr="00727139">
        <w:rPr>
          <w:rFonts w:ascii="Times New Roman" w:eastAsia="Times New Roman" w:hAnsi="Times New Roman" w:cs="Times New Roman"/>
          <w:i/>
          <w:sz w:val="20"/>
          <w:szCs w:val="20"/>
        </w:rPr>
        <w:t xml:space="preserve">People </w:t>
      </w:r>
      <w:r w:rsidRPr="00727139">
        <w:rPr>
          <w:rFonts w:ascii="Times New Roman" w:eastAsia="Times New Roman" w:hAnsi="Times New Roman" w:cs="Times New Roman"/>
          <w:sz w:val="20"/>
          <w:szCs w:val="20"/>
        </w:rPr>
        <w:t xml:space="preserve">v. </w:t>
      </w:r>
      <w:r w:rsidRPr="00727139">
        <w:rPr>
          <w:rFonts w:ascii="Times New Roman" w:eastAsia="Times New Roman" w:hAnsi="Times New Roman" w:cs="Times New Roman"/>
          <w:i/>
          <w:sz w:val="20"/>
          <w:szCs w:val="20"/>
        </w:rPr>
        <w:t xml:space="preserve">Anderson, </w:t>
      </w:r>
      <w:r w:rsidRPr="00727139">
        <w:rPr>
          <w:rFonts w:ascii="Times New Roman" w:eastAsia="Times New Roman" w:hAnsi="Times New Roman" w:cs="Times New Roman"/>
          <w:sz w:val="20"/>
          <w:szCs w:val="20"/>
        </w:rPr>
        <w:t>50 P.3d 368, 374 (Cal. 2002).</w:t>
      </w:r>
    </w:p>
  </w:footnote>
  <w:footnote w:id="152">
    <w:p w14:paraId="65128741" w14:textId="45CA357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Several concepts, some overlapping, are used to describe this defence (</w:t>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Ann Penners </w:t>
      </w:r>
      <w:proofErr w:type="spellStart"/>
      <w:r w:rsidRPr="00727139">
        <w:rPr>
          <w:rFonts w:ascii="Times New Roman" w:eastAsia="Times New Roman" w:hAnsi="Times New Roman" w:cs="Times New Roman"/>
          <w:sz w:val="20"/>
          <w:szCs w:val="20"/>
        </w:rPr>
        <w:t>Wrosch</w:t>
      </w:r>
      <w:proofErr w:type="spellEnd"/>
      <w:r w:rsidRPr="00727139">
        <w:rPr>
          <w:rFonts w:ascii="Times New Roman" w:eastAsia="Times New Roman" w:hAnsi="Times New Roman" w:cs="Times New Roman"/>
          <w:sz w:val="20"/>
          <w:szCs w:val="20"/>
        </w:rPr>
        <w:t xml:space="preserve">, ‘Undue Influence, Involuntary Servitude and Brainwashing: A More Consistent, Interests-Based Approach’, 25 </w:t>
      </w:r>
      <w:r w:rsidRPr="00727139">
        <w:rPr>
          <w:rFonts w:ascii="Times New Roman" w:eastAsia="Times New Roman" w:hAnsi="Times New Roman" w:cs="Times New Roman"/>
          <w:i/>
          <w:sz w:val="20"/>
          <w:szCs w:val="20"/>
        </w:rPr>
        <w:t xml:space="preserve">Loy. L. A. L. Rev. </w:t>
      </w:r>
      <w:r w:rsidRPr="00727139">
        <w:rPr>
          <w:rFonts w:ascii="Times New Roman" w:eastAsia="Times New Roman" w:hAnsi="Times New Roman" w:cs="Times New Roman"/>
          <w:sz w:val="20"/>
          <w:szCs w:val="20"/>
        </w:rPr>
        <w:t xml:space="preserve">(1992) 499–554, p. 501 </w:t>
      </w:r>
      <w:proofErr w:type="spellStart"/>
      <w:r w:rsidRPr="00727139">
        <w:rPr>
          <w:rFonts w:ascii="Times New Roman" w:eastAsia="Times New Roman" w:hAnsi="Times New Roman" w:cs="Times New Roman"/>
          <w:sz w:val="20"/>
          <w:szCs w:val="20"/>
        </w:rPr>
        <w:t>fn</w:t>
      </w:r>
      <w:proofErr w:type="spellEnd"/>
      <w:r w:rsidRPr="00727139">
        <w:rPr>
          <w:rFonts w:ascii="Times New Roman" w:eastAsia="Times New Roman" w:hAnsi="Times New Roman" w:cs="Times New Roman"/>
          <w:sz w:val="20"/>
          <w:szCs w:val="20"/>
        </w:rPr>
        <w:t xml:space="preserve"> 20). </w:t>
      </w:r>
    </w:p>
  </w:footnote>
  <w:footnote w:id="153">
    <w:p w14:paraId="65128742" w14:textId="1216749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Alison D. </w:t>
      </w:r>
      <w:proofErr w:type="spellStart"/>
      <w:r w:rsidRPr="00727139">
        <w:rPr>
          <w:rFonts w:ascii="Times New Roman" w:eastAsia="Times New Roman" w:hAnsi="Times New Roman" w:cs="Times New Roman"/>
          <w:sz w:val="20"/>
          <w:szCs w:val="20"/>
        </w:rPr>
        <w:t>Renteln</w:t>
      </w:r>
      <w:proofErr w:type="spellEnd"/>
      <w:r w:rsidRPr="00727139">
        <w:rPr>
          <w:rFonts w:ascii="Times New Roman" w:eastAsia="Times New Roman" w:hAnsi="Times New Roman" w:cs="Times New Roman"/>
          <w:sz w:val="20"/>
          <w:szCs w:val="20"/>
        </w:rPr>
        <w:t xml:space="preserve">, ‘Criminal </w:t>
      </w:r>
      <w:proofErr w:type="spellStart"/>
      <w:r w:rsidRPr="00727139">
        <w:rPr>
          <w:rFonts w:ascii="Times New Roman" w:eastAsia="Times New Roman" w:hAnsi="Times New Roman" w:cs="Times New Roman"/>
          <w:sz w:val="20"/>
          <w:szCs w:val="20"/>
        </w:rPr>
        <w:t>Defenses’</w:t>
      </w:r>
      <w:proofErr w:type="spellEnd"/>
      <w:r w:rsidRPr="00727139">
        <w:rPr>
          <w:rFonts w:ascii="Times New Roman" w:eastAsia="Times New Roman" w:hAnsi="Times New Roman" w:cs="Times New Roman"/>
          <w:sz w:val="20"/>
          <w:szCs w:val="20"/>
        </w:rPr>
        <w:t xml:space="preserve"> in Neil J. Smelser and Paul B. </w:t>
      </w:r>
      <w:proofErr w:type="spellStart"/>
      <w:r w:rsidRPr="00727139">
        <w:rPr>
          <w:rFonts w:ascii="Times New Roman" w:eastAsia="Times New Roman" w:hAnsi="Times New Roman" w:cs="Times New Roman"/>
          <w:sz w:val="20"/>
          <w:szCs w:val="20"/>
        </w:rPr>
        <w:t>Baltes</w:t>
      </w:r>
      <w:proofErr w:type="spellEnd"/>
      <w:r w:rsidRPr="00727139">
        <w:rPr>
          <w:rFonts w:ascii="Times New Roman" w:eastAsia="Times New Roman" w:hAnsi="Times New Roman" w:cs="Times New Roman"/>
          <w:sz w:val="20"/>
          <w:szCs w:val="20"/>
        </w:rPr>
        <w:t xml:space="preserve"> (eds), </w:t>
      </w:r>
      <w:r w:rsidRPr="00727139">
        <w:rPr>
          <w:rFonts w:ascii="Times New Roman" w:eastAsia="Times New Roman" w:hAnsi="Times New Roman" w:cs="Times New Roman"/>
          <w:i/>
          <w:sz w:val="20"/>
          <w:szCs w:val="20"/>
        </w:rPr>
        <w:t xml:space="preserve">International </w:t>
      </w:r>
      <w:proofErr w:type="spellStart"/>
      <w:r w:rsidRPr="00727139">
        <w:rPr>
          <w:rFonts w:ascii="Times New Roman" w:eastAsia="Times New Roman" w:hAnsi="Times New Roman" w:cs="Times New Roman"/>
          <w:i/>
          <w:sz w:val="20"/>
          <w:szCs w:val="20"/>
        </w:rPr>
        <w:t>Encyclopedia</w:t>
      </w:r>
      <w:proofErr w:type="spellEnd"/>
      <w:r w:rsidRPr="00727139">
        <w:rPr>
          <w:rFonts w:ascii="Times New Roman" w:eastAsia="Times New Roman" w:hAnsi="Times New Roman" w:cs="Times New Roman"/>
          <w:i/>
          <w:sz w:val="20"/>
          <w:szCs w:val="20"/>
        </w:rPr>
        <w:t xml:space="preserve"> of the Social &amp; </w:t>
      </w:r>
      <w:proofErr w:type="spellStart"/>
      <w:r w:rsidRPr="00727139">
        <w:rPr>
          <w:rFonts w:ascii="Times New Roman" w:eastAsia="Times New Roman" w:hAnsi="Times New Roman" w:cs="Times New Roman"/>
          <w:i/>
          <w:sz w:val="20"/>
          <w:szCs w:val="20"/>
        </w:rPr>
        <w:t>Behavioral</w:t>
      </w:r>
      <w:proofErr w:type="spellEnd"/>
      <w:r w:rsidRPr="00727139">
        <w:rPr>
          <w:rFonts w:ascii="Times New Roman" w:eastAsia="Times New Roman" w:hAnsi="Times New Roman" w:cs="Times New Roman"/>
          <w:i/>
          <w:sz w:val="20"/>
          <w:szCs w:val="20"/>
        </w:rPr>
        <w:t xml:space="preserve"> Sciences </w:t>
      </w:r>
      <w:r w:rsidRPr="00727139">
        <w:rPr>
          <w:rFonts w:ascii="Times New Roman" w:eastAsia="Times New Roman" w:hAnsi="Times New Roman" w:cs="Times New Roman"/>
          <w:sz w:val="20"/>
          <w:szCs w:val="20"/>
        </w:rPr>
        <w:t>(Elsevier, 2001) 2945, p. 2948.</w:t>
      </w:r>
    </w:p>
  </w:footnote>
  <w:footnote w:id="154">
    <w:p w14:paraId="65128743" w14:textId="02832B0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Brown,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133, p.</w:t>
      </w:r>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375.</w:t>
      </w:r>
    </w:p>
  </w:footnote>
  <w:footnote w:id="155">
    <w:p w14:paraId="65128744" w14:textId="7D15AC0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ICC, </w:t>
      </w:r>
      <w:r w:rsidRPr="00727139">
        <w:rPr>
          <w:rFonts w:ascii="Times New Roman" w:eastAsia="Times New Roman" w:hAnsi="Times New Roman" w:cs="Times New Roman"/>
          <w:i/>
          <w:sz w:val="20"/>
          <w:szCs w:val="20"/>
        </w:rPr>
        <w:t xml:space="preserve">Prosecutor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Ongwen</w:t>
      </w:r>
      <w:r w:rsidRPr="00727139">
        <w:rPr>
          <w:rFonts w:ascii="Times New Roman" w:eastAsia="Times New Roman" w:hAnsi="Times New Roman" w:cs="Times New Roman"/>
          <w:sz w:val="20"/>
          <w:szCs w:val="20"/>
        </w:rPr>
        <w:t xml:space="preserve">, ICC-02/04-01/15, Pre-Trial Chamber II, Further Redacted Version of “Defence Brief for the Confirmation of Charges Hearing”, Filed on 18 January 2016, 3 March 2016, paras. 36–49.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also discussion above.</w:t>
      </w:r>
    </w:p>
  </w:footnote>
  <w:footnote w:id="156">
    <w:p w14:paraId="65128745" w14:textId="4374E97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Ida-Gaye Warburton, ‘The Commandeering of Free Will: Brainwashing as a Legitimate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16(1) </w:t>
      </w:r>
      <w:r w:rsidRPr="00727139">
        <w:rPr>
          <w:rFonts w:ascii="Times New Roman" w:eastAsia="Times New Roman" w:hAnsi="Times New Roman" w:cs="Times New Roman"/>
          <w:i/>
          <w:sz w:val="20"/>
          <w:szCs w:val="20"/>
        </w:rPr>
        <w:t xml:space="preserve">Cap. Def. J. </w:t>
      </w:r>
      <w:r w:rsidRPr="00727139">
        <w:rPr>
          <w:rFonts w:ascii="Times New Roman" w:eastAsia="Times New Roman" w:hAnsi="Times New Roman" w:cs="Times New Roman"/>
          <w:sz w:val="20"/>
          <w:szCs w:val="20"/>
        </w:rPr>
        <w:t xml:space="preserve">(2003) 73–97, p. 77 quoting David G. Bromley and James T. Richardson (eds), </w:t>
      </w:r>
      <w:r w:rsidRPr="00727139">
        <w:rPr>
          <w:rFonts w:ascii="Times New Roman" w:eastAsia="Times New Roman" w:hAnsi="Times New Roman" w:cs="Times New Roman"/>
          <w:i/>
          <w:sz w:val="20"/>
          <w:szCs w:val="20"/>
        </w:rPr>
        <w:t xml:space="preserve">The Brainwashing/Deprogramming Controversy: Sociological, Psychological, Legal and Historical Perspectives </w:t>
      </w:r>
      <w:r w:rsidRPr="00727139">
        <w:rPr>
          <w:rFonts w:ascii="Times New Roman" w:eastAsia="Times New Roman" w:hAnsi="Times New Roman" w:cs="Times New Roman"/>
          <w:sz w:val="20"/>
          <w:szCs w:val="20"/>
        </w:rPr>
        <w:t>(</w:t>
      </w:r>
      <w:proofErr w:type="spellStart"/>
      <w:r w:rsidRPr="00727139">
        <w:rPr>
          <w:rFonts w:ascii="Times New Roman" w:eastAsia="Times New Roman" w:hAnsi="Times New Roman" w:cs="Times New Roman"/>
          <w:sz w:val="20"/>
          <w:szCs w:val="20"/>
        </w:rPr>
        <w:t>Mellen</w:t>
      </w:r>
      <w:proofErr w:type="spellEnd"/>
      <w:r w:rsidRPr="00727139">
        <w:rPr>
          <w:rFonts w:ascii="Times New Roman" w:eastAsia="Times New Roman" w:hAnsi="Times New Roman" w:cs="Times New Roman"/>
          <w:sz w:val="20"/>
          <w:szCs w:val="20"/>
        </w:rPr>
        <w:t xml:space="preserve"> Press, New York, 1983) 6. Brainwashing consists of three stages namely ‘breaking down the self, introducing the possibility of salvation, and rebuilding the self.’ Rebecca Emory, ‘Losing Your Head in the Washer – Why the Brainwashing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Can Be a Complete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in Criminal Cases’, 30(4) </w:t>
      </w:r>
      <w:r w:rsidRPr="00727139">
        <w:rPr>
          <w:rFonts w:ascii="Times New Roman" w:eastAsia="Times New Roman" w:hAnsi="Times New Roman" w:cs="Times New Roman"/>
          <w:i/>
          <w:sz w:val="20"/>
          <w:szCs w:val="20"/>
        </w:rPr>
        <w:t>Pace L. Rev.</w:t>
      </w:r>
      <w:r w:rsidRPr="00727139">
        <w:rPr>
          <w:rFonts w:ascii="Times New Roman" w:eastAsia="Times New Roman" w:hAnsi="Times New Roman" w:cs="Times New Roman"/>
          <w:sz w:val="20"/>
          <w:szCs w:val="20"/>
        </w:rPr>
        <w:t xml:space="preserve"> (2010) 1337–1359, p. 1340.</w:t>
      </w:r>
    </w:p>
  </w:footnote>
  <w:footnote w:id="157">
    <w:p w14:paraId="65128746" w14:textId="772CC30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Richard Delgado, ‘Ascription of Criminal States of Mind: Toward a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Theory for the Coercively Persuaded (“Brainwashed”) Defendant’, 63(1) </w:t>
      </w:r>
      <w:r w:rsidRPr="00727139">
        <w:rPr>
          <w:rFonts w:ascii="Times New Roman" w:eastAsia="Times New Roman" w:hAnsi="Times New Roman" w:cs="Times New Roman"/>
          <w:i/>
          <w:sz w:val="20"/>
          <w:szCs w:val="20"/>
        </w:rPr>
        <w:t>Minn. L. Rev.</w:t>
      </w:r>
      <w:r w:rsidRPr="00727139">
        <w:rPr>
          <w:rFonts w:ascii="Times New Roman" w:eastAsia="Times New Roman" w:hAnsi="Times New Roman" w:cs="Times New Roman"/>
          <w:sz w:val="20"/>
          <w:szCs w:val="20"/>
        </w:rPr>
        <w:t xml:space="preserve"> (1979) 1–33, p. 1. </w:t>
      </w:r>
    </w:p>
  </w:footnote>
  <w:footnote w:id="158">
    <w:p w14:paraId="65128747" w14:textId="0B42029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Richard Delgado, ‘Religious Totalism: Gentle and Ungentle Persuasion under the First Amendment’, 51(1) </w:t>
      </w:r>
      <w:r w:rsidRPr="00727139">
        <w:rPr>
          <w:rFonts w:ascii="Times New Roman" w:eastAsia="Times New Roman" w:hAnsi="Times New Roman" w:cs="Times New Roman"/>
          <w:i/>
          <w:sz w:val="20"/>
          <w:szCs w:val="20"/>
        </w:rPr>
        <w:t xml:space="preserve">S. Cal. L. Rev. </w:t>
      </w:r>
      <w:r w:rsidRPr="00727139">
        <w:rPr>
          <w:rFonts w:ascii="Times New Roman" w:eastAsia="Times New Roman" w:hAnsi="Times New Roman" w:cs="Times New Roman"/>
          <w:sz w:val="20"/>
          <w:szCs w:val="20"/>
        </w:rPr>
        <w:t xml:space="preserve">1–98, pp. 21-22. </w:t>
      </w:r>
    </w:p>
  </w:footnote>
  <w:footnote w:id="159">
    <w:p w14:paraId="65128748" w14:textId="7E6A0CD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Warburton,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156, p. 75.</w:t>
      </w:r>
    </w:p>
  </w:footnote>
  <w:footnote w:id="160">
    <w:p w14:paraId="65128749" w14:textId="5238507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Alette </w:t>
      </w:r>
      <w:proofErr w:type="spellStart"/>
      <w:r w:rsidRPr="00727139">
        <w:rPr>
          <w:rFonts w:ascii="Times New Roman" w:eastAsia="Times New Roman" w:hAnsi="Times New Roman" w:cs="Times New Roman"/>
          <w:sz w:val="20"/>
          <w:szCs w:val="20"/>
        </w:rPr>
        <w:t>Smeulers</w:t>
      </w:r>
      <w:proofErr w:type="spellEnd"/>
      <w:r w:rsidRPr="00727139">
        <w:rPr>
          <w:rFonts w:ascii="Times New Roman" w:eastAsia="Times New Roman" w:hAnsi="Times New Roman" w:cs="Times New Roman"/>
          <w:sz w:val="20"/>
          <w:szCs w:val="20"/>
        </w:rPr>
        <w:t xml:space="preserve">, ‘Punishing the Enemies of All Mankind’, 251 </w:t>
      </w:r>
      <w:r w:rsidRPr="00727139">
        <w:rPr>
          <w:rFonts w:ascii="Times New Roman" w:eastAsia="Times New Roman" w:hAnsi="Times New Roman" w:cs="Times New Roman"/>
          <w:i/>
          <w:sz w:val="20"/>
          <w:szCs w:val="20"/>
        </w:rPr>
        <w:t xml:space="preserve">L. J. I. L. </w:t>
      </w:r>
      <w:r w:rsidRPr="00727139">
        <w:rPr>
          <w:rFonts w:ascii="Times New Roman" w:eastAsia="Times New Roman" w:hAnsi="Times New Roman" w:cs="Times New Roman"/>
          <w:sz w:val="20"/>
          <w:szCs w:val="20"/>
        </w:rPr>
        <w:t>(2008) 971–993, p. 978.</w:t>
      </w:r>
    </w:p>
  </w:footnote>
  <w:footnote w:id="161">
    <w:p w14:paraId="6512874A" w14:textId="557499E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 977.</w:t>
      </w:r>
    </w:p>
  </w:footnote>
  <w:footnote w:id="162">
    <w:p w14:paraId="6512874B" w14:textId="75424D7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Paul H. Robinson and Lindsay Holcomb, ‘Indoctrination and Social Influence as a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to Crime: Are We Responsible for Who we Are’ (2020) 85(3) </w:t>
      </w:r>
      <w:r w:rsidRPr="00727139">
        <w:rPr>
          <w:rFonts w:ascii="Times New Roman" w:eastAsia="Times New Roman" w:hAnsi="Times New Roman" w:cs="Times New Roman"/>
          <w:i/>
          <w:sz w:val="20"/>
          <w:szCs w:val="20"/>
        </w:rPr>
        <w:t>Mo. L. Rev.</w:t>
      </w:r>
      <w:r w:rsidRPr="00727139">
        <w:rPr>
          <w:rFonts w:ascii="Times New Roman" w:eastAsia="Times New Roman" w:hAnsi="Times New Roman" w:cs="Times New Roman"/>
          <w:sz w:val="20"/>
          <w:szCs w:val="20"/>
        </w:rPr>
        <w:t xml:space="preserve"> 739–801, p. 783. There are four stages: softening up, compliance, </w:t>
      </w:r>
      <w:proofErr w:type="gramStart"/>
      <w:r w:rsidRPr="00727139">
        <w:rPr>
          <w:rFonts w:ascii="Times New Roman" w:eastAsia="Times New Roman" w:hAnsi="Times New Roman" w:cs="Times New Roman"/>
          <w:sz w:val="20"/>
          <w:szCs w:val="20"/>
        </w:rPr>
        <w:t>internalisation</w:t>
      </w:r>
      <w:proofErr w:type="gramEnd"/>
      <w:r w:rsidRPr="00727139">
        <w:rPr>
          <w:rFonts w:ascii="Times New Roman" w:eastAsia="Times New Roman" w:hAnsi="Times New Roman" w:cs="Times New Roman"/>
          <w:sz w:val="20"/>
          <w:szCs w:val="20"/>
        </w:rPr>
        <w:t xml:space="preserve"> and consolidation. Robert S. Baron, ‘Arousal, Capacity, and Intense Indoctrination’, 4(3) </w:t>
      </w:r>
      <w:r w:rsidRPr="00727139">
        <w:rPr>
          <w:rFonts w:ascii="Times New Roman" w:eastAsia="Times New Roman" w:hAnsi="Times New Roman" w:cs="Times New Roman"/>
          <w:i/>
          <w:sz w:val="20"/>
          <w:szCs w:val="20"/>
        </w:rPr>
        <w:t>Pers. Soc. Psychol. Rev.</w:t>
      </w:r>
      <w:r w:rsidRPr="00727139">
        <w:rPr>
          <w:rFonts w:ascii="Times New Roman" w:eastAsia="Times New Roman" w:hAnsi="Times New Roman" w:cs="Times New Roman"/>
          <w:sz w:val="20"/>
          <w:szCs w:val="20"/>
        </w:rPr>
        <w:t xml:space="preserve"> (2000) 238–254, pp. 240–241.</w:t>
      </w:r>
    </w:p>
  </w:footnote>
  <w:footnote w:id="163">
    <w:p w14:paraId="6512874C" w14:textId="0BA216A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Brown,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133, p. 384.</w:t>
      </w:r>
    </w:p>
  </w:footnote>
  <w:footnote w:id="164">
    <w:p w14:paraId="6512874D" w14:textId="644B276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Alette </w:t>
      </w:r>
      <w:proofErr w:type="spellStart"/>
      <w:r w:rsidRPr="00727139">
        <w:rPr>
          <w:rFonts w:ascii="Times New Roman" w:eastAsia="Times New Roman" w:hAnsi="Times New Roman" w:cs="Times New Roman"/>
          <w:sz w:val="20"/>
          <w:szCs w:val="20"/>
        </w:rPr>
        <w:t>Smeulers</w:t>
      </w:r>
      <w:proofErr w:type="spellEnd"/>
      <w:r w:rsidRPr="00727139">
        <w:rPr>
          <w:rFonts w:ascii="Times New Roman" w:eastAsia="Times New Roman" w:hAnsi="Times New Roman" w:cs="Times New Roman"/>
          <w:sz w:val="20"/>
          <w:szCs w:val="20"/>
        </w:rPr>
        <w:t xml:space="preserve"> and Lotte </w:t>
      </w:r>
      <w:proofErr w:type="spellStart"/>
      <w:r w:rsidRPr="00727139">
        <w:rPr>
          <w:rFonts w:ascii="Times New Roman" w:eastAsia="Times New Roman" w:hAnsi="Times New Roman" w:cs="Times New Roman"/>
          <w:sz w:val="20"/>
          <w:szCs w:val="20"/>
        </w:rPr>
        <w:t>Hoex</w:t>
      </w:r>
      <w:proofErr w:type="spellEnd"/>
      <w:r w:rsidRPr="00727139">
        <w:rPr>
          <w:rFonts w:ascii="Times New Roman" w:eastAsia="Times New Roman" w:hAnsi="Times New Roman" w:cs="Times New Roman"/>
          <w:sz w:val="20"/>
          <w:szCs w:val="20"/>
        </w:rPr>
        <w:t xml:space="preserve">, ‘Studying the </w:t>
      </w:r>
      <w:proofErr w:type="spellStart"/>
      <w:r w:rsidRPr="00727139">
        <w:rPr>
          <w:rFonts w:ascii="Times New Roman" w:eastAsia="Times New Roman" w:hAnsi="Times New Roman" w:cs="Times New Roman"/>
          <w:sz w:val="20"/>
          <w:szCs w:val="20"/>
        </w:rPr>
        <w:t>Microdynamics</w:t>
      </w:r>
      <w:proofErr w:type="spellEnd"/>
      <w:r w:rsidRPr="00727139">
        <w:rPr>
          <w:rFonts w:ascii="Times New Roman" w:eastAsia="Times New Roman" w:hAnsi="Times New Roman" w:cs="Times New Roman"/>
          <w:sz w:val="20"/>
          <w:szCs w:val="20"/>
        </w:rPr>
        <w:t xml:space="preserve"> of the Rwandan Genocide’, 50 </w:t>
      </w:r>
      <w:r w:rsidRPr="00727139">
        <w:rPr>
          <w:rFonts w:ascii="Times New Roman" w:eastAsia="Times New Roman" w:hAnsi="Times New Roman" w:cs="Times New Roman"/>
          <w:i/>
          <w:sz w:val="20"/>
          <w:szCs w:val="20"/>
        </w:rPr>
        <w:t xml:space="preserve">Brit. J. Criminology </w:t>
      </w:r>
      <w:r w:rsidRPr="00727139">
        <w:rPr>
          <w:rFonts w:ascii="Times New Roman" w:eastAsia="Times New Roman" w:hAnsi="Times New Roman" w:cs="Times New Roman"/>
          <w:sz w:val="20"/>
          <w:szCs w:val="20"/>
        </w:rPr>
        <w:t xml:space="preserve">(2010) 435–454, p. 447. </w:t>
      </w:r>
    </w:p>
  </w:footnote>
  <w:footnote w:id="165">
    <w:p w14:paraId="6512874E" w14:textId="3232AEF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Smeulers</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160, p. 974.</w:t>
      </w:r>
    </w:p>
  </w:footnote>
  <w:footnote w:id="166">
    <w:p w14:paraId="6512874F" w14:textId="5D6F4E2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Carsten </w:t>
      </w:r>
      <w:proofErr w:type="spellStart"/>
      <w:r w:rsidRPr="00727139">
        <w:rPr>
          <w:rFonts w:ascii="Times New Roman" w:eastAsia="Times New Roman" w:hAnsi="Times New Roman" w:cs="Times New Roman"/>
          <w:sz w:val="20"/>
          <w:szCs w:val="20"/>
        </w:rPr>
        <w:t>Stahn</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A Critical Introduction to International Criminal Law </w:t>
      </w:r>
      <w:r w:rsidRPr="00727139">
        <w:rPr>
          <w:rFonts w:ascii="Times New Roman" w:eastAsia="Times New Roman" w:hAnsi="Times New Roman" w:cs="Times New Roman"/>
          <w:sz w:val="20"/>
          <w:szCs w:val="20"/>
        </w:rPr>
        <w:t>(Cambridge University Press, Cambridge, UK, 2019), p. 129.</w:t>
      </w:r>
    </w:p>
  </w:footnote>
  <w:footnote w:id="167">
    <w:p w14:paraId="65128750" w14:textId="7777777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Warburton,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156, p. 74; James T. Richardson, ‘Cult/Brainwashing Cases and Freedom of Religion’, 33 </w:t>
      </w:r>
      <w:r w:rsidRPr="00727139">
        <w:rPr>
          <w:rFonts w:ascii="Times New Roman" w:eastAsia="Times New Roman" w:hAnsi="Times New Roman" w:cs="Times New Roman"/>
          <w:i/>
          <w:sz w:val="20"/>
          <w:szCs w:val="20"/>
        </w:rPr>
        <w:t xml:space="preserve">J. Church State </w:t>
      </w:r>
      <w:r w:rsidRPr="00727139">
        <w:rPr>
          <w:rFonts w:ascii="Times New Roman" w:eastAsia="Times New Roman" w:hAnsi="Times New Roman" w:cs="Times New Roman"/>
          <w:sz w:val="20"/>
          <w:szCs w:val="20"/>
        </w:rPr>
        <w:t xml:space="preserve">(1991) 55–74, p. 57.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cases in Penners </w:t>
      </w:r>
      <w:proofErr w:type="spellStart"/>
      <w:r w:rsidRPr="00727139">
        <w:rPr>
          <w:rFonts w:ascii="Times New Roman" w:eastAsia="Times New Roman" w:hAnsi="Times New Roman" w:cs="Times New Roman"/>
          <w:sz w:val="20"/>
          <w:szCs w:val="20"/>
        </w:rPr>
        <w:t>Wrosch</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152.</w:t>
      </w:r>
    </w:p>
  </w:footnote>
  <w:footnote w:id="168">
    <w:p w14:paraId="65128751" w14:textId="5122B4C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Penners </w:t>
      </w:r>
      <w:proofErr w:type="spellStart"/>
      <w:r w:rsidRPr="00727139">
        <w:rPr>
          <w:rFonts w:ascii="Times New Roman" w:eastAsia="Times New Roman" w:hAnsi="Times New Roman" w:cs="Times New Roman"/>
          <w:sz w:val="20"/>
          <w:szCs w:val="20"/>
        </w:rPr>
        <w:t>Wrosch</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152, p. 547.</w:t>
      </w:r>
    </w:p>
  </w:footnote>
  <w:footnote w:id="169">
    <w:p w14:paraId="65128752" w14:textId="3B7EBEB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Dominiek</w:t>
      </w:r>
      <w:proofErr w:type="spellEnd"/>
      <w:r w:rsidRPr="00727139">
        <w:rPr>
          <w:rFonts w:ascii="Times New Roman" w:eastAsia="Times New Roman" w:hAnsi="Times New Roman" w:cs="Times New Roman"/>
          <w:sz w:val="20"/>
          <w:szCs w:val="20"/>
        </w:rPr>
        <w:t xml:space="preserve"> D. Coates, ‘Life Inside a Deviant “Religious” Group: Conformity and Commitment as Ensured through “Brainwashing” or as the Result of Normal Processes of Socialisation’, 44 </w:t>
      </w:r>
      <w:r w:rsidRPr="00727139">
        <w:rPr>
          <w:rFonts w:ascii="Times New Roman" w:eastAsia="Times New Roman" w:hAnsi="Times New Roman" w:cs="Times New Roman"/>
          <w:i/>
          <w:sz w:val="20"/>
          <w:szCs w:val="20"/>
        </w:rPr>
        <w:t xml:space="preserve">Int’l J. L. Crime &amp; Just. </w:t>
      </w:r>
      <w:r w:rsidRPr="00727139">
        <w:rPr>
          <w:rFonts w:ascii="Times New Roman" w:eastAsia="Times New Roman" w:hAnsi="Times New Roman" w:cs="Times New Roman"/>
          <w:sz w:val="20"/>
          <w:szCs w:val="20"/>
        </w:rPr>
        <w:t>(2016) 103–121.</w:t>
      </w:r>
    </w:p>
  </w:footnote>
  <w:footnote w:id="170">
    <w:p w14:paraId="65128753" w14:textId="08674CB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U.S.</w:t>
      </w:r>
      <w:r w:rsidRPr="00727139">
        <w:rPr>
          <w:rFonts w:ascii="Times New Roman" w:eastAsia="Times New Roman" w:hAnsi="Times New Roman" w:cs="Times New Roman"/>
          <w:sz w:val="20"/>
          <w:szCs w:val="20"/>
        </w:rPr>
        <w:t xml:space="preserve"> v.</w:t>
      </w:r>
      <w:r w:rsidRPr="00727139">
        <w:rPr>
          <w:rFonts w:ascii="Times New Roman" w:eastAsia="Times New Roman" w:hAnsi="Times New Roman" w:cs="Times New Roman"/>
          <w:i/>
          <w:sz w:val="20"/>
          <w:szCs w:val="20"/>
        </w:rPr>
        <w:t xml:space="preserve"> Hearst, </w:t>
      </w:r>
      <w:r w:rsidRPr="00727139">
        <w:rPr>
          <w:rFonts w:ascii="Times New Roman" w:eastAsia="Times New Roman" w:hAnsi="Times New Roman" w:cs="Times New Roman"/>
          <w:sz w:val="20"/>
          <w:szCs w:val="20"/>
        </w:rPr>
        <w:t>466 F. Supp. 1068, 1071 (N.D. Cal. 1978).</w:t>
      </w:r>
    </w:p>
  </w:footnote>
  <w:footnote w:id="171">
    <w:p w14:paraId="65128754" w14:textId="7DF616D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Delgado,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137, p. 4 </w:t>
      </w:r>
      <w:proofErr w:type="spellStart"/>
      <w:r w:rsidRPr="00727139">
        <w:rPr>
          <w:rFonts w:ascii="Times New Roman" w:eastAsia="Times New Roman" w:hAnsi="Times New Roman" w:cs="Times New Roman"/>
          <w:sz w:val="20"/>
          <w:szCs w:val="20"/>
        </w:rPr>
        <w:t>fn</w:t>
      </w:r>
      <w:proofErr w:type="spellEnd"/>
      <w:r w:rsidRPr="00727139">
        <w:rPr>
          <w:rFonts w:ascii="Times New Roman" w:eastAsia="Times New Roman" w:hAnsi="Times New Roman" w:cs="Times New Roman"/>
          <w:sz w:val="20"/>
          <w:szCs w:val="20"/>
        </w:rPr>
        <w:t xml:space="preserve"> 11.</w:t>
      </w:r>
    </w:p>
  </w:footnote>
  <w:footnote w:id="172">
    <w:p w14:paraId="65128755" w14:textId="64D614B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 xml:space="preserve">v. </w:t>
      </w:r>
      <w:r w:rsidRPr="00727139">
        <w:rPr>
          <w:rFonts w:ascii="Times New Roman" w:eastAsia="Times New Roman" w:hAnsi="Times New Roman" w:cs="Times New Roman"/>
          <w:i/>
          <w:sz w:val="20"/>
          <w:szCs w:val="20"/>
        </w:rPr>
        <w:t xml:space="preserve">Hearst, </w:t>
      </w:r>
      <w:r w:rsidRPr="00727139">
        <w:rPr>
          <w:rFonts w:ascii="Times New Roman" w:eastAsia="Times New Roman" w:hAnsi="Times New Roman" w:cs="Times New Roman"/>
          <w:sz w:val="20"/>
          <w:szCs w:val="20"/>
        </w:rPr>
        <w:t xml:space="preserve">563 F.2d. 1331, 1336–1337; </w:t>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 xml:space="preserve">v. </w:t>
      </w:r>
      <w:r w:rsidRPr="00727139">
        <w:rPr>
          <w:rFonts w:ascii="Times New Roman" w:eastAsia="Times New Roman" w:hAnsi="Times New Roman" w:cs="Times New Roman"/>
          <w:i/>
          <w:sz w:val="20"/>
          <w:szCs w:val="20"/>
        </w:rPr>
        <w:t xml:space="preserve">Hearst, supra </w:t>
      </w:r>
      <w:r w:rsidRPr="00727139">
        <w:rPr>
          <w:rFonts w:ascii="Times New Roman" w:eastAsia="Times New Roman" w:hAnsi="Times New Roman" w:cs="Times New Roman"/>
          <w:sz w:val="20"/>
          <w:szCs w:val="20"/>
        </w:rPr>
        <w:t>note 144, paras. 1071–1072.</w:t>
      </w:r>
    </w:p>
  </w:footnote>
  <w:footnote w:id="173">
    <w:p w14:paraId="65128756" w14:textId="270A53A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004F3B74">
        <w:rPr>
          <w:rFonts w:ascii="Times New Roman" w:eastAsia="Times New Roman" w:hAnsi="Times New Roman" w:cs="Times New Roman"/>
          <w:i/>
          <w:sz w:val="20"/>
          <w:szCs w:val="20"/>
        </w:rPr>
        <w:t>, e.g.</w:t>
      </w:r>
      <w:r w:rsidRPr="00727139">
        <w:rPr>
          <w:rFonts w:ascii="Times New Roman" w:eastAsia="Times New Roman" w:hAnsi="Times New Roman" w:cs="Times New Roman"/>
          <w:sz w:val="20"/>
          <w:szCs w:val="20"/>
        </w:rPr>
        <w:t>, a Court, noting that a 17-year-old member of a cult was able to distinguish right from wrong, was convicted of murder having raised an insanity defence combined with indoctrination (</w:t>
      </w:r>
      <w:r w:rsidRPr="00727139">
        <w:rPr>
          <w:rFonts w:ascii="Times New Roman" w:eastAsia="Times New Roman" w:hAnsi="Times New Roman" w:cs="Times New Roman"/>
          <w:i/>
          <w:sz w:val="20"/>
          <w:szCs w:val="20"/>
        </w:rPr>
        <w:t xml:space="preserve">People </w:t>
      </w:r>
      <w:r w:rsidRPr="00727139">
        <w:rPr>
          <w:rFonts w:ascii="Times New Roman" w:eastAsia="Times New Roman" w:hAnsi="Times New Roman" w:cs="Times New Roman"/>
          <w:sz w:val="20"/>
          <w:szCs w:val="20"/>
        </w:rPr>
        <w:t xml:space="preserve">v. </w:t>
      </w:r>
      <w:r w:rsidRPr="00727139">
        <w:rPr>
          <w:rFonts w:ascii="Times New Roman" w:eastAsia="Times New Roman" w:hAnsi="Times New Roman" w:cs="Times New Roman"/>
          <w:i/>
          <w:sz w:val="20"/>
          <w:szCs w:val="20"/>
        </w:rPr>
        <w:t xml:space="preserve">Hoover, </w:t>
      </w:r>
      <w:r w:rsidRPr="00727139">
        <w:rPr>
          <w:rFonts w:ascii="Times New Roman" w:eastAsia="Times New Roman" w:hAnsi="Times New Roman" w:cs="Times New Roman"/>
          <w:sz w:val="20"/>
          <w:szCs w:val="20"/>
        </w:rPr>
        <w:t xml:space="preserve">187 Cal. App. 3d 1074 (1986), p. 1080.) In </w:t>
      </w:r>
      <w:r w:rsidRPr="00727139">
        <w:rPr>
          <w:rFonts w:ascii="Times New Roman" w:eastAsia="Times New Roman" w:hAnsi="Times New Roman" w:cs="Times New Roman"/>
          <w:i/>
          <w:sz w:val="20"/>
          <w:szCs w:val="20"/>
        </w:rPr>
        <w:t>Ryan</w:t>
      </w:r>
      <w:r w:rsidRPr="00727139">
        <w:rPr>
          <w:rFonts w:ascii="Times New Roman" w:eastAsia="Times New Roman" w:hAnsi="Times New Roman" w:cs="Times New Roman"/>
          <w:sz w:val="20"/>
          <w:szCs w:val="20"/>
        </w:rPr>
        <w:t xml:space="preserve"> which involved a 15-year-old who had tortured and killed a member of the cult of his father who had ordered the crimes, brainwashing was pleaded as part of an insanity defence as he was ‘totally under the domination of his father’ (</w:t>
      </w:r>
      <w:r w:rsidRPr="00727139">
        <w:rPr>
          <w:rFonts w:ascii="Times New Roman" w:eastAsia="Times New Roman" w:hAnsi="Times New Roman" w:cs="Times New Roman"/>
          <w:i/>
          <w:sz w:val="20"/>
          <w:szCs w:val="20"/>
        </w:rPr>
        <w:t xml:space="preserve">State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Ryan,</w:t>
      </w:r>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sz w:val="20"/>
          <w:szCs w:val="20"/>
          <w:highlight w:val="white"/>
        </w:rPr>
        <w:t>226 Neb. 59, 409 N.W.2d 579 (1987)</w:t>
      </w:r>
      <w:r w:rsidRPr="00727139">
        <w:rPr>
          <w:rFonts w:ascii="Times New Roman" w:eastAsia="Times New Roman" w:hAnsi="Times New Roman" w:cs="Times New Roman"/>
          <w:color w:val="2F2F2F"/>
          <w:sz w:val="20"/>
          <w:szCs w:val="20"/>
          <w:highlight w:val="white"/>
        </w:rPr>
        <w:t>, p. 72).</w:t>
      </w:r>
      <w:r w:rsidRPr="00727139">
        <w:rPr>
          <w:rFonts w:ascii="Times New Roman" w:eastAsia="Times New Roman" w:hAnsi="Times New Roman" w:cs="Times New Roman"/>
          <w:sz w:val="20"/>
          <w:szCs w:val="20"/>
        </w:rPr>
        <w:t xml:space="preserve"> The Court found he understood the nature of his acts and willingly and enthusiastically participated in the murder. Malvo, a 17-year-old sniper, raised the defence of indoctrination, claiming to be under the control of his elder companion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Thomas D. Nolan III, ‘The Indoctrination </w:t>
      </w:r>
      <w:proofErr w:type="spellStart"/>
      <w:r w:rsidRPr="00727139">
        <w:rPr>
          <w:rFonts w:ascii="Times New Roman" w:eastAsia="Times New Roman" w:hAnsi="Times New Roman" w:cs="Times New Roman"/>
          <w:sz w:val="20"/>
          <w:szCs w:val="20"/>
        </w:rPr>
        <w:t>Defense</w:t>
      </w:r>
      <w:proofErr w:type="spellEnd"/>
      <w:r w:rsidRPr="00727139">
        <w:rPr>
          <w:rFonts w:ascii="Times New Roman" w:eastAsia="Times New Roman" w:hAnsi="Times New Roman" w:cs="Times New Roman"/>
          <w:sz w:val="20"/>
          <w:szCs w:val="20"/>
        </w:rPr>
        <w:t xml:space="preserve">: From the Korean War to Lee Boyd Malvo’, 11 </w:t>
      </w:r>
      <w:r w:rsidRPr="00727139">
        <w:rPr>
          <w:rFonts w:ascii="Times New Roman" w:eastAsia="Times New Roman" w:hAnsi="Times New Roman" w:cs="Times New Roman"/>
          <w:i/>
          <w:sz w:val="20"/>
          <w:szCs w:val="20"/>
        </w:rPr>
        <w:t xml:space="preserve">Va. J. Soc. </w:t>
      </w:r>
      <w:proofErr w:type="spellStart"/>
      <w:r w:rsidRPr="00727139">
        <w:rPr>
          <w:rFonts w:ascii="Times New Roman" w:eastAsia="Times New Roman" w:hAnsi="Times New Roman" w:cs="Times New Roman"/>
          <w:i/>
          <w:sz w:val="20"/>
          <w:szCs w:val="20"/>
        </w:rPr>
        <w:t>Pol’y</w:t>
      </w:r>
      <w:proofErr w:type="spellEnd"/>
      <w:r w:rsidRPr="00727139">
        <w:rPr>
          <w:rFonts w:ascii="Times New Roman" w:eastAsia="Times New Roman" w:hAnsi="Times New Roman" w:cs="Times New Roman"/>
          <w:i/>
          <w:sz w:val="20"/>
          <w:szCs w:val="20"/>
        </w:rPr>
        <w:t xml:space="preserve"> &amp; L. </w:t>
      </w:r>
      <w:r w:rsidRPr="00727139">
        <w:rPr>
          <w:rFonts w:ascii="Times New Roman" w:eastAsia="Times New Roman" w:hAnsi="Times New Roman" w:cs="Times New Roman"/>
          <w:sz w:val="20"/>
          <w:szCs w:val="20"/>
        </w:rPr>
        <w:t>(2003-2004) 435–465, pp. 451–455).</w:t>
      </w:r>
    </w:p>
  </w:footnote>
  <w:footnote w:id="174">
    <w:p w14:paraId="65128757" w14:textId="7BFCEFE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No author, ‘Misconduct in the Prison Camp: A Survey of the Law and an Analysis of the Korean Cases’, 56 </w:t>
      </w:r>
      <w:r w:rsidRPr="00727139">
        <w:rPr>
          <w:rFonts w:ascii="Times New Roman" w:eastAsia="Times New Roman" w:hAnsi="Times New Roman" w:cs="Times New Roman"/>
          <w:i/>
          <w:sz w:val="20"/>
          <w:szCs w:val="20"/>
        </w:rPr>
        <w:t xml:space="preserve">Colum. L. Rev. </w:t>
      </w:r>
      <w:r w:rsidRPr="00727139">
        <w:rPr>
          <w:rFonts w:ascii="Times New Roman" w:eastAsia="Times New Roman" w:hAnsi="Times New Roman" w:cs="Times New Roman"/>
          <w:sz w:val="20"/>
          <w:szCs w:val="20"/>
        </w:rPr>
        <w:t>(1956) 709–794, p. 722.</w:t>
      </w:r>
    </w:p>
  </w:footnote>
  <w:footnote w:id="175">
    <w:p w14:paraId="65128758" w14:textId="318BFCE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Edgar Schein, </w:t>
      </w:r>
      <w:r w:rsidRPr="00727139">
        <w:rPr>
          <w:rFonts w:ascii="Times New Roman" w:eastAsia="Times New Roman" w:hAnsi="Times New Roman" w:cs="Times New Roman"/>
          <w:i/>
          <w:sz w:val="20"/>
          <w:szCs w:val="20"/>
        </w:rPr>
        <w:t xml:space="preserve">Coercive Persuasion: A Socio-Psychological Analysis of the ‘Brainwashing’ of American Civilian Prisoners by the Chinese Communists </w:t>
      </w:r>
      <w:r w:rsidRPr="00727139">
        <w:rPr>
          <w:rFonts w:ascii="Times New Roman" w:eastAsia="Times New Roman" w:hAnsi="Times New Roman" w:cs="Times New Roman"/>
          <w:sz w:val="20"/>
          <w:szCs w:val="20"/>
        </w:rPr>
        <w:t xml:space="preserve">(W. W. Norton, New York, 1961); Vanessa Merton and Robert </w:t>
      </w:r>
      <w:proofErr w:type="spellStart"/>
      <w:r w:rsidRPr="00727139">
        <w:rPr>
          <w:rFonts w:ascii="Times New Roman" w:eastAsia="Times New Roman" w:hAnsi="Times New Roman" w:cs="Times New Roman"/>
          <w:sz w:val="20"/>
          <w:szCs w:val="20"/>
        </w:rPr>
        <w:t>Kinscherff</w:t>
      </w:r>
      <w:proofErr w:type="spellEnd"/>
      <w:r w:rsidRPr="00727139">
        <w:rPr>
          <w:rFonts w:ascii="Times New Roman" w:eastAsia="Times New Roman" w:hAnsi="Times New Roman" w:cs="Times New Roman"/>
          <w:sz w:val="20"/>
          <w:szCs w:val="20"/>
        </w:rPr>
        <w:t xml:space="preserve">, ‘Coercive Persuasion and the “Culpable Mind”’, 11(3) </w:t>
      </w:r>
      <w:r w:rsidRPr="00727139">
        <w:rPr>
          <w:rFonts w:ascii="Times New Roman" w:eastAsia="Times New Roman" w:hAnsi="Times New Roman" w:cs="Times New Roman"/>
          <w:i/>
          <w:sz w:val="20"/>
          <w:szCs w:val="20"/>
        </w:rPr>
        <w:t xml:space="preserve">Hastings </w:t>
      </w:r>
      <w:proofErr w:type="spellStart"/>
      <w:r w:rsidRPr="00727139">
        <w:rPr>
          <w:rFonts w:ascii="Times New Roman" w:eastAsia="Times New Roman" w:hAnsi="Times New Roman" w:cs="Times New Roman"/>
          <w:i/>
          <w:sz w:val="20"/>
          <w:szCs w:val="20"/>
        </w:rPr>
        <w:t>Center</w:t>
      </w:r>
      <w:proofErr w:type="spellEnd"/>
      <w:r w:rsidRPr="00727139">
        <w:rPr>
          <w:rFonts w:ascii="Times New Roman" w:eastAsia="Times New Roman" w:hAnsi="Times New Roman" w:cs="Times New Roman"/>
          <w:i/>
          <w:sz w:val="20"/>
          <w:szCs w:val="20"/>
        </w:rPr>
        <w:t xml:space="preserve"> Report </w:t>
      </w:r>
      <w:r w:rsidRPr="00727139">
        <w:rPr>
          <w:rFonts w:ascii="Times New Roman" w:eastAsia="Times New Roman" w:hAnsi="Times New Roman" w:cs="Times New Roman"/>
          <w:sz w:val="20"/>
          <w:szCs w:val="20"/>
        </w:rPr>
        <w:t>(1981) 5–8, p. 6.</w:t>
      </w:r>
    </w:p>
  </w:footnote>
  <w:footnote w:id="176">
    <w:p w14:paraId="65128759" w14:textId="62722C8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Edward Hunter, </w:t>
      </w:r>
      <w:r w:rsidRPr="00727139">
        <w:rPr>
          <w:rFonts w:ascii="Times New Roman" w:eastAsia="Times New Roman" w:hAnsi="Times New Roman" w:cs="Times New Roman"/>
          <w:i/>
          <w:sz w:val="20"/>
          <w:szCs w:val="20"/>
        </w:rPr>
        <w:t xml:space="preserve">Brainwashing: From Pavlov to Power </w:t>
      </w:r>
      <w:r w:rsidRPr="00727139">
        <w:rPr>
          <w:rFonts w:ascii="Times New Roman" w:eastAsia="Times New Roman" w:hAnsi="Times New Roman" w:cs="Times New Roman"/>
          <w:sz w:val="20"/>
          <w:szCs w:val="20"/>
        </w:rPr>
        <w:t xml:space="preserve">(The </w:t>
      </w:r>
      <w:proofErr w:type="spellStart"/>
      <w:r w:rsidRPr="00727139">
        <w:rPr>
          <w:rFonts w:ascii="Times New Roman" w:eastAsia="Times New Roman" w:hAnsi="Times New Roman" w:cs="Times New Roman"/>
          <w:sz w:val="20"/>
          <w:szCs w:val="20"/>
        </w:rPr>
        <w:t>Bookmailer</w:t>
      </w:r>
      <w:proofErr w:type="spellEnd"/>
      <w:r w:rsidRPr="00727139">
        <w:rPr>
          <w:rFonts w:ascii="Times New Roman" w:eastAsia="Times New Roman" w:hAnsi="Times New Roman" w:cs="Times New Roman"/>
          <w:sz w:val="20"/>
          <w:szCs w:val="20"/>
        </w:rPr>
        <w:t>, New York, 1956).</w:t>
      </w:r>
    </w:p>
  </w:footnote>
  <w:footnote w:id="177">
    <w:p w14:paraId="6512875A" w14:textId="5E83A926"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Robert </w:t>
      </w:r>
      <w:proofErr w:type="spellStart"/>
      <w:r w:rsidRPr="00727139">
        <w:rPr>
          <w:rFonts w:ascii="Times New Roman" w:eastAsia="Times New Roman" w:hAnsi="Times New Roman" w:cs="Times New Roman"/>
          <w:sz w:val="20"/>
          <w:szCs w:val="20"/>
        </w:rPr>
        <w:t>Lifton</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Thought </w:t>
      </w:r>
      <w:proofErr w:type="gramStart"/>
      <w:r w:rsidRPr="00727139">
        <w:rPr>
          <w:rFonts w:ascii="Times New Roman" w:eastAsia="Times New Roman" w:hAnsi="Times New Roman" w:cs="Times New Roman"/>
          <w:i/>
          <w:sz w:val="20"/>
          <w:szCs w:val="20"/>
        </w:rPr>
        <w:t>Reform</w:t>
      </w:r>
      <w:proofErr w:type="gramEnd"/>
      <w:r w:rsidRPr="00727139">
        <w:rPr>
          <w:rFonts w:ascii="Times New Roman" w:eastAsia="Times New Roman" w:hAnsi="Times New Roman" w:cs="Times New Roman"/>
          <w:i/>
          <w:sz w:val="20"/>
          <w:szCs w:val="20"/>
        </w:rPr>
        <w:t xml:space="preserve"> and the Psychology of Totalism: A Study of ‘Brainwashing’ in China </w:t>
      </w:r>
      <w:r w:rsidRPr="00727139">
        <w:rPr>
          <w:rFonts w:ascii="Times New Roman" w:eastAsia="Times New Roman" w:hAnsi="Times New Roman" w:cs="Times New Roman"/>
          <w:sz w:val="20"/>
          <w:szCs w:val="20"/>
        </w:rPr>
        <w:t>(W.W. Norton and Co., New York, 1963).</w:t>
      </w:r>
    </w:p>
  </w:footnote>
  <w:footnote w:id="178">
    <w:p w14:paraId="6512875B" w14:textId="7777777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Robinson,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138, p. 66.</w:t>
      </w:r>
    </w:p>
  </w:footnote>
  <w:footnote w:id="179">
    <w:p w14:paraId="6512875C" w14:textId="0C52C60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174, pp. 725–733. </w:t>
      </w:r>
    </w:p>
  </w:footnote>
  <w:footnote w:id="180">
    <w:p w14:paraId="6512875D" w14:textId="2254050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33 American POWs originally refused to be repatriated, then 20 stayed behind (No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174,</w:t>
      </w:r>
      <w:r w:rsidRPr="00727139">
        <w:rPr>
          <w:rFonts w:ascii="Times New Roman" w:eastAsia="Times New Roman" w:hAnsi="Times New Roman" w:cs="Times New Roman"/>
          <w:sz w:val="20"/>
          <w:szCs w:val="20"/>
          <w:highlight w:val="yellow"/>
        </w:rPr>
        <w:t xml:space="preserve"> </w:t>
      </w:r>
      <w:r w:rsidRPr="00727139">
        <w:rPr>
          <w:rFonts w:ascii="Times New Roman" w:eastAsia="Times New Roman" w:hAnsi="Times New Roman" w:cs="Times New Roman"/>
          <w:sz w:val="20"/>
          <w:szCs w:val="20"/>
        </w:rPr>
        <w:t xml:space="preserve">pp. 734–735). All but two returned to the US (Geoffrey S. Moakley, </w:t>
      </w:r>
      <w:r w:rsidRPr="00727139">
        <w:rPr>
          <w:rFonts w:ascii="Times New Roman" w:eastAsia="Times New Roman" w:hAnsi="Times New Roman" w:cs="Times New Roman"/>
          <w:i/>
          <w:sz w:val="20"/>
          <w:szCs w:val="20"/>
        </w:rPr>
        <w:t xml:space="preserve">U.S. Army Code of Conduct Training: Let the POWs Tell their Stories, </w:t>
      </w:r>
      <w:r w:rsidRPr="00727139">
        <w:rPr>
          <w:rFonts w:ascii="Times New Roman" w:eastAsia="Times New Roman" w:hAnsi="Times New Roman" w:cs="Times New Roman"/>
          <w:sz w:val="20"/>
          <w:szCs w:val="20"/>
        </w:rPr>
        <w:t xml:space="preserve">Command and General Staff College MMAS Thesis, Fort Leavenworth Kansas, 11 June 1976, p. 97).  </w:t>
      </w:r>
    </w:p>
  </w:footnote>
  <w:footnote w:id="181">
    <w:p w14:paraId="6512875E" w14:textId="0933C68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Monica Felton, ‘War Zone - </w:t>
      </w:r>
      <w:proofErr w:type="spellStart"/>
      <w:r w:rsidRPr="00727139">
        <w:rPr>
          <w:rFonts w:ascii="Times New Roman" w:eastAsia="Times New Roman" w:hAnsi="Times New Roman" w:cs="Times New Roman"/>
          <w:sz w:val="20"/>
          <w:szCs w:val="20"/>
        </w:rPr>
        <w:t>PoW</w:t>
      </w:r>
      <w:proofErr w:type="spellEnd"/>
      <w:r w:rsidRPr="00727139">
        <w:rPr>
          <w:rFonts w:ascii="Times New Roman" w:eastAsia="Times New Roman" w:hAnsi="Times New Roman" w:cs="Times New Roman"/>
          <w:sz w:val="20"/>
          <w:szCs w:val="20"/>
        </w:rPr>
        <w:t xml:space="preserve"> Camp, Korea 1952’, 15 August 2012, </w:t>
      </w:r>
      <w:r w:rsidRPr="00727139">
        <w:rPr>
          <w:rFonts w:ascii="Times New Roman" w:eastAsia="Times New Roman" w:hAnsi="Times New Roman" w:cs="Times New Roman"/>
          <w:i/>
          <w:sz w:val="20"/>
          <w:szCs w:val="20"/>
        </w:rPr>
        <w:t>Military History Matters</w:t>
      </w:r>
      <w:r w:rsidRPr="00727139">
        <w:rPr>
          <w:rFonts w:ascii="Times New Roman" w:eastAsia="Times New Roman" w:hAnsi="Times New Roman" w:cs="Times New Roman"/>
          <w:sz w:val="20"/>
          <w:szCs w:val="20"/>
        </w:rPr>
        <w:t xml:space="preserve">; Kim </w:t>
      </w:r>
      <w:proofErr w:type="spellStart"/>
      <w:r w:rsidRPr="00727139">
        <w:rPr>
          <w:rFonts w:ascii="Times New Roman" w:eastAsia="Times New Roman" w:hAnsi="Times New Roman" w:cs="Times New Roman"/>
          <w:sz w:val="20"/>
          <w:szCs w:val="20"/>
        </w:rPr>
        <w:t>Hoedong</w:t>
      </w:r>
      <w:proofErr w:type="spellEnd"/>
      <w:r w:rsidRPr="00727139">
        <w:rPr>
          <w:rFonts w:ascii="Times New Roman" w:eastAsia="Times New Roman" w:hAnsi="Times New Roman" w:cs="Times New Roman"/>
          <w:sz w:val="20"/>
          <w:szCs w:val="20"/>
        </w:rPr>
        <w:t xml:space="preserve">, ‘The Korean War (1950-953) and the Treatment of Prisoners of War’, in Suzannah Linton, Tim McCormack and Sandesh Sivakumaran (eds), </w:t>
      </w:r>
      <w:r w:rsidRPr="00727139">
        <w:rPr>
          <w:rFonts w:ascii="Times New Roman" w:eastAsia="Times New Roman" w:hAnsi="Times New Roman" w:cs="Times New Roman"/>
          <w:i/>
          <w:sz w:val="20"/>
          <w:szCs w:val="20"/>
        </w:rPr>
        <w:t xml:space="preserve">Asia-Pacific Perspectives on International Humanitarian Law </w:t>
      </w:r>
      <w:r w:rsidRPr="00727139">
        <w:rPr>
          <w:rFonts w:ascii="Times New Roman" w:eastAsia="Times New Roman" w:hAnsi="Times New Roman" w:cs="Times New Roman"/>
          <w:sz w:val="20"/>
          <w:szCs w:val="20"/>
        </w:rPr>
        <w:t>(Cambridge University Press, Cambridge, 2019) 356–365, pp. 363–366.</w:t>
      </w:r>
    </w:p>
  </w:footnote>
  <w:footnote w:id="182">
    <w:p w14:paraId="6512875F" w14:textId="10E0554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Marie-Catherine </w:t>
      </w:r>
      <w:proofErr w:type="spellStart"/>
      <w:r w:rsidRPr="00727139">
        <w:rPr>
          <w:rFonts w:ascii="Times New Roman" w:eastAsia="Times New Roman" w:hAnsi="Times New Roman" w:cs="Times New Roman"/>
          <w:sz w:val="20"/>
          <w:szCs w:val="20"/>
        </w:rPr>
        <w:t>Villatoux</w:t>
      </w:r>
      <w:proofErr w:type="spellEnd"/>
      <w:r w:rsidRPr="00727139">
        <w:rPr>
          <w:rFonts w:ascii="Times New Roman" w:eastAsia="Times New Roman" w:hAnsi="Times New Roman" w:cs="Times New Roman"/>
          <w:sz w:val="20"/>
          <w:szCs w:val="20"/>
        </w:rPr>
        <w:t>, ‘</w:t>
      </w:r>
      <w:proofErr w:type="spellStart"/>
      <w:r w:rsidRPr="00727139">
        <w:rPr>
          <w:rFonts w:ascii="Times New Roman" w:eastAsia="Times New Roman" w:hAnsi="Times New Roman" w:cs="Times New Roman"/>
          <w:sz w:val="20"/>
          <w:szCs w:val="20"/>
        </w:rPr>
        <w:t>Traitement</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psychologique</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endoctrinement</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contre-endoctrinement</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en</w:t>
      </w:r>
      <w:proofErr w:type="spellEnd"/>
      <w:r w:rsidRPr="00727139">
        <w:rPr>
          <w:rFonts w:ascii="Times New Roman" w:eastAsia="Times New Roman" w:hAnsi="Times New Roman" w:cs="Times New Roman"/>
          <w:sz w:val="20"/>
          <w:szCs w:val="20"/>
        </w:rPr>
        <w:t xml:space="preserve"> guerre </w:t>
      </w:r>
      <w:proofErr w:type="spellStart"/>
      <w:r w:rsidRPr="00727139">
        <w:rPr>
          <w:rFonts w:ascii="Times New Roman" w:eastAsia="Times New Roman" w:hAnsi="Times New Roman" w:cs="Times New Roman"/>
          <w:sz w:val="20"/>
          <w:szCs w:val="20"/>
        </w:rPr>
        <w:t>d’Algérie</w:t>
      </w:r>
      <w:proofErr w:type="spellEnd"/>
      <w:r w:rsidRPr="00727139">
        <w:rPr>
          <w:rFonts w:ascii="Times New Roman" w:eastAsia="Times New Roman" w:hAnsi="Times New Roman" w:cs="Times New Roman"/>
          <w:sz w:val="20"/>
          <w:szCs w:val="20"/>
        </w:rPr>
        <w:t xml:space="preserve">: le </w:t>
      </w:r>
      <w:proofErr w:type="spellStart"/>
      <w:r w:rsidRPr="00727139">
        <w:rPr>
          <w:rFonts w:ascii="Times New Roman" w:eastAsia="Times New Roman" w:hAnsi="Times New Roman" w:cs="Times New Roman"/>
          <w:sz w:val="20"/>
          <w:szCs w:val="20"/>
        </w:rPr>
        <w:t>cas</w:t>
      </w:r>
      <w:proofErr w:type="spellEnd"/>
      <w:r w:rsidRPr="00727139">
        <w:rPr>
          <w:rFonts w:ascii="Times New Roman" w:eastAsia="Times New Roman" w:hAnsi="Times New Roman" w:cs="Times New Roman"/>
          <w:sz w:val="20"/>
          <w:szCs w:val="20"/>
        </w:rPr>
        <w:t xml:space="preserve"> des </w:t>
      </w:r>
      <w:proofErr w:type="spellStart"/>
      <w:r w:rsidRPr="00727139">
        <w:rPr>
          <w:rFonts w:ascii="Times New Roman" w:eastAsia="Times New Roman" w:hAnsi="Times New Roman" w:cs="Times New Roman"/>
          <w:sz w:val="20"/>
          <w:szCs w:val="20"/>
        </w:rPr>
        <w:t>camps</w:t>
      </w:r>
      <w:proofErr w:type="spellEnd"/>
      <w:r w:rsidRPr="00727139">
        <w:rPr>
          <w:rFonts w:ascii="Times New Roman" w:eastAsia="Times New Roman" w:hAnsi="Times New Roman" w:cs="Times New Roman"/>
          <w:sz w:val="20"/>
          <w:szCs w:val="20"/>
        </w:rPr>
        <w:t xml:space="preserve"> de </w:t>
      </w:r>
      <w:proofErr w:type="spellStart"/>
      <w:r w:rsidRPr="00727139">
        <w:rPr>
          <w:rFonts w:ascii="Times New Roman" w:eastAsia="Times New Roman" w:hAnsi="Times New Roman" w:cs="Times New Roman"/>
          <w:sz w:val="20"/>
          <w:szCs w:val="20"/>
        </w:rPr>
        <w:t>détention</w:t>
      </w:r>
      <w:proofErr w:type="spellEnd"/>
      <w:r w:rsidRPr="00727139">
        <w:rPr>
          <w:rFonts w:ascii="Times New Roman" w:eastAsia="Times New Roman" w:hAnsi="Times New Roman" w:cs="Times New Roman"/>
          <w:sz w:val="20"/>
          <w:szCs w:val="20"/>
        </w:rPr>
        <w:t xml:space="preserve">’, 4(208) </w:t>
      </w:r>
      <w:proofErr w:type="spellStart"/>
      <w:r w:rsidRPr="00727139">
        <w:rPr>
          <w:rFonts w:ascii="Times New Roman" w:eastAsia="Times New Roman" w:hAnsi="Times New Roman" w:cs="Times New Roman"/>
          <w:i/>
          <w:color w:val="202124"/>
          <w:sz w:val="20"/>
          <w:szCs w:val="20"/>
          <w:highlight w:val="white"/>
        </w:rPr>
        <w:t>Guerr</w:t>
      </w:r>
      <w:proofErr w:type="spellEnd"/>
      <w:r w:rsidRPr="00727139">
        <w:rPr>
          <w:rFonts w:ascii="Times New Roman" w:eastAsia="Times New Roman" w:hAnsi="Times New Roman" w:cs="Times New Roman"/>
          <w:i/>
          <w:color w:val="202124"/>
          <w:sz w:val="20"/>
          <w:szCs w:val="20"/>
          <w:highlight w:val="white"/>
        </w:rPr>
        <w:t xml:space="preserve">. Mond. </w:t>
      </w:r>
      <w:proofErr w:type="spellStart"/>
      <w:r w:rsidRPr="00727139">
        <w:rPr>
          <w:rFonts w:ascii="Times New Roman" w:eastAsia="Times New Roman" w:hAnsi="Times New Roman" w:cs="Times New Roman"/>
          <w:i/>
          <w:color w:val="202124"/>
          <w:sz w:val="20"/>
          <w:szCs w:val="20"/>
          <w:highlight w:val="white"/>
        </w:rPr>
        <w:t>Confl</w:t>
      </w:r>
      <w:proofErr w:type="spellEnd"/>
      <w:r w:rsidRPr="00727139">
        <w:rPr>
          <w:rFonts w:ascii="Times New Roman" w:eastAsia="Times New Roman" w:hAnsi="Times New Roman" w:cs="Times New Roman"/>
          <w:i/>
          <w:color w:val="202124"/>
          <w:sz w:val="20"/>
          <w:szCs w:val="20"/>
          <w:highlight w:val="white"/>
        </w:rPr>
        <w:t>. Contemp.</w:t>
      </w:r>
      <w:r w:rsidRPr="00727139">
        <w:rPr>
          <w:rFonts w:ascii="Times New Roman" w:eastAsia="Times New Roman" w:hAnsi="Times New Roman" w:cs="Times New Roman"/>
          <w:sz w:val="20"/>
          <w:szCs w:val="20"/>
        </w:rPr>
        <w:t xml:space="preserve"> (2002) 45–54, pp. 47–50.</w:t>
      </w:r>
    </w:p>
  </w:footnote>
  <w:footnote w:id="183">
    <w:p w14:paraId="65128760" w14:textId="44ABE0E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Our research did not yield any results. </w:t>
      </w:r>
    </w:p>
  </w:footnote>
  <w:footnote w:id="184">
    <w:p w14:paraId="65128761" w14:textId="0FA193B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highlight w:val="yellow"/>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No author, ‘Garwood Trial Offers Lok (sic) at Harsh Life of P.O.W.’s’, </w:t>
      </w:r>
      <w:r w:rsidRPr="00727139">
        <w:rPr>
          <w:rFonts w:ascii="Times New Roman" w:eastAsia="Times New Roman" w:hAnsi="Times New Roman" w:cs="Times New Roman"/>
          <w:i/>
          <w:sz w:val="20"/>
          <w:szCs w:val="20"/>
        </w:rPr>
        <w:t xml:space="preserve">New York Times, </w:t>
      </w:r>
      <w:r w:rsidRPr="00727139">
        <w:rPr>
          <w:rFonts w:ascii="Times New Roman" w:eastAsia="Times New Roman" w:hAnsi="Times New Roman" w:cs="Times New Roman"/>
          <w:sz w:val="20"/>
          <w:szCs w:val="20"/>
        </w:rPr>
        <w:t>23 November 1980.</w:t>
      </w:r>
    </w:p>
  </w:footnote>
  <w:footnote w:id="185">
    <w:p w14:paraId="65128762" w14:textId="3698668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Robinson,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138, p. 67.</w:t>
      </w:r>
    </w:p>
  </w:footnote>
  <w:footnote w:id="186">
    <w:p w14:paraId="65128763" w14:textId="0677A24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Gary D. Solis, </w:t>
      </w:r>
      <w:r w:rsidRPr="00727139">
        <w:rPr>
          <w:rFonts w:ascii="Times New Roman" w:eastAsia="Times New Roman" w:hAnsi="Times New Roman" w:cs="Times New Roman"/>
          <w:i/>
          <w:sz w:val="20"/>
          <w:szCs w:val="20"/>
        </w:rPr>
        <w:t xml:space="preserve">Marines and Military Law in Vietnam: Trial by Fire </w:t>
      </w:r>
      <w:r w:rsidRPr="00727139">
        <w:rPr>
          <w:rFonts w:ascii="Times New Roman" w:eastAsia="Times New Roman" w:hAnsi="Times New Roman" w:cs="Times New Roman"/>
          <w:sz w:val="20"/>
          <w:szCs w:val="20"/>
        </w:rPr>
        <w:t>(US Marine Corps, Washington DC, 1989)</w:t>
      </w:r>
      <w:r w:rsidRPr="00727139">
        <w:rPr>
          <w:rFonts w:ascii="Times New Roman" w:eastAsia="Times New Roman" w:hAnsi="Times New Roman" w:cs="Times New Roman"/>
          <w:i/>
          <w:sz w:val="20"/>
          <w:szCs w:val="20"/>
        </w:rPr>
        <w:t>,</w:t>
      </w:r>
      <w:r w:rsidRPr="00727139">
        <w:rPr>
          <w:rFonts w:ascii="Times New Roman" w:eastAsia="Times New Roman" w:hAnsi="Times New Roman" w:cs="Times New Roman"/>
          <w:sz w:val="20"/>
          <w:szCs w:val="20"/>
        </w:rPr>
        <w:t xml:space="preserve"> pp. 218 and 221.</w:t>
      </w:r>
    </w:p>
  </w:footnote>
  <w:footnote w:id="187">
    <w:p w14:paraId="65128764" w14:textId="6A4F7CE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174, pp. 769–771.</w:t>
      </w:r>
    </w:p>
  </w:footnote>
  <w:footnote w:id="188">
    <w:p w14:paraId="65128765" w14:textId="6BFEB94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i/>
          <w:sz w:val="20"/>
          <w:szCs w:val="20"/>
        </w:rPr>
        <w:t>i</w:t>
      </w:r>
      <w:r w:rsidRPr="00727139">
        <w:rPr>
          <w:rFonts w:ascii="Times New Roman" w:eastAsia="Times New Roman" w:hAnsi="Times New Roman" w:cs="Times New Roman"/>
          <w:i/>
          <w:sz w:val="20"/>
          <w:szCs w:val="20"/>
        </w:rPr>
        <w:t>bid.</w:t>
      </w:r>
      <w:r w:rsidRPr="00727139">
        <w:rPr>
          <w:rFonts w:ascii="Times New Roman" w:eastAsia="Times New Roman" w:hAnsi="Times New Roman" w:cs="Times New Roman"/>
          <w:sz w:val="20"/>
          <w:szCs w:val="20"/>
        </w:rPr>
        <w:t xml:space="preserve">, p. 770. Nolan III however explains that this case ‘was not a judicial ruling’. Nolan,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173, p. 440 </w:t>
      </w:r>
      <w:proofErr w:type="spellStart"/>
      <w:r w:rsidRPr="00727139">
        <w:rPr>
          <w:rFonts w:ascii="Times New Roman" w:eastAsia="Times New Roman" w:hAnsi="Times New Roman" w:cs="Times New Roman"/>
          <w:sz w:val="20"/>
          <w:szCs w:val="20"/>
        </w:rPr>
        <w:t>fn</w:t>
      </w:r>
      <w:proofErr w:type="spellEnd"/>
      <w:r w:rsidRPr="00727139">
        <w:rPr>
          <w:rFonts w:ascii="Times New Roman" w:eastAsia="Times New Roman" w:hAnsi="Times New Roman" w:cs="Times New Roman"/>
          <w:sz w:val="20"/>
          <w:szCs w:val="20"/>
        </w:rPr>
        <w:t xml:space="preserve"> 27.</w:t>
      </w:r>
    </w:p>
  </w:footnote>
  <w:footnote w:id="189">
    <w:p w14:paraId="65128766" w14:textId="26178256"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174, pp. 769–770 and Merton and </w:t>
      </w:r>
      <w:proofErr w:type="spellStart"/>
      <w:r w:rsidRPr="00727139">
        <w:rPr>
          <w:rFonts w:ascii="Times New Roman" w:eastAsia="Times New Roman" w:hAnsi="Times New Roman" w:cs="Times New Roman"/>
          <w:sz w:val="20"/>
          <w:szCs w:val="20"/>
        </w:rPr>
        <w:t>Kinscherff</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175, p. 8. </w:t>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e.g.,</w:t>
      </w:r>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Fleming</w:t>
      </w:r>
      <w:r w:rsidRPr="00727139">
        <w:rPr>
          <w:rFonts w:ascii="Times New Roman" w:eastAsia="Times New Roman" w:hAnsi="Times New Roman" w:cs="Times New Roman"/>
          <w:sz w:val="20"/>
          <w:szCs w:val="20"/>
        </w:rPr>
        <w:t>, 19 C.M.R. 438 (1955), aff'd, 23 C.M.R. 7 (1957), pp. 20–21.</w:t>
      </w:r>
    </w:p>
  </w:footnote>
  <w:footnote w:id="190">
    <w:p w14:paraId="65128767" w14:textId="6EEFDC1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174, pp. 770–771.</w:t>
      </w:r>
    </w:p>
  </w:footnote>
  <w:footnote w:id="191">
    <w:p w14:paraId="65128768" w14:textId="02DBE0D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Merton and </w:t>
      </w:r>
      <w:proofErr w:type="spellStart"/>
      <w:r w:rsidRPr="00727139">
        <w:rPr>
          <w:rFonts w:ascii="Times New Roman" w:eastAsia="Times New Roman" w:hAnsi="Times New Roman" w:cs="Times New Roman"/>
          <w:sz w:val="20"/>
          <w:szCs w:val="20"/>
        </w:rPr>
        <w:t>Kinscherff</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175, p. 5. </w:t>
      </w:r>
    </w:p>
  </w:footnote>
  <w:footnote w:id="192">
    <w:p w14:paraId="65128769" w14:textId="484E24E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Nolan,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173, pp. 439–440 and </w:t>
      </w:r>
      <w:proofErr w:type="spellStart"/>
      <w:r w:rsidRPr="00727139">
        <w:rPr>
          <w:rFonts w:ascii="Times New Roman" w:eastAsia="Times New Roman" w:hAnsi="Times New Roman" w:cs="Times New Roman"/>
          <w:sz w:val="20"/>
          <w:szCs w:val="20"/>
        </w:rPr>
        <w:t>fns</w:t>
      </w:r>
      <w:proofErr w:type="spellEnd"/>
      <w:r w:rsidRPr="00727139">
        <w:rPr>
          <w:rFonts w:ascii="Times New Roman" w:eastAsia="Times New Roman" w:hAnsi="Times New Roman" w:cs="Times New Roman"/>
          <w:sz w:val="20"/>
          <w:szCs w:val="20"/>
        </w:rPr>
        <w:t xml:space="preserve">. 27-28. The brainwashing defence was raised for the first time in </w:t>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Dickenson, </w:t>
      </w:r>
      <w:r w:rsidRPr="00727139">
        <w:rPr>
          <w:rFonts w:ascii="Times New Roman" w:eastAsia="Times New Roman" w:hAnsi="Times New Roman" w:cs="Times New Roman"/>
          <w:sz w:val="20"/>
          <w:szCs w:val="20"/>
        </w:rPr>
        <w:t xml:space="preserve">17 C.M.R. 438, 443 (C.M.A. 1954).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Fred L. </w:t>
      </w:r>
      <w:proofErr w:type="spellStart"/>
      <w:r w:rsidRPr="00727139">
        <w:rPr>
          <w:rFonts w:ascii="Times New Roman" w:eastAsia="Times New Roman" w:hAnsi="Times New Roman" w:cs="Times New Roman"/>
          <w:sz w:val="20"/>
          <w:szCs w:val="20"/>
        </w:rPr>
        <w:t>Borch</w:t>
      </w:r>
      <w:proofErr w:type="spellEnd"/>
      <w:r w:rsidRPr="00727139">
        <w:rPr>
          <w:rFonts w:ascii="Times New Roman" w:eastAsia="Times New Roman" w:hAnsi="Times New Roman" w:cs="Times New Roman"/>
          <w:sz w:val="20"/>
          <w:szCs w:val="20"/>
        </w:rPr>
        <w:t xml:space="preserve">, ‘The Trial of a Korean War “Turncoat”: The Court-Martial of Corporal Edward S. Dickenson’, </w:t>
      </w:r>
      <w:r w:rsidRPr="00727139">
        <w:rPr>
          <w:rFonts w:ascii="Times New Roman" w:eastAsia="Times New Roman" w:hAnsi="Times New Roman" w:cs="Times New Roman"/>
          <w:i/>
          <w:sz w:val="20"/>
          <w:szCs w:val="20"/>
        </w:rPr>
        <w:t xml:space="preserve">Army Law. </w:t>
      </w:r>
      <w:r w:rsidRPr="00727139">
        <w:rPr>
          <w:rFonts w:ascii="Times New Roman" w:eastAsia="Times New Roman" w:hAnsi="Times New Roman" w:cs="Times New Roman"/>
          <w:sz w:val="20"/>
          <w:szCs w:val="20"/>
        </w:rPr>
        <w:t>(January 2013) 1–4.</w:t>
      </w:r>
    </w:p>
  </w:footnote>
  <w:footnote w:id="193">
    <w:p w14:paraId="6512876A" w14:textId="4324800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Solis,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186, p. 228.</w:t>
      </w:r>
    </w:p>
  </w:footnote>
  <w:footnote w:id="194">
    <w:p w14:paraId="6512876B" w14:textId="5FA474D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Merton and </w:t>
      </w:r>
      <w:proofErr w:type="spellStart"/>
      <w:r w:rsidRPr="00727139">
        <w:rPr>
          <w:rFonts w:ascii="Times New Roman" w:eastAsia="Times New Roman" w:hAnsi="Times New Roman" w:cs="Times New Roman"/>
          <w:sz w:val="20"/>
          <w:szCs w:val="20"/>
        </w:rPr>
        <w:t>Kinscherff</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175, p. 5. </w:t>
      </w:r>
    </w:p>
  </w:footnote>
  <w:footnote w:id="195">
    <w:p w14:paraId="6512876C" w14:textId="4A70ACD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xml:space="preserve">, p. 7. </w:t>
      </w:r>
      <w:r w:rsidRPr="00727139">
        <w:rPr>
          <w:rFonts w:ascii="Times New Roman" w:eastAsia="Times New Roman" w:hAnsi="Times New Roman" w:cs="Times New Roman"/>
          <w:i/>
          <w:sz w:val="20"/>
          <w:szCs w:val="20"/>
        </w:rPr>
        <w:t xml:space="preserve">See also </w:t>
      </w:r>
      <w:proofErr w:type="spellStart"/>
      <w:r w:rsidRPr="00727139">
        <w:rPr>
          <w:rFonts w:ascii="Times New Roman" w:eastAsia="Times New Roman" w:hAnsi="Times New Roman" w:cs="Times New Roman"/>
          <w:sz w:val="20"/>
          <w:szCs w:val="20"/>
        </w:rPr>
        <w:t>Pasley’s</w:t>
      </w:r>
      <w:proofErr w:type="spellEnd"/>
      <w:r w:rsidRPr="00727139">
        <w:rPr>
          <w:rFonts w:ascii="Times New Roman" w:eastAsia="Times New Roman" w:hAnsi="Times New Roman" w:cs="Times New Roman"/>
          <w:sz w:val="20"/>
          <w:szCs w:val="20"/>
        </w:rPr>
        <w:t xml:space="preserve"> study of the background of the 21 American POWs who stayed in Korea. Virginia </w:t>
      </w:r>
      <w:proofErr w:type="spellStart"/>
      <w:r w:rsidRPr="00727139">
        <w:rPr>
          <w:rFonts w:ascii="Times New Roman" w:eastAsia="Times New Roman" w:hAnsi="Times New Roman" w:cs="Times New Roman"/>
          <w:sz w:val="20"/>
          <w:szCs w:val="20"/>
        </w:rPr>
        <w:t>Pasley</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21 Stayed: The Story of the American GIs who Chose Communist China: Who they Were and Why they Stayed </w:t>
      </w:r>
      <w:r w:rsidRPr="00727139">
        <w:rPr>
          <w:rFonts w:ascii="Times New Roman" w:eastAsia="Times New Roman" w:hAnsi="Times New Roman" w:cs="Times New Roman"/>
          <w:sz w:val="20"/>
          <w:szCs w:val="20"/>
        </w:rPr>
        <w:t xml:space="preserve">(Farrar, Straus and </w:t>
      </w:r>
      <w:proofErr w:type="spellStart"/>
      <w:r w:rsidRPr="00727139">
        <w:rPr>
          <w:rFonts w:ascii="Times New Roman" w:eastAsia="Times New Roman" w:hAnsi="Times New Roman" w:cs="Times New Roman"/>
          <w:sz w:val="20"/>
          <w:szCs w:val="20"/>
        </w:rPr>
        <w:t>Cuhahy</w:t>
      </w:r>
      <w:proofErr w:type="spellEnd"/>
      <w:r w:rsidRPr="00727139">
        <w:rPr>
          <w:rFonts w:ascii="Times New Roman" w:eastAsia="Times New Roman" w:hAnsi="Times New Roman" w:cs="Times New Roman"/>
          <w:sz w:val="20"/>
          <w:szCs w:val="20"/>
        </w:rPr>
        <w:t>, New York, 1955).</w:t>
      </w:r>
      <w:r w:rsidRPr="00727139">
        <w:rPr>
          <w:rFonts w:ascii="Times New Roman" w:eastAsia="Times New Roman" w:hAnsi="Times New Roman" w:cs="Times New Roman"/>
          <w:i/>
          <w:sz w:val="20"/>
          <w:szCs w:val="20"/>
        </w:rPr>
        <w:t xml:space="preserve"> </w:t>
      </w:r>
    </w:p>
  </w:footnote>
  <w:footnote w:id="196">
    <w:p w14:paraId="6512876D" w14:textId="4A7A21D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Solis,</w:t>
      </w:r>
      <w:r w:rsidRPr="00727139">
        <w:rPr>
          <w:rFonts w:ascii="Times New Roman" w:eastAsia="Times New Roman" w:hAnsi="Times New Roman" w:cs="Times New Roman"/>
          <w:i/>
          <w:sz w:val="20"/>
          <w:szCs w:val="20"/>
        </w:rPr>
        <w:t xml:space="preserve"> supra </w:t>
      </w:r>
      <w:r w:rsidRPr="00727139">
        <w:rPr>
          <w:rFonts w:ascii="Times New Roman" w:eastAsia="Times New Roman" w:hAnsi="Times New Roman" w:cs="Times New Roman"/>
          <w:sz w:val="20"/>
          <w:szCs w:val="20"/>
        </w:rPr>
        <w:t>note 186, p. 224.</w:t>
      </w:r>
    </w:p>
  </w:footnote>
  <w:footnote w:id="197">
    <w:p w14:paraId="6512876E" w14:textId="2E2487C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w:t>
      </w:r>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p. 226.</w:t>
      </w:r>
    </w:p>
  </w:footnote>
  <w:footnote w:id="198">
    <w:p w14:paraId="6512876F" w14:textId="78E96DC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Merton and </w:t>
      </w:r>
      <w:proofErr w:type="spellStart"/>
      <w:r w:rsidRPr="00727139">
        <w:rPr>
          <w:rFonts w:ascii="Times New Roman" w:eastAsia="Times New Roman" w:hAnsi="Times New Roman" w:cs="Times New Roman"/>
          <w:sz w:val="20"/>
          <w:szCs w:val="20"/>
        </w:rPr>
        <w:t>Kinscherff</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175, p. 6.</w:t>
      </w:r>
    </w:p>
  </w:footnote>
  <w:footnote w:id="199">
    <w:p w14:paraId="65128770" w14:textId="58012601"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For Korea, </w:t>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174, pp. 709–794; for Vietnam, </w:t>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Solis,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186, pp. 218–230. </w:t>
      </w:r>
    </w:p>
  </w:footnote>
  <w:footnote w:id="200">
    <w:p w14:paraId="65128771" w14:textId="7468152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One could add Batchelor who at a trial in the POW camp had recommended another POW to be shot. He was however only charged with collaboration and sentenced to 20 years. </w:t>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Batchelor</w:t>
      </w:r>
      <w:r w:rsidRPr="00727139">
        <w:rPr>
          <w:rFonts w:ascii="Times New Roman" w:eastAsia="Times New Roman" w:hAnsi="Times New Roman" w:cs="Times New Roman"/>
          <w:sz w:val="20"/>
          <w:szCs w:val="20"/>
        </w:rPr>
        <w:t xml:space="preserve">, 19 C.M.R. 452 (1955), aff'd, 22 C.M.R. 144 (1956), </w:t>
      </w:r>
      <w:r w:rsidRPr="00727139">
        <w:rPr>
          <w:rFonts w:ascii="Times New Roman" w:eastAsia="Times New Roman" w:hAnsi="Times New Roman" w:cs="Times New Roman"/>
          <w:sz w:val="20"/>
          <w:szCs w:val="20"/>
          <w:highlight w:val="white"/>
        </w:rPr>
        <w:t>7 USCMA 354</w:t>
      </w:r>
      <w:r w:rsidRPr="00727139">
        <w:rPr>
          <w:rFonts w:ascii="Times New Roman" w:eastAsia="Times New Roman" w:hAnsi="Times New Roman" w:cs="Times New Roman"/>
          <w:sz w:val="20"/>
          <w:szCs w:val="20"/>
        </w:rPr>
        <w:t xml:space="preserve">. </w:t>
      </w:r>
    </w:p>
  </w:footnote>
  <w:footnote w:id="201">
    <w:p w14:paraId="65128772" w14:textId="08ED98C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highlight w:val="yellow"/>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174, p. 758. </w:t>
      </w:r>
    </w:p>
  </w:footnote>
  <w:footnote w:id="202">
    <w:p w14:paraId="65128773" w14:textId="1E09AE1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w:t>
      </w:r>
      <w:r w:rsidRPr="00727139">
        <w:rPr>
          <w:rFonts w:ascii="Times New Roman" w:eastAsia="Times New Roman" w:hAnsi="Times New Roman" w:cs="Times New Roman"/>
          <w:sz w:val="20"/>
          <w:szCs w:val="20"/>
        </w:rPr>
        <w:t xml:space="preserve"> No author,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174, p. 761 (referring to </w:t>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 xml:space="preserve">v. </w:t>
      </w:r>
      <w:r w:rsidRPr="00727139">
        <w:rPr>
          <w:rFonts w:ascii="Times New Roman" w:eastAsia="Times New Roman" w:hAnsi="Times New Roman" w:cs="Times New Roman"/>
          <w:i/>
          <w:sz w:val="20"/>
          <w:szCs w:val="20"/>
        </w:rPr>
        <w:t>Floyd</w:t>
      </w:r>
      <w:r w:rsidRPr="00727139">
        <w:rPr>
          <w:rFonts w:ascii="Times New Roman" w:eastAsia="Times New Roman" w:hAnsi="Times New Roman" w:cs="Times New Roman"/>
          <w:sz w:val="20"/>
          <w:szCs w:val="20"/>
        </w:rPr>
        <w:t xml:space="preserve">, 18 C.M.R. 362 (1954); </w:t>
      </w:r>
      <w:r w:rsidRPr="00727139">
        <w:rPr>
          <w:rFonts w:ascii="Times New Roman" w:eastAsia="Times New Roman" w:hAnsi="Times New Roman" w:cs="Times New Roman"/>
          <w:i/>
          <w:sz w:val="20"/>
          <w:szCs w:val="20"/>
        </w:rPr>
        <w:t>U.S.</w:t>
      </w:r>
      <w:r w:rsidRPr="00727139">
        <w:rPr>
          <w:rFonts w:ascii="Times New Roman" w:eastAsia="Times New Roman" w:hAnsi="Times New Roman" w:cs="Times New Roman"/>
          <w:sz w:val="20"/>
          <w:szCs w:val="20"/>
        </w:rPr>
        <w:t xml:space="preserve"> v.</w:t>
      </w:r>
      <w:r w:rsidRPr="00727139">
        <w:rPr>
          <w:rFonts w:ascii="Times New Roman" w:eastAsia="Times New Roman" w:hAnsi="Times New Roman" w:cs="Times New Roman"/>
          <w:i/>
          <w:sz w:val="20"/>
          <w:szCs w:val="20"/>
        </w:rPr>
        <w:t xml:space="preserve"> Floyd</w:t>
      </w:r>
      <w:r w:rsidRPr="00727139">
        <w:rPr>
          <w:rFonts w:ascii="Times New Roman" w:eastAsia="Times New Roman" w:hAnsi="Times New Roman" w:cs="Times New Roman"/>
          <w:sz w:val="20"/>
          <w:szCs w:val="20"/>
        </w:rPr>
        <w:t>, 19 C.M.R. 413 (1955)).</w:t>
      </w:r>
    </w:p>
  </w:footnote>
  <w:footnote w:id="203">
    <w:p w14:paraId="65128774" w14:textId="3F1BD94B"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Solis,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186, p. 228.</w:t>
      </w:r>
    </w:p>
  </w:footnote>
  <w:footnote w:id="204">
    <w:p w14:paraId="65128775" w14:textId="2A6BDF6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Merton and </w:t>
      </w:r>
      <w:proofErr w:type="spellStart"/>
      <w:r w:rsidRPr="00727139">
        <w:rPr>
          <w:rFonts w:ascii="Times New Roman" w:eastAsia="Times New Roman" w:hAnsi="Times New Roman" w:cs="Times New Roman"/>
          <w:sz w:val="20"/>
          <w:szCs w:val="20"/>
        </w:rPr>
        <w:t>Kinscherff</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175, p. 7.</w:t>
      </w:r>
    </w:p>
  </w:footnote>
  <w:footnote w:id="205">
    <w:p w14:paraId="65128776" w14:textId="07670F86"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E.g.,</w:t>
      </w:r>
      <w:r w:rsidRPr="00727139">
        <w:rPr>
          <w:rFonts w:ascii="Times New Roman" w:eastAsia="Times New Roman" w:hAnsi="Times New Roman" w:cs="Times New Roman"/>
          <w:sz w:val="20"/>
          <w:szCs w:val="20"/>
        </w:rPr>
        <w:t xml:space="preserve"> ‘mental psychosis induced by Communist pressures and propaganda’ (</w:t>
      </w:r>
      <w:r w:rsidRPr="00727139">
        <w:rPr>
          <w:rFonts w:ascii="Times New Roman" w:eastAsia="Times New Roman" w:hAnsi="Times New Roman" w:cs="Times New Roman"/>
          <w:i/>
          <w:sz w:val="20"/>
          <w:szCs w:val="20"/>
        </w:rPr>
        <w:t xml:space="preserve">U.S. </w:t>
      </w:r>
      <w:r w:rsidRPr="00727139">
        <w:rPr>
          <w:rFonts w:ascii="Times New Roman" w:eastAsia="Times New Roman" w:hAnsi="Times New Roman" w:cs="Times New Roman"/>
          <w:sz w:val="20"/>
          <w:szCs w:val="20"/>
        </w:rPr>
        <w:t>v.</w:t>
      </w:r>
      <w:r w:rsidRPr="00727139">
        <w:rPr>
          <w:rFonts w:ascii="Times New Roman" w:eastAsia="Times New Roman" w:hAnsi="Times New Roman" w:cs="Times New Roman"/>
          <w:i/>
          <w:sz w:val="20"/>
          <w:szCs w:val="20"/>
        </w:rPr>
        <w:t xml:space="preserve"> Batchelor</w:t>
      </w:r>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200, p. 360), ‘induced political psychosis’, ‘atypical dissociative reaction’ and ‘post-traumatic stress syndrome’ (Merton and </w:t>
      </w:r>
      <w:proofErr w:type="spellStart"/>
      <w:r w:rsidRPr="00727139">
        <w:rPr>
          <w:rFonts w:ascii="Times New Roman" w:eastAsia="Times New Roman" w:hAnsi="Times New Roman" w:cs="Times New Roman"/>
          <w:sz w:val="20"/>
          <w:szCs w:val="20"/>
        </w:rPr>
        <w:t>Kinscherff</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175, pp. 5 and 8).</w:t>
      </w:r>
    </w:p>
  </w:footnote>
  <w:footnote w:id="206">
    <w:p w14:paraId="65128777" w14:textId="4279F0C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Singer explains that these judgments are ‘a valuable source for customary international law and international criminal law jurisprudence’. I.M. Singer, ‘</w:t>
      </w:r>
      <w:r w:rsidRPr="00727139">
        <w:rPr>
          <w:rFonts w:ascii="Times New Roman" w:eastAsia="Times New Roman" w:hAnsi="Times New Roman" w:cs="Times New Roman"/>
          <w:i/>
          <w:sz w:val="20"/>
          <w:szCs w:val="20"/>
        </w:rPr>
        <w:t xml:space="preserve">Reductio ad absurdum: </w:t>
      </w:r>
      <w:r w:rsidRPr="00727139">
        <w:rPr>
          <w:rFonts w:ascii="Times New Roman" w:eastAsia="Times New Roman" w:hAnsi="Times New Roman" w:cs="Times New Roman"/>
          <w:sz w:val="20"/>
          <w:szCs w:val="20"/>
        </w:rPr>
        <w:t xml:space="preserve">The </w:t>
      </w:r>
      <w:r w:rsidRPr="00727139">
        <w:rPr>
          <w:rFonts w:ascii="Times New Roman" w:eastAsia="Times New Roman" w:hAnsi="Times New Roman" w:cs="Times New Roman"/>
          <w:i/>
          <w:sz w:val="20"/>
          <w:szCs w:val="20"/>
        </w:rPr>
        <w:t xml:space="preserve">Kapo </w:t>
      </w:r>
      <w:r w:rsidRPr="00727139">
        <w:rPr>
          <w:rFonts w:ascii="Times New Roman" w:eastAsia="Times New Roman" w:hAnsi="Times New Roman" w:cs="Times New Roman"/>
          <w:sz w:val="20"/>
          <w:szCs w:val="20"/>
        </w:rPr>
        <w:t xml:space="preserve">Trial Judgements’ Contribution to International Criminal Law Jurisprudence and Customary International Law’, 24 </w:t>
      </w:r>
      <w:r w:rsidRPr="00727139">
        <w:rPr>
          <w:rFonts w:ascii="Times New Roman" w:eastAsia="Times New Roman" w:hAnsi="Times New Roman" w:cs="Times New Roman"/>
          <w:i/>
          <w:sz w:val="20"/>
          <w:szCs w:val="20"/>
        </w:rPr>
        <w:t xml:space="preserve">Crim. L. F. </w:t>
      </w:r>
      <w:r w:rsidRPr="00727139">
        <w:rPr>
          <w:rFonts w:ascii="Times New Roman" w:eastAsia="Times New Roman" w:hAnsi="Times New Roman" w:cs="Times New Roman"/>
          <w:sz w:val="20"/>
          <w:szCs w:val="20"/>
        </w:rPr>
        <w:t>(2013) 235–258, p. 240.</w:t>
      </w:r>
    </w:p>
  </w:footnote>
  <w:footnote w:id="207">
    <w:p w14:paraId="65128778" w14:textId="5B1720FD"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Michael J. </w:t>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Julia Y. </w:t>
      </w:r>
      <w:proofErr w:type="spellStart"/>
      <w:r w:rsidRPr="00727139">
        <w:rPr>
          <w:rFonts w:ascii="Times New Roman" w:eastAsia="Times New Roman" w:hAnsi="Times New Roman" w:cs="Times New Roman"/>
          <w:sz w:val="20"/>
          <w:szCs w:val="20"/>
        </w:rPr>
        <w:t>Scheppach</w:t>
      </w:r>
      <w:proofErr w:type="spellEnd"/>
      <w:r w:rsidRPr="00727139">
        <w:rPr>
          <w:rFonts w:ascii="Times New Roman" w:eastAsia="Times New Roman" w:hAnsi="Times New Roman" w:cs="Times New Roman"/>
          <w:sz w:val="20"/>
          <w:szCs w:val="20"/>
        </w:rPr>
        <w:t xml:space="preserve">, ‘The Strange and Curious History of the Law Used to Prosecute Adolf Eichmann’, 34 </w:t>
      </w:r>
      <w:r w:rsidRPr="00727139">
        <w:rPr>
          <w:rFonts w:ascii="Times New Roman" w:eastAsia="Times New Roman" w:hAnsi="Times New Roman" w:cs="Times New Roman"/>
          <w:i/>
          <w:sz w:val="20"/>
          <w:szCs w:val="20"/>
        </w:rPr>
        <w:t xml:space="preserve">Loy. L. A. Int’l &amp; Comp. L. Rev. </w:t>
      </w:r>
      <w:r w:rsidRPr="00727139">
        <w:rPr>
          <w:rFonts w:ascii="Times New Roman" w:eastAsia="Times New Roman" w:hAnsi="Times New Roman" w:cs="Times New Roman"/>
          <w:sz w:val="20"/>
          <w:szCs w:val="20"/>
        </w:rPr>
        <w:t xml:space="preserve">(2012) 417–461, p. 419. Individuals who collaborated with the Nazis in the ghettos or in other circumstances are not examined here. </w:t>
      </w:r>
    </w:p>
  </w:footnote>
  <w:footnote w:id="208">
    <w:p w14:paraId="65128779" w14:textId="25F6E4B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Michael J. </w:t>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Frank M. </w:t>
      </w:r>
      <w:proofErr w:type="spellStart"/>
      <w:r w:rsidRPr="00727139">
        <w:rPr>
          <w:rFonts w:ascii="Times New Roman" w:eastAsia="Times New Roman" w:hAnsi="Times New Roman" w:cs="Times New Roman"/>
          <w:sz w:val="20"/>
          <w:szCs w:val="20"/>
        </w:rPr>
        <w:t>Tuerkheimer</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Forgotten Trials of the Holocaust </w:t>
      </w:r>
      <w:r w:rsidRPr="00727139">
        <w:rPr>
          <w:rFonts w:ascii="Times New Roman" w:eastAsia="Times New Roman" w:hAnsi="Times New Roman" w:cs="Times New Roman"/>
          <w:sz w:val="20"/>
          <w:szCs w:val="20"/>
        </w:rPr>
        <w:t>(New York, New York University Press, 2015), p. 197.</w:t>
      </w:r>
    </w:p>
  </w:footnote>
  <w:footnote w:id="209">
    <w:p w14:paraId="6512877A" w14:textId="0BB1657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Nikolaus </w:t>
      </w:r>
      <w:proofErr w:type="spellStart"/>
      <w:r w:rsidRPr="00727139">
        <w:rPr>
          <w:rFonts w:ascii="Times New Roman" w:eastAsia="Times New Roman" w:hAnsi="Times New Roman" w:cs="Times New Roman"/>
          <w:sz w:val="20"/>
          <w:szCs w:val="20"/>
        </w:rPr>
        <w:t>Wachsmann</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KL. A History of the Nazi Concentration Camps </w:t>
      </w:r>
      <w:r w:rsidRPr="00727139">
        <w:rPr>
          <w:rFonts w:ascii="Times New Roman" w:eastAsia="Times New Roman" w:hAnsi="Times New Roman" w:cs="Times New Roman"/>
          <w:sz w:val="20"/>
          <w:szCs w:val="20"/>
        </w:rPr>
        <w:t>(Little, Brown, London, 2015), p. 513.</w:t>
      </w:r>
    </w:p>
  </w:footnote>
  <w:footnote w:id="210">
    <w:p w14:paraId="6512877B" w14:textId="685D9D7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w:t>
      </w:r>
      <w:proofErr w:type="spellStart"/>
      <w:r w:rsidRPr="00727139">
        <w:rPr>
          <w:rFonts w:ascii="Times New Roman" w:eastAsia="Times New Roman" w:hAnsi="Times New Roman" w:cs="Times New Roman"/>
          <w:sz w:val="20"/>
          <w:szCs w:val="20"/>
        </w:rPr>
        <w:t>Scheppach</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i/>
          <w:sz w:val="20"/>
          <w:szCs w:val="20"/>
        </w:rPr>
        <w:t>su</w:t>
      </w:r>
      <w:r w:rsidR="004F3B74">
        <w:rPr>
          <w:rFonts w:ascii="Times New Roman" w:eastAsia="Times New Roman" w:hAnsi="Times New Roman" w:cs="Times New Roman"/>
          <w:i/>
          <w:sz w:val="20"/>
          <w:szCs w:val="20"/>
        </w:rPr>
        <w:t>Demjanjuk’s</w:t>
      </w:r>
      <w:proofErr w:type="spellEnd"/>
      <w:r w:rsidR="004F3B74">
        <w:rPr>
          <w:rFonts w:ascii="Times New Roman" w:eastAsia="Times New Roman" w:hAnsi="Times New Roman" w:cs="Times New Roman"/>
          <w:i/>
          <w:sz w:val="20"/>
          <w:szCs w:val="20"/>
        </w:rPr>
        <w:t xml:space="preserve"> trial, </w:t>
      </w:r>
      <w:proofErr w:type="spellStart"/>
      <w:r w:rsidR="004F3B74">
        <w:rPr>
          <w:rFonts w:ascii="Times New Roman" w:eastAsia="Times New Roman" w:hAnsi="Times New Roman" w:cs="Times New Roman"/>
          <w:i/>
          <w:sz w:val="20"/>
          <w:szCs w:val="20"/>
        </w:rPr>
        <w:t>but</w:t>
      </w:r>
      <w:r w:rsidRPr="00727139">
        <w:rPr>
          <w:rFonts w:ascii="Times New Roman" w:eastAsia="Times New Roman" w:hAnsi="Times New Roman" w:cs="Times New Roman"/>
          <w:i/>
          <w:sz w:val="20"/>
          <w:szCs w:val="20"/>
        </w:rPr>
        <w:t>pra</w:t>
      </w:r>
      <w:proofErr w:type="spellEnd"/>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note 207, pp. 419-420.</w:t>
      </w:r>
    </w:p>
  </w:footnote>
  <w:footnote w:id="211">
    <w:p w14:paraId="6512877C" w14:textId="6A6E567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Adam Brown, </w:t>
      </w:r>
      <w:r w:rsidRPr="00727139">
        <w:rPr>
          <w:rFonts w:ascii="Times New Roman" w:eastAsia="Times New Roman" w:hAnsi="Times New Roman" w:cs="Times New Roman"/>
          <w:i/>
          <w:sz w:val="20"/>
          <w:szCs w:val="20"/>
        </w:rPr>
        <w:t xml:space="preserve">Judging ‘Privileged’ Jews. Holocaust Ethics, Representation and the ‘Grey Zone’ </w:t>
      </w:r>
      <w:r w:rsidRPr="00727139">
        <w:rPr>
          <w:rFonts w:ascii="Times New Roman" w:eastAsia="Times New Roman" w:hAnsi="Times New Roman" w:cs="Times New Roman"/>
          <w:sz w:val="20"/>
          <w:szCs w:val="20"/>
        </w:rPr>
        <w:t xml:space="preserve">(New York, </w:t>
      </w:r>
      <w:proofErr w:type="spellStart"/>
      <w:r w:rsidRPr="00727139">
        <w:rPr>
          <w:rFonts w:ascii="Times New Roman" w:eastAsia="Times New Roman" w:hAnsi="Times New Roman" w:cs="Times New Roman"/>
          <w:sz w:val="20"/>
          <w:szCs w:val="20"/>
        </w:rPr>
        <w:t>Berghahn</w:t>
      </w:r>
      <w:proofErr w:type="spellEnd"/>
      <w:r w:rsidRPr="00727139">
        <w:rPr>
          <w:rFonts w:ascii="Times New Roman" w:eastAsia="Times New Roman" w:hAnsi="Times New Roman" w:cs="Times New Roman"/>
          <w:sz w:val="20"/>
          <w:szCs w:val="20"/>
        </w:rPr>
        <w:t xml:space="preserve">, 2018), p. 12; </w:t>
      </w:r>
      <w:proofErr w:type="spellStart"/>
      <w:r w:rsidRPr="00727139">
        <w:rPr>
          <w:rFonts w:ascii="Times New Roman" w:eastAsia="Times New Roman" w:hAnsi="Times New Roman" w:cs="Times New Roman"/>
          <w:sz w:val="20"/>
          <w:szCs w:val="20"/>
        </w:rPr>
        <w:t>Babafemi</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Akinrinade</w:t>
      </w:r>
      <w:proofErr w:type="spellEnd"/>
      <w:r w:rsidRPr="00727139">
        <w:rPr>
          <w:rFonts w:ascii="Times New Roman" w:eastAsia="Times New Roman" w:hAnsi="Times New Roman" w:cs="Times New Roman"/>
          <w:sz w:val="20"/>
          <w:szCs w:val="20"/>
        </w:rPr>
        <w:t xml:space="preserve">, ‘Judging the Impossible: </w:t>
      </w:r>
      <w:proofErr w:type="spellStart"/>
      <w:r w:rsidRPr="00727139">
        <w:rPr>
          <w:rFonts w:ascii="Times New Roman" w:eastAsia="Times New Roman" w:hAnsi="Times New Roman" w:cs="Times New Roman"/>
          <w:sz w:val="20"/>
          <w:szCs w:val="20"/>
        </w:rPr>
        <w:t>Kapos</w:t>
      </w:r>
      <w:proofErr w:type="spellEnd"/>
      <w:r w:rsidRPr="00727139">
        <w:rPr>
          <w:rFonts w:ascii="Times New Roman" w:eastAsia="Times New Roman" w:hAnsi="Times New Roman" w:cs="Times New Roman"/>
          <w:sz w:val="20"/>
          <w:szCs w:val="20"/>
        </w:rPr>
        <w:t xml:space="preserve"> and Justice after the Holocaust’, </w:t>
      </w:r>
      <w:r w:rsidRPr="00727139">
        <w:rPr>
          <w:rFonts w:ascii="Times New Roman" w:eastAsia="Times New Roman" w:hAnsi="Times New Roman" w:cs="Times New Roman"/>
          <w:i/>
          <w:sz w:val="20"/>
          <w:szCs w:val="20"/>
        </w:rPr>
        <w:t xml:space="preserve">Reflections - Auschwitz Jewish </w:t>
      </w:r>
      <w:proofErr w:type="spellStart"/>
      <w:r w:rsidRPr="00727139">
        <w:rPr>
          <w:rFonts w:ascii="Times New Roman" w:eastAsia="Times New Roman" w:hAnsi="Times New Roman" w:cs="Times New Roman"/>
          <w:i/>
          <w:sz w:val="20"/>
          <w:szCs w:val="20"/>
        </w:rPr>
        <w:t>Center</w:t>
      </w:r>
      <w:proofErr w:type="spellEnd"/>
      <w:r w:rsidRPr="00727139">
        <w:rPr>
          <w:rFonts w:ascii="Times New Roman" w:eastAsia="Times New Roman" w:hAnsi="Times New Roman" w:cs="Times New Roman"/>
          <w:i/>
          <w:sz w:val="20"/>
          <w:szCs w:val="20"/>
        </w:rPr>
        <w:t xml:space="preserve"> Annual Alumni Journal </w:t>
      </w:r>
      <w:r w:rsidRPr="00727139">
        <w:rPr>
          <w:rFonts w:ascii="Times New Roman" w:eastAsia="Times New Roman" w:hAnsi="Times New Roman" w:cs="Times New Roman"/>
          <w:sz w:val="20"/>
          <w:szCs w:val="20"/>
        </w:rPr>
        <w:t>(2017) 9–17, pp. 14-15.</w:t>
      </w:r>
    </w:p>
  </w:footnote>
  <w:footnote w:id="212">
    <w:p w14:paraId="6512877D" w14:textId="7777777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Rosa Ana </w:t>
      </w:r>
      <w:proofErr w:type="spellStart"/>
      <w:r w:rsidRPr="00727139">
        <w:rPr>
          <w:rFonts w:ascii="Times New Roman" w:eastAsia="Times New Roman" w:hAnsi="Times New Roman" w:cs="Times New Roman"/>
          <w:sz w:val="20"/>
          <w:szCs w:val="20"/>
        </w:rPr>
        <w:t>Alija</w:t>
      </w:r>
      <w:proofErr w:type="spellEnd"/>
      <w:r w:rsidRPr="00727139">
        <w:rPr>
          <w:rFonts w:ascii="Times New Roman" w:eastAsia="Times New Roman" w:hAnsi="Times New Roman" w:cs="Times New Roman"/>
          <w:sz w:val="20"/>
          <w:szCs w:val="20"/>
        </w:rPr>
        <w:t xml:space="preserve">-Fernández, ‘Justice for No-Land’s Men? The United States Military Trials against Spanish </w:t>
      </w:r>
      <w:proofErr w:type="spellStart"/>
      <w:r w:rsidRPr="00727139">
        <w:rPr>
          <w:rFonts w:ascii="Times New Roman" w:eastAsia="Times New Roman" w:hAnsi="Times New Roman" w:cs="Times New Roman"/>
          <w:sz w:val="20"/>
          <w:szCs w:val="20"/>
        </w:rPr>
        <w:t>Kapos</w:t>
      </w:r>
      <w:proofErr w:type="spellEnd"/>
      <w:r w:rsidRPr="00727139">
        <w:rPr>
          <w:rFonts w:ascii="Times New Roman" w:eastAsia="Times New Roman" w:hAnsi="Times New Roman" w:cs="Times New Roman"/>
          <w:sz w:val="20"/>
          <w:szCs w:val="20"/>
        </w:rPr>
        <w:t xml:space="preserve"> in Mauthausen and Universal Jurisdiction’ in Kevin Heller and Gerry Simpson (eds), </w:t>
      </w:r>
      <w:r w:rsidRPr="00727139">
        <w:rPr>
          <w:rFonts w:ascii="Times New Roman" w:eastAsia="Times New Roman" w:hAnsi="Times New Roman" w:cs="Times New Roman"/>
          <w:i/>
          <w:sz w:val="20"/>
          <w:szCs w:val="20"/>
        </w:rPr>
        <w:t xml:space="preserve">The Hidden Histories of War Crimes Trials </w:t>
      </w:r>
      <w:r w:rsidRPr="00727139">
        <w:rPr>
          <w:rFonts w:ascii="Times New Roman" w:eastAsia="Times New Roman" w:hAnsi="Times New Roman" w:cs="Times New Roman"/>
          <w:sz w:val="20"/>
          <w:szCs w:val="20"/>
        </w:rPr>
        <w:t xml:space="preserve">(Oxford University Press, Oxford, 2013) 103–121, p. 105. Drumbl,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70, p. 219.</w:t>
      </w:r>
    </w:p>
  </w:footnote>
  <w:footnote w:id="213">
    <w:p w14:paraId="6512877E" w14:textId="052E9D85"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Akinrinade</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211, pp. 10–11.</w:t>
      </w:r>
    </w:p>
  </w:footnote>
  <w:footnote w:id="214">
    <w:p w14:paraId="6512877F" w14:textId="4FFBAD2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b/>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w:t>
      </w:r>
      <w:proofErr w:type="spellStart"/>
      <w:r w:rsidRPr="00727139">
        <w:rPr>
          <w:rFonts w:ascii="Times New Roman" w:eastAsia="Times New Roman" w:hAnsi="Times New Roman" w:cs="Times New Roman"/>
          <w:sz w:val="20"/>
          <w:szCs w:val="20"/>
        </w:rPr>
        <w:t>Scheppach</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207, p. 418; Drumbl,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70, p. 229. Very little is known about these trials as the records are sealed (</w:t>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w:t>
      </w:r>
      <w:proofErr w:type="spellStart"/>
      <w:r w:rsidRPr="00727139">
        <w:rPr>
          <w:rFonts w:ascii="Times New Roman" w:eastAsia="Times New Roman" w:hAnsi="Times New Roman" w:cs="Times New Roman"/>
          <w:sz w:val="20"/>
          <w:szCs w:val="20"/>
        </w:rPr>
        <w:t>Scheppach</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207, p. 429). One of the few cases available is the trial of </w:t>
      </w:r>
      <w:proofErr w:type="spellStart"/>
      <w:r w:rsidRPr="00727139">
        <w:rPr>
          <w:rFonts w:ascii="Times New Roman" w:eastAsia="Times New Roman" w:hAnsi="Times New Roman" w:cs="Times New Roman"/>
          <w:sz w:val="20"/>
          <w:szCs w:val="20"/>
        </w:rPr>
        <w:t>Demjanjuk</w:t>
      </w:r>
      <w:proofErr w:type="spellEnd"/>
      <w:r w:rsidRPr="00727139">
        <w:rPr>
          <w:rFonts w:ascii="Times New Roman" w:eastAsia="Times New Roman" w:hAnsi="Times New Roman" w:cs="Times New Roman"/>
          <w:sz w:val="20"/>
          <w:szCs w:val="20"/>
        </w:rPr>
        <w:t xml:space="preserve"> but, as he was acquitted based on incorrect charges, this paper does not discuss his case.</w:t>
      </w:r>
    </w:p>
  </w:footnote>
  <w:footnote w:id="215">
    <w:p w14:paraId="65128780" w14:textId="4280E59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Orna</w:t>
      </w:r>
      <w:proofErr w:type="spellEnd"/>
      <w:r w:rsidRPr="00727139">
        <w:rPr>
          <w:rFonts w:ascii="Times New Roman" w:eastAsia="Times New Roman" w:hAnsi="Times New Roman" w:cs="Times New Roman"/>
          <w:sz w:val="20"/>
          <w:szCs w:val="20"/>
        </w:rPr>
        <w:t xml:space="preserve"> Ben-Naftali and </w:t>
      </w:r>
      <w:proofErr w:type="spellStart"/>
      <w:r w:rsidRPr="00727139">
        <w:rPr>
          <w:rFonts w:ascii="Times New Roman" w:eastAsia="Times New Roman" w:hAnsi="Times New Roman" w:cs="Times New Roman"/>
          <w:sz w:val="20"/>
          <w:szCs w:val="20"/>
        </w:rPr>
        <w:t>Yogev</w:t>
      </w:r>
      <w:proofErr w:type="spellEnd"/>
      <w:r w:rsidRPr="00727139">
        <w:rPr>
          <w:rFonts w:ascii="Times New Roman" w:eastAsia="Times New Roman" w:hAnsi="Times New Roman" w:cs="Times New Roman"/>
          <w:sz w:val="20"/>
          <w:szCs w:val="20"/>
        </w:rPr>
        <w:t xml:space="preserve"> </w:t>
      </w:r>
      <w:proofErr w:type="spellStart"/>
      <w:r w:rsidRPr="00727139">
        <w:rPr>
          <w:rFonts w:ascii="Times New Roman" w:eastAsia="Times New Roman" w:hAnsi="Times New Roman" w:cs="Times New Roman"/>
          <w:sz w:val="20"/>
          <w:szCs w:val="20"/>
        </w:rPr>
        <w:t>Tuval</w:t>
      </w:r>
      <w:proofErr w:type="spellEnd"/>
      <w:r w:rsidRPr="00727139">
        <w:rPr>
          <w:rFonts w:ascii="Times New Roman" w:eastAsia="Times New Roman" w:hAnsi="Times New Roman" w:cs="Times New Roman"/>
          <w:sz w:val="20"/>
          <w:szCs w:val="20"/>
        </w:rPr>
        <w:t xml:space="preserve">, ‘Punishing International Crimes Committed by the Persecuted’, 4 </w:t>
      </w:r>
      <w:r w:rsidRPr="00727139">
        <w:rPr>
          <w:rFonts w:ascii="Times New Roman" w:eastAsia="Times New Roman" w:hAnsi="Times New Roman" w:cs="Times New Roman"/>
          <w:i/>
          <w:sz w:val="20"/>
          <w:szCs w:val="20"/>
        </w:rPr>
        <w:t xml:space="preserve">J. I. C. J. </w:t>
      </w:r>
      <w:r w:rsidRPr="00727139">
        <w:rPr>
          <w:rFonts w:ascii="Times New Roman" w:eastAsia="Times New Roman" w:hAnsi="Times New Roman" w:cs="Times New Roman"/>
          <w:sz w:val="20"/>
          <w:szCs w:val="20"/>
        </w:rPr>
        <w:t>(2006) 128–178, p. 153.</w:t>
      </w:r>
    </w:p>
  </w:footnote>
  <w:footnote w:id="216">
    <w:p w14:paraId="65128781" w14:textId="65F496C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w:t>
      </w:r>
      <w:proofErr w:type="spellStart"/>
      <w:r w:rsidRPr="00727139">
        <w:rPr>
          <w:rFonts w:ascii="Times New Roman" w:eastAsia="Times New Roman" w:hAnsi="Times New Roman" w:cs="Times New Roman"/>
          <w:sz w:val="20"/>
          <w:szCs w:val="20"/>
        </w:rPr>
        <w:t>Tuerkheimer</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208, p. 209.</w:t>
      </w:r>
    </w:p>
  </w:footnote>
  <w:footnote w:id="217">
    <w:p w14:paraId="65128782" w14:textId="7349A16A"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pp. 211–212.</w:t>
      </w:r>
    </w:p>
  </w:footnote>
  <w:footnote w:id="218">
    <w:p w14:paraId="65128783" w14:textId="6AC25E2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pp. 212–213.</w:t>
      </w:r>
    </w:p>
  </w:footnote>
  <w:footnote w:id="219">
    <w:p w14:paraId="65128784" w14:textId="3DA23DA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 213.</w:t>
      </w:r>
    </w:p>
  </w:footnote>
  <w:footnote w:id="220">
    <w:p w14:paraId="65128785" w14:textId="142420D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Ben-Naftali and </w:t>
      </w:r>
      <w:proofErr w:type="spellStart"/>
      <w:r w:rsidRPr="00727139">
        <w:rPr>
          <w:rFonts w:ascii="Times New Roman" w:eastAsia="Times New Roman" w:hAnsi="Times New Roman" w:cs="Times New Roman"/>
          <w:sz w:val="20"/>
          <w:szCs w:val="20"/>
        </w:rPr>
        <w:t>Tuval</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215, p. 138. For a discussion on the defence of duress under Art. 10(a) and 10(b), </w:t>
      </w:r>
      <w:r w:rsidRPr="00727139">
        <w:rPr>
          <w:rFonts w:ascii="Times New Roman" w:eastAsia="Times New Roman" w:hAnsi="Times New Roman" w:cs="Times New Roman"/>
          <w:i/>
          <w:sz w:val="20"/>
          <w:szCs w:val="20"/>
        </w:rPr>
        <w:t xml:space="preserve">see </w:t>
      </w:r>
      <w:r w:rsidRPr="00727139">
        <w:rPr>
          <w:rFonts w:ascii="Times New Roman" w:eastAsia="Times New Roman" w:hAnsi="Times New Roman" w:cs="Times New Roman"/>
          <w:sz w:val="20"/>
          <w:szCs w:val="20"/>
        </w:rPr>
        <w:t xml:space="preserve">Singer,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181, p. 253.</w:t>
      </w:r>
    </w:p>
  </w:footnote>
  <w:footnote w:id="221">
    <w:p w14:paraId="65128786" w14:textId="490B89AE"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Drumbl,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70, p. 232; Singer,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181, p. 253.</w:t>
      </w:r>
    </w:p>
  </w:footnote>
  <w:footnote w:id="222">
    <w:p w14:paraId="65128787" w14:textId="5AADA1F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Tom </w:t>
      </w:r>
      <w:proofErr w:type="spellStart"/>
      <w:r w:rsidRPr="00727139">
        <w:rPr>
          <w:rFonts w:ascii="Times New Roman" w:eastAsia="Times New Roman" w:hAnsi="Times New Roman" w:cs="Times New Roman"/>
          <w:sz w:val="20"/>
          <w:szCs w:val="20"/>
        </w:rPr>
        <w:t>Segev</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The Seventh Million: The Israelis and the Holocaust </w:t>
      </w:r>
      <w:r w:rsidRPr="00727139">
        <w:rPr>
          <w:rFonts w:ascii="Times New Roman" w:eastAsia="Times New Roman" w:hAnsi="Times New Roman" w:cs="Times New Roman"/>
          <w:sz w:val="20"/>
          <w:szCs w:val="20"/>
        </w:rPr>
        <w:t>(Farrar, Straus and Giroux, New York, 2019), p. 262.</w:t>
      </w:r>
    </w:p>
  </w:footnote>
  <w:footnote w:id="223">
    <w:p w14:paraId="65128788" w14:textId="522A6A3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w:t>
      </w:r>
      <w:proofErr w:type="spellStart"/>
      <w:r w:rsidRPr="00727139">
        <w:rPr>
          <w:rFonts w:ascii="Times New Roman" w:eastAsia="Times New Roman" w:hAnsi="Times New Roman" w:cs="Times New Roman"/>
          <w:sz w:val="20"/>
          <w:szCs w:val="20"/>
        </w:rPr>
        <w:t>Tuerkheimer</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208,</w:t>
      </w:r>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p. 211.</w:t>
      </w:r>
    </w:p>
  </w:footnote>
  <w:footnote w:id="224">
    <w:p w14:paraId="65128789" w14:textId="4039039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Ibid.</w:t>
      </w:r>
      <w:r w:rsidRPr="00727139">
        <w:rPr>
          <w:rFonts w:ascii="Times New Roman" w:eastAsia="Times New Roman" w:hAnsi="Times New Roman" w:cs="Times New Roman"/>
          <w:sz w:val="20"/>
          <w:szCs w:val="20"/>
        </w:rPr>
        <w:t>, p. 212.</w:t>
      </w:r>
    </w:p>
  </w:footnote>
  <w:footnote w:id="225">
    <w:p w14:paraId="6512878A" w14:textId="664B824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Ben-Naftali and </w:t>
      </w:r>
      <w:proofErr w:type="spellStart"/>
      <w:r w:rsidRPr="00727139">
        <w:rPr>
          <w:rFonts w:ascii="Times New Roman" w:eastAsia="Times New Roman" w:hAnsi="Times New Roman" w:cs="Times New Roman"/>
          <w:sz w:val="20"/>
          <w:szCs w:val="20"/>
        </w:rPr>
        <w:t>Tuval</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215, p. 170.</w:t>
      </w:r>
    </w:p>
  </w:footnote>
  <w:footnote w:id="226">
    <w:p w14:paraId="6512878B" w14:textId="79D105F9"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w:t>
      </w:r>
      <w:proofErr w:type="spellStart"/>
      <w:r w:rsidRPr="00727139">
        <w:rPr>
          <w:rFonts w:ascii="Times New Roman" w:eastAsia="Times New Roman" w:hAnsi="Times New Roman" w:cs="Times New Roman"/>
          <w:sz w:val="20"/>
          <w:szCs w:val="20"/>
        </w:rPr>
        <w:t>Tuerkheimer</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208, p. 213.</w:t>
      </w:r>
    </w:p>
  </w:footnote>
  <w:footnote w:id="227">
    <w:p w14:paraId="6512878C" w14:textId="62DF2627"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rPr>
        <w:t xml:space="preserve">Ben-Naftali and </w:t>
      </w:r>
      <w:proofErr w:type="spellStart"/>
      <w:r w:rsidRPr="00727139">
        <w:rPr>
          <w:rFonts w:ascii="Times New Roman" w:eastAsia="Times New Roman" w:hAnsi="Times New Roman" w:cs="Times New Roman"/>
          <w:sz w:val="20"/>
          <w:szCs w:val="20"/>
        </w:rPr>
        <w:t>Tuval</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215, p. 155; Jonathan M. Wenig, ‘Enforcing the Lessons of History: Israel Judges the Holocaust’, in Gerry J. Simpson and Timothy McCormack (eds), </w:t>
      </w:r>
      <w:r w:rsidRPr="00727139">
        <w:rPr>
          <w:rFonts w:ascii="Times New Roman" w:eastAsia="Times New Roman" w:hAnsi="Times New Roman" w:cs="Times New Roman"/>
          <w:i/>
          <w:sz w:val="20"/>
          <w:szCs w:val="20"/>
        </w:rPr>
        <w:t xml:space="preserve">The Law of War Crimes: National and International Approaches </w:t>
      </w:r>
      <w:r w:rsidRPr="00727139">
        <w:rPr>
          <w:rFonts w:ascii="Times New Roman" w:eastAsia="Times New Roman" w:hAnsi="Times New Roman" w:cs="Times New Roman"/>
          <w:sz w:val="20"/>
          <w:szCs w:val="20"/>
        </w:rPr>
        <w:t>(The Hague, Springer, 1997) 103–122, p. 119.</w:t>
      </w:r>
    </w:p>
  </w:footnote>
  <w:footnote w:id="228">
    <w:p w14:paraId="6512878D" w14:textId="25C79A62"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FF6696">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Bazyler</w:t>
      </w:r>
      <w:proofErr w:type="spellEnd"/>
      <w:r w:rsidRPr="00727139">
        <w:rPr>
          <w:rFonts w:ascii="Times New Roman" w:eastAsia="Times New Roman" w:hAnsi="Times New Roman" w:cs="Times New Roman"/>
          <w:sz w:val="20"/>
          <w:szCs w:val="20"/>
        </w:rPr>
        <w:t xml:space="preserve"> and </w:t>
      </w:r>
      <w:proofErr w:type="spellStart"/>
      <w:r w:rsidRPr="00727139">
        <w:rPr>
          <w:rFonts w:ascii="Times New Roman" w:eastAsia="Times New Roman" w:hAnsi="Times New Roman" w:cs="Times New Roman"/>
          <w:sz w:val="20"/>
          <w:szCs w:val="20"/>
        </w:rPr>
        <w:t>Tuerkheimer</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208,</w:t>
      </w:r>
      <w:r w:rsidRPr="00727139">
        <w:rPr>
          <w:rFonts w:ascii="Times New Roman" w:eastAsia="Times New Roman" w:hAnsi="Times New Roman" w:cs="Times New Roman"/>
          <w:i/>
          <w:sz w:val="20"/>
          <w:szCs w:val="20"/>
        </w:rPr>
        <w:t xml:space="preserve"> </w:t>
      </w:r>
      <w:r w:rsidRPr="00727139">
        <w:rPr>
          <w:rFonts w:ascii="Times New Roman" w:eastAsia="Times New Roman" w:hAnsi="Times New Roman" w:cs="Times New Roman"/>
          <w:sz w:val="20"/>
          <w:szCs w:val="20"/>
        </w:rPr>
        <w:t>p. 213.</w:t>
      </w:r>
    </w:p>
  </w:footnote>
  <w:footnote w:id="229">
    <w:p w14:paraId="6512878E" w14:textId="16493814"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rPr>
        <w:t>See ibid.</w:t>
      </w:r>
      <w:r w:rsidRPr="00727139">
        <w:rPr>
          <w:rFonts w:ascii="Times New Roman" w:eastAsia="Times New Roman" w:hAnsi="Times New Roman" w:cs="Times New Roman"/>
          <w:sz w:val="20"/>
          <w:szCs w:val="20"/>
        </w:rPr>
        <w:t>, p. 199 and cases in</w:t>
      </w:r>
      <w:r w:rsidRPr="00727139">
        <w:rPr>
          <w:rFonts w:ascii="Times New Roman" w:eastAsia="Times New Roman" w:hAnsi="Times New Roman" w:cs="Times New Roman"/>
          <w:i/>
          <w:sz w:val="20"/>
          <w:szCs w:val="20"/>
        </w:rPr>
        <w:t xml:space="preserve"> </w:t>
      </w:r>
      <w:proofErr w:type="spellStart"/>
      <w:r w:rsidRPr="00727139">
        <w:rPr>
          <w:rFonts w:ascii="Times New Roman" w:eastAsia="Times New Roman" w:hAnsi="Times New Roman" w:cs="Times New Roman"/>
          <w:sz w:val="20"/>
          <w:szCs w:val="20"/>
        </w:rPr>
        <w:t>Akinrinade</w:t>
      </w:r>
      <w:proofErr w:type="spellEnd"/>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211, pp. 12–13.</w:t>
      </w:r>
    </w:p>
  </w:footnote>
  <w:footnote w:id="230">
    <w:p w14:paraId="6512878F" w14:textId="11F908CC"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Alija</w:t>
      </w:r>
      <w:proofErr w:type="spellEnd"/>
      <w:r w:rsidRPr="00727139">
        <w:rPr>
          <w:rFonts w:ascii="Times New Roman" w:eastAsia="Times New Roman" w:hAnsi="Times New Roman" w:cs="Times New Roman"/>
          <w:sz w:val="20"/>
          <w:szCs w:val="20"/>
        </w:rPr>
        <w:t xml:space="preserve">-Fernández,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212, p. 104. </w:t>
      </w:r>
    </w:p>
  </w:footnote>
  <w:footnote w:id="231">
    <w:p w14:paraId="65128790" w14:textId="19D3300F"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sz w:val="20"/>
          <w:szCs w:val="20"/>
          <w:highlight w:val="white"/>
        </w:rPr>
        <w:t xml:space="preserve">General Military Government Court, </w:t>
      </w:r>
      <w:r w:rsidRPr="00727139">
        <w:rPr>
          <w:rFonts w:ascii="Times New Roman" w:eastAsia="Times New Roman" w:hAnsi="Times New Roman" w:cs="Times New Roman"/>
          <w:i/>
          <w:sz w:val="20"/>
          <w:szCs w:val="20"/>
          <w:highlight w:val="white"/>
        </w:rPr>
        <w:t xml:space="preserve">U.S.A. </w:t>
      </w:r>
      <w:r w:rsidRPr="00727139">
        <w:rPr>
          <w:rFonts w:ascii="Times New Roman" w:eastAsia="Times New Roman" w:hAnsi="Times New Roman" w:cs="Times New Roman"/>
          <w:sz w:val="20"/>
          <w:szCs w:val="20"/>
          <w:highlight w:val="white"/>
        </w:rPr>
        <w:t>v.</w:t>
      </w:r>
      <w:r w:rsidRPr="00727139">
        <w:rPr>
          <w:rFonts w:ascii="Times New Roman" w:eastAsia="Times New Roman" w:hAnsi="Times New Roman" w:cs="Times New Roman"/>
          <w:i/>
          <w:sz w:val="20"/>
          <w:szCs w:val="20"/>
          <w:highlight w:val="white"/>
        </w:rPr>
        <w:t xml:space="preserve"> </w:t>
      </w:r>
      <w:proofErr w:type="spellStart"/>
      <w:r w:rsidRPr="00727139">
        <w:rPr>
          <w:rFonts w:ascii="Times New Roman" w:eastAsia="Times New Roman" w:hAnsi="Times New Roman" w:cs="Times New Roman"/>
          <w:i/>
          <w:sz w:val="20"/>
          <w:szCs w:val="20"/>
          <w:highlight w:val="white"/>
        </w:rPr>
        <w:t>Navas</w:t>
      </w:r>
      <w:proofErr w:type="spellEnd"/>
      <w:r w:rsidRPr="00727139">
        <w:rPr>
          <w:rFonts w:ascii="Times New Roman" w:eastAsia="Times New Roman" w:hAnsi="Times New Roman" w:cs="Times New Roman"/>
          <w:i/>
          <w:sz w:val="20"/>
          <w:szCs w:val="20"/>
          <w:highlight w:val="white"/>
        </w:rPr>
        <w:t xml:space="preserve"> et al., </w:t>
      </w:r>
      <w:r w:rsidRPr="00727139">
        <w:rPr>
          <w:rFonts w:ascii="Times New Roman" w:eastAsia="Times New Roman" w:hAnsi="Times New Roman" w:cs="Times New Roman"/>
          <w:sz w:val="20"/>
          <w:szCs w:val="20"/>
          <w:highlight w:val="white"/>
        </w:rPr>
        <w:t>Review and Recommendations, 000-50-5-25, 14 January 1948</w:t>
      </w:r>
      <w:r w:rsidRPr="00727139">
        <w:rPr>
          <w:rFonts w:ascii="Times New Roman" w:eastAsia="Times New Roman" w:hAnsi="Times New Roman" w:cs="Times New Roman"/>
          <w:sz w:val="20"/>
          <w:szCs w:val="20"/>
        </w:rPr>
        <w:t xml:space="preserve">; </w:t>
      </w:r>
      <w:r w:rsidRPr="00727139">
        <w:rPr>
          <w:rFonts w:ascii="Times New Roman" w:eastAsia="Times New Roman" w:hAnsi="Times New Roman" w:cs="Times New Roman"/>
          <w:sz w:val="20"/>
          <w:szCs w:val="20"/>
          <w:highlight w:val="white"/>
        </w:rPr>
        <w:t xml:space="preserve">General Military Government Court, </w:t>
      </w:r>
      <w:r w:rsidRPr="00727139">
        <w:rPr>
          <w:rFonts w:ascii="Times New Roman" w:eastAsia="Times New Roman" w:hAnsi="Times New Roman" w:cs="Times New Roman"/>
          <w:i/>
          <w:sz w:val="20"/>
          <w:szCs w:val="20"/>
          <w:highlight w:val="white"/>
        </w:rPr>
        <w:t xml:space="preserve">U.S.A. </w:t>
      </w:r>
      <w:r w:rsidRPr="00727139">
        <w:rPr>
          <w:rFonts w:ascii="Times New Roman" w:eastAsia="Times New Roman" w:hAnsi="Times New Roman" w:cs="Times New Roman"/>
          <w:sz w:val="20"/>
          <w:szCs w:val="20"/>
          <w:highlight w:val="white"/>
        </w:rPr>
        <w:t>v.</w:t>
      </w:r>
      <w:r w:rsidRPr="00727139">
        <w:rPr>
          <w:rFonts w:ascii="Times New Roman" w:eastAsia="Times New Roman" w:hAnsi="Times New Roman" w:cs="Times New Roman"/>
          <w:i/>
          <w:sz w:val="20"/>
          <w:szCs w:val="20"/>
          <w:highlight w:val="white"/>
        </w:rPr>
        <w:t xml:space="preserve"> Espinosa, </w:t>
      </w:r>
      <w:r w:rsidRPr="00727139">
        <w:rPr>
          <w:rFonts w:ascii="Times New Roman" w:eastAsia="Times New Roman" w:hAnsi="Times New Roman" w:cs="Times New Roman"/>
          <w:sz w:val="20"/>
          <w:szCs w:val="20"/>
          <w:highlight w:val="white"/>
        </w:rPr>
        <w:t>Review and Recommendations, US National Archives M-1217 RG 0338 No. 00003, 000-Mauthausen-19, 29 January 1948.</w:t>
      </w:r>
    </w:p>
  </w:footnote>
  <w:footnote w:id="232">
    <w:p w14:paraId="65128791" w14:textId="2F8EABC0"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r w:rsidRPr="00727139">
        <w:rPr>
          <w:rFonts w:ascii="Times New Roman" w:eastAsia="Times New Roman" w:hAnsi="Times New Roman" w:cs="Times New Roman"/>
          <w:i/>
          <w:sz w:val="20"/>
          <w:szCs w:val="20"/>
          <w:highlight w:val="white"/>
        </w:rPr>
        <w:t xml:space="preserve">U.S.A. </w:t>
      </w:r>
      <w:r w:rsidRPr="00727139">
        <w:rPr>
          <w:rFonts w:ascii="Times New Roman" w:eastAsia="Times New Roman" w:hAnsi="Times New Roman" w:cs="Times New Roman"/>
          <w:sz w:val="20"/>
          <w:szCs w:val="20"/>
          <w:highlight w:val="white"/>
        </w:rPr>
        <w:t>v.</w:t>
      </w:r>
      <w:r w:rsidRPr="00727139">
        <w:rPr>
          <w:rFonts w:ascii="Times New Roman" w:eastAsia="Times New Roman" w:hAnsi="Times New Roman" w:cs="Times New Roman"/>
          <w:i/>
          <w:sz w:val="20"/>
          <w:szCs w:val="20"/>
          <w:highlight w:val="white"/>
        </w:rPr>
        <w:t xml:space="preserve"> Espinosa,</w:t>
      </w:r>
      <w:r w:rsidRPr="00727139">
        <w:rPr>
          <w:rFonts w:ascii="Times New Roman" w:eastAsia="Times New Roman" w:hAnsi="Times New Roman" w:cs="Times New Roman"/>
          <w:sz w:val="20"/>
          <w:szCs w:val="20"/>
          <w:highlight w:val="white"/>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231, </w:t>
      </w:r>
      <w:r w:rsidRPr="00727139">
        <w:rPr>
          <w:rFonts w:ascii="Times New Roman" w:eastAsia="Times New Roman" w:hAnsi="Times New Roman" w:cs="Times New Roman"/>
          <w:sz w:val="20"/>
          <w:szCs w:val="20"/>
          <w:highlight w:val="white"/>
        </w:rPr>
        <w:t>p.</w:t>
      </w:r>
      <w:r w:rsidRPr="00727139">
        <w:rPr>
          <w:rFonts w:ascii="Times New Roman" w:eastAsia="Times New Roman" w:hAnsi="Times New Roman" w:cs="Times New Roman"/>
          <w:sz w:val="20"/>
          <w:szCs w:val="20"/>
        </w:rPr>
        <w:t xml:space="preserve"> 5; </w:t>
      </w:r>
      <w:r w:rsidRPr="00727139">
        <w:rPr>
          <w:rFonts w:ascii="Times New Roman" w:eastAsia="Times New Roman" w:hAnsi="Times New Roman" w:cs="Times New Roman"/>
          <w:i/>
          <w:sz w:val="20"/>
          <w:szCs w:val="20"/>
          <w:highlight w:val="white"/>
        </w:rPr>
        <w:t xml:space="preserve">U.S.A. </w:t>
      </w:r>
      <w:r w:rsidRPr="00727139">
        <w:rPr>
          <w:rFonts w:ascii="Times New Roman" w:eastAsia="Times New Roman" w:hAnsi="Times New Roman" w:cs="Times New Roman"/>
          <w:sz w:val="20"/>
          <w:szCs w:val="20"/>
          <w:highlight w:val="white"/>
        </w:rPr>
        <w:t>v.</w:t>
      </w:r>
      <w:r w:rsidRPr="00727139">
        <w:rPr>
          <w:rFonts w:ascii="Times New Roman" w:eastAsia="Times New Roman" w:hAnsi="Times New Roman" w:cs="Times New Roman"/>
          <w:i/>
          <w:sz w:val="20"/>
          <w:szCs w:val="20"/>
          <w:highlight w:val="white"/>
        </w:rPr>
        <w:t xml:space="preserve"> </w:t>
      </w:r>
      <w:proofErr w:type="spellStart"/>
      <w:r w:rsidRPr="00727139">
        <w:rPr>
          <w:rFonts w:ascii="Times New Roman" w:eastAsia="Times New Roman" w:hAnsi="Times New Roman" w:cs="Times New Roman"/>
          <w:i/>
          <w:sz w:val="20"/>
          <w:szCs w:val="20"/>
          <w:highlight w:val="white"/>
        </w:rPr>
        <w:t>Navas</w:t>
      </w:r>
      <w:proofErr w:type="spellEnd"/>
      <w:r w:rsidRPr="00727139">
        <w:rPr>
          <w:rFonts w:ascii="Times New Roman" w:eastAsia="Times New Roman" w:hAnsi="Times New Roman" w:cs="Times New Roman"/>
          <w:i/>
          <w:sz w:val="20"/>
          <w:szCs w:val="20"/>
          <w:highlight w:val="white"/>
        </w:rPr>
        <w:t xml:space="preserve"> et al.,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note 231.</w:t>
      </w:r>
    </w:p>
  </w:footnote>
  <w:footnote w:id="233">
    <w:p w14:paraId="65128792" w14:textId="0F5FA198"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highlight w:val="white"/>
        </w:rPr>
        <w:t xml:space="preserve"> </w:t>
      </w:r>
      <w:r w:rsidR="004F3B74">
        <w:rPr>
          <w:rFonts w:ascii="Times New Roman" w:eastAsia="Times New Roman" w:hAnsi="Times New Roman" w:cs="Times New Roman"/>
          <w:sz w:val="20"/>
          <w:szCs w:val="20"/>
          <w:highlight w:val="white"/>
        </w:rPr>
        <w:tab/>
      </w:r>
      <w:r w:rsidRPr="00727139">
        <w:rPr>
          <w:rFonts w:ascii="Times New Roman" w:eastAsia="Times New Roman" w:hAnsi="Times New Roman" w:cs="Times New Roman"/>
          <w:i/>
          <w:sz w:val="20"/>
          <w:szCs w:val="20"/>
          <w:highlight w:val="white"/>
        </w:rPr>
        <w:t>U.S.A.</w:t>
      </w:r>
      <w:r w:rsidRPr="00727139">
        <w:rPr>
          <w:rFonts w:ascii="Times New Roman" w:eastAsia="Times New Roman" w:hAnsi="Times New Roman" w:cs="Times New Roman"/>
          <w:sz w:val="20"/>
          <w:szCs w:val="20"/>
          <w:highlight w:val="white"/>
        </w:rPr>
        <w:t xml:space="preserve"> v. </w:t>
      </w:r>
      <w:r w:rsidRPr="00727139">
        <w:rPr>
          <w:rFonts w:ascii="Times New Roman" w:eastAsia="Times New Roman" w:hAnsi="Times New Roman" w:cs="Times New Roman"/>
          <w:i/>
          <w:sz w:val="20"/>
          <w:szCs w:val="20"/>
          <w:highlight w:val="white"/>
        </w:rPr>
        <w:t>Espinosa,</w:t>
      </w:r>
      <w:r w:rsidRPr="00727139">
        <w:rPr>
          <w:rFonts w:ascii="Times New Roman" w:eastAsia="Times New Roman" w:hAnsi="Times New Roman" w:cs="Times New Roman"/>
          <w:sz w:val="20"/>
          <w:szCs w:val="20"/>
          <w:highlight w:val="white"/>
        </w:rPr>
        <w:t xml:space="preserve">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231, </w:t>
      </w:r>
      <w:r w:rsidRPr="00727139">
        <w:rPr>
          <w:rFonts w:ascii="Times New Roman" w:eastAsia="Times New Roman" w:hAnsi="Times New Roman" w:cs="Times New Roman"/>
          <w:sz w:val="20"/>
          <w:szCs w:val="20"/>
          <w:highlight w:val="white"/>
        </w:rPr>
        <w:t>p.</w:t>
      </w:r>
      <w:r w:rsidRPr="00727139">
        <w:rPr>
          <w:rFonts w:ascii="Times New Roman" w:eastAsia="Times New Roman" w:hAnsi="Times New Roman" w:cs="Times New Roman"/>
          <w:sz w:val="20"/>
          <w:szCs w:val="20"/>
        </w:rPr>
        <w:t xml:space="preserve"> 5.</w:t>
      </w:r>
    </w:p>
  </w:footnote>
  <w:footnote w:id="234">
    <w:p w14:paraId="65128793" w14:textId="62C70A93" w:rsidR="00B32260" w:rsidRPr="00727139" w:rsidRDefault="00190020" w:rsidP="004F3B74">
      <w:pPr>
        <w:tabs>
          <w:tab w:val="left" w:pos="357"/>
        </w:tabs>
        <w:spacing w:line="240" w:lineRule="auto"/>
        <w:ind w:left="357" w:hanging="357"/>
        <w:contextualSpacing/>
        <w:jc w:val="both"/>
        <w:rPr>
          <w:rFonts w:ascii="Times New Roman" w:eastAsia="Times New Roman" w:hAnsi="Times New Roman" w:cs="Times New Roman"/>
          <w:sz w:val="20"/>
          <w:szCs w:val="20"/>
        </w:rPr>
      </w:pPr>
      <w:r w:rsidRPr="00727139">
        <w:rPr>
          <w:rFonts w:ascii="Times New Roman" w:hAnsi="Times New Roman" w:cs="Times New Roman"/>
          <w:sz w:val="20"/>
          <w:szCs w:val="20"/>
          <w:vertAlign w:val="superscript"/>
        </w:rPr>
        <w:footnoteRef/>
      </w:r>
      <w:r w:rsidRPr="00727139">
        <w:rPr>
          <w:rFonts w:ascii="Times New Roman" w:eastAsia="Times New Roman" w:hAnsi="Times New Roman" w:cs="Times New Roman"/>
          <w:sz w:val="20"/>
          <w:szCs w:val="20"/>
        </w:rPr>
        <w:t xml:space="preserve"> </w:t>
      </w:r>
      <w:r w:rsidR="004F3B74">
        <w:rPr>
          <w:rFonts w:ascii="Times New Roman" w:eastAsia="Times New Roman" w:hAnsi="Times New Roman" w:cs="Times New Roman"/>
          <w:sz w:val="20"/>
          <w:szCs w:val="20"/>
        </w:rPr>
        <w:tab/>
      </w:r>
      <w:proofErr w:type="spellStart"/>
      <w:r w:rsidRPr="00727139">
        <w:rPr>
          <w:rFonts w:ascii="Times New Roman" w:eastAsia="Times New Roman" w:hAnsi="Times New Roman" w:cs="Times New Roman"/>
          <w:sz w:val="20"/>
          <w:szCs w:val="20"/>
        </w:rPr>
        <w:t>Alija</w:t>
      </w:r>
      <w:proofErr w:type="spellEnd"/>
      <w:r w:rsidRPr="00727139">
        <w:rPr>
          <w:rFonts w:ascii="Times New Roman" w:eastAsia="Times New Roman" w:hAnsi="Times New Roman" w:cs="Times New Roman"/>
          <w:sz w:val="20"/>
          <w:szCs w:val="20"/>
        </w:rPr>
        <w:t xml:space="preserve">-Fernández, </w:t>
      </w:r>
      <w:r w:rsidRPr="00727139">
        <w:rPr>
          <w:rFonts w:ascii="Times New Roman" w:eastAsia="Times New Roman" w:hAnsi="Times New Roman" w:cs="Times New Roman"/>
          <w:i/>
          <w:sz w:val="20"/>
          <w:szCs w:val="20"/>
        </w:rPr>
        <w:t xml:space="preserve">supra </w:t>
      </w:r>
      <w:r w:rsidRPr="00727139">
        <w:rPr>
          <w:rFonts w:ascii="Times New Roman" w:eastAsia="Times New Roman" w:hAnsi="Times New Roman" w:cs="Times New Roman"/>
          <w:sz w:val="20"/>
          <w:szCs w:val="20"/>
        </w:rPr>
        <w:t xml:space="preserve">note 212, p. 120.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35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260"/>
    <w:rsid w:val="00190020"/>
    <w:rsid w:val="001B7917"/>
    <w:rsid w:val="00294914"/>
    <w:rsid w:val="00296DFB"/>
    <w:rsid w:val="002B3DC5"/>
    <w:rsid w:val="002F4FFD"/>
    <w:rsid w:val="003B02F0"/>
    <w:rsid w:val="00435BE8"/>
    <w:rsid w:val="00436912"/>
    <w:rsid w:val="004D0437"/>
    <w:rsid w:val="004F3B74"/>
    <w:rsid w:val="006009DA"/>
    <w:rsid w:val="00727139"/>
    <w:rsid w:val="007E696C"/>
    <w:rsid w:val="008E68B2"/>
    <w:rsid w:val="008F3FC9"/>
    <w:rsid w:val="00907D74"/>
    <w:rsid w:val="009837C9"/>
    <w:rsid w:val="00A45C66"/>
    <w:rsid w:val="00AF44B7"/>
    <w:rsid w:val="00B01B15"/>
    <w:rsid w:val="00B32260"/>
    <w:rsid w:val="00B42344"/>
    <w:rsid w:val="00BE2BCE"/>
    <w:rsid w:val="00C42A22"/>
    <w:rsid w:val="00C81D72"/>
    <w:rsid w:val="00ED5504"/>
    <w:rsid w:val="00EF0D1C"/>
    <w:rsid w:val="00FF66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28639"/>
  <w15:docId w15:val="{A46CECEA-67F8-4F92-A2A3-9F47ED04C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2A2CBA"/>
    <w:rPr>
      <w:sz w:val="16"/>
      <w:szCs w:val="16"/>
    </w:rPr>
  </w:style>
  <w:style w:type="paragraph" w:styleId="CommentText">
    <w:name w:val="annotation text"/>
    <w:basedOn w:val="Normal"/>
    <w:link w:val="CommentTextChar"/>
    <w:uiPriority w:val="99"/>
    <w:unhideWhenUsed/>
    <w:rsid w:val="002A2CBA"/>
    <w:pPr>
      <w:spacing w:line="240" w:lineRule="auto"/>
    </w:pPr>
    <w:rPr>
      <w:sz w:val="20"/>
      <w:szCs w:val="20"/>
    </w:rPr>
  </w:style>
  <w:style w:type="character" w:customStyle="1" w:styleId="CommentTextChar">
    <w:name w:val="Comment Text Char"/>
    <w:basedOn w:val="DefaultParagraphFont"/>
    <w:link w:val="CommentText"/>
    <w:uiPriority w:val="99"/>
    <w:rsid w:val="002A2CBA"/>
    <w:rPr>
      <w:sz w:val="20"/>
      <w:szCs w:val="20"/>
    </w:rPr>
  </w:style>
  <w:style w:type="paragraph" w:styleId="CommentSubject">
    <w:name w:val="annotation subject"/>
    <w:basedOn w:val="CommentText"/>
    <w:next w:val="CommentText"/>
    <w:link w:val="CommentSubjectChar"/>
    <w:uiPriority w:val="99"/>
    <w:semiHidden/>
    <w:unhideWhenUsed/>
    <w:rsid w:val="002A2CBA"/>
    <w:rPr>
      <w:b/>
      <w:bCs/>
    </w:rPr>
  </w:style>
  <w:style w:type="character" w:customStyle="1" w:styleId="CommentSubjectChar">
    <w:name w:val="Comment Subject Char"/>
    <w:basedOn w:val="CommentTextChar"/>
    <w:link w:val="CommentSubject"/>
    <w:uiPriority w:val="99"/>
    <w:semiHidden/>
    <w:rsid w:val="002A2CBA"/>
    <w:rPr>
      <w:b/>
      <w:bCs/>
      <w:sz w:val="20"/>
      <w:szCs w:val="20"/>
    </w:rPr>
  </w:style>
  <w:style w:type="paragraph" w:styleId="ListParagraph">
    <w:name w:val="List Paragraph"/>
    <w:basedOn w:val="Normal"/>
    <w:uiPriority w:val="34"/>
    <w:qFormat/>
    <w:rsid w:val="002A2CBA"/>
    <w:pPr>
      <w:spacing w:after="160" w:line="259" w:lineRule="auto"/>
      <w:ind w:left="720"/>
      <w:contextualSpacing/>
    </w:pPr>
    <w:rPr>
      <w:rFonts w:ascii="Calibri" w:eastAsia="Calibri" w:hAnsi="Calibri" w:cs="Calibri"/>
    </w:rPr>
  </w:style>
  <w:style w:type="paragraph" w:styleId="Header">
    <w:name w:val="header"/>
    <w:basedOn w:val="Normal"/>
    <w:link w:val="HeaderChar"/>
    <w:uiPriority w:val="99"/>
    <w:unhideWhenUsed/>
    <w:rsid w:val="007E1412"/>
    <w:pPr>
      <w:tabs>
        <w:tab w:val="center" w:pos="4513"/>
        <w:tab w:val="right" w:pos="9026"/>
      </w:tabs>
      <w:spacing w:line="240" w:lineRule="auto"/>
    </w:pPr>
  </w:style>
  <w:style w:type="character" w:customStyle="1" w:styleId="HeaderChar">
    <w:name w:val="Header Char"/>
    <w:basedOn w:val="DefaultParagraphFont"/>
    <w:link w:val="Header"/>
    <w:uiPriority w:val="99"/>
    <w:rsid w:val="007E1412"/>
  </w:style>
  <w:style w:type="paragraph" w:styleId="Footer">
    <w:name w:val="footer"/>
    <w:basedOn w:val="Normal"/>
    <w:link w:val="FooterChar"/>
    <w:uiPriority w:val="99"/>
    <w:unhideWhenUsed/>
    <w:rsid w:val="007E1412"/>
    <w:pPr>
      <w:tabs>
        <w:tab w:val="center" w:pos="4513"/>
        <w:tab w:val="right" w:pos="9026"/>
      </w:tabs>
      <w:spacing w:line="240" w:lineRule="auto"/>
    </w:pPr>
  </w:style>
  <w:style w:type="character" w:customStyle="1" w:styleId="FooterChar">
    <w:name w:val="Footer Char"/>
    <w:basedOn w:val="DefaultParagraphFont"/>
    <w:link w:val="Footer"/>
    <w:uiPriority w:val="99"/>
    <w:rsid w:val="007E1412"/>
  </w:style>
  <w:style w:type="character" w:styleId="Hyperlink">
    <w:name w:val="Hyperlink"/>
    <w:basedOn w:val="DefaultParagraphFont"/>
    <w:uiPriority w:val="99"/>
    <w:unhideWhenUsed/>
    <w:rsid w:val="000334B3"/>
    <w:rPr>
      <w:color w:val="0000FF" w:themeColor="hyperlink"/>
      <w:u w:val="single"/>
    </w:rPr>
  </w:style>
  <w:style w:type="character" w:styleId="UnresolvedMention">
    <w:name w:val="Unresolved Mention"/>
    <w:basedOn w:val="DefaultParagraphFont"/>
    <w:uiPriority w:val="99"/>
    <w:semiHidden/>
    <w:unhideWhenUsed/>
    <w:rsid w:val="000334B3"/>
    <w:rPr>
      <w:color w:val="605E5C"/>
      <w:shd w:val="clear" w:color="auto" w:fill="E1DFDD"/>
    </w:rPr>
  </w:style>
  <w:style w:type="paragraph" w:styleId="BalloonText">
    <w:name w:val="Balloon Text"/>
    <w:basedOn w:val="Normal"/>
    <w:link w:val="BalloonTextChar"/>
    <w:uiPriority w:val="99"/>
    <w:semiHidden/>
    <w:unhideWhenUsed/>
    <w:rsid w:val="00B21E7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1E7E"/>
    <w:rPr>
      <w:rFonts w:ascii="Segoe UI" w:hAnsi="Segoe UI" w:cs="Segoe UI"/>
      <w:sz w:val="18"/>
      <w:szCs w:val="18"/>
    </w:rPr>
  </w:style>
  <w:style w:type="paragraph" w:styleId="Revision">
    <w:name w:val="Revision"/>
    <w:hidden/>
    <w:uiPriority w:val="99"/>
    <w:semiHidden/>
    <w:rsid w:val="00CB2BA4"/>
    <w:pPr>
      <w:spacing w:line="240" w:lineRule="auto"/>
    </w:pPr>
  </w:style>
  <w:style w:type="paragraph" w:styleId="FootnoteText">
    <w:name w:val="footnote text"/>
    <w:basedOn w:val="Normal"/>
    <w:link w:val="FootnoteTextChar"/>
    <w:uiPriority w:val="99"/>
    <w:semiHidden/>
    <w:unhideWhenUsed/>
    <w:rsid w:val="003B02F0"/>
    <w:pPr>
      <w:spacing w:line="240" w:lineRule="auto"/>
    </w:pPr>
    <w:rPr>
      <w:sz w:val="20"/>
      <w:szCs w:val="20"/>
    </w:rPr>
  </w:style>
  <w:style w:type="character" w:customStyle="1" w:styleId="FootnoteTextChar">
    <w:name w:val="Footnote Text Char"/>
    <w:basedOn w:val="DefaultParagraphFont"/>
    <w:link w:val="FootnoteText"/>
    <w:uiPriority w:val="99"/>
    <w:semiHidden/>
    <w:rsid w:val="003B02F0"/>
    <w:rPr>
      <w:sz w:val="20"/>
      <w:szCs w:val="20"/>
    </w:rPr>
  </w:style>
  <w:style w:type="character" w:styleId="FootnoteReference">
    <w:name w:val="footnote reference"/>
    <w:basedOn w:val="DefaultParagraphFont"/>
    <w:uiPriority w:val="99"/>
    <w:semiHidden/>
    <w:unhideWhenUsed/>
    <w:rsid w:val="003B02F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justiceinconflict.org/2016/04/20/shifting-narratives-ongwen-and-lubanga-on-the-effects-of-child-soldiering/" TargetMode="External"/><Relationship Id="rId1" Type="http://schemas.openxmlformats.org/officeDocument/2006/relationships/hyperlink" Target="http://www.icc-cpi.int/news/icc-prosecutors-address-sentencing-thomas-lubang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fI8CynQnDzs5z3yVjpfXKomDQug==">CgMxLjA4AHIhMUJVb1VZTm4xeER2VmtQZ1RIWXBGWnJtMGVKcFdpMy12</go:docsCustomData>
</go:gDocsCustomXmlDataStorage>
</file>

<file path=customXml/itemProps1.xml><?xml version="1.0" encoding="utf-8"?>
<ds:datastoreItem xmlns:ds="http://schemas.openxmlformats.org/officeDocument/2006/customXml" ds:itemID="{CAFBAD30-3520-4271-8B04-B3A38AE1B084}">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7854</Words>
  <Characters>44770</Characters>
  <Application>Microsoft Office Word</Application>
  <DocSecurity>0</DocSecurity>
  <Lines>373</Lines>
  <Paragraphs>105</Paragraphs>
  <ScaleCrop>false</ScaleCrop>
  <HeadingPairs>
    <vt:vector size="2" baseType="variant">
      <vt:variant>
        <vt:lpstr>Title</vt:lpstr>
      </vt:variant>
      <vt:variant>
        <vt:i4>1</vt:i4>
      </vt:variant>
    </vt:vector>
  </HeadingPairs>
  <TitlesOfParts>
    <vt:vector size="1" baseType="lpstr">
      <vt:lpstr/>
    </vt:vector>
  </TitlesOfParts>
  <Company>UWE Bristol</Company>
  <LinksUpToDate>false</LinksUpToDate>
  <CharactersWithSpaces>52519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Noelle Quenivet</cp:lastModifiedBy>
  <cp:revision>3</cp:revision>
  <dcterms:created xsi:type="dcterms:W3CDTF">2023-06-25T10:39:00Z</dcterms:created>
  <dcterms:modified xsi:type="dcterms:W3CDTF">2023-06-25T10:40:00Z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5c643c47eb4549a1a396aef2fb7ffb92596608ed25dd4a6fa864c210074730e3</vt:lpwstr>
  </property>
</Properties>
</file>