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25EEC" w14:textId="7B995F21" w:rsidR="0015709B" w:rsidRPr="00214E77" w:rsidRDefault="0015709B" w:rsidP="00FB08B3">
      <w:pPr>
        <w:spacing w:after="0" w:line="240" w:lineRule="auto"/>
        <w:jc w:val="center"/>
        <w:rPr>
          <w:rFonts w:ascii="Arial" w:hAnsi="Arial" w:cs="Arial"/>
          <w:b/>
        </w:rPr>
      </w:pPr>
      <w:r w:rsidRPr="00214E77">
        <w:rPr>
          <w:rFonts w:ascii="Arial" w:hAnsi="Arial" w:cs="Arial"/>
          <w:b/>
        </w:rPr>
        <w:t>Health Services Research and Pharmacy Practice Conference 202</w:t>
      </w:r>
      <w:r w:rsidR="00180369" w:rsidRPr="00214E77">
        <w:rPr>
          <w:rFonts w:ascii="Arial" w:hAnsi="Arial" w:cs="Arial"/>
          <w:b/>
        </w:rPr>
        <w:t>3</w:t>
      </w:r>
    </w:p>
    <w:p w14:paraId="697F1A50" w14:textId="77777777" w:rsidR="0015709B" w:rsidRPr="00415D29" w:rsidRDefault="0015709B" w:rsidP="00FB08B3">
      <w:pPr>
        <w:spacing w:after="0" w:line="240" w:lineRule="auto"/>
        <w:jc w:val="center"/>
        <w:rPr>
          <w:rFonts w:ascii="Arial" w:hAnsi="Arial" w:cs="Arial"/>
          <w:b/>
          <w:color w:val="FF0000"/>
        </w:rPr>
      </w:pPr>
    </w:p>
    <w:p w14:paraId="40C7CB2D" w14:textId="48290A29" w:rsidR="00295129" w:rsidRDefault="00295129" w:rsidP="00FB08B3">
      <w:pPr>
        <w:spacing w:after="0" w:line="240" w:lineRule="auto"/>
        <w:rPr>
          <w:rFonts w:ascii="Arial" w:hAnsi="Arial" w:cs="Arial"/>
          <w:b/>
        </w:rPr>
      </w:pPr>
    </w:p>
    <w:p w14:paraId="69779B30" w14:textId="77777777" w:rsidR="00585E7E" w:rsidRPr="00561724" w:rsidRDefault="00585E7E" w:rsidP="00FB08B3">
      <w:pPr>
        <w:spacing w:after="0" w:line="240" w:lineRule="auto"/>
        <w:rPr>
          <w:rFonts w:ascii="Arial" w:hAnsi="Arial" w:cs="Arial"/>
          <w:b/>
        </w:rPr>
      </w:pPr>
    </w:p>
    <w:p w14:paraId="7D4BAB9D" w14:textId="52B4C0BF" w:rsidR="0043269F" w:rsidRPr="00214E77" w:rsidRDefault="00C25A6A" w:rsidP="00C25A6A">
      <w:pPr>
        <w:spacing w:after="0" w:line="240" w:lineRule="auto"/>
        <w:jc w:val="center"/>
        <w:rPr>
          <w:rFonts w:ascii="Arial" w:hAnsi="Arial" w:cs="Arial"/>
          <w:b/>
        </w:rPr>
      </w:pPr>
      <w:bookmarkStart w:id="0" w:name="_GoBack"/>
      <w:r w:rsidRPr="00214E77">
        <w:rPr>
          <w:rFonts w:ascii="Arial" w:hAnsi="Arial" w:cs="Arial"/>
          <w:b/>
        </w:rPr>
        <w:t>Understanding the role of nurses in deprescribing medicines for older people: A systematic review</w:t>
      </w:r>
    </w:p>
    <w:bookmarkEnd w:id="0"/>
    <w:p w14:paraId="1F5EC687" w14:textId="2836CA7B" w:rsidR="00E124F0" w:rsidRPr="00214E77" w:rsidRDefault="00E124F0" w:rsidP="00FB08B3">
      <w:pPr>
        <w:spacing w:after="0" w:line="240" w:lineRule="auto"/>
        <w:rPr>
          <w:rFonts w:ascii="Arial" w:hAnsi="Arial" w:cs="Arial"/>
          <w:b/>
        </w:rPr>
      </w:pPr>
    </w:p>
    <w:p w14:paraId="5902AB32" w14:textId="77777777" w:rsidR="00214E77" w:rsidRPr="00214E77" w:rsidRDefault="00214E77" w:rsidP="00FB08B3">
      <w:pPr>
        <w:spacing w:after="0" w:line="240" w:lineRule="auto"/>
        <w:rPr>
          <w:rFonts w:ascii="Arial" w:hAnsi="Arial" w:cs="Arial"/>
          <w:b/>
        </w:rPr>
      </w:pPr>
    </w:p>
    <w:p w14:paraId="5B25C8FF" w14:textId="779480A3" w:rsidR="00767FAF" w:rsidRPr="00214E77" w:rsidRDefault="00C25A6A" w:rsidP="00FB08B3">
      <w:pPr>
        <w:spacing w:after="0" w:line="240" w:lineRule="auto"/>
        <w:rPr>
          <w:rFonts w:ascii="Arial" w:hAnsi="Arial" w:cs="Arial"/>
          <w:bCs/>
        </w:rPr>
      </w:pPr>
      <w:r w:rsidRPr="00214E77">
        <w:rPr>
          <w:rFonts w:ascii="Arial" w:hAnsi="Arial" w:cs="Arial"/>
          <w:bCs/>
          <w:u w:val="single"/>
        </w:rPr>
        <w:t>L</w:t>
      </w:r>
      <w:r w:rsidR="005A4837" w:rsidRPr="00214E77">
        <w:rPr>
          <w:rFonts w:ascii="Arial" w:hAnsi="Arial" w:cs="Arial"/>
          <w:bCs/>
          <w:u w:val="single"/>
        </w:rPr>
        <w:t xml:space="preserve">. </w:t>
      </w:r>
      <w:r w:rsidRPr="00214E77">
        <w:rPr>
          <w:rFonts w:ascii="Arial" w:hAnsi="Arial" w:cs="Arial"/>
          <w:bCs/>
          <w:u w:val="single"/>
        </w:rPr>
        <w:t>Hart</w:t>
      </w:r>
      <w:r w:rsidR="00382208" w:rsidRPr="00214E77">
        <w:rPr>
          <w:rFonts w:ascii="Arial" w:hAnsi="Arial" w:cs="Arial"/>
          <w:bCs/>
          <w:u w:val="single"/>
          <w:vertAlign w:val="superscript"/>
        </w:rPr>
        <w:t>1</w:t>
      </w:r>
      <w:r w:rsidRPr="00214E77">
        <w:rPr>
          <w:rFonts w:ascii="Arial" w:hAnsi="Arial" w:cs="Arial"/>
          <w:bCs/>
        </w:rPr>
        <w:t xml:space="preserve"> </w:t>
      </w:r>
      <w:r w:rsidR="00006A66" w:rsidRPr="00214E77">
        <w:rPr>
          <w:rFonts w:ascii="Arial" w:hAnsi="Arial" w:cs="Arial"/>
          <w:bCs/>
        </w:rPr>
        <w:t xml:space="preserve">and </w:t>
      </w:r>
      <w:r w:rsidRPr="00214E77">
        <w:rPr>
          <w:rFonts w:ascii="Arial" w:hAnsi="Arial" w:cs="Arial"/>
          <w:bCs/>
          <w:u w:val="single"/>
        </w:rPr>
        <w:t>I</w:t>
      </w:r>
      <w:r w:rsidR="00006A66" w:rsidRPr="00214E77">
        <w:rPr>
          <w:rFonts w:ascii="Arial" w:hAnsi="Arial" w:cs="Arial"/>
          <w:bCs/>
          <w:u w:val="single"/>
        </w:rPr>
        <w:t>.</w:t>
      </w:r>
      <w:r w:rsidR="008957A4" w:rsidRPr="00214E77">
        <w:rPr>
          <w:rFonts w:ascii="Arial" w:hAnsi="Arial" w:cs="Arial"/>
          <w:bCs/>
          <w:u w:val="single"/>
        </w:rPr>
        <w:t xml:space="preserve"> </w:t>
      </w:r>
      <w:r w:rsidRPr="00214E77">
        <w:rPr>
          <w:rFonts w:ascii="Arial" w:hAnsi="Arial" w:cs="Arial"/>
          <w:bCs/>
          <w:u w:val="single"/>
        </w:rPr>
        <w:t>Berrou</w:t>
      </w:r>
      <w:r w:rsidRPr="00214E77">
        <w:rPr>
          <w:rFonts w:ascii="Arial" w:hAnsi="Arial" w:cs="Arial"/>
          <w:bCs/>
          <w:u w:val="single"/>
          <w:vertAlign w:val="superscript"/>
        </w:rPr>
        <w:t>2</w:t>
      </w:r>
      <w:r w:rsidR="00006A66" w:rsidRPr="00214E77">
        <w:rPr>
          <w:rFonts w:ascii="Arial" w:hAnsi="Arial" w:cs="Arial"/>
          <w:bCs/>
        </w:rPr>
        <w:t xml:space="preserve">. </w:t>
      </w:r>
    </w:p>
    <w:p w14:paraId="3F2A08CF" w14:textId="45AFF5EE" w:rsidR="00767FAF" w:rsidRPr="00214E77" w:rsidRDefault="00767FAF" w:rsidP="00FB08B3">
      <w:pPr>
        <w:spacing w:after="0" w:line="240" w:lineRule="auto"/>
        <w:rPr>
          <w:rFonts w:ascii="Arial" w:hAnsi="Arial" w:cs="Arial"/>
          <w:b/>
        </w:rPr>
      </w:pPr>
    </w:p>
    <w:p w14:paraId="0A7A9497" w14:textId="0EFD12D1" w:rsidR="00382208" w:rsidRPr="00214E77" w:rsidRDefault="00382208" w:rsidP="00C25A6A">
      <w:pPr>
        <w:spacing w:after="0" w:line="240" w:lineRule="auto"/>
        <w:jc w:val="both"/>
        <w:rPr>
          <w:rFonts w:ascii="Arial" w:hAnsi="Arial" w:cs="Arial"/>
          <w:bCs/>
        </w:rPr>
      </w:pPr>
      <w:r w:rsidRPr="00214E77">
        <w:rPr>
          <w:rFonts w:ascii="Arial" w:hAnsi="Arial" w:cs="Arial"/>
          <w:bCs/>
          <w:vertAlign w:val="superscript"/>
        </w:rPr>
        <w:t>1</w:t>
      </w:r>
      <w:r w:rsidR="00C25A6A" w:rsidRPr="00214E77">
        <w:rPr>
          <w:rFonts w:ascii="Arial" w:hAnsi="Arial" w:cs="Arial"/>
          <w:bCs/>
        </w:rPr>
        <w:t>Department of Older Persons' Services</w:t>
      </w:r>
      <w:r w:rsidR="00C25A6A" w:rsidRPr="00214E77">
        <w:rPr>
          <w:rFonts w:ascii="Arial" w:hAnsi="Arial" w:cs="Arial"/>
          <w:bCs/>
        </w:rPr>
        <w:t xml:space="preserve">, </w:t>
      </w:r>
      <w:r w:rsidR="00C25A6A" w:rsidRPr="00214E77">
        <w:rPr>
          <w:rFonts w:ascii="Arial" w:hAnsi="Arial" w:cs="Arial"/>
          <w:bCs/>
        </w:rPr>
        <w:t>Great Western Hospital Foundation Trust</w:t>
      </w:r>
      <w:r w:rsidR="00EF5068" w:rsidRPr="00214E77">
        <w:rPr>
          <w:rFonts w:ascii="Arial" w:hAnsi="Arial" w:cs="Arial"/>
          <w:bCs/>
        </w:rPr>
        <w:t>,</w:t>
      </w:r>
      <w:r w:rsidR="00C25A6A" w:rsidRPr="00214E77">
        <w:rPr>
          <w:rFonts w:ascii="Arial" w:hAnsi="Arial" w:cs="Arial"/>
          <w:bCs/>
        </w:rPr>
        <w:t xml:space="preserve"> </w:t>
      </w:r>
      <w:r w:rsidR="00C25A6A" w:rsidRPr="00214E77">
        <w:rPr>
          <w:rFonts w:ascii="Arial" w:hAnsi="Arial" w:cs="Arial"/>
          <w:bCs/>
        </w:rPr>
        <w:t>Swindon</w:t>
      </w:r>
      <w:r w:rsidR="00C25A6A" w:rsidRPr="00214E77">
        <w:rPr>
          <w:rFonts w:ascii="Arial" w:hAnsi="Arial" w:cs="Arial"/>
          <w:bCs/>
        </w:rPr>
        <w:t xml:space="preserve">, UK. </w:t>
      </w:r>
    </w:p>
    <w:p w14:paraId="20104698" w14:textId="2001716A" w:rsidR="00E124F0" w:rsidRPr="00214E77" w:rsidRDefault="00E124F0" w:rsidP="00C25A6A">
      <w:pPr>
        <w:spacing w:after="0" w:line="240" w:lineRule="auto"/>
        <w:jc w:val="both"/>
        <w:rPr>
          <w:rFonts w:ascii="Arial" w:hAnsi="Arial" w:cs="Arial"/>
          <w:bCs/>
        </w:rPr>
      </w:pPr>
      <w:r w:rsidRPr="00214E77">
        <w:rPr>
          <w:rFonts w:ascii="Arial" w:hAnsi="Arial" w:cs="Arial"/>
          <w:bCs/>
          <w:vertAlign w:val="superscript"/>
        </w:rPr>
        <w:t>2</w:t>
      </w:r>
      <w:r w:rsidR="00C25A6A" w:rsidRPr="00214E77">
        <w:rPr>
          <w:rFonts w:ascii="Arial" w:hAnsi="Arial" w:cs="Arial"/>
          <w:bCs/>
        </w:rPr>
        <w:t>School of Health &amp; Social Wellbeing</w:t>
      </w:r>
      <w:r w:rsidRPr="00214E77">
        <w:rPr>
          <w:rFonts w:ascii="Arial" w:hAnsi="Arial" w:cs="Arial"/>
          <w:bCs/>
        </w:rPr>
        <w:t xml:space="preserve">, </w:t>
      </w:r>
      <w:r w:rsidR="00C25A6A" w:rsidRPr="00214E77">
        <w:rPr>
          <w:rFonts w:ascii="Arial" w:hAnsi="Arial" w:cs="Arial"/>
          <w:bCs/>
        </w:rPr>
        <w:t>The University of the West of England</w:t>
      </w:r>
      <w:r w:rsidRPr="00214E77">
        <w:rPr>
          <w:rFonts w:ascii="Arial" w:hAnsi="Arial" w:cs="Arial"/>
          <w:bCs/>
        </w:rPr>
        <w:t xml:space="preserve">, </w:t>
      </w:r>
      <w:r w:rsidR="00C25A6A" w:rsidRPr="00214E77">
        <w:rPr>
          <w:rFonts w:ascii="Arial" w:hAnsi="Arial" w:cs="Arial"/>
          <w:bCs/>
        </w:rPr>
        <w:t>Bristol</w:t>
      </w:r>
      <w:r w:rsidRPr="00214E77">
        <w:rPr>
          <w:rFonts w:ascii="Arial" w:hAnsi="Arial" w:cs="Arial"/>
          <w:bCs/>
        </w:rPr>
        <w:t xml:space="preserve">, </w:t>
      </w:r>
      <w:r w:rsidR="00C25A6A" w:rsidRPr="00214E77">
        <w:rPr>
          <w:rFonts w:ascii="Arial" w:hAnsi="Arial" w:cs="Arial"/>
          <w:bCs/>
        </w:rPr>
        <w:t>UK</w:t>
      </w:r>
      <w:r w:rsidRPr="00214E77">
        <w:rPr>
          <w:rFonts w:ascii="Arial" w:hAnsi="Arial" w:cs="Arial"/>
          <w:bCs/>
        </w:rPr>
        <w:t>.</w:t>
      </w:r>
    </w:p>
    <w:p w14:paraId="14190CE4" w14:textId="77777777" w:rsidR="00E124F0" w:rsidRPr="00214E77" w:rsidRDefault="00E124F0" w:rsidP="00FB08B3">
      <w:pPr>
        <w:spacing w:after="0" w:line="240" w:lineRule="auto"/>
        <w:rPr>
          <w:rFonts w:ascii="Arial" w:hAnsi="Arial" w:cs="Arial"/>
          <w:bCs/>
        </w:rPr>
      </w:pPr>
    </w:p>
    <w:p w14:paraId="5A007106" w14:textId="77777777" w:rsidR="00382208" w:rsidRPr="00214E77" w:rsidRDefault="00382208" w:rsidP="00FB08B3">
      <w:pPr>
        <w:spacing w:after="0" w:line="240" w:lineRule="auto"/>
        <w:rPr>
          <w:rFonts w:ascii="Arial" w:hAnsi="Arial" w:cs="Arial"/>
          <w:b/>
        </w:rPr>
      </w:pPr>
    </w:p>
    <w:p w14:paraId="40452ABC" w14:textId="0095D445" w:rsidR="009D49CF" w:rsidRPr="00214E77" w:rsidRDefault="009D49CF" w:rsidP="00C25A6A">
      <w:pPr>
        <w:spacing w:after="0" w:line="240" w:lineRule="auto"/>
        <w:jc w:val="both"/>
        <w:rPr>
          <w:rFonts w:ascii="Arial" w:hAnsi="Arial" w:cs="Arial"/>
        </w:rPr>
      </w:pPr>
      <w:r w:rsidRPr="00214E77">
        <w:rPr>
          <w:rFonts w:ascii="Arial" w:hAnsi="Arial" w:cs="Arial"/>
          <w:b/>
        </w:rPr>
        <w:t>Introduction</w:t>
      </w:r>
      <w:r w:rsidR="00CC6CB8" w:rsidRPr="00214E77">
        <w:rPr>
          <w:rFonts w:ascii="Arial" w:hAnsi="Arial" w:cs="Arial"/>
          <w:b/>
          <w:bCs/>
        </w:rPr>
        <w:t>:</w:t>
      </w:r>
      <w:r w:rsidR="00705AF6" w:rsidRPr="00214E77">
        <w:rPr>
          <w:rFonts w:ascii="Arial" w:hAnsi="Arial" w:cs="Arial"/>
        </w:rPr>
        <w:t xml:space="preserve"> </w:t>
      </w:r>
      <w:r w:rsidR="00C25A6A" w:rsidRPr="00214E77">
        <w:rPr>
          <w:rFonts w:ascii="Arial" w:hAnsi="Arial" w:cs="Arial"/>
        </w:rPr>
        <w:t>It is predicted that by 2035, two-thirds of people aged over 65 in the UK will be living with multiple health conditions requiring a life-long intake of multiple medicines (1). Recent reports suggest that over 8.4 million people take 5+ medicines, and 3.8 million take 8+ medicines (2). Polypharmacy, the concurrent intake of multiple medicines (5+) by one person is not problematic if the multiple medicines are prescribed appropriately to achieve clear therapeutic objectives and minimise harm. However, problematic polypharmacy arises if the risks of medicines exceed their benefits due to drug interactions and adverse drug reactions. Deprescribing is a personalised medicine optimisation intervention to ensure the safe and effective withdrawal of medicines that are no longer appropriate, beneficial or wanted. Several studies explored the role of pharmacists and doctors in deprescribing medicines for older people, and the benefits to patients and the health care system. However, literature on the nurses’ role in this process remains scarce, despite their frequent contact with older people.</w:t>
      </w:r>
      <w:r w:rsidR="00660917" w:rsidRPr="00214E77">
        <w:rPr>
          <w:rFonts w:ascii="Arial" w:hAnsi="Arial" w:cs="Arial"/>
        </w:rPr>
        <w:t xml:space="preserve"> </w:t>
      </w:r>
    </w:p>
    <w:p w14:paraId="3D05100B" w14:textId="77777777" w:rsidR="00AC7EEF" w:rsidRPr="00214E77" w:rsidRDefault="00AC7EEF" w:rsidP="00FB08B3">
      <w:pPr>
        <w:spacing w:after="0" w:line="240" w:lineRule="auto"/>
        <w:rPr>
          <w:rFonts w:ascii="Arial" w:hAnsi="Arial" w:cs="Arial"/>
          <w:b/>
        </w:rPr>
      </w:pPr>
    </w:p>
    <w:p w14:paraId="38853242" w14:textId="7420B9C5" w:rsidR="00CC6CB8" w:rsidRPr="00214E77" w:rsidRDefault="009D49CF" w:rsidP="00C25A6A">
      <w:pPr>
        <w:spacing w:after="0" w:line="240" w:lineRule="auto"/>
        <w:jc w:val="both"/>
        <w:rPr>
          <w:rFonts w:ascii="Arial" w:hAnsi="Arial" w:cs="Arial"/>
        </w:rPr>
      </w:pPr>
      <w:r w:rsidRPr="00214E77">
        <w:rPr>
          <w:rFonts w:ascii="Arial" w:hAnsi="Arial" w:cs="Arial"/>
          <w:b/>
        </w:rPr>
        <w:t>Aim</w:t>
      </w:r>
      <w:r w:rsidRPr="00214E77">
        <w:rPr>
          <w:rFonts w:ascii="Arial" w:hAnsi="Arial" w:cs="Arial"/>
          <w:b/>
          <w:bCs/>
        </w:rPr>
        <w:t>:</w:t>
      </w:r>
      <w:r w:rsidR="00705AF6" w:rsidRPr="00214E77">
        <w:rPr>
          <w:rFonts w:ascii="Arial" w:hAnsi="Arial" w:cs="Arial"/>
        </w:rPr>
        <w:t xml:space="preserve"> </w:t>
      </w:r>
      <w:r w:rsidR="00C25A6A" w:rsidRPr="00214E77">
        <w:rPr>
          <w:rFonts w:ascii="Arial" w:hAnsi="Arial" w:cs="Arial"/>
        </w:rPr>
        <w:t>To review the relevant studies to identify the role nurses play in deprescribing for older people.</w:t>
      </w:r>
    </w:p>
    <w:p w14:paraId="2DAFA3EC" w14:textId="77777777" w:rsidR="00AC7EEF" w:rsidRPr="00214E77" w:rsidRDefault="00AC7EEF" w:rsidP="00FB08B3">
      <w:pPr>
        <w:spacing w:after="0" w:line="240" w:lineRule="auto"/>
        <w:rPr>
          <w:rFonts w:ascii="Arial" w:hAnsi="Arial" w:cs="Arial"/>
          <w:b/>
        </w:rPr>
      </w:pPr>
    </w:p>
    <w:p w14:paraId="53FE8B39" w14:textId="4113C50D" w:rsidR="007F7D0F" w:rsidRPr="00214E77" w:rsidRDefault="00CC6CB8" w:rsidP="00C25A6A">
      <w:pPr>
        <w:spacing w:after="0" w:line="240" w:lineRule="auto"/>
        <w:jc w:val="both"/>
        <w:rPr>
          <w:rFonts w:ascii="Arial" w:hAnsi="Arial" w:cs="Arial"/>
        </w:rPr>
      </w:pPr>
      <w:r w:rsidRPr="00214E77">
        <w:rPr>
          <w:rFonts w:ascii="Arial" w:hAnsi="Arial" w:cs="Arial"/>
          <w:b/>
        </w:rPr>
        <w:t>Methods</w:t>
      </w:r>
      <w:r w:rsidRPr="00214E77">
        <w:rPr>
          <w:rFonts w:ascii="Arial" w:hAnsi="Arial" w:cs="Arial"/>
          <w:b/>
          <w:bCs/>
        </w:rPr>
        <w:t>:</w:t>
      </w:r>
      <w:r w:rsidR="00705AF6" w:rsidRPr="00214E77">
        <w:rPr>
          <w:rFonts w:ascii="Arial" w:hAnsi="Arial" w:cs="Arial"/>
        </w:rPr>
        <w:t xml:space="preserve"> </w:t>
      </w:r>
      <w:r w:rsidR="00C25A6A" w:rsidRPr="00214E77">
        <w:rPr>
          <w:rFonts w:ascii="Arial" w:hAnsi="Arial" w:cs="Arial"/>
        </w:rPr>
        <w:t xml:space="preserve">This is a systematic review of qualitative and quantitative studies, published in </w:t>
      </w:r>
      <w:proofErr w:type="spellStart"/>
      <w:r w:rsidR="00C25A6A" w:rsidRPr="00214E77">
        <w:rPr>
          <w:rFonts w:ascii="Arial" w:hAnsi="Arial" w:cs="Arial"/>
        </w:rPr>
        <w:t>Embase</w:t>
      </w:r>
      <w:proofErr w:type="spellEnd"/>
      <w:r w:rsidR="00C25A6A" w:rsidRPr="00214E77">
        <w:rPr>
          <w:rFonts w:ascii="Arial" w:hAnsi="Arial" w:cs="Arial"/>
        </w:rPr>
        <w:t>, CINHAL, Google Scholar, British Nursing Database and PubMed, between 2012 and 2022. A manual search of reference lists of included studies was also conducted. We used key words such as nurse, nurse prescriber, deprescribing and medication optimisation to search for studies reporting on the role of nurses in deprescribing medicines for older people &gt;65 years of age, in all healthcare settings. The quality of studies was appraised using the Critical Appraisal Skills Programme (CASP) tool. Thematic analysis was used to identify recurrent themes or concepts from the included studies, and these were then synthesised to answer the research question.</w:t>
      </w:r>
    </w:p>
    <w:p w14:paraId="48E9C7C6" w14:textId="77777777" w:rsidR="00AC7EEF" w:rsidRPr="00214E77" w:rsidRDefault="00AC7EEF" w:rsidP="00FB08B3">
      <w:pPr>
        <w:spacing w:after="0" w:line="240" w:lineRule="auto"/>
        <w:rPr>
          <w:rFonts w:ascii="Arial" w:hAnsi="Arial" w:cs="Arial"/>
          <w:b/>
        </w:rPr>
      </w:pPr>
    </w:p>
    <w:p w14:paraId="35638E10" w14:textId="1C080D7D" w:rsidR="007F7D0F" w:rsidRPr="00214E77" w:rsidRDefault="00CC6CB8" w:rsidP="00C25A6A">
      <w:pPr>
        <w:spacing w:after="0" w:line="240" w:lineRule="auto"/>
        <w:jc w:val="both"/>
        <w:rPr>
          <w:rFonts w:ascii="Arial" w:hAnsi="Arial" w:cs="Arial"/>
        </w:rPr>
      </w:pPr>
      <w:r w:rsidRPr="00214E77">
        <w:rPr>
          <w:rFonts w:ascii="Arial" w:hAnsi="Arial" w:cs="Arial"/>
          <w:b/>
        </w:rPr>
        <w:t>Results</w:t>
      </w:r>
      <w:r w:rsidRPr="00214E77">
        <w:rPr>
          <w:rFonts w:ascii="Arial" w:hAnsi="Arial" w:cs="Arial"/>
          <w:b/>
          <w:bCs/>
        </w:rPr>
        <w:t>:</w:t>
      </w:r>
      <w:r w:rsidR="00705AF6" w:rsidRPr="00214E77">
        <w:rPr>
          <w:rFonts w:ascii="Arial" w:hAnsi="Arial" w:cs="Arial"/>
        </w:rPr>
        <w:t xml:space="preserve"> </w:t>
      </w:r>
      <w:r w:rsidR="00C25A6A" w:rsidRPr="00214E77">
        <w:rPr>
          <w:rFonts w:ascii="Arial" w:hAnsi="Arial" w:cs="Arial"/>
        </w:rPr>
        <w:t>Twelve studies met the inclusion criteria, 11 of which were of qualitative design. All of the included studies were of moderate to high quality. Five critical roles of nurses in deprescribing were identified including: (</w:t>
      </w:r>
      <w:proofErr w:type="spellStart"/>
      <w:r w:rsidR="00C25A6A" w:rsidRPr="00214E77">
        <w:rPr>
          <w:rFonts w:ascii="Arial" w:hAnsi="Arial" w:cs="Arial"/>
        </w:rPr>
        <w:t>i</w:t>
      </w:r>
      <w:proofErr w:type="spellEnd"/>
      <w:r w:rsidR="00C25A6A" w:rsidRPr="00214E77">
        <w:rPr>
          <w:rFonts w:ascii="Arial" w:hAnsi="Arial" w:cs="Arial"/>
        </w:rPr>
        <w:t>) Assessors; (ii) Co-ordinators; (iii) Facilitators, (iv) Communicators; and (v) Educators. Deprescribing requires multidisciplinary collaboration with clear communication between healthcare providers, and nurses are key players through their management of patients and physically effecting prescribing and deprescribing. They also have a role in assessing patients for deprescribing opportunity, coordinating multidisciplinary healthcare professional support, communicating with patients, relatives and other healthcare professionals, and educating nurses and other healthcare professionals on the importance of deprescribing as a discipline. Despite this, deprescribing is not yet integrated into nurse medication administration, prescribing, and initial or continued professional development.</w:t>
      </w:r>
    </w:p>
    <w:p w14:paraId="1CBB65BF" w14:textId="77777777" w:rsidR="00AC7EEF" w:rsidRPr="00214E77" w:rsidRDefault="00AC7EEF" w:rsidP="00FB08B3">
      <w:pPr>
        <w:widowControl w:val="0"/>
        <w:autoSpaceDE w:val="0"/>
        <w:autoSpaceDN w:val="0"/>
        <w:adjustRightInd w:val="0"/>
        <w:spacing w:after="0" w:line="240" w:lineRule="auto"/>
        <w:rPr>
          <w:rFonts w:ascii="Arial" w:hAnsi="Arial" w:cs="Arial"/>
          <w:b/>
        </w:rPr>
      </w:pPr>
    </w:p>
    <w:p w14:paraId="66F08113" w14:textId="323199AF" w:rsidR="00CC6CB8" w:rsidRPr="00214E77" w:rsidRDefault="00CC6CB8" w:rsidP="00C25A6A">
      <w:pPr>
        <w:widowControl w:val="0"/>
        <w:autoSpaceDE w:val="0"/>
        <w:autoSpaceDN w:val="0"/>
        <w:adjustRightInd w:val="0"/>
        <w:spacing w:after="0" w:line="240" w:lineRule="auto"/>
        <w:jc w:val="both"/>
        <w:rPr>
          <w:rFonts w:ascii="Arial" w:hAnsi="Arial" w:cs="Arial"/>
        </w:rPr>
      </w:pPr>
      <w:r w:rsidRPr="00214E77">
        <w:rPr>
          <w:rFonts w:ascii="Arial" w:hAnsi="Arial" w:cs="Arial"/>
          <w:b/>
        </w:rPr>
        <w:t>Conclusion</w:t>
      </w:r>
      <w:r w:rsidR="00136147" w:rsidRPr="00214E77">
        <w:rPr>
          <w:rFonts w:ascii="Arial" w:hAnsi="Arial" w:cs="Arial"/>
          <w:b/>
        </w:rPr>
        <w:t>:</w:t>
      </w:r>
      <w:r w:rsidR="00705AF6" w:rsidRPr="00214E77">
        <w:rPr>
          <w:rFonts w:ascii="Arial" w:hAnsi="Arial" w:cs="Arial"/>
        </w:rPr>
        <w:t xml:space="preserve"> </w:t>
      </w:r>
      <w:r w:rsidR="00C25A6A" w:rsidRPr="00214E77">
        <w:rPr>
          <w:rFonts w:ascii="Arial" w:hAnsi="Arial" w:cs="Arial"/>
        </w:rPr>
        <w:t xml:space="preserve">Evidence on the role of nurses in deprescribing for the older people is limited. </w:t>
      </w:r>
      <w:r w:rsidR="00C25A6A" w:rsidRPr="00214E77">
        <w:rPr>
          <w:rFonts w:ascii="Arial" w:hAnsi="Arial" w:cs="Arial"/>
        </w:rPr>
        <w:lastRenderedPageBreak/>
        <w:t>However, the studies included in this systematic review highlight the crucial role nurses play in all stages of the process. Further exploration is required to understand the role of the nurse in deprescribing and how their initial and continued professional development can be optimised to support it.</w:t>
      </w:r>
    </w:p>
    <w:p w14:paraId="78ACDC02" w14:textId="1A813F13" w:rsidR="00056595" w:rsidRPr="00214E77" w:rsidRDefault="00056595" w:rsidP="00FB08B3">
      <w:pPr>
        <w:widowControl w:val="0"/>
        <w:autoSpaceDE w:val="0"/>
        <w:autoSpaceDN w:val="0"/>
        <w:adjustRightInd w:val="0"/>
        <w:spacing w:after="0" w:line="240" w:lineRule="auto"/>
        <w:rPr>
          <w:rFonts w:ascii="Arial" w:hAnsi="Arial" w:cs="Arial"/>
          <w:iCs/>
        </w:rPr>
      </w:pPr>
    </w:p>
    <w:p w14:paraId="6B5D899A" w14:textId="4305A237" w:rsidR="00056595" w:rsidRPr="00214E77" w:rsidRDefault="00056595" w:rsidP="00FB08B3">
      <w:pPr>
        <w:widowControl w:val="0"/>
        <w:autoSpaceDE w:val="0"/>
        <w:autoSpaceDN w:val="0"/>
        <w:adjustRightInd w:val="0"/>
        <w:spacing w:after="0" w:line="240" w:lineRule="auto"/>
        <w:rPr>
          <w:rFonts w:ascii="Arial" w:hAnsi="Arial" w:cs="Arial"/>
          <w:iCs/>
        </w:rPr>
      </w:pPr>
      <w:r w:rsidRPr="00214E77">
        <w:rPr>
          <w:rFonts w:ascii="Arial" w:hAnsi="Arial" w:cs="Arial"/>
          <w:b/>
          <w:bCs/>
          <w:iCs/>
        </w:rPr>
        <w:t>References:</w:t>
      </w:r>
    </w:p>
    <w:p w14:paraId="6572465D" w14:textId="77777777" w:rsidR="002C4DEF" w:rsidRPr="00214E77" w:rsidRDefault="002C4DEF" w:rsidP="00FB08B3">
      <w:pPr>
        <w:widowControl w:val="0"/>
        <w:autoSpaceDE w:val="0"/>
        <w:autoSpaceDN w:val="0"/>
        <w:adjustRightInd w:val="0"/>
        <w:spacing w:after="0" w:line="240" w:lineRule="auto"/>
        <w:rPr>
          <w:rFonts w:ascii="Arial" w:hAnsi="Arial" w:cs="Arial"/>
          <w:iCs/>
        </w:rPr>
      </w:pPr>
    </w:p>
    <w:p w14:paraId="3D064ED3" w14:textId="77777777" w:rsidR="00755B45" w:rsidRPr="00214E77" w:rsidRDefault="00755B45" w:rsidP="009539F5">
      <w:pPr>
        <w:widowControl w:val="0"/>
        <w:autoSpaceDE w:val="0"/>
        <w:autoSpaceDN w:val="0"/>
        <w:adjustRightInd w:val="0"/>
        <w:spacing w:after="0" w:line="240" w:lineRule="auto"/>
        <w:rPr>
          <w:rFonts w:ascii="Arial" w:hAnsi="Arial" w:cs="Arial"/>
        </w:rPr>
      </w:pPr>
    </w:p>
    <w:p w14:paraId="0CC3911F" w14:textId="18488A8B" w:rsidR="00214E77" w:rsidRPr="00214E77" w:rsidRDefault="00214E77" w:rsidP="00214E77">
      <w:pPr>
        <w:pStyle w:val="ListParagraph"/>
        <w:numPr>
          <w:ilvl w:val="0"/>
          <w:numId w:val="1"/>
        </w:numPr>
        <w:ind w:left="284" w:hanging="284"/>
        <w:rPr>
          <w:rFonts w:ascii="Arial" w:hAnsi="Arial" w:cs="Arial"/>
        </w:rPr>
      </w:pPr>
      <w:r w:rsidRPr="00214E77">
        <w:rPr>
          <w:rFonts w:ascii="Arial" w:hAnsi="Arial" w:cs="Arial"/>
        </w:rPr>
        <w:t xml:space="preserve"> Kingston A, Robinson L, Booth H, Knapp M, Jagger C. Projections of multi-morbidity in the older population in England to 2035: estimates from the Population Ageing and Care Simulation (</w:t>
      </w:r>
      <w:proofErr w:type="spellStart"/>
      <w:r w:rsidRPr="00214E77">
        <w:rPr>
          <w:rFonts w:ascii="Arial" w:hAnsi="Arial" w:cs="Arial"/>
        </w:rPr>
        <w:t>PACSim</w:t>
      </w:r>
      <w:proofErr w:type="spellEnd"/>
      <w:r w:rsidRPr="00214E77">
        <w:rPr>
          <w:rFonts w:ascii="Arial" w:hAnsi="Arial" w:cs="Arial"/>
        </w:rPr>
        <w:t>) model. Age and Ageing. 2018;47(3):374-380.</w:t>
      </w:r>
    </w:p>
    <w:p w14:paraId="544A6D30" w14:textId="2F59EF1C" w:rsidR="00214E77" w:rsidRPr="00214E77" w:rsidRDefault="00214E77" w:rsidP="00214E77">
      <w:pPr>
        <w:pStyle w:val="ListParagraph"/>
        <w:numPr>
          <w:ilvl w:val="0"/>
          <w:numId w:val="1"/>
        </w:numPr>
        <w:ind w:left="284" w:hanging="284"/>
        <w:rPr>
          <w:rFonts w:ascii="Arial" w:hAnsi="Arial" w:cs="Arial"/>
        </w:rPr>
      </w:pPr>
      <w:r w:rsidRPr="00214E77">
        <w:rPr>
          <w:rFonts w:ascii="Arial" w:hAnsi="Arial" w:cs="Arial"/>
        </w:rPr>
        <w:t xml:space="preserve"> Department of Health &amp; Social Care. Good for you, good for us, good for everybody [Online]. 2021. Available from: </w:t>
      </w:r>
      <w:hyperlink r:id="rId11" w:history="1">
        <w:r w:rsidRPr="00214E77">
          <w:rPr>
            <w:rStyle w:val="Hyperlink"/>
            <w:rFonts w:ascii="Arial" w:hAnsi="Arial" w:cs="Arial"/>
            <w:color w:val="auto"/>
          </w:rPr>
          <w:t>https://assets.publishing.service.gov.uk/government/uploads/system/uploads/attachment_data/file/1019475/good-for-you-good-for-us-good-for-everybody.pdf</w:t>
        </w:r>
      </w:hyperlink>
      <w:r w:rsidRPr="00214E77">
        <w:rPr>
          <w:rFonts w:ascii="Arial" w:hAnsi="Arial" w:cs="Arial"/>
        </w:rPr>
        <w:t xml:space="preserve"> (accessed 4/4/2022)  </w:t>
      </w:r>
    </w:p>
    <w:p w14:paraId="464BB536" w14:textId="77777777" w:rsidR="00214E77" w:rsidRPr="00214E77" w:rsidRDefault="00214E77" w:rsidP="00214E77">
      <w:pPr>
        <w:pStyle w:val="ListParagraph"/>
        <w:ind w:left="0"/>
        <w:rPr>
          <w:rFonts w:ascii="Arial" w:hAnsi="Arial" w:cs="Arial"/>
        </w:rPr>
      </w:pPr>
    </w:p>
    <w:p w14:paraId="374789B6" w14:textId="0F723453" w:rsidR="00214E77" w:rsidRPr="005862F3" w:rsidRDefault="00214E77" w:rsidP="00214E77">
      <w:pPr>
        <w:pStyle w:val="ListParagraph"/>
        <w:ind w:left="0"/>
        <w:rPr>
          <w:rFonts w:ascii="Arial" w:hAnsi="Arial" w:cs="Arial"/>
        </w:rPr>
      </w:pPr>
    </w:p>
    <w:sectPr w:rsidR="00214E77" w:rsidRPr="005862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BE149" w14:textId="77777777" w:rsidR="00BE23EF" w:rsidRDefault="00BE23EF" w:rsidP="00B868CE">
      <w:pPr>
        <w:spacing w:after="0" w:line="240" w:lineRule="auto"/>
      </w:pPr>
      <w:r>
        <w:separator/>
      </w:r>
    </w:p>
  </w:endnote>
  <w:endnote w:type="continuationSeparator" w:id="0">
    <w:p w14:paraId="07DA4184" w14:textId="77777777" w:rsidR="00BE23EF" w:rsidRDefault="00BE23EF" w:rsidP="00B86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8D7EE" w14:textId="77777777" w:rsidR="00BE23EF" w:rsidRDefault="00BE23EF" w:rsidP="00B868CE">
      <w:pPr>
        <w:spacing w:after="0" w:line="240" w:lineRule="auto"/>
      </w:pPr>
      <w:r>
        <w:separator/>
      </w:r>
    </w:p>
  </w:footnote>
  <w:footnote w:type="continuationSeparator" w:id="0">
    <w:p w14:paraId="0E87324E" w14:textId="77777777" w:rsidR="00BE23EF" w:rsidRDefault="00BE23EF" w:rsidP="00B86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652BC"/>
    <w:multiLevelType w:val="hybridMultilevel"/>
    <w:tmpl w:val="40A4530E"/>
    <w:lvl w:ilvl="0" w:tplc="EBD018D0">
      <w:start w:val="1"/>
      <w:numFmt w:val="decimal"/>
      <w:lvlText w:val="(%1)"/>
      <w:lvlJc w:val="left"/>
      <w:pPr>
        <w:ind w:left="2204" w:hanging="360"/>
      </w:pPr>
      <w:rPr>
        <w:rFonts w:hint="default"/>
      </w:rPr>
    </w:lvl>
    <w:lvl w:ilvl="1" w:tplc="08090019" w:tentative="1">
      <w:start w:val="1"/>
      <w:numFmt w:val="lowerLetter"/>
      <w:lvlText w:val="%2."/>
      <w:lvlJc w:val="left"/>
      <w:pPr>
        <w:ind w:left="2924" w:hanging="360"/>
      </w:pPr>
    </w:lvl>
    <w:lvl w:ilvl="2" w:tplc="0809001B" w:tentative="1">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CB8"/>
    <w:rsid w:val="00003071"/>
    <w:rsid w:val="00006A66"/>
    <w:rsid w:val="00056595"/>
    <w:rsid w:val="000761C3"/>
    <w:rsid w:val="000B1E70"/>
    <w:rsid w:val="000C1843"/>
    <w:rsid w:val="0013344C"/>
    <w:rsid w:val="00136147"/>
    <w:rsid w:val="001437D0"/>
    <w:rsid w:val="00154592"/>
    <w:rsid w:val="0015709B"/>
    <w:rsid w:val="0016503E"/>
    <w:rsid w:val="00180369"/>
    <w:rsid w:val="001834C8"/>
    <w:rsid w:val="001E7492"/>
    <w:rsid w:val="00206F4D"/>
    <w:rsid w:val="002071FF"/>
    <w:rsid w:val="00214E77"/>
    <w:rsid w:val="002155B4"/>
    <w:rsid w:val="00215877"/>
    <w:rsid w:val="00261E2B"/>
    <w:rsid w:val="00264351"/>
    <w:rsid w:val="00295129"/>
    <w:rsid w:val="002A5F9B"/>
    <w:rsid w:val="002B4EDF"/>
    <w:rsid w:val="002B6A06"/>
    <w:rsid w:val="002C4DEF"/>
    <w:rsid w:val="002D50AD"/>
    <w:rsid w:val="0031054B"/>
    <w:rsid w:val="00346DD7"/>
    <w:rsid w:val="00362BE5"/>
    <w:rsid w:val="003656D0"/>
    <w:rsid w:val="00366307"/>
    <w:rsid w:val="00382208"/>
    <w:rsid w:val="00401984"/>
    <w:rsid w:val="00415D29"/>
    <w:rsid w:val="0043269F"/>
    <w:rsid w:val="00472363"/>
    <w:rsid w:val="004907A5"/>
    <w:rsid w:val="004A0D75"/>
    <w:rsid w:val="004C0809"/>
    <w:rsid w:val="004E1D99"/>
    <w:rsid w:val="005008D0"/>
    <w:rsid w:val="00561724"/>
    <w:rsid w:val="00585E7E"/>
    <w:rsid w:val="005862F3"/>
    <w:rsid w:val="005A3637"/>
    <w:rsid w:val="005A4837"/>
    <w:rsid w:val="005C2E2A"/>
    <w:rsid w:val="005F6F4E"/>
    <w:rsid w:val="006255CE"/>
    <w:rsid w:val="0063518A"/>
    <w:rsid w:val="00660917"/>
    <w:rsid w:val="00663064"/>
    <w:rsid w:val="00683DEA"/>
    <w:rsid w:val="00704110"/>
    <w:rsid w:val="00705AF6"/>
    <w:rsid w:val="00716C17"/>
    <w:rsid w:val="00746896"/>
    <w:rsid w:val="00755B45"/>
    <w:rsid w:val="00767FAF"/>
    <w:rsid w:val="00795C83"/>
    <w:rsid w:val="007B132C"/>
    <w:rsid w:val="007B5EED"/>
    <w:rsid w:val="007D11F2"/>
    <w:rsid w:val="007D3485"/>
    <w:rsid w:val="007F7D0F"/>
    <w:rsid w:val="0081664D"/>
    <w:rsid w:val="00840AE8"/>
    <w:rsid w:val="00891DD8"/>
    <w:rsid w:val="008957A4"/>
    <w:rsid w:val="008A6DB9"/>
    <w:rsid w:val="008C455F"/>
    <w:rsid w:val="008F3DE1"/>
    <w:rsid w:val="008F7C31"/>
    <w:rsid w:val="009539F5"/>
    <w:rsid w:val="00974DE9"/>
    <w:rsid w:val="009777B9"/>
    <w:rsid w:val="00991E7D"/>
    <w:rsid w:val="009A6D11"/>
    <w:rsid w:val="009C6E5E"/>
    <w:rsid w:val="009D49CF"/>
    <w:rsid w:val="00A11A2D"/>
    <w:rsid w:val="00AA6BCF"/>
    <w:rsid w:val="00AC7EEF"/>
    <w:rsid w:val="00B868CE"/>
    <w:rsid w:val="00BB7980"/>
    <w:rsid w:val="00BE23EF"/>
    <w:rsid w:val="00C25A6A"/>
    <w:rsid w:val="00C2637D"/>
    <w:rsid w:val="00C32765"/>
    <w:rsid w:val="00C77247"/>
    <w:rsid w:val="00C85EEF"/>
    <w:rsid w:val="00CA2941"/>
    <w:rsid w:val="00CC6CB8"/>
    <w:rsid w:val="00CC7AEF"/>
    <w:rsid w:val="00CE3661"/>
    <w:rsid w:val="00D12CF5"/>
    <w:rsid w:val="00D237B1"/>
    <w:rsid w:val="00D94E69"/>
    <w:rsid w:val="00DA5012"/>
    <w:rsid w:val="00DD1ECA"/>
    <w:rsid w:val="00DE0436"/>
    <w:rsid w:val="00DF37E5"/>
    <w:rsid w:val="00E0729D"/>
    <w:rsid w:val="00E124F0"/>
    <w:rsid w:val="00E22DA6"/>
    <w:rsid w:val="00E60082"/>
    <w:rsid w:val="00E91509"/>
    <w:rsid w:val="00EA46D8"/>
    <w:rsid w:val="00EF455E"/>
    <w:rsid w:val="00EF5068"/>
    <w:rsid w:val="00F60402"/>
    <w:rsid w:val="00F67F8C"/>
    <w:rsid w:val="00F74221"/>
    <w:rsid w:val="00F75FDA"/>
    <w:rsid w:val="00FB08B3"/>
    <w:rsid w:val="00FE6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0A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C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CC6CB8"/>
    <w:rPr>
      <w:sz w:val="16"/>
      <w:szCs w:val="16"/>
    </w:rPr>
  </w:style>
  <w:style w:type="paragraph" w:styleId="CommentText">
    <w:name w:val="annotation text"/>
    <w:basedOn w:val="Normal"/>
    <w:link w:val="CommentTextChar"/>
    <w:uiPriority w:val="99"/>
    <w:unhideWhenUsed/>
    <w:rsid w:val="00CC6CB8"/>
    <w:pPr>
      <w:spacing w:after="160" w:line="240" w:lineRule="auto"/>
    </w:pPr>
    <w:rPr>
      <w:sz w:val="20"/>
      <w:szCs w:val="20"/>
    </w:rPr>
  </w:style>
  <w:style w:type="character" w:customStyle="1" w:styleId="CommentTextChar">
    <w:name w:val="Comment Text Char"/>
    <w:basedOn w:val="DefaultParagraphFont"/>
    <w:link w:val="CommentText"/>
    <w:uiPriority w:val="99"/>
    <w:rsid w:val="00CC6CB8"/>
    <w:rPr>
      <w:sz w:val="20"/>
      <w:szCs w:val="20"/>
    </w:rPr>
  </w:style>
  <w:style w:type="paragraph" w:styleId="BodyText">
    <w:name w:val="Body Text"/>
    <w:basedOn w:val="Normal"/>
    <w:link w:val="BodyTextChar"/>
    <w:rsid w:val="00CC6CB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CC6CB8"/>
    <w:rPr>
      <w:rFonts w:ascii="Times Roman" w:eastAsia="Times New Roman" w:hAnsi="Times Roman" w:cs="Times New Roman"/>
      <w:i/>
      <w:spacing w:val="-3"/>
      <w:sz w:val="24"/>
      <w:szCs w:val="20"/>
    </w:rPr>
  </w:style>
  <w:style w:type="paragraph" w:styleId="BalloonText">
    <w:name w:val="Balloon Text"/>
    <w:basedOn w:val="Normal"/>
    <w:link w:val="BalloonTextChar"/>
    <w:uiPriority w:val="99"/>
    <w:semiHidden/>
    <w:unhideWhenUsed/>
    <w:rsid w:val="00CC6C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CB8"/>
    <w:rPr>
      <w:rFonts w:ascii="Tahoma" w:hAnsi="Tahoma" w:cs="Tahoma"/>
      <w:sz w:val="16"/>
      <w:szCs w:val="16"/>
    </w:rPr>
  </w:style>
  <w:style w:type="paragraph" w:styleId="ListParagraph">
    <w:name w:val="List Paragraph"/>
    <w:basedOn w:val="Normal"/>
    <w:uiPriority w:val="34"/>
    <w:qFormat/>
    <w:rsid w:val="002C4DEF"/>
    <w:pPr>
      <w:ind w:left="720"/>
      <w:contextualSpacing/>
    </w:pPr>
  </w:style>
  <w:style w:type="paragraph" w:styleId="CommentSubject">
    <w:name w:val="annotation subject"/>
    <w:basedOn w:val="CommentText"/>
    <w:next w:val="CommentText"/>
    <w:link w:val="CommentSubjectChar"/>
    <w:uiPriority w:val="99"/>
    <w:semiHidden/>
    <w:unhideWhenUsed/>
    <w:rsid w:val="00CC7AEF"/>
    <w:pPr>
      <w:spacing w:after="200"/>
    </w:pPr>
    <w:rPr>
      <w:b/>
      <w:bCs/>
    </w:rPr>
  </w:style>
  <w:style w:type="character" w:customStyle="1" w:styleId="CommentSubjectChar">
    <w:name w:val="Comment Subject Char"/>
    <w:basedOn w:val="CommentTextChar"/>
    <w:link w:val="CommentSubject"/>
    <w:uiPriority w:val="99"/>
    <w:semiHidden/>
    <w:rsid w:val="00CC7AEF"/>
    <w:rPr>
      <w:b/>
      <w:bCs/>
      <w:sz w:val="20"/>
      <w:szCs w:val="20"/>
    </w:rPr>
  </w:style>
  <w:style w:type="character" w:styleId="Hyperlink">
    <w:name w:val="Hyperlink"/>
    <w:basedOn w:val="DefaultParagraphFont"/>
    <w:uiPriority w:val="99"/>
    <w:unhideWhenUsed/>
    <w:rsid w:val="00D237B1"/>
    <w:rPr>
      <w:color w:val="0000FF" w:themeColor="hyperlink"/>
      <w:u w:val="single"/>
    </w:rPr>
  </w:style>
  <w:style w:type="character" w:styleId="UnresolvedMention">
    <w:name w:val="Unresolved Mention"/>
    <w:basedOn w:val="DefaultParagraphFont"/>
    <w:uiPriority w:val="99"/>
    <w:semiHidden/>
    <w:unhideWhenUsed/>
    <w:rsid w:val="00D237B1"/>
    <w:rPr>
      <w:color w:val="605E5C"/>
      <w:shd w:val="clear" w:color="auto" w:fill="E1DFDD"/>
    </w:rPr>
  </w:style>
  <w:style w:type="paragraph" w:styleId="Header">
    <w:name w:val="header"/>
    <w:basedOn w:val="Normal"/>
    <w:link w:val="HeaderChar"/>
    <w:uiPriority w:val="99"/>
    <w:unhideWhenUsed/>
    <w:rsid w:val="00B868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68CE"/>
  </w:style>
  <w:style w:type="paragraph" w:styleId="Footer">
    <w:name w:val="footer"/>
    <w:basedOn w:val="Normal"/>
    <w:link w:val="FooterChar"/>
    <w:uiPriority w:val="99"/>
    <w:unhideWhenUsed/>
    <w:rsid w:val="00B868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18866">
      <w:bodyDiv w:val="1"/>
      <w:marLeft w:val="0"/>
      <w:marRight w:val="0"/>
      <w:marTop w:val="0"/>
      <w:marBottom w:val="0"/>
      <w:divBdr>
        <w:top w:val="none" w:sz="0" w:space="0" w:color="auto"/>
        <w:left w:val="none" w:sz="0" w:space="0" w:color="auto"/>
        <w:bottom w:val="none" w:sz="0" w:space="0" w:color="auto"/>
        <w:right w:val="none" w:sz="0" w:space="0" w:color="auto"/>
      </w:divBdr>
    </w:div>
    <w:div w:id="531460353">
      <w:bodyDiv w:val="1"/>
      <w:marLeft w:val="0"/>
      <w:marRight w:val="0"/>
      <w:marTop w:val="0"/>
      <w:marBottom w:val="0"/>
      <w:divBdr>
        <w:top w:val="none" w:sz="0" w:space="0" w:color="auto"/>
        <w:left w:val="none" w:sz="0" w:space="0" w:color="auto"/>
        <w:bottom w:val="none" w:sz="0" w:space="0" w:color="auto"/>
        <w:right w:val="none" w:sz="0" w:space="0" w:color="auto"/>
      </w:divBdr>
    </w:div>
    <w:div w:id="766116876">
      <w:bodyDiv w:val="1"/>
      <w:marLeft w:val="0"/>
      <w:marRight w:val="0"/>
      <w:marTop w:val="0"/>
      <w:marBottom w:val="0"/>
      <w:divBdr>
        <w:top w:val="none" w:sz="0" w:space="0" w:color="auto"/>
        <w:left w:val="none" w:sz="0" w:space="0" w:color="auto"/>
        <w:bottom w:val="none" w:sz="0" w:space="0" w:color="auto"/>
        <w:right w:val="none" w:sz="0" w:space="0" w:color="auto"/>
      </w:divBdr>
      <w:divsChild>
        <w:div w:id="2007592509">
          <w:marLeft w:val="0"/>
          <w:marRight w:val="0"/>
          <w:marTop w:val="0"/>
          <w:marBottom w:val="0"/>
          <w:divBdr>
            <w:top w:val="none" w:sz="0" w:space="0" w:color="auto"/>
            <w:left w:val="none" w:sz="0" w:space="0" w:color="auto"/>
            <w:bottom w:val="none" w:sz="0" w:space="0" w:color="auto"/>
            <w:right w:val="none" w:sz="0" w:space="0" w:color="auto"/>
          </w:divBdr>
        </w:div>
        <w:div w:id="1362828498">
          <w:marLeft w:val="0"/>
          <w:marRight w:val="0"/>
          <w:marTop w:val="0"/>
          <w:marBottom w:val="0"/>
          <w:divBdr>
            <w:top w:val="none" w:sz="0" w:space="0" w:color="auto"/>
            <w:left w:val="none" w:sz="0" w:space="0" w:color="auto"/>
            <w:bottom w:val="none" w:sz="0" w:space="0" w:color="auto"/>
            <w:right w:val="none" w:sz="0" w:space="0" w:color="auto"/>
          </w:divBdr>
        </w:div>
      </w:divsChild>
    </w:div>
    <w:div w:id="1446921362">
      <w:bodyDiv w:val="1"/>
      <w:marLeft w:val="0"/>
      <w:marRight w:val="0"/>
      <w:marTop w:val="0"/>
      <w:marBottom w:val="0"/>
      <w:divBdr>
        <w:top w:val="none" w:sz="0" w:space="0" w:color="auto"/>
        <w:left w:val="none" w:sz="0" w:space="0" w:color="auto"/>
        <w:bottom w:val="none" w:sz="0" w:space="0" w:color="auto"/>
        <w:right w:val="none" w:sz="0" w:space="0" w:color="auto"/>
      </w:divBdr>
    </w:div>
    <w:div w:id="207376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1019475/good-for-you-good-for-us-good-for-everybody.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95d8bd-c989-472e-92f1-b4800e538ab6">
      <Terms xmlns="http://schemas.microsoft.com/office/infopath/2007/PartnerControls"/>
    </lcf76f155ced4ddcb4097134ff3c332f>
    <TaxCatchAll xmlns="61849612-7213-42b7-bc03-984d9dda1a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BD1E587C39AD4C88D2074E9E11FD05" ma:contentTypeVersion="14" ma:contentTypeDescription="Create a new document." ma:contentTypeScope="" ma:versionID="376c41012b034f415246ad15d10a0fca">
  <xsd:schema xmlns:xsd="http://www.w3.org/2001/XMLSchema" xmlns:xs="http://www.w3.org/2001/XMLSchema" xmlns:p="http://schemas.microsoft.com/office/2006/metadata/properties" xmlns:ns2="a495d8bd-c989-472e-92f1-b4800e538ab6" xmlns:ns3="61849612-7213-42b7-bc03-984d9dda1a4d" targetNamespace="http://schemas.microsoft.com/office/2006/metadata/properties" ma:root="true" ma:fieldsID="050276a1c1a65be652807f2bc1769912" ns2:_="" ns3:_="">
    <xsd:import namespace="a495d8bd-c989-472e-92f1-b4800e538ab6"/>
    <xsd:import namespace="61849612-7213-42b7-bc03-984d9dda1a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5d8bd-c989-472e-92f1-b4800e538a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a54abd-a439-4e34-ad67-cd640e8aab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849612-7213-42b7-bc03-984d9dda1a4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ce5bcc2-7fa7-4252-a483-ed3aaee553e9}" ma:internalName="TaxCatchAll" ma:showField="CatchAllData" ma:web="61849612-7213-42b7-bc03-984d9dda1a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C5971-51DD-4741-93BE-1FC9D92DA0DF}">
  <ds:schemaRefs>
    <ds:schemaRef ds:uri="http://schemas.microsoft.com/office/2006/metadata/properties"/>
    <ds:schemaRef ds:uri="http://schemas.microsoft.com/office/infopath/2007/PartnerControls"/>
    <ds:schemaRef ds:uri="a495d8bd-c989-472e-92f1-b4800e538ab6"/>
    <ds:schemaRef ds:uri="61849612-7213-42b7-bc03-984d9dda1a4d"/>
  </ds:schemaRefs>
</ds:datastoreItem>
</file>

<file path=customXml/itemProps2.xml><?xml version="1.0" encoding="utf-8"?>
<ds:datastoreItem xmlns:ds="http://schemas.openxmlformats.org/officeDocument/2006/customXml" ds:itemID="{682A6518-6F3A-4DA9-A766-BC8C782DE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5d8bd-c989-472e-92f1-b4800e538ab6"/>
    <ds:schemaRef ds:uri="61849612-7213-42b7-bc03-984d9dda1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75C56D-21B1-4ADF-BF92-ABA9921121B8}">
  <ds:schemaRefs>
    <ds:schemaRef ds:uri="http://schemas.microsoft.com/sharepoint/v3/contenttype/forms"/>
  </ds:schemaRefs>
</ds:datastoreItem>
</file>

<file path=customXml/itemProps4.xml><?xml version="1.0" encoding="utf-8"?>
<ds:datastoreItem xmlns:ds="http://schemas.openxmlformats.org/officeDocument/2006/customXml" ds:itemID="{EB1CFB56-C6FD-4196-B5A6-AA423B164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2022-11-26T12:15:00Z</dcterms:created>
  <dcterms:modified xsi:type="dcterms:W3CDTF">2022-11-26T12:15:00Z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0x0101006DBD1E587C39AD4C88D2074E9E11FD05</vt:lpwstr>
  </property>
  <property fmtid="{D5CDD505-2E9C-101B-9397-08002B2CF9AE}" pid="3" name="MediaServiceImageTags">
    <vt:lpwstr/>
  </property>
</Properties>
</file>